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F348E" w14:textId="77777777" w:rsidR="00C21B4D" w:rsidRDefault="00C21B4D" w:rsidP="00C21B4D">
      <w:pPr>
        <w:spacing w:after="0"/>
        <w:jc w:val="both"/>
        <w:rPr>
          <w:rFonts w:ascii="Verdana" w:hAnsi="Verdana"/>
          <w:b/>
          <w:bCs/>
        </w:rPr>
      </w:pPr>
      <w:bookmarkStart w:id="0" w:name="_Hlk143780582"/>
      <w:r>
        <w:rPr>
          <w:rFonts w:ascii="Verdana" w:hAnsi="Verdana"/>
          <w:b/>
          <w:bCs/>
        </w:rPr>
        <w:t>SELECCIÓN ABREVIADA – Noción – Modalidad de selección –Característica</w:t>
      </w:r>
    </w:p>
    <w:p w14:paraId="1D7FF8D7" w14:textId="77777777" w:rsidR="00C21B4D" w:rsidRDefault="00C21B4D" w:rsidP="00C21B4D">
      <w:pPr>
        <w:spacing w:after="0"/>
        <w:jc w:val="both"/>
        <w:rPr>
          <w:rFonts w:ascii="Verdana" w:hAnsi="Verdana"/>
          <w:b/>
          <w:bCs/>
        </w:rPr>
      </w:pPr>
    </w:p>
    <w:p w14:paraId="517A0DFF" w14:textId="77777777" w:rsidR="00C21B4D" w:rsidRDefault="00C21B4D" w:rsidP="00C21B4D">
      <w:pPr>
        <w:spacing w:after="0"/>
        <w:jc w:val="both"/>
        <w:rPr>
          <w:rFonts w:ascii="Verdana" w:hAnsi="Verdana"/>
          <w:sz w:val="20"/>
          <w:szCs w:val="20"/>
        </w:rPr>
      </w:pPr>
      <w:r>
        <w:rPr>
          <w:rFonts w:ascii="Verdana" w:hAnsi="Verdana"/>
          <w:sz w:val="20"/>
          <w:szCs w:val="20"/>
        </w:rPr>
        <w:t xml:space="preserve">[…] </w:t>
      </w:r>
      <w:r w:rsidRPr="009E2C95">
        <w:rPr>
          <w:rFonts w:ascii="Verdana" w:hAnsi="Verdana"/>
          <w:sz w:val="20"/>
          <w:szCs w:val="20"/>
        </w:rPr>
        <w:t>el numeral 2 del artículo 2 de la Ley 1150 de 2007 dispone respecto de la selección abreviada, que esta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Pr>
          <w:rFonts w:ascii="Verdana" w:hAnsi="Verdana"/>
          <w:sz w:val="20"/>
          <w:szCs w:val="20"/>
        </w:rPr>
        <w:t>.</w:t>
      </w:r>
    </w:p>
    <w:p w14:paraId="5277CAD3" w14:textId="77777777" w:rsidR="00C21B4D" w:rsidRDefault="00C21B4D" w:rsidP="00C21B4D">
      <w:pPr>
        <w:spacing w:after="0"/>
        <w:jc w:val="both"/>
        <w:rPr>
          <w:rFonts w:ascii="Verdana" w:hAnsi="Verdana"/>
          <w:sz w:val="20"/>
          <w:szCs w:val="20"/>
        </w:rPr>
      </w:pPr>
      <w:r>
        <w:rPr>
          <w:rFonts w:ascii="Verdana" w:hAnsi="Verdana"/>
          <w:sz w:val="20"/>
          <w:szCs w:val="20"/>
        </w:rPr>
        <w:t xml:space="preserve">[…] </w:t>
      </w:r>
    </w:p>
    <w:p w14:paraId="58ACDCAA" w14:textId="77777777" w:rsidR="00C21B4D" w:rsidRPr="009E2C95" w:rsidRDefault="00C21B4D" w:rsidP="00C21B4D">
      <w:pPr>
        <w:spacing w:after="0"/>
        <w:jc w:val="both"/>
        <w:rPr>
          <w:rFonts w:ascii="Verdana" w:hAnsi="Verdana"/>
          <w:sz w:val="20"/>
          <w:szCs w:val="20"/>
        </w:rPr>
      </w:pPr>
      <w:r w:rsidRPr="009E2C95">
        <w:rPr>
          <w:rFonts w:ascii="Verdana" w:hAnsi="Verdana"/>
          <w:sz w:val="20"/>
          <w:szCs w:val="20"/>
        </w:rPr>
        <w:t>Esta modalidad de selección, se caracteriza por tener etapas un poco sencillas y términos relativamente más cortos que los de la licitación pública, lo cual se justifica por las circunstancias, la naturaleza y los objetos que se contratan a través de esta.</w:t>
      </w:r>
    </w:p>
    <w:p w14:paraId="7A9A41B1" w14:textId="77777777" w:rsidR="00C21B4D" w:rsidRDefault="00C21B4D" w:rsidP="00C21B4D">
      <w:pPr>
        <w:spacing w:after="0"/>
        <w:rPr>
          <w:rFonts w:ascii="Verdana" w:hAnsi="Verdana"/>
          <w:b/>
          <w:bCs/>
        </w:rPr>
      </w:pPr>
    </w:p>
    <w:p w14:paraId="0AD71EA3" w14:textId="77777777" w:rsidR="00C21B4D" w:rsidRDefault="00C21B4D" w:rsidP="00C21B4D">
      <w:pPr>
        <w:spacing w:after="0"/>
        <w:rPr>
          <w:rFonts w:ascii="Verdana" w:hAnsi="Verdana"/>
          <w:b/>
          <w:bCs/>
        </w:rPr>
      </w:pPr>
      <w:r>
        <w:rPr>
          <w:rFonts w:ascii="Verdana" w:hAnsi="Verdana"/>
          <w:b/>
          <w:bCs/>
        </w:rPr>
        <w:t>SELECCIÓN ABREVIADA DE MENOR CUANTÍA – Manifestación de interés – Regla aplicable – Documentos tipo</w:t>
      </w:r>
    </w:p>
    <w:p w14:paraId="79BF0617" w14:textId="77777777" w:rsidR="00C21B4D" w:rsidRDefault="00C21B4D" w:rsidP="00C21B4D">
      <w:pPr>
        <w:spacing w:after="0"/>
        <w:rPr>
          <w:rFonts w:ascii="Verdana" w:hAnsi="Verdana"/>
          <w:b/>
          <w:bCs/>
        </w:rPr>
      </w:pPr>
    </w:p>
    <w:p w14:paraId="30598702" w14:textId="77777777" w:rsidR="00C21B4D" w:rsidRDefault="00C21B4D" w:rsidP="00C21B4D">
      <w:pPr>
        <w:spacing w:after="0" w:line="240" w:lineRule="auto"/>
        <w:jc w:val="both"/>
        <w:rPr>
          <w:rFonts w:ascii="Verdana" w:hAnsi="Verdana"/>
          <w:sz w:val="20"/>
          <w:szCs w:val="20"/>
        </w:rPr>
      </w:pPr>
      <w:r>
        <w:rPr>
          <w:rFonts w:ascii="Verdana" w:hAnsi="Verdana"/>
          <w:sz w:val="20"/>
          <w:szCs w:val="20"/>
        </w:rPr>
        <w:t xml:space="preserve">[…] </w:t>
      </w:r>
      <w:r w:rsidRPr="001052B5">
        <w:rPr>
          <w:rFonts w:ascii="Verdana" w:hAnsi="Verdana"/>
          <w:sz w:val="20"/>
          <w:szCs w:val="20"/>
        </w:rPr>
        <w:t>luego de la apertura del proceso de contratación, los interesados en un término no mayor a tres (3) días hábiles, deben “manifestar su intención de participar” a través del mecanismo establecido para el efecto en el pliego de condiciones.</w:t>
      </w:r>
      <w:r w:rsidRPr="001052B5">
        <w:t xml:space="preserve"> </w:t>
      </w:r>
      <w:r w:rsidRPr="001052B5">
        <w:rPr>
          <w:rFonts w:ascii="Verdana" w:hAnsi="Verdana"/>
          <w:sz w:val="20"/>
          <w:szCs w:val="20"/>
        </w:rPr>
        <w:t>Lo anterior, esto es, la “manifestación de interés”, se ha entendido como un acto mediante el cual el interesado expresa a la Entidad Estatal contratante su interés en participar del proceso de selección abreviada de menor cuantía o en un concurso de méritos con precalificación.</w:t>
      </w:r>
    </w:p>
    <w:p w14:paraId="759D2BDE" w14:textId="77777777" w:rsidR="00C21B4D" w:rsidRDefault="00C21B4D" w:rsidP="00C21B4D">
      <w:pPr>
        <w:spacing w:after="0" w:line="240" w:lineRule="auto"/>
        <w:jc w:val="both"/>
        <w:rPr>
          <w:rFonts w:ascii="Verdana" w:hAnsi="Verdana"/>
          <w:sz w:val="20"/>
          <w:szCs w:val="20"/>
        </w:rPr>
      </w:pPr>
    </w:p>
    <w:p w14:paraId="29A8E32E" w14:textId="77777777" w:rsidR="00C21B4D" w:rsidRDefault="00C21B4D" w:rsidP="00C21B4D">
      <w:pPr>
        <w:spacing w:after="0" w:line="240" w:lineRule="auto"/>
        <w:jc w:val="both"/>
        <w:rPr>
          <w:rFonts w:ascii="Verdana" w:hAnsi="Verdana"/>
          <w:sz w:val="20"/>
          <w:szCs w:val="20"/>
        </w:rPr>
      </w:pPr>
      <w:r w:rsidRPr="001052B5">
        <w:rPr>
          <w:rFonts w:ascii="Verdana" w:hAnsi="Verdana"/>
          <w:sz w:val="20"/>
          <w:szCs w:val="20"/>
        </w:rPr>
        <w:t>Las disposiciones normativas aplicables a ambos procesos de selección, no señalan la forma como debe realizarse tal manifestación, por lo que resulta facultativo de la Entidad Estatal definirlo, pudiendo señalar por ejemplo, que sea por correo electrónico, o mediante una comunicación escrita o verbal ante la misma entidad. Sin embargo, en caso de que el proceso de selección se adelante en aplicación de los Documentos Tipo para procesos de selección abreviada de menor cuantía de infraestructura de transporte – Versión 3, expedidos por esta Agencia, debe tenerse en cuenta que el numeral 2.3 de su “Documento Base” e dispuso que:</w:t>
      </w:r>
      <w:r w:rsidRPr="001052B5">
        <w:t xml:space="preserve"> </w:t>
      </w:r>
      <w:r w:rsidRPr="001052B5">
        <w:rPr>
          <w:rFonts w:ascii="Verdana" w:hAnsi="Verdana"/>
          <w:sz w:val="20"/>
          <w:szCs w:val="20"/>
        </w:rPr>
        <w:t>“Los interesados en participar en el presente proceso de selección contarán con un término de tres (3) días hábiles contados a partir de la fecha de apertura del proceso de contratación para manifestar su intención de participar. Los interesados deben enviar una comunicación suscrita por la persona natural, el representante legal de la persona jurídica, por todos los integrantes del proponente plural (Formato 10- Carta de Manifestación de Interés), según corresponda, al correo electrónico, o a falta de este a la dirección física indicada en el numeral 1.3 del presente pliego.</w:t>
      </w:r>
      <w:r>
        <w:rPr>
          <w:rFonts w:ascii="Verdana" w:hAnsi="Verdana"/>
          <w:sz w:val="20"/>
          <w:szCs w:val="20"/>
        </w:rPr>
        <w:t xml:space="preserve"> </w:t>
      </w:r>
      <w:r w:rsidRPr="001052B5">
        <w:rPr>
          <w:rFonts w:ascii="Verdana" w:hAnsi="Verdana"/>
          <w:sz w:val="20"/>
          <w:szCs w:val="20"/>
        </w:rPr>
        <w:t>[…]</w:t>
      </w:r>
      <w:r>
        <w:rPr>
          <w:rFonts w:ascii="Verdana" w:hAnsi="Verdana"/>
          <w:sz w:val="20"/>
          <w:szCs w:val="20"/>
        </w:rPr>
        <w:t xml:space="preserve">. </w:t>
      </w:r>
      <w:r w:rsidRPr="001052B5">
        <w:rPr>
          <w:rFonts w:ascii="Verdana" w:hAnsi="Verdana"/>
          <w:sz w:val="20"/>
          <w:szCs w:val="20"/>
        </w:rPr>
        <w:t>Para los procesos en SECOP II el proponente debe manifestar su interés mediante el módulo correspondiente, de acuerdo con la Guía para manifestar interés y la Guía para presentar Ofertas en el SECOP II, por lo cual no se requerirá el Formato 10 – Carta de Manifestación de Interés]”.</w:t>
      </w:r>
    </w:p>
    <w:p w14:paraId="4F20152E" w14:textId="77777777" w:rsidR="00C21B4D" w:rsidRDefault="00C21B4D" w:rsidP="00C21B4D">
      <w:pPr>
        <w:spacing w:after="0" w:line="240" w:lineRule="auto"/>
        <w:rPr>
          <w:rFonts w:ascii="Verdana" w:eastAsia="Geomanist Light" w:hAnsi="Verdana" w:cs="Arial"/>
          <w:sz w:val="20"/>
          <w:szCs w:val="20"/>
          <w:lang w:val="es-MX"/>
        </w:rPr>
      </w:pPr>
    </w:p>
    <w:p w14:paraId="1CD96BC4" w14:textId="77777777" w:rsidR="00C21B4D" w:rsidRDefault="00C21B4D" w:rsidP="00C21B4D">
      <w:pPr>
        <w:spacing w:after="0" w:line="240" w:lineRule="auto"/>
        <w:rPr>
          <w:rFonts w:ascii="Verdana" w:eastAsia="Geomanist Light" w:hAnsi="Verdana" w:cs="Arial"/>
          <w:sz w:val="20"/>
          <w:szCs w:val="20"/>
          <w:lang w:val="es-MX"/>
        </w:rPr>
      </w:pPr>
    </w:p>
    <w:p w14:paraId="5C0800D0" w14:textId="30F0A49E" w:rsidR="00C21B4D" w:rsidRPr="00F50E68" w:rsidRDefault="00C21B4D" w:rsidP="00C21B4D">
      <w:pPr>
        <w:spacing w:after="0" w:line="240" w:lineRule="auto"/>
        <w:rPr>
          <w:rFonts w:ascii="Verdana" w:eastAsia="Geomanist Light" w:hAnsi="Verdana" w:cs="Arial"/>
          <w:lang w:val="es-MX"/>
        </w:rPr>
      </w:pPr>
      <w:r w:rsidRPr="00F50E68">
        <w:rPr>
          <w:rFonts w:ascii="Verdana" w:eastAsia="Geomanist Light" w:hAnsi="Verdana" w:cs="Arial"/>
          <w:lang w:val="es-MX"/>
        </w:rPr>
        <w:lastRenderedPageBreak/>
        <w:t>Bogotá D.C., </w:t>
      </w:r>
      <w:r w:rsidR="00A66B4E">
        <w:rPr>
          <w:rFonts w:ascii="Verdana" w:eastAsia="Geomanist Light" w:hAnsi="Verdana" w:cs="Arial"/>
          <w:lang w:val="es-MX"/>
        </w:rPr>
        <w:t>04 de mayo de 2026</w:t>
      </w:r>
    </w:p>
    <w:p w14:paraId="3A1417C2" w14:textId="77777777" w:rsidR="00C21B4D" w:rsidRPr="00F50E68" w:rsidRDefault="00C21B4D" w:rsidP="00C21B4D">
      <w:pPr>
        <w:spacing w:after="0" w:line="240" w:lineRule="auto"/>
        <w:jc w:val="both"/>
        <w:rPr>
          <w:rFonts w:ascii="Verdana" w:eastAsia="Calibri" w:hAnsi="Verdana" w:cs="Arial"/>
          <w:lang w:val="es-ES"/>
        </w:rPr>
      </w:pPr>
    </w:p>
    <w:p w14:paraId="2FE05268" w14:textId="6DA0C082" w:rsidR="00C21B4D" w:rsidRPr="00F50E68" w:rsidRDefault="00627466" w:rsidP="00C21B4D">
      <w:pPr>
        <w:spacing w:after="0" w:line="240" w:lineRule="auto"/>
        <w:jc w:val="right"/>
        <w:rPr>
          <w:rFonts w:ascii="Verdana" w:eastAsia="Calibri" w:hAnsi="Verdana" w:cs="Arial"/>
          <w:lang w:val="es-ES"/>
        </w:rPr>
      </w:pPr>
      <w:r w:rsidRPr="00627466">
        <w:rPr>
          <w:rFonts w:ascii="Verdana" w:eastAsia="Calibri" w:hAnsi="Verdana" w:cs="Arial"/>
          <w:lang w:val="es-ES"/>
        </w:rPr>
        <w:drawing>
          <wp:inline distT="0" distB="0" distL="0" distR="0" wp14:anchorId="4B06392E" wp14:editId="48CC8096">
            <wp:extent cx="1676634" cy="485843"/>
            <wp:effectExtent l="0" t="0" r="0" b="9525"/>
            <wp:docPr id="19697940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94064" name=""/>
                    <pic:cNvPicPr/>
                  </pic:nvPicPr>
                  <pic:blipFill>
                    <a:blip r:embed="rId10"/>
                    <a:stretch>
                      <a:fillRect/>
                    </a:stretch>
                  </pic:blipFill>
                  <pic:spPr>
                    <a:xfrm>
                      <a:off x="0" y="0"/>
                      <a:ext cx="1676634" cy="485843"/>
                    </a:xfrm>
                    <a:prstGeom prst="rect">
                      <a:avLst/>
                    </a:prstGeom>
                  </pic:spPr>
                </pic:pic>
              </a:graphicData>
            </a:graphic>
          </wp:inline>
        </w:drawing>
      </w:r>
    </w:p>
    <w:p w14:paraId="4BC62CF5" w14:textId="77777777" w:rsidR="00C21B4D" w:rsidRPr="00F50E68" w:rsidRDefault="00C21B4D" w:rsidP="00C21B4D">
      <w:pPr>
        <w:spacing w:after="0" w:line="240" w:lineRule="auto"/>
        <w:jc w:val="both"/>
        <w:rPr>
          <w:rFonts w:ascii="Verdana" w:eastAsia="Calibri" w:hAnsi="Verdana" w:cs="Arial"/>
          <w:lang w:val="es-ES"/>
        </w:rPr>
      </w:pPr>
    </w:p>
    <w:p w14:paraId="0CB7904B" w14:textId="77777777" w:rsidR="00C21B4D" w:rsidRPr="00F50E68" w:rsidRDefault="00C21B4D" w:rsidP="00C21B4D">
      <w:pPr>
        <w:spacing w:after="0" w:line="240" w:lineRule="auto"/>
        <w:jc w:val="both"/>
        <w:rPr>
          <w:rFonts w:ascii="Verdana" w:eastAsia="Calibri" w:hAnsi="Verdana" w:cs="Arial"/>
          <w:lang w:val="es-ES" w:eastAsia="es-ES"/>
        </w:rPr>
      </w:pPr>
      <w:r w:rsidRPr="00F50E68">
        <w:rPr>
          <w:rFonts w:ascii="Verdana" w:eastAsia="Calibri" w:hAnsi="Verdana" w:cs="Arial"/>
          <w:lang w:val="es-ES" w:eastAsia="es-ES"/>
        </w:rPr>
        <w:t>Señor</w:t>
      </w:r>
      <w:r>
        <w:rPr>
          <w:rFonts w:ascii="Verdana" w:eastAsia="Calibri" w:hAnsi="Verdana" w:cs="Arial"/>
          <w:lang w:val="es-ES" w:eastAsia="es-ES"/>
        </w:rPr>
        <w:t>(a)</w:t>
      </w:r>
    </w:p>
    <w:p w14:paraId="79274630" w14:textId="77777777" w:rsidR="00C21B4D" w:rsidRPr="00F50E68" w:rsidRDefault="00C21B4D" w:rsidP="00C21B4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Ciudadano(a) Anónimo(a)</w:t>
      </w:r>
    </w:p>
    <w:p w14:paraId="72BCA16F" w14:textId="77777777" w:rsidR="00C21B4D" w:rsidRPr="00475474" w:rsidRDefault="00C21B4D" w:rsidP="00C21B4D">
      <w:pPr>
        <w:spacing w:after="0" w:line="240" w:lineRule="auto"/>
        <w:rPr>
          <w:rFonts w:ascii="Verdana" w:hAnsi="Verdana"/>
        </w:rPr>
      </w:pPr>
      <w:hyperlink r:id="rId11" w:history="1">
        <w:r w:rsidRPr="008453A4">
          <w:rPr>
            <w:rStyle w:val="Hipervnculo"/>
            <w:rFonts w:ascii="Verdana" w:hAnsi="Verdana"/>
          </w:rPr>
          <w:t>ingeodesjf@gmail.com</w:t>
        </w:r>
      </w:hyperlink>
      <w:r w:rsidRPr="00475474">
        <w:rPr>
          <w:rFonts w:ascii="Verdana" w:hAnsi="Verdana"/>
        </w:rPr>
        <w:t xml:space="preserve"> </w:t>
      </w:r>
    </w:p>
    <w:p w14:paraId="498A2539" w14:textId="77777777" w:rsidR="00C21B4D" w:rsidRPr="00F50E68" w:rsidRDefault="00C21B4D" w:rsidP="00C21B4D">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53C2C5F6" w14:textId="77777777" w:rsidR="00C21B4D" w:rsidRPr="00F50E68" w:rsidRDefault="00C21B4D" w:rsidP="00C21B4D">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21B4D" w:rsidRPr="00F50E68" w14:paraId="14339D3D" w14:textId="77777777" w:rsidTr="00D57AB5">
        <w:trPr>
          <w:trHeight w:val="884"/>
        </w:trPr>
        <w:tc>
          <w:tcPr>
            <w:tcW w:w="2689" w:type="dxa"/>
          </w:tcPr>
          <w:p w14:paraId="7231486E" w14:textId="77777777" w:rsidR="00C21B4D" w:rsidRPr="009A2571" w:rsidRDefault="00C21B4D" w:rsidP="00D57AB5">
            <w:pPr>
              <w:jc w:val="both"/>
              <w:rPr>
                <w:rFonts w:ascii="Verdana" w:eastAsia="Calibri" w:hAnsi="Verdana" w:cs="Arial"/>
                <w:b/>
                <w:bCs/>
                <w:lang w:val="es-ES_tradnl" w:eastAsia="es-ES_tradnl"/>
              </w:rPr>
            </w:pPr>
          </w:p>
        </w:tc>
        <w:tc>
          <w:tcPr>
            <w:tcW w:w="6100" w:type="dxa"/>
          </w:tcPr>
          <w:p w14:paraId="67B48A89" w14:textId="77777777" w:rsidR="00C21B4D" w:rsidRPr="009A2571" w:rsidRDefault="00C21B4D" w:rsidP="00D57AB5">
            <w:pPr>
              <w:jc w:val="both"/>
              <w:rPr>
                <w:rFonts w:ascii="Verdana" w:eastAsia="Calibri" w:hAnsi="Verdana" w:cs="Arial"/>
                <w:b/>
                <w:bCs/>
                <w:lang w:val="es-ES" w:eastAsia="es-ES"/>
              </w:rPr>
            </w:pPr>
            <w:r w:rsidRPr="009A2571">
              <w:rPr>
                <w:rFonts w:ascii="Verdana" w:eastAsia="Calibri" w:hAnsi="Verdana" w:cs="Arial"/>
                <w:b/>
                <w:bCs/>
                <w:lang w:val="es-ES" w:eastAsia="es-ES"/>
              </w:rPr>
              <w:t>Concepto C-</w:t>
            </w:r>
            <w:r>
              <w:rPr>
                <w:rFonts w:ascii="Verdana" w:eastAsia="Calibri" w:hAnsi="Verdana" w:cs="Arial"/>
                <w:b/>
                <w:bCs/>
                <w:lang w:val="es-ES" w:eastAsia="es-ES"/>
              </w:rPr>
              <w:t>461</w:t>
            </w:r>
            <w:r w:rsidRPr="009A2571">
              <w:rPr>
                <w:rFonts w:ascii="Verdana" w:eastAsia="Calibri" w:hAnsi="Verdana" w:cs="Arial"/>
                <w:b/>
                <w:bCs/>
                <w:lang w:val="es-ES" w:eastAsia="es-ES"/>
              </w:rPr>
              <w:t xml:space="preserve"> de 2026  </w:t>
            </w:r>
          </w:p>
        </w:tc>
      </w:tr>
      <w:tr w:rsidR="00C21B4D" w:rsidRPr="00F50E68" w14:paraId="14B63D42" w14:textId="77777777" w:rsidTr="00D57AB5">
        <w:trPr>
          <w:trHeight w:val="884"/>
        </w:trPr>
        <w:tc>
          <w:tcPr>
            <w:tcW w:w="2689" w:type="dxa"/>
          </w:tcPr>
          <w:p w14:paraId="1B23DD1E" w14:textId="77777777" w:rsidR="00C21B4D" w:rsidRPr="009A2571" w:rsidRDefault="00C21B4D" w:rsidP="00D57AB5">
            <w:pPr>
              <w:jc w:val="both"/>
              <w:rPr>
                <w:rFonts w:ascii="Verdana" w:eastAsia="Calibri" w:hAnsi="Verdana" w:cs="Arial"/>
                <w:lang w:val="es-ES_tradnl" w:eastAsia="es-ES_tradnl"/>
              </w:rPr>
            </w:pPr>
            <w:r w:rsidRPr="009A2571">
              <w:rPr>
                <w:rFonts w:ascii="Verdana" w:eastAsia="Calibri" w:hAnsi="Verdana" w:cs="Arial"/>
                <w:b/>
                <w:lang w:val="es-ES_tradnl" w:eastAsia="es-ES_tradnl"/>
              </w:rPr>
              <w:t>Temas:</w:t>
            </w:r>
            <w:r w:rsidRPr="009A2571">
              <w:rPr>
                <w:rFonts w:ascii="Verdana" w:eastAsia="Calibri" w:hAnsi="Verdana" w:cs="Arial"/>
                <w:lang w:val="es-ES_tradnl" w:eastAsia="es-ES_tradnl"/>
              </w:rPr>
              <w:t xml:space="preserve">                   </w:t>
            </w:r>
          </w:p>
        </w:tc>
        <w:tc>
          <w:tcPr>
            <w:tcW w:w="6100" w:type="dxa"/>
          </w:tcPr>
          <w:p w14:paraId="49E684F7" w14:textId="77777777" w:rsidR="00C21B4D" w:rsidRPr="009A2571" w:rsidRDefault="00C21B4D" w:rsidP="00D57AB5">
            <w:pPr>
              <w:spacing w:line="276" w:lineRule="auto"/>
              <w:jc w:val="both"/>
              <w:rPr>
                <w:rFonts w:ascii="Verdana" w:eastAsia="Calibri" w:hAnsi="Verdana" w:cs="Arial"/>
                <w:lang w:val="es-ES" w:eastAsia="es-ES"/>
              </w:rPr>
            </w:pPr>
            <w:r>
              <w:rPr>
                <w:rFonts w:ascii="Verdana" w:eastAsia="Calibri" w:hAnsi="Verdana" w:cs="Arial"/>
                <w:lang w:val="es-ES" w:eastAsia="es-ES"/>
              </w:rPr>
              <w:t>SELECCIÓN ABREVIADA – Noción – Característica / SELECCIÓN ABREVIADA DE MENOR CUANTÍA – Manifestación de interés – Regla aplicable – Documentos tipo</w:t>
            </w:r>
          </w:p>
          <w:p w14:paraId="2B87D2FF" w14:textId="77777777" w:rsidR="00C21B4D" w:rsidRPr="009A2571" w:rsidRDefault="00C21B4D" w:rsidP="00D57AB5">
            <w:pPr>
              <w:spacing w:line="276" w:lineRule="auto"/>
              <w:jc w:val="both"/>
              <w:rPr>
                <w:rFonts w:ascii="Verdana" w:eastAsia="Calibri" w:hAnsi="Verdana" w:cs="Arial"/>
                <w:lang w:val="es-ES" w:eastAsia="es-ES"/>
              </w:rPr>
            </w:pPr>
          </w:p>
        </w:tc>
      </w:tr>
      <w:tr w:rsidR="00C21B4D" w:rsidRPr="00F50E68" w14:paraId="78B820E7" w14:textId="77777777" w:rsidTr="00D57AB5">
        <w:tc>
          <w:tcPr>
            <w:tcW w:w="2689" w:type="dxa"/>
          </w:tcPr>
          <w:p w14:paraId="2E58BE6E" w14:textId="77777777" w:rsidR="00C21B4D" w:rsidRPr="00F50E68" w:rsidRDefault="00C21B4D" w:rsidP="00D57AB5">
            <w:pPr>
              <w:jc w:val="both"/>
              <w:rPr>
                <w:rFonts w:ascii="Verdana" w:eastAsia="Calibri" w:hAnsi="Verdana" w:cs="Arial"/>
                <w:b/>
                <w:lang w:val="es-ES_tradnl" w:eastAsia="es-ES_tradnl"/>
              </w:rPr>
            </w:pPr>
            <w:r w:rsidRPr="00F50E68">
              <w:rPr>
                <w:rFonts w:ascii="Verdana" w:eastAsia="Calibri" w:hAnsi="Verdana" w:cs="Arial"/>
                <w:b/>
                <w:lang w:val="es-ES_tradnl" w:eastAsia="es-ES_tradnl"/>
              </w:rPr>
              <w:t>Radicación:</w:t>
            </w:r>
            <w:r w:rsidRPr="00F50E68">
              <w:rPr>
                <w:rFonts w:ascii="Verdana" w:eastAsia="Calibri" w:hAnsi="Verdana" w:cs="Arial"/>
                <w:lang w:val="es-ES_tradnl" w:eastAsia="es-ES_tradnl"/>
              </w:rPr>
              <w:t xml:space="preserve">               </w:t>
            </w:r>
          </w:p>
        </w:tc>
        <w:tc>
          <w:tcPr>
            <w:tcW w:w="6100" w:type="dxa"/>
          </w:tcPr>
          <w:p w14:paraId="1D8E574F" w14:textId="77777777" w:rsidR="00C21B4D" w:rsidRPr="00F50E68" w:rsidRDefault="00C21B4D" w:rsidP="00D57AB5">
            <w:pPr>
              <w:jc w:val="both"/>
              <w:rPr>
                <w:rFonts w:ascii="Verdana" w:eastAsia="Calibri" w:hAnsi="Verdana" w:cs="Arial"/>
                <w:lang w:val="es-ES_tradnl" w:eastAsia="es-ES_tradnl"/>
              </w:rPr>
            </w:pPr>
            <w:r w:rsidRPr="00F50E68">
              <w:rPr>
                <w:rFonts w:ascii="Verdana" w:eastAsia="Calibri" w:hAnsi="Verdana" w:cs="Arial"/>
                <w:lang w:val="es-ES_tradnl" w:eastAsia="es-ES_tradnl"/>
              </w:rPr>
              <w:t xml:space="preserve">Respuesta a consulta con radicado No. </w:t>
            </w:r>
            <w:r w:rsidRPr="002C5B3E">
              <w:rPr>
                <w:rFonts w:ascii="Verdana" w:eastAsia="Calibri" w:hAnsi="Verdana" w:cs="Arial"/>
                <w:lang w:val="es-ES_tradnl" w:eastAsia="es-ES_tradnl"/>
              </w:rPr>
              <w:t>1_2026_03_19_003880</w:t>
            </w:r>
          </w:p>
        </w:tc>
      </w:tr>
    </w:tbl>
    <w:p w14:paraId="4AD32864" w14:textId="77777777" w:rsidR="00C21B4D" w:rsidRDefault="00C21B4D" w:rsidP="00C21B4D">
      <w:pPr>
        <w:spacing w:after="0" w:line="240" w:lineRule="auto"/>
        <w:jc w:val="both"/>
        <w:rPr>
          <w:rFonts w:ascii="Verdana" w:eastAsia="Calibri" w:hAnsi="Verdana" w:cs="Arial"/>
          <w:lang w:val="es-ES_tradnl" w:eastAsia="es-ES_tradnl"/>
        </w:rPr>
      </w:pPr>
    </w:p>
    <w:p w14:paraId="21C16284" w14:textId="77777777" w:rsidR="00C21B4D" w:rsidRPr="00F50E68" w:rsidRDefault="00C21B4D" w:rsidP="00C21B4D">
      <w:pPr>
        <w:spacing w:after="0" w:line="240" w:lineRule="auto"/>
        <w:jc w:val="both"/>
        <w:rPr>
          <w:rFonts w:ascii="Verdana" w:eastAsia="Calibri" w:hAnsi="Verdana" w:cs="Arial"/>
          <w:lang w:val="es-ES_tradnl" w:eastAsia="es-ES_tradnl"/>
        </w:rPr>
      </w:pPr>
    </w:p>
    <w:p w14:paraId="12ED21CC" w14:textId="77777777" w:rsidR="00C21B4D" w:rsidRPr="00F50E68" w:rsidRDefault="00C21B4D" w:rsidP="00C21B4D">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Estimad</w:t>
      </w:r>
      <w:r>
        <w:rPr>
          <w:rFonts w:ascii="Verdana" w:eastAsia="Calibri" w:hAnsi="Verdana" w:cs="Arial"/>
          <w:lang w:val="es-ES" w:eastAsia="es-ES"/>
        </w:rPr>
        <w:t>o(a) Ciudadano(a) Anónimo(a)</w:t>
      </w:r>
      <w:r w:rsidRPr="00F50E68">
        <w:rPr>
          <w:rFonts w:ascii="Verdana" w:eastAsia="Calibri" w:hAnsi="Verdana" w:cs="Arial"/>
          <w:lang w:val="es-ES" w:eastAsia="es-ES"/>
        </w:rPr>
        <w:t>:</w:t>
      </w:r>
    </w:p>
    <w:p w14:paraId="2E36394C" w14:textId="77777777" w:rsidR="00C21B4D" w:rsidRPr="00F50E68" w:rsidRDefault="00C21B4D" w:rsidP="00C21B4D">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7140D633" w14:textId="77777777" w:rsidR="00C21B4D" w:rsidRPr="00F50E68" w:rsidRDefault="00C21B4D" w:rsidP="00C21B4D">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En ejercicio de la competencia otorgada por los artículos 3, numeral 5º, y 11, numeral 8º, del Decreto Ley 4170 de 2011,</w:t>
      </w:r>
      <w:r w:rsidRPr="00F50E68">
        <w:rPr>
          <w:rFonts w:ascii="Verdana" w:eastAsia="Arial MT" w:hAnsi="Verdana" w:cs="Arial MT"/>
          <w:lang w:val="es-ES" w:eastAsia="es-ES"/>
        </w:rPr>
        <w:t xml:space="preserve"> </w:t>
      </w:r>
      <w:r w:rsidRPr="00F50E68">
        <w:rPr>
          <w:rFonts w:ascii="Verdana" w:hAnsi="Verdana" w:cs="Arial"/>
        </w:rPr>
        <w:t xml:space="preserve">así como lo establecido en el artículo 4 de la Resolución 1707 de 2018 expedida por esta Entidad, </w:t>
      </w:r>
      <w:r w:rsidRPr="00F50E68">
        <w:rPr>
          <w:rFonts w:ascii="Verdana" w:eastAsia="Calibri" w:hAnsi="Verdana" w:cs="Arial"/>
          <w:lang w:val="es-ES" w:eastAsia="es-ES"/>
        </w:rPr>
        <w:t xml:space="preserve">la Agencia Nacional de Contratación Pública – Colombia Compra Eficiente– responde su solicitud del </w:t>
      </w:r>
      <w:r>
        <w:rPr>
          <w:rFonts w:ascii="Verdana" w:eastAsia="Calibri" w:hAnsi="Verdana" w:cs="Arial"/>
          <w:lang w:val="es-ES" w:eastAsia="es-ES"/>
        </w:rPr>
        <w:t>19 de marzo</w:t>
      </w:r>
      <w:r w:rsidRPr="00F50E68">
        <w:rPr>
          <w:rFonts w:ascii="Verdana" w:eastAsia="Calibri" w:hAnsi="Verdana" w:cs="Arial"/>
          <w:lang w:val="es-ES" w:eastAsia="es-ES"/>
        </w:rPr>
        <w:t xml:space="preserve"> de 2026</w:t>
      </w:r>
      <w:r>
        <w:rPr>
          <w:rFonts w:ascii="Verdana" w:eastAsia="Calibri" w:hAnsi="Verdana" w:cs="Arial"/>
          <w:lang w:val="es-ES" w:eastAsia="es-ES"/>
        </w:rPr>
        <w:t>, en la que</w:t>
      </w:r>
      <w:r w:rsidRPr="00F50E68">
        <w:rPr>
          <w:rFonts w:ascii="Verdana" w:eastAsia="Calibri" w:hAnsi="Verdana" w:cs="Arial"/>
          <w:lang w:val="es-ES" w:eastAsia="es-ES"/>
        </w:rPr>
        <w:t xml:space="preserve"> realiza </w:t>
      </w:r>
      <w:r>
        <w:rPr>
          <w:rFonts w:ascii="Verdana" w:eastAsia="Calibri" w:hAnsi="Verdana" w:cs="Arial"/>
          <w:lang w:val="es-ES" w:eastAsia="es-ES"/>
        </w:rPr>
        <w:t>la siguiente consulta</w:t>
      </w:r>
      <w:r w:rsidRPr="00F50E68">
        <w:rPr>
          <w:rFonts w:ascii="Verdana" w:eastAsia="Calibri" w:hAnsi="Verdana" w:cs="Arial"/>
          <w:lang w:val="es-ES" w:eastAsia="es-ES"/>
        </w:rPr>
        <w:t xml:space="preserve">: </w:t>
      </w:r>
    </w:p>
    <w:p w14:paraId="5F664834" w14:textId="77777777" w:rsidR="00C21B4D" w:rsidRPr="00F50E68" w:rsidRDefault="00C21B4D" w:rsidP="00C21B4D">
      <w:pPr>
        <w:spacing w:after="0" w:line="276" w:lineRule="auto"/>
        <w:jc w:val="both"/>
        <w:rPr>
          <w:rFonts w:ascii="Verdana" w:eastAsia="Calibri" w:hAnsi="Verdana" w:cs="Arial"/>
          <w:lang w:val="es-ES" w:eastAsia="es-ES"/>
        </w:rPr>
      </w:pPr>
    </w:p>
    <w:p w14:paraId="71ECDF76" w14:textId="77777777" w:rsidR="00C21B4D" w:rsidRPr="00967EE3" w:rsidRDefault="00C21B4D" w:rsidP="00C21B4D">
      <w:pPr>
        <w:spacing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w:t>
      </w:r>
      <w:r>
        <w:rPr>
          <w:rFonts w:ascii="Verdana" w:eastAsia="Calibri" w:hAnsi="Verdana" w:cs="Arial"/>
          <w:sz w:val="20"/>
          <w:szCs w:val="20"/>
          <w:lang w:val="es-MX"/>
        </w:rPr>
        <w:t xml:space="preserve">¿Debe entenderse como obligatoria la presentación de documentos de existencia y representación legal junto con la manifestación de interés en los procesos de selección abreviada de menor cuantía regidos por documentos tipo de infraestructura de transporte, o dicha exigencia resulta contraria a la naturaleza de la manifestación de interés como un acto de mera comunicación que no comporta acreditación de requisitos habilitantes?” </w:t>
      </w:r>
      <w:r w:rsidRPr="00F50E68">
        <w:rPr>
          <w:rFonts w:ascii="Verdana" w:eastAsia="Calibri" w:hAnsi="Verdana" w:cs="Arial"/>
          <w:sz w:val="20"/>
          <w:szCs w:val="20"/>
          <w:lang w:val="es-MX"/>
        </w:rPr>
        <w:t>[sic</w:t>
      </w:r>
      <w:r>
        <w:rPr>
          <w:rFonts w:ascii="Verdana" w:eastAsia="Calibri" w:hAnsi="Verdana" w:cs="Arial"/>
          <w:sz w:val="20"/>
          <w:szCs w:val="20"/>
          <w:lang w:val="es-MX"/>
        </w:rPr>
        <w:t>]</w:t>
      </w:r>
    </w:p>
    <w:p w14:paraId="27459347" w14:textId="77777777" w:rsidR="00C21B4D" w:rsidRPr="00F50E68" w:rsidRDefault="00C21B4D" w:rsidP="00C21B4D">
      <w:pPr>
        <w:tabs>
          <w:tab w:val="left" w:pos="142"/>
          <w:tab w:val="left" w:pos="284"/>
        </w:tabs>
        <w:spacing w:line="276" w:lineRule="auto"/>
        <w:contextualSpacing/>
        <w:jc w:val="both"/>
        <w:rPr>
          <w:rFonts w:ascii="Verdana" w:eastAsia="Century Gothic" w:hAnsi="Verdana" w:cs="Century Gothic"/>
          <w:b/>
          <w:bCs/>
          <w:lang w:val="es-ES"/>
        </w:rPr>
      </w:pPr>
    </w:p>
    <w:p w14:paraId="332FC35D" w14:textId="77777777" w:rsidR="00C21B4D" w:rsidRPr="00F50E68" w:rsidRDefault="00C21B4D" w:rsidP="00C21B4D">
      <w:pPr>
        <w:spacing w:after="120" w:line="276" w:lineRule="auto"/>
        <w:ind w:firstLine="709"/>
        <w:jc w:val="both"/>
        <w:rPr>
          <w:rFonts w:ascii="Verdana" w:eastAsia="Calibri" w:hAnsi="Verdana" w:cs="Arial"/>
          <w:szCs w:val="24"/>
          <w:lang w:val="es-ES_tradnl" w:eastAsia="es-ES_tradnl"/>
        </w:rPr>
      </w:pPr>
      <w:r w:rsidRPr="00F50E68">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0E68">
        <w:rPr>
          <w:rFonts w:ascii="Verdana" w:eastAsia="Calibri" w:hAnsi="Verdana" w:cs="Arial"/>
          <w:szCs w:val="24"/>
          <w:lang w:val="es-ES_tradnl" w:eastAsia="es-ES_tradnl"/>
        </w:rPr>
        <w:tab/>
      </w:r>
    </w:p>
    <w:p w14:paraId="4A66A5F2" w14:textId="77777777" w:rsidR="00C21B4D" w:rsidRPr="00F50E68" w:rsidRDefault="00C21B4D" w:rsidP="00C21B4D">
      <w:pPr>
        <w:spacing w:after="0" w:line="276" w:lineRule="auto"/>
        <w:ind w:firstLine="709"/>
        <w:jc w:val="both"/>
        <w:rPr>
          <w:rFonts w:ascii="Verdana" w:eastAsia="Calibri" w:hAnsi="Verdana" w:cs="Arial"/>
          <w:lang w:val="es-ES" w:eastAsia="es-ES"/>
        </w:rPr>
      </w:pPr>
      <w:r w:rsidRPr="00F50E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EF9029D" w14:textId="77777777" w:rsidR="00C21B4D" w:rsidRPr="00F50E68" w:rsidRDefault="00C21B4D" w:rsidP="00C21B4D">
      <w:pPr>
        <w:spacing w:after="0" w:line="276" w:lineRule="auto"/>
        <w:ind w:firstLine="709"/>
        <w:jc w:val="both"/>
        <w:rPr>
          <w:rFonts w:ascii="Verdana" w:eastAsia="Calibri" w:hAnsi="Verdana" w:cs="Arial"/>
          <w:lang w:val="es-ES" w:eastAsia="es-ES"/>
        </w:rPr>
      </w:pPr>
    </w:p>
    <w:p w14:paraId="11E628BD" w14:textId="77777777" w:rsidR="00C21B4D" w:rsidRPr="00F50E68" w:rsidRDefault="00C21B4D" w:rsidP="00C21B4D">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F50E68">
        <w:rPr>
          <w:rFonts w:ascii="Verdana" w:eastAsia="Arial" w:hAnsi="Verdana" w:cs="Arial"/>
          <w:b/>
          <w:bCs/>
          <w:lang w:val="es-ES"/>
        </w:rPr>
        <w:t>1. Problema planteado:</w:t>
      </w:r>
    </w:p>
    <w:p w14:paraId="45B59D1F" w14:textId="77777777" w:rsidR="00C21B4D" w:rsidRPr="00F50E68" w:rsidRDefault="00C21B4D" w:rsidP="00C21B4D">
      <w:pPr>
        <w:tabs>
          <w:tab w:val="left" w:pos="426"/>
        </w:tabs>
        <w:spacing w:after="0" w:line="276" w:lineRule="auto"/>
        <w:jc w:val="both"/>
        <w:rPr>
          <w:rFonts w:ascii="Verdana" w:eastAsia="Century Gothic" w:hAnsi="Verdana" w:cs="Century Gothic"/>
          <w:lang w:val="es-ES"/>
        </w:rPr>
      </w:pPr>
    </w:p>
    <w:p w14:paraId="63598C85" w14:textId="77777777" w:rsidR="00C21B4D" w:rsidRDefault="00C21B4D" w:rsidP="00C21B4D">
      <w:pPr>
        <w:spacing w:after="0" w:line="276" w:lineRule="auto"/>
        <w:jc w:val="both"/>
        <w:rPr>
          <w:rFonts w:ascii="Verdana" w:eastAsia="Century Gothic" w:hAnsi="Verdana" w:cs="Century Gothic"/>
        </w:rPr>
      </w:pPr>
      <w:r w:rsidRPr="00F50E68">
        <w:rPr>
          <w:rFonts w:ascii="Verdana" w:eastAsia="Century Gothic" w:hAnsi="Verdana" w:cs="Century Gothic"/>
        </w:rPr>
        <w:t xml:space="preserve">De acuerdo con el contenido de su solicitud, le informamos que la misma será atendida desde </w:t>
      </w:r>
      <w:r>
        <w:rPr>
          <w:rFonts w:ascii="Verdana" w:eastAsia="Century Gothic" w:hAnsi="Verdana" w:cs="Century Gothic"/>
        </w:rPr>
        <w:t>el</w:t>
      </w:r>
      <w:r w:rsidRPr="00F50E68">
        <w:rPr>
          <w:rFonts w:ascii="Verdana" w:eastAsia="Century Gothic" w:hAnsi="Verdana" w:cs="Century Gothic"/>
        </w:rPr>
        <w:t xml:space="preserve"> siguiente </w:t>
      </w:r>
      <w:r w:rsidRPr="00740C45">
        <w:rPr>
          <w:rFonts w:ascii="Verdana" w:eastAsia="Century Gothic" w:hAnsi="Verdana" w:cs="Century Gothic"/>
        </w:rPr>
        <w:t xml:space="preserve">interrogante: </w:t>
      </w:r>
      <w:bookmarkStart w:id="1" w:name="_Hlk171070029"/>
      <w:r>
        <w:rPr>
          <w:rFonts w:ascii="Verdana" w:eastAsia="Century Gothic" w:hAnsi="Verdana" w:cs="Century Gothic"/>
        </w:rPr>
        <w:t>¿Cuál es la noción general de la manifestación de interés en los procesos de selección abreviada de menor cuantía y cómo debe realizarse?</w:t>
      </w:r>
    </w:p>
    <w:p w14:paraId="7D70B77C" w14:textId="77777777" w:rsidR="00C21B4D" w:rsidRPr="00F50E68" w:rsidRDefault="00C21B4D" w:rsidP="00C21B4D">
      <w:pPr>
        <w:spacing w:after="0" w:line="276" w:lineRule="auto"/>
        <w:jc w:val="both"/>
        <w:rPr>
          <w:rFonts w:ascii="Verdana" w:eastAsia="Calibri" w:hAnsi="Verdana" w:cs="Arial"/>
          <w:lang w:val="es-ES"/>
        </w:rPr>
      </w:pPr>
    </w:p>
    <w:bookmarkEnd w:id="1"/>
    <w:p w14:paraId="683C02D6" w14:textId="77777777" w:rsidR="00C21B4D" w:rsidRPr="00F50E68" w:rsidRDefault="00C21B4D" w:rsidP="00C21B4D">
      <w:pPr>
        <w:widowControl w:val="0"/>
        <w:autoSpaceDE w:val="0"/>
        <w:autoSpaceDN w:val="0"/>
        <w:spacing w:before="1" w:after="0" w:line="240" w:lineRule="auto"/>
        <w:jc w:val="both"/>
        <w:outlineLvl w:val="0"/>
        <w:rPr>
          <w:rFonts w:ascii="Verdana" w:eastAsia="Arial" w:hAnsi="Verdana" w:cs="Arial"/>
          <w:b/>
          <w:bCs/>
          <w:lang w:val="es-ES"/>
        </w:rPr>
      </w:pPr>
      <w:r w:rsidRPr="00F50E68">
        <w:rPr>
          <w:rFonts w:ascii="Verdana" w:eastAsia="Arial" w:hAnsi="Verdana" w:cs="Arial"/>
          <w:b/>
          <w:bCs/>
          <w:lang w:val="es-ES"/>
        </w:rPr>
        <w:t>2. Respuesta:</w:t>
      </w:r>
    </w:p>
    <w:p w14:paraId="6145B012" w14:textId="77777777" w:rsidR="00C21B4D" w:rsidRPr="00F50E68" w:rsidRDefault="00C21B4D" w:rsidP="00C21B4D">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21B4D" w:rsidRPr="00F50E68" w14:paraId="08A242DA" w14:textId="77777777" w:rsidTr="00D57AB5">
        <w:tc>
          <w:tcPr>
            <w:tcW w:w="8828" w:type="dxa"/>
          </w:tcPr>
          <w:p w14:paraId="498084B2" w14:textId="77777777" w:rsidR="00C21B4D" w:rsidRDefault="00C21B4D" w:rsidP="00D57AB5">
            <w:pPr>
              <w:spacing w:before="120" w:after="120" w:line="276" w:lineRule="auto"/>
              <w:jc w:val="both"/>
              <w:rPr>
                <w:rFonts w:ascii="Verdana" w:eastAsia="Calibri" w:hAnsi="Verdana" w:cs="Arial"/>
                <w:lang w:val="es-ES"/>
              </w:rPr>
            </w:pPr>
            <w:bookmarkStart w:id="2" w:name="_Hlk171067516"/>
            <w:r>
              <w:rPr>
                <w:rFonts w:ascii="Verdana" w:hAnsi="Verdana"/>
              </w:rPr>
              <w:t xml:space="preserve">Sobre el particular debe precisarse que, la </w:t>
            </w:r>
            <w:r>
              <w:rPr>
                <w:rFonts w:ascii="Verdana" w:eastAsia="Calibri" w:hAnsi="Verdana" w:cs="Arial"/>
                <w:lang w:val="es-ES"/>
              </w:rPr>
              <w:t xml:space="preserve">“manifestación de interés”, se ha entendido como un acto mediante el cual, el interesado expresa a la Entidad Estatal contratante su interés en participar del proceso de selección abreviada de menor cuantía o en un concurso de méritos con precalificación. Empero, las </w:t>
            </w:r>
            <w:r w:rsidRPr="00C12BA2">
              <w:rPr>
                <w:rFonts w:ascii="Verdana" w:eastAsia="Calibri" w:hAnsi="Verdana" w:cs="Arial"/>
                <w:lang w:val="es-ES"/>
              </w:rPr>
              <w:t xml:space="preserve">disposiciones normativas aplicables a ambos procesos de selección, no señalan la forma como debe realizarse tal manifestación, por lo que resulta facultativo de la Entidad Estatal definirlo, pudiendo señalar por ejemplo, que sea por </w:t>
            </w:r>
            <w:r w:rsidRPr="00C12BA2">
              <w:rPr>
                <w:rFonts w:ascii="Verdana" w:eastAsia="Calibri" w:hAnsi="Verdana" w:cs="Arial"/>
                <w:lang w:val="es-ES"/>
              </w:rPr>
              <w:lastRenderedPageBreak/>
              <w:t>correo electrónico, o mediante una comunicación escrita o verbal ante la misma entidad.</w:t>
            </w:r>
          </w:p>
          <w:p w14:paraId="626F788E" w14:textId="77777777" w:rsidR="00C21B4D" w:rsidRDefault="00C21B4D" w:rsidP="00D57AB5">
            <w:pPr>
              <w:spacing w:before="120" w:after="120" w:line="276" w:lineRule="auto"/>
              <w:ind w:firstLine="708"/>
              <w:jc w:val="both"/>
              <w:rPr>
                <w:rFonts w:ascii="Verdana" w:eastAsia="Calibri" w:hAnsi="Verdana" w:cs="Arial"/>
                <w:lang w:val="es-ES"/>
              </w:rPr>
            </w:pPr>
            <w:r w:rsidRPr="0042698E">
              <w:rPr>
                <w:rFonts w:ascii="Verdana" w:eastAsia="Calibri" w:hAnsi="Verdana" w:cs="Arial"/>
                <w:lang w:val="es-ES"/>
              </w:rPr>
              <w:t>Sin embargo, en caso de que el proceso de selección se adelante en aplicación de los Documentos Tipo para procesos de selección abreviada de menor cuantía de infraestructura de transporte – Versión 3</w:t>
            </w:r>
            <w:r>
              <w:rPr>
                <w:rFonts w:ascii="Verdana" w:eastAsia="Calibri" w:hAnsi="Verdana" w:cs="Arial"/>
                <w:lang w:val="es-ES"/>
              </w:rPr>
              <w:t>,</w:t>
            </w:r>
            <w:r w:rsidRPr="0042698E">
              <w:rPr>
                <w:rFonts w:ascii="Verdana" w:eastAsia="Calibri" w:hAnsi="Verdana" w:cs="Arial"/>
                <w:lang w:val="es-ES"/>
              </w:rPr>
              <w:t xml:space="preserve"> expedidos por esta Agencia, </w:t>
            </w:r>
            <w:r>
              <w:rPr>
                <w:rFonts w:ascii="Verdana" w:eastAsia="Calibri" w:hAnsi="Verdana" w:cs="Arial"/>
                <w:lang w:val="es-ES"/>
              </w:rPr>
              <w:t xml:space="preserve">deberá tenerse en cuenta que el numeral 2.3 de su “Documento Base” establece que: “[…] [l]os </w:t>
            </w:r>
            <w:r w:rsidRPr="0042698E">
              <w:rPr>
                <w:rFonts w:ascii="Verdana" w:eastAsia="Calibri" w:hAnsi="Verdana" w:cs="Arial"/>
                <w:lang w:val="es-ES"/>
              </w:rPr>
              <w:t>interesados deben enviar una comunicación suscrita por la persona natural, el representante legal de la persona jurídica, por todos los integrantes del proponente plural (Formato 10- Carta de Manifestación de Interés), según corresponda, al correo electrónico, o a falta de este a la dirección física indicada en el numeral 1.3 del presente pliego”</w:t>
            </w:r>
            <w:r>
              <w:rPr>
                <w:rFonts w:ascii="Verdana" w:eastAsia="Calibri" w:hAnsi="Verdana" w:cs="Arial"/>
                <w:lang w:val="es-ES"/>
              </w:rPr>
              <w:t>. Pero, a su vez aclara dicho numeral, que “[p]ara los procesos en SECOP II el proponente debe manifestar su interés mediante el módulo correspondiente, de acuerdo con la Guía para manifestar interés y la Guía para presentar Ofertas en el SECOP II, por lo cual no se requerirá el Formato 10 – Carta de Manifestación de Interés”.</w:t>
            </w:r>
          </w:p>
          <w:p w14:paraId="6970BBE5" w14:textId="77777777" w:rsidR="00C21B4D" w:rsidRDefault="00C21B4D" w:rsidP="00D57AB5">
            <w:pPr>
              <w:spacing w:before="120" w:after="120" w:line="276" w:lineRule="auto"/>
              <w:ind w:firstLine="708"/>
              <w:jc w:val="both"/>
              <w:rPr>
                <w:rFonts w:ascii="Verdana" w:eastAsia="Calibri" w:hAnsi="Verdana" w:cs="Arial"/>
                <w:lang w:val="es-ES"/>
              </w:rPr>
            </w:pPr>
            <w:r>
              <w:rPr>
                <w:rFonts w:ascii="Verdana" w:eastAsia="Calibri" w:hAnsi="Verdana" w:cs="Arial"/>
                <w:lang w:val="es-ES"/>
              </w:rPr>
              <w:t>En ese sentido, se precisa que, si bien en los procesos de contratación que se adelanten en aplicación de los referidos Documentos Tipo deberá manifestarse el interés conforme a las reglas dispuestas en el citado numeral, no se requerirá realizar tal acción mediante la presentación del documento denominado “Formato 10 – Carta de Manifestación de Interés”, siempre y cuando el respectivo proceso se tramite en el SECOP II, pues al ser una plataforma transaccional, la gestión contractual de las Entidades Estatales se realiza en línea y en tiempo real.</w:t>
            </w:r>
          </w:p>
          <w:p w14:paraId="24E53801" w14:textId="77777777" w:rsidR="00C21B4D" w:rsidRPr="00F50E68" w:rsidRDefault="00C21B4D" w:rsidP="00D57AB5">
            <w:pPr>
              <w:spacing w:before="120" w:after="120" w:line="276" w:lineRule="auto"/>
              <w:ind w:firstLine="709"/>
              <w:jc w:val="both"/>
              <w:rPr>
                <w:rFonts w:ascii="Verdana" w:eastAsia="Calibri" w:hAnsi="Verdana" w:cs="Arial"/>
              </w:rPr>
            </w:pPr>
            <w:r w:rsidRPr="00B31C93">
              <w:rPr>
                <w:rFonts w:ascii="Verdana" w:eastAsia="Calibri" w:hAnsi="Verdana" w:cs="Arial"/>
              </w:rPr>
              <w:t>Finalmente</w:t>
            </w:r>
            <w:r w:rsidRPr="00F50E68">
              <w:rPr>
                <w:rFonts w:ascii="Verdana" w:eastAsia="Calibri" w:hAnsi="Verdana" w:cs="Arial"/>
              </w:rPr>
              <w:t xml:space="preserve">, </w:t>
            </w:r>
            <w:r>
              <w:rPr>
                <w:rFonts w:ascii="Verdana" w:eastAsia="Calibri" w:hAnsi="Verdana" w:cs="Arial"/>
              </w:rPr>
              <w:t xml:space="preserve">se </w:t>
            </w:r>
            <w:r w:rsidRPr="00F50E68">
              <w:rPr>
                <w:rFonts w:ascii="Verdana" w:eastAsia="Calibri" w:hAnsi="Verdana" w:cs="Arial"/>
              </w:rPr>
              <w:t xml:space="preserve">debe advertirse que el análisis requerido para resolver problemas específicos en torno a la </w:t>
            </w:r>
            <w:r>
              <w:rPr>
                <w:rFonts w:ascii="Verdana" w:eastAsia="Calibri" w:hAnsi="Verdana" w:cs="Arial"/>
              </w:rPr>
              <w:t>gestión contractual de las Entidades Estatales</w:t>
            </w:r>
            <w:r w:rsidRPr="00F50E68">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bookmarkEnd w:id="2"/>
    </w:tbl>
    <w:p w14:paraId="53EB596B" w14:textId="77777777" w:rsidR="00C21B4D" w:rsidRPr="00F50E68" w:rsidRDefault="00C21B4D" w:rsidP="00C21B4D">
      <w:pPr>
        <w:tabs>
          <w:tab w:val="left" w:pos="142"/>
          <w:tab w:val="left" w:pos="967"/>
        </w:tabs>
        <w:spacing w:after="0" w:line="276" w:lineRule="auto"/>
        <w:jc w:val="both"/>
        <w:rPr>
          <w:rFonts w:ascii="Verdana" w:eastAsia="Century Gothic" w:hAnsi="Verdana" w:cs="Century Gothic"/>
          <w:b/>
          <w:bCs/>
          <w:lang w:val="es-ES"/>
        </w:rPr>
      </w:pPr>
    </w:p>
    <w:p w14:paraId="06D24EDE" w14:textId="77777777" w:rsidR="00C21B4D" w:rsidRPr="00F50E68" w:rsidRDefault="00C21B4D" w:rsidP="00C21B4D">
      <w:pPr>
        <w:widowControl w:val="0"/>
        <w:autoSpaceDE w:val="0"/>
        <w:autoSpaceDN w:val="0"/>
        <w:spacing w:before="1" w:after="0" w:line="240" w:lineRule="auto"/>
        <w:ind w:left="360" w:hanging="360"/>
        <w:outlineLvl w:val="0"/>
        <w:rPr>
          <w:rFonts w:ascii="Verdana" w:eastAsia="Arial" w:hAnsi="Verdana" w:cs="Arial"/>
          <w:b/>
          <w:bCs/>
          <w:lang w:val="es-ES"/>
        </w:rPr>
      </w:pPr>
      <w:r w:rsidRPr="00F50E68">
        <w:rPr>
          <w:rFonts w:ascii="Verdana" w:eastAsia="Arial" w:hAnsi="Verdana" w:cs="Arial"/>
          <w:b/>
          <w:bCs/>
          <w:lang w:val="es-ES"/>
        </w:rPr>
        <w:t>3. Razones de la respuesta</w:t>
      </w:r>
    </w:p>
    <w:p w14:paraId="4D284AD4" w14:textId="77777777" w:rsidR="00C21B4D" w:rsidRPr="00F50E68" w:rsidRDefault="00C21B4D" w:rsidP="00C21B4D">
      <w:pPr>
        <w:spacing w:after="0" w:line="276" w:lineRule="auto"/>
        <w:jc w:val="both"/>
        <w:rPr>
          <w:rFonts w:ascii="Verdana" w:eastAsia="Calibri" w:hAnsi="Verdana" w:cs="Arial"/>
          <w:lang w:val="es-ES"/>
        </w:rPr>
      </w:pPr>
    </w:p>
    <w:p w14:paraId="1DCB78FD" w14:textId="77777777" w:rsidR="00C21B4D" w:rsidRPr="004D09C6" w:rsidRDefault="00C21B4D" w:rsidP="00C21B4D">
      <w:pPr>
        <w:spacing w:after="0" w:line="276" w:lineRule="auto"/>
        <w:jc w:val="both"/>
        <w:rPr>
          <w:rFonts w:ascii="Verdana" w:eastAsia="Calibri" w:hAnsi="Verdana" w:cs="Arial"/>
          <w:lang w:val="es-ES"/>
        </w:rPr>
      </w:pPr>
      <w:r w:rsidRPr="004D09C6">
        <w:rPr>
          <w:rFonts w:ascii="Verdana" w:eastAsia="Calibri" w:hAnsi="Verdana" w:cs="Arial"/>
          <w:lang w:val="es-ES"/>
        </w:rPr>
        <w:t xml:space="preserve">La respuesta anterior se sustenta en las siguientes consideraciones: </w:t>
      </w:r>
    </w:p>
    <w:p w14:paraId="21ED50D0" w14:textId="77777777" w:rsidR="00C21B4D" w:rsidRDefault="00C21B4D" w:rsidP="00C21B4D">
      <w:pPr>
        <w:spacing w:after="0" w:line="276" w:lineRule="auto"/>
        <w:jc w:val="both"/>
        <w:rPr>
          <w:rFonts w:ascii="Verdana" w:eastAsia="Calibri" w:hAnsi="Verdana" w:cs="Arial"/>
          <w:lang w:val="es-ES"/>
        </w:rPr>
      </w:pPr>
    </w:p>
    <w:p w14:paraId="2841F94E" w14:textId="77777777" w:rsidR="00C21B4D" w:rsidRDefault="00C21B4D" w:rsidP="00C21B4D">
      <w:pPr>
        <w:spacing w:after="0" w:line="276" w:lineRule="auto"/>
        <w:jc w:val="both"/>
        <w:rPr>
          <w:rFonts w:ascii="Verdana" w:eastAsia="Calibri" w:hAnsi="Verdana" w:cs="Arial"/>
          <w:lang w:val="es-ES"/>
        </w:rPr>
      </w:pPr>
      <w:r>
        <w:rPr>
          <w:rFonts w:ascii="Verdana" w:eastAsia="Calibri" w:hAnsi="Verdana" w:cs="Arial"/>
          <w:lang w:val="es-ES"/>
        </w:rPr>
        <w:t>Inicialmente debe precisarse que, el numeral 2 del artículo 2 de la Ley 1150 de 2007 dispone respecto de la selección abreviada, que esta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7D48B0">
        <w:rPr>
          <w:rStyle w:val="Refdenotaalpie"/>
          <w:rFonts w:ascii="Verdana" w:eastAsia="Calibri" w:hAnsi="Verdana" w:cs="Arial"/>
        </w:rPr>
        <w:footnoteReference w:id="1"/>
      </w:r>
      <w:r w:rsidRPr="007D48B0">
        <w:rPr>
          <w:rFonts w:ascii="Verdana" w:eastAsia="Calibri" w:hAnsi="Verdana" w:cs="Arial"/>
        </w:rPr>
        <w:t>.</w:t>
      </w:r>
    </w:p>
    <w:p w14:paraId="0605F297" w14:textId="77777777" w:rsidR="00C21B4D" w:rsidRDefault="00C21B4D" w:rsidP="00C21B4D">
      <w:pPr>
        <w:spacing w:before="120" w:after="120" w:line="276" w:lineRule="auto"/>
        <w:jc w:val="both"/>
        <w:rPr>
          <w:rFonts w:ascii="Verdana" w:eastAsia="Calibri" w:hAnsi="Verdana" w:cs="Arial"/>
          <w:lang w:val="es-ES"/>
        </w:rPr>
      </w:pPr>
      <w:r>
        <w:rPr>
          <w:rFonts w:ascii="Verdana" w:eastAsia="Calibri" w:hAnsi="Verdana" w:cs="Arial"/>
          <w:lang w:val="es-ES"/>
        </w:rPr>
        <w:tab/>
        <w:t xml:space="preserve">De esta forma, podría colegirse que se trata de un procedimiento que agiliza la contratación estatal en los eventos que no se justifica adelantar una licitación pública, pero tampoco limita la participación de los proponentes como en la contratación directa. Los procesos que se adelantan mediante la selección </w:t>
      </w:r>
      <w:r>
        <w:rPr>
          <w:rFonts w:ascii="Verdana" w:eastAsia="Calibri" w:hAnsi="Verdana" w:cs="Arial"/>
          <w:lang w:val="es-ES"/>
        </w:rPr>
        <w:lastRenderedPageBreak/>
        <w:t xml:space="preserve">abreviada, deben garantizar la selección objetiva y la mayor concurrencia de los participantes, en el marco de la observancia de los principios de eficacia y eficiencia del proceso de contratación. </w:t>
      </w:r>
    </w:p>
    <w:p w14:paraId="2D3848BF" w14:textId="77777777" w:rsidR="00C21B4D" w:rsidRDefault="00C21B4D" w:rsidP="00C21B4D">
      <w:pPr>
        <w:spacing w:before="120" w:after="120" w:line="276" w:lineRule="auto"/>
        <w:jc w:val="both"/>
        <w:rPr>
          <w:rFonts w:ascii="Verdana" w:eastAsia="Calibri" w:hAnsi="Verdana" w:cs="Arial"/>
          <w:lang w:val="es-ES"/>
        </w:rPr>
      </w:pPr>
      <w:r>
        <w:rPr>
          <w:rFonts w:ascii="Verdana" w:eastAsia="Calibri" w:hAnsi="Verdana" w:cs="Arial"/>
          <w:lang w:val="es-ES"/>
        </w:rPr>
        <w:tab/>
        <w:t>Esta modalidad de selección, se caracteriza por tener etapas un poco sencillas y términos relativamente más cortos que los de la licitación pública, lo cual se justifica por las circunstancias, la naturaleza y los objetos que se contratan a través de esta. Conforme al literal b) del numeral 2 del artículo 2 de la Ley 1150 de 2007, una de las causales para adelantar un proceso de selección abreviada, es que la contratación sea de menor cuantía. Esta última, se refiere a los procesos contractuales cuyo valor sea inferior a los topes que dicho artículo señala respecto del presupuesto anual y se desarrolla en cuanto a su procedimiento, en el artículo 2.2.1.2.1.2.20 del Decreto 1082 de 2015.</w:t>
      </w:r>
    </w:p>
    <w:p w14:paraId="634BA293" w14:textId="77777777" w:rsidR="00C21B4D" w:rsidRDefault="00C21B4D" w:rsidP="00C21B4D">
      <w:pPr>
        <w:spacing w:before="120" w:after="120" w:line="276" w:lineRule="auto"/>
        <w:jc w:val="both"/>
        <w:rPr>
          <w:rFonts w:ascii="Verdana" w:eastAsia="Calibri" w:hAnsi="Verdana" w:cs="Arial"/>
          <w:lang w:val="es-ES"/>
        </w:rPr>
      </w:pPr>
      <w:r>
        <w:rPr>
          <w:rFonts w:ascii="Verdana" w:eastAsia="Calibri" w:hAnsi="Verdana" w:cs="Arial"/>
          <w:lang w:val="es-ES"/>
        </w:rPr>
        <w:tab/>
        <w:t xml:space="preserve">Dicho artículo establece en su numeral uno, que luego de la apertura del proceso de contratación, los interesados en un término no mayor a tres (3) días hábiles, deben “manifestar su intención de participar” a través del mecanismo establecido para el efecto en el pliego de condiciones. Lo anterior, esto es, la “manifestación de interés”, se ha entendido como un acto mediante el cual el interesado expresa a la Entidad Estatal contratante su interés en participar del proceso de selección abreviada de menor cuantía o en un concurso de méritos con precalificación. </w:t>
      </w:r>
    </w:p>
    <w:p w14:paraId="67A8BD6A" w14:textId="77777777" w:rsidR="00C21B4D" w:rsidRDefault="00C21B4D" w:rsidP="00C21B4D">
      <w:pPr>
        <w:spacing w:after="0" w:line="276" w:lineRule="auto"/>
        <w:jc w:val="both"/>
        <w:rPr>
          <w:rFonts w:ascii="Verdana" w:eastAsia="Calibri" w:hAnsi="Verdana" w:cs="Arial"/>
          <w:lang w:val="es-ES"/>
        </w:rPr>
      </w:pPr>
      <w:r>
        <w:rPr>
          <w:rFonts w:ascii="Verdana" w:eastAsia="Calibri" w:hAnsi="Verdana" w:cs="Arial"/>
          <w:lang w:val="es-ES"/>
        </w:rPr>
        <w:tab/>
        <w:t>Las disposiciones normativas aplicables a ambos procesos de selección, no señalan la forma como debe realizarse tal manifestación, por lo que resulta facultativo de la Entidad Estatal definirlo, pudiendo señalar por ejemplo, que sea por correo electrónico, o mediante una comunicación escrita o verbal ante la misma entidad. Sin embargo, en caso de que el proceso de selección se adelante en aplicación de los Documentos Tipo para procesos de selección abreviada de menor cuantía de infraestructura de transporte – Versión 3, expedidos por esta Agencia, debe tenerse en cuenta que el numeral 2.3 de su “Documento Base” e dispuso que:</w:t>
      </w:r>
    </w:p>
    <w:p w14:paraId="4F776772" w14:textId="77777777" w:rsidR="00C21B4D" w:rsidRDefault="00C21B4D" w:rsidP="00C21B4D">
      <w:pPr>
        <w:spacing w:after="0" w:line="276" w:lineRule="auto"/>
        <w:jc w:val="both"/>
        <w:rPr>
          <w:rFonts w:ascii="Verdana" w:eastAsia="Calibri" w:hAnsi="Verdana" w:cs="Arial"/>
          <w:lang w:val="es-ES"/>
        </w:rPr>
      </w:pPr>
    </w:p>
    <w:p w14:paraId="32C85562" w14:textId="77777777" w:rsidR="00C21B4D" w:rsidRDefault="00C21B4D" w:rsidP="00C21B4D">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 xml:space="preserve">“Los interesados en participar en el presente proceso de selección contarán con un término de tres (3) días hábiles contados a partir de la fecha de apertura del proceso de contratación para manifestar su intención de participar. Los interesados deben enviar una comunicación suscrita por la persona natural, el representante legal de la persona jurídica, por todos los integrantes del proponente plural (Formato 10- Carta de Manifestación </w:t>
      </w:r>
      <w:r>
        <w:rPr>
          <w:rFonts w:ascii="Verdana" w:eastAsia="Calibri" w:hAnsi="Verdana" w:cs="Arial"/>
          <w:sz w:val="20"/>
          <w:szCs w:val="20"/>
          <w:lang w:val="es-ES"/>
        </w:rPr>
        <w:lastRenderedPageBreak/>
        <w:t xml:space="preserve">de Interés), según corresponda, al correo electrónico, o a falta de este a la dirección física indicada en el numeral 1.3 del presente pliego. </w:t>
      </w:r>
    </w:p>
    <w:p w14:paraId="4A8069B1" w14:textId="77777777" w:rsidR="00C21B4D" w:rsidRDefault="00C21B4D" w:rsidP="00C21B4D">
      <w:pPr>
        <w:spacing w:after="0" w:line="240" w:lineRule="auto"/>
        <w:ind w:left="709" w:right="709"/>
        <w:jc w:val="both"/>
        <w:rPr>
          <w:rFonts w:ascii="Verdana" w:eastAsia="Calibri" w:hAnsi="Verdana" w:cs="Arial"/>
          <w:lang w:val="es-ES"/>
        </w:rPr>
      </w:pPr>
      <w:r>
        <w:rPr>
          <w:rFonts w:ascii="Verdana" w:eastAsia="Calibri" w:hAnsi="Verdana" w:cs="Arial"/>
          <w:sz w:val="20"/>
          <w:szCs w:val="20"/>
          <w:lang w:val="es-ES"/>
        </w:rPr>
        <w:t>[…]</w:t>
      </w:r>
    </w:p>
    <w:p w14:paraId="3B638404" w14:textId="77777777" w:rsidR="00C21B4D" w:rsidRPr="00C27E7D" w:rsidRDefault="00C21B4D" w:rsidP="00C21B4D">
      <w:pPr>
        <w:spacing w:after="0" w:line="240" w:lineRule="auto"/>
        <w:ind w:left="709" w:right="709"/>
        <w:jc w:val="both"/>
        <w:rPr>
          <w:rFonts w:ascii="Verdana" w:eastAsia="Calibri" w:hAnsi="Verdana" w:cs="Arial"/>
          <w:sz w:val="20"/>
          <w:szCs w:val="20"/>
          <w:lang w:val="es-ES"/>
        </w:rPr>
      </w:pPr>
      <w:r w:rsidRPr="00C87C21">
        <w:rPr>
          <w:rFonts w:ascii="Verdana" w:eastAsia="Calibri" w:hAnsi="Verdana" w:cs="Arial"/>
          <w:sz w:val="20"/>
          <w:szCs w:val="20"/>
          <w:highlight w:val="lightGray"/>
          <w:lang w:val="es-ES"/>
        </w:rPr>
        <w:t>[Para los procesos en SECOP II el proponente debe manifestar su interés mediante el módulo correspondiente, de acuerdo con la Guía para manifestar interés y la Guía para presentar Ofertas en el SECOP II, por lo cual no se requerirá el Formato 10 – Carta de Manifestación de Interés]</w:t>
      </w:r>
      <w:r>
        <w:rPr>
          <w:rFonts w:ascii="Verdana" w:eastAsia="Calibri" w:hAnsi="Verdana" w:cs="Arial"/>
          <w:sz w:val="20"/>
          <w:szCs w:val="20"/>
          <w:lang w:val="es-ES"/>
        </w:rPr>
        <w:t xml:space="preserve">”. </w:t>
      </w:r>
    </w:p>
    <w:p w14:paraId="73CC69B0" w14:textId="77777777" w:rsidR="00C21B4D" w:rsidRDefault="00C21B4D" w:rsidP="00C21B4D">
      <w:pPr>
        <w:spacing w:after="0" w:line="276" w:lineRule="auto"/>
        <w:jc w:val="both"/>
        <w:rPr>
          <w:rFonts w:ascii="Verdana" w:eastAsia="Calibri" w:hAnsi="Verdana" w:cs="Arial"/>
          <w:lang w:val="es-ES"/>
        </w:rPr>
      </w:pPr>
    </w:p>
    <w:p w14:paraId="03FF75C9" w14:textId="77777777" w:rsidR="00C21B4D" w:rsidRDefault="00C21B4D" w:rsidP="00C21B4D">
      <w:pPr>
        <w:spacing w:after="0" w:line="276" w:lineRule="auto"/>
        <w:jc w:val="both"/>
        <w:rPr>
          <w:rFonts w:ascii="Verdana" w:eastAsia="Calibri" w:hAnsi="Verdana" w:cs="Arial"/>
          <w:lang w:val="es-ES"/>
        </w:rPr>
      </w:pPr>
      <w:r>
        <w:rPr>
          <w:rFonts w:ascii="Verdana" w:eastAsia="Calibri" w:hAnsi="Verdana" w:cs="Arial"/>
          <w:lang w:val="es-ES"/>
        </w:rPr>
        <w:tab/>
        <w:t xml:space="preserve">En ese sentido, se precisa que, si bien en los procesos de contratación que se adelanten en aplicación de los referidos Documentos Tipo deberá manifestarse el interés conforme a las reglas dispuestas en el citado numeral, no se requerirá realizar tal acción mediante la presentación del documento denominado “Formato 10 – Carta de Manifestación de Interés”, siempre y cuando el respectivo proceso se tramite en el SECOP II, pues al ser una plataforma transaccional, la gestión contractual de las Entidades Estatales se realiza en línea y en tiempo real. </w:t>
      </w:r>
    </w:p>
    <w:p w14:paraId="7A564269" w14:textId="77777777" w:rsidR="00C21B4D" w:rsidRPr="00F50E68" w:rsidRDefault="00C21B4D" w:rsidP="00C21B4D">
      <w:pPr>
        <w:spacing w:before="120" w:line="276" w:lineRule="auto"/>
        <w:ind w:firstLine="709"/>
        <w:jc w:val="both"/>
        <w:rPr>
          <w:rFonts w:ascii="Verdana" w:eastAsia="Calibri" w:hAnsi="Verdana" w:cs="Arial"/>
        </w:rPr>
      </w:pPr>
      <w:r w:rsidRPr="00E431A7">
        <w:rPr>
          <w:rFonts w:ascii="Verdana" w:eastAsia="Calibri" w:hAnsi="Verdana" w:cs="Arial"/>
          <w:color w:val="000000"/>
        </w:rPr>
        <w:t>Finalme</w:t>
      </w:r>
      <w:r w:rsidRPr="00B31C93">
        <w:rPr>
          <w:rFonts w:ascii="Verdana" w:eastAsia="Calibri" w:hAnsi="Verdana" w:cs="Arial"/>
        </w:rPr>
        <w:t>nte</w:t>
      </w:r>
      <w:r w:rsidRPr="00F50E68">
        <w:rPr>
          <w:rFonts w:ascii="Verdana" w:eastAsia="Calibri" w:hAnsi="Verdana" w:cs="Arial"/>
        </w:rPr>
        <w:t xml:space="preserve">, debe advertirse que el análisis requerido para resolver problemas específicos en torno a la </w:t>
      </w:r>
      <w:r>
        <w:rPr>
          <w:rFonts w:ascii="Verdana" w:eastAsia="Calibri" w:hAnsi="Verdana" w:cs="Arial"/>
        </w:rPr>
        <w:t>gestión contractual de las Entidades Estatales</w:t>
      </w:r>
      <w:r w:rsidRPr="00F50E68">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A3E9E4B" w14:textId="77777777" w:rsidR="00C21B4D" w:rsidRPr="00F50E68" w:rsidRDefault="00C21B4D" w:rsidP="00C21B4D">
      <w:pPr>
        <w:spacing w:after="120" w:line="276" w:lineRule="auto"/>
        <w:ind w:firstLine="708"/>
        <w:jc w:val="both"/>
        <w:rPr>
          <w:rFonts w:ascii="Verdana" w:eastAsia="Calibri" w:hAnsi="Verdana" w:cs="Arial"/>
        </w:rPr>
      </w:pPr>
      <w:r w:rsidRPr="00F50E68">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F4B8FAB" w14:textId="77777777" w:rsidR="00C21B4D" w:rsidRPr="00F50E68" w:rsidRDefault="00C21B4D" w:rsidP="00C21B4D">
      <w:pPr>
        <w:widowControl w:val="0"/>
        <w:autoSpaceDE w:val="0"/>
        <w:autoSpaceDN w:val="0"/>
        <w:spacing w:after="0" w:line="276" w:lineRule="auto"/>
        <w:contextualSpacing/>
        <w:jc w:val="both"/>
        <w:rPr>
          <w:rFonts w:ascii="Verdana" w:hAnsi="Verdana" w:cs="Arial"/>
        </w:rPr>
      </w:pPr>
    </w:p>
    <w:p w14:paraId="00D36698" w14:textId="77777777" w:rsidR="00C21B4D" w:rsidRPr="00F50E68" w:rsidRDefault="00C21B4D" w:rsidP="00C21B4D">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4. Referencias normativas, jurisprudenciales y otras fuentes:</w:t>
      </w:r>
    </w:p>
    <w:p w14:paraId="49139608" w14:textId="77777777" w:rsidR="00C21B4D" w:rsidRPr="00F50E68" w:rsidRDefault="00C21B4D" w:rsidP="00C21B4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21B4D" w:rsidRPr="00F50E68" w14:paraId="48718EF8" w14:textId="77777777" w:rsidTr="00D57AB5">
        <w:trPr>
          <w:trHeight w:val="870"/>
        </w:trPr>
        <w:tc>
          <w:tcPr>
            <w:tcW w:w="8647" w:type="dxa"/>
          </w:tcPr>
          <w:p w14:paraId="0F6F8F52" w14:textId="77777777" w:rsidR="00C21B4D" w:rsidRDefault="00C21B4D" w:rsidP="00C21B4D">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lastRenderedPageBreak/>
              <w:t>Ley 1150 de 2007. Artículo 2, numeral 2, literal b); Artículo 2, numeral 5.</w:t>
            </w:r>
          </w:p>
          <w:p w14:paraId="45D9F6A2" w14:textId="77777777" w:rsidR="00C21B4D" w:rsidRDefault="00C21B4D" w:rsidP="00C21B4D">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 xml:space="preserve">Decreto 1082 de 2015. Artículo </w:t>
            </w:r>
            <w:r w:rsidRPr="001B7249">
              <w:rPr>
                <w:rFonts w:ascii="Verdana" w:eastAsia="Aptos" w:hAnsi="Verdana" w:cs="Arial"/>
              </w:rPr>
              <w:t>2.2.1.2.1.2.20</w:t>
            </w:r>
          </w:p>
          <w:p w14:paraId="55D78762" w14:textId="77777777" w:rsidR="00C21B4D" w:rsidRPr="00BA5FE8" w:rsidRDefault="00C21B4D" w:rsidP="00C21B4D">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 xml:space="preserve">Documentos Tipo para procesos de selección abreviada de menor cuantía de infraestructura de transporte – Versión 3. Numeral 2.3 del Documento Base; Formato 10 – Carta de Manifestación del Interés. Disponible </w:t>
            </w:r>
            <w:hyperlink r:id="rId12" w:history="1">
              <w:r w:rsidRPr="001B7249">
                <w:rPr>
                  <w:rStyle w:val="Hipervnculo"/>
                  <w:rFonts w:ascii="Verdana" w:eastAsia="Aptos" w:hAnsi="Verdana" w:cs="Arial"/>
                </w:rPr>
                <w:t>aquí</w:t>
              </w:r>
            </w:hyperlink>
          </w:p>
        </w:tc>
      </w:tr>
    </w:tbl>
    <w:p w14:paraId="4786AE2A" w14:textId="77777777" w:rsidR="00C21B4D" w:rsidRPr="00F50E68" w:rsidRDefault="00C21B4D" w:rsidP="00C21B4D">
      <w:pPr>
        <w:widowControl w:val="0"/>
        <w:autoSpaceDE w:val="0"/>
        <w:autoSpaceDN w:val="0"/>
        <w:spacing w:after="0" w:line="276" w:lineRule="auto"/>
        <w:jc w:val="both"/>
        <w:rPr>
          <w:rFonts w:ascii="Verdana" w:hAnsi="Verdana" w:cs="Arial"/>
        </w:rPr>
      </w:pPr>
    </w:p>
    <w:p w14:paraId="14D45495" w14:textId="77777777" w:rsidR="00C21B4D" w:rsidRPr="00F50E68" w:rsidRDefault="00C21B4D" w:rsidP="00C21B4D">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5. Doctrina de la Agencia Nacional de Contratación Pública:</w:t>
      </w:r>
    </w:p>
    <w:p w14:paraId="30BD8B02" w14:textId="77777777" w:rsidR="00C21B4D" w:rsidRPr="00F50E68" w:rsidRDefault="00C21B4D" w:rsidP="00C21B4D">
      <w:pPr>
        <w:widowControl w:val="0"/>
        <w:autoSpaceDE w:val="0"/>
        <w:autoSpaceDN w:val="0"/>
        <w:spacing w:after="0" w:line="276" w:lineRule="auto"/>
        <w:jc w:val="both"/>
        <w:rPr>
          <w:rFonts w:ascii="Verdana" w:hAnsi="Verdana" w:cs="Arial"/>
        </w:rPr>
      </w:pPr>
    </w:p>
    <w:p w14:paraId="728A8C03" w14:textId="77777777" w:rsidR="00C21B4D" w:rsidRPr="00F50E68" w:rsidRDefault="00C21B4D" w:rsidP="00C21B4D">
      <w:pPr>
        <w:widowControl w:val="0"/>
        <w:autoSpaceDE w:val="0"/>
        <w:autoSpaceDN w:val="0"/>
        <w:spacing w:after="0" w:line="276" w:lineRule="auto"/>
        <w:jc w:val="both"/>
        <w:rPr>
          <w:rFonts w:ascii="Verdana" w:hAnsi="Verdana" w:cs="Arial"/>
          <w:shd w:val="clear" w:color="auto" w:fill="FFFFFF"/>
          <w:lang w:val="es-ES"/>
        </w:rPr>
      </w:pPr>
      <w:r w:rsidRPr="00B64A74">
        <w:rPr>
          <w:rFonts w:ascii="Verdana" w:eastAsia="Calibri" w:hAnsi="Verdana" w:cs="Arial"/>
        </w:rPr>
        <w:t xml:space="preserve">La </w:t>
      </w:r>
      <w:r w:rsidRPr="003402B7">
        <w:rPr>
          <w:rFonts w:ascii="Verdana" w:eastAsia="Calibri" w:hAnsi="Verdana" w:cs="Arial"/>
        </w:rPr>
        <w:t xml:space="preserve">Agencia Nacional de Contratación Pública – Colombia Compra Eficiente se ha referido </w:t>
      </w:r>
      <w:r w:rsidRPr="003402B7">
        <w:rPr>
          <w:rFonts w:ascii="Verdana" w:hAnsi="Verdana" w:cs="Arial"/>
          <w:shd w:val="clear" w:color="auto" w:fill="FFFFFF"/>
        </w:rPr>
        <w:t>sobre</w:t>
      </w:r>
      <w:r w:rsidRPr="003402B7">
        <w:rPr>
          <w:rFonts w:ascii="Verdana" w:eastAsia="Times New Roman" w:hAnsi="Verdana" w:cs="Arial"/>
        </w:rPr>
        <w:t xml:space="preserve"> </w:t>
      </w:r>
      <w:r w:rsidRPr="003402B7">
        <w:rPr>
          <w:rFonts w:ascii="Verdana" w:eastAsia="Aptos" w:hAnsi="Verdana" w:cs="Arial"/>
          <w:shd w:val="clear" w:color="auto" w:fill="FFFFFF"/>
          <w:lang w:val="es-ES"/>
        </w:rPr>
        <w:t>la manifestación de interés en</w:t>
      </w:r>
      <w:r w:rsidRPr="00B01546">
        <w:rPr>
          <w:rFonts w:ascii="Verdana" w:eastAsia="Aptos" w:hAnsi="Verdana" w:cs="Arial"/>
          <w:shd w:val="clear" w:color="auto" w:fill="FFFFFF"/>
          <w:lang w:val="es-ES"/>
        </w:rPr>
        <w:t xml:space="preserve"> los procesos de selección abreviada </w:t>
      </w:r>
      <w:r w:rsidRPr="00347393">
        <w:rPr>
          <w:rFonts w:ascii="Verdana" w:eastAsia="Aptos" w:hAnsi="Verdana" w:cs="Arial"/>
          <w:shd w:val="clear" w:color="auto" w:fill="FFFFFF"/>
          <w:lang w:val="es-ES"/>
        </w:rPr>
        <w:t>menor cuantía, esta Subdirección se ha referido en los conceptos</w:t>
      </w:r>
      <w:r w:rsidRPr="00347393">
        <w:rPr>
          <w:rFonts w:ascii="Verdana" w:eastAsia="Calibri" w:hAnsi="Verdana" w:cs="Arial"/>
          <w:lang w:val="es-ES_tradnl" w:eastAsia="es-MX"/>
        </w:rPr>
        <w:t>, C-139 del 31 de marzo de 2020, C- 767 del 07 de enero de 2021, C-425 del 06 de julio de 2022, C-728 del 10 de noviembre de 2022, C-095 del 04 de mayo de 2024, C-616 del 29 de octubre de 2024</w:t>
      </w:r>
      <w:r w:rsidRPr="00347393">
        <w:rPr>
          <w:rFonts w:ascii="Verdana" w:eastAsia="Calibri" w:hAnsi="Verdana" w:cs="Arial"/>
          <w:lang w:eastAsia="es-ES"/>
        </w:rPr>
        <w:t>, C-967 del 21 de enero de 2025, C-537 del 14 de mayo de 2025, C-1377 del 3 de noviembre de 2025,</w:t>
      </w:r>
      <w:r w:rsidRPr="0074416B">
        <w:rPr>
          <w:rFonts w:ascii="Verdana" w:eastAsia="Calibri" w:hAnsi="Verdana" w:cs="Times New Roman"/>
        </w:rPr>
        <w:t xml:space="preserve"> </w:t>
      </w:r>
      <w:r w:rsidRPr="00103E5F">
        <w:rPr>
          <w:rFonts w:ascii="Verdana" w:eastAsia="Calibri" w:hAnsi="Verdana" w:cs="Times New Roman"/>
        </w:rPr>
        <w:t>C-1862 de</w:t>
      </w:r>
      <w:r>
        <w:rPr>
          <w:rFonts w:ascii="Verdana" w:eastAsia="Calibri" w:hAnsi="Verdana" w:cs="Times New Roman"/>
        </w:rPr>
        <w:t>l 20 de enero de</w:t>
      </w:r>
      <w:r w:rsidRPr="00103E5F">
        <w:rPr>
          <w:rFonts w:ascii="Verdana" w:eastAsia="Calibri" w:hAnsi="Verdana" w:cs="Times New Roman"/>
        </w:rPr>
        <w:t xml:space="preserve"> 202</w:t>
      </w:r>
      <w:r>
        <w:rPr>
          <w:rFonts w:ascii="Verdana" w:eastAsia="Calibri" w:hAnsi="Verdana" w:cs="Times New Roman"/>
        </w:rPr>
        <w:t>6, C-019 del 16 de febrero de 2026,</w:t>
      </w:r>
      <w:r w:rsidRPr="00347393">
        <w:rPr>
          <w:rFonts w:ascii="Verdana" w:eastAsia="Calibri" w:hAnsi="Verdana" w:cs="Arial"/>
          <w:lang w:eastAsia="es-ES"/>
        </w:rPr>
        <w:t xml:space="preserve"> </w:t>
      </w:r>
      <w:r w:rsidRPr="00347393">
        <w:rPr>
          <w:rStyle w:val="normaltextrun"/>
          <w:rFonts w:ascii="Verdana" w:hAnsi="Verdana" w:cs="Arial"/>
          <w:shd w:val="clear" w:color="auto" w:fill="FFFFFF"/>
        </w:rPr>
        <w:t xml:space="preserve">entre otros. </w:t>
      </w:r>
      <w:r w:rsidRPr="00F50E68">
        <w:rPr>
          <w:rFonts w:ascii="Verdana" w:hAnsi="Verdana" w:cs="Arial"/>
          <w:shd w:val="clear" w:color="auto" w:fill="FFFFFF"/>
          <w:lang w:val="es-ES"/>
        </w:rPr>
        <w:t>Es</w:t>
      </w:r>
      <w:r w:rsidRPr="00F50E68">
        <w:rPr>
          <w:rFonts w:ascii="Verdana" w:hAnsi="Verdana"/>
        </w:rPr>
        <w:t>tos y otros conceptos se encuentran disponibles para consulta en el Sistema de relatoría de la Agencia, al cual se puede acceder a través del siguiente enlace:</w:t>
      </w:r>
      <w:r w:rsidRPr="00F50E68">
        <w:rPr>
          <w:rFonts w:ascii="Verdana" w:hAnsi="Verdana" w:cs="Arial"/>
          <w:shd w:val="clear" w:color="auto" w:fill="FFFFFF"/>
          <w:lang w:val="es-ES"/>
        </w:rPr>
        <w:t xml:space="preserve"> </w:t>
      </w:r>
      <w:hyperlink r:id="rId13" w:history="1">
        <w:r w:rsidRPr="00F50E68">
          <w:rPr>
            <w:rFonts w:ascii="Verdana" w:hAnsi="Verdana" w:cs="Arial"/>
            <w:color w:val="467886" w:themeColor="hyperlink"/>
            <w:u w:val="single"/>
            <w:shd w:val="clear" w:color="auto" w:fill="FFFFFF"/>
            <w:lang w:val="es-ES"/>
          </w:rPr>
          <w:t>https://relatoria.colombiacompra.gov.co/busqueda/conceptos</w:t>
        </w:r>
      </w:hyperlink>
      <w:r w:rsidRPr="00F50E68">
        <w:rPr>
          <w:rFonts w:ascii="Verdana" w:hAnsi="Verdana" w:cs="Arial"/>
          <w:color w:val="FF0000"/>
          <w:shd w:val="clear" w:color="auto" w:fill="FFFFFF"/>
          <w:lang w:val="es-ES"/>
        </w:rPr>
        <w:t>.</w:t>
      </w:r>
    </w:p>
    <w:p w14:paraId="482A4973" w14:textId="77777777" w:rsidR="00C21B4D" w:rsidRPr="00F50E68" w:rsidRDefault="00C21B4D" w:rsidP="00C21B4D">
      <w:pPr>
        <w:spacing w:before="120" w:after="120"/>
        <w:ind w:firstLine="709"/>
        <w:jc w:val="both"/>
        <w:rPr>
          <w:rFonts w:ascii="Verdana" w:eastAsia="Aptos" w:hAnsi="Verdana" w:cs="Times New Roman"/>
        </w:rPr>
      </w:pPr>
      <w:r w:rsidRPr="00F50E6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F50E68">
        <w:rPr>
          <w:rFonts w:ascii="Verdana" w:eastAsia="Aptos" w:hAnsi="Verdana" w:cs="Times New Roman"/>
          <w:b/>
          <w:bCs/>
        </w:rPr>
        <w:t>Curso de Contratación Pública Sostenible y Socialmente Responsable</w:t>
      </w:r>
      <w:r w:rsidRPr="00F50E68">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50E68">
        <w:rPr>
          <w:rFonts w:ascii="Verdana" w:eastAsia="Aptos" w:hAnsi="Verdana" w:cs="Times New Roman"/>
        </w:rPr>
        <w:br/>
      </w:r>
      <w:hyperlink r:id="rId14" w:tgtFrame="_new" w:history="1">
        <w:r w:rsidRPr="00F50E68">
          <w:rPr>
            <w:rFonts w:ascii="Verdana" w:eastAsia="Aptos" w:hAnsi="Verdana" w:cs="Times New Roman"/>
            <w:color w:val="0000FF"/>
            <w:u w:val="single"/>
          </w:rPr>
          <w:t>https://formacionvirtual.colombiacompra.gov.co/mod/page/view.php?id=3718</w:t>
        </w:r>
      </w:hyperlink>
    </w:p>
    <w:p w14:paraId="19508C15" w14:textId="77777777" w:rsidR="00C21B4D" w:rsidRPr="00F50E68" w:rsidRDefault="00C21B4D" w:rsidP="00C21B4D">
      <w:pPr>
        <w:ind w:firstLine="708"/>
        <w:jc w:val="both"/>
        <w:rPr>
          <w:rFonts w:ascii="Verdana" w:eastAsia="Aptos" w:hAnsi="Verdana" w:cs="Times New Roman"/>
        </w:rPr>
      </w:pPr>
      <w:r w:rsidRPr="00F50E68">
        <w:rPr>
          <w:rFonts w:ascii="Verdana" w:eastAsia="Aptos" w:hAnsi="Verdana" w:cs="Times New Roman"/>
        </w:rPr>
        <w:t xml:space="preserve">De otro lado, te contamos que esta Agencia ha da un paso decisivo en la estandarización y modernización del </w:t>
      </w:r>
      <w:r w:rsidRPr="00F50E68">
        <w:rPr>
          <w:rFonts w:ascii="Verdana" w:eastAsia="Aptos" w:hAnsi="Verdana" w:cs="Times New Roman"/>
          <w:b/>
          <w:bCs/>
        </w:rPr>
        <w:t>sector  social</w:t>
      </w:r>
      <w:r w:rsidRPr="00F50E68">
        <w:rPr>
          <w:rFonts w:ascii="Verdana" w:eastAsia="Aptos" w:hAnsi="Verdana" w:cs="Times New Roman"/>
        </w:rPr>
        <w:t xml:space="preserve"> con la expedición de las </w:t>
      </w:r>
      <w:r w:rsidRPr="00F50E68">
        <w:rPr>
          <w:rFonts w:ascii="Verdana" w:eastAsia="Aptos" w:hAnsi="Verdana" w:cs="Times New Roman"/>
          <w:b/>
          <w:bCs/>
        </w:rPr>
        <w:t>Resoluciones 539, 540, 541, 952 y 953 de 2025</w:t>
      </w:r>
      <w:r w:rsidRPr="00F50E68">
        <w:rPr>
          <w:rFonts w:ascii="Verdana" w:eastAsia="Aptos" w:hAnsi="Verdana" w:cs="Times New Roman"/>
        </w:rPr>
        <w:t xml:space="preserve">, </w:t>
      </w:r>
      <w:r w:rsidRPr="00F50E68">
        <w:rPr>
          <w:rFonts w:ascii="Verdana" w:eastAsia="Aptos" w:hAnsi="Verdana" w:cs="Times New Roman"/>
          <w:b/>
          <w:bCs/>
        </w:rPr>
        <w:t>mediante las cuales adoptó Documentos Tipo</w:t>
      </w:r>
      <w:r w:rsidRPr="00F50E68">
        <w:rPr>
          <w:rFonts w:ascii="Verdana" w:eastAsia="Aptos" w:hAnsi="Verdana" w:cs="Times New Roman"/>
        </w:rPr>
        <w:t xml:space="preserve"> para las modalidades de selección de</w:t>
      </w:r>
      <w:r w:rsidRPr="00F50E68">
        <w:rPr>
          <w:rFonts w:ascii="Verdana" w:eastAsia="Aptos" w:hAnsi="Verdana" w:cs="Times New Roman"/>
          <w:b/>
          <w:bCs/>
        </w:rPr>
        <w:t xml:space="preserve"> licitación pública (versión 2), selección abreviada de menor cuantía, mínima cuantía, consultoría e interventoría</w:t>
      </w:r>
      <w:r w:rsidRPr="00F50E6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w:t>
      </w:r>
      <w:r w:rsidRPr="00F50E68">
        <w:rPr>
          <w:rFonts w:ascii="Verdana" w:eastAsia="Aptos" w:hAnsi="Verdana" w:cs="Times New Roman"/>
        </w:rPr>
        <w:lastRenderedPageBreak/>
        <w:t xml:space="preserve">Consulta y descarga los documentos aquí: </w:t>
      </w:r>
      <w:hyperlink r:id="rId15" w:tgtFrame="_new" w:history="1">
        <w:r w:rsidRPr="00F50E68">
          <w:rPr>
            <w:rFonts w:ascii="Verdana" w:eastAsia="Aptos" w:hAnsi="Verdana" w:cs="Times New Roman"/>
            <w:color w:val="0000FF"/>
            <w:u w:val="single"/>
          </w:rPr>
          <w:t>https://www.colombiacompra.gov.co/normativa-y-relatoria/documentos-tipo</w:t>
        </w:r>
      </w:hyperlink>
    </w:p>
    <w:p w14:paraId="421ACA29" w14:textId="77777777" w:rsidR="00C21B4D" w:rsidRPr="00F50E68" w:rsidRDefault="00C21B4D" w:rsidP="00C21B4D">
      <w:pPr>
        <w:widowControl w:val="0"/>
        <w:autoSpaceDE w:val="0"/>
        <w:autoSpaceDN w:val="0"/>
        <w:spacing w:after="0" w:line="276" w:lineRule="auto"/>
        <w:ind w:firstLine="708"/>
        <w:jc w:val="both"/>
        <w:rPr>
          <w:rFonts w:ascii="Verdana" w:hAnsi="Verdana"/>
        </w:rPr>
      </w:pPr>
      <w:r w:rsidRPr="00F50E68">
        <w:rPr>
          <w:rFonts w:ascii="Verdana" w:eastAsia="Aptos" w:hAnsi="Verdana" w:cs="Times New Roman"/>
        </w:rPr>
        <w:t xml:space="preserve">Si quieres conocer más sobre la aplicación de Documentos Tipo puedes consultar la última versión de la </w:t>
      </w:r>
      <w:r w:rsidRPr="00F50E68">
        <w:rPr>
          <w:rFonts w:ascii="Verdana" w:eastAsia="Aptos" w:hAnsi="Verdana" w:cs="Times New Roman"/>
          <w:b/>
          <w:bCs/>
        </w:rPr>
        <w:t>Guía para la comprensión e implementación de los Documentos Tipo de obra pública de infraestructura de transporte</w:t>
      </w:r>
      <w:r w:rsidRPr="00F50E68">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50E68">
        <w:rPr>
          <w:rFonts w:ascii="Verdana" w:eastAsia="Aptos" w:hAnsi="Verdana" w:cs="Times New Roman"/>
        </w:rPr>
        <w:br/>
      </w:r>
      <w:hyperlink r:id="rId16" w:tgtFrame="_new" w:history="1">
        <w:r w:rsidRPr="00F50E68">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18CA5A25" w14:textId="77777777" w:rsidR="00C21B4D" w:rsidRPr="00F50E68" w:rsidRDefault="00C21B4D" w:rsidP="00C21B4D">
      <w:pPr>
        <w:widowControl w:val="0"/>
        <w:autoSpaceDE w:val="0"/>
        <w:autoSpaceDN w:val="0"/>
        <w:spacing w:after="0" w:line="276" w:lineRule="auto"/>
        <w:jc w:val="both"/>
        <w:rPr>
          <w:rFonts w:ascii="Verdana" w:hAnsi="Verdana" w:cs="Arial"/>
          <w:shd w:val="clear" w:color="auto" w:fill="FFFFFF"/>
          <w:lang w:val="es-ES"/>
        </w:rPr>
      </w:pPr>
    </w:p>
    <w:p w14:paraId="25F0E95A" w14:textId="77777777" w:rsidR="00C21B4D" w:rsidRPr="00F50E68" w:rsidRDefault="00C21B4D" w:rsidP="00C21B4D">
      <w:pPr>
        <w:spacing w:after="0" w:line="240" w:lineRule="auto"/>
        <w:jc w:val="both"/>
        <w:rPr>
          <w:rFonts w:ascii="Verdana" w:hAnsi="Verdana"/>
        </w:rPr>
      </w:pPr>
      <w:r w:rsidRPr="00F50E68">
        <w:rPr>
          <w:rFonts w:ascii="Verdana" w:hAnsi="Verdana"/>
        </w:rPr>
        <w:t xml:space="preserve">Por último, lo invitamos a seguirnos en las redes sociales en las cuales se difunde información institucional: </w:t>
      </w:r>
    </w:p>
    <w:p w14:paraId="2634E61B" w14:textId="77777777" w:rsidR="00C21B4D" w:rsidRPr="00F50E68" w:rsidRDefault="00C21B4D" w:rsidP="00C21B4D">
      <w:pPr>
        <w:spacing w:after="0" w:line="240" w:lineRule="auto"/>
        <w:jc w:val="both"/>
        <w:rPr>
          <w:rFonts w:ascii="Verdana" w:hAnsi="Verdana"/>
        </w:rPr>
      </w:pPr>
    </w:p>
    <w:p w14:paraId="566C6D6D" w14:textId="77777777" w:rsidR="00C21B4D" w:rsidRPr="00F50E68" w:rsidRDefault="00C21B4D" w:rsidP="00C21B4D">
      <w:pPr>
        <w:spacing w:after="0" w:line="240" w:lineRule="auto"/>
        <w:jc w:val="both"/>
        <w:rPr>
          <w:rFonts w:ascii="Verdana" w:hAnsi="Verdana"/>
        </w:rPr>
      </w:pPr>
      <w:r w:rsidRPr="00F50E68">
        <w:rPr>
          <w:rFonts w:ascii="Verdana" w:hAnsi="Verdana"/>
        </w:rPr>
        <w:t xml:space="preserve">Twitter: </w:t>
      </w:r>
      <w:r w:rsidRPr="00F50E68">
        <w:rPr>
          <w:rFonts w:ascii="Verdana" w:hAnsi="Verdana"/>
          <w:color w:val="156082" w:themeColor="accent1"/>
          <w:u w:val="single"/>
        </w:rPr>
        <w:t>@colombiacompra</w:t>
      </w:r>
      <w:r w:rsidRPr="00F50E68">
        <w:rPr>
          <w:rFonts w:ascii="Verdana" w:hAnsi="Verdana"/>
          <w:color w:val="156082" w:themeColor="accent1"/>
        </w:rPr>
        <w:t xml:space="preserve"> </w:t>
      </w:r>
    </w:p>
    <w:p w14:paraId="18AEE3B7" w14:textId="77777777" w:rsidR="00C21B4D" w:rsidRPr="00F50E68" w:rsidRDefault="00C21B4D" w:rsidP="00C21B4D">
      <w:pPr>
        <w:spacing w:after="0" w:line="240" w:lineRule="auto"/>
        <w:jc w:val="both"/>
        <w:rPr>
          <w:rFonts w:ascii="Verdana" w:hAnsi="Verdana"/>
        </w:rPr>
      </w:pPr>
      <w:r w:rsidRPr="00F50E68">
        <w:rPr>
          <w:rFonts w:ascii="Verdana" w:hAnsi="Verdana"/>
        </w:rPr>
        <w:t xml:space="preserve">Facebook: </w:t>
      </w:r>
      <w:proofErr w:type="spellStart"/>
      <w:r w:rsidRPr="00F50E68">
        <w:rPr>
          <w:rFonts w:ascii="Verdana" w:hAnsi="Verdana"/>
          <w:color w:val="156082" w:themeColor="accent1"/>
          <w:u w:val="single"/>
        </w:rPr>
        <w:t>ColombiaCompraEficiente</w:t>
      </w:r>
      <w:proofErr w:type="spellEnd"/>
    </w:p>
    <w:p w14:paraId="0862934A" w14:textId="77777777" w:rsidR="00C21B4D" w:rsidRPr="00F50E68" w:rsidRDefault="00C21B4D" w:rsidP="00C21B4D">
      <w:pPr>
        <w:spacing w:after="0" w:line="240" w:lineRule="auto"/>
        <w:jc w:val="both"/>
        <w:rPr>
          <w:rFonts w:ascii="Verdana" w:hAnsi="Verdana"/>
        </w:rPr>
      </w:pPr>
      <w:r w:rsidRPr="00F50E68">
        <w:rPr>
          <w:rFonts w:ascii="Verdana" w:hAnsi="Verdana"/>
        </w:rPr>
        <w:t xml:space="preserve">LinkedIn: </w:t>
      </w:r>
      <w:r w:rsidRPr="00F50E68">
        <w:rPr>
          <w:rFonts w:ascii="Verdana" w:hAnsi="Verdana"/>
          <w:color w:val="156082" w:themeColor="accent1"/>
          <w:u w:val="single"/>
        </w:rPr>
        <w:t>Agencia Nacional de Contratación Pública - Colombia Compra Eficiente</w:t>
      </w:r>
      <w:r w:rsidRPr="00F50E68">
        <w:rPr>
          <w:rFonts w:ascii="Verdana" w:hAnsi="Verdana"/>
          <w:color w:val="156082" w:themeColor="accent1"/>
        </w:rPr>
        <w:t xml:space="preserve"> </w:t>
      </w:r>
      <w:r w:rsidRPr="00F50E68">
        <w:rPr>
          <w:rFonts w:ascii="Verdana" w:hAnsi="Verdana"/>
        </w:rPr>
        <w:t xml:space="preserve">Instagram: </w:t>
      </w:r>
      <w:r w:rsidRPr="00F50E68">
        <w:rPr>
          <w:rFonts w:ascii="Verdana" w:hAnsi="Verdana"/>
          <w:color w:val="156082" w:themeColor="accent1"/>
          <w:u w:val="single"/>
        </w:rPr>
        <w:t>@colombiacompraeficiente_cce</w:t>
      </w:r>
    </w:p>
    <w:p w14:paraId="48B92D03" w14:textId="77777777" w:rsidR="00C21B4D" w:rsidRPr="00F50E68" w:rsidRDefault="00C21B4D" w:rsidP="00C21B4D">
      <w:pPr>
        <w:widowControl w:val="0"/>
        <w:autoSpaceDE w:val="0"/>
        <w:autoSpaceDN w:val="0"/>
        <w:spacing w:after="0" w:line="276" w:lineRule="auto"/>
        <w:jc w:val="both"/>
        <w:rPr>
          <w:rFonts w:ascii="Verdana" w:hAnsi="Verdana" w:cs="Arial"/>
        </w:rPr>
      </w:pPr>
    </w:p>
    <w:p w14:paraId="0300AF99" w14:textId="77777777" w:rsidR="00C21B4D" w:rsidRPr="00F50E68" w:rsidRDefault="00C21B4D" w:rsidP="00C21B4D">
      <w:pPr>
        <w:widowControl w:val="0"/>
        <w:autoSpaceDE w:val="0"/>
        <w:autoSpaceDN w:val="0"/>
        <w:spacing w:after="0" w:line="276" w:lineRule="auto"/>
        <w:jc w:val="both"/>
        <w:rPr>
          <w:rFonts w:ascii="Verdana" w:hAnsi="Verdana" w:cs="Arial"/>
          <w:lang w:val="es-ES_tradnl"/>
        </w:rPr>
      </w:pPr>
      <w:r w:rsidRPr="00F50E68">
        <w:rPr>
          <w:rFonts w:ascii="Verdana" w:hAnsi="Verdana" w:cs="Arial"/>
        </w:rPr>
        <w:t xml:space="preserve">Este concepto tiene el alcance previsto en el artículo 28 del Código de Procedimiento Administrativo y de lo Contencioso Administrativo </w:t>
      </w:r>
      <w:r w:rsidRPr="00F50E68">
        <w:rPr>
          <w:rFonts w:ascii="Verdana" w:hAnsi="Verdana" w:cs="Arial"/>
          <w:lang w:val="es-ES_tradnl"/>
        </w:rPr>
        <w:t>y las expresiones aquí utilizadas con mayúscula inicial deben ser entendidas con el significado que les otorga el artículo 2.2.1.1.1.3.1. del Decreto 1082 de 2015.</w:t>
      </w:r>
    </w:p>
    <w:p w14:paraId="4C5D3C73" w14:textId="77777777" w:rsidR="00C21B4D" w:rsidRPr="00F50E68" w:rsidRDefault="00C21B4D" w:rsidP="00C21B4D">
      <w:pPr>
        <w:widowControl w:val="0"/>
        <w:autoSpaceDE w:val="0"/>
        <w:autoSpaceDN w:val="0"/>
        <w:spacing w:after="0" w:line="276" w:lineRule="auto"/>
        <w:jc w:val="both"/>
        <w:rPr>
          <w:rFonts w:ascii="Verdana" w:hAnsi="Verdana" w:cs="Arial"/>
        </w:rPr>
      </w:pPr>
    </w:p>
    <w:p w14:paraId="2FE4E6A4" w14:textId="77777777" w:rsidR="00C21B4D" w:rsidRPr="00F50E68" w:rsidRDefault="00C21B4D" w:rsidP="00C21B4D">
      <w:pPr>
        <w:spacing w:after="0" w:line="240" w:lineRule="auto"/>
        <w:rPr>
          <w:rFonts w:ascii="Verdana" w:hAnsi="Verdana" w:cs="Arial"/>
          <w:lang w:eastAsia="es-CO"/>
        </w:rPr>
      </w:pPr>
      <w:r w:rsidRPr="00F50E68">
        <w:rPr>
          <w:rFonts w:ascii="Verdana" w:eastAsia="Times New Roman" w:hAnsi="Verdana" w:cs="Arial"/>
          <w:lang w:eastAsia="es-CO"/>
        </w:rPr>
        <w:t>Atentamente,</w:t>
      </w:r>
      <w:r w:rsidRPr="00F50E68">
        <w:rPr>
          <w:rFonts w:ascii="Verdana" w:hAnsi="Verdana" w:cs="Arial"/>
          <w:lang w:eastAsia="es-CO"/>
        </w:rPr>
        <w:t xml:space="preserve"> </w:t>
      </w:r>
    </w:p>
    <w:p w14:paraId="7B70EA68" w14:textId="25126CD1" w:rsidR="00C21B4D" w:rsidRPr="00F50E68" w:rsidRDefault="00472D72" w:rsidP="00C21B4D">
      <w:pPr>
        <w:spacing w:line="276" w:lineRule="auto"/>
        <w:jc w:val="center"/>
        <w:rPr>
          <w:rFonts w:ascii="Verdana" w:hAnsi="Verdana" w:cs="Arial"/>
          <w:lang w:val="es-ES_tradnl" w:eastAsia="es-CO"/>
        </w:rPr>
      </w:pPr>
      <w:r>
        <w:rPr>
          <w:noProof/>
        </w:rPr>
        <w:drawing>
          <wp:inline distT="0" distB="0" distL="0" distR="0" wp14:anchorId="3B1C417C" wp14:editId="6DB3C827">
            <wp:extent cx="3774440" cy="1414145"/>
            <wp:effectExtent l="0" t="0" r="0" b="0"/>
            <wp:docPr id="142581818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4440" cy="141414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C21B4D" w:rsidRPr="00F50E68" w14:paraId="15410F2F" w14:textId="77777777" w:rsidTr="00D57AB5">
        <w:trPr>
          <w:trHeight w:val="286"/>
        </w:trPr>
        <w:tc>
          <w:tcPr>
            <w:tcW w:w="901" w:type="dxa"/>
            <w:vAlign w:val="center"/>
            <w:hideMark/>
          </w:tcPr>
          <w:p w14:paraId="35DD86E7"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0E8D0DC9"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Nasly Yeana Mosquera Rivas</w:t>
            </w:r>
          </w:p>
          <w:p w14:paraId="54567E88"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Analista T2–06 de la Subdirección de Gestión Contractual</w:t>
            </w:r>
          </w:p>
        </w:tc>
      </w:tr>
      <w:tr w:rsidR="00C21B4D" w:rsidRPr="00F50E68" w14:paraId="222606A3" w14:textId="77777777" w:rsidTr="00D57AB5">
        <w:trPr>
          <w:trHeight w:val="299"/>
        </w:trPr>
        <w:tc>
          <w:tcPr>
            <w:tcW w:w="901" w:type="dxa"/>
            <w:vAlign w:val="center"/>
          </w:tcPr>
          <w:p w14:paraId="7BF04780"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BF3FA00" w14:textId="77777777" w:rsidR="00C21B4D" w:rsidRPr="00F50E68" w:rsidRDefault="00C21B4D" w:rsidP="00D57AB5">
            <w:pPr>
              <w:rPr>
                <w:rFonts w:ascii="Verdana" w:hAnsi="Verdana" w:cs="Arial"/>
                <w:sz w:val="14"/>
                <w:szCs w:val="14"/>
                <w:lang w:eastAsia="es-ES"/>
              </w:rPr>
            </w:pPr>
            <w:r>
              <w:rPr>
                <w:rFonts w:ascii="Verdana" w:hAnsi="Verdana" w:cs="Arial"/>
                <w:sz w:val="14"/>
                <w:szCs w:val="14"/>
                <w:lang w:eastAsia="es-ES"/>
              </w:rPr>
              <w:t>Adriana Katerine López Rodríguez</w:t>
            </w:r>
          </w:p>
          <w:p w14:paraId="69CABF9E"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Contratista de la Subdirección de Gestión Contractual</w:t>
            </w:r>
          </w:p>
        </w:tc>
      </w:tr>
      <w:tr w:rsidR="00C21B4D" w:rsidRPr="00F50E68" w14:paraId="30C5EE59" w14:textId="77777777" w:rsidTr="00D57AB5">
        <w:trPr>
          <w:trHeight w:val="272"/>
        </w:trPr>
        <w:tc>
          <w:tcPr>
            <w:tcW w:w="901" w:type="dxa"/>
            <w:vAlign w:val="center"/>
            <w:hideMark/>
          </w:tcPr>
          <w:p w14:paraId="27D966D2"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A4A4454"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Carolina Quintero Gacharná</w:t>
            </w:r>
          </w:p>
          <w:p w14:paraId="6E2C33A3" w14:textId="77777777" w:rsidR="00C21B4D" w:rsidRPr="00F50E68" w:rsidRDefault="00C21B4D" w:rsidP="00D57AB5">
            <w:pPr>
              <w:rPr>
                <w:rFonts w:ascii="Verdana" w:hAnsi="Verdana" w:cs="Arial"/>
                <w:sz w:val="14"/>
                <w:szCs w:val="14"/>
                <w:lang w:eastAsia="es-ES"/>
              </w:rPr>
            </w:pPr>
            <w:r w:rsidRPr="00F50E68">
              <w:rPr>
                <w:rFonts w:ascii="Verdana" w:hAnsi="Verdana" w:cs="Arial"/>
                <w:sz w:val="14"/>
                <w:szCs w:val="14"/>
                <w:lang w:eastAsia="es-ES"/>
              </w:rPr>
              <w:t>Subdirectora de Gestión Contractual ANCP – CCE</w:t>
            </w:r>
          </w:p>
        </w:tc>
      </w:tr>
    </w:tbl>
    <w:p w14:paraId="3455A92B" w14:textId="77777777" w:rsidR="00C21B4D" w:rsidRPr="00F50E68" w:rsidRDefault="00C21B4D" w:rsidP="00C21B4D">
      <w:pPr>
        <w:spacing w:after="0" w:line="240" w:lineRule="auto"/>
        <w:rPr>
          <w:rFonts w:ascii="Verdana" w:eastAsia="Times New Roman" w:hAnsi="Verdana" w:cs="Arial"/>
          <w:sz w:val="24"/>
          <w:szCs w:val="24"/>
          <w:lang w:eastAsia="es-ES"/>
        </w:rPr>
      </w:pPr>
    </w:p>
    <w:p w14:paraId="5547B27B" w14:textId="77777777" w:rsidR="00C21B4D" w:rsidRPr="00F50E68" w:rsidRDefault="00C21B4D" w:rsidP="00C21B4D">
      <w:pPr>
        <w:rPr>
          <w:rFonts w:ascii="Verdana" w:hAnsi="Verdana"/>
        </w:rPr>
      </w:pPr>
    </w:p>
    <w:p w14:paraId="3A970D0C" w14:textId="77777777" w:rsidR="00C21B4D" w:rsidRPr="00F50E68" w:rsidRDefault="00C21B4D" w:rsidP="00C21B4D">
      <w:pPr>
        <w:spacing w:after="0"/>
        <w:jc w:val="both"/>
        <w:rPr>
          <w:rFonts w:ascii="Verdana" w:hAnsi="Verdana"/>
        </w:rPr>
      </w:pPr>
    </w:p>
    <w:p w14:paraId="4FDC6292" w14:textId="77777777" w:rsidR="00C21B4D" w:rsidRPr="000E2B93" w:rsidRDefault="00C21B4D" w:rsidP="00C21B4D">
      <w:pPr>
        <w:spacing w:after="0" w:line="240" w:lineRule="auto"/>
        <w:jc w:val="both"/>
        <w:textAlignment w:val="baseline"/>
        <w:rPr>
          <w:rFonts w:ascii="Verdana" w:eastAsia="Verdana" w:hAnsi="Verdana" w:cs="Verdana"/>
          <w:lang w:eastAsia="es-CO"/>
        </w:rPr>
      </w:pPr>
    </w:p>
    <w:p w14:paraId="54BE5361" w14:textId="686DE364" w:rsidR="00C21B4D" w:rsidRPr="000E2B93" w:rsidRDefault="00C21B4D" w:rsidP="00C21B4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4B6C6B72" w14:textId="77777777" w:rsidR="008E5C2E" w:rsidRDefault="008E5C2E"/>
    <w:sectPr w:rsidR="008E5C2E" w:rsidSect="00C21B4D">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218DF" w14:textId="77777777" w:rsidR="00524513" w:rsidRDefault="00524513" w:rsidP="00C21B4D">
      <w:pPr>
        <w:spacing w:after="0" w:line="240" w:lineRule="auto"/>
      </w:pPr>
      <w:r>
        <w:separator/>
      </w:r>
    </w:p>
  </w:endnote>
  <w:endnote w:type="continuationSeparator" w:id="0">
    <w:p w14:paraId="43C57ABB" w14:textId="77777777" w:rsidR="00524513" w:rsidRDefault="00524513" w:rsidP="00C21B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07889" w14:textId="77777777" w:rsidR="00C21B4D" w:rsidRDefault="00C21B4D">
    <w:pPr>
      <w:pStyle w:val="Piedepgina"/>
    </w:pPr>
  </w:p>
  <w:p w14:paraId="78DD0020" w14:textId="77777777" w:rsidR="00C21B4D" w:rsidRPr="00174B77" w:rsidRDefault="00C21B4D"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15ABC17" w14:textId="77777777" w:rsidR="00C21B4D" w:rsidRDefault="00C21B4D"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0EEB0EC" w14:textId="77777777" w:rsidR="00C21B4D" w:rsidRPr="00E41027" w:rsidRDefault="00C21B4D"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0061D2A" w14:textId="77777777" w:rsidR="00C21B4D" w:rsidRDefault="00C21B4D"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E967F" w14:textId="77777777" w:rsidR="00524513" w:rsidRDefault="00524513" w:rsidP="00C21B4D">
      <w:pPr>
        <w:spacing w:after="0" w:line="240" w:lineRule="auto"/>
      </w:pPr>
      <w:r>
        <w:separator/>
      </w:r>
    </w:p>
  </w:footnote>
  <w:footnote w:type="continuationSeparator" w:id="0">
    <w:p w14:paraId="71E02BD2" w14:textId="77777777" w:rsidR="00524513" w:rsidRDefault="00524513" w:rsidP="00C21B4D">
      <w:pPr>
        <w:spacing w:after="0" w:line="240" w:lineRule="auto"/>
      </w:pPr>
      <w:r>
        <w:continuationSeparator/>
      </w:r>
    </w:p>
  </w:footnote>
  <w:footnote w:id="1">
    <w:p w14:paraId="41D68B40" w14:textId="77777777" w:rsidR="00C21B4D" w:rsidRPr="00C34D00" w:rsidRDefault="00C21B4D" w:rsidP="00C21B4D">
      <w:pPr>
        <w:pStyle w:val="Textonotapie"/>
        <w:ind w:firstLine="708"/>
        <w:jc w:val="both"/>
        <w:rPr>
          <w:rFonts w:ascii="Verdana" w:hAnsi="Verdana" w:cs="Arial"/>
          <w:sz w:val="14"/>
          <w:szCs w:val="14"/>
        </w:rPr>
      </w:pPr>
      <w:r w:rsidRPr="00C34D00">
        <w:rPr>
          <w:rStyle w:val="Refdenotaalpie"/>
          <w:rFonts w:ascii="Verdana" w:hAnsi="Verdana" w:cs="Arial"/>
          <w:sz w:val="14"/>
          <w:szCs w:val="14"/>
        </w:rPr>
        <w:footnoteRef/>
      </w:r>
      <w:r w:rsidRPr="00C34D00">
        <w:rPr>
          <w:rFonts w:ascii="Verdana" w:hAnsi="Verdana" w:cs="Arial"/>
          <w:sz w:val="14"/>
          <w:szCs w:val="14"/>
        </w:rPr>
        <w:t xml:space="preserve"> El numeral 2 del artículo 2 de la Ley 1150 de 2007 prescribe: “[…] Serán causales de selección abreviada las siguientes:</w:t>
      </w:r>
    </w:p>
    <w:p w14:paraId="5EA8FF00"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144B7A4B"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2E9F5A2D"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b) La contratación de menor cuantía. Se entenderá por menor cuantía los valores que a continuación se relacionan, determinados en función de los presupuestos anuales de las entidades públicas expresados en salarios mínimos legales mensuales.</w:t>
      </w:r>
    </w:p>
    <w:p w14:paraId="32533C67"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w:t>
      </w:r>
    </w:p>
    <w:p w14:paraId="3E40FCE8"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5E3320AE"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d) La contratación cuyo proceso de licitación pública haya sido declarado desierto; en cuyo caso la entidad deberá iniciar la selección abreviada dentro de los cuatro meses siguientes a la declaración de desierta del proceso inicial;</w:t>
      </w:r>
    </w:p>
    <w:p w14:paraId="6A79893A"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e) La enajenación de bienes del Estado, con excepción de aquellos a que se refiere la Ley 226 de 1995.</w:t>
      </w:r>
    </w:p>
    <w:p w14:paraId="539263FD"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 xml:space="preserve">[…]; </w:t>
      </w:r>
    </w:p>
    <w:p w14:paraId="3212CCA9"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 xml:space="preserve">f) Productos de origen o destinación agropecuarios que se ofrezcan en las bolsas de productos legalmente constituidas; </w:t>
      </w:r>
    </w:p>
    <w:p w14:paraId="16422A84"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0365C97F"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72EFC1CF"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i) La contratación de bienes y servicios que se requieran para la defensa y seguridad nacional.</w:t>
      </w:r>
    </w:p>
    <w:p w14:paraId="72EB16A3" w14:textId="77777777" w:rsidR="00C21B4D" w:rsidRPr="00C34D00" w:rsidRDefault="00C21B4D" w:rsidP="00C21B4D">
      <w:pPr>
        <w:pStyle w:val="Textonotapie"/>
        <w:ind w:firstLine="708"/>
        <w:jc w:val="both"/>
        <w:rPr>
          <w:rFonts w:ascii="Verdana" w:hAnsi="Verdana" w:cs="Arial"/>
          <w:sz w:val="14"/>
          <w:szCs w:val="14"/>
        </w:rPr>
      </w:pPr>
      <w:r w:rsidRPr="00C34D00">
        <w:rPr>
          <w:rFonts w:ascii="Verdana" w:hAnsi="Verdana" w:cs="Arial"/>
          <w:sz w:val="14"/>
          <w:szCs w:val="14"/>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04F8B" w14:textId="77777777" w:rsidR="00C21B4D" w:rsidRDefault="00C21B4D"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7FC7B18" wp14:editId="1C0B1A9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107E8A5" wp14:editId="5775015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58869BA" w14:textId="77777777" w:rsidR="00C21B4D" w:rsidRDefault="00C21B4D">
    <w:pPr>
      <w:pStyle w:val="Encabezado"/>
    </w:pPr>
  </w:p>
  <w:p w14:paraId="4D4CE36E" w14:textId="77777777" w:rsidR="00C21B4D" w:rsidRPr="004A305D" w:rsidRDefault="00C21B4D" w:rsidP="00B01B1A">
    <w:pPr>
      <w:spacing w:after="0" w:line="120" w:lineRule="auto"/>
      <w:rPr>
        <w:rFonts w:ascii="Century Gothic" w:eastAsia="Geo" w:hAnsi="Century Gothic" w:cs="Geo"/>
        <w:sz w:val="16"/>
        <w:szCs w:val="16"/>
        <w:lang w:eastAsia="es-CO"/>
      </w:rPr>
    </w:pPr>
  </w:p>
  <w:p w14:paraId="19BDCB27" w14:textId="77777777" w:rsidR="00C21B4D" w:rsidRDefault="00C21B4D" w:rsidP="00844AE9">
    <w:pPr>
      <w:spacing w:after="0" w:line="240" w:lineRule="auto"/>
      <w:rPr>
        <w:rFonts w:ascii="Verdana" w:hAnsi="Verdana"/>
        <w:sz w:val="24"/>
        <w:szCs w:val="24"/>
      </w:rPr>
    </w:pPr>
  </w:p>
  <w:p w14:paraId="212768FE" w14:textId="77777777" w:rsidR="00C21B4D" w:rsidRPr="00C925AC" w:rsidRDefault="00C21B4D" w:rsidP="00844AE9">
    <w:pPr>
      <w:spacing w:after="0" w:line="240" w:lineRule="auto"/>
      <w:rPr>
        <w:rFonts w:ascii="Verdana" w:hAnsi="Verdana"/>
        <w:sz w:val="24"/>
        <w:szCs w:val="24"/>
      </w:rPr>
    </w:pPr>
  </w:p>
  <w:p w14:paraId="7FF3993C" w14:textId="77777777" w:rsidR="00C21B4D" w:rsidRPr="00C925AC" w:rsidRDefault="00C21B4D"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B4D"/>
    <w:rsid w:val="00472D72"/>
    <w:rsid w:val="00524513"/>
    <w:rsid w:val="005727E1"/>
    <w:rsid w:val="005818E2"/>
    <w:rsid w:val="00627466"/>
    <w:rsid w:val="008E5C2E"/>
    <w:rsid w:val="00A66B4E"/>
    <w:rsid w:val="00C21B4D"/>
    <w:rsid w:val="00DD7177"/>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8CBB9"/>
  <w15:chartTrackingRefBased/>
  <w15:docId w15:val="{75BF156B-2E2A-4A74-8CBF-A58C2C78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B4D"/>
    <w:rPr>
      <w:kern w:val="0"/>
      <w14:ligatures w14:val="none"/>
    </w:rPr>
  </w:style>
  <w:style w:type="paragraph" w:styleId="Ttulo1">
    <w:name w:val="heading 1"/>
    <w:basedOn w:val="Normal"/>
    <w:next w:val="Normal"/>
    <w:link w:val="Ttulo1Car"/>
    <w:uiPriority w:val="9"/>
    <w:qFormat/>
    <w:rsid w:val="00C21B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21B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21B4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21B4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21B4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21B4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21B4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21B4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21B4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1B4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21B4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21B4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21B4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21B4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21B4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21B4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21B4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21B4D"/>
    <w:rPr>
      <w:rFonts w:eastAsiaTheme="majorEastAsia" w:cstheme="majorBidi"/>
      <w:color w:val="272727" w:themeColor="text1" w:themeTint="D8"/>
    </w:rPr>
  </w:style>
  <w:style w:type="paragraph" w:styleId="Ttulo">
    <w:name w:val="Title"/>
    <w:basedOn w:val="Normal"/>
    <w:next w:val="Normal"/>
    <w:link w:val="TtuloCar"/>
    <w:uiPriority w:val="10"/>
    <w:qFormat/>
    <w:rsid w:val="00C21B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21B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21B4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21B4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21B4D"/>
    <w:pPr>
      <w:spacing w:before="160"/>
      <w:jc w:val="center"/>
    </w:pPr>
    <w:rPr>
      <w:i/>
      <w:iCs/>
      <w:color w:val="404040" w:themeColor="text1" w:themeTint="BF"/>
    </w:rPr>
  </w:style>
  <w:style w:type="character" w:customStyle="1" w:styleId="CitaCar">
    <w:name w:val="Cita Car"/>
    <w:basedOn w:val="Fuentedeprrafopredeter"/>
    <w:link w:val="Cita"/>
    <w:uiPriority w:val="29"/>
    <w:rsid w:val="00C21B4D"/>
    <w:rPr>
      <w:i/>
      <w:iCs/>
      <w:color w:val="404040" w:themeColor="text1" w:themeTint="BF"/>
    </w:rPr>
  </w:style>
  <w:style w:type="paragraph" w:styleId="Prrafodelista">
    <w:name w:val="List Paragraph"/>
    <w:basedOn w:val="Normal"/>
    <w:uiPriority w:val="34"/>
    <w:qFormat/>
    <w:rsid w:val="00C21B4D"/>
    <w:pPr>
      <w:ind w:left="720"/>
      <w:contextualSpacing/>
    </w:pPr>
  </w:style>
  <w:style w:type="character" w:styleId="nfasisintenso">
    <w:name w:val="Intense Emphasis"/>
    <w:basedOn w:val="Fuentedeprrafopredeter"/>
    <w:uiPriority w:val="21"/>
    <w:qFormat/>
    <w:rsid w:val="00C21B4D"/>
    <w:rPr>
      <w:i/>
      <w:iCs/>
      <w:color w:val="0F4761" w:themeColor="accent1" w:themeShade="BF"/>
    </w:rPr>
  </w:style>
  <w:style w:type="paragraph" w:styleId="Citadestacada">
    <w:name w:val="Intense Quote"/>
    <w:basedOn w:val="Normal"/>
    <w:next w:val="Normal"/>
    <w:link w:val="CitadestacadaCar"/>
    <w:uiPriority w:val="30"/>
    <w:qFormat/>
    <w:rsid w:val="00C21B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21B4D"/>
    <w:rPr>
      <w:i/>
      <w:iCs/>
      <w:color w:val="0F4761" w:themeColor="accent1" w:themeShade="BF"/>
    </w:rPr>
  </w:style>
  <w:style w:type="character" w:styleId="Referenciaintensa">
    <w:name w:val="Intense Reference"/>
    <w:basedOn w:val="Fuentedeprrafopredeter"/>
    <w:uiPriority w:val="32"/>
    <w:qFormat/>
    <w:rsid w:val="00C21B4D"/>
    <w:rPr>
      <w:b/>
      <w:bCs/>
      <w:smallCaps/>
      <w:color w:val="0F4761" w:themeColor="accent1" w:themeShade="BF"/>
      <w:spacing w:val="5"/>
    </w:rPr>
  </w:style>
  <w:style w:type="paragraph" w:styleId="Encabezado">
    <w:name w:val="header"/>
    <w:basedOn w:val="Normal"/>
    <w:link w:val="EncabezadoCar"/>
    <w:uiPriority w:val="99"/>
    <w:unhideWhenUsed/>
    <w:rsid w:val="00C21B4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21B4D"/>
    <w:rPr>
      <w:kern w:val="0"/>
      <w14:ligatures w14:val="none"/>
    </w:rPr>
  </w:style>
  <w:style w:type="paragraph" w:styleId="Piedepgina">
    <w:name w:val="footer"/>
    <w:basedOn w:val="Normal"/>
    <w:link w:val="PiedepginaCar"/>
    <w:uiPriority w:val="99"/>
    <w:unhideWhenUsed/>
    <w:rsid w:val="00C21B4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1B4D"/>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21B4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C21B4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21B4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21B4D"/>
    <w:rPr>
      <w:vertAlign w:val="superscript"/>
    </w:rPr>
  </w:style>
  <w:style w:type="character" w:customStyle="1" w:styleId="normaltextrun">
    <w:name w:val="normaltextrun"/>
    <w:basedOn w:val="Fuentedeprrafopredeter"/>
    <w:rsid w:val="00C21B4D"/>
  </w:style>
  <w:style w:type="table" w:styleId="Tablaconcuadrcula">
    <w:name w:val="Table Grid"/>
    <w:basedOn w:val="Tablanormal"/>
    <w:uiPriority w:val="39"/>
    <w:qFormat/>
    <w:rsid w:val="00C21B4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1B4D"/>
    <w:rPr>
      <w:color w:val="0000FF"/>
      <w:u w:val="single"/>
    </w:rPr>
  </w:style>
  <w:style w:type="paragraph" w:customStyle="1" w:styleId="Appelnotedebasde">
    <w:name w:val="Appel note de bas de..."/>
    <w:basedOn w:val="Normal"/>
    <w:link w:val="Refdenotaalpie"/>
    <w:uiPriority w:val="99"/>
    <w:rsid w:val="00C21B4D"/>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C21B4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documento/documentos-tipo-de-infraestructura-de-transporte-en-la-modalidad-de-seleccion-abreviada-de-menor-cuantia"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odesjf@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83B4ED8-4221-4437-A8C4-1702A264C8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D99900-B264-4D74-9E21-65CA9B628D27}">
  <ds:schemaRefs>
    <ds:schemaRef ds:uri="http://schemas.microsoft.com/sharepoint/v3/contenttype/forms"/>
  </ds:schemaRefs>
</ds:datastoreItem>
</file>

<file path=customXml/itemProps3.xml><?xml version="1.0" encoding="utf-8"?>
<ds:datastoreItem xmlns:ds="http://schemas.openxmlformats.org/officeDocument/2006/customXml" ds:itemID="{FC7B78CE-E935-48F8-9AB6-8927FCFEE0C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2986</Words>
  <Characters>16426</Characters>
  <Application>Microsoft Office Word</Application>
  <DocSecurity>0</DocSecurity>
  <Lines>136</Lines>
  <Paragraphs>38</Paragraphs>
  <ScaleCrop>false</ScaleCrop>
  <Company/>
  <LinksUpToDate>false</LinksUpToDate>
  <CharactersWithSpaces>19374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2026-05-04T20:38:00Z</dcterms:created>
  <dcterms:modified xsi:type="dcterms:W3CDTF">2026-05-04T20:38:00Z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