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A3FBA" w14:textId="77777777" w:rsidR="00FE195F" w:rsidRPr="00FE195F" w:rsidRDefault="00FE195F" w:rsidP="00FE195F">
      <w:pPr>
        <w:spacing w:after="0" w:line="240" w:lineRule="auto"/>
        <w:jc w:val="both"/>
        <w:rPr>
          <w:rFonts w:ascii="Verdana" w:eastAsia="Aptos" w:hAnsi="Verdana" w:cs="Arial"/>
          <w:b/>
          <w:kern w:val="0"/>
          <w:lang w:val="es-MX"/>
          <w14:ligatures w14:val="none"/>
        </w:rPr>
      </w:pPr>
      <w:bookmarkStart w:id="0" w:name="_Hlk143780582"/>
      <w:r w:rsidRPr="00FE195F">
        <w:rPr>
          <w:rFonts w:ascii="Verdana" w:eastAsia="Aptos" w:hAnsi="Verdana" w:cs="Arial"/>
          <w:b/>
          <w:kern w:val="0"/>
          <w:lang w:val="es-MX"/>
          <w14:ligatures w14:val="none"/>
        </w:rPr>
        <w:t xml:space="preserve">DEFINICIÓN DE LA SITUACIÓN MILITAR – Situaciones en las que procede – Contratos de prestación de servicios – Personas naturales </w:t>
      </w:r>
    </w:p>
    <w:p w14:paraId="3B7B8029" w14:textId="77777777" w:rsidR="00FE195F" w:rsidRPr="00FE195F" w:rsidRDefault="00FE195F" w:rsidP="00FE195F">
      <w:pPr>
        <w:spacing w:after="0" w:line="240" w:lineRule="auto"/>
        <w:jc w:val="both"/>
        <w:rPr>
          <w:rFonts w:ascii="Verdana" w:eastAsia="Aptos" w:hAnsi="Verdana" w:cs="Arial"/>
          <w:b/>
          <w:kern w:val="0"/>
          <w:sz w:val="20"/>
          <w:szCs w:val="20"/>
          <w:lang w:val="es-MX"/>
          <w14:ligatures w14:val="none"/>
        </w:rPr>
      </w:pPr>
    </w:p>
    <w:p w14:paraId="0BF08A94" w14:textId="77777777" w:rsidR="00FE195F" w:rsidRPr="00FE195F" w:rsidRDefault="00FE195F" w:rsidP="00FE195F">
      <w:pPr>
        <w:spacing w:after="0" w:line="240" w:lineRule="auto"/>
        <w:jc w:val="both"/>
        <w:rPr>
          <w:rFonts w:ascii="Verdana" w:eastAsia="Aptos" w:hAnsi="Verdana" w:cs="Arial"/>
          <w:bCs/>
          <w:kern w:val="0"/>
          <w:sz w:val="20"/>
          <w:szCs w:val="20"/>
          <w:lang w:val="es-MX"/>
          <w14:ligatures w14:val="none"/>
        </w:rPr>
      </w:pPr>
      <w:r w:rsidRPr="00FE195F">
        <w:rPr>
          <w:rFonts w:ascii="Verdana" w:eastAsia="Aptos" w:hAnsi="Verdana" w:cs="Arial"/>
          <w:bCs/>
          <w:kern w:val="0"/>
          <w:sz w:val="20"/>
          <w:szCs w:val="20"/>
          <w:lang w:val="es-MX"/>
          <w14:ligatures w14:val="none"/>
        </w:rPr>
        <w:t xml:space="preserve">[…] el artículo 42 de la Ley 1861 de 2017 dispone en su primer inciso que la situación militar se deberá acreditar en tres eventos: i) para ejercer cargos públicos, </w:t>
      </w:r>
      <w:proofErr w:type="spellStart"/>
      <w:r w:rsidRPr="00FE195F">
        <w:rPr>
          <w:rFonts w:ascii="Verdana" w:eastAsia="Aptos" w:hAnsi="Verdana" w:cs="Arial"/>
          <w:bCs/>
          <w:kern w:val="0"/>
          <w:sz w:val="20"/>
          <w:szCs w:val="20"/>
          <w:lang w:val="es-MX"/>
          <w14:ligatures w14:val="none"/>
        </w:rPr>
        <w:t>ii</w:t>
      </w:r>
      <w:proofErr w:type="spellEnd"/>
      <w:r w:rsidRPr="00FE195F">
        <w:rPr>
          <w:rFonts w:ascii="Verdana" w:eastAsia="Aptos" w:hAnsi="Verdana" w:cs="Arial"/>
          <w:bCs/>
          <w:kern w:val="0"/>
          <w:sz w:val="20"/>
          <w:szCs w:val="20"/>
          <w:lang w:val="es-MX"/>
          <w14:ligatures w14:val="none"/>
        </w:rPr>
        <w:t xml:space="preserve">) trabajar en el sector privado y </w:t>
      </w:r>
      <w:proofErr w:type="spellStart"/>
      <w:r w:rsidRPr="00FE195F">
        <w:rPr>
          <w:rFonts w:ascii="Verdana" w:eastAsia="Aptos" w:hAnsi="Verdana" w:cs="Arial"/>
          <w:bCs/>
          <w:kern w:val="0"/>
          <w:sz w:val="20"/>
          <w:szCs w:val="20"/>
          <w:lang w:val="es-MX"/>
          <w14:ligatures w14:val="none"/>
        </w:rPr>
        <w:t>iii</w:t>
      </w:r>
      <w:proofErr w:type="spellEnd"/>
      <w:r w:rsidRPr="00FE195F">
        <w:rPr>
          <w:rFonts w:ascii="Verdana" w:eastAsia="Aptos" w:hAnsi="Verdana" w:cs="Arial"/>
          <w:bCs/>
          <w:kern w:val="0"/>
          <w:sz w:val="20"/>
          <w:szCs w:val="20"/>
          <w:lang w:val="es-MX"/>
          <w14:ligatures w14:val="none"/>
        </w:rPr>
        <w:t xml:space="preserve">) celebrar contratos de prestación de servicios como persona natural con cualquier entidad de derecho público. Sin embargo, 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varones de nacionalidad colombiana. </w:t>
      </w:r>
    </w:p>
    <w:p w14:paraId="2600FDEC" w14:textId="77777777" w:rsidR="00FE195F" w:rsidRPr="00FE195F" w:rsidRDefault="00FE195F" w:rsidP="00FE195F">
      <w:pPr>
        <w:spacing w:after="0" w:line="240" w:lineRule="auto"/>
        <w:jc w:val="both"/>
        <w:rPr>
          <w:rFonts w:ascii="Verdana" w:eastAsia="Aptos" w:hAnsi="Verdana" w:cs="Arial"/>
          <w:bCs/>
          <w:kern w:val="0"/>
          <w:sz w:val="20"/>
          <w:szCs w:val="20"/>
          <w:lang w:val="es-MX"/>
          <w14:ligatures w14:val="none"/>
        </w:rPr>
      </w:pPr>
    </w:p>
    <w:p w14:paraId="0F1A1C61" w14:textId="77777777" w:rsidR="00FE195F" w:rsidRPr="00FE195F" w:rsidRDefault="00FE195F" w:rsidP="00FE195F">
      <w:pPr>
        <w:spacing w:after="0" w:line="240" w:lineRule="auto"/>
        <w:jc w:val="both"/>
        <w:rPr>
          <w:rFonts w:ascii="Verdana" w:eastAsia="Aptos" w:hAnsi="Verdana" w:cs="Arial"/>
          <w:bCs/>
          <w:kern w:val="0"/>
          <w:sz w:val="20"/>
          <w:szCs w:val="20"/>
          <w:lang w:val="es-MX"/>
          <w14:ligatures w14:val="none"/>
        </w:rPr>
      </w:pPr>
      <w:r w:rsidRPr="00FE195F">
        <w:rPr>
          <w:rFonts w:ascii="Verdana" w:eastAsia="Aptos" w:hAnsi="Verdana" w:cs="Arial"/>
          <w:bCs/>
          <w:kern w:val="0"/>
          <w:sz w:val="20"/>
          <w:szCs w:val="20"/>
          <w:lang w:val="es-MX"/>
          <w14:ligatures w14:val="none"/>
        </w:rPr>
        <w:t xml:space="preserve">Esta conclusión implica que, para la celebración de contratos distintos del de prestación de servicios–v.g. obra pública, consultoría, </w:t>
      </w:r>
      <w:proofErr w:type="spellStart"/>
      <w:r w:rsidRPr="00FE195F">
        <w:rPr>
          <w:rFonts w:ascii="Verdana" w:eastAsia="Aptos" w:hAnsi="Verdana" w:cs="Arial"/>
          <w:bCs/>
          <w:kern w:val="0"/>
          <w:sz w:val="20"/>
          <w:szCs w:val="20"/>
          <w:lang w:val="es-MX"/>
          <w14:ligatures w14:val="none"/>
        </w:rPr>
        <w:t>etc</w:t>
      </w:r>
      <w:proofErr w:type="spellEnd"/>
      <w:r w:rsidRPr="00FE195F">
        <w:rPr>
          <w:rFonts w:ascii="Verdana" w:eastAsia="Aptos" w:hAnsi="Verdana" w:cs="Arial"/>
          <w:bCs/>
          <w:kern w:val="0"/>
          <w:sz w:val="20"/>
          <w:szCs w:val="20"/>
          <w:lang w:val="es-MX"/>
          <w14:ligatures w14:val="none"/>
        </w:rPr>
        <w:t>–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w:t>
      </w:r>
    </w:p>
    <w:p w14:paraId="77BF8050" w14:textId="77777777" w:rsidR="00FE195F" w:rsidRPr="00FE195F" w:rsidRDefault="00FE195F" w:rsidP="00FE195F">
      <w:pPr>
        <w:spacing w:after="0" w:line="240" w:lineRule="auto"/>
        <w:jc w:val="both"/>
        <w:rPr>
          <w:rFonts w:ascii="Verdana" w:eastAsia="Aptos" w:hAnsi="Verdana" w:cs="Arial"/>
          <w:b/>
          <w:kern w:val="0"/>
          <w:sz w:val="20"/>
          <w:szCs w:val="20"/>
          <w:lang w:val="es-MX"/>
          <w14:ligatures w14:val="none"/>
        </w:rPr>
      </w:pPr>
    </w:p>
    <w:p w14:paraId="08AA7D6B" w14:textId="77777777" w:rsidR="00FE195F" w:rsidRPr="00FE195F" w:rsidRDefault="00FE195F" w:rsidP="00FE195F">
      <w:pPr>
        <w:spacing w:after="0" w:line="240" w:lineRule="auto"/>
        <w:jc w:val="both"/>
        <w:rPr>
          <w:rFonts w:ascii="Verdana" w:eastAsia="Aptos" w:hAnsi="Verdana" w:cs="Arial"/>
          <w:b/>
          <w:kern w:val="0"/>
          <w:sz w:val="20"/>
          <w:szCs w:val="20"/>
          <w:lang w:val="es-MX"/>
          <w14:ligatures w14:val="none"/>
        </w:rPr>
      </w:pPr>
      <w:r w:rsidRPr="00FE195F">
        <w:rPr>
          <w:rFonts w:ascii="Verdana" w:eastAsia="Aptos" w:hAnsi="Verdana" w:cs="Arial"/>
          <w:b/>
          <w:kern w:val="0"/>
          <w:sz w:val="20"/>
          <w:szCs w:val="20"/>
          <w:lang w:val="es-MX"/>
          <w14:ligatures w14:val="none"/>
        </w:rPr>
        <w:t>ACREDITACIÓN DE LA SITUACIÓN MILITAR – Medios de prueba</w:t>
      </w:r>
    </w:p>
    <w:p w14:paraId="0F9A2B32" w14:textId="77777777" w:rsidR="00FE195F" w:rsidRPr="00FE195F" w:rsidRDefault="00FE195F" w:rsidP="00FE195F">
      <w:pPr>
        <w:spacing w:after="0" w:line="240" w:lineRule="auto"/>
        <w:jc w:val="both"/>
        <w:rPr>
          <w:rFonts w:ascii="Verdana" w:eastAsia="Aptos" w:hAnsi="Verdana" w:cs="Arial"/>
          <w:bCs/>
          <w:kern w:val="0"/>
          <w:sz w:val="20"/>
          <w:szCs w:val="20"/>
          <w:lang w:val="es-MX"/>
          <w14:ligatures w14:val="none"/>
        </w:rPr>
      </w:pPr>
    </w:p>
    <w:p w14:paraId="2877CEEB" w14:textId="77777777" w:rsidR="00FE195F" w:rsidRPr="00FE195F" w:rsidRDefault="00FE195F" w:rsidP="00FE195F">
      <w:pPr>
        <w:spacing w:after="0" w:line="240" w:lineRule="auto"/>
        <w:jc w:val="both"/>
        <w:rPr>
          <w:rFonts w:ascii="Verdana" w:eastAsia="Aptos" w:hAnsi="Verdana" w:cs="Arial"/>
          <w:bCs/>
          <w:kern w:val="0"/>
          <w:sz w:val="20"/>
          <w:szCs w:val="20"/>
          <w:lang w:val="es-MX"/>
          <w14:ligatures w14:val="none"/>
        </w:rPr>
      </w:pPr>
      <w:r w:rsidRPr="00FE195F">
        <w:rPr>
          <w:rFonts w:ascii="Verdana" w:eastAsia="Aptos" w:hAnsi="Verdana" w:cs="Arial"/>
          <w:bCs/>
          <w:kern w:val="0"/>
          <w:sz w:val="20"/>
          <w:szCs w:val="20"/>
          <w:lang w:val="es-MX"/>
          <w14:ligatures w14:val="none"/>
        </w:rPr>
        <w:t xml:space="preserve">[…] los ciudadanos que pretendan suscribir un contrato de prestación de servicios con una Entidad Estatal podrán acreditar su situación militar de la siguiente manera: i) copia de la libreta militar; o </w:t>
      </w:r>
      <w:proofErr w:type="spellStart"/>
      <w:r w:rsidRPr="00FE195F">
        <w:rPr>
          <w:rFonts w:ascii="Verdana" w:eastAsia="Aptos" w:hAnsi="Verdana" w:cs="Arial"/>
          <w:bCs/>
          <w:kern w:val="0"/>
          <w:sz w:val="20"/>
          <w:szCs w:val="20"/>
          <w:lang w:val="es-MX"/>
          <w14:ligatures w14:val="none"/>
        </w:rPr>
        <w:t>ii</w:t>
      </w:r>
      <w:proofErr w:type="spellEnd"/>
      <w:r w:rsidRPr="00FE195F">
        <w:rPr>
          <w:rFonts w:ascii="Verdana" w:eastAsia="Aptos" w:hAnsi="Verdana" w:cs="Arial"/>
          <w:bCs/>
          <w:kern w:val="0"/>
          <w:sz w:val="20"/>
          <w:szCs w:val="20"/>
          <w:lang w:val="es-MX"/>
          <w14:ligatures w14:val="none"/>
        </w:rPr>
        <w:t xml:space="preserve">) certificación provisional en línea la cual acreditará que su situación militar se encuentra en trámite;  o </w:t>
      </w:r>
      <w:proofErr w:type="spellStart"/>
      <w:r w:rsidRPr="00FE195F">
        <w:rPr>
          <w:rFonts w:ascii="Verdana" w:eastAsia="Aptos" w:hAnsi="Verdana" w:cs="Arial"/>
          <w:bCs/>
          <w:kern w:val="0"/>
          <w:sz w:val="20"/>
          <w:szCs w:val="20"/>
          <w:lang w:val="es-MX"/>
          <w14:ligatures w14:val="none"/>
        </w:rPr>
        <w:t>iii</w:t>
      </w:r>
      <w:proofErr w:type="spellEnd"/>
      <w:r w:rsidRPr="00FE195F">
        <w:rPr>
          <w:rFonts w:ascii="Verdana" w:eastAsia="Aptos" w:hAnsi="Verdana" w:cs="Arial"/>
          <w:bCs/>
          <w:kern w:val="0"/>
          <w:sz w:val="20"/>
          <w:szCs w:val="20"/>
          <w:lang w:val="es-MX"/>
          <w14:ligatures w14:val="none"/>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FE195F">
        <w:rPr>
          <w:rFonts w:ascii="Verdana" w:eastAsia="Aptos" w:hAnsi="Verdana" w:cs="Arial"/>
          <w:bCs/>
          <w:kern w:val="0"/>
          <w:sz w:val="20"/>
          <w:szCs w:val="20"/>
          <w:lang w:val="es-MX"/>
          <w14:ligatures w14:val="none"/>
        </w:rPr>
        <w:t>iv</w:t>
      </w:r>
      <w:proofErr w:type="spellEnd"/>
      <w:r w:rsidRPr="00FE195F">
        <w:rPr>
          <w:rFonts w:ascii="Verdana" w:eastAsia="Aptos" w:hAnsi="Verdana" w:cs="Arial"/>
          <w:bCs/>
          <w:kern w:val="0"/>
          <w:sz w:val="20"/>
          <w:szCs w:val="20"/>
          <w:lang w:val="es-MX"/>
          <w14:ligatures w14:val="none"/>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 La Entidad Estatal contratante deberá estudiar los medios de prueba presentados por el ciudadano, analizando si este cumple o no con los presupuestos indicados en el segundo inciso del artículo 42 de la Ley 1861 de 2017.</w:t>
      </w:r>
    </w:p>
    <w:p w14:paraId="1749D83A" w14:textId="77777777" w:rsidR="00FE195F" w:rsidRPr="00FE195F" w:rsidRDefault="00FE195F" w:rsidP="00FE195F">
      <w:pPr>
        <w:spacing w:after="0" w:line="240" w:lineRule="auto"/>
        <w:rPr>
          <w:rFonts w:ascii="Verdana" w:eastAsia="Aptos" w:hAnsi="Verdana" w:cs="Arial"/>
          <w:bCs/>
          <w:kern w:val="0"/>
          <w:sz w:val="20"/>
          <w:szCs w:val="20"/>
          <w:lang w:val="es-MX"/>
          <w14:ligatures w14:val="none"/>
        </w:rPr>
      </w:pPr>
    </w:p>
    <w:p w14:paraId="06F8EE28" w14:textId="77777777" w:rsidR="00FE195F" w:rsidRPr="00FE195F" w:rsidRDefault="00FE195F" w:rsidP="00FE195F">
      <w:pPr>
        <w:spacing w:after="0" w:line="240" w:lineRule="auto"/>
        <w:rPr>
          <w:rFonts w:ascii="Verdana" w:eastAsia="Aptos" w:hAnsi="Verdana" w:cs="Arial"/>
          <w:bCs/>
          <w:kern w:val="0"/>
          <w:sz w:val="20"/>
          <w:szCs w:val="20"/>
          <w:lang w:val="es-MX"/>
          <w14:ligatures w14:val="none"/>
        </w:rPr>
      </w:pPr>
    </w:p>
    <w:p w14:paraId="16D53A24" w14:textId="77777777" w:rsidR="00FE195F" w:rsidRPr="00FE195F" w:rsidRDefault="00FE195F" w:rsidP="00FE195F">
      <w:pPr>
        <w:spacing w:after="0" w:line="240" w:lineRule="auto"/>
        <w:rPr>
          <w:rFonts w:ascii="Verdana" w:eastAsia="Aptos" w:hAnsi="Verdana" w:cs="Arial"/>
          <w:bCs/>
          <w:kern w:val="0"/>
          <w:sz w:val="20"/>
          <w:szCs w:val="20"/>
          <w:lang w:val="es-MX"/>
          <w14:ligatures w14:val="none"/>
        </w:rPr>
      </w:pPr>
    </w:p>
    <w:p w14:paraId="0D24471B" w14:textId="075FAD2D" w:rsidR="00FE195F" w:rsidRPr="00FE195F" w:rsidRDefault="00FE195F" w:rsidP="00FE195F">
      <w:pPr>
        <w:spacing w:after="0" w:line="240" w:lineRule="auto"/>
        <w:jc w:val="both"/>
        <w:rPr>
          <w:rFonts w:ascii="Verdana" w:eastAsia="Calibri" w:hAnsi="Verdana" w:cs="Arial"/>
          <w:kern w:val="0"/>
          <w:lang w:val="es-ES"/>
          <w14:ligatures w14:val="none"/>
        </w:rPr>
      </w:pPr>
      <w:r w:rsidRPr="00FE195F">
        <w:rPr>
          <w:rFonts w:ascii="Verdana" w:eastAsia="Geomanist Light" w:hAnsi="Verdana" w:cs="Arial"/>
          <w:kern w:val="0"/>
          <w:lang w:val="es-MX"/>
          <w14:ligatures w14:val="none"/>
        </w:rPr>
        <w:lastRenderedPageBreak/>
        <w:t>Bogotá D.C., </w:t>
      </w:r>
      <w:r w:rsidR="009A3369">
        <w:rPr>
          <w:rFonts w:ascii="Verdana" w:eastAsia="Geomanist Light" w:hAnsi="Verdana" w:cs="Arial"/>
          <w:kern w:val="0"/>
          <w:lang w:val="es-MX"/>
          <w14:ligatures w14:val="none"/>
        </w:rPr>
        <w:t xml:space="preserve">06 de mayo de </w:t>
      </w:r>
      <w:r w:rsidR="00C544B4">
        <w:rPr>
          <w:rFonts w:ascii="Verdana" w:eastAsia="Geomanist Light" w:hAnsi="Verdana" w:cs="Arial"/>
          <w:kern w:val="0"/>
          <w:lang w:val="es-MX"/>
          <w14:ligatures w14:val="none"/>
        </w:rPr>
        <w:t>2026</w:t>
      </w:r>
      <w:r w:rsidRPr="00FE195F">
        <w:rPr>
          <w:rFonts w:ascii="Verdana" w:eastAsia="Geomanist Light" w:hAnsi="Verdana" w:cs="Arial"/>
          <w:kern w:val="0"/>
          <w14:ligatures w14:val="none"/>
        </w:rPr>
        <w:t> </w:t>
      </w:r>
    </w:p>
    <w:p w14:paraId="43C889FC" w14:textId="77777777" w:rsidR="00FE195F" w:rsidRDefault="00FE195F" w:rsidP="00FE195F">
      <w:pPr>
        <w:spacing w:after="0" w:line="240" w:lineRule="auto"/>
        <w:rPr>
          <w:rFonts w:ascii="Verdana" w:eastAsia="Calibri" w:hAnsi="Verdana" w:cs="Arial"/>
          <w:kern w:val="0"/>
          <w:lang w:val="es-ES"/>
          <w14:ligatures w14:val="none"/>
        </w:rPr>
      </w:pPr>
    </w:p>
    <w:p w14:paraId="7CFFB255" w14:textId="44E257C5" w:rsidR="00B3284D" w:rsidRPr="00FE195F" w:rsidRDefault="00984F63" w:rsidP="00B3284D">
      <w:pPr>
        <w:spacing w:after="0" w:line="240" w:lineRule="auto"/>
        <w:jc w:val="right"/>
        <w:rPr>
          <w:rFonts w:ascii="Verdana" w:eastAsia="Calibri" w:hAnsi="Verdana" w:cs="Arial"/>
          <w:kern w:val="0"/>
          <w:lang w:val="es-ES"/>
          <w14:ligatures w14:val="none"/>
        </w:rPr>
      </w:pPr>
      <w:r w:rsidRPr="00984F63">
        <w:rPr>
          <w:rFonts w:ascii="Verdana" w:eastAsia="Calibri" w:hAnsi="Verdana" w:cs="Arial"/>
          <w:kern w:val="0"/>
          <w:lang w:val="es-ES"/>
          <w14:ligatures w14:val="none"/>
        </w:rPr>
        <w:drawing>
          <wp:inline distT="0" distB="0" distL="0" distR="0" wp14:anchorId="3A4DFF20" wp14:editId="5D41514E">
            <wp:extent cx="1714739" cy="495369"/>
            <wp:effectExtent l="0" t="0" r="0" b="0"/>
            <wp:docPr id="16376466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646639" name=""/>
                    <pic:cNvPicPr/>
                  </pic:nvPicPr>
                  <pic:blipFill>
                    <a:blip r:embed="rId10"/>
                    <a:stretch>
                      <a:fillRect/>
                    </a:stretch>
                  </pic:blipFill>
                  <pic:spPr>
                    <a:xfrm>
                      <a:off x="0" y="0"/>
                      <a:ext cx="1714739" cy="495369"/>
                    </a:xfrm>
                    <a:prstGeom prst="rect">
                      <a:avLst/>
                    </a:prstGeom>
                  </pic:spPr>
                </pic:pic>
              </a:graphicData>
            </a:graphic>
          </wp:inline>
        </w:drawing>
      </w:r>
    </w:p>
    <w:p w14:paraId="7F6264B5" w14:textId="77777777" w:rsidR="00FE195F" w:rsidRPr="00FE195F" w:rsidRDefault="00FE195F" w:rsidP="00FE195F">
      <w:pPr>
        <w:spacing w:after="0" w:line="240" w:lineRule="auto"/>
        <w:rPr>
          <w:rFonts w:ascii="Verdana" w:eastAsia="Calibri" w:hAnsi="Verdana" w:cs="Arial"/>
          <w:kern w:val="0"/>
          <w:lang w:val="es-ES"/>
          <w14:ligatures w14:val="none"/>
        </w:rPr>
      </w:pPr>
    </w:p>
    <w:p w14:paraId="7CBE5DA0" w14:textId="77777777" w:rsidR="00FE195F" w:rsidRPr="00FE195F" w:rsidRDefault="00FE195F" w:rsidP="00FE195F">
      <w:pPr>
        <w:spacing w:after="0" w:line="240" w:lineRule="auto"/>
        <w:jc w:val="both"/>
        <w:rPr>
          <w:rFonts w:ascii="Verdana" w:eastAsia="Calibri" w:hAnsi="Verdana" w:cs="Arial"/>
          <w:kern w:val="0"/>
          <w:lang w:val="es-ES" w:eastAsia="es-ES"/>
          <w14:ligatures w14:val="none"/>
        </w:rPr>
      </w:pPr>
      <w:r w:rsidRPr="00FE195F">
        <w:rPr>
          <w:rFonts w:ascii="Verdana" w:eastAsia="Calibri" w:hAnsi="Verdana" w:cs="Arial"/>
          <w:kern w:val="0"/>
          <w:lang w:val="es-ES" w:eastAsia="es-ES"/>
          <w14:ligatures w14:val="none"/>
        </w:rPr>
        <w:t>Señor</w:t>
      </w:r>
    </w:p>
    <w:p w14:paraId="2E1AB64B" w14:textId="77777777" w:rsidR="00FE195F" w:rsidRPr="00FE195F" w:rsidRDefault="00FE195F" w:rsidP="00FE195F">
      <w:pPr>
        <w:spacing w:after="0" w:line="240" w:lineRule="auto"/>
        <w:rPr>
          <w:rFonts w:ascii="Verdana" w:eastAsia="Calibri" w:hAnsi="Verdana" w:cs="Arial"/>
          <w:b/>
          <w:bCs/>
          <w:kern w:val="0"/>
          <w:lang w:val="es-ES" w:eastAsia="es-ES"/>
          <w14:ligatures w14:val="none"/>
        </w:rPr>
      </w:pPr>
      <w:r w:rsidRPr="00FE195F">
        <w:rPr>
          <w:rFonts w:ascii="Verdana" w:eastAsia="Calibri" w:hAnsi="Verdana" w:cs="Arial"/>
          <w:b/>
          <w:bCs/>
          <w:kern w:val="0"/>
          <w:lang w:val="es-ES" w:eastAsia="es-ES"/>
          <w14:ligatures w14:val="none"/>
        </w:rPr>
        <w:t>Rafael Hernando Valenzuela Embús</w:t>
      </w:r>
    </w:p>
    <w:p w14:paraId="51D015C4" w14:textId="77777777" w:rsidR="00FE195F" w:rsidRPr="00FE195F" w:rsidRDefault="00FE195F" w:rsidP="00FE195F">
      <w:pPr>
        <w:spacing w:after="0" w:line="240" w:lineRule="auto"/>
        <w:rPr>
          <w:rFonts w:ascii="Verdana" w:eastAsia="Aptos" w:hAnsi="Verdana" w:cs="Arial"/>
          <w:kern w:val="0"/>
          <w14:ligatures w14:val="none"/>
        </w:rPr>
      </w:pPr>
      <w:hyperlink r:id="rId11" w:history="1">
        <w:r w:rsidRPr="00FE195F">
          <w:rPr>
            <w:rFonts w:ascii="Verdana" w:eastAsia="Aptos" w:hAnsi="Verdana" w:cs="Arial"/>
            <w:color w:val="467886"/>
            <w:kern w:val="0"/>
            <w:u w:val="single"/>
            <w14:ligatures w14:val="none"/>
          </w:rPr>
          <w:t>rafaelhernandovalenzuelaembus@gmail.com</w:t>
        </w:r>
      </w:hyperlink>
      <w:r w:rsidRPr="00FE195F">
        <w:rPr>
          <w:rFonts w:ascii="Verdana" w:eastAsia="Aptos" w:hAnsi="Verdana" w:cs="Arial"/>
          <w:kern w:val="0"/>
          <w14:ligatures w14:val="none"/>
        </w:rPr>
        <w:t xml:space="preserve"> </w:t>
      </w:r>
    </w:p>
    <w:p w14:paraId="36DFD4B9" w14:textId="77777777" w:rsidR="00FE195F" w:rsidRPr="00FE195F" w:rsidRDefault="00FE195F" w:rsidP="00FE195F">
      <w:pPr>
        <w:spacing w:after="0" w:line="240" w:lineRule="auto"/>
        <w:rPr>
          <w:rFonts w:ascii="Verdana" w:eastAsia="Calibri" w:hAnsi="Verdana" w:cs="Arial"/>
          <w:b/>
          <w:bCs/>
          <w:kern w:val="0"/>
          <w:lang w:val="es-ES" w:eastAsia="es-ES"/>
          <w14:ligatures w14:val="none"/>
        </w:rPr>
      </w:pPr>
      <w:r w:rsidRPr="00FE195F">
        <w:rPr>
          <w:rFonts w:ascii="Verdana" w:eastAsia="Calibri" w:hAnsi="Verdana" w:cs="Arial"/>
          <w:kern w:val="0"/>
          <w:lang w:val="es-ES" w:eastAsia="es-ES"/>
          <w14:ligatures w14:val="none"/>
        </w:rPr>
        <w:t>La Plata, Huila</w:t>
      </w:r>
    </w:p>
    <w:p w14:paraId="43F092DA" w14:textId="77777777" w:rsidR="00FE195F" w:rsidRPr="00FE195F" w:rsidRDefault="00FE195F" w:rsidP="00FE195F">
      <w:pPr>
        <w:spacing w:after="0" w:line="240" w:lineRule="auto"/>
        <w:rPr>
          <w:rFonts w:ascii="Verdana" w:eastAsia="Calibri" w:hAnsi="Verdana" w:cs="Arial"/>
          <w:b/>
          <w:bCs/>
          <w:kern w:val="0"/>
          <w:lang w:val="es-ES_tradnl" w:eastAsia="es-ES_tradnl"/>
          <w14:ligatures w14:val="none"/>
        </w:rPr>
      </w:pPr>
    </w:p>
    <w:p w14:paraId="7F3E8045" w14:textId="77777777" w:rsidR="00FE195F" w:rsidRPr="00FE195F" w:rsidRDefault="00FE195F" w:rsidP="00FE195F">
      <w:pPr>
        <w:spacing w:after="0" w:line="240" w:lineRule="auto"/>
        <w:rPr>
          <w:rFonts w:ascii="Verdana" w:eastAsia="Calibri" w:hAnsi="Verdana" w:cs="Arial"/>
          <w:b/>
          <w:bCs/>
          <w:kern w:val="0"/>
          <w:lang w:val="es-ES_tradnl" w:eastAsia="es-ES_tradnl"/>
          <w14:ligatures w14:val="none"/>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E195F" w:rsidRPr="00FE195F" w14:paraId="4014623F" w14:textId="77777777" w:rsidTr="00D967AF">
        <w:trPr>
          <w:trHeight w:val="142"/>
        </w:trPr>
        <w:tc>
          <w:tcPr>
            <w:tcW w:w="2689" w:type="dxa"/>
          </w:tcPr>
          <w:p w14:paraId="1BCBD76C" w14:textId="77777777" w:rsidR="00FE195F" w:rsidRPr="00FE195F" w:rsidRDefault="00FE195F" w:rsidP="00FE195F">
            <w:pPr>
              <w:jc w:val="both"/>
              <w:rPr>
                <w:rFonts w:ascii="Verdana" w:eastAsia="Calibri" w:hAnsi="Verdana" w:cs="Arial"/>
                <w:b/>
                <w:bCs/>
                <w:lang w:val="es-ES_tradnl" w:eastAsia="es-ES_tradnl"/>
              </w:rPr>
            </w:pPr>
          </w:p>
        </w:tc>
        <w:tc>
          <w:tcPr>
            <w:tcW w:w="6100" w:type="dxa"/>
          </w:tcPr>
          <w:p w14:paraId="7614038D" w14:textId="77777777" w:rsidR="00FE195F" w:rsidRPr="00FE195F" w:rsidRDefault="00FE195F" w:rsidP="00FE195F">
            <w:pPr>
              <w:jc w:val="both"/>
              <w:rPr>
                <w:rFonts w:ascii="Verdana" w:eastAsia="Calibri" w:hAnsi="Verdana" w:cs="Arial"/>
                <w:b/>
                <w:bCs/>
                <w:lang w:val="es-ES" w:eastAsia="es-ES"/>
              </w:rPr>
            </w:pPr>
            <w:r w:rsidRPr="00FE195F">
              <w:rPr>
                <w:rFonts w:ascii="Verdana" w:eastAsia="Calibri" w:hAnsi="Verdana" w:cs="Arial"/>
                <w:b/>
                <w:bCs/>
                <w:lang w:val="es-ES" w:eastAsia="es-ES"/>
              </w:rPr>
              <w:t>Concepto C-470 de 2026</w:t>
            </w:r>
          </w:p>
          <w:p w14:paraId="78D936B3" w14:textId="77777777" w:rsidR="00FE195F" w:rsidRPr="00FE195F" w:rsidRDefault="00FE195F" w:rsidP="00FE195F">
            <w:pPr>
              <w:jc w:val="both"/>
              <w:rPr>
                <w:rFonts w:ascii="Verdana" w:eastAsia="Calibri" w:hAnsi="Verdana" w:cs="Arial"/>
                <w:b/>
                <w:bCs/>
                <w:lang w:val="es-ES" w:eastAsia="es-ES"/>
              </w:rPr>
            </w:pPr>
          </w:p>
        </w:tc>
      </w:tr>
      <w:tr w:rsidR="00FE195F" w:rsidRPr="00FE195F" w14:paraId="4D178B45" w14:textId="77777777" w:rsidTr="00D967AF">
        <w:trPr>
          <w:trHeight w:val="884"/>
        </w:trPr>
        <w:tc>
          <w:tcPr>
            <w:tcW w:w="2689" w:type="dxa"/>
          </w:tcPr>
          <w:p w14:paraId="6909D00B" w14:textId="77777777" w:rsidR="00FE195F" w:rsidRPr="00FE195F" w:rsidRDefault="00FE195F" w:rsidP="00FE195F">
            <w:pPr>
              <w:jc w:val="both"/>
              <w:rPr>
                <w:rFonts w:ascii="Verdana" w:eastAsia="Calibri" w:hAnsi="Verdana" w:cs="Arial"/>
                <w:lang w:val="es-ES_tradnl" w:eastAsia="es-ES_tradnl"/>
              </w:rPr>
            </w:pPr>
            <w:r w:rsidRPr="00FE195F">
              <w:rPr>
                <w:rFonts w:ascii="Verdana" w:eastAsia="Calibri" w:hAnsi="Verdana" w:cs="Arial"/>
                <w:b/>
                <w:lang w:val="es-ES_tradnl" w:eastAsia="es-ES_tradnl"/>
              </w:rPr>
              <w:t>Temas:</w:t>
            </w:r>
            <w:r w:rsidRPr="00FE195F">
              <w:rPr>
                <w:rFonts w:ascii="Verdana" w:eastAsia="Calibri" w:hAnsi="Verdana" w:cs="Arial"/>
                <w:lang w:val="es-ES_tradnl" w:eastAsia="es-ES_tradnl"/>
              </w:rPr>
              <w:t xml:space="preserve">                   </w:t>
            </w:r>
          </w:p>
        </w:tc>
        <w:tc>
          <w:tcPr>
            <w:tcW w:w="6100" w:type="dxa"/>
          </w:tcPr>
          <w:p w14:paraId="387F28F0" w14:textId="77777777" w:rsidR="00FE195F" w:rsidRPr="00FE195F" w:rsidRDefault="00FE195F" w:rsidP="00FE195F">
            <w:pPr>
              <w:jc w:val="both"/>
              <w:rPr>
                <w:rFonts w:ascii="Verdana" w:eastAsia="Calibri" w:hAnsi="Verdana" w:cs="Arial"/>
                <w:lang w:val="es-ES" w:eastAsia="es-ES"/>
              </w:rPr>
            </w:pPr>
            <w:r w:rsidRPr="00FE195F">
              <w:rPr>
                <w:rFonts w:ascii="Verdana" w:eastAsia="Calibri" w:hAnsi="Verdana" w:cs="Arial"/>
                <w:lang w:val="es-ES" w:eastAsia="es-ES"/>
              </w:rPr>
              <w:t>DEFINICIÓN DE LA SITUACIÓN MILITAR – Situaciones en las que procede – Contratos de prestación de servicios – Personas naturales / ACREDITACIÓN DE LA SITUACIÓN MILITAR – Medios de prueba</w:t>
            </w:r>
          </w:p>
          <w:p w14:paraId="01524B18" w14:textId="77777777" w:rsidR="00FE195F" w:rsidRPr="00FE195F" w:rsidRDefault="00FE195F" w:rsidP="00FE195F">
            <w:pPr>
              <w:spacing w:line="276" w:lineRule="auto"/>
              <w:jc w:val="both"/>
              <w:rPr>
                <w:rFonts w:ascii="Verdana" w:eastAsia="Calibri" w:hAnsi="Verdana" w:cs="Arial"/>
                <w:lang w:val="es-ES" w:eastAsia="es-ES"/>
              </w:rPr>
            </w:pPr>
          </w:p>
        </w:tc>
      </w:tr>
      <w:tr w:rsidR="00FE195F" w:rsidRPr="00FE195F" w14:paraId="539C1FFE" w14:textId="77777777" w:rsidTr="00D967AF">
        <w:tc>
          <w:tcPr>
            <w:tcW w:w="2689" w:type="dxa"/>
          </w:tcPr>
          <w:p w14:paraId="1B46AEB6" w14:textId="77777777" w:rsidR="00FE195F" w:rsidRPr="00FE195F" w:rsidRDefault="00FE195F" w:rsidP="00FE195F">
            <w:pPr>
              <w:jc w:val="both"/>
              <w:rPr>
                <w:rFonts w:ascii="Verdana" w:eastAsia="Calibri" w:hAnsi="Verdana" w:cs="Arial"/>
                <w:b/>
                <w:lang w:val="es-ES_tradnl" w:eastAsia="es-ES_tradnl"/>
              </w:rPr>
            </w:pPr>
            <w:r w:rsidRPr="00FE195F">
              <w:rPr>
                <w:rFonts w:ascii="Verdana" w:eastAsia="Calibri" w:hAnsi="Verdana" w:cs="Arial"/>
                <w:b/>
                <w:lang w:val="es-ES_tradnl" w:eastAsia="es-ES_tradnl"/>
              </w:rPr>
              <w:t>Radicación:</w:t>
            </w:r>
            <w:r w:rsidRPr="00FE195F">
              <w:rPr>
                <w:rFonts w:ascii="Verdana" w:eastAsia="Calibri" w:hAnsi="Verdana" w:cs="Arial"/>
                <w:lang w:val="es-ES_tradnl" w:eastAsia="es-ES_tradnl"/>
              </w:rPr>
              <w:t xml:space="preserve">               </w:t>
            </w:r>
          </w:p>
        </w:tc>
        <w:tc>
          <w:tcPr>
            <w:tcW w:w="6100" w:type="dxa"/>
          </w:tcPr>
          <w:p w14:paraId="01A9367E" w14:textId="77777777" w:rsidR="00FE195F" w:rsidRPr="00FE195F" w:rsidRDefault="00FE195F" w:rsidP="00FE195F">
            <w:pPr>
              <w:jc w:val="both"/>
              <w:rPr>
                <w:rFonts w:ascii="Verdana" w:eastAsia="Calibri" w:hAnsi="Verdana" w:cs="Arial"/>
                <w:lang w:val="es-ES_tradnl" w:eastAsia="es-ES_tradnl"/>
              </w:rPr>
            </w:pPr>
            <w:r w:rsidRPr="00FE195F">
              <w:rPr>
                <w:rFonts w:ascii="Verdana" w:eastAsia="Calibri" w:hAnsi="Verdana" w:cs="Arial"/>
                <w:lang w:val="es-ES_tradnl" w:eastAsia="es-ES_tradnl"/>
              </w:rPr>
              <w:t>Respuesta a consulta con radicado No. 1_2026_03_24_004000</w:t>
            </w:r>
          </w:p>
        </w:tc>
      </w:tr>
    </w:tbl>
    <w:p w14:paraId="27843129" w14:textId="77777777" w:rsidR="00FE195F" w:rsidRPr="00FE195F" w:rsidRDefault="00FE195F" w:rsidP="00FE195F">
      <w:pPr>
        <w:spacing w:after="0" w:line="240" w:lineRule="auto"/>
        <w:jc w:val="both"/>
        <w:rPr>
          <w:rFonts w:ascii="Verdana" w:eastAsia="Calibri" w:hAnsi="Verdana" w:cs="Arial"/>
          <w:kern w:val="0"/>
          <w:lang w:val="es-ES_tradnl" w:eastAsia="es-ES_tradnl"/>
          <w14:ligatures w14:val="none"/>
        </w:rPr>
      </w:pPr>
    </w:p>
    <w:p w14:paraId="155EC7B1" w14:textId="77777777" w:rsidR="00FE195F" w:rsidRPr="00FE195F" w:rsidRDefault="00FE195F" w:rsidP="00FE195F">
      <w:pPr>
        <w:spacing w:after="0" w:line="240" w:lineRule="auto"/>
        <w:jc w:val="both"/>
        <w:rPr>
          <w:rFonts w:ascii="Verdana" w:eastAsia="Calibri" w:hAnsi="Verdana" w:cs="Arial"/>
          <w:kern w:val="0"/>
          <w:lang w:val="es-ES_tradnl" w:eastAsia="es-ES_tradnl"/>
          <w14:ligatures w14:val="none"/>
        </w:rPr>
      </w:pPr>
    </w:p>
    <w:p w14:paraId="701F83F3" w14:textId="77777777" w:rsidR="00FE195F" w:rsidRPr="00FE195F" w:rsidRDefault="00FE195F" w:rsidP="00FE195F">
      <w:pPr>
        <w:spacing w:after="0" w:line="276" w:lineRule="auto"/>
        <w:jc w:val="both"/>
        <w:rPr>
          <w:rFonts w:ascii="Verdana" w:eastAsia="Calibri" w:hAnsi="Verdana" w:cs="Arial"/>
          <w:kern w:val="0"/>
          <w:lang w:val="es-ES" w:eastAsia="es-ES"/>
          <w14:ligatures w14:val="none"/>
        </w:rPr>
      </w:pPr>
      <w:r w:rsidRPr="00FE195F">
        <w:rPr>
          <w:rFonts w:ascii="Verdana" w:eastAsia="Calibri" w:hAnsi="Verdana" w:cs="Arial"/>
          <w:kern w:val="0"/>
          <w:lang w:val="es-ES" w:eastAsia="es-ES"/>
          <w14:ligatures w14:val="none"/>
        </w:rPr>
        <w:t xml:space="preserve">Estimado señor Valenzuela: </w:t>
      </w:r>
    </w:p>
    <w:p w14:paraId="0415F964" w14:textId="77777777" w:rsidR="00FE195F" w:rsidRPr="00FE195F" w:rsidRDefault="00FE195F" w:rsidP="00FE195F">
      <w:pPr>
        <w:tabs>
          <w:tab w:val="left" w:pos="3768"/>
        </w:tabs>
        <w:spacing w:after="0" w:line="276" w:lineRule="auto"/>
        <w:jc w:val="both"/>
        <w:rPr>
          <w:rFonts w:ascii="Verdana" w:eastAsia="Calibri" w:hAnsi="Verdana" w:cs="Arial"/>
          <w:kern w:val="0"/>
          <w:lang w:val="es-ES" w:eastAsia="es-ES"/>
          <w14:ligatures w14:val="none"/>
        </w:rPr>
      </w:pPr>
    </w:p>
    <w:p w14:paraId="5A0D2B65" w14:textId="77777777" w:rsidR="00FE195F" w:rsidRPr="00FE195F" w:rsidRDefault="00FE195F" w:rsidP="00FE195F">
      <w:pPr>
        <w:spacing w:after="0" w:line="276" w:lineRule="auto"/>
        <w:jc w:val="both"/>
        <w:rPr>
          <w:rFonts w:ascii="Verdana" w:eastAsia="Calibri" w:hAnsi="Verdana" w:cs="Arial"/>
          <w:kern w:val="0"/>
          <w:lang w:val="es-ES" w:eastAsia="es-ES"/>
          <w14:ligatures w14:val="none"/>
        </w:rPr>
      </w:pPr>
      <w:r w:rsidRPr="00FE195F">
        <w:rPr>
          <w:rFonts w:ascii="Verdana" w:eastAsia="Calibri" w:hAnsi="Verdana" w:cs="Arial"/>
          <w:kern w:val="0"/>
          <w:lang w:val="es-ES" w:eastAsia="es-ES"/>
          <w14:ligatures w14:val="none"/>
        </w:rPr>
        <w:t>En ejercicio de la competencia otorgada por los artículos 3, numeral 5º, y 11, numeral 8º, del Decreto Ley 4170 de 2011,</w:t>
      </w:r>
      <w:r w:rsidRPr="00FE195F">
        <w:rPr>
          <w:rFonts w:ascii="Verdana" w:eastAsia="Arial MT" w:hAnsi="Verdana" w:cs="Arial MT"/>
          <w:kern w:val="0"/>
          <w:lang w:val="es-ES" w:eastAsia="es-ES"/>
          <w14:ligatures w14:val="none"/>
        </w:rPr>
        <w:t xml:space="preserve"> </w:t>
      </w:r>
      <w:r w:rsidRPr="00FE195F">
        <w:rPr>
          <w:rFonts w:ascii="Verdana" w:eastAsia="Aptos" w:hAnsi="Verdana" w:cs="Arial"/>
          <w:kern w:val="0"/>
          <w14:ligatures w14:val="none"/>
        </w:rPr>
        <w:t xml:space="preserve">así como lo establecido en el artículo 4 de la Resolución 1707 de 2018 expedida por esta Entidad, </w:t>
      </w:r>
      <w:r w:rsidRPr="00FE195F">
        <w:rPr>
          <w:rFonts w:ascii="Verdana" w:eastAsia="Calibri" w:hAnsi="Verdana" w:cs="Arial"/>
          <w:kern w:val="0"/>
          <w:lang w:val="es-ES" w:eastAsia="es-ES"/>
          <w14:ligatures w14:val="none"/>
        </w:rPr>
        <w:t xml:space="preserve">la Agencia Nacional de Contratación Pública – Colombia Compra Eficiente– responde su solicitud de petición del 24 de marzo de 2026, en la que realiza la siguiente consulta: </w:t>
      </w:r>
    </w:p>
    <w:p w14:paraId="4646B921" w14:textId="77777777" w:rsidR="00FE195F" w:rsidRPr="00FE195F" w:rsidRDefault="00FE195F" w:rsidP="00FE195F">
      <w:pPr>
        <w:spacing w:after="0" w:line="276" w:lineRule="auto"/>
        <w:jc w:val="both"/>
        <w:rPr>
          <w:rFonts w:ascii="Verdana" w:eastAsia="Calibri" w:hAnsi="Verdana" w:cs="Arial"/>
          <w:kern w:val="0"/>
          <w:lang w:val="es-ES" w:eastAsia="es-ES"/>
          <w14:ligatures w14:val="none"/>
        </w:rPr>
      </w:pPr>
    </w:p>
    <w:p w14:paraId="2238EEFF"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“El artículo 42 de la Ley 1861 de 2017 establece que, para celebrar contratos con entidades públicas, se requiere la presentación de la libreta militar, otorgando un plazo de 18 meses para obtenerla a partir de la vinculación laboral (primer empleo). Dada la ambigüedad en la interpretación administrativa, requiero su concepto técnico sobre los siguientes puntos:</w:t>
      </w:r>
    </w:p>
    <w:p w14:paraId="7D357577"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p>
    <w:p w14:paraId="06E8455A"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 xml:space="preserve">1. Cómputo del término de 18 meses: ¿El plazo de 18 meses para la expedición de la libreta militar debe contabilizarse a partir de la mayoría de edad (18 años), a partir de los 24 años (edad límite para definir </w:t>
      </w:r>
      <w:r w:rsidRPr="00FE195F">
        <w:rPr>
          <w:rFonts w:ascii="Verdana" w:eastAsia="Calibri" w:hAnsi="Verdana" w:cs="Arial"/>
          <w:kern w:val="0"/>
          <w:sz w:val="20"/>
          <w:szCs w:val="20"/>
          <w:lang w:val="es-MX"/>
          <w14:ligatures w14:val="none"/>
        </w:rPr>
        <w:lastRenderedPageBreak/>
        <w:t>situación militar), o a partir del momento en que se declara que el ciudadano no es apto/exento? Requiero claridad sobre si el hito de inicio de este conteo es el cumplimiento de los 24 años.</w:t>
      </w:r>
    </w:p>
    <w:p w14:paraId="17B94F8F"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p>
    <w:p w14:paraId="3B2DEDD4"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2. Cómputo del término de 18 meses y naturaleza del empleador: El parágrafo 1 del citado artículo otorga un plazo de 18 meses para aclarar la situación militar contados a partir de la fecha de vinculación al "primer empleo". ¿Este término se refiere exclusivamente al primer empleo con el Estado (Sector Público) o incluye la experiencia previa en el Sector Privado? Específicamente, si un ciudadano cuenta con dos (2) años de experiencia en el sector privado sin haber definido su situación militar, ¿puede ser contratado por una entidad pública y gozar de los 18 meses de gracia a partir de esa nueva vinculación, o el tiempo transcurrido en el sector privado ya agotó dicho beneficio?</w:t>
      </w:r>
    </w:p>
    <w:p w14:paraId="6C099F6D"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p>
    <w:p w14:paraId="48360864"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3. Aplicación de la concesión según edad de incorporación: Teniendo en cuenta que la edad máxima de incorporación en Colombia es de 24 años, ¿la concesión de los 18 meses para gestionar la libreta militar es aplicable para todos los ciudadanos varones entre los 18 y hasta los 24 años que deseen contratarse con el Estado, o existe alguna restricción por encontrarse dentro de la edad de citación/incorporación?</w:t>
      </w:r>
    </w:p>
    <w:p w14:paraId="5BECBE77"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p>
    <w:p w14:paraId="2453C8C7"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4. Carga de la prueba en demoras administrativas: En caso de que el trámite de la libreta militar supere los 18 meses por causas no imputables al trabajador (demoras en el sistema Fénix, falta de agendas en Distritos Militares o negligencia administrativa), ¿qué documento o prueba debe exigir la entidad estatal para no dar por terminado el contrato o para proceder con una nueva vinculación, garantizando el derecho al trabajo?</w:t>
      </w:r>
    </w:p>
    <w:p w14:paraId="3D4A4333"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p>
    <w:p w14:paraId="6500CB40" w14:textId="77777777" w:rsidR="00FE195F" w:rsidRPr="00FE195F" w:rsidRDefault="00FE195F" w:rsidP="00FE195F">
      <w:pPr>
        <w:spacing w:after="0" w:line="240" w:lineRule="auto"/>
        <w:ind w:left="709" w:right="709"/>
        <w:jc w:val="both"/>
        <w:rPr>
          <w:rFonts w:ascii="Verdana" w:eastAsia="Calibri" w:hAnsi="Verdana" w:cs="Arial"/>
          <w:kern w:val="0"/>
          <w:sz w:val="20"/>
          <w:szCs w:val="20"/>
          <w:lang w:val="es-MX"/>
          <w14:ligatures w14:val="none"/>
        </w:rPr>
      </w:pPr>
      <w:r w:rsidRPr="00FE195F">
        <w:rPr>
          <w:rFonts w:ascii="Verdana" w:eastAsia="Calibri" w:hAnsi="Verdana" w:cs="Arial"/>
          <w:kern w:val="0"/>
          <w:sz w:val="20"/>
          <w:szCs w:val="20"/>
          <w:lang w:val="es-MX"/>
          <w14:ligatures w14:val="none"/>
        </w:rPr>
        <w:t>5. Consecuencias y Sanciones: ¿Cuáles son las consecuencias jurídicas, sanciones administrativas o responsabilidades disciplinarias para una entidad estatal y sus funcionarios encargados de la contratación, al vincular o mantener vinculado a un contratista de prestación de servicios que no ha acreditado su situación militar y ya ha superado el término de los 18 meses contados desde su primer empleo?” [sic]</w:t>
      </w:r>
    </w:p>
    <w:p w14:paraId="6A823A47" w14:textId="77777777" w:rsidR="00FE195F" w:rsidRPr="00FE195F" w:rsidRDefault="00FE195F" w:rsidP="00FE195F">
      <w:pPr>
        <w:spacing w:after="0" w:line="276" w:lineRule="auto"/>
        <w:ind w:firstLine="709"/>
        <w:jc w:val="both"/>
        <w:rPr>
          <w:rFonts w:ascii="Verdana" w:eastAsia="Calibri" w:hAnsi="Verdana" w:cs="Arial"/>
          <w:kern w:val="0"/>
          <w:lang w:val="es-ES" w:eastAsia="es-ES"/>
          <w14:ligatures w14:val="none"/>
        </w:rPr>
      </w:pPr>
    </w:p>
    <w:p w14:paraId="2102A271" w14:textId="77777777" w:rsidR="00FE195F" w:rsidRPr="00FE195F" w:rsidRDefault="00FE195F" w:rsidP="00FE195F">
      <w:pPr>
        <w:spacing w:after="0" w:line="276" w:lineRule="auto"/>
        <w:ind w:firstLine="709"/>
        <w:jc w:val="both"/>
        <w:rPr>
          <w:rFonts w:ascii="Verdana" w:eastAsia="Calibri" w:hAnsi="Verdana" w:cs="Arial"/>
          <w:kern w:val="0"/>
          <w:szCs w:val="24"/>
          <w:lang w:val="es-ES_tradnl" w:eastAsia="es-ES_tradnl"/>
          <w14:ligatures w14:val="none"/>
        </w:rPr>
      </w:pPr>
      <w:r w:rsidRPr="00FE195F">
        <w:rPr>
          <w:rFonts w:ascii="Verdana" w:eastAsia="Calibri" w:hAnsi="Verdana" w:cs="Arial"/>
          <w:kern w:val="0"/>
          <w:lang w:val="es-ES" w:eastAsia="es-ES"/>
          <w14:ligatures w14:val="none"/>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FE195F">
        <w:rPr>
          <w:rFonts w:ascii="Verdana" w:eastAsia="Calibri" w:hAnsi="Verdana" w:cs="Arial"/>
          <w:kern w:val="0"/>
          <w:lang w:val="es-ES" w:eastAsia="es-ES"/>
          <w14:ligatures w14:val="none"/>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D1E8B0F" w14:textId="77777777" w:rsidR="00FE195F" w:rsidRPr="00FE195F" w:rsidRDefault="00FE195F" w:rsidP="00FE195F">
      <w:pPr>
        <w:spacing w:before="120" w:after="0" w:line="276" w:lineRule="auto"/>
        <w:ind w:firstLine="709"/>
        <w:jc w:val="both"/>
        <w:rPr>
          <w:rFonts w:ascii="Verdana" w:eastAsia="Calibri" w:hAnsi="Verdana" w:cs="Arial"/>
          <w:kern w:val="0"/>
          <w:lang w:val="es-ES" w:eastAsia="es-ES"/>
          <w14:ligatures w14:val="none"/>
        </w:rPr>
      </w:pPr>
      <w:r w:rsidRPr="00FE195F">
        <w:rPr>
          <w:rFonts w:ascii="Verdana" w:eastAsia="Calibri" w:hAnsi="Verdana" w:cs="Arial"/>
          <w:kern w:val="0"/>
          <w:lang w:val="es-ES" w:eastAsia="es-ES"/>
          <w14:ligatures w14:val="none"/>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7C9BFA1" w14:textId="77777777" w:rsidR="00FE195F" w:rsidRPr="00FE195F" w:rsidRDefault="00FE195F" w:rsidP="00FE195F">
      <w:pPr>
        <w:spacing w:after="0" w:line="276" w:lineRule="auto"/>
        <w:ind w:firstLine="709"/>
        <w:jc w:val="both"/>
        <w:rPr>
          <w:rFonts w:ascii="Verdana" w:eastAsia="Calibri" w:hAnsi="Verdana" w:cs="Arial"/>
          <w:kern w:val="0"/>
          <w:lang w:val="es-ES" w:eastAsia="es-ES"/>
          <w14:ligatures w14:val="none"/>
        </w:rPr>
      </w:pPr>
    </w:p>
    <w:p w14:paraId="31C93CA9" w14:textId="77777777" w:rsidR="00FE195F" w:rsidRPr="00FE195F" w:rsidRDefault="00FE195F" w:rsidP="00FE195F">
      <w:pPr>
        <w:widowControl w:val="0"/>
        <w:autoSpaceDE w:val="0"/>
        <w:autoSpaceDN w:val="0"/>
        <w:spacing w:before="1" w:after="0" w:line="240" w:lineRule="auto"/>
        <w:ind w:left="360" w:hanging="360"/>
        <w:jc w:val="both"/>
        <w:outlineLvl w:val="0"/>
        <w:rPr>
          <w:rFonts w:ascii="Verdana" w:eastAsia="Arial" w:hAnsi="Verdana" w:cs="Arial"/>
          <w:b/>
          <w:bCs/>
          <w:kern w:val="0"/>
          <w:lang w:val="es-ES"/>
          <w14:ligatures w14:val="none"/>
        </w:rPr>
      </w:pPr>
      <w:r w:rsidRPr="00FE195F">
        <w:rPr>
          <w:rFonts w:ascii="Verdana" w:eastAsia="Arial" w:hAnsi="Verdana" w:cs="Arial"/>
          <w:b/>
          <w:bCs/>
          <w:kern w:val="0"/>
          <w:lang w:val="es-ES"/>
          <w14:ligatures w14:val="none"/>
        </w:rPr>
        <w:t>1. Problema planteado:</w:t>
      </w:r>
    </w:p>
    <w:p w14:paraId="1028E994" w14:textId="77777777" w:rsidR="00FE195F" w:rsidRPr="00FE195F" w:rsidRDefault="00FE195F" w:rsidP="00FE195F">
      <w:pPr>
        <w:tabs>
          <w:tab w:val="left" w:pos="426"/>
        </w:tabs>
        <w:spacing w:after="0" w:line="276" w:lineRule="auto"/>
        <w:jc w:val="both"/>
        <w:rPr>
          <w:rFonts w:ascii="Verdana" w:eastAsia="Century Gothic" w:hAnsi="Verdana" w:cs="Century Gothic"/>
          <w:kern w:val="0"/>
          <w:lang w:val="es-ES"/>
          <w14:ligatures w14:val="none"/>
        </w:rPr>
      </w:pPr>
    </w:p>
    <w:p w14:paraId="0C957F80" w14:textId="77777777" w:rsidR="00FE195F" w:rsidRPr="00FE195F" w:rsidRDefault="00FE195F" w:rsidP="00FE195F">
      <w:pPr>
        <w:spacing w:after="0" w:line="276" w:lineRule="auto"/>
        <w:jc w:val="both"/>
        <w:rPr>
          <w:rFonts w:ascii="Verdana" w:eastAsia="Century Gothic" w:hAnsi="Verdana" w:cs="Century Gothic"/>
          <w:kern w:val="0"/>
          <w14:ligatures w14:val="none"/>
        </w:rPr>
      </w:pPr>
      <w:r w:rsidRPr="00FE195F">
        <w:rPr>
          <w:rFonts w:ascii="Verdana" w:eastAsia="Century Gothic" w:hAnsi="Verdana" w:cs="Century Gothic"/>
          <w:kern w:val="0"/>
          <w14:ligatures w14:val="none"/>
        </w:rPr>
        <w:t>De acuerdo con el contenido de su solicitud, le informamos que la misma se resolverá desde los siguientes problemas jurídicos:</w:t>
      </w:r>
      <w:bookmarkStart w:id="1" w:name="_Hlk171070029"/>
      <w:r w:rsidRPr="00FE195F">
        <w:rPr>
          <w:rFonts w:ascii="Verdana" w:eastAsia="Century Gothic" w:hAnsi="Verdana" w:cs="Century Gothic"/>
          <w:kern w:val="0"/>
          <w14:ligatures w14:val="none"/>
        </w:rPr>
        <w:t xml:space="preserve"> i) ¿En qué situaciones es obligatorio acreditar la situación militar?; </w:t>
      </w:r>
      <w:proofErr w:type="spellStart"/>
      <w:r w:rsidRPr="00FE195F">
        <w:rPr>
          <w:rFonts w:ascii="Verdana" w:eastAsia="Century Gothic" w:hAnsi="Verdana" w:cs="Century Gothic"/>
          <w:kern w:val="0"/>
          <w14:ligatures w14:val="none"/>
        </w:rPr>
        <w:t>ii</w:t>
      </w:r>
      <w:proofErr w:type="spellEnd"/>
      <w:r w:rsidRPr="00FE195F">
        <w:rPr>
          <w:rFonts w:ascii="Verdana" w:eastAsia="Century Gothic" w:hAnsi="Verdana" w:cs="Century Gothic"/>
          <w:kern w:val="0"/>
          <w14:ligatures w14:val="none"/>
        </w:rPr>
        <w:t>)</w:t>
      </w:r>
      <w:r w:rsidRPr="00FE195F">
        <w:rPr>
          <w:rFonts w:ascii="Verdana" w:eastAsia="Aptos" w:hAnsi="Verdana" w:cs="Arial"/>
          <w:color w:val="000000"/>
          <w:kern w:val="0"/>
          <w:lang w:eastAsia="es-ES"/>
          <w14:ligatures w14:val="none"/>
        </w:rPr>
        <w:t xml:space="preserve"> ¿a partir de qué momento se debe contabilizar los dieciocho (18) meses para definir la situación militar?</w:t>
      </w:r>
      <w:r w:rsidRPr="00FE195F">
        <w:rPr>
          <w:rFonts w:ascii="Verdana" w:eastAsia="Century Gothic" w:hAnsi="Verdana" w:cs="Century Gothic"/>
          <w:kern w:val="0"/>
          <w14:ligatures w14:val="none"/>
        </w:rPr>
        <w:t xml:space="preserve"> y, </w:t>
      </w:r>
      <w:proofErr w:type="spellStart"/>
      <w:r w:rsidRPr="00FE195F">
        <w:rPr>
          <w:rFonts w:ascii="Verdana" w:eastAsia="Century Gothic" w:hAnsi="Verdana" w:cs="Century Gothic"/>
          <w:kern w:val="0"/>
          <w14:ligatures w14:val="none"/>
        </w:rPr>
        <w:t>iii</w:t>
      </w:r>
      <w:proofErr w:type="spellEnd"/>
      <w:r w:rsidRPr="00FE195F">
        <w:rPr>
          <w:rFonts w:ascii="Verdana" w:eastAsia="Century Gothic" w:hAnsi="Verdana" w:cs="Century Gothic"/>
          <w:kern w:val="0"/>
          <w14:ligatures w14:val="none"/>
        </w:rPr>
        <w:t>) ¿Cómo puede acreditarse la situación militar con el fin de celebrar contratos de prestación de servicios con las Entidades Estatales?</w:t>
      </w:r>
    </w:p>
    <w:p w14:paraId="5E4915D5" w14:textId="77777777" w:rsidR="00FE195F" w:rsidRPr="00FE195F" w:rsidRDefault="00FE195F" w:rsidP="00FE195F">
      <w:pPr>
        <w:spacing w:after="0" w:line="276" w:lineRule="auto"/>
        <w:jc w:val="both"/>
        <w:rPr>
          <w:rFonts w:ascii="Verdana" w:eastAsia="Calibri" w:hAnsi="Verdana" w:cs="Arial"/>
          <w:kern w:val="0"/>
          <w:lang w:val="es-ES"/>
          <w14:ligatures w14:val="none"/>
        </w:rPr>
      </w:pPr>
    </w:p>
    <w:bookmarkEnd w:id="1"/>
    <w:p w14:paraId="34D77F65" w14:textId="77777777" w:rsidR="00FE195F" w:rsidRPr="00FE195F" w:rsidRDefault="00FE195F" w:rsidP="00FE195F">
      <w:pPr>
        <w:widowControl w:val="0"/>
        <w:autoSpaceDE w:val="0"/>
        <w:autoSpaceDN w:val="0"/>
        <w:spacing w:before="1" w:after="0" w:line="240" w:lineRule="auto"/>
        <w:jc w:val="both"/>
        <w:outlineLvl w:val="0"/>
        <w:rPr>
          <w:rFonts w:ascii="Verdana" w:eastAsia="Arial" w:hAnsi="Verdana" w:cs="Arial"/>
          <w:b/>
          <w:bCs/>
          <w:kern w:val="0"/>
          <w:lang w:val="es-ES"/>
          <w14:ligatures w14:val="none"/>
        </w:rPr>
      </w:pPr>
      <w:r w:rsidRPr="00FE195F">
        <w:rPr>
          <w:rFonts w:ascii="Verdana" w:eastAsia="Arial" w:hAnsi="Verdana" w:cs="Arial"/>
          <w:b/>
          <w:bCs/>
          <w:kern w:val="0"/>
          <w:lang w:val="es-ES"/>
          <w14:ligatures w14:val="none"/>
        </w:rPr>
        <w:t>2. Respuestas:</w:t>
      </w:r>
    </w:p>
    <w:p w14:paraId="4A3F1890" w14:textId="77777777" w:rsidR="00FE195F" w:rsidRPr="00FE195F" w:rsidRDefault="00FE195F" w:rsidP="00FE195F">
      <w:pPr>
        <w:spacing w:after="0"/>
        <w:rPr>
          <w:rFonts w:ascii="Verdana" w:eastAsia="Aptos" w:hAnsi="Verdana" w:cs="Times New Roman"/>
          <w:kern w:val="0"/>
          <w14:ligatures w14:val="none"/>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195F" w:rsidRPr="00FE195F" w14:paraId="76E0DDC1" w14:textId="77777777" w:rsidTr="00D967AF">
        <w:tc>
          <w:tcPr>
            <w:tcW w:w="8828" w:type="dxa"/>
          </w:tcPr>
          <w:p w14:paraId="719E221A" w14:textId="77777777" w:rsidR="00FE195F" w:rsidRPr="00FE195F" w:rsidRDefault="00FE195F" w:rsidP="00FE195F">
            <w:pPr>
              <w:spacing w:line="276" w:lineRule="auto"/>
              <w:jc w:val="both"/>
              <w:rPr>
                <w:rFonts w:ascii="Verdana" w:eastAsia="Calibri" w:hAnsi="Verdana" w:cs="Arial"/>
              </w:rPr>
            </w:pPr>
            <w:bookmarkStart w:id="2" w:name="_Hlk171067516"/>
            <w:r w:rsidRPr="00FE195F">
              <w:rPr>
                <w:rFonts w:ascii="Verdana" w:eastAsia="Calibri" w:hAnsi="Verdana" w:cs="Arial"/>
                <w:lang w:val="es-ES"/>
              </w:rPr>
              <w:t xml:space="preserve">i) El artículo 42 de la Ley 1861 de 2017 dispone en su primer inciso que la situación militar se deberá acreditar en tres eventos: a) para ejercer cargos públicos, b) trabajar en el sector privado y c) celebrar contratos de prestación de servicios como persona natural con cualquier entidad de derecho público. </w:t>
            </w:r>
            <w:r w:rsidRPr="00FE195F">
              <w:rPr>
                <w:rFonts w:ascii="Verdana" w:eastAsia="Aptos" w:hAnsi="Verdana" w:cs="Arial"/>
                <w:color w:val="000000"/>
              </w:rPr>
              <w:t xml:space="preserve">Sin embargo, </w:t>
            </w:r>
            <w:r w:rsidRPr="00FE195F">
              <w:rPr>
                <w:rFonts w:ascii="Verdana" w:eastAsia="Calibri" w:hAnsi="Verdana" w:cs="Arial"/>
              </w:rPr>
              <w:t xml:space="preserve">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hombres de nacionalidad colombiana. </w:t>
            </w:r>
          </w:p>
          <w:p w14:paraId="5A8F3ED2" w14:textId="77777777" w:rsidR="00FE195F" w:rsidRPr="00FE195F" w:rsidRDefault="00FE195F" w:rsidP="00FE195F">
            <w:pPr>
              <w:spacing w:before="120" w:line="276" w:lineRule="auto"/>
              <w:ind w:firstLine="709"/>
              <w:jc w:val="both"/>
              <w:rPr>
                <w:rFonts w:ascii="Verdana" w:eastAsia="Aptos" w:hAnsi="Verdana" w:cs="Arial"/>
                <w:color w:val="000000"/>
                <w:lang w:eastAsia="es-ES"/>
              </w:rPr>
            </w:pPr>
            <w:r w:rsidRPr="00FE195F">
              <w:rPr>
                <w:rFonts w:ascii="Verdana" w:eastAsia="Calibri" w:hAnsi="Verdana" w:cs="Arial"/>
              </w:rPr>
              <w:lastRenderedPageBreak/>
              <w:t>Esta conclusión implica que, para la celebración de contratos distintos del de prestación de servicios–</w:t>
            </w:r>
            <w:r w:rsidRPr="00FE195F">
              <w:rPr>
                <w:rFonts w:ascii="Verdana" w:eastAsia="Calibri" w:hAnsi="Verdana" w:cs="Arial"/>
                <w:i/>
                <w:iCs/>
              </w:rPr>
              <w:t>v.g.</w:t>
            </w:r>
            <w:r w:rsidRPr="00FE195F">
              <w:rPr>
                <w:rFonts w:ascii="Verdana" w:eastAsia="Calibri" w:hAnsi="Verdana" w:cs="Arial"/>
              </w:rPr>
              <w:t xml:space="preserve"> obra pública, consultoría, </w:t>
            </w:r>
            <w:proofErr w:type="spellStart"/>
            <w:r w:rsidRPr="00FE195F">
              <w:rPr>
                <w:rFonts w:ascii="Verdana" w:eastAsia="Calibri" w:hAnsi="Verdana" w:cs="Arial"/>
              </w:rPr>
              <w:t>etc</w:t>
            </w:r>
            <w:proofErr w:type="spellEnd"/>
            <w:r w:rsidRPr="00FE195F">
              <w:rPr>
                <w:rFonts w:ascii="Verdana" w:eastAsia="Calibri" w:hAnsi="Verdana" w:cs="Arial"/>
              </w:rPr>
              <w:t xml:space="preserve">–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 </w:t>
            </w:r>
          </w:p>
          <w:p w14:paraId="4469F666" w14:textId="77777777" w:rsidR="00FE195F" w:rsidRPr="00FE195F" w:rsidRDefault="00FE195F" w:rsidP="00FE195F">
            <w:pPr>
              <w:spacing w:line="276" w:lineRule="auto"/>
              <w:jc w:val="both"/>
              <w:rPr>
                <w:rFonts w:ascii="Verdana" w:eastAsia="Aptos" w:hAnsi="Verdana" w:cs="Arial"/>
                <w:color w:val="000000"/>
                <w:lang w:eastAsia="es-ES"/>
              </w:rPr>
            </w:pPr>
          </w:p>
          <w:p w14:paraId="301E876A" w14:textId="77777777" w:rsidR="00FE195F" w:rsidRPr="00FE195F" w:rsidRDefault="00FE195F" w:rsidP="00FE195F">
            <w:pPr>
              <w:spacing w:line="276" w:lineRule="auto"/>
              <w:jc w:val="both"/>
              <w:rPr>
                <w:rFonts w:ascii="Verdana" w:eastAsia="Aptos" w:hAnsi="Verdana" w:cs="Arial"/>
                <w:color w:val="000000"/>
                <w:lang w:eastAsia="es-ES"/>
              </w:rPr>
            </w:pPr>
            <w:proofErr w:type="spellStart"/>
            <w:r w:rsidRPr="00FE195F">
              <w:rPr>
                <w:rFonts w:ascii="Verdana" w:eastAsia="Aptos" w:hAnsi="Verdana" w:cs="Arial"/>
                <w:color w:val="000000"/>
                <w:lang w:eastAsia="es-ES"/>
              </w:rPr>
              <w:t>ii</w:t>
            </w:r>
            <w:proofErr w:type="spellEnd"/>
            <w:r w:rsidRPr="00FE195F">
              <w:rPr>
                <w:rFonts w:ascii="Verdana" w:eastAsia="Aptos" w:hAnsi="Verdana" w:cs="Arial"/>
                <w:color w:val="000000"/>
                <w:lang w:eastAsia="es-ES"/>
              </w:rPr>
              <w:t>) Al respecto, el inciso segundo del artículo 42 de la Ley 1861 de 2017 establece que a partir de la fecha de su vinculación laboral estas personas tendrán un lapso de dieciocho (18) meses para definir su situación militar. Sin embargo, el inciso tercero de la disposición señalada impone el deber a aquellas personas que accedan a los beneficios previstos, de tramitar ante las autoridades de reclutamiento una certificación provisional en línea que “acredite” el inicio del trámite de la definición de la situación militar. Esta certificación debe ser verificada por las entidades públicas y privadas, puesto que es la forma en que se acredita que la situación militar se encuentra en trámite.</w:t>
            </w:r>
          </w:p>
          <w:p w14:paraId="1E3DB79D" w14:textId="77777777" w:rsidR="00FE195F" w:rsidRPr="00FE195F" w:rsidRDefault="00FE195F" w:rsidP="00FE195F">
            <w:pPr>
              <w:spacing w:before="120" w:line="276" w:lineRule="auto"/>
              <w:ind w:firstLine="709"/>
              <w:jc w:val="both"/>
              <w:rPr>
                <w:rFonts w:ascii="Verdana" w:eastAsia="Aptos" w:hAnsi="Verdana" w:cs="Arial"/>
                <w:color w:val="000000"/>
                <w:lang w:eastAsia="es-ES"/>
              </w:rPr>
            </w:pPr>
            <w:r w:rsidRPr="00FE195F">
              <w:rPr>
                <w:rFonts w:ascii="Verdana" w:eastAsia="Aptos" w:hAnsi="Verdana" w:cs="Arial"/>
                <w:color w:val="000000"/>
                <w:lang w:eastAsia="es-ES"/>
              </w:rPr>
              <w:t>En consecuencia, si bien el plazo de dieciocho (18) meses debe contabilizarse a partir de la fecha de su vinculación laboral, para ingresar al empleo previamente deberá presentar la certificación provisional en línea que acredite que la situación militar se encuentra en trámite. Para ello, le corresponderá a cada entidad verificar la validez y vigencia de los certificados expedidos, con el fin de revisar que se encuentren dentro del plazo límite establecido. Lo anterior, fue incluso respaldado por la Corte Constitucional, quien en la Sentencia C-277 del 19 de junio de 2019, señaló que las personas no aptas, las exentas, las que hayan superado la edad máxima de incorporación a filas y las aptas pero exoneradas del pago de compensación militar, pueden acceder temporalmente a un empleo mientras definen su situación militar.</w:t>
            </w:r>
          </w:p>
          <w:p w14:paraId="40B9CE2A" w14:textId="77777777" w:rsidR="00FE195F" w:rsidRPr="00FE195F" w:rsidRDefault="00FE195F" w:rsidP="00FE195F">
            <w:pPr>
              <w:spacing w:line="276" w:lineRule="auto"/>
              <w:jc w:val="both"/>
              <w:rPr>
                <w:rFonts w:ascii="Verdana" w:eastAsia="Aptos" w:hAnsi="Verdana" w:cs="Arial"/>
                <w:color w:val="000000"/>
                <w:lang w:eastAsia="es-ES"/>
              </w:rPr>
            </w:pPr>
          </w:p>
          <w:p w14:paraId="3326E9B7" w14:textId="77777777" w:rsidR="00FE195F" w:rsidRPr="00FE195F" w:rsidRDefault="00FE195F" w:rsidP="00FE195F">
            <w:pPr>
              <w:spacing w:line="276" w:lineRule="auto"/>
              <w:jc w:val="both"/>
              <w:rPr>
                <w:rFonts w:ascii="Verdana" w:eastAsia="Aptos" w:hAnsi="Verdana" w:cs="Arial"/>
                <w:color w:val="000000"/>
                <w:lang w:eastAsia="es-ES"/>
              </w:rPr>
            </w:pPr>
            <w:proofErr w:type="spellStart"/>
            <w:r w:rsidRPr="00FE195F">
              <w:rPr>
                <w:rFonts w:ascii="Verdana" w:eastAsia="Aptos" w:hAnsi="Verdana" w:cs="Arial"/>
                <w:color w:val="000000"/>
                <w:lang w:eastAsia="es-ES"/>
              </w:rPr>
              <w:t>iii</w:t>
            </w:r>
            <w:proofErr w:type="spellEnd"/>
            <w:r w:rsidRPr="00FE195F">
              <w:rPr>
                <w:rFonts w:ascii="Verdana" w:eastAsia="Aptos" w:hAnsi="Verdana" w:cs="Arial"/>
                <w:color w:val="000000"/>
                <w:lang w:eastAsia="es-ES"/>
              </w:rPr>
              <w:t xml:space="preserve">) Los ciudadanos que pretendan suscribir un contrato de prestación de servicios con una Entidad Estatal podrán acreditar su situación militar de la siguiente manera: i) copia de la libreta militar; o </w:t>
            </w:r>
            <w:proofErr w:type="spellStart"/>
            <w:r w:rsidRPr="00FE195F">
              <w:rPr>
                <w:rFonts w:ascii="Verdana" w:eastAsia="Aptos" w:hAnsi="Verdana" w:cs="Arial"/>
                <w:color w:val="000000"/>
                <w:lang w:eastAsia="es-ES"/>
              </w:rPr>
              <w:t>ii</w:t>
            </w:r>
            <w:proofErr w:type="spellEnd"/>
            <w:r w:rsidRPr="00FE195F">
              <w:rPr>
                <w:rFonts w:ascii="Verdana" w:eastAsia="Aptos" w:hAnsi="Verdana" w:cs="Arial"/>
                <w:color w:val="000000"/>
                <w:lang w:eastAsia="es-ES"/>
              </w:rPr>
              <w:t xml:space="preserve">) certificación provisional en línea la cual acreditará que su situación militar se encuentra en trámite;  o </w:t>
            </w:r>
            <w:proofErr w:type="spellStart"/>
            <w:r w:rsidRPr="00FE195F">
              <w:rPr>
                <w:rFonts w:ascii="Verdana" w:eastAsia="Aptos" w:hAnsi="Verdana" w:cs="Arial"/>
                <w:color w:val="000000"/>
                <w:lang w:eastAsia="es-ES"/>
              </w:rPr>
              <w:t>iii</w:t>
            </w:r>
            <w:proofErr w:type="spellEnd"/>
            <w:r w:rsidRPr="00FE195F">
              <w:rPr>
                <w:rFonts w:ascii="Verdana" w:eastAsia="Aptos" w:hAnsi="Verdana" w:cs="Arial"/>
                <w:color w:val="000000"/>
                <w:lang w:eastAsia="es-ES"/>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FE195F">
              <w:rPr>
                <w:rFonts w:ascii="Verdana" w:eastAsia="Aptos" w:hAnsi="Verdana" w:cs="Arial"/>
                <w:color w:val="000000"/>
                <w:lang w:eastAsia="es-ES"/>
              </w:rPr>
              <w:t>iv</w:t>
            </w:r>
            <w:proofErr w:type="spellEnd"/>
            <w:r w:rsidRPr="00FE195F">
              <w:rPr>
                <w:rFonts w:ascii="Verdana" w:eastAsia="Aptos" w:hAnsi="Verdana" w:cs="Arial"/>
                <w:color w:val="000000"/>
                <w:lang w:eastAsia="es-ES"/>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 La Entidad Estatal contratante deberá estudiar los medios de prueba presentados por el ciudadano, analizando si este cumple o no con los presupuestos indicados en el segundo inciso del artículo 42 de la Ley 1861 de 2017.</w:t>
            </w:r>
          </w:p>
        </w:tc>
      </w:tr>
      <w:bookmarkEnd w:id="2"/>
    </w:tbl>
    <w:p w14:paraId="2BA831DF" w14:textId="77777777" w:rsidR="00FE195F" w:rsidRPr="00FE195F" w:rsidRDefault="00FE195F" w:rsidP="00FE195F">
      <w:pPr>
        <w:widowControl w:val="0"/>
        <w:autoSpaceDE w:val="0"/>
        <w:autoSpaceDN w:val="0"/>
        <w:spacing w:before="1" w:after="0" w:line="240" w:lineRule="auto"/>
        <w:ind w:left="360" w:hanging="360"/>
        <w:outlineLvl w:val="0"/>
        <w:rPr>
          <w:rFonts w:ascii="Verdana" w:eastAsia="Arial" w:hAnsi="Verdana" w:cs="Arial"/>
          <w:b/>
          <w:bCs/>
          <w:kern w:val="0"/>
          <w:lang w:val="es-ES"/>
          <w14:ligatures w14:val="none"/>
        </w:rPr>
      </w:pPr>
    </w:p>
    <w:p w14:paraId="6E8DFC1E" w14:textId="77777777" w:rsidR="00FE195F" w:rsidRPr="00FE195F" w:rsidRDefault="00FE195F" w:rsidP="00FE195F">
      <w:pPr>
        <w:widowControl w:val="0"/>
        <w:autoSpaceDE w:val="0"/>
        <w:autoSpaceDN w:val="0"/>
        <w:spacing w:before="1" w:after="0" w:line="240" w:lineRule="auto"/>
        <w:ind w:left="360" w:hanging="360"/>
        <w:outlineLvl w:val="0"/>
        <w:rPr>
          <w:rFonts w:ascii="Verdana" w:eastAsia="Arial" w:hAnsi="Verdana" w:cs="Arial"/>
          <w:b/>
          <w:bCs/>
          <w:kern w:val="0"/>
          <w:lang w:val="es-ES"/>
          <w14:ligatures w14:val="none"/>
        </w:rPr>
      </w:pPr>
      <w:r w:rsidRPr="00FE195F">
        <w:rPr>
          <w:rFonts w:ascii="Verdana" w:eastAsia="Arial" w:hAnsi="Verdana" w:cs="Arial"/>
          <w:b/>
          <w:bCs/>
          <w:kern w:val="0"/>
          <w:lang w:val="es-ES"/>
          <w14:ligatures w14:val="none"/>
        </w:rPr>
        <w:t>3. Razones de la respuesta</w:t>
      </w:r>
    </w:p>
    <w:p w14:paraId="580E0F5F" w14:textId="77777777" w:rsidR="00FE195F" w:rsidRPr="00FE195F" w:rsidRDefault="00FE195F" w:rsidP="00FE195F">
      <w:pPr>
        <w:spacing w:after="0" w:line="276" w:lineRule="auto"/>
        <w:jc w:val="both"/>
        <w:rPr>
          <w:rFonts w:ascii="Verdana" w:eastAsia="Calibri" w:hAnsi="Verdana" w:cs="Arial"/>
          <w:kern w:val="0"/>
          <w:lang w:val="es-ES"/>
          <w14:ligatures w14:val="none"/>
        </w:rPr>
      </w:pPr>
    </w:p>
    <w:p w14:paraId="2E708EBF" w14:textId="77777777" w:rsidR="00FE195F" w:rsidRPr="00FE195F" w:rsidRDefault="00FE195F" w:rsidP="00FE195F">
      <w:pPr>
        <w:spacing w:after="0" w:line="276" w:lineRule="auto"/>
        <w:jc w:val="both"/>
        <w:rPr>
          <w:rFonts w:ascii="Verdana" w:eastAsia="Calibri" w:hAnsi="Verdana" w:cs="Arial"/>
          <w:kern w:val="0"/>
          <w:lang w:val="es-ES"/>
          <w14:ligatures w14:val="none"/>
        </w:rPr>
      </w:pPr>
      <w:r w:rsidRPr="00FE195F">
        <w:rPr>
          <w:rFonts w:ascii="Verdana" w:eastAsia="Calibri" w:hAnsi="Verdana" w:cs="Arial"/>
          <w:kern w:val="0"/>
          <w:lang w:val="es-ES"/>
          <w14:ligatures w14:val="none"/>
        </w:rPr>
        <w:t xml:space="preserve">Las respuestas anteriores se sustentan en las siguientes consideraciones: </w:t>
      </w:r>
    </w:p>
    <w:p w14:paraId="2F210A0F" w14:textId="77777777" w:rsidR="00FE195F" w:rsidRPr="00FE195F" w:rsidRDefault="00FE195F" w:rsidP="00FE195F">
      <w:pPr>
        <w:spacing w:after="0" w:line="276" w:lineRule="auto"/>
        <w:contextualSpacing/>
        <w:jc w:val="both"/>
        <w:rPr>
          <w:rFonts w:ascii="Verdana" w:eastAsia="Calibri" w:hAnsi="Verdana" w:cs="Arial"/>
          <w:kern w:val="0"/>
          <w:lang w:val="es-ES"/>
          <w14:ligatures w14:val="none"/>
        </w:rPr>
      </w:pPr>
    </w:p>
    <w:p w14:paraId="218B9EAB" w14:textId="77777777" w:rsidR="00FE195F" w:rsidRPr="00FE195F" w:rsidRDefault="00FE195F" w:rsidP="00FE195F">
      <w:pPr>
        <w:spacing w:line="276" w:lineRule="auto"/>
        <w:jc w:val="both"/>
        <w:rPr>
          <w:rFonts w:ascii="Verdana" w:eastAsia="Aptos" w:hAnsi="Verdana" w:cs="Arial"/>
          <w:color w:val="000000"/>
          <w:kern w:val="0"/>
          <w:lang w:eastAsia="es-ES"/>
          <w14:ligatures w14:val="none"/>
        </w:rPr>
      </w:pPr>
      <w:bookmarkStart w:id="3" w:name="_Hlk173311098"/>
      <w:r w:rsidRPr="00FE195F">
        <w:rPr>
          <w:rFonts w:ascii="Verdana" w:eastAsia="Aptos" w:hAnsi="Verdana" w:cs="Arial"/>
          <w:kern w:val="0"/>
          <w14:ligatures w14:val="none"/>
        </w:rPr>
        <w:t xml:space="preserve">Inicialmente debe precisarse, respecto al servicio militar obligatorio, </w:t>
      </w:r>
      <w:r w:rsidRPr="00FE195F">
        <w:rPr>
          <w:rFonts w:ascii="Verdana" w:eastAsia="Aptos" w:hAnsi="Verdana" w:cs="Times New Roman"/>
          <w:kern w:val="0"/>
          <w14:ligatures w14:val="none"/>
        </w:rPr>
        <w:t xml:space="preserve">que este constituye un </w:t>
      </w:r>
      <w:r w:rsidRPr="00FE195F">
        <w:rPr>
          <w:rFonts w:ascii="Verdana" w:eastAsia="Aptos" w:hAnsi="Verdana" w:cs="Arial"/>
          <w:color w:val="000000"/>
          <w:kern w:val="0"/>
          <w:lang w:eastAsia="es-ES"/>
          <w14:ligatures w14:val="none"/>
        </w:rPr>
        <w:t>deber constitucional que se fundamenta en el artículo 216 superior, según el cual: “[…]Todos los colombianos estamos obligados a tomar las armas cuando las necesidades públicas lo exijan para defender la independencia nacional y las instituciones públicas. […]”. Para tal efecto, el constituyente dispuso que a través de la Ley se determinarían las condiciones las condiciones, que, en todo tiempo, eximen del servicio militar y las prerrogativas para su prestación.</w:t>
      </w:r>
    </w:p>
    <w:p w14:paraId="0452C8F6"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Calibri" w:hAnsi="Verdana" w:cs="Arial"/>
          <w:kern w:val="0"/>
          <w14:ligatures w14:val="none"/>
        </w:rPr>
        <w:t xml:space="preserve">En la actualidad, la referida disposición legal se encuentra desarrollada en Ley 1861 de 2017, </w:t>
      </w:r>
      <w:r w:rsidRPr="00FE195F">
        <w:rPr>
          <w:rFonts w:ascii="Verdana" w:eastAsia="Calibri" w:hAnsi="Verdana" w:cs="Arial"/>
          <w:i/>
          <w:iCs/>
          <w:kern w:val="0"/>
          <w14:ligatures w14:val="none"/>
        </w:rPr>
        <w:t>“por la cual se reglamenta el servicio de reclutamiento, control de reservas y la movilización"</w:t>
      </w:r>
      <w:r w:rsidRPr="00FE195F">
        <w:rPr>
          <w:rFonts w:ascii="Verdana" w:eastAsia="Calibri" w:hAnsi="Verdana" w:cs="Arial"/>
          <w:kern w:val="0"/>
          <w14:ligatures w14:val="none"/>
        </w:rPr>
        <w:t xml:space="preserve">. Esta norma derogó la Ley 48 de 1993, estableciendo, entre otras cosas, la obligación de vincularse al servicio militar los beneficios y exclusiones de la prestación del servicio militar obligatorio, indicando en su artículo 4 que dicha obligación nace al momento en el que los </w:t>
      </w:r>
      <w:r w:rsidRPr="00FE195F">
        <w:rPr>
          <w:rFonts w:ascii="Verdana" w:eastAsia="Calibri" w:hAnsi="Verdana" w:cs="Arial"/>
          <w:kern w:val="0"/>
          <w14:ligatures w14:val="none"/>
        </w:rPr>
        <w:lastRenderedPageBreak/>
        <w:t>colombianos cumplen su mayoría edad, con el fin de contribuir y alcanzar los fines del Estado encomendados a la Fuerza Pública</w:t>
      </w:r>
      <w:r w:rsidRPr="00FE195F">
        <w:rPr>
          <w:rFonts w:ascii="Verdana" w:eastAsia="Calibri" w:hAnsi="Verdana" w:cs="Arial"/>
          <w:kern w:val="0"/>
          <w:vertAlign w:val="superscript"/>
          <w14:ligatures w14:val="none"/>
        </w:rPr>
        <w:footnoteReference w:id="1"/>
      </w:r>
      <w:r w:rsidRPr="00FE195F">
        <w:rPr>
          <w:rFonts w:ascii="Verdana" w:eastAsia="Calibri" w:hAnsi="Verdana" w:cs="Arial"/>
          <w:kern w:val="0"/>
          <w14:ligatures w14:val="none"/>
        </w:rPr>
        <w:t>.</w:t>
      </w:r>
      <w:r w:rsidRPr="00FE195F">
        <w:rPr>
          <w:rFonts w:ascii="Verdana" w:eastAsia="Aptos" w:hAnsi="Verdana" w:cs="Arial"/>
          <w:color w:val="000000"/>
          <w:kern w:val="0"/>
          <w:lang w:eastAsia="es-ES"/>
          <w14:ligatures w14:val="none"/>
        </w:rPr>
        <w:t xml:space="preserve"> No obstante, el artículo 11 de la referida ley establece la obligación de definir la situación militar estableciendo que “[t]</w:t>
      </w:r>
      <w:proofErr w:type="spellStart"/>
      <w:r w:rsidRPr="00FE195F">
        <w:rPr>
          <w:rFonts w:ascii="Verdana" w:eastAsia="Aptos" w:hAnsi="Verdana" w:cs="Arial"/>
          <w:color w:val="000000"/>
          <w:kern w:val="0"/>
          <w:lang w:eastAsia="es-ES"/>
          <w14:ligatures w14:val="none"/>
        </w:rPr>
        <w:t>odo</w:t>
      </w:r>
      <w:proofErr w:type="spellEnd"/>
      <w:r w:rsidRPr="00FE195F">
        <w:rPr>
          <w:rFonts w:ascii="Verdana" w:eastAsia="Aptos" w:hAnsi="Verdana" w:cs="Arial"/>
          <w:color w:val="000000"/>
          <w:kern w:val="0"/>
          <w:lang w:eastAsia="es-ES"/>
          <w14:ligatures w14:val="none"/>
        </w:rPr>
        <w:t xml:space="preserve"> varón colombiano está obligado a definir su situación militar como reservista de primera o segunda clase, a partir de la fecha en que cumpla su mayoría de edad y hasta el día en que cumpla 50 años de edad”.</w:t>
      </w:r>
    </w:p>
    <w:p w14:paraId="76F439BD"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Calibri" w:hAnsi="Verdana" w:cs="Arial"/>
          <w:kern w:val="0"/>
          <w14:ligatures w14:val="none"/>
        </w:rPr>
        <w:t>En ese orden no toda, no todo colombiano se encuentra obligado a cumplir con esta obligación constitucional, sino tan sólo aquellos varones de nacionalidad colombiana que sean declarados aptos de conformidad con los requisitos establecidos en la Ley 1861 de 2017 y que hayan sido seleccionados a través de un sorteo, siempre y cuando este sea procedente, a partir de la mayoría de edad hasta faltando un día para cumplir los veinticuatro (24) años. De igual forma, el artículo 12 de la Ley 1861 de 2017 contempló dieciséis (16) causales de exoneración para prestar el servicio militar obligatorio.</w:t>
      </w:r>
    </w:p>
    <w:p w14:paraId="12580698" w14:textId="77777777" w:rsidR="00FE195F" w:rsidRPr="00FE195F" w:rsidRDefault="00FE195F" w:rsidP="00FE195F">
      <w:pPr>
        <w:spacing w:line="276" w:lineRule="auto"/>
        <w:ind w:firstLine="708"/>
        <w:jc w:val="both"/>
        <w:rPr>
          <w:rFonts w:ascii="Verdana" w:eastAsia="Aptos" w:hAnsi="Verdana" w:cs="Arial"/>
          <w:color w:val="000000"/>
          <w:kern w:val="0"/>
          <w14:ligatures w14:val="none"/>
        </w:rPr>
      </w:pPr>
      <w:r w:rsidRPr="00FE195F">
        <w:rPr>
          <w:rFonts w:ascii="Verdana" w:eastAsia="Aptos" w:hAnsi="Verdana" w:cs="Arial"/>
          <w:color w:val="000000"/>
          <w:kern w:val="0"/>
          <w14:ligatures w14:val="none"/>
        </w:rPr>
        <w:t>El trámite para la definición de la situación militar inicia con la inscripción que realiza la Organización de Reclutamiento y Movilización</w:t>
      </w:r>
      <w:r w:rsidRPr="00FE195F">
        <w:rPr>
          <w:rFonts w:ascii="Verdana" w:eastAsia="Aptos" w:hAnsi="Verdana" w:cs="Arial"/>
          <w:color w:val="000000"/>
          <w:kern w:val="0"/>
          <w:vertAlign w:val="superscript"/>
          <w14:ligatures w14:val="none"/>
        </w:rPr>
        <w:footnoteReference w:id="2"/>
      </w:r>
      <w:r w:rsidRPr="00FE195F">
        <w:rPr>
          <w:rFonts w:ascii="Verdana" w:eastAsia="Aptos" w:hAnsi="Verdana" w:cs="Arial"/>
          <w:color w:val="000000"/>
          <w:kern w:val="0"/>
          <w14:ligatures w14:val="none"/>
        </w:rPr>
        <w:t xml:space="preserve"> y culmina con el </w:t>
      </w:r>
      <w:r w:rsidRPr="00FE195F">
        <w:rPr>
          <w:rFonts w:ascii="Verdana" w:eastAsia="Aptos" w:hAnsi="Verdana" w:cs="Arial"/>
          <w:color w:val="000000"/>
          <w:kern w:val="0"/>
          <w14:ligatures w14:val="none"/>
        </w:rPr>
        <w:lastRenderedPageBreak/>
        <w:t>pago de la cuota de compensación militar, cuando no se está exonerado de esta</w:t>
      </w:r>
      <w:r w:rsidRPr="00FE195F">
        <w:rPr>
          <w:rFonts w:ascii="Verdana" w:eastAsia="Aptos" w:hAnsi="Verdana" w:cs="Arial"/>
          <w:color w:val="000000"/>
          <w:kern w:val="0"/>
          <w:vertAlign w:val="superscript"/>
          <w14:ligatures w14:val="none"/>
        </w:rPr>
        <w:footnoteReference w:id="3"/>
      </w:r>
      <w:r w:rsidRPr="00FE195F">
        <w:rPr>
          <w:rFonts w:ascii="Verdana" w:eastAsia="Aptos" w:hAnsi="Verdana" w:cs="Arial"/>
          <w:color w:val="000000"/>
          <w:kern w:val="0"/>
          <w14:ligatures w14:val="none"/>
        </w:rPr>
        <w:t>. Al respecto, el artículo 2.3.1.4.3.1. del Decreto 1070 de 2015, modificado por el Decreto 977 de 2018 que reglamentó el servicio de reclutamiento, control de reservas y movilizaciones, indica que es la Organización de Reclutamiento y Movilización la responsable de inscribir anualmente a los colombianos que en dicho periodo estén llamados a definir su situación militar, una vez hayan cumplido la mayoría de edad, conforme a lo dispuesto por el parágrafo 2° del artículo 17 de la Ley 1861 de 2017.</w:t>
      </w:r>
    </w:p>
    <w:p w14:paraId="56019D4E"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Aptos" w:hAnsi="Verdana" w:cs="Arial"/>
          <w:color w:val="000000"/>
          <w:kern w:val="0"/>
          <w14:ligatures w14:val="none"/>
        </w:rPr>
        <w:t xml:space="preserve">Posteriormente, dicho registro es complementado por el ciudadano al momento en el que éste inicie la inscripción para definir su situación militar en el portal web dispuesto para tal fin, creando un correo electrónico y adjuntando a la plataforma informática sus datos personales y los soportes documentales que acrediten las causales de exoneración y/o aplazamiento, </w:t>
      </w:r>
      <w:r w:rsidRPr="00FE195F">
        <w:rPr>
          <w:rFonts w:ascii="Verdana" w:eastAsia="Aptos" w:hAnsi="Verdana" w:cs="Arial"/>
          <w:color w:val="000000"/>
          <w:kern w:val="0"/>
          <w:lang w:eastAsia="en-GB"/>
          <w14:ligatures w14:val="none"/>
        </w:rPr>
        <w:t xml:space="preserve">en el cual el ciudadano podrá obtener un certificado en línea que acredite el inicio del proceso. </w:t>
      </w:r>
      <w:r w:rsidRPr="00FE195F">
        <w:rPr>
          <w:rFonts w:ascii="Verdana" w:eastAsia="Aptos" w:hAnsi="Verdana" w:cs="Arial"/>
          <w:color w:val="000000"/>
          <w:kern w:val="0"/>
          <w14:ligatures w14:val="none"/>
        </w:rPr>
        <w:t xml:space="preserve">De esta manera, una vez se culmine con el trámite previsto en </w:t>
      </w:r>
      <w:r w:rsidRPr="00FE195F">
        <w:rPr>
          <w:rFonts w:ascii="Verdana" w:eastAsia="Aptos" w:hAnsi="Verdana" w:cs="Arial"/>
          <w:color w:val="000000"/>
          <w:kern w:val="0"/>
          <w:lang w:eastAsia="en-GB"/>
          <w14:ligatures w14:val="none"/>
        </w:rPr>
        <w:t xml:space="preserve">el Capítulo 4 del Título I de la Parte 3 del Libro 2 del </w:t>
      </w:r>
      <w:r w:rsidRPr="00FE195F">
        <w:rPr>
          <w:rFonts w:ascii="Verdana" w:eastAsia="Aptos" w:hAnsi="Verdana" w:cs="Arial"/>
          <w:color w:val="000000"/>
          <w:kern w:val="0"/>
          <w14:ligatures w14:val="none"/>
        </w:rPr>
        <w:t>Decreto 1070 de 2015, modificado por el Decreto 977 de 2018, se entiende que la situación militar se acredita resuelta o definida cuando el ciudadano posee tarjeta de reservista militar –de primera o segunda clase</w:t>
      </w:r>
      <w:r w:rsidRPr="00FE195F">
        <w:rPr>
          <w:rFonts w:ascii="Verdana" w:eastAsia="Aptos" w:hAnsi="Verdana" w:cs="Arial"/>
          <w:color w:val="000000"/>
          <w:kern w:val="0"/>
          <w14:ligatures w14:val="none"/>
        </w:rPr>
        <w:softHyphen/>
        <w:t xml:space="preserve">–, el certificado digital o cédula militar de que de que tratan los </w:t>
      </w:r>
      <w:r w:rsidRPr="00FE195F">
        <w:rPr>
          <w:rFonts w:ascii="Verdana" w:eastAsia="Aptos" w:hAnsi="Verdana" w:cs="Arial"/>
          <w:color w:val="000000"/>
          <w:kern w:val="0"/>
          <w:lang w:bidi="es-ES"/>
          <w14:ligatures w14:val="none"/>
        </w:rPr>
        <w:t>artículos 35</w:t>
      </w:r>
      <w:r w:rsidRPr="00FE195F">
        <w:rPr>
          <w:rFonts w:ascii="Aptos" w:eastAsia="Aptos" w:hAnsi="Aptos" w:cs="Times New Roman"/>
          <w:kern w:val="0"/>
          <w:vertAlign w:val="superscript"/>
          <w:lang w:bidi="es-ES"/>
          <w14:ligatures w14:val="none"/>
        </w:rPr>
        <w:footnoteReference w:id="4"/>
      </w:r>
      <w:r w:rsidRPr="00FE195F">
        <w:rPr>
          <w:rFonts w:ascii="Verdana" w:eastAsia="Aptos" w:hAnsi="Verdana" w:cs="Arial"/>
          <w:color w:val="000000"/>
          <w:kern w:val="0"/>
          <w:lang w:bidi="es-ES"/>
          <w14:ligatures w14:val="none"/>
        </w:rPr>
        <w:t>, 40</w:t>
      </w:r>
      <w:r w:rsidRPr="00FE195F">
        <w:rPr>
          <w:rFonts w:ascii="Aptos" w:eastAsia="Aptos" w:hAnsi="Aptos" w:cs="Times New Roman"/>
          <w:kern w:val="0"/>
          <w:vertAlign w:val="superscript"/>
          <w:lang w:bidi="es-ES"/>
          <w14:ligatures w14:val="none"/>
        </w:rPr>
        <w:footnoteReference w:id="5"/>
      </w:r>
      <w:r w:rsidRPr="00FE195F">
        <w:rPr>
          <w:rFonts w:ascii="Verdana" w:eastAsia="Aptos" w:hAnsi="Verdana" w:cs="Arial"/>
          <w:color w:val="000000"/>
          <w:kern w:val="0"/>
          <w:lang w:bidi="es-ES"/>
          <w14:ligatures w14:val="none"/>
        </w:rPr>
        <w:t xml:space="preserve"> y 41</w:t>
      </w:r>
      <w:r w:rsidRPr="00FE195F">
        <w:rPr>
          <w:rFonts w:ascii="Verdana" w:eastAsia="Aptos" w:hAnsi="Verdana" w:cs="Arial"/>
          <w:color w:val="000000"/>
          <w:kern w:val="0"/>
          <w:vertAlign w:val="superscript"/>
          <w:lang w:bidi="es-ES"/>
          <w14:ligatures w14:val="none"/>
        </w:rPr>
        <w:footnoteReference w:id="6"/>
      </w:r>
      <w:r w:rsidRPr="00FE195F">
        <w:rPr>
          <w:rFonts w:ascii="Verdana" w:eastAsia="Aptos" w:hAnsi="Verdana" w:cs="Arial"/>
          <w:color w:val="000000"/>
          <w:kern w:val="0"/>
          <w:lang w:bidi="es-ES"/>
          <w14:ligatures w14:val="none"/>
        </w:rPr>
        <w:t xml:space="preserve"> de la Ley 1861 de 2017</w:t>
      </w:r>
      <w:r w:rsidRPr="00FE195F">
        <w:rPr>
          <w:rFonts w:ascii="Verdana" w:eastAsia="Aptos" w:hAnsi="Verdana" w:cs="Arial"/>
          <w:color w:val="000000"/>
          <w:kern w:val="0"/>
          <w14:ligatures w14:val="none"/>
        </w:rPr>
        <w:t>.</w:t>
      </w:r>
    </w:p>
    <w:p w14:paraId="16FC99FF"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Aptos" w:hAnsi="Verdana" w:cs="Arial"/>
          <w:color w:val="000000"/>
          <w:kern w:val="0"/>
          <w:lang w:eastAsia="es-ES"/>
          <w14:ligatures w14:val="none"/>
        </w:rPr>
        <w:lastRenderedPageBreak/>
        <w:t>Por otra parte, e</w:t>
      </w:r>
      <w:r w:rsidRPr="00FE195F">
        <w:rPr>
          <w:rFonts w:ascii="Verdana" w:eastAsia="Aptos" w:hAnsi="Verdana" w:cs="Arial"/>
          <w:color w:val="000000"/>
          <w:kern w:val="0"/>
          <w:lang w:eastAsia="en-GB"/>
          <w14:ligatures w14:val="none"/>
        </w:rPr>
        <w:t xml:space="preserve">l artículo 42 de la Ley </w:t>
      </w:r>
      <w:r w:rsidRPr="00FE195F">
        <w:rPr>
          <w:rFonts w:ascii="Verdana" w:eastAsia="Aptos" w:hAnsi="Verdana" w:cs="Arial"/>
          <w:color w:val="000000"/>
          <w:kern w:val="0"/>
          <w14:ligatures w14:val="none"/>
        </w:rPr>
        <w:t xml:space="preserve">1861 de 2017 </w:t>
      </w:r>
      <w:r w:rsidRPr="00FE195F">
        <w:rPr>
          <w:rFonts w:ascii="Verdana" w:eastAsia="Aptos" w:hAnsi="Verdana" w:cs="Arial"/>
          <w:color w:val="000000"/>
          <w:kern w:val="0"/>
          <w:lang w:eastAsia="en-GB"/>
          <w14:ligatures w14:val="none"/>
        </w:rPr>
        <w:t xml:space="preserve">dispone en su primer inciso que la situación militar se deberá acreditar en tres eventos: i) para ejercer cargos públicos, </w:t>
      </w:r>
      <w:proofErr w:type="spellStart"/>
      <w:r w:rsidRPr="00FE195F">
        <w:rPr>
          <w:rFonts w:ascii="Verdana" w:eastAsia="Aptos" w:hAnsi="Verdana" w:cs="Arial"/>
          <w:color w:val="000000"/>
          <w:kern w:val="0"/>
          <w:lang w:eastAsia="en-GB"/>
          <w14:ligatures w14:val="none"/>
        </w:rPr>
        <w:t>ii</w:t>
      </w:r>
      <w:proofErr w:type="spellEnd"/>
      <w:r w:rsidRPr="00FE195F">
        <w:rPr>
          <w:rFonts w:ascii="Verdana" w:eastAsia="Aptos" w:hAnsi="Verdana" w:cs="Arial"/>
          <w:color w:val="000000"/>
          <w:kern w:val="0"/>
          <w:lang w:eastAsia="en-GB"/>
          <w14:ligatures w14:val="none"/>
        </w:rPr>
        <w:t xml:space="preserve">) trabajar en el sector privado y </w:t>
      </w:r>
      <w:proofErr w:type="spellStart"/>
      <w:r w:rsidRPr="00FE195F">
        <w:rPr>
          <w:rFonts w:ascii="Verdana" w:eastAsia="Aptos" w:hAnsi="Verdana" w:cs="Arial"/>
          <w:color w:val="000000"/>
          <w:kern w:val="0"/>
          <w:lang w:eastAsia="en-GB"/>
          <w14:ligatures w14:val="none"/>
        </w:rPr>
        <w:t>iii</w:t>
      </w:r>
      <w:proofErr w:type="spellEnd"/>
      <w:r w:rsidRPr="00FE195F">
        <w:rPr>
          <w:rFonts w:ascii="Verdana" w:eastAsia="Aptos" w:hAnsi="Verdana" w:cs="Arial"/>
          <w:color w:val="000000"/>
          <w:kern w:val="0"/>
          <w:lang w:eastAsia="en-GB"/>
          <w14:ligatures w14:val="none"/>
        </w:rPr>
        <w:t>) celebrar contratos de prestación de servicios como persona natural con cualquier entidad de derecho público</w:t>
      </w:r>
      <w:r w:rsidRPr="00FE195F">
        <w:rPr>
          <w:rFonts w:ascii="Verdana" w:eastAsia="Aptos" w:hAnsi="Verdana" w:cs="Arial"/>
          <w:color w:val="000000"/>
          <w:kern w:val="0"/>
          <w:vertAlign w:val="superscript"/>
          <w:lang w:eastAsia="en-GB"/>
          <w14:ligatures w14:val="none"/>
        </w:rPr>
        <w:footnoteReference w:id="7"/>
      </w:r>
      <w:r w:rsidRPr="00FE195F">
        <w:rPr>
          <w:rFonts w:ascii="Verdana" w:eastAsia="Aptos" w:hAnsi="Verdana" w:cs="Arial"/>
          <w:color w:val="000000"/>
          <w:kern w:val="0"/>
          <w:lang w:eastAsia="en-GB"/>
          <w14:ligatures w14:val="none"/>
        </w:rPr>
        <w:t xml:space="preserve">. </w:t>
      </w:r>
      <w:r w:rsidRPr="00FE195F">
        <w:rPr>
          <w:rFonts w:ascii="Verdana" w:eastAsia="Calibri" w:hAnsi="Verdana" w:cs="Arial"/>
          <w:kern w:val="0"/>
          <w14:ligatures w14:val="none"/>
        </w:rPr>
        <w:t xml:space="preserve">Sin embargo, es necesario precisar que, cuando el artículo 42 de la Ley 1861 de 2017 establece la acreditación de la situación militar como un presupuesto para la suscripción de contratos estatales, se refiere de manera exclusiva a la celebración contratos de prestación de servicios con personas naturales. En ese sentido, el ámbito de aplicación del requisito al que se refiere el primer inciso del artículo 42 de la Ley 1861 de 2017 se circunscribe a la tipología contractual contemplada en el numeral 3 del artículo 32 de la Ley 80 de 1993, cuando haya lugar a su celebración con personas naturales, específicamente, con varones de nacionalidad colombiana. </w:t>
      </w:r>
    </w:p>
    <w:p w14:paraId="73AC8B3F" w14:textId="77777777" w:rsidR="00FE195F" w:rsidRPr="00FE195F" w:rsidRDefault="00FE195F" w:rsidP="00FE195F">
      <w:pPr>
        <w:spacing w:line="276" w:lineRule="auto"/>
        <w:ind w:firstLine="708"/>
        <w:jc w:val="both"/>
        <w:rPr>
          <w:rFonts w:ascii="Verdana" w:eastAsia="Calibri" w:hAnsi="Verdana" w:cs="Arial"/>
          <w:kern w:val="0"/>
          <w14:ligatures w14:val="none"/>
        </w:rPr>
      </w:pPr>
      <w:r w:rsidRPr="00FE195F">
        <w:rPr>
          <w:rFonts w:ascii="Verdana" w:eastAsia="Calibri" w:hAnsi="Verdana" w:cs="Arial"/>
          <w:kern w:val="0"/>
          <w14:ligatures w14:val="none"/>
        </w:rPr>
        <w:t>Esta conclusión implica que, para la celebración de contratos distintos del de prestación de servicios–</w:t>
      </w:r>
      <w:r w:rsidRPr="00FE195F">
        <w:rPr>
          <w:rFonts w:ascii="Verdana" w:eastAsia="Calibri" w:hAnsi="Verdana" w:cs="Arial"/>
          <w:i/>
          <w:iCs/>
          <w:kern w:val="0"/>
          <w14:ligatures w14:val="none"/>
        </w:rPr>
        <w:t>v.g.</w:t>
      </w:r>
      <w:r w:rsidRPr="00FE195F">
        <w:rPr>
          <w:rFonts w:ascii="Verdana" w:eastAsia="Calibri" w:hAnsi="Verdana" w:cs="Arial"/>
          <w:kern w:val="0"/>
          <w14:ligatures w14:val="none"/>
        </w:rPr>
        <w:t xml:space="preserve"> obra pública, consultoría, </w:t>
      </w:r>
      <w:proofErr w:type="spellStart"/>
      <w:r w:rsidRPr="00FE195F">
        <w:rPr>
          <w:rFonts w:ascii="Verdana" w:eastAsia="Calibri" w:hAnsi="Verdana" w:cs="Arial"/>
          <w:kern w:val="0"/>
          <w14:ligatures w14:val="none"/>
        </w:rPr>
        <w:t>etc</w:t>
      </w:r>
      <w:proofErr w:type="spellEnd"/>
      <w:r w:rsidRPr="00FE195F">
        <w:rPr>
          <w:rFonts w:ascii="Verdana" w:eastAsia="Calibri" w:hAnsi="Verdana" w:cs="Arial"/>
          <w:kern w:val="0"/>
          <w14:ligatures w14:val="none"/>
        </w:rPr>
        <w:t xml:space="preserve">– no resulta obligatoria la acreditación de la situación militar como un requisito para la celebración del negocio jurídico. Del mismo modo, a luz de esta interpretación, dicho requisito tampoco resultaría exigible cuando se deban celebrar contratos de prestación de servicios con personas naturales extranjeras, así como tampoco a las mujeres, en la medida que estas no están obligadas a definir su situación </w:t>
      </w:r>
      <w:r w:rsidRPr="00FE195F">
        <w:rPr>
          <w:rFonts w:ascii="Verdana" w:eastAsia="Calibri" w:hAnsi="Verdana" w:cs="Arial"/>
          <w:kern w:val="0"/>
          <w14:ligatures w14:val="none"/>
        </w:rPr>
        <w:lastRenderedPageBreak/>
        <w:t xml:space="preserve">militar. Asimismo, el requisito tampoco resultaría aplicable a los contratos que deban celebrarse con personas jurídicas, en la medida que la obligación de definir la situación militar solo se predica de los varones con nacionalidad colombiana, es decir de personas naturales, de acuerdo con el artículo 11 de la Ley 1861 de 2017. </w:t>
      </w:r>
    </w:p>
    <w:p w14:paraId="3D66F842" w14:textId="77777777" w:rsidR="00FE195F" w:rsidRPr="00FE195F" w:rsidRDefault="00FE195F" w:rsidP="00FE195F">
      <w:pPr>
        <w:spacing w:line="276" w:lineRule="auto"/>
        <w:ind w:firstLine="708"/>
        <w:jc w:val="both"/>
        <w:rPr>
          <w:rFonts w:ascii="Verdana" w:eastAsia="Aptos" w:hAnsi="Verdana" w:cs="Arial"/>
          <w:color w:val="000000"/>
          <w:kern w:val="0"/>
          <w14:ligatures w14:val="none"/>
        </w:rPr>
      </w:pPr>
      <w:r w:rsidRPr="00FE195F">
        <w:rPr>
          <w:rFonts w:ascii="Verdana" w:eastAsia="Aptos" w:hAnsi="Verdana" w:cs="Arial"/>
          <w:color w:val="000000"/>
          <w:kern w:val="0"/>
          <w14:ligatures w14:val="none"/>
        </w:rPr>
        <w:t>En ese contexto se tiene que, para la celebración de contratos de prestación de servicios con personas naturales, resulta obligatorio que se acredite definida la situación militar mediante los documentos señalados en el numeral anterior. Adicionalmente, dicho beneficio se extendió a las personas aptas pero exoneradas de pagar la cuota de compensación militar, en virtud de lo resuelto en la sentencia de la Corte Constitucional C- 277 de 2019</w:t>
      </w:r>
      <w:r w:rsidRPr="00FE195F">
        <w:rPr>
          <w:rFonts w:ascii="Verdana" w:eastAsia="Aptos" w:hAnsi="Verdana" w:cs="Arial"/>
          <w:color w:val="000000"/>
          <w:kern w:val="0"/>
          <w:vertAlign w:val="superscript"/>
          <w14:ligatures w14:val="none"/>
        </w:rPr>
        <w:footnoteReference w:id="8"/>
      </w:r>
      <w:r w:rsidRPr="00FE195F">
        <w:rPr>
          <w:rFonts w:ascii="Verdana" w:eastAsia="Aptos" w:hAnsi="Verdana" w:cs="Arial"/>
          <w:color w:val="000000"/>
          <w:kern w:val="0"/>
          <w14:ligatures w14:val="none"/>
        </w:rPr>
        <w:t>. Asimismo, el inciso primero del artículo 2.3.1.4.9.2 del Decreto 1070 de 2015, modificado por el Decreto 977 de 2018, dispuso que el anterior beneficio se obtendría automáticamente cuando el ciudadano se vincule laboral o contractualmente a una empresa nacional o extranjera, oficial o particular, y se encuentre clasificado en los términos de la Ley 1861 de 2017 como no apto, exento o si ha superado la edad máxima de incorporación, incluyendo el nuevo grupo poblacional beneficiario en virtud de lo resuelto en la sentencia anteriormente citada. Para tal efecto, el inciso segundo otorgó un plazo máximo de dieciocho (18) meses para definir su situación militar.</w:t>
      </w:r>
    </w:p>
    <w:p w14:paraId="324EC5EF"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Aptos" w:hAnsi="Verdana" w:cs="Arial"/>
          <w:color w:val="000000"/>
          <w:kern w:val="0"/>
          <w:lang w:eastAsia="es-ES"/>
          <w14:ligatures w14:val="none"/>
        </w:rPr>
        <w:t>En este orden de ideas, surge el siguiente interrogante: ¿a partir de qué momento se debe contabilizar los dieciocho (18) meses para definir la situación militar? Al respecto, el inciso segundo del artículo 42 de la Ley 1861 de 2017 establece que a partir de la fecha de su vinculación laboral estas personas tendrán un lapso de dieciocho (18) meses para definir su situación militar.</w:t>
      </w:r>
      <w:r w:rsidRPr="00FE195F">
        <w:rPr>
          <w:rFonts w:ascii="Aptos" w:eastAsia="Aptos" w:hAnsi="Aptos" w:cs="Times New Roman"/>
          <w:kern w:val="0"/>
          <w14:ligatures w14:val="none"/>
        </w:rPr>
        <w:t xml:space="preserve"> </w:t>
      </w:r>
      <w:r w:rsidRPr="00FE195F">
        <w:rPr>
          <w:rFonts w:ascii="Verdana" w:eastAsia="Aptos" w:hAnsi="Verdana" w:cs="Arial"/>
          <w:color w:val="000000"/>
          <w:kern w:val="0"/>
          <w:lang w:eastAsia="es-ES"/>
          <w14:ligatures w14:val="none"/>
        </w:rPr>
        <w:t>Sin embargo, el inciso tercero de la disposición señalada impone el deber a aquellas personas que accedan a los beneficios previstos, de tramitar ante las autoridades de reclutamiento una certificación provisional en línea que “acredite” el inicio del trámite de la definición de la situación militar. Esta certificación debe ser verificada por las entidades públicas y privadas, puesto que es la forma en que se acredita que la situación militar se encuentra en trámite.</w:t>
      </w:r>
    </w:p>
    <w:p w14:paraId="130C2005" w14:textId="77777777" w:rsidR="00FE195F" w:rsidRPr="00FE195F" w:rsidRDefault="00FE195F" w:rsidP="00FE195F">
      <w:pPr>
        <w:spacing w:line="276" w:lineRule="auto"/>
        <w:ind w:firstLine="708"/>
        <w:jc w:val="both"/>
        <w:rPr>
          <w:rFonts w:ascii="Verdana" w:eastAsia="Aptos" w:hAnsi="Verdana" w:cs="Arial"/>
          <w:color w:val="000000"/>
          <w:kern w:val="0"/>
          <w14:ligatures w14:val="none"/>
        </w:rPr>
      </w:pPr>
      <w:r w:rsidRPr="00FE195F">
        <w:rPr>
          <w:rFonts w:ascii="Verdana" w:eastAsia="Aptos" w:hAnsi="Verdana" w:cs="Arial"/>
          <w:color w:val="000000"/>
          <w:kern w:val="0"/>
          <w:lang w:eastAsia="es-ES"/>
          <w14:ligatures w14:val="none"/>
        </w:rPr>
        <w:t xml:space="preserve">En consecuencia, si bien el plazo de dieciocho (18) meses debe contabilizarse a partir de la fecha de su vinculación laboral, para ingresar al </w:t>
      </w:r>
      <w:r w:rsidRPr="00FE195F">
        <w:rPr>
          <w:rFonts w:ascii="Verdana" w:eastAsia="Aptos" w:hAnsi="Verdana" w:cs="Arial"/>
          <w:color w:val="000000"/>
          <w:kern w:val="0"/>
          <w:lang w:eastAsia="es-ES"/>
          <w14:ligatures w14:val="none"/>
        </w:rPr>
        <w:lastRenderedPageBreak/>
        <w:t xml:space="preserve">empleo previamente deberá presentar la certificación provisional en línea que acredite que la situación militar se encuentra en trámite. Para ello, le corresponderá a cada entidad verificar la validez y vigencia de los certificados expedidos, con el fin de revisar que se encuentren dentro del plazo límite establecido. </w:t>
      </w:r>
      <w:r w:rsidRPr="00FE195F">
        <w:rPr>
          <w:rFonts w:ascii="Verdana" w:eastAsia="Aptos" w:hAnsi="Verdana" w:cs="Arial"/>
          <w:color w:val="000000"/>
          <w:kern w:val="0"/>
          <w14:ligatures w14:val="none"/>
        </w:rPr>
        <w:t>Lo anterior, fue incluso respaldado por la Corte Constitucional, quien en la Sentencia C-277 del 19 de junio de 2019, señaló que las personas no aptas, las exentas, las que hayan superado la edad máxima de incorporación a filas y las aptas pero exoneradas del pago de compensación militar, pueden acceder temporalmente a un empleo mientras definen su situación militar.</w:t>
      </w:r>
    </w:p>
    <w:p w14:paraId="53350A26"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Aptos" w:hAnsi="Verdana" w:cs="Arial"/>
          <w:color w:val="000000"/>
          <w:kern w:val="0"/>
          <w:lang w:eastAsia="es-ES"/>
          <w14:ligatures w14:val="none"/>
        </w:rPr>
        <w:t>En virtud de lo anterior, se advierte que para la acreditación de las referidas circunstancias, las Entidades Estatales podrán requerir al ciudadano que allegue todas las pruebas que resulten conducentes para acreditar su actuar diligente para definir su situación militar. Esto implica que, para efectos de acceder a la prerrogativa establecida en el artículo 42 de la Ley 1861 de 2017 puedan tenerse como válidos medios de prueba como, por ejemplo, declaraciones juramentadas o extra juicio en las que el ciudadano de fe de que ha realizado las actuaciones requeridas para definir su situación militar o cualquier otro medio de prueba que permita demostrar a la Entidad Estatal contratante que se han cumplido con los requisitos establecidos en la referida ley, evitando así que las eventuales dilaciones o retrasos imputables al Comando de Reclutamiento y Control Reservas del Ejército Nacional en la expedición de constancias del estado de definición de la situación militar, se conviertan en una barrera para celebración de  contratos de prestación de servicios, que materializan o concretan su derecho fundamental al trabajo. En todo caso, será responsabilidad de la Entidad Estatal analizar los medios de pruebas aportados, y a partir de ellos determinar si en efecto el joven ha adelantado las actuaciones requeridas para acceder al beneficio establecido por el artículo 42 ibidem.</w:t>
      </w:r>
    </w:p>
    <w:p w14:paraId="34D345B2" w14:textId="77777777" w:rsidR="00FE195F" w:rsidRPr="00FE195F" w:rsidRDefault="00FE195F" w:rsidP="00FE195F">
      <w:pPr>
        <w:spacing w:line="276" w:lineRule="auto"/>
        <w:ind w:firstLine="708"/>
        <w:jc w:val="both"/>
        <w:rPr>
          <w:rFonts w:ascii="Verdana" w:eastAsia="Aptos" w:hAnsi="Verdana" w:cs="Arial"/>
          <w:color w:val="000000"/>
          <w:kern w:val="0"/>
          <w:lang w:eastAsia="es-ES"/>
          <w14:ligatures w14:val="none"/>
        </w:rPr>
      </w:pPr>
      <w:r w:rsidRPr="00FE195F">
        <w:rPr>
          <w:rFonts w:ascii="Verdana" w:eastAsia="Aptos" w:hAnsi="Verdana" w:cs="Arial"/>
          <w:color w:val="000000"/>
          <w:kern w:val="0"/>
          <w:lang w:eastAsia="es-ES"/>
          <w14:ligatures w14:val="none"/>
        </w:rPr>
        <w:t xml:space="preserve">En conclusión, los ciudadanos que pretendan suscribir un contrato de prestación de servicios con una Entidad Estatal podrán acreditar su situación militar de la siguiente manera: i) copia de la libreta militar; o </w:t>
      </w:r>
      <w:proofErr w:type="spellStart"/>
      <w:r w:rsidRPr="00FE195F">
        <w:rPr>
          <w:rFonts w:ascii="Verdana" w:eastAsia="Aptos" w:hAnsi="Verdana" w:cs="Arial"/>
          <w:color w:val="000000"/>
          <w:kern w:val="0"/>
          <w:lang w:eastAsia="es-ES"/>
          <w14:ligatures w14:val="none"/>
        </w:rPr>
        <w:t>ii</w:t>
      </w:r>
      <w:proofErr w:type="spellEnd"/>
      <w:r w:rsidRPr="00FE195F">
        <w:rPr>
          <w:rFonts w:ascii="Verdana" w:eastAsia="Aptos" w:hAnsi="Verdana" w:cs="Arial"/>
          <w:color w:val="000000"/>
          <w:kern w:val="0"/>
          <w:lang w:eastAsia="es-ES"/>
          <w14:ligatures w14:val="none"/>
        </w:rPr>
        <w:t xml:space="preserve">) certificación provisional en línea la cual acreditará que su situación militar se encuentra en trámite; o </w:t>
      </w:r>
      <w:proofErr w:type="spellStart"/>
      <w:r w:rsidRPr="00FE195F">
        <w:rPr>
          <w:rFonts w:ascii="Verdana" w:eastAsia="Aptos" w:hAnsi="Verdana" w:cs="Arial"/>
          <w:color w:val="000000"/>
          <w:kern w:val="0"/>
          <w:lang w:eastAsia="es-ES"/>
          <w14:ligatures w14:val="none"/>
        </w:rPr>
        <w:t>iii</w:t>
      </w:r>
      <w:proofErr w:type="spellEnd"/>
      <w:r w:rsidRPr="00FE195F">
        <w:rPr>
          <w:rFonts w:ascii="Verdana" w:eastAsia="Aptos" w:hAnsi="Verdana" w:cs="Arial"/>
          <w:color w:val="000000"/>
          <w:kern w:val="0"/>
          <w:lang w:eastAsia="es-ES"/>
          <w14:ligatures w14:val="none"/>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w:t>
      </w:r>
      <w:r w:rsidRPr="00FE195F">
        <w:rPr>
          <w:rFonts w:ascii="Verdana" w:eastAsia="Aptos" w:hAnsi="Verdana" w:cs="Arial"/>
          <w:color w:val="000000"/>
          <w:kern w:val="0"/>
          <w:lang w:eastAsia="es-ES"/>
          <w14:ligatures w14:val="none"/>
        </w:rPr>
        <w:lastRenderedPageBreak/>
        <w:t xml:space="preserve">incluso a través de formatos estandarizados por la Entidad Estatal para dicho fin–; o </w:t>
      </w:r>
      <w:proofErr w:type="spellStart"/>
      <w:r w:rsidRPr="00FE195F">
        <w:rPr>
          <w:rFonts w:ascii="Verdana" w:eastAsia="Aptos" w:hAnsi="Verdana" w:cs="Arial"/>
          <w:color w:val="000000"/>
          <w:kern w:val="0"/>
          <w:lang w:eastAsia="es-ES"/>
          <w14:ligatures w14:val="none"/>
        </w:rPr>
        <w:t>iv</w:t>
      </w:r>
      <w:proofErr w:type="spellEnd"/>
      <w:r w:rsidRPr="00FE195F">
        <w:rPr>
          <w:rFonts w:ascii="Verdana" w:eastAsia="Aptos" w:hAnsi="Verdana" w:cs="Arial"/>
          <w:color w:val="000000"/>
          <w:kern w:val="0"/>
          <w:lang w:eastAsia="es-ES"/>
          <w14:ligatures w14:val="none"/>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 La Entidad Estatal contratante deberá estudiar los medios de prueba presentados por el ciudadano, analizando si este cumple o no con los presupuestos indicados en el segundo inciso del artículo 42 de la Ley 1861 de 2017.</w:t>
      </w:r>
    </w:p>
    <w:bookmarkEnd w:id="3"/>
    <w:p w14:paraId="28259B1A" w14:textId="77777777" w:rsidR="00FE195F" w:rsidRPr="00FE195F" w:rsidRDefault="00FE195F" w:rsidP="00FE195F">
      <w:pPr>
        <w:widowControl w:val="0"/>
        <w:autoSpaceDE w:val="0"/>
        <w:autoSpaceDN w:val="0"/>
        <w:spacing w:before="120" w:after="0" w:line="276" w:lineRule="auto"/>
        <w:ind w:firstLine="709"/>
        <w:jc w:val="both"/>
        <w:rPr>
          <w:rFonts w:ascii="Verdana" w:eastAsia="Calibri" w:hAnsi="Verdana" w:cs="Arial"/>
          <w:kern w:val="0"/>
          <w14:ligatures w14:val="none"/>
        </w:rPr>
      </w:pPr>
      <w:r w:rsidRPr="00FE195F">
        <w:rPr>
          <w:rFonts w:ascii="Verdana" w:eastAsia="Calibri" w:hAnsi="Verdana" w:cs="Arial"/>
          <w:iCs/>
          <w:kern w:val="0"/>
          <w14:ligatures w14:val="none"/>
        </w:rPr>
        <w:t xml:space="preserve">Al margen de lo anterior, </w:t>
      </w:r>
      <w:r w:rsidRPr="00FE195F">
        <w:rPr>
          <w:rFonts w:ascii="Verdana" w:eastAsia="Calibri" w:hAnsi="Verdana" w:cs="Arial"/>
          <w:kern w:val="0"/>
          <w14:ligatures w14:val="none"/>
        </w:rPr>
        <w:t xml:space="preserve">debe advertirse que el análisis sobre la definición de la situación militar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45BBFB54" w14:textId="77777777" w:rsidR="00FE195F" w:rsidRPr="00FE195F" w:rsidRDefault="00FE195F" w:rsidP="00FE195F">
      <w:pPr>
        <w:spacing w:before="120" w:after="0" w:line="276" w:lineRule="auto"/>
        <w:ind w:firstLine="708"/>
        <w:jc w:val="both"/>
        <w:rPr>
          <w:rFonts w:ascii="Verdana" w:eastAsia="Calibri" w:hAnsi="Verdana" w:cs="Arial"/>
          <w:kern w:val="0"/>
          <w14:ligatures w14:val="none"/>
        </w:rPr>
      </w:pPr>
      <w:r w:rsidRPr="00FE195F">
        <w:rPr>
          <w:rFonts w:ascii="Verdana" w:eastAsia="Calibri" w:hAnsi="Verdana" w:cs="Arial"/>
          <w:kern w:val="0"/>
          <w14:ligatures w14:val="none"/>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7A598E9" w14:textId="77777777" w:rsidR="00FE195F" w:rsidRPr="00FE195F" w:rsidRDefault="00FE195F" w:rsidP="00FE195F">
      <w:pPr>
        <w:spacing w:after="0" w:line="276" w:lineRule="auto"/>
        <w:ind w:firstLine="708"/>
        <w:jc w:val="both"/>
        <w:rPr>
          <w:rFonts w:ascii="Verdana" w:eastAsia="Calibri" w:hAnsi="Verdana" w:cs="Arial"/>
          <w:kern w:val="0"/>
          <w14:ligatures w14:val="none"/>
        </w:rPr>
      </w:pPr>
    </w:p>
    <w:p w14:paraId="06E802DB" w14:textId="77777777" w:rsidR="00FE195F" w:rsidRPr="00FE195F" w:rsidRDefault="00FE195F" w:rsidP="00FE195F">
      <w:pPr>
        <w:widowControl w:val="0"/>
        <w:autoSpaceDE w:val="0"/>
        <w:autoSpaceDN w:val="0"/>
        <w:spacing w:before="1" w:after="0" w:line="240" w:lineRule="auto"/>
        <w:outlineLvl w:val="0"/>
        <w:rPr>
          <w:rFonts w:ascii="Verdana" w:eastAsia="Arial" w:hAnsi="Verdana" w:cs="Arial"/>
          <w:b/>
          <w:bCs/>
          <w:kern w:val="0"/>
          <w:lang w:val="es-ES"/>
          <w14:ligatures w14:val="none"/>
        </w:rPr>
      </w:pPr>
      <w:r w:rsidRPr="00FE195F">
        <w:rPr>
          <w:rFonts w:ascii="Verdana" w:eastAsia="Arial" w:hAnsi="Verdana" w:cs="Arial"/>
          <w:b/>
          <w:bCs/>
          <w:kern w:val="0"/>
          <w:lang w:val="es-ES"/>
          <w14:ligatures w14:val="none"/>
        </w:rPr>
        <w:t>4.Referencias normativas, jurisprudenciales y otras fuentes:</w:t>
      </w:r>
    </w:p>
    <w:p w14:paraId="0DC247BB"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14:ligatures w14:val="none"/>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195F" w:rsidRPr="00FE195F" w14:paraId="0B62E23F" w14:textId="77777777" w:rsidTr="00D967AF">
        <w:trPr>
          <w:trHeight w:val="870"/>
        </w:trPr>
        <w:tc>
          <w:tcPr>
            <w:tcW w:w="8647" w:type="dxa"/>
          </w:tcPr>
          <w:p w14:paraId="71467EF0" w14:textId="77777777" w:rsidR="00FE195F" w:rsidRPr="00FE195F" w:rsidRDefault="00FE195F" w:rsidP="00FE195F">
            <w:pPr>
              <w:widowControl w:val="0"/>
              <w:numPr>
                <w:ilvl w:val="0"/>
                <w:numId w:val="1"/>
              </w:numPr>
              <w:autoSpaceDE w:val="0"/>
              <w:autoSpaceDN w:val="0"/>
              <w:spacing w:line="276" w:lineRule="auto"/>
              <w:ind w:left="714" w:hanging="357"/>
              <w:jc w:val="both"/>
              <w:rPr>
                <w:rFonts w:ascii="Verdana" w:eastAsia="Aptos" w:hAnsi="Verdana" w:cs="Arial"/>
              </w:rPr>
            </w:pPr>
            <w:r w:rsidRPr="00FE195F">
              <w:rPr>
                <w:rFonts w:ascii="Verdana" w:eastAsia="Aptos" w:hAnsi="Verdana" w:cs="Arial"/>
              </w:rPr>
              <w:t>Ley 1861 de 2017, artículos 4, 11,12, 16 y 42</w:t>
            </w:r>
          </w:p>
          <w:p w14:paraId="3880AB42" w14:textId="77777777" w:rsidR="00FE195F" w:rsidRPr="00FE195F" w:rsidRDefault="00FE195F" w:rsidP="00FE195F">
            <w:pPr>
              <w:widowControl w:val="0"/>
              <w:numPr>
                <w:ilvl w:val="0"/>
                <w:numId w:val="1"/>
              </w:numPr>
              <w:autoSpaceDE w:val="0"/>
              <w:autoSpaceDN w:val="0"/>
              <w:spacing w:line="276" w:lineRule="auto"/>
              <w:contextualSpacing/>
              <w:jc w:val="both"/>
              <w:rPr>
                <w:rFonts w:ascii="Verdana" w:eastAsia="Aptos" w:hAnsi="Verdana" w:cs="Arial"/>
              </w:rPr>
            </w:pPr>
            <w:r w:rsidRPr="00FE195F">
              <w:rPr>
                <w:rFonts w:ascii="Verdana" w:eastAsia="Calibri" w:hAnsi="Verdana" w:cs="Arial"/>
                <w:lang w:val="es-ES"/>
              </w:rPr>
              <w:t>Decreto 1284 de 2017. Artículo 2.2.8.3.1</w:t>
            </w:r>
          </w:p>
          <w:p w14:paraId="3B36D65F" w14:textId="77777777" w:rsidR="00FE195F" w:rsidRPr="00FE195F" w:rsidRDefault="00FE195F" w:rsidP="00FE195F">
            <w:pPr>
              <w:widowControl w:val="0"/>
              <w:numPr>
                <w:ilvl w:val="0"/>
                <w:numId w:val="1"/>
              </w:numPr>
              <w:autoSpaceDE w:val="0"/>
              <w:autoSpaceDN w:val="0"/>
              <w:spacing w:line="276" w:lineRule="auto"/>
              <w:contextualSpacing/>
              <w:jc w:val="both"/>
              <w:rPr>
                <w:rFonts w:ascii="Verdana" w:eastAsia="Aptos" w:hAnsi="Verdana" w:cs="Arial"/>
              </w:rPr>
            </w:pPr>
            <w:r w:rsidRPr="00FE195F">
              <w:rPr>
                <w:rFonts w:ascii="Verdana" w:eastAsia="Aptos" w:hAnsi="Verdana" w:cs="Arial"/>
              </w:rPr>
              <w:t>Constitución de 1991, artículo 216</w:t>
            </w:r>
          </w:p>
          <w:p w14:paraId="41CADAB8" w14:textId="77777777" w:rsidR="00FE195F" w:rsidRPr="00FE195F" w:rsidRDefault="00FE195F" w:rsidP="00FE195F">
            <w:pPr>
              <w:widowControl w:val="0"/>
              <w:numPr>
                <w:ilvl w:val="0"/>
                <w:numId w:val="1"/>
              </w:numPr>
              <w:autoSpaceDE w:val="0"/>
              <w:autoSpaceDN w:val="0"/>
              <w:spacing w:line="276" w:lineRule="auto"/>
              <w:contextualSpacing/>
              <w:jc w:val="both"/>
              <w:rPr>
                <w:rFonts w:ascii="Verdana" w:eastAsia="Aptos" w:hAnsi="Verdana" w:cs="Arial"/>
              </w:rPr>
            </w:pPr>
            <w:r w:rsidRPr="00FE195F">
              <w:rPr>
                <w:rFonts w:ascii="Verdana" w:eastAsia="Aptos" w:hAnsi="Verdana" w:cs="Arial"/>
              </w:rPr>
              <w:t>CORTE CONSTITUCIONAL. Sentencia C-1016 de 2012. M.P. Jorge Iván Palacio</w:t>
            </w:r>
          </w:p>
          <w:p w14:paraId="1E35A760" w14:textId="77777777" w:rsidR="00FE195F" w:rsidRPr="00FE195F" w:rsidRDefault="00FE195F" w:rsidP="00FE195F">
            <w:pPr>
              <w:widowControl w:val="0"/>
              <w:numPr>
                <w:ilvl w:val="0"/>
                <w:numId w:val="1"/>
              </w:numPr>
              <w:autoSpaceDE w:val="0"/>
              <w:autoSpaceDN w:val="0"/>
              <w:spacing w:line="276" w:lineRule="auto"/>
              <w:contextualSpacing/>
              <w:jc w:val="both"/>
              <w:rPr>
                <w:rFonts w:ascii="Verdana" w:eastAsia="Aptos" w:hAnsi="Verdana" w:cs="Arial"/>
              </w:rPr>
            </w:pPr>
            <w:r w:rsidRPr="00FE195F">
              <w:rPr>
                <w:rFonts w:ascii="Verdana" w:eastAsia="Aptos" w:hAnsi="Verdana" w:cs="Arial"/>
              </w:rPr>
              <w:t xml:space="preserve">BARRETO ROZO, Antonio Alejandro. Inhabilidades de la contratación estatal, efectos y </w:t>
            </w:r>
            <w:proofErr w:type="spellStart"/>
            <w:r w:rsidRPr="00FE195F">
              <w:rPr>
                <w:rFonts w:ascii="Verdana" w:eastAsia="Aptos" w:hAnsi="Verdana" w:cs="Arial"/>
              </w:rPr>
              <w:t>neopunitivismo</w:t>
            </w:r>
            <w:proofErr w:type="spellEnd"/>
            <w:r w:rsidRPr="00FE195F">
              <w:rPr>
                <w:rFonts w:ascii="Verdana" w:eastAsia="Aptos" w:hAnsi="Verdana" w:cs="Arial"/>
              </w:rPr>
              <w:t xml:space="preserve"> en el Estatuto Anticorrupción</w:t>
            </w:r>
          </w:p>
        </w:tc>
      </w:tr>
    </w:tbl>
    <w:p w14:paraId="6B8E5297"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14:ligatures w14:val="none"/>
        </w:rPr>
      </w:pPr>
    </w:p>
    <w:p w14:paraId="4E03648A" w14:textId="77777777" w:rsidR="00FE195F" w:rsidRPr="00FE195F" w:rsidRDefault="00FE195F" w:rsidP="00FE195F">
      <w:pPr>
        <w:widowControl w:val="0"/>
        <w:autoSpaceDE w:val="0"/>
        <w:autoSpaceDN w:val="0"/>
        <w:spacing w:before="1" w:after="0" w:line="240" w:lineRule="auto"/>
        <w:outlineLvl w:val="0"/>
        <w:rPr>
          <w:rFonts w:ascii="Verdana" w:eastAsia="Arial" w:hAnsi="Verdana" w:cs="Arial"/>
          <w:b/>
          <w:bCs/>
          <w:kern w:val="0"/>
          <w:lang w:val="es-ES"/>
          <w14:ligatures w14:val="none"/>
        </w:rPr>
      </w:pPr>
      <w:r w:rsidRPr="00FE195F">
        <w:rPr>
          <w:rFonts w:ascii="Verdana" w:eastAsia="Arial" w:hAnsi="Verdana" w:cs="Arial"/>
          <w:b/>
          <w:bCs/>
          <w:kern w:val="0"/>
          <w:lang w:val="es-ES"/>
          <w14:ligatures w14:val="none"/>
        </w:rPr>
        <w:t>5. Doctrina de la Agencia Nacional de Contratación Pública:</w:t>
      </w:r>
    </w:p>
    <w:p w14:paraId="7334DB5F"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14:ligatures w14:val="none"/>
        </w:rPr>
      </w:pPr>
    </w:p>
    <w:p w14:paraId="4DD0B22A"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shd w:val="clear" w:color="auto" w:fill="FFFFFF"/>
          <w:lang w:val="es-ES"/>
          <w14:ligatures w14:val="none"/>
        </w:rPr>
      </w:pPr>
      <w:r w:rsidRPr="00FE195F">
        <w:rPr>
          <w:rFonts w:ascii="Verdana" w:eastAsia="Aptos" w:hAnsi="Verdana" w:cs="Arial"/>
          <w:kern w:val="0"/>
          <w:shd w:val="clear" w:color="auto" w:fill="FFFFFF"/>
          <w:lang w:val="es-ES"/>
          <w14:ligatures w14:val="none"/>
        </w:rPr>
        <w:t xml:space="preserve">Sobre la situación militar para suscribir contratos de prestación de servicios, esta Subdirección se pronunció pronunciado en los conceptos Nro. </w:t>
      </w:r>
      <w:r w:rsidRPr="00FE195F">
        <w:rPr>
          <w:rFonts w:ascii="Verdana" w:eastAsia="Aptos" w:hAnsi="Verdana" w:cs="Arial"/>
          <w:kern w:val="0"/>
          <w:shd w:val="clear" w:color="auto" w:fill="FFFFFF"/>
          <w14:ligatures w14:val="none"/>
        </w:rPr>
        <w:t>C-628 de 29 de septiembre de 2022, C-653 del 11 de octubre de 2022, C-944 del 19 de enero del 2023, C-328 del 25 de agosto de 2023, C-376 del 20 de septiembre del 2023, C-417 del 27 de septiembre del 2023</w:t>
      </w:r>
      <w:r w:rsidRPr="00FE195F">
        <w:rPr>
          <w:rFonts w:ascii="Verdana" w:eastAsia="Aptos" w:hAnsi="Verdana" w:cs="Arial"/>
          <w:kern w:val="0"/>
          <w:shd w:val="clear" w:color="auto" w:fill="FFFFFF"/>
          <w:lang w:val="es-ES"/>
          <w14:ligatures w14:val="none"/>
        </w:rPr>
        <w:t xml:space="preserve">, C-190 del 30 de julio de 2024, </w:t>
      </w:r>
      <w:r w:rsidRPr="00FE195F">
        <w:rPr>
          <w:rFonts w:ascii="Verdana" w:eastAsia="Aptos" w:hAnsi="Verdana" w:cs="Arial"/>
          <w:color w:val="000000"/>
          <w:kern w:val="0"/>
          <w:shd w:val="clear" w:color="auto" w:fill="FFFFFF"/>
          <w:lang w:val="es-ES_tradnl"/>
          <w14:ligatures w14:val="none"/>
        </w:rPr>
        <w:t>C-317 de 2024, C-690 de 2024, C-169 de 2025, C-785 de 2025, C-1744 del 31 de diciembre de 2025,</w:t>
      </w:r>
      <w:r w:rsidRPr="00FE195F">
        <w:rPr>
          <w:rFonts w:ascii="Verdana" w:eastAsia="Aptos" w:hAnsi="Verdana" w:cs="Arial"/>
          <w:kern w:val="0"/>
          <w:shd w:val="clear" w:color="auto" w:fill="FFFFFF"/>
          <w:lang w:val="es-ES"/>
          <w14:ligatures w14:val="none"/>
        </w:rPr>
        <w:t xml:space="preserve">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FE195F">
          <w:rPr>
            <w:rFonts w:ascii="Verdana" w:eastAsia="Aptos" w:hAnsi="Verdana" w:cs="Arial"/>
            <w:color w:val="467886"/>
            <w:kern w:val="0"/>
            <w:u w:val="single"/>
            <w:shd w:val="clear" w:color="auto" w:fill="FFFFFF"/>
            <w:lang w:val="es-ES"/>
            <w14:ligatures w14:val="none"/>
          </w:rPr>
          <w:t>https://relatoria.colombiacompra.gov.co/</w:t>
        </w:r>
      </w:hyperlink>
      <w:r w:rsidRPr="00FE195F">
        <w:rPr>
          <w:rFonts w:ascii="Verdana" w:eastAsia="Aptos" w:hAnsi="Verdana" w:cs="Arial"/>
          <w:kern w:val="0"/>
          <w:shd w:val="clear" w:color="auto" w:fill="FFFFFF"/>
          <w:lang w:val="es-ES"/>
          <w14:ligatures w14:val="none"/>
        </w:rPr>
        <w:t xml:space="preserve">. </w:t>
      </w:r>
    </w:p>
    <w:p w14:paraId="5A4FC967" w14:textId="77777777" w:rsidR="00FE195F" w:rsidRPr="00FE195F" w:rsidRDefault="00FE195F" w:rsidP="00FE195F">
      <w:pPr>
        <w:spacing w:before="120" w:after="120" w:line="276" w:lineRule="auto"/>
        <w:ind w:firstLine="709"/>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La sostenibilidad no es una opción, es una obligación. Por ello, la Agencia Nacional de Contratación Pública –Colombia Compra Eficiente– te invita a realizar el </w:t>
      </w:r>
      <w:r w:rsidRPr="00FE195F">
        <w:rPr>
          <w:rFonts w:ascii="Verdana" w:eastAsia="Aptos" w:hAnsi="Verdana" w:cs="Times New Roman"/>
          <w:b/>
          <w:bCs/>
          <w:kern w:val="0"/>
          <w14:ligatures w14:val="none"/>
        </w:rPr>
        <w:t>Curso de Contratación Pública Sostenible y Socialmente Responsable</w:t>
      </w:r>
      <w:r w:rsidRPr="00FE195F">
        <w:rPr>
          <w:rFonts w:ascii="Verdana" w:eastAsia="Aptos" w:hAnsi="Verdana" w:cs="Times New Roman"/>
          <w:kern w:val="0"/>
          <w14:ligatures w14:val="none"/>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E195F">
        <w:rPr>
          <w:rFonts w:ascii="Verdana" w:eastAsia="Aptos" w:hAnsi="Verdana" w:cs="Times New Roman"/>
          <w:kern w:val="0"/>
          <w14:ligatures w14:val="none"/>
        </w:rPr>
        <w:br/>
      </w:r>
      <w:hyperlink r:id="rId13" w:tgtFrame="_new" w:history="1">
        <w:r w:rsidRPr="00FE195F">
          <w:rPr>
            <w:rFonts w:ascii="Verdana" w:eastAsia="Aptos" w:hAnsi="Verdana" w:cs="Times New Roman"/>
            <w:kern w:val="0"/>
            <w:u w:val="single"/>
            <w14:ligatures w14:val="none"/>
          </w:rPr>
          <w:t>https://formacionvirtual.colombiacompra.gov.co/mod/page/view.php?id=3718</w:t>
        </w:r>
      </w:hyperlink>
    </w:p>
    <w:p w14:paraId="41EE4D95" w14:textId="77777777" w:rsidR="00FE195F" w:rsidRPr="00FE195F" w:rsidRDefault="00FE195F" w:rsidP="00FE195F">
      <w:pPr>
        <w:spacing w:line="276" w:lineRule="auto"/>
        <w:ind w:firstLine="708"/>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De otro lado, te contamos que esta Agencia ha da un paso decisivo en la estandarización y modernización del </w:t>
      </w:r>
      <w:r w:rsidRPr="00FE195F">
        <w:rPr>
          <w:rFonts w:ascii="Verdana" w:eastAsia="Aptos" w:hAnsi="Verdana" w:cs="Times New Roman"/>
          <w:b/>
          <w:bCs/>
          <w:kern w:val="0"/>
          <w14:ligatures w14:val="none"/>
        </w:rPr>
        <w:t>sector  social</w:t>
      </w:r>
      <w:r w:rsidRPr="00FE195F">
        <w:rPr>
          <w:rFonts w:ascii="Verdana" w:eastAsia="Aptos" w:hAnsi="Verdana" w:cs="Times New Roman"/>
          <w:kern w:val="0"/>
          <w14:ligatures w14:val="none"/>
        </w:rPr>
        <w:t xml:space="preserve"> con la expedición de las </w:t>
      </w:r>
      <w:r w:rsidRPr="00FE195F">
        <w:rPr>
          <w:rFonts w:ascii="Verdana" w:eastAsia="Aptos" w:hAnsi="Verdana" w:cs="Times New Roman"/>
          <w:b/>
          <w:bCs/>
          <w:kern w:val="0"/>
          <w14:ligatures w14:val="none"/>
        </w:rPr>
        <w:t>Resoluciones 539, 540, 541, 952 y 953 de 2025</w:t>
      </w:r>
      <w:r w:rsidRPr="00FE195F">
        <w:rPr>
          <w:rFonts w:ascii="Verdana" w:eastAsia="Aptos" w:hAnsi="Verdana" w:cs="Times New Roman"/>
          <w:kern w:val="0"/>
          <w14:ligatures w14:val="none"/>
        </w:rPr>
        <w:t xml:space="preserve">, </w:t>
      </w:r>
      <w:r w:rsidRPr="00FE195F">
        <w:rPr>
          <w:rFonts w:ascii="Verdana" w:eastAsia="Aptos" w:hAnsi="Verdana" w:cs="Times New Roman"/>
          <w:b/>
          <w:bCs/>
          <w:kern w:val="0"/>
          <w14:ligatures w14:val="none"/>
        </w:rPr>
        <w:t>mediante las cuales adoptó Documentos Tipo</w:t>
      </w:r>
      <w:r w:rsidRPr="00FE195F">
        <w:rPr>
          <w:rFonts w:ascii="Verdana" w:eastAsia="Aptos" w:hAnsi="Verdana" w:cs="Times New Roman"/>
          <w:kern w:val="0"/>
          <w14:ligatures w14:val="none"/>
        </w:rPr>
        <w:t xml:space="preserve"> para las modalidades de selección de</w:t>
      </w:r>
      <w:r w:rsidRPr="00FE195F">
        <w:rPr>
          <w:rFonts w:ascii="Verdana" w:eastAsia="Aptos" w:hAnsi="Verdana" w:cs="Times New Roman"/>
          <w:b/>
          <w:bCs/>
          <w:kern w:val="0"/>
          <w14:ligatures w14:val="none"/>
        </w:rPr>
        <w:t xml:space="preserve"> licitación pública (versión 2), selección abreviada de menor cuantía, mínima cuantía, consultoría e interventoría</w:t>
      </w:r>
      <w:r w:rsidRPr="00FE195F">
        <w:rPr>
          <w:rFonts w:ascii="Verdana" w:eastAsia="Aptos" w:hAnsi="Verdana" w:cs="Times New Roman"/>
          <w:kern w:val="0"/>
          <w14:ligatures w14:val="none"/>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E195F">
          <w:rPr>
            <w:rFonts w:ascii="Verdana" w:eastAsia="Aptos" w:hAnsi="Verdana" w:cs="Times New Roman"/>
            <w:kern w:val="0"/>
            <w:u w:val="single"/>
            <w14:ligatures w14:val="none"/>
          </w:rPr>
          <w:t>https://www.colombiacompra.gov.co/normativa-y-relatoria/documentos-tipo</w:t>
        </w:r>
      </w:hyperlink>
    </w:p>
    <w:p w14:paraId="6E232CCF" w14:textId="77777777" w:rsidR="00FE195F" w:rsidRPr="00FE195F" w:rsidRDefault="00FE195F" w:rsidP="00FE195F">
      <w:pPr>
        <w:spacing w:after="0" w:line="276" w:lineRule="auto"/>
        <w:ind w:firstLine="708"/>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Si quieres conocer más sobre la aplicación de Documentos Tipo puedes consultar la última versión de la </w:t>
      </w:r>
      <w:r w:rsidRPr="00FE195F">
        <w:rPr>
          <w:rFonts w:ascii="Verdana" w:eastAsia="Aptos" w:hAnsi="Verdana" w:cs="Times New Roman"/>
          <w:b/>
          <w:bCs/>
          <w:kern w:val="0"/>
          <w14:ligatures w14:val="none"/>
        </w:rPr>
        <w:t xml:space="preserve">Guía para la comprensión e </w:t>
      </w:r>
      <w:r w:rsidRPr="00FE195F">
        <w:rPr>
          <w:rFonts w:ascii="Verdana" w:eastAsia="Aptos" w:hAnsi="Verdana" w:cs="Times New Roman"/>
          <w:b/>
          <w:bCs/>
          <w:kern w:val="0"/>
          <w14:ligatures w14:val="none"/>
        </w:rPr>
        <w:lastRenderedPageBreak/>
        <w:t>implementación de los Documentos Tipo de obra pública de infraestructura de transporte</w:t>
      </w:r>
      <w:r w:rsidRPr="00FE195F">
        <w:rPr>
          <w:rFonts w:ascii="Verdana" w:eastAsia="Aptos" w:hAnsi="Verdana" w:cs="Times New Roman"/>
          <w:kern w:val="0"/>
          <w14:ligatures w14:val="none"/>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E195F">
        <w:rPr>
          <w:rFonts w:ascii="Verdana" w:eastAsia="Aptos" w:hAnsi="Verdana" w:cs="Times New Roman"/>
          <w:kern w:val="0"/>
          <w14:ligatures w14:val="none"/>
        </w:rPr>
        <w:br/>
      </w:r>
      <w:hyperlink r:id="rId15" w:tgtFrame="_new" w:history="1">
        <w:r w:rsidRPr="00FE195F">
          <w:rPr>
            <w:rFonts w:ascii="Verdana" w:eastAsia="Aptos" w:hAnsi="Verdana" w:cs="Times New Roman"/>
            <w:kern w:val="0"/>
            <w:u w:val="single"/>
            <w14:ligatures w14:val="none"/>
          </w:rPr>
          <w:t>https://www.colombiacompra.gov.co/archivos/manual/guia-para-la-comprension-e-implementacion-de-los-documentos-tipo-de-obra-publica-de-infraestructura-de-transporte-bajo-las-diferentes-modalidades-de-contratacion-vigentes</w:t>
        </w:r>
      </w:hyperlink>
    </w:p>
    <w:p w14:paraId="567AFFAD"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shd w:val="clear" w:color="auto" w:fill="FFFFFF"/>
          <w:lang w:val="es-ES"/>
          <w14:ligatures w14:val="none"/>
        </w:rPr>
      </w:pPr>
    </w:p>
    <w:p w14:paraId="47AF8110"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shd w:val="clear" w:color="auto" w:fill="FFFFFF"/>
          <w:lang w:val="es-ES"/>
          <w14:ligatures w14:val="none"/>
        </w:rPr>
      </w:pPr>
    </w:p>
    <w:p w14:paraId="32F72E43" w14:textId="77777777" w:rsidR="00FE195F" w:rsidRPr="00FE195F" w:rsidRDefault="00FE195F" w:rsidP="00FE195F">
      <w:pPr>
        <w:spacing w:after="0" w:line="240" w:lineRule="auto"/>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Por último, lo invitamos a seguirnos en las redes sociales en las cuales se difunde información institucional: </w:t>
      </w:r>
    </w:p>
    <w:p w14:paraId="4FB685F3" w14:textId="77777777" w:rsidR="00FE195F" w:rsidRPr="00FE195F" w:rsidRDefault="00FE195F" w:rsidP="00FE195F">
      <w:pPr>
        <w:spacing w:after="0" w:line="240" w:lineRule="auto"/>
        <w:jc w:val="both"/>
        <w:rPr>
          <w:rFonts w:ascii="Verdana" w:eastAsia="Aptos" w:hAnsi="Verdana" w:cs="Times New Roman"/>
          <w:kern w:val="0"/>
          <w14:ligatures w14:val="none"/>
        </w:rPr>
      </w:pPr>
    </w:p>
    <w:p w14:paraId="283D8B4D" w14:textId="77777777" w:rsidR="00FE195F" w:rsidRPr="00FE195F" w:rsidRDefault="00FE195F" w:rsidP="00FE195F">
      <w:pPr>
        <w:spacing w:after="0" w:line="240" w:lineRule="auto"/>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Twitter: </w:t>
      </w:r>
      <w:r w:rsidRPr="00FE195F">
        <w:rPr>
          <w:rFonts w:ascii="Verdana" w:eastAsia="Aptos" w:hAnsi="Verdana" w:cs="Arial"/>
          <w:color w:val="0000FF"/>
          <w:kern w:val="0"/>
          <w:u w:val="single"/>
          <w:shd w:val="clear" w:color="auto" w:fill="FFFFFF"/>
          <w:lang w:val="es-ES"/>
          <w14:ligatures w14:val="none"/>
        </w:rPr>
        <w:t>@colombiacompra</w:t>
      </w:r>
      <w:r w:rsidRPr="00FE195F">
        <w:rPr>
          <w:rFonts w:ascii="Verdana" w:eastAsia="Aptos" w:hAnsi="Verdana" w:cs="Times New Roman"/>
          <w:color w:val="156082"/>
          <w:kern w:val="0"/>
          <w14:ligatures w14:val="none"/>
        </w:rPr>
        <w:t xml:space="preserve"> </w:t>
      </w:r>
    </w:p>
    <w:p w14:paraId="5C15E283" w14:textId="77777777" w:rsidR="00FE195F" w:rsidRPr="00FE195F" w:rsidRDefault="00FE195F" w:rsidP="00FE195F">
      <w:pPr>
        <w:spacing w:after="0" w:line="240" w:lineRule="auto"/>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Facebook: </w:t>
      </w:r>
      <w:proofErr w:type="spellStart"/>
      <w:r w:rsidRPr="00FE195F">
        <w:rPr>
          <w:rFonts w:ascii="Verdana" w:eastAsia="Aptos" w:hAnsi="Verdana" w:cs="Arial"/>
          <w:color w:val="0000FF"/>
          <w:kern w:val="0"/>
          <w:u w:val="single"/>
          <w:shd w:val="clear" w:color="auto" w:fill="FFFFFF"/>
          <w:lang w:val="es-ES"/>
          <w14:ligatures w14:val="none"/>
        </w:rPr>
        <w:t>ColombiaCompraEficiente</w:t>
      </w:r>
      <w:proofErr w:type="spellEnd"/>
    </w:p>
    <w:p w14:paraId="4E9F97C0" w14:textId="77777777" w:rsidR="00FE195F" w:rsidRPr="00FE195F" w:rsidRDefault="00FE195F" w:rsidP="00FE195F">
      <w:pPr>
        <w:spacing w:after="0" w:line="240" w:lineRule="auto"/>
        <w:jc w:val="both"/>
        <w:rPr>
          <w:rFonts w:ascii="Verdana" w:eastAsia="Aptos" w:hAnsi="Verdana" w:cs="Times New Roman"/>
          <w:kern w:val="0"/>
          <w14:ligatures w14:val="none"/>
        </w:rPr>
      </w:pPr>
      <w:r w:rsidRPr="00FE195F">
        <w:rPr>
          <w:rFonts w:ascii="Verdana" w:eastAsia="Aptos" w:hAnsi="Verdana" w:cs="Times New Roman"/>
          <w:kern w:val="0"/>
          <w14:ligatures w14:val="none"/>
        </w:rPr>
        <w:t xml:space="preserve">LinkedIn: </w:t>
      </w:r>
      <w:r w:rsidRPr="00FE195F">
        <w:rPr>
          <w:rFonts w:ascii="Verdana" w:eastAsia="Aptos" w:hAnsi="Verdana" w:cs="Arial"/>
          <w:color w:val="0000FF"/>
          <w:kern w:val="0"/>
          <w:u w:val="single"/>
          <w:shd w:val="clear" w:color="auto" w:fill="FFFFFF"/>
          <w:lang w:val="es-ES"/>
          <w14:ligatures w14:val="none"/>
        </w:rPr>
        <w:t>Agencia Nacional de Contratación Pública - Colombia Compra Eficiente</w:t>
      </w:r>
      <w:r w:rsidRPr="00FE195F">
        <w:rPr>
          <w:rFonts w:ascii="Verdana" w:eastAsia="Aptos" w:hAnsi="Verdana" w:cs="Times New Roman"/>
          <w:color w:val="156082"/>
          <w:kern w:val="0"/>
          <w14:ligatures w14:val="none"/>
        </w:rPr>
        <w:t xml:space="preserve"> </w:t>
      </w:r>
      <w:r w:rsidRPr="00FE195F">
        <w:rPr>
          <w:rFonts w:ascii="Verdana" w:eastAsia="Aptos" w:hAnsi="Verdana" w:cs="Times New Roman"/>
          <w:kern w:val="0"/>
          <w14:ligatures w14:val="none"/>
        </w:rPr>
        <w:t xml:space="preserve">Instagram: </w:t>
      </w:r>
      <w:r w:rsidRPr="00FE195F">
        <w:rPr>
          <w:rFonts w:ascii="Verdana" w:eastAsia="Aptos" w:hAnsi="Verdana" w:cs="Arial"/>
          <w:color w:val="0000FF"/>
          <w:kern w:val="0"/>
          <w:u w:val="single"/>
          <w:shd w:val="clear" w:color="auto" w:fill="FFFFFF"/>
          <w:lang w:val="es-ES"/>
          <w14:ligatures w14:val="none"/>
        </w:rPr>
        <w:t>@colombiacompraeficiente_cce</w:t>
      </w:r>
    </w:p>
    <w:p w14:paraId="5B8D8A9F"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14:ligatures w14:val="none"/>
        </w:rPr>
      </w:pPr>
    </w:p>
    <w:p w14:paraId="600BE8DA"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lang w:val="es-ES_tradnl"/>
          <w14:ligatures w14:val="none"/>
        </w:rPr>
      </w:pPr>
      <w:r w:rsidRPr="00FE195F">
        <w:rPr>
          <w:rFonts w:ascii="Verdana" w:eastAsia="Aptos" w:hAnsi="Verdana" w:cs="Arial"/>
          <w:kern w:val="0"/>
          <w14:ligatures w14:val="none"/>
        </w:rPr>
        <w:t xml:space="preserve">Este concepto tiene el alcance previsto en el artículo 28 del Código de Procedimiento Administrativo y de lo Contencioso Administrativo </w:t>
      </w:r>
      <w:r w:rsidRPr="00FE195F">
        <w:rPr>
          <w:rFonts w:ascii="Verdana" w:eastAsia="Aptos" w:hAnsi="Verdana" w:cs="Arial"/>
          <w:kern w:val="0"/>
          <w:lang w:val="es-ES_tradnl"/>
          <w14:ligatures w14:val="none"/>
        </w:rPr>
        <w:t>y las expresiones aquí utilizadas con mayúscula inicial deben ser entendidas con el significado que les otorga el artículo 2.2.1.1.1.3.1. del Decreto 1082 de 2015.</w:t>
      </w:r>
    </w:p>
    <w:p w14:paraId="43F0CD09" w14:textId="77777777" w:rsidR="00FE195F" w:rsidRPr="00FE195F" w:rsidRDefault="00FE195F" w:rsidP="00FE195F">
      <w:pPr>
        <w:widowControl w:val="0"/>
        <w:autoSpaceDE w:val="0"/>
        <w:autoSpaceDN w:val="0"/>
        <w:spacing w:after="0" w:line="276" w:lineRule="auto"/>
        <w:jc w:val="both"/>
        <w:rPr>
          <w:rFonts w:ascii="Verdana" w:eastAsia="Aptos" w:hAnsi="Verdana" w:cs="Arial"/>
          <w:kern w:val="0"/>
          <w14:ligatures w14:val="none"/>
        </w:rPr>
      </w:pPr>
    </w:p>
    <w:p w14:paraId="07F6A3F2" w14:textId="77777777" w:rsidR="00FE195F" w:rsidRPr="00FE195F" w:rsidRDefault="00FE195F" w:rsidP="00FE195F">
      <w:pPr>
        <w:spacing w:after="0" w:line="240" w:lineRule="auto"/>
        <w:rPr>
          <w:rFonts w:ascii="Verdana" w:eastAsia="Aptos" w:hAnsi="Verdana" w:cs="Arial"/>
          <w:kern w:val="0"/>
          <w:lang w:eastAsia="es-CO"/>
          <w14:ligatures w14:val="none"/>
        </w:rPr>
      </w:pPr>
      <w:r w:rsidRPr="00FE195F">
        <w:rPr>
          <w:rFonts w:ascii="Verdana" w:eastAsia="Times New Roman" w:hAnsi="Verdana" w:cs="Arial"/>
          <w:kern w:val="0"/>
          <w:lang w:eastAsia="es-CO"/>
          <w14:ligatures w14:val="none"/>
        </w:rPr>
        <w:t>Atentamente,</w:t>
      </w:r>
      <w:r w:rsidRPr="00FE195F">
        <w:rPr>
          <w:rFonts w:ascii="Verdana" w:eastAsia="Aptos" w:hAnsi="Verdana" w:cs="Arial"/>
          <w:kern w:val="0"/>
          <w:lang w:eastAsia="es-CO"/>
          <w14:ligatures w14:val="none"/>
        </w:rPr>
        <w:t xml:space="preserve"> </w:t>
      </w:r>
    </w:p>
    <w:p w14:paraId="1BFC2DF1" w14:textId="162CE3D1" w:rsidR="00FE195F" w:rsidRPr="00FE195F" w:rsidRDefault="001B2016" w:rsidP="00FE195F">
      <w:pPr>
        <w:spacing w:line="276" w:lineRule="auto"/>
        <w:jc w:val="center"/>
        <w:rPr>
          <w:rFonts w:ascii="Verdana" w:eastAsia="Aptos" w:hAnsi="Verdana" w:cs="Arial"/>
          <w:kern w:val="0"/>
          <w:lang w:val="es-ES_tradnl" w:eastAsia="es-CO"/>
          <w14:ligatures w14:val="none"/>
        </w:rPr>
      </w:pPr>
      <w:r>
        <w:rPr>
          <w:noProof/>
        </w:rPr>
        <w:drawing>
          <wp:inline distT="0" distB="0" distL="0" distR="0" wp14:anchorId="0AFCD28F" wp14:editId="33FD442B">
            <wp:extent cx="3771900" cy="1409700"/>
            <wp:effectExtent l="0" t="0" r="0" b="0"/>
            <wp:docPr id="23272895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r w:rsidR="00FE195F" w:rsidRPr="00FE195F">
        <w:rPr>
          <w:rFonts w:ascii="Verdana" w:eastAsia="Aptos" w:hAnsi="Verdana" w:cs="Arial"/>
          <w:kern w:val="0"/>
          <w:lang w:eastAsia="es-CO"/>
          <w14:ligatures w14:val="none"/>
        </w:rPr>
        <w:br/>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FE195F" w:rsidRPr="00FE195F" w14:paraId="269B5E47" w14:textId="77777777" w:rsidTr="00D967AF">
        <w:trPr>
          <w:trHeight w:val="286"/>
        </w:trPr>
        <w:tc>
          <w:tcPr>
            <w:tcW w:w="901" w:type="dxa"/>
            <w:vAlign w:val="center"/>
            <w:hideMark/>
          </w:tcPr>
          <w:p w14:paraId="347B44C7"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780A520B"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Nasly Yeana Mosquera Rivas</w:t>
            </w:r>
          </w:p>
          <w:p w14:paraId="3EFA6256"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Analista T2–06 de la Subdirección de Gestión Contractual</w:t>
            </w:r>
          </w:p>
        </w:tc>
      </w:tr>
      <w:tr w:rsidR="00FE195F" w:rsidRPr="00FE195F" w14:paraId="06A09D45" w14:textId="77777777" w:rsidTr="00D967AF">
        <w:trPr>
          <w:trHeight w:val="299"/>
        </w:trPr>
        <w:tc>
          <w:tcPr>
            <w:tcW w:w="901" w:type="dxa"/>
            <w:vAlign w:val="center"/>
          </w:tcPr>
          <w:p w14:paraId="317C85E3"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112922DE"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Diana Lucía Saavedra Castañeda</w:t>
            </w:r>
          </w:p>
          <w:p w14:paraId="722B6A79"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Contratista de la Subdirección de Gestión Contractual</w:t>
            </w:r>
          </w:p>
        </w:tc>
      </w:tr>
      <w:tr w:rsidR="00FE195F" w:rsidRPr="00FE195F" w14:paraId="3EA5BD6D" w14:textId="77777777" w:rsidTr="00D967AF">
        <w:trPr>
          <w:trHeight w:val="272"/>
        </w:trPr>
        <w:tc>
          <w:tcPr>
            <w:tcW w:w="901" w:type="dxa"/>
            <w:vAlign w:val="center"/>
            <w:hideMark/>
          </w:tcPr>
          <w:p w14:paraId="5ABE168A"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497387FF"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Carolina Quintero Gacharná</w:t>
            </w:r>
          </w:p>
          <w:p w14:paraId="70350FA2" w14:textId="77777777" w:rsidR="00FE195F" w:rsidRPr="00FE195F" w:rsidRDefault="00FE195F" w:rsidP="00FE195F">
            <w:pPr>
              <w:rPr>
                <w:rFonts w:ascii="Verdana" w:eastAsia="Aptos" w:hAnsi="Verdana" w:cs="Arial"/>
                <w:sz w:val="14"/>
                <w:szCs w:val="14"/>
                <w:lang w:eastAsia="es-ES"/>
              </w:rPr>
            </w:pPr>
            <w:r w:rsidRPr="00FE195F">
              <w:rPr>
                <w:rFonts w:ascii="Verdana" w:eastAsia="Aptos" w:hAnsi="Verdana" w:cs="Arial"/>
                <w:sz w:val="14"/>
                <w:szCs w:val="14"/>
                <w:lang w:eastAsia="es-ES"/>
              </w:rPr>
              <w:t>Subdirectora de Gestión Contractual ANCP – CCE</w:t>
            </w:r>
          </w:p>
        </w:tc>
      </w:tr>
    </w:tbl>
    <w:p w14:paraId="7760D6EF" w14:textId="77777777" w:rsidR="00FE195F" w:rsidRPr="00FE195F" w:rsidRDefault="00FE195F" w:rsidP="00FE195F">
      <w:pPr>
        <w:spacing w:after="0" w:line="240" w:lineRule="auto"/>
        <w:rPr>
          <w:rFonts w:ascii="Verdana" w:eastAsia="Times New Roman" w:hAnsi="Verdana" w:cs="Arial"/>
          <w:kern w:val="0"/>
          <w:sz w:val="24"/>
          <w:szCs w:val="24"/>
          <w:lang w:eastAsia="es-ES"/>
          <w14:ligatures w14:val="none"/>
        </w:rPr>
      </w:pPr>
    </w:p>
    <w:p w14:paraId="592294F2" w14:textId="77777777" w:rsidR="00FE195F" w:rsidRPr="00FE195F" w:rsidRDefault="00FE195F" w:rsidP="00FE195F">
      <w:pPr>
        <w:rPr>
          <w:rFonts w:ascii="Verdana" w:eastAsia="Aptos" w:hAnsi="Verdana" w:cs="Times New Roman"/>
          <w:kern w:val="0"/>
          <w14:ligatures w14:val="none"/>
        </w:rPr>
      </w:pPr>
    </w:p>
    <w:p w14:paraId="1EB8E726" w14:textId="77777777" w:rsidR="00FE195F" w:rsidRPr="00FE195F" w:rsidRDefault="00FE195F" w:rsidP="00FE195F">
      <w:pPr>
        <w:rPr>
          <w:rFonts w:ascii="Verdana" w:eastAsia="Aptos" w:hAnsi="Verdana" w:cs="Times New Roman"/>
          <w:kern w:val="0"/>
          <w14:ligatures w14:val="none"/>
        </w:rPr>
      </w:pPr>
    </w:p>
    <w:p w14:paraId="36887179" w14:textId="6F40F1C8" w:rsidR="00FE195F" w:rsidRPr="00FE195F" w:rsidRDefault="00FE195F" w:rsidP="00FE195F">
      <w:pPr>
        <w:spacing w:after="0" w:line="240" w:lineRule="auto"/>
        <w:textAlignment w:val="baseline"/>
        <w:rPr>
          <w:rFonts w:ascii="Verdana" w:eastAsia="Verdana" w:hAnsi="Verdana" w:cs="Verdana"/>
          <w:kern w:val="0"/>
          <w:lang w:eastAsia="es-CO"/>
          <w14:ligatures w14:val="none"/>
        </w:rPr>
      </w:pPr>
      <w:r w:rsidRPr="00FE195F">
        <w:rPr>
          <w:rFonts w:ascii="Verdana" w:eastAsia="Verdana" w:hAnsi="Verdana" w:cs="Verdana"/>
          <w:kern w:val="0"/>
          <w:lang w:eastAsia="es-CO"/>
          <w14:ligatures w14:val="none"/>
        </w:rPr>
        <w:t> </w:t>
      </w:r>
      <w:bookmarkEnd w:id="0"/>
    </w:p>
    <w:p w14:paraId="4AAD1663" w14:textId="77777777" w:rsidR="008E5C2E" w:rsidRDefault="008E5C2E"/>
    <w:sectPr w:rsidR="008E5C2E" w:rsidSect="00FE195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13CCE" w14:textId="77777777" w:rsidR="005B223A" w:rsidRDefault="005B223A" w:rsidP="00FE195F">
      <w:pPr>
        <w:spacing w:after="0" w:line="240" w:lineRule="auto"/>
      </w:pPr>
      <w:r>
        <w:separator/>
      </w:r>
    </w:p>
  </w:endnote>
  <w:endnote w:type="continuationSeparator" w:id="0">
    <w:p w14:paraId="104FCE75" w14:textId="77777777" w:rsidR="005B223A" w:rsidRDefault="005B223A" w:rsidP="00FE19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B5419" w14:textId="77777777" w:rsidR="00FE195F" w:rsidRDefault="00FE195F">
    <w:pPr>
      <w:pStyle w:val="Piedepgina"/>
    </w:pPr>
  </w:p>
  <w:p w14:paraId="5BA63F3D" w14:textId="77777777" w:rsidR="00FE195F" w:rsidRPr="00174B77" w:rsidRDefault="00FE195F"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0FE195F">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13D4E02E" w14:textId="77777777" w:rsidR="00FE195F" w:rsidRDefault="00FE195F"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8A8F018" w14:textId="77777777" w:rsidR="00FE195F" w:rsidRPr="00E41027" w:rsidRDefault="00FE195F"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40FA914" w14:textId="77777777" w:rsidR="00FE195F" w:rsidRDefault="00FE195F"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FE195F">
      <w:rPr>
        <w:rFonts w:ascii="Verdana" w:eastAsia="Verdana" w:hAnsi="Verdana" w:cs="Verdana"/>
        <w:b/>
        <w:bCs/>
        <w:color w:val="000000"/>
        <w:sz w:val="18"/>
        <w:szCs w:val="18"/>
        <w:lang w:eastAsia="es-CO"/>
      </w:rPr>
      <w:t xml:space="preserve">Código: </w:t>
    </w:r>
    <w:r w:rsidRPr="00FE195F">
      <w:rPr>
        <w:rFonts w:ascii="Verdana" w:eastAsia="Verdana" w:hAnsi="Verdana" w:cs="Verdana"/>
        <w:color w:val="000000"/>
        <w:sz w:val="18"/>
        <w:szCs w:val="18"/>
        <w:lang w:eastAsia="es-CO"/>
      </w:rPr>
      <w:t xml:space="preserve">CCE-REC-FM-17 </w:t>
    </w:r>
    <w:r w:rsidRPr="00FE195F">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16AC0" w14:textId="77777777" w:rsidR="005B223A" w:rsidRDefault="005B223A" w:rsidP="00FE195F">
      <w:pPr>
        <w:spacing w:after="0" w:line="240" w:lineRule="auto"/>
      </w:pPr>
      <w:r>
        <w:separator/>
      </w:r>
    </w:p>
  </w:footnote>
  <w:footnote w:type="continuationSeparator" w:id="0">
    <w:p w14:paraId="34E1DA52" w14:textId="77777777" w:rsidR="005B223A" w:rsidRDefault="005B223A" w:rsidP="00FE195F">
      <w:pPr>
        <w:spacing w:after="0" w:line="240" w:lineRule="auto"/>
      </w:pPr>
      <w:r>
        <w:continuationSeparator/>
      </w:r>
    </w:p>
  </w:footnote>
  <w:footnote w:id="1">
    <w:p w14:paraId="166BCF16" w14:textId="77777777" w:rsidR="00FE195F" w:rsidRPr="00C95B6D" w:rsidRDefault="00FE195F" w:rsidP="00FE195F">
      <w:pPr>
        <w:pStyle w:val="Textonotapie"/>
        <w:ind w:firstLine="708"/>
        <w:jc w:val="both"/>
        <w:rPr>
          <w:rFonts w:ascii="Verdana" w:hAnsi="Verdana"/>
          <w:sz w:val="16"/>
          <w:szCs w:val="16"/>
          <w:lang w:val="es-CO"/>
        </w:rPr>
      </w:pPr>
      <w:r w:rsidRPr="00C95B6D">
        <w:rPr>
          <w:rStyle w:val="Refdenotaalpie"/>
          <w:rFonts w:ascii="Verdana" w:hAnsi="Verdana"/>
          <w:sz w:val="16"/>
          <w:szCs w:val="16"/>
        </w:rPr>
        <w:footnoteRef/>
      </w:r>
      <w:r w:rsidRPr="00C95B6D">
        <w:rPr>
          <w:rFonts w:ascii="Verdana" w:hAnsi="Verdana"/>
          <w:sz w:val="16"/>
          <w:szCs w:val="16"/>
        </w:rPr>
        <w:t xml:space="preserve"> Ley 1861 de 2017: “</w:t>
      </w:r>
      <w:r w:rsidRPr="00C95B6D">
        <w:rPr>
          <w:rFonts w:ascii="Verdana" w:hAnsi="Verdana"/>
          <w:sz w:val="16"/>
          <w:szCs w:val="16"/>
          <w:lang w:val="es-CO"/>
        </w:rPr>
        <w:t>Artículo </w:t>
      </w:r>
      <w:bookmarkStart w:id="4" w:name="4"/>
      <w:bookmarkEnd w:id="4"/>
      <w:r w:rsidRPr="00C95B6D">
        <w:rPr>
          <w:rFonts w:ascii="Verdana" w:hAnsi="Verdana"/>
          <w:sz w:val="16"/>
          <w:szCs w:val="16"/>
          <w:lang w:val="es-CO"/>
        </w:rPr>
        <w:t>4. Servicio Militar Obligatorio. El servicio militar obligatorio es un deber constitucional dirigido a todos los colombianos de servir a la patria, que nace al momento de cumplir su mayoría edad para contribuir y alcanzar los fines del Estado encomendados a la Fuerza Pública.</w:t>
      </w:r>
    </w:p>
    <w:p w14:paraId="40F44D98" w14:textId="77777777" w:rsidR="00FE195F" w:rsidRPr="00C95B6D" w:rsidRDefault="00FE195F" w:rsidP="00FE195F">
      <w:pPr>
        <w:pStyle w:val="Textonotapie"/>
        <w:jc w:val="both"/>
        <w:rPr>
          <w:rFonts w:ascii="Verdana" w:hAnsi="Verdana"/>
          <w:sz w:val="16"/>
          <w:szCs w:val="16"/>
          <w:lang w:val="es-CO"/>
        </w:rPr>
      </w:pPr>
      <w:r w:rsidRPr="00C95B6D">
        <w:rPr>
          <w:rFonts w:ascii="Verdana" w:hAnsi="Verdana"/>
          <w:sz w:val="16"/>
          <w:szCs w:val="16"/>
          <w:lang w:val="es-CO"/>
        </w:rPr>
        <w:t>Todos los colombianos están obligados a tomar las armas cuando las necesidades públicas lo exijan, para defender la independencia nacional, y las instituciones públicas con los beneficios y exclusiones que establece la presente Ley. Salvo para quienes ejerzan el derecho fundamental a la objeción de la conciencia”.</w:t>
      </w:r>
    </w:p>
    <w:p w14:paraId="77518872" w14:textId="77777777" w:rsidR="00FE195F" w:rsidRPr="00C95B6D" w:rsidRDefault="00FE195F" w:rsidP="00FE195F">
      <w:pPr>
        <w:pStyle w:val="Textonotapie"/>
        <w:jc w:val="both"/>
        <w:rPr>
          <w:rFonts w:ascii="Verdana" w:hAnsi="Verdana"/>
          <w:sz w:val="16"/>
          <w:szCs w:val="16"/>
        </w:rPr>
      </w:pPr>
    </w:p>
  </w:footnote>
  <w:footnote w:id="2">
    <w:p w14:paraId="0DEC8184" w14:textId="77777777" w:rsidR="00FE195F" w:rsidRPr="008A7CBD" w:rsidRDefault="00FE195F" w:rsidP="00FE195F">
      <w:pPr>
        <w:pStyle w:val="Textonotapie"/>
        <w:ind w:firstLine="708"/>
        <w:jc w:val="both"/>
        <w:rPr>
          <w:rFonts w:ascii="Verdana" w:hAnsi="Verdana" w:cs="Arial"/>
          <w:color w:val="000000"/>
          <w:sz w:val="16"/>
          <w:szCs w:val="16"/>
        </w:rPr>
      </w:pPr>
      <w:r w:rsidRPr="00434CAA">
        <w:rPr>
          <w:rStyle w:val="Refdenotaalpie"/>
          <w:rFonts w:ascii="Verdana" w:hAnsi="Verdana" w:cs="Arial"/>
          <w:sz w:val="16"/>
          <w:szCs w:val="16"/>
        </w:rPr>
        <w:footnoteRef/>
      </w:r>
      <w:r w:rsidRPr="00434CAA">
        <w:rPr>
          <w:rFonts w:ascii="Verdana" w:hAnsi="Verdana" w:cs="Arial"/>
          <w:sz w:val="16"/>
          <w:szCs w:val="16"/>
        </w:rPr>
        <w:t xml:space="preserve"> Ley </w:t>
      </w:r>
      <w:r w:rsidRPr="008A7CBD">
        <w:rPr>
          <w:rFonts w:ascii="Verdana" w:hAnsi="Verdana" w:cs="Arial"/>
          <w:color w:val="000000"/>
          <w:sz w:val="16"/>
          <w:szCs w:val="16"/>
        </w:rPr>
        <w:t>1861 de 2017: “Artículo 17. Inscripción. La Organización de Reclutamiento y Movilización es la responsable de inscribir anualmente a los colombianos que en dicho periodo estén llamados a definir su situación militar, una vez hayan cumplido la mayoría de edad.</w:t>
      </w:r>
    </w:p>
    <w:p w14:paraId="4531616C"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Realizada la inscripción, el ciudadano podrá obtener certificado en línea que acredite el inicio del proceso de definición de la situación militar.</w:t>
      </w:r>
    </w:p>
    <w:p w14:paraId="1273361E"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1. Los planteles educativos informarán a los estudiantes de grado 11° o su equivalente al último año de educación media vocacional, el deber de definir su situación militar. Los planteles educativos con la ayuda de los Ministerios de Defensa y de Educación Nacional, buscarán que se informe a los estudiantes de último grado sobre las causales de exención al servicio militar, así como su derecho a la objeción de conciencia al servicio militar.</w:t>
      </w:r>
    </w:p>
    <w:p w14:paraId="68EFD41E"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2. Hasta el treinta (30) de noviembre de cada año, la Registraduría Nacional del Estado Civil proporcionará a la Organización de reclutamiento y Movilización la información de registro necesaria para la realización de la inscripción de los colombianos que cumplan la edad militar en el año siguiente.</w:t>
      </w:r>
    </w:p>
    <w:p w14:paraId="53A97E14"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3. Lo contenido en este artículo en relación con la transferencia de información siempre se ajustará a la normativa vigente sobre protección ele datos.</w:t>
      </w:r>
    </w:p>
    <w:p w14:paraId="2856B6C9"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4. Hasta antes de la incorporación, el ciudadano deberá manifestar por escrito o de manera verbal, si tiene conocimiento de estar inmerso en alguna causal de exoneración del servicio militar o de cualquier otra circunstancia que lo imposibilite para prestar el servicio militar</w:t>
      </w:r>
    </w:p>
    <w:p w14:paraId="21AEF79E"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En el evento que el ciudadano realice la manifestación verbal, la autoridad de Reclutamiento dejará constancia de la manifestación y facilitará los medios para recepcionarla de manera escrita.</w:t>
      </w:r>
    </w:p>
    <w:p w14:paraId="505E1D86"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La renuencia a hacer la anterior manifestación exonerará de responsabilidad a las autoridades de reclutamiento por los hechos o circunstancias que hubieren sido ocultados por el ciudadano, a menos que por fuerza mayor o caso fortuito no hubiere sido posible manifestarlas. De esta se dejará constancia por la autoridad de reclutamiento con acompañamiento del Ministerio Público y/o la Defensoría del Pueblo.</w:t>
      </w:r>
    </w:p>
    <w:p w14:paraId="459F6F34" w14:textId="77777777" w:rsidR="00FE195F" w:rsidRPr="008A7CBD" w:rsidRDefault="00FE195F" w:rsidP="00FE195F">
      <w:pPr>
        <w:pStyle w:val="Textonotapie"/>
        <w:ind w:firstLine="708"/>
        <w:jc w:val="both"/>
        <w:rPr>
          <w:rFonts w:ascii="Verdana" w:hAnsi="Verdana" w:cs="Arial"/>
          <w:color w:val="000000"/>
          <w:sz w:val="16"/>
          <w:szCs w:val="16"/>
        </w:rPr>
      </w:pPr>
      <w:r w:rsidRPr="008A7CBD">
        <w:rPr>
          <w:rFonts w:ascii="Verdana" w:hAnsi="Verdana" w:cs="Arial"/>
          <w:color w:val="000000"/>
          <w:sz w:val="16"/>
          <w:szCs w:val="16"/>
        </w:rPr>
        <w:t>Parágrafo 5. Las Fuerzas Militares y la Policía Nacional Solicitarán las cuotas de personal para su incorporación a la Dirección de Reclutamiento del Ejército, único organismo con la facultad para cumplir con tal actividad”.</w:t>
      </w:r>
    </w:p>
    <w:p w14:paraId="1079E959" w14:textId="77777777" w:rsidR="00FE195F" w:rsidRPr="00434CAA" w:rsidRDefault="00FE195F" w:rsidP="00FE195F">
      <w:pPr>
        <w:pStyle w:val="Textonotapie"/>
        <w:ind w:firstLine="708"/>
        <w:jc w:val="both"/>
        <w:rPr>
          <w:rFonts w:ascii="Verdana" w:hAnsi="Verdana" w:cs="Arial"/>
          <w:sz w:val="16"/>
          <w:szCs w:val="16"/>
          <w:lang w:val="es-CO"/>
        </w:rPr>
      </w:pPr>
    </w:p>
  </w:footnote>
  <w:footnote w:id="3">
    <w:p w14:paraId="2FF9AB70" w14:textId="77777777" w:rsidR="00FE195F" w:rsidRPr="008A7CBD" w:rsidRDefault="00FE195F" w:rsidP="00FE195F">
      <w:pPr>
        <w:pStyle w:val="Textonotapie"/>
        <w:ind w:firstLine="708"/>
        <w:jc w:val="both"/>
        <w:rPr>
          <w:rFonts w:ascii="Verdana" w:hAnsi="Verdana" w:cs="Arial"/>
          <w:color w:val="000000"/>
          <w:sz w:val="16"/>
          <w:szCs w:val="16"/>
        </w:rPr>
      </w:pPr>
      <w:r w:rsidRPr="00434CAA">
        <w:rPr>
          <w:rStyle w:val="Refdenotaalpie"/>
          <w:rFonts w:ascii="Verdana" w:hAnsi="Verdana" w:cs="Arial"/>
          <w:sz w:val="16"/>
          <w:szCs w:val="16"/>
        </w:rPr>
        <w:footnoteRef/>
      </w:r>
      <w:r w:rsidRPr="00434CAA">
        <w:rPr>
          <w:rFonts w:ascii="Verdana" w:hAnsi="Verdana" w:cs="Arial"/>
          <w:sz w:val="16"/>
          <w:szCs w:val="16"/>
        </w:rPr>
        <w:t xml:space="preserve"> Artículos 26 a 28, </w:t>
      </w:r>
      <w:r w:rsidRPr="008A7CBD">
        <w:rPr>
          <w:rFonts w:ascii="Verdana" w:hAnsi="Verdana" w:cs="Arial"/>
          <w:color w:val="000000"/>
          <w:sz w:val="16"/>
          <w:szCs w:val="16"/>
        </w:rPr>
        <w:t>de la Ley 1861 de 2017.</w:t>
      </w:r>
    </w:p>
    <w:p w14:paraId="1832B2B2" w14:textId="77777777" w:rsidR="00FE195F" w:rsidRPr="00434CAA" w:rsidRDefault="00FE195F" w:rsidP="00FE195F">
      <w:pPr>
        <w:pStyle w:val="Textonotapie"/>
        <w:ind w:firstLine="708"/>
        <w:jc w:val="both"/>
        <w:rPr>
          <w:rFonts w:ascii="Verdana" w:hAnsi="Verdana" w:cs="Arial"/>
          <w:sz w:val="16"/>
          <w:szCs w:val="16"/>
          <w:lang w:val="es-CO"/>
        </w:rPr>
      </w:pPr>
    </w:p>
  </w:footnote>
  <w:footnote w:id="4">
    <w:p w14:paraId="6BFE0352" w14:textId="77777777" w:rsidR="00FE195F" w:rsidRPr="00434CAA" w:rsidRDefault="00FE195F" w:rsidP="00FE195F">
      <w:pPr>
        <w:spacing w:after="0" w:line="240" w:lineRule="auto"/>
        <w:ind w:firstLine="709"/>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 xml:space="preserve"> </w:t>
      </w:r>
      <w:r w:rsidRPr="00434CAA">
        <w:rPr>
          <w:rFonts w:ascii="Verdana" w:hAnsi="Verdana" w:cs="Arial"/>
          <w:color w:val="000000"/>
          <w:sz w:val="16"/>
          <w:szCs w:val="16"/>
          <w:lang w:val="es-ES"/>
        </w:rPr>
        <w:t>“</w:t>
      </w:r>
      <w:r w:rsidRPr="00434CAA">
        <w:rPr>
          <w:rFonts w:ascii="Verdana" w:hAnsi="Verdana" w:cs="Arial"/>
          <w:sz w:val="16"/>
          <w:szCs w:val="16"/>
          <w:lang w:val="es-ES"/>
        </w:rPr>
        <w:t>Artículo 35. Tarjeta De Reservista Militar o Policial. Es el documento con el cual se comprueba que el ciudadano definió su situación militar</w:t>
      </w:r>
      <w:r w:rsidRPr="00434CAA">
        <w:rPr>
          <w:rFonts w:ascii="Verdana" w:hAnsi="Verdana" w:cs="Arial"/>
          <w:color w:val="000000"/>
          <w:sz w:val="16"/>
          <w:szCs w:val="16"/>
          <w:lang w:val="es-ES"/>
        </w:rPr>
        <w:t>”.</w:t>
      </w:r>
    </w:p>
  </w:footnote>
  <w:footnote w:id="5">
    <w:p w14:paraId="0AD24486" w14:textId="77777777" w:rsidR="00FE195F" w:rsidRPr="00434CAA" w:rsidRDefault="00FE195F" w:rsidP="00FE195F">
      <w:pPr>
        <w:spacing w:after="0" w:line="240" w:lineRule="auto"/>
        <w:ind w:firstLine="709"/>
        <w:jc w:val="both"/>
        <w:rPr>
          <w:rFonts w:ascii="Verdana" w:hAnsi="Verdana" w:cs="Arial"/>
          <w:sz w:val="16"/>
          <w:szCs w:val="16"/>
        </w:rPr>
      </w:pPr>
    </w:p>
    <w:p w14:paraId="3F9B732A" w14:textId="77777777" w:rsidR="00FE195F" w:rsidRPr="00434CAA" w:rsidRDefault="00FE195F" w:rsidP="00FE195F">
      <w:pPr>
        <w:spacing w:after="60" w:line="240" w:lineRule="auto"/>
        <w:ind w:firstLine="709"/>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w:t>
      </w:r>
      <w:r w:rsidRPr="00434CAA">
        <w:rPr>
          <w:rFonts w:ascii="Verdana" w:hAnsi="Verdana" w:cs="Arial"/>
          <w:color w:val="000000"/>
          <w:sz w:val="16"/>
          <w:szCs w:val="16"/>
          <w:lang w:val="es-ES"/>
        </w:rPr>
        <w:t>Artículo 40. Documento Público. Las tarjetas de reservista se clasificarán como material reservado adquiriendo el carácter de documento público, una vez hayan sido expedidas legalmente por la respectiva Dirección de Reclutamiento.</w:t>
      </w:r>
    </w:p>
    <w:p w14:paraId="499DEBB9" w14:textId="77777777" w:rsidR="00FE195F" w:rsidRPr="00434CAA" w:rsidRDefault="00FE195F" w:rsidP="00FE195F">
      <w:pPr>
        <w:spacing w:after="0" w:line="240" w:lineRule="auto"/>
        <w:ind w:firstLine="709"/>
        <w:jc w:val="both"/>
        <w:rPr>
          <w:rFonts w:ascii="Verdana" w:hAnsi="Verdana" w:cs="Arial"/>
          <w:color w:val="000000"/>
          <w:sz w:val="16"/>
          <w:szCs w:val="16"/>
          <w:lang w:val="es-ES"/>
        </w:rPr>
      </w:pPr>
      <w:r w:rsidRPr="00434CAA">
        <w:rPr>
          <w:rFonts w:ascii="Verdana" w:hAnsi="Verdana" w:cs="Arial"/>
          <w:color w:val="000000"/>
          <w:sz w:val="16"/>
          <w:szCs w:val="16"/>
          <w:lang w:val="es-ES"/>
        </w:rPr>
        <w:t>“Parágrafo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 […]”.</w:t>
      </w:r>
    </w:p>
  </w:footnote>
  <w:footnote w:id="6">
    <w:p w14:paraId="4A68ED66" w14:textId="77777777" w:rsidR="00FE195F" w:rsidRPr="00434CAA" w:rsidRDefault="00FE195F" w:rsidP="00FE195F">
      <w:pPr>
        <w:pStyle w:val="Textonotapie"/>
        <w:ind w:firstLine="708"/>
        <w:jc w:val="both"/>
        <w:rPr>
          <w:rFonts w:ascii="Verdana" w:hAnsi="Verdana" w:cs="Arial"/>
          <w:sz w:val="16"/>
          <w:szCs w:val="16"/>
        </w:rPr>
      </w:pPr>
    </w:p>
    <w:p w14:paraId="3668500D" w14:textId="77777777" w:rsidR="00FE195F" w:rsidRPr="00434CAA" w:rsidRDefault="00FE195F" w:rsidP="00FE195F">
      <w:pPr>
        <w:pStyle w:val="Textonotapie"/>
        <w:ind w:firstLine="708"/>
        <w:jc w:val="both"/>
        <w:rPr>
          <w:rFonts w:ascii="Verdana" w:hAnsi="Verdana" w:cs="Arial"/>
          <w:color w:val="000000"/>
          <w:sz w:val="16"/>
          <w:szCs w:val="16"/>
          <w:lang w:val="es-ES"/>
        </w:rPr>
      </w:pPr>
      <w:r w:rsidRPr="00434CAA">
        <w:rPr>
          <w:rStyle w:val="Refdenotaalpie"/>
          <w:rFonts w:ascii="Verdana" w:hAnsi="Verdana" w:cs="Arial"/>
          <w:sz w:val="16"/>
          <w:szCs w:val="16"/>
        </w:rPr>
        <w:footnoteRef/>
      </w:r>
      <w:r w:rsidRPr="00434CAA">
        <w:rPr>
          <w:rFonts w:ascii="Verdana" w:hAnsi="Verdana" w:cs="Arial"/>
          <w:sz w:val="16"/>
          <w:szCs w:val="16"/>
        </w:rPr>
        <w:t xml:space="preserve"> </w:t>
      </w:r>
      <w:r w:rsidRPr="00434CAA">
        <w:rPr>
          <w:rFonts w:ascii="Verdana" w:hAnsi="Verdana" w:cs="Arial"/>
          <w:color w:val="000000"/>
          <w:sz w:val="16"/>
          <w:szCs w:val="16"/>
          <w:lang w:val="es-ES"/>
        </w:rPr>
        <w:t>“</w:t>
      </w:r>
      <w:r w:rsidRPr="00434CAA">
        <w:rPr>
          <w:rFonts w:ascii="Verdana" w:hAnsi="Verdana" w:cs="Arial"/>
          <w:sz w:val="16"/>
          <w:szCs w:val="16"/>
        </w:rPr>
        <w:t>Artículo 41. Cédula Militar. Para los oficiales, suboficiales, soldados e infantes de marina profesionales en servicio activo, situación de retiro o de reserva la cédula militar reemplaza la tarjeta de reservista para todos los actos en que esta sea requerida</w:t>
      </w:r>
      <w:r w:rsidRPr="00434CAA">
        <w:rPr>
          <w:rFonts w:ascii="Verdana" w:hAnsi="Verdana" w:cs="Arial"/>
          <w:color w:val="000000"/>
          <w:sz w:val="16"/>
          <w:szCs w:val="16"/>
          <w:lang w:val="es-ES"/>
        </w:rPr>
        <w:t>”.</w:t>
      </w:r>
    </w:p>
    <w:p w14:paraId="5AD3CF13" w14:textId="77777777" w:rsidR="00FE195F" w:rsidRPr="00434CAA" w:rsidRDefault="00FE195F" w:rsidP="00FE195F">
      <w:pPr>
        <w:pStyle w:val="Textonotapie"/>
        <w:ind w:firstLine="708"/>
        <w:jc w:val="both"/>
        <w:rPr>
          <w:rFonts w:ascii="Verdana" w:hAnsi="Verdana" w:cs="Arial"/>
          <w:i/>
          <w:sz w:val="16"/>
          <w:szCs w:val="16"/>
          <w:lang w:val="es-CO"/>
        </w:rPr>
      </w:pPr>
    </w:p>
  </w:footnote>
  <w:footnote w:id="7">
    <w:p w14:paraId="0ABBE944" w14:textId="77777777" w:rsidR="00FE195F" w:rsidRPr="00C95B6D" w:rsidRDefault="00FE195F" w:rsidP="00FE195F">
      <w:pPr>
        <w:pStyle w:val="Textonotapie"/>
        <w:ind w:firstLine="708"/>
        <w:jc w:val="both"/>
        <w:rPr>
          <w:rFonts w:ascii="Verdana" w:hAnsi="Verdana"/>
          <w:sz w:val="16"/>
          <w:szCs w:val="16"/>
          <w:lang w:val="es-CO"/>
        </w:rPr>
      </w:pPr>
      <w:r w:rsidRPr="00C95B6D">
        <w:rPr>
          <w:rStyle w:val="Refdenotaalpie"/>
          <w:rFonts w:ascii="Verdana" w:hAnsi="Verdana"/>
          <w:sz w:val="16"/>
          <w:szCs w:val="16"/>
        </w:rPr>
        <w:footnoteRef/>
      </w:r>
      <w:r w:rsidRPr="00C95B6D">
        <w:rPr>
          <w:rFonts w:ascii="Verdana" w:hAnsi="Verdana"/>
          <w:sz w:val="16"/>
          <w:szCs w:val="16"/>
        </w:rPr>
        <w:t xml:space="preserve">  Ley 1861 de 2017: “</w:t>
      </w:r>
      <w:r w:rsidRPr="00C95B6D">
        <w:rPr>
          <w:rFonts w:ascii="Verdana" w:hAnsi="Verdana"/>
          <w:sz w:val="16"/>
          <w:szCs w:val="16"/>
          <w:lang w:val="es-CO"/>
        </w:rPr>
        <w:t>Artículo </w:t>
      </w:r>
      <w:bookmarkStart w:id="5" w:name="42"/>
      <w:bookmarkEnd w:id="5"/>
      <w:r w:rsidRPr="00C95B6D">
        <w:rPr>
          <w:rFonts w:ascii="Verdana" w:hAnsi="Verdana"/>
          <w:sz w:val="16"/>
          <w:szCs w:val="16"/>
          <w:lang w:val="es-CO"/>
        </w:rPr>
        <w:t>42. Acreditación de la situación militar para el trabajo. La situación militar se deberá acreditar para ejercer cargos públicos, trabajar en el sector privado y celebrar contratos de prestación de servicios como persona natural con cualquier entidad de derecho público.</w:t>
      </w:r>
    </w:p>
    <w:p w14:paraId="65F0959D" w14:textId="77777777" w:rsidR="00FE195F" w:rsidRPr="00C95B6D" w:rsidRDefault="00FE195F" w:rsidP="00FE195F">
      <w:pPr>
        <w:pStyle w:val="Textonotapie"/>
        <w:ind w:firstLine="708"/>
        <w:jc w:val="both"/>
        <w:rPr>
          <w:rFonts w:ascii="Verdana" w:hAnsi="Verdana"/>
          <w:sz w:val="16"/>
          <w:szCs w:val="16"/>
          <w:lang w:val="es-CO"/>
        </w:rPr>
      </w:pPr>
      <w:r w:rsidRPr="00C95B6D">
        <w:rPr>
          <w:rFonts w:ascii="Verdana" w:hAnsi="Verdana"/>
          <w:sz w:val="16"/>
          <w:szCs w:val="16"/>
          <w:lang w:val="es-CO"/>
        </w:rPr>
        <w:t>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w:t>
      </w:r>
    </w:p>
    <w:p w14:paraId="59A8A5EA" w14:textId="77777777" w:rsidR="00FE195F" w:rsidRPr="00C95B6D" w:rsidRDefault="00FE195F" w:rsidP="00FE195F">
      <w:pPr>
        <w:pStyle w:val="Textonotapie"/>
        <w:ind w:firstLine="708"/>
        <w:jc w:val="both"/>
        <w:rPr>
          <w:rFonts w:ascii="Verdana" w:hAnsi="Verdana"/>
          <w:sz w:val="16"/>
          <w:szCs w:val="16"/>
          <w:lang w:val="es-CO"/>
        </w:rPr>
      </w:pPr>
      <w:r w:rsidRPr="00C95B6D">
        <w:rPr>
          <w:rFonts w:ascii="Verdana" w:hAnsi="Verdana"/>
          <w:sz w:val="16"/>
          <w:szCs w:val="16"/>
          <w:lang w:val="es-CO"/>
        </w:rPr>
        <w:t>Los ciudadanos que accedan a los beneficios previstos en el presente artículo deberán tramitar ante las autoridades de reclutamiento una certificación provisional en línea que acredite el trámite de la definición de la situación militar por una única vez, que será válida por el lapso de tiempo indicado anteriormente.</w:t>
      </w:r>
    </w:p>
    <w:p w14:paraId="35F1E1D8" w14:textId="77777777" w:rsidR="00FE195F" w:rsidRPr="00C95B6D" w:rsidRDefault="00FE195F" w:rsidP="00FE195F">
      <w:pPr>
        <w:pStyle w:val="Textonotapie"/>
        <w:ind w:firstLine="708"/>
        <w:jc w:val="both"/>
        <w:rPr>
          <w:rFonts w:ascii="Verdana" w:hAnsi="Verdana"/>
          <w:sz w:val="16"/>
          <w:szCs w:val="16"/>
          <w:lang w:val="es-CO"/>
        </w:rPr>
      </w:pPr>
      <w:r w:rsidRPr="00C95B6D">
        <w:rPr>
          <w:rFonts w:ascii="Verdana" w:hAnsi="Verdana"/>
          <w:sz w:val="16"/>
          <w:szCs w:val="16"/>
          <w:lang w:val="es-CO"/>
        </w:rPr>
        <w:t>Parágrafo 1. Las personas declaradas no aptas, exentas o que hayan superado la edad máxima de incorporación a filas, que tengan una vinculación laboral vigente y no hayan definido su situación militar, tendrán un plazo para normalizar su situación de dieciocho (18) meses contados a partir de la vigencia de la presente ley.</w:t>
      </w:r>
    </w:p>
    <w:p w14:paraId="1B71DB29" w14:textId="77777777" w:rsidR="00FE195F" w:rsidRPr="00C95B6D" w:rsidRDefault="00FE195F" w:rsidP="00FE195F">
      <w:pPr>
        <w:pStyle w:val="Textonotapie"/>
        <w:ind w:firstLine="708"/>
        <w:jc w:val="both"/>
        <w:rPr>
          <w:rFonts w:ascii="Verdana" w:hAnsi="Verdana"/>
          <w:sz w:val="16"/>
          <w:szCs w:val="16"/>
          <w:lang w:val="es-CO"/>
        </w:rPr>
      </w:pPr>
      <w:r w:rsidRPr="00C95B6D">
        <w:rPr>
          <w:rFonts w:ascii="Verdana" w:hAnsi="Verdana"/>
          <w:sz w:val="16"/>
          <w:szCs w:val="16"/>
          <w:lang w:val="es-CO"/>
        </w:rPr>
        <w:t>Parágrafo 2</w:t>
      </w:r>
      <w:r w:rsidRPr="00C95B6D">
        <w:rPr>
          <w:rFonts w:ascii="Verdana" w:hAnsi="Verdana"/>
          <w:b/>
          <w:bCs/>
          <w:sz w:val="16"/>
          <w:szCs w:val="16"/>
          <w:lang w:val="es-CO"/>
        </w:rPr>
        <w:t>.</w:t>
      </w:r>
      <w:r w:rsidRPr="00C95B6D">
        <w:rPr>
          <w:rFonts w:ascii="Verdana" w:hAnsi="Verdana"/>
          <w:sz w:val="16"/>
          <w:szCs w:val="16"/>
          <w:lang w:val="es-CO"/>
        </w:rPr>
        <w:t> La vinculación laboral de población no apta, exenta o que haya superado la edad máxima de incorporación no dará lugar a la sanción prevista en el literal d) del artículo 46 de la presente ley o de las normas que la modifiquen, sustituyan o adicionen.</w:t>
      </w:r>
    </w:p>
    <w:p w14:paraId="79F17681" w14:textId="77777777" w:rsidR="00FE195F" w:rsidRPr="00C95B6D" w:rsidRDefault="00FE195F" w:rsidP="00FE195F">
      <w:pPr>
        <w:pStyle w:val="Textonotapie"/>
        <w:ind w:firstLine="708"/>
        <w:jc w:val="both"/>
        <w:rPr>
          <w:rFonts w:ascii="Verdana" w:hAnsi="Verdana"/>
          <w:sz w:val="16"/>
          <w:szCs w:val="16"/>
          <w:lang w:val="es-CO"/>
        </w:rPr>
      </w:pPr>
      <w:r w:rsidRPr="00C95B6D">
        <w:rPr>
          <w:rFonts w:ascii="Verdana" w:hAnsi="Verdana"/>
          <w:sz w:val="16"/>
          <w:szCs w:val="16"/>
          <w:lang w:val="es-CO"/>
        </w:rPr>
        <w:t>Parágrafo 3. Para el pago de la cuota de compensación militar y las sanciones e infracciones de la presente ley de quienes se acojan a este beneficio, podrán realizarse descuento de nómina, libranzas o cualquier otra modalidad de pago, que reglamente el Gobierno Nacional, siempre y cuando medie autorización escrita del trabajador”.</w:t>
      </w:r>
    </w:p>
    <w:p w14:paraId="3F5C1F0F" w14:textId="77777777" w:rsidR="00FE195F" w:rsidRPr="00C95B6D" w:rsidRDefault="00FE195F" w:rsidP="00FE195F">
      <w:pPr>
        <w:pStyle w:val="Textonotapie"/>
        <w:ind w:firstLine="708"/>
        <w:jc w:val="both"/>
        <w:rPr>
          <w:rFonts w:ascii="Verdana" w:hAnsi="Verdana"/>
          <w:sz w:val="16"/>
          <w:szCs w:val="16"/>
        </w:rPr>
      </w:pPr>
    </w:p>
  </w:footnote>
  <w:footnote w:id="8">
    <w:p w14:paraId="4C206761" w14:textId="77777777" w:rsidR="00FE195F" w:rsidRPr="00434CAA" w:rsidRDefault="00FE195F" w:rsidP="00FE195F">
      <w:pPr>
        <w:pStyle w:val="Textonotapie"/>
        <w:ind w:firstLine="708"/>
        <w:jc w:val="both"/>
        <w:rPr>
          <w:rFonts w:ascii="Verdana" w:hAnsi="Verdana" w:cs="Arial"/>
          <w:sz w:val="16"/>
          <w:szCs w:val="16"/>
          <w:lang w:val="es-CO"/>
        </w:rPr>
      </w:pPr>
      <w:r w:rsidRPr="00434CAA">
        <w:rPr>
          <w:rStyle w:val="Refdenotaalpie"/>
          <w:rFonts w:ascii="Verdana" w:hAnsi="Verdana" w:cs="Arial"/>
          <w:sz w:val="16"/>
          <w:szCs w:val="16"/>
        </w:rPr>
        <w:footnoteRef/>
      </w:r>
      <w:r w:rsidRPr="00434CAA">
        <w:rPr>
          <w:rFonts w:ascii="Verdana" w:hAnsi="Verdana" w:cs="Arial"/>
          <w:sz w:val="16"/>
          <w:szCs w:val="16"/>
        </w:rPr>
        <w:t xml:space="preserve"> CORTE CONSTITUCIONAL. Sentencia C-277 del 19 de junio de 2019. M.P. Carlos Bernal Pulido.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AC16B" w14:textId="77777777" w:rsidR="00FE195F" w:rsidRDefault="00FE195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DB4F8FD" wp14:editId="62C0D50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AB87210" wp14:editId="30FC9C7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D4ADCCC" w14:textId="77777777" w:rsidR="00FE195F" w:rsidRDefault="00FE195F">
    <w:pPr>
      <w:pStyle w:val="Encabezado"/>
    </w:pPr>
  </w:p>
  <w:p w14:paraId="0C05370F" w14:textId="77777777" w:rsidR="00FE195F" w:rsidRPr="004A305D" w:rsidRDefault="00FE195F" w:rsidP="00B01B1A">
    <w:pPr>
      <w:spacing w:after="0" w:line="120" w:lineRule="auto"/>
      <w:rPr>
        <w:rFonts w:ascii="Century Gothic" w:eastAsia="Geo" w:hAnsi="Century Gothic" w:cs="Geo"/>
        <w:sz w:val="16"/>
        <w:szCs w:val="16"/>
        <w:lang w:eastAsia="es-CO"/>
      </w:rPr>
    </w:pPr>
  </w:p>
  <w:p w14:paraId="3F1DEFB9" w14:textId="77777777" w:rsidR="00FE195F" w:rsidRDefault="00FE195F" w:rsidP="00844AE9">
    <w:pPr>
      <w:spacing w:after="0" w:line="240" w:lineRule="auto"/>
      <w:rPr>
        <w:rFonts w:ascii="Verdana" w:hAnsi="Verdana"/>
        <w:sz w:val="24"/>
        <w:szCs w:val="24"/>
      </w:rPr>
    </w:pPr>
  </w:p>
  <w:p w14:paraId="7A826BAA" w14:textId="77777777" w:rsidR="00FE195F" w:rsidRPr="00C925AC" w:rsidRDefault="00FE195F" w:rsidP="00844AE9">
    <w:pPr>
      <w:spacing w:after="0" w:line="240" w:lineRule="auto"/>
      <w:rPr>
        <w:rFonts w:ascii="Verdana" w:hAnsi="Verdana"/>
        <w:sz w:val="24"/>
        <w:szCs w:val="24"/>
      </w:rPr>
    </w:pPr>
  </w:p>
  <w:p w14:paraId="78694254" w14:textId="77777777" w:rsidR="00FE195F" w:rsidRPr="00C925AC" w:rsidRDefault="00FE195F"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13473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95F"/>
    <w:rsid w:val="001B2016"/>
    <w:rsid w:val="005727E1"/>
    <w:rsid w:val="005818E2"/>
    <w:rsid w:val="005B223A"/>
    <w:rsid w:val="00645767"/>
    <w:rsid w:val="008E5C2E"/>
    <w:rsid w:val="00984F63"/>
    <w:rsid w:val="00990AA1"/>
    <w:rsid w:val="009A3369"/>
    <w:rsid w:val="00B3284D"/>
    <w:rsid w:val="00C544B4"/>
    <w:rsid w:val="00FE195F"/>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65DDC"/>
  <w15:chartTrackingRefBased/>
  <w15:docId w15:val="{680FDBD5-1026-4C60-8579-155E773D7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E19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E19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E195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E195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E195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E195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E195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E195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E195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E195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E195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E195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E195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E195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E195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E195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E195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E195F"/>
    <w:rPr>
      <w:rFonts w:eastAsiaTheme="majorEastAsia" w:cstheme="majorBidi"/>
      <w:color w:val="272727" w:themeColor="text1" w:themeTint="D8"/>
    </w:rPr>
  </w:style>
  <w:style w:type="paragraph" w:styleId="Ttulo">
    <w:name w:val="Title"/>
    <w:basedOn w:val="Normal"/>
    <w:next w:val="Normal"/>
    <w:link w:val="TtuloCar"/>
    <w:uiPriority w:val="10"/>
    <w:qFormat/>
    <w:rsid w:val="00FE19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E195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E195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E195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E195F"/>
    <w:pPr>
      <w:spacing w:before="160"/>
      <w:jc w:val="center"/>
    </w:pPr>
    <w:rPr>
      <w:i/>
      <w:iCs/>
      <w:color w:val="404040" w:themeColor="text1" w:themeTint="BF"/>
    </w:rPr>
  </w:style>
  <w:style w:type="character" w:customStyle="1" w:styleId="CitaCar">
    <w:name w:val="Cita Car"/>
    <w:basedOn w:val="Fuentedeprrafopredeter"/>
    <w:link w:val="Cita"/>
    <w:uiPriority w:val="29"/>
    <w:rsid w:val="00FE195F"/>
    <w:rPr>
      <w:i/>
      <w:iCs/>
      <w:color w:val="404040" w:themeColor="text1" w:themeTint="BF"/>
    </w:rPr>
  </w:style>
  <w:style w:type="paragraph" w:styleId="Prrafodelista">
    <w:name w:val="List Paragraph"/>
    <w:basedOn w:val="Normal"/>
    <w:uiPriority w:val="34"/>
    <w:qFormat/>
    <w:rsid w:val="00FE195F"/>
    <w:pPr>
      <w:ind w:left="720"/>
      <w:contextualSpacing/>
    </w:pPr>
  </w:style>
  <w:style w:type="character" w:styleId="nfasisintenso">
    <w:name w:val="Intense Emphasis"/>
    <w:basedOn w:val="Fuentedeprrafopredeter"/>
    <w:uiPriority w:val="21"/>
    <w:qFormat/>
    <w:rsid w:val="00FE195F"/>
    <w:rPr>
      <w:i/>
      <w:iCs/>
      <w:color w:val="0F4761" w:themeColor="accent1" w:themeShade="BF"/>
    </w:rPr>
  </w:style>
  <w:style w:type="paragraph" w:styleId="Citadestacada">
    <w:name w:val="Intense Quote"/>
    <w:basedOn w:val="Normal"/>
    <w:next w:val="Normal"/>
    <w:link w:val="CitadestacadaCar"/>
    <w:uiPriority w:val="30"/>
    <w:qFormat/>
    <w:rsid w:val="00FE19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E195F"/>
    <w:rPr>
      <w:i/>
      <w:iCs/>
      <w:color w:val="0F4761" w:themeColor="accent1" w:themeShade="BF"/>
    </w:rPr>
  </w:style>
  <w:style w:type="character" w:styleId="Referenciaintensa">
    <w:name w:val="Intense Reference"/>
    <w:basedOn w:val="Fuentedeprrafopredeter"/>
    <w:uiPriority w:val="32"/>
    <w:qFormat/>
    <w:rsid w:val="00FE195F"/>
    <w:rPr>
      <w:b/>
      <w:bCs/>
      <w:smallCaps/>
      <w:color w:val="0F4761" w:themeColor="accent1" w:themeShade="BF"/>
      <w:spacing w:val="5"/>
    </w:rPr>
  </w:style>
  <w:style w:type="paragraph" w:styleId="Encabezado">
    <w:name w:val="header"/>
    <w:basedOn w:val="Normal"/>
    <w:link w:val="EncabezadoCar"/>
    <w:uiPriority w:val="99"/>
    <w:unhideWhenUsed/>
    <w:rsid w:val="00FE195F"/>
    <w:pPr>
      <w:tabs>
        <w:tab w:val="center" w:pos="4419"/>
        <w:tab w:val="right" w:pos="8838"/>
      </w:tabs>
      <w:spacing w:after="0" w:line="240" w:lineRule="auto"/>
    </w:pPr>
    <w:rPr>
      <w:kern w:val="0"/>
      <w14:ligatures w14:val="none"/>
    </w:rPr>
  </w:style>
  <w:style w:type="character" w:customStyle="1" w:styleId="EncabezadoCar">
    <w:name w:val="Encabezado Car"/>
    <w:basedOn w:val="Fuentedeprrafopredeter"/>
    <w:link w:val="Encabezado"/>
    <w:uiPriority w:val="99"/>
    <w:rsid w:val="00FE195F"/>
    <w:rPr>
      <w:kern w:val="0"/>
      <w14:ligatures w14:val="none"/>
    </w:rPr>
  </w:style>
  <w:style w:type="paragraph" w:styleId="Piedepgina">
    <w:name w:val="footer"/>
    <w:basedOn w:val="Normal"/>
    <w:link w:val="PiedepginaCar"/>
    <w:uiPriority w:val="99"/>
    <w:unhideWhenUsed/>
    <w:rsid w:val="00FE195F"/>
    <w:pPr>
      <w:tabs>
        <w:tab w:val="center" w:pos="4419"/>
        <w:tab w:val="right" w:pos="8838"/>
      </w:tabs>
      <w:spacing w:after="0" w:line="240" w:lineRule="auto"/>
    </w:pPr>
    <w:rPr>
      <w:kern w:val="0"/>
      <w14:ligatures w14:val="none"/>
    </w:rPr>
  </w:style>
  <w:style w:type="character" w:customStyle="1" w:styleId="PiedepginaCar">
    <w:name w:val="Pie de página Car"/>
    <w:basedOn w:val="Fuentedeprrafopredeter"/>
    <w:link w:val="Piedepgina"/>
    <w:uiPriority w:val="99"/>
    <w:rsid w:val="00FE195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E195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FE195F"/>
    <w:pPr>
      <w:spacing w:after="0" w:line="240" w:lineRule="auto"/>
    </w:pPr>
    <w:rPr>
      <w:sz w:val="20"/>
      <w:szCs w:val="20"/>
      <w:lang w:val="es-MX"/>
    </w:rPr>
  </w:style>
  <w:style w:type="character" w:customStyle="1" w:styleId="TextonotapieCar1">
    <w:name w:val="Texto nota pie Car1"/>
    <w:basedOn w:val="Fuentedeprrafopredeter"/>
    <w:uiPriority w:val="99"/>
    <w:semiHidden/>
    <w:rsid w:val="00FE195F"/>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E195F"/>
    <w:rPr>
      <w:vertAlign w:val="superscript"/>
    </w:rPr>
  </w:style>
  <w:style w:type="table" w:styleId="Tablaconcuadrcula">
    <w:name w:val="Table Grid"/>
    <w:basedOn w:val="Tablanormal"/>
    <w:uiPriority w:val="39"/>
    <w:qFormat/>
    <w:rsid w:val="00FE195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E195F"/>
    <w:pPr>
      <w:spacing w:line="240" w:lineRule="exact"/>
    </w:pPr>
    <w:rPr>
      <w:vertAlign w:val="superscript"/>
    </w:rPr>
  </w:style>
  <w:style w:type="table" w:customStyle="1" w:styleId="Tablaconcuadrcula11">
    <w:name w:val="Tabla con cuadrícula11"/>
    <w:basedOn w:val="Tablanormal"/>
    <w:next w:val="Tablaconcuadrcula"/>
    <w:uiPriority w:val="59"/>
    <w:qFormat/>
    <w:rsid w:val="00FE195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faelhernandovalenzuelaembus@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6EBD98-66D9-4FBA-8973-99A09C5251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864FB3-1E5E-4C66-91E1-6DF11AA03592}">
  <ds:schemaRefs>
    <ds:schemaRef ds:uri="http://schemas.microsoft.com/sharepoint/v3/contenttype/forms"/>
  </ds:schemaRefs>
</ds:datastoreItem>
</file>

<file path=customXml/itemProps3.xml><?xml version="1.0" encoding="utf-8"?>
<ds:datastoreItem xmlns:ds="http://schemas.openxmlformats.org/officeDocument/2006/customXml" ds:itemID="{30C79659-B1FD-4494-82CC-19EA6F2E9CD2}">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4700</Words>
  <Characters>25850</Characters>
  <Application>Microsoft Office Word</Application>
  <DocSecurity>0</DocSecurity>
  <Lines>215</Lines>
  <Paragraphs>60</Paragraphs>
  <ScaleCrop>false</ScaleCrop>
  <Company/>
  <LinksUpToDate>false</LinksUpToDate>
  <CharactersWithSpaces>30490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3</cp:revision>
  <dcterms:created xsi:type="dcterms:W3CDTF">2026-05-07T12:28:00Z</dcterms:created>
  <dcterms:modified xsi:type="dcterms:W3CDTF">2026-05-07T12:29:00Z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