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B5270" w14:textId="77777777" w:rsidR="00164E23" w:rsidRPr="004C046B" w:rsidRDefault="00164E23" w:rsidP="00164E2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Sistema Integral de Preferencias ‒ Contratación pública inclusiva ‒ Personas con discapacidad</w:t>
      </w:r>
    </w:p>
    <w:p w14:paraId="5DE664F5"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6ABBF5C6" w14:textId="77777777" w:rsidR="00164E23" w:rsidRDefault="00164E23" w:rsidP="00164E23">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w:t>
      </w:r>
      <w:r w:rsidRPr="000A5E13">
        <w:rPr>
          <w:rFonts w:ascii="Verdana" w:eastAsia="Calibri" w:hAnsi="Verdana" w:cs="Arial"/>
          <w:sz w:val="20"/>
          <w:szCs w:val="20"/>
          <w:lang w:eastAsia="es-ES"/>
        </w:rPr>
        <w:t xml:space="preserve">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sidRPr="000A5E13">
        <w:rPr>
          <w:rFonts w:ascii="Verdana" w:eastAsia="Calibri" w:hAnsi="Verdana" w:cs="Arial"/>
          <w:sz w:val="20"/>
          <w:szCs w:val="20"/>
          <w:lang w:eastAsia="es-ES"/>
        </w:rPr>
        <w:t>N.°</w:t>
      </w:r>
      <w:proofErr w:type="spellEnd"/>
      <w:r w:rsidRPr="000A5E13">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47D0A6EA" w14:textId="77777777" w:rsidR="00164E23" w:rsidRPr="007B5AD4" w:rsidRDefault="00164E23" w:rsidP="00164E23">
      <w:pPr>
        <w:spacing w:after="0" w:line="240" w:lineRule="auto"/>
        <w:contextualSpacing/>
        <w:jc w:val="both"/>
        <w:rPr>
          <w:rFonts w:ascii="Verdana" w:eastAsia="Calibri" w:hAnsi="Verdana" w:cs="Arial"/>
          <w:sz w:val="20"/>
          <w:szCs w:val="20"/>
          <w:lang w:eastAsia="es-ES"/>
        </w:rPr>
      </w:pPr>
    </w:p>
    <w:p w14:paraId="2AA02DC2" w14:textId="77777777" w:rsidR="00164E23" w:rsidRPr="004C046B" w:rsidRDefault="00164E23" w:rsidP="00164E2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5E0841A5" w14:textId="77777777" w:rsidR="00164E23" w:rsidRPr="007B5AD4" w:rsidRDefault="00164E23" w:rsidP="00164E23">
      <w:pPr>
        <w:spacing w:after="0" w:line="240" w:lineRule="auto"/>
        <w:contextualSpacing/>
        <w:jc w:val="both"/>
        <w:rPr>
          <w:rFonts w:ascii="Verdana" w:eastAsia="Calibri" w:hAnsi="Verdana" w:cs="Arial"/>
          <w:b/>
          <w:bCs/>
          <w:sz w:val="20"/>
          <w:szCs w:val="20"/>
          <w:lang w:eastAsia="es-ES"/>
        </w:rPr>
      </w:pPr>
    </w:p>
    <w:p w14:paraId="7DCB2C6E" w14:textId="77777777" w:rsidR="00164E23" w:rsidRDefault="00164E23" w:rsidP="00164E23">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767481D3"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6EA5843E" w14:textId="77777777" w:rsidR="00164E23" w:rsidRPr="004C046B" w:rsidRDefault="00164E23" w:rsidP="00164E2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5ECF43D2" w14:textId="77777777" w:rsidR="00164E23" w:rsidRPr="007B5AD4" w:rsidRDefault="00164E23" w:rsidP="00164E23">
      <w:pPr>
        <w:spacing w:after="0" w:line="240" w:lineRule="auto"/>
        <w:contextualSpacing/>
        <w:jc w:val="both"/>
        <w:rPr>
          <w:rFonts w:ascii="Verdana" w:eastAsia="Calibri" w:hAnsi="Verdana" w:cs="Arial"/>
          <w:b/>
          <w:bCs/>
          <w:sz w:val="20"/>
          <w:szCs w:val="20"/>
          <w:lang w:eastAsia="es-ES"/>
        </w:rPr>
      </w:pPr>
    </w:p>
    <w:p w14:paraId="5069AE86" w14:textId="77777777" w:rsidR="00164E23" w:rsidRPr="00206556" w:rsidRDefault="00164E23" w:rsidP="00164E23">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w:t>
      </w:r>
      <w:r w:rsidRPr="007C6F9B">
        <w:rPr>
          <w:rFonts w:ascii="Verdana" w:eastAsia="Calibri" w:hAnsi="Verdana" w:cs="Arial"/>
          <w:sz w:val="20"/>
          <w:szCs w:val="20"/>
          <w:lang w:eastAsia="es-ES"/>
        </w:rPr>
        <w:lastRenderedPageBreak/>
        <w:t>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r w:rsidRPr="007B5AD4">
        <w:rPr>
          <w:rFonts w:ascii="Verdana" w:eastAsia="Calibri" w:hAnsi="Verdana" w:cs="Arial"/>
          <w:sz w:val="20"/>
          <w:szCs w:val="20"/>
          <w:lang w:eastAsia="es-ES"/>
        </w:rPr>
        <w:t>.</w:t>
      </w:r>
    </w:p>
    <w:p w14:paraId="01591F5A" w14:textId="77777777" w:rsidR="00164E23" w:rsidRPr="007B5AD4" w:rsidRDefault="00164E23" w:rsidP="00164E23">
      <w:pPr>
        <w:spacing w:after="0" w:line="240" w:lineRule="auto"/>
        <w:contextualSpacing/>
        <w:jc w:val="both"/>
        <w:rPr>
          <w:rFonts w:ascii="Verdana" w:eastAsia="Calibri" w:hAnsi="Verdana" w:cs="Arial"/>
          <w:sz w:val="20"/>
          <w:szCs w:val="20"/>
          <w:lang w:eastAsia="es-ES"/>
        </w:rPr>
      </w:pPr>
    </w:p>
    <w:p w14:paraId="53147CE9" w14:textId="77777777" w:rsidR="00164E23" w:rsidRPr="004C046B" w:rsidRDefault="00164E23" w:rsidP="00164E2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Documentos tipo ‒ Principio de inalterabilidad ‒ Régimen de transición ‒ Actualización ‒ Colombia Compra Eficiente</w:t>
      </w:r>
    </w:p>
    <w:p w14:paraId="5408DFD8" w14:textId="77777777" w:rsidR="00164E23" w:rsidRPr="007B5AD4" w:rsidRDefault="00164E23" w:rsidP="00164E23">
      <w:pPr>
        <w:spacing w:after="0" w:line="240" w:lineRule="auto"/>
        <w:contextualSpacing/>
        <w:jc w:val="both"/>
        <w:rPr>
          <w:rFonts w:ascii="Verdana" w:eastAsia="Calibri" w:hAnsi="Verdana" w:cs="Arial"/>
          <w:b/>
          <w:bCs/>
          <w:sz w:val="20"/>
          <w:szCs w:val="20"/>
          <w:lang w:eastAsia="es-ES"/>
        </w:rPr>
      </w:pPr>
    </w:p>
    <w:p w14:paraId="738047AB" w14:textId="77777777" w:rsidR="00164E23" w:rsidRPr="00206556" w:rsidRDefault="00164E23" w:rsidP="00164E23">
      <w:pPr>
        <w:spacing w:after="0" w:line="240" w:lineRule="auto"/>
        <w:contextualSpacing/>
        <w:jc w:val="both"/>
        <w:rPr>
          <w:rFonts w:ascii="Verdana" w:eastAsia="Calibri" w:hAnsi="Verdana" w:cs="Arial"/>
          <w:sz w:val="20"/>
          <w:szCs w:val="20"/>
          <w:lang w:eastAsia="es-ES"/>
        </w:rPr>
      </w:pPr>
      <w:r w:rsidRPr="00015670">
        <w:rPr>
          <w:rFonts w:ascii="Verdana" w:eastAsia="Calibri" w:hAnsi="Verdana" w:cs="Arial"/>
          <w:sz w:val="20"/>
          <w:szCs w:val="20"/>
          <w:lang w:eastAsia="es-ES"/>
        </w:rPr>
        <w:t>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w:t>
      </w:r>
      <w:r w:rsidRPr="007B5AD4">
        <w:rPr>
          <w:rFonts w:ascii="Verdana" w:eastAsia="Calibri" w:hAnsi="Verdana" w:cs="Arial"/>
          <w:sz w:val="20"/>
          <w:szCs w:val="20"/>
          <w:lang w:eastAsia="es-ES"/>
        </w:rPr>
        <w:t xml:space="preserve">. </w:t>
      </w:r>
    </w:p>
    <w:p w14:paraId="1B4A6209" w14:textId="77777777" w:rsidR="00164E23" w:rsidRPr="007B5AD4" w:rsidRDefault="00164E23" w:rsidP="00164E23">
      <w:pPr>
        <w:spacing w:after="0" w:line="240" w:lineRule="auto"/>
        <w:contextualSpacing/>
        <w:jc w:val="both"/>
        <w:rPr>
          <w:rFonts w:ascii="Verdana" w:eastAsia="Calibri" w:hAnsi="Verdana" w:cs="Arial"/>
          <w:sz w:val="20"/>
          <w:szCs w:val="20"/>
          <w:lang w:eastAsia="es-ES"/>
        </w:rPr>
      </w:pPr>
    </w:p>
    <w:p w14:paraId="0F9FB0F0" w14:textId="77777777" w:rsidR="00164E23" w:rsidRPr="004C046B" w:rsidRDefault="00164E23" w:rsidP="00164E2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Contratos de prestación de servicios ‒ personas con discapacidad ‒ Carácter potestativo ‒ Contratación directa</w:t>
      </w:r>
    </w:p>
    <w:p w14:paraId="7C53AD78" w14:textId="77777777" w:rsidR="00164E23" w:rsidRPr="007B5AD4" w:rsidRDefault="00164E23" w:rsidP="00164E23">
      <w:pPr>
        <w:spacing w:after="0" w:line="240" w:lineRule="auto"/>
        <w:contextualSpacing/>
        <w:jc w:val="both"/>
        <w:rPr>
          <w:rFonts w:ascii="Verdana" w:eastAsia="Calibri" w:hAnsi="Verdana" w:cs="Arial"/>
          <w:b/>
          <w:bCs/>
          <w:sz w:val="20"/>
          <w:szCs w:val="20"/>
          <w:lang w:eastAsia="es-ES"/>
        </w:rPr>
      </w:pPr>
    </w:p>
    <w:p w14:paraId="3132BCF8" w14:textId="77777777" w:rsidR="00164E23" w:rsidRDefault="00164E23" w:rsidP="00164E23">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w:t>
      </w:r>
      <w:r w:rsidRPr="00015670">
        <w:rPr>
          <w:rFonts w:ascii="Verdana" w:eastAsia="Calibri" w:hAnsi="Verdana" w:cs="Arial"/>
          <w:sz w:val="20"/>
          <w:szCs w:val="20"/>
          <w:lang w:eastAsia="es-ES"/>
        </w:rPr>
        <w:t xml:space="preserve"> la inclusión de PcD en contratos de prestación de servicios profesionales y/o de apoyo a la gestión, regulada en el artículo 2.2.1.2.4.2.7.6. del Decreto 1082 de 2015 (modificado), que opera en la modalidad de contratación directa y tiene carácter potestativo: las entidades sometidas al Estatuto General de Contratación Pública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PcD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r w:rsidRPr="00A54668">
        <w:rPr>
          <w:rFonts w:ascii="Verdana" w:eastAsia="Calibri" w:hAnsi="Verdana" w:cs="Arial"/>
          <w:sz w:val="20"/>
          <w:szCs w:val="20"/>
          <w:lang w:eastAsia="es-ES"/>
        </w:rPr>
        <w:t>.</w:t>
      </w:r>
    </w:p>
    <w:p w14:paraId="028850FC"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429793B0" w14:textId="77777777" w:rsidR="00164E23" w:rsidRPr="004C046B" w:rsidRDefault="00164E23" w:rsidP="00164E2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Vigencia ‒ Derogatoria ‒ Decreto 392 de 2018 ‒ Régimen de transición ‒ Resolución de apertura</w:t>
      </w:r>
    </w:p>
    <w:p w14:paraId="4C098CFF"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2572FD1D" w14:textId="77777777" w:rsidR="00164E23" w:rsidRDefault="00164E23" w:rsidP="00164E23">
      <w:pPr>
        <w:spacing w:after="0" w:line="240" w:lineRule="auto"/>
        <w:contextualSpacing/>
        <w:jc w:val="both"/>
        <w:rPr>
          <w:rFonts w:ascii="Verdana" w:eastAsia="Calibri" w:hAnsi="Verdana" w:cs="Arial"/>
          <w:sz w:val="20"/>
          <w:szCs w:val="20"/>
          <w:lang w:eastAsia="es-ES"/>
        </w:rPr>
      </w:pPr>
      <w:r w:rsidRPr="00A54668">
        <w:rPr>
          <w:rFonts w:ascii="Verdana" w:eastAsia="Calibri" w:hAnsi="Verdana" w:cs="Arial"/>
          <w:sz w:val="20"/>
          <w:szCs w:val="20"/>
          <w:lang w:eastAsia="es-ES"/>
        </w:rPr>
        <w:lastRenderedPageBreak/>
        <w:t xml:space="preserve">(…) </w:t>
      </w:r>
      <w:r w:rsidRPr="004C046B">
        <w:rPr>
          <w:rFonts w:ascii="Verdana" w:eastAsia="Calibri" w:hAnsi="Verdana" w:cs="Arial"/>
          <w:sz w:val="20"/>
          <w:szCs w:val="20"/>
          <w:lang w:eastAsia="es-ES"/>
        </w:rPr>
        <w:t>para la aplicación del Decreto 287 de 2026, se debe tener en cuenta que 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 pero lo señalado en este concepto debe entenderse de acuerdo con la nueva redacción de los artículos enlistados, y no recurrir a la antigua redacción.</w:t>
      </w:r>
    </w:p>
    <w:p w14:paraId="4764F948" w14:textId="77777777" w:rsidR="00164E23" w:rsidRPr="004C046B" w:rsidRDefault="00164E23" w:rsidP="00164E23">
      <w:pPr>
        <w:spacing w:after="0" w:line="240" w:lineRule="auto"/>
        <w:contextualSpacing/>
        <w:jc w:val="both"/>
        <w:rPr>
          <w:rFonts w:ascii="Verdana" w:eastAsia="Calibri" w:hAnsi="Verdana" w:cs="Arial"/>
          <w:sz w:val="20"/>
          <w:szCs w:val="20"/>
          <w:lang w:eastAsia="es-ES"/>
        </w:rPr>
      </w:pPr>
    </w:p>
    <w:p w14:paraId="07BC1E65" w14:textId="77777777" w:rsidR="00164E23" w:rsidRDefault="00164E23" w:rsidP="00164E23">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4C046B">
        <w:rPr>
          <w:rFonts w:ascii="Verdana" w:eastAsia="Calibri" w:hAnsi="Verdana" w:cs="Arial"/>
          <w:sz w:val="20"/>
          <w:szCs w:val="20"/>
          <w:lang w:eastAsia="es-ES"/>
        </w:rPr>
        <w:t>ii</w:t>
      </w:r>
      <w:proofErr w:type="spellEnd"/>
      <w:r w:rsidRPr="004C046B">
        <w:rPr>
          <w:rFonts w:ascii="Verdana" w:eastAsia="Calibri" w:hAnsi="Verdana" w:cs="Arial"/>
          <w:sz w:val="20"/>
          <w:szCs w:val="20"/>
          <w:lang w:eastAsia="es-ES"/>
        </w:rPr>
        <w:t>)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56E6B6FF" w14:textId="77777777" w:rsidR="00164E23" w:rsidRPr="004C046B" w:rsidRDefault="00164E23" w:rsidP="00164E23">
      <w:pPr>
        <w:spacing w:after="0" w:line="240" w:lineRule="auto"/>
        <w:contextualSpacing/>
        <w:jc w:val="both"/>
        <w:rPr>
          <w:rFonts w:ascii="Verdana" w:eastAsia="Calibri" w:hAnsi="Verdana" w:cs="Arial"/>
          <w:sz w:val="20"/>
          <w:szCs w:val="20"/>
          <w:lang w:eastAsia="es-ES"/>
        </w:rPr>
      </w:pPr>
    </w:p>
    <w:p w14:paraId="6C073837" w14:textId="77777777" w:rsidR="00164E23" w:rsidRDefault="00164E23" w:rsidP="00164E23">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t>Para los procesos de contratación con proyecto de pliego publicado pero sin apertura al 19 de marzo de 2026, se recomienda que se incorporen las medidas del Decreto 287 de 2026 antes de publicar los pliegos definitivos. En esa etapa aún es posible realizar ajustes sin afectar derechos adquiridos de los proponentes.</w:t>
      </w:r>
    </w:p>
    <w:p w14:paraId="6C047F2D"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038FE274"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41EF2E6B"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0FD49425"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6943F7AD"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6F819670"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59754AC9"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03C2E3DB"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66ABEC13"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6C8C727C"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6310FA3A"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1D5C7497"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7EF17F72"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11B33A45"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23CF144D"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5A4AA064"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7BF81509"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774BEC02"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36A9FEBD"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329E75CC"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0419E47C"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705F268F" w14:textId="77777777" w:rsidR="00164E23" w:rsidRDefault="00164E23" w:rsidP="00164E23">
      <w:pPr>
        <w:spacing w:after="0" w:line="240" w:lineRule="auto"/>
        <w:contextualSpacing/>
        <w:jc w:val="both"/>
        <w:rPr>
          <w:rFonts w:ascii="Verdana" w:eastAsia="Calibri" w:hAnsi="Verdana" w:cs="Arial"/>
          <w:sz w:val="20"/>
          <w:szCs w:val="20"/>
          <w:lang w:eastAsia="es-ES"/>
        </w:rPr>
      </w:pPr>
    </w:p>
    <w:p w14:paraId="7E653D8A" w14:textId="1763C382" w:rsidR="00164E23" w:rsidRDefault="00164E23" w:rsidP="00164E23">
      <w:pPr>
        <w:spacing w:after="0"/>
        <w:rPr>
          <w:rFonts w:ascii="Verdana" w:hAnsi="Verdana"/>
          <w:lang w:val="es-ES"/>
        </w:rPr>
      </w:pPr>
      <w:r w:rsidRPr="00E1440E">
        <w:rPr>
          <w:rFonts w:ascii="Verdana" w:hAnsi="Verdana"/>
          <w:lang w:val="es-ES"/>
        </w:rPr>
        <w:lastRenderedPageBreak/>
        <w:t xml:space="preserve">Bogotá D.C., </w:t>
      </w:r>
      <w:r w:rsidR="004D75D8">
        <w:rPr>
          <w:rFonts w:ascii="Verdana" w:hAnsi="Verdana"/>
          <w:lang w:val="es-ES"/>
        </w:rPr>
        <w:t>7 de mayo de 2026</w:t>
      </w:r>
    </w:p>
    <w:p w14:paraId="3EF490AF" w14:textId="77777777" w:rsidR="004D75D8" w:rsidRDefault="004D75D8" w:rsidP="00164E23">
      <w:pPr>
        <w:spacing w:after="0"/>
        <w:rPr>
          <w:rFonts w:ascii="Verdana" w:hAnsi="Verdana"/>
          <w:lang w:val="es-ES"/>
        </w:rPr>
      </w:pPr>
    </w:p>
    <w:p w14:paraId="2EC989F6" w14:textId="436EB649" w:rsidR="004D75D8" w:rsidRPr="00E1440E" w:rsidRDefault="004D75D8" w:rsidP="004D75D8">
      <w:pPr>
        <w:spacing w:after="0"/>
        <w:jc w:val="right"/>
        <w:rPr>
          <w:rFonts w:ascii="Verdana" w:hAnsi="Verdana"/>
          <w:lang w:val="es-ES"/>
        </w:rPr>
      </w:pPr>
      <w:r w:rsidRPr="004D75D8">
        <w:rPr>
          <w:rFonts w:ascii="Verdana" w:hAnsi="Verdana"/>
          <w:lang w:val="es-ES"/>
        </w:rPr>
        <w:drawing>
          <wp:inline distT="0" distB="0" distL="0" distR="0" wp14:anchorId="0953EFDB" wp14:editId="74255629">
            <wp:extent cx="3686689" cy="1009791"/>
            <wp:effectExtent l="0" t="0" r="0" b="0"/>
            <wp:docPr id="9879834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983471" name=""/>
                    <pic:cNvPicPr/>
                  </pic:nvPicPr>
                  <pic:blipFill>
                    <a:blip r:embed="rId10"/>
                    <a:stretch>
                      <a:fillRect/>
                    </a:stretch>
                  </pic:blipFill>
                  <pic:spPr>
                    <a:xfrm>
                      <a:off x="0" y="0"/>
                      <a:ext cx="3686689" cy="1009791"/>
                    </a:xfrm>
                    <a:prstGeom prst="rect">
                      <a:avLst/>
                    </a:prstGeom>
                  </pic:spPr>
                </pic:pic>
              </a:graphicData>
            </a:graphic>
          </wp:inline>
        </w:drawing>
      </w:r>
    </w:p>
    <w:p w14:paraId="0CF6CA87" w14:textId="77777777" w:rsidR="00164E23" w:rsidRPr="00777292" w:rsidRDefault="00164E23" w:rsidP="00164E23">
      <w:pPr>
        <w:spacing w:after="0"/>
        <w:rPr>
          <w:rFonts w:ascii="Verdana" w:hAnsi="Verdana"/>
          <w:lang w:val="es-ES_tradnl"/>
        </w:rPr>
      </w:pPr>
    </w:p>
    <w:p w14:paraId="72C44607" w14:textId="77777777" w:rsidR="00164E23" w:rsidRPr="006A7B59" w:rsidRDefault="00164E23" w:rsidP="00164E23">
      <w:pPr>
        <w:spacing w:after="0" w:line="240" w:lineRule="auto"/>
        <w:rPr>
          <w:rFonts w:ascii="Verdana" w:hAnsi="Verdana"/>
          <w:lang w:val="es-ES"/>
        </w:rPr>
      </w:pPr>
      <w:bookmarkStart w:id="0" w:name="_Hlk143780582"/>
      <w:r w:rsidRPr="006A7B59">
        <w:rPr>
          <w:rFonts w:ascii="Verdana" w:eastAsia="Calibri" w:hAnsi="Verdana" w:cs="Arial"/>
          <w:lang w:val="es-ES" w:eastAsia="es-ES"/>
        </w:rPr>
        <w:t>Señora</w:t>
      </w:r>
    </w:p>
    <w:p w14:paraId="6EBF6217" w14:textId="77777777" w:rsidR="00164E23" w:rsidRPr="006A7B59" w:rsidRDefault="00164E23" w:rsidP="00164E23">
      <w:pPr>
        <w:spacing w:after="0"/>
        <w:rPr>
          <w:rFonts w:ascii="Verdana" w:eastAsia="Calibri" w:hAnsi="Verdana" w:cs="Arial"/>
          <w:b/>
          <w:bCs/>
          <w:lang w:val="es-ES" w:eastAsia="es-ES"/>
        </w:rPr>
      </w:pPr>
      <w:r w:rsidRPr="006A7B59">
        <w:rPr>
          <w:rFonts w:ascii="Verdana" w:eastAsia="Calibri" w:hAnsi="Verdana" w:cs="Arial"/>
          <w:b/>
          <w:bCs/>
          <w:lang w:val="es-ES" w:eastAsia="es-ES"/>
        </w:rPr>
        <w:t>Leidy Alejandra Vasquez Vanegas</w:t>
      </w:r>
    </w:p>
    <w:p w14:paraId="3F230DC2" w14:textId="77777777" w:rsidR="00164E23" w:rsidRPr="006A7B59" w:rsidRDefault="00164E23" w:rsidP="00164E23">
      <w:pPr>
        <w:spacing w:after="0"/>
        <w:rPr>
          <w:rFonts w:ascii="Verdana" w:hAnsi="Verdana"/>
        </w:rPr>
      </w:pPr>
      <w:hyperlink r:id="rId11" w:history="1">
        <w:r w:rsidRPr="00E1440E">
          <w:rPr>
            <w:rStyle w:val="Hipervnculo"/>
            <w:rFonts w:ascii="Verdana" w:hAnsi="Verdana"/>
          </w:rPr>
          <w:t>infralarlicitaciones@gmail.com</w:t>
        </w:r>
      </w:hyperlink>
    </w:p>
    <w:p w14:paraId="3ED399A1" w14:textId="77777777" w:rsidR="00164E23" w:rsidRPr="00777292" w:rsidRDefault="00164E23" w:rsidP="00164E23">
      <w:pPr>
        <w:spacing w:after="0"/>
        <w:rPr>
          <w:rFonts w:ascii="Verdana" w:eastAsia="Calibri" w:hAnsi="Verdana" w:cs="Arial"/>
          <w:lang w:eastAsia="es-ES"/>
        </w:rPr>
      </w:pPr>
      <w:r w:rsidRPr="006A7B59">
        <w:rPr>
          <w:rFonts w:ascii="Verdana" w:eastAsia="Calibri" w:hAnsi="Verdana" w:cs="Arial"/>
          <w:lang w:eastAsia="es-ES"/>
        </w:rPr>
        <w:t>Ciudad</w:t>
      </w:r>
    </w:p>
    <w:p w14:paraId="27CE2DEA" w14:textId="77777777" w:rsidR="00CC2839" w:rsidRDefault="00CC2839" w:rsidP="00164E23">
      <w:pPr>
        <w:spacing w:after="0"/>
        <w:rPr>
          <w:rFonts w:ascii="Verdana" w:eastAsia="Calibri" w:hAnsi="Verdana" w:cs="Arial"/>
          <w:lang w:eastAsia="es-ES"/>
        </w:rPr>
      </w:pPr>
    </w:p>
    <w:p w14:paraId="5A98DA23" w14:textId="77777777" w:rsidR="00CC2839" w:rsidRPr="00E1440E" w:rsidRDefault="00CC2839" w:rsidP="00164E23">
      <w:pPr>
        <w:spacing w:after="0"/>
        <w:rPr>
          <w:rFonts w:ascii="Verdana" w:eastAsia="Calibri" w:hAnsi="Verdana" w:cs="Arial"/>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64E23" w:rsidRPr="00777292" w14:paraId="733E9F43" w14:textId="77777777" w:rsidTr="00640533">
        <w:trPr>
          <w:trHeight w:val="190"/>
        </w:trPr>
        <w:tc>
          <w:tcPr>
            <w:tcW w:w="2689" w:type="dxa"/>
          </w:tcPr>
          <w:p w14:paraId="56B97A45" w14:textId="77777777" w:rsidR="00164E23" w:rsidRPr="00777292" w:rsidRDefault="00164E23" w:rsidP="00640533">
            <w:pPr>
              <w:jc w:val="both"/>
              <w:rPr>
                <w:rFonts w:ascii="Verdana" w:eastAsia="Calibri" w:hAnsi="Verdana" w:cs="Arial"/>
                <w:b/>
                <w:bCs/>
                <w:lang w:eastAsia="es-ES_tradnl"/>
              </w:rPr>
            </w:pPr>
          </w:p>
        </w:tc>
        <w:tc>
          <w:tcPr>
            <w:tcW w:w="6100" w:type="dxa"/>
          </w:tcPr>
          <w:p w14:paraId="24949F88" w14:textId="77777777" w:rsidR="00164E23" w:rsidRPr="00777292" w:rsidRDefault="00164E23" w:rsidP="00640533">
            <w:pPr>
              <w:jc w:val="both"/>
              <w:rPr>
                <w:rFonts w:ascii="Verdana" w:eastAsia="Calibri" w:hAnsi="Verdana" w:cs="Arial"/>
                <w:b/>
                <w:bCs/>
                <w:lang w:eastAsia="es-ES"/>
              </w:rPr>
            </w:pPr>
            <w:r w:rsidRPr="00777292">
              <w:rPr>
                <w:rFonts w:ascii="Verdana" w:eastAsia="Calibri" w:hAnsi="Verdana" w:cs="Arial"/>
                <w:b/>
                <w:bCs/>
                <w:lang w:eastAsia="es-ES"/>
              </w:rPr>
              <w:t xml:space="preserve">Concepto C- </w:t>
            </w:r>
            <w:r>
              <w:rPr>
                <w:rFonts w:ascii="Verdana" w:eastAsia="Calibri" w:hAnsi="Verdana" w:cs="Arial"/>
                <w:b/>
                <w:bCs/>
                <w:lang w:eastAsia="es-ES"/>
              </w:rPr>
              <w:t>473</w:t>
            </w:r>
            <w:r w:rsidRPr="00777292">
              <w:rPr>
                <w:rFonts w:ascii="Verdana" w:eastAsia="Calibri" w:hAnsi="Verdana" w:cs="Arial"/>
                <w:b/>
                <w:bCs/>
                <w:lang w:eastAsia="es-ES"/>
              </w:rPr>
              <w:t xml:space="preserve"> de 2026</w:t>
            </w:r>
          </w:p>
          <w:p w14:paraId="74B8DE8C" w14:textId="77777777" w:rsidR="00164E23" w:rsidRPr="00777292" w:rsidRDefault="00164E23" w:rsidP="00640533">
            <w:pPr>
              <w:jc w:val="both"/>
              <w:rPr>
                <w:rFonts w:ascii="Verdana" w:eastAsia="Calibri" w:hAnsi="Verdana" w:cs="Arial"/>
                <w:b/>
                <w:bCs/>
                <w:lang w:eastAsia="es-ES"/>
              </w:rPr>
            </w:pPr>
          </w:p>
        </w:tc>
      </w:tr>
      <w:tr w:rsidR="00164E23" w:rsidRPr="00777292" w14:paraId="238CA5CF" w14:textId="77777777" w:rsidTr="00640533">
        <w:trPr>
          <w:trHeight w:val="884"/>
        </w:trPr>
        <w:tc>
          <w:tcPr>
            <w:tcW w:w="2689" w:type="dxa"/>
          </w:tcPr>
          <w:p w14:paraId="4470B7AA" w14:textId="77777777" w:rsidR="00164E23" w:rsidRPr="00777292" w:rsidRDefault="00164E23" w:rsidP="00640533">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2D28C492" w14:textId="77777777" w:rsidR="00164E23" w:rsidRDefault="00164E23" w:rsidP="00640533">
            <w:pPr>
              <w:contextualSpacing/>
              <w:jc w:val="both"/>
              <w:rPr>
                <w:rFonts w:ascii="Verdana" w:eastAsia="Calibri" w:hAnsi="Verdana" w:cs="Arial"/>
                <w:lang w:eastAsia="es-ES"/>
              </w:rPr>
            </w:pP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 </w:t>
            </w:r>
            <w:r w:rsidRPr="00777292">
              <w:rPr>
                <w:rFonts w:ascii="Verdana" w:eastAsia="Calibri" w:hAnsi="Verdana" w:cs="Arial"/>
                <w:lang w:eastAsia="es-ES"/>
              </w:rPr>
              <w:t>DECRETO 0287 DE 2026 ‒ Sujetos del sistema ‒ Emprendimientos y empresas de personas con discapacidad ‒ Empleadores de personas con discapacidad ‒ Definición y diferenciación</w:t>
            </w:r>
            <w:r>
              <w:rPr>
                <w:rFonts w:ascii="Verdana" w:eastAsia="Calibri" w:hAnsi="Verdana" w:cs="Arial"/>
                <w:lang w:eastAsia="es-ES"/>
              </w:rPr>
              <w:t xml:space="preserve"> / </w:t>
            </w:r>
            <w:r w:rsidRPr="00777292">
              <w:rPr>
                <w:rFonts w:ascii="Verdana" w:eastAsia="Calibri" w:hAnsi="Verdana" w:cs="Arial"/>
                <w:lang w:eastAsia="es-ES"/>
              </w:rPr>
              <w:t>DECRETO 0287 DE 2026 ‒ Documentos tipo ‒ Principio de inalterabilidad ‒ Régimen de transición ‒ Actualización ‒ Colombia Compra Eficiente</w:t>
            </w:r>
            <w:r>
              <w:rPr>
                <w:rFonts w:ascii="Verdana" w:eastAsia="Calibri" w:hAnsi="Verdana" w:cs="Arial"/>
                <w:lang w:eastAsia="es-ES"/>
              </w:rPr>
              <w:t xml:space="preserve"> / </w:t>
            </w:r>
            <w:r w:rsidRPr="00777292">
              <w:rPr>
                <w:rFonts w:ascii="Verdana" w:eastAsia="Calibri" w:hAnsi="Verdana" w:cs="Arial"/>
                <w:lang w:eastAsia="es-ES"/>
              </w:rPr>
              <w:t>DECRETO 0287 DE 2026 ‒ Contratos de prestación de servicios ‒ personas con discapacidad ‒ Carácter potestativo ‒ Contratación directa</w:t>
            </w:r>
            <w:r>
              <w:rPr>
                <w:rFonts w:ascii="Verdana" w:eastAsia="Calibri" w:hAnsi="Verdana" w:cs="Arial"/>
                <w:lang w:eastAsia="es-ES"/>
              </w:rPr>
              <w:t xml:space="preserve"> / </w:t>
            </w:r>
            <w:r w:rsidRPr="00777292">
              <w:rPr>
                <w:rFonts w:ascii="Verdana" w:eastAsia="Calibri" w:hAnsi="Verdana" w:cs="Arial"/>
                <w:lang w:eastAsia="es-ES"/>
              </w:rPr>
              <w:t>DECRETO 0287 DE 2026 ‒ Vigencia ‒ Derogatoria ‒ Decreto 392 de 2018 ‒ Régimen de transición ‒ Resolución de apertura</w:t>
            </w:r>
          </w:p>
          <w:p w14:paraId="3342C502" w14:textId="77777777" w:rsidR="00164E23" w:rsidRPr="00777292" w:rsidRDefault="00164E23" w:rsidP="00640533">
            <w:pPr>
              <w:contextualSpacing/>
              <w:jc w:val="both"/>
              <w:rPr>
                <w:rFonts w:ascii="Verdana" w:eastAsia="Calibri" w:hAnsi="Verdana" w:cs="Arial"/>
                <w:lang w:eastAsia="es-ES"/>
              </w:rPr>
            </w:pPr>
          </w:p>
        </w:tc>
      </w:tr>
      <w:tr w:rsidR="00164E23" w:rsidRPr="00777292" w14:paraId="0232D961" w14:textId="77777777" w:rsidTr="00640533">
        <w:tc>
          <w:tcPr>
            <w:tcW w:w="2689" w:type="dxa"/>
          </w:tcPr>
          <w:p w14:paraId="65C1C5FF" w14:textId="77777777" w:rsidR="00164E23" w:rsidRPr="00777292" w:rsidRDefault="00164E23" w:rsidP="00640533">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55D5B2A2" w14:textId="77777777" w:rsidR="00164E23" w:rsidRPr="00777292" w:rsidRDefault="00164E23" w:rsidP="00640533">
            <w:pPr>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Pr="005D2341">
              <w:rPr>
                <w:rFonts w:ascii="Verdana" w:hAnsi="Verdana" w:cs="Segoe UI"/>
                <w:color w:val="2B2B2B"/>
                <w:shd w:val="clear" w:color="auto" w:fill="FFFFFF"/>
              </w:rPr>
              <w:t>1_2026_03_24_004040</w:t>
            </w:r>
          </w:p>
        </w:tc>
      </w:tr>
    </w:tbl>
    <w:p w14:paraId="73CA209F" w14:textId="77777777" w:rsidR="00164E23" w:rsidRPr="00206556" w:rsidRDefault="00164E23" w:rsidP="00164E23">
      <w:pPr>
        <w:tabs>
          <w:tab w:val="left" w:pos="1520"/>
        </w:tabs>
        <w:spacing w:after="0" w:line="276" w:lineRule="auto"/>
        <w:jc w:val="both"/>
        <w:rPr>
          <w:rFonts w:ascii="Verdana" w:eastAsia="Calibri" w:hAnsi="Verdana" w:cs="Arial"/>
          <w:color w:val="ED7D31" w:themeColor="accent2"/>
          <w:sz w:val="20"/>
          <w:szCs w:val="20"/>
          <w:lang w:val="es-ES" w:eastAsia="es-ES"/>
        </w:rPr>
      </w:pPr>
    </w:p>
    <w:p w14:paraId="2C52716C" w14:textId="77777777" w:rsidR="00164E23" w:rsidRPr="00206556" w:rsidRDefault="00164E23" w:rsidP="00164E23">
      <w:pPr>
        <w:spacing w:after="0" w:line="276" w:lineRule="auto"/>
        <w:jc w:val="both"/>
        <w:rPr>
          <w:rFonts w:ascii="Verdana" w:eastAsia="Calibri" w:hAnsi="Verdana" w:cs="Arial"/>
          <w:color w:val="ED7D31" w:themeColor="accent2"/>
          <w:lang w:val="es-ES" w:eastAsia="es-ES"/>
        </w:rPr>
      </w:pPr>
    </w:p>
    <w:p w14:paraId="71D5F7CD" w14:textId="77777777" w:rsidR="00164E23" w:rsidRPr="00206556" w:rsidRDefault="00164E23" w:rsidP="00164E23">
      <w:pPr>
        <w:spacing w:after="0" w:line="276" w:lineRule="auto"/>
        <w:jc w:val="both"/>
        <w:rPr>
          <w:rFonts w:ascii="Verdana" w:eastAsia="Calibri" w:hAnsi="Verdana" w:cs="Arial"/>
          <w:lang w:val="es-ES" w:eastAsia="es-ES"/>
        </w:rPr>
      </w:pPr>
      <w:r w:rsidRPr="006A7B59">
        <w:rPr>
          <w:rFonts w:ascii="Verdana" w:eastAsia="Calibri" w:hAnsi="Verdana" w:cs="Arial"/>
          <w:lang w:val="es-ES" w:eastAsia="es-ES"/>
        </w:rPr>
        <w:t>Estimada Señora Vasquez,</w:t>
      </w:r>
    </w:p>
    <w:p w14:paraId="38905CD3" w14:textId="77777777" w:rsidR="00164E23" w:rsidRPr="00206556" w:rsidRDefault="00164E23" w:rsidP="00164E23">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1545CD1E" w14:textId="77777777" w:rsidR="00164E23" w:rsidRPr="00206556" w:rsidRDefault="00164E23" w:rsidP="00164E23">
      <w:pPr>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lastRenderedPageBreak/>
        <w:t>En ejercicio de la competencia otorgada por los artículos 3, numeral 5º, y 11, numeral 8º, del Decreto Ley 4170 de 2011,</w:t>
      </w:r>
      <w:r w:rsidRPr="00206556">
        <w:rPr>
          <w:rFonts w:ascii="Verdana" w:eastAsia="Arial MT" w:hAnsi="Verdana" w:cs="Arial MT"/>
          <w:lang w:val="es-ES" w:eastAsia="es-ES"/>
        </w:rPr>
        <w:t xml:space="preserve"> </w:t>
      </w:r>
      <w:r w:rsidRPr="00206556">
        <w:rPr>
          <w:rFonts w:ascii="Verdana" w:hAnsi="Verdana" w:cs="Arial"/>
          <w:lang w:val="es-ES"/>
        </w:rPr>
        <w:t xml:space="preserve">así como lo establecido en la Resolución 469 de 2025 expedida por esta Entidad, </w:t>
      </w:r>
      <w:r w:rsidRPr="00206556">
        <w:rPr>
          <w:rFonts w:ascii="Verdana" w:eastAsia="Calibri" w:hAnsi="Verdana" w:cs="Arial"/>
          <w:lang w:val="es-ES" w:eastAsia="es-ES"/>
        </w:rPr>
        <w:t xml:space="preserve">la Agencia Nacional de Contratación Pública – Colombia Compra Eficiente– responde su solicitud de </w:t>
      </w:r>
      <w:r w:rsidRPr="00FB46F9">
        <w:rPr>
          <w:rFonts w:ascii="Verdana" w:eastAsia="Calibri" w:hAnsi="Verdana" w:cs="Arial"/>
          <w:lang w:val="es-ES" w:eastAsia="es-ES"/>
        </w:rPr>
        <w:t>consulta de fecha 24 de marzo de 2026, en</w:t>
      </w:r>
      <w:r w:rsidRPr="00206556">
        <w:rPr>
          <w:rFonts w:ascii="Verdana" w:eastAsia="Calibri" w:hAnsi="Verdana" w:cs="Arial"/>
          <w:lang w:val="es-ES" w:eastAsia="es-ES"/>
        </w:rPr>
        <w:t xml:space="preserve"> la cual manifiesta lo siguiente: </w:t>
      </w:r>
    </w:p>
    <w:p w14:paraId="31DAAFCC" w14:textId="77777777" w:rsidR="00164E23" w:rsidRDefault="00164E23" w:rsidP="00A07A6E">
      <w:pPr>
        <w:spacing w:before="120" w:after="120" w:line="276" w:lineRule="auto"/>
        <w:ind w:right="709"/>
        <w:contextualSpacing/>
        <w:jc w:val="both"/>
        <w:rPr>
          <w:rFonts w:ascii="Verdana" w:eastAsia="Century Gothic" w:hAnsi="Verdana" w:cs="Century Gothic"/>
          <w:i/>
          <w:iCs/>
          <w:sz w:val="20"/>
          <w:szCs w:val="20"/>
          <w:lang w:val="es-ES"/>
        </w:rPr>
      </w:pPr>
    </w:p>
    <w:p w14:paraId="2D96EBEB" w14:textId="6903EE6F" w:rsidR="00164E23" w:rsidRPr="00A07A6E" w:rsidRDefault="00E1440E" w:rsidP="00A07A6E">
      <w:pPr>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00164E23" w:rsidRPr="00A07A6E">
        <w:rPr>
          <w:rFonts w:ascii="Verdana" w:eastAsia="Century Gothic" w:hAnsi="Verdana" w:cs="Century Gothic"/>
          <w:sz w:val="20"/>
          <w:szCs w:val="20"/>
          <w:lang w:val="es-ES"/>
        </w:rPr>
        <w:t>Por medio de la presente, me permito solicitar su orientación respecto del Decreto No. 0287 de 2026, “Por el cual se modifican los artículos 2.2.1.2.4.2.6, 2.2.1.2.4.2.7 y 2.2.1.2.4.8 del Decreto 1082 de 2015, Único Reglamentario del Sector Administrativo de Planeación”, en los siguientes términos:</w:t>
      </w:r>
    </w:p>
    <w:p w14:paraId="11E562CD" w14:textId="77777777" w:rsidR="00164E23" w:rsidRPr="00A07A6E" w:rsidRDefault="00164E23" w:rsidP="00A07A6E">
      <w:pPr>
        <w:spacing w:after="0" w:line="240" w:lineRule="auto"/>
        <w:ind w:left="709" w:right="709"/>
        <w:jc w:val="both"/>
        <w:rPr>
          <w:rFonts w:ascii="Verdana" w:eastAsia="Century Gothic" w:hAnsi="Verdana" w:cs="Century Gothic"/>
          <w:sz w:val="20"/>
          <w:szCs w:val="20"/>
          <w:lang w:val="es-ES"/>
        </w:rPr>
      </w:pPr>
      <w:r w:rsidRPr="00A07A6E">
        <w:rPr>
          <w:rFonts w:ascii="Verdana" w:eastAsia="Century Gothic" w:hAnsi="Verdana" w:cs="Century Gothic"/>
          <w:sz w:val="20"/>
          <w:szCs w:val="20"/>
          <w:lang w:val="es-ES"/>
        </w:rPr>
        <w:t>1. ¿A partir de qué fecha entra en vigencia el citado decreto?</w:t>
      </w:r>
    </w:p>
    <w:p w14:paraId="280C1071" w14:textId="77777777" w:rsidR="00164E23" w:rsidRPr="00A07A6E" w:rsidRDefault="00164E23" w:rsidP="00A07A6E">
      <w:pPr>
        <w:spacing w:after="0" w:line="240" w:lineRule="auto"/>
        <w:ind w:left="709" w:right="709"/>
        <w:jc w:val="both"/>
        <w:rPr>
          <w:rFonts w:ascii="Verdana" w:eastAsia="Century Gothic" w:hAnsi="Verdana" w:cs="Century Gothic"/>
          <w:sz w:val="20"/>
          <w:szCs w:val="20"/>
          <w:lang w:val="es-ES"/>
        </w:rPr>
      </w:pPr>
      <w:r w:rsidRPr="00A07A6E">
        <w:rPr>
          <w:rFonts w:ascii="Verdana" w:eastAsia="Century Gothic" w:hAnsi="Verdana" w:cs="Century Gothic"/>
          <w:sz w:val="20"/>
          <w:szCs w:val="20"/>
          <w:lang w:val="es-ES"/>
        </w:rPr>
        <w:t>2. ¿Cuál será el procedimiento que adoptará Colombia Compra Eficiente para su implementación?</w:t>
      </w:r>
    </w:p>
    <w:p w14:paraId="71DF7AD7" w14:textId="77777777" w:rsidR="00164E23" w:rsidRPr="00A07A6E" w:rsidRDefault="00164E23" w:rsidP="00A07A6E">
      <w:pPr>
        <w:spacing w:after="0" w:line="240" w:lineRule="auto"/>
        <w:ind w:left="709" w:right="709"/>
        <w:jc w:val="both"/>
        <w:rPr>
          <w:rFonts w:ascii="Verdana" w:eastAsia="Century Gothic" w:hAnsi="Verdana" w:cs="Century Gothic"/>
          <w:sz w:val="20"/>
          <w:szCs w:val="20"/>
          <w:lang w:val="es-ES"/>
        </w:rPr>
      </w:pPr>
      <w:r w:rsidRPr="00A07A6E">
        <w:rPr>
          <w:rFonts w:ascii="Verdana" w:eastAsia="Century Gothic" w:hAnsi="Verdana" w:cs="Century Gothic"/>
          <w:sz w:val="20"/>
          <w:szCs w:val="20"/>
          <w:lang w:val="es-ES"/>
        </w:rPr>
        <w:t>3. ¿La entrada en vigencia del decreto implicará la modificación de los pliegos tipo actualmente vigentes?</w:t>
      </w:r>
    </w:p>
    <w:p w14:paraId="2578885D" w14:textId="3031A842" w:rsidR="00164E23" w:rsidRPr="00A07A6E" w:rsidRDefault="00164E23" w:rsidP="00A07A6E">
      <w:pPr>
        <w:spacing w:after="0" w:line="240" w:lineRule="auto"/>
        <w:ind w:left="709" w:right="709"/>
        <w:jc w:val="both"/>
        <w:rPr>
          <w:rFonts w:ascii="Verdana" w:eastAsia="Century Gothic" w:hAnsi="Verdana" w:cs="Century Gothic"/>
          <w:sz w:val="20"/>
          <w:szCs w:val="20"/>
        </w:rPr>
      </w:pPr>
      <w:r w:rsidRPr="00A07A6E">
        <w:rPr>
          <w:rFonts w:ascii="Verdana" w:eastAsia="Century Gothic" w:hAnsi="Verdana" w:cs="Century Gothic"/>
          <w:sz w:val="20"/>
          <w:szCs w:val="20"/>
          <w:lang w:val="es-ES"/>
        </w:rPr>
        <w:t>4. Teniendo en cuenta que el decreto modifica el artículo 2.2.1.2.4.2.7.6, estableciendo que la medida afirmativa pasa a ser potestativa, ¿debe entenderse que las entidades estatales quedan facultadas para aplicarla de manera discrecional y no obligatoria?</w:t>
      </w:r>
      <w:r w:rsidR="00E1440E">
        <w:rPr>
          <w:rFonts w:ascii="Verdana" w:eastAsia="Century Gothic" w:hAnsi="Verdana" w:cs="Century Gothic"/>
          <w:sz w:val="20"/>
          <w:szCs w:val="20"/>
          <w:lang w:val="es-ES"/>
        </w:rPr>
        <w:t>”</w:t>
      </w:r>
    </w:p>
    <w:p w14:paraId="1C140DD0" w14:textId="77777777" w:rsidR="00164E23" w:rsidRPr="00A07A6E" w:rsidRDefault="00164E23" w:rsidP="00164E23">
      <w:pPr>
        <w:spacing w:before="120" w:after="120" w:line="240" w:lineRule="auto"/>
        <w:ind w:left="709" w:right="709"/>
        <w:contextualSpacing/>
        <w:jc w:val="both"/>
        <w:rPr>
          <w:rFonts w:ascii="Verdana" w:eastAsia="Century Gothic" w:hAnsi="Verdana" w:cs="Century Gothic"/>
          <w:i/>
          <w:lang w:val="es-ES"/>
        </w:rPr>
      </w:pPr>
    </w:p>
    <w:p w14:paraId="4862969D" w14:textId="356F1E74" w:rsidR="00164E23" w:rsidRPr="00206556" w:rsidRDefault="00164E23" w:rsidP="00164E23">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4A701A">
        <w:rPr>
          <w:rFonts w:ascii="Verdana" w:eastAsia="Calibri" w:hAnsi="Verdana" w:cs="Arial"/>
          <w:lang w:val="es-ES" w:eastAsia="es-ES"/>
        </w:rPr>
        <w:t xml:space="preserve">la Agencia </w:t>
      </w:r>
      <w:r w:rsidR="00E567BE">
        <w:rPr>
          <w:rFonts w:ascii="Verdana" w:eastAsia="Calibri" w:hAnsi="Verdana" w:cs="Arial"/>
          <w:lang w:val="es-ES" w:eastAsia="es-ES"/>
        </w:rPr>
        <w:t xml:space="preserve">Nacional de Contratación Pública – </w:t>
      </w:r>
      <w:r w:rsidRPr="00206556">
        <w:rPr>
          <w:rFonts w:ascii="Verdana" w:eastAsia="Calibri" w:hAnsi="Verdana" w:cs="Arial"/>
          <w:lang w:val="es-ES" w:eastAsia="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Pr>
          <w:rFonts w:ascii="Verdana" w:hAnsi="Verdana"/>
        </w:rPr>
        <w:t>Estatuto General de Contratación Pública</w:t>
      </w:r>
      <w:r w:rsidRPr="00206556">
        <w:rPr>
          <w:rFonts w:ascii="Verdana" w:eastAsia="Calibri" w:hAnsi="Verdana" w:cs="Arial"/>
          <w:lang w:val="es-ES" w:eastAsia="es-ES"/>
        </w:rPr>
        <w:t xml:space="preserve"> 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0938EBC4" w14:textId="6AEB8BE0" w:rsidR="00164E23" w:rsidRPr="00206556" w:rsidRDefault="00164E23" w:rsidP="00164E23">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500BFE">
        <w:rPr>
          <w:rFonts w:ascii="Verdana" w:eastAsia="Calibri" w:hAnsi="Verdana" w:cs="Arial"/>
          <w:lang w:val="es-ES" w:eastAsia="es-ES"/>
        </w:rPr>
        <w:t>señala</w:t>
      </w:r>
      <w:r w:rsidR="00500BFE" w:rsidRPr="00206556">
        <w:rPr>
          <w:rFonts w:ascii="Verdana" w:eastAsia="Calibri" w:hAnsi="Verdana" w:cs="Arial"/>
          <w:lang w:val="es-ES" w:eastAsia="es-ES"/>
        </w:rPr>
        <w:t xml:space="preserve">ndo </w:t>
      </w:r>
      <w:r w:rsidR="00500BFE">
        <w:rPr>
          <w:rFonts w:ascii="Verdana" w:eastAsia="Calibri" w:hAnsi="Verdana" w:cs="Arial"/>
          <w:lang w:val="es-ES" w:eastAsia="es-ES"/>
        </w:rPr>
        <w:t>alg</w:t>
      </w:r>
      <w:r w:rsidRPr="00206556">
        <w:rPr>
          <w:rFonts w:ascii="Verdana" w:eastAsia="Calibri" w:hAnsi="Verdana" w:cs="Arial"/>
          <w:lang w:val="es-ES" w:eastAsia="es-ES"/>
        </w:rPr>
        <w:t xml:space="preserve">unas consideraciones </w:t>
      </w:r>
      <w:r w:rsidRPr="00206556">
        <w:rPr>
          <w:rFonts w:ascii="Verdana" w:eastAsia="Calibri" w:hAnsi="Verdana" w:cs="Arial"/>
          <w:lang w:val="es-ES" w:eastAsia="es-ES"/>
        </w:rPr>
        <w:lastRenderedPageBreak/>
        <w:t xml:space="preserve">sobre las normas generales relacionadas con </w:t>
      </w:r>
      <w:r w:rsidR="00A35EC3">
        <w:rPr>
          <w:rFonts w:ascii="Verdana" w:eastAsia="Calibri" w:hAnsi="Verdana" w:cs="Arial"/>
          <w:lang w:val="es-ES" w:eastAsia="es-ES"/>
        </w:rPr>
        <w:t>los</w:t>
      </w:r>
      <w:r w:rsidRPr="00206556">
        <w:rPr>
          <w:rFonts w:ascii="Verdana" w:eastAsia="Calibri" w:hAnsi="Verdana" w:cs="Arial"/>
          <w:lang w:val="es-ES" w:eastAsia="es-ES"/>
        </w:rPr>
        <w:t xml:space="preserve"> problema</w:t>
      </w:r>
      <w:r w:rsidR="00A35EC3">
        <w:rPr>
          <w:rFonts w:ascii="Verdana" w:eastAsia="Calibri" w:hAnsi="Verdana" w:cs="Arial"/>
          <w:lang w:val="es-ES" w:eastAsia="es-ES"/>
        </w:rPr>
        <w:t>s</w:t>
      </w:r>
      <w:r w:rsidRPr="00206556">
        <w:rPr>
          <w:rFonts w:ascii="Verdana" w:eastAsia="Calibri" w:hAnsi="Verdana" w:cs="Arial"/>
          <w:lang w:val="es-ES" w:eastAsia="es-ES"/>
        </w:rPr>
        <w:t xml:space="preserve"> jurídico</w:t>
      </w:r>
      <w:r w:rsidR="00A35EC3">
        <w:rPr>
          <w:rFonts w:ascii="Verdana" w:eastAsia="Calibri" w:hAnsi="Verdana" w:cs="Arial"/>
          <w:lang w:val="es-ES" w:eastAsia="es-ES"/>
        </w:rPr>
        <w:t>s</w:t>
      </w:r>
      <w:r w:rsidRPr="00206556">
        <w:rPr>
          <w:rFonts w:ascii="Verdana" w:eastAsia="Calibri" w:hAnsi="Verdana" w:cs="Arial"/>
          <w:lang w:val="es-ES" w:eastAsia="es-ES"/>
        </w:rPr>
        <w:t xml:space="preserve"> de su consulta. </w:t>
      </w:r>
    </w:p>
    <w:p w14:paraId="67B972CD" w14:textId="77777777" w:rsidR="00164E23" w:rsidRPr="00206556" w:rsidRDefault="00164E23" w:rsidP="00164E23">
      <w:pPr>
        <w:spacing w:after="0" w:line="276" w:lineRule="auto"/>
        <w:ind w:firstLine="709"/>
        <w:jc w:val="both"/>
        <w:rPr>
          <w:rFonts w:ascii="Verdana" w:eastAsia="Calibri" w:hAnsi="Verdana" w:cs="Arial"/>
          <w:lang w:val="es-ES" w:eastAsia="es-ES"/>
        </w:rPr>
      </w:pPr>
    </w:p>
    <w:p w14:paraId="50760FF1" w14:textId="77777777" w:rsidR="00164E23" w:rsidRPr="00206556" w:rsidRDefault="00164E23" w:rsidP="00164E23">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w:t>
      </w:r>
      <w:r>
        <w:rPr>
          <w:rFonts w:ascii="Verdana" w:eastAsia="Century Gothic" w:hAnsi="Verdana" w:cs="Century Gothic"/>
          <w:b/>
          <w:lang w:val="es-ES"/>
        </w:rPr>
        <w:t>s</w:t>
      </w:r>
      <w:r w:rsidRPr="00206556">
        <w:rPr>
          <w:rFonts w:ascii="Verdana" w:eastAsia="Century Gothic" w:hAnsi="Verdana" w:cs="Century Gothic"/>
          <w:b/>
          <w:lang w:val="es-ES"/>
        </w:rPr>
        <w:t xml:space="preserve"> planteado</w:t>
      </w:r>
      <w:r>
        <w:rPr>
          <w:rFonts w:ascii="Verdana" w:eastAsia="Century Gothic" w:hAnsi="Verdana" w:cs="Century Gothic"/>
          <w:b/>
          <w:lang w:val="es-ES"/>
        </w:rPr>
        <w:t>s</w:t>
      </w:r>
      <w:r w:rsidRPr="00206556">
        <w:rPr>
          <w:rFonts w:ascii="Verdana" w:eastAsia="Century Gothic" w:hAnsi="Verdana" w:cs="Century Gothic"/>
          <w:b/>
          <w:lang w:val="es-ES"/>
        </w:rPr>
        <w:t>:</w:t>
      </w:r>
    </w:p>
    <w:p w14:paraId="5C4E78D9" w14:textId="77777777" w:rsidR="00164E23" w:rsidRPr="00206556" w:rsidRDefault="00164E23" w:rsidP="00164E23">
      <w:pPr>
        <w:tabs>
          <w:tab w:val="left" w:pos="426"/>
        </w:tabs>
        <w:spacing w:after="0" w:line="276" w:lineRule="auto"/>
        <w:jc w:val="both"/>
        <w:rPr>
          <w:rFonts w:ascii="Verdana" w:eastAsia="Century Gothic" w:hAnsi="Verdana" w:cs="Century Gothic"/>
          <w:color w:val="ED7D31" w:themeColor="accent2"/>
          <w:lang w:val="es-ES"/>
        </w:rPr>
      </w:pPr>
    </w:p>
    <w:p w14:paraId="497F170A" w14:textId="78335603" w:rsidR="00164E23" w:rsidRDefault="00164E23" w:rsidP="00164E23">
      <w:p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el siguiente problema jurídico: </w:t>
      </w:r>
      <w:r w:rsidR="00853F4D">
        <w:rPr>
          <w:rFonts w:ascii="Verdana" w:eastAsia="Century Gothic" w:hAnsi="Verdana" w:cs="Century Gothic"/>
          <w:lang w:val="es-ES"/>
        </w:rPr>
        <w:t xml:space="preserve">i) </w:t>
      </w:r>
      <w:r w:rsidRPr="00206556">
        <w:rPr>
          <w:rFonts w:ascii="Verdana" w:eastAsia="Century Gothic" w:hAnsi="Verdana" w:cs="Century Gothic"/>
        </w:rPr>
        <w:t>¿</w:t>
      </w:r>
      <w:r w:rsidR="00FA214D">
        <w:rPr>
          <w:rFonts w:ascii="Verdana" w:eastAsia="Century Gothic" w:hAnsi="Verdana" w:cs="Century Gothic"/>
        </w:rPr>
        <w:t>A partir de qué momento</w:t>
      </w:r>
      <w:r>
        <w:rPr>
          <w:rFonts w:ascii="Verdana" w:eastAsia="Century Gothic" w:hAnsi="Verdana" w:cs="Century Gothic"/>
        </w:rPr>
        <w:t xml:space="preserve"> empieza a regir el Decreto 287 de 2026</w:t>
      </w:r>
      <w:r w:rsidRPr="00206556">
        <w:rPr>
          <w:rFonts w:ascii="Verdana" w:eastAsia="Century Gothic" w:hAnsi="Verdana" w:cs="Century Gothic"/>
        </w:rPr>
        <w:t>?</w:t>
      </w:r>
      <w:r w:rsidR="00853F4D">
        <w:rPr>
          <w:rFonts w:ascii="Verdana" w:eastAsia="Century Gothic" w:hAnsi="Verdana" w:cs="Century Gothic"/>
        </w:rPr>
        <w:t>, en otras palabras ¿Cuándo inicia su vigencia?</w:t>
      </w:r>
      <w:r w:rsidR="00C65393">
        <w:rPr>
          <w:rFonts w:ascii="Verdana" w:eastAsia="Century Gothic" w:hAnsi="Verdana" w:cs="Century Gothic"/>
        </w:rPr>
        <w:t xml:space="preserve">; </w:t>
      </w:r>
      <w:proofErr w:type="spellStart"/>
      <w:r w:rsidR="00C65393">
        <w:rPr>
          <w:rFonts w:ascii="Verdana" w:eastAsia="Century Gothic" w:hAnsi="Verdana" w:cs="Century Gothic"/>
        </w:rPr>
        <w:t>ii</w:t>
      </w:r>
      <w:proofErr w:type="spellEnd"/>
      <w:r w:rsidR="00C65393">
        <w:rPr>
          <w:rFonts w:ascii="Verdana" w:eastAsia="Century Gothic" w:hAnsi="Verdana" w:cs="Century Gothic"/>
        </w:rPr>
        <w:t xml:space="preserve">) </w:t>
      </w:r>
      <w:r>
        <w:rPr>
          <w:rFonts w:ascii="Verdana" w:eastAsia="Century Gothic" w:hAnsi="Verdana" w:cs="Century Gothic"/>
        </w:rPr>
        <w:t xml:space="preserve"> </w:t>
      </w:r>
      <w:r w:rsidR="000F3396" w:rsidRPr="000F3396">
        <w:rPr>
          <w:rFonts w:ascii="Verdana" w:eastAsia="Century Gothic" w:hAnsi="Verdana" w:cs="Century Gothic"/>
        </w:rPr>
        <w:t xml:space="preserve">¿La entrada en vigor del Decreto 0287 de 2026 habilita a las entidades estatales para modificar los pliegos tipo vigentes, o dichas modificaciones deben realizarse únicamente por la </w:t>
      </w:r>
      <w:r w:rsidR="00EF0F2F">
        <w:rPr>
          <w:rFonts w:ascii="Verdana" w:eastAsia="Century Gothic" w:hAnsi="Verdana" w:cs="Century Gothic"/>
        </w:rPr>
        <w:t>Agencia Nacional de Contratación Pública – Colombia Compra Eficiente</w:t>
      </w:r>
      <w:r w:rsidR="000F3396" w:rsidRPr="000F3396">
        <w:rPr>
          <w:rFonts w:ascii="Verdana" w:eastAsia="Century Gothic" w:hAnsi="Verdana" w:cs="Century Gothic"/>
        </w:rPr>
        <w:t xml:space="preserve"> conforme al principio de inalterabilidad de los documentos tipo?</w:t>
      </w:r>
      <w:r w:rsidR="00EF0F2F">
        <w:rPr>
          <w:rFonts w:ascii="Verdana" w:eastAsia="Century Gothic" w:hAnsi="Verdana" w:cs="Century Gothic"/>
        </w:rPr>
        <w:t xml:space="preserve"> </w:t>
      </w:r>
      <w:r w:rsidR="007F4846">
        <w:rPr>
          <w:rFonts w:ascii="Verdana" w:eastAsia="Century Gothic" w:hAnsi="Verdana" w:cs="Century Gothic"/>
        </w:rPr>
        <w:t xml:space="preserve">y; </w:t>
      </w:r>
      <w:proofErr w:type="spellStart"/>
      <w:r w:rsidR="00C65393">
        <w:rPr>
          <w:rFonts w:ascii="Verdana" w:eastAsia="Century Gothic" w:hAnsi="Verdana" w:cs="Century Gothic"/>
        </w:rPr>
        <w:t>i</w:t>
      </w:r>
      <w:r w:rsidR="007F4846">
        <w:rPr>
          <w:rFonts w:ascii="Verdana" w:eastAsia="Century Gothic" w:hAnsi="Verdana" w:cs="Century Gothic"/>
        </w:rPr>
        <w:t>ii</w:t>
      </w:r>
      <w:proofErr w:type="spellEnd"/>
      <w:r w:rsidR="007F4846">
        <w:rPr>
          <w:rFonts w:ascii="Verdana" w:eastAsia="Century Gothic" w:hAnsi="Verdana" w:cs="Century Gothic"/>
        </w:rPr>
        <w:t>)</w:t>
      </w:r>
      <w:r>
        <w:rPr>
          <w:rFonts w:ascii="Verdana" w:eastAsia="Century Gothic" w:hAnsi="Verdana" w:cs="Century Gothic"/>
        </w:rPr>
        <w:t xml:space="preserve"> </w:t>
      </w:r>
      <w:r w:rsidRPr="00206556">
        <w:rPr>
          <w:rFonts w:ascii="Verdana" w:eastAsia="Century Gothic" w:hAnsi="Verdana" w:cs="Century Gothic"/>
        </w:rPr>
        <w:t>¿</w:t>
      </w:r>
      <w:proofErr w:type="spellStart"/>
      <w:r w:rsidR="001803BD">
        <w:rPr>
          <w:rFonts w:ascii="Verdana" w:eastAsia="Century Gothic" w:hAnsi="Verdana" w:cs="Century Gothic"/>
        </w:rPr>
        <w:t>Cual</w:t>
      </w:r>
      <w:proofErr w:type="spellEnd"/>
      <w:r w:rsidR="001803BD">
        <w:rPr>
          <w:rFonts w:ascii="Verdana" w:eastAsia="Century Gothic" w:hAnsi="Verdana" w:cs="Century Gothic"/>
        </w:rPr>
        <w:t xml:space="preserve"> es el alcance </w:t>
      </w:r>
      <w:r w:rsidR="008B2501">
        <w:rPr>
          <w:rFonts w:ascii="Verdana" w:eastAsia="Century Gothic" w:hAnsi="Verdana" w:cs="Century Gothic"/>
        </w:rPr>
        <w:t>jurídico de</w:t>
      </w:r>
      <w:r>
        <w:rPr>
          <w:rFonts w:ascii="Verdana" w:eastAsia="Century Gothic" w:hAnsi="Verdana" w:cs="Century Gothic"/>
        </w:rPr>
        <w:t xml:space="preserve"> la contratación </w:t>
      </w:r>
      <w:r w:rsidR="008B2501">
        <w:rPr>
          <w:rFonts w:ascii="Verdana" w:eastAsia="Century Gothic" w:hAnsi="Verdana" w:cs="Century Gothic"/>
        </w:rPr>
        <w:t xml:space="preserve">mediante contratos de </w:t>
      </w:r>
      <w:r>
        <w:rPr>
          <w:rFonts w:ascii="Verdana" w:eastAsia="Century Gothic" w:hAnsi="Verdana" w:cs="Century Gothic"/>
        </w:rPr>
        <w:t>prestación de servicios de personas con discapacidad</w:t>
      </w:r>
      <w:r w:rsidR="008A7747">
        <w:rPr>
          <w:rFonts w:ascii="Verdana" w:eastAsia="Century Gothic" w:hAnsi="Verdana" w:cs="Century Gothic"/>
        </w:rPr>
        <w:t xml:space="preserve"> establecida en </w:t>
      </w:r>
      <w:r>
        <w:rPr>
          <w:rFonts w:ascii="Verdana" w:eastAsia="Century Gothic" w:hAnsi="Verdana" w:cs="Century Gothic"/>
        </w:rPr>
        <w:t>el artículo 2.2.1.2.4.2.7.6</w:t>
      </w:r>
      <w:r w:rsidR="008B2501">
        <w:rPr>
          <w:rFonts w:ascii="Verdana" w:eastAsia="Century Gothic" w:hAnsi="Verdana" w:cs="Century Gothic"/>
        </w:rPr>
        <w:t xml:space="preserve"> del Decreto 1082 de 2015, modificado por el Decreto 287 de 2026</w:t>
      </w:r>
      <w:r w:rsidRPr="00206556">
        <w:rPr>
          <w:rFonts w:ascii="Verdana" w:eastAsia="Century Gothic" w:hAnsi="Verdana" w:cs="Century Gothic"/>
        </w:rPr>
        <w:t>?</w:t>
      </w:r>
    </w:p>
    <w:p w14:paraId="2BA3BE4A" w14:textId="77777777" w:rsidR="00164E23" w:rsidRPr="00206556" w:rsidRDefault="00164E23" w:rsidP="00164E23">
      <w:pPr>
        <w:spacing w:after="0" w:line="276" w:lineRule="auto"/>
        <w:jc w:val="both"/>
        <w:rPr>
          <w:rFonts w:ascii="Verdana" w:eastAsia="Century Gothic" w:hAnsi="Verdana" w:cs="Century Gothic"/>
          <w:color w:val="ED7D31" w:themeColor="accent2"/>
        </w:rPr>
      </w:pPr>
    </w:p>
    <w:p w14:paraId="43C7E6B0" w14:textId="77777777" w:rsidR="00164E23" w:rsidRPr="00206556" w:rsidRDefault="00164E23" w:rsidP="00164E2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r>
        <w:rPr>
          <w:rFonts w:ascii="Verdana" w:eastAsia="Century Gothic" w:hAnsi="Verdana" w:cs="Century Gothic"/>
          <w:b/>
          <w:lang w:val="es-ES"/>
        </w:rPr>
        <w:t>s</w:t>
      </w:r>
      <w:r w:rsidRPr="00206556">
        <w:rPr>
          <w:rFonts w:ascii="Verdana" w:eastAsia="Century Gothic" w:hAnsi="Verdana" w:cs="Century Gothic"/>
          <w:b/>
          <w:lang w:val="es-ES"/>
        </w:rPr>
        <w:t>:</w:t>
      </w:r>
    </w:p>
    <w:p w14:paraId="66E9C48D" w14:textId="77777777" w:rsidR="00164E23" w:rsidRPr="00206556" w:rsidRDefault="00164E23" w:rsidP="00164E23">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64E23" w:rsidRPr="00206556" w14:paraId="5D3B7703" w14:textId="77777777" w:rsidTr="00640533">
        <w:tc>
          <w:tcPr>
            <w:tcW w:w="8828" w:type="dxa"/>
          </w:tcPr>
          <w:p w14:paraId="7EC298AB" w14:textId="26CA5C87" w:rsidR="00A6021A" w:rsidRDefault="00164E23" w:rsidP="00E21B1F">
            <w:pPr>
              <w:spacing w:after="120" w:line="276" w:lineRule="auto"/>
              <w:jc w:val="both"/>
              <w:rPr>
                <w:rFonts w:ascii="Verdana" w:eastAsia="Calibri" w:hAnsi="Verdana" w:cs="Arial"/>
              </w:rPr>
            </w:pPr>
            <w:r>
              <w:rPr>
                <w:rFonts w:ascii="Verdana" w:eastAsia="Calibri" w:hAnsi="Verdana" w:cs="Arial"/>
              </w:rPr>
              <w:t>i) En atención al problema jurídico planteado y respecto a la vigencia de</w:t>
            </w:r>
            <w:r w:rsidRPr="00E54F30">
              <w:rPr>
                <w:rFonts w:ascii="Verdana" w:eastAsia="Calibri" w:hAnsi="Verdana" w:cs="Arial"/>
              </w:rPr>
              <w:t>l Decreto 0287 de 2026</w:t>
            </w:r>
            <w:r>
              <w:rPr>
                <w:rFonts w:ascii="Verdana" w:eastAsia="Calibri" w:hAnsi="Verdana" w:cs="Arial"/>
              </w:rPr>
              <w:t>, es necesario indicar que este</w:t>
            </w:r>
            <w:r w:rsidRPr="00E54F30">
              <w:rPr>
                <w:rFonts w:ascii="Verdana" w:eastAsia="Calibri" w:hAnsi="Verdana" w:cs="Arial"/>
              </w:rPr>
              <w:t xml:space="preserve"> reglamenta </w:t>
            </w:r>
            <w:r>
              <w:rPr>
                <w:rFonts w:ascii="Verdana" w:eastAsia="Calibri" w:hAnsi="Verdana" w:cs="Arial"/>
              </w:rPr>
              <w:t>los numerales 1, 7 y 8</w:t>
            </w:r>
            <w:r w:rsidRPr="00E54F30">
              <w:rPr>
                <w:rFonts w:ascii="Verdana" w:eastAsia="Calibri" w:hAnsi="Verdana" w:cs="Arial"/>
              </w:rPr>
              <w:t xml:space="preserve"> </w:t>
            </w:r>
            <w:r>
              <w:rPr>
                <w:rFonts w:ascii="Verdana" w:eastAsia="Calibri" w:hAnsi="Verdana" w:cs="Arial"/>
              </w:rPr>
              <w:t>d</w:t>
            </w:r>
            <w:r w:rsidRPr="00E54F30">
              <w:rPr>
                <w:rFonts w:ascii="Verdana" w:eastAsia="Calibri" w:hAnsi="Verdana" w:cs="Arial"/>
              </w:rPr>
              <w:t xml:space="preserve">el artículo 13 de la Ley </w:t>
            </w:r>
            <w:r w:rsidR="00BB06B9">
              <w:rPr>
                <w:rFonts w:ascii="Verdana" w:eastAsia="Calibri" w:hAnsi="Verdana" w:cs="Arial"/>
              </w:rPr>
              <w:t>Estatutaria</w:t>
            </w:r>
            <w:r w:rsidRPr="00E54F30">
              <w:rPr>
                <w:rFonts w:ascii="Verdana" w:eastAsia="Calibri" w:hAnsi="Verdana" w:cs="Arial"/>
              </w:rPr>
              <w:t xml:space="preserve"> 1618 de 2013, </w:t>
            </w:r>
            <w:r w:rsidR="00827E65">
              <w:rPr>
                <w:rFonts w:ascii="Verdana" w:eastAsia="Calibri" w:hAnsi="Verdana" w:cs="Arial"/>
              </w:rPr>
              <w:t>en cumplimiento de la</w:t>
            </w:r>
            <w:r w:rsidRPr="00E54F30">
              <w:rPr>
                <w:rFonts w:ascii="Verdana" w:eastAsia="Calibri" w:hAnsi="Verdana" w:cs="Arial"/>
              </w:rPr>
              <w:t xml:space="preserve"> orden </w:t>
            </w:r>
            <w:r w:rsidR="00827E65">
              <w:rPr>
                <w:rFonts w:ascii="Verdana" w:eastAsia="Calibri" w:hAnsi="Verdana" w:cs="Arial"/>
              </w:rPr>
              <w:t>impartida</w:t>
            </w:r>
            <w:r w:rsidRPr="00E54F30">
              <w:rPr>
                <w:rFonts w:ascii="Verdana" w:eastAsia="Calibri" w:hAnsi="Verdana" w:cs="Arial"/>
              </w:rPr>
              <w:t xml:space="preserve"> por el Consejo de Estado, Sección Quinta de la Sala de lo Contencioso Administrativo, mediante sentencia de acción de cumplimiento del 12 de diciembre de 2024, radicación </w:t>
            </w:r>
            <w:proofErr w:type="spellStart"/>
            <w:r>
              <w:rPr>
                <w:rFonts w:ascii="Verdana" w:eastAsia="Calibri" w:hAnsi="Verdana" w:cs="Arial"/>
              </w:rPr>
              <w:t>N</w:t>
            </w:r>
            <w:r w:rsidRPr="00E54F30">
              <w:rPr>
                <w:rFonts w:ascii="Verdana" w:eastAsia="Calibri" w:hAnsi="Verdana" w:cs="Arial"/>
              </w:rPr>
              <w:t>.°</w:t>
            </w:r>
            <w:proofErr w:type="spellEnd"/>
            <w:r>
              <w:rPr>
                <w:rFonts w:ascii="Verdana" w:eastAsia="Calibri" w:hAnsi="Verdana" w:cs="Arial"/>
              </w:rPr>
              <w:t xml:space="preserve"> </w:t>
            </w:r>
            <w:r w:rsidRPr="00E54F30">
              <w:rPr>
                <w:rFonts w:ascii="Verdana" w:eastAsia="Calibri" w:hAnsi="Verdana" w:cs="Arial"/>
              </w:rPr>
              <w:t>05001-23-33-000-2024-00847-01, con ponencia del magistrado Omar Joaquín Barreto Suárez</w:t>
            </w:r>
            <w:r w:rsidR="00827E65">
              <w:rPr>
                <w:rFonts w:ascii="Verdana" w:eastAsia="Calibri" w:hAnsi="Verdana" w:cs="Arial"/>
              </w:rPr>
              <w:t xml:space="preserve">. En desarrollo de este mandato, </w:t>
            </w:r>
            <w:r w:rsidR="00A6021A">
              <w:rPr>
                <w:rFonts w:ascii="Verdana" w:eastAsia="Calibri" w:hAnsi="Verdana" w:cs="Arial"/>
              </w:rPr>
              <w:t>el Decreto</w:t>
            </w:r>
            <w:r w:rsidRPr="00073658">
              <w:rPr>
                <w:rFonts w:ascii="Verdana" w:eastAsia="Calibri" w:hAnsi="Verdana" w:cs="Arial"/>
              </w:rPr>
              <w:t xml:space="preserve">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w:t>
            </w:r>
          </w:p>
          <w:p w14:paraId="31265487" w14:textId="3C4C6083" w:rsidR="00164E23" w:rsidRDefault="00164E23" w:rsidP="00DC2097">
            <w:pPr>
              <w:spacing w:after="120" w:line="276" w:lineRule="auto"/>
              <w:ind w:firstLine="709"/>
              <w:jc w:val="both"/>
              <w:rPr>
                <w:rFonts w:ascii="Verdana" w:eastAsia="Calibri" w:hAnsi="Verdana" w:cs="Arial"/>
              </w:rPr>
            </w:pPr>
            <w:r w:rsidRPr="00073658">
              <w:rPr>
                <w:rFonts w:ascii="Verdana" w:eastAsia="Calibri" w:hAnsi="Verdana" w:cs="Arial"/>
              </w:rPr>
              <w:t xml:space="preserve">Este sistema está compuesto por cinco </w:t>
            </w:r>
            <w:r w:rsidR="007847CE">
              <w:rPr>
                <w:rFonts w:ascii="Verdana" w:eastAsia="Calibri" w:hAnsi="Verdana" w:cs="Arial"/>
              </w:rPr>
              <w:t>(5)</w:t>
            </w:r>
            <w:r w:rsidRPr="00073658">
              <w:rPr>
                <w:rFonts w:ascii="Verdana" w:eastAsia="Calibri" w:hAnsi="Verdana" w:cs="Arial"/>
              </w:rPr>
              <w:t xml:space="preserve"> medidas</w:t>
            </w:r>
            <w:r w:rsidR="007847CE">
              <w:rPr>
                <w:rFonts w:ascii="Verdana" w:eastAsia="Calibri" w:hAnsi="Verdana" w:cs="Arial"/>
              </w:rPr>
              <w:t xml:space="preserve"> específicas, a saber</w:t>
            </w:r>
            <w:r w:rsidRPr="00073658">
              <w:rPr>
                <w:rFonts w:ascii="Verdana" w:eastAsia="Calibri" w:hAnsi="Verdana" w:cs="Arial"/>
              </w:rPr>
              <w:t xml:space="preserve">: </w:t>
            </w:r>
            <w:r w:rsidR="007847CE">
              <w:rPr>
                <w:rFonts w:ascii="Verdana" w:eastAsia="Calibri" w:hAnsi="Verdana" w:cs="Arial"/>
              </w:rPr>
              <w:t>i)</w:t>
            </w:r>
            <w:r w:rsidRPr="00073658">
              <w:rPr>
                <w:rFonts w:ascii="Verdana" w:eastAsia="Calibri" w:hAnsi="Verdana" w:cs="Arial"/>
              </w:rPr>
              <w:t xml:space="preserve"> herramientas de planeación para procesos inclusivos, </w:t>
            </w:r>
            <w:proofErr w:type="spellStart"/>
            <w:r w:rsidR="007847CE">
              <w:rPr>
                <w:rFonts w:ascii="Verdana" w:eastAsia="Calibri" w:hAnsi="Verdana" w:cs="Arial"/>
              </w:rPr>
              <w:t>ii</w:t>
            </w:r>
            <w:proofErr w:type="spellEnd"/>
            <w:r w:rsidR="007847CE">
              <w:rPr>
                <w:rFonts w:ascii="Verdana" w:eastAsia="Calibri" w:hAnsi="Verdana" w:cs="Arial"/>
              </w:rPr>
              <w:t xml:space="preserve">) </w:t>
            </w:r>
            <w:r w:rsidRPr="00073658">
              <w:rPr>
                <w:rFonts w:ascii="Verdana" w:eastAsia="Calibri" w:hAnsi="Verdana" w:cs="Arial"/>
              </w:rPr>
              <w:t xml:space="preserve">criterios habilitantes diferenciales, </w:t>
            </w:r>
            <w:proofErr w:type="spellStart"/>
            <w:r w:rsidR="006F558C">
              <w:rPr>
                <w:rFonts w:ascii="Verdana" w:eastAsia="Calibri" w:hAnsi="Verdana" w:cs="Arial"/>
              </w:rPr>
              <w:t>iii</w:t>
            </w:r>
            <w:proofErr w:type="spellEnd"/>
            <w:r w:rsidR="006F558C">
              <w:rPr>
                <w:rFonts w:ascii="Verdana" w:eastAsia="Calibri" w:hAnsi="Verdana" w:cs="Arial"/>
              </w:rPr>
              <w:t>)</w:t>
            </w:r>
            <w:r w:rsidRPr="00073658">
              <w:rPr>
                <w:rFonts w:ascii="Verdana" w:eastAsia="Calibri" w:hAnsi="Verdana" w:cs="Arial"/>
              </w:rPr>
              <w:t xml:space="preserve"> </w:t>
            </w:r>
            <w:r w:rsidR="006F558C">
              <w:rPr>
                <w:rFonts w:ascii="Verdana" w:eastAsia="Calibri" w:hAnsi="Verdana" w:cs="Arial"/>
              </w:rPr>
              <w:t xml:space="preserve">asignación de un </w:t>
            </w:r>
            <w:r w:rsidRPr="00073658">
              <w:rPr>
                <w:rFonts w:ascii="Verdana" w:eastAsia="Calibri" w:hAnsi="Verdana" w:cs="Arial"/>
              </w:rPr>
              <w:t xml:space="preserve">puntaje adicional del </w:t>
            </w:r>
            <w:r w:rsidR="005773F3">
              <w:rPr>
                <w:rFonts w:ascii="Verdana" w:eastAsia="Calibri" w:hAnsi="Verdana" w:cs="Arial"/>
              </w:rPr>
              <w:t>dos por ciento (</w:t>
            </w:r>
            <w:r w:rsidRPr="00073658">
              <w:rPr>
                <w:rFonts w:ascii="Verdana" w:eastAsia="Calibri" w:hAnsi="Verdana" w:cs="Arial"/>
              </w:rPr>
              <w:t>2%</w:t>
            </w:r>
            <w:r w:rsidR="005773F3">
              <w:rPr>
                <w:rFonts w:ascii="Verdana" w:eastAsia="Calibri" w:hAnsi="Verdana" w:cs="Arial"/>
              </w:rPr>
              <w:t>)</w:t>
            </w:r>
            <w:r w:rsidRPr="00073658">
              <w:rPr>
                <w:rFonts w:ascii="Verdana" w:eastAsia="Calibri" w:hAnsi="Verdana" w:cs="Arial"/>
              </w:rPr>
              <w:t>,</w:t>
            </w:r>
            <w:r w:rsidR="005773F3">
              <w:rPr>
                <w:rFonts w:ascii="Verdana" w:eastAsia="Calibri" w:hAnsi="Verdana" w:cs="Arial"/>
              </w:rPr>
              <w:t xml:space="preserve"> </w:t>
            </w:r>
            <w:proofErr w:type="spellStart"/>
            <w:r w:rsidR="005773F3">
              <w:rPr>
                <w:rFonts w:ascii="Verdana" w:eastAsia="Calibri" w:hAnsi="Verdana" w:cs="Arial"/>
              </w:rPr>
              <w:t>iv</w:t>
            </w:r>
            <w:proofErr w:type="spellEnd"/>
            <w:r w:rsidR="005773F3">
              <w:rPr>
                <w:rFonts w:ascii="Verdana" w:eastAsia="Calibri" w:hAnsi="Verdana" w:cs="Arial"/>
              </w:rPr>
              <w:t>) la inclusión de</w:t>
            </w:r>
            <w:r w:rsidRPr="00073658">
              <w:rPr>
                <w:rFonts w:ascii="Verdana" w:eastAsia="Calibri" w:hAnsi="Verdana" w:cs="Arial"/>
              </w:rPr>
              <w:t xml:space="preserve"> condiciones especiales de ejecución </w:t>
            </w:r>
            <w:r w:rsidR="00F86907">
              <w:rPr>
                <w:rFonts w:ascii="Verdana" w:eastAsia="Calibri" w:hAnsi="Verdana" w:cs="Arial"/>
              </w:rPr>
              <w:t xml:space="preserve">y </w:t>
            </w:r>
            <w:proofErr w:type="spellStart"/>
            <w:r w:rsidR="00F86907">
              <w:rPr>
                <w:rFonts w:ascii="Verdana" w:eastAsia="Calibri" w:hAnsi="Verdana" w:cs="Arial"/>
              </w:rPr>
              <w:t>iv</w:t>
            </w:r>
            <w:proofErr w:type="spellEnd"/>
            <w:r w:rsidR="00F86907">
              <w:rPr>
                <w:rFonts w:ascii="Verdana" w:eastAsia="Calibri" w:hAnsi="Verdana" w:cs="Arial"/>
              </w:rPr>
              <w:t>) la</w:t>
            </w:r>
            <w:r w:rsidRPr="00073658">
              <w:rPr>
                <w:rFonts w:ascii="Verdana" w:eastAsia="Calibri" w:hAnsi="Verdana" w:cs="Arial"/>
              </w:rPr>
              <w:t xml:space="preserve"> inclusión de personas con discapacidad (en adelante, PcD) en contratos de prestación de </w:t>
            </w:r>
            <w:r w:rsidRPr="00073658">
              <w:rPr>
                <w:rFonts w:ascii="Verdana" w:eastAsia="Calibri" w:hAnsi="Verdana" w:cs="Arial"/>
              </w:rPr>
              <w:lastRenderedPageBreak/>
              <w:t>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w:t>
            </w:r>
            <w:r>
              <w:rPr>
                <w:rFonts w:ascii="Verdana" w:eastAsia="Calibri" w:hAnsi="Verdana" w:cs="Arial"/>
              </w:rPr>
              <w:t>, irradiando la fase de planeación</w:t>
            </w:r>
            <w:r w:rsidR="0071236F">
              <w:rPr>
                <w:rFonts w:ascii="Verdana" w:eastAsia="Calibri" w:hAnsi="Verdana" w:cs="Arial"/>
              </w:rPr>
              <w:t>,</w:t>
            </w:r>
            <w:r>
              <w:rPr>
                <w:rFonts w:ascii="Verdana" w:eastAsia="Calibri" w:hAnsi="Verdana" w:cs="Arial"/>
              </w:rPr>
              <w:t xml:space="preserve"> ya que es allí donde la compra debe plantearse con criterios de accesibilidad</w:t>
            </w:r>
            <w:r w:rsidRPr="00073658">
              <w:rPr>
                <w:rFonts w:ascii="Verdana" w:eastAsia="Calibri" w:hAnsi="Verdana" w:cs="Arial"/>
              </w:rPr>
              <w:t>.</w:t>
            </w:r>
          </w:p>
          <w:p w14:paraId="1EAA8FDC" w14:textId="24D7E78E" w:rsidR="000B0524" w:rsidRDefault="0071236F" w:rsidP="00640533">
            <w:pPr>
              <w:spacing w:before="120" w:after="120" w:line="276" w:lineRule="auto"/>
              <w:ind w:firstLine="709"/>
              <w:jc w:val="both"/>
              <w:rPr>
                <w:rFonts w:ascii="Verdana" w:eastAsia="Calibri" w:hAnsi="Verdana" w:cs="Arial"/>
              </w:rPr>
            </w:pPr>
            <w:r>
              <w:rPr>
                <w:rFonts w:ascii="Verdana" w:eastAsia="Calibri" w:hAnsi="Verdana" w:cs="Arial"/>
              </w:rPr>
              <w:t>Ahora bien</w:t>
            </w:r>
            <w:r w:rsidR="00164E23">
              <w:rPr>
                <w:rFonts w:ascii="Verdana" w:eastAsia="Calibri" w:hAnsi="Verdana" w:cs="Arial"/>
              </w:rPr>
              <w:t xml:space="preserve">, respecto del régimen de transición para la aplicación del Decreto 287 de 2026, se debe tener en cuenta que </w:t>
            </w:r>
            <w:r w:rsidR="00942E9F">
              <w:rPr>
                <w:rFonts w:ascii="Verdana" w:eastAsia="Calibri" w:hAnsi="Verdana" w:cs="Arial"/>
              </w:rPr>
              <w:t>dicha norma</w:t>
            </w:r>
            <w:r w:rsidR="00164E23">
              <w:rPr>
                <w:rFonts w:ascii="Verdana" w:eastAsia="Calibri" w:hAnsi="Verdana" w:cs="Arial"/>
              </w:rPr>
              <w:t xml:space="preserve"> </w:t>
            </w:r>
            <w:r w:rsidR="00164E23" w:rsidRPr="00D851ED">
              <w:rPr>
                <w:rFonts w:ascii="Verdana" w:eastAsia="Calibri" w:hAnsi="Verdana" w:cs="Arial"/>
              </w:rPr>
              <w:t xml:space="preserve">se expidió el 19 de marzo de 2026 y </w:t>
            </w:r>
            <w:r w:rsidR="00133911">
              <w:rPr>
                <w:rFonts w:ascii="Verdana" w:eastAsia="Calibri" w:hAnsi="Verdana" w:cs="Arial"/>
              </w:rPr>
              <w:t>que, conforme a lo dispuesto en su artículo 2,</w:t>
            </w:r>
            <w:r w:rsidR="00164E23" w:rsidRPr="00D851ED">
              <w:rPr>
                <w:rFonts w:ascii="Verdana" w:eastAsia="Calibri" w:hAnsi="Verdana" w:cs="Arial"/>
              </w:rPr>
              <w:t xml:space="preserve"> rige a partir del día siguiente a su publicación en el Diario Oficial, </w:t>
            </w:r>
            <w:r w:rsidR="00133911">
              <w:rPr>
                <w:rFonts w:ascii="Verdana" w:eastAsia="Calibri" w:hAnsi="Verdana" w:cs="Arial"/>
              </w:rPr>
              <w:t xml:space="preserve">esto es desde </w:t>
            </w:r>
            <w:r w:rsidR="00916872">
              <w:rPr>
                <w:rFonts w:ascii="Verdana" w:eastAsia="Calibri" w:hAnsi="Verdana" w:cs="Arial"/>
              </w:rPr>
              <w:t xml:space="preserve">el 20 de marzo de 2026. </w:t>
            </w:r>
          </w:p>
          <w:p w14:paraId="268589D3" w14:textId="307905CD" w:rsidR="00164E23" w:rsidRPr="00D851ED" w:rsidRDefault="00916872" w:rsidP="00640533">
            <w:pPr>
              <w:spacing w:before="120" w:after="120" w:line="276" w:lineRule="auto"/>
              <w:ind w:firstLine="709"/>
              <w:jc w:val="both"/>
              <w:rPr>
                <w:rFonts w:ascii="Verdana" w:eastAsia="Calibri" w:hAnsi="Verdana" w:cs="Arial"/>
              </w:rPr>
            </w:pPr>
            <w:r>
              <w:rPr>
                <w:rFonts w:ascii="Verdana" w:eastAsia="Calibri" w:hAnsi="Verdana" w:cs="Arial"/>
              </w:rPr>
              <w:t xml:space="preserve">El Decreto </w:t>
            </w:r>
            <w:r w:rsidR="00164E23" w:rsidRPr="00D851ED">
              <w:rPr>
                <w:rFonts w:ascii="Verdana" w:eastAsia="Calibri" w:hAnsi="Verdana" w:cs="Arial"/>
              </w:rPr>
              <w:t>derog</w:t>
            </w:r>
            <w:r>
              <w:rPr>
                <w:rFonts w:ascii="Verdana" w:eastAsia="Calibri" w:hAnsi="Verdana" w:cs="Arial"/>
              </w:rPr>
              <w:t>ó</w:t>
            </w:r>
            <w:r w:rsidR="00164E23" w:rsidRPr="00D851ED">
              <w:rPr>
                <w:rFonts w:ascii="Verdana" w:eastAsia="Calibri" w:hAnsi="Verdana" w:cs="Arial"/>
              </w:rPr>
              <w:t xml:space="preserve">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w:t>
            </w:r>
            <w:r w:rsidR="00164E23">
              <w:rPr>
                <w:rFonts w:ascii="Verdana" w:eastAsia="Calibri" w:hAnsi="Verdana" w:cs="Arial"/>
              </w:rPr>
              <w:t>, pero lo señalado en este concepto debe entenderse de acuerdo con la nueva redacción de los artículos enlistados, y no recurrir a la antigua redacción</w:t>
            </w:r>
            <w:r w:rsidR="00164E23" w:rsidRPr="00D851ED">
              <w:rPr>
                <w:rFonts w:ascii="Verdana" w:eastAsia="Calibri" w:hAnsi="Verdana" w:cs="Arial"/>
              </w:rPr>
              <w:t>.</w:t>
            </w:r>
          </w:p>
          <w:p w14:paraId="6C0521C4" w14:textId="0E4C65A7" w:rsidR="00164E23" w:rsidRPr="00D851ED" w:rsidRDefault="00164E23" w:rsidP="00640533">
            <w:pPr>
              <w:spacing w:before="120" w:after="120" w:line="276" w:lineRule="auto"/>
              <w:ind w:firstLine="709"/>
              <w:jc w:val="both"/>
              <w:rPr>
                <w:rFonts w:ascii="Verdana" w:eastAsia="Calibri" w:hAnsi="Verdana" w:cs="Arial"/>
              </w:rPr>
            </w:pPr>
            <w:r w:rsidRPr="00D851ED">
              <w:rPr>
                <w:rFonts w:ascii="Verdana" w:eastAsia="Calibri" w:hAnsi="Verdana" w:cs="Arial"/>
              </w:rPr>
              <w:t xml:space="preserve">La aplicación del Decreto 287 de 2026 en los procesos de contratación que estén en curso depende de si estos contaban o no con resolución </w:t>
            </w:r>
            <w:r w:rsidR="00BD06BD">
              <w:rPr>
                <w:rFonts w:ascii="Verdana" w:eastAsia="Calibri" w:hAnsi="Verdana" w:cs="Arial"/>
              </w:rPr>
              <w:t xml:space="preserve">o </w:t>
            </w:r>
            <w:r w:rsidR="00DE2EE0">
              <w:rPr>
                <w:rFonts w:ascii="Verdana" w:eastAsia="Calibri" w:hAnsi="Verdana" w:cs="Arial"/>
              </w:rPr>
              <w:t>acto</w:t>
            </w:r>
            <w:r w:rsidR="00BD06BD">
              <w:rPr>
                <w:rFonts w:ascii="Verdana" w:eastAsia="Calibri" w:hAnsi="Verdana" w:cs="Arial"/>
              </w:rPr>
              <w:t xml:space="preserve"> administrativo</w:t>
            </w:r>
            <w:r w:rsidRPr="00D851ED">
              <w:rPr>
                <w:rFonts w:ascii="Verdana" w:eastAsia="Calibri" w:hAnsi="Verdana" w:cs="Arial"/>
              </w:rPr>
              <w:t xml:space="preserve"> de apertura antes del 20 de marzo de 2026</w:t>
            </w:r>
            <w:r w:rsidR="00456D3A">
              <w:rPr>
                <w:rFonts w:ascii="Verdana" w:eastAsia="Calibri" w:hAnsi="Verdana" w:cs="Arial"/>
              </w:rPr>
              <w:t xml:space="preserve">. En tal sentido, se presentan los siguientes </w:t>
            </w:r>
            <w:r w:rsidR="007171B8">
              <w:rPr>
                <w:rFonts w:ascii="Verdana" w:eastAsia="Calibri" w:hAnsi="Verdana" w:cs="Arial"/>
              </w:rPr>
              <w:t>escenarios</w:t>
            </w:r>
            <w:r w:rsidRPr="00D851ED">
              <w:rPr>
                <w:rFonts w:ascii="Verdana" w:eastAsia="Calibri" w:hAnsi="Verdana" w:cs="Arial"/>
              </w:rPr>
              <w:t xml:space="preserve">: i) </w:t>
            </w:r>
            <w:r w:rsidR="007171B8" w:rsidRPr="00A07A6E">
              <w:rPr>
                <w:rFonts w:ascii="Verdana" w:eastAsia="Calibri" w:hAnsi="Verdana" w:cs="Arial"/>
                <w:i/>
                <w:iCs/>
              </w:rPr>
              <w:t xml:space="preserve">Cuando </w:t>
            </w:r>
            <w:r w:rsidR="007171B8">
              <w:rPr>
                <w:rFonts w:ascii="Verdana" w:eastAsia="Calibri" w:hAnsi="Verdana" w:cs="Arial"/>
                <w:i/>
                <w:iCs/>
              </w:rPr>
              <w:t>l</w:t>
            </w:r>
            <w:r w:rsidRPr="00A07A6E">
              <w:rPr>
                <w:rFonts w:ascii="Verdana" w:eastAsia="Calibri" w:hAnsi="Verdana" w:cs="Arial"/>
                <w:i/>
              </w:rPr>
              <w:t>a resolución de apertura fue expedida el 19 de marzo de 2026 o antes de esta fecha</w:t>
            </w:r>
            <w:r>
              <w:rPr>
                <w:rFonts w:ascii="Verdana" w:eastAsia="Calibri" w:hAnsi="Verdana" w:cs="Arial"/>
                <w:i/>
              </w:rPr>
              <w:t xml:space="preserve">, </w:t>
            </w:r>
            <w:r w:rsidRPr="00D851ED">
              <w:rPr>
                <w:rFonts w:ascii="Verdana" w:eastAsia="Calibri" w:hAnsi="Verdana" w:cs="Arial"/>
              </w:rPr>
              <w:t>en este caso el proceso continúa con las reglas originales</w:t>
            </w:r>
            <w:r w:rsidR="00B73555">
              <w:rPr>
                <w:rFonts w:ascii="Verdana" w:eastAsia="Calibri" w:hAnsi="Verdana" w:cs="Arial"/>
              </w:rPr>
              <w:t>, vigentes al momento de su apertura,</w:t>
            </w:r>
            <w:r w:rsidRPr="00D851ED">
              <w:rPr>
                <w:rFonts w:ascii="Verdana" w:eastAsia="Calibri" w:hAnsi="Verdana" w:cs="Arial"/>
              </w:rPr>
              <w:t xml:space="preserve"> sin aplicar el Decreto 287 de 2026</w:t>
            </w:r>
            <w:r w:rsidR="00B73555">
              <w:rPr>
                <w:rFonts w:ascii="Verdana" w:eastAsia="Calibri" w:hAnsi="Verdana" w:cs="Arial"/>
              </w:rPr>
              <w:t>, en atención al principio de irretroactividad de las normas</w:t>
            </w:r>
            <w:r w:rsidRPr="00D851ED">
              <w:rPr>
                <w:rFonts w:ascii="Verdana" w:eastAsia="Calibri" w:hAnsi="Verdana" w:cs="Arial"/>
              </w:rPr>
              <w:t xml:space="preserve">; y </w:t>
            </w:r>
            <w:proofErr w:type="spellStart"/>
            <w:r w:rsidRPr="00D851ED">
              <w:rPr>
                <w:rFonts w:ascii="Verdana" w:eastAsia="Calibri" w:hAnsi="Verdana" w:cs="Arial"/>
              </w:rPr>
              <w:t>ii</w:t>
            </w:r>
            <w:proofErr w:type="spellEnd"/>
            <w:r w:rsidRPr="00D851ED">
              <w:rPr>
                <w:rFonts w:ascii="Verdana" w:eastAsia="Calibri" w:hAnsi="Verdana" w:cs="Arial"/>
              </w:rPr>
              <w:t xml:space="preserve">) </w:t>
            </w:r>
            <w:r w:rsidR="00B73555" w:rsidRPr="00A07A6E">
              <w:rPr>
                <w:rFonts w:ascii="Verdana" w:eastAsia="Calibri" w:hAnsi="Verdana" w:cs="Arial"/>
                <w:i/>
                <w:iCs/>
              </w:rPr>
              <w:t>Cuando l</w:t>
            </w:r>
            <w:r w:rsidRPr="00A07A6E">
              <w:rPr>
                <w:rFonts w:ascii="Verdana" w:eastAsia="Calibri" w:hAnsi="Verdana" w:cs="Arial"/>
                <w:i/>
                <w:iCs/>
              </w:rPr>
              <w:t>a</w:t>
            </w:r>
            <w:r w:rsidRPr="00A07A6E">
              <w:rPr>
                <w:rFonts w:ascii="Verdana" w:eastAsia="Calibri" w:hAnsi="Verdana" w:cs="Arial"/>
                <w:i/>
              </w:rPr>
              <w:t xml:space="preserve"> resolución de apertura no existe, o fue expedida el 20 de marzo de 2026 o en fecha posterior</w:t>
            </w:r>
            <w:r w:rsidRPr="00D851ED">
              <w:rPr>
                <w:rFonts w:ascii="Verdana" w:eastAsia="Calibri" w:hAnsi="Verdana" w:cs="Arial"/>
              </w:rPr>
              <w:t xml:space="preserve">, </w:t>
            </w:r>
            <w:r w:rsidR="00B73555">
              <w:rPr>
                <w:rFonts w:ascii="Verdana" w:eastAsia="Calibri" w:hAnsi="Verdana" w:cs="Arial"/>
              </w:rPr>
              <w:t>la entidad</w:t>
            </w:r>
            <w:r w:rsidRPr="00D851ED">
              <w:rPr>
                <w:rFonts w:ascii="Verdana" w:eastAsia="Calibri" w:hAnsi="Verdana" w:cs="Arial"/>
              </w:rPr>
              <w:t xml:space="preserve"> debe incorporar el Decreto 287 de 2026 al proceso contractual y</w:t>
            </w:r>
            <w:r w:rsidR="00122B9A">
              <w:rPr>
                <w:rFonts w:ascii="Verdana" w:eastAsia="Calibri" w:hAnsi="Verdana" w:cs="Arial"/>
              </w:rPr>
              <w:t xml:space="preserve">, por lo tanto, </w:t>
            </w:r>
            <w:r w:rsidRPr="00D851ED">
              <w:rPr>
                <w:rFonts w:ascii="Verdana" w:eastAsia="Calibri" w:hAnsi="Verdana" w:cs="Arial"/>
              </w:rPr>
              <w:t>debe ajustar sus estudios previos y pliegos de condiciones, incluido el proyecto de pliego, para dar pleno cumplimiento al decreto antes de expedir el acto administrativo de apertura.</w:t>
            </w:r>
          </w:p>
          <w:p w14:paraId="1BED4C4C" w14:textId="2331AEBF" w:rsidR="00164E23" w:rsidRPr="00073658" w:rsidRDefault="00913C15" w:rsidP="00A07A6E">
            <w:pPr>
              <w:spacing w:before="120" w:line="276" w:lineRule="auto"/>
              <w:ind w:firstLine="709"/>
              <w:jc w:val="both"/>
              <w:rPr>
                <w:rFonts w:ascii="Verdana" w:eastAsia="Calibri" w:hAnsi="Verdana" w:cs="Arial"/>
              </w:rPr>
            </w:pPr>
            <w:r>
              <w:rPr>
                <w:rFonts w:ascii="Verdana" w:eastAsia="Calibri" w:hAnsi="Verdana" w:cs="Arial"/>
              </w:rPr>
              <w:t xml:space="preserve">Finalmente, </w:t>
            </w:r>
            <w:r w:rsidR="009534FC">
              <w:rPr>
                <w:rFonts w:ascii="Verdana" w:eastAsia="Calibri" w:hAnsi="Verdana" w:cs="Arial"/>
              </w:rPr>
              <w:t>tratándose de</w:t>
            </w:r>
            <w:r w:rsidR="00164E23" w:rsidRPr="00D851ED">
              <w:rPr>
                <w:rFonts w:ascii="Verdana" w:eastAsia="Calibri" w:hAnsi="Verdana" w:cs="Arial"/>
              </w:rPr>
              <w:t xml:space="preserve"> procesos de contratación con proyecto de pliego </w:t>
            </w:r>
            <w:r w:rsidR="00C929BC" w:rsidRPr="00D851ED">
              <w:rPr>
                <w:rFonts w:ascii="Verdana" w:eastAsia="Calibri" w:hAnsi="Verdana" w:cs="Arial"/>
              </w:rPr>
              <w:t>publicado,</w:t>
            </w:r>
            <w:r w:rsidR="00164E23" w:rsidRPr="00D851ED">
              <w:rPr>
                <w:rFonts w:ascii="Verdana" w:eastAsia="Calibri" w:hAnsi="Verdana" w:cs="Arial"/>
              </w:rPr>
              <w:t xml:space="preserve"> pero sin </w:t>
            </w:r>
            <w:r w:rsidR="009534FC">
              <w:rPr>
                <w:rFonts w:ascii="Verdana" w:eastAsia="Calibri" w:hAnsi="Verdana" w:cs="Arial"/>
              </w:rPr>
              <w:t>que se hubiese publicado el acto administrativo de</w:t>
            </w:r>
            <w:r w:rsidR="00164E23" w:rsidRPr="00D851ED">
              <w:rPr>
                <w:rFonts w:ascii="Verdana" w:eastAsia="Calibri" w:hAnsi="Verdana" w:cs="Arial"/>
              </w:rPr>
              <w:t xml:space="preserve"> apertura al 19 de marzo de 2026, se recomienda que se incorporen las </w:t>
            </w:r>
            <w:r w:rsidR="00164E23" w:rsidRPr="00D851ED">
              <w:rPr>
                <w:rFonts w:ascii="Verdana" w:eastAsia="Calibri" w:hAnsi="Verdana" w:cs="Arial"/>
              </w:rPr>
              <w:lastRenderedPageBreak/>
              <w:t>medidas del Decreto 287 de 2026 antes de publicar los pliegos definitivos. En esa etapa aún es posible realizar ajustes sin afectar derechos adquiridos de los proponentes</w:t>
            </w:r>
            <w:r w:rsidR="00164E23">
              <w:rPr>
                <w:rFonts w:ascii="Verdana" w:eastAsia="Calibri" w:hAnsi="Verdana" w:cs="Arial"/>
              </w:rPr>
              <w:t>.</w:t>
            </w:r>
          </w:p>
          <w:p w14:paraId="13152445" w14:textId="77777777" w:rsidR="00A612CD" w:rsidRDefault="00A612CD" w:rsidP="00A07A6E">
            <w:pPr>
              <w:spacing w:line="276" w:lineRule="auto"/>
              <w:jc w:val="both"/>
              <w:rPr>
                <w:rFonts w:ascii="Verdana" w:eastAsia="Calibri" w:hAnsi="Verdana" w:cs="Arial"/>
              </w:rPr>
            </w:pPr>
          </w:p>
          <w:p w14:paraId="7994CF41" w14:textId="501D27AB" w:rsidR="00164E23" w:rsidRDefault="00A612CD" w:rsidP="00D65302">
            <w:pPr>
              <w:spacing w:line="276" w:lineRule="auto"/>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xml:space="preserve">) </w:t>
            </w:r>
            <w:r w:rsidR="00164E23" w:rsidRPr="00E55CFA">
              <w:rPr>
                <w:rFonts w:ascii="Verdana" w:eastAsia="Calibri" w:hAnsi="Verdana" w:cs="Arial"/>
              </w:rPr>
              <w:t xml:space="preserve">En cuanto a los documentos tipo, el artículo 2.2.1.2.4.2.7.8. del Decreto 0287 de 2026 dispone que </w:t>
            </w:r>
            <w:r w:rsidR="00D65302">
              <w:rPr>
                <w:rFonts w:ascii="Verdana" w:eastAsia="Calibri" w:hAnsi="Verdana" w:cs="Arial"/>
              </w:rPr>
              <w:t xml:space="preserve">la Agencia Nacional de Contratación Pública - </w:t>
            </w:r>
            <w:r w:rsidR="00164E23" w:rsidRPr="00E55CFA">
              <w:rPr>
                <w:rFonts w:ascii="Verdana" w:eastAsia="Calibri" w:hAnsi="Verdana" w:cs="Arial"/>
              </w:rPr>
              <w:t>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w:t>
            </w:r>
            <w:r w:rsidR="00164E23">
              <w:rPr>
                <w:rFonts w:ascii="Verdana" w:eastAsia="Calibri" w:hAnsi="Verdana" w:cs="Arial"/>
              </w:rPr>
              <w:t xml:space="preserve"> </w:t>
            </w:r>
          </w:p>
          <w:p w14:paraId="4BD7EBE5" w14:textId="77777777" w:rsidR="00D65302" w:rsidRDefault="00D65302" w:rsidP="00A07A6E">
            <w:pPr>
              <w:spacing w:line="276" w:lineRule="auto"/>
              <w:jc w:val="both"/>
              <w:rPr>
                <w:rFonts w:ascii="Verdana" w:eastAsia="Calibri" w:hAnsi="Verdana" w:cs="Arial"/>
              </w:rPr>
            </w:pPr>
          </w:p>
          <w:p w14:paraId="5CDFF409" w14:textId="10F4B2D9" w:rsidR="00164E23" w:rsidRDefault="00C929BC" w:rsidP="00A07A6E">
            <w:pPr>
              <w:spacing w:after="120" w:line="276" w:lineRule="auto"/>
              <w:jc w:val="both"/>
              <w:rPr>
                <w:rFonts w:ascii="Verdana" w:eastAsia="Calibri" w:hAnsi="Verdana" w:cs="Arial"/>
              </w:rPr>
            </w:pPr>
            <w:proofErr w:type="spellStart"/>
            <w:r>
              <w:rPr>
                <w:rFonts w:ascii="Verdana" w:eastAsia="Calibri" w:hAnsi="Verdana" w:cs="Arial"/>
              </w:rPr>
              <w:t>i</w:t>
            </w:r>
            <w:r w:rsidR="00164E23">
              <w:rPr>
                <w:rFonts w:ascii="Verdana" w:eastAsia="Calibri" w:hAnsi="Verdana" w:cs="Arial"/>
              </w:rPr>
              <w:t>ii</w:t>
            </w:r>
            <w:proofErr w:type="spellEnd"/>
            <w:r w:rsidR="00164E23">
              <w:rPr>
                <w:rFonts w:ascii="Verdana" w:eastAsia="Calibri" w:hAnsi="Verdana" w:cs="Arial"/>
              </w:rPr>
              <w:t>) Sobre l</w:t>
            </w:r>
            <w:r w:rsidR="00164E23" w:rsidRPr="00073658">
              <w:rPr>
                <w:rFonts w:ascii="Verdana" w:eastAsia="Calibri" w:hAnsi="Verdana" w:cs="Arial"/>
              </w:rPr>
              <w:t>a contratación de PcD a través de contratos de prestación de servicios profesionales y/o de apoyo a la gestión</w:t>
            </w:r>
            <w:r w:rsidR="00164E23">
              <w:rPr>
                <w:rFonts w:ascii="Verdana" w:eastAsia="Calibri" w:hAnsi="Verdana" w:cs="Arial"/>
              </w:rPr>
              <w:t>, esta</w:t>
            </w:r>
            <w:r w:rsidR="00164E23" w:rsidRPr="00073658">
              <w:rPr>
                <w:rFonts w:ascii="Verdana" w:eastAsia="Calibri" w:hAnsi="Verdana" w:cs="Arial"/>
              </w:rPr>
              <w:t xml:space="preserve"> es potestativa y no obligatoria. El artículo 2.2.1.2.4.2.7.6. del Decreto 0287 de 2026 utiliza el verbo "propenderán" para referirse a esta medida, lo que en técnica legislativa colombiana implica un mandato de medios y no de resultado, condicionado expresamente a la planeación institucional, la disponibilidad presupuestal y las necesidades del servicio. No obstante</w:t>
            </w:r>
            <w:r w:rsidR="00164E23" w:rsidRPr="00206556">
              <w:rPr>
                <w:rFonts w:ascii="Verdana" w:eastAsia="Calibri" w:hAnsi="Verdana" w:cs="Arial"/>
              </w:rPr>
              <w:t>,</w:t>
            </w:r>
            <w:r w:rsidR="00164E23" w:rsidRPr="00073658">
              <w:rPr>
                <w:rFonts w:ascii="Verdana" w:eastAsia="Calibri" w:hAnsi="Verdana" w:cs="Arial"/>
              </w:rPr>
              <w:t xml:space="preserve"> su carácter voluntario, esta medida tiene un sustento cuantitativo de enorme relevancia: en el año 2024 se celebraron 747.942 contratos de prestación de servicios por un valor de $16 billones de pesos, universo que representa una oportunidad concreta y progresiva de inclusión laboral de las PcD en el Estado.</w:t>
            </w:r>
          </w:p>
          <w:p w14:paraId="16A1EE30" w14:textId="77777777" w:rsidR="00164E23" w:rsidRPr="00670CFB" w:rsidRDefault="00164E23" w:rsidP="00640533">
            <w:pPr>
              <w:spacing w:before="120" w:after="120" w:line="276" w:lineRule="auto"/>
              <w:ind w:firstLine="709"/>
              <w:jc w:val="both"/>
              <w:rPr>
                <w:rFonts w:ascii="Verdana" w:eastAsia="Calibri" w:hAnsi="Verdana" w:cs="Arial"/>
              </w:rPr>
            </w:pPr>
            <w:r>
              <w:rPr>
                <w:rFonts w:ascii="Verdana" w:eastAsia="Calibri" w:hAnsi="Verdana" w:cs="Arial"/>
              </w:rPr>
              <w:t xml:space="preserve">Finalmente, </w:t>
            </w:r>
            <w:r w:rsidRPr="00206556">
              <w:rPr>
                <w:rFonts w:ascii="Verdana" w:eastAsia="Calibri" w:hAnsi="Verdana" w:cs="Arial"/>
                <w:lang w:val="es-ES" w:eastAsia="es-ES"/>
              </w:rPr>
              <w:t>la Agencia Nacional de Contratación Pública – Colombia Compra Eficiente–</w:t>
            </w:r>
            <w:r>
              <w:rPr>
                <w:rFonts w:ascii="Verdana" w:eastAsia="Calibri" w:hAnsi="Verdana" w:cs="Arial"/>
                <w:lang w:val="es-ES" w:eastAsia="es-ES"/>
              </w:rPr>
              <w:t xml:space="preserve"> como ente rector y en su función de brindar lineamientos para los partícipes del sistema de compras y contratación pública, ha expedido el ABC del Decreto 287 de 2026 disponible en: </w:t>
            </w:r>
            <w:hyperlink r:id="rId12" w:history="1">
              <w:r w:rsidRPr="00FB7E8D">
                <w:rPr>
                  <w:rStyle w:val="Hipervnculo"/>
                  <w:rFonts w:ascii="Verdana" w:eastAsia="Calibri" w:hAnsi="Verdana" w:cs="Arial"/>
                  <w:lang w:val="es-ES" w:eastAsia="es-ES"/>
                </w:rPr>
                <w:t>https://www.colombiacompra.gov.co/archivos/infografia/abc-del-decreto-0287-de-2026-contratacion-publica-inclusiva-para-personas-con-discapacidad</w:t>
              </w:r>
            </w:hyperlink>
            <w:r>
              <w:rPr>
                <w:rFonts w:ascii="Verdana" w:eastAsia="Calibri" w:hAnsi="Verdana" w:cs="Arial"/>
                <w:lang w:val="es-ES" w:eastAsia="es-ES"/>
              </w:rPr>
              <w:t xml:space="preserve"> con el fin de apoyar su implementación, y de la misma manera próximamente se expedirá un boletín, una circular externa y se trabajará en las directrices para cumplir las funciones que el decreto le asigna a la Agencia. También, el día 30 de abril de 2026 se desarrolló el 2° foro virtual de compra pública inclusiva para personas con discapacidad “hacia un mercado público </w:t>
            </w:r>
            <w:r>
              <w:rPr>
                <w:rFonts w:ascii="Verdana" w:eastAsia="Calibri" w:hAnsi="Verdana" w:cs="Arial"/>
                <w:lang w:val="es-ES" w:eastAsia="es-ES"/>
              </w:rPr>
              <w:lastRenderedPageBreak/>
              <w:t xml:space="preserve">sin barreras” con el fin de explicar las medidas adoptadas por la nueva regulación, disponible en: </w:t>
            </w:r>
            <w:hyperlink r:id="rId13" w:history="1">
              <w:r w:rsidRPr="00FB7E8D">
                <w:rPr>
                  <w:rStyle w:val="Hipervnculo"/>
                  <w:rFonts w:ascii="Verdana" w:eastAsia="Calibri" w:hAnsi="Verdana" w:cs="Arial"/>
                  <w:lang w:val="es-ES" w:eastAsia="es-ES"/>
                </w:rPr>
                <w:t>https://www.youtube.com/live/vpxD3PlXqPI?si=49f8ghb7Iiit6Ja9</w:t>
              </w:r>
            </w:hyperlink>
            <w:r>
              <w:rPr>
                <w:rFonts w:ascii="Verdana" w:eastAsia="Calibri" w:hAnsi="Verdana" w:cs="Arial"/>
                <w:lang w:val="es-ES" w:eastAsia="es-ES"/>
              </w:rPr>
              <w:t xml:space="preserve"> </w:t>
            </w:r>
          </w:p>
        </w:tc>
      </w:tr>
    </w:tbl>
    <w:p w14:paraId="4D51842F" w14:textId="77777777" w:rsidR="00164E23" w:rsidRPr="00206556" w:rsidRDefault="00164E23" w:rsidP="00164E23">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4B48CD99" w14:textId="77777777" w:rsidR="00164E23" w:rsidRPr="00206556" w:rsidRDefault="00164E23" w:rsidP="00164E2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 respuesta:</w:t>
      </w:r>
    </w:p>
    <w:p w14:paraId="43044E35" w14:textId="77777777" w:rsidR="00164E23" w:rsidRPr="00206556" w:rsidRDefault="00164E23" w:rsidP="00164E23">
      <w:pPr>
        <w:tabs>
          <w:tab w:val="left" w:pos="142"/>
          <w:tab w:val="left" w:pos="284"/>
        </w:tabs>
        <w:spacing w:after="0" w:line="276" w:lineRule="auto"/>
        <w:jc w:val="both"/>
        <w:rPr>
          <w:rFonts w:ascii="Verdana" w:eastAsia="Century Gothic" w:hAnsi="Verdana" w:cs="Century Gothic"/>
          <w:b/>
          <w:color w:val="ED7D31" w:themeColor="accent2"/>
          <w:lang w:val="es-ES"/>
        </w:rPr>
      </w:pPr>
    </w:p>
    <w:p w14:paraId="1739291D" w14:textId="77777777" w:rsidR="00164E23" w:rsidRPr="00206556" w:rsidRDefault="00164E23" w:rsidP="00164E23">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06EAF98E" w14:textId="77777777" w:rsidR="00164E23" w:rsidRPr="00206556" w:rsidRDefault="00164E23" w:rsidP="00164E23">
      <w:pPr>
        <w:spacing w:after="0" w:line="276" w:lineRule="auto"/>
        <w:jc w:val="both"/>
        <w:rPr>
          <w:rFonts w:ascii="Verdana" w:eastAsia="Calibri" w:hAnsi="Verdana" w:cs="Arial"/>
          <w:lang w:val="es-ES"/>
        </w:rPr>
      </w:pPr>
    </w:p>
    <w:p w14:paraId="0AA4FB2A" w14:textId="4409A64F" w:rsidR="00ED72A7" w:rsidRDefault="00164E23" w:rsidP="00164E23">
      <w:pPr>
        <w:spacing w:after="120" w:line="276" w:lineRule="auto"/>
        <w:jc w:val="both"/>
        <w:rPr>
          <w:rFonts w:ascii="Verdana" w:eastAsia="Calibri" w:hAnsi="Verdana" w:cs="Arial"/>
        </w:rPr>
      </w:pPr>
      <w:r w:rsidRPr="00206556">
        <w:rPr>
          <w:rFonts w:ascii="Verdana" w:eastAsia="Calibri" w:hAnsi="Verdana" w:cs="Arial"/>
          <w:lang w:val="es-ES"/>
        </w:rPr>
        <w:t xml:space="preserve">(i) </w:t>
      </w:r>
      <w:r w:rsidRPr="00206556">
        <w:rPr>
          <w:rFonts w:ascii="Verdana" w:eastAsia="Calibri" w:hAnsi="Verdana" w:cs="Arial"/>
        </w:rPr>
        <w:t>Para resolver el problema jurídico planteado, esta Agencia considera necesario partir de</w:t>
      </w:r>
      <w:r w:rsidR="005E53B6">
        <w:rPr>
          <w:rFonts w:ascii="Verdana" w:eastAsia="Calibri" w:hAnsi="Verdana" w:cs="Arial"/>
        </w:rPr>
        <w:t xml:space="preserve">l análisis </w:t>
      </w:r>
      <w:r w:rsidRPr="00206556">
        <w:rPr>
          <w:rFonts w:ascii="Verdana" w:eastAsia="Calibri" w:hAnsi="Verdana" w:cs="Arial"/>
        </w:rPr>
        <w:t xml:space="preserve">de los antecedentes normativos que explican el origen, la finalidad y el alcance del Sistema Integral de Preferencias establecido por el Decreto 0287 de 2026, </w:t>
      </w:r>
      <w:r w:rsidR="009724CD">
        <w:rPr>
          <w:rFonts w:ascii="Verdana" w:eastAsia="Calibri" w:hAnsi="Verdana" w:cs="Arial"/>
        </w:rPr>
        <w:t xml:space="preserve">en la medida </w:t>
      </w:r>
      <w:r w:rsidR="00B157DF">
        <w:rPr>
          <w:rFonts w:ascii="Verdana" w:eastAsia="Calibri" w:hAnsi="Verdana" w:cs="Arial"/>
        </w:rPr>
        <w:t xml:space="preserve">en </w:t>
      </w:r>
      <w:r w:rsidR="009724CD">
        <w:rPr>
          <w:rFonts w:ascii="Verdana" w:eastAsia="Calibri" w:hAnsi="Verdana" w:cs="Arial"/>
        </w:rPr>
        <w:t>que</w:t>
      </w:r>
      <w:r w:rsidR="009724CD" w:rsidRPr="00206556">
        <w:rPr>
          <w:rFonts w:ascii="Verdana" w:eastAsia="Calibri" w:hAnsi="Verdana" w:cs="Arial"/>
        </w:rPr>
        <w:t xml:space="preserve"> </w:t>
      </w:r>
      <w:r w:rsidRPr="00206556">
        <w:rPr>
          <w:rFonts w:ascii="Verdana" w:eastAsia="Calibri" w:hAnsi="Verdana" w:cs="Arial"/>
        </w:rPr>
        <w:t xml:space="preserve">solo a partir de ese contexto es posible comprender las obligaciones concretas que dicho decreto impone a las entidades estatales y a los demás partícipes de la contratación pública. </w:t>
      </w:r>
    </w:p>
    <w:p w14:paraId="243250AB" w14:textId="71389623" w:rsidR="00DB55D1" w:rsidRDefault="00164E23" w:rsidP="00505D00">
      <w:pPr>
        <w:spacing w:after="120" w:line="276" w:lineRule="auto"/>
        <w:ind w:firstLine="708"/>
        <w:jc w:val="both"/>
        <w:rPr>
          <w:rFonts w:ascii="Verdana" w:eastAsia="Times New Roman" w:hAnsi="Verdana" w:cs="Times New Roman"/>
        </w:rPr>
      </w:pPr>
      <w:r w:rsidRPr="00206556">
        <w:rPr>
          <w:rFonts w:ascii="Verdana" w:eastAsia="Times New Roman" w:hAnsi="Verdana" w:cs="Times New Roman"/>
        </w:rPr>
        <w:t xml:space="preserve">El fundamento </w:t>
      </w:r>
      <w:r w:rsidR="001C3294">
        <w:rPr>
          <w:rFonts w:ascii="Verdana" w:eastAsia="Times New Roman" w:hAnsi="Verdana" w:cs="Times New Roman"/>
        </w:rPr>
        <w:t xml:space="preserve">constitucional </w:t>
      </w:r>
      <w:r w:rsidRPr="00206556">
        <w:rPr>
          <w:rFonts w:ascii="Verdana" w:eastAsia="Times New Roman" w:hAnsi="Verdana" w:cs="Times New Roman"/>
        </w:rPr>
        <w:t xml:space="preserve">del Sistema de Preferencias </w:t>
      </w:r>
      <w:r w:rsidR="00691BB4">
        <w:rPr>
          <w:rFonts w:ascii="Verdana" w:eastAsia="Times New Roman" w:hAnsi="Verdana" w:cs="Times New Roman"/>
        </w:rPr>
        <w:t>en favor de las</w:t>
      </w:r>
      <w:r w:rsidR="00691BB4" w:rsidRPr="00206556">
        <w:rPr>
          <w:rFonts w:ascii="Verdana" w:eastAsia="Times New Roman" w:hAnsi="Verdana" w:cs="Times New Roman"/>
        </w:rPr>
        <w:t xml:space="preserve"> </w:t>
      </w:r>
      <w:r w:rsidRPr="00206556">
        <w:rPr>
          <w:rFonts w:ascii="Verdana" w:eastAsia="Times New Roman" w:hAnsi="Verdana" w:cs="Times New Roman"/>
        </w:rPr>
        <w:t xml:space="preserve">PcD en la contratación pública </w:t>
      </w:r>
      <w:r w:rsidR="00157128">
        <w:rPr>
          <w:rFonts w:ascii="Verdana" w:eastAsia="Times New Roman" w:hAnsi="Verdana" w:cs="Times New Roman"/>
        </w:rPr>
        <w:t xml:space="preserve">se encuentra en </w:t>
      </w:r>
      <w:r w:rsidRPr="00206556">
        <w:rPr>
          <w:rFonts w:ascii="Verdana" w:eastAsia="Times New Roman" w:hAnsi="Verdana" w:cs="Times New Roman"/>
        </w:rPr>
        <w:t xml:space="preserve">el principio de igualdad </w:t>
      </w:r>
      <w:r w:rsidR="00C8303C">
        <w:rPr>
          <w:rFonts w:ascii="Verdana" w:eastAsia="Times New Roman" w:hAnsi="Verdana" w:cs="Times New Roman"/>
        </w:rPr>
        <w:t xml:space="preserve">material o </w:t>
      </w:r>
      <w:r w:rsidRPr="00206556">
        <w:rPr>
          <w:rFonts w:ascii="Verdana" w:eastAsia="Times New Roman" w:hAnsi="Verdana" w:cs="Times New Roman"/>
        </w:rPr>
        <w:t>real y efectiva consagrado en el artículo 13 de la Constitución Política de 1991</w:t>
      </w:r>
      <w:r w:rsidRPr="00206556">
        <w:rPr>
          <w:rStyle w:val="Refdenotaalpie"/>
          <w:rFonts w:ascii="Verdana" w:eastAsia="Times New Roman" w:hAnsi="Verdana" w:cs="Times New Roman"/>
        </w:rPr>
        <w:footnoteReference w:id="1"/>
      </w:r>
      <w:r>
        <w:rPr>
          <w:rFonts w:ascii="Verdana" w:eastAsia="Times New Roman" w:hAnsi="Verdana" w:cs="Times New Roman"/>
        </w:rPr>
        <w:t>,</w:t>
      </w:r>
      <w:r w:rsidRPr="00206556">
        <w:rPr>
          <w:rFonts w:ascii="Verdana" w:eastAsia="Times New Roman" w:hAnsi="Verdana" w:cs="Times New Roman"/>
        </w:rPr>
        <w:t xml:space="preserve"> </w:t>
      </w:r>
      <w:r w:rsidR="0018583C">
        <w:rPr>
          <w:rFonts w:ascii="Verdana" w:eastAsia="Times New Roman" w:hAnsi="Verdana" w:cs="Times New Roman"/>
        </w:rPr>
        <w:t xml:space="preserve">el cual le </w:t>
      </w:r>
      <w:r w:rsidRPr="00206556">
        <w:rPr>
          <w:rFonts w:ascii="Verdana" w:eastAsia="Times New Roman" w:hAnsi="Verdana" w:cs="Times New Roman"/>
        </w:rPr>
        <w:t xml:space="preserve">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grupos históricamente excluidos</w:t>
      </w:r>
      <w:r w:rsidR="0018583C">
        <w:rPr>
          <w:rFonts w:ascii="Verdana" w:eastAsia="Times New Roman" w:hAnsi="Verdana" w:cs="Times New Roman"/>
        </w:rPr>
        <w:t xml:space="preserve">, dirigidas a </w:t>
      </w:r>
      <w:r w:rsidR="00CE4D68">
        <w:rPr>
          <w:rFonts w:ascii="Verdana" w:eastAsia="Times New Roman" w:hAnsi="Verdana" w:cs="Times New Roman"/>
        </w:rPr>
        <w:t>corregir situaciones de discriminación estructural que los afectan</w:t>
      </w:r>
      <w:r w:rsidRPr="00206556">
        <w:rPr>
          <w:rFonts w:ascii="Verdana" w:eastAsia="Times New Roman" w:hAnsi="Verdana" w:cs="Times New Roman"/>
        </w:rPr>
        <w:t xml:space="preserve">. </w:t>
      </w:r>
      <w:r w:rsidR="00CE4D68">
        <w:rPr>
          <w:rFonts w:ascii="Verdana" w:eastAsia="Times New Roman" w:hAnsi="Verdana" w:cs="Times New Roman"/>
        </w:rPr>
        <w:t>En desarrollo de este mandato, l</w:t>
      </w:r>
      <w:r w:rsidR="00CE4D68" w:rsidRPr="00206556">
        <w:rPr>
          <w:rFonts w:ascii="Verdana" w:eastAsia="Times New Roman" w:hAnsi="Verdana" w:cs="Times New Roman"/>
        </w:rPr>
        <w:t>a</w:t>
      </w:r>
      <w:r w:rsidRPr="00206556">
        <w:rPr>
          <w:rFonts w:ascii="Verdana" w:eastAsia="Times New Roman" w:hAnsi="Verdana" w:cs="Times New Roman"/>
        </w:rPr>
        <w:t xml:space="preserve"> Corte Constitucional ha sostenido que tales medidas buscan contrarrestar los efectos de la discriminación y que el Estado puede establecer tratamientos diferenciales a favor de estos grupos en aras de lograr una igualdad real y efectiva. </w:t>
      </w:r>
    </w:p>
    <w:p w14:paraId="7F748304" w14:textId="22E4ABD6" w:rsidR="00164E23" w:rsidRPr="00A07A6E" w:rsidRDefault="00DB55D1" w:rsidP="00A07A6E">
      <w:pPr>
        <w:spacing w:after="120" w:line="276" w:lineRule="auto"/>
        <w:ind w:firstLine="708"/>
        <w:jc w:val="both"/>
        <w:rPr>
          <w:rFonts w:ascii="Verdana" w:eastAsia="Times New Roman" w:hAnsi="Verdana" w:cs="Times New Roman"/>
        </w:rPr>
      </w:pPr>
      <w:r>
        <w:rPr>
          <w:rFonts w:ascii="Verdana" w:eastAsia="Times New Roman" w:hAnsi="Verdana" w:cs="Times New Roman"/>
        </w:rPr>
        <w:t>A su vez, l</w:t>
      </w:r>
      <w:r w:rsidR="00164E23" w:rsidRPr="00206556">
        <w:rPr>
          <w:rFonts w:ascii="Verdana" w:eastAsia="Times New Roman" w:hAnsi="Verdana" w:cs="Times New Roman"/>
        </w:rPr>
        <w:t>os artículos 47 y 54 de la Carta Política refuerzan este mandato al ordenar políticas de integración social y ubicación laboral para las PcD</w:t>
      </w:r>
      <w:r w:rsidR="00164E23" w:rsidRPr="00206556">
        <w:rPr>
          <w:rStyle w:val="Refdenotaalpie"/>
          <w:rFonts w:ascii="Verdana" w:eastAsia="Times New Roman" w:hAnsi="Verdana" w:cs="Times New Roman"/>
        </w:rPr>
        <w:footnoteReference w:id="2"/>
      </w:r>
      <w:r w:rsidR="00164E23">
        <w:rPr>
          <w:rFonts w:ascii="Verdana" w:eastAsia="Times New Roman" w:hAnsi="Verdana" w:cs="Times New Roman"/>
        </w:rPr>
        <w:t>.</w:t>
      </w:r>
    </w:p>
    <w:p w14:paraId="33D326C4" w14:textId="5C0197B3" w:rsidR="00164E23" w:rsidRPr="00206556" w:rsidRDefault="00164E23" w:rsidP="00164E23">
      <w:pPr>
        <w:spacing w:after="120" w:line="276" w:lineRule="auto"/>
        <w:ind w:firstLine="708"/>
        <w:jc w:val="both"/>
        <w:rPr>
          <w:rFonts w:ascii="Verdana" w:hAnsi="Verdana"/>
        </w:rPr>
      </w:pPr>
      <w:r w:rsidRPr="00206556">
        <w:rPr>
          <w:rFonts w:ascii="Verdana" w:eastAsia="Times New Roman" w:hAnsi="Verdana" w:cs="Times New Roman"/>
        </w:rPr>
        <w:t xml:space="preserve">En el plano internacional, Colombia es Estado Parte de </w:t>
      </w:r>
      <w:r w:rsidR="00126041">
        <w:rPr>
          <w:rFonts w:ascii="Verdana" w:eastAsia="Times New Roman" w:hAnsi="Verdana" w:cs="Times New Roman"/>
        </w:rPr>
        <w:t>diversos</w:t>
      </w:r>
      <w:r w:rsidRPr="00206556">
        <w:rPr>
          <w:rFonts w:ascii="Verdana" w:eastAsia="Times New Roman" w:hAnsi="Verdana" w:cs="Times New Roman"/>
        </w:rPr>
        <w:t xml:space="preserve"> instrumentos que conforman el Bloque de Constitucionalidad en </w:t>
      </w:r>
      <w:r w:rsidR="00125336">
        <w:rPr>
          <w:rFonts w:ascii="Verdana" w:eastAsia="Times New Roman" w:hAnsi="Verdana" w:cs="Times New Roman"/>
        </w:rPr>
        <w:t>los términos</w:t>
      </w:r>
      <w:r w:rsidR="00125336" w:rsidRPr="00206556">
        <w:rPr>
          <w:rFonts w:ascii="Verdana" w:eastAsia="Times New Roman" w:hAnsi="Verdana" w:cs="Times New Roman"/>
        </w:rPr>
        <w:t xml:space="preserve"> </w:t>
      </w:r>
      <w:r w:rsidRPr="00206556">
        <w:rPr>
          <w:rFonts w:ascii="Verdana" w:eastAsia="Times New Roman" w:hAnsi="Verdana" w:cs="Times New Roman"/>
        </w:rPr>
        <w:t xml:space="preserve">del artículo 93 superior. </w:t>
      </w:r>
      <w:r w:rsidR="00125336">
        <w:rPr>
          <w:rFonts w:ascii="Verdana" w:eastAsia="Times New Roman" w:hAnsi="Verdana" w:cs="Times New Roman"/>
        </w:rPr>
        <w:t>En particular, l</w:t>
      </w:r>
      <w:r w:rsidRPr="00206556">
        <w:rPr>
          <w:rFonts w:ascii="Verdana" w:eastAsia="Times New Roman" w:hAnsi="Verdana" w:cs="Times New Roman"/>
        </w:rPr>
        <w:t xml:space="preserve">a Convención sobre los Derechos de las </w:t>
      </w:r>
      <w:r w:rsidRPr="00206556">
        <w:rPr>
          <w:rFonts w:ascii="Verdana" w:eastAsia="Times New Roman" w:hAnsi="Verdana" w:cs="Times New Roman"/>
        </w:rPr>
        <w:lastRenderedPageBreak/>
        <w:t>Personas con Discapacidad de la ONU</w:t>
      </w:r>
      <w:r w:rsidRPr="00206556">
        <w:rPr>
          <w:rStyle w:val="Refdenotaalpie"/>
          <w:rFonts w:ascii="Verdana" w:eastAsia="Times New Roman" w:hAnsi="Verdana" w:cs="Times New Roman"/>
        </w:rPr>
        <w:footnoteReference w:id="3"/>
      </w:r>
      <w:r w:rsidRPr="00206556">
        <w:rPr>
          <w:rFonts w:ascii="Verdana" w:eastAsia="Times New Roman" w:hAnsi="Verdana" w:cs="Times New Roman"/>
        </w:rPr>
        <w:t xml:space="preserve"> reconoce el derecho de las PcD a trabajar en igualdad de condiciones y exige programas de acción afirmativa. </w:t>
      </w:r>
      <w:r w:rsidR="00A6494C">
        <w:rPr>
          <w:rFonts w:ascii="Verdana" w:eastAsia="Times New Roman" w:hAnsi="Verdana" w:cs="Times New Roman"/>
        </w:rPr>
        <w:t>De igual forma, l</w:t>
      </w:r>
      <w:r w:rsidRPr="00206556">
        <w:rPr>
          <w:rFonts w:ascii="Verdana" w:eastAsia="Times New Roman" w:hAnsi="Verdana" w:cs="Times New Roman"/>
        </w:rPr>
        <w:t>a Convención Interamericana para la Eliminación de todas las Formas de Discriminación</w:t>
      </w:r>
      <w:r w:rsidRPr="00206556">
        <w:rPr>
          <w:rStyle w:val="Refdenotaalpie"/>
          <w:rFonts w:ascii="Verdana" w:eastAsia="Times New Roman" w:hAnsi="Verdana" w:cs="Times New Roman"/>
        </w:rPr>
        <w:footnoteReference w:id="4"/>
      </w:r>
      <w:r w:rsidRPr="00206556">
        <w:rPr>
          <w:rFonts w:ascii="Verdana" w:eastAsia="Times New Roman" w:hAnsi="Verdana" w:cs="Times New Roman"/>
        </w:rPr>
        <w:t xml:space="preserve"> ordena eliminar progresivamente la discriminación en la prestación de servicios, incluido el empleo. </w:t>
      </w:r>
      <w:r w:rsidR="00A6494C">
        <w:rPr>
          <w:rFonts w:ascii="Verdana" w:eastAsia="Times New Roman" w:hAnsi="Verdana" w:cs="Times New Roman"/>
        </w:rPr>
        <w:t>Finalmente, e</w:t>
      </w:r>
      <w:r w:rsidRPr="00206556">
        <w:rPr>
          <w:rFonts w:ascii="Verdana" w:eastAsia="Times New Roman" w:hAnsi="Verdana" w:cs="Times New Roman"/>
        </w:rPr>
        <w:t>l Convenio 159 de la OIT</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exige medidas orientadas a garantizar la igualdad de oportunidades de todas las categorías de PcD en materia de empleo.</w:t>
      </w:r>
    </w:p>
    <w:p w14:paraId="4682FFD9" w14:textId="7831A976" w:rsidR="00164E23" w:rsidRPr="00206556" w:rsidRDefault="00164E23" w:rsidP="00164E23">
      <w:pPr>
        <w:spacing w:after="120" w:line="276" w:lineRule="auto"/>
        <w:jc w:val="both"/>
        <w:rPr>
          <w:rFonts w:ascii="Verdana" w:hAnsi="Verdana"/>
        </w:rPr>
      </w:pPr>
      <w:r w:rsidRPr="00206556">
        <w:rPr>
          <w:rFonts w:ascii="Verdana" w:eastAsia="Times New Roman" w:hAnsi="Verdana" w:cs="Times New Roman"/>
          <w:b/>
          <w:bCs/>
        </w:rPr>
        <w:t xml:space="preserve">       </w:t>
      </w:r>
      <w:r w:rsidR="00C7016F">
        <w:rPr>
          <w:rFonts w:ascii="Verdana" w:eastAsia="Times New Roman" w:hAnsi="Verdana" w:cs="Times New Roman"/>
        </w:rPr>
        <w:t>En desarrollo de estos mandatos, con rango constitucional,</w:t>
      </w:r>
      <w:r w:rsidRPr="00206556">
        <w:rPr>
          <w:rFonts w:ascii="Verdana" w:eastAsia="Times New Roman" w:hAnsi="Verdana" w:cs="Times New Roman"/>
          <w:b/>
          <w:bCs/>
        </w:rPr>
        <w:t xml:space="preserve"> </w:t>
      </w:r>
      <w:r w:rsidR="00C7016F">
        <w:rPr>
          <w:rFonts w:ascii="Verdana" w:eastAsia="Times New Roman" w:hAnsi="Verdana" w:cs="Times New Roman"/>
        </w:rPr>
        <w:t>l</w:t>
      </w:r>
      <w:r w:rsidRPr="00206556">
        <w:rPr>
          <w:rFonts w:ascii="Verdana" w:eastAsia="Times New Roman" w:hAnsi="Verdana" w:cs="Times New Roman"/>
        </w:rPr>
        <w:t xml:space="preserve">a Ley 361 de 1997 estableció los primeros mecanismos de integración social de las PcD. Su artículo 24 introdujo una preferencia en igualdad de condiciones en licitaciones y adjudicaciones de contratos </w:t>
      </w:r>
      <w:r w:rsidR="000F7E9F">
        <w:rPr>
          <w:rFonts w:ascii="Verdana" w:eastAsia="Times New Roman" w:hAnsi="Verdana" w:cs="Times New Roman"/>
        </w:rPr>
        <w:t>estatales</w:t>
      </w:r>
      <w:r w:rsidRPr="00206556">
        <w:rPr>
          <w:rFonts w:ascii="Verdana" w:eastAsia="Times New Roman" w:hAnsi="Verdana" w:cs="Times New Roman"/>
        </w:rPr>
        <w:t xml:space="preserve"> para </w:t>
      </w:r>
      <w:r w:rsidR="000F7E9F">
        <w:rPr>
          <w:rFonts w:ascii="Verdana" w:eastAsia="Times New Roman" w:hAnsi="Verdana" w:cs="Times New Roman"/>
        </w:rPr>
        <w:t>aquel</w:t>
      </w:r>
      <w:r w:rsidRPr="00206556">
        <w:rPr>
          <w:rFonts w:ascii="Verdana" w:eastAsia="Times New Roman" w:hAnsi="Verdana" w:cs="Times New Roman"/>
        </w:rPr>
        <w:t xml:space="preserve">los empleadores que tuvieran al menos el </w:t>
      </w:r>
      <w:r w:rsidR="006D3C49">
        <w:rPr>
          <w:rFonts w:ascii="Verdana" w:eastAsia="Times New Roman" w:hAnsi="Verdana" w:cs="Times New Roman"/>
        </w:rPr>
        <w:t>diez por ciento (</w:t>
      </w:r>
      <w:r w:rsidRPr="00206556">
        <w:rPr>
          <w:rFonts w:ascii="Verdana" w:eastAsia="Times New Roman" w:hAnsi="Verdana" w:cs="Times New Roman"/>
        </w:rPr>
        <w:t>10%</w:t>
      </w:r>
      <w:r w:rsidR="006D3C49">
        <w:rPr>
          <w:rFonts w:ascii="Verdana" w:eastAsia="Times New Roman" w:hAnsi="Verdana" w:cs="Times New Roman"/>
        </w:rPr>
        <w:t>)</w:t>
      </w:r>
      <w:r w:rsidRPr="00206556">
        <w:rPr>
          <w:rFonts w:ascii="Verdana" w:eastAsia="Times New Roman" w:hAnsi="Verdana" w:cs="Times New Roman"/>
        </w:rPr>
        <w:t xml:space="preserve"> de su nómina compuesta por PcD</w:t>
      </w:r>
      <w:r w:rsidRPr="00206556">
        <w:rPr>
          <w:rStyle w:val="Refdenotaalpie"/>
          <w:rFonts w:ascii="Verdana" w:eastAsia="Times New Roman" w:hAnsi="Verdana" w:cs="Times New Roman"/>
        </w:rPr>
        <w:footnoteReference w:id="6"/>
      </w:r>
      <w:r>
        <w:rPr>
          <w:rFonts w:ascii="Verdana" w:eastAsia="Times New Roman" w:hAnsi="Verdana" w:cs="Times New Roman"/>
        </w:rPr>
        <w:t>.</w:t>
      </w:r>
      <w:r w:rsidRPr="00206556">
        <w:rPr>
          <w:rFonts w:ascii="Verdana" w:eastAsia="Times New Roman" w:hAnsi="Verdana" w:cs="Times New Roman"/>
        </w:rPr>
        <w:t xml:space="preserve"> Esta norma vinculó por primera vez la contratación pública con la inclusión laboral de las PcD, pero su alcance era limitado</w:t>
      </w:r>
      <w:r w:rsidR="00526A2A">
        <w:rPr>
          <w:rFonts w:ascii="Verdana" w:eastAsia="Times New Roman" w:hAnsi="Verdana" w:cs="Times New Roman"/>
        </w:rPr>
        <w:t xml:space="preserve"> en la medida que se trataba de</w:t>
      </w:r>
      <w:r w:rsidRPr="00206556">
        <w:rPr>
          <w:rFonts w:ascii="Verdana" w:eastAsia="Times New Roman" w:hAnsi="Verdana" w:cs="Times New Roman"/>
        </w:rPr>
        <w:t xml:space="preserve"> una preferencia residual aplicable solo en caso de empate</w:t>
      </w:r>
      <w:r w:rsidR="00335C0D">
        <w:rPr>
          <w:rFonts w:ascii="Verdana" w:eastAsia="Times New Roman" w:hAnsi="Verdana" w:cs="Times New Roman"/>
        </w:rPr>
        <w:t xml:space="preserve"> y</w:t>
      </w:r>
      <w:r w:rsidRPr="00206556">
        <w:rPr>
          <w:rFonts w:ascii="Verdana" w:eastAsia="Times New Roman" w:hAnsi="Verdana" w:cs="Times New Roman"/>
        </w:rPr>
        <w:t xml:space="preserve"> que beneficiaba únicamente a los empleadores de PcD sin considerar a las propias PcD como proponentes </w:t>
      </w:r>
      <w:r w:rsidR="00335C0D">
        <w:rPr>
          <w:rFonts w:ascii="Verdana" w:eastAsia="Times New Roman" w:hAnsi="Verdana" w:cs="Times New Roman"/>
        </w:rPr>
        <w:t xml:space="preserve">o contratistas </w:t>
      </w:r>
      <w:r w:rsidRPr="00206556">
        <w:rPr>
          <w:rFonts w:ascii="Verdana" w:eastAsia="Times New Roman" w:hAnsi="Verdana" w:cs="Times New Roman"/>
        </w:rPr>
        <w:t>directos.</w:t>
      </w:r>
    </w:p>
    <w:p w14:paraId="2A9E0F16" w14:textId="48DF2EA7" w:rsidR="00164E23" w:rsidRPr="00206556" w:rsidRDefault="00164E23" w:rsidP="00164E23">
      <w:pPr>
        <w:spacing w:after="120" w:line="276" w:lineRule="auto"/>
        <w:jc w:val="both"/>
        <w:rPr>
          <w:rFonts w:ascii="Verdana" w:hAnsi="Verdana"/>
        </w:rPr>
      </w:pPr>
      <w:r w:rsidRPr="00206556">
        <w:rPr>
          <w:rFonts w:ascii="Verdana" w:eastAsia="Times New Roman" w:hAnsi="Verdana" w:cs="Times New Roman"/>
          <w:b/>
          <w:bCs/>
        </w:rPr>
        <w:t xml:space="preserve">       </w:t>
      </w:r>
      <w:r w:rsidR="00E40AC1" w:rsidRPr="00A07A6E">
        <w:rPr>
          <w:rFonts w:ascii="Verdana" w:eastAsia="Times New Roman" w:hAnsi="Verdana" w:cs="Times New Roman"/>
        </w:rPr>
        <w:t>Posteriormente</w:t>
      </w:r>
      <w:r w:rsidR="006533ED" w:rsidRPr="00A07A6E">
        <w:rPr>
          <w:rFonts w:ascii="Verdana" w:eastAsia="Times New Roman" w:hAnsi="Verdana" w:cs="Times New Roman"/>
        </w:rPr>
        <w:t xml:space="preserve">, </w:t>
      </w:r>
      <w:r w:rsidR="006533ED" w:rsidRPr="00206556">
        <w:rPr>
          <w:rFonts w:ascii="Verdana" w:eastAsia="Times New Roman" w:hAnsi="Verdana" w:cs="Times New Roman"/>
        </w:rPr>
        <w:t>la</w:t>
      </w:r>
      <w:r w:rsidRPr="00206556">
        <w:rPr>
          <w:rFonts w:ascii="Verdana" w:eastAsia="Times New Roman" w:hAnsi="Verdana" w:cs="Times New Roman"/>
        </w:rPr>
        <w:t xml:space="preserve"> Ley Estatutaria 1618 de 2013 representó un </w:t>
      </w:r>
      <w:r w:rsidR="00CB64D7">
        <w:rPr>
          <w:rFonts w:ascii="Verdana" w:eastAsia="Times New Roman" w:hAnsi="Verdana" w:cs="Times New Roman"/>
        </w:rPr>
        <w:t xml:space="preserve">avance sustancial </w:t>
      </w:r>
      <w:r w:rsidRPr="00206556">
        <w:rPr>
          <w:rFonts w:ascii="Verdana" w:eastAsia="Times New Roman" w:hAnsi="Verdana" w:cs="Times New Roman"/>
        </w:rPr>
        <w:t>en el marco jurídico de protección de las PcD, al definir</w:t>
      </w:r>
      <w:r w:rsidR="00FE647A">
        <w:rPr>
          <w:rFonts w:ascii="Verdana" w:eastAsia="Times New Roman" w:hAnsi="Verdana" w:cs="Times New Roman"/>
        </w:rPr>
        <w:t>l</w:t>
      </w:r>
      <w:r w:rsidRPr="00206556">
        <w:rPr>
          <w:rFonts w:ascii="Verdana" w:eastAsia="Times New Roman" w:hAnsi="Verdana" w:cs="Times New Roman"/>
        </w:rPr>
        <w:t xml:space="preserve">as como </w:t>
      </w:r>
      <w:r w:rsidRPr="00206556">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206556">
        <w:rPr>
          <w:rStyle w:val="Refdenotaalpie"/>
          <w:rFonts w:ascii="Verdana" w:eastAsia="Times New Roman" w:hAnsi="Verdana" w:cs="Times New Roman"/>
          <w:i/>
          <w:iCs/>
        </w:rPr>
        <w:footnoteReference w:id="7"/>
      </w:r>
      <w:r>
        <w:rPr>
          <w:rFonts w:ascii="Verdana" w:eastAsia="Times New Roman" w:hAnsi="Verdana" w:cs="Times New Roman"/>
          <w:i/>
          <w:iCs/>
        </w:rPr>
        <w:t>.</w:t>
      </w:r>
      <w:r w:rsidRPr="00206556">
        <w:rPr>
          <w:rFonts w:ascii="Verdana" w:eastAsia="Times New Roman" w:hAnsi="Verdana" w:cs="Times New Roman"/>
        </w:rPr>
        <w:t xml:space="preserve"> </w:t>
      </w:r>
      <w:r w:rsidR="0018359A">
        <w:rPr>
          <w:rFonts w:ascii="Verdana" w:eastAsia="Times New Roman" w:hAnsi="Verdana" w:cs="Times New Roman"/>
        </w:rPr>
        <w:t>En s</w:t>
      </w:r>
      <w:r w:rsidRPr="00206556">
        <w:rPr>
          <w:rFonts w:ascii="Verdana" w:eastAsia="Times New Roman" w:hAnsi="Verdana" w:cs="Times New Roman"/>
        </w:rPr>
        <w:t xml:space="preserve">u artículo 13, </w:t>
      </w:r>
      <w:r w:rsidRPr="00206556">
        <w:rPr>
          <w:rFonts w:ascii="Verdana" w:eastAsia="Times New Roman" w:hAnsi="Verdana" w:cs="Times New Roman"/>
        </w:rPr>
        <w:lastRenderedPageBreak/>
        <w:t xml:space="preserve">numerales 1, 7 y 8, ordenó al Gobierno Nacional reglamentar: </w:t>
      </w:r>
      <w:r w:rsidR="0032703F">
        <w:rPr>
          <w:rFonts w:ascii="Verdana" w:eastAsia="Times New Roman" w:hAnsi="Verdana" w:cs="Times New Roman"/>
        </w:rPr>
        <w:t xml:space="preserve">i) </w:t>
      </w:r>
      <w:r w:rsidRPr="00206556">
        <w:rPr>
          <w:rFonts w:ascii="Verdana" w:eastAsia="Times New Roman" w:hAnsi="Verdana" w:cs="Times New Roman"/>
        </w:rPr>
        <w:t xml:space="preserve">una puntuación adicional en licitación pública, concurso de méritos y contratación directa para empresas que vinculen PcD y para empresas de PcD; </w:t>
      </w:r>
      <w:proofErr w:type="spellStart"/>
      <w:r w:rsidR="0032703F">
        <w:rPr>
          <w:rFonts w:ascii="Verdana" w:eastAsia="Times New Roman" w:hAnsi="Verdana" w:cs="Times New Roman"/>
        </w:rPr>
        <w:t>ii</w:t>
      </w:r>
      <w:proofErr w:type="spellEnd"/>
      <w:r w:rsidR="0032703F">
        <w:rPr>
          <w:rFonts w:ascii="Verdana" w:eastAsia="Times New Roman" w:hAnsi="Verdana" w:cs="Times New Roman"/>
        </w:rPr>
        <w:t>)</w:t>
      </w:r>
      <w:r w:rsidRPr="00206556">
        <w:rPr>
          <w:rFonts w:ascii="Verdana" w:eastAsia="Times New Roman" w:hAnsi="Verdana" w:cs="Times New Roman"/>
        </w:rPr>
        <w:t xml:space="preserve"> un sistema de preferencias para empleadores de PcD en la adjudicación; y </w:t>
      </w:r>
      <w:proofErr w:type="spellStart"/>
      <w:r w:rsidR="0032703F">
        <w:rPr>
          <w:rFonts w:ascii="Verdana" w:eastAsia="Times New Roman" w:hAnsi="Verdana" w:cs="Times New Roman"/>
        </w:rPr>
        <w:t>iii</w:t>
      </w:r>
      <w:proofErr w:type="spellEnd"/>
      <w:r w:rsidR="0032703F">
        <w:rPr>
          <w:rFonts w:ascii="Verdana" w:eastAsia="Times New Roman" w:hAnsi="Verdana" w:cs="Times New Roman"/>
        </w:rPr>
        <w:t xml:space="preserve">) </w:t>
      </w:r>
      <w:r w:rsidRPr="00A07A6E">
        <w:rPr>
          <w:rFonts w:ascii="Verdana" w:eastAsia="Times New Roman" w:hAnsi="Verdana" w:cs="Times New Roman"/>
          <w:i/>
        </w:rPr>
        <w:t>un sistema de preferencias en favor de las propias PcD como contratistas</w:t>
      </w:r>
      <w:r w:rsidRPr="00206556">
        <w:rPr>
          <w:rStyle w:val="Refdenotaalpie"/>
          <w:rFonts w:ascii="Verdana" w:eastAsia="Times New Roman" w:hAnsi="Verdana" w:cs="Times New Roman"/>
        </w:rPr>
        <w:footnoteReference w:id="8"/>
      </w:r>
      <w:r>
        <w:rPr>
          <w:rFonts w:ascii="Verdana" w:eastAsia="Times New Roman" w:hAnsi="Verdana" w:cs="Times New Roman"/>
        </w:rPr>
        <w:t>.</w:t>
      </w:r>
      <w:r w:rsidRPr="00206556">
        <w:rPr>
          <w:rFonts w:ascii="Verdana" w:eastAsia="Times New Roman" w:hAnsi="Verdana" w:cs="Times New Roman"/>
        </w:rPr>
        <w:t xml:space="preserve"> Este último mandato fue especialmente significativo porque introdujo el concepto de </w:t>
      </w:r>
      <w:r w:rsidRPr="00206556">
        <w:rPr>
          <w:rFonts w:ascii="Verdana" w:eastAsia="Times New Roman" w:hAnsi="Verdana" w:cs="Times New Roman"/>
          <w:i/>
          <w:iCs/>
        </w:rPr>
        <w:t>"sistema de preferencias"</w:t>
      </w:r>
      <w:r w:rsidRPr="00206556">
        <w:rPr>
          <w:rFonts w:ascii="Verdana" w:eastAsia="Times New Roman" w:hAnsi="Verdana" w:cs="Times New Roman"/>
        </w:rPr>
        <w:t>, que por definición no puede reducirse a una sola medida</w:t>
      </w:r>
      <w:r w:rsidR="007450CC">
        <w:rPr>
          <w:rFonts w:ascii="Verdana" w:eastAsia="Times New Roman" w:hAnsi="Verdana" w:cs="Times New Roman"/>
        </w:rPr>
        <w:t>,</w:t>
      </w:r>
      <w:r w:rsidRPr="00206556">
        <w:rPr>
          <w:rFonts w:ascii="Verdana" w:eastAsia="Times New Roman" w:hAnsi="Verdana" w:cs="Times New Roman"/>
        </w:rPr>
        <w:t xml:space="preserve"> sino que implica un conjunto estructurado de instrumentos que actúen en las distintas fases del proceso contractual.</w:t>
      </w:r>
    </w:p>
    <w:p w14:paraId="0CB57E03" w14:textId="65C6C5B9" w:rsidR="00164E23" w:rsidRPr="00E727F0" w:rsidRDefault="00164E23" w:rsidP="00164E23">
      <w:pPr>
        <w:spacing w:after="120" w:line="276" w:lineRule="auto"/>
        <w:ind w:firstLine="709"/>
        <w:jc w:val="both"/>
        <w:rPr>
          <w:rFonts w:ascii="Verdana" w:hAnsi="Verdana"/>
        </w:rPr>
      </w:pPr>
      <w:r w:rsidRPr="00E727F0">
        <w:rPr>
          <w:rFonts w:ascii="Verdana" w:hAnsi="Verdana"/>
        </w:rPr>
        <w:t xml:space="preserve">En cumplimiento parcial de los numerales 1 y 8 del artículo 13 de la Ley 1618 de 2013, se expidió el Decreto 392 de 2018. Sin embargo, </w:t>
      </w:r>
      <w:r w:rsidR="00773727">
        <w:rPr>
          <w:rFonts w:ascii="Verdana" w:hAnsi="Verdana"/>
        </w:rPr>
        <w:t>tal y</w:t>
      </w:r>
      <w:r w:rsidRPr="00E727F0">
        <w:rPr>
          <w:rFonts w:ascii="Verdana" w:hAnsi="Verdana"/>
        </w:rPr>
        <w:t xml:space="preserve"> como se reconoce en los considerandos del Decreto 0287 de 2026, dicha regulación presentó omisiones estructurales que frustraron la finalidad de la </w:t>
      </w:r>
      <w:r w:rsidR="00E26217" w:rsidRPr="00E727F0">
        <w:rPr>
          <w:rFonts w:ascii="Verdana" w:hAnsi="Verdana"/>
        </w:rPr>
        <w:t>Ley Estatutaria</w:t>
      </w:r>
      <w:r w:rsidR="000416B2">
        <w:rPr>
          <w:rFonts w:ascii="Verdana" w:hAnsi="Verdana"/>
        </w:rPr>
        <w:t xml:space="preserve">. En efecto, el Decreto 392 de 2018 </w:t>
      </w:r>
      <w:r w:rsidRPr="00E727F0">
        <w:rPr>
          <w:rFonts w:ascii="Verdana" w:hAnsi="Verdana"/>
        </w:rPr>
        <w:t xml:space="preserve">solo contempló el </w:t>
      </w:r>
      <w:r w:rsidR="000416B2">
        <w:rPr>
          <w:rFonts w:ascii="Verdana" w:hAnsi="Verdana"/>
        </w:rPr>
        <w:t>uno por ciento (</w:t>
      </w:r>
      <w:r w:rsidRPr="00E727F0">
        <w:rPr>
          <w:rFonts w:ascii="Verdana" w:hAnsi="Verdana"/>
        </w:rPr>
        <w:t>1%</w:t>
      </w:r>
      <w:r w:rsidR="000416B2">
        <w:rPr>
          <w:rFonts w:ascii="Verdana" w:hAnsi="Verdana"/>
        </w:rPr>
        <w:t>)</w:t>
      </w:r>
      <w:r w:rsidRPr="00E727F0">
        <w:rPr>
          <w:rFonts w:ascii="Verdana" w:hAnsi="Verdana"/>
        </w:rPr>
        <w:t xml:space="preserve"> de</w:t>
      </w:r>
      <w:r w:rsidR="00806491">
        <w:rPr>
          <w:rFonts w:ascii="Verdana" w:hAnsi="Verdana"/>
        </w:rPr>
        <w:t>l</w:t>
      </w:r>
      <w:r w:rsidRPr="00E727F0">
        <w:rPr>
          <w:rFonts w:ascii="Verdana" w:hAnsi="Verdana"/>
        </w:rPr>
        <w:t xml:space="preserve"> puntaje para empleadores de PcD, sin incluir a las empresas de PcD; redujo el "sistema de preferencias" a un único criterio de desempate; y no previó medidas en planeación, criterios habilitantes diferenciales, condiciones especiales de ejecución ni abordó la contratación directa como escenario de inclusión.</w:t>
      </w:r>
      <w:r>
        <w:rPr>
          <w:rFonts w:ascii="Verdana" w:hAnsi="Verdana"/>
        </w:rPr>
        <w:t xml:space="preserve"> </w:t>
      </w:r>
      <w:r w:rsidRPr="00A420A9">
        <w:rPr>
          <w:rFonts w:ascii="Verdana" w:hAnsi="Verdana"/>
        </w:rPr>
        <w:t xml:space="preserve">En consecuencia, desde el punto de vista sustantivo, el Decreto 392 de 2018 reglamentó el numeral 1 de manera parcial y el numeral 7, dejando sin reglamentación material el numeral 8, que era precisamente el que ordenaba el </w:t>
      </w:r>
      <w:r w:rsidR="00915175" w:rsidRPr="00A420A9">
        <w:rPr>
          <w:rFonts w:ascii="Verdana" w:hAnsi="Verdana"/>
        </w:rPr>
        <w:t>Sistema De Preferencias</w:t>
      </w:r>
      <w:r w:rsidRPr="00A420A9">
        <w:rPr>
          <w:rFonts w:ascii="Verdana" w:hAnsi="Verdana"/>
        </w:rPr>
        <w:t xml:space="preserve"> en favor de las propias PcD como contratistas.</w:t>
      </w:r>
    </w:p>
    <w:p w14:paraId="29AFE35A" w14:textId="26194440" w:rsidR="00164E23" w:rsidRPr="00A420A9" w:rsidRDefault="00164E23" w:rsidP="00164E23">
      <w:pPr>
        <w:spacing w:after="120" w:line="276" w:lineRule="auto"/>
        <w:ind w:firstLine="709"/>
        <w:jc w:val="both"/>
        <w:rPr>
          <w:rFonts w:ascii="Verdana" w:hAnsi="Verdana"/>
        </w:rPr>
      </w:pPr>
      <w:r w:rsidRPr="00A420A9">
        <w:rPr>
          <w:rFonts w:ascii="Verdana" w:hAnsi="Verdana"/>
        </w:rPr>
        <w:t xml:space="preserve">La insuficiencia del Decreto 392 de 2018 fue constatada judicialmente. La Sección Quinta del Consejo de Estado, mediante sentencia </w:t>
      </w:r>
      <w:r w:rsidR="00AA5C88">
        <w:rPr>
          <w:rFonts w:ascii="Verdana" w:hAnsi="Verdana"/>
        </w:rPr>
        <w:t xml:space="preserve">proferida </w:t>
      </w:r>
      <w:r w:rsidRPr="00A420A9">
        <w:rPr>
          <w:rFonts w:ascii="Verdana" w:hAnsi="Verdana"/>
        </w:rPr>
        <w:t>de</w:t>
      </w:r>
      <w:r w:rsidR="00AA5C88">
        <w:rPr>
          <w:rFonts w:ascii="Verdana" w:hAnsi="Verdana"/>
        </w:rPr>
        <w:t>ntro de una</w:t>
      </w:r>
      <w:r w:rsidRPr="00A420A9">
        <w:rPr>
          <w:rFonts w:ascii="Verdana" w:hAnsi="Verdana"/>
        </w:rPr>
        <w:t xml:space="preserve"> acción de cumplimiento del 12 de diciembre de 2024, radicación </w:t>
      </w:r>
      <w:proofErr w:type="spellStart"/>
      <w:r w:rsidRPr="00A420A9">
        <w:rPr>
          <w:rFonts w:ascii="Verdana" w:hAnsi="Verdana"/>
        </w:rPr>
        <w:t>n.°</w:t>
      </w:r>
      <w:proofErr w:type="spellEnd"/>
      <w:r w:rsidRPr="00A420A9">
        <w:rPr>
          <w:rFonts w:ascii="Verdana" w:hAnsi="Verdana"/>
        </w:rPr>
        <w:t xml:space="preserve"> 05001-23-33-000-2024-00847-01, M.P. Omar Joaquín Barreto Suárez, declaró el incumplimiento </w:t>
      </w:r>
      <w:r w:rsidR="00E973FF">
        <w:rPr>
          <w:rFonts w:ascii="Verdana" w:hAnsi="Verdana"/>
        </w:rPr>
        <w:t xml:space="preserve">por parte </w:t>
      </w:r>
      <w:r w:rsidRPr="00A420A9">
        <w:rPr>
          <w:rFonts w:ascii="Verdana" w:hAnsi="Verdana"/>
        </w:rPr>
        <w:t xml:space="preserve">del Gobierno Nacional del artículo 62 de la Ley 1996 de 2019, </w:t>
      </w:r>
      <w:r w:rsidR="003A1653">
        <w:rPr>
          <w:rFonts w:ascii="Verdana" w:hAnsi="Verdana"/>
        </w:rPr>
        <w:t xml:space="preserve">norma </w:t>
      </w:r>
      <w:r w:rsidRPr="00A420A9">
        <w:rPr>
          <w:rFonts w:ascii="Verdana" w:hAnsi="Verdana"/>
        </w:rPr>
        <w:t>que ordenaba reglamentar las medidas del artículo 13 de la Ley 1618 de 2013</w:t>
      </w:r>
      <w:r w:rsidR="00871029">
        <w:rPr>
          <w:rFonts w:ascii="Verdana" w:hAnsi="Verdana"/>
        </w:rPr>
        <w:t>. En dicha providencia, la Sala</w:t>
      </w:r>
      <w:r w:rsidRPr="00A420A9">
        <w:rPr>
          <w:rFonts w:ascii="Verdana" w:hAnsi="Verdana"/>
        </w:rPr>
        <w:t xml:space="preserve"> ordenó expedir los decretos reglamentarios faltantes en el término de cuatro (4) meses contados a partir de la ejecutoria de la providencia. La Sala calificó la obligación como imperativa, expresa e inobjetable, señalando que el Gobierno Nacional no contaba con </w:t>
      </w:r>
      <w:r w:rsidRPr="00A420A9">
        <w:rPr>
          <w:rFonts w:ascii="Verdana" w:hAnsi="Verdana"/>
        </w:rPr>
        <w:lastRenderedPageBreak/>
        <w:t xml:space="preserve">margen de discrecionalidad para decidir si reglamentaba o no el </w:t>
      </w:r>
      <w:r w:rsidR="00FF208E" w:rsidRPr="00A420A9">
        <w:rPr>
          <w:rFonts w:ascii="Verdana" w:hAnsi="Verdana"/>
        </w:rPr>
        <w:t>Sistema</w:t>
      </w:r>
      <w:r w:rsidRPr="00A420A9">
        <w:rPr>
          <w:rFonts w:ascii="Verdana" w:hAnsi="Verdana"/>
        </w:rPr>
        <w:t xml:space="preserve"> de </w:t>
      </w:r>
      <w:r w:rsidR="00FF208E" w:rsidRPr="00A420A9">
        <w:rPr>
          <w:rFonts w:ascii="Verdana" w:hAnsi="Verdana"/>
        </w:rPr>
        <w:t>Preferencias</w:t>
      </w:r>
      <w:r w:rsidRPr="00A420A9">
        <w:rPr>
          <w:rFonts w:ascii="Verdana" w:hAnsi="Verdana"/>
        </w:rPr>
        <w:t>.</w:t>
      </w:r>
    </w:p>
    <w:p w14:paraId="5BB1B841" w14:textId="224A0419" w:rsidR="00164E23" w:rsidRDefault="00164E23" w:rsidP="00A07A6E">
      <w:pPr>
        <w:spacing w:after="0" w:line="276" w:lineRule="auto"/>
        <w:ind w:firstLine="709"/>
        <w:jc w:val="both"/>
        <w:rPr>
          <w:rFonts w:ascii="Verdana" w:hAnsi="Verdana"/>
        </w:rPr>
      </w:pPr>
      <w:r w:rsidRPr="00E727F0">
        <w:rPr>
          <w:rFonts w:ascii="Verdana" w:hAnsi="Verdana"/>
        </w:rPr>
        <w:t>En cumplimiento de esa decisión</w:t>
      </w:r>
      <w:r w:rsidR="00494D98">
        <w:rPr>
          <w:rFonts w:ascii="Verdana" w:hAnsi="Verdana"/>
        </w:rPr>
        <w:t>,</w:t>
      </w:r>
      <w:r w:rsidRPr="00E727F0">
        <w:rPr>
          <w:rFonts w:ascii="Verdana" w:hAnsi="Verdana"/>
        </w:rPr>
        <w:t xml:space="preserve"> fue expedido el Decreto 0287 de 2026, el cual, como se indicó en la respuesta</w:t>
      </w:r>
      <w:r w:rsidR="003729CA">
        <w:rPr>
          <w:rFonts w:ascii="Verdana" w:hAnsi="Verdana"/>
        </w:rPr>
        <w:t xml:space="preserve"> del presente concepto</w:t>
      </w:r>
      <w:r w:rsidRPr="00E727F0">
        <w:rPr>
          <w:rFonts w:ascii="Verdana" w:hAnsi="Verdana"/>
        </w:rPr>
        <w:t>, establece un Sistema Integral de Preferencias compuesto por cinco medidas afirmativas que actúan en todas las fases del proceso contractual</w:t>
      </w:r>
      <w:r w:rsidR="007B4751">
        <w:rPr>
          <w:rFonts w:ascii="Verdana" w:hAnsi="Verdana"/>
        </w:rPr>
        <w:t>:</w:t>
      </w:r>
      <w:r>
        <w:rPr>
          <w:rFonts w:ascii="Verdana" w:hAnsi="Verdana"/>
        </w:rPr>
        <w:t xml:space="preserve"> </w:t>
      </w:r>
      <w:r w:rsidRPr="00E727F0">
        <w:rPr>
          <w:rFonts w:ascii="Verdana" w:hAnsi="Verdana"/>
        </w:rPr>
        <w:t>planeación, selección, adjudicación y ejecución</w:t>
      </w:r>
      <w:r w:rsidR="007B4751">
        <w:rPr>
          <w:rFonts w:ascii="Verdana" w:hAnsi="Verdana"/>
        </w:rPr>
        <w:t>. Dicho sistema se orienta a</w:t>
      </w:r>
      <w:r w:rsidRPr="00E727F0">
        <w:rPr>
          <w:rFonts w:ascii="Verdana" w:hAnsi="Verdana"/>
        </w:rPr>
        <w:t xml:space="preserve"> beneficia</w:t>
      </w:r>
      <w:r w:rsidR="007B4751">
        <w:rPr>
          <w:rFonts w:ascii="Verdana" w:hAnsi="Verdana"/>
        </w:rPr>
        <w:t>r</w:t>
      </w:r>
      <w:r w:rsidRPr="00E727F0">
        <w:rPr>
          <w:rFonts w:ascii="Verdana" w:hAnsi="Verdana"/>
        </w:rPr>
        <w:t xml:space="preserve"> a dos sujetos diferenciados: los emprendimientos y empresas de PcD y los empleadores de PcD. </w:t>
      </w:r>
      <w:r w:rsidRPr="00A07A6E">
        <w:rPr>
          <w:rFonts w:ascii="Verdana" w:hAnsi="Verdana"/>
          <w:highlight w:val="yellow"/>
        </w:rPr>
        <w:t>A continuación, se desarrolla el alcance de cada aspecto del sistema planteado en los problemas jurídicos.</w:t>
      </w:r>
      <w:r w:rsidRPr="00E727F0">
        <w:rPr>
          <w:rFonts w:ascii="Verdana" w:hAnsi="Verdana"/>
        </w:rPr>
        <w:t xml:space="preserve"> </w:t>
      </w:r>
    </w:p>
    <w:p w14:paraId="66092C86" w14:textId="77777777" w:rsidR="009767C2" w:rsidRDefault="009767C2" w:rsidP="00A07A6E">
      <w:pPr>
        <w:spacing w:after="0" w:line="276" w:lineRule="auto"/>
        <w:jc w:val="both"/>
        <w:rPr>
          <w:rFonts w:ascii="Verdana" w:hAnsi="Verdana"/>
        </w:rPr>
      </w:pPr>
    </w:p>
    <w:p w14:paraId="2B228059" w14:textId="389A1DA1" w:rsidR="00303D3C" w:rsidRPr="00D851ED" w:rsidRDefault="00164E23" w:rsidP="00A07A6E">
      <w:pPr>
        <w:spacing w:after="120" w:line="276" w:lineRule="auto"/>
        <w:jc w:val="both"/>
        <w:rPr>
          <w:rFonts w:ascii="Verdana" w:eastAsia="Calibri" w:hAnsi="Verdana" w:cs="Arial"/>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00303D3C">
        <w:rPr>
          <w:rFonts w:ascii="Verdana" w:hAnsi="Verdana"/>
        </w:rPr>
        <w:t>R</w:t>
      </w:r>
      <w:r w:rsidR="00303D3C">
        <w:rPr>
          <w:rFonts w:ascii="Verdana" w:eastAsia="Calibri" w:hAnsi="Verdana" w:cs="Arial"/>
        </w:rPr>
        <w:t>especto del primer problema jurídico</w:t>
      </w:r>
      <w:r w:rsidR="00DB1383">
        <w:rPr>
          <w:rFonts w:ascii="Verdana" w:eastAsia="Calibri" w:hAnsi="Verdana" w:cs="Arial"/>
        </w:rPr>
        <w:t>,</w:t>
      </w:r>
      <w:r w:rsidR="00303D3C">
        <w:rPr>
          <w:rFonts w:ascii="Verdana" w:eastAsia="Calibri" w:hAnsi="Verdana" w:cs="Arial"/>
        </w:rPr>
        <w:t xml:space="preserve"> relacionado con el régimen de transición para la aplicación del Decreto 287 de 2026, </w:t>
      </w:r>
      <w:r w:rsidR="00DB1383">
        <w:rPr>
          <w:rFonts w:ascii="Verdana" w:eastAsia="Calibri" w:hAnsi="Verdana" w:cs="Arial"/>
        </w:rPr>
        <w:t>es necesario precisar</w:t>
      </w:r>
      <w:r w:rsidR="00303D3C">
        <w:rPr>
          <w:rFonts w:ascii="Verdana" w:eastAsia="Calibri" w:hAnsi="Verdana" w:cs="Arial"/>
        </w:rPr>
        <w:t xml:space="preserve"> que </w:t>
      </w:r>
      <w:r w:rsidR="00C10FA2">
        <w:rPr>
          <w:rFonts w:ascii="Verdana" w:eastAsia="Calibri" w:hAnsi="Verdana" w:cs="Arial"/>
        </w:rPr>
        <w:t>est</w:t>
      </w:r>
      <w:r w:rsidR="00DB1383">
        <w:rPr>
          <w:rFonts w:ascii="Verdana" w:eastAsia="Calibri" w:hAnsi="Verdana" w:cs="Arial"/>
        </w:rPr>
        <w:t>a norma</w:t>
      </w:r>
      <w:r w:rsidR="00C10FA2">
        <w:rPr>
          <w:rFonts w:ascii="Verdana" w:eastAsia="Calibri" w:hAnsi="Verdana" w:cs="Arial"/>
        </w:rPr>
        <w:t xml:space="preserve"> </w:t>
      </w:r>
      <w:r w:rsidR="00303D3C" w:rsidRPr="00D851ED">
        <w:rPr>
          <w:rFonts w:ascii="Verdana" w:eastAsia="Calibri" w:hAnsi="Verdana" w:cs="Arial"/>
        </w:rPr>
        <w:t>se expidió el 19 de marzo de 2026 y</w:t>
      </w:r>
      <w:r w:rsidR="00894CE9">
        <w:rPr>
          <w:rFonts w:ascii="Verdana" w:eastAsia="Calibri" w:hAnsi="Verdana" w:cs="Arial"/>
        </w:rPr>
        <w:t>,</w:t>
      </w:r>
      <w:r w:rsidR="001474A4">
        <w:rPr>
          <w:rFonts w:ascii="Verdana" w:eastAsia="Calibri" w:hAnsi="Verdana" w:cs="Arial"/>
        </w:rPr>
        <w:t xml:space="preserve"> de acuerdo con</w:t>
      </w:r>
      <w:r w:rsidR="00B53DCF">
        <w:rPr>
          <w:rFonts w:ascii="Verdana" w:eastAsia="Calibri" w:hAnsi="Verdana" w:cs="Arial"/>
        </w:rPr>
        <w:t xml:space="preserve"> </w:t>
      </w:r>
      <w:r w:rsidR="00894CE9">
        <w:rPr>
          <w:rFonts w:ascii="Verdana" w:eastAsia="Calibri" w:hAnsi="Verdana" w:cs="Arial"/>
        </w:rPr>
        <w:t xml:space="preserve">lo dispuesto en </w:t>
      </w:r>
      <w:r w:rsidR="00B53DCF">
        <w:rPr>
          <w:rFonts w:ascii="Verdana" w:eastAsia="Calibri" w:hAnsi="Verdana" w:cs="Arial"/>
        </w:rPr>
        <w:t>su artículo 2</w:t>
      </w:r>
      <w:r w:rsidR="00894CE9">
        <w:rPr>
          <w:rFonts w:ascii="Verdana" w:eastAsia="Calibri" w:hAnsi="Verdana" w:cs="Arial"/>
        </w:rPr>
        <w:t>,</w:t>
      </w:r>
      <w:r w:rsidR="00B53DCF">
        <w:rPr>
          <w:rFonts w:ascii="Verdana" w:eastAsia="Calibri" w:hAnsi="Verdana" w:cs="Arial"/>
        </w:rPr>
        <w:t xml:space="preserve"> </w:t>
      </w:r>
      <w:r w:rsidR="00303D3C" w:rsidRPr="00D851ED">
        <w:rPr>
          <w:rFonts w:ascii="Verdana" w:eastAsia="Calibri" w:hAnsi="Verdana" w:cs="Arial"/>
        </w:rPr>
        <w:t xml:space="preserve">rige a partir del día siguiente a su publicación en el Diario Oficial, </w:t>
      </w:r>
      <w:r w:rsidR="00894CE9">
        <w:rPr>
          <w:rFonts w:ascii="Verdana" w:eastAsia="Calibri" w:hAnsi="Verdana" w:cs="Arial"/>
        </w:rPr>
        <w:t>esto es</w:t>
      </w:r>
      <w:r w:rsidR="009616E5">
        <w:rPr>
          <w:rFonts w:ascii="Verdana" w:eastAsia="Calibri" w:hAnsi="Verdana" w:cs="Arial"/>
        </w:rPr>
        <w:t xml:space="preserve">, desde el 20 de marzo de 2026. El Decreto </w:t>
      </w:r>
      <w:r w:rsidR="00303D3C" w:rsidRPr="00D851ED">
        <w:rPr>
          <w:rFonts w:ascii="Verdana" w:eastAsia="Calibri" w:hAnsi="Verdana" w:cs="Arial"/>
        </w:rPr>
        <w:t>derog</w:t>
      </w:r>
      <w:r w:rsidR="009616E5">
        <w:rPr>
          <w:rFonts w:ascii="Verdana" w:eastAsia="Calibri" w:hAnsi="Verdana" w:cs="Arial"/>
        </w:rPr>
        <w:t xml:space="preserve">ó expresamente </w:t>
      </w:r>
      <w:r w:rsidR="00303D3C" w:rsidRPr="00D851ED">
        <w:rPr>
          <w:rFonts w:ascii="Verdana" w:eastAsia="Calibri" w:hAnsi="Verdana" w:cs="Arial"/>
        </w:rPr>
        <w:t xml:space="preserve">todas las disposiciones contrarias, incluidas las versiones anteriores de los artículos 2.2.1.2.4.2.6., 2.2.1.2.4.2.7. y 2.2.1.2.4.2.8. del Decreto 1082 de 2015. </w:t>
      </w:r>
    </w:p>
    <w:p w14:paraId="65A29173" w14:textId="404D9689" w:rsidR="00303D3C" w:rsidRPr="00D851ED" w:rsidRDefault="00303D3C" w:rsidP="00303D3C">
      <w:pPr>
        <w:spacing w:before="120" w:after="120" w:line="276" w:lineRule="auto"/>
        <w:ind w:firstLine="709"/>
        <w:jc w:val="both"/>
        <w:rPr>
          <w:rFonts w:ascii="Verdana" w:eastAsia="Calibri" w:hAnsi="Verdana" w:cs="Arial"/>
        </w:rPr>
      </w:pPr>
      <w:r w:rsidRPr="00D851ED">
        <w:rPr>
          <w:rFonts w:ascii="Verdana" w:eastAsia="Calibri" w:hAnsi="Verdana" w:cs="Arial"/>
        </w:rPr>
        <w:t>La aplicación del Decreto 287 de 2026 en los procesos de contratación que estén en curso depende de si estos contaban o no con resolución</w:t>
      </w:r>
      <w:r w:rsidR="004D4988">
        <w:rPr>
          <w:rFonts w:ascii="Verdana" w:eastAsia="Calibri" w:hAnsi="Verdana" w:cs="Arial"/>
        </w:rPr>
        <w:t xml:space="preserve"> o acto administrativo</w:t>
      </w:r>
      <w:r w:rsidRPr="00D851ED">
        <w:rPr>
          <w:rFonts w:ascii="Verdana" w:eastAsia="Calibri" w:hAnsi="Verdana" w:cs="Arial"/>
        </w:rPr>
        <w:t xml:space="preserve"> de apertura </w:t>
      </w:r>
      <w:r w:rsidR="00666747">
        <w:rPr>
          <w:rFonts w:ascii="Verdana" w:eastAsia="Calibri" w:hAnsi="Verdana" w:cs="Arial"/>
        </w:rPr>
        <w:t xml:space="preserve">con anterioridad de su entrada en vigencia, es decir antes </w:t>
      </w:r>
      <w:r w:rsidRPr="00D851ED">
        <w:rPr>
          <w:rFonts w:ascii="Verdana" w:eastAsia="Calibri" w:hAnsi="Verdana" w:cs="Arial"/>
        </w:rPr>
        <w:t>del 20 de marzo de 2026</w:t>
      </w:r>
      <w:r w:rsidR="00DB47ED">
        <w:rPr>
          <w:rFonts w:ascii="Verdana" w:eastAsia="Calibri" w:hAnsi="Verdana" w:cs="Arial"/>
        </w:rPr>
        <w:t>. En tal sentido, se presentan los siguientes escenarios</w:t>
      </w:r>
      <w:r w:rsidRPr="00D851ED">
        <w:rPr>
          <w:rFonts w:ascii="Verdana" w:eastAsia="Calibri" w:hAnsi="Verdana" w:cs="Arial"/>
        </w:rPr>
        <w:t xml:space="preserve">: </w:t>
      </w:r>
      <w:r w:rsidRPr="00A07A6E">
        <w:rPr>
          <w:rFonts w:ascii="Verdana" w:eastAsia="Calibri" w:hAnsi="Verdana" w:cs="Arial"/>
          <w:i/>
          <w:iCs/>
        </w:rPr>
        <w:t>i) La resolución de apertura fue expedida el 19 de marzo de 2026 o antes de esta fecha</w:t>
      </w:r>
      <w:r w:rsidR="00290DF7" w:rsidRPr="00A07A6E">
        <w:rPr>
          <w:rFonts w:ascii="Verdana" w:eastAsia="Calibri" w:hAnsi="Verdana" w:cs="Arial"/>
          <w:i/>
          <w:iCs/>
        </w:rPr>
        <w:t>:</w:t>
      </w:r>
      <w:r w:rsidRPr="00D851ED">
        <w:rPr>
          <w:rFonts w:ascii="Verdana" w:eastAsia="Calibri" w:hAnsi="Verdana" w:cs="Arial"/>
        </w:rPr>
        <w:t xml:space="preserve"> en este caso el proceso continúa con las reglas originales </w:t>
      </w:r>
      <w:r w:rsidR="005242AD">
        <w:rPr>
          <w:rFonts w:ascii="Verdana" w:eastAsia="Calibri" w:hAnsi="Verdana" w:cs="Arial"/>
        </w:rPr>
        <w:t xml:space="preserve">vigentes al momento de la apertura, </w:t>
      </w:r>
      <w:r w:rsidRPr="00D851ED">
        <w:rPr>
          <w:rFonts w:ascii="Verdana" w:eastAsia="Calibri" w:hAnsi="Verdana" w:cs="Arial"/>
        </w:rPr>
        <w:t xml:space="preserve">sin </w:t>
      </w:r>
      <w:r w:rsidR="005242AD">
        <w:rPr>
          <w:rFonts w:ascii="Verdana" w:eastAsia="Calibri" w:hAnsi="Verdana" w:cs="Arial"/>
        </w:rPr>
        <w:t xml:space="preserve">que resulte </w:t>
      </w:r>
      <w:r w:rsidRPr="00D851ED">
        <w:rPr>
          <w:rFonts w:ascii="Verdana" w:eastAsia="Calibri" w:hAnsi="Verdana" w:cs="Arial"/>
        </w:rPr>
        <w:t>aplica</w:t>
      </w:r>
      <w:r w:rsidR="005242AD">
        <w:rPr>
          <w:rFonts w:ascii="Verdana" w:eastAsia="Calibri" w:hAnsi="Verdana" w:cs="Arial"/>
        </w:rPr>
        <w:t>ble</w:t>
      </w:r>
      <w:r w:rsidRPr="00D851ED">
        <w:rPr>
          <w:rFonts w:ascii="Verdana" w:eastAsia="Calibri" w:hAnsi="Verdana" w:cs="Arial"/>
        </w:rPr>
        <w:t xml:space="preserve"> el Decreto 287 de 2026; y </w:t>
      </w:r>
      <w:proofErr w:type="spellStart"/>
      <w:r w:rsidRPr="00D851ED">
        <w:rPr>
          <w:rFonts w:ascii="Verdana" w:eastAsia="Calibri" w:hAnsi="Verdana" w:cs="Arial"/>
        </w:rPr>
        <w:t>ii</w:t>
      </w:r>
      <w:proofErr w:type="spellEnd"/>
      <w:r w:rsidRPr="00D851ED">
        <w:rPr>
          <w:rFonts w:ascii="Verdana" w:eastAsia="Calibri" w:hAnsi="Verdana" w:cs="Arial"/>
        </w:rPr>
        <w:t xml:space="preserve">) </w:t>
      </w:r>
      <w:r w:rsidRPr="00A07A6E">
        <w:rPr>
          <w:rFonts w:ascii="Verdana" w:eastAsia="Calibri" w:hAnsi="Verdana" w:cs="Arial"/>
          <w:i/>
          <w:iCs/>
        </w:rPr>
        <w:t>La resolución de apertura no existe, o fue expedida el 20 de marzo de 2026 o en fecha posterior</w:t>
      </w:r>
      <w:r w:rsidR="006465B7">
        <w:rPr>
          <w:rFonts w:ascii="Verdana" w:eastAsia="Calibri" w:hAnsi="Verdana" w:cs="Arial"/>
        </w:rPr>
        <w:t>:</w:t>
      </w:r>
      <w:r w:rsidRPr="00D851ED">
        <w:rPr>
          <w:rFonts w:ascii="Verdana" w:eastAsia="Calibri" w:hAnsi="Verdana" w:cs="Arial"/>
        </w:rPr>
        <w:t xml:space="preserve"> </w:t>
      </w:r>
      <w:r w:rsidR="006465B7">
        <w:rPr>
          <w:rFonts w:ascii="Verdana" w:eastAsia="Calibri" w:hAnsi="Verdana" w:cs="Arial"/>
        </w:rPr>
        <w:t>La entidad debe aplicar</w:t>
      </w:r>
      <w:r w:rsidRPr="00D851ED">
        <w:rPr>
          <w:rFonts w:ascii="Verdana" w:eastAsia="Calibri" w:hAnsi="Verdana" w:cs="Arial"/>
        </w:rPr>
        <w:t xml:space="preserve"> el Decreto 287 de 2026 al proceso contractual y la entidad debe ajustar sus estudios previos y pliegos de condiciones, incluido el proyecto de pliego, para dar pleno cumplimiento al decreto antes de expedir el acto administrativo de apertura.</w:t>
      </w:r>
    </w:p>
    <w:p w14:paraId="28B2CEAE" w14:textId="77777777" w:rsidR="00303D3C" w:rsidRDefault="00303D3C" w:rsidP="00A07A6E">
      <w:pPr>
        <w:spacing w:before="120" w:after="0" w:line="276" w:lineRule="auto"/>
        <w:ind w:firstLine="709"/>
        <w:jc w:val="both"/>
        <w:rPr>
          <w:rFonts w:ascii="Verdana" w:eastAsia="Calibri" w:hAnsi="Verdana" w:cs="Arial"/>
        </w:rPr>
      </w:pPr>
      <w:r w:rsidRPr="00D851ED">
        <w:rPr>
          <w:rFonts w:ascii="Verdana" w:eastAsia="Calibri" w:hAnsi="Verdana" w:cs="Arial"/>
        </w:rPr>
        <w:t>Para los procesos de contratación con proyecto de pliego publicado pero sin apertura al 19 de marzo de 2026, se recomienda que se incorporen las medidas del Decreto 287 de 2026 antes de publicar los pliegos definitivos. En esa etapa aún es posible realizar ajustes sin afectar derechos adquiridos de los proponentes</w:t>
      </w:r>
      <w:r>
        <w:rPr>
          <w:rFonts w:ascii="Verdana" w:eastAsia="Calibri" w:hAnsi="Verdana" w:cs="Arial"/>
        </w:rPr>
        <w:t>.</w:t>
      </w:r>
    </w:p>
    <w:p w14:paraId="12B70072" w14:textId="77777777" w:rsidR="009E2D14" w:rsidRPr="00073658" w:rsidRDefault="009E2D14" w:rsidP="00A07A6E">
      <w:pPr>
        <w:spacing w:after="0" w:line="276" w:lineRule="auto"/>
        <w:ind w:firstLine="709"/>
        <w:jc w:val="both"/>
        <w:rPr>
          <w:rFonts w:ascii="Verdana" w:eastAsia="Calibri" w:hAnsi="Verdana" w:cs="Arial"/>
        </w:rPr>
      </w:pPr>
    </w:p>
    <w:p w14:paraId="4BF6772B" w14:textId="0C8BF52C" w:rsidR="00164E23" w:rsidRPr="00206556" w:rsidRDefault="00303D3C" w:rsidP="00A07A6E">
      <w:pPr>
        <w:spacing w:after="120" w:line="276" w:lineRule="auto"/>
        <w:jc w:val="both"/>
        <w:rPr>
          <w:rFonts w:ascii="Verdana" w:hAnsi="Verdana"/>
          <w:sz w:val="20"/>
          <w:szCs w:val="20"/>
        </w:rPr>
      </w:pPr>
      <w:r>
        <w:rPr>
          <w:rFonts w:ascii="Verdana" w:hAnsi="Verdana"/>
        </w:rPr>
        <w:t>(</w:t>
      </w:r>
      <w:proofErr w:type="spellStart"/>
      <w:r>
        <w:rPr>
          <w:rFonts w:ascii="Verdana" w:hAnsi="Verdana"/>
        </w:rPr>
        <w:t>iii</w:t>
      </w:r>
      <w:proofErr w:type="spellEnd"/>
      <w:r w:rsidR="00164E23" w:rsidRPr="00206556">
        <w:rPr>
          <w:rFonts w:ascii="Verdana" w:hAnsi="Verdana"/>
        </w:rPr>
        <w:t xml:space="preserve">) Sobre la aplicación del Decreto 0287 de 2026 en los documentos tipo, </w:t>
      </w:r>
      <w:r w:rsidR="005833B7">
        <w:rPr>
          <w:rFonts w:ascii="Verdana" w:hAnsi="Verdana"/>
        </w:rPr>
        <w:t>de que trata el segundo problema jurídico,</w:t>
      </w:r>
      <w:r w:rsidR="00710C2C">
        <w:rPr>
          <w:rFonts w:ascii="Verdana" w:hAnsi="Verdana"/>
        </w:rPr>
        <w:t xml:space="preserve"> </w:t>
      </w:r>
      <w:r w:rsidR="00164E23" w:rsidRPr="00206556">
        <w:rPr>
          <w:rFonts w:ascii="Verdana" w:hAnsi="Verdana"/>
        </w:rPr>
        <w:t xml:space="preserve">el artículo 2.2.1.2.4.2.7.8. del Decreto 0287 de 2026 establece que </w:t>
      </w:r>
      <w:r w:rsidR="00862E72">
        <w:rPr>
          <w:rFonts w:ascii="Verdana" w:hAnsi="Verdana"/>
        </w:rPr>
        <w:t xml:space="preserve">la Agencia Nacional de Contratación Pública </w:t>
      </w:r>
      <w:r w:rsidR="00595BAC">
        <w:rPr>
          <w:rFonts w:ascii="Verdana" w:hAnsi="Verdana"/>
        </w:rPr>
        <w:t>–</w:t>
      </w:r>
      <w:r w:rsidR="00862E72">
        <w:rPr>
          <w:rFonts w:ascii="Verdana" w:hAnsi="Verdana"/>
        </w:rPr>
        <w:t xml:space="preserve"> </w:t>
      </w:r>
      <w:r w:rsidR="00164E23" w:rsidRPr="00206556">
        <w:rPr>
          <w:rFonts w:ascii="Verdana" w:hAnsi="Verdana"/>
        </w:rPr>
        <w:t>Colombia</w:t>
      </w:r>
      <w:r w:rsidR="00595BAC">
        <w:rPr>
          <w:rFonts w:ascii="Verdana" w:hAnsi="Verdana"/>
        </w:rPr>
        <w:t xml:space="preserve"> </w:t>
      </w:r>
      <w:r w:rsidR="00164E23" w:rsidRPr="00206556">
        <w:rPr>
          <w:rFonts w:ascii="Verdana" w:hAnsi="Verdana"/>
        </w:rPr>
        <w:t xml:space="preserve">Compra Eficiente garantizará la incorporación permanente de las medidas del sistema en los documentos e instrumentos que genera. </w:t>
      </w:r>
    </w:p>
    <w:p w14:paraId="74A14737" w14:textId="20068BEF" w:rsidR="00150786" w:rsidRDefault="00150786" w:rsidP="00A07A6E">
      <w:pPr>
        <w:spacing w:after="120" w:line="276" w:lineRule="auto"/>
        <w:ind w:firstLine="708"/>
        <w:jc w:val="both"/>
        <w:rPr>
          <w:rFonts w:ascii="Verdana" w:hAnsi="Verdana"/>
        </w:rPr>
      </w:pPr>
      <w:r>
        <w:rPr>
          <w:rFonts w:ascii="Verdana" w:hAnsi="Verdana"/>
        </w:rPr>
        <w:t xml:space="preserve">En atención a lo anterior, </w:t>
      </w:r>
      <w:r w:rsidRPr="007B01BA">
        <w:rPr>
          <w:rFonts w:ascii="Verdana" w:hAnsi="Verdana"/>
        </w:rPr>
        <w:t xml:space="preserve">Colombia Compra Eficiente realizará las actualizaciones necesarias a los documentos tipo en el menor tiempo posible para incorporar las medidas del Sistema de Preferencias. </w:t>
      </w:r>
      <w:r>
        <w:rPr>
          <w:rFonts w:ascii="Verdana" w:hAnsi="Verdana"/>
        </w:rPr>
        <w:t>Así las cosas, l</w:t>
      </w:r>
      <w:r w:rsidRPr="007B01BA">
        <w:rPr>
          <w:rFonts w:ascii="Verdana" w:hAnsi="Verdana"/>
        </w:rPr>
        <w:t>a aplicación del Decreto queda diferenciada según la etapa del proceso: los procesos con resolución de apertura firmada el 19 de marzo de 2026 o antes continúan con las reglas del Decreto 392 de 2018; los procesos con proyecto de pliego publicado pero sin apertura a esa fecha pueden incorporar las nuevas medidas antes de publicar los pliegos definitivos; y los procesos nuevos sujetos a documentos tipo deben esperar las actualizaciones de Colombia Compra Eficiente,</w:t>
      </w:r>
      <w:r>
        <w:rPr>
          <w:rFonts w:ascii="Verdana" w:hAnsi="Verdana"/>
        </w:rPr>
        <w:t xml:space="preserve"> y continuar aplicando el documento tipo vigente sin alterarlo.</w:t>
      </w:r>
    </w:p>
    <w:p w14:paraId="4A19F7DE" w14:textId="62486225" w:rsidR="003270CC" w:rsidRDefault="008553BA" w:rsidP="008553BA">
      <w:pPr>
        <w:spacing w:after="0" w:line="276" w:lineRule="auto"/>
        <w:ind w:firstLine="708"/>
        <w:jc w:val="both"/>
        <w:rPr>
          <w:rFonts w:ascii="Verdana" w:hAnsi="Verdana"/>
        </w:rPr>
      </w:pPr>
      <w:r w:rsidRPr="008553BA">
        <w:rPr>
          <w:rFonts w:ascii="Verdana" w:hAnsi="Verdana"/>
        </w:rPr>
        <w:t>El hecho de que los procesos nuevos sujetos a la aplicación de documentos tipo deban esperar las actualizaciones que expida Colombia Compra Eficiente y, mientras tanto, continuar aplicando el documento tipo vigente sin introducir modificaciones, encuentra su fundamento</w:t>
      </w:r>
      <w:r>
        <w:rPr>
          <w:rFonts w:ascii="Verdana" w:hAnsi="Verdana"/>
        </w:rPr>
        <w:t xml:space="preserve"> </w:t>
      </w:r>
      <w:r w:rsidR="00E877D4">
        <w:rPr>
          <w:rFonts w:ascii="Verdana" w:hAnsi="Verdana"/>
        </w:rPr>
        <w:t>en</w:t>
      </w:r>
      <w:r w:rsidR="00A26DE9">
        <w:rPr>
          <w:rFonts w:ascii="Verdana" w:hAnsi="Verdana"/>
        </w:rPr>
        <w:t xml:space="preserve"> </w:t>
      </w:r>
      <w:r w:rsidR="00595BAC">
        <w:rPr>
          <w:rFonts w:ascii="Verdana" w:hAnsi="Verdana"/>
        </w:rPr>
        <w:t>e</w:t>
      </w:r>
      <w:r w:rsidR="00164E23" w:rsidRPr="007B01BA">
        <w:rPr>
          <w:rFonts w:ascii="Verdana" w:hAnsi="Verdana"/>
        </w:rPr>
        <w:t>l principio de inalterabilidad de los documentos tipo</w:t>
      </w:r>
      <w:r w:rsidR="00CD11FC">
        <w:rPr>
          <w:rFonts w:ascii="Verdana" w:hAnsi="Verdana"/>
        </w:rPr>
        <w:t>. Dicho principio</w:t>
      </w:r>
      <w:r w:rsidR="00164E23" w:rsidRPr="007B01BA">
        <w:rPr>
          <w:rFonts w:ascii="Verdana" w:hAnsi="Verdana"/>
        </w:rPr>
        <w:t xml:space="preserve"> </w:t>
      </w:r>
      <w:r w:rsidR="00CD11FC">
        <w:rPr>
          <w:rFonts w:ascii="Verdana" w:hAnsi="Verdana"/>
        </w:rPr>
        <w:t>proscribe las</w:t>
      </w:r>
      <w:r w:rsidR="00164E23" w:rsidRPr="007B01BA">
        <w:rPr>
          <w:rFonts w:ascii="Verdana" w:hAnsi="Verdana"/>
        </w:rPr>
        <w:t xml:space="preserve"> modificaciones unilaterales por parte de las entidades, pues ello afectaría la estandarización, la transparencia y la igualdad entre proponentes que dichos documentos buscan garantizar. </w:t>
      </w:r>
    </w:p>
    <w:p w14:paraId="277CBEB9" w14:textId="77777777" w:rsidR="00BD0136" w:rsidRDefault="00BD0136" w:rsidP="00A07A6E">
      <w:pPr>
        <w:spacing w:after="0" w:line="276" w:lineRule="auto"/>
        <w:jc w:val="both"/>
        <w:rPr>
          <w:rFonts w:ascii="Verdana" w:hAnsi="Verdana"/>
        </w:rPr>
      </w:pPr>
    </w:p>
    <w:p w14:paraId="52E370F3" w14:textId="6900F024" w:rsidR="005634B8" w:rsidRDefault="00164E23" w:rsidP="00BD0136">
      <w:pPr>
        <w:spacing w:after="120" w:line="276" w:lineRule="auto"/>
        <w:jc w:val="both"/>
        <w:rPr>
          <w:rFonts w:ascii="Verdana" w:hAnsi="Verdana"/>
        </w:rPr>
      </w:pPr>
      <w:r w:rsidRPr="00206556">
        <w:rPr>
          <w:rFonts w:ascii="Verdana" w:hAnsi="Verdana"/>
        </w:rPr>
        <w:t>(</w:t>
      </w:r>
      <w:proofErr w:type="spellStart"/>
      <w:r>
        <w:rPr>
          <w:rFonts w:ascii="Verdana" w:hAnsi="Verdana"/>
        </w:rPr>
        <w:t>i</w:t>
      </w:r>
      <w:r w:rsidR="00D844F9">
        <w:rPr>
          <w:rFonts w:ascii="Verdana" w:hAnsi="Verdana"/>
        </w:rPr>
        <w:t>v</w:t>
      </w:r>
      <w:proofErr w:type="spellEnd"/>
      <w:r w:rsidRPr="00206556">
        <w:rPr>
          <w:rFonts w:ascii="Verdana" w:hAnsi="Verdana"/>
        </w:rPr>
        <w:t>) En lo que concierne</w:t>
      </w:r>
      <w:r w:rsidR="00710C2C">
        <w:rPr>
          <w:rFonts w:ascii="Verdana" w:hAnsi="Verdana"/>
        </w:rPr>
        <w:t xml:space="preserve"> al tercer problema jurídico, relacionado con</w:t>
      </w:r>
      <w:r w:rsidRPr="00206556">
        <w:rPr>
          <w:rFonts w:ascii="Verdana" w:hAnsi="Verdana"/>
        </w:rPr>
        <w:t xml:space="preserve"> la inclusión de personas con discapacidad a través de contratos de prestación de servicios profesionales y/o de apoyo a la gestión, es necesario precisar su naturaleza jurídica, pues esta medida ha generado interpretaciones encontradas en cuanto a si constituye una obligación general para todas las entidades estatales o si, por el contrario, su aplicación queda sujeta a la voluntad de cada entidad. </w:t>
      </w:r>
    </w:p>
    <w:p w14:paraId="45EF975A" w14:textId="799A83E2" w:rsidR="00182B5C" w:rsidRDefault="00164E23" w:rsidP="005634B8">
      <w:pPr>
        <w:spacing w:after="120" w:line="276" w:lineRule="auto"/>
        <w:ind w:firstLine="708"/>
        <w:jc w:val="both"/>
        <w:rPr>
          <w:rFonts w:ascii="Verdana" w:hAnsi="Verdana"/>
        </w:rPr>
      </w:pPr>
      <w:r w:rsidRPr="00206556">
        <w:rPr>
          <w:rFonts w:ascii="Verdana" w:hAnsi="Verdana"/>
        </w:rPr>
        <w:t>El artículo 2.2.1.2.4.2.7.6. del Decreto 0287 de 2026 despeja esta inquietud al utilizar el verbo "propenderán" para referirse a esta medida</w:t>
      </w:r>
      <w:r w:rsidR="004375E9">
        <w:rPr>
          <w:rFonts w:ascii="Verdana" w:hAnsi="Verdana"/>
        </w:rPr>
        <w:t>. En la</w:t>
      </w:r>
      <w:r w:rsidRPr="00206556">
        <w:rPr>
          <w:rFonts w:ascii="Verdana" w:hAnsi="Verdana"/>
        </w:rPr>
        <w:t xml:space="preserve"> técnica legislativa colombiana</w:t>
      </w:r>
      <w:r w:rsidR="00C019B2">
        <w:rPr>
          <w:rFonts w:ascii="Verdana" w:hAnsi="Verdana"/>
        </w:rPr>
        <w:t>, esta expresión</w:t>
      </w:r>
      <w:r w:rsidRPr="00206556">
        <w:rPr>
          <w:rFonts w:ascii="Verdana" w:hAnsi="Verdana"/>
        </w:rPr>
        <w:t xml:space="preserve"> implica un mandato de medios, es decir, </w:t>
      </w:r>
      <w:r w:rsidR="00C019B2">
        <w:rPr>
          <w:rFonts w:ascii="Verdana" w:hAnsi="Verdana"/>
        </w:rPr>
        <w:t xml:space="preserve">la obligación de </w:t>
      </w:r>
      <w:r w:rsidRPr="00206556">
        <w:rPr>
          <w:rFonts w:ascii="Verdana" w:hAnsi="Verdana"/>
        </w:rPr>
        <w:t xml:space="preserve">realizar todos los esfuerzos necesarios, </w:t>
      </w:r>
      <w:r w:rsidR="0065252D">
        <w:rPr>
          <w:rFonts w:ascii="Verdana" w:hAnsi="Verdana"/>
        </w:rPr>
        <w:t xml:space="preserve">razonables </w:t>
      </w:r>
      <w:r w:rsidRPr="00206556">
        <w:rPr>
          <w:rFonts w:ascii="Verdana" w:hAnsi="Verdana"/>
        </w:rPr>
        <w:t xml:space="preserve">y </w:t>
      </w:r>
      <w:r w:rsidR="0065252D">
        <w:rPr>
          <w:rFonts w:ascii="Verdana" w:hAnsi="Verdana"/>
        </w:rPr>
        <w:t>proporcionales</w:t>
      </w:r>
      <w:r w:rsidR="005B09E0">
        <w:rPr>
          <w:rFonts w:ascii="Verdana" w:hAnsi="Verdana"/>
        </w:rPr>
        <w:t xml:space="preserve"> para promover la contratación de personas con discapacidad, sin </w:t>
      </w:r>
      <w:r w:rsidR="005B09E0">
        <w:rPr>
          <w:rFonts w:ascii="Verdana" w:hAnsi="Verdana"/>
        </w:rPr>
        <w:lastRenderedPageBreak/>
        <w:t>que ello se traduzca en</w:t>
      </w:r>
      <w:r w:rsidRPr="00206556">
        <w:rPr>
          <w:rFonts w:ascii="Verdana" w:hAnsi="Verdana"/>
        </w:rPr>
        <w:t xml:space="preserve"> un mandato de resultado</w:t>
      </w:r>
      <w:r w:rsidR="005B09E0">
        <w:rPr>
          <w:rFonts w:ascii="Verdana" w:hAnsi="Verdana"/>
        </w:rPr>
        <w:t xml:space="preserve"> que imponga la </w:t>
      </w:r>
      <w:r w:rsidR="00182B5C">
        <w:rPr>
          <w:rFonts w:ascii="Verdana" w:hAnsi="Verdana"/>
        </w:rPr>
        <w:t>celebración obligatoria de este tipo de contratos en todos los casos</w:t>
      </w:r>
      <w:r w:rsidRPr="00206556">
        <w:rPr>
          <w:rFonts w:ascii="Verdana" w:hAnsi="Verdana"/>
        </w:rPr>
        <w:t xml:space="preserve">. </w:t>
      </w:r>
      <w:r w:rsidR="00182B5C">
        <w:rPr>
          <w:rFonts w:ascii="Verdana" w:hAnsi="Verdana"/>
        </w:rPr>
        <w:t>En consonancia con ello, l</w:t>
      </w:r>
      <w:r w:rsidRPr="00206556">
        <w:rPr>
          <w:rFonts w:ascii="Verdana" w:hAnsi="Verdana"/>
        </w:rPr>
        <w:t xml:space="preserve">a norma condiciona expresamente la medida a la planeación contractual, la disponibilidad presupuestal y las necesidades del servicio. </w:t>
      </w:r>
    </w:p>
    <w:p w14:paraId="380A68E6" w14:textId="39042FB4" w:rsidR="00D946AC" w:rsidRDefault="00D251CB" w:rsidP="005634B8">
      <w:pPr>
        <w:spacing w:after="120" w:line="276" w:lineRule="auto"/>
        <w:ind w:firstLine="708"/>
        <w:jc w:val="both"/>
        <w:rPr>
          <w:rFonts w:ascii="Verdana" w:hAnsi="Verdana"/>
        </w:rPr>
      </w:pPr>
      <w:r>
        <w:rPr>
          <w:rFonts w:ascii="Verdana" w:hAnsi="Verdana"/>
        </w:rPr>
        <w:t xml:space="preserve">La medida </w:t>
      </w:r>
      <w:r w:rsidRPr="00206556">
        <w:rPr>
          <w:rFonts w:ascii="Verdana" w:hAnsi="Verdana"/>
        </w:rPr>
        <w:t>aplica</w:t>
      </w:r>
      <w:r w:rsidR="00164E23" w:rsidRPr="00206556">
        <w:rPr>
          <w:rFonts w:ascii="Verdana" w:hAnsi="Verdana"/>
        </w:rPr>
        <w:t xml:space="preserve"> exclusivamente </w:t>
      </w:r>
      <w:r>
        <w:rPr>
          <w:rFonts w:ascii="Verdana" w:hAnsi="Verdana"/>
        </w:rPr>
        <w:t>a la</w:t>
      </w:r>
      <w:r w:rsidR="00164E23" w:rsidRPr="00206556">
        <w:rPr>
          <w:rFonts w:ascii="Verdana" w:hAnsi="Verdana"/>
        </w:rPr>
        <w:t xml:space="preserve"> contratación directa mediante contratos de prestación de servicios profesionales y/o de apoyo a la gestión, para entidades sometidas al Estatuto General de la Contratación Pública, sin que aplique a contratos artísticos ni a entidades de régimen especial. La entidad que decida aplicarla debe verificar la idoneidad de la PcD para cumplir el objeto, acordar los ajustes razonables necesarios, evaluar la no exigencia de garantías, que no son obligatorias para esta tipología, e indicar en el SECOP que el contrato corresponde a esta medida afirmativa.</w:t>
      </w:r>
    </w:p>
    <w:p w14:paraId="74134D96" w14:textId="4C8AE63C" w:rsidR="002C052E" w:rsidRDefault="00164E23" w:rsidP="005634B8">
      <w:pPr>
        <w:spacing w:after="120" w:line="276" w:lineRule="auto"/>
        <w:ind w:firstLine="708"/>
        <w:jc w:val="both"/>
        <w:rPr>
          <w:rFonts w:ascii="Verdana" w:hAnsi="Verdana"/>
        </w:rPr>
      </w:pPr>
      <w:r w:rsidRPr="00206556">
        <w:rPr>
          <w:rFonts w:ascii="Verdana" w:hAnsi="Verdana"/>
        </w:rPr>
        <w:t>En ningún caso la medida autoriza funciones permanentes ni genera subordinación laboral</w:t>
      </w:r>
      <w:r w:rsidR="00CB6152">
        <w:rPr>
          <w:rFonts w:ascii="Verdana" w:hAnsi="Verdana"/>
        </w:rPr>
        <w:t xml:space="preserve">, manteniéndose </w:t>
      </w:r>
      <w:r w:rsidR="006025B0">
        <w:rPr>
          <w:rFonts w:ascii="Verdana" w:hAnsi="Verdana"/>
        </w:rPr>
        <w:t>incólume la naturaleza civil o administrativa del contrato de prestación de servicios</w:t>
      </w:r>
      <w:r w:rsidRPr="00206556">
        <w:rPr>
          <w:rFonts w:ascii="Verdana" w:hAnsi="Verdana"/>
        </w:rPr>
        <w:t xml:space="preserve">. </w:t>
      </w:r>
      <w:r w:rsidR="006025B0">
        <w:rPr>
          <w:rFonts w:ascii="Verdana" w:hAnsi="Verdana"/>
        </w:rPr>
        <w:t>Al respecto, l</w:t>
      </w:r>
      <w:r w:rsidRPr="00206556">
        <w:rPr>
          <w:rFonts w:ascii="Verdana" w:hAnsi="Verdana"/>
        </w:rPr>
        <w:t>a Corte Constitucional ha reconocido que las PcD gozan de estabilidad ocupacional reforzada</w:t>
      </w:r>
      <w:r w:rsidRPr="00206556">
        <w:rPr>
          <w:rStyle w:val="Refdenotaalpie"/>
          <w:rFonts w:ascii="Verdana" w:hAnsi="Verdana"/>
        </w:rPr>
        <w:footnoteReference w:id="9"/>
      </w:r>
      <w:r>
        <w:rPr>
          <w:rFonts w:ascii="Verdana" w:hAnsi="Verdana"/>
        </w:rPr>
        <w:t>,</w:t>
      </w:r>
      <w:r w:rsidRPr="00206556">
        <w:rPr>
          <w:rFonts w:ascii="Verdana" w:hAnsi="Verdana"/>
        </w:rPr>
        <w:t xml:space="preserve"> que aplica en el marco de estos contratos sin que ello genere relación laboral. </w:t>
      </w:r>
    </w:p>
    <w:p w14:paraId="347B4DB1" w14:textId="07AF7B12" w:rsidR="00164E23" w:rsidRPr="00206556" w:rsidRDefault="002C052E" w:rsidP="00A07A6E">
      <w:pPr>
        <w:spacing w:after="0" w:line="276" w:lineRule="auto"/>
        <w:ind w:firstLine="708"/>
        <w:jc w:val="both"/>
        <w:rPr>
          <w:rFonts w:ascii="Verdana" w:hAnsi="Verdana"/>
        </w:rPr>
      </w:pPr>
      <w:r>
        <w:rPr>
          <w:rFonts w:ascii="Verdana" w:hAnsi="Verdana"/>
        </w:rPr>
        <w:t>Finalmente, e</w:t>
      </w:r>
      <w:r w:rsidR="00164E23" w:rsidRPr="00206556">
        <w:rPr>
          <w:rFonts w:ascii="Verdana" w:hAnsi="Verdana"/>
        </w:rPr>
        <w:t>l fundamento cuantitativo de la medida es elocuente: según datos del SECOP en el año 2024 se celebraron 747.942 contratos de prestación de servicios por un valor de $16 billones de pesos, universo que representa una oportunidad concreta de inclusión laboral de las PcD de manera progresiva y sostenida</w:t>
      </w:r>
      <w:r w:rsidR="007A7025">
        <w:rPr>
          <w:rFonts w:ascii="Verdana" w:hAnsi="Verdana"/>
        </w:rPr>
        <w:t xml:space="preserve"> en el marco de la contratación pública</w:t>
      </w:r>
      <w:r w:rsidR="00164E23" w:rsidRPr="00206556">
        <w:rPr>
          <w:rFonts w:ascii="Verdana" w:hAnsi="Verdana"/>
        </w:rPr>
        <w:t>.</w:t>
      </w:r>
    </w:p>
    <w:p w14:paraId="02C96ECE" w14:textId="77777777" w:rsidR="00D844F9" w:rsidRDefault="00D844F9" w:rsidP="00A07A6E">
      <w:pPr>
        <w:spacing w:after="0" w:line="276" w:lineRule="auto"/>
        <w:jc w:val="both"/>
        <w:rPr>
          <w:rFonts w:ascii="Verdana" w:hAnsi="Verdana"/>
        </w:rPr>
      </w:pPr>
    </w:p>
    <w:p w14:paraId="79604DBF" w14:textId="72110AE6" w:rsidR="00164E23" w:rsidRPr="00670CFB" w:rsidRDefault="00164E23" w:rsidP="00A07A6E">
      <w:pPr>
        <w:spacing w:after="120" w:line="276" w:lineRule="auto"/>
        <w:jc w:val="both"/>
        <w:rPr>
          <w:rFonts w:ascii="Verdana" w:hAnsi="Verdana"/>
        </w:rPr>
      </w:pPr>
      <w:r w:rsidRPr="00206556">
        <w:rPr>
          <w:rFonts w:ascii="Verdana" w:hAnsi="Verdana"/>
        </w:rPr>
        <w:t>(</w:t>
      </w:r>
      <w:r>
        <w:rPr>
          <w:rFonts w:ascii="Verdana" w:hAnsi="Verdana"/>
        </w:rPr>
        <w:t>v</w:t>
      </w:r>
      <w:r w:rsidRPr="00206556">
        <w:rPr>
          <w:rFonts w:ascii="Verdana" w:hAnsi="Verdana"/>
        </w:rPr>
        <w:t xml:space="preserve">) </w:t>
      </w:r>
      <w:r w:rsidRPr="00670CFB">
        <w:rPr>
          <w:rFonts w:ascii="Verdana" w:hAnsi="Verdana"/>
        </w:rPr>
        <w:t xml:space="preserve">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PcD como un momento aislado sino como un compromiso continuo que atraviesa todo el ciclo contractual. Cada medida tiene un momento de activación, unas obligaciones concretas para la entidad y el </w:t>
      </w:r>
      <w:r w:rsidRPr="00670CFB">
        <w:rPr>
          <w:rFonts w:ascii="Verdana" w:hAnsi="Verdana"/>
        </w:rPr>
        <w:lastRenderedPageBreak/>
        <w:t>contratista, y unas consecuencias específicas frente a su incumplimiento, que se exponen a continuación.</w:t>
      </w:r>
    </w:p>
    <w:p w14:paraId="7E939F67" w14:textId="77777777" w:rsidR="00164E23" w:rsidRPr="00670CFB" w:rsidRDefault="00164E23" w:rsidP="00164E23">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PcD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PcD,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00573EEA" w14:textId="77777777" w:rsidR="00164E23" w:rsidRPr="00670CFB" w:rsidRDefault="00164E23" w:rsidP="00164E23">
      <w:pPr>
        <w:spacing w:after="120" w:line="276" w:lineRule="auto"/>
        <w:ind w:firstLine="709"/>
        <w:jc w:val="both"/>
        <w:rPr>
          <w:rFonts w:ascii="Verdana" w:hAnsi="Verdana"/>
        </w:rPr>
      </w:pPr>
      <w:r w:rsidRPr="00670CFB">
        <w:rPr>
          <w:rFonts w:ascii="Verdana" w:hAnsi="Verdana"/>
        </w:rPr>
        <w:t xml:space="preserve">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PcD con domicilio en el territorio nacional. La entidad debe flexibilizar la mayor cantidad posible de estos requisitos de acuerdo con lo que resulte justificado en sus estudios previos, garantizando en todo caso que los requisitos ajustados sean suficientes para acreditar la idoneidad del proponente y el adecuado cumplimiento del objeto contractual, con el límite del principio de </w:t>
      </w:r>
      <w:r w:rsidRPr="00670CFB">
        <w:rPr>
          <w:rFonts w:ascii="Verdana" w:hAnsi="Verdana"/>
        </w:rPr>
        <w:lastRenderedPageBreak/>
        <w:t>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entidades con régimen especial, pero no en mínima cuantía ni en contratación directa. Aplica exclusivamente para los emprendimientos y empresas de PcD y no para los empleadores de PcD.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2E153A4D" w14:textId="77777777" w:rsidR="00164E23" w:rsidRPr="00670CFB" w:rsidRDefault="00164E23" w:rsidP="00164E23">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PcD o ser empleadores de PcD 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en licitación pública y concurso de méritos. La acreditación exige, entre otros documentos, los certificados de aportes a seguridad social de los tres (3) meses anteriores a la presentación de la oferta para cada PcD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PcD vinculadas puede constituir causal de incumplimiento contractual, salvo que se demuestre fuerza mayor o caso fortuito, y en todo caso respetando el derecho a la estabilidad laboral reforzada de las PcD.</w:t>
      </w:r>
    </w:p>
    <w:p w14:paraId="7F6A64A7" w14:textId="77777777" w:rsidR="00164E23" w:rsidRPr="00670CFB" w:rsidRDefault="00164E23" w:rsidP="00164E23">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w:t>
      </w:r>
      <w:r w:rsidRPr="00670CFB">
        <w:rPr>
          <w:rFonts w:ascii="Verdana" w:hAnsi="Verdana"/>
        </w:rPr>
        <w:lastRenderedPageBreak/>
        <w:t xml:space="preserve">la subcontratación inclusiva, que exige al contratista priorizar a PcD y a emprendimientos y empresas de PcD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PcD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2FA44A3D" w14:textId="77777777" w:rsidR="00164E23" w:rsidRPr="00670CFB" w:rsidRDefault="00164E23" w:rsidP="00164E23">
      <w:pPr>
        <w:spacing w:after="120" w:line="276" w:lineRule="auto"/>
        <w:ind w:firstLine="709"/>
        <w:jc w:val="both"/>
        <w:rPr>
          <w:rFonts w:ascii="Verdana" w:hAnsi="Verdana"/>
        </w:rPr>
      </w:pPr>
      <w:r w:rsidRPr="00670CFB">
        <w:rPr>
          <w:rFonts w:ascii="Verdana" w:hAnsi="Verdana"/>
        </w:rPr>
        <w:t xml:space="preserve">La quinta medida es la inclusión de PcD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PcD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4CC0CB78" w14:textId="77777777" w:rsidR="00164E23" w:rsidRPr="00670CFB" w:rsidRDefault="00164E23" w:rsidP="00164E23">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w:t>
      </w:r>
      <w:r w:rsidRPr="00670CFB">
        <w:rPr>
          <w:rFonts w:ascii="Verdana" w:hAnsi="Verdana"/>
        </w:rPr>
        <w:lastRenderedPageBreak/>
        <w:t xml:space="preserve">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Esta obligación consiste en incorporar en los estudios previos y en los documentos del proceso criterios que garanticen la accesibilidad de las PcD,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obligación sino que la convierte en autora de sus propios estándares de accesibilidad para ese contrato específico.</w:t>
      </w:r>
    </w:p>
    <w:p w14:paraId="1B4A951C" w14:textId="77777777" w:rsidR="00164E23" w:rsidRPr="00670CFB" w:rsidRDefault="00164E23" w:rsidP="00A07A6E">
      <w:pPr>
        <w:spacing w:after="0" w:line="276" w:lineRule="auto"/>
        <w:ind w:firstLine="709"/>
        <w:jc w:val="both"/>
        <w:rPr>
          <w:rFonts w:ascii="Verdana" w:hAnsi="Verdana"/>
        </w:rPr>
      </w:pPr>
      <w:r w:rsidRPr="00670CFB">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174716D6" w14:textId="77777777" w:rsidR="00164E23" w:rsidRPr="00206556" w:rsidRDefault="00164E23" w:rsidP="00164E23">
      <w:pPr>
        <w:spacing w:after="0" w:line="276" w:lineRule="auto"/>
        <w:jc w:val="both"/>
        <w:rPr>
          <w:rFonts w:ascii="Verdana" w:eastAsia="Calibri" w:hAnsi="Verdana" w:cs="Arial"/>
          <w:lang w:val="es-ES"/>
        </w:rPr>
      </w:pPr>
    </w:p>
    <w:p w14:paraId="1D43C40B" w14:textId="77777777" w:rsidR="00164E23" w:rsidRPr="00206556" w:rsidRDefault="00164E23" w:rsidP="002F4D9E">
      <w:pPr>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p w14:paraId="404AA5EF" w14:textId="77777777" w:rsidR="0063630C" w:rsidRPr="002F4D9E" w:rsidRDefault="0063630C" w:rsidP="00A07A6E">
      <w:pPr>
        <w:spacing w:after="0" w:line="276" w:lineRule="auto"/>
        <w:jc w:val="both"/>
        <w:rPr>
          <w:rFonts w:ascii="Verdana" w:eastAsia="Century Gothic" w:hAnsi="Verdana" w:cs="Century Gothic"/>
          <w:b/>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64E23" w:rsidRPr="00206556" w14:paraId="04282F3E" w14:textId="77777777" w:rsidTr="00640533">
        <w:trPr>
          <w:trHeight w:val="297"/>
        </w:trPr>
        <w:tc>
          <w:tcPr>
            <w:tcW w:w="8647" w:type="dxa"/>
          </w:tcPr>
          <w:p w14:paraId="4BC4AB98" w14:textId="77777777" w:rsidR="00164E23" w:rsidRPr="00670CFB"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52F7B8A4"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04733DEE"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541B787A"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3CE9AFD2"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6C0ADA69"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 xml:space="preserve">Ley 1346 de 2009. Por medio de la cual se aprueba la Convención </w:t>
            </w:r>
            <w:r w:rsidRPr="00206556">
              <w:rPr>
                <w:rFonts w:ascii="Verdana" w:eastAsia="Arial MT" w:hAnsi="Verdana" w:cs="Arial"/>
                <w:lang w:eastAsia="es-ES" w:bidi="es-ES"/>
              </w:rPr>
              <w:lastRenderedPageBreak/>
              <w:t>sobre los Derechos de las Personas con Discapacidad de la ONU.</w:t>
            </w:r>
          </w:p>
          <w:p w14:paraId="7769E727"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34D5AA7F"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03FA9033"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3E7AA1A2"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0197AB08"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328909F4"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4E4FAA63"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614867A6"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31BD3EFF"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4426817F"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1442BC35"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5F3AF347"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7393C335"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06B4AEFC"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5CA9AE38"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748D8EC8"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75AB72D5"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4D615009"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 xml:space="preserve">Agencia Nacional de Contratación Pública – Colombia Compra </w:t>
            </w:r>
            <w:r w:rsidRPr="00206556">
              <w:rPr>
                <w:rFonts w:ascii="Verdana" w:eastAsia="Arial MT" w:hAnsi="Verdana" w:cs="Arial"/>
                <w:lang w:eastAsia="es-ES" w:bidi="es-ES"/>
              </w:rPr>
              <w:lastRenderedPageBreak/>
              <w:t>Eficiente. Concepto C-864 del 14 de diciembre de 2022.</w:t>
            </w:r>
          </w:p>
          <w:p w14:paraId="29485073"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564303D3" w14:textId="77777777" w:rsidR="00164E23" w:rsidRPr="00206556" w:rsidRDefault="00164E23" w:rsidP="00A07A6E">
            <w:pPr>
              <w:pStyle w:val="Prrafodelista"/>
              <w:widowControl w:val="0"/>
              <w:numPr>
                <w:ilvl w:val="0"/>
                <w:numId w:val="16"/>
              </w:numPr>
              <w:autoSpaceDE w:val="0"/>
              <w:autoSpaceDN w:val="0"/>
              <w:spacing w:line="276" w:lineRule="auto"/>
              <w:contextualSpacing w:val="0"/>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63F68A65" w14:textId="77777777" w:rsidR="00164E23" w:rsidRPr="00206556" w:rsidRDefault="00164E23" w:rsidP="00640533">
            <w:pPr>
              <w:widowControl w:val="0"/>
              <w:autoSpaceDE w:val="0"/>
              <w:autoSpaceDN w:val="0"/>
              <w:spacing w:line="276" w:lineRule="auto"/>
              <w:jc w:val="both"/>
              <w:rPr>
                <w:rFonts w:ascii="Verdana" w:eastAsia="Arial MT" w:hAnsi="Verdana" w:cs="Arial"/>
                <w:lang w:val="es-ES" w:eastAsia="es-ES" w:bidi="es-ES"/>
              </w:rPr>
            </w:pPr>
          </w:p>
        </w:tc>
      </w:tr>
    </w:tbl>
    <w:p w14:paraId="14A91C3E" w14:textId="77777777" w:rsidR="00164E23" w:rsidRPr="00206556" w:rsidRDefault="00164E23" w:rsidP="00164E23">
      <w:pPr>
        <w:widowControl w:val="0"/>
        <w:autoSpaceDE w:val="0"/>
        <w:autoSpaceDN w:val="0"/>
        <w:spacing w:after="0" w:line="276" w:lineRule="auto"/>
        <w:jc w:val="both"/>
        <w:rPr>
          <w:rFonts w:ascii="Verdana" w:hAnsi="Verdana" w:cs="Arial"/>
          <w:color w:val="ED7D31" w:themeColor="accent2"/>
          <w:lang w:val="es-ES"/>
        </w:rPr>
      </w:pPr>
    </w:p>
    <w:p w14:paraId="36AD2B46" w14:textId="77777777" w:rsidR="00164E23" w:rsidRDefault="00164E23" w:rsidP="00164E2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2C61F17A" w14:textId="77777777" w:rsidR="00164E23" w:rsidRPr="00670CFB" w:rsidRDefault="00164E23" w:rsidP="00164E23">
      <w:pPr>
        <w:tabs>
          <w:tab w:val="left" w:pos="142"/>
          <w:tab w:val="left" w:pos="284"/>
        </w:tabs>
        <w:spacing w:after="0" w:line="276" w:lineRule="auto"/>
        <w:jc w:val="both"/>
        <w:rPr>
          <w:rFonts w:ascii="Verdana" w:eastAsia="Century Gothic" w:hAnsi="Verdana" w:cs="Century Gothic"/>
          <w:b/>
          <w:lang w:val="es-ES"/>
        </w:rPr>
      </w:pPr>
    </w:p>
    <w:p w14:paraId="44798F04" w14:textId="77777777" w:rsidR="00164E23" w:rsidRPr="00206556" w:rsidRDefault="00164E23" w:rsidP="00164E23">
      <w:pPr>
        <w:spacing w:after="0" w:line="276" w:lineRule="auto"/>
        <w:jc w:val="both"/>
        <w:rPr>
          <w:rFonts w:ascii="Verdana" w:hAnsi="Verdana"/>
          <w:color w:val="ED7D31" w:themeColor="accent2"/>
          <w:lang w:val="es-ES"/>
        </w:rPr>
      </w:pPr>
      <w:r w:rsidRPr="00206556">
        <w:rPr>
          <w:rFonts w:ascii="Verdana" w:eastAsia="Calibri" w:hAnsi="Verdana" w:cs="Arial"/>
          <w:lang w:val="es-ES"/>
        </w:rPr>
        <w:t xml:space="preserve">La Agencia Nacional de Contratación Pública – Colombia Compra Eficiente se ha referido </w:t>
      </w:r>
      <w:r w:rsidRPr="00206556">
        <w:rPr>
          <w:rFonts w:ascii="Verdana" w:hAnsi="Verdana" w:cs="Arial"/>
          <w:shd w:val="clear" w:color="auto" w:fill="FFFFFF"/>
          <w:lang w:val="es-ES"/>
        </w:rPr>
        <w:t>sobre el alcance del Decreto 0287 de 2026 en este concepto</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Pr>
          <w:rFonts w:ascii="Verdana" w:hAnsi="Verdana" w:cs="Arial"/>
          <w:shd w:val="clear" w:color="auto" w:fill="FFFFFF"/>
          <w:lang w:val="es-ES"/>
        </w:rPr>
        <w:t>e</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4" w:history="1">
        <w:r w:rsidRPr="00206556">
          <w:rPr>
            <w:rStyle w:val="Hipervnculo"/>
            <w:rFonts w:ascii="Verdana" w:hAnsi="Verdana" w:cs="Arial"/>
            <w:shd w:val="clear" w:color="auto" w:fill="FFFFFF"/>
            <w:lang w:val="es-ES"/>
          </w:rPr>
          <w:t>https://relatoria.colombiacompra.gov.co/busqueda/conceptos</w:t>
        </w:r>
      </w:hyperlink>
    </w:p>
    <w:p w14:paraId="0670610D" w14:textId="77777777" w:rsidR="00164E23" w:rsidRPr="00206556" w:rsidRDefault="00164E23" w:rsidP="00164E23">
      <w:pPr>
        <w:spacing w:after="0" w:line="276" w:lineRule="auto"/>
        <w:jc w:val="both"/>
        <w:rPr>
          <w:rFonts w:ascii="Verdana" w:hAnsi="Verdana" w:cs="Arial"/>
          <w:color w:val="ED7D31" w:themeColor="accent2"/>
          <w:shd w:val="clear" w:color="auto" w:fill="FFFFFF"/>
          <w:lang w:val="es-ES"/>
        </w:rPr>
      </w:pPr>
    </w:p>
    <w:p w14:paraId="2047E5F9" w14:textId="77777777" w:rsidR="00164E23" w:rsidRPr="00206556" w:rsidRDefault="00164E23" w:rsidP="00164E23">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5"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014E486B" w14:textId="77777777" w:rsidR="00164E23" w:rsidRPr="00206556" w:rsidRDefault="00164E23" w:rsidP="00164E23">
      <w:pPr>
        <w:spacing w:after="0" w:line="276" w:lineRule="auto"/>
        <w:jc w:val="both"/>
        <w:rPr>
          <w:rFonts w:ascii="Verdana" w:hAnsi="Verdana" w:cs="Arial"/>
          <w:shd w:val="clear" w:color="auto" w:fill="FFFFFF"/>
        </w:rPr>
      </w:pPr>
    </w:p>
    <w:p w14:paraId="333CE4DF" w14:textId="77777777" w:rsidR="00164E23" w:rsidRPr="00206556" w:rsidRDefault="00164E23" w:rsidP="00164E23">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6" w:history="1">
        <w:r w:rsidRPr="00206556">
          <w:rPr>
            <w:rStyle w:val="Hipervnculo"/>
            <w:rFonts w:ascii="Verdana" w:hAnsi="Verdana" w:cs="Arial"/>
            <w:shd w:val="clear" w:color="auto" w:fill="FFFFFF"/>
          </w:rPr>
          <w:t>https://www.colombiacompra.gov.co/normativa-y-relatoria/documentos-tipo</w:t>
        </w:r>
      </w:hyperlink>
    </w:p>
    <w:p w14:paraId="42251B1A" w14:textId="77777777" w:rsidR="00164E23" w:rsidRPr="00206556" w:rsidRDefault="00164E23" w:rsidP="00164E23">
      <w:pPr>
        <w:spacing w:after="0" w:line="276" w:lineRule="auto"/>
        <w:jc w:val="both"/>
        <w:rPr>
          <w:rFonts w:ascii="Verdana" w:hAnsi="Verdana" w:cs="Arial"/>
          <w:shd w:val="clear" w:color="auto" w:fill="FFFFFF"/>
        </w:rPr>
      </w:pPr>
    </w:p>
    <w:p w14:paraId="248D7C7E" w14:textId="1352FC89" w:rsidR="00164E23" w:rsidRPr="00206556" w:rsidRDefault="00164E23" w:rsidP="00164E23">
      <w:pPr>
        <w:spacing w:after="0" w:line="276" w:lineRule="auto"/>
        <w:jc w:val="both"/>
        <w:rPr>
          <w:rFonts w:ascii="Verdana" w:hAnsi="Verdana" w:cs="Arial"/>
          <w:shd w:val="clear" w:color="auto" w:fill="FFFFFF"/>
        </w:rPr>
      </w:pPr>
      <w:r w:rsidRPr="00206556">
        <w:rPr>
          <w:rFonts w:ascii="Verdana" w:hAnsi="Verdana" w:cs="Arial"/>
          <w:shd w:val="clear" w:color="auto" w:fill="FFFFFF"/>
        </w:rPr>
        <w:lastRenderedPageBreak/>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r w:rsidRPr="002F4D9E">
        <w:rPr>
          <w:rFonts w:ascii="Verdana" w:hAnsi="Verdana" w:cs="Arial"/>
          <w:shd w:val="clear" w:color="auto" w:fill="FFFFFF"/>
        </w:rPr>
        <w:t>Además</w:t>
      </w:r>
      <w:r w:rsidR="00053AC1">
        <w:rPr>
          <w:rFonts w:ascii="Verdana" w:hAnsi="Verdana" w:cs="Arial"/>
          <w:shd w:val="clear" w:color="auto" w:fill="FFFFFF"/>
        </w:rPr>
        <w:t>,</w:t>
      </w:r>
      <w:r w:rsidRPr="002F4D9E">
        <w:rPr>
          <w:rFonts w:ascii="Verdana" w:hAnsi="Verdana" w:cs="Arial"/>
          <w:shd w:val="clear" w:color="auto" w:fill="FFFFFF"/>
        </w:rPr>
        <w:t xml:space="preserve"> se incluyeron lineamientos que orientan la implementación de los criterios ambientales y sociales incluidos en los documentos tipo: Consulta la guía aquí: </w:t>
      </w:r>
      <w:hyperlink r:id="rId17" w:history="1">
        <w:r w:rsidR="00053AC1" w:rsidRPr="007F46C4">
          <w:rPr>
            <w:rStyle w:val="Hipervnculo"/>
            <w:rFonts w:ascii="Verdana" w:hAnsi="Verdana" w:cs="Arial"/>
            <w:shd w:val="clear" w:color="auto" w:fill="FFFFFF"/>
          </w:rPr>
          <w:t>https://www.colombiacompra.gov.co/archivos/manual/guia-para-la-comprension-e-implementacion-de-los-documentos-tipo-de-obra-publica-de-infraestructura-de-transporte-bajo-las-diferentes-modalidades-de-contratacion-vigentes</w:t>
        </w:r>
      </w:hyperlink>
      <w:r w:rsidR="00053AC1">
        <w:rPr>
          <w:rFonts w:ascii="Verdana" w:hAnsi="Verdana" w:cs="Arial"/>
          <w:shd w:val="clear" w:color="auto" w:fill="FFFFFF"/>
        </w:rPr>
        <w:t xml:space="preserve"> </w:t>
      </w:r>
    </w:p>
    <w:p w14:paraId="62EDA6DE" w14:textId="77777777" w:rsidR="00164E23" w:rsidRPr="00206556" w:rsidRDefault="00164E23" w:rsidP="00164E23">
      <w:pPr>
        <w:spacing w:after="0" w:line="276" w:lineRule="auto"/>
        <w:jc w:val="both"/>
        <w:rPr>
          <w:rFonts w:ascii="Verdana" w:hAnsi="Verdana" w:cs="Arial"/>
          <w:color w:val="ED7D31" w:themeColor="accent2"/>
          <w:shd w:val="clear" w:color="auto" w:fill="FFFFFF"/>
        </w:rPr>
      </w:pPr>
    </w:p>
    <w:p w14:paraId="52277C39" w14:textId="77777777" w:rsidR="00164E23" w:rsidRPr="00206556" w:rsidRDefault="00164E23" w:rsidP="00A07A6E">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4FD56DEC" w14:textId="77777777" w:rsidR="00164E23" w:rsidRPr="00206556" w:rsidRDefault="00164E23" w:rsidP="00A07A6E">
      <w:pPr>
        <w:spacing w:after="0" w:line="276" w:lineRule="auto"/>
        <w:jc w:val="both"/>
        <w:rPr>
          <w:rFonts w:ascii="Verdana" w:hAnsi="Verdana" w:cs="Arial"/>
          <w:shd w:val="clear" w:color="auto" w:fill="FFFFFF"/>
        </w:rPr>
      </w:pPr>
    </w:p>
    <w:p w14:paraId="49E6E10F" w14:textId="77777777" w:rsidR="00164E23" w:rsidRPr="00206556" w:rsidRDefault="00164E23" w:rsidP="00A07A6E">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3954CCA0" w14:textId="77777777" w:rsidR="00164E23" w:rsidRPr="00206556" w:rsidRDefault="00164E23" w:rsidP="00A07A6E">
      <w:pPr>
        <w:spacing w:after="0" w:line="276" w:lineRule="auto"/>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053AD73E" w14:textId="77777777" w:rsidR="00164E23" w:rsidRPr="00206556" w:rsidRDefault="00164E23" w:rsidP="00A07A6E">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3D601315" w14:textId="77777777" w:rsidR="00164E23" w:rsidRPr="00206556" w:rsidRDefault="00164E23" w:rsidP="00A07A6E">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29C8D0E4" w14:textId="77777777" w:rsidR="00164E23" w:rsidRPr="00206556" w:rsidRDefault="00164E23" w:rsidP="00164E23">
      <w:pPr>
        <w:widowControl w:val="0"/>
        <w:autoSpaceDE w:val="0"/>
        <w:autoSpaceDN w:val="0"/>
        <w:spacing w:after="0" w:line="276" w:lineRule="auto"/>
        <w:jc w:val="both"/>
        <w:rPr>
          <w:rFonts w:ascii="Verdana" w:hAnsi="Verdana" w:cs="Arial"/>
          <w:color w:val="ED7D31" w:themeColor="accent2"/>
          <w:lang w:val="es-ES"/>
        </w:rPr>
      </w:pPr>
    </w:p>
    <w:p w14:paraId="18028084" w14:textId="77777777" w:rsidR="00164E23" w:rsidRPr="00206556" w:rsidRDefault="00164E23" w:rsidP="00164E23">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308F895" w14:textId="77777777" w:rsidR="00164E23" w:rsidRPr="00206556" w:rsidRDefault="00164E23" w:rsidP="00164E23">
      <w:pPr>
        <w:widowControl w:val="0"/>
        <w:autoSpaceDE w:val="0"/>
        <w:autoSpaceDN w:val="0"/>
        <w:spacing w:after="0" w:line="276" w:lineRule="auto"/>
        <w:jc w:val="both"/>
        <w:rPr>
          <w:rFonts w:ascii="Verdana" w:hAnsi="Verdana" w:cs="Arial"/>
          <w:lang w:val="es-ES"/>
        </w:rPr>
      </w:pPr>
    </w:p>
    <w:p w14:paraId="68207465" w14:textId="2DFE592D" w:rsidR="00164E23" w:rsidRPr="00206556" w:rsidRDefault="00164E23" w:rsidP="00A07A6E">
      <w:pPr>
        <w:spacing w:after="0" w:line="276" w:lineRule="auto"/>
        <w:rPr>
          <w:rFonts w:ascii="Verdana" w:eastAsia="Calibri" w:hAnsi="Verdana" w:cs="Arial"/>
          <w:noProof/>
          <w:sz w:val="20"/>
          <w:szCs w:val="20"/>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60B5BD5A" w14:textId="32448BA6" w:rsidR="00164E23" w:rsidRPr="00206556" w:rsidRDefault="00B352DD" w:rsidP="00A07A6E">
      <w:pPr>
        <w:spacing w:after="0" w:line="256" w:lineRule="auto"/>
        <w:jc w:val="center"/>
        <w:rPr>
          <w:rFonts w:ascii="Verdana" w:eastAsia="Times New Roman" w:hAnsi="Verdana" w:cs="Arial"/>
          <w:lang w:eastAsia="es-ES"/>
        </w:rPr>
      </w:pPr>
      <w:r>
        <w:rPr>
          <w:noProof/>
        </w:rPr>
        <w:drawing>
          <wp:inline distT="0" distB="0" distL="0" distR="0" wp14:anchorId="0AAE2EBB" wp14:editId="57438417">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164E23" w:rsidRPr="00206556" w14:paraId="00AFDB46" w14:textId="77777777" w:rsidTr="00640533">
        <w:trPr>
          <w:trHeight w:val="322"/>
        </w:trPr>
        <w:tc>
          <w:tcPr>
            <w:tcW w:w="733" w:type="dxa"/>
            <w:tcBorders>
              <w:top w:val="nil"/>
              <w:left w:val="nil"/>
              <w:bottom w:val="nil"/>
              <w:right w:val="nil"/>
            </w:tcBorders>
            <w:vAlign w:val="center"/>
            <w:hideMark/>
          </w:tcPr>
          <w:p w14:paraId="372DFD4A" w14:textId="77777777" w:rsidR="00164E23" w:rsidRPr="00206556" w:rsidRDefault="00164E23" w:rsidP="00640533">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7A5AC051" w14:textId="77777777" w:rsidR="00164E23" w:rsidRPr="00206556" w:rsidRDefault="00164E23" w:rsidP="00640533">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val="es-ES_tradnl" w:eastAsia="es-ES"/>
              </w:rPr>
              <w:t>Ximena Ríos López</w:t>
            </w:r>
          </w:p>
          <w:p w14:paraId="0690EBB9" w14:textId="77777777" w:rsidR="00164E23" w:rsidRPr="00A5703A" w:rsidRDefault="00164E23" w:rsidP="00640533">
            <w:pPr>
              <w:autoSpaceDE w:val="0"/>
              <w:autoSpaceDN w:val="0"/>
              <w:adjustRightInd w:val="0"/>
              <w:spacing w:after="0" w:line="276" w:lineRule="auto"/>
              <w:rPr>
                <w:rFonts w:ascii="Verdana" w:eastAsia="Calibri" w:hAnsi="Verdana" w:cs="Arial"/>
              </w:rPr>
            </w:pPr>
            <w:r w:rsidRPr="00206556">
              <w:rPr>
                <w:rFonts w:ascii="Verdana" w:eastAsia="Times New Roman" w:hAnsi="Verdana" w:cs="Arial"/>
                <w:sz w:val="16"/>
                <w:szCs w:val="16"/>
                <w:lang w:eastAsia="es-ES"/>
              </w:rPr>
              <w:lastRenderedPageBreak/>
              <w:t>Gestor T1-11 de la Subdirección de Gestión Contractual</w:t>
            </w:r>
          </w:p>
        </w:tc>
      </w:tr>
      <w:tr w:rsidR="00164E23" w:rsidRPr="00206556" w14:paraId="04998A47" w14:textId="77777777" w:rsidTr="00640533">
        <w:trPr>
          <w:trHeight w:val="322"/>
        </w:trPr>
        <w:tc>
          <w:tcPr>
            <w:tcW w:w="733" w:type="dxa"/>
            <w:tcBorders>
              <w:top w:val="nil"/>
              <w:left w:val="nil"/>
              <w:bottom w:val="nil"/>
              <w:right w:val="nil"/>
            </w:tcBorders>
            <w:vAlign w:val="center"/>
            <w:hideMark/>
          </w:tcPr>
          <w:p w14:paraId="757BAF58" w14:textId="77777777" w:rsidR="00164E23" w:rsidRPr="00206556" w:rsidRDefault="00164E23" w:rsidP="00640533">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lastRenderedPageBreak/>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502B58A" w14:textId="2BC4B20D" w:rsidR="00164E23" w:rsidRPr="00206556" w:rsidRDefault="00164E23" w:rsidP="00640533">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 xml:space="preserve">Diana </w:t>
            </w:r>
            <w:r w:rsidR="002F4D9E">
              <w:rPr>
                <w:rFonts w:ascii="Verdana" w:eastAsia="Times New Roman" w:hAnsi="Verdana" w:cs="Arial"/>
                <w:sz w:val="16"/>
                <w:szCs w:val="16"/>
                <w:lang w:val="es-ES_tradnl" w:eastAsia="es-ES"/>
              </w:rPr>
              <w:t>Lucia</w:t>
            </w:r>
            <w:r>
              <w:rPr>
                <w:rFonts w:ascii="Verdana" w:eastAsia="Times New Roman" w:hAnsi="Verdana" w:cs="Arial"/>
                <w:sz w:val="16"/>
                <w:szCs w:val="16"/>
                <w:lang w:val="es-ES_tradnl" w:eastAsia="es-ES"/>
              </w:rPr>
              <w:t xml:space="preserve"> Saavedra</w:t>
            </w:r>
            <w:r w:rsidR="002F4D9E">
              <w:rPr>
                <w:rFonts w:ascii="Verdana" w:eastAsia="Times New Roman" w:hAnsi="Verdana" w:cs="Arial"/>
                <w:sz w:val="16"/>
                <w:szCs w:val="16"/>
                <w:lang w:val="es-ES_tradnl" w:eastAsia="es-ES"/>
              </w:rPr>
              <w:t xml:space="preserve"> Castañeda</w:t>
            </w:r>
          </w:p>
          <w:p w14:paraId="73FB23CE" w14:textId="77777777" w:rsidR="00164E23" w:rsidRPr="00A5703A" w:rsidRDefault="00164E23" w:rsidP="00640533">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Contratista</w:t>
            </w:r>
            <w:r w:rsidRPr="00206556">
              <w:rPr>
                <w:rFonts w:ascii="Verdana" w:eastAsia="Times New Roman" w:hAnsi="Verdana" w:cs="Arial"/>
                <w:sz w:val="16"/>
                <w:szCs w:val="16"/>
                <w:lang w:eastAsia="es-ES"/>
              </w:rPr>
              <w:t xml:space="preserve"> de la Subdirección de Gestión Contractual</w:t>
            </w:r>
          </w:p>
        </w:tc>
      </w:tr>
      <w:tr w:rsidR="00164E23" w:rsidRPr="00206556" w14:paraId="594A5E55" w14:textId="77777777" w:rsidTr="00640533">
        <w:trPr>
          <w:trHeight w:val="307"/>
        </w:trPr>
        <w:tc>
          <w:tcPr>
            <w:tcW w:w="733" w:type="dxa"/>
            <w:tcBorders>
              <w:top w:val="nil"/>
              <w:left w:val="nil"/>
              <w:bottom w:val="nil"/>
              <w:right w:val="nil"/>
            </w:tcBorders>
            <w:vAlign w:val="center"/>
            <w:hideMark/>
          </w:tcPr>
          <w:p w14:paraId="115A83C3" w14:textId="77777777" w:rsidR="00164E23" w:rsidRPr="00206556" w:rsidRDefault="00164E23" w:rsidP="00640533">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587D8BA2" w14:textId="77777777" w:rsidR="00164E23" w:rsidRPr="00206556" w:rsidRDefault="00164E23" w:rsidP="00640533">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63629DBE" w14:textId="77777777" w:rsidR="00164E23" w:rsidRPr="00206556" w:rsidRDefault="00164E23" w:rsidP="00640533">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1511DAB1" w14:textId="77777777" w:rsidR="00164E23" w:rsidRDefault="00164E23" w:rsidP="00164E23">
      <w:pPr>
        <w:autoSpaceDE w:val="0"/>
        <w:autoSpaceDN w:val="0"/>
        <w:adjustRightInd w:val="0"/>
        <w:spacing w:after="0" w:line="276" w:lineRule="auto"/>
        <w:jc w:val="center"/>
        <w:rPr>
          <w:rFonts w:ascii="Verdana" w:eastAsia="Calibri" w:hAnsi="Verdana" w:cs="Arial"/>
        </w:rPr>
      </w:pPr>
    </w:p>
    <w:p w14:paraId="68FF7CC8" w14:textId="77777777" w:rsidR="00164E23" w:rsidRDefault="00164E23" w:rsidP="00164E23">
      <w:pPr>
        <w:autoSpaceDE w:val="0"/>
        <w:autoSpaceDN w:val="0"/>
        <w:adjustRightInd w:val="0"/>
        <w:spacing w:after="0" w:line="276" w:lineRule="auto"/>
        <w:jc w:val="center"/>
        <w:rPr>
          <w:rFonts w:ascii="Verdana" w:eastAsia="Calibri" w:hAnsi="Verdana" w:cs="Arial"/>
        </w:rPr>
      </w:pPr>
    </w:p>
    <w:p w14:paraId="2C63059C" w14:textId="77777777" w:rsidR="00164E23" w:rsidRPr="00206556" w:rsidRDefault="00164E23" w:rsidP="00164E23">
      <w:pPr>
        <w:autoSpaceDE w:val="0"/>
        <w:autoSpaceDN w:val="0"/>
        <w:adjustRightInd w:val="0"/>
        <w:spacing w:after="0" w:line="276" w:lineRule="auto"/>
        <w:jc w:val="center"/>
        <w:rPr>
          <w:rFonts w:ascii="Verdana" w:eastAsia="Calibri" w:hAnsi="Verdana" w:cs="Arial"/>
        </w:rPr>
      </w:pPr>
    </w:p>
    <w:p w14:paraId="6DDAFC4C" w14:textId="77777777" w:rsidR="00164E23" w:rsidRPr="00A5703A" w:rsidRDefault="00164E23" w:rsidP="00164E23"/>
    <w:p w14:paraId="0F293BF4" w14:textId="442693B6" w:rsidR="00127233" w:rsidRPr="000D01C1" w:rsidRDefault="00127233" w:rsidP="000D01C1"/>
    <w:sectPr w:rsidR="00127233" w:rsidRPr="000D01C1"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D7874" w14:textId="77777777" w:rsidR="002C69E0" w:rsidRDefault="002C69E0" w:rsidP="004A1847">
      <w:pPr>
        <w:spacing w:after="0" w:line="240" w:lineRule="auto"/>
      </w:pPr>
      <w:r>
        <w:separator/>
      </w:r>
    </w:p>
  </w:endnote>
  <w:endnote w:type="continuationSeparator" w:id="0">
    <w:p w14:paraId="1B81E950" w14:textId="77777777" w:rsidR="002C69E0" w:rsidRDefault="002C69E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500CA" w14:textId="77777777" w:rsidR="002C69E0" w:rsidRDefault="002C69E0" w:rsidP="004A1847">
      <w:pPr>
        <w:spacing w:after="0" w:line="240" w:lineRule="auto"/>
      </w:pPr>
      <w:r>
        <w:separator/>
      </w:r>
    </w:p>
  </w:footnote>
  <w:footnote w:type="continuationSeparator" w:id="0">
    <w:p w14:paraId="2C6B0958" w14:textId="77777777" w:rsidR="002C69E0" w:rsidRDefault="002C69E0" w:rsidP="004A1847">
      <w:pPr>
        <w:spacing w:after="0" w:line="240" w:lineRule="auto"/>
      </w:pPr>
      <w:r>
        <w:continuationSeparator/>
      </w:r>
    </w:p>
  </w:footnote>
  <w:footnote w:id="1">
    <w:p w14:paraId="1FEB13DF" w14:textId="77777777" w:rsidR="00164E23" w:rsidRPr="00206556" w:rsidRDefault="00164E23" w:rsidP="00A07A6E">
      <w:pPr>
        <w:spacing w:after="0" w:line="240" w:lineRule="auto"/>
        <w:ind w:firstLine="709"/>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18660BA3" w14:textId="77777777" w:rsidR="00164E23" w:rsidRPr="00206556" w:rsidRDefault="00164E23" w:rsidP="00A07A6E">
      <w:pPr>
        <w:spacing w:after="0" w:line="240" w:lineRule="auto"/>
        <w:ind w:firstLine="709"/>
        <w:jc w:val="both"/>
        <w:rPr>
          <w:rFonts w:ascii="Verdana" w:hAnsi="Verdana"/>
          <w:sz w:val="16"/>
          <w:szCs w:val="16"/>
        </w:rPr>
      </w:pPr>
    </w:p>
  </w:footnote>
  <w:footnote w:id="2">
    <w:p w14:paraId="1DD92A7C" w14:textId="77777777" w:rsidR="00164E23" w:rsidRPr="00206556" w:rsidRDefault="00164E23" w:rsidP="00A07A6E">
      <w:pPr>
        <w:pStyle w:val="Textonotapie"/>
        <w:ind w:firstLine="709"/>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2F3F885A" w14:textId="77777777" w:rsidR="00164E23" w:rsidRPr="00206556" w:rsidRDefault="00164E23" w:rsidP="00A07A6E">
      <w:pPr>
        <w:pStyle w:val="Textonotapie"/>
        <w:ind w:firstLine="709"/>
        <w:jc w:val="both"/>
        <w:rPr>
          <w:rFonts w:ascii="Verdana" w:hAnsi="Verdana"/>
          <w:sz w:val="16"/>
          <w:szCs w:val="16"/>
          <w:lang w:val="es-ES"/>
        </w:rPr>
      </w:pPr>
    </w:p>
  </w:footnote>
  <w:footnote w:id="3">
    <w:p w14:paraId="335EAC1A" w14:textId="77777777" w:rsidR="00164E23" w:rsidRPr="00206556" w:rsidRDefault="00164E23" w:rsidP="00A07A6E">
      <w:pPr>
        <w:spacing w:after="0" w:line="240" w:lineRule="auto"/>
        <w:ind w:firstLine="709"/>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51FD3F41" w14:textId="77777777" w:rsidR="00164E23" w:rsidRPr="00206556" w:rsidRDefault="00164E23" w:rsidP="00A07A6E">
      <w:pPr>
        <w:spacing w:after="0" w:line="240" w:lineRule="auto"/>
        <w:ind w:firstLine="709"/>
        <w:jc w:val="both"/>
        <w:rPr>
          <w:rFonts w:ascii="Verdana" w:hAnsi="Verdana"/>
          <w:sz w:val="16"/>
          <w:szCs w:val="16"/>
        </w:rPr>
      </w:pPr>
    </w:p>
  </w:footnote>
  <w:footnote w:id="4">
    <w:p w14:paraId="7B708A55" w14:textId="77777777" w:rsidR="00164E23" w:rsidRPr="00206556" w:rsidRDefault="00164E23" w:rsidP="00A07A6E">
      <w:pPr>
        <w:pStyle w:val="Textonotapie"/>
        <w:ind w:firstLine="709"/>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2777EA66" w14:textId="77777777" w:rsidR="00164E23" w:rsidRPr="00206556" w:rsidRDefault="00164E23" w:rsidP="00A07A6E">
      <w:pPr>
        <w:pStyle w:val="Textonotapie"/>
        <w:ind w:firstLine="709"/>
        <w:jc w:val="both"/>
        <w:rPr>
          <w:rFonts w:ascii="Verdana" w:hAnsi="Verdana"/>
          <w:sz w:val="16"/>
          <w:szCs w:val="16"/>
          <w:lang w:val="es-ES"/>
        </w:rPr>
      </w:pPr>
    </w:p>
  </w:footnote>
  <w:footnote w:id="5">
    <w:p w14:paraId="3E6806EC" w14:textId="77777777" w:rsidR="00164E23" w:rsidRPr="00206556" w:rsidRDefault="00164E23" w:rsidP="00A07A6E">
      <w:pPr>
        <w:pStyle w:val="Textonotapie"/>
        <w:ind w:firstLine="709"/>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37DE6A98" w14:textId="77777777" w:rsidR="00164E23" w:rsidRPr="00206556" w:rsidRDefault="00164E23" w:rsidP="00A07A6E">
      <w:pPr>
        <w:pStyle w:val="Textonotapie"/>
        <w:ind w:firstLine="709"/>
        <w:jc w:val="both"/>
        <w:rPr>
          <w:rFonts w:ascii="Verdana" w:hAnsi="Verdana"/>
          <w:sz w:val="16"/>
          <w:szCs w:val="16"/>
          <w:lang w:val="es-ES"/>
        </w:rPr>
      </w:pPr>
    </w:p>
  </w:footnote>
  <w:footnote w:id="6">
    <w:p w14:paraId="6AAC2168" w14:textId="77777777" w:rsidR="00164E23" w:rsidRPr="00206556" w:rsidRDefault="00164E23" w:rsidP="00A07A6E">
      <w:pPr>
        <w:pStyle w:val="Textonotapie"/>
        <w:ind w:firstLine="709"/>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688A8AF7" w14:textId="77777777" w:rsidR="00164E23" w:rsidRPr="00206556" w:rsidRDefault="00164E23" w:rsidP="00A07A6E">
      <w:pPr>
        <w:pStyle w:val="Textonotapie"/>
        <w:ind w:firstLine="709"/>
        <w:rPr>
          <w:rFonts w:ascii="Verdana" w:hAnsi="Verdana"/>
          <w:sz w:val="16"/>
          <w:szCs w:val="16"/>
          <w:lang w:val="es-ES"/>
        </w:rPr>
      </w:pPr>
    </w:p>
  </w:footnote>
  <w:footnote w:id="7">
    <w:p w14:paraId="26020D0F" w14:textId="77777777" w:rsidR="00164E23" w:rsidRPr="00206556" w:rsidRDefault="00164E23" w:rsidP="00A07A6E">
      <w:pPr>
        <w:pStyle w:val="Textonotapie"/>
        <w:ind w:firstLine="709"/>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37BBBE6F" w14:textId="77777777" w:rsidR="00164E23" w:rsidRPr="00206556" w:rsidRDefault="00164E23" w:rsidP="00A07A6E">
      <w:pPr>
        <w:pStyle w:val="Textonotapie"/>
        <w:ind w:firstLine="709"/>
        <w:rPr>
          <w:rFonts w:ascii="Verdana" w:hAnsi="Verdana"/>
          <w:sz w:val="16"/>
          <w:szCs w:val="16"/>
          <w:lang w:val="es-ES"/>
        </w:rPr>
      </w:pPr>
    </w:p>
  </w:footnote>
  <w:footnote w:id="8">
    <w:p w14:paraId="388574D4" w14:textId="77777777" w:rsidR="00164E23" w:rsidRPr="00206556" w:rsidRDefault="00164E23" w:rsidP="00A07A6E">
      <w:pPr>
        <w:pStyle w:val="Textonotapie"/>
        <w:ind w:firstLine="709"/>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 w:id="9">
    <w:p w14:paraId="72DFADF2" w14:textId="77777777" w:rsidR="00164E23" w:rsidRDefault="00164E23" w:rsidP="0063630C">
      <w:pPr>
        <w:pStyle w:val="Textonotapie"/>
        <w:ind w:firstLine="709"/>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Corte Constitucional de Colombia. (2017). Sentencia SU-049 de 2017. Magistrada Ponente: María Victoria Calle Correa. Bogotá: Corte Constitucional</w:t>
      </w:r>
      <w:r w:rsidRPr="00A07A6E">
        <w:rPr>
          <w:rFonts w:ascii="Verdana" w:hAnsi="Verdana"/>
          <w:sz w:val="16"/>
          <w:szCs w:val="16"/>
        </w:rPr>
        <w:t xml:space="preserve">. </w:t>
      </w:r>
    </w:p>
    <w:p w14:paraId="09CA05AB" w14:textId="77777777" w:rsidR="00164E23" w:rsidRPr="00A07A6E" w:rsidRDefault="00164E23" w:rsidP="000509A1">
      <w:pPr>
        <w:pStyle w:val="Textonotapie"/>
        <w:ind w:firstLine="709"/>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0"/>
  </w:num>
  <w:num w:numId="13" w16cid:durableId="1512908409">
    <w:abstractNumId w:val="3"/>
  </w:num>
  <w:num w:numId="14" w16cid:durableId="895897244">
    <w:abstractNumId w:val="13"/>
  </w:num>
  <w:num w:numId="15" w16cid:durableId="390349800">
    <w:abstractNumId w:val="9"/>
  </w:num>
  <w:num w:numId="16"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16B2"/>
    <w:rsid w:val="00046945"/>
    <w:rsid w:val="000509A1"/>
    <w:rsid w:val="00053AC1"/>
    <w:rsid w:val="00061B2A"/>
    <w:rsid w:val="00082362"/>
    <w:rsid w:val="000A683E"/>
    <w:rsid w:val="000B0524"/>
    <w:rsid w:val="000B19B9"/>
    <w:rsid w:val="000D01C1"/>
    <w:rsid w:val="000D0334"/>
    <w:rsid w:val="000D1C00"/>
    <w:rsid w:val="000D5DA7"/>
    <w:rsid w:val="000F3396"/>
    <w:rsid w:val="000F6486"/>
    <w:rsid w:val="000F7E9F"/>
    <w:rsid w:val="00116940"/>
    <w:rsid w:val="00122B9A"/>
    <w:rsid w:val="00125105"/>
    <w:rsid w:val="00125336"/>
    <w:rsid w:val="00126041"/>
    <w:rsid w:val="00127233"/>
    <w:rsid w:val="00133911"/>
    <w:rsid w:val="001474A4"/>
    <w:rsid w:val="00150786"/>
    <w:rsid w:val="0015699B"/>
    <w:rsid w:val="00157128"/>
    <w:rsid w:val="00164E23"/>
    <w:rsid w:val="001803BD"/>
    <w:rsid w:val="00182B5C"/>
    <w:rsid w:val="0018359A"/>
    <w:rsid w:val="0018583C"/>
    <w:rsid w:val="001A33BF"/>
    <w:rsid w:val="001C3294"/>
    <w:rsid w:val="001E4177"/>
    <w:rsid w:val="001F0B24"/>
    <w:rsid w:val="001F7DC6"/>
    <w:rsid w:val="0022400B"/>
    <w:rsid w:val="002421BB"/>
    <w:rsid w:val="0025796E"/>
    <w:rsid w:val="002707A2"/>
    <w:rsid w:val="00290DF7"/>
    <w:rsid w:val="002951A0"/>
    <w:rsid w:val="002962BC"/>
    <w:rsid w:val="002A093D"/>
    <w:rsid w:val="002A0DD0"/>
    <w:rsid w:val="002A49AC"/>
    <w:rsid w:val="002A64FD"/>
    <w:rsid w:val="002C052E"/>
    <w:rsid w:val="002C69E0"/>
    <w:rsid w:val="002C7A84"/>
    <w:rsid w:val="002E27F9"/>
    <w:rsid w:val="002E2BF8"/>
    <w:rsid w:val="002E4FD9"/>
    <w:rsid w:val="002F4D9E"/>
    <w:rsid w:val="00303D3C"/>
    <w:rsid w:val="0030657A"/>
    <w:rsid w:val="00322A85"/>
    <w:rsid w:val="00324168"/>
    <w:rsid w:val="0032703F"/>
    <w:rsid w:val="003270CC"/>
    <w:rsid w:val="00330834"/>
    <w:rsid w:val="00335C0D"/>
    <w:rsid w:val="003448F4"/>
    <w:rsid w:val="003729CA"/>
    <w:rsid w:val="00374F5E"/>
    <w:rsid w:val="00377E3E"/>
    <w:rsid w:val="003A1653"/>
    <w:rsid w:val="003A779E"/>
    <w:rsid w:val="003D0F4D"/>
    <w:rsid w:val="003D5B0D"/>
    <w:rsid w:val="003E0499"/>
    <w:rsid w:val="003E4F80"/>
    <w:rsid w:val="003E6439"/>
    <w:rsid w:val="003F3941"/>
    <w:rsid w:val="00406575"/>
    <w:rsid w:val="00414C74"/>
    <w:rsid w:val="0042722E"/>
    <w:rsid w:val="004375E9"/>
    <w:rsid w:val="0044528D"/>
    <w:rsid w:val="00456D3A"/>
    <w:rsid w:val="00466E39"/>
    <w:rsid w:val="00494D98"/>
    <w:rsid w:val="004A1847"/>
    <w:rsid w:val="004A305D"/>
    <w:rsid w:val="004A701A"/>
    <w:rsid w:val="004D4988"/>
    <w:rsid w:val="004D75D8"/>
    <w:rsid w:val="004F21C4"/>
    <w:rsid w:val="004F685F"/>
    <w:rsid w:val="00500BFE"/>
    <w:rsid w:val="005026A7"/>
    <w:rsid w:val="00505D00"/>
    <w:rsid w:val="005242AD"/>
    <w:rsid w:val="00526A2A"/>
    <w:rsid w:val="005325DF"/>
    <w:rsid w:val="005566E8"/>
    <w:rsid w:val="005634B8"/>
    <w:rsid w:val="00574851"/>
    <w:rsid w:val="00574867"/>
    <w:rsid w:val="005773F3"/>
    <w:rsid w:val="005833B7"/>
    <w:rsid w:val="00590511"/>
    <w:rsid w:val="00591460"/>
    <w:rsid w:val="00595BAC"/>
    <w:rsid w:val="005A65E0"/>
    <w:rsid w:val="005A79D2"/>
    <w:rsid w:val="005B09E0"/>
    <w:rsid w:val="005C3777"/>
    <w:rsid w:val="005C5CDC"/>
    <w:rsid w:val="005D476C"/>
    <w:rsid w:val="005E53B6"/>
    <w:rsid w:val="006025B0"/>
    <w:rsid w:val="00603B26"/>
    <w:rsid w:val="006200BF"/>
    <w:rsid w:val="006219F8"/>
    <w:rsid w:val="006302F7"/>
    <w:rsid w:val="0063518A"/>
    <w:rsid w:val="0063630C"/>
    <w:rsid w:val="00640533"/>
    <w:rsid w:val="006465B7"/>
    <w:rsid w:val="00646B9F"/>
    <w:rsid w:val="0065252D"/>
    <w:rsid w:val="006533ED"/>
    <w:rsid w:val="00665D70"/>
    <w:rsid w:val="00666747"/>
    <w:rsid w:val="006900D9"/>
    <w:rsid w:val="00691BB4"/>
    <w:rsid w:val="006D3C49"/>
    <w:rsid w:val="006F558C"/>
    <w:rsid w:val="00706C16"/>
    <w:rsid w:val="00710C2C"/>
    <w:rsid w:val="0071236F"/>
    <w:rsid w:val="007171B8"/>
    <w:rsid w:val="00726168"/>
    <w:rsid w:val="007340C3"/>
    <w:rsid w:val="007450CC"/>
    <w:rsid w:val="0075235A"/>
    <w:rsid w:val="00756841"/>
    <w:rsid w:val="007649AB"/>
    <w:rsid w:val="00771D0C"/>
    <w:rsid w:val="00773727"/>
    <w:rsid w:val="007833AC"/>
    <w:rsid w:val="007847CE"/>
    <w:rsid w:val="007A7025"/>
    <w:rsid w:val="007B268C"/>
    <w:rsid w:val="007B4751"/>
    <w:rsid w:val="007B7171"/>
    <w:rsid w:val="007C0C0F"/>
    <w:rsid w:val="007C3DC2"/>
    <w:rsid w:val="007E5497"/>
    <w:rsid w:val="007F4846"/>
    <w:rsid w:val="00806491"/>
    <w:rsid w:val="00806F5F"/>
    <w:rsid w:val="00820278"/>
    <w:rsid w:val="008258C9"/>
    <w:rsid w:val="00827E65"/>
    <w:rsid w:val="00844AE9"/>
    <w:rsid w:val="00853F4D"/>
    <w:rsid w:val="008553BA"/>
    <w:rsid w:val="00862E72"/>
    <w:rsid w:val="00867F95"/>
    <w:rsid w:val="00871029"/>
    <w:rsid w:val="008843B6"/>
    <w:rsid w:val="00891928"/>
    <w:rsid w:val="00894CE9"/>
    <w:rsid w:val="008A446D"/>
    <w:rsid w:val="008A7747"/>
    <w:rsid w:val="008B2501"/>
    <w:rsid w:val="008B25F1"/>
    <w:rsid w:val="008D180B"/>
    <w:rsid w:val="008D1F54"/>
    <w:rsid w:val="008F0EA7"/>
    <w:rsid w:val="00913C15"/>
    <w:rsid w:val="00915175"/>
    <w:rsid w:val="00916872"/>
    <w:rsid w:val="00923EEF"/>
    <w:rsid w:val="009400EF"/>
    <w:rsid w:val="009419F9"/>
    <w:rsid w:val="00942E9F"/>
    <w:rsid w:val="009534FC"/>
    <w:rsid w:val="0095685E"/>
    <w:rsid w:val="009616E5"/>
    <w:rsid w:val="00961B09"/>
    <w:rsid w:val="00965334"/>
    <w:rsid w:val="0097093E"/>
    <w:rsid w:val="009724CD"/>
    <w:rsid w:val="009767C2"/>
    <w:rsid w:val="009A0DFA"/>
    <w:rsid w:val="009A1C6F"/>
    <w:rsid w:val="009B2D26"/>
    <w:rsid w:val="009C71FA"/>
    <w:rsid w:val="009C72E7"/>
    <w:rsid w:val="009C7F7E"/>
    <w:rsid w:val="009D3058"/>
    <w:rsid w:val="009E2368"/>
    <w:rsid w:val="009E2D14"/>
    <w:rsid w:val="009F3A13"/>
    <w:rsid w:val="00A07A6E"/>
    <w:rsid w:val="00A122D3"/>
    <w:rsid w:val="00A14468"/>
    <w:rsid w:val="00A17F13"/>
    <w:rsid w:val="00A20739"/>
    <w:rsid w:val="00A23AF9"/>
    <w:rsid w:val="00A26DE9"/>
    <w:rsid w:val="00A33C78"/>
    <w:rsid w:val="00A35EC3"/>
    <w:rsid w:val="00A6021A"/>
    <w:rsid w:val="00A612CD"/>
    <w:rsid w:val="00A6494C"/>
    <w:rsid w:val="00A8025C"/>
    <w:rsid w:val="00AA5C88"/>
    <w:rsid w:val="00AB0ADB"/>
    <w:rsid w:val="00B00C0E"/>
    <w:rsid w:val="00B01B1A"/>
    <w:rsid w:val="00B0381D"/>
    <w:rsid w:val="00B157DF"/>
    <w:rsid w:val="00B352DD"/>
    <w:rsid w:val="00B44A47"/>
    <w:rsid w:val="00B53DCF"/>
    <w:rsid w:val="00B72CD3"/>
    <w:rsid w:val="00B72FFF"/>
    <w:rsid w:val="00B73555"/>
    <w:rsid w:val="00B8187E"/>
    <w:rsid w:val="00B8790B"/>
    <w:rsid w:val="00BB06B9"/>
    <w:rsid w:val="00BC1ABF"/>
    <w:rsid w:val="00BC3D36"/>
    <w:rsid w:val="00BD0136"/>
    <w:rsid w:val="00BD06BD"/>
    <w:rsid w:val="00BD54A6"/>
    <w:rsid w:val="00BD7F72"/>
    <w:rsid w:val="00BF7425"/>
    <w:rsid w:val="00C019B2"/>
    <w:rsid w:val="00C04FB3"/>
    <w:rsid w:val="00C10FA2"/>
    <w:rsid w:val="00C11D8B"/>
    <w:rsid w:val="00C15139"/>
    <w:rsid w:val="00C330EB"/>
    <w:rsid w:val="00C478AD"/>
    <w:rsid w:val="00C50D69"/>
    <w:rsid w:val="00C5365C"/>
    <w:rsid w:val="00C65393"/>
    <w:rsid w:val="00C7016F"/>
    <w:rsid w:val="00C754BE"/>
    <w:rsid w:val="00C76B1C"/>
    <w:rsid w:val="00C8303C"/>
    <w:rsid w:val="00C925AC"/>
    <w:rsid w:val="00C929BC"/>
    <w:rsid w:val="00C97362"/>
    <w:rsid w:val="00CB6152"/>
    <w:rsid w:val="00CB6357"/>
    <w:rsid w:val="00CB64D7"/>
    <w:rsid w:val="00CC1B26"/>
    <w:rsid w:val="00CC2839"/>
    <w:rsid w:val="00CD11FC"/>
    <w:rsid w:val="00CE4D68"/>
    <w:rsid w:val="00D12E0D"/>
    <w:rsid w:val="00D251CB"/>
    <w:rsid w:val="00D31D71"/>
    <w:rsid w:val="00D361FD"/>
    <w:rsid w:val="00D423A2"/>
    <w:rsid w:val="00D44E26"/>
    <w:rsid w:val="00D520D8"/>
    <w:rsid w:val="00D63AC2"/>
    <w:rsid w:val="00D65302"/>
    <w:rsid w:val="00D7383B"/>
    <w:rsid w:val="00D74E0C"/>
    <w:rsid w:val="00D7788A"/>
    <w:rsid w:val="00D844F9"/>
    <w:rsid w:val="00D946AC"/>
    <w:rsid w:val="00DA231B"/>
    <w:rsid w:val="00DB1383"/>
    <w:rsid w:val="00DB47ED"/>
    <w:rsid w:val="00DB55D1"/>
    <w:rsid w:val="00DC2097"/>
    <w:rsid w:val="00DC39FC"/>
    <w:rsid w:val="00DE2EE0"/>
    <w:rsid w:val="00DF5254"/>
    <w:rsid w:val="00E02524"/>
    <w:rsid w:val="00E1440E"/>
    <w:rsid w:val="00E16408"/>
    <w:rsid w:val="00E20894"/>
    <w:rsid w:val="00E21B1F"/>
    <w:rsid w:val="00E245AB"/>
    <w:rsid w:val="00E26217"/>
    <w:rsid w:val="00E2764C"/>
    <w:rsid w:val="00E27F2E"/>
    <w:rsid w:val="00E37168"/>
    <w:rsid w:val="00E40AC1"/>
    <w:rsid w:val="00E50AFE"/>
    <w:rsid w:val="00E567BE"/>
    <w:rsid w:val="00E75C92"/>
    <w:rsid w:val="00E771DC"/>
    <w:rsid w:val="00E8772A"/>
    <w:rsid w:val="00E877D4"/>
    <w:rsid w:val="00E90F6B"/>
    <w:rsid w:val="00E92C27"/>
    <w:rsid w:val="00E973FF"/>
    <w:rsid w:val="00EA0E3D"/>
    <w:rsid w:val="00EC38A7"/>
    <w:rsid w:val="00ED72A7"/>
    <w:rsid w:val="00EE1AA8"/>
    <w:rsid w:val="00EF0F2F"/>
    <w:rsid w:val="00F23FEA"/>
    <w:rsid w:val="00F31EDC"/>
    <w:rsid w:val="00F462B3"/>
    <w:rsid w:val="00F5664F"/>
    <w:rsid w:val="00F666C4"/>
    <w:rsid w:val="00F76AFC"/>
    <w:rsid w:val="00F86907"/>
    <w:rsid w:val="00FA214D"/>
    <w:rsid w:val="00FA47C0"/>
    <w:rsid w:val="00FB5DD1"/>
    <w:rsid w:val="00FC2B5D"/>
    <w:rsid w:val="00FE647A"/>
    <w:rsid w:val="00FF1449"/>
    <w:rsid w:val="00FF208E"/>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4BCD7692"/>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7716DB8D-79F8-445A-8BB0-2E9A66012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64E2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youtube.com/live/vpxD3PlXqPI?si=49f8ghb7Iiit6Ja9"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archivos/infografia/abc-del-decreto-0287-de-2026-contratacion-publica-inclusiva-para-personas-con-discapacidad"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ralarlicitaciones@gmail.com"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CE4E958-DE1A-4E83-A183-FFC6EDF3799C}"/>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22</Pages>
  <Words>7444</Words>
  <Characters>40942</Characters>
  <Application>Microsoft Office Word</Application>
  <DocSecurity>0</DocSecurity>
  <Lines>341</Lines>
  <Paragraphs>96</Paragraphs>
  <ScaleCrop>false</ScaleCrop>
  <Company/>
  <LinksUpToDate>false</LinksUpToDate>
  <CharactersWithSpaces>48290</CharactersWithSpaces>
  <SharedDoc>false</SharedDoc>
  <HLinks>
    <vt:vector size="36" baseType="variant">
      <vt:variant>
        <vt:i4>3735661</vt:i4>
      </vt:variant>
      <vt:variant>
        <vt:i4>15</vt:i4>
      </vt:variant>
      <vt:variant>
        <vt:i4>0</vt:i4>
      </vt:variant>
      <vt:variant>
        <vt:i4>5</vt:i4>
      </vt:variant>
      <vt:variant>
        <vt:lpwstr>https://www.colombiacompra.gov.co/normativa-y-relatoria/documentos-tipo</vt:lpwstr>
      </vt:variant>
      <vt:variant>
        <vt:lpwstr/>
      </vt:variant>
      <vt:variant>
        <vt:i4>65544</vt:i4>
      </vt:variant>
      <vt:variant>
        <vt:i4>12</vt:i4>
      </vt:variant>
      <vt:variant>
        <vt:i4>0</vt:i4>
      </vt:variant>
      <vt:variant>
        <vt:i4>5</vt:i4>
      </vt:variant>
      <vt:variant>
        <vt:lpwstr>https://formacionvirtual.colombiacompra.gov.co/mod/page/view.php?id=3718</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4456541</vt:i4>
      </vt:variant>
      <vt:variant>
        <vt:i4>6</vt:i4>
      </vt:variant>
      <vt:variant>
        <vt:i4>0</vt:i4>
      </vt:variant>
      <vt:variant>
        <vt:i4>5</vt:i4>
      </vt:variant>
      <vt:variant>
        <vt:lpwstr>https://www.youtube.com/live/vpxD3PlXqPI?si=49f8ghb7Iiit6Ja9</vt:lpwstr>
      </vt:variant>
      <vt:variant>
        <vt:lpwstr/>
      </vt:variant>
      <vt:variant>
        <vt:i4>1441861</vt:i4>
      </vt:variant>
      <vt:variant>
        <vt:i4>3</vt:i4>
      </vt:variant>
      <vt:variant>
        <vt:i4>0</vt:i4>
      </vt:variant>
      <vt:variant>
        <vt:i4>5</vt:i4>
      </vt:variant>
      <vt:variant>
        <vt:lpwstr>https://www.colombiacompra.gov.co/archivos/infografia/abc-del-decreto-0287-de-2026-contratacion-publica-inclusiva-para-personas-con-discapacidad</vt:lpwstr>
      </vt:variant>
      <vt:variant>
        <vt:lpwstr/>
      </vt:variant>
      <vt:variant>
        <vt:i4>7995476</vt:i4>
      </vt:variant>
      <vt:variant>
        <vt:i4>0</vt:i4>
      </vt:variant>
      <vt:variant>
        <vt:i4>0</vt:i4>
      </vt:variant>
      <vt:variant>
        <vt:i4>5</vt:i4>
      </vt:variant>
      <vt:variant>
        <vt:lpwstr>mailto:infralarlicitaciones@gmail.com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5</cp:revision>
  <cp:lastPrinted>2023-01-10T21:18:00Z</cp:lastPrinted>
  <dcterms:created xsi:type="dcterms:W3CDTF">2026-05-07T15:44:00Z</dcterms:created>
  <dcterms:modified xsi:type="dcterms:W3CDTF">2026-05-07T21:38:00Z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