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EA0714" w14:textId="77777777" w:rsidR="00EA6B8B" w:rsidRPr="00BE151B" w:rsidRDefault="00EA6B8B" w:rsidP="00EA6B8B">
      <w:pPr>
        <w:spacing w:after="0" w:line="240" w:lineRule="auto"/>
        <w:jc w:val="both"/>
        <w:rPr>
          <w:rFonts w:ascii="Verdana" w:eastAsia="Calibri" w:hAnsi="Verdana" w:cs="Arial"/>
          <w:b/>
          <w:bCs/>
          <w:color w:val="000000"/>
          <w:kern w:val="2"/>
          <w14:ligatures w14:val="standardContextual"/>
        </w:rPr>
      </w:pPr>
      <w:bookmarkStart w:id="0" w:name="_Hlk143780582"/>
      <w:r w:rsidRPr="00BE151B">
        <w:rPr>
          <w:rFonts w:ascii="Verdana" w:eastAsia="Calibri" w:hAnsi="Verdana" w:cs="Arial"/>
          <w:b/>
          <w:bCs/>
          <w:color w:val="000000"/>
          <w:kern w:val="2"/>
          <w14:ligatures w14:val="standardContextual"/>
        </w:rPr>
        <w:t xml:space="preserve">INHABILIDADES E INCOMPATIBILIDADES </w:t>
      </w:r>
      <w:r w:rsidRPr="00BE151B">
        <w:rPr>
          <w:rFonts w:ascii="Verdana" w:eastAsia="Calibri" w:hAnsi="Verdana" w:cs="Arial"/>
          <w:b/>
          <w:color w:val="000000"/>
          <w:kern w:val="2"/>
          <w14:ligatures w14:val="standardContextual"/>
        </w:rPr>
        <w:t>–</w:t>
      </w:r>
      <w:r w:rsidRPr="00BE151B">
        <w:rPr>
          <w:rFonts w:ascii="Verdana" w:eastAsia="Calibri" w:hAnsi="Verdana" w:cs="Arial"/>
          <w:b/>
          <w:bCs/>
          <w:color w:val="000000"/>
          <w:kern w:val="2"/>
          <w14:ligatures w14:val="standardContextual"/>
        </w:rPr>
        <w:t xml:space="preserve"> Concepto </w:t>
      </w:r>
      <w:r w:rsidRPr="00BE151B">
        <w:rPr>
          <w:rFonts w:ascii="Verdana" w:eastAsia="Calibri" w:hAnsi="Verdana" w:cs="Arial"/>
          <w:b/>
          <w:color w:val="000000"/>
          <w:kern w:val="2"/>
          <w14:ligatures w14:val="standardContextual"/>
        </w:rPr>
        <w:t xml:space="preserve">– </w:t>
      </w:r>
      <w:r w:rsidRPr="00BE151B">
        <w:rPr>
          <w:rFonts w:ascii="Verdana" w:eastAsia="Calibri" w:hAnsi="Verdana" w:cs="Arial"/>
          <w:b/>
          <w:bCs/>
          <w:color w:val="000000"/>
          <w:kern w:val="2"/>
          <w14:ligatures w14:val="standardContextual"/>
        </w:rPr>
        <w:t xml:space="preserve">Principio de legalidad </w:t>
      </w:r>
      <w:r w:rsidRPr="00BE151B">
        <w:rPr>
          <w:rFonts w:ascii="Verdana" w:eastAsia="Calibri" w:hAnsi="Verdana" w:cs="Arial"/>
          <w:b/>
          <w:color w:val="000000"/>
          <w:kern w:val="2"/>
          <w14:ligatures w14:val="standardContextual"/>
        </w:rPr>
        <w:t>–</w:t>
      </w:r>
      <w:r w:rsidRPr="00BE151B">
        <w:rPr>
          <w:rFonts w:ascii="Verdana" w:eastAsia="Calibri" w:hAnsi="Verdana" w:cs="Arial"/>
          <w:b/>
          <w:bCs/>
          <w:color w:val="000000"/>
          <w:kern w:val="2"/>
          <w14:ligatures w14:val="standardContextual"/>
        </w:rPr>
        <w:t xml:space="preserve"> Interpretación restrictiva</w:t>
      </w:r>
    </w:p>
    <w:p w14:paraId="171E6C80" w14:textId="77777777" w:rsidR="00EA6B8B" w:rsidRPr="00BE151B" w:rsidRDefault="00EA6B8B" w:rsidP="00EA6B8B">
      <w:pPr>
        <w:spacing w:after="0" w:line="240" w:lineRule="auto"/>
        <w:jc w:val="both"/>
        <w:rPr>
          <w:rFonts w:ascii="Verdana" w:eastAsia="Calibri" w:hAnsi="Verdana" w:cs="Arial"/>
          <w:b/>
          <w:bCs/>
          <w:color w:val="000000"/>
          <w:kern w:val="2"/>
          <w14:ligatures w14:val="standardContextual"/>
        </w:rPr>
      </w:pPr>
    </w:p>
    <w:p w14:paraId="05352313" w14:textId="77777777" w:rsidR="00EA6B8B" w:rsidRPr="00BE151B" w:rsidRDefault="00EA6B8B" w:rsidP="00EA6B8B">
      <w:pPr>
        <w:spacing w:after="0" w:line="240" w:lineRule="auto"/>
        <w:jc w:val="both"/>
        <w:rPr>
          <w:rFonts w:ascii="Verdana" w:eastAsia="Calibri" w:hAnsi="Verdana" w:cs="Arial"/>
          <w:color w:val="000000"/>
          <w:kern w:val="2"/>
          <w:sz w:val="20"/>
          <w:szCs w:val="20"/>
          <w14:ligatures w14:val="standardContextual"/>
        </w:rPr>
      </w:pPr>
      <w:r w:rsidRPr="00BE151B">
        <w:rPr>
          <w:rFonts w:ascii="Verdana" w:eastAsia="Calibri" w:hAnsi="Verdana" w:cs="Arial"/>
          <w:color w:val="000000"/>
          <w:kern w:val="2"/>
          <w:sz w:val="20"/>
          <w:szCs w:val="20"/>
          <w14:ligatures w14:val="standardContextual"/>
        </w:rPr>
        <w:t xml:space="preserve">Las </w:t>
      </w:r>
      <w:r w:rsidRPr="00BE151B">
        <w:rPr>
          <w:rFonts w:ascii="Verdana" w:eastAsia="Calibri" w:hAnsi="Verdana" w:cs="Arial"/>
          <w:i/>
          <w:iCs/>
          <w:color w:val="000000"/>
          <w:kern w:val="2"/>
          <w:sz w:val="20"/>
          <w:szCs w:val="20"/>
          <w14:ligatures w14:val="standardContextual"/>
        </w:rPr>
        <w:t>inhabilidades</w:t>
      </w:r>
      <w:r w:rsidRPr="00BE151B">
        <w:rPr>
          <w:rFonts w:ascii="Verdana" w:eastAsia="Calibri" w:hAnsi="Verdana" w:cs="Arial"/>
          <w:color w:val="000000"/>
          <w:kern w:val="2"/>
          <w:sz w:val="20"/>
          <w:szCs w:val="20"/>
          <w14:ligatures w14:val="standardContextual"/>
        </w:rPr>
        <w:t xml:space="preserve"> son prohibiciones para concurrir a los procedimientos de selección y para contratar con el Estado, que se derivan de:  i) la existencia de comportamientos reprochables o sanciones anteriormente impuestas, </w:t>
      </w:r>
      <w:proofErr w:type="spellStart"/>
      <w:r w:rsidRPr="00BE151B">
        <w:rPr>
          <w:rFonts w:ascii="Verdana" w:eastAsia="Calibri" w:hAnsi="Verdana" w:cs="Arial"/>
          <w:color w:val="000000"/>
          <w:kern w:val="2"/>
          <w:sz w:val="20"/>
          <w:szCs w:val="20"/>
          <w14:ligatures w14:val="standardContextual"/>
        </w:rPr>
        <w:t>ii</w:t>
      </w:r>
      <w:proofErr w:type="spellEnd"/>
      <w:r w:rsidRPr="00BE151B">
        <w:rPr>
          <w:rFonts w:ascii="Verdana" w:eastAsia="Calibri" w:hAnsi="Verdana" w:cs="Arial"/>
          <w:color w:val="000000"/>
          <w:kern w:val="2"/>
          <w:sz w:val="20"/>
          <w:szCs w:val="20"/>
          <w14:ligatures w14:val="standardContextual"/>
        </w:rPr>
        <w:t xml:space="preserve">) vínculos personales relativos al parentesco o al estado civil o </w:t>
      </w:r>
      <w:proofErr w:type="spellStart"/>
      <w:r w:rsidRPr="00BE151B">
        <w:rPr>
          <w:rFonts w:ascii="Verdana" w:eastAsia="Calibri" w:hAnsi="Verdana" w:cs="Arial"/>
          <w:color w:val="000000"/>
          <w:kern w:val="2"/>
          <w:sz w:val="20"/>
          <w:szCs w:val="20"/>
          <w14:ligatures w14:val="standardContextual"/>
        </w:rPr>
        <w:t>iii</w:t>
      </w:r>
      <w:proofErr w:type="spellEnd"/>
      <w:r w:rsidRPr="00BE151B">
        <w:rPr>
          <w:rFonts w:ascii="Verdana" w:eastAsia="Calibri" w:hAnsi="Verdana" w:cs="Arial"/>
          <w:color w:val="000000"/>
          <w:kern w:val="2"/>
          <w:sz w:val="20"/>
          <w:szCs w:val="20"/>
          <w14:ligatures w14:val="standardContextual"/>
        </w:rPr>
        <w:t xml:space="preserve">) una actividad u oficio que se desempeñó en el pasado. De otro lado, las </w:t>
      </w:r>
      <w:r w:rsidRPr="00BE151B">
        <w:rPr>
          <w:rFonts w:ascii="Verdana" w:eastAsia="Calibri" w:hAnsi="Verdana" w:cs="Arial"/>
          <w:i/>
          <w:iCs/>
          <w:color w:val="000000"/>
          <w:kern w:val="2"/>
          <w:sz w:val="20"/>
          <w:szCs w:val="20"/>
          <w14:ligatures w14:val="standardContextual"/>
        </w:rPr>
        <w:t>incompatibilidades</w:t>
      </w:r>
      <w:r w:rsidRPr="00BE151B">
        <w:rPr>
          <w:rFonts w:ascii="Verdana" w:eastAsia="Calibri" w:hAnsi="Verdana" w:cs="Arial"/>
          <w:color w:val="000000"/>
          <w:kern w:val="2"/>
          <w:sz w:val="20"/>
          <w:szCs w:val="20"/>
          <w14:ligatures w14:val="standardContextual"/>
        </w:rPr>
        <w:t xml:space="preserve"> son prohibiciones para participar en los procedimientos de selección y para celebrar contratos estatales, fundadas en la presencia de una calidad que ostenta el sujeto interesado en realizar alguna de dichas actividades, que no puede coexistir con su calidad de proponente o contratista del Estado. </w:t>
      </w:r>
    </w:p>
    <w:p w14:paraId="628F48B2" w14:textId="77777777" w:rsidR="00EA6B8B" w:rsidRPr="00BE151B" w:rsidRDefault="00EA6B8B" w:rsidP="00EA6B8B">
      <w:pPr>
        <w:spacing w:after="120" w:line="240" w:lineRule="auto"/>
        <w:jc w:val="both"/>
        <w:rPr>
          <w:rFonts w:ascii="Verdana" w:eastAsia="Calibri" w:hAnsi="Verdana" w:cs="Arial"/>
          <w:color w:val="000000"/>
          <w:kern w:val="2"/>
          <w:sz w:val="20"/>
          <w:szCs w:val="20"/>
          <w14:ligatures w14:val="standardContextual"/>
        </w:rPr>
      </w:pPr>
      <w:r w:rsidRPr="00BE151B">
        <w:rPr>
          <w:rFonts w:ascii="Verdana" w:eastAsia="Calibri" w:hAnsi="Verdana" w:cs="Arial"/>
          <w:color w:val="000000"/>
          <w:kern w:val="2"/>
          <w:sz w:val="20"/>
          <w:szCs w:val="20"/>
          <w14:ligatures w14:val="standardContextual"/>
        </w:rPr>
        <w:t>[…]</w:t>
      </w:r>
    </w:p>
    <w:p w14:paraId="2DE4C8BB" w14:textId="77777777" w:rsidR="00EA6B8B" w:rsidRPr="00BE151B" w:rsidRDefault="00EA6B8B" w:rsidP="00EA6B8B">
      <w:pPr>
        <w:spacing w:after="0" w:line="240" w:lineRule="auto"/>
        <w:jc w:val="both"/>
        <w:rPr>
          <w:rFonts w:ascii="Verdana" w:eastAsia="Calibri" w:hAnsi="Verdana" w:cs="Arial"/>
          <w:color w:val="000000"/>
          <w:kern w:val="2"/>
          <w:sz w:val="20"/>
          <w:szCs w:val="20"/>
          <w14:ligatures w14:val="standardContextual"/>
        </w:rPr>
      </w:pPr>
      <w:r w:rsidRPr="00BE151B">
        <w:rPr>
          <w:rFonts w:ascii="Verdana" w:eastAsia="Calibri" w:hAnsi="Verdana" w:cs="Arial"/>
          <w:color w:val="000000"/>
          <w:kern w:val="2"/>
          <w:sz w:val="20"/>
          <w:szCs w:val="20"/>
          <w14:ligatures w14:val="standardContextual"/>
        </w:rPr>
        <w:t>Ahora bien, al ser las inhabilidades e incompatibilidades –como ya se dijo– restricciones o límites especiales a la capacidad para presentar ofertas y celebrar contratos estatales, la interpretación de las causales que las integran debe ser restrictiva, pues si se admitiera una interpretación amplia, extensiva o finalista de las mismas, tales enunciados normativos podrían cobijar múltiples supuestos indeterminados, según el parecer o el sentido común de los operadores jurídicos, poniendo en riesgo principios como la igualdad, el debido proceso, la libre concurrencia y el ejercicio de la profesión u oficio.</w:t>
      </w:r>
    </w:p>
    <w:p w14:paraId="3CF56F46" w14:textId="77777777" w:rsidR="00EA6B8B" w:rsidRPr="00BE151B" w:rsidRDefault="00EA6B8B" w:rsidP="00EA6B8B">
      <w:pPr>
        <w:spacing w:after="0" w:line="240" w:lineRule="auto"/>
        <w:jc w:val="both"/>
        <w:rPr>
          <w:rFonts w:ascii="Verdana" w:eastAsia="Calibri" w:hAnsi="Verdana" w:cs="Arial"/>
          <w:color w:val="000000"/>
          <w:kern w:val="2"/>
          <w:sz w:val="20"/>
          <w:szCs w:val="20"/>
          <w14:ligatures w14:val="standardContextual"/>
        </w:rPr>
      </w:pPr>
    </w:p>
    <w:p w14:paraId="2EBA92E4" w14:textId="77777777" w:rsidR="00EA6B8B" w:rsidRDefault="00EA6B8B" w:rsidP="00EA6B8B">
      <w:pPr>
        <w:spacing w:after="0" w:line="240" w:lineRule="auto"/>
        <w:jc w:val="both"/>
        <w:rPr>
          <w:rFonts w:ascii="Verdana" w:eastAsia="Calibri" w:hAnsi="Verdana" w:cs="Arial"/>
          <w:b/>
          <w:color w:val="000000"/>
          <w:kern w:val="2"/>
          <w14:ligatures w14:val="standardContextual"/>
        </w:rPr>
      </w:pPr>
      <w:r w:rsidRPr="0078487A">
        <w:rPr>
          <w:rFonts w:ascii="Verdana" w:eastAsia="Calibri" w:hAnsi="Verdana" w:cs="Arial"/>
          <w:b/>
          <w:color w:val="000000"/>
          <w:kern w:val="2"/>
          <w14:ligatures w14:val="standardContextual"/>
        </w:rPr>
        <w:t>INHABILIDADES E INCOMPATIBILIDADES – Ley 80 de 1993 – Numeral 2, literal A) – Exservidor público – Niveles directivo, asesor o ejecutivo - Elemento temporal (1) un año</w:t>
      </w:r>
    </w:p>
    <w:p w14:paraId="46A21316" w14:textId="77777777" w:rsidR="00EA6B8B" w:rsidRPr="00BE151B" w:rsidRDefault="00EA6B8B" w:rsidP="00EA6B8B">
      <w:pPr>
        <w:spacing w:after="0" w:line="240" w:lineRule="auto"/>
        <w:jc w:val="both"/>
        <w:rPr>
          <w:rFonts w:ascii="Verdana" w:eastAsia="Calibri" w:hAnsi="Verdana" w:cs="Arial"/>
          <w:b/>
          <w:color w:val="000000"/>
          <w:kern w:val="2"/>
          <w14:ligatures w14:val="standardContextual"/>
        </w:rPr>
      </w:pPr>
    </w:p>
    <w:p w14:paraId="52C32029" w14:textId="77777777" w:rsidR="00EA6B8B" w:rsidRDefault="00EA6B8B" w:rsidP="00EA6B8B">
      <w:pPr>
        <w:spacing w:after="0" w:line="240" w:lineRule="auto"/>
        <w:jc w:val="both"/>
        <w:rPr>
          <w:rFonts w:ascii="Verdana" w:eastAsia="Calibri" w:hAnsi="Verdana" w:cs="Arial"/>
          <w:color w:val="000000"/>
          <w:kern w:val="2"/>
          <w:sz w:val="20"/>
          <w:szCs w:val="20"/>
          <w14:ligatures w14:val="standardContextual"/>
        </w:rPr>
      </w:pPr>
      <w:r w:rsidRPr="00E2445B">
        <w:rPr>
          <w:rFonts w:ascii="Verdana" w:eastAsia="Calibri" w:hAnsi="Verdana" w:cs="Arial"/>
          <w:color w:val="000000"/>
          <w:kern w:val="2"/>
          <w:sz w:val="20"/>
          <w:szCs w:val="20"/>
          <w14:ligatures w14:val="standardContextual"/>
        </w:rPr>
        <w:t xml:space="preserve">Los literales a) y f) prohíben a las entidades públicas contratar, para la primera, con i) miembros de la junta o consejo directivo o </w:t>
      </w:r>
      <w:proofErr w:type="spellStart"/>
      <w:r w:rsidRPr="00E2445B">
        <w:rPr>
          <w:rFonts w:ascii="Verdana" w:eastAsia="Calibri" w:hAnsi="Verdana" w:cs="Arial"/>
          <w:color w:val="000000"/>
          <w:kern w:val="2"/>
          <w:sz w:val="20"/>
          <w:szCs w:val="20"/>
          <w14:ligatures w14:val="standardContextual"/>
        </w:rPr>
        <w:t>ii</w:t>
      </w:r>
      <w:proofErr w:type="spellEnd"/>
      <w:r w:rsidRPr="00E2445B">
        <w:rPr>
          <w:rFonts w:ascii="Verdana" w:eastAsia="Calibri" w:hAnsi="Verdana" w:cs="Arial"/>
          <w:color w:val="000000"/>
          <w:kern w:val="2"/>
          <w:sz w:val="20"/>
          <w:szCs w:val="20"/>
          <w14:ligatures w14:val="standardContextual"/>
        </w:rPr>
        <w:t>) servidores públicos, en cualquiera de sus clasificaciones, sean estos miembros de corporaciones públicas, sean empleados y/o trabajadores del Estado y/o de sus entidades descentralizadas territorialmente y/o por servicios, que hubiesen ejercido funciones en los niveles directivo, asesor o ejecutivo, en los que su vinculación hubiere terminado dentro del año inmediatamente anterior en la entidad contratante.</w:t>
      </w:r>
    </w:p>
    <w:p w14:paraId="22B5B7B0" w14:textId="77777777" w:rsidR="00EA6B8B" w:rsidRDefault="00EA6B8B" w:rsidP="00EA6B8B">
      <w:pPr>
        <w:spacing w:after="0" w:line="240" w:lineRule="auto"/>
        <w:jc w:val="both"/>
        <w:rPr>
          <w:rFonts w:ascii="Verdana" w:eastAsia="Calibri" w:hAnsi="Verdana" w:cs="Arial"/>
          <w:color w:val="000000"/>
          <w:kern w:val="2"/>
          <w:sz w:val="20"/>
          <w:szCs w:val="20"/>
          <w14:ligatures w14:val="standardContextual"/>
        </w:rPr>
      </w:pPr>
    </w:p>
    <w:p w14:paraId="305498E8" w14:textId="77777777" w:rsidR="00EA6B8B" w:rsidRPr="00DA5964" w:rsidRDefault="00EA6B8B" w:rsidP="00EA6B8B">
      <w:pPr>
        <w:spacing w:after="0" w:line="240" w:lineRule="auto"/>
        <w:jc w:val="both"/>
        <w:rPr>
          <w:rFonts w:ascii="Verdana" w:eastAsia="Calibri" w:hAnsi="Verdana" w:cs="Arial"/>
          <w:b/>
          <w:color w:val="000000"/>
          <w:kern w:val="2"/>
          <w14:ligatures w14:val="standardContextual"/>
        </w:rPr>
      </w:pPr>
      <w:r w:rsidRPr="00DA5964">
        <w:rPr>
          <w:rFonts w:ascii="Verdana" w:eastAsia="Calibri" w:hAnsi="Verdana" w:cs="Arial"/>
          <w:b/>
          <w:color w:val="000000"/>
          <w:kern w:val="2"/>
          <w14:ligatures w14:val="standardContextual"/>
        </w:rPr>
        <w:t>INHABILIDADES E INCOMPATIBILIDADES – Ley 80 de 1993 – Numeral 2, literal F) – Contratación directa e indirecta – Exservidor público – Cargo Directivo – Elemento temporal (2) dos años – Sociedades</w:t>
      </w:r>
    </w:p>
    <w:p w14:paraId="387AB813" w14:textId="77777777" w:rsidR="00EA6B8B" w:rsidRPr="00E2445B" w:rsidRDefault="00EA6B8B" w:rsidP="00EA6B8B">
      <w:pPr>
        <w:spacing w:after="0" w:line="240" w:lineRule="auto"/>
        <w:jc w:val="both"/>
        <w:rPr>
          <w:rFonts w:ascii="Verdana" w:eastAsia="Calibri" w:hAnsi="Verdana" w:cs="Arial"/>
          <w:color w:val="000000"/>
          <w:kern w:val="2"/>
          <w:sz w:val="20"/>
          <w:szCs w:val="20"/>
          <w14:ligatures w14:val="standardContextual"/>
        </w:rPr>
      </w:pPr>
    </w:p>
    <w:p w14:paraId="56F488CB" w14:textId="77777777" w:rsidR="00EA6B8B" w:rsidRPr="00BE151B" w:rsidRDefault="00EA6B8B" w:rsidP="00EA6B8B">
      <w:pPr>
        <w:spacing w:after="0" w:line="240" w:lineRule="auto"/>
        <w:jc w:val="both"/>
        <w:rPr>
          <w:rFonts w:ascii="Verdana" w:eastAsia="Calibri" w:hAnsi="Verdana" w:cs="Arial"/>
          <w:color w:val="000000"/>
          <w:kern w:val="2"/>
          <w:sz w:val="20"/>
          <w:szCs w:val="20"/>
          <w14:ligatures w14:val="standardContextual"/>
        </w:rPr>
      </w:pPr>
      <w:r w:rsidRPr="00E2445B">
        <w:rPr>
          <w:rFonts w:ascii="Verdana" w:eastAsia="Calibri" w:hAnsi="Verdana" w:cs="Arial"/>
          <w:color w:val="000000"/>
          <w:kern w:val="2"/>
          <w:sz w:val="20"/>
          <w:szCs w:val="20"/>
          <w14:ligatures w14:val="standardContextual"/>
        </w:rPr>
        <w:t xml:space="preserve">Para la segunda, dicha prohibición recae en exservidores públicos que hubiesen ejercido cargos en el nivel directivo en entidades del Estado y las sociedades en las cuales dichos exservidores púbicos hagan parte o estén vinculados a cualquier título, dentro de los (2) dos años siguientes al retiro del ejercicio del cargo público, cuando el contrato que pretenden suscribir (sea el exservidor público persona natural o sea la sociedad en la que estos hagan parte o estén vinculados a la persona jurídica) establezcan por objeto contractual uno que tenga relación directa con el sector al cual prestó sus servicios. </w:t>
      </w:r>
      <w:r w:rsidRPr="00E2445B">
        <w:rPr>
          <w:rFonts w:ascii="Verdana" w:eastAsia="Calibri" w:hAnsi="Verdana" w:cs="Arial"/>
          <w:color w:val="000000"/>
          <w:kern w:val="2"/>
          <w:sz w:val="20"/>
          <w:szCs w:val="20"/>
          <w14:ligatures w14:val="standardContextual"/>
        </w:rPr>
        <w:lastRenderedPageBreak/>
        <w:t>Según el inciso segundo del literal f), dicha incompatibilidad opera para las personas que se encuentren dentro del primer grado de consanguinidad, primero de afinidad, o primero civil del exempleado público.</w:t>
      </w:r>
    </w:p>
    <w:p w14:paraId="7E30B00E" w14:textId="77777777" w:rsidR="00EA6B8B" w:rsidRPr="00BE151B" w:rsidRDefault="00EA6B8B" w:rsidP="00EA6B8B">
      <w:pPr>
        <w:spacing w:after="0" w:line="240" w:lineRule="auto"/>
        <w:jc w:val="both"/>
        <w:rPr>
          <w:rFonts w:ascii="Verdana" w:eastAsia="Calibri" w:hAnsi="Verdana" w:cs="Arial"/>
          <w:color w:val="000000"/>
          <w:kern w:val="2"/>
          <w:sz w:val="20"/>
          <w:szCs w:val="20"/>
          <w14:ligatures w14:val="standardContextual"/>
        </w:rPr>
      </w:pPr>
    </w:p>
    <w:p w14:paraId="2CDF00E6" w14:textId="77777777" w:rsidR="00EA6B8B" w:rsidRDefault="00EA6B8B" w:rsidP="00EA6B8B">
      <w:pPr>
        <w:spacing w:after="0" w:line="240" w:lineRule="auto"/>
        <w:rPr>
          <w:rFonts w:ascii="Verdana" w:eastAsia="Times New Roman" w:hAnsi="Verdana" w:cs="Arial"/>
          <w:lang w:eastAsia="es-ES_tradnl"/>
        </w:rPr>
      </w:pPr>
    </w:p>
    <w:p w14:paraId="02323C1E" w14:textId="77777777" w:rsidR="00EA6B8B" w:rsidRDefault="00EA6B8B" w:rsidP="00EA6B8B">
      <w:pPr>
        <w:spacing w:after="0" w:line="240" w:lineRule="auto"/>
        <w:rPr>
          <w:rFonts w:ascii="Verdana" w:eastAsia="Times New Roman" w:hAnsi="Verdana" w:cs="Arial"/>
          <w:lang w:eastAsia="es-ES_tradnl"/>
        </w:rPr>
      </w:pPr>
    </w:p>
    <w:p w14:paraId="5C390617" w14:textId="77777777" w:rsidR="00EA6B8B" w:rsidRDefault="00EA6B8B" w:rsidP="00EA6B8B">
      <w:pPr>
        <w:spacing w:after="0" w:line="240" w:lineRule="auto"/>
        <w:rPr>
          <w:rFonts w:ascii="Verdana" w:eastAsia="Times New Roman" w:hAnsi="Verdana" w:cs="Arial"/>
          <w:lang w:eastAsia="es-ES_tradnl"/>
        </w:rPr>
      </w:pPr>
    </w:p>
    <w:p w14:paraId="12AB8D3B" w14:textId="77777777" w:rsidR="00EA6B8B" w:rsidRDefault="00EA6B8B" w:rsidP="00EA6B8B">
      <w:pPr>
        <w:spacing w:after="0" w:line="240" w:lineRule="auto"/>
        <w:rPr>
          <w:rFonts w:ascii="Verdana" w:eastAsia="Times New Roman" w:hAnsi="Verdana" w:cs="Arial"/>
          <w:lang w:eastAsia="es-ES_tradnl"/>
        </w:rPr>
      </w:pPr>
    </w:p>
    <w:p w14:paraId="5A55D7FD" w14:textId="77777777" w:rsidR="00EA6B8B" w:rsidRDefault="00EA6B8B" w:rsidP="00EA6B8B">
      <w:pPr>
        <w:spacing w:after="0" w:line="240" w:lineRule="auto"/>
        <w:rPr>
          <w:rFonts w:ascii="Verdana" w:eastAsia="Calibri" w:hAnsi="Verdana" w:cs="Arial"/>
          <w:color w:val="000000"/>
          <w:kern w:val="2"/>
          <w14:ligatures w14:val="standardContextual"/>
        </w:rPr>
      </w:pPr>
    </w:p>
    <w:p w14:paraId="2A4BF0A9" w14:textId="77777777" w:rsidR="00EA6B8B" w:rsidRDefault="00EA6B8B" w:rsidP="00EA6B8B">
      <w:pPr>
        <w:spacing w:after="0" w:line="240" w:lineRule="auto"/>
        <w:rPr>
          <w:rFonts w:ascii="Verdana" w:eastAsia="Calibri" w:hAnsi="Verdana" w:cs="Arial"/>
          <w:color w:val="000000"/>
          <w:kern w:val="2"/>
          <w14:ligatures w14:val="standardContextual"/>
        </w:rPr>
      </w:pPr>
    </w:p>
    <w:p w14:paraId="3E5C3E83" w14:textId="77777777" w:rsidR="00EA6B8B" w:rsidRDefault="00EA6B8B" w:rsidP="00EA6B8B">
      <w:pPr>
        <w:spacing w:after="0" w:line="240" w:lineRule="auto"/>
        <w:rPr>
          <w:rFonts w:ascii="Verdana" w:eastAsia="Calibri" w:hAnsi="Verdana" w:cs="Arial"/>
          <w:color w:val="000000"/>
          <w:kern w:val="2"/>
          <w14:ligatures w14:val="standardContextual"/>
        </w:rPr>
      </w:pPr>
    </w:p>
    <w:p w14:paraId="73D70D7D" w14:textId="77777777" w:rsidR="00EA6B8B" w:rsidRDefault="00EA6B8B" w:rsidP="00EA6B8B">
      <w:pPr>
        <w:spacing w:after="0" w:line="240" w:lineRule="auto"/>
        <w:rPr>
          <w:rFonts w:ascii="Verdana" w:eastAsia="Calibri" w:hAnsi="Verdana" w:cs="Arial"/>
          <w:color w:val="000000"/>
          <w:kern w:val="2"/>
          <w14:ligatures w14:val="standardContextual"/>
        </w:rPr>
      </w:pPr>
    </w:p>
    <w:p w14:paraId="1C2D75D0" w14:textId="77777777" w:rsidR="00EA6B8B" w:rsidRDefault="00EA6B8B" w:rsidP="00EA6B8B">
      <w:pPr>
        <w:spacing w:after="0" w:line="240" w:lineRule="auto"/>
        <w:rPr>
          <w:rFonts w:ascii="Verdana" w:eastAsia="Calibri" w:hAnsi="Verdana" w:cs="Arial"/>
          <w:color w:val="000000"/>
          <w:kern w:val="2"/>
          <w14:ligatures w14:val="standardContextual"/>
        </w:rPr>
      </w:pPr>
    </w:p>
    <w:p w14:paraId="170D7AB7" w14:textId="77777777" w:rsidR="00EA6B8B" w:rsidRDefault="00EA6B8B" w:rsidP="00EA6B8B">
      <w:pPr>
        <w:spacing w:after="0" w:line="240" w:lineRule="auto"/>
        <w:rPr>
          <w:rFonts w:ascii="Verdana" w:eastAsia="Calibri" w:hAnsi="Verdana" w:cs="Arial"/>
          <w:color w:val="000000"/>
          <w:kern w:val="2"/>
          <w14:ligatures w14:val="standardContextual"/>
        </w:rPr>
      </w:pPr>
    </w:p>
    <w:p w14:paraId="7B298343" w14:textId="77777777" w:rsidR="00EA6B8B" w:rsidRDefault="00EA6B8B" w:rsidP="00EA6B8B">
      <w:pPr>
        <w:spacing w:after="0" w:line="240" w:lineRule="auto"/>
        <w:rPr>
          <w:rFonts w:ascii="Verdana" w:eastAsia="Calibri" w:hAnsi="Verdana" w:cs="Arial"/>
          <w:color w:val="000000"/>
          <w:kern w:val="2"/>
          <w14:ligatures w14:val="standardContextual"/>
        </w:rPr>
      </w:pPr>
    </w:p>
    <w:p w14:paraId="029D97CE" w14:textId="77777777" w:rsidR="00EA6B8B" w:rsidRDefault="00EA6B8B" w:rsidP="00EA6B8B">
      <w:pPr>
        <w:spacing w:after="0" w:line="240" w:lineRule="auto"/>
        <w:rPr>
          <w:rFonts w:ascii="Verdana" w:eastAsia="Calibri" w:hAnsi="Verdana" w:cs="Arial"/>
          <w:color w:val="000000"/>
          <w:kern w:val="2"/>
          <w14:ligatures w14:val="standardContextual"/>
        </w:rPr>
      </w:pPr>
    </w:p>
    <w:p w14:paraId="72D5740D" w14:textId="77777777" w:rsidR="00EA6B8B" w:rsidRDefault="00EA6B8B" w:rsidP="00EA6B8B">
      <w:pPr>
        <w:spacing w:after="0" w:line="240" w:lineRule="auto"/>
        <w:rPr>
          <w:rFonts w:ascii="Verdana" w:eastAsia="Calibri" w:hAnsi="Verdana" w:cs="Arial"/>
          <w:color w:val="000000"/>
          <w:kern w:val="2"/>
          <w14:ligatures w14:val="standardContextual"/>
        </w:rPr>
      </w:pPr>
    </w:p>
    <w:p w14:paraId="01D21C1A" w14:textId="77777777" w:rsidR="00EA6B8B" w:rsidRDefault="00EA6B8B" w:rsidP="00EA6B8B">
      <w:pPr>
        <w:spacing w:after="0" w:line="240" w:lineRule="auto"/>
        <w:rPr>
          <w:rFonts w:ascii="Verdana" w:eastAsia="Calibri" w:hAnsi="Verdana" w:cs="Arial"/>
          <w:color w:val="000000"/>
          <w:kern w:val="2"/>
          <w14:ligatures w14:val="standardContextual"/>
        </w:rPr>
      </w:pPr>
    </w:p>
    <w:p w14:paraId="748CC1EC" w14:textId="77777777" w:rsidR="00EA6B8B" w:rsidRDefault="00EA6B8B" w:rsidP="00EA6B8B">
      <w:pPr>
        <w:spacing w:after="0" w:line="240" w:lineRule="auto"/>
        <w:rPr>
          <w:rFonts w:ascii="Verdana" w:eastAsia="Calibri" w:hAnsi="Verdana" w:cs="Arial"/>
          <w:color w:val="000000"/>
          <w:kern w:val="2"/>
          <w14:ligatures w14:val="standardContextual"/>
        </w:rPr>
      </w:pPr>
    </w:p>
    <w:p w14:paraId="56F86895" w14:textId="77777777" w:rsidR="00EA6B8B" w:rsidRDefault="00EA6B8B" w:rsidP="00EA6B8B">
      <w:pPr>
        <w:spacing w:after="0" w:line="240" w:lineRule="auto"/>
        <w:rPr>
          <w:rFonts w:ascii="Verdana" w:eastAsia="Calibri" w:hAnsi="Verdana" w:cs="Arial"/>
          <w:color w:val="000000"/>
          <w:kern w:val="2"/>
          <w14:ligatures w14:val="standardContextual"/>
        </w:rPr>
      </w:pPr>
    </w:p>
    <w:p w14:paraId="12D0F1A0" w14:textId="77777777" w:rsidR="00EA6B8B" w:rsidRDefault="00EA6B8B" w:rsidP="00EA6B8B">
      <w:pPr>
        <w:spacing w:after="0" w:line="240" w:lineRule="auto"/>
        <w:rPr>
          <w:rFonts w:ascii="Verdana" w:eastAsia="Calibri" w:hAnsi="Verdana" w:cs="Arial"/>
          <w:color w:val="000000"/>
          <w:kern w:val="2"/>
          <w14:ligatures w14:val="standardContextual"/>
        </w:rPr>
      </w:pPr>
    </w:p>
    <w:p w14:paraId="74D24443" w14:textId="77777777" w:rsidR="00EA6B8B" w:rsidRDefault="00EA6B8B" w:rsidP="00EA6B8B">
      <w:pPr>
        <w:spacing w:after="0" w:line="240" w:lineRule="auto"/>
        <w:rPr>
          <w:rFonts w:ascii="Verdana" w:eastAsia="Calibri" w:hAnsi="Verdana" w:cs="Arial"/>
          <w:color w:val="000000"/>
          <w:kern w:val="2"/>
          <w14:ligatures w14:val="standardContextual"/>
        </w:rPr>
      </w:pPr>
    </w:p>
    <w:p w14:paraId="4191C6EF" w14:textId="77777777" w:rsidR="00EA6B8B" w:rsidRDefault="00EA6B8B" w:rsidP="00EA6B8B">
      <w:pPr>
        <w:spacing w:after="0" w:line="240" w:lineRule="auto"/>
        <w:rPr>
          <w:rFonts w:ascii="Verdana" w:eastAsia="Calibri" w:hAnsi="Verdana" w:cs="Arial"/>
          <w:color w:val="000000"/>
          <w:kern w:val="2"/>
          <w14:ligatures w14:val="standardContextual"/>
        </w:rPr>
      </w:pPr>
    </w:p>
    <w:p w14:paraId="10899DC3" w14:textId="77777777" w:rsidR="00EA6B8B" w:rsidRDefault="00EA6B8B" w:rsidP="00EA6B8B">
      <w:pPr>
        <w:spacing w:after="0" w:line="240" w:lineRule="auto"/>
        <w:rPr>
          <w:rFonts w:ascii="Verdana" w:eastAsia="Calibri" w:hAnsi="Verdana" w:cs="Arial"/>
          <w:color w:val="000000"/>
          <w:kern w:val="2"/>
          <w14:ligatures w14:val="standardContextual"/>
        </w:rPr>
      </w:pPr>
    </w:p>
    <w:p w14:paraId="0A75FAA4" w14:textId="77777777" w:rsidR="00EA6B8B" w:rsidRDefault="00EA6B8B" w:rsidP="00EA6B8B">
      <w:pPr>
        <w:spacing w:after="0" w:line="240" w:lineRule="auto"/>
        <w:rPr>
          <w:rFonts w:ascii="Verdana" w:eastAsia="Calibri" w:hAnsi="Verdana" w:cs="Arial"/>
          <w:color w:val="000000"/>
          <w:kern w:val="2"/>
          <w14:ligatures w14:val="standardContextual"/>
        </w:rPr>
      </w:pPr>
    </w:p>
    <w:p w14:paraId="6B1D0CEA" w14:textId="77777777" w:rsidR="00EA6B8B" w:rsidRDefault="00EA6B8B" w:rsidP="00EA6B8B">
      <w:pPr>
        <w:spacing w:after="0" w:line="240" w:lineRule="auto"/>
        <w:rPr>
          <w:rFonts w:ascii="Verdana" w:eastAsia="Calibri" w:hAnsi="Verdana" w:cs="Arial"/>
          <w:color w:val="000000"/>
          <w:kern w:val="2"/>
          <w14:ligatures w14:val="standardContextual"/>
        </w:rPr>
      </w:pPr>
    </w:p>
    <w:p w14:paraId="548554B5" w14:textId="77777777" w:rsidR="00EA6B8B" w:rsidRDefault="00EA6B8B" w:rsidP="00EA6B8B">
      <w:pPr>
        <w:spacing w:after="0" w:line="240" w:lineRule="auto"/>
        <w:rPr>
          <w:rFonts w:ascii="Verdana" w:eastAsia="Calibri" w:hAnsi="Verdana" w:cs="Arial"/>
          <w:color w:val="000000"/>
          <w:kern w:val="2"/>
          <w14:ligatures w14:val="standardContextual"/>
        </w:rPr>
      </w:pPr>
    </w:p>
    <w:p w14:paraId="1A0F8C95" w14:textId="77777777" w:rsidR="00EA6B8B" w:rsidRDefault="00EA6B8B" w:rsidP="00EA6B8B">
      <w:pPr>
        <w:spacing w:after="0" w:line="240" w:lineRule="auto"/>
        <w:rPr>
          <w:rFonts w:ascii="Verdana" w:eastAsia="Calibri" w:hAnsi="Verdana" w:cs="Arial"/>
          <w:color w:val="000000"/>
          <w:kern w:val="2"/>
          <w14:ligatures w14:val="standardContextual"/>
        </w:rPr>
      </w:pPr>
    </w:p>
    <w:p w14:paraId="6190E806" w14:textId="77777777" w:rsidR="00EA6B8B" w:rsidRDefault="00EA6B8B" w:rsidP="00EA6B8B">
      <w:pPr>
        <w:spacing w:after="0" w:line="240" w:lineRule="auto"/>
        <w:rPr>
          <w:rFonts w:ascii="Verdana" w:eastAsia="Calibri" w:hAnsi="Verdana" w:cs="Arial"/>
          <w:color w:val="000000"/>
          <w:kern w:val="2"/>
          <w14:ligatures w14:val="standardContextual"/>
        </w:rPr>
      </w:pPr>
    </w:p>
    <w:p w14:paraId="0F221B5A" w14:textId="77777777" w:rsidR="00EA6B8B" w:rsidRDefault="00EA6B8B" w:rsidP="00EA6B8B">
      <w:pPr>
        <w:spacing w:after="0" w:line="240" w:lineRule="auto"/>
        <w:rPr>
          <w:rFonts w:ascii="Verdana" w:eastAsia="Calibri" w:hAnsi="Verdana" w:cs="Arial"/>
          <w:color w:val="000000"/>
          <w:kern w:val="2"/>
          <w14:ligatures w14:val="standardContextual"/>
        </w:rPr>
      </w:pPr>
    </w:p>
    <w:p w14:paraId="2A801820" w14:textId="77777777" w:rsidR="00EA6B8B" w:rsidRDefault="00EA6B8B" w:rsidP="00EA6B8B">
      <w:pPr>
        <w:spacing w:after="0" w:line="240" w:lineRule="auto"/>
        <w:rPr>
          <w:rFonts w:ascii="Verdana" w:eastAsia="Calibri" w:hAnsi="Verdana" w:cs="Arial"/>
          <w:color w:val="000000"/>
          <w:kern w:val="2"/>
          <w14:ligatures w14:val="standardContextual"/>
        </w:rPr>
      </w:pPr>
    </w:p>
    <w:p w14:paraId="0F2A4198" w14:textId="77777777" w:rsidR="00EA6B8B" w:rsidRDefault="00EA6B8B" w:rsidP="00EA6B8B">
      <w:pPr>
        <w:spacing w:after="0" w:line="240" w:lineRule="auto"/>
        <w:rPr>
          <w:rFonts w:ascii="Verdana" w:eastAsia="Calibri" w:hAnsi="Verdana" w:cs="Arial"/>
          <w:color w:val="000000"/>
          <w:kern w:val="2"/>
          <w14:ligatures w14:val="standardContextual"/>
        </w:rPr>
      </w:pPr>
    </w:p>
    <w:p w14:paraId="63232002" w14:textId="77777777" w:rsidR="00EA6B8B" w:rsidRDefault="00EA6B8B" w:rsidP="00EA6B8B">
      <w:pPr>
        <w:spacing w:after="0" w:line="240" w:lineRule="auto"/>
        <w:rPr>
          <w:rFonts w:ascii="Verdana" w:eastAsia="Calibri" w:hAnsi="Verdana" w:cs="Arial"/>
          <w:color w:val="000000"/>
          <w:kern w:val="2"/>
          <w14:ligatures w14:val="standardContextual"/>
        </w:rPr>
      </w:pPr>
    </w:p>
    <w:p w14:paraId="558FEAFB" w14:textId="77777777" w:rsidR="00EA6B8B" w:rsidRDefault="00EA6B8B" w:rsidP="00EA6B8B">
      <w:pPr>
        <w:spacing w:after="0" w:line="240" w:lineRule="auto"/>
        <w:rPr>
          <w:rFonts w:ascii="Verdana" w:eastAsia="Calibri" w:hAnsi="Verdana" w:cs="Arial"/>
          <w:color w:val="000000"/>
          <w:kern w:val="2"/>
          <w14:ligatures w14:val="standardContextual"/>
        </w:rPr>
      </w:pPr>
    </w:p>
    <w:p w14:paraId="0D367B80" w14:textId="77777777" w:rsidR="00EA6B8B" w:rsidRDefault="00EA6B8B" w:rsidP="00EA6B8B">
      <w:pPr>
        <w:spacing w:after="0" w:line="240" w:lineRule="auto"/>
        <w:rPr>
          <w:rFonts w:ascii="Verdana" w:eastAsia="Calibri" w:hAnsi="Verdana" w:cs="Arial"/>
          <w:color w:val="000000"/>
          <w:kern w:val="2"/>
          <w14:ligatures w14:val="standardContextual"/>
        </w:rPr>
      </w:pPr>
    </w:p>
    <w:p w14:paraId="7E2C8895" w14:textId="77777777" w:rsidR="00EA6B8B" w:rsidRDefault="00EA6B8B" w:rsidP="00EA6B8B">
      <w:pPr>
        <w:spacing w:after="0" w:line="240" w:lineRule="auto"/>
        <w:rPr>
          <w:rFonts w:ascii="Verdana" w:eastAsia="Calibri" w:hAnsi="Verdana" w:cs="Arial"/>
          <w:color w:val="000000"/>
          <w:kern w:val="2"/>
          <w14:ligatures w14:val="standardContextual"/>
        </w:rPr>
      </w:pPr>
    </w:p>
    <w:p w14:paraId="0D80A6FB" w14:textId="77777777" w:rsidR="00EA6B8B" w:rsidRDefault="00EA6B8B" w:rsidP="00EA6B8B">
      <w:pPr>
        <w:spacing w:after="0" w:line="240" w:lineRule="auto"/>
        <w:rPr>
          <w:rFonts w:ascii="Verdana" w:eastAsia="Calibri" w:hAnsi="Verdana" w:cs="Arial"/>
          <w:color w:val="000000"/>
          <w:kern w:val="2"/>
          <w14:ligatures w14:val="standardContextual"/>
        </w:rPr>
      </w:pPr>
    </w:p>
    <w:p w14:paraId="1B929F90" w14:textId="77777777" w:rsidR="00EA6B8B" w:rsidRDefault="00EA6B8B" w:rsidP="00EA6B8B">
      <w:pPr>
        <w:spacing w:after="0" w:line="240" w:lineRule="auto"/>
        <w:rPr>
          <w:rFonts w:ascii="Verdana" w:eastAsia="Calibri" w:hAnsi="Verdana" w:cs="Arial"/>
          <w:color w:val="000000"/>
          <w:kern w:val="2"/>
          <w14:ligatures w14:val="standardContextual"/>
        </w:rPr>
      </w:pPr>
    </w:p>
    <w:p w14:paraId="4BC7F645" w14:textId="77777777" w:rsidR="0070632C" w:rsidRDefault="0070632C" w:rsidP="00EA6B8B">
      <w:pPr>
        <w:spacing w:after="0" w:line="240" w:lineRule="auto"/>
        <w:rPr>
          <w:rFonts w:ascii="Verdana" w:eastAsia="Calibri" w:hAnsi="Verdana" w:cs="Arial"/>
          <w:color w:val="000000"/>
          <w:kern w:val="2"/>
          <w14:ligatures w14:val="standardContextual"/>
        </w:rPr>
      </w:pPr>
    </w:p>
    <w:p w14:paraId="0EC1A74D" w14:textId="77777777" w:rsidR="0070632C" w:rsidRDefault="0070632C" w:rsidP="00EA6B8B">
      <w:pPr>
        <w:spacing w:after="0" w:line="240" w:lineRule="auto"/>
        <w:rPr>
          <w:rFonts w:ascii="Verdana" w:eastAsia="Calibri" w:hAnsi="Verdana" w:cs="Arial"/>
          <w:color w:val="000000"/>
          <w:kern w:val="2"/>
          <w14:ligatures w14:val="standardContextual"/>
        </w:rPr>
      </w:pPr>
    </w:p>
    <w:p w14:paraId="34038D6F" w14:textId="77777777" w:rsidR="0070632C" w:rsidRDefault="0070632C" w:rsidP="00EA6B8B">
      <w:pPr>
        <w:spacing w:after="0" w:line="240" w:lineRule="auto"/>
        <w:rPr>
          <w:rFonts w:ascii="Verdana" w:eastAsia="Calibri" w:hAnsi="Verdana" w:cs="Arial"/>
          <w:color w:val="000000"/>
          <w:kern w:val="2"/>
          <w14:ligatures w14:val="standardContextual"/>
        </w:rPr>
      </w:pPr>
    </w:p>
    <w:p w14:paraId="63000983" w14:textId="77777777" w:rsidR="00EA6B8B" w:rsidRDefault="00EA6B8B" w:rsidP="00EA6B8B">
      <w:pPr>
        <w:spacing w:after="0" w:line="240" w:lineRule="auto"/>
        <w:rPr>
          <w:rFonts w:ascii="Verdana" w:eastAsia="Calibri" w:hAnsi="Verdana" w:cs="Arial"/>
          <w:color w:val="000000"/>
          <w:kern w:val="2"/>
          <w14:ligatures w14:val="standardContextual"/>
        </w:rPr>
      </w:pPr>
    </w:p>
    <w:p w14:paraId="1379DB42" w14:textId="77777777" w:rsidR="00EA6B8B" w:rsidRDefault="00EA6B8B" w:rsidP="00EA6B8B">
      <w:pPr>
        <w:spacing w:after="0"/>
        <w:rPr>
          <w:rFonts w:ascii="Verdana" w:eastAsia="Calibri" w:hAnsi="Verdana" w:cs="Arial"/>
          <w:b/>
          <w:bCs/>
          <w:color w:val="000000" w:themeColor="text1"/>
          <w:lang w:val="es-ES" w:eastAsia="es-ES"/>
        </w:rPr>
      </w:pPr>
    </w:p>
    <w:p w14:paraId="44DD1F56" w14:textId="77777777" w:rsidR="00EA6B8B" w:rsidRDefault="00EA6B8B" w:rsidP="00EA6B8B">
      <w:pPr>
        <w:spacing w:after="0"/>
        <w:rPr>
          <w:rFonts w:ascii="Verdana" w:eastAsia="Calibri" w:hAnsi="Verdana" w:cs="Arial"/>
          <w:b/>
          <w:bCs/>
          <w:color w:val="000000" w:themeColor="text1"/>
          <w:lang w:val="es-ES" w:eastAsia="es-ES"/>
        </w:rPr>
      </w:pPr>
    </w:p>
    <w:p w14:paraId="58D35B4E" w14:textId="77777777" w:rsidR="00EA6B8B" w:rsidRDefault="00EA6B8B" w:rsidP="00EA6B8B">
      <w:pPr>
        <w:spacing w:after="0"/>
        <w:rPr>
          <w:rFonts w:ascii="Verdana" w:eastAsia="Verdana" w:hAnsi="Verdana" w:cs="Verdana"/>
        </w:rPr>
      </w:pPr>
      <w:r w:rsidRPr="30821638">
        <w:rPr>
          <w:rFonts w:ascii="Verdana" w:eastAsia="Verdana" w:hAnsi="Verdana" w:cs="Verdana"/>
        </w:rPr>
        <w:t>Bogotá D.C., [Día] [</w:t>
      </w:r>
      <w:proofErr w:type="spellStart"/>
      <w:r w:rsidRPr="30821638">
        <w:rPr>
          <w:rFonts w:ascii="Verdana" w:eastAsia="Verdana" w:hAnsi="Verdana" w:cs="Verdana"/>
        </w:rPr>
        <w:t>Mes.NombreCapitalizado</w:t>
      </w:r>
      <w:proofErr w:type="spellEnd"/>
      <w:r w:rsidRPr="30821638">
        <w:rPr>
          <w:rFonts w:ascii="Verdana" w:eastAsia="Verdana" w:hAnsi="Verdana" w:cs="Verdana"/>
        </w:rPr>
        <w:t>] [Año]</w:t>
      </w:r>
    </w:p>
    <w:p w14:paraId="3F62A3F7" w14:textId="38B97BB0" w:rsidR="00EA6B8B" w:rsidRPr="006733BD" w:rsidRDefault="00754743" w:rsidP="00AE54E7">
      <w:pPr>
        <w:spacing w:after="0"/>
        <w:ind w:left="5664"/>
        <w:rPr>
          <w:rFonts w:ascii="Verdana" w:hAnsi="Verdana"/>
          <w:color w:val="ED7D31" w:themeColor="accent2"/>
          <w:lang w:val="es-ES"/>
        </w:rPr>
      </w:pPr>
      <w:r>
        <w:rPr>
          <w:rFonts w:ascii="Verdana" w:hAnsi="Verdana"/>
          <w:color w:val="ED7D31" w:themeColor="accent2"/>
          <w:lang w:val="es-ES"/>
        </w:rPr>
        <w:t xml:space="preserve">                                                                                               </w:t>
      </w:r>
      <w:r w:rsidRPr="00754743">
        <w:rPr>
          <w:rFonts w:ascii="Verdana" w:hAnsi="Verdana"/>
          <w:noProof/>
          <w:color w:val="ED7D31" w:themeColor="accent2"/>
          <w:lang w:val="es-ES"/>
        </w:rPr>
        <w:drawing>
          <wp:inline distT="0" distB="0" distL="0" distR="0" wp14:anchorId="1CBE1B14" wp14:editId="2E5E06F9">
            <wp:extent cx="2320551" cy="720725"/>
            <wp:effectExtent l="0" t="0" r="3810" b="3175"/>
            <wp:docPr id="189576414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67486" cy="735302"/>
                    </a:xfrm>
                    <a:prstGeom prst="rect">
                      <a:avLst/>
                    </a:prstGeom>
                    <a:noFill/>
                    <a:ln>
                      <a:noFill/>
                    </a:ln>
                  </pic:spPr>
                </pic:pic>
              </a:graphicData>
            </a:graphic>
          </wp:inline>
        </w:drawing>
      </w:r>
      <w:r>
        <w:rPr>
          <w:rFonts w:ascii="Verdana" w:hAnsi="Verdana"/>
          <w:color w:val="ED7D31" w:themeColor="accent2"/>
          <w:lang w:val="es-ES"/>
        </w:rPr>
        <w:t xml:space="preserve">      </w:t>
      </w:r>
    </w:p>
    <w:p w14:paraId="46391266" w14:textId="77777777" w:rsidR="00EA6B8B" w:rsidRDefault="00EA6B8B" w:rsidP="00EA6B8B">
      <w:pPr>
        <w:spacing w:after="0" w:line="240" w:lineRule="auto"/>
        <w:rPr>
          <w:rFonts w:ascii="Verdana" w:eastAsia="Calibri" w:hAnsi="Verdana" w:cs="Arial"/>
          <w:lang w:val="es-ES" w:eastAsia="es-ES"/>
        </w:rPr>
      </w:pPr>
      <w:r w:rsidRPr="00801A0F">
        <w:rPr>
          <w:rFonts w:ascii="Verdana" w:eastAsia="Calibri" w:hAnsi="Verdana" w:cs="Arial"/>
          <w:lang w:val="es-ES" w:eastAsia="es-ES"/>
        </w:rPr>
        <w:t>Señor</w:t>
      </w:r>
    </w:p>
    <w:p w14:paraId="16839A77" w14:textId="07912A9A" w:rsidR="00EA6B8B" w:rsidRDefault="00EA6B8B" w:rsidP="00EA6B8B">
      <w:pPr>
        <w:spacing w:after="0" w:line="240" w:lineRule="auto"/>
        <w:rPr>
          <w:rFonts w:ascii="Verdana" w:eastAsia="Calibri" w:hAnsi="Verdana" w:cs="Arial"/>
          <w:b/>
          <w:bCs/>
          <w:lang w:val="es-ES" w:eastAsia="es-ES"/>
        </w:rPr>
      </w:pPr>
      <w:r w:rsidRPr="009A1ED6">
        <w:rPr>
          <w:rFonts w:ascii="Verdana" w:eastAsia="Calibri" w:hAnsi="Verdana" w:cs="Arial"/>
          <w:b/>
          <w:bCs/>
          <w:lang w:val="es-ES" w:eastAsia="es-ES"/>
        </w:rPr>
        <w:t xml:space="preserve">Diego </w:t>
      </w:r>
      <w:r w:rsidR="00283C55" w:rsidRPr="009A1ED6">
        <w:rPr>
          <w:rFonts w:ascii="Verdana" w:eastAsia="Calibri" w:hAnsi="Verdana" w:cs="Arial"/>
          <w:b/>
          <w:bCs/>
          <w:lang w:val="es-ES" w:eastAsia="es-ES"/>
        </w:rPr>
        <w:t>Fernández</w:t>
      </w:r>
    </w:p>
    <w:p w14:paraId="51C97EAD" w14:textId="77777777" w:rsidR="00EA6B8B" w:rsidRPr="00EA6B8B" w:rsidRDefault="00EA6B8B" w:rsidP="00EA6B8B">
      <w:pPr>
        <w:spacing w:after="0" w:line="240" w:lineRule="auto"/>
        <w:rPr>
          <w:rFonts w:ascii="Verdana" w:eastAsia="Calibri" w:hAnsi="Verdana" w:cs="Arial"/>
          <w:lang w:eastAsia="es-ES"/>
        </w:rPr>
      </w:pPr>
      <w:hyperlink r:id="rId11" w:history="1">
        <w:r w:rsidRPr="00EA6B8B">
          <w:rPr>
            <w:rStyle w:val="Hipervnculo"/>
            <w:rFonts w:ascii="Verdana" w:eastAsia="Calibri" w:hAnsi="Verdana" w:cs="Arial"/>
            <w:lang w:eastAsia="es-ES"/>
          </w:rPr>
          <w:t>alejandroftirado@gmail.com</w:t>
        </w:r>
      </w:hyperlink>
    </w:p>
    <w:p w14:paraId="3A0D9C92" w14:textId="77777777" w:rsidR="00EA6B8B" w:rsidRPr="009A1ED6" w:rsidRDefault="00EA6B8B" w:rsidP="00EA6B8B">
      <w:pPr>
        <w:spacing w:after="0" w:line="240" w:lineRule="auto"/>
        <w:rPr>
          <w:rFonts w:ascii="Verdana" w:eastAsia="Calibri" w:hAnsi="Verdana" w:cs="Arial"/>
          <w:lang w:val="en-US" w:eastAsia="es-ES"/>
        </w:rPr>
      </w:pPr>
      <w:r w:rsidRPr="009A1ED6">
        <w:rPr>
          <w:rFonts w:ascii="Verdana" w:eastAsia="Calibri" w:hAnsi="Verdana" w:cs="Arial"/>
          <w:lang w:val="en-US" w:eastAsia="es-ES"/>
        </w:rPr>
        <w:t>Fonseca-La G</w:t>
      </w:r>
      <w:r>
        <w:rPr>
          <w:rFonts w:ascii="Verdana" w:eastAsia="Calibri" w:hAnsi="Verdana" w:cs="Arial"/>
          <w:lang w:val="en-US" w:eastAsia="es-ES"/>
        </w:rPr>
        <w:t>uajira</w:t>
      </w:r>
    </w:p>
    <w:p w14:paraId="373C7231" w14:textId="77777777" w:rsidR="00EA6B8B" w:rsidRPr="009A1ED6" w:rsidRDefault="00EA6B8B" w:rsidP="00EA6B8B">
      <w:pPr>
        <w:spacing w:after="0" w:line="240" w:lineRule="auto"/>
        <w:rPr>
          <w:rFonts w:ascii="Verdana" w:eastAsia="Calibri" w:hAnsi="Verdana" w:cs="Arial"/>
          <w:lang w:val="en-US" w:eastAsia="es-ES"/>
        </w:rPr>
      </w:pPr>
    </w:p>
    <w:p w14:paraId="7E9CE605" w14:textId="77777777" w:rsidR="00EA6B8B" w:rsidRPr="009A1ED6" w:rsidRDefault="00EA6B8B" w:rsidP="00EA6B8B">
      <w:pPr>
        <w:spacing w:after="0" w:line="240" w:lineRule="auto"/>
        <w:rPr>
          <w:rFonts w:ascii="Verdana" w:eastAsia="Calibri" w:hAnsi="Verdana" w:cs="Arial"/>
          <w:b/>
          <w:bCs/>
          <w:color w:val="ED7D31" w:themeColor="accent2"/>
          <w:lang w:val="en-US" w:eastAsia="es-ES"/>
        </w:rPr>
      </w:pP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EA6B8B" w:rsidRPr="006733BD" w14:paraId="6AB8A56E" w14:textId="77777777" w:rsidTr="005C6855">
        <w:trPr>
          <w:trHeight w:val="300"/>
        </w:trPr>
        <w:tc>
          <w:tcPr>
            <w:tcW w:w="2410" w:type="dxa"/>
          </w:tcPr>
          <w:p w14:paraId="6431549C" w14:textId="77777777" w:rsidR="00EA6B8B" w:rsidRPr="009A1ED6" w:rsidRDefault="00EA6B8B" w:rsidP="005C6855">
            <w:pPr>
              <w:ind w:left="-142"/>
              <w:jc w:val="both"/>
              <w:rPr>
                <w:rFonts w:ascii="Verdana" w:eastAsia="Calibri" w:hAnsi="Verdana" w:cs="Arial"/>
                <w:b/>
                <w:bCs/>
                <w:lang w:val="en-US" w:eastAsia="es-ES_tradnl"/>
              </w:rPr>
            </w:pPr>
          </w:p>
        </w:tc>
        <w:tc>
          <w:tcPr>
            <w:tcW w:w="6100" w:type="dxa"/>
          </w:tcPr>
          <w:p w14:paraId="5387DC2E" w14:textId="77777777" w:rsidR="00EA6B8B" w:rsidRPr="00A54BCB" w:rsidRDefault="00EA6B8B" w:rsidP="005C6855">
            <w:pPr>
              <w:ind w:left="3"/>
              <w:jc w:val="both"/>
              <w:rPr>
                <w:rFonts w:ascii="Verdana" w:eastAsia="Calibri" w:hAnsi="Verdana" w:cs="Arial"/>
                <w:b/>
                <w:bCs/>
                <w:lang w:val="es-ES" w:eastAsia="es-ES"/>
              </w:rPr>
            </w:pPr>
            <w:r w:rsidRPr="00A54BCB">
              <w:rPr>
                <w:rFonts w:ascii="Verdana" w:eastAsia="Calibri" w:hAnsi="Verdana" w:cs="Arial"/>
                <w:b/>
                <w:bCs/>
                <w:lang w:val="es-ES" w:eastAsia="es-ES"/>
              </w:rPr>
              <w:t>Concepto C-</w:t>
            </w:r>
            <w:r>
              <w:rPr>
                <w:rFonts w:ascii="Verdana" w:eastAsia="Calibri" w:hAnsi="Verdana" w:cs="Arial"/>
                <w:b/>
                <w:bCs/>
                <w:lang w:val="es-ES" w:eastAsia="es-ES"/>
              </w:rPr>
              <w:t>478</w:t>
            </w:r>
            <w:r w:rsidRPr="00A54BCB">
              <w:rPr>
                <w:rFonts w:ascii="Verdana" w:eastAsia="Calibri" w:hAnsi="Verdana" w:cs="Arial"/>
                <w:b/>
                <w:bCs/>
                <w:lang w:val="es-ES" w:eastAsia="es-ES"/>
              </w:rPr>
              <w:t xml:space="preserve"> de 202</w:t>
            </w:r>
            <w:r>
              <w:rPr>
                <w:rFonts w:ascii="Verdana" w:eastAsia="Calibri" w:hAnsi="Verdana" w:cs="Arial"/>
                <w:b/>
                <w:bCs/>
                <w:lang w:val="es-ES" w:eastAsia="es-ES"/>
              </w:rPr>
              <w:t>6</w:t>
            </w:r>
          </w:p>
          <w:p w14:paraId="1E16C60D" w14:textId="77777777" w:rsidR="00EA6B8B" w:rsidRPr="00A54BCB" w:rsidRDefault="00EA6B8B" w:rsidP="005C6855">
            <w:pPr>
              <w:ind w:left="3"/>
              <w:jc w:val="both"/>
              <w:rPr>
                <w:rFonts w:ascii="Verdana" w:eastAsia="Calibri" w:hAnsi="Verdana" w:cs="Arial"/>
                <w:b/>
                <w:bCs/>
                <w:lang w:val="es-ES" w:eastAsia="es-ES"/>
              </w:rPr>
            </w:pPr>
          </w:p>
        </w:tc>
      </w:tr>
      <w:tr w:rsidR="00EA6B8B" w:rsidRPr="006733BD" w14:paraId="476694C0" w14:textId="77777777" w:rsidTr="005C6855">
        <w:trPr>
          <w:trHeight w:val="300"/>
        </w:trPr>
        <w:tc>
          <w:tcPr>
            <w:tcW w:w="2410" w:type="dxa"/>
          </w:tcPr>
          <w:p w14:paraId="48AF5C74" w14:textId="77777777" w:rsidR="00EA6B8B" w:rsidRPr="006733BD" w:rsidRDefault="00EA6B8B" w:rsidP="005C6855">
            <w:pPr>
              <w:ind w:left="424" w:firstLine="142"/>
              <w:jc w:val="both"/>
              <w:rPr>
                <w:rFonts w:ascii="Verdana" w:eastAsia="Calibri" w:hAnsi="Verdana" w:cs="Arial"/>
                <w:color w:val="ED7D31" w:themeColor="accent2"/>
                <w:lang w:val="es-ES" w:eastAsia="es-ES_tradnl"/>
              </w:rPr>
            </w:pPr>
            <w:r w:rsidRPr="00A54BCB">
              <w:rPr>
                <w:rFonts w:ascii="Verdana" w:eastAsia="Calibri" w:hAnsi="Verdana" w:cs="Arial"/>
                <w:b/>
                <w:lang w:val="es-ES" w:eastAsia="es-ES_tradnl"/>
              </w:rPr>
              <w:t>Temas:</w:t>
            </w:r>
            <w:r w:rsidRPr="006733BD">
              <w:rPr>
                <w:rFonts w:ascii="Verdana" w:eastAsia="Calibri" w:hAnsi="Verdana" w:cs="Arial"/>
                <w:color w:val="ED7D31" w:themeColor="accent2"/>
                <w:lang w:val="es-ES" w:eastAsia="es-ES_tradnl"/>
              </w:rPr>
              <w:t xml:space="preserve">                  </w:t>
            </w:r>
          </w:p>
        </w:tc>
        <w:tc>
          <w:tcPr>
            <w:tcW w:w="6100" w:type="dxa"/>
          </w:tcPr>
          <w:p w14:paraId="0A7AB2C6" w14:textId="77777777" w:rsidR="00EA6B8B" w:rsidRPr="009A0091" w:rsidRDefault="00EA6B8B" w:rsidP="005C6855">
            <w:pPr>
              <w:jc w:val="both"/>
              <w:rPr>
                <w:rFonts w:ascii="Verdana" w:eastAsia="Calibri" w:hAnsi="Verdana" w:cs="Arial"/>
                <w:color w:val="000000"/>
                <w:kern w:val="2"/>
                <w14:ligatures w14:val="standardContextual"/>
              </w:rPr>
            </w:pPr>
            <w:r w:rsidRPr="009A0091">
              <w:rPr>
                <w:rFonts w:ascii="Verdana" w:eastAsia="Calibri" w:hAnsi="Verdana" w:cs="Arial"/>
                <w:color w:val="000000"/>
                <w:kern w:val="2"/>
                <w14:ligatures w14:val="standardContextual"/>
              </w:rPr>
              <w:t xml:space="preserve">INHABILIDADES E INCOMPATIBILIDADES – Concepto – Principio de legalidad – Interpretación restrictiva / INHABILIDADES E INCOMPATIBILIDADES – Ley 80 de 1993 – Numeral 2, literal A) – Exservidor público – Niveles directivo, asesor o ejecutivo - Elemento temporal (1) un año / INHABILIDADES E INCOMPATIBILIDADES – Ley 80 de 1993 – Numeral 2, literal F) – Exservidor público – Cargo Directivo – Elemento temporal (2) dos años </w:t>
            </w:r>
          </w:p>
          <w:p w14:paraId="2029073C" w14:textId="77777777" w:rsidR="00EA6B8B" w:rsidRPr="00A4192D" w:rsidRDefault="00EA6B8B" w:rsidP="005C6855">
            <w:pPr>
              <w:contextualSpacing/>
              <w:jc w:val="both"/>
              <w:rPr>
                <w:rFonts w:ascii="Verdana" w:hAnsi="Verdana" w:cs="Arial"/>
                <w:b/>
                <w:bCs/>
                <w:lang w:eastAsia="es-ES_tradnl"/>
              </w:rPr>
            </w:pPr>
          </w:p>
          <w:p w14:paraId="61075034" w14:textId="77777777" w:rsidR="00EA6B8B" w:rsidRPr="00933DB9" w:rsidRDefault="00EA6B8B" w:rsidP="005C6855">
            <w:pPr>
              <w:contextualSpacing/>
              <w:jc w:val="both"/>
              <w:rPr>
                <w:rFonts w:ascii="Verdana" w:eastAsia="Calibri" w:hAnsi="Verdana" w:cs="Arial"/>
                <w:b/>
                <w:bCs/>
                <w:color w:val="000000" w:themeColor="text1"/>
                <w:lang w:val="es-MX" w:eastAsia="es-ES"/>
              </w:rPr>
            </w:pPr>
          </w:p>
          <w:p w14:paraId="709CB8B3" w14:textId="77777777" w:rsidR="00EA6B8B" w:rsidRPr="008F679F" w:rsidRDefault="00EA6B8B" w:rsidP="005C6855">
            <w:pPr>
              <w:spacing w:line="276" w:lineRule="auto"/>
              <w:jc w:val="both"/>
              <w:rPr>
                <w:rFonts w:ascii="Verdana" w:eastAsia="Calibri" w:hAnsi="Verdana" w:cs="Arial"/>
                <w:color w:val="ED7D31" w:themeColor="accent2"/>
                <w:lang w:val="es-ES"/>
              </w:rPr>
            </w:pPr>
          </w:p>
        </w:tc>
      </w:tr>
      <w:tr w:rsidR="00EA6B8B" w:rsidRPr="00C5490E" w14:paraId="15B5C594" w14:textId="77777777" w:rsidTr="005C6855">
        <w:tc>
          <w:tcPr>
            <w:tcW w:w="2410" w:type="dxa"/>
          </w:tcPr>
          <w:p w14:paraId="45656EFA" w14:textId="77777777" w:rsidR="00EA6B8B" w:rsidRPr="006733BD" w:rsidRDefault="00EA6B8B" w:rsidP="005C6855">
            <w:pPr>
              <w:ind w:left="561"/>
              <w:jc w:val="both"/>
              <w:rPr>
                <w:rFonts w:ascii="Verdana" w:eastAsia="Calibri" w:hAnsi="Verdana" w:cs="Arial"/>
                <w:b/>
                <w:color w:val="ED7D31" w:themeColor="accent2"/>
                <w:lang w:val="es-ES" w:eastAsia="es-ES_tradnl"/>
              </w:rPr>
            </w:pPr>
            <w:r w:rsidRPr="00A54BCB">
              <w:rPr>
                <w:rFonts w:ascii="Verdana" w:eastAsia="Calibri" w:hAnsi="Verdana" w:cs="Arial"/>
                <w:b/>
                <w:lang w:val="es-ES" w:eastAsia="es-ES_tradnl"/>
              </w:rPr>
              <w:t>Radicación:</w:t>
            </w:r>
            <w:r w:rsidRPr="00A54BCB">
              <w:rPr>
                <w:rFonts w:ascii="Verdana" w:eastAsia="Calibri" w:hAnsi="Verdana" w:cs="Arial"/>
                <w:lang w:val="es-ES" w:eastAsia="es-ES_tradnl"/>
              </w:rPr>
              <w:t xml:space="preserve">   </w:t>
            </w:r>
            <w:r w:rsidRPr="006733BD">
              <w:rPr>
                <w:rFonts w:ascii="Verdana" w:eastAsia="Calibri" w:hAnsi="Verdana" w:cs="Arial"/>
                <w:color w:val="ED7D31" w:themeColor="accent2"/>
                <w:lang w:val="es-ES" w:eastAsia="es-ES_tradnl"/>
              </w:rPr>
              <w:t xml:space="preserve">           </w:t>
            </w:r>
          </w:p>
        </w:tc>
        <w:tc>
          <w:tcPr>
            <w:tcW w:w="6100" w:type="dxa"/>
          </w:tcPr>
          <w:p w14:paraId="5F5F55DE" w14:textId="77777777" w:rsidR="00EA6B8B" w:rsidRPr="003912FD" w:rsidRDefault="00EA6B8B" w:rsidP="005C6855">
            <w:pPr>
              <w:jc w:val="both"/>
              <w:rPr>
                <w:rFonts w:ascii="Verdana" w:hAnsi="Verdana"/>
              </w:rPr>
            </w:pPr>
            <w:r w:rsidRPr="00C5490E">
              <w:rPr>
                <w:rFonts w:ascii="Verdana" w:eastAsia="Calibri" w:hAnsi="Verdana" w:cs="Arial"/>
                <w:lang w:val="es-ES" w:eastAsia="es-ES"/>
              </w:rPr>
              <w:t xml:space="preserve">Respuesta a consulta con radicado No. </w:t>
            </w:r>
            <w:r>
              <w:rPr>
                <w:rFonts w:ascii="Verdana" w:hAnsi="Verdana" w:cs="Calibri"/>
                <w:color w:val="000000"/>
              </w:rPr>
              <w:t>1_2026_03_25_004062</w:t>
            </w:r>
          </w:p>
          <w:p w14:paraId="676E18D0" w14:textId="77777777" w:rsidR="00EA6B8B" w:rsidRPr="003912FD" w:rsidRDefault="00EA6B8B" w:rsidP="005C6855">
            <w:pPr>
              <w:ind w:left="3"/>
              <w:jc w:val="both"/>
              <w:rPr>
                <w:rFonts w:ascii="Verdana" w:hAnsi="Verdana"/>
              </w:rPr>
            </w:pPr>
          </w:p>
          <w:p w14:paraId="05BAC460" w14:textId="77777777" w:rsidR="00EA6B8B" w:rsidRPr="00E7030A" w:rsidRDefault="00EA6B8B" w:rsidP="005C6855">
            <w:pPr>
              <w:jc w:val="both"/>
              <w:rPr>
                <w:rFonts w:ascii="Verdana" w:hAnsi="Verdana"/>
                <w:lang w:val="es-ES"/>
              </w:rPr>
            </w:pPr>
          </w:p>
          <w:p w14:paraId="690C3E0F" w14:textId="77777777" w:rsidR="00EA6B8B" w:rsidRPr="00C5490E" w:rsidRDefault="00EA6B8B" w:rsidP="005C6855">
            <w:pPr>
              <w:ind w:left="3"/>
              <w:jc w:val="both"/>
              <w:rPr>
                <w:rFonts w:ascii="Verdana" w:hAnsi="Verdana"/>
                <w:lang w:val="es-ES"/>
              </w:rPr>
            </w:pPr>
          </w:p>
        </w:tc>
      </w:tr>
    </w:tbl>
    <w:p w14:paraId="79698977" w14:textId="2CFB6CB4" w:rsidR="00EA6B8B" w:rsidRPr="00C5490E" w:rsidRDefault="00EA6B8B" w:rsidP="00EA6B8B">
      <w:pPr>
        <w:spacing w:after="0" w:line="276" w:lineRule="auto"/>
        <w:jc w:val="both"/>
        <w:rPr>
          <w:rFonts w:ascii="Verdana" w:eastAsia="Calibri" w:hAnsi="Verdana" w:cs="Arial"/>
          <w:lang w:val="es-ES" w:eastAsia="es-ES"/>
        </w:rPr>
      </w:pPr>
      <w:r w:rsidRPr="00C5490E">
        <w:rPr>
          <w:rFonts w:ascii="Verdana" w:eastAsia="Calibri" w:hAnsi="Verdana" w:cs="Arial"/>
          <w:lang w:val="es-ES" w:eastAsia="es-ES"/>
        </w:rPr>
        <w:t>Estimado Señor</w:t>
      </w:r>
      <w:r>
        <w:rPr>
          <w:rFonts w:ascii="Verdana" w:eastAsia="Calibri" w:hAnsi="Verdana" w:cs="Arial"/>
          <w:lang w:val="es-ES" w:eastAsia="es-ES"/>
        </w:rPr>
        <w:t xml:space="preserve"> </w:t>
      </w:r>
      <w:r w:rsidR="00283C55">
        <w:rPr>
          <w:rFonts w:ascii="Verdana" w:eastAsia="Calibri" w:hAnsi="Verdana" w:cs="Arial"/>
          <w:lang w:val="es-ES" w:eastAsia="es-ES"/>
        </w:rPr>
        <w:t>Fernández</w:t>
      </w:r>
      <w:r w:rsidRPr="00C5490E">
        <w:rPr>
          <w:rFonts w:ascii="Verdana" w:eastAsia="Calibri" w:hAnsi="Verdana" w:cs="Arial"/>
          <w:lang w:val="es-ES" w:eastAsia="es-ES"/>
        </w:rPr>
        <w:t>,</w:t>
      </w:r>
    </w:p>
    <w:p w14:paraId="60CB9E1A" w14:textId="77777777" w:rsidR="00EA6B8B" w:rsidRPr="00C5490E" w:rsidRDefault="00EA6B8B" w:rsidP="00EA6B8B">
      <w:pPr>
        <w:tabs>
          <w:tab w:val="left" w:pos="3768"/>
        </w:tabs>
        <w:spacing w:after="0" w:line="276" w:lineRule="auto"/>
        <w:jc w:val="both"/>
        <w:rPr>
          <w:rFonts w:ascii="Verdana" w:eastAsia="Calibri" w:hAnsi="Verdana" w:cs="Arial"/>
          <w:lang w:val="es-ES" w:eastAsia="es-ES"/>
        </w:rPr>
      </w:pPr>
      <w:r w:rsidRPr="00C5490E">
        <w:rPr>
          <w:rFonts w:ascii="Verdana" w:eastAsia="Calibri" w:hAnsi="Verdana" w:cs="Arial"/>
          <w:lang w:val="es-ES" w:eastAsia="es-ES"/>
        </w:rPr>
        <w:tab/>
      </w:r>
    </w:p>
    <w:p w14:paraId="5DD513F6" w14:textId="1698E976" w:rsidR="00EA6B8B" w:rsidRPr="00507EE0" w:rsidRDefault="00EA6B8B" w:rsidP="00507EE0">
      <w:pPr>
        <w:spacing w:after="0" w:line="276" w:lineRule="auto"/>
        <w:jc w:val="both"/>
        <w:rPr>
          <w:rFonts w:ascii="Verdana" w:eastAsia="Calibri" w:hAnsi="Verdana" w:cs="Arial"/>
          <w:lang w:val="es-ES" w:eastAsia="es-ES"/>
        </w:rPr>
      </w:pPr>
      <w:r w:rsidRPr="00852F26">
        <w:rPr>
          <w:rFonts w:ascii="Verdana" w:eastAsia="Calibri" w:hAnsi="Verdana" w:cs="Arial"/>
          <w:lang w:val="es-ES" w:eastAsia="es-ES"/>
        </w:rPr>
        <w:t xml:space="preserve">En ejercicio de la competencia otorgada por los artículos 3, numeral 5º, y 11, numeral 8º, del Decreto Ley 4170 de 2011, así como lo establecido por la Resolución 469 de 2025 expedida por esta Entidad, la Agencia Nacional de Contratación Pública – Colombia Compra Eficiente– responde su solicitud de consulta de fecha </w:t>
      </w:r>
      <w:r w:rsidR="00193518">
        <w:rPr>
          <w:rFonts w:ascii="Verdana" w:eastAsia="Calibri" w:hAnsi="Verdana" w:cs="Arial"/>
          <w:lang w:val="es-ES" w:eastAsia="es-ES"/>
        </w:rPr>
        <w:t>25</w:t>
      </w:r>
      <w:r w:rsidRPr="00852F26">
        <w:rPr>
          <w:rFonts w:ascii="Verdana" w:eastAsia="Calibri" w:hAnsi="Verdana" w:cs="Arial"/>
          <w:lang w:val="es-ES" w:eastAsia="es-ES"/>
        </w:rPr>
        <w:t xml:space="preserve"> de </w:t>
      </w:r>
      <w:r>
        <w:rPr>
          <w:rFonts w:ascii="Verdana" w:eastAsia="Calibri" w:hAnsi="Verdana" w:cs="Arial"/>
          <w:lang w:val="es-ES" w:eastAsia="es-ES"/>
        </w:rPr>
        <w:t>Marzo</w:t>
      </w:r>
      <w:r w:rsidRPr="00852F26">
        <w:rPr>
          <w:rFonts w:ascii="Verdana" w:eastAsia="Calibri" w:hAnsi="Verdana" w:cs="Arial"/>
          <w:lang w:val="es-ES" w:eastAsia="es-ES"/>
        </w:rPr>
        <w:t xml:space="preserve"> de 2026, en la cual manifiesta lo siguiente:</w:t>
      </w:r>
    </w:p>
    <w:p w14:paraId="526BB50F" w14:textId="77777777" w:rsidR="00EA6B8B" w:rsidRPr="00CE49C8" w:rsidRDefault="00EA6B8B" w:rsidP="009F0BAC">
      <w:pPr>
        <w:spacing w:after="0" w:line="240" w:lineRule="auto"/>
        <w:ind w:leftChars="130" w:left="286" w:right="737"/>
        <w:jc w:val="both"/>
        <w:rPr>
          <w:rFonts w:ascii="Verdana" w:eastAsia="Calibri" w:hAnsi="Verdana" w:cs="Arial"/>
          <w:i/>
          <w:iCs/>
          <w:sz w:val="20"/>
          <w:szCs w:val="20"/>
          <w:lang w:val="es-ES" w:eastAsia="es-ES"/>
        </w:rPr>
      </w:pPr>
    </w:p>
    <w:p w14:paraId="2E44AC78" w14:textId="6E903FFA" w:rsidR="00507EE0" w:rsidRPr="000F5A19" w:rsidRDefault="00507EE0" w:rsidP="000F5A19">
      <w:pPr>
        <w:spacing w:after="0" w:line="240" w:lineRule="auto"/>
        <w:ind w:left="709" w:right="709"/>
        <w:jc w:val="both"/>
        <w:rPr>
          <w:rFonts w:ascii="Verdana" w:eastAsia="Times New Roman" w:hAnsi="Verdana" w:cs="Arial"/>
          <w:i/>
          <w:sz w:val="20"/>
          <w:szCs w:val="20"/>
          <w:lang w:eastAsia="es-ES_tradnl"/>
        </w:rPr>
      </w:pPr>
      <w:r w:rsidRPr="000F5A19">
        <w:rPr>
          <w:rFonts w:ascii="Verdana" w:eastAsia="Times New Roman" w:hAnsi="Verdana" w:cs="Arial"/>
          <w:i/>
          <w:sz w:val="20"/>
          <w:szCs w:val="20"/>
          <w:lang w:eastAsia="es-ES_tradnl"/>
        </w:rPr>
        <w:lastRenderedPageBreak/>
        <w:t>“1. ¿Cuál es el término exacto en el que un exservidor público puede contratar con el Estado en licitaciones públicas o cualquier modalidad de selección?</w:t>
      </w:r>
    </w:p>
    <w:p w14:paraId="557B487A" w14:textId="580BF98E" w:rsidR="00EA6B8B" w:rsidRPr="000F5A19" w:rsidRDefault="00507EE0" w:rsidP="000F5A19">
      <w:pPr>
        <w:spacing w:after="0" w:line="240" w:lineRule="auto"/>
        <w:ind w:left="709" w:right="709"/>
        <w:jc w:val="both"/>
        <w:rPr>
          <w:rFonts w:ascii="Verdana" w:eastAsia="Times New Roman" w:hAnsi="Verdana" w:cs="Arial"/>
          <w:i/>
          <w:sz w:val="20"/>
          <w:szCs w:val="20"/>
          <w:lang w:eastAsia="es-ES_tradnl"/>
        </w:rPr>
      </w:pPr>
      <w:r w:rsidRPr="000F5A19">
        <w:rPr>
          <w:rFonts w:ascii="Verdana" w:eastAsia="Times New Roman" w:hAnsi="Verdana" w:cs="Arial"/>
          <w:i/>
          <w:sz w:val="20"/>
          <w:szCs w:val="20"/>
          <w:lang w:eastAsia="es-ES_tradnl"/>
        </w:rPr>
        <w:t>2. Si se trata de un servidor público que no ejercía cargo de dirección, luego de retirarse de dicho cargo ¿Cuál es el término en el que puede contratar con el Estado? ¿Existe alguna inhabilitad o incompatibilidad?</w:t>
      </w:r>
      <w:r w:rsidR="000F5A19">
        <w:rPr>
          <w:rFonts w:ascii="Verdana" w:eastAsia="Times New Roman" w:hAnsi="Verdana" w:cs="Arial"/>
          <w:i/>
          <w:sz w:val="20"/>
          <w:szCs w:val="20"/>
          <w:lang w:eastAsia="es-ES_tradnl"/>
        </w:rPr>
        <w:t>”.</w:t>
      </w:r>
    </w:p>
    <w:p w14:paraId="3A22C978" w14:textId="77777777" w:rsidR="000F5A19" w:rsidRDefault="000F5A19" w:rsidP="000F5A19">
      <w:pPr>
        <w:spacing w:after="0" w:line="240" w:lineRule="auto"/>
        <w:ind w:left="709" w:right="709"/>
        <w:jc w:val="both"/>
        <w:rPr>
          <w:rFonts w:ascii="Verdana" w:eastAsia="Times New Roman" w:hAnsi="Verdana" w:cs="Arial"/>
          <w:iCs/>
          <w:sz w:val="20"/>
          <w:szCs w:val="20"/>
          <w:lang w:eastAsia="es-ES_tradnl"/>
        </w:rPr>
      </w:pPr>
    </w:p>
    <w:p w14:paraId="53E8A2E4" w14:textId="77777777" w:rsidR="000F5A19" w:rsidRDefault="000F5A19" w:rsidP="000F5A19">
      <w:pPr>
        <w:spacing w:after="0" w:line="240" w:lineRule="auto"/>
        <w:ind w:left="709" w:right="709"/>
        <w:jc w:val="both"/>
        <w:rPr>
          <w:rFonts w:ascii="Verdana" w:eastAsia="Times New Roman" w:hAnsi="Verdana" w:cs="Arial"/>
          <w:iCs/>
          <w:sz w:val="20"/>
          <w:szCs w:val="20"/>
          <w:lang w:eastAsia="es-ES_tradnl"/>
        </w:rPr>
      </w:pPr>
    </w:p>
    <w:p w14:paraId="776FBCA2" w14:textId="77777777" w:rsidR="000F5A19" w:rsidRPr="000F5A19" w:rsidRDefault="000F5A19" w:rsidP="000F5A19">
      <w:pPr>
        <w:spacing w:after="0" w:line="240" w:lineRule="auto"/>
        <w:ind w:left="709" w:right="709"/>
        <w:jc w:val="both"/>
        <w:rPr>
          <w:rFonts w:ascii="Verdana" w:eastAsia="Times New Roman" w:hAnsi="Verdana" w:cs="Arial"/>
          <w:iCs/>
          <w:sz w:val="20"/>
          <w:szCs w:val="20"/>
          <w:lang w:eastAsia="es-ES_tradnl"/>
        </w:rPr>
      </w:pPr>
    </w:p>
    <w:p w14:paraId="720AEE67" w14:textId="77777777" w:rsidR="00EA6B8B" w:rsidRPr="00CD496A" w:rsidRDefault="00EA6B8B" w:rsidP="00EA6B8B">
      <w:pPr>
        <w:spacing w:after="120" w:line="276" w:lineRule="auto"/>
        <w:ind w:firstLine="708"/>
        <w:jc w:val="both"/>
        <w:rPr>
          <w:rFonts w:ascii="Verdana" w:eastAsia="Calibri" w:hAnsi="Verdana" w:cs="Arial"/>
          <w:lang w:val="es-ES" w:eastAsia="es-ES"/>
        </w:rPr>
      </w:pPr>
      <w:r w:rsidRPr="00CD496A">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D496A">
        <w:rPr>
          <w:rFonts w:ascii="Verdana" w:hAnsi="Verdana"/>
          <w:lang w:val="es-ES"/>
        </w:rPr>
        <w:tab/>
      </w:r>
    </w:p>
    <w:p w14:paraId="2868E46C" w14:textId="77777777" w:rsidR="00EA6B8B" w:rsidRPr="00CD496A" w:rsidRDefault="00EA6B8B" w:rsidP="00EA6B8B">
      <w:pPr>
        <w:spacing w:after="0" w:line="276" w:lineRule="auto"/>
        <w:ind w:firstLine="709"/>
        <w:jc w:val="both"/>
        <w:rPr>
          <w:rFonts w:ascii="Verdana" w:eastAsia="Calibri" w:hAnsi="Verdana" w:cs="Arial"/>
          <w:lang w:val="es-ES" w:eastAsia="es-ES"/>
        </w:rPr>
      </w:pPr>
      <w:r w:rsidRPr="00CD496A">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Pr>
          <w:rFonts w:ascii="Verdana" w:eastAsia="Calibri" w:hAnsi="Verdana" w:cs="Arial"/>
          <w:lang w:val="es-ES" w:eastAsia="es-ES"/>
        </w:rPr>
        <w:t>el</w:t>
      </w:r>
      <w:r w:rsidRPr="00CD496A">
        <w:rPr>
          <w:rFonts w:ascii="Verdana" w:eastAsia="Calibri" w:hAnsi="Verdana" w:cs="Arial"/>
          <w:lang w:val="es-ES" w:eastAsia="es-ES"/>
        </w:rPr>
        <w:t xml:space="preserve"> problema jurídico de su consulta. </w:t>
      </w:r>
    </w:p>
    <w:p w14:paraId="5B0FD894" w14:textId="77777777" w:rsidR="00EA6B8B" w:rsidRPr="00CD496A" w:rsidRDefault="00EA6B8B" w:rsidP="00EA6B8B">
      <w:pPr>
        <w:spacing w:after="0" w:line="276" w:lineRule="auto"/>
        <w:jc w:val="both"/>
        <w:rPr>
          <w:rFonts w:ascii="Verdana" w:eastAsia="Calibri" w:hAnsi="Verdana" w:cs="Arial"/>
          <w:lang w:val="es-ES" w:eastAsia="es-ES"/>
        </w:rPr>
      </w:pPr>
    </w:p>
    <w:p w14:paraId="09F47B56" w14:textId="77777777" w:rsidR="00EA6B8B" w:rsidRDefault="00EA6B8B" w:rsidP="00EA6B8B">
      <w:pPr>
        <w:tabs>
          <w:tab w:val="left" w:pos="142"/>
          <w:tab w:val="left" w:pos="284"/>
        </w:tabs>
        <w:spacing w:after="0" w:line="276" w:lineRule="auto"/>
        <w:contextualSpacing/>
        <w:jc w:val="both"/>
        <w:rPr>
          <w:rFonts w:ascii="Verdana" w:eastAsia="Century Gothic" w:hAnsi="Verdana" w:cs="Century Gothic"/>
          <w:b/>
          <w:lang w:val="es-ES"/>
        </w:rPr>
      </w:pPr>
      <w:r w:rsidRPr="00CD496A">
        <w:rPr>
          <w:rFonts w:ascii="Verdana" w:eastAsia="Century Gothic" w:hAnsi="Verdana" w:cs="Century Gothic"/>
          <w:b/>
          <w:lang w:val="es-ES"/>
        </w:rPr>
        <w:t>1. Problema</w:t>
      </w:r>
      <w:r>
        <w:rPr>
          <w:rFonts w:ascii="Verdana" w:eastAsia="Century Gothic" w:hAnsi="Verdana" w:cs="Century Gothic"/>
          <w:b/>
          <w:lang w:val="es-ES"/>
        </w:rPr>
        <w:t xml:space="preserve">s </w:t>
      </w:r>
      <w:r w:rsidRPr="00CD496A">
        <w:rPr>
          <w:rFonts w:ascii="Verdana" w:eastAsia="Century Gothic" w:hAnsi="Verdana" w:cs="Century Gothic"/>
          <w:b/>
          <w:lang w:val="es-ES"/>
        </w:rPr>
        <w:t>planteado</w:t>
      </w:r>
      <w:r>
        <w:rPr>
          <w:rFonts w:ascii="Verdana" w:eastAsia="Century Gothic" w:hAnsi="Verdana" w:cs="Century Gothic"/>
          <w:b/>
          <w:lang w:val="es-ES"/>
        </w:rPr>
        <w:t>s</w:t>
      </w:r>
      <w:r w:rsidRPr="00CD496A">
        <w:rPr>
          <w:rFonts w:ascii="Verdana" w:eastAsia="Century Gothic" w:hAnsi="Verdana" w:cs="Century Gothic"/>
          <w:b/>
          <w:lang w:val="es-ES"/>
        </w:rPr>
        <w:t>:</w:t>
      </w:r>
    </w:p>
    <w:p w14:paraId="032C565B" w14:textId="77777777" w:rsidR="00EA6B8B" w:rsidRPr="00884371" w:rsidRDefault="00EA6B8B" w:rsidP="00EA6B8B">
      <w:pPr>
        <w:tabs>
          <w:tab w:val="left" w:pos="142"/>
          <w:tab w:val="left" w:pos="284"/>
        </w:tabs>
        <w:spacing w:after="0" w:line="276" w:lineRule="auto"/>
        <w:contextualSpacing/>
        <w:jc w:val="both"/>
        <w:rPr>
          <w:rFonts w:ascii="Verdana" w:eastAsia="Century Gothic" w:hAnsi="Verdana" w:cs="Century Gothic"/>
          <w:b/>
          <w:lang w:val="es-ES"/>
        </w:rPr>
      </w:pPr>
    </w:p>
    <w:p w14:paraId="56F998CE" w14:textId="77777777" w:rsidR="00EA6B8B" w:rsidRDefault="00EA6B8B" w:rsidP="00EA6B8B">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su solicitud, esta Agencia resolverá el siguiente </w:t>
      </w:r>
      <w:r w:rsidRPr="0093079A">
        <w:rPr>
          <w:rFonts w:ascii="Verdana" w:eastAsia="Century Gothic" w:hAnsi="Verdana" w:cs="Century Gothic"/>
        </w:rPr>
        <w:t>problema jurídicos: i) ¿</w:t>
      </w:r>
      <w:r w:rsidRPr="00E5545B">
        <w:t>Puede</w:t>
      </w:r>
      <w:r w:rsidRPr="00E5545B">
        <w:rPr>
          <w:rFonts w:ascii="Verdana" w:eastAsia="Century Gothic" w:hAnsi="Verdana" w:cs="Century Gothic"/>
        </w:rPr>
        <w:t xml:space="preserve"> un exservidor público contratar con la entidad en la que laboró antes de que transcurra un (1) año desde su retiro, cuando el objeto del contrato está relacionado con las funciones que desempeñaba, conforme a la Ley 80 de 1993?</w:t>
      </w:r>
      <w:r w:rsidRPr="0093079A">
        <w:rPr>
          <w:rFonts w:ascii="Verdana" w:hAnsi="Verdana"/>
        </w:rPr>
        <w:t>?</w:t>
      </w:r>
    </w:p>
    <w:p w14:paraId="4067F613" w14:textId="77777777" w:rsidR="00EA6B8B" w:rsidRDefault="00EA6B8B" w:rsidP="00EA6B8B">
      <w:pPr>
        <w:spacing w:after="0" w:line="276" w:lineRule="auto"/>
        <w:jc w:val="both"/>
        <w:rPr>
          <w:rFonts w:ascii="Verdana" w:eastAsia="Century Gothic" w:hAnsi="Verdana" w:cs="Century Gothic"/>
          <w:b/>
          <w:lang w:val="es-ES"/>
        </w:rPr>
      </w:pPr>
    </w:p>
    <w:p w14:paraId="6F57FC35" w14:textId="77777777" w:rsidR="00EA6B8B" w:rsidRPr="006733BD" w:rsidRDefault="00EA6B8B" w:rsidP="00EA6B8B">
      <w:pPr>
        <w:spacing w:after="0" w:line="276" w:lineRule="auto"/>
        <w:jc w:val="both"/>
        <w:rPr>
          <w:rFonts w:ascii="Verdana" w:eastAsia="Century Gothic" w:hAnsi="Verdana" w:cs="Century Gothic"/>
          <w:b/>
          <w:color w:val="ED7D31" w:themeColor="accent2"/>
          <w:lang w:val="es-ES"/>
        </w:rPr>
      </w:pPr>
      <w:r w:rsidRPr="00CD496A">
        <w:rPr>
          <w:rFonts w:ascii="Verdana" w:eastAsia="Century Gothic" w:hAnsi="Verdana" w:cs="Century Gothic"/>
          <w:b/>
          <w:lang w:val="es-ES"/>
        </w:rPr>
        <w:t>2. Respuesta:</w:t>
      </w:r>
    </w:p>
    <w:p w14:paraId="1D737E22" w14:textId="77777777" w:rsidR="00EA6B8B" w:rsidRPr="006733BD" w:rsidRDefault="00EA6B8B" w:rsidP="00EA6B8B">
      <w:pPr>
        <w:tabs>
          <w:tab w:val="left" w:pos="142"/>
          <w:tab w:val="left" w:pos="284"/>
        </w:tabs>
        <w:spacing w:after="0" w:line="276" w:lineRule="auto"/>
        <w:jc w:val="both"/>
        <w:rPr>
          <w:rFonts w:ascii="Verdana" w:eastAsia="Century Gothic" w:hAnsi="Verdana" w:cs="Century Gothic"/>
          <w:b/>
          <w:bCs/>
          <w:color w:val="ED7D31" w:themeColor="accent2"/>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EA6B8B" w:rsidRPr="006733BD" w14:paraId="146C245C" w14:textId="77777777" w:rsidTr="005C6855">
        <w:tc>
          <w:tcPr>
            <w:tcW w:w="8828" w:type="dxa"/>
          </w:tcPr>
          <w:p w14:paraId="72BAA202" w14:textId="77777777" w:rsidR="00EA6B8B" w:rsidRDefault="00EA6B8B" w:rsidP="005C6855">
            <w:pPr>
              <w:spacing w:after="120" w:line="276" w:lineRule="auto"/>
              <w:jc w:val="both"/>
              <w:rPr>
                <w:rFonts w:ascii="Verdana" w:eastAsia="Arial MT" w:hAnsi="Verdana" w:cs="Arial"/>
                <w:lang w:eastAsia="es-ES" w:bidi="es-ES"/>
              </w:rPr>
            </w:pPr>
            <w:r>
              <w:rPr>
                <w:rFonts w:ascii="Verdana" w:eastAsia="Arial MT" w:hAnsi="Verdana" w:cs="Arial"/>
                <w:lang w:eastAsia="es-ES" w:bidi="es-ES"/>
              </w:rPr>
              <w:lastRenderedPageBreak/>
              <w:t>En atención a lo dispuesto en el literal a) del numeral 2 del artículo 8 de la Ley 80 de 1993 se configura incompatibilidad para contratar con una entidad determinada en quienes fueron miembros de junta o consejo directivo, así como en los exservidores públicos de los niveles directivo, asesor o ejecutivo. Esta restricción a la capacidad rige únicamente respecto de la entidad contratante a la que estuvo vinculado el respectivo miembro de junta o servidor, durante el año siguiente a la fecha de retiro.</w:t>
            </w:r>
          </w:p>
          <w:p w14:paraId="7CE627C0" w14:textId="77777777" w:rsidR="00EA6B8B" w:rsidRDefault="00EA6B8B" w:rsidP="005C6855">
            <w:pPr>
              <w:spacing w:after="120" w:line="276" w:lineRule="auto"/>
              <w:ind w:firstLine="709"/>
              <w:jc w:val="both"/>
              <w:rPr>
                <w:rFonts w:ascii="Verdana" w:eastAsia="Arial MT" w:hAnsi="Verdana" w:cs="Arial"/>
                <w:lang w:eastAsia="es-ES" w:bidi="es-ES"/>
              </w:rPr>
            </w:pPr>
            <w:r>
              <w:rPr>
                <w:rFonts w:ascii="Verdana" w:eastAsia="Arial MT" w:hAnsi="Verdana" w:cs="Arial"/>
                <w:lang w:eastAsia="es-ES" w:bidi="es-ES"/>
              </w:rPr>
              <w:t>Por otro lado, de conformidad con el literal f) del numeral 2 del artículo 8 de la Ley 80 de 1993, adicionado por el artículo 4 de la Ley 1474 de 2011, se configura incompatibilidad de manera directa en las personas naturales que ejercieron cargos del nivel directivo en entidades del Estado, y, de manera indirecta, en las sociedades a las que se encuentren vinculados dichos exservidores públicos, a cualquier título. La restricción a la capacidad contractual que deviene de esta causal aplica solo respecto de</w:t>
            </w:r>
            <w:r w:rsidRPr="00867319">
              <w:rPr>
                <w:rFonts w:ascii="Verdana" w:eastAsia="Arial MT" w:hAnsi="Verdana" w:cs="Arial"/>
                <w:lang w:eastAsia="es-ES" w:bidi="es-ES"/>
              </w:rPr>
              <w:t xml:space="preserve"> objeto</w:t>
            </w:r>
            <w:r>
              <w:rPr>
                <w:rFonts w:ascii="Verdana" w:eastAsia="Arial MT" w:hAnsi="Verdana" w:cs="Arial"/>
                <w:lang w:eastAsia="es-ES" w:bidi="es-ES"/>
              </w:rPr>
              <w:t>s contractuales</w:t>
            </w:r>
            <w:r w:rsidRPr="00867319">
              <w:rPr>
                <w:rFonts w:ascii="Verdana" w:eastAsia="Arial MT" w:hAnsi="Verdana" w:cs="Arial"/>
                <w:lang w:eastAsia="es-ES" w:bidi="es-ES"/>
              </w:rPr>
              <w:t xml:space="preserve"> que desarrollen</w:t>
            </w:r>
            <w:r>
              <w:rPr>
                <w:rFonts w:ascii="Verdana" w:eastAsia="Arial MT" w:hAnsi="Verdana" w:cs="Arial"/>
                <w:lang w:eastAsia="es-ES" w:bidi="es-ES"/>
              </w:rPr>
              <w:t xml:space="preserve"> y</w:t>
            </w:r>
            <w:r w:rsidRPr="00867319">
              <w:rPr>
                <w:rFonts w:ascii="Verdana" w:eastAsia="Arial MT" w:hAnsi="Verdana" w:cs="Arial"/>
                <w:lang w:eastAsia="es-ES" w:bidi="es-ES"/>
              </w:rPr>
              <w:t xml:space="preserve"> tenga relación con el sector al cual</w:t>
            </w:r>
            <w:r>
              <w:rPr>
                <w:rFonts w:ascii="Verdana" w:eastAsia="Arial MT" w:hAnsi="Verdana" w:cs="Arial"/>
                <w:lang w:eastAsia="es-ES" w:bidi="es-ES"/>
              </w:rPr>
              <w:t xml:space="preserve"> el ex funcionario del nivel directivo </w:t>
            </w:r>
            <w:r w:rsidRPr="00867319">
              <w:rPr>
                <w:rFonts w:ascii="Verdana" w:eastAsia="Arial MT" w:hAnsi="Verdana" w:cs="Arial"/>
                <w:lang w:eastAsia="es-ES" w:bidi="es-ES"/>
              </w:rPr>
              <w:t>prest</w:t>
            </w:r>
            <w:r>
              <w:rPr>
                <w:rFonts w:ascii="Verdana" w:eastAsia="Arial MT" w:hAnsi="Verdana" w:cs="Arial"/>
                <w:lang w:eastAsia="es-ES" w:bidi="es-ES"/>
              </w:rPr>
              <w:t>ó</w:t>
            </w:r>
            <w:r w:rsidRPr="00867319">
              <w:rPr>
                <w:rFonts w:ascii="Verdana" w:eastAsia="Arial MT" w:hAnsi="Verdana" w:cs="Arial"/>
                <w:lang w:eastAsia="es-ES" w:bidi="es-ES"/>
              </w:rPr>
              <w:t xml:space="preserve"> sus servicios</w:t>
            </w:r>
            <w:r>
              <w:rPr>
                <w:rFonts w:ascii="Verdana" w:eastAsia="Arial MT" w:hAnsi="Verdana" w:cs="Arial"/>
                <w:lang w:eastAsia="es-ES" w:bidi="es-ES"/>
              </w:rPr>
              <w:t xml:space="preserve"> y se extenderá durante los dos años siguientes a su retiro. </w:t>
            </w:r>
          </w:p>
          <w:p w14:paraId="248FE8DD" w14:textId="77777777" w:rsidR="00EA6B8B" w:rsidRDefault="00EA6B8B" w:rsidP="005C6855">
            <w:pPr>
              <w:widowControl w:val="0"/>
              <w:autoSpaceDE w:val="0"/>
              <w:autoSpaceDN w:val="0"/>
              <w:spacing w:before="120" w:line="276" w:lineRule="auto"/>
              <w:ind w:firstLine="709"/>
              <w:jc w:val="both"/>
              <w:rPr>
                <w:rFonts w:ascii="Verdana" w:eastAsia="Calibri" w:hAnsi="Verdana" w:cs="Arial"/>
                <w:color w:val="000000" w:themeColor="text1"/>
                <w:lang w:val="es-ES"/>
              </w:rPr>
            </w:pPr>
            <w:r>
              <w:rPr>
                <w:rFonts w:ascii="Verdana" w:eastAsia="Arial MT" w:hAnsi="Verdana" w:cs="Arial"/>
                <w:lang w:eastAsia="es-ES" w:bidi="es-ES"/>
              </w:rPr>
              <w:t xml:space="preserve">  Así mismo, es necesario destacar que el régimen de inhabilidades e incompatibilidades no establece una excepción particular en relación con modalidades de selección o tipologías contractuales que evite la configuración de las causales expuestas en el EGCAP, de manera que aquellas se aplican en la medida en que el supuesto fáctico concreto se adecue a la descripción que hace cada causal consagrada en la norma. Incluso, el parágrafo tercero del artículo 8 de la Ley 80 de 1993 aclara que l</w:t>
            </w:r>
            <w:r w:rsidRPr="005C1B0F">
              <w:rPr>
                <w:rFonts w:ascii="Verdana" w:eastAsia="Arial MT" w:hAnsi="Verdana" w:cs="Arial"/>
                <w:lang w:eastAsia="es-ES" w:bidi="es-ES"/>
              </w:rPr>
              <w:t xml:space="preserve">as inhabilidades e incompatibilidades </w:t>
            </w:r>
            <w:r>
              <w:rPr>
                <w:rFonts w:ascii="Verdana" w:eastAsia="Arial MT" w:hAnsi="Verdana" w:cs="Arial"/>
                <w:lang w:eastAsia="es-ES" w:bidi="es-ES"/>
              </w:rPr>
              <w:t>allí señaladas</w:t>
            </w:r>
            <w:r w:rsidRPr="005C1B0F">
              <w:rPr>
                <w:rFonts w:ascii="Verdana" w:eastAsia="Arial MT" w:hAnsi="Verdana" w:cs="Arial"/>
                <w:lang w:eastAsia="es-ES" w:bidi="es-ES"/>
              </w:rPr>
              <w:t xml:space="preserve"> se aplicarán a cualquier proceso de contratación privada en el que se comprometan recursos públicos</w:t>
            </w:r>
            <w:r>
              <w:rPr>
                <w:rFonts w:ascii="Verdana" w:eastAsia="Arial MT" w:hAnsi="Verdana" w:cs="Arial"/>
                <w:lang w:eastAsia="es-ES" w:bidi="es-ES"/>
              </w:rPr>
              <w:t>.</w:t>
            </w:r>
          </w:p>
          <w:p w14:paraId="3FE5205B" w14:textId="77777777" w:rsidR="00EA6B8B" w:rsidRDefault="00EA6B8B" w:rsidP="005C6855">
            <w:pPr>
              <w:widowControl w:val="0"/>
              <w:autoSpaceDE w:val="0"/>
              <w:autoSpaceDN w:val="0"/>
              <w:spacing w:before="120" w:line="276" w:lineRule="auto"/>
              <w:jc w:val="both"/>
              <w:rPr>
                <w:rFonts w:ascii="Verdana" w:eastAsia="Calibri" w:hAnsi="Verdana" w:cs="Arial"/>
                <w:color w:val="000000" w:themeColor="text1"/>
                <w:lang w:val="es-ES"/>
              </w:rPr>
            </w:pPr>
          </w:p>
          <w:p w14:paraId="54171421" w14:textId="77777777" w:rsidR="00EA6B8B" w:rsidRPr="00BD33D7" w:rsidRDefault="00EA6B8B" w:rsidP="005C6855">
            <w:pPr>
              <w:widowControl w:val="0"/>
              <w:autoSpaceDE w:val="0"/>
              <w:autoSpaceDN w:val="0"/>
              <w:spacing w:before="120" w:line="276" w:lineRule="auto"/>
              <w:ind w:firstLine="709"/>
              <w:jc w:val="both"/>
              <w:rPr>
                <w:rFonts w:ascii="Verdana" w:eastAsia="Arial" w:hAnsi="Verdana" w:cs="Arial"/>
                <w:lang w:val="es-ES"/>
              </w:rPr>
            </w:pPr>
          </w:p>
        </w:tc>
      </w:tr>
    </w:tbl>
    <w:p w14:paraId="13BBA641" w14:textId="77777777" w:rsidR="00EA6B8B" w:rsidRDefault="00EA6B8B" w:rsidP="00EA6B8B">
      <w:pPr>
        <w:tabs>
          <w:tab w:val="left" w:pos="142"/>
          <w:tab w:val="left" w:pos="284"/>
        </w:tabs>
        <w:spacing w:after="0" w:line="276" w:lineRule="auto"/>
        <w:jc w:val="both"/>
        <w:rPr>
          <w:rFonts w:ascii="Verdana" w:eastAsia="Century Gothic" w:hAnsi="Verdana" w:cs="Century Gothic"/>
          <w:b/>
          <w:bCs/>
        </w:rPr>
      </w:pPr>
    </w:p>
    <w:p w14:paraId="20E5D45F" w14:textId="77777777" w:rsidR="00EA6B8B" w:rsidRPr="00416686" w:rsidRDefault="00EA6B8B" w:rsidP="00EA6B8B">
      <w:pPr>
        <w:tabs>
          <w:tab w:val="left" w:pos="142"/>
          <w:tab w:val="left" w:pos="284"/>
        </w:tabs>
        <w:spacing w:after="0" w:line="276" w:lineRule="auto"/>
        <w:jc w:val="both"/>
        <w:rPr>
          <w:rFonts w:ascii="Verdana" w:eastAsia="Century Gothic" w:hAnsi="Verdana" w:cs="Century Gothic"/>
          <w:b/>
          <w:bCs/>
        </w:rPr>
      </w:pPr>
    </w:p>
    <w:p w14:paraId="2C11024D" w14:textId="77777777" w:rsidR="00EA6B8B" w:rsidRPr="00B41D66" w:rsidRDefault="00EA6B8B" w:rsidP="00EA6B8B">
      <w:pPr>
        <w:tabs>
          <w:tab w:val="left" w:pos="142"/>
          <w:tab w:val="left" w:pos="284"/>
        </w:tabs>
        <w:spacing w:after="0" w:line="276" w:lineRule="auto"/>
        <w:jc w:val="both"/>
        <w:rPr>
          <w:rFonts w:ascii="Verdana" w:eastAsia="Century Gothic" w:hAnsi="Verdana" w:cs="Century Gothic"/>
          <w:b/>
          <w:lang w:val="es-ES"/>
        </w:rPr>
      </w:pPr>
      <w:r w:rsidRPr="00CD496A">
        <w:rPr>
          <w:rFonts w:ascii="Verdana" w:eastAsia="Century Gothic" w:hAnsi="Verdana" w:cs="Century Gothic"/>
          <w:b/>
          <w:lang w:val="es-ES"/>
        </w:rPr>
        <w:t>3. Razones de la respuesta:</w:t>
      </w:r>
    </w:p>
    <w:p w14:paraId="239209E2" w14:textId="77777777" w:rsidR="00EA6B8B" w:rsidRDefault="00EA6B8B" w:rsidP="00EA6B8B">
      <w:pPr>
        <w:tabs>
          <w:tab w:val="left" w:pos="142"/>
          <w:tab w:val="left" w:pos="284"/>
        </w:tabs>
        <w:spacing w:after="0" w:line="276" w:lineRule="auto"/>
        <w:jc w:val="both"/>
        <w:rPr>
          <w:rFonts w:ascii="Verdana" w:hAnsi="Verdana" w:cs="Arial"/>
          <w:color w:val="000000" w:themeColor="text1"/>
          <w:lang w:val="es-ES_tradnl"/>
        </w:rPr>
      </w:pPr>
    </w:p>
    <w:p w14:paraId="3491E8A3" w14:textId="77777777" w:rsidR="00EA6B8B" w:rsidRPr="00AD7B3B" w:rsidRDefault="00EA6B8B" w:rsidP="00EA6B8B">
      <w:pPr>
        <w:spacing w:after="0" w:line="276" w:lineRule="auto"/>
        <w:jc w:val="both"/>
        <w:rPr>
          <w:rFonts w:ascii="Verdana" w:eastAsia="Calibri" w:hAnsi="Verdana" w:cs="Arial"/>
          <w:lang w:val="es-ES"/>
        </w:rPr>
      </w:pPr>
      <w:r>
        <w:rPr>
          <w:rFonts w:ascii="Verdana" w:eastAsia="Calibri" w:hAnsi="Verdana" w:cs="Arial"/>
          <w:lang w:val="es-ES"/>
        </w:rPr>
        <w:t>Lo anterior se sustenta en las siguientes consideraciones:</w:t>
      </w:r>
      <w:r w:rsidRPr="005B7C42">
        <w:rPr>
          <w:rFonts w:ascii="Verdana" w:eastAsia="Calibri" w:hAnsi="Verdana" w:cs="Arial"/>
        </w:rPr>
        <w:t xml:space="preserve"> </w:t>
      </w:r>
    </w:p>
    <w:p w14:paraId="5C967E45" w14:textId="77777777" w:rsidR="00EA6B8B" w:rsidRPr="00882C14" w:rsidRDefault="00EA6B8B" w:rsidP="00EA6B8B">
      <w:pPr>
        <w:spacing w:after="0" w:line="276" w:lineRule="auto"/>
        <w:jc w:val="both"/>
        <w:rPr>
          <w:rFonts w:ascii="Verdana" w:eastAsia="Calibri" w:hAnsi="Verdana" w:cs="Arial"/>
        </w:rPr>
      </w:pPr>
    </w:p>
    <w:p w14:paraId="1476FABB" w14:textId="77777777" w:rsidR="00EA6B8B" w:rsidRDefault="00EA6B8B" w:rsidP="00EA6B8B">
      <w:pPr>
        <w:widowControl w:val="0"/>
        <w:autoSpaceDE w:val="0"/>
        <w:autoSpaceDN w:val="0"/>
        <w:spacing w:after="120" w:line="276" w:lineRule="auto"/>
        <w:jc w:val="both"/>
        <w:rPr>
          <w:rFonts w:ascii="Verdana" w:eastAsia="Calibri" w:hAnsi="Verdana" w:cs="Arial"/>
          <w:lang w:val="es-ES_tradnl"/>
        </w:rPr>
      </w:pPr>
      <w:r w:rsidRPr="009852D7">
        <w:rPr>
          <w:rFonts w:ascii="Verdana" w:eastAsia="Calibri" w:hAnsi="Verdana" w:cs="Arial"/>
          <w:lang w:val="es-ES_tradnl"/>
        </w:rPr>
        <w:t>El régimen de inhabilidades</w:t>
      </w:r>
      <w:r>
        <w:rPr>
          <w:rFonts w:ascii="Verdana" w:eastAsia="Calibri" w:hAnsi="Verdana" w:cs="Arial"/>
          <w:lang w:val="es-ES_tradnl"/>
        </w:rPr>
        <w:t xml:space="preserve"> e incompatibilidades</w:t>
      </w:r>
      <w:r w:rsidRPr="009852D7">
        <w:rPr>
          <w:rFonts w:ascii="Verdana" w:eastAsia="Calibri" w:hAnsi="Verdana" w:cs="Arial"/>
          <w:lang w:val="es-ES_tradnl"/>
        </w:rPr>
        <w:t xml:space="preserve"> para contratar con el Estado es </w:t>
      </w:r>
      <w:r w:rsidRPr="009852D7">
        <w:rPr>
          <w:rFonts w:ascii="Verdana" w:eastAsia="Calibri" w:hAnsi="Verdana" w:cs="Arial"/>
          <w:lang w:val="es-ES_tradnl"/>
        </w:rPr>
        <w:lastRenderedPageBreak/>
        <w:t>un conjunto de restricciones establecidas por el constituyente o por el legislador que afectan directamente la capacidad de las personas para establecer relaciones contractuales con el Estado, que pueden resultar de condenas, sanciones o situaciones previamente establecidas por el ordenamiento jurídico.</w:t>
      </w:r>
      <w:r>
        <w:rPr>
          <w:rFonts w:ascii="Verdana" w:eastAsia="Calibri" w:hAnsi="Verdana" w:cs="Arial"/>
          <w:lang w:val="es-ES_tradnl"/>
        </w:rPr>
        <w:t xml:space="preserve"> </w:t>
      </w:r>
      <w:r w:rsidRPr="009852D7">
        <w:rPr>
          <w:rFonts w:ascii="Verdana" w:eastAsia="Calibri" w:hAnsi="Verdana" w:cs="Arial"/>
          <w:lang w:val="es-ES_tradnl"/>
        </w:rPr>
        <w:t>Al respecto, la Corte Constitucional explica que: “las inhabilidades representan una limitación a la capacidad para contratar con las Entidades del Estado y obedecen a la falta de aptitud o a la carencia de una cualidad, calidad o requisito en el sujeto incapacitado quien por esta razón no podrá hacer parte de una relación contractual”.</w:t>
      </w:r>
      <w:r w:rsidRPr="009852D7">
        <w:rPr>
          <w:rStyle w:val="Refdenotaalpie"/>
          <w:rFonts w:ascii="Verdana" w:eastAsia="Calibri" w:hAnsi="Verdana" w:cs="Arial"/>
          <w:lang w:val="es-ES_tradnl"/>
        </w:rPr>
        <w:footnoteReference w:id="1"/>
      </w:r>
      <w:r>
        <w:rPr>
          <w:rFonts w:ascii="Verdana" w:eastAsia="Calibri" w:hAnsi="Verdana" w:cs="Arial"/>
          <w:lang w:val="es-ES_tradnl"/>
        </w:rPr>
        <w:t xml:space="preserve"> </w:t>
      </w:r>
    </w:p>
    <w:p w14:paraId="337D8D5C" w14:textId="77777777" w:rsidR="00EA6B8B" w:rsidRPr="002A56BD" w:rsidRDefault="00EA6B8B" w:rsidP="00EA6B8B">
      <w:pPr>
        <w:widowControl w:val="0"/>
        <w:autoSpaceDE w:val="0"/>
        <w:autoSpaceDN w:val="0"/>
        <w:spacing w:after="120" w:line="276" w:lineRule="auto"/>
        <w:ind w:firstLine="708"/>
        <w:jc w:val="both"/>
        <w:rPr>
          <w:rFonts w:ascii="Verdana" w:eastAsia="Calibri" w:hAnsi="Verdana" w:cs="Arial"/>
          <w:lang w:val="es-ES_tradnl"/>
        </w:rPr>
      </w:pPr>
      <w:r w:rsidRPr="00BE151B">
        <w:rPr>
          <w:rFonts w:ascii="Verdana" w:eastAsia="Arial MT" w:hAnsi="Verdana" w:cs="Arial"/>
        </w:rPr>
        <w:t>Si</w:t>
      </w:r>
      <w:r w:rsidRPr="00BE151B">
        <w:rPr>
          <w:rFonts w:ascii="Verdana" w:eastAsia="Arial MT" w:hAnsi="Verdana" w:cs="Arial"/>
          <w:spacing w:val="-14"/>
        </w:rPr>
        <w:t xml:space="preserve"> </w:t>
      </w:r>
      <w:r w:rsidRPr="00BE151B">
        <w:rPr>
          <w:rFonts w:ascii="Verdana" w:eastAsia="Arial MT" w:hAnsi="Verdana" w:cs="Arial"/>
        </w:rPr>
        <w:t>bien</w:t>
      </w:r>
      <w:r w:rsidRPr="00BE151B">
        <w:rPr>
          <w:rFonts w:ascii="Verdana" w:eastAsia="Arial MT" w:hAnsi="Verdana" w:cs="Arial"/>
          <w:spacing w:val="-14"/>
        </w:rPr>
        <w:t xml:space="preserve"> </w:t>
      </w:r>
      <w:r w:rsidRPr="00BE151B">
        <w:rPr>
          <w:rFonts w:ascii="Verdana" w:eastAsia="Arial MT" w:hAnsi="Verdana" w:cs="Arial"/>
        </w:rPr>
        <w:t>no</w:t>
      </w:r>
      <w:r w:rsidRPr="00BE151B">
        <w:rPr>
          <w:rFonts w:ascii="Verdana" w:eastAsia="Arial MT" w:hAnsi="Verdana" w:cs="Arial"/>
          <w:spacing w:val="-14"/>
        </w:rPr>
        <w:t xml:space="preserve"> </w:t>
      </w:r>
      <w:r w:rsidRPr="00BE151B">
        <w:rPr>
          <w:rFonts w:ascii="Verdana" w:eastAsia="Arial MT" w:hAnsi="Verdana" w:cs="Arial"/>
        </w:rPr>
        <w:t>todas las causales de inhabilidad y de incompatibilidad son consecuencia de una medida de</w:t>
      </w:r>
      <w:r w:rsidRPr="00BE151B">
        <w:rPr>
          <w:rFonts w:ascii="Verdana" w:eastAsia="Arial MT" w:hAnsi="Verdana" w:cs="Arial"/>
          <w:spacing w:val="1"/>
        </w:rPr>
        <w:t xml:space="preserve"> </w:t>
      </w:r>
      <w:r w:rsidRPr="00BE151B">
        <w:rPr>
          <w:rFonts w:ascii="Verdana" w:eastAsia="Arial MT" w:hAnsi="Verdana" w:cs="Arial"/>
        </w:rPr>
        <w:t>reproche,</w:t>
      </w:r>
      <w:r w:rsidRPr="00BE151B">
        <w:rPr>
          <w:rFonts w:ascii="Verdana" w:eastAsia="Arial MT" w:hAnsi="Verdana" w:cs="Arial"/>
          <w:spacing w:val="2"/>
        </w:rPr>
        <w:t xml:space="preserve"> </w:t>
      </w:r>
      <w:r w:rsidRPr="00BE151B">
        <w:rPr>
          <w:rFonts w:ascii="Verdana" w:eastAsia="Arial MT" w:hAnsi="Verdana" w:cs="Arial"/>
        </w:rPr>
        <w:t>ni</w:t>
      </w:r>
      <w:r w:rsidRPr="00BE151B">
        <w:rPr>
          <w:rFonts w:ascii="Verdana" w:eastAsia="Arial MT" w:hAnsi="Verdana" w:cs="Arial"/>
          <w:spacing w:val="3"/>
        </w:rPr>
        <w:t xml:space="preserve"> </w:t>
      </w:r>
      <w:r w:rsidRPr="00BE151B">
        <w:rPr>
          <w:rFonts w:ascii="Verdana" w:eastAsia="Arial MT" w:hAnsi="Verdana" w:cs="Arial"/>
        </w:rPr>
        <w:t>de</w:t>
      </w:r>
      <w:r w:rsidRPr="00BE151B">
        <w:rPr>
          <w:rFonts w:ascii="Verdana" w:eastAsia="Arial MT" w:hAnsi="Verdana" w:cs="Arial"/>
          <w:spacing w:val="2"/>
        </w:rPr>
        <w:t xml:space="preserve"> </w:t>
      </w:r>
      <w:r w:rsidRPr="00BE151B">
        <w:rPr>
          <w:rFonts w:ascii="Verdana" w:eastAsia="Arial MT" w:hAnsi="Verdana" w:cs="Arial"/>
        </w:rPr>
        <w:t>una</w:t>
      </w:r>
      <w:r w:rsidRPr="00BE151B">
        <w:rPr>
          <w:rFonts w:ascii="Verdana" w:eastAsia="Arial MT" w:hAnsi="Verdana" w:cs="Arial"/>
          <w:spacing w:val="3"/>
        </w:rPr>
        <w:t xml:space="preserve"> </w:t>
      </w:r>
      <w:r w:rsidRPr="00BE151B">
        <w:rPr>
          <w:rFonts w:ascii="Verdana" w:eastAsia="Arial MT" w:hAnsi="Verdana" w:cs="Arial"/>
        </w:rPr>
        <w:t>sanción</w:t>
      </w:r>
      <w:r w:rsidRPr="00BE151B">
        <w:rPr>
          <w:rFonts w:ascii="Verdana" w:eastAsia="Arial MT" w:hAnsi="Verdana" w:cs="Arial"/>
          <w:spacing w:val="2"/>
        </w:rPr>
        <w:t xml:space="preserve"> </w:t>
      </w:r>
      <w:r w:rsidRPr="00BE151B">
        <w:rPr>
          <w:rFonts w:ascii="Verdana" w:eastAsia="Arial MT" w:hAnsi="Verdana" w:cs="Arial"/>
        </w:rPr>
        <w:t>previa,</w:t>
      </w:r>
      <w:r w:rsidRPr="00BE151B">
        <w:rPr>
          <w:rFonts w:ascii="Verdana" w:eastAsia="Arial MT" w:hAnsi="Verdana" w:cs="Arial"/>
          <w:spacing w:val="3"/>
        </w:rPr>
        <w:t xml:space="preserve"> </w:t>
      </w:r>
      <w:r w:rsidRPr="00BE151B">
        <w:rPr>
          <w:rFonts w:ascii="Verdana" w:eastAsia="Arial MT" w:hAnsi="Verdana" w:cs="Arial"/>
        </w:rPr>
        <w:t>es</w:t>
      </w:r>
      <w:r w:rsidRPr="00BE151B">
        <w:rPr>
          <w:rFonts w:ascii="Verdana" w:eastAsia="Arial MT" w:hAnsi="Verdana" w:cs="Arial"/>
          <w:spacing w:val="3"/>
        </w:rPr>
        <w:t xml:space="preserve"> </w:t>
      </w:r>
      <w:r w:rsidRPr="00BE151B">
        <w:rPr>
          <w:rFonts w:ascii="Verdana" w:eastAsia="Arial MT" w:hAnsi="Verdana" w:cs="Arial"/>
        </w:rPr>
        <w:t>indiscutible</w:t>
      </w:r>
      <w:r w:rsidRPr="00BE151B">
        <w:rPr>
          <w:rFonts w:ascii="Verdana" w:eastAsia="Arial MT" w:hAnsi="Verdana" w:cs="Arial"/>
          <w:spacing w:val="2"/>
        </w:rPr>
        <w:t xml:space="preserve"> </w:t>
      </w:r>
      <w:r w:rsidRPr="00BE151B">
        <w:rPr>
          <w:rFonts w:ascii="Verdana" w:eastAsia="Arial MT" w:hAnsi="Verdana" w:cs="Arial"/>
        </w:rPr>
        <w:t>que</w:t>
      </w:r>
      <w:r w:rsidRPr="00BE151B">
        <w:rPr>
          <w:rFonts w:ascii="Verdana" w:eastAsia="Arial MT" w:hAnsi="Verdana" w:cs="Arial"/>
          <w:spacing w:val="3"/>
        </w:rPr>
        <w:t xml:space="preserve"> </w:t>
      </w:r>
      <w:r w:rsidRPr="00BE151B">
        <w:rPr>
          <w:rFonts w:ascii="Verdana" w:eastAsia="Arial MT" w:hAnsi="Verdana" w:cs="Arial"/>
        </w:rPr>
        <w:t>en</w:t>
      </w:r>
      <w:r w:rsidRPr="00BE151B">
        <w:rPr>
          <w:rFonts w:ascii="Verdana" w:eastAsia="Arial MT" w:hAnsi="Verdana" w:cs="Arial"/>
          <w:spacing w:val="3"/>
        </w:rPr>
        <w:t xml:space="preserve"> </w:t>
      </w:r>
      <w:r w:rsidRPr="00BE151B">
        <w:rPr>
          <w:rFonts w:ascii="Verdana" w:eastAsia="Arial MT" w:hAnsi="Verdana" w:cs="Arial"/>
        </w:rPr>
        <w:t>los</w:t>
      </w:r>
      <w:r w:rsidRPr="00BE151B">
        <w:rPr>
          <w:rFonts w:ascii="Verdana" w:eastAsia="Arial MT" w:hAnsi="Verdana" w:cs="Arial"/>
          <w:spacing w:val="2"/>
        </w:rPr>
        <w:t xml:space="preserve"> </w:t>
      </w:r>
      <w:r w:rsidRPr="00BE151B">
        <w:rPr>
          <w:rFonts w:ascii="Verdana" w:eastAsia="Arial MT" w:hAnsi="Verdana" w:cs="Arial"/>
        </w:rPr>
        <w:t>años más recientes los lamentables hechos de corrupción han generado como respuesta</w:t>
      </w:r>
      <w:r w:rsidRPr="00BE151B">
        <w:rPr>
          <w:rFonts w:ascii="Verdana" w:eastAsia="Arial MT" w:hAnsi="Verdana" w:cs="Arial"/>
          <w:spacing w:val="1"/>
        </w:rPr>
        <w:t xml:space="preserve"> </w:t>
      </w:r>
      <w:r w:rsidRPr="00BE151B">
        <w:rPr>
          <w:rFonts w:ascii="Verdana" w:eastAsia="Arial MT" w:hAnsi="Verdana" w:cs="Arial"/>
        </w:rPr>
        <w:t>del legislador, un incremento de las restricciones a la capacidad contractual, dirigidas a</w:t>
      </w:r>
      <w:r w:rsidRPr="00BE151B">
        <w:rPr>
          <w:rFonts w:ascii="Verdana" w:eastAsia="Arial MT" w:hAnsi="Verdana" w:cs="Arial"/>
          <w:spacing w:val="-59"/>
        </w:rPr>
        <w:t xml:space="preserve"> </w:t>
      </w:r>
      <w:r w:rsidRPr="00BE151B">
        <w:rPr>
          <w:rFonts w:ascii="Verdana" w:eastAsia="Arial MT" w:hAnsi="Verdana" w:cs="Arial"/>
        </w:rPr>
        <w:t>prevenir</w:t>
      </w:r>
      <w:r w:rsidRPr="00BE151B">
        <w:rPr>
          <w:rFonts w:ascii="Verdana" w:eastAsia="Arial MT" w:hAnsi="Verdana" w:cs="Arial"/>
          <w:spacing w:val="-2"/>
        </w:rPr>
        <w:t xml:space="preserve"> </w:t>
      </w:r>
      <w:r w:rsidRPr="00BE151B">
        <w:rPr>
          <w:rFonts w:ascii="Verdana" w:eastAsia="Arial MT" w:hAnsi="Verdana" w:cs="Arial"/>
        </w:rPr>
        <w:t>este</w:t>
      </w:r>
      <w:r w:rsidRPr="00BE151B">
        <w:rPr>
          <w:rFonts w:ascii="Verdana" w:eastAsia="Arial MT" w:hAnsi="Verdana" w:cs="Arial"/>
          <w:spacing w:val="-1"/>
        </w:rPr>
        <w:t xml:space="preserve"> </w:t>
      </w:r>
      <w:r w:rsidRPr="00BE151B">
        <w:rPr>
          <w:rFonts w:ascii="Verdana" w:eastAsia="Arial MT" w:hAnsi="Verdana" w:cs="Arial"/>
        </w:rPr>
        <w:t>tipo</w:t>
      </w:r>
      <w:r w:rsidRPr="00BE151B">
        <w:rPr>
          <w:rFonts w:ascii="Verdana" w:eastAsia="Arial MT" w:hAnsi="Verdana" w:cs="Arial"/>
          <w:spacing w:val="-2"/>
        </w:rPr>
        <w:t xml:space="preserve"> </w:t>
      </w:r>
      <w:r w:rsidRPr="00BE151B">
        <w:rPr>
          <w:rFonts w:ascii="Verdana" w:eastAsia="Arial MT" w:hAnsi="Verdana" w:cs="Arial"/>
        </w:rPr>
        <w:t>de</w:t>
      </w:r>
      <w:r w:rsidRPr="00BE151B">
        <w:rPr>
          <w:rFonts w:ascii="Verdana" w:eastAsia="Arial MT" w:hAnsi="Verdana" w:cs="Arial"/>
          <w:spacing w:val="-1"/>
        </w:rPr>
        <w:t xml:space="preserve"> </w:t>
      </w:r>
      <w:r w:rsidRPr="00BE151B">
        <w:rPr>
          <w:rFonts w:ascii="Verdana" w:eastAsia="Arial MT" w:hAnsi="Verdana" w:cs="Arial"/>
        </w:rPr>
        <w:t>situaciones</w:t>
      </w:r>
      <w:r w:rsidRPr="00BE151B">
        <w:rPr>
          <w:rFonts w:ascii="Verdana" w:eastAsia="Arial MT" w:hAnsi="Verdana" w:cs="Arial"/>
          <w:spacing w:val="-1"/>
        </w:rPr>
        <w:t xml:space="preserve"> </w:t>
      </w:r>
      <w:r w:rsidRPr="00BE151B">
        <w:rPr>
          <w:rFonts w:ascii="Verdana" w:eastAsia="Arial MT" w:hAnsi="Verdana" w:cs="Arial"/>
        </w:rPr>
        <w:t>o</w:t>
      </w:r>
      <w:r w:rsidRPr="00BE151B">
        <w:rPr>
          <w:rFonts w:ascii="Verdana" w:eastAsia="Arial MT" w:hAnsi="Verdana" w:cs="Arial"/>
          <w:spacing w:val="-2"/>
        </w:rPr>
        <w:t xml:space="preserve"> </w:t>
      </w:r>
      <w:r w:rsidRPr="00BE151B">
        <w:rPr>
          <w:rFonts w:ascii="Verdana" w:eastAsia="Arial MT" w:hAnsi="Verdana" w:cs="Arial"/>
        </w:rPr>
        <w:t>a</w:t>
      </w:r>
      <w:r w:rsidRPr="00BE151B">
        <w:rPr>
          <w:rFonts w:ascii="Verdana" w:eastAsia="Arial MT" w:hAnsi="Verdana" w:cs="Arial"/>
          <w:spacing w:val="-1"/>
        </w:rPr>
        <w:t xml:space="preserve"> </w:t>
      </w:r>
      <w:r w:rsidRPr="00BE151B">
        <w:rPr>
          <w:rFonts w:ascii="Verdana" w:eastAsia="Arial MT" w:hAnsi="Verdana" w:cs="Arial"/>
        </w:rPr>
        <w:t>sancionar</w:t>
      </w:r>
      <w:r w:rsidRPr="00BE151B">
        <w:rPr>
          <w:rFonts w:ascii="Verdana" w:eastAsia="Arial MT" w:hAnsi="Verdana" w:cs="Arial"/>
          <w:spacing w:val="-1"/>
        </w:rPr>
        <w:t xml:space="preserve"> </w:t>
      </w:r>
      <w:r w:rsidRPr="00BE151B">
        <w:rPr>
          <w:rFonts w:ascii="Verdana" w:eastAsia="Arial MT" w:hAnsi="Verdana" w:cs="Arial"/>
        </w:rPr>
        <w:t>tales</w:t>
      </w:r>
      <w:r w:rsidRPr="00BE151B">
        <w:rPr>
          <w:rFonts w:ascii="Verdana" w:eastAsia="Arial MT" w:hAnsi="Verdana" w:cs="Arial"/>
          <w:spacing w:val="-2"/>
        </w:rPr>
        <w:t xml:space="preserve"> </w:t>
      </w:r>
      <w:r w:rsidRPr="00BE151B">
        <w:rPr>
          <w:rFonts w:ascii="Verdana" w:eastAsia="Arial MT" w:hAnsi="Verdana" w:cs="Arial"/>
        </w:rPr>
        <w:t>conductas.</w:t>
      </w:r>
    </w:p>
    <w:p w14:paraId="72A4C973" w14:textId="77777777" w:rsidR="00EA6B8B" w:rsidRPr="00BE151B" w:rsidRDefault="00EA6B8B" w:rsidP="00EA6B8B">
      <w:pPr>
        <w:widowControl w:val="0"/>
        <w:autoSpaceDE w:val="0"/>
        <w:autoSpaceDN w:val="0"/>
        <w:spacing w:after="120" w:line="276" w:lineRule="auto"/>
        <w:ind w:firstLine="708"/>
        <w:jc w:val="both"/>
        <w:rPr>
          <w:rFonts w:ascii="Verdana" w:eastAsia="Arial MT" w:hAnsi="Verdana" w:cs="Arial"/>
        </w:rPr>
      </w:pPr>
      <w:r w:rsidRPr="00BE151B">
        <w:rPr>
          <w:rFonts w:ascii="Verdana" w:eastAsia="Arial MT" w:hAnsi="Verdana" w:cs="Arial"/>
        </w:rPr>
        <w:t>Ahora bien, las inhabilidades e incompatibilidades, al ser</w:t>
      </w:r>
      <w:r w:rsidRPr="00BE151B">
        <w:rPr>
          <w:rFonts w:ascii="Verdana" w:eastAsia="Arial MT" w:hAnsi="Verdana" w:cs="Arial"/>
          <w:spacing w:val="1"/>
        </w:rPr>
        <w:t xml:space="preserve"> </w:t>
      </w:r>
      <w:r w:rsidRPr="00BE151B">
        <w:rPr>
          <w:rFonts w:ascii="Verdana" w:eastAsia="Arial MT" w:hAnsi="Verdana" w:cs="Arial"/>
        </w:rPr>
        <w:t>restricciones o límites especiales a la capacidad para presentar ofertas y celebrar</w:t>
      </w:r>
      <w:r w:rsidRPr="00BE151B">
        <w:rPr>
          <w:rFonts w:ascii="Verdana" w:eastAsia="Arial MT" w:hAnsi="Verdana" w:cs="Arial"/>
          <w:spacing w:val="1"/>
        </w:rPr>
        <w:t xml:space="preserve"> </w:t>
      </w:r>
      <w:r w:rsidRPr="00BE151B">
        <w:rPr>
          <w:rFonts w:ascii="Verdana" w:eastAsia="Arial MT" w:hAnsi="Verdana" w:cs="Arial"/>
        </w:rPr>
        <w:t>contratos</w:t>
      </w:r>
      <w:r w:rsidRPr="00BE151B">
        <w:rPr>
          <w:rFonts w:ascii="Verdana" w:eastAsia="Arial MT" w:hAnsi="Verdana" w:cs="Arial"/>
          <w:spacing w:val="-12"/>
        </w:rPr>
        <w:t xml:space="preserve"> </w:t>
      </w:r>
      <w:r w:rsidRPr="00BE151B">
        <w:rPr>
          <w:rFonts w:ascii="Verdana" w:eastAsia="Arial MT" w:hAnsi="Verdana" w:cs="Arial"/>
        </w:rPr>
        <w:t>estatales,</w:t>
      </w:r>
      <w:r w:rsidRPr="00BE151B">
        <w:rPr>
          <w:rFonts w:ascii="Verdana" w:eastAsia="Arial MT" w:hAnsi="Verdana" w:cs="Arial"/>
          <w:spacing w:val="-12"/>
        </w:rPr>
        <w:t xml:space="preserve"> </w:t>
      </w:r>
      <w:r w:rsidRPr="00BE151B">
        <w:rPr>
          <w:rFonts w:ascii="Verdana" w:eastAsia="Arial MT" w:hAnsi="Verdana" w:cs="Arial"/>
        </w:rPr>
        <w:t>solo</w:t>
      </w:r>
      <w:r w:rsidRPr="00BE151B">
        <w:rPr>
          <w:rFonts w:ascii="Verdana" w:eastAsia="Arial MT" w:hAnsi="Verdana" w:cs="Arial"/>
          <w:spacing w:val="-12"/>
        </w:rPr>
        <w:t xml:space="preserve"> </w:t>
      </w:r>
      <w:r w:rsidRPr="00BE151B">
        <w:rPr>
          <w:rFonts w:ascii="Verdana" w:eastAsia="Arial MT" w:hAnsi="Verdana" w:cs="Arial"/>
        </w:rPr>
        <w:t>pueden</w:t>
      </w:r>
      <w:r w:rsidRPr="00BE151B">
        <w:rPr>
          <w:rFonts w:ascii="Verdana" w:eastAsia="Arial MT" w:hAnsi="Verdana" w:cs="Arial"/>
          <w:spacing w:val="-11"/>
        </w:rPr>
        <w:t xml:space="preserve"> </w:t>
      </w:r>
      <w:r w:rsidRPr="00BE151B">
        <w:rPr>
          <w:rFonts w:ascii="Verdana" w:eastAsia="Arial MT" w:hAnsi="Verdana" w:cs="Arial"/>
        </w:rPr>
        <w:t>tipificarse</w:t>
      </w:r>
      <w:r w:rsidRPr="00BE151B">
        <w:rPr>
          <w:rFonts w:ascii="Verdana" w:eastAsia="Arial MT" w:hAnsi="Verdana" w:cs="Arial"/>
          <w:spacing w:val="-10"/>
        </w:rPr>
        <w:t xml:space="preserve"> </w:t>
      </w:r>
      <w:r w:rsidRPr="00BE151B">
        <w:rPr>
          <w:rFonts w:ascii="Verdana" w:eastAsia="Arial MT" w:hAnsi="Verdana" w:cs="Arial"/>
        </w:rPr>
        <w:t>en</w:t>
      </w:r>
      <w:r w:rsidRPr="00BE151B">
        <w:rPr>
          <w:rFonts w:ascii="Verdana" w:eastAsia="Arial MT" w:hAnsi="Verdana" w:cs="Arial"/>
          <w:spacing w:val="-12"/>
        </w:rPr>
        <w:t xml:space="preserve"> </w:t>
      </w:r>
      <w:r w:rsidRPr="00BE151B">
        <w:rPr>
          <w:rFonts w:ascii="Verdana" w:eastAsia="Arial MT" w:hAnsi="Verdana" w:cs="Arial"/>
        </w:rPr>
        <w:t>la</w:t>
      </w:r>
      <w:r w:rsidRPr="00BE151B">
        <w:rPr>
          <w:rFonts w:ascii="Verdana" w:eastAsia="Arial MT" w:hAnsi="Verdana" w:cs="Arial"/>
          <w:spacing w:val="-12"/>
        </w:rPr>
        <w:t xml:space="preserve"> </w:t>
      </w:r>
      <w:r w:rsidRPr="00BE151B">
        <w:rPr>
          <w:rFonts w:ascii="Verdana" w:eastAsia="Arial MT" w:hAnsi="Verdana" w:cs="Arial"/>
        </w:rPr>
        <w:t>ley</w:t>
      </w:r>
      <w:r w:rsidRPr="00BE151B">
        <w:rPr>
          <w:rFonts w:ascii="Verdana" w:eastAsia="Arial MT" w:hAnsi="Verdana" w:cs="Arial"/>
          <w:spacing w:val="-12"/>
        </w:rPr>
        <w:t xml:space="preserve"> </w:t>
      </w:r>
      <w:r w:rsidRPr="00BE151B">
        <w:rPr>
          <w:rFonts w:ascii="Verdana" w:eastAsia="Arial MT" w:hAnsi="Verdana" w:cs="Arial"/>
        </w:rPr>
        <w:t xml:space="preserve">y su interpretación debe ser </w:t>
      </w:r>
      <w:r w:rsidRPr="00BE151B">
        <w:rPr>
          <w:rFonts w:ascii="Verdana" w:eastAsia="Arial MT" w:hAnsi="Verdana" w:cs="Arial"/>
          <w:i/>
        </w:rPr>
        <w:t>restrictiva</w:t>
      </w:r>
      <w:r w:rsidRPr="00BE151B">
        <w:rPr>
          <w:i/>
          <w:vertAlign w:val="superscript"/>
        </w:rPr>
        <w:footnoteReference w:id="2"/>
      </w:r>
      <w:r w:rsidRPr="00BE151B">
        <w:rPr>
          <w:rFonts w:ascii="Verdana" w:eastAsia="Arial MT" w:hAnsi="Verdana" w:cs="Arial"/>
        </w:rPr>
        <w:t>. De admitirse una interpretación</w:t>
      </w:r>
      <w:r w:rsidRPr="00BE151B">
        <w:rPr>
          <w:rFonts w:ascii="Verdana" w:eastAsia="Arial MT" w:hAnsi="Verdana" w:cs="Arial"/>
          <w:spacing w:val="1"/>
        </w:rPr>
        <w:t xml:space="preserve"> </w:t>
      </w:r>
      <w:r w:rsidRPr="00BE151B">
        <w:rPr>
          <w:rFonts w:ascii="Verdana" w:eastAsia="Arial MT" w:hAnsi="Verdana" w:cs="Arial"/>
        </w:rPr>
        <w:t>extensiva,</w:t>
      </w:r>
      <w:r w:rsidRPr="00BE151B">
        <w:rPr>
          <w:rFonts w:ascii="Verdana" w:eastAsia="Arial MT" w:hAnsi="Verdana" w:cs="Arial"/>
          <w:spacing w:val="1"/>
        </w:rPr>
        <w:t xml:space="preserve"> </w:t>
      </w:r>
      <w:r w:rsidRPr="00BE151B">
        <w:rPr>
          <w:rFonts w:ascii="Verdana" w:eastAsia="Arial MT" w:hAnsi="Verdana" w:cs="Arial"/>
        </w:rPr>
        <w:t>tales</w:t>
      </w:r>
      <w:r w:rsidRPr="00BE151B">
        <w:rPr>
          <w:rFonts w:ascii="Verdana" w:eastAsia="Arial MT" w:hAnsi="Verdana" w:cs="Arial"/>
          <w:spacing w:val="1"/>
        </w:rPr>
        <w:t xml:space="preserve"> </w:t>
      </w:r>
      <w:r w:rsidRPr="00BE151B">
        <w:rPr>
          <w:rFonts w:ascii="Verdana" w:eastAsia="Arial MT" w:hAnsi="Verdana" w:cs="Arial"/>
        </w:rPr>
        <w:t>enunciados</w:t>
      </w:r>
      <w:r w:rsidRPr="00BE151B">
        <w:rPr>
          <w:rFonts w:ascii="Verdana" w:eastAsia="Arial MT" w:hAnsi="Verdana" w:cs="Arial"/>
          <w:spacing w:val="1"/>
        </w:rPr>
        <w:t xml:space="preserve"> </w:t>
      </w:r>
      <w:r w:rsidRPr="00BE151B">
        <w:rPr>
          <w:rFonts w:ascii="Verdana" w:eastAsia="Arial MT" w:hAnsi="Verdana" w:cs="Arial"/>
        </w:rPr>
        <w:t>normativos</w:t>
      </w:r>
      <w:r w:rsidRPr="00BE151B">
        <w:rPr>
          <w:rFonts w:ascii="Verdana" w:eastAsia="Arial MT" w:hAnsi="Verdana" w:cs="Arial"/>
          <w:spacing w:val="1"/>
        </w:rPr>
        <w:t xml:space="preserve"> </w:t>
      </w:r>
      <w:r w:rsidRPr="00BE151B">
        <w:rPr>
          <w:rFonts w:ascii="Verdana" w:eastAsia="Arial MT" w:hAnsi="Verdana" w:cs="Arial"/>
        </w:rPr>
        <w:t>podrían</w:t>
      </w:r>
      <w:r w:rsidRPr="00BE151B">
        <w:rPr>
          <w:rFonts w:ascii="Verdana" w:eastAsia="Arial MT" w:hAnsi="Verdana" w:cs="Arial"/>
          <w:spacing w:val="1"/>
        </w:rPr>
        <w:t xml:space="preserve"> </w:t>
      </w:r>
      <w:r w:rsidRPr="00BE151B">
        <w:rPr>
          <w:rFonts w:ascii="Verdana" w:eastAsia="Arial MT" w:hAnsi="Verdana" w:cs="Arial"/>
        </w:rPr>
        <w:t>contemplar</w:t>
      </w:r>
      <w:r w:rsidRPr="00BE151B">
        <w:rPr>
          <w:rFonts w:ascii="Verdana" w:eastAsia="Arial MT" w:hAnsi="Verdana" w:cs="Arial"/>
          <w:spacing w:val="1"/>
        </w:rPr>
        <w:t xml:space="preserve"> </w:t>
      </w:r>
      <w:r w:rsidRPr="00BE151B">
        <w:rPr>
          <w:rFonts w:ascii="Verdana" w:eastAsia="Arial MT" w:hAnsi="Verdana" w:cs="Arial"/>
        </w:rPr>
        <w:t>múltiples</w:t>
      </w:r>
      <w:r w:rsidRPr="00BE151B">
        <w:rPr>
          <w:rFonts w:ascii="Verdana" w:eastAsia="Arial MT" w:hAnsi="Verdana" w:cs="Arial"/>
          <w:spacing w:val="1"/>
        </w:rPr>
        <w:t xml:space="preserve"> </w:t>
      </w:r>
      <w:r w:rsidRPr="00BE151B">
        <w:rPr>
          <w:rFonts w:ascii="Verdana" w:eastAsia="Arial MT" w:hAnsi="Verdana" w:cs="Arial"/>
        </w:rPr>
        <w:t>supuestos</w:t>
      </w:r>
      <w:r w:rsidRPr="00BE151B">
        <w:rPr>
          <w:rFonts w:ascii="Verdana" w:eastAsia="Arial MT" w:hAnsi="Verdana" w:cs="Arial"/>
          <w:spacing w:val="1"/>
        </w:rPr>
        <w:t xml:space="preserve"> </w:t>
      </w:r>
      <w:r w:rsidRPr="00BE151B">
        <w:rPr>
          <w:rFonts w:ascii="Verdana" w:eastAsia="Arial MT" w:hAnsi="Verdana" w:cs="Arial"/>
        </w:rPr>
        <w:t>indeterminados,</w:t>
      </w:r>
      <w:r w:rsidRPr="00BE151B">
        <w:rPr>
          <w:rFonts w:ascii="Verdana" w:eastAsia="Arial MT" w:hAnsi="Verdana" w:cs="Arial"/>
          <w:spacing w:val="-4"/>
        </w:rPr>
        <w:t xml:space="preserve"> </w:t>
      </w:r>
      <w:r w:rsidRPr="00BE151B">
        <w:rPr>
          <w:rFonts w:ascii="Verdana" w:eastAsia="Arial MT" w:hAnsi="Verdana" w:cs="Arial"/>
        </w:rPr>
        <w:t>adquiriendo</w:t>
      </w:r>
      <w:r w:rsidRPr="00BE151B">
        <w:rPr>
          <w:rFonts w:ascii="Verdana" w:eastAsia="Arial MT" w:hAnsi="Verdana" w:cs="Arial"/>
          <w:spacing w:val="-4"/>
        </w:rPr>
        <w:t xml:space="preserve"> </w:t>
      </w:r>
      <w:r w:rsidRPr="00BE151B">
        <w:rPr>
          <w:rFonts w:ascii="Verdana" w:eastAsia="Arial MT" w:hAnsi="Verdana" w:cs="Arial"/>
        </w:rPr>
        <w:t>un</w:t>
      </w:r>
      <w:r w:rsidRPr="00BE151B">
        <w:rPr>
          <w:rFonts w:ascii="Verdana" w:eastAsia="Arial MT" w:hAnsi="Verdana" w:cs="Arial"/>
          <w:spacing w:val="-4"/>
        </w:rPr>
        <w:t xml:space="preserve"> </w:t>
      </w:r>
      <w:r w:rsidRPr="00BE151B">
        <w:rPr>
          <w:rFonts w:ascii="Verdana" w:eastAsia="Arial MT" w:hAnsi="Verdana" w:cs="Arial"/>
        </w:rPr>
        <w:t>cariz</w:t>
      </w:r>
      <w:r w:rsidRPr="00BE151B">
        <w:rPr>
          <w:rFonts w:ascii="Verdana" w:eastAsia="Arial MT" w:hAnsi="Verdana" w:cs="Arial"/>
          <w:spacing w:val="-4"/>
        </w:rPr>
        <w:t xml:space="preserve"> </w:t>
      </w:r>
      <w:r w:rsidRPr="00BE151B">
        <w:rPr>
          <w:rFonts w:ascii="Verdana" w:eastAsia="Arial MT" w:hAnsi="Verdana" w:cs="Arial"/>
        </w:rPr>
        <w:t>subjetivo,</w:t>
      </w:r>
      <w:r w:rsidRPr="00BE151B">
        <w:rPr>
          <w:rFonts w:ascii="Verdana" w:eastAsia="Arial MT" w:hAnsi="Verdana" w:cs="Arial"/>
          <w:spacing w:val="-3"/>
        </w:rPr>
        <w:t xml:space="preserve"> </w:t>
      </w:r>
      <w:r w:rsidRPr="00BE151B">
        <w:rPr>
          <w:rFonts w:ascii="Verdana" w:eastAsia="Arial MT" w:hAnsi="Verdana" w:cs="Arial"/>
        </w:rPr>
        <w:t>según</w:t>
      </w:r>
      <w:r w:rsidRPr="00BE151B">
        <w:rPr>
          <w:rFonts w:ascii="Verdana" w:eastAsia="Arial MT" w:hAnsi="Verdana" w:cs="Arial"/>
          <w:spacing w:val="-4"/>
        </w:rPr>
        <w:t xml:space="preserve"> </w:t>
      </w:r>
      <w:r w:rsidRPr="00BE151B">
        <w:rPr>
          <w:rFonts w:ascii="Verdana" w:eastAsia="Arial MT" w:hAnsi="Verdana" w:cs="Arial"/>
        </w:rPr>
        <w:t>el</w:t>
      </w:r>
      <w:r w:rsidRPr="00BE151B">
        <w:rPr>
          <w:rFonts w:ascii="Verdana" w:eastAsia="Arial MT" w:hAnsi="Verdana" w:cs="Arial"/>
          <w:spacing w:val="-4"/>
        </w:rPr>
        <w:t xml:space="preserve"> </w:t>
      </w:r>
      <w:r w:rsidRPr="00BE151B">
        <w:rPr>
          <w:rFonts w:ascii="Verdana" w:eastAsia="Arial MT" w:hAnsi="Verdana" w:cs="Arial"/>
        </w:rPr>
        <w:t>parecer</w:t>
      </w:r>
      <w:r w:rsidRPr="00BE151B">
        <w:rPr>
          <w:rFonts w:ascii="Verdana" w:eastAsia="Arial MT" w:hAnsi="Verdana" w:cs="Arial"/>
          <w:spacing w:val="-4"/>
        </w:rPr>
        <w:t xml:space="preserve"> </w:t>
      </w:r>
      <w:r w:rsidRPr="00BE151B">
        <w:rPr>
          <w:rFonts w:ascii="Verdana" w:eastAsia="Arial MT" w:hAnsi="Verdana" w:cs="Arial"/>
        </w:rPr>
        <w:t>o</w:t>
      </w:r>
      <w:r w:rsidRPr="00BE151B">
        <w:rPr>
          <w:rFonts w:ascii="Verdana" w:eastAsia="Arial MT" w:hAnsi="Verdana" w:cs="Arial"/>
          <w:spacing w:val="-3"/>
        </w:rPr>
        <w:t xml:space="preserve"> </w:t>
      </w:r>
      <w:r w:rsidRPr="00BE151B">
        <w:rPr>
          <w:rFonts w:ascii="Verdana" w:eastAsia="Arial MT" w:hAnsi="Verdana" w:cs="Arial"/>
        </w:rPr>
        <w:t>el</w:t>
      </w:r>
      <w:r w:rsidRPr="00BE151B">
        <w:rPr>
          <w:rFonts w:ascii="Verdana" w:eastAsia="Arial MT" w:hAnsi="Verdana" w:cs="Arial"/>
          <w:spacing w:val="-4"/>
        </w:rPr>
        <w:t xml:space="preserve"> </w:t>
      </w:r>
      <w:r w:rsidRPr="00BE151B">
        <w:rPr>
          <w:rFonts w:ascii="Verdana" w:eastAsia="Arial MT" w:hAnsi="Verdana" w:cs="Arial"/>
        </w:rPr>
        <w:t>sentido</w:t>
      </w:r>
      <w:r w:rsidRPr="00BE151B">
        <w:rPr>
          <w:rFonts w:ascii="Verdana" w:eastAsia="Arial MT" w:hAnsi="Verdana" w:cs="Arial"/>
          <w:spacing w:val="-4"/>
        </w:rPr>
        <w:t xml:space="preserve"> </w:t>
      </w:r>
      <w:r w:rsidRPr="00BE151B">
        <w:rPr>
          <w:rFonts w:ascii="Verdana" w:eastAsia="Arial MT" w:hAnsi="Verdana" w:cs="Arial"/>
        </w:rPr>
        <w:t>común</w:t>
      </w:r>
      <w:r w:rsidRPr="00BE151B">
        <w:rPr>
          <w:rFonts w:ascii="Verdana" w:eastAsia="Arial MT" w:hAnsi="Verdana" w:cs="Arial"/>
          <w:spacing w:val="-4"/>
        </w:rPr>
        <w:t xml:space="preserve"> </w:t>
      </w:r>
      <w:r w:rsidRPr="00BE151B">
        <w:rPr>
          <w:rFonts w:ascii="Verdana" w:eastAsia="Arial MT" w:hAnsi="Verdana" w:cs="Arial"/>
        </w:rPr>
        <w:t>de los operadores jurídicos, poniendo en riesgo principios como la igualdad, el debido</w:t>
      </w:r>
      <w:r w:rsidRPr="00BE151B">
        <w:rPr>
          <w:rFonts w:ascii="Verdana" w:eastAsia="Arial MT" w:hAnsi="Verdana" w:cs="Arial"/>
          <w:spacing w:val="1"/>
        </w:rPr>
        <w:t xml:space="preserve"> </w:t>
      </w:r>
      <w:r w:rsidRPr="00BE151B">
        <w:rPr>
          <w:rFonts w:ascii="Verdana" w:eastAsia="Arial MT" w:hAnsi="Verdana" w:cs="Arial"/>
        </w:rPr>
        <w:t>proceso, la libre concurrencia y el ejercicio de la profesión u oficio. Tal ha sido la postura al interior de la jurisprudencia, tanto de la Corte Constitucional como de la Sección</w:t>
      </w:r>
      <w:r w:rsidRPr="00BE151B">
        <w:rPr>
          <w:rFonts w:ascii="Verdana" w:eastAsia="Arial MT" w:hAnsi="Verdana" w:cs="Arial"/>
          <w:spacing w:val="1"/>
        </w:rPr>
        <w:t xml:space="preserve"> </w:t>
      </w:r>
      <w:r w:rsidRPr="00BE151B">
        <w:rPr>
          <w:rFonts w:ascii="Verdana" w:eastAsia="Arial MT" w:hAnsi="Verdana" w:cs="Arial"/>
        </w:rPr>
        <w:t>Tercera</w:t>
      </w:r>
      <w:r w:rsidRPr="00BE151B">
        <w:rPr>
          <w:rFonts w:ascii="Verdana" w:eastAsia="Arial MT" w:hAnsi="Verdana" w:cs="Arial"/>
          <w:spacing w:val="-2"/>
        </w:rPr>
        <w:t xml:space="preserve"> </w:t>
      </w:r>
      <w:r w:rsidRPr="00BE151B">
        <w:rPr>
          <w:rFonts w:ascii="Verdana" w:eastAsia="Arial MT" w:hAnsi="Verdana" w:cs="Arial"/>
        </w:rPr>
        <w:t>del</w:t>
      </w:r>
      <w:r w:rsidRPr="00BE151B">
        <w:rPr>
          <w:rFonts w:ascii="Verdana" w:eastAsia="Arial MT" w:hAnsi="Verdana" w:cs="Arial"/>
          <w:spacing w:val="-1"/>
        </w:rPr>
        <w:t xml:space="preserve"> </w:t>
      </w:r>
      <w:r w:rsidRPr="00BE151B">
        <w:rPr>
          <w:rFonts w:ascii="Verdana" w:eastAsia="Arial MT" w:hAnsi="Verdana" w:cs="Arial"/>
        </w:rPr>
        <w:t>Consejo</w:t>
      </w:r>
      <w:r w:rsidRPr="00BE151B">
        <w:rPr>
          <w:rFonts w:ascii="Verdana" w:eastAsia="Arial MT" w:hAnsi="Verdana" w:cs="Arial"/>
          <w:spacing w:val="-1"/>
        </w:rPr>
        <w:t xml:space="preserve"> </w:t>
      </w:r>
      <w:r w:rsidRPr="00BE151B">
        <w:rPr>
          <w:rFonts w:ascii="Verdana" w:eastAsia="Arial MT" w:hAnsi="Verdana" w:cs="Arial"/>
        </w:rPr>
        <w:t>de</w:t>
      </w:r>
      <w:r w:rsidRPr="00BE151B">
        <w:rPr>
          <w:rFonts w:ascii="Verdana" w:eastAsia="Arial MT" w:hAnsi="Verdana" w:cs="Arial"/>
          <w:spacing w:val="-1"/>
        </w:rPr>
        <w:t xml:space="preserve"> </w:t>
      </w:r>
      <w:r w:rsidRPr="00BE151B">
        <w:rPr>
          <w:rFonts w:ascii="Verdana" w:eastAsia="Arial MT" w:hAnsi="Verdana" w:cs="Arial"/>
        </w:rPr>
        <w:t>Estado.</w:t>
      </w:r>
    </w:p>
    <w:p w14:paraId="36D14879" w14:textId="77777777" w:rsidR="00EA6B8B" w:rsidRDefault="00EA6B8B" w:rsidP="00EA6B8B">
      <w:pPr>
        <w:widowControl w:val="0"/>
        <w:autoSpaceDE w:val="0"/>
        <w:autoSpaceDN w:val="0"/>
        <w:spacing w:after="120" w:line="276" w:lineRule="auto"/>
        <w:ind w:firstLine="708"/>
        <w:jc w:val="both"/>
        <w:rPr>
          <w:rFonts w:ascii="Verdana" w:eastAsia="Arial MT" w:hAnsi="Verdana" w:cs="Arial"/>
        </w:rPr>
      </w:pPr>
      <w:r w:rsidRPr="00BE151B">
        <w:rPr>
          <w:rFonts w:ascii="Verdana" w:eastAsia="Arial MT" w:hAnsi="Verdana" w:cs="Arial"/>
        </w:rPr>
        <w:t>En</w:t>
      </w:r>
      <w:r w:rsidRPr="00BE151B">
        <w:rPr>
          <w:rFonts w:ascii="Verdana" w:eastAsia="Arial MT" w:hAnsi="Verdana" w:cs="Arial"/>
          <w:spacing w:val="-11"/>
        </w:rPr>
        <w:t xml:space="preserve"> </w:t>
      </w:r>
      <w:r w:rsidRPr="00BE151B">
        <w:rPr>
          <w:rFonts w:ascii="Verdana" w:eastAsia="Arial MT" w:hAnsi="Verdana" w:cs="Arial"/>
        </w:rPr>
        <w:t>efecto,</w:t>
      </w:r>
      <w:r w:rsidRPr="00BE151B">
        <w:rPr>
          <w:rFonts w:ascii="Verdana" w:eastAsia="Arial MT" w:hAnsi="Verdana" w:cs="Arial"/>
          <w:spacing w:val="-10"/>
        </w:rPr>
        <w:t xml:space="preserve"> </w:t>
      </w:r>
      <w:r w:rsidRPr="00BE151B">
        <w:rPr>
          <w:rFonts w:ascii="Verdana" w:eastAsia="Arial MT" w:hAnsi="Verdana" w:cs="Arial"/>
        </w:rPr>
        <w:t>el</w:t>
      </w:r>
      <w:r w:rsidRPr="00BE151B">
        <w:rPr>
          <w:rFonts w:ascii="Verdana" w:eastAsia="Arial MT" w:hAnsi="Verdana" w:cs="Arial"/>
          <w:spacing w:val="-10"/>
        </w:rPr>
        <w:t xml:space="preserve"> </w:t>
      </w:r>
      <w:r w:rsidRPr="00BE151B">
        <w:rPr>
          <w:rFonts w:ascii="Verdana" w:eastAsia="Arial MT" w:hAnsi="Verdana" w:cs="Arial"/>
        </w:rPr>
        <w:t>máximo</w:t>
      </w:r>
      <w:r w:rsidRPr="00BE151B">
        <w:rPr>
          <w:rFonts w:ascii="Verdana" w:eastAsia="Arial MT" w:hAnsi="Verdana" w:cs="Arial"/>
          <w:spacing w:val="-10"/>
        </w:rPr>
        <w:t xml:space="preserve"> </w:t>
      </w:r>
      <w:r w:rsidRPr="00BE151B">
        <w:rPr>
          <w:rFonts w:ascii="Verdana" w:eastAsia="Arial MT" w:hAnsi="Verdana" w:cs="Arial"/>
        </w:rPr>
        <w:t>tribunal</w:t>
      </w:r>
      <w:r w:rsidRPr="00BE151B">
        <w:rPr>
          <w:rFonts w:ascii="Verdana" w:eastAsia="Arial MT" w:hAnsi="Verdana" w:cs="Arial"/>
          <w:spacing w:val="-9"/>
        </w:rPr>
        <w:t xml:space="preserve"> </w:t>
      </w:r>
      <w:r w:rsidRPr="00BE151B">
        <w:rPr>
          <w:rFonts w:ascii="Verdana" w:eastAsia="Arial MT" w:hAnsi="Verdana" w:cs="Arial"/>
        </w:rPr>
        <w:t xml:space="preserve">constitucional ha indicado que, al tratar de precisar el sentido de este tipo de normas, “[…] el intérprete de las disposiciones legislativas en la materia ha de ceñirse en la mayor medida posible al tenor literal y gramatical de los enunciados normativos, sin que pueda acudir prima facie a criterios interpretativos tales como la analogía, la interpretación </w:t>
      </w:r>
      <w:r w:rsidRPr="00BE151B">
        <w:rPr>
          <w:rFonts w:ascii="Verdana" w:eastAsia="Arial MT" w:hAnsi="Verdana" w:cs="Arial"/>
        </w:rPr>
        <w:lastRenderedPageBreak/>
        <w:t>extensiva para ampliar el alcance de las causales legalmente fijadas”</w:t>
      </w:r>
      <w:r w:rsidRPr="00BE151B">
        <w:rPr>
          <w:rFonts w:ascii="Verdana" w:eastAsia="Arial MT" w:hAnsi="Verdana" w:cs="Arial"/>
          <w:vertAlign w:val="superscript"/>
        </w:rPr>
        <w:footnoteReference w:id="3"/>
      </w:r>
      <w:r w:rsidRPr="00BE151B">
        <w:rPr>
          <w:rFonts w:ascii="Verdana" w:eastAsia="Arial MT" w:hAnsi="Verdana" w:cs="Arial"/>
        </w:rPr>
        <w:t xml:space="preserve">. </w:t>
      </w:r>
    </w:p>
    <w:p w14:paraId="15D62200" w14:textId="77777777" w:rsidR="00EA6B8B" w:rsidRPr="00BE151B" w:rsidRDefault="00EA6B8B" w:rsidP="00EA6B8B">
      <w:pPr>
        <w:widowControl w:val="0"/>
        <w:autoSpaceDE w:val="0"/>
        <w:autoSpaceDN w:val="0"/>
        <w:spacing w:before="120" w:after="0" w:line="276" w:lineRule="auto"/>
        <w:ind w:firstLine="708"/>
        <w:jc w:val="both"/>
        <w:rPr>
          <w:rFonts w:ascii="Verdana" w:eastAsia="Arial MT" w:hAnsi="Verdana" w:cs="Arial"/>
        </w:rPr>
      </w:pPr>
      <w:r w:rsidRPr="00BE151B">
        <w:rPr>
          <w:rFonts w:ascii="Verdana" w:eastAsia="Arial MT" w:hAnsi="Verdana" w:cs="Arial"/>
        </w:rPr>
        <w:t>Por su parte, el Consejo de Estado también ha acogido este criterio, considerando –como expresa la Sala de Consulta y Servicio Civil–, que “La interpretación restrictiva de las normas que establecen inhabilidades constituye una aplicación del principio del Estado de Derecho previsto en el artículo 6º de la Constitución, según el cual “Los particulares sólo son responsables ante las autoridades por infringir la Constitución y las leyes” lo que se traduce en que “pueden hacer todo aquello que no les esté expresamente prohibido”</w:t>
      </w:r>
      <w:r w:rsidRPr="00BE151B">
        <w:rPr>
          <w:rFonts w:ascii="Verdana" w:eastAsia="Arial MT" w:hAnsi="Verdana" w:cs="Arial"/>
          <w:vertAlign w:val="superscript"/>
        </w:rPr>
        <w:footnoteReference w:id="4"/>
      </w:r>
      <w:r w:rsidRPr="00BE151B">
        <w:rPr>
          <w:rFonts w:ascii="Verdana" w:eastAsia="Arial MT" w:hAnsi="Verdana" w:cs="Arial"/>
        </w:rPr>
        <w:t>. En tal sentido, la Sección Tercera ha señalado que:</w:t>
      </w:r>
    </w:p>
    <w:p w14:paraId="52E31DE2" w14:textId="77777777" w:rsidR="00EA6B8B" w:rsidRPr="00BE151B" w:rsidRDefault="00EA6B8B" w:rsidP="00EA6B8B">
      <w:pPr>
        <w:widowControl w:val="0"/>
        <w:autoSpaceDE w:val="0"/>
        <w:autoSpaceDN w:val="0"/>
        <w:spacing w:after="0" w:line="276" w:lineRule="auto"/>
        <w:ind w:firstLine="708"/>
        <w:jc w:val="both"/>
        <w:rPr>
          <w:rFonts w:ascii="Verdana" w:eastAsia="Arial MT" w:hAnsi="Verdana" w:cs="Arial"/>
          <w:sz w:val="25"/>
        </w:rPr>
      </w:pPr>
    </w:p>
    <w:p w14:paraId="6DFE56AB" w14:textId="77777777" w:rsidR="00EA6B8B" w:rsidRPr="00BE151B" w:rsidRDefault="00EA6B8B" w:rsidP="00EA6B8B">
      <w:pPr>
        <w:widowControl w:val="0"/>
        <w:autoSpaceDE w:val="0"/>
        <w:autoSpaceDN w:val="0"/>
        <w:spacing w:after="0" w:line="240" w:lineRule="auto"/>
        <w:ind w:left="709" w:right="709"/>
        <w:jc w:val="both"/>
        <w:rPr>
          <w:rFonts w:ascii="Verdana" w:eastAsia="Calibri" w:hAnsi="Verdana" w:cs="Arial"/>
          <w:sz w:val="20"/>
          <w:szCs w:val="20"/>
        </w:rPr>
      </w:pPr>
      <w:r w:rsidRPr="00BE151B">
        <w:rPr>
          <w:rFonts w:ascii="Verdana" w:eastAsia="Arial MT" w:hAnsi="Verdana" w:cs="Arial"/>
          <w:sz w:val="20"/>
          <w:szCs w:val="20"/>
        </w:rPr>
        <w:t>“[…]</w:t>
      </w:r>
      <w:r w:rsidRPr="00BE151B">
        <w:rPr>
          <w:rFonts w:ascii="Verdana" w:eastAsia="Arial MT" w:hAnsi="Verdana" w:cs="Arial"/>
          <w:spacing w:val="1"/>
          <w:sz w:val="20"/>
          <w:szCs w:val="20"/>
        </w:rPr>
        <w:t xml:space="preserve"> </w:t>
      </w:r>
      <w:r w:rsidRPr="00BE151B">
        <w:rPr>
          <w:rFonts w:ascii="Verdana" w:eastAsia="Arial MT" w:hAnsi="Verdana" w:cs="Arial"/>
          <w:sz w:val="20"/>
          <w:szCs w:val="20"/>
        </w:rPr>
        <w:t>de</w:t>
      </w:r>
      <w:r w:rsidRPr="00BE151B">
        <w:rPr>
          <w:rFonts w:ascii="Verdana" w:eastAsia="Arial MT" w:hAnsi="Verdana" w:cs="Arial"/>
          <w:spacing w:val="1"/>
          <w:sz w:val="20"/>
          <w:szCs w:val="20"/>
        </w:rPr>
        <w:t xml:space="preserve"> </w:t>
      </w:r>
      <w:r w:rsidRPr="00BE151B">
        <w:rPr>
          <w:rFonts w:ascii="Verdana" w:eastAsia="Arial MT" w:hAnsi="Verdana" w:cs="Arial"/>
          <w:sz w:val="20"/>
          <w:szCs w:val="20"/>
        </w:rPr>
        <w:t>conformidad</w:t>
      </w:r>
      <w:r w:rsidRPr="00BE151B">
        <w:rPr>
          <w:rFonts w:ascii="Verdana" w:eastAsia="Arial MT" w:hAnsi="Verdana" w:cs="Arial"/>
          <w:spacing w:val="1"/>
          <w:sz w:val="20"/>
          <w:szCs w:val="20"/>
        </w:rPr>
        <w:t xml:space="preserve"> </w:t>
      </w:r>
      <w:r w:rsidRPr="00BE151B">
        <w:rPr>
          <w:rFonts w:ascii="Verdana" w:eastAsia="Arial MT" w:hAnsi="Verdana" w:cs="Arial"/>
          <w:sz w:val="20"/>
          <w:szCs w:val="20"/>
        </w:rPr>
        <w:t>con</w:t>
      </w:r>
      <w:r w:rsidRPr="00BE151B">
        <w:rPr>
          <w:rFonts w:ascii="Verdana" w:eastAsia="Arial MT" w:hAnsi="Verdana" w:cs="Arial"/>
          <w:spacing w:val="1"/>
          <w:sz w:val="20"/>
          <w:szCs w:val="20"/>
        </w:rPr>
        <w:t xml:space="preserve"> </w:t>
      </w:r>
      <w:r w:rsidRPr="00BE151B">
        <w:rPr>
          <w:rFonts w:ascii="Verdana" w:eastAsia="Arial MT" w:hAnsi="Verdana" w:cs="Arial"/>
          <w:sz w:val="20"/>
          <w:szCs w:val="20"/>
        </w:rPr>
        <w:t>la</w:t>
      </w:r>
      <w:r w:rsidRPr="00BE151B">
        <w:rPr>
          <w:rFonts w:ascii="Verdana" w:eastAsia="Arial MT" w:hAnsi="Verdana" w:cs="Arial"/>
          <w:spacing w:val="1"/>
          <w:sz w:val="20"/>
          <w:szCs w:val="20"/>
        </w:rPr>
        <w:t xml:space="preserve"> </w:t>
      </w:r>
      <w:r w:rsidRPr="00BE151B">
        <w:rPr>
          <w:rFonts w:ascii="Verdana" w:eastAsia="Arial MT" w:hAnsi="Verdana" w:cs="Arial"/>
          <w:sz w:val="20"/>
          <w:szCs w:val="20"/>
        </w:rPr>
        <w:t>jurisprudencia</w:t>
      </w:r>
      <w:r w:rsidRPr="00BE151B">
        <w:rPr>
          <w:rFonts w:ascii="Verdana" w:eastAsia="Arial MT" w:hAnsi="Verdana" w:cs="Arial"/>
          <w:spacing w:val="1"/>
          <w:sz w:val="20"/>
          <w:szCs w:val="20"/>
        </w:rPr>
        <w:t xml:space="preserve"> </w:t>
      </w:r>
      <w:r w:rsidRPr="00BE151B">
        <w:rPr>
          <w:rFonts w:ascii="Verdana" w:eastAsia="Arial MT" w:hAnsi="Verdana" w:cs="Arial"/>
          <w:sz w:val="20"/>
          <w:szCs w:val="20"/>
        </w:rPr>
        <w:t>uniforme</w:t>
      </w:r>
      <w:r w:rsidRPr="00BE151B">
        <w:rPr>
          <w:rFonts w:ascii="Verdana" w:eastAsia="Arial MT" w:hAnsi="Verdana" w:cs="Arial"/>
          <w:spacing w:val="1"/>
          <w:sz w:val="20"/>
          <w:szCs w:val="20"/>
        </w:rPr>
        <w:t xml:space="preserve"> </w:t>
      </w:r>
      <w:r w:rsidRPr="00BE151B">
        <w:rPr>
          <w:rFonts w:ascii="Verdana" w:eastAsia="Arial MT" w:hAnsi="Verdana" w:cs="Arial"/>
          <w:sz w:val="20"/>
          <w:szCs w:val="20"/>
        </w:rPr>
        <w:t>y</w:t>
      </w:r>
      <w:r w:rsidRPr="00BE151B">
        <w:rPr>
          <w:rFonts w:ascii="Verdana" w:eastAsia="Arial MT" w:hAnsi="Verdana" w:cs="Arial"/>
          <w:spacing w:val="1"/>
          <w:sz w:val="20"/>
          <w:szCs w:val="20"/>
        </w:rPr>
        <w:t xml:space="preserve"> </w:t>
      </w:r>
      <w:r w:rsidRPr="00BE151B">
        <w:rPr>
          <w:rFonts w:ascii="Verdana" w:eastAsia="Arial MT" w:hAnsi="Verdana" w:cs="Arial"/>
          <w:sz w:val="20"/>
          <w:szCs w:val="20"/>
        </w:rPr>
        <w:t>reiterada</w:t>
      </w:r>
      <w:r w:rsidRPr="00BE151B">
        <w:rPr>
          <w:rFonts w:ascii="Verdana" w:eastAsia="Arial MT" w:hAnsi="Verdana" w:cs="Arial"/>
          <w:spacing w:val="1"/>
          <w:sz w:val="20"/>
          <w:szCs w:val="20"/>
        </w:rPr>
        <w:t xml:space="preserve"> </w:t>
      </w:r>
      <w:r w:rsidRPr="00BE151B">
        <w:rPr>
          <w:rFonts w:ascii="Verdana" w:eastAsia="Arial MT" w:hAnsi="Verdana" w:cs="Arial"/>
          <w:sz w:val="20"/>
          <w:szCs w:val="20"/>
        </w:rPr>
        <w:t>de</w:t>
      </w:r>
      <w:r w:rsidRPr="00BE151B">
        <w:rPr>
          <w:rFonts w:ascii="Verdana" w:eastAsia="Arial MT" w:hAnsi="Verdana" w:cs="Arial"/>
          <w:spacing w:val="1"/>
          <w:sz w:val="20"/>
          <w:szCs w:val="20"/>
        </w:rPr>
        <w:t xml:space="preserve"> </w:t>
      </w:r>
      <w:r w:rsidRPr="00BE151B">
        <w:rPr>
          <w:rFonts w:ascii="Verdana" w:eastAsia="Arial MT" w:hAnsi="Verdana" w:cs="Arial"/>
          <w:sz w:val="20"/>
          <w:szCs w:val="20"/>
        </w:rPr>
        <w:t>esta</w:t>
      </w:r>
      <w:r w:rsidRPr="00BE151B">
        <w:rPr>
          <w:rFonts w:ascii="Verdana" w:eastAsia="Arial MT" w:hAnsi="Verdana" w:cs="Arial"/>
          <w:spacing w:val="-56"/>
          <w:sz w:val="20"/>
          <w:szCs w:val="20"/>
        </w:rPr>
        <w:t xml:space="preserve"> </w:t>
      </w:r>
      <w:r w:rsidRPr="00BE151B">
        <w:rPr>
          <w:rFonts w:ascii="Verdana" w:eastAsia="Arial MT" w:hAnsi="Verdana" w:cs="Arial"/>
          <w:sz w:val="20"/>
          <w:szCs w:val="20"/>
        </w:rPr>
        <w:t>Corporación, la aplicación de las normas que contemplan inhabilidades e</w:t>
      </w:r>
      <w:r w:rsidRPr="00BE151B">
        <w:rPr>
          <w:rFonts w:ascii="Verdana" w:eastAsia="Arial MT" w:hAnsi="Verdana" w:cs="Arial"/>
          <w:spacing w:val="1"/>
          <w:sz w:val="20"/>
          <w:szCs w:val="20"/>
        </w:rPr>
        <w:t xml:space="preserve"> </w:t>
      </w:r>
      <w:r w:rsidRPr="00BE151B">
        <w:rPr>
          <w:rFonts w:ascii="Verdana" w:eastAsia="Arial MT" w:hAnsi="Verdana" w:cs="Arial"/>
          <w:sz w:val="20"/>
          <w:szCs w:val="20"/>
        </w:rPr>
        <w:t>incompatibilidades,</w:t>
      </w:r>
      <w:r w:rsidRPr="00BE151B">
        <w:rPr>
          <w:rFonts w:ascii="Verdana" w:eastAsia="Arial MT" w:hAnsi="Verdana" w:cs="Arial"/>
          <w:spacing w:val="1"/>
          <w:sz w:val="20"/>
          <w:szCs w:val="20"/>
        </w:rPr>
        <w:t xml:space="preserve"> </w:t>
      </w:r>
      <w:r w:rsidRPr="00BE151B">
        <w:rPr>
          <w:rFonts w:ascii="Verdana" w:eastAsia="Arial MT" w:hAnsi="Verdana" w:cs="Arial"/>
          <w:sz w:val="20"/>
          <w:szCs w:val="20"/>
        </w:rPr>
        <w:t>como</w:t>
      </w:r>
      <w:r w:rsidRPr="00BE151B">
        <w:rPr>
          <w:rFonts w:ascii="Verdana" w:eastAsia="Arial MT" w:hAnsi="Verdana" w:cs="Arial"/>
          <w:spacing w:val="1"/>
          <w:sz w:val="20"/>
          <w:szCs w:val="20"/>
        </w:rPr>
        <w:t xml:space="preserve"> </w:t>
      </w:r>
      <w:r w:rsidRPr="00BE151B">
        <w:rPr>
          <w:rFonts w:ascii="Verdana" w:eastAsia="Arial MT" w:hAnsi="Verdana" w:cs="Arial"/>
          <w:sz w:val="20"/>
          <w:szCs w:val="20"/>
        </w:rPr>
        <w:t>en</w:t>
      </w:r>
      <w:r w:rsidRPr="00BE151B">
        <w:rPr>
          <w:rFonts w:ascii="Verdana" w:eastAsia="Arial MT" w:hAnsi="Verdana" w:cs="Arial"/>
          <w:spacing w:val="1"/>
          <w:sz w:val="20"/>
          <w:szCs w:val="20"/>
        </w:rPr>
        <w:t xml:space="preserve"> </w:t>
      </w:r>
      <w:r w:rsidRPr="00BE151B">
        <w:rPr>
          <w:rFonts w:ascii="Verdana" w:eastAsia="Arial MT" w:hAnsi="Verdana" w:cs="Arial"/>
          <w:sz w:val="20"/>
          <w:szCs w:val="20"/>
        </w:rPr>
        <w:t>general</w:t>
      </w:r>
      <w:r w:rsidRPr="00BE151B">
        <w:rPr>
          <w:rFonts w:ascii="Verdana" w:eastAsia="Arial MT" w:hAnsi="Verdana" w:cs="Arial"/>
          <w:spacing w:val="1"/>
          <w:sz w:val="20"/>
          <w:szCs w:val="20"/>
        </w:rPr>
        <w:t xml:space="preserve"> </w:t>
      </w:r>
      <w:r w:rsidRPr="00BE151B">
        <w:rPr>
          <w:rFonts w:ascii="Verdana" w:eastAsia="Arial MT" w:hAnsi="Verdana" w:cs="Arial"/>
          <w:sz w:val="20"/>
          <w:szCs w:val="20"/>
        </w:rPr>
        <w:t>de</w:t>
      </w:r>
      <w:r w:rsidRPr="00BE151B">
        <w:rPr>
          <w:rFonts w:ascii="Verdana" w:eastAsia="Arial MT" w:hAnsi="Verdana" w:cs="Arial"/>
          <w:spacing w:val="1"/>
          <w:sz w:val="20"/>
          <w:szCs w:val="20"/>
        </w:rPr>
        <w:t xml:space="preserve"> </w:t>
      </w:r>
      <w:r w:rsidRPr="00BE151B">
        <w:rPr>
          <w:rFonts w:ascii="Verdana" w:eastAsia="Arial MT" w:hAnsi="Verdana" w:cs="Arial"/>
          <w:sz w:val="20"/>
          <w:szCs w:val="20"/>
        </w:rPr>
        <w:t>todas</w:t>
      </w:r>
      <w:r w:rsidRPr="00BE151B">
        <w:rPr>
          <w:rFonts w:ascii="Verdana" w:eastAsia="Arial MT" w:hAnsi="Verdana" w:cs="Arial"/>
          <w:spacing w:val="1"/>
          <w:sz w:val="20"/>
          <w:szCs w:val="20"/>
        </w:rPr>
        <w:t xml:space="preserve"> </w:t>
      </w:r>
      <w:r w:rsidRPr="00BE151B">
        <w:rPr>
          <w:rFonts w:ascii="Verdana" w:eastAsia="Arial MT" w:hAnsi="Verdana" w:cs="Arial"/>
          <w:sz w:val="20"/>
          <w:szCs w:val="20"/>
        </w:rPr>
        <w:t>aquellas</w:t>
      </w:r>
      <w:r w:rsidRPr="00BE151B">
        <w:rPr>
          <w:rFonts w:ascii="Verdana" w:eastAsia="Arial MT" w:hAnsi="Verdana" w:cs="Arial"/>
          <w:spacing w:val="1"/>
          <w:sz w:val="20"/>
          <w:szCs w:val="20"/>
        </w:rPr>
        <w:t xml:space="preserve"> </w:t>
      </w:r>
      <w:r w:rsidRPr="00BE151B">
        <w:rPr>
          <w:rFonts w:ascii="Verdana" w:eastAsia="Arial MT" w:hAnsi="Verdana" w:cs="Arial"/>
          <w:sz w:val="20"/>
          <w:szCs w:val="20"/>
        </w:rPr>
        <w:t>que</w:t>
      </w:r>
      <w:r w:rsidRPr="00BE151B">
        <w:rPr>
          <w:rFonts w:ascii="Verdana" w:eastAsia="Arial MT" w:hAnsi="Verdana" w:cs="Arial"/>
          <w:spacing w:val="1"/>
          <w:sz w:val="20"/>
          <w:szCs w:val="20"/>
        </w:rPr>
        <w:t xml:space="preserve"> </w:t>
      </w:r>
      <w:r w:rsidRPr="00BE151B">
        <w:rPr>
          <w:rFonts w:ascii="Verdana" w:eastAsia="Arial MT" w:hAnsi="Verdana" w:cs="Arial"/>
          <w:sz w:val="20"/>
          <w:szCs w:val="20"/>
        </w:rPr>
        <w:t>comportan</w:t>
      </w:r>
      <w:r w:rsidRPr="00BE151B">
        <w:rPr>
          <w:rFonts w:ascii="Verdana" w:eastAsia="Arial MT" w:hAnsi="Verdana" w:cs="Arial"/>
          <w:spacing w:val="-56"/>
          <w:sz w:val="20"/>
          <w:szCs w:val="20"/>
        </w:rPr>
        <w:t xml:space="preserve"> </w:t>
      </w:r>
      <w:r w:rsidRPr="00BE151B">
        <w:rPr>
          <w:rFonts w:ascii="Verdana" w:eastAsia="Arial MT" w:hAnsi="Verdana" w:cs="Arial"/>
          <w:sz w:val="20"/>
          <w:szCs w:val="20"/>
        </w:rPr>
        <w:t>prohibiciones</w:t>
      </w:r>
      <w:r w:rsidRPr="00BE151B">
        <w:rPr>
          <w:rFonts w:ascii="Verdana" w:eastAsia="Arial MT" w:hAnsi="Verdana" w:cs="Arial"/>
          <w:spacing w:val="-12"/>
          <w:sz w:val="20"/>
          <w:szCs w:val="20"/>
        </w:rPr>
        <w:t xml:space="preserve"> </w:t>
      </w:r>
      <w:r w:rsidRPr="00BE151B">
        <w:rPr>
          <w:rFonts w:ascii="Verdana" w:eastAsia="Arial MT" w:hAnsi="Verdana" w:cs="Arial"/>
          <w:sz w:val="20"/>
          <w:szCs w:val="20"/>
        </w:rPr>
        <w:t>o</w:t>
      </w:r>
      <w:r w:rsidRPr="00BE151B">
        <w:rPr>
          <w:rFonts w:ascii="Verdana" w:eastAsia="Arial MT" w:hAnsi="Verdana" w:cs="Arial"/>
          <w:spacing w:val="-13"/>
          <w:sz w:val="20"/>
          <w:szCs w:val="20"/>
        </w:rPr>
        <w:t xml:space="preserve"> </w:t>
      </w:r>
      <w:r w:rsidRPr="00BE151B">
        <w:rPr>
          <w:rFonts w:ascii="Verdana" w:eastAsia="Arial MT" w:hAnsi="Verdana" w:cs="Arial"/>
          <w:sz w:val="20"/>
          <w:szCs w:val="20"/>
        </w:rPr>
        <w:t>limitaciones,</w:t>
      </w:r>
      <w:r w:rsidRPr="00BE151B">
        <w:rPr>
          <w:rFonts w:ascii="Verdana" w:eastAsia="Arial MT" w:hAnsi="Verdana" w:cs="Arial"/>
          <w:spacing w:val="-12"/>
          <w:sz w:val="20"/>
          <w:szCs w:val="20"/>
        </w:rPr>
        <w:t xml:space="preserve"> </w:t>
      </w:r>
      <w:r w:rsidRPr="00BE151B">
        <w:rPr>
          <w:rFonts w:ascii="Verdana" w:eastAsia="Arial MT" w:hAnsi="Verdana" w:cs="Arial"/>
          <w:sz w:val="20"/>
          <w:szCs w:val="20"/>
        </w:rPr>
        <w:t>deben</w:t>
      </w:r>
      <w:r w:rsidRPr="00BE151B">
        <w:rPr>
          <w:rFonts w:ascii="Verdana" w:eastAsia="Arial MT" w:hAnsi="Verdana" w:cs="Arial"/>
          <w:spacing w:val="-13"/>
          <w:sz w:val="20"/>
          <w:szCs w:val="20"/>
        </w:rPr>
        <w:t xml:space="preserve"> </w:t>
      </w:r>
      <w:r w:rsidRPr="00BE151B">
        <w:rPr>
          <w:rFonts w:ascii="Verdana" w:eastAsia="Arial MT" w:hAnsi="Verdana" w:cs="Arial"/>
          <w:sz w:val="20"/>
          <w:szCs w:val="20"/>
        </w:rPr>
        <w:t>responder</w:t>
      </w:r>
      <w:r w:rsidRPr="00BE151B">
        <w:rPr>
          <w:rFonts w:ascii="Verdana" w:eastAsia="Arial MT" w:hAnsi="Verdana" w:cs="Arial"/>
          <w:spacing w:val="-13"/>
          <w:sz w:val="20"/>
          <w:szCs w:val="20"/>
        </w:rPr>
        <w:t xml:space="preserve"> </w:t>
      </w:r>
      <w:r w:rsidRPr="00BE151B">
        <w:rPr>
          <w:rFonts w:ascii="Verdana" w:eastAsia="Arial MT" w:hAnsi="Verdana" w:cs="Arial"/>
          <w:sz w:val="20"/>
          <w:szCs w:val="20"/>
        </w:rPr>
        <w:t>a</w:t>
      </w:r>
      <w:r w:rsidRPr="00BE151B">
        <w:rPr>
          <w:rFonts w:ascii="Verdana" w:eastAsia="Arial MT" w:hAnsi="Verdana" w:cs="Arial"/>
          <w:spacing w:val="-12"/>
          <w:sz w:val="20"/>
          <w:szCs w:val="20"/>
        </w:rPr>
        <w:t xml:space="preserve"> </w:t>
      </w:r>
      <w:r w:rsidRPr="00BE151B">
        <w:rPr>
          <w:rFonts w:ascii="Verdana" w:eastAsia="Arial MT" w:hAnsi="Verdana" w:cs="Arial"/>
          <w:sz w:val="20"/>
          <w:szCs w:val="20"/>
        </w:rPr>
        <w:t>una</w:t>
      </w:r>
      <w:r w:rsidRPr="00BE151B">
        <w:rPr>
          <w:rFonts w:ascii="Verdana" w:eastAsia="Arial MT" w:hAnsi="Verdana" w:cs="Arial"/>
          <w:spacing w:val="-13"/>
          <w:sz w:val="20"/>
          <w:szCs w:val="20"/>
        </w:rPr>
        <w:t xml:space="preserve"> </w:t>
      </w:r>
      <w:r w:rsidRPr="00BE151B">
        <w:rPr>
          <w:rFonts w:ascii="Verdana" w:eastAsia="Arial MT" w:hAnsi="Verdana" w:cs="Arial"/>
          <w:sz w:val="20"/>
          <w:szCs w:val="20"/>
        </w:rPr>
        <w:t>interpretación</w:t>
      </w:r>
      <w:r w:rsidRPr="00BE151B">
        <w:rPr>
          <w:rFonts w:ascii="Verdana" w:eastAsia="Arial MT" w:hAnsi="Verdana" w:cs="Arial"/>
          <w:spacing w:val="-12"/>
          <w:sz w:val="20"/>
          <w:szCs w:val="20"/>
        </w:rPr>
        <w:t xml:space="preserve"> </w:t>
      </w:r>
      <w:r w:rsidRPr="00BE151B">
        <w:rPr>
          <w:rFonts w:ascii="Verdana" w:eastAsia="Arial MT" w:hAnsi="Verdana" w:cs="Arial"/>
          <w:sz w:val="20"/>
          <w:szCs w:val="20"/>
        </w:rPr>
        <w:t xml:space="preserve">restrictiva </w:t>
      </w:r>
      <w:r w:rsidRPr="00BE151B">
        <w:rPr>
          <w:rFonts w:ascii="Verdana" w:eastAsia="Calibri" w:hAnsi="Verdana" w:cs="Arial"/>
          <w:sz w:val="20"/>
          <w:szCs w:val="20"/>
        </w:rPr>
        <w:t>que</w:t>
      </w:r>
      <w:r w:rsidRPr="00BE151B">
        <w:rPr>
          <w:rFonts w:ascii="Verdana" w:eastAsia="Calibri" w:hAnsi="Verdana" w:cs="Arial"/>
          <w:spacing w:val="-6"/>
          <w:sz w:val="20"/>
          <w:szCs w:val="20"/>
        </w:rPr>
        <w:t xml:space="preserve"> </w:t>
      </w:r>
      <w:r w:rsidRPr="00BE151B">
        <w:rPr>
          <w:rFonts w:ascii="Verdana" w:eastAsia="Calibri" w:hAnsi="Verdana" w:cs="Arial"/>
          <w:sz w:val="20"/>
          <w:szCs w:val="20"/>
        </w:rPr>
        <w:t>no</w:t>
      </w:r>
      <w:r w:rsidRPr="00BE151B">
        <w:rPr>
          <w:rFonts w:ascii="Verdana" w:eastAsia="Calibri" w:hAnsi="Verdana" w:cs="Arial"/>
          <w:spacing w:val="-5"/>
          <w:sz w:val="20"/>
          <w:szCs w:val="20"/>
        </w:rPr>
        <w:t xml:space="preserve"> </w:t>
      </w:r>
      <w:r w:rsidRPr="00BE151B">
        <w:rPr>
          <w:rFonts w:ascii="Verdana" w:eastAsia="Calibri" w:hAnsi="Verdana" w:cs="Arial"/>
          <w:sz w:val="20"/>
          <w:szCs w:val="20"/>
        </w:rPr>
        <w:t>permite</w:t>
      </w:r>
      <w:r w:rsidRPr="00BE151B">
        <w:rPr>
          <w:rFonts w:ascii="Verdana" w:eastAsia="Calibri" w:hAnsi="Verdana" w:cs="Arial"/>
          <w:spacing w:val="-6"/>
          <w:sz w:val="20"/>
          <w:szCs w:val="20"/>
        </w:rPr>
        <w:t xml:space="preserve"> </w:t>
      </w:r>
      <w:r w:rsidRPr="00BE151B">
        <w:rPr>
          <w:rFonts w:ascii="Verdana" w:eastAsia="Calibri" w:hAnsi="Verdana" w:cs="Arial"/>
          <w:sz w:val="20"/>
          <w:szCs w:val="20"/>
        </w:rPr>
        <w:t>su</w:t>
      </w:r>
      <w:r w:rsidRPr="00BE151B">
        <w:rPr>
          <w:rFonts w:ascii="Verdana" w:eastAsia="Calibri" w:hAnsi="Verdana" w:cs="Arial"/>
          <w:spacing w:val="-5"/>
          <w:sz w:val="20"/>
          <w:szCs w:val="20"/>
        </w:rPr>
        <w:t xml:space="preserve"> </w:t>
      </w:r>
      <w:r w:rsidRPr="00BE151B">
        <w:rPr>
          <w:rFonts w:ascii="Verdana" w:eastAsia="Calibri" w:hAnsi="Verdana" w:cs="Arial"/>
          <w:sz w:val="20"/>
          <w:szCs w:val="20"/>
        </w:rPr>
        <w:t>extensión,</w:t>
      </w:r>
      <w:r w:rsidRPr="00BE151B">
        <w:rPr>
          <w:rFonts w:ascii="Verdana" w:eastAsia="Calibri" w:hAnsi="Verdana" w:cs="Arial"/>
          <w:spacing w:val="-6"/>
          <w:sz w:val="20"/>
          <w:szCs w:val="20"/>
        </w:rPr>
        <w:t xml:space="preserve"> </w:t>
      </w:r>
      <w:r w:rsidRPr="00BE151B">
        <w:rPr>
          <w:rFonts w:ascii="Verdana" w:eastAsia="Calibri" w:hAnsi="Verdana" w:cs="Arial"/>
          <w:sz w:val="20"/>
          <w:szCs w:val="20"/>
        </w:rPr>
        <w:t>por</w:t>
      </w:r>
      <w:r w:rsidRPr="00BE151B">
        <w:rPr>
          <w:rFonts w:ascii="Verdana" w:eastAsia="Calibri" w:hAnsi="Verdana" w:cs="Arial"/>
          <w:spacing w:val="-5"/>
          <w:sz w:val="20"/>
          <w:szCs w:val="20"/>
        </w:rPr>
        <w:t xml:space="preserve"> </w:t>
      </w:r>
      <w:r w:rsidRPr="00BE151B">
        <w:rPr>
          <w:rFonts w:ascii="Verdana" w:eastAsia="Calibri" w:hAnsi="Verdana" w:cs="Arial"/>
          <w:sz w:val="20"/>
          <w:szCs w:val="20"/>
        </w:rPr>
        <w:t>vía</w:t>
      </w:r>
      <w:r w:rsidRPr="00BE151B">
        <w:rPr>
          <w:rFonts w:ascii="Verdana" w:eastAsia="Calibri" w:hAnsi="Verdana" w:cs="Arial"/>
          <w:spacing w:val="-6"/>
          <w:sz w:val="20"/>
          <w:szCs w:val="20"/>
        </w:rPr>
        <w:t xml:space="preserve"> </w:t>
      </w:r>
      <w:r w:rsidRPr="00BE151B">
        <w:rPr>
          <w:rFonts w:ascii="Verdana" w:eastAsia="Calibri" w:hAnsi="Verdana" w:cs="Arial"/>
          <w:sz w:val="20"/>
          <w:szCs w:val="20"/>
        </w:rPr>
        <w:t>de</w:t>
      </w:r>
      <w:r w:rsidRPr="00BE151B">
        <w:rPr>
          <w:rFonts w:ascii="Verdana" w:eastAsia="Calibri" w:hAnsi="Verdana" w:cs="Arial"/>
          <w:spacing w:val="-5"/>
          <w:sz w:val="20"/>
          <w:szCs w:val="20"/>
        </w:rPr>
        <w:t xml:space="preserve"> </w:t>
      </w:r>
      <w:r w:rsidRPr="00BE151B">
        <w:rPr>
          <w:rFonts w:ascii="Verdana" w:eastAsia="Calibri" w:hAnsi="Verdana" w:cs="Arial"/>
          <w:sz w:val="20"/>
          <w:szCs w:val="20"/>
        </w:rPr>
        <w:t>la</w:t>
      </w:r>
      <w:r w:rsidRPr="00BE151B">
        <w:rPr>
          <w:rFonts w:ascii="Verdana" w:eastAsia="Calibri" w:hAnsi="Verdana" w:cs="Arial"/>
          <w:spacing w:val="-6"/>
          <w:sz w:val="20"/>
          <w:szCs w:val="20"/>
        </w:rPr>
        <w:t xml:space="preserve"> </w:t>
      </w:r>
      <w:r w:rsidRPr="00BE151B">
        <w:rPr>
          <w:rFonts w:ascii="Verdana" w:eastAsia="Calibri" w:hAnsi="Verdana" w:cs="Arial"/>
          <w:sz w:val="20"/>
          <w:szCs w:val="20"/>
        </w:rPr>
        <w:t>figura</w:t>
      </w:r>
      <w:r w:rsidRPr="00BE151B">
        <w:rPr>
          <w:rFonts w:ascii="Verdana" w:eastAsia="Calibri" w:hAnsi="Verdana" w:cs="Arial"/>
          <w:spacing w:val="-4"/>
          <w:sz w:val="20"/>
          <w:szCs w:val="20"/>
        </w:rPr>
        <w:t xml:space="preserve"> </w:t>
      </w:r>
      <w:r w:rsidRPr="00BE151B">
        <w:rPr>
          <w:rFonts w:ascii="Verdana" w:eastAsia="Calibri" w:hAnsi="Verdana" w:cs="Arial"/>
          <w:sz w:val="20"/>
          <w:szCs w:val="20"/>
        </w:rPr>
        <w:t>de</w:t>
      </w:r>
      <w:r w:rsidRPr="00BE151B">
        <w:rPr>
          <w:rFonts w:ascii="Verdana" w:eastAsia="Calibri" w:hAnsi="Verdana" w:cs="Arial"/>
          <w:spacing w:val="-6"/>
          <w:sz w:val="20"/>
          <w:szCs w:val="20"/>
        </w:rPr>
        <w:t xml:space="preserve"> </w:t>
      </w:r>
      <w:r w:rsidRPr="00BE151B">
        <w:rPr>
          <w:rFonts w:ascii="Verdana" w:eastAsia="Calibri" w:hAnsi="Verdana" w:cs="Arial"/>
          <w:sz w:val="20"/>
          <w:szCs w:val="20"/>
        </w:rPr>
        <w:t>la</w:t>
      </w:r>
      <w:r w:rsidRPr="00BE151B">
        <w:rPr>
          <w:rFonts w:ascii="Verdana" w:eastAsia="Calibri" w:hAnsi="Verdana" w:cs="Arial"/>
          <w:spacing w:val="-5"/>
          <w:sz w:val="20"/>
          <w:szCs w:val="20"/>
        </w:rPr>
        <w:t xml:space="preserve"> </w:t>
      </w:r>
      <w:r w:rsidRPr="00BE151B">
        <w:rPr>
          <w:rFonts w:ascii="Verdana" w:eastAsia="Calibri" w:hAnsi="Verdana" w:cs="Arial"/>
          <w:sz w:val="20"/>
          <w:szCs w:val="20"/>
        </w:rPr>
        <w:t>analogía,</w:t>
      </w:r>
      <w:r w:rsidRPr="00BE151B">
        <w:rPr>
          <w:rFonts w:ascii="Verdana" w:eastAsia="Calibri" w:hAnsi="Verdana" w:cs="Arial"/>
          <w:spacing w:val="-6"/>
          <w:sz w:val="20"/>
          <w:szCs w:val="20"/>
        </w:rPr>
        <w:t xml:space="preserve"> </w:t>
      </w:r>
      <w:r w:rsidRPr="00BE151B">
        <w:rPr>
          <w:rFonts w:ascii="Verdana" w:eastAsia="Calibri" w:hAnsi="Verdana" w:cs="Arial"/>
          <w:sz w:val="20"/>
          <w:szCs w:val="20"/>
        </w:rPr>
        <w:t>a</w:t>
      </w:r>
      <w:r w:rsidRPr="00BE151B">
        <w:rPr>
          <w:rFonts w:ascii="Verdana" w:eastAsia="Calibri" w:hAnsi="Verdana" w:cs="Arial"/>
          <w:spacing w:val="-5"/>
          <w:sz w:val="20"/>
          <w:szCs w:val="20"/>
        </w:rPr>
        <w:t xml:space="preserve"> </w:t>
      </w:r>
      <w:r w:rsidRPr="00BE151B">
        <w:rPr>
          <w:rFonts w:ascii="Verdana" w:eastAsia="Arial MT" w:hAnsi="Verdana" w:cs="Arial"/>
          <w:sz w:val="20"/>
          <w:szCs w:val="20"/>
        </w:rPr>
        <w:t>supuestos no contemplados</w:t>
      </w:r>
      <w:r w:rsidRPr="00BE151B">
        <w:rPr>
          <w:rFonts w:ascii="Verdana" w:eastAsia="Calibri" w:hAnsi="Verdana" w:cs="Arial"/>
          <w:spacing w:val="-1"/>
          <w:sz w:val="20"/>
          <w:szCs w:val="20"/>
        </w:rPr>
        <w:t xml:space="preserve"> </w:t>
      </w:r>
      <w:r w:rsidRPr="00BE151B">
        <w:rPr>
          <w:rFonts w:ascii="Verdana" w:eastAsia="Calibri" w:hAnsi="Verdana" w:cs="Arial"/>
          <w:sz w:val="20"/>
          <w:szCs w:val="20"/>
        </w:rPr>
        <w:t>por</w:t>
      </w:r>
      <w:r w:rsidRPr="00BE151B">
        <w:rPr>
          <w:rFonts w:ascii="Verdana" w:eastAsia="Calibri" w:hAnsi="Verdana" w:cs="Arial"/>
          <w:spacing w:val="-1"/>
          <w:sz w:val="20"/>
          <w:szCs w:val="20"/>
        </w:rPr>
        <w:t xml:space="preserve"> </w:t>
      </w:r>
      <w:r w:rsidRPr="00BE151B">
        <w:rPr>
          <w:rFonts w:ascii="Verdana" w:eastAsia="Calibri" w:hAnsi="Verdana" w:cs="Arial"/>
          <w:sz w:val="20"/>
          <w:szCs w:val="20"/>
        </w:rPr>
        <w:t>el</w:t>
      </w:r>
      <w:r w:rsidRPr="00BE151B">
        <w:rPr>
          <w:rFonts w:ascii="Verdana" w:eastAsia="Calibri" w:hAnsi="Verdana" w:cs="Arial"/>
          <w:spacing w:val="-1"/>
          <w:sz w:val="20"/>
          <w:szCs w:val="20"/>
        </w:rPr>
        <w:t xml:space="preserve"> </w:t>
      </w:r>
      <w:r w:rsidRPr="00BE151B">
        <w:rPr>
          <w:rFonts w:ascii="Verdana" w:eastAsia="Calibri" w:hAnsi="Verdana" w:cs="Arial"/>
          <w:sz w:val="20"/>
          <w:szCs w:val="20"/>
        </w:rPr>
        <w:t>ordenamiento”</w:t>
      </w:r>
      <w:r w:rsidRPr="00BE151B">
        <w:rPr>
          <w:rFonts w:ascii="Verdana" w:eastAsia="Calibri" w:hAnsi="Verdana" w:cs="Arial"/>
          <w:sz w:val="20"/>
          <w:szCs w:val="20"/>
          <w:vertAlign w:val="superscript"/>
        </w:rPr>
        <w:footnoteReference w:id="5"/>
      </w:r>
      <w:r w:rsidRPr="00BE151B">
        <w:rPr>
          <w:rFonts w:ascii="Verdana" w:eastAsia="Calibri" w:hAnsi="Verdana" w:cs="Arial"/>
          <w:sz w:val="20"/>
          <w:szCs w:val="20"/>
        </w:rPr>
        <w:t>.</w:t>
      </w:r>
    </w:p>
    <w:p w14:paraId="514FC9B8" w14:textId="77777777" w:rsidR="00EA6B8B" w:rsidRPr="00BE151B" w:rsidRDefault="00EA6B8B" w:rsidP="00EA6B8B">
      <w:pPr>
        <w:widowControl w:val="0"/>
        <w:autoSpaceDE w:val="0"/>
        <w:autoSpaceDN w:val="0"/>
        <w:spacing w:after="0" w:line="276" w:lineRule="auto"/>
        <w:ind w:left="709" w:right="709"/>
        <w:jc w:val="both"/>
        <w:rPr>
          <w:rFonts w:ascii="Verdana" w:eastAsia="Arial MT" w:hAnsi="Verdana" w:cs="Arial"/>
          <w:sz w:val="21"/>
        </w:rPr>
      </w:pPr>
    </w:p>
    <w:p w14:paraId="7CFA6B63" w14:textId="77777777" w:rsidR="00EA6B8B" w:rsidRPr="00BE151B" w:rsidRDefault="00EA6B8B" w:rsidP="00EA6B8B">
      <w:pPr>
        <w:widowControl w:val="0"/>
        <w:autoSpaceDE w:val="0"/>
        <w:autoSpaceDN w:val="0"/>
        <w:spacing w:after="0" w:line="276" w:lineRule="auto"/>
        <w:ind w:right="709" w:firstLine="708"/>
        <w:jc w:val="both"/>
        <w:rPr>
          <w:rFonts w:ascii="Verdana" w:eastAsia="Arial MT" w:hAnsi="Verdana" w:cs="Arial"/>
        </w:rPr>
      </w:pPr>
      <w:r w:rsidRPr="00BE151B">
        <w:rPr>
          <w:rFonts w:ascii="Verdana" w:eastAsia="Arial MT" w:hAnsi="Verdana" w:cs="Arial"/>
        </w:rPr>
        <w:t>En el mismo sentido ha expuesto que:</w:t>
      </w:r>
    </w:p>
    <w:p w14:paraId="2DF6A31C" w14:textId="77777777" w:rsidR="00EA6B8B" w:rsidRPr="00BE151B" w:rsidRDefault="00EA6B8B" w:rsidP="00EA6B8B">
      <w:pPr>
        <w:widowControl w:val="0"/>
        <w:autoSpaceDE w:val="0"/>
        <w:autoSpaceDN w:val="0"/>
        <w:spacing w:after="0" w:line="276" w:lineRule="auto"/>
        <w:ind w:right="709"/>
        <w:jc w:val="both"/>
        <w:rPr>
          <w:rFonts w:ascii="Verdana" w:eastAsia="Arial MT" w:hAnsi="Verdana" w:cs="Arial"/>
        </w:rPr>
      </w:pPr>
    </w:p>
    <w:p w14:paraId="69DC439C" w14:textId="77777777" w:rsidR="00EA6B8B" w:rsidRPr="00BE151B" w:rsidRDefault="00EA6B8B" w:rsidP="00EA6B8B">
      <w:pPr>
        <w:widowControl w:val="0"/>
        <w:autoSpaceDE w:val="0"/>
        <w:autoSpaceDN w:val="0"/>
        <w:spacing w:after="0" w:line="240" w:lineRule="auto"/>
        <w:ind w:left="709" w:right="709"/>
        <w:jc w:val="both"/>
        <w:rPr>
          <w:rFonts w:ascii="Verdana" w:eastAsia="Arial MT" w:hAnsi="Verdana" w:cs="Arial"/>
          <w:sz w:val="20"/>
          <w:szCs w:val="20"/>
        </w:rPr>
      </w:pPr>
      <w:r w:rsidRPr="00BE151B">
        <w:rPr>
          <w:rFonts w:ascii="Verdana" w:eastAsia="Arial MT" w:hAnsi="Verdana" w:cs="Arial"/>
          <w:sz w:val="20"/>
          <w:szCs w:val="20"/>
        </w:rPr>
        <w:t xml:space="preserve">“[…] la aplicación de estos preceptos exige una interpretación restrictiva, dado que según el principio hermenéutico pro </w:t>
      </w:r>
      <w:proofErr w:type="spellStart"/>
      <w:r w:rsidRPr="00BE151B">
        <w:rPr>
          <w:rFonts w:ascii="Verdana" w:eastAsia="Arial MT" w:hAnsi="Verdana" w:cs="Arial"/>
          <w:sz w:val="20"/>
          <w:szCs w:val="20"/>
        </w:rPr>
        <w:t>libertate</w:t>
      </w:r>
      <w:proofErr w:type="spellEnd"/>
      <w:r w:rsidRPr="00BE151B">
        <w:rPr>
          <w:rFonts w:ascii="Verdana" w:eastAsia="Arial MT" w:hAnsi="Verdana" w:cs="Arial"/>
          <w:sz w:val="20"/>
          <w:szCs w:val="20"/>
        </w:rPr>
        <w:t>, entre varias interpretaciones posibles de una norma que regula una inhabilidad, debe preferirse aquella que menos limita el derecho de las personas; en otros términos, se encuentra prohibida constitucionalmente la interpretación extensiva de las causales de inhabilidad, toda vez que las palabras de la ley son la frontera que no se puede traspasar en el ejercicio hermenéutico de las mismas, pues de hacerlo se vulnerarían los derechos fundamentales al debido proceso (art. 29 CN) y a la igualdad (art. 13 Ibid.); […]”</w:t>
      </w:r>
      <w:r w:rsidRPr="00BE151B">
        <w:rPr>
          <w:rFonts w:ascii="Verdana" w:eastAsia="Arial MT" w:hAnsi="Verdana" w:cs="Arial"/>
          <w:sz w:val="20"/>
          <w:szCs w:val="20"/>
          <w:vertAlign w:val="superscript"/>
        </w:rPr>
        <w:footnoteReference w:id="6"/>
      </w:r>
      <w:r w:rsidRPr="00BE151B">
        <w:rPr>
          <w:rFonts w:ascii="Verdana" w:eastAsia="Arial MT" w:hAnsi="Verdana" w:cs="Arial"/>
          <w:sz w:val="20"/>
          <w:szCs w:val="20"/>
        </w:rPr>
        <w:t>.</w:t>
      </w:r>
    </w:p>
    <w:p w14:paraId="421A9ABA" w14:textId="77777777" w:rsidR="00EA6B8B" w:rsidRPr="00BE151B" w:rsidRDefault="00EA6B8B" w:rsidP="00EA6B8B">
      <w:pPr>
        <w:widowControl w:val="0"/>
        <w:autoSpaceDE w:val="0"/>
        <w:autoSpaceDN w:val="0"/>
        <w:spacing w:after="0" w:line="240" w:lineRule="auto"/>
        <w:ind w:left="810" w:right="1243" w:firstLine="709"/>
        <w:jc w:val="both"/>
        <w:rPr>
          <w:rFonts w:ascii="Verdana" w:eastAsia="Arial MT" w:hAnsi="Verdana" w:cs="Arial"/>
          <w:sz w:val="20"/>
        </w:rPr>
      </w:pPr>
    </w:p>
    <w:p w14:paraId="11AEB05C" w14:textId="77777777" w:rsidR="00EA6B8B" w:rsidRPr="00BE151B" w:rsidRDefault="00EA6B8B" w:rsidP="00EA6B8B">
      <w:pPr>
        <w:widowControl w:val="0"/>
        <w:autoSpaceDE w:val="0"/>
        <w:autoSpaceDN w:val="0"/>
        <w:spacing w:after="120" w:line="276" w:lineRule="auto"/>
        <w:ind w:firstLine="709"/>
        <w:jc w:val="both"/>
        <w:rPr>
          <w:rFonts w:ascii="Verdana" w:eastAsia="Arial" w:hAnsi="Verdana" w:cs="Arial"/>
          <w:color w:val="333333"/>
          <w:shd w:val="clear" w:color="auto" w:fill="FFFFFF"/>
          <w:lang w:eastAsia="es-ES" w:bidi="es-ES"/>
        </w:rPr>
      </w:pPr>
      <w:r w:rsidRPr="00BE151B">
        <w:rPr>
          <w:rFonts w:ascii="Verdana" w:eastAsia="Arial MT" w:hAnsi="Verdana" w:cs="Arial"/>
          <w:lang w:eastAsia="es-ES" w:bidi="es-ES"/>
        </w:rPr>
        <w:lastRenderedPageBreak/>
        <w:t xml:space="preserve">De igual forma, </w:t>
      </w:r>
      <w:r w:rsidRPr="00BE151B">
        <w:rPr>
          <w:rFonts w:ascii="Verdana" w:eastAsia="Arial" w:hAnsi="Verdana" w:cs="Arial"/>
          <w:lang w:eastAsia="es-ES" w:bidi="es-ES"/>
        </w:rPr>
        <w:t>la Corte Constitucional</w:t>
      </w:r>
      <w:r>
        <w:rPr>
          <w:rFonts w:ascii="Verdana" w:eastAsia="Arial" w:hAnsi="Verdana" w:cs="Arial"/>
          <w:lang w:eastAsia="es-ES" w:bidi="es-ES"/>
        </w:rPr>
        <w:t>,</w:t>
      </w:r>
      <w:r w:rsidRPr="00BE151B">
        <w:rPr>
          <w:rFonts w:ascii="Verdana" w:eastAsia="Arial" w:hAnsi="Verdana" w:cs="Arial"/>
          <w:lang w:eastAsia="es-ES" w:bidi="es-ES"/>
        </w:rPr>
        <w:t xml:space="preserve"> en jurisprudencia</w:t>
      </w:r>
      <w:r w:rsidRPr="00BE151B">
        <w:rPr>
          <w:vertAlign w:val="superscript"/>
          <w:lang w:eastAsia="es-ES" w:bidi="es-ES"/>
        </w:rPr>
        <w:footnoteReference w:id="7"/>
      </w:r>
      <w:r w:rsidRPr="00BE151B">
        <w:rPr>
          <w:rFonts w:ascii="Verdana" w:eastAsia="Arial" w:hAnsi="Verdana" w:cs="Arial"/>
          <w:lang w:eastAsia="es-ES" w:bidi="es-ES"/>
        </w:rPr>
        <w:t xml:space="preserve"> citada a su vez por el Consejo de Estado</w:t>
      </w:r>
      <w:r w:rsidRPr="00BE151B">
        <w:rPr>
          <w:vertAlign w:val="superscript"/>
          <w:lang w:eastAsia="es-ES" w:bidi="es-ES"/>
        </w:rPr>
        <w:footnoteReference w:id="8"/>
      </w:r>
      <w:r w:rsidRPr="00BE151B">
        <w:rPr>
          <w:rFonts w:ascii="Verdana" w:eastAsia="Arial" w:hAnsi="Verdana" w:cs="Arial"/>
          <w:lang w:eastAsia="es-ES" w:bidi="es-ES"/>
        </w:rPr>
        <w:t xml:space="preserve">, se ha referido al régimen general de inhabilidades e incompatibilidades, destacando de este la prevalencia del interés general sobre el particular y su doble connotación, como quiera que no solo </w:t>
      </w:r>
      <w:proofErr w:type="gramStart"/>
      <w:r w:rsidRPr="00BE151B">
        <w:rPr>
          <w:rFonts w:ascii="Verdana" w:eastAsia="Arial" w:hAnsi="Verdana" w:cs="Arial"/>
          <w:lang w:eastAsia="es-ES" w:bidi="es-ES"/>
        </w:rPr>
        <w:t>puede</w:t>
      </w:r>
      <w:proofErr w:type="gramEnd"/>
      <w:r w:rsidRPr="00BE151B">
        <w:rPr>
          <w:rFonts w:ascii="Verdana" w:eastAsia="Arial" w:hAnsi="Verdana" w:cs="Arial"/>
          <w:lang w:eastAsia="es-ES" w:bidi="es-ES"/>
        </w:rPr>
        <w:t xml:space="preserve"> ser consecuencia de una sanción sino también erigirse con una finalidad preventiva que busca asegurar la no afectación del interés general</w:t>
      </w:r>
      <w:r>
        <w:rPr>
          <w:rFonts w:ascii="Verdana" w:eastAsia="Arial" w:hAnsi="Verdana" w:cs="Arial"/>
          <w:lang w:eastAsia="es-ES" w:bidi="es-ES"/>
        </w:rPr>
        <w:t>. E</w:t>
      </w:r>
      <w:r w:rsidRPr="00BE151B">
        <w:rPr>
          <w:rFonts w:ascii="Verdana" w:eastAsia="Arial" w:hAnsi="Verdana" w:cs="Arial"/>
          <w:lang w:eastAsia="es-ES" w:bidi="es-ES"/>
        </w:rPr>
        <w:t>n suma</w:t>
      </w:r>
      <w:r w:rsidRPr="00BE151B">
        <w:rPr>
          <w:rFonts w:ascii="Verdana" w:eastAsia="Arial" w:hAnsi="Verdana" w:cs="Arial"/>
          <w:i/>
          <w:lang w:eastAsia="es-ES" w:bidi="es-ES"/>
        </w:rPr>
        <w:t xml:space="preserve">, </w:t>
      </w:r>
      <w:r w:rsidRPr="00BE151B">
        <w:rPr>
          <w:rFonts w:ascii="Verdana" w:eastAsia="Arial MT" w:hAnsi="Verdana" w:cs="Arial"/>
          <w:i/>
          <w:lang w:eastAsia="es-ES" w:bidi="es-ES"/>
        </w:rPr>
        <w:t>“[…] l</w:t>
      </w:r>
      <w:r w:rsidRPr="00BE151B">
        <w:rPr>
          <w:rFonts w:ascii="Verdana" w:eastAsia="Arial" w:hAnsi="Verdana" w:cs="Arial"/>
          <w:i/>
          <w:color w:val="333333"/>
          <w:shd w:val="clear" w:color="auto" w:fill="FFFFFF"/>
          <w:lang w:eastAsia="es-ES" w:bidi="es-ES"/>
        </w:rPr>
        <w:t>a inhabilidad no es una pena sino una garantía de que el comportamiento anterior no afectará el desempeño de la función o cargo, de protección del interés general y de la idoneidad, probidad y moralidad del aspirante</w:t>
      </w:r>
      <w:r w:rsidRPr="00BE151B">
        <w:rPr>
          <w:rFonts w:ascii="Verdana" w:eastAsia="Arial MT" w:hAnsi="Verdana" w:cs="Arial"/>
          <w:i/>
          <w:lang w:eastAsia="es-ES" w:bidi="es-ES"/>
        </w:rPr>
        <w:t>”</w:t>
      </w:r>
      <w:r w:rsidRPr="00BE151B">
        <w:rPr>
          <w:rFonts w:ascii="Verdana" w:eastAsia="Arial" w:hAnsi="Verdana" w:cs="Arial"/>
          <w:color w:val="333333"/>
          <w:shd w:val="clear" w:color="auto" w:fill="FFFFFF"/>
          <w:vertAlign w:val="superscript"/>
          <w:lang w:eastAsia="es-ES" w:bidi="es-ES"/>
        </w:rPr>
        <w:t>12</w:t>
      </w:r>
      <w:r>
        <w:rPr>
          <w:rFonts w:ascii="Verdana" w:eastAsia="Arial" w:hAnsi="Verdana" w:cs="Arial"/>
          <w:color w:val="333333"/>
          <w:shd w:val="clear" w:color="auto" w:fill="FFFFFF"/>
          <w:lang w:eastAsia="es-ES" w:bidi="es-ES"/>
        </w:rPr>
        <w:t>. E</w:t>
      </w:r>
      <w:r w:rsidRPr="00BE151B">
        <w:rPr>
          <w:rFonts w:ascii="Verdana" w:eastAsia="Arial" w:hAnsi="Verdana" w:cs="Arial"/>
          <w:color w:val="333333"/>
          <w:shd w:val="clear" w:color="auto" w:fill="FFFFFF"/>
          <w:lang w:eastAsia="es-ES" w:bidi="es-ES"/>
        </w:rPr>
        <w:t>n este sentido, en el ámbito contractual se propende por la adquisición de bienes y servicios por parte de las entidades públicas, sin condiciones anteriores o injerencia de intereses que afecten la misma, de modo que se salvaguarda el principio de transparencia y con ello la consecución en general de los fines que rigen la función pública.</w:t>
      </w:r>
    </w:p>
    <w:p w14:paraId="75B06447" w14:textId="77777777" w:rsidR="00EA6B8B" w:rsidRPr="00BE151B" w:rsidRDefault="00EA6B8B" w:rsidP="00EA6B8B">
      <w:pPr>
        <w:spacing w:after="0" w:line="276" w:lineRule="auto"/>
        <w:ind w:firstLine="709"/>
        <w:jc w:val="both"/>
        <w:rPr>
          <w:rFonts w:ascii="Verdana" w:eastAsia="Calibri" w:hAnsi="Verdana" w:cs="Arial"/>
          <w:color w:val="000000"/>
          <w:szCs w:val="24"/>
        </w:rPr>
      </w:pPr>
      <w:r w:rsidRPr="00BE151B">
        <w:rPr>
          <w:rFonts w:ascii="Verdana" w:eastAsia="Arial" w:hAnsi="Verdana" w:cs="Arial"/>
          <w:color w:val="000000"/>
        </w:rPr>
        <w:t xml:space="preserve">Como se aprecia, el principio </w:t>
      </w:r>
      <w:r w:rsidRPr="00BE151B">
        <w:rPr>
          <w:rFonts w:ascii="Verdana" w:eastAsia="Arial" w:hAnsi="Verdana" w:cs="Arial"/>
          <w:i/>
          <w:color w:val="000000"/>
        </w:rPr>
        <w:t xml:space="preserve">pro </w:t>
      </w:r>
      <w:proofErr w:type="spellStart"/>
      <w:r w:rsidRPr="00BE151B">
        <w:rPr>
          <w:rFonts w:ascii="Verdana" w:eastAsia="Arial" w:hAnsi="Verdana" w:cs="Arial"/>
          <w:i/>
          <w:color w:val="000000"/>
        </w:rPr>
        <w:t>libertate</w:t>
      </w:r>
      <w:proofErr w:type="spellEnd"/>
      <w:r w:rsidRPr="00BE151B">
        <w:rPr>
          <w:rFonts w:ascii="Verdana" w:eastAsia="Arial" w:hAnsi="Verdana" w:cs="Arial"/>
          <w:color w:val="000000"/>
        </w:rPr>
        <w:t xml:space="preserve"> es el que debe dirigir la interpretación de las disposiciones normativas que consagran restricciones de derechos, como sucede con las causales de inhabilidad e incompatibilidad en la contratación estatal. Además, en relación con la determinación de las causales de inhabilidad e incompatibilidad, la</w:t>
      </w:r>
      <w:r w:rsidRPr="00BE151B">
        <w:rPr>
          <w:rFonts w:ascii="Verdana" w:eastAsia="Calibri" w:hAnsi="Verdana" w:cs="Arial"/>
          <w:color w:val="000000"/>
        </w:rPr>
        <w:t xml:space="preserve"> Corte Constitucional ha resaltado que la competencia para determinar qué hechos o situaciones generan inhabilidades o incompatibilidades para contratar con el Estado la tiene el legislador, pues este régimen es un aspecto propio del Estatuto General de la Contratación de la Administración Pública, cuya expedición compete al Congreso de la República, conforme al artículo 150 de la Constitución Política, y que en esta materia rige el principio de legalidad:</w:t>
      </w:r>
    </w:p>
    <w:p w14:paraId="0B03F41A" w14:textId="77777777" w:rsidR="00EA6B8B" w:rsidRPr="00D04702" w:rsidRDefault="00EA6B8B" w:rsidP="00EA6B8B">
      <w:pPr>
        <w:tabs>
          <w:tab w:val="left" w:pos="1532"/>
        </w:tabs>
        <w:spacing w:after="0" w:line="276" w:lineRule="auto"/>
        <w:jc w:val="both"/>
        <w:rPr>
          <w:rFonts w:ascii="Verdana" w:eastAsia="Calibri" w:hAnsi="Verdana" w:cs="Arial"/>
          <w:color w:val="000000"/>
        </w:rPr>
      </w:pPr>
      <w:r w:rsidRPr="00BE151B">
        <w:rPr>
          <w:rFonts w:ascii="Verdana" w:eastAsia="Calibri" w:hAnsi="Verdana" w:cs="Arial"/>
          <w:color w:val="000000"/>
          <w:sz w:val="24"/>
        </w:rPr>
        <w:tab/>
      </w:r>
    </w:p>
    <w:p w14:paraId="31B84A1C" w14:textId="77777777" w:rsidR="00EA6B8B" w:rsidRPr="00472C94" w:rsidRDefault="00EA6B8B" w:rsidP="00EA6B8B">
      <w:pPr>
        <w:spacing w:after="0" w:line="240" w:lineRule="auto"/>
        <w:ind w:left="709" w:right="709"/>
        <w:jc w:val="both"/>
        <w:rPr>
          <w:rFonts w:ascii="Verdana" w:eastAsia="Calibri" w:hAnsi="Verdana" w:cs="Arial"/>
          <w:color w:val="000000"/>
          <w:sz w:val="20"/>
          <w:szCs w:val="20"/>
        </w:rPr>
      </w:pPr>
      <w:r w:rsidRPr="00472C94">
        <w:rPr>
          <w:rFonts w:ascii="Verdana" w:eastAsia="Calibri" w:hAnsi="Verdana" w:cs="Arial"/>
          <w:color w:val="000000"/>
          <w:sz w:val="20"/>
          <w:szCs w:val="20"/>
        </w:rPr>
        <w:t xml:space="preserve">“[…] Las limitaciones y restricciones que se contienen en el citado estatuto, predicables de la relación Estado-particulares y que afectan los diversos momentos de formación, celebración y ejecución de los contratos estatales, se refieren a una faceta de la actividad del Estado y en la que se contempla, en los términos de la ley, una especial modalidad de participación o colaboración de los particulares en su papel de contratistas. La ley demandada recae sobre una materia que pertenece al dominio de la esfera estatal y pública, dentro de la cual no rige el principio pro </w:t>
      </w:r>
      <w:proofErr w:type="spellStart"/>
      <w:r w:rsidRPr="00472C94">
        <w:rPr>
          <w:rFonts w:ascii="Verdana" w:eastAsia="Calibri" w:hAnsi="Verdana" w:cs="Arial"/>
          <w:color w:val="000000"/>
          <w:sz w:val="20"/>
          <w:szCs w:val="20"/>
        </w:rPr>
        <w:t>libertate</w:t>
      </w:r>
      <w:proofErr w:type="spellEnd"/>
      <w:r w:rsidRPr="00472C94">
        <w:rPr>
          <w:rFonts w:ascii="Verdana" w:eastAsia="Calibri" w:hAnsi="Verdana" w:cs="Arial"/>
          <w:color w:val="000000"/>
          <w:sz w:val="20"/>
          <w:szCs w:val="20"/>
        </w:rPr>
        <w:t xml:space="preserve">, sino el de legalidad, el que ordena que la función pública debe </w:t>
      </w:r>
      <w:r w:rsidRPr="00472C94">
        <w:rPr>
          <w:rFonts w:ascii="Verdana" w:eastAsia="Calibri" w:hAnsi="Verdana" w:cs="Arial"/>
          <w:color w:val="000000"/>
          <w:sz w:val="20"/>
          <w:szCs w:val="20"/>
        </w:rPr>
        <w:lastRenderedPageBreak/>
        <w:t xml:space="preserve">someterse estrictamente a lo que disponga la Constitución y la ley (CP art. 6). </w:t>
      </w:r>
    </w:p>
    <w:p w14:paraId="05FFE4A6" w14:textId="77777777" w:rsidR="00EA6B8B" w:rsidRPr="00472C94" w:rsidRDefault="00EA6B8B" w:rsidP="00EA6B8B">
      <w:pPr>
        <w:spacing w:after="0" w:line="240" w:lineRule="auto"/>
        <w:ind w:left="709" w:right="709"/>
        <w:jc w:val="both"/>
        <w:rPr>
          <w:rFonts w:ascii="Verdana" w:eastAsia="Calibri" w:hAnsi="Verdana" w:cs="Arial"/>
          <w:color w:val="000000"/>
          <w:sz w:val="20"/>
          <w:szCs w:val="20"/>
        </w:rPr>
      </w:pPr>
      <w:r w:rsidRPr="00472C94">
        <w:rPr>
          <w:rFonts w:ascii="Verdana" w:eastAsia="Calibri" w:hAnsi="Verdana" w:cs="Arial"/>
          <w:color w:val="000000"/>
          <w:sz w:val="20"/>
          <w:szCs w:val="20"/>
        </w:rPr>
        <w:t>[…]</w:t>
      </w:r>
    </w:p>
    <w:p w14:paraId="44F36AED" w14:textId="77777777" w:rsidR="00EA6B8B" w:rsidRPr="00BE151B" w:rsidRDefault="00EA6B8B" w:rsidP="00EA6B8B">
      <w:pPr>
        <w:spacing w:after="0" w:line="240" w:lineRule="auto"/>
        <w:ind w:left="709" w:right="709"/>
        <w:jc w:val="both"/>
        <w:rPr>
          <w:rFonts w:ascii="Verdana" w:eastAsia="Calibri" w:hAnsi="Verdana" w:cs="Arial"/>
          <w:color w:val="000000"/>
          <w:sz w:val="20"/>
          <w:szCs w:val="20"/>
        </w:rPr>
      </w:pPr>
      <w:r w:rsidRPr="00472C94">
        <w:rPr>
          <w:rFonts w:ascii="Verdana" w:eastAsia="Calibri" w:hAnsi="Verdana" w:cs="Arial"/>
          <w:color w:val="000000"/>
          <w:sz w:val="20"/>
          <w:szCs w:val="20"/>
        </w:rPr>
        <w:t>Se comprende con facilidad que el régimen de inhabilidades e incompatibilidades corresponde a una materia de normal y obligada inclusión en un estatuto contractual. El legislador, a quien se ha confiado expedir el indicado estatuto, tiene, pues, competencia para establecerlo (CP art. 150</w:t>
      </w:r>
      <w:r w:rsidRPr="00BE151B">
        <w:rPr>
          <w:rFonts w:ascii="Verdana" w:eastAsia="Calibri" w:hAnsi="Verdana" w:cs="Arial"/>
          <w:color w:val="000000"/>
          <w:sz w:val="20"/>
          <w:szCs w:val="20"/>
        </w:rPr>
        <w:t>)”</w:t>
      </w:r>
      <w:r w:rsidRPr="00BE151B">
        <w:rPr>
          <w:rFonts w:ascii="Verdana" w:eastAsia="Calibri" w:hAnsi="Verdana" w:cs="Arial"/>
          <w:color w:val="000000"/>
          <w:sz w:val="20"/>
          <w:szCs w:val="20"/>
          <w:vertAlign w:val="superscript"/>
        </w:rPr>
        <w:footnoteReference w:id="9"/>
      </w:r>
      <w:r w:rsidRPr="00BE151B">
        <w:rPr>
          <w:rFonts w:ascii="Verdana" w:eastAsia="Calibri" w:hAnsi="Verdana" w:cs="Arial"/>
          <w:color w:val="000000"/>
          <w:sz w:val="20"/>
          <w:szCs w:val="20"/>
        </w:rPr>
        <w:t>.</w:t>
      </w:r>
    </w:p>
    <w:p w14:paraId="4959EFE5" w14:textId="77777777" w:rsidR="00EA6B8B" w:rsidRPr="00BE151B" w:rsidRDefault="00EA6B8B" w:rsidP="00EA6B8B">
      <w:pPr>
        <w:widowControl w:val="0"/>
        <w:autoSpaceDE w:val="0"/>
        <w:autoSpaceDN w:val="0"/>
        <w:spacing w:after="0" w:line="240" w:lineRule="auto"/>
        <w:ind w:left="1049" w:rightChars="709" w:right="1560" w:firstLine="709"/>
        <w:jc w:val="both"/>
        <w:rPr>
          <w:rFonts w:ascii="Verdana" w:eastAsia="Arial" w:hAnsi="Verdana" w:cs="Arial"/>
          <w:color w:val="333333"/>
          <w:shd w:val="clear" w:color="auto" w:fill="FFFFFF"/>
          <w:lang w:eastAsia="es-ES" w:bidi="es-ES"/>
        </w:rPr>
      </w:pPr>
    </w:p>
    <w:p w14:paraId="1A551051" w14:textId="77777777" w:rsidR="00EA6B8B" w:rsidRPr="00E5545B" w:rsidRDefault="00EA6B8B" w:rsidP="00EA6B8B">
      <w:pPr>
        <w:widowControl w:val="0"/>
        <w:autoSpaceDE w:val="0"/>
        <w:autoSpaceDN w:val="0"/>
        <w:spacing w:after="120" w:line="276" w:lineRule="auto"/>
        <w:ind w:firstLine="709"/>
        <w:jc w:val="both"/>
        <w:rPr>
          <w:rFonts w:ascii="Verdana" w:eastAsia="Arial MT" w:hAnsi="Verdana" w:cs="Arial"/>
          <w:lang w:eastAsia="es-ES" w:bidi="es-ES"/>
        </w:rPr>
      </w:pPr>
      <w:r w:rsidRPr="00BE151B">
        <w:rPr>
          <w:rFonts w:ascii="Verdana" w:eastAsia="Arial MT" w:hAnsi="Verdana" w:cs="Arial"/>
          <w:lang w:eastAsia="es-ES" w:bidi="es-ES"/>
        </w:rPr>
        <w:t xml:space="preserve">En suma, el régimen de inhabilidades e incompatibilidades se origina en la prerrogativa legislativa, obedece al principio de legalidad y su interpretación es restrictiva, como quiera que su aplicación implica limitaciones para el acceso a cargos o ejercicio de funciones públicas y para participar en procesos de </w:t>
      </w:r>
      <w:r w:rsidRPr="00E5545B">
        <w:rPr>
          <w:rFonts w:ascii="Verdana" w:eastAsia="Arial MT" w:hAnsi="Verdana" w:cs="Arial"/>
          <w:lang w:eastAsia="es-ES" w:bidi="es-ES"/>
        </w:rPr>
        <w:t>contratación pública adelantados por las entidades estatales, según sea el caso.</w:t>
      </w:r>
    </w:p>
    <w:p w14:paraId="4C5FAB06" w14:textId="77777777" w:rsidR="00EA6B8B" w:rsidRPr="00E5545B" w:rsidRDefault="00EA6B8B" w:rsidP="00EA6B8B">
      <w:pPr>
        <w:spacing w:after="120" w:line="276" w:lineRule="auto"/>
        <w:ind w:firstLine="709"/>
        <w:jc w:val="both"/>
        <w:rPr>
          <w:rFonts w:ascii="Verdana" w:eastAsia="Calibri" w:hAnsi="Verdana" w:cs="Arial"/>
          <w:color w:val="000000"/>
        </w:rPr>
      </w:pPr>
      <w:r w:rsidRPr="00E5545B">
        <w:rPr>
          <w:rFonts w:ascii="Verdana" w:eastAsia="Arial MT" w:hAnsi="Verdana" w:cs="Arial"/>
          <w:lang w:eastAsia="es-ES" w:bidi="es-ES"/>
        </w:rPr>
        <w:t>En relación al objeto de la consulta, vale precisar el concepto de lo que se ha entendido jurisprudencialmente por incompatibilidad como, por ejemplo, la Sección Primera del Consejo de Estado que expresó que dicha figura consiste:</w:t>
      </w:r>
      <w:r w:rsidRPr="00E5545B">
        <w:rPr>
          <w:rFonts w:ascii="Verdana" w:eastAsia="Calibri" w:hAnsi="Verdana" w:cs="Arial"/>
          <w:color w:val="000000"/>
        </w:rPr>
        <w:t>“[…] en la prohibición de ejercer dos actividades o realizar dos roles de manera simultánea, taxativamente señaladas en la Constitución o en la ley, de modo que para el caso de los servidores públicos se traduce en la prohibición de desempeñar o ejercer otros cargos o realizar otras actividades distintas a las que corresponde a las funciones del cargo de que son titulares […]”</w:t>
      </w:r>
      <w:r w:rsidRPr="00E5545B">
        <w:rPr>
          <w:rStyle w:val="Refdenotaalpie"/>
          <w:rFonts w:ascii="Verdana" w:eastAsia="Calibri" w:hAnsi="Verdana" w:cs="Arial"/>
          <w:color w:val="000000"/>
        </w:rPr>
        <w:footnoteReference w:id="10"/>
      </w:r>
      <w:r w:rsidRPr="00E5545B">
        <w:rPr>
          <w:rFonts w:ascii="Verdana" w:eastAsia="Calibri" w:hAnsi="Verdana" w:cs="Arial"/>
          <w:color w:val="000000"/>
        </w:rPr>
        <w:t xml:space="preserve">. </w:t>
      </w:r>
    </w:p>
    <w:p w14:paraId="0D30D67B" w14:textId="77777777" w:rsidR="00EA6B8B" w:rsidRPr="00E5545B" w:rsidRDefault="00EA6B8B" w:rsidP="00EA6B8B">
      <w:pPr>
        <w:spacing w:line="276" w:lineRule="auto"/>
        <w:ind w:firstLine="709"/>
        <w:jc w:val="both"/>
        <w:rPr>
          <w:rFonts w:ascii="Verdana" w:eastAsia="Calibri" w:hAnsi="Verdana" w:cs="Arial"/>
          <w:color w:val="000000"/>
        </w:rPr>
      </w:pPr>
      <w:r w:rsidRPr="00E5545B">
        <w:rPr>
          <w:rFonts w:ascii="Verdana" w:eastAsia="Arial MT" w:hAnsi="Verdana" w:cs="Arial"/>
          <w:lang w:eastAsia="es-ES" w:bidi="es-ES"/>
        </w:rPr>
        <w:t xml:space="preserve">Así mismo, la Sección Quinta del Consejo de Estado precisó que: </w:t>
      </w:r>
      <w:r w:rsidRPr="00E5545B">
        <w:rPr>
          <w:rFonts w:ascii="Verdana" w:eastAsia="Calibri" w:hAnsi="Verdana" w:cs="Arial"/>
          <w:i/>
          <w:color w:val="000000"/>
        </w:rPr>
        <w:t xml:space="preserve">“[…] [l]as incompatibilidades son todas aquellas actuaciones que le está prohibido realizar al funcionario durante el desempeño del cargo o con posterioridad, so pena de quedar sometido al régimen disciplinario </w:t>
      </w:r>
      <w:proofErr w:type="gramStart"/>
      <w:r w:rsidRPr="00E5545B">
        <w:rPr>
          <w:rFonts w:ascii="Verdana" w:eastAsia="Calibri" w:hAnsi="Verdana" w:cs="Arial"/>
          <w:i/>
          <w:color w:val="000000"/>
        </w:rPr>
        <w:t>correspondiente</w:t>
      </w:r>
      <w:r w:rsidRPr="00E5545B">
        <w:rPr>
          <w:rFonts w:ascii="Verdana" w:eastAsia="Calibri" w:hAnsi="Verdana" w:cs="Arial"/>
          <w:i/>
          <w:iCs/>
          <w:color w:val="000000"/>
        </w:rPr>
        <w:t>[</w:t>
      </w:r>
      <w:proofErr w:type="gramEnd"/>
      <w:r w:rsidRPr="00E5545B">
        <w:rPr>
          <w:rFonts w:ascii="Verdana" w:eastAsia="Calibri" w:hAnsi="Verdana" w:cs="Arial"/>
          <w:i/>
          <w:iCs/>
          <w:color w:val="000000"/>
        </w:rPr>
        <w:t>…]”</w:t>
      </w:r>
      <w:r w:rsidRPr="00E5545B">
        <w:rPr>
          <w:rStyle w:val="Refdenotaalpie"/>
          <w:rFonts w:ascii="Verdana" w:eastAsia="Calibri" w:hAnsi="Verdana" w:cs="Arial"/>
          <w:i/>
          <w:color w:val="000000"/>
        </w:rPr>
        <w:footnoteReference w:id="11"/>
      </w:r>
      <w:r w:rsidRPr="00E5545B">
        <w:rPr>
          <w:rFonts w:ascii="Verdana" w:eastAsia="Calibri" w:hAnsi="Verdana" w:cs="Arial"/>
          <w:i/>
          <w:iCs/>
          <w:color w:val="000000"/>
        </w:rPr>
        <w:t>.</w:t>
      </w:r>
      <w:r w:rsidRPr="00E5545B">
        <w:rPr>
          <w:rFonts w:ascii="Verdana" w:eastAsia="Calibri" w:hAnsi="Verdana" w:cs="Arial"/>
          <w:i/>
          <w:color w:val="000000"/>
        </w:rPr>
        <w:t xml:space="preserve"> </w:t>
      </w:r>
      <w:r w:rsidRPr="00E5545B">
        <w:rPr>
          <w:rFonts w:ascii="Verdana" w:eastAsia="Arial MT" w:hAnsi="Verdana" w:cs="Arial"/>
          <w:lang w:eastAsia="es-ES" w:bidi="es-ES"/>
        </w:rPr>
        <w:t>En la misma línea, la Corte Constitucional, mediante la sentencia C-903 del 6 de diciembre de 2008, fue enfática en manifestar que:</w:t>
      </w:r>
      <w:r w:rsidRPr="00E5545B">
        <w:rPr>
          <w:rFonts w:ascii="Verdana" w:eastAsia="Calibri" w:hAnsi="Verdana" w:cs="Arial"/>
          <w:color w:val="000000"/>
        </w:rPr>
        <w:t xml:space="preserve">“[…] una prohibición dirigida al titular de una función pública a quien, por ese hecho, </w:t>
      </w:r>
      <w:r w:rsidRPr="00E5545B">
        <w:rPr>
          <w:rFonts w:ascii="Verdana" w:eastAsia="Calibri" w:hAnsi="Verdana" w:cs="Arial"/>
          <w:bCs/>
          <w:color w:val="000000"/>
        </w:rPr>
        <w:t>se le impide ocuparse de ciertas actividades o ejercer, simultáneamente, las competencias propias de la función que desempeña y las correspondientes a otros cargos o empleos,</w:t>
      </w:r>
      <w:r w:rsidRPr="00E5545B">
        <w:rPr>
          <w:rFonts w:ascii="Verdana" w:eastAsia="Calibri" w:hAnsi="Verdana" w:cs="Arial"/>
          <w:color w:val="000000"/>
        </w:rPr>
        <w:t xml:space="preserve"> en </w:t>
      </w:r>
      <w:r w:rsidRPr="00E5545B">
        <w:rPr>
          <w:rFonts w:ascii="Verdana" w:eastAsia="Calibri" w:hAnsi="Verdana" w:cs="Arial"/>
          <w:color w:val="000000"/>
        </w:rPr>
        <w:lastRenderedPageBreak/>
        <w:t>guarda del interés superior que puede verse afectado por una indebida acumulación de funciones o por la confluencia de intereses poco conciliables y capaces, en todo caso, de afectar la imparcialidad y la independencia que deben guiar las actuaciones de quien ejerce la autoridad en nombre del Estado […]”</w:t>
      </w:r>
      <w:r w:rsidRPr="00E5545B">
        <w:rPr>
          <w:rStyle w:val="Refdenotaalpie"/>
          <w:rFonts w:ascii="Verdana" w:eastAsia="Calibri" w:hAnsi="Verdana" w:cs="Arial"/>
          <w:color w:val="000000"/>
        </w:rPr>
        <w:footnoteReference w:id="12"/>
      </w:r>
      <w:r w:rsidRPr="00E5545B">
        <w:rPr>
          <w:rFonts w:ascii="Verdana" w:eastAsia="Calibri" w:hAnsi="Verdana" w:cs="Arial"/>
          <w:color w:val="000000"/>
        </w:rPr>
        <w:t xml:space="preserve">  (Destacado fuera de texto).</w:t>
      </w:r>
    </w:p>
    <w:p w14:paraId="25A0E33C" w14:textId="77777777" w:rsidR="00EA6B8B" w:rsidRDefault="00EA6B8B" w:rsidP="00EA6B8B">
      <w:pPr>
        <w:widowControl w:val="0"/>
        <w:autoSpaceDE w:val="0"/>
        <w:autoSpaceDN w:val="0"/>
        <w:spacing w:after="120" w:line="276" w:lineRule="auto"/>
        <w:ind w:firstLine="709"/>
        <w:jc w:val="both"/>
        <w:rPr>
          <w:rFonts w:ascii="Verdana" w:eastAsia="Arial MT" w:hAnsi="Verdana" w:cs="Arial"/>
          <w:lang w:eastAsia="es-ES" w:bidi="es-ES"/>
        </w:rPr>
      </w:pPr>
      <w:r w:rsidRPr="00E5545B">
        <w:rPr>
          <w:rFonts w:ascii="Verdana" w:eastAsia="Calibri" w:hAnsi="Verdana" w:cs="Arial"/>
          <w:color w:val="000000"/>
        </w:rPr>
        <w:t>Ahora bien, en virtud</w:t>
      </w:r>
      <w:r>
        <w:rPr>
          <w:rFonts w:ascii="Verdana" w:eastAsia="Calibri" w:hAnsi="Verdana" w:cs="Arial"/>
          <w:color w:val="000000"/>
        </w:rPr>
        <w:t xml:space="preserve"> de las preguntas formuladas, nos interesa abordar</w:t>
      </w:r>
      <w:r w:rsidRPr="00121DBA" w:rsidDel="00B62B76">
        <w:rPr>
          <w:rFonts w:ascii="Verdana" w:eastAsia="Calibri" w:hAnsi="Verdana" w:cs="Arial"/>
          <w:color w:val="000000"/>
        </w:rPr>
        <w:t xml:space="preserve"> </w:t>
      </w:r>
      <w:r>
        <w:rPr>
          <w:rFonts w:ascii="Verdana" w:eastAsia="Calibri" w:hAnsi="Verdana" w:cs="Arial"/>
          <w:color w:val="000000"/>
        </w:rPr>
        <w:t>los supuestos del numeral 2 del artículo 8, literales a) y f)</w:t>
      </w:r>
      <w:r>
        <w:rPr>
          <w:rStyle w:val="Refdenotaalpie"/>
          <w:rFonts w:ascii="Verdana" w:eastAsia="Calibri" w:hAnsi="Verdana" w:cs="Arial"/>
          <w:color w:val="000000"/>
        </w:rPr>
        <w:footnoteReference w:id="13"/>
      </w:r>
      <w:r>
        <w:rPr>
          <w:rFonts w:ascii="Verdana" w:eastAsia="Calibri" w:hAnsi="Verdana" w:cs="Arial"/>
          <w:color w:val="000000"/>
        </w:rPr>
        <w:t xml:space="preserve"> de la Ley 80 de 1993, que prohíben a las entidades públicas contratar, para la primera, con: </w:t>
      </w:r>
      <w:r>
        <w:rPr>
          <w:rFonts w:ascii="Verdana" w:eastAsia="Arial MT" w:hAnsi="Verdana" w:cs="Arial"/>
          <w:lang w:eastAsia="es-ES" w:bidi="es-ES"/>
        </w:rPr>
        <w:t xml:space="preserve">i) miembros de la junta o consejo directivo o </w:t>
      </w:r>
      <w:proofErr w:type="spellStart"/>
      <w:r>
        <w:rPr>
          <w:rFonts w:ascii="Verdana" w:eastAsia="Arial MT" w:hAnsi="Verdana" w:cs="Arial"/>
          <w:lang w:eastAsia="es-ES" w:bidi="es-ES"/>
        </w:rPr>
        <w:t>ii</w:t>
      </w:r>
      <w:proofErr w:type="spellEnd"/>
      <w:r>
        <w:rPr>
          <w:rFonts w:ascii="Verdana" w:eastAsia="Arial MT" w:hAnsi="Verdana" w:cs="Arial"/>
          <w:lang w:eastAsia="es-ES" w:bidi="es-ES"/>
        </w:rPr>
        <w:t>) servidores públicos, en cualquiera de sus clasificaciones, sean estos miembros de corporaciones públicas, sean empleados y/o trabajadores del Estado y/o de sus entidades descentralizadas territorialmente y/o por servicios, que hubiesen ejercido funciones en los niveles directivo, asesor o ejecutivo, en los que su vinculación hubiere terminado dentro del año inmediatamente anterior en la entidad contratante.</w:t>
      </w:r>
    </w:p>
    <w:p w14:paraId="283A3144" w14:textId="77777777" w:rsidR="00EA6B8B" w:rsidRDefault="00EA6B8B" w:rsidP="00EA6B8B">
      <w:pPr>
        <w:widowControl w:val="0"/>
        <w:autoSpaceDE w:val="0"/>
        <w:autoSpaceDN w:val="0"/>
        <w:spacing w:after="120" w:line="276" w:lineRule="auto"/>
        <w:ind w:firstLine="709"/>
        <w:jc w:val="both"/>
        <w:rPr>
          <w:rFonts w:ascii="Verdana" w:eastAsia="Arial MT" w:hAnsi="Verdana" w:cs="Arial"/>
          <w:lang w:eastAsia="es-ES" w:bidi="es-ES"/>
        </w:rPr>
      </w:pPr>
      <w:r>
        <w:rPr>
          <w:rFonts w:ascii="Verdana" w:eastAsia="Arial MT" w:hAnsi="Verdana" w:cs="Arial"/>
          <w:lang w:eastAsia="es-ES" w:bidi="es-ES"/>
        </w:rPr>
        <w:t>Para la segunda, dicha prohibición recae en exservidores públicos que hubiesen ejercido cargos en el nivel directivo en entidades del Estado y las sociedades en las cuales dichos exservidores púbicos hagan parte o estén vinculados a cualquier título, dentro de los (2) dos años siguientes al retiro del ejercicio del cargo público, cuando el contrato que pretenden suscribir (sea el exservidor público persona natural o sea la sociedad en la que estos hagan parte o estén vinculados a la persona jurídica) establezcan por objeto contractual uno que tenga relación directa con el sector al cual prestó sus servicios. Según el inciso segundo del literal f), dicha incompatibilidad opera para las personas que se encuentren dentro del primer grado de consanguinidad, primero de afinidad, o primero civil del exempleado público.</w:t>
      </w:r>
    </w:p>
    <w:p w14:paraId="5B80C795" w14:textId="77777777" w:rsidR="00EA6B8B" w:rsidRDefault="00EA6B8B" w:rsidP="00EA6B8B">
      <w:pPr>
        <w:widowControl w:val="0"/>
        <w:autoSpaceDE w:val="0"/>
        <w:autoSpaceDN w:val="0"/>
        <w:spacing w:after="120" w:line="276" w:lineRule="auto"/>
        <w:ind w:firstLine="709"/>
        <w:jc w:val="both"/>
        <w:rPr>
          <w:rFonts w:ascii="Verdana" w:eastAsia="Arial MT" w:hAnsi="Verdana" w:cs="Arial"/>
          <w:lang w:eastAsia="es-ES" w:bidi="es-ES"/>
        </w:rPr>
      </w:pPr>
      <w:r>
        <w:rPr>
          <w:rFonts w:ascii="Verdana" w:eastAsia="Arial MT" w:hAnsi="Verdana" w:cs="Arial"/>
          <w:lang w:eastAsia="es-ES" w:bidi="es-ES"/>
        </w:rPr>
        <w:t xml:space="preserve">Ante ese contexto, es claro que, para que se configuren las incompatibilidades, tanto del literal a), como la consagrada en el literal f), se hace necesario el cumplimiento de todos los supuestos descritos en la norma. En otras palabras, en virtud de la aplicación restrictiva de las incompatibilidades, es menester que se presenten los elementos tanto materiales como temporales que exige dicha disposición. </w:t>
      </w:r>
    </w:p>
    <w:p w14:paraId="76757CB6" w14:textId="77777777" w:rsidR="00EA6B8B" w:rsidRDefault="00EA6B8B" w:rsidP="00EA6B8B">
      <w:pPr>
        <w:widowControl w:val="0"/>
        <w:autoSpaceDE w:val="0"/>
        <w:autoSpaceDN w:val="0"/>
        <w:spacing w:after="120" w:line="276" w:lineRule="auto"/>
        <w:ind w:firstLine="709"/>
        <w:jc w:val="both"/>
        <w:rPr>
          <w:rFonts w:ascii="Verdana" w:eastAsia="Arial MT" w:hAnsi="Verdana" w:cs="Arial"/>
          <w:lang w:eastAsia="es-ES" w:bidi="es-ES"/>
        </w:rPr>
      </w:pPr>
      <w:r>
        <w:rPr>
          <w:rFonts w:ascii="Verdana" w:eastAsia="Arial MT" w:hAnsi="Verdana" w:cs="Arial"/>
          <w:lang w:eastAsia="es-ES" w:bidi="es-ES"/>
        </w:rPr>
        <w:t xml:space="preserve">Veamos a qué se hace referencia con los elementos materiales y temporales de las incompatibilidades en estudio: Para el caso de la </w:t>
      </w:r>
      <w:r>
        <w:rPr>
          <w:rFonts w:ascii="Verdana" w:eastAsia="Arial MT" w:hAnsi="Verdana" w:cs="Arial"/>
          <w:lang w:eastAsia="es-ES" w:bidi="es-ES"/>
        </w:rPr>
        <w:lastRenderedPageBreak/>
        <w:t xml:space="preserve">incompatibilidad del literal a) los elementos materiales son: i) que el exservidor público hubiese integrado, sea una junta o consejo directivo o hubiese estado vinculado laboralmente como servidor público de la entidad contratante y </w:t>
      </w:r>
      <w:proofErr w:type="spellStart"/>
      <w:r>
        <w:rPr>
          <w:rFonts w:ascii="Verdana" w:eastAsia="Arial MT" w:hAnsi="Verdana" w:cs="Arial"/>
          <w:lang w:eastAsia="es-ES" w:bidi="es-ES"/>
        </w:rPr>
        <w:t>ii</w:t>
      </w:r>
      <w:proofErr w:type="spellEnd"/>
      <w:r>
        <w:rPr>
          <w:rFonts w:ascii="Verdana" w:eastAsia="Arial MT" w:hAnsi="Verdana" w:cs="Arial"/>
          <w:lang w:eastAsia="es-ES" w:bidi="es-ES"/>
        </w:rPr>
        <w:t>) que las funciones que hubiese desempeñado dicho exfuncionario sean del nivel directivo, asesor o ejecutivo. De otro lado, el elemento temporal es i) que su retiro se hubiese presentado dentro del año inmediatamente anterior a la fecha de celebración del presunto contrato por celebrar. De tal forma que, para que se predique la configuración de la incompatibilidad referida, será necesario que, se presenten tanto los elementos materiales como elemento temporal. A falta de alguno de ellos, no habría configuración de dicha causal.</w:t>
      </w:r>
    </w:p>
    <w:p w14:paraId="143E4D4D" w14:textId="77777777" w:rsidR="00EA6B8B" w:rsidRPr="00496966" w:rsidRDefault="00EA6B8B" w:rsidP="00EA6B8B">
      <w:pPr>
        <w:widowControl w:val="0"/>
        <w:autoSpaceDE w:val="0"/>
        <w:autoSpaceDN w:val="0"/>
        <w:spacing w:after="120" w:line="276" w:lineRule="auto"/>
        <w:ind w:firstLine="709"/>
        <w:jc w:val="both"/>
        <w:rPr>
          <w:rFonts w:ascii="Verdana" w:eastAsia="Calibri" w:hAnsi="Verdana" w:cs="Arial"/>
          <w:color w:val="000000"/>
        </w:rPr>
      </w:pPr>
      <w:r w:rsidRPr="00496966">
        <w:rPr>
          <w:rFonts w:ascii="Verdana" w:eastAsia="Arial MT" w:hAnsi="Verdana" w:cs="Arial"/>
          <w:lang w:eastAsia="es-ES" w:bidi="es-ES"/>
        </w:rPr>
        <w:t xml:space="preserve">Respecto de la incompatibilidad del literal b), los elementos materiales son: i) que la contratación pretendida sea directa (el exservidor público persona natural) o sea indirecta (la sociedad en la que el exservidor público haga parte o esté vinculado a cualquier título en dicha sociedad/persona jurídica), </w:t>
      </w:r>
      <w:proofErr w:type="spellStart"/>
      <w:r w:rsidRPr="00496966">
        <w:rPr>
          <w:rFonts w:ascii="Verdana" w:eastAsia="Arial MT" w:hAnsi="Verdana" w:cs="Arial"/>
          <w:lang w:eastAsia="es-ES" w:bidi="es-ES"/>
        </w:rPr>
        <w:t>ii</w:t>
      </w:r>
      <w:proofErr w:type="spellEnd"/>
      <w:r w:rsidRPr="00496966">
        <w:rPr>
          <w:rFonts w:ascii="Verdana" w:eastAsia="Arial MT" w:hAnsi="Verdana" w:cs="Arial"/>
          <w:lang w:eastAsia="es-ES" w:bidi="es-ES"/>
        </w:rPr>
        <w:t xml:space="preserve">) que los cargos desempeñados correspondan al nivel directivo en entidades del Estado y </w:t>
      </w:r>
      <w:proofErr w:type="spellStart"/>
      <w:r w:rsidRPr="00496966">
        <w:rPr>
          <w:rFonts w:ascii="Verdana" w:eastAsia="Arial MT" w:hAnsi="Verdana" w:cs="Arial"/>
          <w:lang w:eastAsia="es-ES" w:bidi="es-ES"/>
        </w:rPr>
        <w:t>iii</w:t>
      </w:r>
      <w:proofErr w:type="spellEnd"/>
      <w:r w:rsidRPr="00496966">
        <w:rPr>
          <w:rFonts w:ascii="Verdana" w:eastAsia="Arial MT" w:hAnsi="Verdana" w:cs="Arial"/>
          <w:lang w:eastAsia="es-ES" w:bidi="es-ES"/>
        </w:rPr>
        <w:t>) que el contrato pretendido tenga por objeto el desarrollo de actividades que tengan relación con el sector al cual prestaron sus servicios. Por otra parte, el elemento temporal es i) que su retiro se hubiese presentado dentro de los dos (2) años inmediatamente anteriores a la fecha de celebración del presunto contrato por celebrar. Igualmente, para que se predique la configuración de la incompatibilidad referida, será necesario que, se presenten tanto los elementos materiales como elemento temporal. A falta de alguno de ellos, no habría configuración de dicha causal.</w:t>
      </w:r>
      <w:r w:rsidRPr="00496966">
        <w:rPr>
          <w:rFonts w:ascii="Verdana" w:eastAsia="Calibri" w:hAnsi="Verdana" w:cs="Arial"/>
          <w:color w:val="000000"/>
        </w:rPr>
        <w:t xml:space="preserve">  </w:t>
      </w:r>
    </w:p>
    <w:p w14:paraId="35284E20" w14:textId="77777777" w:rsidR="00EA6B8B" w:rsidRPr="00496966" w:rsidRDefault="00EA6B8B" w:rsidP="00EA6B8B">
      <w:pPr>
        <w:widowControl w:val="0"/>
        <w:autoSpaceDE w:val="0"/>
        <w:autoSpaceDN w:val="0"/>
        <w:spacing w:after="120" w:line="276" w:lineRule="auto"/>
        <w:ind w:firstLine="709"/>
        <w:jc w:val="both"/>
        <w:rPr>
          <w:rFonts w:ascii="Verdana" w:eastAsia="Calibri" w:hAnsi="Verdana" w:cs="Arial"/>
          <w:color w:val="000000"/>
        </w:rPr>
      </w:pPr>
      <w:r w:rsidRPr="00496966">
        <w:rPr>
          <w:rFonts w:ascii="Verdana" w:eastAsia="Calibri" w:hAnsi="Verdana" w:cs="Arial"/>
          <w:color w:val="000000"/>
        </w:rPr>
        <w:t>Dichas prohibiciones pretenden, entre otros aspectos, evitar que personas que ostentaron cargos a los que alude la norma, saquen ventaja o provecho de dicha situación respecto de los demás participantes, o que puedan ejercer influencia en la celebración del contrato, violando los principios de igualdad, objetividad, moralidad y transparencia, los cuales justifican la limitación en el ejercicio de ciertas actividades por los servidores públicos durante y aún después de la dejación de sus correspondientes cargos e incluso, para el caso de la causal contenida en el literal f), restricciones a personas que tengan grados de consanguinidad afinidad o civil con el exservidor público.</w:t>
      </w:r>
    </w:p>
    <w:p w14:paraId="664A0295" w14:textId="77777777" w:rsidR="00EA6B8B" w:rsidRDefault="00EA6B8B" w:rsidP="00EA6B8B">
      <w:pPr>
        <w:widowControl w:val="0"/>
        <w:autoSpaceDE w:val="0"/>
        <w:autoSpaceDN w:val="0"/>
        <w:spacing w:after="120" w:line="276" w:lineRule="auto"/>
        <w:ind w:firstLine="709"/>
        <w:jc w:val="both"/>
        <w:rPr>
          <w:rFonts w:ascii="Verdana" w:eastAsia="Calibri" w:hAnsi="Verdana" w:cs="Arial"/>
          <w:color w:val="000000"/>
        </w:rPr>
      </w:pPr>
      <w:r w:rsidRPr="00496966">
        <w:rPr>
          <w:rFonts w:ascii="Verdana" w:eastAsia="Calibri" w:hAnsi="Verdana" w:cs="Arial"/>
          <w:color w:val="000000"/>
        </w:rPr>
        <w:t xml:space="preserve">En cualquier caso, la incompatibilidad del literal f) del numeral 2 del artículo 8 de la Ley 80 de 1993 fue examinada y reiterada su constitucionalidad, </w:t>
      </w:r>
      <w:r w:rsidRPr="00496966">
        <w:rPr>
          <w:rFonts w:ascii="Verdana" w:eastAsia="Calibri" w:hAnsi="Verdana" w:cs="Arial"/>
          <w:color w:val="000000"/>
        </w:rPr>
        <w:lastRenderedPageBreak/>
        <w:t>mediante la Sentencia C-257 del 7 de mayo de 2013</w:t>
      </w:r>
      <w:r w:rsidRPr="00496966">
        <w:rPr>
          <w:rStyle w:val="Refdenotaalpie"/>
          <w:rFonts w:ascii="Verdana" w:eastAsia="Calibri" w:hAnsi="Verdana" w:cs="Arial"/>
          <w:color w:val="000000"/>
        </w:rPr>
        <w:footnoteReference w:id="14"/>
      </w:r>
      <w:r w:rsidRPr="00496966">
        <w:rPr>
          <w:rFonts w:ascii="Verdana" w:eastAsia="Calibri" w:hAnsi="Verdana" w:cs="Arial"/>
          <w:color w:val="000000"/>
        </w:rPr>
        <w:t xml:space="preserve">, la cual resolvió demanda de inconstitucionalidad en contra del del inciso 1 del artículo 3 y el artículo 4 de la Ley 1474 de 2011, siendo esta última la disposición que incorporó dicha causal en el Estatuto General. En la demanda, el ciudadano planteó argumentos orientados a que se declarara su inconstitucionalidad por cuanto consideraba que dicha norma i) violaba el derecho a la personalidad jurídica consagrado en el artículo 14 de la Constitución Política de Colombia, en razón a que impedía a las personas que hayan desempeñado una función pública como directivos contratar con el Estado precisamente en las áreas que corresponden y son más apropiados para aplicar su conocimiento, especialidad y experiencia; </w:t>
      </w:r>
      <w:proofErr w:type="spellStart"/>
      <w:r w:rsidRPr="00496966">
        <w:rPr>
          <w:rFonts w:ascii="Verdana" w:eastAsia="Calibri" w:hAnsi="Verdana" w:cs="Arial"/>
          <w:color w:val="000000"/>
        </w:rPr>
        <w:t>ii</w:t>
      </w:r>
      <w:proofErr w:type="spellEnd"/>
      <w:r w:rsidRPr="00496966">
        <w:rPr>
          <w:rFonts w:ascii="Verdana" w:eastAsia="Calibri" w:hAnsi="Verdana" w:cs="Arial"/>
          <w:color w:val="000000"/>
        </w:rPr>
        <w:t>) manifestaba que la medida no es idónea dado que ya existían otros mecanismos</w:t>
      </w:r>
      <w:r>
        <w:rPr>
          <w:rFonts w:ascii="Verdana" w:eastAsia="Calibri" w:hAnsi="Verdana" w:cs="Arial"/>
          <w:color w:val="000000"/>
        </w:rPr>
        <w:t xml:space="preserve"> menos gravosos para los derechos fundamentales para lograr la finalidad que persigue y está dirigida contra quienes ya no tienen injerencia; </w:t>
      </w:r>
      <w:proofErr w:type="spellStart"/>
      <w:r>
        <w:rPr>
          <w:rFonts w:ascii="Verdana" w:eastAsia="Calibri" w:hAnsi="Verdana" w:cs="Arial"/>
          <w:color w:val="000000"/>
        </w:rPr>
        <w:t>iii</w:t>
      </w:r>
      <w:proofErr w:type="spellEnd"/>
      <w:r>
        <w:rPr>
          <w:rFonts w:ascii="Verdana" w:eastAsia="Calibri" w:hAnsi="Verdana" w:cs="Arial"/>
          <w:color w:val="000000"/>
        </w:rPr>
        <w:t>) además, señaló que la restricción era excesiva frente a los beneficios buscados, lo mismo que el plazo previsto si se toma en cuenta que para muchas personas la contratación pública con el Estado es la fuente de su subsistencia.</w:t>
      </w:r>
    </w:p>
    <w:p w14:paraId="4051E99E" w14:textId="77777777" w:rsidR="00EA6B8B" w:rsidRDefault="00EA6B8B" w:rsidP="00EA6B8B">
      <w:pPr>
        <w:widowControl w:val="0"/>
        <w:autoSpaceDE w:val="0"/>
        <w:autoSpaceDN w:val="0"/>
        <w:spacing w:after="120" w:line="276" w:lineRule="auto"/>
        <w:ind w:firstLine="709"/>
        <w:jc w:val="both"/>
        <w:rPr>
          <w:rFonts w:ascii="Verdana" w:eastAsia="Calibri" w:hAnsi="Verdana" w:cs="Arial"/>
          <w:color w:val="000000"/>
        </w:rPr>
      </w:pPr>
      <w:r>
        <w:rPr>
          <w:rFonts w:ascii="Verdana" w:eastAsia="Arial MT" w:hAnsi="Verdana" w:cs="Arial"/>
          <w:lang w:eastAsia="es-ES" w:bidi="es-ES"/>
        </w:rPr>
        <w:t>Así mismo, es necesario destacar que el régimen de inhabilidades e incompatibilidades no establece una excepción particular en relación con modalidades de selección o tipologías contractuales que evite la configuración de las causales expuestas en el EGCAP, de manera que aquellas se aplican en la medida en que el supuesto fáctico concreto se adecue a la descripción que hace cada causal consagrada en la norma. Incluso, el parágrafo tercero</w:t>
      </w:r>
      <w:r>
        <w:rPr>
          <w:rStyle w:val="Refdenotaalpie"/>
          <w:rFonts w:ascii="Verdana" w:eastAsia="Arial MT" w:hAnsi="Verdana" w:cs="Arial"/>
          <w:lang w:eastAsia="es-ES" w:bidi="es-ES"/>
        </w:rPr>
        <w:footnoteReference w:id="15"/>
      </w:r>
      <w:r>
        <w:rPr>
          <w:rFonts w:ascii="Verdana" w:eastAsia="Arial MT" w:hAnsi="Verdana" w:cs="Arial"/>
          <w:lang w:eastAsia="es-ES" w:bidi="es-ES"/>
        </w:rPr>
        <w:t xml:space="preserve"> del artículo 8 de la Ley 80 de 1993 aclara que l</w:t>
      </w:r>
      <w:r w:rsidRPr="005C1B0F">
        <w:rPr>
          <w:rFonts w:ascii="Verdana" w:eastAsia="Arial MT" w:hAnsi="Verdana" w:cs="Arial"/>
          <w:lang w:eastAsia="es-ES" w:bidi="es-ES"/>
        </w:rPr>
        <w:t xml:space="preserve">as inhabilidades e incompatibilidades </w:t>
      </w:r>
      <w:r>
        <w:rPr>
          <w:rFonts w:ascii="Verdana" w:eastAsia="Arial MT" w:hAnsi="Verdana" w:cs="Arial"/>
          <w:lang w:eastAsia="es-ES" w:bidi="es-ES"/>
        </w:rPr>
        <w:t>allí señaladas</w:t>
      </w:r>
      <w:r w:rsidRPr="005C1B0F">
        <w:rPr>
          <w:rFonts w:ascii="Verdana" w:eastAsia="Arial MT" w:hAnsi="Verdana" w:cs="Arial"/>
          <w:lang w:eastAsia="es-ES" w:bidi="es-ES"/>
        </w:rPr>
        <w:t xml:space="preserve"> se aplicarán a cualquier proceso de contratación privada en el que se comprometan recursos públicos. </w:t>
      </w:r>
    </w:p>
    <w:p w14:paraId="217C23EC" w14:textId="77777777" w:rsidR="00EA6B8B" w:rsidRDefault="00EA6B8B" w:rsidP="00EA6B8B">
      <w:pPr>
        <w:spacing w:after="0" w:line="276" w:lineRule="auto"/>
        <w:ind w:firstLine="709"/>
        <w:jc w:val="both"/>
        <w:rPr>
          <w:rFonts w:ascii="Verdana" w:eastAsia="Arial MT" w:hAnsi="Verdana" w:cs="Arial"/>
          <w:lang w:eastAsia="es-ES" w:bidi="es-ES"/>
        </w:rPr>
      </w:pPr>
      <w:r>
        <w:rPr>
          <w:rFonts w:ascii="Verdana" w:eastAsia="Arial MT" w:hAnsi="Verdana" w:cs="Arial"/>
          <w:lang w:eastAsia="es-ES" w:bidi="es-ES"/>
        </w:rPr>
        <w:t>En todo caso, corresponde a la entidad estatal contratante determinar en cada caso concreto si se cumplen o no los supuestos de hecho y condiciones que dan lugar a la configuración de las referidas incompatibilidades y establecer los mecanismos que empleará para realizar la debida verificación, so pena de las consecuencias propias que pueden generarse producto de la omisión a los deberes en cabeza de los servidores públicos hallados responsables por las autoridades competentes en materia penal, fiscal y disciplinaria.</w:t>
      </w:r>
    </w:p>
    <w:p w14:paraId="327AE030" w14:textId="77777777" w:rsidR="00EA6B8B" w:rsidRPr="000C36EF" w:rsidRDefault="00EA6B8B" w:rsidP="00EA6B8B">
      <w:pPr>
        <w:widowControl w:val="0"/>
        <w:autoSpaceDE w:val="0"/>
        <w:autoSpaceDN w:val="0"/>
        <w:spacing w:after="0" w:line="276" w:lineRule="auto"/>
        <w:ind w:firstLine="709"/>
        <w:jc w:val="both"/>
        <w:rPr>
          <w:rFonts w:ascii="Verdana" w:eastAsia="Calibri" w:hAnsi="Verdana" w:cs="Arial"/>
          <w:sz w:val="21"/>
          <w:szCs w:val="21"/>
        </w:rPr>
      </w:pPr>
    </w:p>
    <w:p w14:paraId="2EF767E8" w14:textId="77777777" w:rsidR="00EA6B8B" w:rsidRPr="000C36EF" w:rsidRDefault="00EA6B8B" w:rsidP="00EA6B8B">
      <w:pPr>
        <w:tabs>
          <w:tab w:val="left" w:pos="142"/>
          <w:tab w:val="left" w:pos="284"/>
        </w:tabs>
        <w:spacing w:after="0" w:line="276" w:lineRule="auto"/>
        <w:jc w:val="both"/>
        <w:rPr>
          <w:rFonts w:ascii="Verdana" w:eastAsia="Century Gothic" w:hAnsi="Verdana" w:cs="Century Gothic"/>
          <w:b/>
          <w:bCs/>
        </w:rPr>
      </w:pPr>
      <w:r w:rsidRPr="000C36EF">
        <w:rPr>
          <w:rFonts w:ascii="Verdana" w:eastAsia="Century Gothic" w:hAnsi="Verdana" w:cs="Century Gothic"/>
          <w:b/>
          <w:bCs/>
        </w:rPr>
        <w:t>4. Referencias normativas, jurisprudenciales y otras fuentes:</w:t>
      </w:r>
    </w:p>
    <w:p w14:paraId="6459FA48" w14:textId="77777777" w:rsidR="00EA6B8B" w:rsidRPr="000C36EF" w:rsidRDefault="00EA6B8B" w:rsidP="00EA6B8B">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EA6B8B" w:rsidRPr="000C36EF" w14:paraId="173E713A" w14:textId="77777777" w:rsidTr="005C6855">
        <w:trPr>
          <w:trHeight w:val="870"/>
        </w:trPr>
        <w:tc>
          <w:tcPr>
            <w:tcW w:w="8647" w:type="dxa"/>
          </w:tcPr>
          <w:p w14:paraId="6AE3958A" w14:textId="77777777" w:rsidR="00EA6B8B" w:rsidRPr="000C36EF" w:rsidRDefault="00EA6B8B" w:rsidP="00EA6B8B">
            <w:pPr>
              <w:pStyle w:val="Prrafodelista"/>
              <w:widowControl w:val="0"/>
              <w:numPr>
                <w:ilvl w:val="0"/>
                <w:numId w:val="16"/>
              </w:numPr>
              <w:autoSpaceDE w:val="0"/>
              <w:autoSpaceDN w:val="0"/>
              <w:spacing w:line="276" w:lineRule="auto"/>
              <w:jc w:val="both"/>
              <w:rPr>
                <w:rFonts w:ascii="Verdana" w:hAnsi="Verdana" w:cs="Arial"/>
              </w:rPr>
            </w:pPr>
            <w:r w:rsidRPr="000C36EF">
              <w:rPr>
                <w:rFonts w:ascii="Verdana" w:hAnsi="Verdana" w:cs="Arial"/>
              </w:rPr>
              <w:t>Constitución Política, artículo 14, 150.</w:t>
            </w:r>
          </w:p>
          <w:p w14:paraId="37ECB2DD" w14:textId="77777777" w:rsidR="00EA6B8B" w:rsidRPr="000C36EF" w:rsidRDefault="00EA6B8B" w:rsidP="00EA6B8B">
            <w:pPr>
              <w:pStyle w:val="Prrafodelista"/>
              <w:widowControl w:val="0"/>
              <w:numPr>
                <w:ilvl w:val="0"/>
                <w:numId w:val="16"/>
              </w:numPr>
              <w:autoSpaceDE w:val="0"/>
              <w:autoSpaceDN w:val="0"/>
              <w:spacing w:line="276" w:lineRule="auto"/>
              <w:jc w:val="both"/>
              <w:rPr>
                <w:rFonts w:ascii="Verdana" w:hAnsi="Verdana" w:cs="Arial"/>
              </w:rPr>
            </w:pPr>
            <w:r w:rsidRPr="000C36EF">
              <w:rPr>
                <w:rFonts w:ascii="Verdana" w:hAnsi="Verdana" w:cs="Arial"/>
              </w:rPr>
              <w:t>Ley 80 de 1993, artículo 8, numeral 2, literales a) y f).</w:t>
            </w:r>
          </w:p>
          <w:p w14:paraId="0E969923" w14:textId="77777777" w:rsidR="00EA6B8B" w:rsidRPr="000C36EF" w:rsidRDefault="00EA6B8B" w:rsidP="00EA6B8B">
            <w:pPr>
              <w:pStyle w:val="Prrafodelista"/>
              <w:widowControl w:val="0"/>
              <w:numPr>
                <w:ilvl w:val="0"/>
                <w:numId w:val="16"/>
              </w:numPr>
              <w:tabs>
                <w:tab w:val="left" w:pos="8419"/>
              </w:tabs>
              <w:autoSpaceDE w:val="0"/>
              <w:autoSpaceDN w:val="0"/>
              <w:spacing w:line="276" w:lineRule="auto"/>
              <w:jc w:val="both"/>
              <w:rPr>
                <w:rFonts w:ascii="Verdana" w:hAnsi="Verdana" w:cs="Arial"/>
                <w:lang w:val="it-IT"/>
              </w:rPr>
            </w:pPr>
            <w:r w:rsidRPr="000C36EF">
              <w:rPr>
                <w:rFonts w:ascii="Verdana" w:hAnsi="Verdana" w:cs="Arial"/>
                <w:lang w:val="pt-BR"/>
              </w:rPr>
              <w:t xml:space="preserve">Corte Constitucional. Sentencia T-1039 de 2006. </w:t>
            </w:r>
            <w:r w:rsidRPr="000C36EF">
              <w:rPr>
                <w:rFonts w:ascii="Verdana" w:hAnsi="Verdana" w:cs="Arial"/>
                <w:lang w:val="it-IT"/>
              </w:rPr>
              <w:t>Magistrado Ponente: Humberto Sierra Porto.</w:t>
            </w:r>
          </w:p>
          <w:p w14:paraId="427D86D1" w14:textId="77777777" w:rsidR="00EA6B8B" w:rsidRPr="000C36EF" w:rsidRDefault="00EA6B8B" w:rsidP="00EA6B8B">
            <w:pPr>
              <w:pStyle w:val="Prrafodelista"/>
              <w:widowControl w:val="0"/>
              <w:numPr>
                <w:ilvl w:val="0"/>
                <w:numId w:val="16"/>
              </w:numPr>
              <w:tabs>
                <w:tab w:val="left" w:pos="8419"/>
              </w:tabs>
              <w:autoSpaceDE w:val="0"/>
              <w:autoSpaceDN w:val="0"/>
              <w:spacing w:line="276" w:lineRule="auto"/>
              <w:jc w:val="both"/>
              <w:rPr>
                <w:rFonts w:ascii="Verdana" w:hAnsi="Verdana" w:cs="Arial"/>
                <w:lang w:val="pt-BR"/>
              </w:rPr>
            </w:pPr>
            <w:r w:rsidRPr="000C36EF">
              <w:rPr>
                <w:rFonts w:ascii="Verdana" w:eastAsia="Arial MT" w:hAnsi="Verdana" w:cs="Arial"/>
                <w:lang w:val="pt-BR" w:eastAsia="es-ES" w:bidi="es-ES"/>
              </w:rPr>
              <w:t xml:space="preserve">Corte Constitucional, Sentencia C-903 de 2008. Magistrado </w:t>
            </w:r>
            <w:proofErr w:type="spellStart"/>
            <w:r w:rsidRPr="000C36EF">
              <w:rPr>
                <w:rFonts w:ascii="Verdana" w:eastAsia="Arial MT" w:hAnsi="Verdana" w:cs="Arial"/>
                <w:lang w:val="pt-BR" w:eastAsia="es-ES" w:bidi="es-ES"/>
              </w:rPr>
              <w:t>Ponente</w:t>
            </w:r>
            <w:proofErr w:type="spellEnd"/>
            <w:r w:rsidRPr="000C36EF">
              <w:rPr>
                <w:rFonts w:ascii="Verdana" w:eastAsia="Arial MT" w:hAnsi="Verdana" w:cs="Arial"/>
                <w:lang w:val="pt-BR" w:eastAsia="es-ES" w:bidi="es-ES"/>
              </w:rPr>
              <w:t>:</w:t>
            </w:r>
            <w:r w:rsidRPr="00B53544">
              <w:rPr>
                <w:rFonts w:ascii="Verdana" w:hAnsi="Verdana"/>
              </w:rPr>
              <w:t xml:space="preserve"> </w:t>
            </w:r>
            <w:r w:rsidRPr="000C36EF">
              <w:rPr>
                <w:rFonts w:ascii="Verdana" w:eastAsia="Arial MT" w:hAnsi="Verdana" w:cs="Arial"/>
                <w:lang w:val="pt-BR" w:eastAsia="es-ES" w:bidi="es-ES"/>
              </w:rPr>
              <w:t>Jaime Araujo Rentería.</w:t>
            </w:r>
          </w:p>
          <w:p w14:paraId="64A9D51E" w14:textId="77777777" w:rsidR="00EA6B8B" w:rsidRPr="000C36EF" w:rsidRDefault="00EA6B8B" w:rsidP="00EA6B8B">
            <w:pPr>
              <w:pStyle w:val="Prrafodelista"/>
              <w:widowControl w:val="0"/>
              <w:numPr>
                <w:ilvl w:val="0"/>
                <w:numId w:val="16"/>
              </w:numPr>
              <w:tabs>
                <w:tab w:val="left" w:pos="8419"/>
              </w:tabs>
              <w:autoSpaceDE w:val="0"/>
              <w:autoSpaceDN w:val="0"/>
              <w:spacing w:line="276" w:lineRule="auto"/>
              <w:jc w:val="both"/>
              <w:rPr>
                <w:rFonts w:ascii="Verdana" w:hAnsi="Verdana" w:cs="Arial"/>
                <w:lang w:val="pt-BR"/>
              </w:rPr>
            </w:pPr>
            <w:r w:rsidRPr="000C36EF">
              <w:rPr>
                <w:rFonts w:ascii="Verdana" w:hAnsi="Verdana" w:cs="Arial"/>
                <w:lang w:val="pt-BR"/>
              </w:rPr>
              <w:t xml:space="preserve">Corte Constitucional. Sentencia C-257 de 2013. </w:t>
            </w:r>
            <w:r w:rsidRPr="000C36EF">
              <w:rPr>
                <w:rFonts w:ascii="Verdana" w:eastAsia="Arial MT" w:hAnsi="Verdana" w:cs="Arial"/>
                <w:lang w:val="pt-BR" w:eastAsia="es-ES" w:bidi="es-ES"/>
              </w:rPr>
              <w:t xml:space="preserve">Magistrado </w:t>
            </w:r>
            <w:proofErr w:type="spellStart"/>
            <w:r w:rsidRPr="000C36EF">
              <w:rPr>
                <w:rFonts w:ascii="Verdana" w:eastAsia="Arial MT" w:hAnsi="Verdana" w:cs="Arial"/>
                <w:lang w:val="pt-BR" w:eastAsia="es-ES" w:bidi="es-ES"/>
              </w:rPr>
              <w:t>Ponente</w:t>
            </w:r>
            <w:proofErr w:type="spellEnd"/>
            <w:r w:rsidRPr="000C36EF">
              <w:rPr>
                <w:rFonts w:ascii="Verdana" w:hAnsi="Verdana" w:cs="Arial"/>
                <w:lang w:val="pt-BR"/>
              </w:rPr>
              <w:t xml:space="preserve">: Jaime Córdoba </w:t>
            </w:r>
            <w:proofErr w:type="spellStart"/>
            <w:r w:rsidRPr="000C36EF">
              <w:rPr>
                <w:rFonts w:ascii="Verdana" w:hAnsi="Verdana" w:cs="Arial"/>
                <w:lang w:val="pt-BR"/>
              </w:rPr>
              <w:t>Triviño</w:t>
            </w:r>
            <w:proofErr w:type="spellEnd"/>
            <w:r w:rsidRPr="000C36EF">
              <w:rPr>
                <w:rFonts w:ascii="Verdana" w:hAnsi="Verdana" w:cs="Arial"/>
                <w:lang w:val="pt-BR"/>
              </w:rPr>
              <w:t>.</w:t>
            </w:r>
          </w:p>
          <w:p w14:paraId="6261CDE4" w14:textId="77777777" w:rsidR="00EA6B8B" w:rsidRPr="000C36EF" w:rsidRDefault="00EA6B8B" w:rsidP="00EA6B8B">
            <w:pPr>
              <w:pStyle w:val="Prrafodelista"/>
              <w:widowControl w:val="0"/>
              <w:numPr>
                <w:ilvl w:val="0"/>
                <w:numId w:val="16"/>
              </w:numPr>
              <w:tabs>
                <w:tab w:val="left" w:pos="8419"/>
              </w:tabs>
              <w:autoSpaceDE w:val="0"/>
              <w:autoSpaceDN w:val="0"/>
              <w:spacing w:line="276" w:lineRule="auto"/>
              <w:jc w:val="both"/>
              <w:rPr>
                <w:rFonts w:ascii="Verdana" w:hAnsi="Verdana" w:cs="Arial"/>
              </w:rPr>
            </w:pPr>
            <w:r w:rsidRPr="000C36EF">
              <w:rPr>
                <w:rFonts w:ascii="Verdana" w:hAnsi="Verdana" w:cs="Arial"/>
              </w:rPr>
              <w:t>Consejo de Estado. Sala de Consulta y Servicio Civil. Concepto del 30 de abril de 2015. Expediente: 2251. Consejero Ponente: Álvaro Namén Vargas.</w:t>
            </w:r>
          </w:p>
          <w:p w14:paraId="5D24968B" w14:textId="77777777" w:rsidR="00EA6B8B" w:rsidRPr="000C36EF" w:rsidRDefault="00EA6B8B" w:rsidP="00EA6B8B">
            <w:pPr>
              <w:pStyle w:val="Prrafodelista"/>
              <w:widowControl w:val="0"/>
              <w:numPr>
                <w:ilvl w:val="0"/>
                <w:numId w:val="16"/>
              </w:numPr>
              <w:tabs>
                <w:tab w:val="left" w:pos="8419"/>
              </w:tabs>
              <w:autoSpaceDE w:val="0"/>
              <w:autoSpaceDN w:val="0"/>
              <w:spacing w:line="276" w:lineRule="auto"/>
              <w:jc w:val="both"/>
              <w:rPr>
                <w:rFonts w:ascii="Verdana" w:hAnsi="Verdana" w:cs="Arial"/>
              </w:rPr>
            </w:pPr>
            <w:r w:rsidRPr="000C36EF">
              <w:rPr>
                <w:rFonts w:ascii="Verdana" w:hAnsi="Verdana" w:cs="Arial"/>
              </w:rPr>
              <w:t xml:space="preserve">Consejo de Estado. Sección Tercera. Subsección A. Sentencia del 24 de junio de 2015. </w:t>
            </w:r>
            <w:proofErr w:type="spellStart"/>
            <w:r w:rsidRPr="000C36EF">
              <w:rPr>
                <w:rFonts w:ascii="Verdana" w:hAnsi="Verdana" w:cs="Arial"/>
              </w:rPr>
              <w:t>Exp</w:t>
            </w:r>
            <w:proofErr w:type="spellEnd"/>
            <w:r w:rsidRPr="000C36EF">
              <w:rPr>
                <w:rFonts w:ascii="Verdana" w:hAnsi="Verdana" w:cs="Arial"/>
              </w:rPr>
              <w:t>. 40.635. Consejero Ponente: Hernán Andrade Rincón (E).</w:t>
            </w:r>
          </w:p>
          <w:p w14:paraId="5FB02FDB" w14:textId="77777777" w:rsidR="00EA6B8B" w:rsidRPr="000C36EF" w:rsidRDefault="00EA6B8B" w:rsidP="00EA6B8B">
            <w:pPr>
              <w:pStyle w:val="Prrafodelista"/>
              <w:widowControl w:val="0"/>
              <w:numPr>
                <w:ilvl w:val="0"/>
                <w:numId w:val="16"/>
              </w:numPr>
              <w:tabs>
                <w:tab w:val="left" w:pos="8419"/>
              </w:tabs>
              <w:autoSpaceDE w:val="0"/>
              <w:autoSpaceDN w:val="0"/>
              <w:spacing w:line="276" w:lineRule="auto"/>
              <w:jc w:val="both"/>
              <w:rPr>
                <w:rFonts w:ascii="Verdana" w:hAnsi="Verdana" w:cs="Arial"/>
              </w:rPr>
            </w:pPr>
            <w:r w:rsidRPr="000C36EF">
              <w:rPr>
                <w:rFonts w:ascii="Verdana" w:hAnsi="Verdana" w:cs="Arial"/>
              </w:rPr>
              <w:t xml:space="preserve">Consejo de Estado. Sección Tercera. Subsección C. Sentencia del 22 de mayo de 2013. </w:t>
            </w:r>
            <w:proofErr w:type="spellStart"/>
            <w:r w:rsidRPr="000C36EF">
              <w:rPr>
                <w:rFonts w:ascii="Verdana" w:hAnsi="Verdana" w:cs="Arial"/>
              </w:rPr>
              <w:t>Exp</w:t>
            </w:r>
            <w:proofErr w:type="spellEnd"/>
            <w:r w:rsidRPr="000C36EF">
              <w:rPr>
                <w:rFonts w:ascii="Verdana" w:hAnsi="Verdana" w:cs="Arial"/>
              </w:rPr>
              <w:t>. 24.057. Consejera Ponente: Olga Melida Valle De La Hoz.</w:t>
            </w:r>
          </w:p>
          <w:p w14:paraId="0528CAD7" w14:textId="77777777" w:rsidR="00EA6B8B" w:rsidRPr="000C36EF" w:rsidRDefault="00EA6B8B" w:rsidP="00EA6B8B">
            <w:pPr>
              <w:pStyle w:val="Prrafodelista"/>
              <w:widowControl w:val="0"/>
              <w:numPr>
                <w:ilvl w:val="0"/>
                <w:numId w:val="16"/>
              </w:numPr>
              <w:tabs>
                <w:tab w:val="left" w:pos="8419"/>
              </w:tabs>
              <w:autoSpaceDE w:val="0"/>
              <w:autoSpaceDN w:val="0"/>
              <w:spacing w:line="276" w:lineRule="auto"/>
              <w:jc w:val="both"/>
              <w:rPr>
                <w:rFonts w:ascii="Verdana" w:hAnsi="Verdana" w:cs="Arial"/>
              </w:rPr>
            </w:pPr>
            <w:r w:rsidRPr="000C36EF">
              <w:rPr>
                <w:rFonts w:ascii="Verdana" w:hAnsi="Verdana" w:cs="Arial"/>
              </w:rPr>
              <w:t>Corte Constitucional, sentencia C- 373 de 2002, Magistrado ponente Jaime Córdoba Triviño.</w:t>
            </w:r>
          </w:p>
          <w:p w14:paraId="08FA4B43" w14:textId="77777777" w:rsidR="00EA6B8B" w:rsidRPr="000C36EF" w:rsidRDefault="00EA6B8B" w:rsidP="00EA6B8B">
            <w:pPr>
              <w:pStyle w:val="Prrafodelista"/>
              <w:widowControl w:val="0"/>
              <w:numPr>
                <w:ilvl w:val="0"/>
                <w:numId w:val="16"/>
              </w:numPr>
              <w:tabs>
                <w:tab w:val="left" w:pos="8419"/>
              </w:tabs>
              <w:autoSpaceDE w:val="0"/>
              <w:autoSpaceDN w:val="0"/>
              <w:spacing w:line="276" w:lineRule="auto"/>
              <w:jc w:val="both"/>
              <w:rPr>
                <w:rFonts w:ascii="Verdana" w:hAnsi="Verdana" w:cs="Arial"/>
              </w:rPr>
            </w:pPr>
            <w:r w:rsidRPr="000C36EF">
              <w:rPr>
                <w:rFonts w:ascii="Verdana" w:hAnsi="Verdana" w:cs="Arial"/>
              </w:rPr>
              <w:t>Corte Constitucional, sentencia C-325 de 2009, Magistrado ponente Gabriel Eduardo Mendoza Martelo.</w:t>
            </w:r>
          </w:p>
          <w:p w14:paraId="052602D0" w14:textId="77777777" w:rsidR="00EA6B8B" w:rsidRPr="000C36EF" w:rsidRDefault="00EA6B8B" w:rsidP="00EA6B8B">
            <w:pPr>
              <w:pStyle w:val="Prrafodelista"/>
              <w:widowControl w:val="0"/>
              <w:numPr>
                <w:ilvl w:val="0"/>
                <w:numId w:val="16"/>
              </w:numPr>
              <w:tabs>
                <w:tab w:val="left" w:pos="8419"/>
              </w:tabs>
              <w:autoSpaceDE w:val="0"/>
              <w:autoSpaceDN w:val="0"/>
              <w:spacing w:line="276" w:lineRule="auto"/>
              <w:jc w:val="both"/>
              <w:rPr>
                <w:rFonts w:ascii="Verdana" w:hAnsi="Verdana" w:cs="Arial"/>
              </w:rPr>
            </w:pPr>
            <w:r w:rsidRPr="000C36EF">
              <w:rPr>
                <w:rFonts w:ascii="Verdana" w:hAnsi="Verdana" w:cs="Arial"/>
              </w:rPr>
              <w:t>Consejo de Estado, Sentencia 00111 del 13 de junio de 2019, Sala de lo Contencioso Administrativo, Sección Quinta 00111 del 13 de junio de 2019, consejera ponente Rocío Araújo Oñate.</w:t>
            </w:r>
          </w:p>
          <w:p w14:paraId="1E46A541" w14:textId="77777777" w:rsidR="00EA6B8B" w:rsidRPr="000C36EF" w:rsidRDefault="00EA6B8B" w:rsidP="005C6855">
            <w:pPr>
              <w:pStyle w:val="Prrafodelista"/>
              <w:spacing w:line="276" w:lineRule="auto"/>
              <w:contextualSpacing w:val="0"/>
              <w:jc w:val="both"/>
              <w:rPr>
                <w:rFonts w:ascii="Verdana" w:eastAsia="Calibri" w:hAnsi="Verdana" w:cs="Arial"/>
                <w:shd w:val="clear" w:color="auto" w:fill="FFFFFF"/>
              </w:rPr>
            </w:pPr>
          </w:p>
        </w:tc>
      </w:tr>
    </w:tbl>
    <w:p w14:paraId="518A83E7" w14:textId="77777777" w:rsidR="00EA6B8B" w:rsidRPr="000C36EF" w:rsidRDefault="00EA6B8B" w:rsidP="00EA6B8B">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49F319D9" w14:textId="77777777" w:rsidR="00EA6B8B" w:rsidRPr="000C36EF" w:rsidRDefault="00EA6B8B" w:rsidP="00EA6B8B">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sidRPr="000C36EF">
        <w:rPr>
          <w:rFonts w:ascii="Verdana" w:eastAsia="Century Gothic" w:hAnsi="Verdana" w:cs="Century Gothic"/>
          <w:b/>
          <w:bCs/>
        </w:rPr>
        <w:t>5. Doctrina de la Agencia Nacional de Contratación Pública:</w:t>
      </w:r>
    </w:p>
    <w:p w14:paraId="0E336703" w14:textId="77777777" w:rsidR="00EA6B8B" w:rsidRPr="000C36EF" w:rsidRDefault="00EA6B8B" w:rsidP="00EA6B8B">
      <w:pPr>
        <w:spacing w:after="0" w:line="276" w:lineRule="auto"/>
        <w:ind w:firstLine="709"/>
        <w:jc w:val="both"/>
        <w:rPr>
          <w:rFonts w:ascii="Verdana" w:eastAsia="Times New Roman" w:hAnsi="Verdana" w:cs="Arial"/>
          <w:szCs w:val="24"/>
          <w:lang w:eastAsia="es-ES_tradnl"/>
        </w:rPr>
      </w:pPr>
    </w:p>
    <w:p w14:paraId="65039503" w14:textId="77777777" w:rsidR="00EA6B8B" w:rsidRDefault="00EA6B8B" w:rsidP="00EA6B8B">
      <w:pPr>
        <w:spacing w:after="0" w:line="276" w:lineRule="auto"/>
        <w:jc w:val="both"/>
        <w:rPr>
          <w:rFonts w:ascii="Verdana" w:eastAsia="Aptos" w:hAnsi="Verdana" w:cs="Arial"/>
          <w:b/>
          <w:bCs/>
          <w:shd w:val="clear" w:color="auto" w:fill="FFFFFF"/>
          <w:lang w:val="es-ES"/>
        </w:rPr>
      </w:pPr>
      <w:r w:rsidRPr="000C36EF">
        <w:rPr>
          <w:rFonts w:ascii="Verdana" w:eastAsia="Calibri" w:hAnsi="Verdana" w:cs="Arial"/>
          <w:lang w:eastAsia="es-ES_tradnl"/>
        </w:rPr>
        <w:t xml:space="preserve">Sobre el régimen de inhabilidades e incompatibilidades se pronunció esta Subdirección en los conceptos </w:t>
      </w:r>
      <w:r w:rsidRPr="000C36EF">
        <w:rPr>
          <w:rFonts w:ascii="Verdana" w:eastAsia="Calibri" w:hAnsi="Verdana" w:cs="Arial"/>
        </w:rPr>
        <w:t xml:space="preserve">No. C−032 del 19 de febrero de 2020, C-585 del 14 de septiembre de 2020,  C–721 de 14 de diciembre de 2020, C–004 del 12 de febrero de 2021, C–815 del 18 de febrero de 2021, C–047 del 8 de marzo de 2021, C−410 del 7 de julio de 2021, C−128 del 25 de marzo de 2022, C−252 del 3 de mayo de 2022, C−376 del 14 de junio de 2022, C−413 del 24 de junio de 2022, C−691 del 20 de octubre de 2022, C−731 del 10 de noviembre de 2022, C−928 del 26 de enero de 2023, C−126 del 24 de abril de 2023, C−175 </w:t>
      </w:r>
      <w:r w:rsidRPr="000C36EF">
        <w:rPr>
          <w:rFonts w:ascii="Verdana" w:eastAsia="Calibri" w:hAnsi="Verdana" w:cs="Arial"/>
        </w:rPr>
        <w:lastRenderedPageBreak/>
        <w:t>del 4 de mayo de 2023, C−234 del 5 de julio de 2023, C−010 del 31 de enero de 2024 y C-039 del 23 de abril de 2024</w:t>
      </w:r>
      <w:r w:rsidRPr="000C36EF">
        <w:rPr>
          <w:rFonts w:ascii="Verdana" w:hAnsi="Verdana" w:cs="Arial"/>
        </w:rPr>
        <w:t xml:space="preserve">. </w:t>
      </w:r>
      <w:r w:rsidRPr="000C36EF">
        <w:rPr>
          <w:rFonts w:ascii="Verdana" w:eastAsia="Calibri" w:hAnsi="Verdana" w:cs="Arial"/>
          <w:shd w:val="clear" w:color="auto" w:fill="FFFFFF"/>
        </w:rPr>
        <w:t xml:space="preserve">Estos y otros conceptos los podrá consultar en el siguiente enlace: </w:t>
      </w:r>
      <w:hyperlink r:id="rId12" w:tooltip="Dirección URL original: https://relatoria.colombiacompra.gov.co/. Haga clic o pulse si confía en este vínculo." w:history="1">
        <w:r w:rsidRPr="000C36EF">
          <w:rPr>
            <w:rStyle w:val="Hipervnculo"/>
            <w:rFonts w:ascii="Verdana" w:eastAsia="Calibri" w:hAnsi="Verdana" w:cs="Arial"/>
            <w:lang w:eastAsia="es-ES_tradnl"/>
          </w:rPr>
          <w:t>https://relatoria.colombiacompra.gov.co/</w:t>
        </w:r>
      </w:hyperlink>
    </w:p>
    <w:p w14:paraId="55787366" w14:textId="77777777" w:rsidR="00EA6B8B" w:rsidRPr="00210CE9" w:rsidRDefault="00EA6B8B" w:rsidP="00EA6B8B">
      <w:pPr>
        <w:spacing w:after="0" w:line="276" w:lineRule="auto"/>
        <w:jc w:val="both"/>
        <w:rPr>
          <w:rFonts w:ascii="Verdana" w:eastAsia="Aptos" w:hAnsi="Verdana" w:cs="Arial"/>
          <w:b/>
          <w:bCs/>
          <w:shd w:val="clear" w:color="auto" w:fill="FFFFFF"/>
          <w:lang w:val="es-ES"/>
        </w:rPr>
      </w:pPr>
    </w:p>
    <w:p w14:paraId="08EFEBB2" w14:textId="77777777" w:rsidR="00EA6B8B" w:rsidRPr="00144EB3" w:rsidRDefault="00EA6B8B" w:rsidP="00EA6B8B">
      <w:pPr>
        <w:spacing w:after="0" w:line="240" w:lineRule="auto"/>
        <w:jc w:val="both"/>
        <w:rPr>
          <w:rFonts w:ascii="Verdana" w:eastAsia="Calibri" w:hAnsi="Verdana" w:cs="Arial"/>
        </w:rPr>
      </w:pPr>
      <w:r w:rsidRPr="00144EB3">
        <w:rPr>
          <w:rFonts w:ascii="Verdana" w:eastAsia="Calibri" w:hAnsi="Verdana" w:cs="Arial"/>
        </w:rPr>
        <w:t xml:space="preserve">La sostenibilidad no es una opción, es una obligación. Por ello, la Agencia Nacional de Contratación Pública –Colombia Compra Eficiente– te invita a realizar el </w:t>
      </w:r>
      <w:r w:rsidRPr="00144EB3">
        <w:rPr>
          <w:rFonts w:ascii="Verdana" w:eastAsia="Calibri" w:hAnsi="Verdana" w:cs="Arial"/>
          <w:b/>
          <w:bCs/>
        </w:rPr>
        <w:t>Curso de Contratación Pública Sostenible y Socialmente Responsable</w:t>
      </w:r>
      <w:r w:rsidRPr="00144EB3">
        <w:rPr>
          <w:rFonts w:ascii="Verdana" w:eastAsia="Calibri" w:hAnsi="Verdana" w:cs="Arial"/>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144EB3">
        <w:rPr>
          <w:rFonts w:ascii="Verdana" w:eastAsia="Calibri" w:hAnsi="Verdana" w:cs="Arial"/>
        </w:rPr>
        <w:br/>
      </w:r>
      <w:hyperlink r:id="rId13" w:tgtFrame="_new" w:history="1">
        <w:r w:rsidRPr="00144EB3">
          <w:rPr>
            <w:rFonts w:ascii="Verdana" w:eastAsia="Calibri" w:hAnsi="Verdana" w:cs="Arial"/>
            <w:color w:val="0000FF"/>
            <w:u w:val="single"/>
          </w:rPr>
          <w:t>https://formacionvirtual.colombiacompra.gov.co/mod/page/view.php?id=3718</w:t>
        </w:r>
      </w:hyperlink>
    </w:p>
    <w:p w14:paraId="7731C4C2" w14:textId="77777777" w:rsidR="00EA6B8B" w:rsidRDefault="00EA6B8B" w:rsidP="00EA6B8B">
      <w:pPr>
        <w:spacing w:after="0" w:line="240" w:lineRule="auto"/>
        <w:jc w:val="both"/>
        <w:rPr>
          <w:rFonts w:ascii="Verdana" w:eastAsia="Calibri" w:hAnsi="Verdana" w:cs="Arial"/>
        </w:rPr>
      </w:pPr>
    </w:p>
    <w:p w14:paraId="4B56300D" w14:textId="77777777" w:rsidR="00EA6B8B" w:rsidRPr="00144EB3" w:rsidRDefault="00EA6B8B" w:rsidP="00EA6B8B">
      <w:pPr>
        <w:spacing w:after="0" w:line="240" w:lineRule="auto"/>
        <w:jc w:val="both"/>
        <w:rPr>
          <w:rFonts w:ascii="Verdana" w:eastAsia="Calibri" w:hAnsi="Verdana" w:cs="Arial"/>
        </w:rPr>
      </w:pPr>
      <w:r w:rsidRPr="00144EB3">
        <w:rPr>
          <w:rFonts w:ascii="Verdana" w:eastAsia="Calibri" w:hAnsi="Verdana" w:cs="Arial"/>
        </w:rPr>
        <w:t xml:space="preserve">De otro lado, te contamos que esta Agencia ha da un paso decisivo en la estandarización y modernización del </w:t>
      </w:r>
      <w:r w:rsidRPr="00144EB3">
        <w:rPr>
          <w:rFonts w:ascii="Verdana" w:eastAsia="Calibri" w:hAnsi="Verdana" w:cs="Arial"/>
          <w:b/>
          <w:bCs/>
        </w:rPr>
        <w:t>sector  social</w:t>
      </w:r>
      <w:r w:rsidRPr="00144EB3">
        <w:rPr>
          <w:rFonts w:ascii="Verdana" w:eastAsia="Calibri" w:hAnsi="Verdana" w:cs="Arial"/>
        </w:rPr>
        <w:t xml:space="preserve"> con la expedición de las </w:t>
      </w:r>
      <w:r w:rsidRPr="00144EB3">
        <w:rPr>
          <w:rFonts w:ascii="Verdana" w:eastAsia="Calibri" w:hAnsi="Verdana" w:cs="Arial"/>
          <w:b/>
          <w:bCs/>
        </w:rPr>
        <w:t>Resoluciones 539, 540, 541, 952 y 953 de 2025</w:t>
      </w:r>
      <w:r w:rsidRPr="00144EB3">
        <w:rPr>
          <w:rFonts w:ascii="Verdana" w:eastAsia="Calibri" w:hAnsi="Verdana" w:cs="Arial"/>
        </w:rPr>
        <w:t xml:space="preserve">, </w:t>
      </w:r>
      <w:r w:rsidRPr="00144EB3">
        <w:rPr>
          <w:rFonts w:ascii="Verdana" w:eastAsia="Calibri" w:hAnsi="Verdana" w:cs="Arial"/>
          <w:b/>
          <w:bCs/>
        </w:rPr>
        <w:t>mediante las cuales adoptó Documentos Tipo</w:t>
      </w:r>
      <w:r w:rsidRPr="00144EB3">
        <w:rPr>
          <w:rFonts w:ascii="Verdana" w:eastAsia="Calibri" w:hAnsi="Verdana" w:cs="Arial"/>
        </w:rPr>
        <w:t xml:space="preserve"> para las modalidades de selección de</w:t>
      </w:r>
      <w:r w:rsidRPr="00144EB3">
        <w:rPr>
          <w:rFonts w:ascii="Verdana" w:eastAsia="Calibri" w:hAnsi="Verdana" w:cs="Arial"/>
          <w:b/>
          <w:bCs/>
        </w:rPr>
        <w:t xml:space="preserve"> licitación pública (versión 2), selección abreviada de menor cuantía, mínima cuantía, consultoría e interventoría</w:t>
      </w:r>
      <w:r w:rsidRPr="00144EB3">
        <w:rPr>
          <w:rFonts w:ascii="Verdana" w:eastAsia="Calibri" w:hAnsi="Verdana" w:cs="Arial"/>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144EB3">
          <w:rPr>
            <w:rFonts w:ascii="Verdana" w:eastAsia="Calibri" w:hAnsi="Verdana" w:cs="Arial"/>
            <w:color w:val="0000FF"/>
            <w:u w:val="single"/>
          </w:rPr>
          <w:t>https://www.colombiacompra.gov.co/normativa-y-relatoria/documentos-tipo</w:t>
        </w:r>
      </w:hyperlink>
    </w:p>
    <w:p w14:paraId="447E3A04" w14:textId="77777777" w:rsidR="00EA6B8B" w:rsidRPr="00144EB3" w:rsidRDefault="00EA6B8B" w:rsidP="00EA6B8B">
      <w:pPr>
        <w:spacing w:after="0" w:line="240" w:lineRule="auto"/>
        <w:jc w:val="both"/>
        <w:rPr>
          <w:rFonts w:ascii="Verdana" w:eastAsia="Calibri" w:hAnsi="Verdana" w:cs="Arial"/>
        </w:rPr>
      </w:pPr>
    </w:p>
    <w:p w14:paraId="39847662" w14:textId="77777777" w:rsidR="00EA6B8B" w:rsidRPr="00144EB3" w:rsidRDefault="00EA6B8B" w:rsidP="00EA6B8B">
      <w:pPr>
        <w:spacing w:after="0" w:line="240" w:lineRule="auto"/>
        <w:jc w:val="both"/>
        <w:rPr>
          <w:rFonts w:ascii="Verdana" w:eastAsia="Calibri" w:hAnsi="Verdana" w:cs="Arial"/>
        </w:rPr>
      </w:pPr>
      <w:r w:rsidRPr="00144EB3">
        <w:rPr>
          <w:rFonts w:ascii="Verdana" w:eastAsia="Calibri" w:hAnsi="Verdana" w:cs="Arial"/>
        </w:rPr>
        <w:t xml:space="preserve">Si quieres conocer más sobre la aplicación de Documentos Tipo puedes consultar la última versión de la </w:t>
      </w:r>
      <w:r w:rsidRPr="00144EB3">
        <w:rPr>
          <w:rFonts w:ascii="Verdana" w:eastAsia="Calibri" w:hAnsi="Verdana" w:cs="Arial"/>
          <w:b/>
          <w:bCs/>
        </w:rPr>
        <w:t>Guía para la comprensión e implementación de los Documentos Tipo de obra pública de infraestructura de transporte</w:t>
      </w:r>
      <w:r w:rsidRPr="00144EB3">
        <w:rPr>
          <w:rFonts w:ascii="Verdana" w:eastAsia="Calibri" w:hAnsi="Verdana" w:cs="Arial"/>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144EB3">
        <w:rPr>
          <w:rFonts w:ascii="Verdana" w:eastAsia="Calibri" w:hAnsi="Verdana" w:cs="Arial"/>
        </w:rPr>
        <w:br/>
      </w:r>
      <w:hyperlink r:id="rId15" w:tgtFrame="_new" w:history="1">
        <w:r w:rsidRPr="00144EB3">
          <w:rPr>
            <w:rFonts w:ascii="Verdana" w:eastAsia="Calibri" w:hAnsi="Verdana" w:cs="Arial"/>
            <w:color w:val="0000FF"/>
            <w:u w:val="single"/>
          </w:rPr>
          <w:t>https://www.colombiacompra.gov.co/archivos/manual/guia-para-la-comprension-e-implementacion-de-los-documentos-tipo-de-obra-publica-de-infraestructura-de-transporte-bajo-las-diferentes-modalidades-de-contratacion-vigentes</w:t>
        </w:r>
      </w:hyperlink>
    </w:p>
    <w:p w14:paraId="29BE59A8" w14:textId="77777777" w:rsidR="00EA6B8B" w:rsidRPr="00144EB3" w:rsidRDefault="00EA6B8B" w:rsidP="00EA6B8B">
      <w:pPr>
        <w:spacing w:after="0" w:line="240" w:lineRule="auto"/>
        <w:jc w:val="both"/>
        <w:rPr>
          <w:rFonts w:ascii="Verdana" w:eastAsia="Calibri" w:hAnsi="Verdana" w:cs="Arial"/>
        </w:rPr>
      </w:pPr>
      <w:r w:rsidRPr="00144EB3">
        <w:rPr>
          <w:rFonts w:ascii="Verdana" w:eastAsia="Calibri" w:hAnsi="Verdana" w:cs="Arial"/>
          <w:shd w:val="clear" w:color="auto" w:fill="FFFFFF"/>
        </w:rPr>
        <w:t xml:space="preserve">Por último, lo invitamos a seguirnos en las redes sociales en las cuales se difunde información institucional: </w:t>
      </w:r>
    </w:p>
    <w:p w14:paraId="06824386" w14:textId="77777777" w:rsidR="00EA6B8B" w:rsidRPr="00144EB3" w:rsidRDefault="00EA6B8B" w:rsidP="00EA6B8B">
      <w:pPr>
        <w:spacing w:after="0" w:line="240" w:lineRule="auto"/>
        <w:jc w:val="both"/>
        <w:rPr>
          <w:rFonts w:ascii="Verdana" w:eastAsia="Calibri" w:hAnsi="Verdana" w:cs="Arial"/>
          <w:shd w:val="clear" w:color="auto" w:fill="FFFFFF"/>
        </w:rPr>
      </w:pPr>
    </w:p>
    <w:p w14:paraId="4E6515B7" w14:textId="77777777" w:rsidR="00EA6B8B" w:rsidRPr="00144EB3" w:rsidRDefault="00EA6B8B" w:rsidP="00EA6B8B">
      <w:pPr>
        <w:spacing w:after="0" w:line="240" w:lineRule="auto"/>
        <w:jc w:val="both"/>
        <w:rPr>
          <w:rFonts w:ascii="Verdana" w:eastAsia="Calibri" w:hAnsi="Verdana" w:cs="Arial"/>
          <w:shd w:val="clear" w:color="auto" w:fill="FFFFFF"/>
        </w:rPr>
      </w:pPr>
      <w:r w:rsidRPr="00144EB3">
        <w:rPr>
          <w:rFonts w:ascii="Verdana" w:eastAsia="Calibri" w:hAnsi="Verdana" w:cs="Arial"/>
          <w:shd w:val="clear" w:color="auto" w:fill="FFFFFF"/>
        </w:rPr>
        <w:t xml:space="preserve">Twitter: </w:t>
      </w:r>
      <w:r w:rsidRPr="00144EB3">
        <w:rPr>
          <w:rFonts w:ascii="Verdana" w:eastAsia="Calibri" w:hAnsi="Verdana" w:cs="Arial"/>
          <w:color w:val="0000FF"/>
          <w:u w:val="single"/>
          <w:lang w:val="es-ES"/>
        </w:rPr>
        <w:t xml:space="preserve">@colombiacompra </w:t>
      </w:r>
    </w:p>
    <w:p w14:paraId="16FEE380" w14:textId="77777777" w:rsidR="00EA6B8B" w:rsidRPr="00144EB3" w:rsidRDefault="00EA6B8B" w:rsidP="00EA6B8B">
      <w:pPr>
        <w:spacing w:after="0" w:line="240" w:lineRule="auto"/>
        <w:jc w:val="both"/>
        <w:rPr>
          <w:rFonts w:ascii="Verdana" w:eastAsia="Calibri" w:hAnsi="Verdana" w:cs="Arial"/>
          <w:shd w:val="clear" w:color="auto" w:fill="FFFFFF"/>
        </w:rPr>
      </w:pPr>
      <w:r w:rsidRPr="00144EB3">
        <w:rPr>
          <w:rFonts w:ascii="Verdana" w:eastAsia="Calibri" w:hAnsi="Verdana" w:cs="Arial"/>
          <w:shd w:val="clear" w:color="auto" w:fill="FFFFFF"/>
        </w:rPr>
        <w:t>Facebook:</w:t>
      </w:r>
      <w:r w:rsidRPr="00144EB3">
        <w:rPr>
          <w:rFonts w:ascii="Verdana" w:eastAsia="Calibri" w:hAnsi="Verdana" w:cs="Arial"/>
          <w:color w:val="0000FF"/>
          <w:u w:val="single"/>
          <w:lang w:val="es-ES"/>
        </w:rPr>
        <w:t xml:space="preserve"> </w:t>
      </w:r>
      <w:proofErr w:type="spellStart"/>
      <w:r w:rsidRPr="00144EB3">
        <w:rPr>
          <w:rFonts w:ascii="Verdana" w:eastAsia="Calibri" w:hAnsi="Verdana" w:cs="Arial"/>
          <w:color w:val="0000FF"/>
          <w:u w:val="single"/>
          <w:lang w:val="es-ES"/>
        </w:rPr>
        <w:t>ColombiaCompraEficiente</w:t>
      </w:r>
      <w:proofErr w:type="spellEnd"/>
    </w:p>
    <w:p w14:paraId="4B6A6D0E" w14:textId="77777777" w:rsidR="00EA6B8B" w:rsidRPr="00144EB3" w:rsidRDefault="00EA6B8B" w:rsidP="00EA6B8B">
      <w:pPr>
        <w:spacing w:after="0" w:line="240" w:lineRule="auto"/>
        <w:jc w:val="both"/>
        <w:rPr>
          <w:rFonts w:ascii="Verdana" w:eastAsia="Calibri" w:hAnsi="Verdana" w:cs="Arial"/>
          <w:color w:val="0000FF"/>
          <w:shd w:val="clear" w:color="auto" w:fill="FFFFFF"/>
        </w:rPr>
      </w:pPr>
      <w:r w:rsidRPr="00144EB3">
        <w:rPr>
          <w:rFonts w:ascii="Verdana" w:eastAsia="Calibri" w:hAnsi="Verdana" w:cs="Arial"/>
          <w:shd w:val="clear" w:color="auto" w:fill="FFFFFF"/>
        </w:rPr>
        <w:lastRenderedPageBreak/>
        <w:t xml:space="preserve">LinkedIn: </w:t>
      </w:r>
      <w:r w:rsidRPr="00144EB3">
        <w:rPr>
          <w:rFonts w:ascii="Verdana" w:eastAsia="Calibri" w:hAnsi="Verdana" w:cs="Arial"/>
          <w:color w:val="0000FF"/>
          <w:u w:val="single"/>
          <w:lang w:val="es-ES"/>
        </w:rPr>
        <w:t>Agencia Nacional de Contratación Pública - Colombia Compra Eficiente</w:t>
      </w:r>
      <w:r w:rsidRPr="00144EB3">
        <w:rPr>
          <w:rFonts w:ascii="Verdana" w:eastAsia="Calibri" w:hAnsi="Verdana" w:cs="Arial"/>
          <w:color w:val="0000FF"/>
          <w:shd w:val="clear" w:color="auto" w:fill="FFFFFF"/>
        </w:rPr>
        <w:t xml:space="preserve"> </w:t>
      </w:r>
    </w:p>
    <w:p w14:paraId="4CE69DD5" w14:textId="77777777" w:rsidR="00EA6B8B" w:rsidRPr="00144EB3" w:rsidRDefault="00EA6B8B" w:rsidP="00EA6B8B">
      <w:pPr>
        <w:spacing w:after="0" w:line="240" w:lineRule="auto"/>
        <w:jc w:val="both"/>
        <w:rPr>
          <w:rFonts w:ascii="Verdana" w:eastAsia="Calibri" w:hAnsi="Verdana" w:cs="Arial"/>
          <w:shd w:val="clear" w:color="auto" w:fill="FFFFFF"/>
        </w:rPr>
      </w:pPr>
      <w:r w:rsidRPr="00144EB3">
        <w:rPr>
          <w:rFonts w:ascii="Verdana" w:eastAsia="Calibri" w:hAnsi="Verdana" w:cs="Arial"/>
          <w:shd w:val="clear" w:color="auto" w:fill="FFFFFF"/>
        </w:rPr>
        <w:t xml:space="preserve">Instagram: </w:t>
      </w:r>
      <w:r w:rsidRPr="00144EB3">
        <w:rPr>
          <w:rFonts w:ascii="Verdana" w:eastAsia="Calibri" w:hAnsi="Verdana" w:cs="Arial"/>
          <w:color w:val="0000FF"/>
          <w:u w:val="single"/>
          <w:lang w:val="es-ES"/>
        </w:rPr>
        <w:t>@colombiacompraeficiente_cce</w:t>
      </w:r>
    </w:p>
    <w:p w14:paraId="4641D5DC" w14:textId="77777777" w:rsidR="00EA6B8B" w:rsidRPr="00144EB3" w:rsidRDefault="00EA6B8B" w:rsidP="00EA6B8B">
      <w:pPr>
        <w:widowControl w:val="0"/>
        <w:autoSpaceDE w:val="0"/>
        <w:autoSpaceDN w:val="0"/>
        <w:spacing w:after="0" w:line="240" w:lineRule="auto"/>
        <w:jc w:val="both"/>
        <w:rPr>
          <w:rFonts w:ascii="Verdana" w:eastAsia="Calibri" w:hAnsi="Verdana" w:cs="Arial"/>
          <w:lang w:val="es-ES"/>
        </w:rPr>
      </w:pPr>
    </w:p>
    <w:p w14:paraId="66B63ED3" w14:textId="77777777" w:rsidR="00EA6B8B" w:rsidRPr="00144EB3" w:rsidRDefault="00EA6B8B" w:rsidP="00EA6B8B">
      <w:pPr>
        <w:widowControl w:val="0"/>
        <w:autoSpaceDE w:val="0"/>
        <w:autoSpaceDN w:val="0"/>
        <w:spacing w:after="0" w:line="240" w:lineRule="auto"/>
        <w:jc w:val="both"/>
        <w:rPr>
          <w:rFonts w:ascii="Verdana" w:eastAsia="Calibri" w:hAnsi="Verdana" w:cs="Arial"/>
          <w:lang w:val="es-ES"/>
        </w:rPr>
      </w:pPr>
      <w:r w:rsidRPr="00144EB3">
        <w:rPr>
          <w:rFonts w:ascii="Verdana" w:eastAsia="Calibri"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7894FFB0" w14:textId="77777777" w:rsidR="00EA6B8B" w:rsidRPr="00144EB3" w:rsidRDefault="00EA6B8B" w:rsidP="00EA6B8B">
      <w:pPr>
        <w:spacing w:after="0" w:line="240" w:lineRule="auto"/>
        <w:jc w:val="both"/>
        <w:rPr>
          <w:rFonts w:ascii="Verdana" w:eastAsia="Verdana" w:hAnsi="Verdana" w:cs="Verdana"/>
        </w:rPr>
      </w:pPr>
    </w:p>
    <w:p w14:paraId="0721F761" w14:textId="77777777" w:rsidR="00EA6B8B" w:rsidRPr="00144EB3" w:rsidRDefault="00EA6B8B" w:rsidP="00EA6B8B">
      <w:pPr>
        <w:spacing w:after="0" w:line="240" w:lineRule="auto"/>
        <w:rPr>
          <w:rFonts w:ascii="Verdana" w:eastAsia="Verdana" w:hAnsi="Verdana" w:cs="Verdana"/>
        </w:rPr>
      </w:pPr>
      <w:r w:rsidRPr="00144EB3">
        <w:rPr>
          <w:rFonts w:ascii="Verdana" w:eastAsia="Verdana" w:hAnsi="Verdana" w:cs="Verdana"/>
        </w:rPr>
        <w:t xml:space="preserve">Evalúa el servicio que ofrece la Agencia por el canal de atención de PQRSD en el siguiente enlace: </w:t>
      </w:r>
      <w:hyperlink r:id="rId16" w:history="1">
        <w:r w:rsidRPr="00144EB3">
          <w:rPr>
            <w:rFonts w:ascii="Verdana" w:eastAsia="Verdana" w:hAnsi="Verdana" w:cs="Verdana"/>
            <w:color w:val="0000FF"/>
            <w:u w:val="single"/>
          </w:rPr>
          <w:t>https://forms.office.com/r/pPHyWVs2SZ</w:t>
        </w:r>
      </w:hyperlink>
      <w:r w:rsidRPr="00144EB3">
        <w:rPr>
          <w:rFonts w:ascii="Verdana" w:eastAsia="Verdana" w:hAnsi="Verdana" w:cs="Verdana"/>
        </w:rPr>
        <w:t xml:space="preserve"> .¡Ayúdanos a mejorar porque el compromiso es de todos!</w:t>
      </w:r>
    </w:p>
    <w:p w14:paraId="3D1C0234" w14:textId="77777777" w:rsidR="00EA6B8B" w:rsidRPr="00144EB3" w:rsidRDefault="00EA6B8B" w:rsidP="00EA6B8B">
      <w:pPr>
        <w:spacing w:after="0" w:line="240" w:lineRule="auto"/>
        <w:rPr>
          <w:rFonts w:ascii="Verdana" w:eastAsia="Verdana" w:hAnsi="Verdana" w:cs="Verdana"/>
        </w:rPr>
      </w:pPr>
    </w:p>
    <w:p w14:paraId="768D670B" w14:textId="77777777" w:rsidR="00EA6B8B" w:rsidRPr="00144EB3" w:rsidRDefault="00EA6B8B" w:rsidP="00EA6B8B">
      <w:pPr>
        <w:spacing w:after="0" w:line="240" w:lineRule="auto"/>
        <w:jc w:val="both"/>
        <w:rPr>
          <w:rFonts w:ascii="Verdana" w:eastAsia="Verdana" w:hAnsi="Verdana" w:cs="Verdana"/>
          <w:lang w:val="es-MX"/>
        </w:rPr>
      </w:pPr>
      <w:r w:rsidRPr="00144EB3">
        <w:rPr>
          <w:rFonts w:ascii="Verdana" w:eastAsia="Verdana" w:hAnsi="Verdana" w:cs="Verdana"/>
          <w:lang w:val="es-MX"/>
        </w:rPr>
        <w:t>Cordialmente,</w:t>
      </w:r>
    </w:p>
    <w:p w14:paraId="29B70F41" w14:textId="76E41A16" w:rsidR="00EA6B8B" w:rsidRPr="00182F6A" w:rsidRDefault="00EA6B8B" w:rsidP="00EA6B8B">
      <w:pPr>
        <w:spacing w:after="120" w:line="276" w:lineRule="auto"/>
        <w:contextualSpacing/>
        <w:jc w:val="both"/>
        <w:rPr>
          <w:rFonts w:ascii="Verdana" w:eastAsia="Aptos" w:hAnsi="Verdana" w:cs="Arial"/>
          <w:shd w:val="clear" w:color="auto" w:fill="FFFFFF"/>
          <w:lang w:val="es-ES"/>
        </w:rPr>
      </w:pPr>
    </w:p>
    <w:p w14:paraId="6ED0E6A2" w14:textId="77777777" w:rsidR="00EA6B8B" w:rsidRPr="00182F6A" w:rsidRDefault="00EA6B8B" w:rsidP="00EA6B8B">
      <w:pPr>
        <w:spacing w:after="120" w:line="276" w:lineRule="auto"/>
        <w:contextualSpacing/>
        <w:jc w:val="both"/>
        <w:rPr>
          <w:rFonts w:ascii="Verdana" w:eastAsia="Aptos" w:hAnsi="Verdana" w:cs="Arial"/>
          <w:shd w:val="clear" w:color="auto" w:fill="FFFFFF"/>
          <w:lang w:val="es-ES"/>
        </w:rPr>
      </w:pPr>
    </w:p>
    <w:p w14:paraId="5F2CD3A1" w14:textId="77777777" w:rsidR="00EA6B8B" w:rsidRPr="00182F6A" w:rsidRDefault="00EA6B8B" w:rsidP="00EA6B8B">
      <w:pPr>
        <w:spacing w:after="120" w:line="276" w:lineRule="auto"/>
        <w:contextualSpacing/>
        <w:jc w:val="both"/>
        <w:rPr>
          <w:rFonts w:ascii="Verdana" w:eastAsia="Aptos" w:hAnsi="Verdana" w:cs="Arial"/>
          <w:shd w:val="clear" w:color="auto" w:fill="FFFFFF"/>
          <w:lang w:val="es-ES"/>
        </w:rPr>
      </w:pPr>
    </w:p>
    <w:p w14:paraId="55BFAE37" w14:textId="27C9A94B" w:rsidR="00EA6B8B" w:rsidRPr="00182F6A" w:rsidRDefault="00D07C42" w:rsidP="00D07C42">
      <w:pPr>
        <w:spacing w:after="120" w:line="276" w:lineRule="auto"/>
        <w:contextualSpacing/>
        <w:jc w:val="center"/>
        <w:rPr>
          <w:rFonts w:ascii="Verdana" w:eastAsia="Aptos" w:hAnsi="Verdana" w:cs="Arial"/>
          <w:shd w:val="clear" w:color="auto" w:fill="FFFFFF"/>
          <w:lang w:val="es-ES"/>
        </w:rPr>
      </w:pPr>
      <w:r w:rsidRPr="002C3AD6">
        <w:rPr>
          <w:rFonts w:ascii="Century Gothic" w:hAnsi="Century Gothic"/>
          <w:noProof/>
        </w:rPr>
        <w:drawing>
          <wp:inline distT="0" distB="0" distL="0" distR="0" wp14:anchorId="7E7059EA" wp14:editId="0F105BE1">
            <wp:extent cx="2981325" cy="1041958"/>
            <wp:effectExtent l="0" t="0" r="0" b="635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7"/>
                    <a:stretch>
                      <a:fillRect/>
                    </a:stretch>
                  </pic:blipFill>
                  <pic:spPr>
                    <a:xfrm>
                      <a:off x="0" y="0"/>
                      <a:ext cx="2997526" cy="1047620"/>
                    </a:xfrm>
                    <a:prstGeom prst="rect">
                      <a:avLst/>
                    </a:prstGeom>
                  </pic:spPr>
                </pic:pic>
              </a:graphicData>
            </a:graphic>
          </wp:inline>
        </w:drawing>
      </w:r>
    </w:p>
    <w:p w14:paraId="358B4EF2" w14:textId="77777777" w:rsidR="00EA6B8B" w:rsidRDefault="00EA6B8B" w:rsidP="00EA6B8B">
      <w:pPr>
        <w:spacing w:after="0" w:line="276" w:lineRule="auto"/>
        <w:jc w:val="center"/>
        <w:rPr>
          <w:rFonts w:ascii="Verdana" w:hAnsi="Verdana" w:cs="Arial"/>
          <w:lang w:val="es-ES" w:eastAsia="es-CO"/>
        </w:rPr>
      </w:pPr>
    </w:p>
    <w:p w14:paraId="3C606106" w14:textId="77777777" w:rsidR="00EA6B8B" w:rsidRPr="008278B1" w:rsidRDefault="00EA6B8B" w:rsidP="00EA6B8B">
      <w:pPr>
        <w:spacing w:after="0" w:line="276" w:lineRule="auto"/>
        <w:jc w:val="center"/>
        <w:rPr>
          <w:rFonts w:ascii="Verdana" w:hAnsi="Verdana" w:cs="Arial"/>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EA6B8B" w:rsidRPr="008278B1" w14:paraId="31332404" w14:textId="77777777" w:rsidTr="005C6855">
        <w:trPr>
          <w:trHeight w:val="315"/>
        </w:trPr>
        <w:tc>
          <w:tcPr>
            <w:tcW w:w="893" w:type="dxa"/>
            <w:vAlign w:val="center"/>
            <w:hideMark/>
          </w:tcPr>
          <w:p w14:paraId="5876E51E" w14:textId="77777777" w:rsidR="00EA6B8B" w:rsidRPr="008278B1" w:rsidRDefault="00EA6B8B" w:rsidP="005C6855">
            <w:pPr>
              <w:contextualSpacing/>
              <w:rPr>
                <w:rFonts w:ascii="Verdana" w:hAnsi="Verdana" w:cs="Arial"/>
                <w:sz w:val="16"/>
                <w:szCs w:val="16"/>
                <w:lang w:val="es-ES" w:eastAsia="es-ES"/>
              </w:rPr>
            </w:pPr>
            <w:r w:rsidRPr="008278B1">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44083BE" w14:textId="77777777" w:rsidR="00EA6B8B" w:rsidRPr="00860461" w:rsidRDefault="00EA6B8B" w:rsidP="005C6855">
            <w:pPr>
              <w:rPr>
                <w:rFonts w:ascii="Verdana" w:eastAsia="Times New Roman" w:hAnsi="Verdana" w:cs="Arial"/>
                <w:sz w:val="16"/>
                <w:szCs w:val="16"/>
                <w:lang w:eastAsia="es-ES"/>
              </w:rPr>
            </w:pPr>
            <w:r w:rsidRPr="00860461">
              <w:rPr>
                <w:rFonts w:ascii="Verdana" w:eastAsia="Times New Roman" w:hAnsi="Verdana" w:cs="Arial"/>
                <w:sz w:val="16"/>
                <w:szCs w:val="16"/>
                <w:lang w:eastAsia="es-ES"/>
              </w:rPr>
              <w:t>Oscar David Morelo Pedrozo</w:t>
            </w:r>
          </w:p>
          <w:p w14:paraId="1A0AF3AE" w14:textId="77777777" w:rsidR="00EA6B8B" w:rsidRPr="00860461" w:rsidRDefault="00EA6B8B" w:rsidP="005C6855">
            <w:pPr>
              <w:rPr>
                <w:rFonts w:ascii="Verdana" w:eastAsia="Times New Roman" w:hAnsi="Verdana" w:cs="Arial"/>
                <w:sz w:val="16"/>
                <w:szCs w:val="16"/>
                <w:lang w:eastAsia="es-ES"/>
              </w:rPr>
            </w:pPr>
            <w:r w:rsidRPr="00860461">
              <w:rPr>
                <w:rFonts w:ascii="Verdana" w:eastAsia="Times New Roman" w:hAnsi="Verdana" w:cs="Arial"/>
                <w:sz w:val="16"/>
                <w:szCs w:val="16"/>
                <w:lang w:eastAsia="es-ES"/>
              </w:rPr>
              <w:t>Analista T2 –02 de la Subdirección de Gestión Contractual</w:t>
            </w:r>
          </w:p>
        </w:tc>
      </w:tr>
      <w:tr w:rsidR="00EA6B8B" w:rsidRPr="00F84F36" w14:paraId="1ABEFF59" w14:textId="77777777" w:rsidTr="005C6855">
        <w:trPr>
          <w:trHeight w:val="330"/>
        </w:trPr>
        <w:tc>
          <w:tcPr>
            <w:tcW w:w="893" w:type="dxa"/>
            <w:vAlign w:val="center"/>
            <w:hideMark/>
          </w:tcPr>
          <w:p w14:paraId="11F98413" w14:textId="77777777" w:rsidR="00EA6B8B" w:rsidRPr="0025661F" w:rsidRDefault="00EA6B8B" w:rsidP="005C6855">
            <w:pPr>
              <w:contextualSpacing/>
              <w:rPr>
                <w:rFonts w:ascii="Verdana" w:hAnsi="Verdana" w:cs="Arial"/>
                <w:color w:val="000000" w:themeColor="text1"/>
                <w:sz w:val="16"/>
                <w:szCs w:val="16"/>
                <w:lang w:val="es-ES" w:eastAsia="es-ES"/>
              </w:rPr>
            </w:pPr>
            <w:r w:rsidRPr="0025661F">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C4C7F7B" w14:textId="77777777" w:rsidR="00EA6B8B" w:rsidRPr="00D62D2E" w:rsidRDefault="00EA6B8B" w:rsidP="005C6855">
            <w:pPr>
              <w:rPr>
                <w:rFonts w:ascii="Verdana" w:eastAsia="Times New Roman" w:hAnsi="Verdana" w:cs="Arial"/>
                <w:color w:val="000000" w:themeColor="text1"/>
                <w:sz w:val="16"/>
                <w:szCs w:val="16"/>
                <w:lang w:eastAsia="es-ES"/>
              </w:rPr>
            </w:pPr>
            <w:r>
              <w:rPr>
                <w:rFonts w:ascii="Verdana" w:eastAsia="Times New Roman" w:hAnsi="Verdana" w:cs="Arial"/>
                <w:color w:val="000000" w:themeColor="text1"/>
                <w:sz w:val="16"/>
                <w:szCs w:val="16"/>
                <w:lang w:eastAsia="es-ES"/>
              </w:rPr>
              <w:t>Juan David Cardenas Cabeza</w:t>
            </w:r>
          </w:p>
          <w:p w14:paraId="0DC35C77" w14:textId="77777777" w:rsidR="00EA6B8B" w:rsidRPr="0025661F" w:rsidRDefault="00EA6B8B" w:rsidP="005C6855">
            <w:pPr>
              <w:pStyle w:val="paragraph"/>
              <w:spacing w:before="0" w:beforeAutospacing="0" w:after="0" w:afterAutospacing="0"/>
              <w:contextualSpacing/>
              <w:textAlignment w:val="baseline"/>
              <w:rPr>
                <w:rFonts w:ascii="Verdana" w:hAnsi="Verdana" w:cs="Segoe UI"/>
                <w:color w:val="000000" w:themeColor="text1"/>
                <w:sz w:val="16"/>
                <w:szCs w:val="16"/>
                <w:lang w:val="es-ES"/>
              </w:rPr>
            </w:pPr>
            <w:r w:rsidRPr="00D62D2E">
              <w:rPr>
                <w:rFonts w:ascii="Verdana" w:hAnsi="Verdana" w:cs="Arial"/>
                <w:color w:val="000000" w:themeColor="text1"/>
                <w:sz w:val="16"/>
                <w:szCs w:val="16"/>
                <w:lang w:eastAsia="es-ES"/>
              </w:rPr>
              <w:t>Contratista de la Subdirección de Gestión Contractual</w:t>
            </w:r>
          </w:p>
        </w:tc>
      </w:tr>
      <w:tr w:rsidR="00EA6B8B" w:rsidRPr="00F84F36" w14:paraId="61065FDD" w14:textId="77777777" w:rsidTr="005C6855">
        <w:trPr>
          <w:trHeight w:val="300"/>
        </w:trPr>
        <w:tc>
          <w:tcPr>
            <w:tcW w:w="893" w:type="dxa"/>
            <w:vAlign w:val="center"/>
          </w:tcPr>
          <w:p w14:paraId="2C56C310" w14:textId="77777777" w:rsidR="00EA6B8B" w:rsidRPr="008278B1" w:rsidRDefault="00EA6B8B" w:rsidP="005C6855">
            <w:pPr>
              <w:contextualSpacing/>
              <w:rPr>
                <w:rFonts w:ascii="Verdana" w:hAnsi="Verdana" w:cs="Arial"/>
                <w:sz w:val="16"/>
                <w:szCs w:val="16"/>
                <w:lang w:val="es-ES" w:eastAsia="es-ES"/>
              </w:rPr>
            </w:pPr>
            <w:r w:rsidRPr="008278B1">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7860C77" w14:textId="77777777" w:rsidR="00EA6B8B" w:rsidRPr="008278B1" w:rsidRDefault="00EA6B8B" w:rsidP="005C6855">
            <w:pPr>
              <w:contextualSpacing/>
              <w:rPr>
                <w:rFonts w:ascii="Verdana" w:eastAsia="Calibri" w:hAnsi="Verdana" w:cs="Arial"/>
                <w:sz w:val="16"/>
                <w:szCs w:val="16"/>
                <w:lang w:val="es-ES" w:eastAsia="es-ES"/>
              </w:rPr>
            </w:pPr>
            <w:r w:rsidRPr="008278B1">
              <w:rPr>
                <w:rFonts w:ascii="Verdana" w:eastAsia="Calibri" w:hAnsi="Verdana" w:cs="Arial"/>
                <w:sz w:val="16"/>
                <w:szCs w:val="16"/>
                <w:lang w:val="es-ES" w:eastAsia="es-ES"/>
              </w:rPr>
              <w:t>Carolina Quintero Gacharná</w:t>
            </w:r>
          </w:p>
          <w:p w14:paraId="0C98E7EE" w14:textId="77777777" w:rsidR="00EA6B8B" w:rsidRPr="008278B1" w:rsidRDefault="00EA6B8B" w:rsidP="005C6855">
            <w:pPr>
              <w:contextualSpacing/>
              <w:rPr>
                <w:rFonts w:ascii="Verdana" w:eastAsia="Calibri" w:hAnsi="Verdana" w:cs="Arial"/>
                <w:sz w:val="16"/>
                <w:szCs w:val="16"/>
                <w:lang w:val="es-ES" w:eastAsia="es-ES"/>
              </w:rPr>
            </w:pPr>
            <w:r w:rsidRPr="008278B1">
              <w:rPr>
                <w:rFonts w:ascii="Verdana" w:eastAsia="Calibri" w:hAnsi="Verdana" w:cs="Arial"/>
                <w:sz w:val="16"/>
                <w:szCs w:val="16"/>
                <w:lang w:val="es-ES" w:eastAsia="es-ES"/>
              </w:rPr>
              <w:t>Subdirectora de Gestión Contractual ANCP – CCE</w:t>
            </w:r>
          </w:p>
        </w:tc>
      </w:tr>
    </w:tbl>
    <w:p w14:paraId="4C988949" w14:textId="77777777" w:rsidR="00EA6B8B" w:rsidRPr="00FD3EC3" w:rsidRDefault="00EA6B8B" w:rsidP="00EA6B8B">
      <w:pPr>
        <w:spacing w:after="0"/>
        <w:rPr>
          <w:rFonts w:ascii="Verdana" w:eastAsia="Verdana" w:hAnsi="Verdana" w:cs="Verdana"/>
          <w:lang w:val="es-ES"/>
        </w:rPr>
      </w:pPr>
      <w:r>
        <w:rPr>
          <w:noProof/>
        </w:rPr>
        <w:drawing>
          <wp:inline distT="0" distB="0" distL="0" distR="0" wp14:anchorId="600FD98C" wp14:editId="5B19B4A3">
            <wp:extent cx="2171700" cy="266700"/>
            <wp:effectExtent l="0" t="0" r="0" b="0"/>
            <wp:docPr id="1511303673" name="Imagen 2" descr="--Graf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rafo--"/>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171700" cy="266700"/>
                    </a:xfrm>
                    <a:prstGeom prst="rect">
                      <a:avLst/>
                    </a:prstGeom>
                    <a:noFill/>
                    <a:ln>
                      <a:noFill/>
                    </a:ln>
                  </pic:spPr>
                </pic:pic>
              </a:graphicData>
            </a:graphic>
          </wp:inline>
        </w:drawing>
      </w:r>
    </w:p>
    <w:bookmarkEnd w:id="0"/>
    <w:p w14:paraId="12443EE0" w14:textId="77777777" w:rsidR="00C15139" w:rsidRPr="0024624F" w:rsidRDefault="00C15139" w:rsidP="30821638">
      <w:pPr>
        <w:spacing w:after="0"/>
        <w:rPr>
          <w:rFonts w:ascii="Verdana" w:eastAsia="Verdana" w:hAnsi="Verdana" w:cs="Verdana"/>
        </w:rPr>
      </w:pPr>
    </w:p>
    <w:sectPr w:rsidR="00C15139" w:rsidRPr="0024624F"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DF93EC" w14:textId="77777777" w:rsidR="005A25E7" w:rsidRDefault="005A25E7" w:rsidP="004A1847">
      <w:pPr>
        <w:spacing w:after="0" w:line="240" w:lineRule="auto"/>
      </w:pPr>
      <w:r>
        <w:separator/>
      </w:r>
    </w:p>
  </w:endnote>
  <w:endnote w:type="continuationSeparator" w:id="0">
    <w:p w14:paraId="2B7ED42C" w14:textId="77777777" w:rsidR="005A25E7" w:rsidRDefault="005A25E7"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altName w:val="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CAB867" w14:textId="77777777" w:rsidR="005A25E7" w:rsidRDefault="005A25E7" w:rsidP="004A1847">
      <w:pPr>
        <w:spacing w:after="0" w:line="240" w:lineRule="auto"/>
      </w:pPr>
      <w:r>
        <w:separator/>
      </w:r>
    </w:p>
  </w:footnote>
  <w:footnote w:type="continuationSeparator" w:id="0">
    <w:p w14:paraId="5552715B" w14:textId="77777777" w:rsidR="005A25E7" w:rsidRDefault="005A25E7" w:rsidP="004A1847">
      <w:pPr>
        <w:spacing w:after="0" w:line="240" w:lineRule="auto"/>
      </w:pPr>
      <w:r>
        <w:continuationSeparator/>
      </w:r>
    </w:p>
  </w:footnote>
  <w:footnote w:id="1">
    <w:p w14:paraId="0433B6D2" w14:textId="77777777" w:rsidR="00EA6B8B" w:rsidRPr="005360B8" w:rsidRDefault="00EA6B8B" w:rsidP="00EA6B8B">
      <w:pPr>
        <w:pStyle w:val="Textonotapie"/>
        <w:ind w:firstLine="708"/>
        <w:contextualSpacing/>
        <w:jc w:val="both"/>
        <w:rPr>
          <w:rFonts w:ascii="Verdana" w:hAnsi="Verdana" w:cs="Arial"/>
          <w:sz w:val="16"/>
          <w:szCs w:val="16"/>
          <w:lang w:val="pt-BR"/>
        </w:rPr>
      </w:pPr>
      <w:r w:rsidRPr="005360B8">
        <w:rPr>
          <w:rStyle w:val="Refdenotaalpie"/>
          <w:rFonts w:ascii="Verdana" w:hAnsi="Verdana"/>
          <w:sz w:val="16"/>
          <w:szCs w:val="16"/>
        </w:rPr>
        <w:footnoteRef/>
      </w:r>
      <w:r w:rsidRPr="005360B8">
        <w:rPr>
          <w:rFonts w:ascii="Verdana" w:hAnsi="Verdana"/>
          <w:sz w:val="16"/>
          <w:szCs w:val="16"/>
        </w:rPr>
        <w:t xml:space="preserve"> </w:t>
      </w:r>
      <w:r w:rsidRPr="005360B8">
        <w:rPr>
          <w:rFonts w:ascii="Verdana" w:hAnsi="Verdana" w:cs="Arial"/>
          <w:sz w:val="16"/>
          <w:szCs w:val="16"/>
          <w:lang w:val="pt-BR"/>
        </w:rPr>
        <w:t xml:space="preserve">Corte Constitucional. Sentencia C-1016 de 2012. M.P. Jorge Iván Palacio. </w:t>
      </w:r>
    </w:p>
    <w:p w14:paraId="4EF95574" w14:textId="77777777" w:rsidR="00EA6B8B" w:rsidRPr="005360B8" w:rsidRDefault="00EA6B8B" w:rsidP="00EA6B8B">
      <w:pPr>
        <w:pStyle w:val="Textonotapie"/>
        <w:rPr>
          <w:lang w:val="es-ES"/>
        </w:rPr>
      </w:pPr>
    </w:p>
  </w:footnote>
  <w:footnote w:id="2">
    <w:p w14:paraId="4E5021B3" w14:textId="77777777" w:rsidR="00EA6B8B" w:rsidRPr="00565581" w:rsidRDefault="00EA6B8B" w:rsidP="00EA6B8B">
      <w:pPr>
        <w:pStyle w:val="Textonotapie"/>
        <w:ind w:firstLine="709"/>
        <w:jc w:val="both"/>
        <w:rPr>
          <w:rFonts w:ascii="Verdana" w:hAnsi="Verdana" w:cs="Arial"/>
          <w:color w:val="000000"/>
          <w:sz w:val="16"/>
          <w:szCs w:val="16"/>
          <w:lang w:val="es-CO"/>
        </w:rPr>
      </w:pPr>
      <w:r w:rsidRPr="00565581">
        <w:rPr>
          <w:rStyle w:val="Refdenotaalpie"/>
          <w:rFonts w:ascii="Verdana" w:hAnsi="Verdana" w:cs="Arial"/>
          <w:color w:val="000000"/>
          <w:sz w:val="16"/>
          <w:szCs w:val="16"/>
          <w:lang w:val="es-CO"/>
        </w:rPr>
        <w:footnoteRef/>
      </w:r>
      <w:r w:rsidRPr="00565581">
        <w:rPr>
          <w:rFonts w:ascii="Verdana" w:hAnsi="Verdana" w:cs="Arial"/>
          <w:color w:val="000000"/>
          <w:sz w:val="16"/>
          <w:szCs w:val="16"/>
          <w:lang w:val="es-CO"/>
        </w:rPr>
        <w:t xml:space="preserve"> Ibíd., p. 69</w:t>
      </w:r>
    </w:p>
  </w:footnote>
  <w:footnote w:id="3">
    <w:p w14:paraId="7329B2B5" w14:textId="77777777" w:rsidR="00EA6B8B" w:rsidRPr="00565581" w:rsidRDefault="00EA6B8B" w:rsidP="00EA6B8B">
      <w:pPr>
        <w:pStyle w:val="Textonotapie"/>
        <w:ind w:firstLine="709"/>
        <w:jc w:val="both"/>
        <w:rPr>
          <w:rFonts w:ascii="Verdana" w:hAnsi="Verdana" w:cs="Arial"/>
          <w:color w:val="000000"/>
          <w:sz w:val="16"/>
          <w:szCs w:val="16"/>
          <w:lang w:val="es-CO"/>
        </w:rPr>
      </w:pPr>
      <w:r w:rsidRPr="00565581">
        <w:rPr>
          <w:rStyle w:val="Refdenotaalpie"/>
          <w:rFonts w:ascii="Verdana" w:hAnsi="Verdana" w:cs="Arial"/>
          <w:color w:val="000000"/>
          <w:sz w:val="16"/>
          <w:szCs w:val="16"/>
          <w:lang w:val="es-CO"/>
        </w:rPr>
        <w:footnoteRef/>
      </w:r>
      <w:r w:rsidRPr="00565581">
        <w:rPr>
          <w:rFonts w:ascii="Verdana" w:hAnsi="Verdana" w:cs="Arial"/>
          <w:color w:val="000000"/>
          <w:sz w:val="16"/>
          <w:szCs w:val="16"/>
          <w:lang w:val="es-CO"/>
        </w:rPr>
        <w:t xml:space="preserve"> Corte Constitucional. Sentencia T-1039 de 2006. </w:t>
      </w:r>
      <w:r w:rsidRPr="00950493">
        <w:rPr>
          <w:rFonts w:ascii="Verdana" w:hAnsi="Verdana" w:cs="Arial"/>
          <w:color w:val="000000"/>
          <w:sz w:val="16"/>
          <w:szCs w:val="16"/>
          <w:lang w:val="it-IT"/>
        </w:rPr>
        <w:t xml:space="preserve">Magistrado Ponente: Humberto Sierra Porto. </w:t>
      </w:r>
      <w:r w:rsidRPr="00565581">
        <w:rPr>
          <w:rFonts w:ascii="Verdana" w:hAnsi="Verdana" w:cs="Arial"/>
          <w:color w:val="000000"/>
          <w:sz w:val="16"/>
          <w:szCs w:val="16"/>
          <w:lang w:val="es-CO"/>
        </w:rPr>
        <w:t>La Corte ha mantenido este criterio en las sentencias: C-903 de 2008. Magistrado Ponente: Jaime Araujo Rentería; C-101 de 2018. Magistrada Ponente Gloria Stella Ortiz Delgado; entre otras.</w:t>
      </w:r>
    </w:p>
    <w:p w14:paraId="21B9AC10" w14:textId="77777777" w:rsidR="00EA6B8B" w:rsidRPr="00565581" w:rsidRDefault="00EA6B8B" w:rsidP="00EA6B8B">
      <w:pPr>
        <w:pStyle w:val="Textonotapie"/>
        <w:ind w:firstLine="709"/>
        <w:jc w:val="both"/>
        <w:rPr>
          <w:rFonts w:ascii="Verdana" w:hAnsi="Verdana" w:cs="Arial"/>
          <w:color w:val="000000"/>
          <w:sz w:val="16"/>
          <w:szCs w:val="16"/>
          <w:lang w:val="es-CO"/>
        </w:rPr>
      </w:pPr>
    </w:p>
  </w:footnote>
  <w:footnote w:id="4">
    <w:p w14:paraId="6B0AA146" w14:textId="77777777" w:rsidR="00EA6B8B" w:rsidRPr="00565581" w:rsidRDefault="00EA6B8B" w:rsidP="00EA6B8B">
      <w:pPr>
        <w:pStyle w:val="Textonotapie"/>
        <w:ind w:firstLine="709"/>
        <w:jc w:val="both"/>
        <w:rPr>
          <w:rFonts w:ascii="Verdana" w:hAnsi="Verdana" w:cs="Arial"/>
          <w:color w:val="000000"/>
          <w:sz w:val="16"/>
          <w:szCs w:val="16"/>
          <w:lang w:val="es-CO"/>
        </w:rPr>
      </w:pPr>
      <w:r w:rsidRPr="00565581">
        <w:rPr>
          <w:rStyle w:val="Refdenotaalpie"/>
          <w:rFonts w:ascii="Verdana" w:hAnsi="Verdana" w:cs="Arial"/>
          <w:color w:val="000000"/>
          <w:sz w:val="16"/>
          <w:szCs w:val="16"/>
          <w:lang w:val="es-CO"/>
        </w:rPr>
        <w:footnoteRef/>
      </w:r>
      <w:r w:rsidRPr="00565581">
        <w:rPr>
          <w:rFonts w:ascii="Verdana" w:hAnsi="Verdana" w:cs="Arial"/>
          <w:color w:val="000000"/>
          <w:sz w:val="16"/>
          <w:szCs w:val="16"/>
          <w:lang w:val="es-CO"/>
        </w:rPr>
        <w:t xml:space="preserve"> Consejo de Estado. Sala de Consulta y Servicio Civil. Concepto del 30 de abril de 2015. Expediente: 2251. Consejero Ponente: Álvaro Namén Vargas.</w:t>
      </w:r>
    </w:p>
    <w:p w14:paraId="11D9F4DE" w14:textId="77777777" w:rsidR="00EA6B8B" w:rsidRPr="00565581" w:rsidRDefault="00EA6B8B" w:rsidP="00EA6B8B">
      <w:pPr>
        <w:pStyle w:val="Textonotapie"/>
        <w:ind w:firstLine="709"/>
        <w:jc w:val="both"/>
        <w:rPr>
          <w:rFonts w:ascii="Verdana" w:hAnsi="Verdana" w:cs="Arial"/>
          <w:color w:val="000000"/>
          <w:sz w:val="16"/>
          <w:szCs w:val="16"/>
          <w:lang w:val="es-CO"/>
        </w:rPr>
      </w:pPr>
    </w:p>
  </w:footnote>
  <w:footnote w:id="5">
    <w:p w14:paraId="719394A1" w14:textId="77777777" w:rsidR="00EA6B8B" w:rsidRPr="00565581" w:rsidRDefault="00EA6B8B" w:rsidP="00EA6B8B">
      <w:pPr>
        <w:spacing w:after="0" w:line="240" w:lineRule="auto"/>
        <w:ind w:firstLine="709"/>
        <w:jc w:val="both"/>
        <w:rPr>
          <w:rFonts w:ascii="Verdana" w:hAnsi="Verdana" w:cs="Arial"/>
          <w:color w:val="000000"/>
          <w:sz w:val="16"/>
          <w:szCs w:val="16"/>
        </w:rPr>
      </w:pPr>
      <w:r w:rsidRPr="00565581">
        <w:rPr>
          <w:rStyle w:val="Refdenotaalpie"/>
          <w:rFonts w:ascii="Verdana" w:hAnsi="Verdana" w:cs="Arial"/>
          <w:color w:val="000000"/>
          <w:sz w:val="16"/>
          <w:szCs w:val="16"/>
        </w:rPr>
        <w:footnoteRef/>
      </w:r>
      <w:r w:rsidRPr="00565581">
        <w:rPr>
          <w:rFonts w:ascii="Verdana" w:hAnsi="Verdana" w:cs="Arial"/>
          <w:color w:val="000000"/>
          <w:sz w:val="16"/>
          <w:szCs w:val="16"/>
        </w:rPr>
        <w:t xml:space="preserve"> Consejo</w:t>
      </w:r>
      <w:r w:rsidRPr="00565581">
        <w:rPr>
          <w:rFonts w:ascii="Verdana" w:hAnsi="Verdana" w:cs="Arial"/>
          <w:color w:val="000000"/>
          <w:spacing w:val="12"/>
          <w:sz w:val="16"/>
          <w:szCs w:val="16"/>
        </w:rPr>
        <w:t xml:space="preserve"> </w:t>
      </w:r>
      <w:r w:rsidRPr="00565581">
        <w:rPr>
          <w:rFonts w:ascii="Verdana" w:hAnsi="Verdana" w:cs="Arial"/>
          <w:color w:val="000000"/>
          <w:sz w:val="16"/>
          <w:szCs w:val="16"/>
        </w:rPr>
        <w:t>de</w:t>
      </w:r>
      <w:r w:rsidRPr="00565581">
        <w:rPr>
          <w:rFonts w:ascii="Verdana" w:hAnsi="Verdana" w:cs="Arial"/>
          <w:color w:val="000000"/>
          <w:spacing w:val="11"/>
          <w:sz w:val="16"/>
          <w:szCs w:val="16"/>
        </w:rPr>
        <w:t xml:space="preserve"> </w:t>
      </w:r>
      <w:r w:rsidRPr="00565581">
        <w:rPr>
          <w:rFonts w:ascii="Verdana" w:hAnsi="Verdana" w:cs="Arial"/>
          <w:color w:val="000000"/>
          <w:sz w:val="16"/>
          <w:szCs w:val="16"/>
        </w:rPr>
        <w:t>Estado.</w:t>
      </w:r>
      <w:r w:rsidRPr="00565581">
        <w:rPr>
          <w:rFonts w:ascii="Verdana" w:hAnsi="Verdana" w:cs="Arial"/>
          <w:color w:val="000000"/>
          <w:spacing w:val="12"/>
          <w:sz w:val="16"/>
          <w:szCs w:val="16"/>
        </w:rPr>
        <w:t xml:space="preserve"> </w:t>
      </w:r>
      <w:r w:rsidRPr="00565581">
        <w:rPr>
          <w:rFonts w:ascii="Verdana" w:hAnsi="Verdana" w:cs="Arial"/>
          <w:color w:val="000000"/>
          <w:sz w:val="16"/>
          <w:szCs w:val="16"/>
        </w:rPr>
        <w:t>Sección</w:t>
      </w:r>
      <w:r w:rsidRPr="00565581">
        <w:rPr>
          <w:rFonts w:ascii="Verdana" w:hAnsi="Verdana" w:cs="Arial"/>
          <w:color w:val="000000"/>
          <w:spacing w:val="12"/>
          <w:sz w:val="16"/>
          <w:szCs w:val="16"/>
        </w:rPr>
        <w:t xml:space="preserve"> </w:t>
      </w:r>
      <w:r w:rsidRPr="00565581">
        <w:rPr>
          <w:rFonts w:ascii="Verdana" w:hAnsi="Verdana" w:cs="Arial"/>
          <w:color w:val="000000"/>
          <w:sz w:val="16"/>
          <w:szCs w:val="16"/>
        </w:rPr>
        <w:t>Tercera.</w:t>
      </w:r>
      <w:r w:rsidRPr="00565581">
        <w:rPr>
          <w:rFonts w:ascii="Verdana" w:hAnsi="Verdana" w:cs="Arial"/>
          <w:color w:val="000000"/>
          <w:spacing w:val="12"/>
          <w:sz w:val="16"/>
          <w:szCs w:val="16"/>
        </w:rPr>
        <w:t xml:space="preserve"> </w:t>
      </w:r>
      <w:r w:rsidRPr="00565581">
        <w:rPr>
          <w:rFonts w:ascii="Verdana" w:hAnsi="Verdana" w:cs="Arial"/>
          <w:color w:val="000000"/>
          <w:sz w:val="16"/>
          <w:szCs w:val="16"/>
        </w:rPr>
        <w:t>Subsección</w:t>
      </w:r>
      <w:r w:rsidRPr="00565581">
        <w:rPr>
          <w:rFonts w:ascii="Verdana" w:hAnsi="Verdana" w:cs="Arial"/>
          <w:color w:val="000000"/>
          <w:spacing w:val="13"/>
          <w:sz w:val="16"/>
          <w:szCs w:val="16"/>
        </w:rPr>
        <w:t xml:space="preserve"> </w:t>
      </w:r>
      <w:r w:rsidRPr="00565581">
        <w:rPr>
          <w:rFonts w:ascii="Verdana" w:hAnsi="Verdana" w:cs="Arial"/>
          <w:color w:val="000000"/>
          <w:sz w:val="16"/>
          <w:szCs w:val="16"/>
        </w:rPr>
        <w:t>A.</w:t>
      </w:r>
      <w:r w:rsidRPr="00565581">
        <w:rPr>
          <w:rFonts w:ascii="Verdana" w:hAnsi="Verdana" w:cs="Arial"/>
          <w:color w:val="000000"/>
          <w:spacing w:val="12"/>
          <w:sz w:val="16"/>
          <w:szCs w:val="16"/>
        </w:rPr>
        <w:t xml:space="preserve"> </w:t>
      </w:r>
      <w:r w:rsidRPr="00565581">
        <w:rPr>
          <w:rFonts w:ascii="Verdana" w:hAnsi="Verdana" w:cs="Arial"/>
          <w:color w:val="000000"/>
          <w:sz w:val="16"/>
          <w:szCs w:val="16"/>
        </w:rPr>
        <w:t>Sentencia</w:t>
      </w:r>
      <w:r w:rsidRPr="00565581">
        <w:rPr>
          <w:rFonts w:ascii="Verdana" w:hAnsi="Verdana" w:cs="Arial"/>
          <w:color w:val="000000"/>
          <w:spacing w:val="13"/>
          <w:sz w:val="16"/>
          <w:szCs w:val="16"/>
        </w:rPr>
        <w:t xml:space="preserve"> </w:t>
      </w:r>
      <w:r w:rsidRPr="00565581">
        <w:rPr>
          <w:rFonts w:ascii="Verdana" w:hAnsi="Verdana" w:cs="Arial"/>
          <w:color w:val="000000"/>
          <w:sz w:val="16"/>
          <w:szCs w:val="16"/>
        </w:rPr>
        <w:t>del</w:t>
      </w:r>
      <w:r w:rsidRPr="00565581">
        <w:rPr>
          <w:rFonts w:ascii="Verdana" w:hAnsi="Verdana" w:cs="Arial"/>
          <w:color w:val="000000"/>
          <w:spacing w:val="11"/>
          <w:sz w:val="16"/>
          <w:szCs w:val="16"/>
        </w:rPr>
        <w:t xml:space="preserve"> </w:t>
      </w:r>
      <w:r w:rsidRPr="00565581">
        <w:rPr>
          <w:rFonts w:ascii="Verdana" w:hAnsi="Verdana" w:cs="Arial"/>
          <w:color w:val="000000"/>
          <w:sz w:val="16"/>
          <w:szCs w:val="16"/>
        </w:rPr>
        <w:t>24</w:t>
      </w:r>
      <w:r w:rsidRPr="00565581">
        <w:rPr>
          <w:rFonts w:ascii="Verdana" w:hAnsi="Verdana" w:cs="Arial"/>
          <w:color w:val="000000"/>
          <w:spacing w:val="11"/>
          <w:sz w:val="16"/>
          <w:szCs w:val="16"/>
        </w:rPr>
        <w:t xml:space="preserve"> </w:t>
      </w:r>
      <w:r w:rsidRPr="00565581">
        <w:rPr>
          <w:rFonts w:ascii="Verdana" w:hAnsi="Verdana" w:cs="Arial"/>
          <w:color w:val="000000"/>
          <w:sz w:val="16"/>
          <w:szCs w:val="16"/>
        </w:rPr>
        <w:t>de</w:t>
      </w:r>
      <w:r w:rsidRPr="00565581">
        <w:rPr>
          <w:rFonts w:ascii="Verdana" w:hAnsi="Verdana" w:cs="Arial"/>
          <w:color w:val="000000"/>
          <w:spacing w:val="11"/>
          <w:sz w:val="16"/>
          <w:szCs w:val="16"/>
        </w:rPr>
        <w:t xml:space="preserve"> </w:t>
      </w:r>
      <w:r w:rsidRPr="00565581">
        <w:rPr>
          <w:rFonts w:ascii="Verdana" w:hAnsi="Verdana" w:cs="Arial"/>
          <w:color w:val="000000"/>
          <w:sz w:val="16"/>
          <w:szCs w:val="16"/>
        </w:rPr>
        <w:t>junio</w:t>
      </w:r>
      <w:r w:rsidRPr="00565581">
        <w:rPr>
          <w:rFonts w:ascii="Verdana" w:hAnsi="Verdana" w:cs="Arial"/>
          <w:color w:val="000000"/>
          <w:spacing w:val="11"/>
          <w:sz w:val="16"/>
          <w:szCs w:val="16"/>
        </w:rPr>
        <w:t xml:space="preserve"> </w:t>
      </w:r>
      <w:r w:rsidRPr="00565581">
        <w:rPr>
          <w:rFonts w:ascii="Verdana" w:hAnsi="Verdana" w:cs="Arial"/>
          <w:color w:val="000000"/>
          <w:sz w:val="16"/>
          <w:szCs w:val="16"/>
        </w:rPr>
        <w:t>de</w:t>
      </w:r>
      <w:r w:rsidRPr="00565581">
        <w:rPr>
          <w:rFonts w:ascii="Verdana" w:hAnsi="Verdana" w:cs="Arial"/>
          <w:color w:val="000000"/>
          <w:spacing w:val="11"/>
          <w:sz w:val="16"/>
          <w:szCs w:val="16"/>
        </w:rPr>
        <w:t xml:space="preserve"> </w:t>
      </w:r>
      <w:r w:rsidRPr="00565581">
        <w:rPr>
          <w:rFonts w:ascii="Verdana" w:hAnsi="Verdana" w:cs="Arial"/>
          <w:color w:val="000000"/>
          <w:sz w:val="16"/>
          <w:szCs w:val="16"/>
        </w:rPr>
        <w:t>2015.</w:t>
      </w:r>
      <w:r w:rsidRPr="00565581">
        <w:rPr>
          <w:rFonts w:ascii="Verdana" w:hAnsi="Verdana" w:cs="Arial"/>
          <w:color w:val="000000"/>
          <w:spacing w:val="1"/>
          <w:sz w:val="16"/>
          <w:szCs w:val="16"/>
        </w:rPr>
        <w:t xml:space="preserve"> </w:t>
      </w:r>
      <w:r w:rsidRPr="00565581">
        <w:rPr>
          <w:rFonts w:ascii="Verdana" w:hAnsi="Verdana" w:cs="Arial"/>
          <w:color w:val="000000"/>
          <w:sz w:val="16"/>
          <w:szCs w:val="16"/>
        </w:rPr>
        <w:t>Exp.</w:t>
      </w:r>
      <w:r w:rsidRPr="00565581">
        <w:rPr>
          <w:rFonts w:ascii="Verdana" w:hAnsi="Verdana" w:cs="Arial"/>
          <w:color w:val="000000"/>
          <w:spacing w:val="-2"/>
          <w:sz w:val="16"/>
          <w:szCs w:val="16"/>
        </w:rPr>
        <w:t xml:space="preserve"> </w:t>
      </w:r>
      <w:r w:rsidRPr="00565581">
        <w:rPr>
          <w:rFonts w:ascii="Verdana" w:hAnsi="Verdana" w:cs="Arial"/>
          <w:color w:val="000000"/>
          <w:sz w:val="16"/>
          <w:szCs w:val="16"/>
        </w:rPr>
        <w:t>40.635.</w:t>
      </w:r>
      <w:r w:rsidRPr="00565581">
        <w:rPr>
          <w:rFonts w:ascii="Verdana" w:hAnsi="Verdana" w:cs="Arial"/>
          <w:color w:val="000000"/>
          <w:spacing w:val="-2"/>
          <w:sz w:val="16"/>
          <w:szCs w:val="16"/>
        </w:rPr>
        <w:t xml:space="preserve"> </w:t>
      </w:r>
      <w:r w:rsidRPr="00565581">
        <w:rPr>
          <w:rFonts w:ascii="Verdana" w:hAnsi="Verdana" w:cs="Arial"/>
          <w:color w:val="000000"/>
          <w:sz w:val="16"/>
          <w:szCs w:val="16"/>
        </w:rPr>
        <w:t>Consejero</w:t>
      </w:r>
      <w:r w:rsidRPr="00565581">
        <w:rPr>
          <w:rFonts w:ascii="Verdana" w:hAnsi="Verdana" w:cs="Arial"/>
          <w:color w:val="000000"/>
          <w:spacing w:val="-1"/>
          <w:sz w:val="16"/>
          <w:szCs w:val="16"/>
        </w:rPr>
        <w:t xml:space="preserve"> </w:t>
      </w:r>
      <w:r w:rsidRPr="00565581">
        <w:rPr>
          <w:rFonts w:ascii="Verdana" w:hAnsi="Verdana" w:cs="Arial"/>
          <w:color w:val="000000"/>
          <w:sz w:val="16"/>
          <w:szCs w:val="16"/>
        </w:rPr>
        <w:t>Ponente:</w:t>
      </w:r>
      <w:r w:rsidRPr="00565581">
        <w:rPr>
          <w:rFonts w:ascii="Verdana" w:hAnsi="Verdana" w:cs="Arial"/>
          <w:color w:val="000000"/>
          <w:spacing w:val="-2"/>
          <w:sz w:val="16"/>
          <w:szCs w:val="16"/>
        </w:rPr>
        <w:t xml:space="preserve"> </w:t>
      </w:r>
      <w:r w:rsidRPr="00565581">
        <w:rPr>
          <w:rFonts w:ascii="Verdana" w:hAnsi="Verdana" w:cs="Arial"/>
          <w:color w:val="000000"/>
          <w:sz w:val="16"/>
          <w:szCs w:val="16"/>
        </w:rPr>
        <w:t>Hernán</w:t>
      </w:r>
      <w:r w:rsidRPr="00565581">
        <w:rPr>
          <w:rFonts w:ascii="Verdana" w:hAnsi="Verdana" w:cs="Arial"/>
          <w:color w:val="000000"/>
          <w:spacing w:val="-1"/>
          <w:sz w:val="16"/>
          <w:szCs w:val="16"/>
        </w:rPr>
        <w:t xml:space="preserve"> </w:t>
      </w:r>
      <w:r w:rsidRPr="00565581">
        <w:rPr>
          <w:rFonts w:ascii="Verdana" w:hAnsi="Verdana" w:cs="Arial"/>
          <w:color w:val="000000"/>
          <w:sz w:val="16"/>
          <w:szCs w:val="16"/>
        </w:rPr>
        <w:t>Andrade</w:t>
      </w:r>
      <w:r w:rsidRPr="00565581">
        <w:rPr>
          <w:rFonts w:ascii="Verdana" w:hAnsi="Verdana" w:cs="Arial"/>
          <w:color w:val="000000"/>
          <w:spacing w:val="-2"/>
          <w:sz w:val="16"/>
          <w:szCs w:val="16"/>
        </w:rPr>
        <w:t xml:space="preserve"> </w:t>
      </w:r>
      <w:r w:rsidRPr="00565581">
        <w:rPr>
          <w:rFonts w:ascii="Verdana" w:hAnsi="Verdana" w:cs="Arial"/>
          <w:color w:val="000000"/>
          <w:sz w:val="16"/>
          <w:szCs w:val="16"/>
        </w:rPr>
        <w:t>Rincón</w:t>
      </w:r>
      <w:r w:rsidRPr="00565581">
        <w:rPr>
          <w:rFonts w:ascii="Verdana" w:hAnsi="Verdana" w:cs="Arial"/>
          <w:color w:val="000000"/>
          <w:spacing w:val="-1"/>
          <w:sz w:val="16"/>
          <w:szCs w:val="16"/>
        </w:rPr>
        <w:t xml:space="preserve"> </w:t>
      </w:r>
      <w:r w:rsidRPr="00565581">
        <w:rPr>
          <w:rFonts w:ascii="Verdana" w:hAnsi="Verdana" w:cs="Arial"/>
          <w:color w:val="000000"/>
          <w:sz w:val="16"/>
          <w:szCs w:val="16"/>
        </w:rPr>
        <w:t>(E).</w:t>
      </w:r>
    </w:p>
    <w:p w14:paraId="45B9D63B" w14:textId="77777777" w:rsidR="00EA6B8B" w:rsidRPr="00565581" w:rsidRDefault="00EA6B8B" w:rsidP="00EA6B8B">
      <w:pPr>
        <w:spacing w:after="0" w:line="240" w:lineRule="auto"/>
        <w:ind w:firstLine="709"/>
        <w:jc w:val="both"/>
        <w:rPr>
          <w:rFonts w:ascii="Verdana" w:hAnsi="Verdana" w:cs="Arial"/>
          <w:color w:val="000000"/>
          <w:sz w:val="16"/>
          <w:szCs w:val="16"/>
        </w:rPr>
      </w:pPr>
    </w:p>
  </w:footnote>
  <w:footnote w:id="6">
    <w:p w14:paraId="055C6516" w14:textId="77777777" w:rsidR="00EA6B8B" w:rsidRPr="00565581" w:rsidRDefault="00EA6B8B" w:rsidP="00EA6B8B">
      <w:pPr>
        <w:pStyle w:val="Textonotapie"/>
        <w:ind w:firstLine="709"/>
        <w:jc w:val="both"/>
        <w:rPr>
          <w:rFonts w:ascii="Verdana" w:hAnsi="Verdana" w:cs="Arial"/>
          <w:color w:val="000000"/>
          <w:sz w:val="16"/>
          <w:szCs w:val="16"/>
          <w:lang w:val="es-CO"/>
        </w:rPr>
      </w:pPr>
      <w:r w:rsidRPr="00565581">
        <w:rPr>
          <w:rStyle w:val="Refdenotaalpie"/>
          <w:rFonts w:ascii="Verdana" w:hAnsi="Verdana" w:cs="Arial"/>
          <w:color w:val="000000"/>
          <w:sz w:val="16"/>
          <w:szCs w:val="16"/>
          <w:lang w:val="es-CO"/>
        </w:rPr>
        <w:footnoteRef/>
      </w:r>
      <w:r w:rsidRPr="00565581">
        <w:rPr>
          <w:rFonts w:ascii="Verdana" w:hAnsi="Verdana" w:cs="Arial"/>
          <w:color w:val="000000"/>
          <w:sz w:val="16"/>
          <w:szCs w:val="16"/>
          <w:lang w:val="es-CO"/>
        </w:rPr>
        <w:t xml:space="preserve"> Consejo de Estado. Sección Tercera. Subsección C. Sentencia del 22 de mayo de 2013. Exp. 24.057. C.P. Olga Melida Valle De La Hoz.</w:t>
      </w:r>
    </w:p>
    <w:p w14:paraId="449EB3B1" w14:textId="77777777" w:rsidR="00EA6B8B" w:rsidRPr="00565581" w:rsidRDefault="00EA6B8B" w:rsidP="00EA6B8B">
      <w:pPr>
        <w:pStyle w:val="Textonotapie"/>
        <w:ind w:firstLine="709"/>
        <w:jc w:val="both"/>
        <w:rPr>
          <w:rFonts w:ascii="Verdana" w:hAnsi="Verdana" w:cs="Arial"/>
          <w:color w:val="000000"/>
          <w:sz w:val="16"/>
          <w:szCs w:val="16"/>
          <w:lang w:val="es-CO"/>
        </w:rPr>
      </w:pPr>
    </w:p>
  </w:footnote>
  <w:footnote w:id="7">
    <w:p w14:paraId="176057B5" w14:textId="77777777" w:rsidR="00EA6B8B" w:rsidRPr="00565581" w:rsidRDefault="00EA6B8B" w:rsidP="00EA6B8B">
      <w:pPr>
        <w:pStyle w:val="Textonotapie"/>
        <w:ind w:firstLine="709"/>
        <w:jc w:val="both"/>
        <w:rPr>
          <w:rFonts w:ascii="Verdana" w:hAnsi="Verdana" w:cs="Arial"/>
          <w:color w:val="000000"/>
          <w:sz w:val="16"/>
          <w:szCs w:val="16"/>
          <w:lang w:val="es-CO"/>
        </w:rPr>
      </w:pPr>
      <w:r w:rsidRPr="00565581">
        <w:rPr>
          <w:rStyle w:val="Refdenotaalpie"/>
          <w:rFonts w:ascii="Verdana" w:hAnsi="Verdana" w:cs="Arial"/>
          <w:color w:val="000000"/>
          <w:sz w:val="16"/>
          <w:szCs w:val="16"/>
          <w:lang w:val="es-CO"/>
        </w:rPr>
        <w:footnoteRef/>
      </w:r>
      <w:r w:rsidRPr="00565581">
        <w:rPr>
          <w:rFonts w:ascii="Verdana" w:hAnsi="Verdana" w:cs="Arial"/>
          <w:color w:val="000000"/>
          <w:sz w:val="16"/>
          <w:szCs w:val="16"/>
          <w:lang w:val="es-CO"/>
        </w:rPr>
        <w:t xml:space="preserve"> Corte Constitucional, Sentencia C- 373 de 2002, M.P. Jaime Córdoba Triviño; sentencia C-325 de 2009, M.P. Gabriel Eduardo Mendoza Martelo.</w:t>
      </w:r>
    </w:p>
    <w:p w14:paraId="66117C64" w14:textId="77777777" w:rsidR="00EA6B8B" w:rsidRPr="00565581" w:rsidRDefault="00EA6B8B" w:rsidP="00EA6B8B">
      <w:pPr>
        <w:pStyle w:val="Textonotapie"/>
        <w:ind w:firstLine="709"/>
        <w:jc w:val="both"/>
        <w:rPr>
          <w:rFonts w:ascii="Verdana" w:hAnsi="Verdana" w:cs="Arial"/>
          <w:color w:val="000000"/>
          <w:sz w:val="16"/>
          <w:szCs w:val="16"/>
          <w:lang w:val="es-CO"/>
        </w:rPr>
      </w:pPr>
    </w:p>
  </w:footnote>
  <w:footnote w:id="8">
    <w:p w14:paraId="47DDE6AA" w14:textId="77777777" w:rsidR="00EA6B8B" w:rsidRPr="00565581" w:rsidRDefault="00EA6B8B" w:rsidP="00EA6B8B">
      <w:pPr>
        <w:pStyle w:val="Textonotapie"/>
        <w:ind w:firstLine="709"/>
        <w:jc w:val="both"/>
        <w:rPr>
          <w:rFonts w:ascii="Verdana" w:hAnsi="Verdana" w:cs="Arial"/>
          <w:color w:val="000000"/>
          <w:sz w:val="16"/>
          <w:szCs w:val="16"/>
          <w:lang w:val="es-CO"/>
        </w:rPr>
      </w:pPr>
      <w:r w:rsidRPr="00565581">
        <w:rPr>
          <w:rStyle w:val="Refdenotaalpie"/>
          <w:rFonts w:ascii="Verdana" w:hAnsi="Verdana" w:cs="Arial"/>
          <w:color w:val="000000"/>
          <w:sz w:val="16"/>
          <w:szCs w:val="16"/>
          <w:lang w:val="es-CO"/>
        </w:rPr>
        <w:footnoteRef/>
      </w:r>
      <w:r w:rsidRPr="00565581">
        <w:rPr>
          <w:rFonts w:ascii="Verdana" w:hAnsi="Verdana" w:cs="Arial"/>
          <w:color w:val="000000"/>
          <w:sz w:val="16"/>
          <w:szCs w:val="16"/>
          <w:lang w:val="es-CO"/>
        </w:rPr>
        <w:t xml:space="preserve"> Consejo de Estado, Sección Quinta, Sentencia del 13 de junio de 2019, Exp. No. 00111 C.P. Rocío Araújo Oñate.</w:t>
      </w:r>
    </w:p>
  </w:footnote>
  <w:footnote w:id="9">
    <w:p w14:paraId="26E6D589" w14:textId="77777777" w:rsidR="00EA6B8B" w:rsidRPr="00F17499" w:rsidRDefault="00EA6B8B" w:rsidP="00EA6B8B">
      <w:pPr>
        <w:pStyle w:val="Textonotapie"/>
        <w:ind w:firstLine="709"/>
        <w:jc w:val="both"/>
        <w:rPr>
          <w:rFonts w:ascii="Verdana" w:hAnsi="Verdana" w:cs="Arial"/>
          <w:color w:val="000000"/>
          <w:sz w:val="12"/>
          <w:szCs w:val="12"/>
          <w:lang w:val="es-CO"/>
        </w:rPr>
      </w:pPr>
      <w:r w:rsidRPr="00F17499">
        <w:rPr>
          <w:rStyle w:val="Refdenotaalpie"/>
          <w:rFonts w:ascii="Verdana" w:hAnsi="Verdana" w:cs="Arial"/>
          <w:color w:val="000000"/>
          <w:sz w:val="12"/>
          <w:szCs w:val="12"/>
          <w:lang w:val="es-CO"/>
        </w:rPr>
        <w:footnoteRef/>
      </w:r>
      <w:r w:rsidRPr="00F17499">
        <w:rPr>
          <w:rFonts w:ascii="Verdana" w:hAnsi="Verdana" w:cs="Arial"/>
          <w:color w:val="000000"/>
          <w:sz w:val="12"/>
          <w:szCs w:val="12"/>
          <w:lang w:val="es-CO"/>
        </w:rPr>
        <w:t xml:space="preserve"> </w:t>
      </w:r>
      <w:r w:rsidRPr="00F17499">
        <w:rPr>
          <w:rFonts w:ascii="Verdana" w:hAnsi="Verdana" w:cs="Arial"/>
          <w:i/>
          <w:color w:val="000000"/>
          <w:sz w:val="12"/>
          <w:szCs w:val="12"/>
          <w:lang w:val="es-CO"/>
        </w:rPr>
        <w:t>Ibid</w:t>
      </w:r>
      <w:r w:rsidRPr="00F17499">
        <w:rPr>
          <w:rFonts w:ascii="Verdana" w:hAnsi="Verdana" w:cs="Arial"/>
          <w:color w:val="000000"/>
          <w:sz w:val="12"/>
          <w:szCs w:val="12"/>
          <w:lang w:val="es-CO"/>
        </w:rPr>
        <w:t xml:space="preserve">. </w:t>
      </w:r>
    </w:p>
    <w:p w14:paraId="009AB114" w14:textId="77777777" w:rsidR="00EA6B8B" w:rsidRPr="00F17499" w:rsidRDefault="00EA6B8B" w:rsidP="00EA6B8B">
      <w:pPr>
        <w:pStyle w:val="Textonotapie"/>
        <w:ind w:firstLine="709"/>
        <w:jc w:val="both"/>
        <w:rPr>
          <w:rFonts w:ascii="Verdana" w:hAnsi="Verdana" w:cs="Arial"/>
          <w:color w:val="000000"/>
          <w:sz w:val="12"/>
          <w:szCs w:val="12"/>
          <w:lang w:val="es-CO"/>
        </w:rPr>
      </w:pPr>
    </w:p>
  </w:footnote>
  <w:footnote w:id="10">
    <w:p w14:paraId="49880A9B" w14:textId="77777777" w:rsidR="00EA6B8B" w:rsidRPr="00565581" w:rsidRDefault="00EA6B8B" w:rsidP="00EA6B8B">
      <w:pPr>
        <w:pStyle w:val="Textonotapie"/>
        <w:ind w:firstLine="708"/>
        <w:jc w:val="both"/>
        <w:rPr>
          <w:rFonts w:ascii="Verdana" w:hAnsi="Verdana"/>
          <w:sz w:val="16"/>
          <w:szCs w:val="16"/>
          <w:lang w:val="es-CO"/>
        </w:rPr>
      </w:pPr>
      <w:r w:rsidRPr="00565581">
        <w:rPr>
          <w:rStyle w:val="Refdenotaalpie"/>
          <w:rFonts w:ascii="Verdana" w:hAnsi="Verdana"/>
          <w:sz w:val="16"/>
          <w:szCs w:val="16"/>
        </w:rPr>
        <w:footnoteRef/>
      </w:r>
      <w:r w:rsidRPr="00565581">
        <w:rPr>
          <w:rFonts w:ascii="Verdana" w:hAnsi="Verdana"/>
          <w:sz w:val="16"/>
          <w:szCs w:val="16"/>
        </w:rPr>
        <w:t xml:space="preserve"> </w:t>
      </w:r>
      <w:r w:rsidRPr="00565581">
        <w:rPr>
          <w:rFonts w:ascii="Verdana" w:hAnsi="Verdana"/>
          <w:sz w:val="16"/>
          <w:szCs w:val="16"/>
          <w:lang w:val="es-CO"/>
        </w:rPr>
        <w:t>Consejo de Estado, Sala de lo Contencioso Administrativo, Sección Primera, sentencia proferida el 17 de julio de 2008, identificada con núm. único de radicación 440012331000200800005 01, C.P. Rafael E. Ostau de Lafont Pianeta</w:t>
      </w:r>
    </w:p>
    <w:p w14:paraId="030BBAF3" w14:textId="77777777" w:rsidR="00EA6B8B" w:rsidRPr="00565581" w:rsidRDefault="00EA6B8B" w:rsidP="00EA6B8B">
      <w:pPr>
        <w:pStyle w:val="Textonotapie"/>
        <w:ind w:firstLine="708"/>
        <w:jc w:val="both"/>
        <w:rPr>
          <w:rFonts w:ascii="Verdana" w:hAnsi="Verdana"/>
          <w:sz w:val="16"/>
          <w:szCs w:val="16"/>
          <w:lang w:val="es-CO"/>
        </w:rPr>
      </w:pPr>
    </w:p>
  </w:footnote>
  <w:footnote w:id="11">
    <w:p w14:paraId="740FA4A9" w14:textId="77777777" w:rsidR="00EA6B8B" w:rsidRPr="00565581" w:rsidRDefault="00EA6B8B" w:rsidP="00EA6B8B">
      <w:pPr>
        <w:pStyle w:val="Textonotapie"/>
        <w:ind w:firstLine="708"/>
        <w:jc w:val="both"/>
        <w:rPr>
          <w:rFonts w:ascii="Verdana" w:hAnsi="Verdana"/>
          <w:sz w:val="16"/>
          <w:szCs w:val="16"/>
          <w:lang w:val="es-CO"/>
        </w:rPr>
      </w:pPr>
      <w:r w:rsidRPr="00565581">
        <w:rPr>
          <w:rStyle w:val="Refdenotaalpie"/>
          <w:rFonts w:ascii="Verdana" w:hAnsi="Verdana"/>
          <w:sz w:val="16"/>
          <w:szCs w:val="16"/>
        </w:rPr>
        <w:footnoteRef/>
      </w:r>
      <w:r w:rsidRPr="00565581">
        <w:rPr>
          <w:rFonts w:ascii="Verdana" w:hAnsi="Verdana"/>
          <w:sz w:val="16"/>
          <w:szCs w:val="16"/>
        </w:rPr>
        <w:t xml:space="preserve"> </w:t>
      </w:r>
      <w:r w:rsidRPr="00565581">
        <w:rPr>
          <w:rFonts w:ascii="Verdana" w:hAnsi="Verdana"/>
          <w:sz w:val="16"/>
          <w:szCs w:val="16"/>
          <w:lang w:val="es-CO"/>
        </w:rPr>
        <w:t>Consejo de Estado, Sala de lo Contencioso Administrativo, Sección Quinta; sentencia de 3 de septiembre de 1998, expediente núm. 1952, C.P. Miren De La Lombana De Magyaroff</w:t>
      </w:r>
    </w:p>
    <w:p w14:paraId="172CE3EE" w14:textId="77777777" w:rsidR="00EA6B8B" w:rsidRPr="00565581" w:rsidRDefault="00EA6B8B" w:rsidP="00EA6B8B">
      <w:pPr>
        <w:pStyle w:val="Textonotapie"/>
        <w:ind w:firstLine="708"/>
        <w:jc w:val="both"/>
        <w:rPr>
          <w:rFonts w:ascii="Verdana" w:hAnsi="Verdana"/>
          <w:sz w:val="16"/>
          <w:szCs w:val="16"/>
          <w:lang w:val="es-CO"/>
        </w:rPr>
      </w:pPr>
    </w:p>
  </w:footnote>
  <w:footnote w:id="12">
    <w:p w14:paraId="3030E7AC" w14:textId="77777777" w:rsidR="00EA6B8B" w:rsidRPr="00565581" w:rsidRDefault="00EA6B8B" w:rsidP="00EA6B8B">
      <w:pPr>
        <w:pStyle w:val="Textonotapie"/>
        <w:ind w:firstLine="708"/>
        <w:jc w:val="both"/>
        <w:rPr>
          <w:rFonts w:ascii="Verdana" w:hAnsi="Verdana"/>
          <w:sz w:val="16"/>
          <w:szCs w:val="16"/>
          <w:lang w:val="es-CO"/>
        </w:rPr>
      </w:pPr>
      <w:r w:rsidRPr="00565581">
        <w:rPr>
          <w:rStyle w:val="Refdenotaalpie"/>
          <w:rFonts w:ascii="Verdana" w:hAnsi="Verdana"/>
          <w:sz w:val="16"/>
          <w:szCs w:val="16"/>
        </w:rPr>
        <w:footnoteRef/>
      </w:r>
      <w:r w:rsidRPr="00565581">
        <w:rPr>
          <w:rFonts w:ascii="Verdana" w:hAnsi="Verdana"/>
          <w:sz w:val="16"/>
          <w:szCs w:val="16"/>
          <w:lang w:val="es-CO"/>
        </w:rPr>
        <w:t xml:space="preserve"> Corte Constitucional. Sentencia C-903 del 6 de diciembre de 2008. M.P. Jaime Araujo Rentería.</w:t>
      </w:r>
    </w:p>
  </w:footnote>
  <w:footnote w:id="13">
    <w:p w14:paraId="5F346C87" w14:textId="77777777" w:rsidR="00EA6B8B" w:rsidRPr="00565581" w:rsidRDefault="00EA6B8B" w:rsidP="00EA6B8B">
      <w:pPr>
        <w:pStyle w:val="Textonotapie"/>
        <w:ind w:firstLine="708"/>
        <w:rPr>
          <w:lang w:val="es-ES"/>
        </w:rPr>
      </w:pPr>
      <w:r w:rsidRPr="00565581">
        <w:rPr>
          <w:rStyle w:val="Refdenotaalpie"/>
          <w:rFonts w:ascii="Verdana" w:hAnsi="Verdana"/>
          <w:sz w:val="16"/>
          <w:szCs w:val="16"/>
        </w:rPr>
        <w:footnoteRef/>
      </w:r>
      <w:r w:rsidRPr="00565581">
        <w:rPr>
          <w:rFonts w:ascii="Verdana" w:hAnsi="Verdana"/>
          <w:sz w:val="16"/>
          <w:szCs w:val="16"/>
        </w:rPr>
        <w:t xml:space="preserve"> </w:t>
      </w:r>
      <w:hyperlink r:id="rId1" w:anchor="4" w:history="1">
        <w:r w:rsidRPr="00565581">
          <w:rPr>
            <w:rFonts w:ascii="Verdana" w:hAnsi="Verdana"/>
            <w:sz w:val="16"/>
            <w:szCs w:val="16"/>
          </w:rPr>
          <w:t>Literal adicionado por el art. 4, Ley 1474 de 2011</w:t>
        </w:r>
      </w:hyperlink>
    </w:p>
  </w:footnote>
  <w:footnote w:id="14">
    <w:p w14:paraId="793455F9" w14:textId="77777777" w:rsidR="00EA6B8B" w:rsidRPr="00565581" w:rsidRDefault="00EA6B8B" w:rsidP="00EA6B8B">
      <w:pPr>
        <w:pStyle w:val="Textonotapie"/>
        <w:ind w:firstLine="708"/>
        <w:jc w:val="both"/>
        <w:rPr>
          <w:rFonts w:ascii="Verdana" w:hAnsi="Verdana"/>
          <w:sz w:val="16"/>
          <w:szCs w:val="16"/>
          <w:lang w:val="es-CO"/>
        </w:rPr>
      </w:pPr>
      <w:r w:rsidRPr="00565581">
        <w:rPr>
          <w:rStyle w:val="Refdenotaalpie"/>
          <w:rFonts w:ascii="Verdana" w:hAnsi="Verdana"/>
          <w:sz w:val="16"/>
          <w:szCs w:val="16"/>
        </w:rPr>
        <w:footnoteRef/>
      </w:r>
      <w:r w:rsidRPr="00565581">
        <w:rPr>
          <w:rFonts w:ascii="Verdana" w:hAnsi="Verdana"/>
          <w:sz w:val="16"/>
          <w:szCs w:val="16"/>
        </w:rPr>
        <w:t xml:space="preserve"> </w:t>
      </w:r>
      <w:r w:rsidRPr="00565581">
        <w:rPr>
          <w:rFonts w:ascii="Verdana" w:hAnsi="Verdana"/>
          <w:sz w:val="16"/>
          <w:szCs w:val="16"/>
          <w:lang w:val="es-CO"/>
        </w:rPr>
        <w:t>Corte Constitucional. Sentencia C-257 del 7 de mayo de 2013. M.P. Jaime Córdoba Triviño</w:t>
      </w:r>
    </w:p>
  </w:footnote>
  <w:footnote w:id="15">
    <w:p w14:paraId="67D336FA" w14:textId="77777777" w:rsidR="00EA6B8B" w:rsidRPr="00565581" w:rsidRDefault="00EA6B8B" w:rsidP="00EA6B8B">
      <w:pPr>
        <w:pStyle w:val="Textonotapie"/>
        <w:ind w:firstLine="708"/>
        <w:rPr>
          <w:rFonts w:ascii="Verdana" w:hAnsi="Verdana"/>
          <w:sz w:val="16"/>
          <w:szCs w:val="16"/>
          <w:lang w:val="es-ES"/>
        </w:rPr>
      </w:pPr>
      <w:r w:rsidRPr="00565581">
        <w:rPr>
          <w:rStyle w:val="Refdenotaalpie"/>
          <w:rFonts w:ascii="Verdana" w:hAnsi="Verdana"/>
          <w:sz w:val="16"/>
          <w:szCs w:val="16"/>
        </w:rPr>
        <w:footnoteRef/>
      </w:r>
      <w:r w:rsidRPr="00565581">
        <w:rPr>
          <w:rFonts w:ascii="Verdana" w:hAnsi="Verdana"/>
          <w:sz w:val="16"/>
          <w:szCs w:val="16"/>
        </w:rPr>
        <w:t xml:space="preserve"> </w:t>
      </w:r>
      <w:r w:rsidRPr="00565581">
        <w:rPr>
          <w:rFonts w:ascii="Verdana" w:hAnsi="Verdana"/>
          <w:sz w:val="16"/>
          <w:szCs w:val="16"/>
          <w:lang w:val="es-CO"/>
        </w:rPr>
        <w:t>Adicionado por el artículo </w:t>
      </w:r>
      <w:hyperlink r:id="rId2" w:anchor="3" w:history="1">
        <w:r w:rsidRPr="00565581">
          <w:rPr>
            <w:rStyle w:val="Hipervnculo"/>
            <w:rFonts w:ascii="Verdana" w:hAnsi="Verdana"/>
            <w:sz w:val="16"/>
            <w:szCs w:val="16"/>
            <w:lang w:val="es-CO"/>
          </w:rPr>
          <w:t>3</w:t>
        </w:r>
      </w:hyperlink>
      <w:r w:rsidRPr="00565581">
        <w:rPr>
          <w:rFonts w:ascii="Verdana" w:hAnsi="Verdana"/>
          <w:sz w:val="16"/>
          <w:szCs w:val="16"/>
          <w:lang w:val="es-CO"/>
        </w:rPr>
        <w:t> de la Ley 2014 de 2019</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E2B9AE" w14:textId="57B6503E" w:rsidR="00756841" w:rsidRDefault="009D3058" w:rsidP="008155E1">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671C52A1" w14:textId="77777777" w:rsidR="008155E1" w:rsidRDefault="008155E1" w:rsidP="008155E1">
    <w:pPr>
      <w:pStyle w:val="Encabezado"/>
      <w:spacing w:line="120" w:lineRule="aut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1ECA7092" w:rsidR="008A446D" w:rsidRPr="00C925AC" w:rsidRDefault="008A446D" w:rsidP="000D5DA7">
    <w:pPr>
      <w:spacing w:after="0" w:line="480" w:lineRule="auto"/>
      <w:rPr>
        <w:rFonts w:ascii="Verdana" w:hAnsi="Verdana"/>
        <w:b/>
        <w:bCs/>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75pt;height:11.7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81A8A056"/>
    <w:lvl w:ilvl="0" w:tplc="240A0001">
      <w:start w:val="1"/>
      <w:numFmt w:val="bullet"/>
      <w:lvlText w:val=""/>
      <w:lvlJc w:val="left"/>
      <w:pPr>
        <w:ind w:left="720" w:hanging="360"/>
      </w:pPr>
      <w:rPr>
        <w:rFonts w:ascii="Symbol" w:hAnsi="Symbol" w:hint="default"/>
        <w:color w:val="auto"/>
        <w:sz w:val="22"/>
        <w:szCs w:val="22"/>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2"/>
  </w:num>
  <w:num w:numId="7" w16cid:durableId="1946422806">
    <w:abstractNumId w:val="4"/>
  </w:num>
  <w:num w:numId="8" w16cid:durableId="152644682">
    <w:abstractNumId w:val="11"/>
  </w:num>
  <w:num w:numId="9" w16cid:durableId="1317221377">
    <w:abstractNumId w:val="6"/>
  </w:num>
  <w:num w:numId="10" w16cid:durableId="1471245386">
    <w:abstractNumId w:val="10"/>
  </w:num>
  <w:num w:numId="11" w16cid:durableId="289172385">
    <w:abstractNumId w:val="7"/>
  </w:num>
  <w:num w:numId="12" w16cid:durableId="1470781324">
    <w:abstractNumId w:val="0"/>
  </w:num>
  <w:num w:numId="13" w16cid:durableId="1512908409">
    <w:abstractNumId w:val="2"/>
  </w:num>
  <w:num w:numId="14" w16cid:durableId="895897244">
    <w:abstractNumId w:val="13"/>
  </w:num>
  <w:num w:numId="15" w16cid:durableId="390349800">
    <w:abstractNumId w:val="9"/>
  </w:num>
  <w:num w:numId="16" w16cid:durableId="15325584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79E9"/>
    <w:rsid w:val="00046945"/>
    <w:rsid w:val="00061B2A"/>
    <w:rsid w:val="00082362"/>
    <w:rsid w:val="000A683E"/>
    <w:rsid w:val="000B19B9"/>
    <w:rsid w:val="000D0334"/>
    <w:rsid w:val="000D5DA7"/>
    <w:rsid w:val="000F5A19"/>
    <w:rsid w:val="000F6486"/>
    <w:rsid w:val="00116940"/>
    <w:rsid w:val="00125105"/>
    <w:rsid w:val="00127233"/>
    <w:rsid w:val="001551CB"/>
    <w:rsid w:val="0015699B"/>
    <w:rsid w:val="00193518"/>
    <w:rsid w:val="001A33BF"/>
    <w:rsid w:val="001E4177"/>
    <w:rsid w:val="001F0B24"/>
    <w:rsid w:val="001F7DC6"/>
    <w:rsid w:val="002005A3"/>
    <w:rsid w:val="0022400B"/>
    <w:rsid w:val="002421BB"/>
    <w:rsid w:val="0025796E"/>
    <w:rsid w:val="002707A2"/>
    <w:rsid w:val="00283C55"/>
    <w:rsid w:val="002951A0"/>
    <w:rsid w:val="002962BC"/>
    <w:rsid w:val="002A093D"/>
    <w:rsid w:val="002A0DD0"/>
    <w:rsid w:val="002A0EFA"/>
    <w:rsid w:val="002A49AC"/>
    <w:rsid w:val="002A64FD"/>
    <w:rsid w:val="002C6462"/>
    <w:rsid w:val="002C7A84"/>
    <w:rsid w:val="002E2BF8"/>
    <w:rsid w:val="002E4FD9"/>
    <w:rsid w:val="00306532"/>
    <w:rsid w:val="0030657A"/>
    <w:rsid w:val="00322A85"/>
    <w:rsid w:val="00324168"/>
    <w:rsid w:val="00330834"/>
    <w:rsid w:val="003448F4"/>
    <w:rsid w:val="00374F5E"/>
    <w:rsid w:val="00377E3E"/>
    <w:rsid w:val="003A2C31"/>
    <w:rsid w:val="003A779E"/>
    <w:rsid w:val="003D0F4D"/>
    <w:rsid w:val="003D5B0D"/>
    <w:rsid w:val="003E0499"/>
    <w:rsid w:val="003E4F80"/>
    <w:rsid w:val="003E6439"/>
    <w:rsid w:val="003F3941"/>
    <w:rsid w:val="00406575"/>
    <w:rsid w:val="00414C74"/>
    <w:rsid w:val="0042722E"/>
    <w:rsid w:val="0043004E"/>
    <w:rsid w:val="0044528D"/>
    <w:rsid w:val="00466E39"/>
    <w:rsid w:val="004A1847"/>
    <w:rsid w:val="004A305D"/>
    <w:rsid w:val="004F21C4"/>
    <w:rsid w:val="004F685F"/>
    <w:rsid w:val="00507EE0"/>
    <w:rsid w:val="00516F3C"/>
    <w:rsid w:val="005566E8"/>
    <w:rsid w:val="00574867"/>
    <w:rsid w:val="00591460"/>
    <w:rsid w:val="005A25E7"/>
    <w:rsid w:val="005A65E0"/>
    <w:rsid w:val="005C3777"/>
    <w:rsid w:val="005C5CDC"/>
    <w:rsid w:val="005D476C"/>
    <w:rsid w:val="006140EF"/>
    <w:rsid w:val="006200BF"/>
    <w:rsid w:val="006219F8"/>
    <w:rsid w:val="006302F7"/>
    <w:rsid w:val="00646B9F"/>
    <w:rsid w:val="00665D70"/>
    <w:rsid w:val="006900D9"/>
    <w:rsid w:val="0070632C"/>
    <w:rsid w:val="00706C16"/>
    <w:rsid w:val="007340C3"/>
    <w:rsid w:val="00736D22"/>
    <w:rsid w:val="0075235A"/>
    <w:rsid w:val="00754743"/>
    <w:rsid w:val="00756841"/>
    <w:rsid w:val="007649AB"/>
    <w:rsid w:val="00771D0C"/>
    <w:rsid w:val="007833AC"/>
    <w:rsid w:val="007B268C"/>
    <w:rsid w:val="007B7171"/>
    <w:rsid w:val="007C0C0F"/>
    <w:rsid w:val="007C3DC2"/>
    <w:rsid w:val="007E5497"/>
    <w:rsid w:val="00806F5F"/>
    <w:rsid w:val="008155E1"/>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A20CD"/>
    <w:rsid w:val="009B2D26"/>
    <w:rsid w:val="009C71FA"/>
    <w:rsid w:val="009C72E7"/>
    <w:rsid w:val="009C7F7E"/>
    <w:rsid w:val="009D3058"/>
    <w:rsid w:val="009F0BAC"/>
    <w:rsid w:val="009F3A13"/>
    <w:rsid w:val="00A122D3"/>
    <w:rsid w:val="00A14468"/>
    <w:rsid w:val="00A17F13"/>
    <w:rsid w:val="00A20739"/>
    <w:rsid w:val="00A23AF9"/>
    <w:rsid w:val="00A33C78"/>
    <w:rsid w:val="00A608FA"/>
    <w:rsid w:val="00A746C0"/>
    <w:rsid w:val="00AB0ADB"/>
    <w:rsid w:val="00AE54E7"/>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2872"/>
    <w:rsid w:val="00CB6357"/>
    <w:rsid w:val="00CC1B26"/>
    <w:rsid w:val="00D07C42"/>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A2C1B"/>
    <w:rsid w:val="00EA6B8B"/>
    <w:rsid w:val="00EC38A7"/>
    <w:rsid w:val="00EE1AA8"/>
    <w:rsid w:val="00F23FEA"/>
    <w:rsid w:val="00F31EDC"/>
    <w:rsid w:val="00F462B3"/>
    <w:rsid w:val="00F5664F"/>
    <w:rsid w:val="00F666C4"/>
    <w:rsid w:val="00F76AFC"/>
    <w:rsid w:val="00FA41BF"/>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A6B8B"/>
    <w:rPr>
      <w:rFonts w:ascii="Geomanist Light" w:hAnsi="Geomanist Light"/>
      <w:lang w:val="es-ES"/>
    </w:rPr>
  </w:style>
  <w:style w:type="paragraph" w:customStyle="1" w:styleId="Appelnotedebasde">
    <w:name w:val="Appel note de bas de..."/>
    <w:basedOn w:val="Normal"/>
    <w:link w:val="Refdenotaalpie"/>
    <w:uiPriority w:val="99"/>
    <w:rsid w:val="00EA6B8B"/>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image" Target="media/image4.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sergio.caballero%40colombiacompra.gov.co%7C5aad36a736844ec87b2108dcc1fa4639%7C7b09041e245149d08cb179d5e3d8c1be%7C0%7C0%7C638598527918222614%7CUnknown%7CTWFpbGZsb3d8eyJWIjoiMC4wLjAwMDAiLCJQIjoiV2luMzIiLCJBTiI6Ik1haWwiLCJXVCI6Mn0%3D%7C0%7C%7C%7C&amp;sdata=h8WOGB2loApehe%2F7QeGo2PCeSePiffWRTR4AMN1Rht0%3D&amp;reserved=0"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forms.office.com/r/pPHyWVs2SZ"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lejandroftirado@gmail.com"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emf"/><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2" Type="http://schemas.openxmlformats.org/officeDocument/2006/relationships/hyperlink" Target="http://www.secretariasenado.gov.co/senado/basedoc/ley_2014_2019.html" TargetMode="External"/><Relationship Id="rId1" Type="http://schemas.openxmlformats.org/officeDocument/2006/relationships/hyperlink" Target="https://www.funcionpublica.gov.co/eva/gestornormativo/norma.php?i=43292"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374C183-FFCB-44E3-A10F-9D5B2A5060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46</TotalTime>
  <Pages>15</Pages>
  <Words>4739</Words>
  <Characters>26065</Characters>
  <Application>Microsoft Office Word</Application>
  <DocSecurity>0</DocSecurity>
  <Lines>217</Lines>
  <Paragraphs>61</Paragraphs>
  <ScaleCrop>false</ScaleCrop>
  <Company/>
  <LinksUpToDate>false</LinksUpToDate>
  <CharactersWithSpaces>30743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7</cp:revision>
  <cp:lastPrinted>2023-01-10T21:18:00Z</cp:lastPrinted>
  <dcterms:created xsi:type="dcterms:W3CDTF">2026-05-07T20:39:00Z</dcterms:created>
  <dcterms:modified xsi:type="dcterms:W3CDTF">2026-05-21T16:09:00Z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