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446E1" w14:textId="77777777" w:rsidR="00803DA8" w:rsidRPr="000C7D33" w:rsidRDefault="00803DA8" w:rsidP="00803DA8">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1DFFF012" w14:textId="77777777" w:rsidR="00803DA8" w:rsidRPr="000C7D33" w:rsidRDefault="00803DA8" w:rsidP="00803DA8">
      <w:pPr>
        <w:spacing w:after="0" w:line="240" w:lineRule="auto"/>
        <w:jc w:val="both"/>
        <w:rPr>
          <w:rFonts w:ascii="Verdana" w:eastAsia="Verdana" w:hAnsi="Verdana" w:cs="Verdana"/>
          <w:b/>
          <w:lang w:val="es-ES"/>
        </w:rPr>
      </w:pPr>
    </w:p>
    <w:p w14:paraId="7EA99D34" w14:textId="657C9D73" w:rsidR="00803DA8" w:rsidRPr="000C7D33" w:rsidRDefault="00803DA8" w:rsidP="00803DA8">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r w:rsidR="009F13E8">
        <w:rPr>
          <w:rFonts w:ascii="Verdana" w:eastAsia="Verdana" w:hAnsi="Verdana" w:cs="Verdana"/>
          <w:bCs/>
          <w:sz w:val="20"/>
          <w:lang w:val="es-MX"/>
        </w:rPr>
        <w:t>.</w:t>
      </w:r>
    </w:p>
    <w:p w14:paraId="4C00DCB6" w14:textId="77777777" w:rsidR="00803DA8" w:rsidRPr="000C7D33" w:rsidRDefault="00803DA8" w:rsidP="00803DA8">
      <w:pPr>
        <w:spacing w:after="0" w:line="240" w:lineRule="auto"/>
        <w:jc w:val="both"/>
        <w:rPr>
          <w:rFonts w:ascii="Verdana" w:eastAsia="Verdana" w:hAnsi="Verdana" w:cs="Verdana"/>
          <w:b/>
          <w:lang w:val="es-ES"/>
        </w:rPr>
      </w:pPr>
    </w:p>
    <w:p w14:paraId="581FFFAB" w14:textId="77777777" w:rsidR="00803DA8" w:rsidRPr="000C7D33" w:rsidRDefault="00803DA8" w:rsidP="00803DA8">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5EA01CE2" w14:textId="77777777" w:rsidR="00803DA8" w:rsidRPr="000C7D33" w:rsidRDefault="00803DA8" w:rsidP="00803DA8">
      <w:pPr>
        <w:spacing w:after="0" w:line="240" w:lineRule="auto"/>
        <w:jc w:val="both"/>
        <w:rPr>
          <w:rFonts w:ascii="Verdana" w:eastAsia="Verdana" w:hAnsi="Verdana" w:cs="Verdana"/>
          <w:b/>
          <w:lang w:val="es-ES"/>
        </w:rPr>
      </w:pPr>
    </w:p>
    <w:p w14:paraId="3F80FB2B" w14:textId="77777777" w:rsidR="00803DA8" w:rsidRPr="000C7D33" w:rsidRDefault="00803DA8" w:rsidP="00803DA8">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52307E21" w14:textId="77777777" w:rsidR="00803DA8" w:rsidRPr="000C7D33" w:rsidRDefault="00803DA8" w:rsidP="00803DA8">
      <w:pPr>
        <w:spacing w:after="0" w:line="240" w:lineRule="auto"/>
        <w:jc w:val="both"/>
        <w:rPr>
          <w:rFonts w:ascii="Verdana" w:eastAsia="Verdana" w:hAnsi="Verdana" w:cs="Verdana"/>
          <w:b/>
          <w:lang w:val="es-ES"/>
        </w:rPr>
      </w:pPr>
    </w:p>
    <w:p w14:paraId="2963AC34" w14:textId="77777777" w:rsidR="00803DA8" w:rsidRPr="000C7D33" w:rsidRDefault="00803DA8" w:rsidP="00803DA8">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6FD2162A" w14:textId="77777777" w:rsidR="00803DA8" w:rsidRPr="000C7D33" w:rsidRDefault="00803DA8" w:rsidP="00803DA8">
      <w:pPr>
        <w:spacing w:after="0" w:line="240" w:lineRule="auto"/>
        <w:jc w:val="both"/>
        <w:rPr>
          <w:rFonts w:ascii="Verdana" w:eastAsia="Verdana" w:hAnsi="Verdana" w:cs="Verdana"/>
          <w:b/>
          <w:lang w:val="es-ES"/>
        </w:rPr>
      </w:pPr>
    </w:p>
    <w:p w14:paraId="69A929D7" w14:textId="77777777" w:rsidR="00803DA8" w:rsidRDefault="00803DA8" w:rsidP="00803DA8">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19B6FC31" w14:textId="77777777" w:rsidR="00803DA8" w:rsidRPr="000C7D33" w:rsidRDefault="00803DA8" w:rsidP="00803DA8">
      <w:pPr>
        <w:spacing w:after="0" w:line="240" w:lineRule="auto"/>
        <w:jc w:val="both"/>
        <w:rPr>
          <w:rFonts w:ascii="Verdana" w:eastAsia="Verdana" w:hAnsi="Verdana" w:cs="Verdana"/>
          <w:bCs/>
          <w:sz w:val="20"/>
          <w:lang w:val="es-ES_tradnl"/>
        </w:rPr>
      </w:pPr>
    </w:p>
    <w:p w14:paraId="1BF5AA89" w14:textId="77777777" w:rsidR="00803DA8" w:rsidRPr="000C7D33" w:rsidRDefault="00803DA8" w:rsidP="00803DA8">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3A9C0F3B" w14:textId="77777777" w:rsidR="00803DA8" w:rsidRPr="000C7D33" w:rsidRDefault="00803DA8" w:rsidP="00803DA8">
      <w:pPr>
        <w:spacing w:after="0" w:line="240" w:lineRule="auto"/>
        <w:jc w:val="both"/>
        <w:rPr>
          <w:rFonts w:ascii="Verdana" w:eastAsia="Verdana" w:hAnsi="Verdana" w:cs="Verdana"/>
          <w:b/>
          <w:lang w:val="es-ES"/>
        </w:rPr>
      </w:pPr>
    </w:p>
    <w:p w14:paraId="10010C86" w14:textId="77777777" w:rsidR="00803DA8" w:rsidRPr="000C7D33" w:rsidRDefault="00803DA8" w:rsidP="00803DA8">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134A2C1A" w14:textId="77777777" w:rsidR="00803DA8" w:rsidRPr="000C7D33" w:rsidRDefault="00803DA8" w:rsidP="00803DA8">
      <w:pPr>
        <w:spacing w:after="0" w:line="240" w:lineRule="auto"/>
        <w:jc w:val="both"/>
        <w:rPr>
          <w:rFonts w:ascii="Verdana" w:eastAsia="Verdana" w:hAnsi="Verdana" w:cs="Verdana"/>
          <w:b/>
          <w:lang w:val="es-ES"/>
        </w:rPr>
      </w:pPr>
    </w:p>
    <w:p w14:paraId="1F8A967F" w14:textId="77777777" w:rsidR="00803DA8" w:rsidRPr="00ED0AD9" w:rsidRDefault="00803DA8" w:rsidP="00803DA8">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22BC50B1" w14:textId="77777777" w:rsidR="00803DA8" w:rsidRPr="00ED0AD9" w:rsidRDefault="00803DA8" w:rsidP="00803DA8">
      <w:pPr>
        <w:spacing w:after="0" w:line="240" w:lineRule="auto"/>
        <w:jc w:val="both"/>
        <w:rPr>
          <w:rFonts w:ascii="Verdana" w:eastAsia="Verdana" w:hAnsi="Verdana" w:cs="Verdana"/>
          <w:sz w:val="20"/>
          <w:lang w:val="es-ES"/>
        </w:rPr>
      </w:pPr>
    </w:p>
    <w:p w14:paraId="2D7065E0" w14:textId="77777777" w:rsidR="00803DA8" w:rsidRPr="00ED0AD9" w:rsidRDefault="00803DA8" w:rsidP="00803DA8">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4C011878" w14:textId="77777777" w:rsidR="00803DA8" w:rsidRPr="00ED0AD9" w:rsidRDefault="00803DA8" w:rsidP="00803DA8">
      <w:pPr>
        <w:spacing w:after="0" w:line="240" w:lineRule="auto"/>
        <w:jc w:val="both"/>
        <w:rPr>
          <w:rFonts w:ascii="Verdana" w:eastAsia="Verdana" w:hAnsi="Verdana" w:cs="Verdana"/>
          <w:sz w:val="20"/>
        </w:rPr>
      </w:pPr>
    </w:p>
    <w:p w14:paraId="6114821E" w14:textId="77777777" w:rsidR="00803DA8" w:rsidRPr="00ED0AD9" w:rsidRDefault="00803DA8" w:rsidP="00803DA8">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6AD0A086" w14:textId="77777777" w:rsidR="00803DA8" w:rsidRPr="00ED0AD9" w:rsidRDefault="00803DA8" w:rsidP="00803DA8">
      <w:pPr>
        <w:spacing w:after="0" w:line="240" w:lineRule="auto"/>
        <w:jc w:val="both"/>
        <w:rPr>
          <w:rFonts w:ascii="Verdana" w:eastAsia="Verdana" w:hAnsi="Verdana" w:cs="Verdana"/>
          <w:sz w:val="20"/>
        </w:rPr>
      </w:pPr>
    </w:p>
    <w:p w14:paraId="60AB1689" w14:textId="77777777" w:rsidR="00803DA8" w:rsidRPr="00ED0AD9" w:rsidRDefault="00803DA8" w:rsidP="00803DA8">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1E8C684D" w14:textId="77777777" w:rsidR="00803DA8" w:rsidRPr="00ED0AD9" w:rsidRDefault="00803DA8" w:rsidP="00803DA8">
      <w:pPr>
        <w:spacing w:after="0" w:line="240" w:lineRule="auto"/>
        <w:jc w:val="both"/>
        <w:rPr>
          <w:rFonts w:ascii="Verdana" w:eastAsia="Verdana" w:hAnsi="Verdana" w:cs="Verdana"/>
          <w:sz w:val="20"/>
          <w:lang w:val="es-ES"/>
        </w:rPr>
      </w:pPr>
    </w:p>
    <w:p w14:paraId="0B8A2658"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CONTRATOS Y CONVENIOS INTERADMINISTRATIVOS – Noción – Diferencias </w:t>
      </w:r>
    </w:p>
    <w:p w14:paraId="4DEDC5AD" w14:textId="77777777" w:rsidR="00803DA8" w:rsidRDefault="00803DA8" w:rsidP="00803DA8">
      <w:pPr>
        <w:spacing w:after="0" w:line="240" w:lineRule="auto"/>
        <w:jc w:val="both"/>
        <w:rPr>
          <w:rFonts w:ascii="Verdana" w:eastAsia="Verdana" w:hAnsi="Verdana" w:cs="Verdana"/>
          <w:bCs/>
          <w:sz w:val="20"/>
          <w:lang w:val="es-ES"/>
        </w:rPr>
      </w:pPr>
    </w:p>
    <w:p w14:paraId="35C5512B"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La Corte Constitucional, en Sentencia C-671 de 2015, expresó que “Lo que hace interadministrativo a un contrato o convenio no es el procedimiento de selección </w:t>
      </w:r>
      <w:r w:rsidRPr="00BE429B">
        <w:rPr>
          <w:rFonts w:ascii="Verdana" w:eastAsia="Verdana" w:hAnsi="Verdana" w:cs="Verdana"/>
          <w:bCs/>
          <w:sz w:val="20"/>
        </w:rPr>
        <w:lastRenderedPageBreak/>
        <w:t xml:space="preserve">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w:t>
      </w:r>
    </w:p>
    <w:p w14:paraId="6DC7B7DC" w14:textId="77777777" w:rsidR="00803DA8" w:rsidRDefault="00803DA8" w:rsidP="00803DA8">
      <w:pPr>
        <w:spacing w:after="0" w:line="240" w:lineRule="auto"/>
        <w:jc w:val="both"/>
        <w:rPr>
          <w:rFonts w:ascii="Verdana" w:eastAsia="Verdana" w:hAnsi="Verdana" w:cs="Verdana"/>
          <w:bCs/>
          <w:sz w:val="20"/>
          <w:lang w:val="es-ES"/>
        </w:rPr>
      </w:pPr>
      <w:r>
        <w:rPr>
          <w:rFonts w:ascii="Verdana" w:eastAsia="Verdana" w:hAnsi="Verdana" w:cs="Verdana"/>
          <w:bCs/>
          <w:sz w:val="20"/>
          <w:lang w:val="es-ES"/>
        </w:rPr>
        <w:t>[…]</w:t>
      </w:r>
    </w:p>
    <w:p w14:paraId="21E55993" w14:textId="77777777" w:rsidR="00803DA8" w:rsidRPr="00ED0AD9" w:rsidRDefault="00803DA8" w:rsidP="00803DA8">
      <w:pPr>
        <w:spacing w:after="0" w:line="240" w:lineRule="auto"/>
        <w:jc w:val="both"/>
        <w:rPr>
          <w:rFonts w:ascii="Verdana" w:eastAsia="Verdana" w:hAnsi="Verdana" w:cs="Verdana"/>
          <w:bCs/>
          <w:sz w:val="20"/>
          <w:lang w:val="es-ES"/>
        </w:rPr>
      </w:pPr>
      <w:r w:rsidRPr="00BE429B">
        <w:rPr>
          <w:rFonts w:ascii="Verdana" w:eastAsia="Verdana" w:hAnsi="Verdana" w:cs="Verdana"/>
          <w:bCs/>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76AA308B" w14:textId="77777777" w:rsidR="00803DA8" w:rsidRPr="000C7D33" w:rsidRDefault="00803DA8" w:rsidP="00803DA8">
      <w:pPr>
        <w:spacing w:after="0" w:line="240" w:lineRule="auto"/>
        <w:jc w:val="both"/>
        <w:rPr>
          <w:rFonts w:ascii="Verdana" w:eastAsia="Verdana" w:hAnsi="Verdana" w:cs="Verdana"/>
          <w:b/>
          <w:bCs/>
          <w:lang w:val="es-ES"/>
        </w:rPr>
      </w:pPr>
    </w:p>
    <w:p w14:paraId="7A154405"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CONVENIO INTERADMINISTRATIVO – Naturaleza – Inaplicabilidad – Ley 80 de 1993</w:t>
      </w:r>
    </w:p>
    <w:p w14:paraId="1CDF7A04" w14:textId="77777777" w:rsidR="00803DA8" w:rsidRPr="000C7D33" w:rsidRDefault="00803DA8" w:rsidP="00803DA8">
      <w:pPr>
        <w:spacing w:after="0" w:line="240" w:lineRule="auto"/>
        <w:jc w:val="both"/>
        <w:rPr>
          <w:rFonts w:ascii="Verdana" w:eastAsia="Verdana" w:hAnsi="Verdana" w:cs="Verdana"/>
          <w:b/>
          <w:bCs/>
          <w:lang w:val="es-ES"/>
        </w:rPr>
      </w:pPr>
    </w:p>
    <w:p w14:paraId="4458AB38"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18AD4CED" w14:textId="77777777" w:rsidR="00803DA8" w:rsidRPr="00BE429B" w:rsidRDefault="00803DA8" w:rsidP="00803DA8">
      <w:pPr>
        <w:spacing w:after="0" w:line="240" w:lineRule="auto"/>
        <w:jc w:val="both"/>
        <w:rPr>
          <w:rFonts w:ascii="Verdana" w:eastAsia="Verdana" w:hAnsi="Verdana" w:cs="Verdana"/>
          <w:b/>
          <w:bCs/>
        </w:rPr>
      </w:pPr>
    </w:p>
    <w:p w14:paraId="4B6CE1CF"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SERVICIOS PÚBLICOS DOMICILIARIOS – Subsidios – Estado Social de Derecho </w:t>
      </w:r>
    </w:p>
    <w:p w14:paraId="2B1FA781" w14:textId="77777777" w:rsidR="00803DA8" w:rsidRPr="00BE429B" w:rsidRDefault="00803DA8" w:rsidP="00803DA8">
      <w:pPr>
        <w:spacing w:after="0" w:line="240" w:lineRule="auto"/>
        <w:jc w:val="both"/>
        <w:rPr>
          <w:rFonts w:ascii="Verdana" w:eastAsia="Verdana" w:hAnsi="Verdana" w:cs="Verdana"/>
          <w:bCs/>
          <w:sz w:val="20"/>
          <w:lang w:val="es-ES"/>
        </w:rPr>
      </w:pPr>
    </w:p>
    <w:p w14:paraId="7869C984" w14:textId="77777777" w:rsidR="00803DA8" w:rsidRPr="00BE429B" w:rsidRDefault="00803DA8" w:rsidP="00803DA8">
      <w:pPr>
        <w:spacing w:after="0" w:line="240" w:lineRule="auto"/>
        <w:jc w:val="both"/>
        <w:rPr>
          <w:rFonts w:ascii="Verdana" w:eastAsia="Verdana" w:hAnsi="Verdana" w:cs="Verdana"/>
          <w:bCs/>
          <w:iCs/>
          <w:sz w:val="20"/>
        </w:rPr>
      </w:pPr>
      <w:r w:rsidRPr="00BE429B">
        <w:rPr>
          <w:rFonts w:ascii="Verdana" w:eastAsia="Verdana" w:hAnsi="Verdana" w:cs="Verdana"/>
          <w:bCs/>
          <w:iCs/>
          <w:sz w:val="20"/>
        </w:rPr>
        <w:t xml:space="preserve">Como manifestación del deber de otorgar subsidios en el marco del Estado Social de Derecho, se encuentra el artículo 368 constitucional prescribe: “[…] La Nación, los departamentos, los distritos, los municipios y las entidades descentralizadas podrán conceder subsidios, en sus respectivos presupuestos, para que las personas de menores ingresos puedan pagar las tarifas de los servicios públicos domiciliarios que cubran sus necesidades básicas”. En tal sentido, dicho tratamiento constitucional se desarrolló en la Leyes 142 y 143 de 1994. </w:t>
      </w:r>
    </w:p>
    <w:p w14:paraId="0D64BC00" w14:textId="77777777" w:rsidR="00803DA8" w:rsidRDefault="00803DA8" w:rsidP="00803DA8">
      <w:pPr>
        <w:spacing w:after="0" w:line="240" w:lineRule="auto"/>
        <w:jc w:val="both"/>
        <w:rPr>
          <w:rFonts w:ascii="Verdana" w:eastAsia="Verdana" w:hAnsi="Verdana" w:cs="Verdana"/>
          <w:bCs/>
          <w:iCs/>
          <w:sz w:val="20"/>
        </w:rPr>
      </w:pPr>
    </w:p>
    <w:p w14:paraId="6C8D06F7" w14:textId="77777777" w:rsidR="00803DA8" w:rsidRPr="00BE429B" w:rsidRDefault="00803DA8" w:rsidP="00803DA8">
      <w:pPr>
        <w:spacing w:after="0" w:line="240" w:lineRule="auto"/>
        <w:jc w:val="both"/>
        <w:rPr>
          <w:rFonts w:ascii="Verdana" w:eastAsia="Verdana" w:hAnsi="Verdana" w:cs="Verdana"/>
          <w:bCs/>
          <w:iCs/>
          <w:sz w:val="20"/>
          <w:lang w:val="es-ES"/>
        </w:rPr>
      </w:pPr>
      <w:r w:rsidRPr="00BE429B">
        <w:rPr>
          <w:rFonts w:ascii="Verdana" w:eastAsia="Verdana" w:hAnsi="Verdana" w:cs="Verdana"/>
          <w:bCs/>
          <w:iCs/>
          <w:sz w:val="20"/>
        </w:rPr>
        <w:t xml:space="preserve">Para ello, se hace una referencia especial a la Ley 142 de 1994, “por la cual se establece el régimen de los servicios públicos domiciliarios y se dictan otras disposiciones”. Dicha Ley en su artículo 3° establece que la intervención estatal en los servicios públicos se ejerce a través de diversas funciones asignadas a las entidades competentes, entre ellas: el apoyo a los prestadores, la gestión de recursos, la regulación de eficiencia, cobertura, </w:t>
      </w:r>
      <w:r w:rsidRPr="00BE429B">
        <w:rPr>
          <w:rFonts w:ascii="Verdana" w:eastAsia="Verdana" w:hAnsi="Verdana" w:cs="Verdana"/>
          <w:bCs/>
          <w:iCs/>
          <w:sz w:val="20"/>
        </w:rPr>
        <w:lastRenderedPageBreak/>
        <w:t>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7951300E" w14:textId="77777777" w:rsidR="00803DA8" w:rsidRPr="00BE429B" w:rsidRDefault="00803DA8" w:rsidP="00803DA8">
      <w:pPr>
        <w:spacing w:after="0" w:line="240" w:lineRule="auto"/>
        <w:jc w:val="both"/>
        <w:rPr>
          <w:rFonts w:ascii="Verdana" w:eastAsia="Verdana" w:hAnsi="Verdana" w:cs="Verdana"/>
          <w:bCs/>
          <w:sz w:val="20"/>
          <w:lang w:val="es-ES"/>
        </w:rPr>
      </w:pPr>
    </w:p>
    <w:p w14:paraId="3AAD92E1"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SUBSIDIOS – Ley 142 de 2994 – Contratos y Convenios – Financiación de Subsidios </w:t>
      </w:r>
    </w:p>
    <w:p w14:paraId="2FE89D14" w14:textId="77777777" w:rsidR="00803DA8" w:rsidRPr="000C7D33" w:rsidRDefault="00803DA8" w:rsidP="00803DA8">
      <w:pPr>
        <w:spacing w:after="0" w:line="240" w:lineRule="auto"/>
        <w:jc w:val="both"/>
        <w:rPr>
          <w:rFonts w:ascii="Verdana" w:eastAsia="Verdana" w:hAnsi="Verdana" w:cs="Verdana"/>
          <w:b/>
          <w:bCs/>
          <w:lang w:val="es-ES"/>
        </w:rPr>
      </w:pPr>
    </w:p>
    <w:p w14:paraId="09DECBDB"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ser una empresa de servicios públicos domiciliarios de naturaleza pública, mixta o privada -con o sin participación estatal-. Para la ejecución de dichas transferencias, se emplean instrumentos jurídicos como los convenios de transferencia de recursos.</w:t>
      </w:r>
    </w:p>
    <w:p w14:paraId="433F3DE4"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 </w:t>
      </w:r>
    </w:p>
    <w:p w14:paraId="6C36298B"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este escenario, la naturaleza de los convenios de transferencia de recursos depende de la naturaleza jurídica de las partes que los suscriben. Cuando una entidad territorial celebra estos acuerdos con empresas de servicios públicos de carácter público, mixto o privado con participación estatal, se configura un contrato o convenio interadministrativo. Ello se sustenta en que dichas empresas son catalogadas como entidades descentralizadas por servicios, conforme a lo establecido en el numeral 2 del artículo 38 de la Ley 489 de 1998 y a lo reiterado por la Corte Constitucional en la Sentencia C-736 de 2008, lo que les otorga un carácter especial dentro de la estructura administrativa del Estado. </w:t>
      </w:r>
    </w:p>
    <w:p w14:paraId="74E4B1E7" w14:textId="77777777" w:rsidR="00803DA8" w:rsidRPr="00BE429B" w:rsidRDefault="00803DA8" w:rsidP="00803DA8">
      <w:pPr>
        <w:spacing w:after="0" w:line="240" w:lineRule="auto"/>
        <w:jc w:val="both"/>
        <w:rPr>
          <w:rFonts w:ascii="Verdana" w:eastAsia="Verdana" w:hAnsi="Verdana" w:cs="Verdana"/>
          <w:bCs/>
          <w:sz w:val="20"/>
        </w:rPr>
      </w:pPr>
    </w:p>
    <w:p w14:paraId="0489E73A"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39785CBC" w14:textId="77777777" w:rsidR="00803DA8" w:rsidRPr="00BE429B" w:rsidRDefault="00803DA8" w:rsidP="00803DA8">
      <w:pPr>
        <w:spacing w:after="0" w:line="240" w:lineRule="auto"/>
        <w:jc w:val="both"/>
        <w:rPr>
          <w:rFonts w:ascii="Verdana" w:eastAsia="Verdana" w:hAnsi="Verdana" w:cs="Verdana"/>
          <w:b/>
          <w:bCs/>
        </w:rPr>
      </w:pPr>
    </w:p>
    <w:p w14:paraId="598A68C5"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 Artículo 38 – Artículo 33 </w:t>
      </w:r>
    </w:p>
    <w:p w14:paraId="2DE22A8E" w14:textId="77777777" w:rsidR="00803DA8" w:rsidRPr="000C7D33" w:rsidRDefault="00803DA8" w:rsidP="00803DA8">
      <w:pPr>
        <w:spacing w:after="0" w:line="240" w:lineRule="auto"/>
        <w:jc w:val="both"/>
        <w:rPr>
          <w:rFonts w:ascii="Verdana" w:eastAsia="Verdana" w:hAnsi="Verdana" w:cs="Verdana"/>
          <w:b/>
          <w:bCs/>
          <w:lang w:val="es-ES"/>
        </w:rPr>
      </w:pPr>
    </w:p>
    <w:p w14:paraId="58874D05" w14:textId="77777777" w:rsidR="00803DA8"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un lado, el </w:t>
      </w:r>
      <w:r w:rsidRPr="00BE429B">
        <w:rPr>
          <w:rFonts w:ascii="Verdana" w:eastAsia="Verdana" w:hAnsi="Verdana" w:cs="Verdana"/>
          <w:bCs/>
          <w:i/>
          <w:iCs/>
          <w:sz w:val="20"/>
        </w:rPr>
        <w:t>artículo 33 de la Ley 996 de 2005</w:t>
      </w:r>
      <w:r w:rsidRPr="00BE429B">
        <w:rPr>
          <w:rFonts w:ascii="Verdana" w:eastAsia="Verdana" w:hAnsi="Verdana" w:cs="Verdana"/>
          <w:bCs/>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w:t>
      </w:r>
      <w:r w:rsidRPr="00BE429B">
        <w:rPr>
          <w:rFonts w:ascii="Verdana" w:eastAsia="Verdana" w:hAnsi="Verdana" w:cs="Verdana"/>
          <w:bCs/>
          <w:sz w:val="20"/>
        </w:rPr>
        <w:lastRenderedPageBreak/>
        <w:t>puentes, carreteras, infraestructura energética y de comunicaciones, en caso de que hayan sido objeto de atentados, acciones terroristas, desastres naturales o casos de fuerza mayor, y los que deban realizar las entidades sanitarias y hospitalarias”.</w:t>
      </w:r>
    </w:p>
    <w:p w14:paraId="59A2A4F0" w14:textId="77777777" w:rsidR="00803DA8" w:rsidRPr="00BE429B" w:rsidRDefault="00803DA8" w:rsidP="00803DA8">
      <w:pPr>
        <w:spacing w:after="0" w:line="240" w:lineRule="auto"/>
        <w:jc w:val="both"/>
        <w:rPr>
          <w:rFonts w:ascii="Verdana" w:eastAsia="Verdana" w:hAnsi="Verdana" w:cs="Verdana"/>
          <w:bCs/>
          <w:sz w:val="20"/>
        </w:rPr>
      </w:pPr>
    </w:p>
    <w:p w14:paraId="4F9E6926" w14:textId="77777777" w:rsidR="00803DA8" w:rsidRPr="00BE429B" w:rsidRDefault="00803DA8" w:rsidP="00803DA8">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otro lado, </w:t>
      </w:r>
      <w:r w:rsidRPr="00BE429B">
        <w:rPr>
          <w:rFonts w:ascii="Verdana" w:eastAsia="Verdana" w:hAnsi="Verdana" w:cs="Verdana"/>
          <w:bCs/>
          <w:i/>
          <w:iCs/>
          <w:sz w:val="20"/>
        </w:rPr>
        <w:t>el parágrafo del artículo 38 de la Ley 996 de 2005</w:t>
      </w:r>
      <w:r w:rsidRPr="00BE429B">
        <w:rPr>
          <w:rFonts w:ascii="Verdana" w:eastAsia="Verdana" w:hAnsi="Verdana" w:cs="Verdana"/>
          <w:bCs/>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E429B">
        <w:rPr>
          <w:rFonts w:ascii="Verdana" w:eastAsia="Verdana" w:hAnsi="Verdana" w:cs="Verdana"/>
          <w:bCs/>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429B">
        <w:rPr>
          <w:rFonts w:ascii="Verdana" w:eastAsia="Verdana" w:hAnsi="Verdana" w:cs="Verdana"/>
          <w:bCs/>
          <w:sz w:val="20"/>
        </w:rPr>
        <w:t>”.</w:t>
      </w:r>
    </w:p>
    <w:p w14:paraId="0B34A81B" w14:textId="77777777" w:rsidR="00803DA8" w:rsidRPr="000C7D33" w:rsidRDefault="00803DA8" w:rsidP="00803DA8">
      <w:pPr>
        <w:spacing w:after="0" w:line="240" w:lineRule="auto"/>
        <w:jc w:val="both"/>
        <w:rPr>
          <w:rFonts w:ascii="Verdana" w:eastAsia="Verdana" w:hAnsi="Verdana" w:cs="Verdana"/>
          <w:b/>
          <w:bCs/>
          <w:lang w:val="es-ES"/>
        </w:rPr>
      </w:pPr>
    </w:p>
    <w:p w14:paraId="7E21CA5A"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–Superintendencia de Servicios Públicos Domiciliarios </w:t>
      </w:r>
    </w:p>
    <w:p w14:paraId="715CE7E3" w14:textId="77777777" w:rsidR="00803DA8" w:rsidRPr="000C7D33" w:rsidRDefault="00803DA8" w:rsidP="00803DA8">
      <w:pPr>
        <w:spacing w:after="0" w:line="240" w:lineRule="auto"/>
        <w:jc w:val="both"/>
        <w:rPr>
          <w:rFonts w:ascii="Verdana" w:eastAsia="Verdana" w:hAnsi="Verdana" w:cs="Verdana"/>
          <w:b/>
          <w:bCs/>
          <w:lang w:val="es-ES"/>
        </w:rPr>
      </w:pPr>
    </w:p>
    <w:p w14:paraId="1438DFC9" w14:textId="77777777" w:rsidR="00803DA8" w:rsidRDefault="00803DA8" w:rsidP="00803DA8">
      <w:pPr>
        <w:spacing w:after="0" w:line="240" w:lineRule="auto"/>
        <w:jc w:val="both"/>
        <w:rPr>
          <w:rFonts w:ascii="Verdana" w:eastAsia="Verdana" w:hAnsi="Verdana" w:cs="Verdana"/>
          <w:bCs/>
          <w:iCs/>
          <w:sz w:val="20"/>
        </w:rPr>
      </w:pPr>
      <w:r w:rsidRPr="00D01973">
        <w:rPr>
          <w:rFonts w:ascii="Verdana" w:eastAsia="Verdana" w:hAnsi="Verdana" w:cs="Verdana"/>
          <w:bCs/>
          <w:sz w:val="20"/>
        </w:rPr>
        <w:t>Teniendo en cuenta lo expuesto, la Superintendencia de Servicios Públicos ha expresado que l</w:t>
      </w:r>
      <w:r w:rsidRPr="00D01973">
        <w:rPr>
          <w:rFonts w:ascii="Verdana" w:eastAsia="Verdana" w:hAnsi="Verdana" w:cs="Verdana"/>
          <w:bCs/>
          <w:iCs/>
          <w:sz w:val="20"/>
        </w:rPr>
        <w:t>a celebración de contratos o convenios para la transferencia de recursos destinados a subsidios entre los entes territoriales y los prestadores de servicios públicos constituye una obligación legal esencial, exceptuando de la aplicación de la Ley de Garantías. Este organismo considera que estos convenios o contratos 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p>
    <w:p w14:paraId="64EDE048" w14:textId="77777777" w:rsidR="00803DA8" w:rsidRPr="00D01973" w:rsidRDefault="00803DA8" w:rsidP="00803DA8">
      <w:pPr>
        <w:spacing w:after="0" w:line="240" w:lineRule="auto"/>
        <w:jc w:val="both"/>
        <w:rPr>
          <w:rFonts w:ascii="Verdana" w:eastAsia="Verdana" w:hAnsi="Verdana" w:cs="Verdana"/>
          <w:bCs/>
          <w:sz w:val="20"/>
          <w:lang w:val="es-ES"/>
        </w:rPr>
      </w:pPr>
    </w:p>
    <w:p w14:paraId="14C22830" w14:textId="77777777" w:rsidR="00803DA8"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w:t>
      </w:r>
      <w:r>
        <w:rPr>
          <w:rFonts w:ascii="Verdana" w:eastAsia="Verdana" w:hAnsi="Verdana" w:cs="Verdana"/>
          <w:b/>
          <w:bCs/>
          <w:lang w:val="es-ES"/>
        </w:rPr>
        <w:t>Posturas del Consejo de Estado</w:t>
      </w:r>
    </w:p>
    <w:p w14:paraId="778C80D7" w14:textId="77777777" w:rsidR="00803DA8" w:rsidRDefault="00803DA8" w:rsidP="00803DA8">
      <w:pPr>
        <w:spacing w:after="0" w:line="240" w:lineRule="auto"/>
        <w:jc w:val="both"/>
        <w:rPr>
          <w:rFonts w:ascii="Verdana" w:eastAsia="Verdana" w:hAnsi="Verdana" w:cs="Verdana"/>
          <w:b/>
          <w:bCs/>
          <w:lang w:val="es-ES"/>
        </w:rPr>
      </w:pPr>
    </w:p>
    <w:p w14:paraId="6437BC47" w14:textId="77777777" w:rsidR="00803DA8" w:rsidRPr="00D01973" w:rsidRDefault="00803DA8" w:rsidP="00803DA8">
      <w:pPr>
        <w:spacing w:after="0" w:line="240" w:lineRule="auto"/>
        <w:jc w:val="both"/>
        <w:rPr>
          <w:rFonts w:ascii="Verdana" w:eastAsia="Verdana" w:hAnsi="Verdana" w:cs="Verdana"/>
          <w:bCs/>
          <w:sz w:val="20"/>
          <w:lang w:val="es-ES"/>
        </w:rPr>
      </w:pPr>
      <w:r w:rsidRPr="00D01973">
        <w:rPr>
          <w:rFonts w:ascii="Verdana" w:eastAsia="Verdana" w:hAnsi="Verdana" w:cs="Verdana"/>
          <w:bCs/>
          <w:sz w:val="20"/>
        </w:rPr>
        <w:t xml:space="preserve">Bajo ese escenario, </w:t>
      </w:r>
      <w:r w:rsidRPr="00D01973">
        <w:rPr>
          <w:rFonts w:ascii="Verdana" w:eastAsia="Verdana" w:hAnsi="Verdana" w:cs="Verdana"/>
          <w:bCs/>
          <w:sz w:val="20"/>
          <w:lang w:val="es-ES" w:bidi="es-ES"/>
        </w:rPr>
        <w:t>el alcance de esta obligación frente a las restricciones de la Ley de Garantías Electorales, resulta pertinente traer a colación el pronunciamiento de la Sala de Consulta y Servicio Civil del Consejo de Estado,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D01973">
        <w:rPr>
          <w:rFonts w:ascii="Verdana" w:eastAsia="Verdana" w:hAnsi="Verdana" w:cs="Verdana"/>
          <w:bCs/>
          <w:sz w:val="20"/>
          <w:lang w:val="es-ES"/>
        </w:rPr>
        <w:t xml:space="preserve"> En este contexto, 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w:t>
      </w:r>
      <w:r w:rsidRPr="00D01973">
        <w:rPr>
          <w:rFonts w:ascii="Verdana" w:eastAsia="Verdana" w:hAnsi="Verdana" w:cs="Verdana"/>
          <w:bCs/>
          <w:sz w:val="20"/>
          <w:lang w:val="es-ES"/>
        </w:rPr>
        <w:lastRenderedPageBreak/>
        <w:t>social, particularmente en lo relacionado con la prestación de servicios públicos esenciales.</w:t>
      </w:r>
    </w:p>
    <w:p w14:paraId="493ED984" w14:textId="77777777" w:rsidR="00803DA8" w:rsidRPr="00D01973" w:rsidRDefault="00803DA8" w:rsidP="00803DA8">
      <w:pPr>
        <w:spacing w:after="0" w:line="240" w:lineRule="auto"/>
        <w:jc w:val="both"/>
        <w:rPr>
          <w:rFonts w:ascii="Verdana" w:eastAsia="Verdana" w:hAnsi="Verdana" w:cs="Verdana"/>
          <w:b/>
          <w:bCs/>
          <w:lang w:val="es-ES"/>
        </w:rPr>
      </w:pPr>
    </w:p>
    <w:p w14:paraId="0B2B821C" w14:textId="77777777" w:rsidR="00803DA8" w:rsidRPr="000C7D33" w:rsidRDefault="00803DA8" w:rsidP="00803DA8">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GARANTIAS – Restricciones-Celebración de Contratos y Convenios – Transferencia de recursos </w:t>
      </w:r>
    </w:p>
    <w:p w14:paraId="1F2B27E4" w14:textId="77777777" w:rsidR="00803DA8" w:rsidRPr="00D01973" w:rsidRDefault="00803DA8" w:rsidP="00803DA8">
      <w:pPr>
        <w:spacing w:after="0" w:line="240" w:lineRule="auto"/>
        <w:jc w:val="both"/>
        <w:rPr>
          <w:rFonts w:ascii="Verdana" w:eastAsia="Verdana" w:hAnsi="Verdana" w:cs="Verdana"/>
          <w:bCs/>
          <w:sz w:val="20"/>
          <w:lang w:val="es-ES"/>
        </w:rPr>
      </w:pPr>
    </w:p>
    <w:p w14:paraId="55A626C0" w14:textId="77777777" w:rsidR="00803DA8" w:rsidRPr="00D01973" w:rsidRDefault="00803DA8" w:rsidP="00803DA8">
      <w:pPr>
        <w:spacing w:after="0" w:line="240" w:lineRule="auto"/>
        <w:jc w:val="both"/>
        <w:rPr>
          <w:rFonts w:ascii="Verdana" w:eastAsia="Verdana" w:hAnsi="Verdana" w:cs="Verdana"/>
          <w:bCs/>
          <w:sz w:val="20"/>
          <w:lang w:val="es-ES"/>
        </w:rPr>
      </w:pPr>
      <w:r w:rsidRPr="00D01973">
        <w:rPr>
          <w:rFonts w:ascii="Verdana" w:eastAsia="Verdana" w:hAnsi="Verdana" w:cs="Verdana"/>
          <w:bCs/>
          <w:sz w:val="20"/>
          <w:lang w:val="es-ES"/>
        </w:rPr>
        <w:t xml:space="preserve">A partir de lo expuesto en las consideraciones previas, la Agencia considera esta Agencia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6229742E" w14:textId="77777777" w:rsidR="00803DA8" w:rsidRDefault="00803DA8" w:rsidP="00803DA8">
      <w:pPr>
        <w:spacing w:after="0" w:line="240" w:lineRule="auto"/>
        <w:rPr>
          <w:rFonts w:ascii="Verdana" w:eastAsia="Calibri" w:hAnsi="Verdana" w:cs="Arial"/>
          <w:color w:val="000000" w:themeColor="text1"/>
        </w:rPr>
      </w:pPr>
    </w:p>
    <w:p w14:paraId="6B5B0025" w14:textId="77777777" w:rsidR="00803DA8" w:rsidRDefault="00803DA8" w:rsidP="00803DA8">
      <w:pPr>
        <w:spacing w:after="0" w:line="240" w:lineRule="auto"/>
        <w:rPr>
          <w:rFonts w:ascii="Verdana" w:eastAsia="Calibri" w:hAnsi="Verdana" w:cs="Arial"/>
          <w:color w:val="000000" w:themeColor="text1"/>
        </w:rPr>
      </w:pPr>
    </w:p>
    <w:p w14:paraId="1D2179D0" w14:textId="77777777" w:rsidR="00803DA8" w:rsidRDefault="00803DA8" w:rsidP="00803DA8">
      <w:pPr>
        <w:spacing w:after="0" w:line="240" w:lineRule="auto"/>
        <w:rPr>
          <w:rFonts w:ascii="Verdana" w:eastAsia="Calibri" w:hAnsi="Verdana" w:cs="Arial"/>
          <w:color w:val="000000" w:themeColor="text1"/>
        </w:rPr>
      </w:pPr>
    </w:p>
    <w:p w14:paraId="284AE978" w14:textId="77777777" w:rsidR="00803DA8" w:rsidRDefault="00803DA8" w:rsidP="00803DA8">
      <w:pPr>
        <w:spacing w:after="0" w:line="240" w:lineRule="auto"/>
        <w:rPr>
          <w:rFonts w:ascii="Verdana" w:eastAsia="Calibri" w:hAnsi="Verdana" w:cs="Arial"/>
          <w:color w:val="000000" w:themeColor="text1"/>
        </w:rPr>
      </w:pPr>
    </w:p>
    <w:p w14:paraId="5CEB7051" w14:textId="77777777" w:rsidR="00803DA8" w:rsidRDefault="00803DA8" w:rsidP="00803DA8">
      <w:pPr>
        <w:spacing w:after="0" w:line="240" w:lineRule="auto"/>
        <w:rPr>
          <w:rFonts w:ascii="Verdana" w:eastAsia="Calibri" w:hAnsi="Verdana" w:cs="Arial"/>
          <w:color w:val="000000" w:themeColor="text1"/>
        </w:rPr>
      </w:pPr>
    </w:p>
    <w:p w14:paraId="4F40B774" w14:textId="77777777" w:rsidR="00803DA8" w:rsidRDefault="00803DA8" w:rsidP="00803DA8">
      <w:pPr>
        <w:spacing w:after="0" w:line="240" w:lineRule="auto"/>
        <w:rPr>
          <w:rFonts w:ascii="Verdana" w:eastAsia="Calibri" w:hAnsi="Verdana" w:cs="Arial"/>
          <w:color w:val="000000" w:themeColor="text1"/>
        </w:rPr>
      </w:pPr>
    </w:p>
    <w:p w14:paraId="00CAC9CA" w14:textId="77777777" w:rsidR="00803DA8" w:rsidRDefault="00803DA8" w:rsidP="00803DA8">
      <w:pPr>
        <w:spacing w:after="0" w:line="240" w:lineRule="auto"/>
        <w:rPr>
          <w:rFonts w:ascii="Verdana" w:eastAsia="Calibri" w:hAnsi="Verdana" w:cs="Arial"/>
          <w:color w:val="000000" w:themeColor="text1"/>
        </w:rPr>
      </w:pPr>
    </w:p>
    <w:p w14:paraId="7EAC0C64" w14:textId="77777777" w:rsidR="00803DA8" w:rsidRDefault="00803DA8" w:rsidP="00803DA8">
      <w:pPr>
        <w:spacing w:after="0" w:line="240" w:lineRule="auto"/>
        <w:rPr>
          <w:rFonts w:ascii="Verdana" w:eastAsia="Calibri" w:hAnsi="Verdana" w:cs="Arial"/>
          <w:color w:val="000000" w:themeColor="text1"/>
        </w:rPr>
      </w:pPr>
    </w:p>
    <w:p w14:paraId="29645982" w14:textId="77777777" w:rsidR="00803DA8" w:rsidRDefault="00803DA8" w:rsidP="00803DA8">
      <w:pPr>
        <w:spacing w:after="0" w:line="240" w:lineRule="auto"/>
        <w:rPr>
          <w:rFonts w:ascii="Verdana" w:eastAsia="Calibri" w:hAnsi="Verdana" w:cs="Arial"/>
          <w:color w:val="000000" w:themeColor="text1"/>
        </w:rPr>
      </w:pPr>
    </w:p>
    <w:p w14:paraId="09CA94F0" w14:textId="77777777" w:rsidR="00803DA8" w:rsidRDefault="00803DA8" w:rsidP="00803DA8">
      <w:pPr>
        <w:spacing w:after="0" w:line="240" w:lineRule="auto"/>
        <w:rPr>
          <w:rFonts w:ascii="Verdana" w:eastAsia="Calibri" w:hAnsi="Verdana" w:cs="Arial"/>
          <w:color w:val="000000" w:themeColor="text1"/>
        </w:rPr>
      </w:pPr>
    </w:p>
    <w:p w14:paraId="3BC08451" w14:textId="77777777" w:rsidR="00803DA8" w:rsidRDefault="00803DA8" w:rsidP="00803DA8">
      <w:pPr>
        <w:spacing w:after="0" w:line="240" w:lineRule="auto"/>
        <w:rPr>
          <w:rFonts w:ascii="Verdana" w:eastAsia="Calibri" w:hAnsi="Verdana" w:cs="Arial"/>
          <w:color w:val="000000" w:themeColor="text1"/>
        </w:rPr>
      </w:pPr>
    </w:p>
    <w:p w14:paraId="63A0FC0D" w14:textId="77777777" w:rsidR="00803DA8" w:rsidRDefault="00803DA8" w:rsidP="00803DA8">
      <w:pPr>
        <w:spacing w:after="0" w:line="240" w:lineRule="auto"/>
        <w:rPr>
          <w:rFonts w:ascii="Verdana" w:eastAsia="Calibri" w:hAnsi="Verdana" w:cs="Arial"/>
          <w:color w:val="000000" w:themeColor="text1"/>
        </w:rPr>
      </w:pPr>
    </w:p>
    <w:p w14:paraId="31F27CC1" w14:textId="77777777" w:rsidR="00803DA8" w:rsidRDefault="00803DA8" w:rsidP="00803DA8">
      <w:pPr>
        <w:spacing w:after="0" w:line="240" w:lineRule="auto"/>
        <w:rPr>
          <w:rFonts w:ascii="Verdana" w:eastAsia="Calibri" w:hAnsi="Verdana" w:cs="Arial"/>
          <w:color w:val="000000" w:themeColor="text1"/>
        </w:rPr>
      </w:pPr>
    </w:p>
    <w:p w14:paraId="3EA8BF85" w14:textId="77777777" w:rsidR="00803DA8" w:rsidRDefault="00803DA8" w:rsidP="00803DA8">
      <w:pPr>
        <w:spacing w:after="0" w:line="240" w:lineRule="auto"/>
        <w:rPr>
          <w:rFonts w:ascii="Verdana" w:eastAsia="Calibri" w:hAnsi="Verdana" w:cs="Arial"/>
          <w:color w:val="000000" w:themeColor="text1"/>
        </w:rPr>
      </w:pPr>
    </w:p>
    <w:p w14:paraId="6AC82F20" w14:textId="77777777" w:rsidR="00803DA8" w:rsidRDefault="00803DA8" w:rsidP="00803DA8">
      <w:pPr>
        <w:spacing w:after="0" w:line="240" w:lineRule="auto"/>
        <w:rPr>
          <w:rFonts w:ascii="Verdana" w:eastAsia="Calibri" w:hAnsi="Verdana" w:cs="Arial"/>
          <w:color w:val="000000" w:themeColor="text1"/>
        </w:rPr>
      </w:pPr>
    </w:p>
    <w:p w14:paraId="1CC4C85A" w14:textId="77777777" w:rsidR="00803DA8" w:rsidRDefault="00803DA8" w:rsidP="00803DA8">
      <w:pPr>
        <w:spacing w:after="0" w:line="240" w:lineRule="auto"/>
        <w:rPr>
          <w:rFonts w:ascii="Verdana" w:eastAsia="Calibri" w:hAnsi="Verdana" w:cs="Arial"/>
          <w:color w:val="000000" w:themeColor="text1"/>
        </w:rPr>
      </w:pPr>
    </w:p>
    <w:p w14:paraId="4446E38F" w14:textId="77777777" w:rsidR="00803DA8" w:rsidRDefault="00803DA8" w:rsidP="00803DA8">
      <w:pPr>
        <w:spacing w:after="0" w:line="240" w:lineRule="auto"/>
        <w:rPr>
          <w:rFonts w:ascii="Verdana" w:eastAsia="Calibri" w:hAnsi="Verdana" w:cs="Arial"/>
          <w:color w:val="000000" w:themeColor="text1"/>
        </w:rPr>
      </w:pPr>
    </w:p>
    <w:p w14:paraId="6E94CDFF" w14:textId="77777777" w:rsidR="00803DA8" w:rsidRDefault="00803DA8" w:rsidP="00803DA8">
      <w:pPr>
        <w:spacing w:after="0" w:line="240" w:lineRule="auto"/>
        <w:rPr>
          <w:rFonts w:ascii="Verdana" w:eastAsia="Calibri" w:hAnsi="Verdana" w:cs="Arial"/>
          <w:color w:val="000000" w:themeColor="text1"/>
        </w:rPr>
      </w:pPr>
    </w:p>
    <w:p w14:paraId="5DAFA2CD" w14:textId="77777777" w:rsidR="00803DA8" w:rsidRDefault="00803DA8" w:rsidP="00803DA8">
      <w:pPr>
        <w:spacing w:after="0" w:line="240" w:lineRule="auto"/>
        <w:rPr>
          <w:rFonts w:ascii="Verdana" w:eastAsia="Calibri" w:hAnsi="Verdana" w:cs="Arial"/>
          <w:color w:val="000000" w:themeColor="text1"/>
        </w:rPr>
      </w:pPr>
    </w:p>
    <w:p w14:paraId="3605735B" w14:textId="77777777" w:rsidR="00803DA8" w:rsidRDefault="00803DA8" w:rsidP="00803DA8">
      <w:pPr>
        <w:spacing w:after="0" w:line="240" w:lineRule="auto"/>
        <w:rPr>
          <w:rFonts w:ascii="Verdana" w:eastAsia="Calibri" w:hAnsi="Verdana" w:cs="Arial"/>
          <w:color w:val="000000" w:themeColor="text1"/>
        </w:rPr>
      </w:pPr>
    </w:p>
    <w:p w14:paraId="0A273E95" w14:textId="77777777" w:rsidR="00803DA8" w:rsidRDefault="00803DA8" w:rsidP="00803DA8">
      <w:pPr>
        <w:spacing w:after="0" w:line="240" w:lineRule="auto"/>
        <w:rPr>
          <w:rFonts w:ascii="Verdana" w:eastAsia="Calibri" w:hAnsi="Verdana" w:cs="Arial"/>
          <w:color w:val="000000" w:themeColor="text1"/>
        </w:rPr>
      </w:pPr>
    </w:p>
    <w:p w14:paraId="1E988969" w14:textId="77777777" w:rsidR="00803DA8" w:rsidRDefault="00803DA8" w:rsidP="00803DA8">
      <w:pPr>
        <w:spacing w:after="0" w:line="240" w:lineRule="auto"/>
        <w:rPr>
          <w:rFonts w:ascii="Verdana" w:eastAsia="Calibri" w:hAnsi="Verdana" w:cs="Arial"/>
          <w:color w:val="000000" w:themeColor="text1"/>
        </w:rPr>
      </w:pPr>
    </w:p>
    <w:p w14:paraId="5CDC4C39" w14:textId="77777777" w:rsidR="00803DA8" w:rsidRDefault="00803DA8" w:rsidP="00803DA8">
      <w:pPr>
        <w:spacing w:after="0" w:line="240" w:lineRule="auto"/>
        <w:rPr>
          <w:rFonts w:ascii="Verdana" w:eastAsia="Calibri" w:hAnsi="Verdana" w:cs="Arial"/>
          <w:color w:val="000000" w:themeColor="text1"/>
        </w:rPr>
      </w:pPr>
    </w:p>
    <w:p w14:paraId="0A6500B3" w14:textId="77777777" w:rsidR="00803DA8" w:rsidRDefault="00803DA8" w:rsidP="00803DA8">
      <w:pPr>
        <w:spacing w:after="0" w:line="240" w:lineRule="auto"/>
        <w:rPr>
          <w:rFonts w:ascii="Verdana" w:eastAsia="Calibri" w:hAnsi="Verdana" w:cs="Arial"/>
          <w:color w:val="000000" w:themeColor="text1"/>
        </w:rPr>
      </w:pPr>
    </w:p>
    <w:p w14:paraId="5FD88C45" w14:textId="77777777" w:rsidR="00803DA8" w:rsidRDefault="00803DA8" w:rsidP="00803DA8">
      <w:pPr>
        <w:spacing w:after="0" w:line="240" w:lineRule="auto"/>
        <w:rPr>
          <w:rFonts w:ascii="Verdana" w:eastAsia="Calibri" w:hAnsi="Verdana" w:cs="Arial"/>
          <w:color w:val="000000" w:themeColor="text1"/>
        </w:rPr>
      </w:pPr>
    </w:p>
    <w:p w14:paraId="08B85846" w14:textId="7EB9EC3E" w:rsidR="00803DA8" w:rsidRPr="00E31648" w:rsidRDefault="00803DA8" w:rsidP="00803DA8">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0</w:t>
      </w:r>
      <w:r w:rsidR="00EB29BE">
        <w:rPr>
          <w:rFonts w:ascii="Verdana" w:eastAsia="Calibri" w:hAnsi="Verdana" w:cs="Arial"/>
          <w:color w:val="000000" w:themeColor="text1"/>
        </w:rPr>
        <w:t>8</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231F295B" w14:textId="77777777" w:rsidR="00803DA8" w:rsidRDefault="00803DA8" w:rsidP="00803DA8">
      <w:pPr>
        <w:spacing w:after="0" w:line="240" w:lineRule="auto"/>
        <w:jc w:val="both"/>
        <w:rPr>
          <w:rFonts w:ascii="Verdana" w:eastAsia="Calibri" w:hAnsi="Verdana" w:cs="Arial"/>
          <w:color w:val="000000" w:themeColor="text1"/>
          <w:lang w:val="es-ES"/>
        </w:rPr>
      </w:pPr>
    </w:p>
    <w:p w14:paraId="7016202D" w14:textId="77777777" w:rsidR="00AF5294" w:rsidRDefault="00AF5294" w:rsidP="00803DA8">
      <w:pPr>
        <w:spacing w:after="0" w:line="240" w:lineRule="auto"/>
        <w:jc w:val="both"/>
        <w:rPr>
          <w:rFonts w:ascii="Verdana" w:eastAsia="Calibri" w:hAnsi="Verdana" w:cs="Arial"/>
          <w:color w:val="000000" w:themeColor="text1"/>
          <w:lang w:val="es-ES"/>
        </w:rPr>
      </w:pPr>
    </w:p>
    <w:p w14:paraId="176FAE50" w14:textId="1088E765" w:rsidR="00AF5294" w:rsidRDefault="00EB29BE" w:rsidP="00EB29BE">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1C59039" wp14:editId="6A992763">
            <wp:extent cx="2209800" cy="647700"/>
            <wp:effectExtent l="0" t="0" r="0" b="0"/>
            <wp:docPr id="694892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647700"/>
                    </a:xfrm>
                    <a:prstGeom prst="rect">
                      <a:avLst/>
                    </a:prstGeom>
                    <a:noFill/>
                    <a:ln>
                      <a:noFill/>
                    </a:ln>
                  </pic:spPr>
                </pic:pic>
              </a:graphicData>
            </a:graphic>
          </wp:inline>
        </w:drawing>
      </w:r>
    </w:p>
    <w:p w14:paraId="4BE010F7" w14:textId="77777777" w:rsidR="00AF5294" w:rsidRDefault="00AF5294" w:rsidP="00803DA8">
      <w:pPr>
        <w:spacing w:after="0" w:line="240" w:lineRule="auto"/>
        <w:jc w:val="both"/>
        <w:rPr>
          <w:rFonts w:ascii="Verdana" w:eastAsia="Calibri" w:hAnsi="Verdana" w:cs="Arial"/>
          <w:color w:val="000000" w:themeColor="text1"/>
          <w:lang w:val="es-ES"/>
        </w:rPr>
      </w:pPr>
    </w:p>
    <w:p w14:paraId="51FB6983" w14:textId="77777777" w:rsidR="00AF5294" w:rsidRDefault="00AF5294" w:rsidP="00803DA8">
      <w:pPr>
        <w:spacing w:after="0" w:line="240" w:lineRule="auto"/>
        <w:jc w:val="both"/>
        <w:rPr>
          <w:rFonts w:ascii="Verdana" w:eastAsia="Calibri" w:hAnsi="Verdana" w:cs="Arial"/>
          <w:color w:val="000000" w:themeColor="text1"/>
          <w:lang w:val="es-ES"/>
        </w:rPr>
      </w:pPr>
    </w:p>
    <w:p w14:paraId="0D3D6E61" w14:textId="77777777" w:rsidR="00803DA8" w:rsidRPr="0046108F" w:rsidRDefault="00803DA8" w:rsidP="00803DA8">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(a):</w:t>
      </w:r>
    </w:p>
    <w:p w14:paraId="08C0296D" w14:textId="77777777" w:rsidR="00803DA8" w:rsidRPr="00E240F3" w:rsidRDefault="00803DA8" w:rsidP="00803DA8">
      <w:pPr>
        <w:spacing w:after="0" w:line="240" w:lineRule="auto"/>
        <w:jc w:val="both"/>
        <w:rPr>
          <w:rFonts w:ascii="Verdana" w:eastAsia="Calibri" w:hAnsi="Verdana" w:cs="Arial"/>
          <w:b/>
          <w:bCs/>
          <w:color w:val="000000" w:themeColor="text1"/>
          <w:highlight w:val="yellow"/>
          <w:lang w:val="es-ES" w:eastAsia="es-ES"/>
        </w:rPr>
      </w:pPr>
      <w:r w:rsidRPr="00C2001F">
        <w:rPr>
          <w:rFonts w:ascii="Verdana" w:eastAsia="Calibri" w:hAnsi="Verdana" w:cs="Arial"/>
          <w:b/>
          <w:bCs/>
          <w:color w:val="000000" w:themeColor="text1"/>
          <w:lang w:val="es-ES" w:eastAsia="es-ES"/>
        </w:rPr>
        <w:t>kssuarez307@gmail.com</w:t>
      </w:r>
    </w:p>
    <w:p w14:paraId="4F01F830" w14:textId="77777777" w:rsidR="00803DA8" w:rsidRPr="006B17A7" w:rsidRDefault="00803DA8" w:rsidP="00803DA8">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199B2F1E" w14:textId="77777777" w:rsidR="00803DA8" w:rsidRPr="00CB7ABE" w:rsidRDefault="00803DA8" w:rsidP="00803DA8">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803DA8" w:rsidRPr="00115E3D" w14:paraId="7A62E418" w14:textId="77777777" w:rsidTr="00E44539">
        <w:trPr>
          <w:trHeight w:val="615"/>
        </w:trPr>
        <w:tc>
          <w:tcPr>
            <w:tcW w:w="2270" w:type="dxa"/>
          </w:tcPr>
          <w:p w14:paraId="716B5807" w14:textId="77777777" w:rsidR="00803DA8" w:rsidRPr="00CB7ABE" w:rsidRDefault="00803DA8" w:rsidP="00E44539">
            <w:pPr>
              <w:jc w:val="both"/>
              <w:rPr>
                <w:rFonts w:ascii="Verdana" w:eastAsia="Calibri" w:hAnsi="Verdana" w:cs="Arial"/>
                <w:b/>
                <w:bCs/>
                <w:color w:val="000000" w:themeColor="text1"/>
                <w:lang w:eastAsia="es-ES_tradnl"/>
              </w:rPr>
            </w:pPr>
          </w:p>
        </w:tc>
        <w:tc>
          <w:tcPr>
            <w:tcW w:w="6547" w:type="dxa"/>
          </w:tcPr>
          <w:p w14:paraId="3E1D0558" w14:textId="77777777" w:rsidR="00803DA8" w:rsidRPr="008A209A" w:rsidRDefault="00803DA8" w:rsidP="00E44539">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480</w:t>
            </w:r>
            <w:r w:rsidRPr="008A209A">
              <w:rPr>
                <w:rFonts w:ascii="Verdana" w:eastAsia="Calibri" w:hAnsi="Verdana" w:cs="Arial"/>
                <w:b/>
                <w:bCs/>
                <w:color w:val="000000" w:themeColor="text1"/>
                <w:lang w:val="es-ES" w:eastAsia="es-ES"/>
              </w:rPr>
              <w:t xml:space="preserve"> de 2026</w:t>
            </w:r>
          </w:p>
        </w:tc>
      </w:tr>
      <w:tr w:rsidR="00803DA8" w:rsidRPr="007E403E" w14:paraId="0CE7603C" w14:textId="77777777" w:rsidTr="00E44539">
        <w:trPr>
          <w:trHeight w:val="1071"/>
        </w:trPr>
        <w:tc>
          <w:tcPr>
            <w:tcW w:w="2270" w:type="dxa"/>
          </w:tcPr>
          <w:p w14:paraId="3ED578D6" w14:textId="77777777" w:rsidR="00803DA8" w:rsidRPr="001B36DA" w:rsidRDefault="00803DA8" w:rsidP="00E44539">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1E8976FF" w14:textId="77777777" w:rsidR="00803DA8" w:rsidRDefault="00803DA8" w:rsidP="00E44539">
            <w:pPr>
              <w:spacing w:line="276" w:lineRule="auto"/>
              <w:jc w:val="both"/>
              <w:rPr>
                <w:rFonts w:ascii="Verdana" w:hAnsi="Verdana" w:cs="Arial"/>
                <w:bCs/>
                <w:lang w:val="es-ES" w:eastAsia="es-ES"/>
              </w:rPr>
            </w:pPr>
            <w:r w:rsidRPr="00482020">
              <w:rPr>
                <w:rFonts w:ascii="Verdana" w:hAnsi="Verdana" w:cs="Arial"/>
                <w:lang w:val="es-ES" w:eastAsia="es-ES"/>
              </w:rPr>
              <w:t>RÉGIMEN EXCEPCIONAL – Justificación – Criterios de clasificación / EMPRESAS DE SERVICIOS PÚBLICOS – Naturaleza – régimen especial / EMPRESAS DE SERVICIOS PÚBLICOS – Mixtas – Privadas con participación estatal – Entidades descentralizadas por servicios – Sentencia C-</w:t>
            </w:r>
            <w:r>
              <w:rPr>
                <w:rFonts w:ascii="Verdana" w:hAnsi="Verdana" w:cs="Arial"/>
                <w:lang w:val="es-ES" w:eastAsia="es-ES"/>
              </w:rPr>
              <w:t>736</w:t>
            </w:r>
            <w:r w:rsidRPr="00482020">
              <w:rPr>
                <w:rFonts w:ascii="Verdana" w:hAnsi="Verdana" w:cs="Arial"/>
                <w:lang w:val="es-ES" w:eastAsia="es-ES"/>
              </w:rPr>
              <w:t xml:space="preserve"> de 2007 / EMPRESAS PRIVADAS DE SERVICIOS PÚBLICOS – Capital – 100% privadas – Naturaleza </w:t>
            </w:r>
            <w:r w:rsidRPr="00AC39B6">
              <w:rPr>
                <w:rFonts w:ascii="Verdana" w:hAnsi="Verdana" w:cs="Arial"/>
                <w:lang w:val="es-ES" w:eastAsia="es-ES"/>
              </w:rPr>
              <w:t xml:space="preserve">/ </w:t>
            </w: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SERVICIOS PÚBLICOS DOMICILIARIOS – Subsidios – Estado Social de Derecho / SUBSIDIOS – Ley 142 de 2994 – Contratos y Convenios – Financiación de Subsidios / LEY DE GARANTÍAS ELECTORALES – Restricciones – Artículo 38 – Artículo 33 / LEY DE GARANTÍAS ELECTORALES – Restricciones –Superintendencia de Servicios Públicos Domiciliarios / LEY DE GARANTÍAS ELECTORALES – Posturas del Consejo de Estado / LEY DE GARANTIAS – Restricciones-Celebración de Contratos y Convenios – Transferencia de recursos /</w:t>
            </w:r>
          </w:p>
          <w:p w14:paraId="1AA6D288" w14:textId="77777777" w:rsidR="00803DA8" w:rsidRPr="005E256F" w:rsidRDefault="00803DA8" w:rsidP="00E44539">
            <w:pPr>
              <w:spacing w:line="276" w:lineRule="auto"/>
              <w:jc w:val="both"/>
              <w:rPr>
                <w:rFonts w:ascii="Verdana" w:eastAsia="Calibri" w:hAnsi="Verdana" w:cs="Arial"/>
                <w:color w:val="000000" w:themeColor="text1"/>
                <w:highlight w:val="yellow"/>
                <w:lang w:val="es-ES" w:eastAsia="es-ES"/>
              </w:rPr>
            </w:pPr>
          </w:p>
        </w:tc>
      </w:tr>
      <w:tr w:rsidR="00803DA8" w:rsidRPr="00115E3D" w14:paraId="607649AA" w14:textId="77777777" w:rsidTr="00E44539">
        <w:trPr>
          <w:trHeight w:val="653"/>
        </w:trPr>
        <w:tc>
          <w:tcPr>
            <w:tcW w:w="2270" w:type="dxa"/>
          </w:tcPr>
          <w:p w14:paraId="23639373" w14:textId="77777777" w:rsidR="00803DA8" w:rsidRPr="00CB7ABE" w:rsidRDefault="00803DA8" w:rsidP="00E44539">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E1C585A" w14:textId="77777777" w:rsidR="00803DA8" w:rsidRPr="00CB7ABE" w:rsidRDefault="00803DA8" w:rsidP="00E44539">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BF4EAF">
              <w:rPr>
                <w:rFonts w:ascii="Verdana" w:eastAsia="Calibri" w:hAnsi="Verdana" w:cs="Arial"/>
                <w:color w:val="000000" w:themeColor="text1"/>
                <w:lang w:val="es-ES_tradnl" w:eastAsia="es-ES_tradnl"/>
              </w:rPr>
              <w:t>1_2026_03_25_004090</w:t>
            </w:r>
          </w:p>
        </w:tc>
      </w:tr>
    </w:tbl>
    <w:p w14:paraId="34F4D7D9" w14:textId="77777777" w:rsidR="00803DA8" w:rsidRPr="00115E3D" w:rsidRDefault="00803DA8" w:rsidP="00803DA8">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(a);</w:t>
      </w:r>
    </w:p>
    <w:p w14:paraId="3009788C" w14:textId="77777777" w:rsidR="00803DA8" w:rsidRPr="00115E3D" w:rsidRDefault="00803DA8" w:rsidP="00803DA8">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lastRenderedPageBreak/>
        <w:tab/>
      </w:r>
    </w:p>
    <w:p w14:paraId="76626F18" w14:textId="77777777" w:rsidR="00803DA8" w:rsidRPr="00115E3D" w:rsidRDefault="00803DA8" w:rsidP="00803DA8">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24 de marzo de 2026 </w:t>
      </w:r>
      <w:r w:rsidRPr="00115E3D">
        <w:rPr>
          <w:rFonts w:ascii="Verdana" w:eastAsia="Calibri" w:hAnsi="Verdana" w:cs="Arial"/>
          <w:color w:val="000000" w:themeColor="text1"/>
          <w:lang w:val="es-ES" w:eastAsia="es-ES"/>
        </w:rPr>
        <w:t xml:space="preserve">en la cual manifiesta lo siguiente: </w:t>
      </w:r>
    </w:p>
    <w:p w14:paraId="394CDC90" w14:textId="77777777" w:rsidR="00803DA8" w:rsidRDefault="00803DA8" w:rsidP="00803DA8">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54B64911" w14:textId="1FEC3250" w:rsidR="00803DA8" w:rsidRPr="00104557" w:rsidRDefault="00803DA8" w:rsidP="00803DA8">
      <w:pPr>
        <w:spacing w:after="0" w:line="240" w:lineRule="auto"/>
        <w:ind w:left="709" w:right="709"/>
        <w:jc w:val="both"/>
        <w:rPr>
          <w:rFonts w:ascii="Verdana" w:eastAsia="Century Gothic" w:hAnsi="Verdana" w:cs="Century Gothic"/>
          <w:i/>
          <w:iCs/>
          <w:color w:val="000000" w:themeColor="text1"/>
          <w:sz w:val="20"/>
          <w:szCs w:val="20"/>
        </w:rPr>
      </w:pPr>
      <w:r w:rsidRPr="00104557">
        <w:rPr>
          <w:rFonts w:ascii="Verdana" w:eastAsia="Century Gothic" w:hAnsi="Verdana" w:cs="Century Gothic"/>
          <w:i/>
          <w:iCs/>
          <w:color w:val="000000" w:themeColor="text1"/>
          <w:sz w:val="20"/>
          <w:szCs w:val="20"/>
          <w:lang w:val="es-ES"/>
        </w:rPr>
        <w:t>“</w:t>
      </w:r>
      <w:r w:rsidRPr="00C2001F">
        <w:rPr>
          <w:rFonts w:ascii="Verdana" w:eastAsia="Century Gothic" w:hAnsi="Verdana" w:cs="Century Gothic"/>
          <w:i/>
          <w:iCs/>
          <w:color w:val="000000" w:themeColor="text1"/>
          <w:sz w:val="20"/>
          <w:szCs w:val="20"/>
          <w:lang w:val="es-MX"/>
        </w:rPr>
        <w:t>¿Es posible suscribir un convenio interadministrativo de transferencia de recursos para subsidios con una empresa de servicios públicos con la cual siempre se ha celebrado durante la restricción de ley de garantías?</w:t>
      </w:r>
      <w:r>
        <w:rPr>
          <w:rFonts w:ascii="Verdana" w:eastAsia="Century Gothic" w:hAnsi="Verdana" w:cs="Century Gothic"/>
          <w:i/>
          <w:iCs/>
          <w:color w:val="000000" w:themeColor="text1"/>
          <w:sz w:val="20"/>
          <w:szCs w:val="20"/>
          <w:lang w:val="es-MX"/>
        </w:rPr>
        <w:t xml:space="preserve"> </w:t>
      </w:r>
      <w:r w:rsidRPr="00C2001F">
        <w:rPr>
          <w:rFonts w:ascii="Verdana" w:eastAsia="Century Gothic" w:hAnsi="Verdana" w:cs="Century Gothic"/>
          <w:i/>
          <w:iCs/>
          <w:color w:val="000000" w:themeColor="text1"/>
          <w:sz w:val="20"/>
          <w:szCs w:val="20"/>
          <w:lang w:val="es-MX"/>
        </w:rPr>
        <w:t>¿Los conceptos emitidos por Colombia compra eficiente son vinculantes y de serlo que efectos jurídicos generaría ?</w:t>
      </w:r>
      <w:r>
        <w:rPr>
          <w:rFonts w:ascii="Verdana" w:eastAsia="Century Gothic" w:hAnsi="Verdana" w:cs="Century Gothic"/>
          <w:i/>
          <w:iCs/>
          <w:color w:val="000000" w:themeColor="text1"/>
          <w:sz w:val="20"/>
          <w:szCs w:val="20"/>
          <w:lang w:val="es-MX"/>
        </w:rPr>
        <w:t xml:space="preserve"> </w:t>
      </w:r>
      <w:r w:rsidRPr="00C2001F">
        <w:rPr>
          <w:rFonts w:ascii="Verdana" w:eastAsia="Century Gothic" w:hAnsi="Verdana" w:cs="Century Gothic"/>
          <w:i/>
          <w:iCs/>
          <w:color w:val="000000" w:themeColor="text1"/>
          <w:sz w:val="20"/>
          <w:szCs w:val="20"/>
          <w:lang w:val="es-MX"/>
        </w:rPr>
        <w:t>¿Se podría celebrar el convenio interadministrativo con fundamento en los conceptos emitidos por Colombia compra eficiente como el concepto C-095 que fue emitido el 04 de marzo de 2026 y con conceptos de la superintendencia de servicios públicos que menciona que la transferencia de recursos para subsidios esta excenta de la ley de garantías electorales?</w:t>
      </w:r>
      <w:r w:rsidRPr="00104557">
        <w:rPr>
          <w:rFonts w:ascii="Verdana" w:eastAsia="Century Gothic" w:hAnsi="Verdana" w:cs="Century Gothic"/>
          <w:i/>
          <w:iCs/>
          <w:color w:val="000000" w:themeColor="text1"/>
          <w:sz w:val="20"/>
          <w:szCs w:val="20"/>
        </w:rPr>
        <w:t>”</w:t>
      </w:r>
    </w:p>
    <w:p w14:paraId="701DF953" w14:textId="77777777" w:rsidR="00803DA8" w:rsidRDefault="00803DA8" w:rsidP="00803DA8">
      <w:pPr>
        <w:spacing w:after="0" w:line="240" w:lineRule="auto"/>
        <w:ind w:left="709" w:right="709"/>
        <w:jc w:val="both"/>
        <w:rPr>
          <w:rFonts w:ascii="Verdana" w:eastAsia="Century Gothic" w:hAnsi="Verdana" w:cs="Century Gothic"/>
          <w:i/>
          <w:iCs/>
          <w:color w:val="000000" w:themeColor="text1"/>
          <w:sz w:val="20"/>
          <w:szCs w:val="20"/>
          <w:lang w:val="es-ES"/>
        </w:rPr>
      </w:pPr>
    </w:p>
    <w:p w14:paraId="48F2D16C" w14:textId="77777777" w:rsidR="00803DA8" w:rsidRDefault="00803DA8" w:rsidP="00803DA8">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26590835" w14:textId="77777777" w:rsidR="00803DA8" w:rsidRPr="00115E3D" w:rsidRDefault="00803DA8" w:rsidP="00803DA8">
      <w:pPr>
        <w:spacing w:after="0" w:line="240" w:lineRule="auto"/>
        <w:ind w:right="49"/>
        <w:jc w:val="both"/>
        <w:rPr>
          <w:rFonts w:ascii="Verdana" w:eastAsia="Calibri" w:hAnsi="Verdana" w:cs="Arial"/>
          <w:color w:val="000000" w:themeColor="text1"/>
          <w:szCs w:val="24"/>
          <w:lang w:val="es-ES_tradnl" w:eastAsia="es-ES_tradnl"/>
        </w:rPr>
      </w:pPr>
    </w:p>
    <w:p w14:paraId="409CA947" w14:textId="77777777" w:rsidR="00803DA8" w:rsidRPr="00115E3D" w:rsidRDefault="00803DA8" w:rsidP="00803DA8">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516E255" w14:textId="77777777" w:rsidR="00803DA8" w:rsidRPr="00115E3D" w:rsidRDefault="00803DA8" w:rsidP="00803DA8">
      <w:pPr>
        <w:spacing w:after="0" w:line="276" w:lineRule="auto"/>
        <w:ind w:firstLine="709"/>
        <w:jc w:val="both"/>
        <w:rPr>
          <w:rFonts w:ascii="Verdana" w:eastAsia="Calibri" w:hAnsi="Verdana" w:cs="Arial"/>
          <w:color w:val="000000" w:themeColor="text1"/>
          <w:lang w:val="es-ES" w:eastAsia="es-ES"/>
        </w:rPr>
      </w:pPr>
    </w:p>
    <w:p w14:paraId="69F5B30A" w14:textId="77777777" w:rsidR="00803DA8" w:rsidRPr="00115E3D" w:rsidRDefault="00803DA8" w:rsidP="00803DA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lastRenderedPageBreak/>
        <w:t>Problema planteado:</w:t>
      </w:r>
    </w:p>
    <w:p w14:paraId="11E27082" w14:textId="77777777" w:rsidR="00803DA8" w:rsidRPr="00115E3D" w:rsidRDefault="00803DA8" w:rsidP="00803DA8">
      <w:pPr>
        <w:tabs>
          <w:tab w:val="left" w:pos="426"/>
        </w:tabs>
        <w:spacing w:after="0" w:line="276" w:lineRule="auto"/>
        <w:jc w:val="both"/>
        <w:rPr>
          <w:rFonts w:ascii="Verdana" w:eastAsia="Century Gothic" w:hAnsi="Verdana" w:cs="Century Gothic"/>
          <w:color w:val="000000" w:themeColor="text1"/>
          <w:lang w:val="es-ES"/>
        </w:rPr>
      </w:pPr>
    </w:p>
    <w:p w14:paraId="3702F7F4" w14:textId="77777777" w:rsidR="00803DA8" w:rsidRPr="005D29E2" w:rsidRDefault="00803DA8" w:rsidP="00803DA8">
      <w:pPr>
        <w:spacing w:after="0" w:line="276" w:lineRule="auto"/>
        <w:jc w:val="both"/>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5D29E2">
        <w:rPr>
          <w:rFonts w:ascii="Verdana" w:hAnsi="Verdana"/>
        </w:rPr>
        <w:t>¿Es procedente celebrar durante la vigencia de la Ley de Garantías un convenio interadministrativo para la transferencia de recursos destinados a subsidios de servicios públicos domiciliarios con una empresa de servicios públicos</w:t>
      </w:r>
      <w:r>
        <w:rPr>
          <w:rFonts w:ascii="Verdana" w:hAnsi="Verdana"/>
        </w:rPr>
        <w:t xml:space="preserve">, </w:t>
      </w:r>
      <w:r w:rsidRPr="005D29E2">
        <w:rPr>
          <w:rFonts w:ascii="Verdana" w:hAnsi="Verdana"/>
        </w:rPr>
        <w:t>y cuál es el alcance jurídico de los conceptos emitidos por Colombia Compra Eficiente</w:t>
      </w:r>
      <w:r>
        <w:rPr>
          <w:rFonts w:ascii="Verdana" w:hAnsi="Verdana"/>
        </w:rPr>
        <w:t xml:space="preserve"> frente al tema</w:t>
      </w:r>
      <w:r w:rsidRPr="005D29E2">
        <w:rPr>
          <w:rFonts w:ascii="Verdana" w:hAnsi="Verdana"/>
        </w:rPr>
        <w:t>?</w:t>
      </w:r>
      <w:r>
        <w:rPr>
          <w:rFonts w:ascii="Verdana" w:hAnsi="Verdana"/>
        </w:rPr>
        <w:t>.</w:t>
      </w:r>
    </w:p>
    <w:p w14:paraId="07EF257C" w14:textId="77777777" w:rsidR="00803DA8" w:rsidRDefault="00803DA8" w:rsidP="00803DA8">
      <w:pPr>
        <w:spacing w:after="0" w:line="276" w:lineRule="auto"/>
        <w:jc w:val="both"/>
        <w:rPr>
          <w:rFonts w:ascii="Verdana" w:eastAsia="Verdana" w:hAnsi="Verdana" w:cs="Verdana"/>
          <w:lang w:val="es-ES"/>
        </w:rPr>
      </w:pPr>
    </w:p>
    <w:p w14:paraId="7C7DB15A" w14:textId="77777777" w:rsidR="00803DA8" w:rsidRPr="00115E3D" w:rsidRDefault="00803DA8" w:rsidP="00803D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7D09C972" w14:textId="77777777" w:rsidR="00803DA8" w:rsidRPr="00115E3D" w:rsidRDefault="00803DA8" w:rsidP="00803DA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3DA8" w:rsidRPr="00115E3D" w14:paraId="4539FF18" w14:textId="77777777" w:rsidTr="00E44539">
        <w:trPr>
          <w:trHeight w:val="774"/>
        </w:trPr>
        <w:tc>
          <w:tcPr>
            <w:tcW w:w="8828" w:type="dxa"/>
          </w:tcPr>
          <w:p w14:paraId="7B820F13" w14:textId="77777777" w:rsidR="00803DA8" w:rsidRPr="004D1C63" w:rsidRDefault="00803DA8" w:rsidP="00E44539">
            <w:pPr>
              <w:spacing w:before="120" w:after="120" w:line="276" w:lineRule="auto"/>
              <w:jc w:val="both"/>
              <w:rPr>
                <w:rFonts w:ascii="Verdana" w:eastAsia="Calibri" w:hAnsi="Verdana"/>
              </w:rPr>
            </w:pPr>
            <w:r>
              <w:rPr>
                <w:rFonts w:ascii="Verdana" w:eastAsia="Calibri" w:hAnsi="Verdana" w:cs="Times New Roman"/>
              </w:rPr>
              <w:t xml:space="preserve">      </w:t>
            </w:r>
            <w:r w:rsidRPr="004D1C63">
              <w:rPr>
                <w:rFonts w:ascii="Verdana" w:eastAsia="Calibri" w:hAnsi="Verdana"/>
              </w:rPr>
              <w:t>De conformidad con la línea interpretativa fijada en el Concepto C-095 de 2026</w:t>
            </w:r>
            <w:r>
              <w:rPr>
                <w:rFonts w:ascii="Verdana" w:eastAsia="Calibri" w:hAnsi="Verdana"/>
              </w:rPr>
              <w:t xml:space="preserve"> emitido por esta Subdirección Contractual</w:t>
            </w:r>
            <w:r w:rsidRPr="004D1C63">
              <w:rPr>
                <w:rFonts w:ascii="Verdana" w:eastAsia="Calibri" w:hAnsi="Verdana"/>
              </w:rPr>
              <w:t>, la procedencia de celebrar durante la vigencia de la Ley de Garantías un convenio o contrato para la transferencia de recursos destinados a subsidios de servicios públicos domiciliarios depende de la naturaleza jurídica de la empresa prestadora de servicios públicos con la cual se suscriba el instrumento y de la restricción específica prevista en la Ley 996 de 2005 aplicable al proceso electoral correspondiente.</w:t>
            </w:r>
          </w:p>
          <w:p w14:paraId="47894510" w14:textId="77777777" w:rsidR="00803DA8" w:rsidRPr="004D1C63" w:rsidRDefault="00803DA8" w:rsidP="00E44539">
            <w:pPr>
              <w:spacing w:before="120" w:after="120" w:line="276" w:lineRule="auto"/>
              <w:jc w:val="both"/>
              <w:rPr>
                <w:rFonts w:ascii="Verdana" w:eastAsia="Calibri" w:hAnsi="Verdana" w:cs="Times New Roman"/>
              </w:rPr>
            </w:pPr>
            <w:r>
              <w:rPr>
                <w:rFonts w:ascii="Verdana" w:eastAsia="Calibri" w:hAnsi="Verdana" w:cs="Times New Roman"/>
              </w:rPr>
              <w:t xml:space="preserve">          </w:t>
            </w:r>
            <w:r w:rsidRPr="004D1C63">
              <w:rPr>
                <w:rFonts w:ascii="Verdana" w:eastAsia="Calibri" w:hAnsi="Verdana" w:cs="Times New Roman"/>
              </w:rPr>
              <w:t xml:space="preserve">En efecto, </w:t>
            </w:r>
            <w:r>
              <w:rPr>
                <w:rFonts w:ascii="Verdana" w:eastAsia="Calibri" w:hAnsi="Verdana" w:cs="Times New Roman"/>
              </w:rPr>
              <w:t>esta Agencia</w:t>
            </w:r>
            <w:r w:rsidRPr="004D1C63">
              <w:rPr>
                <w:rFonts w:ascii="Verdana" w:eastAsia="Calibri" w:hAnsi="Verdana" w:cs="Times New Roman"/>
              </w:rPr>
              <w:t xml:space="preserve"> señaló en el citado concepto que cuando la entidad territorial suscribe estos instrumentos con empresas de servicios públicos domiciliarios de naturaleza pública, mixta o privada con participación estatal, el negocio jurídico puede adquirir la calidad de convenio o contrato interadministrativo, por tratarse de entidades descentralizadas por servicios. En estos casos, si resulta aplicable la prohibición prevista en el parágrafo del artículo 38 de la Ley 996 de 2005, la entidad deberá abstenerse de celebrar convenios interadministrativos durante el período de restricción, en tanto dicha disposición no consagra excepciones expresas.</w:t>
            </w:r>
          </w:p>
          <w:p w14:paraId="782B45B5" w14:textId="77777777" w:rsidR="00803DA8" w:rsidRPr="004D1C63" w:rsidRDefault="00803DA8" w:rsidP="00E44539">
            <w:pPr>
              <w:spacing w:before="120" w:after="120" w:line="276" w:lineRule="auto"/>
              <w:jc w:val="both"/>
              <w:rPr>
                <w:rFonts w:ascii="Verdana" w:eastAsia="Calibri" w:hAnsi="Verdana" w:cs="Times New Roman"/>
              </w:rPr>
            </w:pPr>
            <w:r>
              <w:rPr>
                <w:rFonts w:ascii="Verdana" w:eastAsia="Calibri" w:hAnsi="Verdana" w:cs="Times New Roman"/>
              </w:rPr>
              <w:t xml:space="preserve">           </w:t>
            </w:r>
            <w:r w:rsidRPr="004D1C63">
              <w:rPr>
                <w:rFonts w:ascii="Verdana" w:eastAsia="Calibri" w:hAnsi="Verdana" w:cs="Times New Roman"/>
              </w:rPr>
              <w:t>Por el contrario, conforme también lo precisó Colombia Compra Eficiente en el Concepto C-095 de 2026, cuando el instrumento se celebre con una empresa de servicios públicos domiciliarios de capital cien por ciento (100%) privado, este no tendrá naturaleza interadministrativa, razón por la cual no le será aplicable la restricción contenida en el parágrafo del artículo 38 de la Ley 996 de 2005, sin perjuicio de la verificación de las demás restricciones contractuales que eventualmente resulten aplicables.</w:t>
            </w:r>
          </w:p>
          <w:p w14:paraId="2F1E3B39" w14:textId="77777777" w:rsidR="00803DA8" w:rsidRDefault="00803DA8" w:rsidP="00E44539">
            <w:pPr>
              <w:spacing w:before="120" w:after="120" w:line="276" w:lineRule="auto"/>
              <w:jc w:val="both"/>
              <w:rPr>
                <w:rFonts w:ascii="Verdana" w:eastAsia="Calibri" w:hAnsi="Verdana" w:cs="Times New Roman"/>
              </w:rPr>
            </w:pPr>
            <w:r>
              <w:rPr>
                <w:rFonts w:ascii="Verdana" w:eastAsia="Calibri" w:hAnsi="Verdana" w:cs="Times New Roman"/>
              </w:rPr>
              <w:lastRenderedPageBreak/>
              <w:t xml:space="preserve">          </w:t>
            </w:r>
            <w:r>
              <w:rPr>
                <w:rFonts w:ascii="Verdana" w:hAnsi="Verdana"/>
              </w:rPr>
              <w:t xml:space="preserve">Sin perjuicio de lo anterior, Superintendencia de Servicios Públicos en varios conceptos - </w:t>
            </w:r>
            <w:r w:rsidRPr="005D4BFC">
              <w:rPr>
                <w:rFonts w:ascii="Verdana" w:hAnsi="Verdana"/>
              </w:rPr>
              <w:t>C-086 de 2022 y C-194 de 2022</w:t>
            </w:r>
            <w:r>
              <w:rPr>
                <w:rFonts w:ascii="Verdana" w:hAnsi="Verdana"/>
              </w:rPr>
              <w:t>-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Dicho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hAnsi="Verdana"/>
                <w:sz w:val="20"/>
                <w:szCs w:val="20"/>
              </w:rPr>
              <w:t xml:space="preserve">. </w:t>
            </w:r>
            <w:r>
              <w:rPr>
                <w:rFonts w:ascii="Verdana" w:eastAsia="Calibri" w:hAnsi="Verdana" w:cs="Times New Roman"/>
                <w:iCs/>
              </w:rPr>
              <w:t xml:space="preserve">Dicha </w:t>
            </w:r>
            <w:r w:rsidRPr="00B2403B">
              <w:rPr>
                <w:rFonts w:ascii="Verdana" w:eastAsia="Calibri" w:hAnsi="Verdana" w:cs="Times New Roman"/>
                <w:iCs/>
              </w:rPr>
              <w:t>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w:t>
            </w:r>
            <w:r w:rsidRPr="004D1C63">
              <w:rPr>
                <w:rFonts w:ascii="Verdana" w:eastAsia="Calibri" w:hAnsi="Verdana" w:cs="Times New Roman"/>
              </w:rPr>
              <w:t>.</w:t>
            </w:r>
          </w:p>
          <w:p w14:paraId="35D2C6F6" w14:textId="77777777" w:rsidR="00803DA8" w:rsidRPr="0046286C" w:rsidRDefault="00803DA8" w:rsidP="00E44539">
            <w:pPr>
              <w:spacing w:after="120" w:line="276" w:lineRule="auto"/>
              <w:ind w:firstLine="709"/>
              <w:jc w:val="both"/>
              <w:rPr>
                <w:rFonts w:ascii="Verdana" w:eastAsia="Calibri" w:hAnsi="Verdana" w:cs="Arial"/>
                <w:sz w:val="20"/>
                <w:szCs w:val="20"/>
              </w:rPr>
            </w:pPr>
            <w:r w:rsidRPr="0046286C">
              <w:rPr>
                <w:rFonts w:ascii="Verdana" w:eastAsiaTheme="minorEastAsia" w:hAnsi="Verdana" w:cs="Arial"/>
                <w:lang w:eastAsia="es-CO"/>
              </w:rPr>
              <w:t xml:space="preserve">Bajo ese escenario, </w:t>
            </w:r>
            <w:r w:rsidRPr="0046286C">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46286C">
              <w:rPr>
                <w:rStyle w:val="Refdenotaalpie"/>
                <w:rFonts w:ascii="Verdana" w:eastAsia="Arial" w:hAnsi="Verdana" w:cs="Arial"/>
                <w:lang w:val="es-ES" w:eastAsia="es-ES" w:bidi="es-ES"/>
              </w:rPr>
              <w:t xml:space="preserve"> </w:t>
            </w:r>
            <w:r w:rsidRPr="0046286C">
              <w:rPr>
                <w:rFonts w:ascii="Verdana" w:hAnsi="Verdana"/>
              </w:rPr>
              <w:t>en Concepto con Radicado 1736</w:t>
            </w:r>
            <w:r w:rsidRPr="0046286C">
              <w:rPr>
                <w:rFonts w:ascii="Verdana" w:eastAsia="Arial" w:hAnsi="Verdana" w:cs="Arial"/>
                <w:lang w:val="es-ES" w:eastAsia="es-ES" w:bidi="es-ES"/>
              </w:rPr>
              <w:t>,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46286C">
              <w:rPr>
                <w:rFonts w:ascii="Verdana" w:eastAsia="Times New Roman" w:hAnsi="Verdana" w:cs="Arial"/>
                <w:bCs/>
                <w:lang w:val="es-ES" w:eastAsia="es-CO"/>
              </w:rPr>
              <w:t xml:space="preserve"> </w:t>
            </w:r>
            <w:r>
              <w:rPr>
                <w:rFonts w:ascii="Verdana" w:eastAsia="Times New Roman" w:hAnsi="Verdana" w:cs="Arial"/>
                <w:bCs/>
                <w:lang w:val="es-ES" w:eastAsia="es-CO"/>
              </w:rPr>
              <w:t>En este contexto, l</w:t>
            </w:r>
            <w:r w:rsidRPr="00C15179">
              <w:rPr>
                <w:rFonts w:ascii="Verdana" w:eastAsia="Times New Roman" w:hAnsi="Verdana" w:cs="Arial"/>
                <w:bCs/>
                <w:lang w:val="es-ES" w:eastAsia="es-CO"/>
              </w:rPr>
              <w:t xml:space="preserve">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w:t>
            </w:r>
            <w:r w:rsidRPr="00C15179">
              <w:rPr>
                <w:rFonts w:ascii="Verdana" w:eastAsia="Times New Roman" w:hAnsi="Verdana" w:cs="Arial"/>
                <w:bCs/>
                <w:lang w:val="es-ES" w:eastAsia="es-CO"/>
              </w:rPr>
              <w:lastRenderedPageBreak/>
              <w:t>público social, particularmente en lo relacionado con la prestación de servicios públicos esenciales</w:t>
            </w:r>
            <w:r>
              <w:rPr>
                <w:rFonts w:ascii="Verdana" w:eastAsia="Times New Roman" w:hAnsi="Verdana" w:cs="Arial"/>
                <w:bCs/>
                <w:lang w:val="es-ES" w:eastAsia="es-CO"/>
              </w:rPr>
              <w:t>, que están vinculados a la garantía de derechos fundamentales.</w:t>
            </w:r>
          </w:p>
          <w:p w14:paraId="72278941" w14:textId="77777777" w:rsidR="00803DA8" w:rsidRDefault="00803DA8" w:rsidP="00E44539">
            <w:pPr>
              <w:spacing w:after="120" w:line="276" w:lineRule="auto"/>
              <w:ind w:firstLine="708"/>
              <w:jc w:val="both"/>
              <w:rPr>
                <w:rFonts w:ascii="Verdana" w:eastAsia="Times New Roman" w:hAnsi="Verdana" w:cs="Arial"/>
                <w:bCs/>
                <w:lang w:val="es-ES" w:eastAsia="es-CO"/>
              </w:rPr>
            </w:pPr>
            <w:r>
              <w:rPr>
                <w:rFonts w:ascii="Verdana" w:hAnsi="Verdana" w:cs="Arial"/>
                <w:lang w:val="es-ES"/>
              </w:rPr>
              <w:t>En todo caso, esta Agencia considera que, la posibilidad de suscribir contratos o convenios entre entidades territoriales y empresas de servicios públicos para la transferencia de recursos en el marco de subsidios a los servicios públicos domiciliarios, depende de si se enmarca dentro de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71C98429" w14:textId="77777777" w:rsidR="00803DA8" w:rsidRPr="004D1C63" w:rsidRDefault="00803DA8" w:rsidP="00E44539">
            <w:pPr>
              <w:spacing w:before="120" w:after="120" w:line="276" w:lineRule="auto"/>
              <w:jc w:val="both"/>
              <w:rPr>
                <w:rFonts w:ascii="Verdana" w:eastAsia="Calibri" w:hAnsi="Verdana" w:cs="Times New Roman"/>
              </w:rPr>
            </w:pPr>
            <w:r>
              <w:rPr>
                <w:rFonts w:ascii="Verdana" w:eastAsia="Calibri" w:hAnsi="Verdana" w:cs="Times New Roman"/>
              </w:rPr>
              <w:t xml:space="preserve">         Por otra parte y en atención a lo planteado en su consulta</w:t>
            </w:r>
            <w:r w:rsidRPr="004D1C63">
              <w:rPr>
                <w:rFonts w:ascii="Verdana" w:eastAsia="Calibri" w:hAnsi="Verdana" w:cs="Times New Roman"/>
              </w:rPr>
              <w:t xml:space="preserve"> debe precisarse que los conceptos emitidos por Colombia Compra Eficiente, incluido el Concepto C-095 de 2026, así como los emitidos por la Superintendencia de Servicios Públicos Domiciliarios, no son jurídicamente vinculantes, de conformidad con el artículo 28 de la Ley 1437 de 2011, razón por la cual constituyen criterios auxiliares de interpretación y orientación, pero no sustituyen el análisis de legalidad que corresponde efectuar a cada entidad en el caso concreto.</w:t>
            </w:r>
          </w:p>
          <w:p w14:paraId="5AE01B58" w14:textId="77777777" w:rsidR="00803DA8" w:rsidRPr="004D1C63" w:rsidRDefault="00803DA8" w:rsidP="00E44539">
            <w:pPr>
              <w:spacing w:after="120" w:line="276" w:lineRule="auto"/>
              <w:jc w:val="both"/>
              <w:rPr>
                <w:rFonts w:ascii="Verdana" w:eastAsia="Calibri" w:hAnsi="Verdana" w:cs="Arial"/>
              </w:rPr>
            </w:pPr>
            <w:r w:rsidRPr="004D1C63">
              <w:rPr>
                <w:rFonts w:ascii="Verdana" w:eastAsia="Calibri" w:hAnsi="Verdana" w:cs="Arial"/>
              </w:rPr>
              <w:t xml:space="preserve">        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6285E1F2" w14:textId="77777777" w:rsidR="00803DA8" w:rsidRPr="0029110A" w:rsidRDefault="00803DA8" w:rsidP="00E44539">
            <w:pPr>
              <w:spacing w:before="120" w:after="120" w:line="276" w:lineRule="auto"/>
              <w:jc w:val="both"/>
              <w:rPr>
                <w:rFonts w:ascii="Verdana" w:eastAsia="Calibri" w:hAnsi="Verdana" w:cs="Times New Roman"/>
                <w:lang w:val="es-ES"/>
              </w:rPr>
            </w:pPr>
            <w:r w:rsidRPr="004D1C6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4D1C63">
              <w:rPr>
                <w:rFonts w:ascii="Verdana" w:eastAsia="Calibri" w:hAnsi="Verdana" w:cs="Times New Roman"/>
                <w:lang w:val="es-ES"/>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803DA8" w:rsidRPr="00115E3D" w14:paraId="4D276861" w14:textId="77777777" w:rsidTr="00E44539">
        <w:trPr>
          <w:trHeight w:val="162"/>
        </w:trPr>
        <w:tc>
          <w:tcPr>
            <w:tcW w:w="8828" w:type="dxa"/>
          </w:tcPr>
          <w:p w14:paraId="5CFC1110" w14:textId="77777777" w:rsidR="00803DA8" w:rsidRDefault="00803DA8" w:rsidP="00E44539">
            <w:pPr>
              <w:spacing w:line="276" w:lineRule="auto"/>
              <w:jc w:val="both"/>
              <w:rPr>
                <w:rFonts w:ascii="Verdana" w:eastAsia="Calibri" w:hAnsi="Verdana" w:cs="Arial"/>
              </w:rPr>
            </w:pPr>
          </w:p>
        </w:tc>
      </w:tr>
    </w:tbl>
    <w:p w14:paraId="7BDC3BB5" w14:textId="77777777" w:rsidR="00803DA8" w:rsidRDefault="00803DA8" w:rsidP="00803DA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AEB933A" w14:textId="77777777" w:rsidR="00803DA8" w:rsidRDefault="00803DA8" w:rsidP="00803D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A7BF74E" w14:textId="77777777" w:rsidR="00803DA8" w:rsidRPr="00115E3D" w:rsidRDefault="00803DA8" w:rsidP="00803DA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0CB4002" w14:textId="77777777" w:rsidR="00803DA8" w:rsidRDefault="00803DA8" w:rsidP="00803DA8">
      <w:pPr>
        <w:tabs>
          <w:tab w:val="left" w:pos="426"/>
        </w:tabs>
        <w:spacing w:after="120" w:line="276" w:lineRule="auto"/>
        <w:jc w:val="both"/>
        <w:rPr>
          <w:rFonts w:ascii="Verdana" w:eastAsia="Calibri" w:hAnsi="Verdana" w:cs="Arial"/>
          <w:lang w:val="es-ES"/>
        </w:rPr>
      </w:pPr>
      <w:bookmarkStart w:id="2" w:name="_Hlk204856061"/>
      <w:bookmarkStart w:id="3" w:name="_Hlk78820161"/>
      <w:r w:rsidRPr="00DC4B8E">
        <w:rPr>
          <w:rFonts w:ascii="Verdana" w:eastAsia="Calibri" w:hAnsi="Verdana" w:cs="Arial"/>
          <w:lang w:val="es-ES"/>
        </w:rPr>
        <w:t>La respuesta anterior se sustenta en las siguientes consideraciones</w:t>
      </w:r>
      <w:r>
        <w:rPr>
          <w:rFonts w:ascii="Verdana" w:eastAsia="Calibri" w:hAnsi="Verdana" w:cs="Arial"/>
          <w:lang w:val="es-ES"/>
        </w:rPr>
        <w:t xml:space="preserve"> siguiendo a la linea establecida del </w:t>
      </w:r>
      <w:r w:rsidRPr="004D1C63">
        <w:rPr>
          <w:rFonts w:ascii="Verdana" w:eastAsia="Calibri" w:hAnsi="Verdana"/>
        </w:rPr>
        <w:t>Concepto C-095 de</w:t>
      </w:r>
      <w:r>
        <w:rPr>
          <w:rFonts w:ascii="Verdana" w:eastAsia="Calibri" w:hAnsi="Verdana"/>
        </w:rPr>
        <w:t>l 04 de marzo</w:t>
      </w:r>
      <w:r w:rsidRPr="004D1C63">
        <w:rPr>
          <w:rFonts w:ascii="Verdana" w:eastAsia="Calibri" w:hAnsi="Verdana"/>
        </w:rPr>
        <w:t xml:space="preserve"> 2026</w:t>
      </w:r>
      <w:r>
        <w:rPr>
          <w:rFonts w:ascii="Verdana" w:eastAsia="Calibri" w:hAnsi="Verdana"/>
        </w:rPr>
        <w:t xml:space="preserve"> emitido por esta Subdirección Contractual</w:t>
      </w:r>
      <w:r w:rsidRPr="00DC4B8E">
        <w:rPr>
          <w:rFonts w:ascii="Verdana" w:eastAsia="Calibri" w:hAnsi="Verdana" w:cs="Arial"/>
          <w:lang w:val="es-ES"/>
        </w:rPr>
        <w:t xml:space="preserve">: </w:t>
      </w:r>
      <w:bookmarkEnd w:id="2"/>
      <w:bookmarkEnd w:id="3"/>
    </w:p>
    <w:p w14:paraId="606349F1" w14:textId="77777777" w:rsidR="00803DA8" w:rsidRPr="00E0284C" w:rsidRDefault="00803DA8" w:rsidP="00803DA8">
      <w:pPr>
        <w:spacing w:after="120" w:line="276" w:lineRule="auto"/>
        <w:ind w:firstLine="708"/>
        <w:jc w:val="both"/>
        <w:rPr>
          <w:rFonts w:ascii="Verdana" w:hAnsi="Verdana" w:cs="Arial"/>
        </w:rPr>
      </w:pPr>
      <w:r>
        <w:rPr>
          <w:rFonts w:ascii="Verdana" w:hAnsi="Verdana" w:cs="Arial"/>
          <w:bCs/>
          <w:lang w:val="es-MX"/>
        </w:rPr>
        <w:t>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5C188BC0" w14:textId="77777777" w:rsidR="00803DA8" w:rsidRPr="00033F5A" w:rsidRDefault="00803DA8" w:rsidP="00803DA8">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34B61F7D" w14:textId="77777777" w:rsidR="00803DA8" w:rsidRPr="00033F5A" w:rsidRDefault="00803DA8" w:rsidP="00803DA8">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9E2D6FA" w14:textId="77777777" w:rsidR="00803DA8" w:rsidRPr="00033F5A" w:rsidRDefault="00803DA8" w:rsidP="00803DA8">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w:t>
      </w:r>
      <w:r w:rsidRPr="00033F5A">
        <w:rPr>
          <w:rFonts w:ascii="Verdana" w:eastAsia="Calibri" w:hAnsi="Verdana" w:cs="Arial"/>
          <w:color w:val="000000" w:themeColor="text1"/>
          <w:sz w:val="20"/>
          <w:szCs w:val="20"/>
          <w:lang w:val="es-ES"/>
        </w:rPr>
        <w:lastRenderedPageBreak/>
        <w:t>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1"/>
      </w:r>
      <w:r w:rsidRPr="00033F5A">
        <w:rPr>
          <w:rFonts w:ascii="Verdana" w:eastAsia="Calibri" w:hAnsi="Verdana" w:cs="Arial"/>
          <w:color w:val="000000" w:themeColor="text1"/>
          <w:sz w:val="20"/>
          <w:szCs w:val="20"/>
          <w:lang w:val="es-ES"/>
        </w:rPr>
        <w:t>.</w:t>
      </w:r>
    </w:p>
    <w:p w14:paraId="1E5E031F" w14:textId="77777777" w:rsidR="00803DA8" w:rsidRDefault="00803DA8" w:rsidP="00803DA8">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2"/>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17AA8EFC" w14:textId="77777777" w:rsidR="00803DA8" w:rsidRDefault="00803DA8" w:rsidP="00803DA8">
      <w:pPr>
        <w:tabs>
          <w:tab w:val="left" w:pos="0"/>
        </w:tabs>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053C2168" w14:textId="77777777" w:rsidR="00803DA8" w:rsidRDefault="00803DA8" w:rsidP="00803DA8">
      <w:pPr>
        <w:tabs>
          <w:tab w:val="left" w:pos="0"/>
        </w:tabs>
        <w:spacing w:before="120" w:after="0" w:line="276"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3"/>
      </w:r>
    </w:p>
    <w:p w14:paraId="6EDA4DAC" w14:textId="77777777" w:rsidR="00803DA8" w:rsidRDefault="00803DA8" w:rsidP="00803DA8">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w:t>
      </w:r>
      <w:r w:rsidRPr="00270257">
        <w:rPr>
          <w:rFonts w:ascii="Verdana" w:eastAsia="Times New Roman" w:hAnsi="Verdana" w:cs="Arial"/>
          <w:lang w:val="es-ES" w:eastAsia="es-ES"/>
        </w:rPr>
        <w:lastRenderedPageBreak/>
        <w:t>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 xml:space="preserve">considerarse parte del Estado. </w:t>
      </w:r>
    </w:p>
    <w:p w14:paraId="47E2B6D8" w14:textId="77777777" w:rsidR="00803DA8" w:rsidRPr="00270257" w:rsidRDefault="00803DA8" w:rsidP="00803DA8">
      <w:pPr>
        <w:tabs>
          <w:tab w:val="left" w:pos="0"/>
        </w:tabs>
        <w:spacing w:before="120" w:after="0" w:line="276" w:lineRule="auto"/>
        <w:jc w:val="both"/>
        <w:rPr>
          <w:rFonts w:ascii="Verdana" w:eastAsia="Times New Roman" w:hAnsi="Verdana" w:cs="Arial"/>
          <w:sz w:val="20"/>
          <w:szCs w:val="20"/>
          <w:lang w:val="es-ES" w:eastAsia="es-ES"/>
        </w:rPr>
      </w:pPr>
      <w:r>
        <w:rPr>
          <w:rFonts w:ascii="Verdana" w:eastAsia="Times New Roman" w:hAnsi="Verdana" w:cs="Times New Roman"/>
          <w:lang w:val="es-ES" w:eastAsia="es-ES"/>
        </w:rPr>
        <w:t xml:space="preserve">         Posteriormente, en la Sentencia precitada haciendo un análisis de los artículos 38 y 68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5F8D63F1" w14:textId="77777777" w:rsidR="00803DA8" w:rsidRDefault="00803DA8" w:rsidP="00803DA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4E400ED5" w14:textId="77777777" w:rsidR="00803DA8" w:rsidRPr="00585A53" w:rsidRDefault="00803DA8" w:rsidP="00803DA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0A85EC01" w14:textId="77777777" w:rsidR="00803DA8" w:rsidRPr="00585A53" w:rsidRDefault="00803DA8" w:rsidP="00803DA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4EBBA80C" w14:textId="77777777" w:rsidR="00803DA8" w:rsidRPr="00585A53" w:rsidRDefault="00803DA8" w:rsidP="00803DA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102AAB5B" w14:textId="77777777" w:rsidR="00803DA8" w:rsidRPr="00585A53" w:rsidRDefault="00803DA8" w:rsidP="00803DA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4FFC711D" w14:textId="77777777" w:rsidR="00803DA8" w:rsidRDefault="00803DA8" w:rsidP="00803DA8">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228C4213" w14:textId="77777777" w:rsidR="00803DA8" w:rsidRPr="00FF6C85" w:rsidRDefault="00803DA8" w:rsidP="00803DA8">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w:t>
      </w:r>
      <w:r w:rsidRPr="008B3502">
        <w:rPr>
          <w:rFonts w:ascii="Verdana" w:eastAsia="Calibri" w:hAnsi="Verdana" w:cs="Arial"/>
          <w:bCs/>
          <w:color w:val="000000" w:themeColor="text1"/>
          <w:lang w:val="es-ES"/>
        </w:rPr>
        <w:lastRenderedPageBreak/>
        <w:t>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la exequibilidad de la norma demandada.</w:t>
      </w:r>
    </w:p>
    <w:p w14:paraId="79CF92E3" w14:textId="77777777" w:rsidR="00803DA8" w:rsidRDefault="00803DA8" w:rsidP="00803DA8">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Con respecto a este tema, hay doctrina que tiene sus observaciones frente a dicha Sentencia de Constitucionalidad, expresando: </w:t>
      </w:r>
    </w:p>
    <w:p w14:paraId="2B431350" w14:textId="77777777" w:rsidR="00803DA8" w:rsidRPr="00435AFF"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4748BFD9" w14:textId="77777777" w:rsidR="00803DA8" w:rsidRPr="00435AFF"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p>
    <w:p w14:paraId="4CF4D53A" w14:textId="77777777" w:rsidR="00803DA8" w:rsidRPr="00435AFF"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67A4F366" w14:textId="77777777" w:rsidR="00803DA8" w:rsidRPr="00435AFF"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p>
    <w:p w14:paraId="3E1A8E62" w14:textId="77777777" w:rsidR="00803DA8"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4"/>
      </w:r>
      <w:r w:rsidRPr="00435AFF">
        <w:rPr>
          <w:rFonts w:ascii="Verdana" w:eastAsia="Calibri" w:hAnsi="Verdana" w:cs="Arial"/>
          <w:bCs/>
          <w:color w:val="000000" w:themeColor="text1"/>
          <w:sz w:val="20"/>
        </w:rPr>
        <w:t>.</w:t>
      </w:r>
    </w:p>
    <w:p w14:paraId="1BD528E2" w14:textId="77777777" w:rsidR="00803DA8" w:rsidRPr="00435AFF" w:rsidRDefault="00803DA8" w:rsidP="00803DA8">
      <w:pPr>
        <w:tabs>
          <w:tab w:val="left" w:pos="0"/>
        </w:tabs>
        <w:spacing w:after="0" w:line="240" w:lineRule="auto"/>
        <w:ind w:left="709" w:right="709"/>
        <w:jc w:val="both"/>
        <w:rPr>
          <w:rFonts w:ascii="Verdana" w:eastAsia="Calibri" w:hAnsi="Verdana" w:cs="Arial"/>
          <w:bCs/>
          <w:color w:val="000000" w:themeColor="text1"/>
          <w:sz w:val="20"/>
        </w:rPr>
      </w:pPr>
    </w:p>
    <w:p w14:paraId="5B8E336D" w14:textId="77777777" w:rsidR="00803DA8" w:rsidRDefault="00803DA8" w:rsidP="00803DA8">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7957C7D1" w14:textId="77777777" w:rsidR="00803DA8" w:rsidRDefault="00803DA8" w:rsidP="00803DA8">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5"/>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37999A5B" w14:textId="77777777" w:rsidR="00803DA8" w:rsidRDefault="00803DA8" w:rsidP="00803DA8">
      <w:pPr>
        <w:spacing w:after="0" w:line="276" w:lineRule="auto"/>
        <w:ind w:firstLine="709"/>
        <w:jc w:val="both"/>
        <w:rPr>
          <w:rFonts w:ascii="Verdana" w:eastAsia="Calibri" w:hAnsi="Verdana" w:cs="Arial"/>
          <w:color w:val="000000" w:themeColor="text1"/>
        </w:rPr>
      </w:pPr>
    </w:p>
    <w:p w14:paraId="1AC37199" w14:textId="77777777" w:rsidR="00803DA8" w:rsidRDefault="00803DA8" w:rsidP="00803DA8">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w:t>
      </w:r>
      <w:r w:rsidRPr="008719EC">
        <w:rPr>
          <w:rFonts w:ascii="Verdana" w:eastAsia="Calibri" w:hAnsi="Verdana" w:cs="Arial"/>
          <w:i/>
          <w:iCs/>
          <w:color w:val="000000" w:themeColor="text1"/>
          <w:sz w:val="20"/>
          <w:szCs w:val="20"/>
        </w:rPr>
        <w:lastRenderedPageBreak/>
        <w:t xml:space="preserve">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6"/>
      </w:r>
      <w:r w:rsidRPr="008719EC">
        <w:rPr>
          <w:rFonts w:ascii="Verdana" w:eastAsia="Calibri" w:hAnsi="Verdana" w:cs="Arial"/>
          <w:color w:val="000000" w:themeColor="text1"/>
          <w:sz w:val="20"/>
          <w:szCs w:val="20"/>
        </w:rPr>
        <w:t>.</w:t>
      </w:r>
    </w:p>
    <w:p w14:paraId="56E9BA92" w14:textId="77777777" w:rsidR="00803DA8" w:rsidRPr="008719EC" w:rsidRDefault="00803DA8" w:rsidP="00803DA8">
      <w:pPr>
        <w:spacing w:after="0" w:line="240" w:lineRule="auto"/>
        <w:jc w:val="both"/>
        <w:rPr>
          <w:rFonts w:ascii="Verdana" w:eastAsia="Calibri" w:hAnsi="Verdana" w:cs="Arial"/>
          <w:color w:val="000000" w:themeColor="text1"/>
          <w:sz w:val="20"/>
          <w:szCs w:val="20"/>
        </w:rPr>
      </w:pPr>
    </w:p>
    <w:p w14:paraId="5FA75186" w14:textId="77777777" w:rsidR="00803DA8" w:rsidRPr="00D50C4E" w:rsidRDefault="00803DA8" w:rsidP="00803DA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30EF5D65" w14:textId="77777777" w:rsidR="00803DA8" w:rsidRDefault="00803DA8" w:rsidP="00803DA8">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69DEABC1" w14:textId="77777777" w:rsidR="00803DA8" w:rsidRDefault="00803DA8" w:rsidP="00803DA8">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públicos cumplen una función pública,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1E6FF092" w14:textId="77777777" w:rsidR="00803DA8" w:rsidRDefault="00803DA8" w:rsidP="00803DA8">
      <w:pPr>
        <w:spacing w:after="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lastRenderedPageBreak/>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476CC244" w14:textId="77777777" w:rsidR="00803DA8" w:rsidRDefault="00803DA8" w:rsidP="00803DA8">
      <w:pPr>
        <w:spacing w:after="0" w:line="276" w:lineRule="auto"/>
        <w:jc w:val="both"/>
        <w:rPr>
          <w:rFonts w:ascii="Verdana" w:eastAsia="Calibri" w:hAnsi="Verdana" w:cs="Arial"/>
          <w:color w:val="000000" w:themeColor="text1"/>
          <w:lang w:val="es-ES"/>
        </w:rPr>
      </w:pPr>
    </w:p>
    <w:p w14:paraId="32659182" w14:textId="77777777" w:rsidR="00803DA8" w:rsidRPr="00B57A1B" w:rsidRDefault="00803DA8" w:rsidP="00803DA8">
      <w:pPr>
        <w:tabs>
          <w:tab w:val="left" w:pos="7851"/>
        </w:tabs>
        <w:spacing w:after="120" w:line="276" w:lineRule="auto"/>
        <w:jc w:val="both"/>
        <w:rPr>
          <w:rFonts w:ascii="Arial" w:hAnsi="Arial" w:cs="Arial"/>
          <w:b/>
        </w:rPr>
      </w:pPr>
      <w:r>
        <w:rPr>
          <w:rFonts w:ascii="Verdana" w:eastAsia="Calibri" w:hAnsi="Verdana" w:cs="Arial"/>
          <w:color w:val="000000" w:themeColor="text1"/>
          <w:lang w:val="es-ES"/>
        </w:rPr>
        <w:t xml:space="preserve">         Por su parte l</w:t>
      </w:r>
      <w:r w:rsidRPr="00B57A1B">
        <w:rPr>
          <w:rFonts w:ascii="Verdana" w:eastAsiaTheme="minorEastAsia" w:hAnsi="Verdana" w:cs="Arial"/>
          <w:lang w:eastAsia="es-CO"/>
        </w:rPr>
        <w:t>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7"/>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7D8BE3CB" w14:textId="77777777" w:rsidR="00803DA8" w:rsidRPr="00B57A1B" w:rsidRDefault="00803DA8" w:rsidP="00803DA8">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7AAECC18" w14:textId="77777777" w:rsidR="00803DA8" w:rsidRPr="00B57A1B" w:rsidRDefault="00803DA8" w:rsidP="00803DA8">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 xml:space="preserve">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w:t>
      </w:r>
      <w:r w:rsidRPr="00B57A1B">
        <w:rPr>
          <w:rFonts w:ascii="Verdana" w:eastAsiaTheme="minorEastAsia" w:hAnsi="Verdana" w:cs="Arial"/>
          <w:lang w:eastAsia="es-CO"/>
        </w:rPr>
        <w:lastRenderedPageBreak/>
        <w:t>ley, deba adelantarse un procedimiento con pluralidad de oferentes</w:t>
      </w:r>
      <w:r w:rsidRPr="00B57A1B">
        <w:rPr>
          <w:rFonts w:ascii="Verdana" w:eastAsiaTheme="minorEastAsia" w:hAnsi="Verdana" w:cs="Arial"/>
          <w:vertAlign w:val="superscript"/>
          <w:lang w:eastAsia="es-CO"/>
        </w:rPr>
        <w:footnoteReference w:id="8"/>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1ED89D8C" w14:textId="77777777" w:rsidR="00803DA8" w:rsidRPr="00B57A1B" w:rsidRDefault="00803DA8" w:rsidP="00803DA8">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9"/>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7720BBD4" w14:textId="77777777" w:rsidR="00803DA8" w:rsidRPr="00B57A1B" w:rsidRDefault="00803DA8" w:rsidP="00803DA8">
      <w:pPr>
        <w:spacing w:after="0" w:line="276" w:lineRule="auto"/>
        <w:ind w:firstLine="709"/>
        <w:jc w:val="both"/>
        <w:rPr>
          <w:rFonts w:ascii="Verdana" w:eastAsiaTheme="minorEastAsia" w:hAnsi="Verdana" w:cs="Arial"/>
          <w:lang w:eastAsia="es-CO"/>
        </w:rPr>
      </w:pPr>
    </w:p>
    <w:p w14:paraId="3DD2A828" w14:textId="77777777" w:rsidR="00803DA8" w:rsidRPr="000E225C" w:rsidRDefault="00803DA8" w:rsidP="00803DA8">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5589CEFC" w14:textId="77777777" w:rsidR="00803DA8" w:rsidRPr="000E225C" w:rsidRDefault="00803DA8" w:rsidP="00803DA8">
      <w:pPr>
        <w:numPr>
          <w:ilvl w:val="0"/>
          <w:numId w:val="18"/>
        </w:numPr>
        <w:spacing w:after="0" w:line="240" w:lineRule="auto"/>
        <w:ind w:left="709" w:right="709" w:firstLine="0"/>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22D68C30" w14:textId="77777777" w:rsidR="00803DA8" w:rsidRPr="000E225C" w:rsidRDefault="00803DA8" w:rsidP="00803DA8">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lastRenderedPageBreak/>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1BCCE3D5" w14:textId="77777777" w:rsidR="00803DA8" w:rsidRPr="000E225C" w:rsidRDefault="00803DA8" w:rsidP="00803DA8">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10"/>
      </w:r>
      <w:r w:rsidRPr="000E225C">
        <w:rPr>
          <w:rFonts w:ascii="Verdana" w:eastAsiaTheme="minorEastAsia" w:hAnsi="Verdana" w:cs="Arial"/>
          <w:sz w:val="20"/>
          <w:szCs w:val="20"/>
          <w:lang w:eastAsia="es-CO"/>
        </w:rPr>
        <w:t>.</w:t>
      </w:r>
    </w:p>
    <w:p w14:paraId="1E4D266B" w14:textId="77777777" w:rsidR="00803DA8" w:rsidRPr="00B57A1B" w:rsidRDefault="00803DA8" w:rsidP="00803DA8">
      <w:pPr>
        <w:spacing w:after="0" w:line="276" w:lineRule="auto"/>
        <w:ind w:right="709"/>
        <w:jc w:val="both"/>
        <w:rPr>
          <w:rFonts w:ascii="Verdana" w:eastAsia="Times New Roman" w:hAnsi="Verdana" w:cs="Arial"/>
          <w:lang w:eastAsia="es-ES_tradnl"/>
        </w:rPr>
      </w:pPr>
    </w:p>
    <w:p w14:paraId="10C787A7" w14:textId="77777777" w:rsidR="00803DA8" w:rsidRPr="00B57A1B" w:rsidRDefault="00803DA8" w:rsidP="00803DA8">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51ABCEA9" w14:textId="77777777" w:rsidR="00803DA8" w:rsidRPr="00B57A1B" w:rsidRDefault="00803DA8" w:rsidP="00803DA8">
      <w:pPr>
        <w:spacing w:after="0" w:line="276" w:lineRule="auto"/>
        <w:ind w:firstLine="709"/>
        <w:jc w:val="both"/>
        <w:rPr>
          <w:rFonts w:ascii="Verdana" w:eastAsiaTheme="minorEastAsia" w:hAnsi="Verdana" w:cs="Arial"/>
          <w:lang w:eastAsia="es-CO"/>
        </w:rPr>
      </w:pPr>
    </w:p>
    <w:p w14:paraId="4723FDB0" w14:textId="77777777" w:rsidR="00803DA8" w:rsidRPr="000E225C" w:rsidRDefault="00803DA8" w:rsidP="00803DA8">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4AC8300A" w14:textId="77777777" w:rsidR="00803DA8" w:rsidRPr="000E225C" w:rsidRDefault="00803DA8" w:rsidP="00803DA8">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7CE7C712" w14:textId="77777777" w:rsidR="00803DA8" w:rsidRPr="000E225C" w:rsidRDefault="00803DA8" w:rsidP="00803DA8">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 xml:space="preserve">El contrato interadministrativo, por su parte, es también celebrado entre dos entidades públicas con capacidad de tener relaciones interadministrativas, con la particularidad de que el contrato es negocio </w:t>
      </w:r>
      <w:r w:rsidRPr="000E225C">
        <w:rPr>
          <w:rFonts w:ascii="Verdana" w:hAnsi="Verdana" w:cs="Weiss"/>
          <w:sz w:val="20"/>
          <w:szCs w:val="19"/>
        </w:rPr>
        <w:lastRenderedPageBreak/>
        <w:t>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1"/>
      </w:r>
      <w:r w:rsidRPr="000E225C">
        <w:rPr>
          <w:rFonts w:ascii="Verdana" w:hAnsi="Verdana" w:cs="Weiss"/>
          <w:sz w:val="20"/>
          <w:szCs w:val="19"/>
        </w:rPr>
        <w:t>.</w:t>
      </w:r>
    </w:p>
    <w:p w14:paraId="62CCFCC4" w14:textId="77777777" w:rsidR="00803DA8" w:rsidRPr="00B57A1B" w:rsidRDefault="00803DA8" w:rsidP="00803DA8">
      <w:pPr>
        <w:spacing w:after="120" w:line="276" w:lineRule="auto"/>
        <w:jc w:val="both"/>
        <w:rPr>
          <w:rFonts w:ascii="Verdana" w:eastAsiaTheme="minorEastAsia" w:hAnsi="Verdana" w:cs="Arial"/>
          <w:lang w:eastAsia="es-CO"/>
        </w:rPr>
      </w:pPr>
    </w:p>
    <w:p w14:paraId="6D09D586" w14:textId="77777777" w:rsidR="00803DA8" w:rsidRPr="00B57A1B" w:rsidRDefault="00803DA8" w:rsidP="00803DA8">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2"/>
      </w:r>
      <w:r w:rsidRPr="00B57A1B">
        <w:rPr>
          <w:rFonts w:ascii="Verdana" w:eastAsiaTheme="minorEastAsia" w:hAnsi="Verdana" w:cs="Arial"/>
          <w:lang w:eastAsia="es-CO"/>
        </w:rPr>
        <w:t xml:space="preserve">. De esta manera, el Consejo de Estado expresa:  </w:t>
      </w:r>
    </w:p>
    <w:p w14:paraId="2D516C38" w14:textId="77777777" w:rsidR="00803DA8" w:rsidRPr="00B57A1B" w:rsidRDefault="00803DA8" w:rsidP="00803DA8">
      <w:pPr>
        <w:widowControl w:val="0"/>
        <w:autoSpaceDE w:val="0"/>
        <w:autoSpaceDN w:val="0"/>
        <w:spacing w:after="120" w:line="276" w:lineRule="auto"/>
        <w:jc w:val="both"/>
        <w:rPr>
          <w:rFonts w:ascii="Verdana" w:eastAsia="Arial MT" w:hAnsi="Verdana" w:cs="Arial MT"/>
        </w:rPr>
      </w:pPr>
    </w:p>
    <w:p w14:paraId="27B1619C" w14:textId="77777777" w:rsidR="00803DA8" w:rsidRPr="000E225C" w:rsidRDefault="00803DA8" w:rsidP="00803DA8">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5AFA592A" w14:textId="77777777" w:rsidR="00803DA8" w:rsidRPr="000E225C" w:rsidRDefault="00803DA8" w:rsidP="00803DA8">
      <w:pPr>
        <w:widowControl w:val="0"/>
        <w:autoSpaceDE w:val="0"/>
        <w:autoSpaceDN w:val="0"/>
        <w:spacing w:after="0" w:line="240" w:lineRule="auto"/>
        <w:ind w:left="709" w:right="709"/>
        <w:jc w:val="both"/>
        <w:rPr>
          <w:rFonts w:ascii="Verdana" w:eastAsia="Arial MT" w:hAnsi="Verdana" w:cs="Arial MT"/>
          <w:sz w:val="20"/>
          <w:szCs w:val="19"/>
        </w:rPr>
      </w:pPr>
    </w:p>
    <w:p w14:paraId="513B82A3" w14:textId="77777777" w:rsidR="00803DA8" w:rsidRPr="000E225C" w:rsidRDefault="00803DA8" w:rsidP="00803DA8">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w:t>
      </w:r>
      <w:r w:rsidRPr="000E225C">
        <w:rPr>
          <w:rFonts w:ascii="Verdana" w:eastAsia="Arial MT" w:hAnsi="Verdana" w:cs="Arial MT"/>
          <w:i/>
          <w:iCs/>
          <w:sz w:val="20"/>
          <w:szCs w:val="19"/>
        </w:rPr>
        <w:lastRenderedPageBreak/>
        <w:t xml:space="preserve">o falta de regulación normativa y/o convencional. </w:t>
      </w:r>
    </w:p>
    <w:p w14:paraId="730F9402" w14:textId="77777777" w:rsidR="00803DA8" w:rsidRPr="000E225C" w:rsidRDefault="00803DA8" w:rsidP="00803DA8">
      <w:pPr>
        <w:widowControl w:val="0"/>
        <w:autoSpaceDE w:val="0"/>
        <w:autoSpaceDN w:val="0"/>
        <w:spacing w:after="0" w:line="240" w:lineRule="auto"/>
        <w:ind w:left="709" w:right="709"/>
        <w:jc w:val="both"/>
        <w:rPr>
          <w:rFonts w:ascii="Verdana" w:eastAsia="Arial MT" w:hAnsi="Verdana" w:cs="Arial MT"/>
          <w:sz w:val="20"/>
          <w:szCs w:val="19"/>
        </w:rPr>
      </w:pPr>
    </w:p>
    <w:p w14:paraId="37AE070A" w14:textId="77777777" w:rsidR="00803DA8" w:rsidRPr="000E225C" w:rsidRDefault="00803DA8" w:rsidP="00803DA8">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13"/>
      </w:r>
      <w:r w:rsidRPr="000E225C">
        <w:rPr>
          <w:rFonts w:ascii="Verdana" w:eastAsia="Arial MT" w:hAnsi="Verdana" w:cs="Arial MT"/>
          <w:i/>
          <w:iCs/>
          <w:sz w:val="20"/>
          <w:szCs w:val="19"/>
        </w:rPr>
        <w:t>.</w:t>
      </w:r>
    </w:p>
    <w:p w14:paraId="2A50DD48" w14:textId="77777777" w:rsidR="00803DA8" w:rsidRDefault="00803DA8" w:rsidP="00803DA8">
      <w:pPr>
        <w:spacing w:after="120" w:line="276" w:lineRule="auto"/>
        <w:jc w:val="both"/>
        <w:rPr>
          <w:rFonts w:ascii="Verdana" w:eastAsia="Calibri" w:hAnsi="Verdana" w:cs="Arial"/>
          <w:color w:val="000000" w:themeColor="text1"/>
          <w:lang w:val="es-ES"/>
        </w:rPr>
      </w:pPr>
    </w:p>
    <w:p w14:paraId="7B45D40A" w14:textId="77777777" w:rsidR="00803DA8" w:rsidRDefault="00803DA8" w:rsidP="00803DA8">
      <w:pPr>
        <w:spacing w:after="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Teniendo en cuenta, este entendimiento sobre los convenios</w:t>
      </w:r>
      <w:r>
        <w:rPr>
          <w:rFonts w:ascii="Verdana" w:eastAsiaTheme="minorEastAsia" w:hAnsi="Verdana" w:cs="Arial"/>
          <w:lang w:eastAsia="es-CO"/>
        </w:rPr>
        <w:t xml:space="preserve"> interadministrativos</w:t>
      </w:r>
      <w:r w:rsidRPr="00B57A1B">
        <w:rPr>
          <w:rFonts w:ascii="Verdana" w:eastAsiaTheme="minorEastAsia" w:hAnsi="Verdana" w:cs="Arial"/>
          <w:lang w:eastAsia="es-CO"/>
        </w:rPr>
        <w:t xml:space="preserve"> y contratos interadministrativos</w:t>
      </w:r>
      <w:r>
        <w:rPr>
          <w:rFonts w:ascii="Verdana" w:eastAsia="Calibri" w:hAnsi="Verdana" w:cs="Times New Roman"/>
          <w:iCs/>
          <w:lang w:val="es-ES"/>
        </w:rPr>
        <w:t xml:space="preserve"> se infiere que su denominación parte de que ambos actores son entidades públicas. Ahora bien, será necesario analizar la posibilidad de celebración de convenios o contratos interadministrativos para el otorgamiento de subsidios en el marco de los servicios públicos domiciliarios. </w:t>
      </w:r>
    </w:p>
    <w:p w14:paraId="40E48F60" w14:textId="77777777" w:rsidR="00803DA8" w:rsidRDefault="00803DA8" w:rsidP="00803DA8">
      <w:pPr>
        <w:spacing w:after="0" w:line="276" w:lineRule="auto"/>
        <w:jc w:val="both"/>
        <w:rPr>
          <w:rFonts w:ascii="Verdana" w:eastAsia="Calibri" w:hAnsi="Verdana" w:cs="Times New Roman"/>
          <w:iCs/>
          <w:lang w:val="es-ES"/>
        </w:rPr>
      </w:pPr>
    </w:p>
    <w:p w14:paraId="1B5D2693" w14:textId="77777777" w:rsidR="00803DA8" w:rsidRDefault="00803DA8" w:rsidP="00803DA8">
      <w:pPr>
        <w:spacing w:after="0" w:line="276" w:lineRule="auto"/>
        <w:jc w:val="both"/>
        <w:rPr>
          <w:rFonts w:ascii="Verdana" w:eastAsia="Calibri" w:hAnsi="Verdana" w:cs="Times New Roman"/>
          <w:iCs/>
          <w:lang w:val="es-ES"/>
        </w:rPr>
      </w:pPr>
      <w:r>
        <w:rPr>
          <w:rFonts w:ascii="Verdana" w:eastAsia="Calibri" w:hAnsi="Verdana" w:cs="Times New Roman"/>
          <w:iCs/>
          <w:lang w:val="es-ES"/>
        </w:rPr>
        <w:t xml:space="preserve">          Ahora bien, en relación a los subsidios en materia de servicios públicos domiciliarios, un aspecto que poco se explora en el Sistema de Compras Públicas, en especial, sobre la forma o el instrumento jurídico en que se otorgan. Para ello, se señala que el subsidio es una forma de auxilio, que en el marco del Estado Social de Derecho pregonado en la Constitución busca garantizar el bienestar general, y en especial, la igualdad material y el principio de solidaridad</w:t>
      </w:r>
      <w:r>
        <w:rPr>
          <w:rStyle w:val="Refdenotaalpie"/>
          <w:rFonts w:ascii="Verdana" w:eastAsia="Calibri" w:hAnsi="Verdana" w:cs="Times New Roman"/>
          <w:iCs/>
          <w:lang w:val="es-ES"/>
        </w:rPr>
        <w:footnoteReference w:id="14"/>
      </w:r>
      <w:r>
        <w:rPr>
          <w:rFonts w:ascii="Verdana" w:eastAsia="Calibri" w:hAnsi="Verdana" w:cs="Times New Roman"/>
          <w:iCs/>
          <w:lang w:val="es-ES"/>
        </w:rPr>
        <w:t xml:space="preserve">. Al respecto, la Doctrina expresa: </w:t>
      </w:r>
    </w:p>
    <w:p w14:paraId="5F9DA0EE" w14:textId="77777777" w:rsidR="00803DA8" w:rsidRDefault="00803DA8" w:rsidP="00803DA8">
      <w:pPr>
        <w:spacing w:after="0" w:line="276" w:lineRule="auto"/>
        <w:jc w:val="both"/>
        <w:rPr>
          <w:rFonts w:ascii="Verdana" w:eastAsia="Calibri" w:hAnsi="Verdana" w:cs="Times New Roman"/>
          <w:iCs/>
          <w:lang w:val="es-ES"/>
        </w:rPr>
      </w:pPr>
    </w:p>
    <w:p w14:paraId="3D33A7E6" w14:textId="77777777" w:rsidR="00803DA8" w:rsidRPr="006571B8" w:rsidRDefault="00803DA8" w:rsidP="00803DA8">
      <w:pPr>
        <w:spacing w:after="0" w:line="240" w:lineRule="auto"/>
        <w:ind w:left="709" w:right="709"/>
        <w:jc w:val="both"/>
        <w:rPr>
          <w:rFonts w:ascii="Verdana" w:eastAsia="Calibri" w:hAnsi="Verdana" w:cs="Times New Roman"/>
          <w:iCs/>
          <w:sz w:val="20"/>
        </w:rPr>
      </w:pPr>
      <w:r w:rsidRPr="006571B8">
        <w:rPr>
          <w:rFonts w:ascii="Verdana" w:eastAsia="Calibri" w:hAnsi="Verdana" w:cs="Times New Roman"/>
          <w:iCs/>
          <w:sz w:val="20"/>
        </w:rPr>
        <w:lastRenderedPageBreak/>
        <w:t xml:space="preserve">Siendo este el comportamiento de los subsidios, su naturaleza se parece bastante a la de un auxilio, lo que hace pensar que puede violarse el artículo 355 de la Constitución Política, según el cual está prohibido, con recursos del erario, conceder auxilios o donaciones a favor de particulares. En realidad, si bien </w:t>
      </w:r>
      <w:r>
        <w:rPr>
          <w:rFonts w:ascii="Verdana" w:eastAsia="Calibri" w:hAnsi="Verdana" w:cs="Times New Roman"/>
          <w:iCs/>
          <w:sz w:val="20"/>
        </w:rPr>
        <w:t>los subsidios se comportan com</w:t>
      </w:r>
      <w:r w:rsidRPr="006571B8">
        <w:rPr>
          <w:rFonts w:ascii="Verdana" w:eastAsia="Calibri" w:hAnsi="Verdana" w:cs="Times New Roman"/>
          <w:iCs/>
          <w:sz w:val="20"/>
        </w:rPr>
        <w:t>o un auxilio, debe quedar claro que hay liberalidades, como esta, que el Estado hace en favor de los particulares por mandato de la propia Constitución, pues debemos recordar que el artículo 368 dispone que con cargo a los recursos de las entidades estatales se pueden otorgar subsidios para los usuarios de menores ingresos; luego, si la Constitución lo autoriza, entonces no se viola la norma fundamental; al contrario: existe armonía con lo que mandan sus disposiciones</w:t>
      </w:r>
      <w:r>
        <w:rPr>
          <w:rStyle w:val="Refdenotaalpie"/>
          <w:rFonts w:ascii="Verdana" w:eastAsia="Calibri" w:hAnsi="Verdana" w:cs="Times New Roman"/>
          <w:iCs/>
          <w:sz w:val="20"/>
        </w:rPr>
        <w:footnoteReference w:id="15"/>
      </w:r>
      <w:r w:rsidRPr="006571B8">
        <w:rPr>
          <w:rFonts w:ascii="Verdana" w:eastAsia="Calibri" w:hAnsi="Verdana" w:cs="Times New Roman"/>
          <w:iCs/>
          <w:sz w:val="20"/>
        </w:rPr>
        <w:t xml:space="preserve">. </w:t>
      </w:r>
    </w:p>
    <w:p w14:paraId="01BCE971" w14:textId="77777777" w:rsidR="00803DA8" w:rsidRDefault="00803DA8" w:rsidP="00803DA8">
      <w:pPr>
        <w:spacing w:after="120" w:line="276" w:lineRule="auto"/>
        <w:jc w:val="both"/>
        <w:rPr>
          <w:rFonts w:ascii="Verdana" w:eastAsia="Calibri" w:hAnsi="Verdana" w:cs="Times New Roman"/>
          <w:iCs/>
        </w:rPr>
      </w:pPr>
    </w:p>
    <w:p w14:paraId="47544115" w14:textId="77777777" w:rsidR="00803DA8" w:rsidRPr="003004D2" w:rsidRDefault="00803DA8" w:rsidP="00803DA8">
      <w:pPr>
        <w:spacing w:after="120" w:line="276" w:lineRule="auto"/>
        <w:jc w:val="both"/>
        <w:rPr>
          <w:rFonts w:ascii="Verdana" w:eastAsia="Calibri" w:hAnsi="Verdana" w:cs="Times New Roman"/>
          <w:iCs/>
        </w:rPr>
      </w:pPr>
      <w:r>
        <w:rPr>
          <w:rFonts w:ascii="Verdana" w:eastAsia="Calibri" w:hAnsi="Verdana" w:cs="Times New Roman"/>
          <w:iCs/>
        </w:rPr>
        <w:tab/>
        <w:t>Como manifestación del deber de otorgar subsidios en el marco del Estado Social de Derecho, se encuentra el artículo 368 constitucional prescribe: “</w:t>
      </w:r>
      <w:r w:rsidRPr="006571B8">
        <w:rPr>
          <w:rFonts w:ascii="Verdana" w:eastAsia="Calibri" w:hAnsi="Verdana" w:cs="Times New Roman"/>
          <w:bCs/>
          <w:iCs/>
        </w:rPr>
        <w:t>[…]</w:t>
      </w:r>
      <w:r>
        <w:rPr>
          <w:rFonts w:ascii="Verdana" w:eastAsia="Calibri" w:hAnsi="Verdana" w:cs="Times New Roman"/>
          <w:b/>
          <w:bCs/>
          <w:iCs/>
        </w:rPr>
        <w:t xml:space="preserve"> </w:t>
      </w:r>
      <w:r w:rsidRPr="006571B8">
        <w:rPr>
          <w:rFonts w:ascii="Verdana" w:eastAsia="Calibri" w:hAnsi="Verdana" w:cs="Times New Roman"/>
          <w:iCs/>
        </w:rPr>
        <w:t xml:space="preserve">La Nación, los departamentos, los distritos, los municipios y las entidades descentralizadas podrán conceder subsidios, en sus respectivos presupuestos, para que las personas de menores ingresos puedan pagar las tarifas de los servicios públicos domiciliarios que </w:t>
      </w:r>
      <w:r>
        <w:rPr>
          <w:rFonts w:ascii="Verdana" w:eastAsia="Calibri" w:hAnsi="Verdana" w:cs="Times New Roman"/>
          <w:iCs/>
        </w:rPr>
        <w:t>cubran sus necesidades básicas”. En tal sentido, dicho tratamiento constitucional se desarrolló en la Leyes 142 y 143 de 19</w:t>
      </w:r>
      <w:r w:rsidRPr="003004D2">
        <w:rPr>
          <w:rFonts w:ascii="Verdana" w:eastAsia="Calibri" w:hAnsi="Verdana" w:cs="Times New Roman"/>
          <w:iCs/>
        </w:rPr>
        <w:t xml:space="preserve">94. </w:t>
      </w:r>
    </w:p>
    <w:p w14:paraId="0651A2D8" w14:textId="77777777" w:rsidR="00803DA8" w:rsidRPr="003004D2" w:rsidRDefault="00803DA8" w:rsidP="00803DA8">
      <w:pPr>
        <w:spacing w:after="120" w:line="276" w:lineRule="auto"/>
        <w:jc w:val="both"/>
        <w:rPr>
          <w:rFonts w:ascii="Verdana" w:eastAsia="Calibri" w:hAnsi="Verdana" w:cs="Times New Roman"/>
          <w:iCs/>
          <w:lang w:val="es-ES"/>
        </w:rPr>
      </w:pPr>
      <w:r w:rsidRPr="003004D2">
        <w:rPr>
          <w:rFonts w:ascii="Verdana" w:eastAsia="Calibri" w:hAnsi="Verdana" w:cs="Times New Roman"/>
          <w:iCs/>
        </w:rPr>
        <w:tab/>
        <w:t>Para ello, se hace una referencia especial a la Ley 142 de 1994, “</w:t>
      </w:r>
      <w:r w:rsidRPr="003004D2">
        <w:rPr>
          <w:rFonts w:ascii="Verdana" w:eastAsia="Calibri" w:hAnsi="Verdana" w:cs="Times New Roman"/>
          <w:bCs/>
          <w:iCs/>
        </w:rPr>
        <w:t>por la cual se establece el régimen de los servicios públicos domiciliarios y se dictan otras disposiciones”. Dicha Ley en su artículo 3°</w:t>
      </w:r>
      <w:r w:rsidRPr="003004D2">
        <w:rPr>
          <w:rStyle w:val="Refdenotaalpie"/>
          <w:rFonts w:ascii="Verdana" w:eastAsia="Calibri" w:hAnsi="Verdana" w:cs="Times New Roman"/>
          <w:bCs/>
          <w:iCs/>
        </w:rPr>
        <w:footnoteReference w:id="16"/>
      </w:r>
      <w:r w:rsidRPr="003004D2">
        <w:rPr>
          <w:rFonts w:ascii="Verdana" w:eastAsia="Calibri" w:hAnsi="Verdana" w:cs="Times New Roman"/>
          <w:bCs/>
          <w:iCs/>
        </w:rPr>
        <w:t xml:space="preserve"> establece que la intervención </w:t>
      </w:r>
      <w:r w:rsidRPr="003004D2">
        <w:rPr>
          <w:rFonts w:ascii="Verdana" w:eastAsia="Calibri" w:hAnsi="Verdana" w:cs="Times New Roman"/>
          <w:bCs/>
          <w:iCs/>
        </w:rPr>
        <w:lastRenderedPageBreak/>
        <w:t>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04E0E548" w14:textId="77777777" w:rsidR="00803DA8" w:rsidRPr="00442203" w:rsidRDefault="00803DA8" w:rsidP="00803DA8">
      <w:pPr>
        <w:pStyle w:val="Default"/>
        <w:spacing w:line="276" w:lineRule="auto"/>
        <w:jc w:val="both"/>
        <w:rPr>
          <w:rFonts w:ascii="Verdana" w:hAnsi="Verdana"/>
          <w:sz w:val="22"/>
          <w:szCs w:val="22"/>
        </w:rPr>
      </w:pPr>
      <w:r w:rsidRPr="003004D2">
        <w:rPr>
          <w:rFonts w:ascii="Verdana" w:hAnsi="Verdana"/>
          <w:sz w:val="22"/>
          <w:szCs w:val="22"/>
        </w:rPr>
        <w:tab/>
      </w:r>
      <w:r w:rsidRPr="00442203">
        <w:rPr>
          <w:rFonts w:ascii="Verdana" w:hAnsi="Verdana"/>
          <w:sz w:val="22"/>
          <w:szCs w:val="22"/>
        </w:rPr>
        <w:t xml:space="preserve">Una de las formas de intervención estatal es la entrega de subsidios a las personas con menores ingresos. En este </w:t>
      </w:r>
      <w:r>
        <w:rPr>
          <w:rFonts w:ascii="Verdana" w:hAnsi="Verdana"/>
          <w:sz w:val="22"/>
          <w:szCs w:val="22"/>
        </w:rPr>
        <w:t>contexto</w:t>
      </w:r>
      <w:r w:rsidRPr="00442203">
        <w:rPr>
          <w:rFonts w:ascii="Verdana" w:hAnsi="Verdana"/>
          <w:sz w:val="22"/>
          <w:szCs w:val="22"/>
        </w:rPr>
        <w:t xml:space="preserve">, </w:t>
      </w:r>
      <w:r>
        <w:rPr>
          <w:rFonts w:ascii="Verdana" w:hAnsi="Verdana"/>
          <w:sz w:val="22"/>
          <w:szCs w:val="22"/>
        </w:rPr>
        <w:t>como se señaló previamente, en el</w:t>
      </w:r>
      <w:r w:rsidRPr="00442203">
        <w:rPr>
          <w:rFonts w:ascii="Verdana" w:hAnsi="Verdana"/>
          <w:sz w:val="22"/>
          <w:szCs w:val="22"/>
        </w:rPr>
        <w:t xml:space="preserve"> artículo 368, autorizó de manera potestativa —no obligatoria— a la Nación, los departamentos, los municipios y demás entidades descentralizadas para otorgar subsidios, con cargo a sus presupuestos, a lo</w:t>
      </w:r>
      <w:r>
        <w:rPr>
          <w:rFonts w:ascii="Verdana" w:hAnsi="Verdana"/>
          <w:sz w:val="22"/>
          <w:szCs w:val="22"/>
        </w:rPr>
        <w:t>s usuarios de menores ingresos. Al respecto, l</w:t>
      </w:r>
      <w:r w:rsidRPr="00442203">
        <w:rPr>
          <w:rFonts w:ascii="Verdana" w:hAnsi="Verdana"/>
          <w:sz w:val="22"/>
          <w:szCs w:val="22"/>
        </w:rPr>
        <w:t>a Ley 142 abordó el tema en su artículo</w:t>
      </w:r>
      <w:r>
        <w:rPr>
          <w:rFonts w:ascii="Verdana" w:hAnsi="Verdana"/>
          <w:sz w:val="22"/>
          <w:szCs w:val="22"/>
        </w:rPr>
        <w:t xml:space="preserve"> 99</w:t>
      </w:r>
      <w:r w:rsidRPr="00442203">
        <w:rPr>
          <w:rFonts w:ascii="Verdana" w:hAnsi="Verdana"/>
          <w:sz w:val="22"/>
          <w:szCs w:val="22"/>
        </w:rPr>
        <w:t>, imponiendo, la obligación a la Nación y a las entidades territoriales de subsidiar los servicios públicos domiciliarios.</w:t>
      </w:r>
      <w:r>
        <w:rPr>
          <w:rFonts w:ascii="Verdana" w:hAnsi="Verdana"/>
          <w:sz w:val="22"/>
          <w:szCs w:val="22"/>
        </w:rPr>
        <w:t xml:space="preserve"> Dicha norma prescribe</w:t>
      </w:r>
      <w:r w:rsidRPr="00442203">
        <w:rPr>
          <w:rFonts w:ascii="Verdana" w:hAnsi="Verdana"/>
          <w:sz w:val="22"/>
          <w:szCs w:val="22"/>
        </w:rPr>
        <w:t>:</w:t>
      </w:r>
    </w:p>
    <w:p w14:paraId="42C8A019" w14:textId="77777777" w:rsidR="00803DA8" w:rsidRDefault="00803DA8" w:rsidP="00803DA8">
      <w:pPr>
        <w:pStyle w:val="Default"/>
        <w:jc w:val="both"/>
        <w:rPr>
          <w:rFonts w:ascii="Verdana" w:hAnsi="Verdana"/>
          <w:sz w:val="22"/>
          <w:szCs w:val="22"/>
        </w:rPr>
      </w:pPr>
    </w:p>
    <w:p w14:paraId="25B2A79D"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bCs/>
          <w:sz w:val="20"/>
          <w:szCs w:val="20"/>
        </w:rPr>
        <w:t>Artículo 99. Forma de subsidiar.</w:t>
      </w:r>
      <w:r w:rsidRPr="009C2F3C">
        <w:rPr>
          <w:rFonts w:ascii="Verdana" w:hAnsi="Verdana"/>
          <w:sz w:val="20"/>
          <w:szCs w:val="20"/>
        </w:rPr>
        <w:t> Las entidades señaladas en el artículo 368 de la Constitución Política podrán conceder subsidios en sus respectivos presupuestos de acuerdo a las siguientes reglas: </w:t>
      </w:r>
    </w:p>
    <w:p w14:paraId="51D50548"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99.1. Deben indicar específicamente el tipo de servicio subsidiado. </w:t>
      </w:r>
    </w:p>
    <w:p w14:paraId="74386D6D"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99.2. Se señalará la entidad prestadora que repartirá el subsidio. </w:t>
      </w:r>
    </w:p>
    <w:p w14:paraId="33CAD95F"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99.3. El reparto debe hacerse entre los usuarios como un descuento en el valor de la factura que éste debe cancelar, conforme a lo dispuesto en esta Ley y en las Ordenanzas y Acuerdos según el caso. </w:t>
      </w:r>
    </w:p>
    <w:p w14:paraId="0801E536"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93.4. El Presidente y los gobernadores podrán suspender a los alcaldes cuando sean negligentes en la aplicación de las normas relativas al pago de los subsidios; o cuando las infrinjan de cualquier otra manera. </w:t>
      </w:r>
    </w:p>
    <w:p w14:paraId="4BC2F7F9"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 xml:space="preserve">99.5. Los subsidios no excederán, en ningún caso, del valor de los consumos básicos o de subsistencia. Los alcaldes y los concejales tomarán las medidas que a cada uno correspondan para crear en el presupuesto municipal, y ejecutar, apropiaciones para subsidiar los consumos básicos de acueducto de los usuarios de menores recursos y extender la cobertura y mejorar la calidad de los servicios de agua potable y saneamiento básico, </w:t>
      </w:r>
      <w:r w:rsidRPr="009C2F3C">
        <w:rPr>
          <w:rFonts w:ascii="Verdana" w:hAnsi="Verdana"/>
          <w:sz w:val="20"/>
          <w:szCs w:val="20"/>
        </w:rPr>
        <w:lastRenderedPageBreak/>
        <w:t>dando prioridad a esas apropiaciones, dentro de las posibilidades del municipio, sobre otros gastos que no sean indispensables para el funcionamiento de éste. La infracción de este deber dará lugar a sanción disciplinaria. </w:t>
      </w:r>
    </w:p>
    <w:p w14:paraId="11AFDD82"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99.6. La parte de la tarifa que refleje los costos de administración, operación y mantenimiento a que dé lugar el suministro será cubierta siempre por el usuario; la que tenga el propósito de recuperar el valor de las inversiones hechas para prestar el servicio podrá ser cubierta por los subsidios, y siempre que no lo sean, la empresa de servicios públicos podrá tomar todas las medidas necesarias para que los usuarios las cubran. En ningún caso el subsidio será superior al 15% del costo medio del suministro para el estrato 3, al 40% del costo medio del suministro para el estrato 2, ni superior al 50% de éste para el estrato 1. </w:t>
      </w:r>
    </w:p>
    <w:p w14:paraId="22D173BC"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99.7. Los subsidios sólo se otorgarán a los usuarios de inmuebles residenciales y a las zonas rurales de los estratos 1 y 2; las comisiones de regulación definirán las condiciones para otorgarlos al estrato 3. </w:t>
      </w:r>
    </w:p>
    <w:p w14:paraId="5851ACEA"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99.8. Cuando los Concejos creen los fondos de solidaridad para subsidios y redistribución de ingresos y autoricen el pago de subsidios a través de las empresas pero con desembolsos de los recursos que manejen las tesorerías municipales, la transferencia de recursos se hará en un plazo de 30 días, contados desde la misma fecha en que se expida la factura a cargo del municipio. Para asegurar la transferencia, las empresas firmarán contratos con el municipio. </w:t>
      </w:r>
    </w:p>
    <w:p w14:paraId="506380FF"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sz w:val="20"/>
          <w:szCs w:val="20"/>
        </w:rPr>
        <w:t>99.9. Los subsidios que otorguen la Nación y los departamentos se asignarán, preferentemente, a los usuarios que residan en aquellos municipios que tengan menor capacidad para otorgar subsidios con sus propios ingresos. En consecuencia y con el fin de cumplir cabalmente con los principios de solidaridad y redistribución no existirá exoneración en el pago de los servicios de que trata esta Ley para ninguna persona natural o jurídica. </w:t>
      </w:r>
    </w:p>
    <w:p w14:paraId="1458975F" w14:textId="77777777" w:rsidR="00803DA8" w:rsidRPr="009C2F3C" w:rsidRDefault="00803DA8" w:rsidP="00803DA8">
      <w:pPr>
        <w:pStyle w:val="Default"/>
        <w:ind w:left="709" w:right="709"/>
        <w:jc w:val="both"/>
        <w:rPr>
          <w:rFonts w:ascii="Verdana" w:hAnsi="Verdana"/>
          <w:sz w:val="20"/>
          <w:szCs w:val="20"/>
        </w:rPr>
      </w:pPr>
      <w:r w:rsidRPr="009C2F3C">
        <w:rPr>
          <w:rFonts w:ascii="Verdana" w:hAnsi="Verdana"/>
          <w:bCs/>
          <w:sz w:val="20"/>
          <w:szCs w:val="20"/>
        </w:rPr>
        <w:t>Parágrafo 1º.</w:t>
      </w:r>
      <w:r w:rsidRPr="009C2F3C">
        <w:rPr>
          <w:rFonts w:ascii="Verdana" w:hAnsi="Verdana"/>
          <w:sz w:val="20"/>
          <w:szCs w:val="20"/>
        </w:rPr>
        <w:t> La tarifa del servicio público de electricidad para los distritos de riego construidos o administrados por el Incora y que sean menores a 50 hectáreas, se considerarán incorporados al estrato 1 para efecto de los subsidios a que haya lugar. </w:t>
      </w:r>
    </w:p>
    <w:p w14:paraId="25B3DE19" w14:textId="77777777" w:rsidR="00803DA8" w:rsidRDefault="00803DA8" w:rsidP="00803DA8">
      <w:pPr>
        <w:pStyle w:val="Default"/>
        <w:jc w:val="both"/>
        <w:rPr>
          <w:rFonts w:ascii="Verdana" w:hAnsi="Verdana"/>
          <w:sz w:val="22"/>
          <w:szCs w:val="22"/>
        </w:rPr>
      </w:pPr>
    </w:p>
    <w:p w14:paraId="005C1C9C" w14:textId="77777777" w:rsidR="00803DA8" w:rsidRDefault="00803DA8" w:rsidP="00803DA8">
      <w:pPr>
        <w:pStyle w:val="Default"/>
        <w:spacing w:line="276" w:lineRule="auto"/>
        <w:jc w:val="both"/>
        <w:rPr>
          <w:rFonts w:ascii="Verdana" w:hAnsi="Verdana"/>
          <w:sz w:val="22"/>
          <w:szCs w:val="22"/>
        </w:rPr>
      </w:pPr>
      <w:r>
        <w:rPr>
          <w:rFonts w:ascii="Verdana" w:hAnsi="Verdana"/>
          <w:sz w:val="22"/>
          <w:szCs w:val="22"/>
        </w:rPr>
        <w:tab/>
        <w:t>El numeral</w:t>
      </w:r>
      <w:r w:rsidRPr="00E94B76">
        <w:rPr>
          <w:rFonts w:ascii="Verdana" w:hAnsi="Verdana"/>
          <w:sz w:val="22"/>
          <w:szCs w:val="22"/>
        </w:rPr>
        <w:t xml:space="preserve"> 99.8 establece que, cuando los concejos municipales creen fondos de solidaridad para subsidios y redistribución de ingresos y autoricen que las empresas paguen dichos subsidios con recursos administrados por las tesorerías municipales, la transferencia de esos recursos debe realizarse en un plazo máximo de 30 días contados desde la fecha de expedición de la factura correspondiente al municipio. Para garantizar el cumplimiento de esta obligación, las empresas deben suscribir contratos con el municipio, lo que asegura un marco jurídico y administrativo que respalde la transferencia </w:t>
      </w:r>
      <w:r w:rsidRPr="00E94B76">
        <w:rPr>
          <w:rFonts w:ascii="Verdana" w:hAnsi="Verdana"/>
          <w:sz w:val="22"/>
          <w:szCs w:val="22"/>
        </w:rPr>
        <w:lastRenderedPageBreak/>
        <w:t>oportuna de los fondos destinados a los subsidios.</w:t>
      </w:r>
      <w:r>
        <w:rPr>
          <w:rFonts w:ascii="Verdana" w:hAnsi="Verdana"/>
          <w:sz w:val="22"/>
          <w:szCs w:val="22"/>
        </w:rPr>
        <w:t xml:space="preserve"> De otro lado, el artículo 11 de la Ley 1176 de 2007 dispone:</w:t>
      </w:r>
    </w:p>
    <w:p w14:paraId="68C230A3" w14:textId="77777777" w:rsidR="00803DA8" w:rsidRDefault="00803DA8" w:rsidP="00803DA8">
      <w:pPr>
        <w:pStyle w:val="Default"/>
        <w:spacing w:line="276" w:lineRule="auto"/>
        <w:jc w:val="both"/>
        <w:rPr>
          <w:rFonts w:ascii="Verdana" w:hAnsi="Verdana"/>
          <w:sz w:val="22"/>
          <w:szCs w:val="22"/>
        </w:rPr>
      </w:pPr>
    </w:p>
    <w:p w14:paraId="7CD0BE3F" w14:textId="77777777" w:rsidR="00803DA8" w:rsidRPr="00AA5DB3" w:rsidRDefault="00803DA8" w:rsidP="00803DA8">
      <w:pPr>
        <w:pStyle w:val="Default"/>
        <w:ind w:left="709" w:right="709"/>
        <w:jc w:val="both"/>
        <w:rPr>
          <w:rFonts w:ascii="Verdana" w:hAnsi="Verdana"/>
          <w:sz w:val="20"/>
          <w:szCs w:val="20"/>
        </w:rPr>
      </w:pPr>
      <w:bookmarkStart w:id="4" w:name="11"/>
      <w:r w:rsidRPr="00AA5DB3">
        <w:rPr>
          <w:rFonts w:ascii="Verdana" w:hAnsi="Verdana"/>
          <w:sz w:val="20"/>
          <w:szCs w:val="20"/>
        </w:rPr>
        <w:t>ARTÍCULO 11. DESTINACIÓN DE LOS RECURSOS DE LA PARTICIPACIÓN DE AGUA POTABLE Y SANEAMIENTO BÁSICO EN LOS DISTRITOS Y MUNICIPIOS.</w:t>
      </w:r>
      <w:bookmarkEnd w:id="4"/>
      <w:r w:rsidRPr="00AA5DB3">
        <w:rPr>
          <w:rFonts w:ascii="Verdana" w:hAnsi="Verdana"/>
          <w:sz w:val="20"/>
          <w:szCs w:val="20"/>
        </w:rPr>
        <w:t> Los recursos del Sistema General de Participaciones para agua potable y saneamiento básico que se asignen a los distritos y municipios, se destinarán a financiar la prestación de los servicios públicos domiciliarios de agua potable y saneamiento básico, en las siguientes actividades:</w:t>
      </w:r>
    </w:p>
    <w:p w14:paraId="6F1F67BA"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a) Los subsidios que se otorguen a los estratos subsidiables de acuerdo con lo dispuesto en la normatividad vigente;</w:t>
      </w:r>
    </w:p>
    <w:p w14:paraId="22DB39B1"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b) Pago del servicio de la deuda originado en el financiamiento de proyectos del sector de agua potable y saneamiento básico, mediante la pignoración de los recursos asignados y demás operaciones financieras autorizadas por la ley;</w:t>
      </w:r>
    </w:p>
    <w:p w14:paraId="4F40FD2A"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c) Preinversión en diseños, estudios e interventorías para proyectos del sector de agua potable y saneamiento básico;</w:t>
      </w:r>
    </w:p>
    <w:p w14:paraId="0B3D0123"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d) Formulación, implantación y acciones de fortalecimiento de esquemas organizacionales para la administración y operación de los servicios de acueducto, alcantarillado y aseo, en las zonas urbana y rural;</w:t>
      </w:r>
    </w:p>
    <w:p w14:paraId="3E615D21"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e) Construcción, ampliación, optimización y mejoramiento de los sistemas de acueducto y alcantarillado, e inversión para la prestación del servicio público de aseo;</w:t>
      </w:r>
    </w:p>
    <w:p w14:paraId="383E846B"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f) Programas de macro y micromedición;</w:t>
      </w:r>
    </w:p>
    <w:p w14:paraId="516AD702" w14:textId="77777777" w:rsidR="00803DA8" w:rsidRPr="00AA5DB3" w:rsidRDefault="00803DA8" w:rsidP="00803DA8">
      <w:pPr>
        <w:pStyle w:val="Default"/>
        <w:ind w:left="709" w:right="709"/>
        <w:jc w:val="both"/>
        <w:rPr>
          <w:rFonts w:ascii="Verdana" w:hAnsi="Verdana"/>
          <w:sz w:val="20"/>
          <w:szCs w:val="20"/>
        </w:rPr>
      </w:pPr>
      <w:r w:rsidRPr="00AA5DB3">
        <w:rPr>
          <w:rFonts w:ascii="Verdana" w:hAnsi="Verdana"/>
          <w:sz w:val="20"/>
          <w:szCs w:val="20"/>
        </w:rPr>
        <w:t>g) Programas de reducción de agua no contabilizada;</w:t>
      </w:r>
    </w:p>
    <w:p w14:paraId="0AC75546" w14:textId="77777777" w:rsidR="00803DA8" w:rsidRDefault="00803DA8" w:rsidP="00803DA8">
      <w:pPr>
        <w:pStyle w:val="Default"/>
        <w:spacing w:line="276" w:lineRule="auto"/>
        <w:jc w:val="both"/>
        <w:rPr>
          <w:rFonts w:ascii="Verdana" w:hAnsi="Verdana"/>
          <w:sz w:val="22"/>
          <w:szCs w:val="22"/>
        </w:rPr>
      </w:pPr>
    </w:p>
    <w:p w14:paraId="1C1F2756" w14:textId="77777777" w:rsidR="00803DA8" w:rsidRDefault="00803DA8" w:rsidP="00803DA8">
      <w:pPr>
        <w:pStyle w:val="Default"/>
        <w:spacing w:line="276" w:lineRule="auto"/>
        <w:jc w:val="both"/>
        <w:rPr>
          <w:rFonts w:ascii="Verdana" w:hAnsi="Verdana"/>
          <w:sz w:val="22"/>
          <w:szCs w:val="22"/>
        </w:rPr>
      </w:pPr>
      <w:r>
        <w:rPr>
          <w:rFonts w:ascii="Verdana" w:hAnsi="Verdana"/>
          <w:sz w:val="22"/>
          <w:szCs w:val="22"/>
        </w:rPr>
        <w:t xml:space="preserve"> </w:t>
      </w:r>
      <w:r>
        <w:rPr>
          <w:rFonts w:ascii="Verdana" w:hAnsi="Verdana"/>
          <w:sz w:val="22"/>
          <w:szCs w:val="22"/>
        </w:rPr>
        <w:tab/>
        <w:t xml:space="preserve">Siguiendo esta línea, el artículo 2.3.4.1.2.11 del Decreto 1077 de 2015 prescribe: </w:t>
      </w:r>
    </w:p>
    <w:p w14:paraId="7234DDF7" w14:textId="77777777" w:rsidR="00803DA8" w:rsidRDefault="00803DA8" w:rsidP="00803DA8">
      <w:pPr>
        <w:pStyle w:val="Default"/>
      </w:pPr>
    </w:p>
    <w:p w14:paraId="713430C2" w14:textId="77777777" w:rsidR="00803DA8" w:rsidRPr="004D5C33" w:rsidRDefault="00803DA8" w:rsidP="00803DA8">
      <w:pPr>
        <w:pStyle w:val="Default"/>
        <w:ind w:left="709" w:right="709"/>
        <w:jc w:val="both"/>
        <w:rPr>
          <w:rFonts w:ascii="Verdana" w:hAnsi="Verdana"/>
          <w:sz w:val="20"/>
          <w:szCs w:val="20"/>
        </w:rPr>
      </w:pPr>
      <w:r w:rsidRPr="004D5C33">
        <w:rPr>
          <w:rFonts w:ascii="Verdana" w:hAnsi="Verdana"/>
          <w:bCs/>
          <w:sz w:val="20"/>
          <w:szCs w:val="20"/>
        </w:rPr>
        <w:t>Artículo 2.3.4.1.2.11. </w:t>
      </w:r>
      <w:r w:rsidRPr="004D5C33">
        <w:rPr>
          <w:rFonts w:ascii="Verdana" w:hAnsi="Verdana"/>
          <w:bCs/>
          <w:i/>
          <w:iCs/>
          <w:sz w:val="20"/>
          <w:szCs w:val="20"/>
        </w:rPr>
        <w:t>Transferencias de dinero de las entidades territoriales</w:t>
      </w:r>
      <w:r w:rsidRPr="004D5C33">
        <w:rPr>
          <w:rFonts w:ascii="Verdana" w:hAnsi="Verdana"/>
          <w:i/>
          <w:iCs/>
          <w:sz w:val="20"/>
          <w:szCs w:val="20"/>
        </w:rPr>
        <w:t>. </w:t>
      </w:r>
      <w:r w:rsidRPr="004D5C33">
        <w:rPr>
          <w:rFonts w:ascii="Verdana" w:hAnsi="Verdana"/>
          <w:sz w:val="20"/>
          <w:szCs w:val="20"/>
        </w:rPr>
        <w:t>Las transferencias de dinero de las entidades territoriales a los Fondos de Solidaridad y Redistribución de Ingresos por concepto de subsidios, deberán ser giradas a la entidad prestadora del servicio público para la aplicación de los subsidios, en un plazo de treinta días, contados desde la misma fecha en que la entidad prestadora expida la factura a cargo del municipio (artículo 99.8 de la Ley 142 de 1994). </w:t>
      </w:r>
    </w:p>
    <w:p w14:paraId="7A3F6F32" w14:textId="77777777" w:rsidR="00803DA8" w:rsidRPr="004D5C33" w:rsidRDefault="00803DA8" w:rsidP="00803DA8">
      <w:pPr>
        <w:pStyle w:val="Default"/>
        <w:ind w:left="709" w:right="709"/>
        <w:jc w:val="both"/>
        <w:rPr>
          <w:rFonts w:ascii="Verdana" w:hAnsi="Verdana"/>
          <w:sz w:val="20"/>
          <w:szCs w:val="20"/>
        </w:rPr>
      </w:pPr>
    </w:p>
    <w:p w14:paraId="6E99C094" w14:textId="77777777" w:rsidR="00803DA8" w:rsidRPr="004D5C33" w:rsidRDefault="00803DA8" w:rsidP="00803DA8">
      <w:pPr>
        <w:pStyle w:val="Default"/>
        <w:ind w:left="709" w:right="709"/>
        <w:jc w:val="both"/>
        <w:rPr>
          <w:rFonts w:ascii="Verdana" w:hAnsi="Verdana"/>
          <w:sz w:val="20"/>
          <w:szCs w:val="20"/>
        </w:rPr>
      </w:pPr>
      <w:r w:rsidRPr="004D5C33">
        <w:rPr>
          <w:rFonts w:ascii="Verdana" w:hAnsi="Verdana"/>
          <w:sz w:val="20"/>
          <w:szCs w:val="20"/>
        </w:rPr>
        <w:t>Para asegurar esta transferencia, los recursos destinados a otorgar subsidios, y que provengan de las tesorerías de las entidades territoriales, deberán ceñirse en su manejo a lo que se estipule en el contrato que para el efecto debe suscribirse entre el municipio, distrito, o departamento y las entidades encargadas de la prestación de los servicios públicos, en el que, entre otros, se establecerán los intereses de mora. </w:t>
      </w:r>
    </w:p>
    <w:p w14:paraId="1B7DF1DE" w14:textId="77777777" w:rsidR="00803DA8" w:rsidRPr="004D5C33" w:rsidRDefault="00803DA8" w:rsidP="00803DA8">
      <w:pPr>
        <w:pStyle w:val="Default"/>
        <w:ind w:left="709" w:right="709"/>
        <w:jc w:val="both"/>
        <w:rPr>
          <w:rFonts w:ascii="Verdana" w:hAnsi="Verdana"/>
          <w:sz w:val="20"/>
          <w:szCs w:val="20"/>
        </w:rPr>
      </w:pPr>
    </w:p>
    <w:p w14:paraId="49B48E1E" w14:textId="77777777" w:rsidR="00803DA8" w:rsidRDefault="00803DA8" w:rsidP="00803DA8">
      <w:pPr>
        <w:pStyle w:val="Default"/>
        <w:ind w:left="709" w:right="709"/>
        <w:jc w:val="both"/>
        <w:rPr>
          <w:rFonts w:ascii="Verdana" w:hAnsi="Verdana"/>
          <w:sz w:val="20"/>
          <w:szCs w:val="20"/>
        </w:rPr>
      </w:pPr>
      <w:r w:rsidRPr="004D5C33">
        <w:rPr>
          <w:rFonts w:ascii="Verdana" w:hAnsi="Verdana"/>
          <w:sz w:val="20"/>
          <w:szCs w:val="20"/>
        </w:rPr>
        <w:t>Los alcaldes y concejales deberán dar prioridad a las apropiaciones para los servicios de acueducto y alcantarillado, sobre otros gastos que no sean indispensables para el funcionamiento del ente territorial respectivo (artículo 99.5 de la Ley 142 de 1994). </w:t>
      </w:r>
    </w:p>
    <w:p w14:paraId="2EBCDEC7" w14:textId="77777777" w:rsidR="00803DA8" w:rsidRPr="004D5C33" w:rsidRDefault="00803DA8" w:rsidP="00803DA8">
      <w:pPr>
        <w:pStyle w:val="Default"/>
        <w:ind w:left="709" w:right="709"/>
        <w:jc w:val="both"/>
        <w:rPr>
          <w:rFonts w:ascii="Verdana" w:hAnsi="Verdana"/>
          <w:sz w:val="20"/>
          <w:szCs w:val="20"/>
        </w:rPr>
      </w:pPr>
    </w:p>
    <w:p w14:paraId="1EBB55E1" w14:textId="77777777" w:rsidR="00803DA8" w:rsidRPr="003C5FD9" w:rsidRDefault="00803DA8" w:rsidP="00803DA8">
      <w:pPr>
        <w:pStyle w:val="Default"/>
        <w:spacing w:after="120" w:line="276" w:lineRule="auto"/>
        <w:ind w:firstLine="709"/>
        <w:jc w:val="both"/>
        <w:rPr>
          <w:rFonts w:ascii="Verdana" w:hAnsi="Verdana"/>
          <w:color w:val="auto"/>
          <w:sz w:val="22"/>
          <w:szCs w:val="22"/>
        </w:rPr>
      </w:pPr>
      <w:r w:rsidRPr="003C5FD9">
        <w:rPr>
          <w:rFonts w:ascii="Verdana" w:hAnsi="Verdana"/>
          <w:color w:val="auto"/>
          <w:sz w:val="22"/>
          <w:szCs w:val="22"/>
        </w:rPr>
        <w:t xml:space="preserve">En este aspecto, se precisa que para el caso de los municipios y distritos certificados esta obligación corresponde a estas entidades territoriales, pero para los municipios o distritos descertificados, este deber está bajo la competencia de los departamentos, </w:t>
      </w:r>
      <w:r>
        <w:rPr>
          <w:rFonts w:ascii="Verdana" w:hAnsi="Verdana"/>
          <w:color w:val="auto"/>
          <w:sz w:val="22"/>
          <w:szCs w:val="22"/>
        </w:rPr>
        <w:t>con la condición de que</w:t>
      </w:r>
      <w:r w:rsidRPr="003C5FD9">
        <w:rPr>
          <w:rFonts w:ascii="Verdana" w:hAnsi="Verdana"/>
          <w:color w:val="auto"/>
          <w:sz w:val="22"/>
          <w:szCs w:val="22"/>
        </w:rPr>
        <w:t xml:space="preserve"> los recursos que garanticen la transferencia de subsidios correspondan a la fuente del SGP-APSB, conforme a lo prescrito en el artículo 2.3.5.1.2.2.14 del Decreto 1077 de 2015</w:t>
      </w:r>
      <w:r w:rsidRPr="003C5FD9">
        <w:rPr>
          <w:rStyle w:val="Refdenotaalpie"/>
          <w:rFonts w:ascii="Verdana" w:hAnsi="Verdana"/>
          <w:color w:val="auto"/>
          <w:sz w:val="22"/>
          <w:szCs w:val="22"/>
        </w:rPr>
        <w:footnoteReference w:id="17"/>
      </w:r>
    </w:p>
    <w:p w14:paraId="13DA6D8F" w14:textId="77777777" w:rsidR="00803DA8" w:rsidRDefault="00803DA8" w:rsidP="00803DA8">
      <w:pPr>
        <w:spacing w:after="120" w:line="276" w:lineRule="auto"/>
        <w:ind w:firstLine="709"/>
        <w:jc w:val="both"/>
        <w:rPr>
          <w:rFonts w:ascii="Verdana" w:hAnsi="Verdana"/>
        </w:rPr>
      </w:pPr>
      <w:r w:rsidRPr="003C5FD9">
        <w:rPr>
          <w:rFonts w:ascii="Verdana" w:hAnsi="Verdana"/>
        </w:rPr>
        <w:lastRenderedPageBreak/>
        <w:t xml:space="preserve">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3DA9D21A" w14:textId="77777777" w:rsidR="00803DA8" w:rsidRDefault="00803DA8" w:rsidP="00803DA8">
      <w:pPr>
        <w:spacing w:after="120" w:line="276" w:lineRule="auto"/>
        <w:ind w:firstLine="709"/>
        <w:jc w:val="both"/>
        <w:rPr>
          <w:rFonts w:ascii="Verdana" w:hAnsi="Verdana"/>
        </w:rPr>
      </w:pPr>
      <w:r>
        <w:rPr>
          <w:rFonts w:ascii="Verdana" w:hAnsi="Verdana"/>
        </w:rPr>
        <w:t>En este escenario, l</w:t>
      </w:r>
      <w:r w:rsidRPr="00055945">
        <w:rPr>
          <w:rFonts w:ascii="Verdana" w:hAnsi="Verdana"/>
        </w:rPr>
        <w:t>a naturaleza de los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conforme a lo establecido en el numeral 2 del artículo 38 de la Ley 489 de 1998 y a lo reiterado por la Corte Constitucional en la Sentencia C-736 de 2008, lo que les otorga un carácter especial dentro de la estructura administrativa del Estad</w:t>
      </w:r>
      <w:r>
        <w:rPr>
          <w:rFonts w:ascii="Verdana" w:hAnsi="Verdana"/>
        </w:rPr>
        <w:t xml:space="preserve">o. </w:t>
      </w:r>
    </w:p>
    <w:p w14:paraId="36EE1067" w14:textId="77777777" w:rsidR="00803DA8" w:rsidRDefault="00803DA8" w:rsidP="00803DA8">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65F81AE7" w14:textId="77777777" w:rsidR="00803DA8" w:rsidRDefault="00803DA8" w:rsidP="00803DA8">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w:t>
      </w:r>
      <w:r w:rsidRPr="00DF7C2F">
        <w:rPr>
          <w:rFonts w:ascii="Verdana" w:hAnsi="Verdana"/>
        </w:rPr>
        <w:lastRenderedPageBreak/>
        <w:t>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7A2D07CD" w14:textId="77777777" w:rsidR="00803DA8" w:rsidRDefault="00803DA8" w:rsidP="00803DA8">
      <w:pPr>
        <w:spacing w:after="0"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similares</w:t>
      </w:r>
      <w:r w:rsidRPr="00055945">
        <w:rPr>
          <w:rFonts w:ascii="Verdana" w:hAnsi="Verdana"/>
        </w:rPr>
        <w:t>.</w:t>
      </w:r>
      <w:r>
        <w:rPr>
          <w:rFonts w:ascii="Verdana" w:hAnsi="Verdana"/>
        </w:rPr>
        <w:t xml:space="preserve"> </w:t>
      </w:r>
    </w:p>
    <w:p w14:paraId="2C91354A" w14:textId="77777777" w:rsidR="00803DA8" w:rsidRPr="00E2397D" w:rsidRDefault="00803DA8" w:rsidP="00803DA8">
      <w:pPr>
        <w:spacing w:after="120" w:line="276" w:lineRule="auto"/>
        <w:jc w:val="both"/>
        <w:rPr>
          <w:rFonts w:ascii="Verdana" w:eastAsia="Arial" w:hAnsi="Verdana" w:cs="Arial"/>
          <w:lang w:val="es-ES" w:eastAsia="es-ES" w:bidi="es-ES"/>
        </w:rPr>
      </w:pPr>
      <w:r>
        <w:rPr>
          <w:rFonts w:ascii="Verdana" w:hAnsi="Verdana"/>
        </w:rPr>
        <w:t xml:space="preserve">        Ahora bien, en relación con las </w:t>
      </w:r>
      <w:r w:rsidRPr="00E2397D">
        <w:rPr>
          <w:rFonts w:ascii="Verdana" w:eastAsia="Arial" w:hAnsi="Verdana" w:cs="Arial"/>
          <w:lang w:val="es-ES" w:eastAsia="es-ES" w:bidi="es-ES"/>
        </w:rPr>
        <w:t xml:space="preserve">restricciones consagradas en la Ley </w:t>
      </w:r>
      <w:r>
        <w:rPr>
          <w:rFonts w:ascii="Verdana" w:eastAsia="Arial" w:hAnsi="Verdana" w:cs="Arial"/>
          <w:lang w:val="es-ES" w:eastAsia="es-ES" w:bidi="es-ES"/>
        </w:rPr>
        <w:t xml:space="preserve">de garantías es de precisar que estas se </w:t>
      </w:r>
      <w:r w:rsidRPr="00E2397D">
        <w:rPr>
          <w:rFonts w:ascii="Verdana" w:eastAsia="Arial" w:hAnsi="Verdana" w:cs="Arial"/>
          <w:lang w:val="es-ES" w:eastAsia="es-ES" w:bidi="es-ES"/>
        </w:rPr>
        <w:t>dirigen a dos (2) tipos de campañas electorales claramente diferenciadas: las presidenciales y las demás que se adelanten para la elección de los demás cargos de elección popular, tanto a nivel nacional como territorial.</w:t>
      </w:r>
    </w:p>
    <w:p w14:paraId="59B62E6C" w14:textId="77777777" w:rsidR="00803DA8" w:rsidRPr="00E2397D" w:rsidRDefault="00803DA8" w:rsidP="00803DA8">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18"/>
      </w:r>
      <w:r w:rsidRPr="00E2397D">
        <w:rPr>
          <w:rFonts w:ascii="Verdana" w:eastAsia="Calibri" w:hAnsi="Verdana" w:cs="Arial"/>
        </w:rPr>
        <w:t>.</w:t>
      </w:r>
    </w:p>
    <w:p w14:paraId="3D1FDD92" w14:textId="77777777" w:rsidR="00803DA8" w:rsidRDefault="00803DA8" w:rsidP="00803DA8">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lastRenderedPageBreak/>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1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A83F8F1" w14:textId="77777777" w:rsidR="00803DA8" w:rsidRDefault="00803DA8" w:rsidP="00803DA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3F1F34C" w14:textId="77777777" w:rsidR="00803DA8" w:rsidRDefault="00803DA8" w:rsidP="00803DA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740F517F" w14:textId="77777777" w:rsidR="00803DA8" w:rsidRDefault="00803DA8" w:rsidP="00803DA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lastRenderedPageBreak/>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AB65965" w14:textId="77777777" w:rsidR="00803DA8" w:rsidRPr="00033988" w:rsidRDefault="00803DA8" w:rsidP="00803DA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vigor de las prohibiciones anotadas, así como la cesión de estos,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2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0902CAB" w14:textId="77777777" w:rsidR="00803DA8" w:rsidRPr="00E2397D" w:rsidRDefault="00803DA8" w:rsidP="00803DA8">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60E5FB6" w14:textId="77777777" w:rsidR="00803DA8" w:rsidRPr="00E2397D" w:rsidRDefault="00803DA8" w:rsidP="00803DA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21"/>
      </w:r>
    </w:p>
    <w:p w14:paraId="707A7672" w14:textId="77777777" w:rsidR="00803DA8" w:rsidRPr="00E2397D" w:rsidRDefault="00803DA8" w:rsidP="00803DA8">
      <w:pPr>
        <w:widowControl w:val="0"/>
        <w:autoSpaceDE w:val="0"/>
        <w:autoSpaceDN w:val="0"/>
        <w:spacing w:after="0" w:line="276" w:lineRule="auto"/>
        <w:contextualSpacing/>
        <w:rPr>
          <w:rFonts w:ascii="Verdana" w:eastAsia="Arial" w:hAnsi="Verdana" w:cs="Arial"/>
          <w:lang w:val="es-ES" w:eastAsia="es-ES" w:bidi="es-ES"/>
        </w:rPr>
      </w:pPr>
    </w:p>
    <w:p w14:paraId="251EEF7F" w14:textId="77777777" w:rsidR="00803DA8" w:rsidRPr="00E2397D" w:rsidRDefault="00803DA8" w:rsidP="00803DA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lastRenderedPageBreak/>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2ED6AD2F" w14:textId="77777777" w:rsidR="00803DA8" w:rsidRPr="00E2397D" w:rsidRDefault="00803DA8" w:rsidP="00803DA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7CBEB9F0" w14:textId="77777777" w:rsidR="00803DA8" w:rsidRDefault="00803DA8" w:rsidP="00803DA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BF03289" w14:textId="77777777" w:rsidR="00803DA8" w:rsidRDefault="00803DA8" w:rsidP="00803DA8">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lastRenderedPageBreak/>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2"/>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aplica, sin perjuicio de las excepciones establecidas en la misma ley, para celebrar cualquier contrato de forma directa, esto es, sin que exista un proceso abierto y competitivo.</w:t>
      </w:r>
    </w:p>
    <w:p w14:paraId="08CF7F79" w14:textId="77777777" w:rsidR="00803DA8" w:rsidRDefault="00803DA8" w:rsidP="00803DA8">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1B5A064C" w14:textId="77777777" w:rsidR="00803DA8" w:rsidRPr="00FD66D5" w:rsidRDefault="00803DA8" w:rsidP="00803DA8">
      <w:pPr>
        <w:spacing w:after="120" w:line="276" w:lineRule="auto"/>
        <w:ind w:firstLine="709"/>
        <w:jc w:val="both"/>
        <w:rPr>
          <w:rFonts w:ascii="Verdana" w:eastAsia="Times New Roman" w:hAnsi="Verdana" w:cs="Times New Roman"/>
          <w:i/>
          <w:iCs/>
          <w:lang w:val="es-ES" w:eastAsia="es-ES"/>
        </w:rPr>
      </w:pPr>
      <w:r>
        <w:rPr>
          <w:rFonts w:ascii="Verdana" w:eastAsia="Times New Roman" w:hAnsi="Verdana" w:cs="Arial"/>
          <w:bCs/>
          <w:lang w:val="es-MX" w:eastAsia="es-CO"/>
        </w:rPr>
        <w:t xml:space="preserve">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w:t>
      </w:r>
      <w:r>
        <w:rPr>
          <w:rFonts w:ascii="Verdana" w:eastAsia="Times New Roman" w:hAnsi="Verdana" w:cs="Arial"/>
          <w:bCs/>
          <w:lang w:val="es-MX" w:eastAsia="es-CO"/>
        </w:rPr>
        <w:lastRenderedPageBreak/>
        <w:t>interadministrativo no es aplicable a los contratos interadministrativos, pues son instituciones totalmente diferentes</w:t>
      </w:r>
      <w:r>
        <w:rPr>
          <w:rStyle w:val="Refdenotaalpie"/>
          <w:rFonts w:ascii="Verdana" w:eastAsia="Times New Roman" w:hAnsi="Verdana" w:cs="Arial"/>
          <w:bCs/>
          <w:lang w:val="es-MX" w:eastAsia="es-CO"/>
        </w:rPr>
        <w:footnoteReference w:id="23"/>
      </w:r>
      <w:r>
        <w:rPr>
          <w:rFonts w:ascii="Verdana" w:eastAsia="Times New Roman" w:hAnsi="Verdana" w:cs="Arial"/>
          <w:bCs/>
          <w:lang w:val="es-MX" w:eastAsia="es-CO"/>
        </w:rPr>
        <w:t xml:space="preserve">. </w:t>
      </w:r>
    </w:p>
    <w:p w14:paraId="67B05412" w14:textId="77777777" w:rsidR="00803DA8" w:rsidRDefault="00803DA8" w:rsidP="00803DA8">
      <w:pPr>
        <w:spacing w:after="0" w:line="276" w:lineRule="auto"/>
        <w:ind w:firstLine="709"/>
        <w:jc w:val="both"/>
        <w:rPr>
          <w:rFonts w:ascii="Verdana" w:eastAsia="Calibri" w:hAnsi="Verdana" w:cs="Times New Roman"/>
          <w:iCs/>
        </w:rPr>
      </w:pPr>
      <w:r>
        <w:rPr>
          <w:rFonts w:ascii="Verdana" w:hAnsi="Verdana"/>
        </w:rPr>
        <w:t>Teniendo en cuenta lo expuesto, la Superintendencia de Servicios Públicos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Este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eastAsia="Calibri" w:hAnsi="Verdana" w:cs="Times New Roman"/>
          <w:iCs/>
        </w:rPr>
        <w:t xml:space="preserve"> En tal sentido, la Superintendencia en varios de sus conceptos expresa: </w:t>
      </w:r>
    </w:p>
    <w:p w14:paraId="729614CC" w14:textId="77777777" w:rsidR="00803DA8" w:rsidRDefault="00803DA8" w:rsidP="00803DA8">
      <w:pPr>
        <w:spacing w:after="0" w:line="240" w:lineRule="auto"/>
        <w:ind w:left="709" w:right="709"/>
        <w:jc w:val="both"/>
        <w:rPr>
          <w:rFonts w:ascii="Verdana" w:hAnsi="Verdana"/>
          <w:sz w:val="20"/>
          <w:szCs w:val="20"/>
        </w:rPr>
      </w:pPr>
    </w:p>
    <w:p w14:paraId="02A8C349" w14:textId="77777777" w:rsidR="00803DA8" w:rsidRPr="00B30F07" w:rsidRDefault="00803DA8" w:rsidP="00803DA8">
      <w:pPr>
        <w:spacing w:after="0" w:line="240" w:lineRule="auto"/>
        <w:ind w:left="709" w:right="709"/>
        <w:jc w:val="both"/>
        <w:rPr>
          <w:rFonts w:ascii="Verdana" w:hAnsi="Verdana"/>
          <w:sz w:val="20"/>
          <w:szCs w:val="20"/>
        </w:rPr>
      </w:pPr>
      <w:r w:rsidRPr="00B30F07">
        <w:rPr>
          <w:rFonts w:ascii="Verdana" w:hAnsi="Verdana"/>
          <w:sz w:val="20"/>
          <w:szCs w:val="20"/>
        </w:rPr>
        <w:t xml:space="preserve">Esta Oficina considera que aquellos acuerdos, convenios e instrumentos necesarios para garantizar la prestación de los servicios públicos, así como los contratos que se suscriben entre la empresa y el usuario con el fin de asegurar dicha prestación, deben ser interpretados a la luz de principios y fines que son superiores a los que persigue la propia Ley 996 de 2005, tales como la esencialidad de los servicios públicos domiciliarios, que precisamente busca evitar que la interrupción de esos servicios afecte o vulnere derechos fundamentales de las personas y que se cumplan los cometidos constitucionales y legales'. </w:t>
      </w:r>
    </w:p>
    <w:p w14:paraId="1F586DA9" w14:textId="77777777" w:rsidR="00803DA8" w:rsidRPr="00B30F07" w:rsidRDefault="00803DA8" w:rsidP="00803DA8">
      <w:pPr>
        <w:spacing w:after="0" w:line="240" w:lineRule="auto"/>
        <w:ind w:left="709" w:right="709"/>
        <w:jc w:val="both"/>
        <w:rPr>
          <w:rFonts w:ascii="Verdana" w:hAnsi="Verdana"/>
          <w:sz w:val="20"/>
          <w:szCs w:val="20"/>
        </w:rPr>
      </w:pPr>
    </w:p>
    <w:p w14:paraId="1E73B155" w14:textId="77777777" w:rsidR="00803DA8" w:rsidRDefault="00803DA8" w:rsidP="00803DA8">
      <w:pPr>
        <w:spacing w:after="0" w:line="240" w:lineRule="auto"/>
        <w:ind w:left="709" w:right="709"/>
        <w:jc w:val="both"/>
        <w:rPr>
          <w:rFonts w:ascii="Verdana" w:hAnsi="Verdana"/>
          <w:sz w:val="20"/>
          <w:szCs w:val="20"/>
        </w:rPr>
      </w:pPr>
      <w:r w:rsidRPr="00B30F07">
        <w:rPr>
          <w:rFonts w:ascii="Verdana" w:hAnsi="Verdana"/>
          <w:sz w:val="20"/>
          <w:szCs w:val="20"/>
        </w:rPr>
        <w:t xml:space="preserve">(…) Conforme con lo señalado, la celebración de los contratos o convenios de transferencia entre los entes territoriales y los prestadores de servicios públicos constituye una obligación legal de la cual no pueden apartarse, acuerdos cuya naturaleza no se encuentra tipificada ni en el derecho público ni en el derecho privado, por lo que constituyen una modalidad especial de contratación. </w:t>
      </w:r>
    </w:p>
    <w:p w14:paraId="5766D88D" w14:textId="77777777" w:rsidR="00803DA8" w:rsidRPr="00B30F07" w:rsidRDefault="00803DA8" w:rsidP="00803DA8">
      <w:pPr>
        <w:spacing w:after="0" w:line="240" w:lineRule="auto"/>
        <w:ind w:left="709" w:right="709"/>
        <w:jc w:val="both"/>
        <w:rPr>
          <w:rFonts w:ascii="Verdana" w:hAnsi="Verdana"/>
          <w:sz w:val="20"/>
          <w:szCs w:val="20"/>
        </w:rPr>
      </w:pPr>
    </w:p>
    <w:p w14:paraId="1F8E8ECA" w14:textId="77777777" w:rsidR="00803DA8" w:rsidRDefault="00803DA8" w:rsidP="00803DA8">
      <w:pPr>
        <w:spacing w:after="0" w:line="240" w:lineRule="auto"/>
        <w:ind w:left="709" w:right="709"/>
        <w:jc w:val="both"/>
        <w:rPr>
          <w:rFonts w:ascii="Verdana" w:hAnsi="Verdana"/>
          <w:sz w:val="20"/>
          <w:szCs w:val="20"/>
        </w:rPr>
      </w:pPr>
      <w:r w:rsidRPr="00B30F07">
        <w:rPr>
          <w:rFonts w:ascii="Verdana" w:hAnsi="Verdana"/>
          <w:sz w:val="20"/>
          <w:szCs w:val="20"/>
        </w:rPr>
        <w:t xml:space="preserve">En este sentido, y teniendo en cuenta que la exigencia de la celebración de estos contratos, convenios o acuerdos de transferencia, fue consagrada por el legislador con el propósito de realizar la transferencia de los recursos presupuestales aludidos, para subsidiar a los usuarios de menores recursos, es dable concluir, que ni los contratos de transferencia de recursos para subsidios, ni los contratos de servicios públicos domiciliarios, pueden dejar de ser celebrados, teniendo en cuenta que la esencialidad </w:t>
      </w:r>
      <w:r w:rsidRPr="00B30F07">
        <w:rPr>
          <w:rFonts w:ascii="Verdana" w:hAnsi="Verdana"/>
          <w:sz w:val="20"/>
          <w:szCs w:val="20"/>
        </w:rPr>
        <w:lastRenderedPageBreak/>
        <w:t>de dichos servicios tiene su sustento en normas de orden constitucional, prevalentes sobre normas de inferior jerarquía</w:t>
      </w:r>
      <w:r>
        <w:rPr>
          <w:rStyle w:val="Refdenotaalpie"/>
          <w:rFonts w:ascii="Verdana" w:hAnsi="Verdana"/>
          <w:sz w:val="20"/>
          <w:szCs w:val="20"/>
        </w:rPr>
        <w:footnoteReference w:id="24"/>
      </w:r>
      <w:r w:rsidRPr="00B30F07">
        <w:rPr>
          <w:rFonts w:ascii="Verdana" w:hAnsi="Verdana"/>
          <w:sz w:val="20"/>
          <w:szCs w:val="20"/>
        </w:rPr>
        <w:t>.</w:t>
      </w:r>
    </w:p>
    <w:p w14:paraId="3B088EA2" w14:textId="77777777" w:rsidR="00803DA8" w:rsidRPr="00B30F07" w:rsidRDefault="00803DA8" w:rsidP="00803DA8">
      <w:pPr>
        <w:spacing w:after="0" w:line="240" w:lineRule="auto"/>
        <w:ind w:left="709" w:right="709"/>
        <w:jc w:val="both"/>
        <w:rPr>
          <w:rFonts w:ascii="Verdana" w:hAnsi="Verdana"/>
          <w:sz w:val="20"/>
          <w:szCs w:val="20"/>
        </w:rPr>
      </w:pPr>
    </w:p>
    <w:p w14:paraId="5254BFFB" w14:textId="77777777" w:rsidR="00803DA8" w:rsidRPr="00E662F1" w:rsidRDefault="00803DA8" w:rsidP="00803DA8">
      <w:pPr>
        <w:spacing w:after="120" w:line="276" w:lineRule="auto"/>
        <w:ind w:firstLine="709"/>
        <w:jc w:val="both"/>
        <w:rPr>
          <w:rFonts w:ascii="Verdana" w:eastAsia="Calibri" w:hAnsi="Verdana" w:cs="Times New Roman"/>
        </w:rPr>
      </w:pPr>
      <w:r>
        <w:rPr>
          <w:rFonts w:ascii="Verdana" w:eastAsia="Calibri" w:hAnsi="Verdana" w:cs="Times New Roman"/>
          <w:iCs/>
        </w:rPr>
        <w:t>Bajo este escenario, la Superintendencia de Servicios Públicos Domiciliarios expresa que l</w:t>
      </w:r>
      <w:r w:rsidRPr="00916FC1">
        <w:rPr>
          <w:rFonts w:ascii="Verdana" w:eastAsia="Calibri" w:hAnsi="Verdana" w:cs="Times New Roman"/>
          <w:iCs/>
        </w:rPr>
        <w:t>a regulación no contempla causales que permitan a los entes territoriales abstenerse de transferir los subsidios. Por el contrario, su incumplimiento puede constituir una violación 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w:t>
      </w:r>
      <w:r>
        <w:rPr>
          <w:rFonts w:ascii="Verdana" w:eastAsia="Calibri" w:hAnsi="Verdana" w:cs="Times New Roman"/>
          <w:iCs/>
        </w:rPr>
        <w:t xml:space="preserve">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1855E5F0" w14:textId="77777777" w:rsidR="00803DA8" w:rsidRDefault="00803DA8" w:rsidP="00803DA8">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Ante estas posturas, es necesario señalar que el argumento de la Superintendencia de Servicios Públicos Domiciliarios se funda en el deber de transferir subsidios, que están contemplados en el artículo 368 constitucional, en la Ley 142 de 1994 y demás normas legales y reglamentarias. 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25"/>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w:t>
      </w:r>
      <w:r>
        <w:rPr>
          <w:rFonts w:ascii="Verdana" w:eastAsia="Times New Roman" w:hAnsi="Verdana" w:cs="Arial"/>
          <w:bCs/>
          <w:lang w:val="es-ES" w:eastAsia="es-CO"/>
        </w:rPr>
        <w:lastRenderedPageBreak/>
        <w:t xml:space="preserve">este contexto, </w:t>
      </w:r>
      <w:r w:rsidRPr="00C15179">
        <w:rPr>
          <w:rFonts w:ascii="Verdana" w:eastAsia="Times New Roman" w:hAnsi="Verdana" w:cs="Arial"/>
          <w:bCs/>
          <w:lang w:val="es-ES" w:eastAsia="es-CO"/>
        </w:rPr>
        <w:t>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3262F54A" w14:textId="77777777" w:rsidR="00803DA8" w:rsidRDefault="00803DA8" w:rsidP="00803DA8">
      <w:pPr>
        <w:spacing w:after="120" w:line="276" w:lineRule="auto"/>
        <w:ind w:left="709" w:right="709"/>
        <w:jc w:val="both"/>
        <w:rPr>
          <w:rFonts w:ascii="Verdana" w:eastAsia="Calibri" w:hAnsi="Verdana" w:cs="Arial"/>
          <w:sz w:val="20"/>
          <w:szCs w:val="20"/>
        </w:rPr>
      </w:pPr>
    </w:p>
    <w:p w14:paraId="1968EE34" w14:textId="77777777" w:rsidR="00803DA8" w:rsidRDefault="00803DA8" w:rsidP="00803DA8">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etc</w:t>
      </w:r>
      <w:r>
        <w:rPr>
          <w:rFonts w:ascii="Verdana" w:eastAsia="Calibri" w:hAnsi="Verdana" w:cs="Arial"/>
          <w:lang w:val="es-MX"/>
        </w:rPr>
        <w:t>”</w:t>
      </w:r>
      <w:r w:rsidRPr="0057193B">
        <w:rPr>
          <w:rFonts w:ascii="Verdana" w:eastAsia="Calibri" w:hAnsi="Verdana" w:cs="Arial"/>
          <w:vertAlign w:val="superscript"/>
          <w:lang w:val="es-MX"/>
        </w:rPr>
        <w:footnoteReference w:id="26"/>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6986FDF4" w14:textId="77777777" w:rsidR="00803DA8" w:rsidRDefault="00803DA8" w:rsidP="00803DA8">
      <w:pPr>
        <w:spacing w:after="0" w:line="276" w:lineRule="auto"/>
        <w:ind w:left="709" w:right="709"/>
        <w:jc w:val="both"/>
        <w:rPr>
          <w:rFonts w:ascii="Verdana" w:eastAsia="Calibri" w:hAnsi="Verdana" w:cs="Arial"/>
          <w:sz w:val="20"/>
          <w:szCs w:val="20"/>
        </w:rPr>
      </w:pPr>
    </w:p>
    <w:p w14:paraId="7AC97B43" w14:textId="77777777" w:rsidR="00803DA8" w:rsidRPr="00C15525" w:rsidRDefault="00803DA8" w:rsidP="00803DA8">
      <w:pPr>
        <w:spacing w:after="12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1E8AC2B0" w14:textId="77777777" w:rsidR="00803DA8" w:rsidRPr="00C15525" w:rsidRDefault="00803DA8" w:rsidP="00803DA8">
      <w:pPr>
        <w:widowControl w:val="0"/>
        <w:autoSpaceDE w:val="0"/>
        <w:autoSpaceDN w:val="0"/>
        <w:spacing w:after="0" w:line="276" w:lineRule="auto"/>
        <w:jc w:val="both"/>
        <w:rPr>
          <w:rFonts w:ascii="Verdana" w:eastAsia="Arial" w:hAnsi="Verdana" w:cs="Arial"/>
          <w:lang w:val="es-ES" w:eastAsia="es-ES" w:bidi="es-ES"/>
        </w:rPr>
      </w:pPr>
    </w:p>
    <w:p w14:paraId="4C5B8B77" w14:textId="77777777" w:rsidR="00803DA8" w:rsidRPr="00C15525" w:rsidRDefault="00803DA8" w:rsidP="00803DA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6F02308A" w14:textId="77777777" w:rsidR="00803DA8" w:rsidRPr="00C15525" w:rsidRDefault="00803DA8" w:rsidP="00803DA8">
      <w:pPr>
        <w:widowControl w:val="0"/>
        <w:autoSpaceDE w:val="0"/>
        <w:autoSpaceDN w:val="0"/>
        <w:spacing w:after="0" w:line="240" w:lineRule="auto"/>
        <w:ind w:left="709" w:right="709"/>
        <w:jc w:val="both"/>
        <w:rPr>
          <w:rFonts w:ascii="Verdana" w:hAnsi="Verdana" w:cs="Arial"/>
          <w:sz w:val="20"/>
          <w:szCs w:val="20"/>
        </w:rPr>
      </w:pPr>
    </w:p>
    <w:p w14:paraId="420D15F1" w14:textId="77777777" w:rsidR="00803DA8" w:rsidRPr="00C15525" w:rsidRDefault="00803DA8" w:rsidP="00803DA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Es claro que la ley ordena que la regulación de dicha relación interadministrativa se efectúe por el mecanismo de una convención, pero también es claro que éste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0B0FA97A" w14:textId="77777777" w:rsidR="00803DA8" w:rsidRPr="00C15525" w:rsidRDefault="00803DA8" w:rsidP="00803DA8">
      <w:pPr>
        <w:widowControl w:val="0"/>
        <w:autoSpaceDE w:val="0"/>
        <w:autoSpaceDN w:val="0"/>
        <w:spacing w:after="0" w:line="240" w:lineRule="auto"/>
        <w:ind w:left="709" w:right="709"/>
        <w:jc w:val="both"/>
        <w:rPr>
          <w:rFonts w:ascii="Verdana" w:hAnsi="Verdana" w:cs="Arial"/>
          <w:sz w:val="20"/>
          <w:szCs w:val="20"/>
        </w:rPr>
      </w:pPr>
    </w:p>
    <w:p w14:paraId="72E56883" w14:textId="77777777" w:rsidR="00803DA8" w:rsidRPr="00C15525" w:rsidRDefault="00803DA8" w:rsidP="00803DA8">
      <w:pPr>
        <w:widowControl w:val="0"/>
        <w:autoSpaceDE w:val="0"/>
        <w:autoSpaceDN w:val="0"/>
        <w:spacing w:after="0" w:line="240" w:lineRule="auto"/>
        <w:ind w:left="709" w:right="709"/>
        <w:jc w:val="both"/>
        <w:rPr>
          <w:rFonts w:ascii="Verdana" w:hAnsi="Verdana" w:cs="Arial"/>
        </w:rPr>
      </w:pPr>
      <w:bookmarkStart w:id="11"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11"/>
      <w:r w:rsidRPr="00C15525">
        <w:rPr>
          <w:rFonts w:ascii="Verdana" w:hAnsi="Verdana" w:cs="Arial"/>
          <w:sz w:val="20"/>
          <w:szCs w:val="20"/>
          <w:vertAlign w:val="superscript"/>
        </w:rPr>
        <w:footnoteReference w:id="27"/>
      </w:r>
      <w:r w:rsidRPr="00C15525">
        <w:rPr>
          <w:rFonts w:ascii="Verdana" w:hAnsi="Verdana" w:cs="Arial"/>
          <w:sz w:val="20"/>
          <w:szCs w:val="20"/>
        </w:rPr>
        <w:t xml:space="preserve">. </w:t>
      </w:r>
    </w:p>
    <w:p w14:paraId="65E75675" w14:textId="77777777" w:rsidR="00803DA8" w:rsidRPr="00C15525" w:rsidRDefault="00803DA8" w:rsidP="00803DA8">
      <w:pPr>
        <w:widowControl w:val="0"/>
        <w:autoSpaceDE w:val="0"/>
        <w:autoSpaceDN w:val="0"/>
        <w:spacing w:after="0" w:line="276" w:lineRule="auto"/>
        <w:jc w:val="both"/>
        <w:rPr>
          <w:rFonts w:ascii="Verdana" w:eastAsia="Arial" w:hAnsi="Verdana" w:cs="Arial"/>
          <w:lang w:val="es-ES" w:eastAsia="es-ES" w:bidi="es-ES"/>
        </w:rPr>
      </w:pPr>
    </w:p>
    <w:p w14:paraId="76ECC3DB" w14:textId="77777777" w:rsidR="00803DA8" w:rsidRPr="000E03E2" w:rsidRDefault="00803DA8" w:rsidP="00803DA8">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7422A456" w14:textId="77777777" w:rsidR="00803DA8" w:rsidRPr="006177F8" w:rsidRDefault="00803DA8" w:rsidP="00803DA8">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70077A24" w14:textId="77777777" w:rsidR="00803DA8" w:rsidRPr="006177F8" w:rsidRDefault="00803DA8" w:rsidP="00803DA8">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lastRenderedPageBreak/>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12"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2"/>
      <w:r w:rsidRPr="006177F8">
        <w:rPr>
          <w:rFonts w:ascii="Verdana" w:eastAsia="Arial" w:hAnsi="Verdana" w:cs="Arial"/>
          <w:vertAlign w:val="superscript"/>
          <w:lang w:val="es-ES" w:eastAsia="es-ES" w:bidi="es-ES"/>
        </w:rPr>
        <w:footnoteReference w:id="28"/>
      </w:r>
      <w:r w:rsidRPr="006177F8">
        <w:rPr>
          <w:rFonts w:ascii="Verdana" w:eastAsia="Arial" w:hAnsi="Verdana" w:cs="Arial"/>
          <w:lang w:val="es-ES" w:eastAsia="es-ES" w:bidi="es-ES"/>
        </w:rPr>
        <w:t>. Al respecto, dicho Concepto expresa:</w:t>
      </w:r>
    </w:p>
    <w:p w14:paraId="69E59D81" w14:textId="77777777" w:rsidR="00803DA8" w:rsidRPr="006177F8" w:rsidRDefault="00803DA8" w:rsidP="00803DA8">
      <w:pPr>
        <w:spacing w:after="0" w:line="276" w:lineRule="auto"/>
        <w:ind w:firstLine="709"/>
        <w:jc w:val="both"/>
        <w:rPr>
          <w:rFonts w:ascii="Verdana" w:eastAsia="Arial" w:hAnsi="Verdana" w:cs="Arial"/>
          <w:lang w:val="es-ES" w:eastAsia="es-ES" w:bidi="es-ES"/>
        </w:rPr>
      </w:pPr>
    </w:p>
    <w:p w14:paraId="28D84365" w14:textId="77777777" w:rsidR="00803DA8" w:rsidRPr="006177F8" w:rsidRDefault="00803DA8" w:rsidP="00803DA8">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0B9E31E4" w14:textId="77777777" w:rsidR="00803DA8" w:rsidRPr="006177F8" w:rsidRDefault="00803DA8" w:rsidP="00803DA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4EECB425" w14:textId="77777777" w:rsidR="00803DA8" w:rsidRPr="006177F8" w:rsidRDefault="00803DA8" w:rsidP="00803DA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1"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69C7D1BF" w14:textId="77777777" w:rsidR="00803DA8" w:rsidRPr="006177F8" w:rsidRDefault="00803DA8" w:rsidP="00803DA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2"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3"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4"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31C67237" w14:textId="77777777" w:rsidR="00803DA8" w:rsidRPr="006177F8" w:rsidRDefault="00803DA8" w:rsidP="00803DA8">
      <w:pPr>
        <w:spacing w:after="120" w:line="240" w:lineRule="auto"/>
        <w:ind w:firstLine="709"/>
        <w:jc w:val="both"/>
        <w:rPr>
          <w:rFonts w:ascii="Verdana" w:eastAsia="Arial" w:hAnsi="Verdana" w:cs="Arial"/>
          <w:lang w:eastAsia="es-ES" w:bidi="es-ES"/>
        </w:rPr>
      </w:pPr>
    </w:p>
    <w:p w14:paraId="25187C0D" w14:textId="77777777" w:rsidR="00803DA8" w:rsidRDefault="00803DA8" w:rsidP="00803DA8">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375BD0EB" w14:textId="77777777" w:rsidR="00803DA8" w:rsidRPr="006D07A8" w:rsidRDefault="00803DA8" w:rsidP="00803DA8">
      <w:pPr>
        <w:spacing w:after="120" w:line="276" w:lineRule="auto"/>
        <w:ind w:firstLine="708"/>
        <w:jc w:val="both"/>
        <w:rPr>
          <w:rFonts w:ascii="Verdana" w:hAnsi="Verdana" w:cs="Arial"/>
          <w:lang w:val="es-ES"/>
        </w:rPr>
      </w:pPr>
      <w:r>
        <w:rPr>
          <w:rFonts w:ascii="Verdana" w:hAnsi="Verdana" w:cs="Arial"/>
          <w:lang w:val="es-ES"/>
        </w:rPr>
        <w:t>A partir de lo expuesto en las consideraciones previas, la Agencia considera esta Agencia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586AAB2D" w14:textId="77777777" w:rsidR="00803DA8" w:rsidRDefault="00803DA8" w:rsidP="00803DA8">
      <w:pPr>
        <w:spacing w:before="120" w:after="120" w:line="276" w:lineRule="auto"/>
        <w:ind w:firstLine="708"/>
        <w:jc w:val="both"/>
        <w:rPr>
          <w:rFonts w:ascii="Verdana" w:eastAsia="Times New Roman" w:hAnsi="Verdana" w:cs="Arial"/>
          <w:bCs/>
          <w:lang w:val="es-ES" w:eastAsia="es-CO"/>
        </w:rPr>
      </w:pPr>
      <w:r>
        <w:rPr>
          <w:rFonts w:ascii="Verdana" w:eastAsiaTheme="minorEastAsia" w:hAnsi="Verdana" w:cs="Arial"/>
          <w:lang w:eastAsia="es-CO"/>
        </w:rPr>
        <w:t xml:space="preserve">Por último, es importante exponer la postura de la Agencia en el Concepto C-998 del 28 de agosto de 2025, en la que expresó que </w:t>
      </w:r>
      <w:r>
        <w:rPr>
          <w:rFonts w:ascii="Verdana" w:eastAsia="Times New Roman" w:hAnsi="Verdana" w:cs="Arial"/>
          <w:bCs/>
          <w:lang w:val="es-ES" w:eastAsia="es-CO"/>
        </w:rPr>
        <w:t xml:space="preserve">es procedente que se celebren contratos y/ o convenios interadministrativos para la transferencia de recursos para el subsidio de servicios públicos, previos al límite temporal fijado por la Ley de Garantías Electorales y ejecutarse en meses posteriores. Dicha postura de la Agencia </w:t>
      </w:r>
      <w:r w:rsidRPr="00FC70BE">
        <w:rPr>
          <w:rFonts w:ascii="Verdana" w:eastAsia="Times New Roman" w:hAnsi="Verdana" w:cs="Arial"/>
          <w:bCs/>
          <w:lang w:val="es-ES" w:eastAsia="es-CO"/>
        </w:rPr>
        <w:t xml:space="preserve">reconoce la validez de comprometer recursos con anterioridad al período de restricción, </w:t>
      </w:r>
      <w:r>
        <w:rPr>
          <w:rFonts w:ascii="Verdana" w:eastAsia="Times New Roman" w:hAnsi="Verdana" w:cs="Arial"/>
          <w:bCs/>
          <w:lang w:val="es-ES" w:eastAsia="es-CO"/>
        </w:rPr>
        <w:t xml:space="preserve">partiendo de la posibilidad de celebrar los convenios interadministrativos antes de la restricción del artículo 38 y su inicio de ejecución de forma posterior, lo que implica que la transferencia de recursos </w:t>
      </w:r>
      <w:r>
        <w:rPr>
          <w:rFonts w:ascii="Verdana" w:eastAsia="Times New Roman" w:hAnsi="Verdana" w:cs="Arial"/>
          <w:bCs/>
          <w:lang w:val="es-ES" w:eastAsia="es-CO"/>
        </w:rPr>
        <w:lastRenderedPageBreak/>
        <w:t xml:space="preserve">para el otorgamiento de subsidios podría ser posterior al período preelectoral. </w:t>
      </w:r>
      <w:r w:rsidRPr="00FC70BE">
        <w:rPr>
          <w:rFonts w:ascii="Verdana" w:eastAsia="Times New Roman" w:hAnsi="Verdana" w:cs="Arial"/>
          <w:bCs/>
          <w:lang w:val="es-ES" w:eastAsia="es-CO"/>
        </w:rPr>
        <w:t>Asimismo, la Agencia enfatizó que en estos casos debe observarse rigurosamente el marco normativo aplicable, incluyendo las reglas de planeación, ejecución presupuestal, directrices y lineamientos vigentes. De esta manera, la posibilidad de ejecutar convenios interadministrativos con posterioridad al inicio de las restricciones del artículo 38 se encuentra condicionada al cumplimiento estricto de los principios de legalidad y transparencia en la gestión de los recursos públicos.</w:t>
      </w:r>
      <w:r>
        <w:rPr>
          <w:rFonts w:ascii="Verdana" w:eastAsia="Times New Roman" w:hAnsi="Verdana" w:cs="Arial"/>
          <w:bCs/>
          <w:lang w:val="es-ES" w:eastAsia="es-CO"/>
        </w:rPr>
        <w:t xml:space="preserve"> </w:t>
      </w:r>
    </w:p>
    <w:p w14:paraId="0F35B518" w14:textId="77777777" w:rsidR="00803DA8" w:rsidRPr="00C3378E" w:rsidRDefault="00803DA8" w:rsidP="00803DA8">
      <w:pPr>
        <w:spacing w:before="120" w:after="0" w:line="276" w:lineRule="auto"/>
        <w:jc w:val="both"/>
        <w:rPr>
          <w:rFonts w:ascii="Verdana" w:eastAsia="Times New Roman" w:hAnsi="Verdana" w:cs="Arial"/>
          <w:bCs/>
          <w:lang w:val="es-MX" w:eastAsia="es-CO"/>
        </w:rPr>
      </w:pPr>
      <w:r>
        <w:rPr>
          <w:rFonts w:ascii="Verdana" w:eastAsia="Times New Roman" w:hAnsi="Verdana" w:cs="Arial"/>
          <w:bCs/>
          <w:lang w:val="es-ES" w:eastAsia="es-CO"/>
        </w:rPr>
        <w:tab/>
        <w:t xml:space="preserve">Se reitera </w:t>
      </w:r>
      <w:r w:rsidRPr="00C3378E">
        <w:rPr>
          <w:rFonts w:ascii="Verdana" w:eastAsia="Times New Roman" w:hAnsi="Verdana" w:cs="Arial"/>
          <w:bCs/>
          <w:lang w:val="es-MX" w:eastAsia="es-CO"/>
        </w:rPr>
        <w:t>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C3378E">
        <w:rPr>
          <w:rFonts w:ascii="Verdana" w:eastAsia="Times New Roman" w:hAnsi="Verdana" w:cs="Arial"/>
          <w:bCs/>
          <w:vertAlign w:val="superscript"/>
          <w:lang w:val="es-MX" w:eastAsia="es-CO"/>
        </w:rPr>
        <w:footnoteReference w:id="29"/>
      </w:r>
      <w:r w:rsidRPr="00C3378E">
        <w:rPr>
          <w:rFonts w:ascii="Verdana" w:eastAsia="Times New Roman" w:hAnsi="Verdana" w:cs="Arial"/>
          <w:bCs/>
          <w:lang w:val="es-MX" w:eastAsia="es-CO"/>
        </w:rPr>
        <w:t>. Además, también es posible que contratos celebrados previamente se continúen ejecutando con normalidad.</w:t>
      </w:r>
    </w:p>
    <w:p w14:paraId="1A7101BC" w14:textId="77777777" w:rsidR="00803DA8" w:rsidRPr="006B17A7" w:rsidRDefault="00803DA8" w:rsidP="00803DA8">
      <w:pPr>
        <w:spacing w:before="120" w:after="0" w:line="276" w:lineRule="auto"/>
        <w:ind w:firstLine="708"/>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C5C3C9F" w14:textId="77777777" w:rsidR="00803DA8" w:rsidRPr="006B17A7" w:rsidRDefault="00803DA8" w:rsidP="00803DA8">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798E89DB" w14:textId="77777777" w:rsidR="00803DA8" w:rsidRPr="006B17A7" w:rsidRDefault="00803DA8" w:rsidP="00803DA8">
      <w:pPr>
        <w:spacing w:after="0" w:line="276" w:lineRule="auto"/>
        <w:ind w:firstLine="708"/>
        <w:jc w:val="both"/>
        <w:rPr>
          <w:rFonts w:ascii="Verdana" w:eastAsia="Calibri" w:hAnsi="Verdana" w:cs="Arial"/>
        </w:rPr>
      </w:pPr>
    </w:p>
    <w:p w14:paraId="6C4B9E8D" w14:textId="77777777" w:rsidR="00803DA8" w:rsidRPr="006B17A7" w:rsidRDefault="00803DA8" w:rsidP="00803DA8">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2C0E7B23" w14:textId="77777777" w:rsidR="00803DA8" w:rsidRPr="006B17A7" w:rsidRDefault="00803DA8" w:rsidP="00803DA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3DA8" w:rsidRPr="006B17A7" w14:paraId="7823406E" w14:textId="77777777" w:rsidTr="00E44539">
        <w:trPr>
          <w:trHeight w:val="870"/>
        </w:trPr>
        <w:tc>
          <w:tcPr>
            <w:tcW w:w="8647" w:type="dxa"/>
          </w:tcPr>
          <w:p w14:paraId="4296C78E"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Constitución Política, artículos 365 y 368. </w:t>
            </w:r>
          </w:p>
          <w:p w14:paraId="2D726442"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39, 40 y 41. </w:t>
            </w:r>
          </w:p>
          <w:p w14:paraId="187D115E"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3, 14, 17. 31, 32, 39, 99.  </w:t>
            </w:r>
          </w:p>
          <w:p w14:paraId="11101160"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y 68. </w:t>
            </w:r>
          </w:p>
          <w:p w14:paraId="30775BA1"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996 de 2005, artículos 33 y 38. </w:t>
            </w:r>
          </w:p>
          <w:p w14:paraId="6E02FB77"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2, 3 y 13.  </w:t>
            </w:r>
          </w:p>
          <w:p w14:paraId="0375E51E"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1176 de 2007, artículo 11. </w:t>
            </w:r>
          </w:p>
          <w:p w14:paraId="5CE35E21"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1712 de 2014, artículos 2, 5 y 11. </w:t>
            </w:r>
          </w:p>
          <w:p w14:paraId="199EF49A" w14:textId="77777777" w:rsidR="00803DA8"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2195 de 2022, artículo 53. </w:t>
            </w:r>
          </w:p>
          <w:p w14:paraId="021A7EE8" w14:textId="77777777" w:rsidR="00803DA8" w:rsidRPr="000F740F"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1077 de 2015, artículos </w:t>
            </w:r>
            <w:r w:rsidRPr="00EF2AE2">
              <w:rPr>
                <w:rFonts w:ascii="Verdana" w:eastAsia="Arial MT" w:hAnsi="Verdana" w:cs="Arial"/>
                <w:bCs/>
                <w:lang w:eastAsia="es-ES" w:bidi="es-ES"/>
              </w:rPr>
              <w:t>2.3.5.1.2.2.14</w:t>
            </w:r>
            <w:r>
              <w:rPr>
                <w:rFonts w:ascii="Verdana" w:eastAsia="Arial MT" w:hAnsi="Verdana" w:cs="Arial"/>
                <w:bCs/>
                <w:lang w:eastAsia="es-ES" w:bidi="es-ES"/>
              </w:rPr>
              <w:t xml:space="preserve"> y </w:t>
            </w:r>
            <w:r w:rsidRPr="00EF2AE2">
              <w:rPr>
                <w:rFonts w:ascii="Verdana" w:eastAsia="Arial MT" w:hAnsi="Verdana" w:cs="Arial"/>
                <w:bCs/>
                <w:lang w:eastAsia="es-ES" w:bidi="es-ES"/>
              </w:rPr>
              <w:t>2.3.4.1.2.11</w:t>
            </w:r>
            <w:r>
              <w:rPr>
                <w:rFonts w:ascii="Verdana" w:eastAsia="Arial MT" w:hAnsi="Verdana" w:cs="Arial"/>
                <w:bCs/>
                <w:lang w:eastAsia="es-ES" w:bidi="es-ES"/>
              </w:rPr>
              <w:t xml:space="preserve">. </w:t>
            </w:r>
          </w:p>
          <w:p w14:paraId="4D833E48" w14:textId="77777777" w:rsidR="00803DA8" w:rsidRPr="007B7B6A" w:rsidRDefault="00803DA8" w:rsidP="00803DA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bCs/>
                <w:lang w:eastAsia="es-ES" w:bidi="es-ES"/>
              </w:rPr>
              <w:t xml:space="preserve">Decreto 1081 de 2015, artículo </w:t>
            </w:r>
            <w:r w:rsidRPr="000F740F">
              <w:rPr>
                <w:rFonts w:ascii="Verdana" w:eastAsia="Arial MT" w:hAnsi="Verdana" w:cs="Arial"/>
                <w:bCs/>
                <w:lang w:eastAsia="es-ES" w:bidi="es-ES"/>
              </w:rPr>
              <w:t>2.1.1.2.1.7.</w:t>
            </w:r>
          </w:p>
          <w:p w14:paraId="3EF92C3F" w14:textId="77777777" w:rsidR="00803DA8" w:rsidRPr="006B17A7" w:rsidRDefault="00803DA8" w:rsidP="00803DA8">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Arial MT" w:hAnsi="Verdana" w:cs="Arial"/>
                <w:lang w:val="es-ES" w:eastAsia="es-ES" w:bidi="es-ES"/>
              </w:rPr>
              <w:t xml:space="preserve">Decreto 1082 de 2015, artículos </w:t>
            </w:r>
            <w:r w:rsidRPr="009F575B">
              <w:rPr>
                <w:rFonts w:ascii="Verdana" w:eastAsia="Arial MT" w:hAnsi="Verdana" w:cs="Arial"/>
                <w:lang w:eastAsia="es-ES" w:bidi="es-ES"/>
              </w:rPr>
              <w:t>2.2.1.1.1.7.1</w:t>
            </w:r>
            <w:r>
              <w:rPr>
                <w:rFonts w:ascii="Verdana" w:eastAsia="Arial MT" w:hAnsi="Verdana" w:cs="Arial"/>
                <w:lang w:eastAsia="es-ES" w:bidi="es-ES"/>
              </w:rPr>
              <w:t xml:space="preserve">, </w:t>
            </w:r>
            <w:r w:rsidRPr="00EF0BDA">
              <w:rPr>
                <w:rFonts w:ascii="Verdana" w:hAnsi="Verdana" w:cs="Arial"/>
                <w:shd w:val="clear" w:color="auto" w:fill="FFFFFF"/>
              </w:rPr>
              <w:t>2.2.1.1.1.3.1</w:t>
            </w:r>
            <w:r>
              <w:rPr>
                <w:rFonts w:ascii="Verdana" w:hAnsi="Verdana" w:cs="Arial"/>
                <w:shd w:val="clear" w:color="auto" w:fill="FFFFFF"/>
              </w:rPr>
              <w:t>.</w:t>
            </w:r>
          </w:p>
        </w:tc>
      </w:tr>
    </w:tbl>
    <w:p w14:paraId="7B6BAA1A" w14:textId="77777777" w:rsidR="00803DA8" w:rsidRPr="006B17A7" w:rsidRDefault="00803DA8" w:rsidP="00803DA8">
      <w:pPr>
        <w:widowControl w:val="0"/>
        <w:autoSpaceDE w:val="0"/>
        <w:autoSpaceDN w:val="0"/>
        <w:spacing w:after="0" w:line="276" w:lineRule="auto"/>
        <w:jc w:val="both"/>
        <w:rPr>
          <w:rFonts w:ascii="Verdana" w:eastAsia="Aptos" w:hAnsi="Verdana" w:cs="Arial"/>
        </w:rPr>
      </w:pPr>
    </w:p>
    <w:p w14:paraId="6C69A83F" w14:textId="77777777" w:rsidR="00803DA8" w:rsidRPr="006B17A7" w:rsidRDefault="00803DA8" w:rsidP="00803DA8">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C685C05" w14:textId="77777777" w:rsidR="00803DA8" w:rsidRPr="006B17A7" w:rsidRDefault="00803DA8" w:rsidP="00803DA8">
      <w:pPr>
        <w:widowControl w:val="0"/>
        <w:autoSpaceDE w:val="0"/>
        <w:autoSpaceDN w:val="0"/>
        <w:spacing w:after="0" w:line="276" w:lineRule="auto"/>
        <w:jc w:val="both"/>
        <w:rPr>
          <w:rFonts w:ascii="Verdana" w:eastAsia="Aptos" w:hAnsi="Verdana" w:cs="Arial"/>
        </w:rPr>
      </w:pPr>
    </w:p>
    <w:p w14:paraId="3A9EEB48" w14:textId="77777777" w:rsidR="00803DA8" w:rsidRPr="006B17A7" w:rsidRDefault="00803DA8" w:rsidP="00803DA8">
      <w:pPr>
        <w:widowControl w:val="0"/>
        <w:autoSpaceDE w:val="0"/>
        <w:autoSpaceDN w:val="0"/>
        <w:spacing w:after="0" w:line="276" w:lineRule="auto"/>
        <w:jc w:val="both"/>
        <w:rPr>
          <w:rFonts w:ascii="Verdana" w:eastAsia="Aptos" w:hAnsi="Verdana" w:cs="Arial"/>
          <w:shd w:val="clear" w:color="auto" w:fill="FFFFFF"/>
          <w:lang w:val="es-ES"/>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C-1368 del 5 de noviembre de 2025 y C-095 del 04 de marzo de 2026</w:t>
      </w:r>
      <w:r w:rsidRPr="006B17A7">
        <w:rPr>
          <w:rFonts w:ascii="Verdana" w:eastAsia="Aptos" w:hAnsi="Verdana" w:cs="Arial"/>
          <w:shd w:val="clear" w:color="auto" w:fill="FFFFFF"/>
          <w:lang w:val="es-ES"/>
        </w:rPr>
        <w:t xml:space="preserve">,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6B17A7">
          <w:rPr>
            <w:rFonts w:ascii="Verdana" w:eastAsia="Aptos" w:hAnsi="Verdana" w:cs="Arial"/>
            <w:color w:val="467886"/>
            <w:u w:val="single"/>
            <w:shd w:val="clear" w:color="auto" w:fill="FFFFFF"/>
            <w:lang w:val="es-ES"/>
          </w:rPr>
          <w:t>https://relatoria.colombiacompra.gov.co/</w:t>
        </w:r>
      </w:hyperlink>
      <w:r w:rsidRPr="006B17A7">
        <w:rPr>
          <w:rFonts w:ascii="Verdana" w:eastAsia="Aptos" w:hAnsi="Verdana" w:cs="Arial"/>
          <w:shd w:val="clear" w:color="auto" w:fill="FFFFFF"/>
          <w:lang w:val="es-ES"/>
        </w:rPr>
        <w:t xml:space="preserve">. </w:t>
      </w:r>
    </w:p>
    <w:p w14:paraId="7DB4FD39" w14:textId="77777777" w:rsidR="00803DA8" w:rsidRPr="00115E3D" w:rsidRDefault="00803DA8" w:rsidP="00803DA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3636C45" w14:textId="77777777" w:rsidR="00803DA8" w:rsidRPr="009A385A" w:rsidRDefault="00803DA8" w:rsidP="00803DA8">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 xml:space="preserve">generar </w:t>
      </w:r>
      <w:r w:rsidRPr="009A385A">
        <w:rPr>
          <w:rFonts w:ascii="Verdana" w:hAnsi="Verdana"/>
        </w:rPr>
        <w:lastRenderedPageBreak/>
        <w:t>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383D5095" w14:textId="77777777" w:rsidR="00803DA8" w:rsidRDefault="00803DA8" w:rsidP="00803DA8">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234942D7" w14:textId="77777777" w:rsidR="00803DA8" w:rsidRPr="009A385A" w:rsidRDefault="00803DA8" w:rsidP="00803DA8">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C95FC5C" w14:textId="77777777" w:rsidR="00803DA8" w:rsidRPr="00115E3D" w:rsidRDefault="00803DA8" w:rsidP="00803DA8">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30FF2F7D" w14:textId="77777777" w:rsidR="00803DA8" w:rsidRPr="00115E3D" w:rsidRDefault="00803DA8" w:rsidP="00803DA8">
      <w:pPr>
        <w:spacing w:after="0" w:line="240" w:lineRule="auto"/>
        <w:jc w:val="both"/>
        <w:rPr>
          <w:rFonts w:ascii="Verdana" w:hAnsi="Verdana"/>
          <w:color w:val="000000" w:themeColor="text1"/>
        </w:rPr>
      </w:pPr>
    </w:p>
    <w:p w14:paraId="48CD8EA0" w14:textId="77777777" w:rsidR="00803DA8" w:rsidRPr="00115E3D" w:rsidRDefault="00803DA8" w:rsidP="00803DA8">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10E55D28" w14:textId="77777777" w:rsidR="00803DA8" w:rsidRPr="00115E3D" w:rsidRDefault="00803DA8" w:rsidP="00803DA8">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4A337084" w14:textId="77777777" w:rsidR="00803DA8" w:rsidRPr="00115E3D" w:rsidRDefault="00803DA8" w:rsidP="00803DA8">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32705F81" w14:textId="77777777" w:rsidR="00803DA8" w:rsidRPr="00115E3D" w:rsidRDefault="00803DA8" w:rsidP="00803DA8">
      <w:pPr>
        <w:widowControl w:val="0"/>
        <w:autoSpaceDE w:val="0"/>
        <w:autoSpaceDN w:val="0"/>
        <w:spacing w:after="0" w:line="276" w:lineRule="auto"/>
        <w:jc w:val="both"/>
        <w:rPr>
          <w:rFonts w:ascii="Verdana" w:hAnsi="Verdana" w:cs="Arial"/>
          <w:color w:val="000000" w:themeColor="text1"/>
        </w:rPr>
      </w:pPr>
    </w:p>
    <w:p w14:paraId="1C0CB2C1" w14:textId="77777777" w:rsidR="00803DA8" w:rsidRPr="00115E3D" w:rsidRDefault="00803DA8" w:rsidP="00803DA8">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 xml:space="preserve">y las expresiones aquí utilizadas con mayúscula inicial deben ser entendidas con el </w:t>
      </w:r>
      <w:r w:rsidRPr="00115E3D">
        <w:rPr>
          <w:rFonts w:ascii="Verdana" w:hAnsi="Verdana" w:cs="Arial"/>
          <w:color w:val="000000" w:themeColor="text1"/>
          <w:lang w:val="es-ES_tradnl"/>
        </w:rPr>
        <w:lastRenderedPageBreak/>
        <w:t>significado que les otorga el artículo 2.2.1.1.1.3.1. del Decreto 1082 de 2015.</w:t>
      </w:r>
    </w:p>
    <w:p w14:paraId="2E325641" w14:textId="77777777" w:rsidR="00803DA8" w:rsidRDefault="00803DA8" w:rsidP="00803DA8">
      <w:pPr>
        <w:spacing w:after="0" w:line="240" w:lineRule="auto"/>
        <w:rPr>
          <w:rFonts w:ascii="Verdana" w:eastAsia="Times New Roman" w:hAnsi="Verdana" w:cs="Arial"/>
          <w:color w:val="000000" w:themeColor="text1"/>
          <w:lang w:eastAsia="es-CO"/>
        </w:rPr>
      </w:pPr>
    </w:p>
    <w:p w14:paraId="5C23C1AB" w14:textId="77777777" w:rsidR="00803DA8" w:rsidRDefault="00803DA8" w:rsidP="00803DA8">
      <w:pPr>
        <w:spacing w:after="0" w:line="240" w:lineRule="auto"/>
        <w:rPr>
          <w:rFonts w:ascii="Verdana" w:eastAsia="Times New Roman" w:hAnsi="Verdana" w:cs="Arial"/>
          <w:color w:val="000000" w:themeColor="text1"/>
          <w:lang w:eastAsia="es-CO"/>
        </w:rPr>
      </w:pPr>
    </w:p>
    <w:p w14:paraId="62C9B6F4" w14:textId="77777777" w:rsidR="00803DA8" w:rsidRPr="00115E3D" w:rsidRDefault="00803DA8" w:rsidP="00803DA8">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6F7C95D0" w14:textId="77777777" w:rsidR="00803DA8" w:rsidRDefault="00803DA8" w:rsidP="00803DA8">
      <w:pPr>
        <w:spacing w:line="276" w:lineRule="auto"/>
        <w:jc w:val="center"/>
        <w:rPr>
          <w:noProof/>
          <w:color w:val="000000" w:themeColor="text1"/>
          <w:lang w:val="es-ES_tradnl" w:eastAsia="es-CO"/>
        </w:rPr>
      </w:pPr>
      <w:r>
        <w:rPr>
          <w:noProof/>
        </w:rPr>
        <w:drawing>
          <wp:inline distT="0" distB="0" distL="0" distR="0" wp14:anchorId="4279D69C" wp14:editId="572AF3DD">
            <wp:extent cx="3136900" cy="1096166"/>
            <wp:effectExtent l="0" t="0" r="6350" b="8890"/>
            <wp:docPr id="10014168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16823" name="Imagen 1" descr="Texto&#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59207" cy="1103961"/>
                    </a:xfrm>
                    <a:prstGeom prst="rect">
                      <a:avLst/>
                    </a:prstGeom>
                    <a:noFill/>
                    <a:ln>
                      <a:noFill/>
                    </a:ln>
                  </pic:spPr>
                </pic:pic>
              </a:graphicData>
            </a:graphic>
          </wp:inline>
        </w:drawing>
      </w:r>
      <w:r>
        <w:rPr>
          <w:noProof/>
          <w:color w:val="000000" w:themeColor="text1"/>
          <w:lang w:val="es-ES_tradnl" w:eastAsia="es-CO"/>
        </w:rPr>
        <w:t xml:space="preserve"> </w:t>
      </w:r>
    </w:p>
    <w:p w14:paraId="198C5157" w14:textId="77777777" w:rsidR="00803DA8" w:rsidRDefault="00803DA8" w:rsidP="00803DA8">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3DA8" w:rsidRPr="00115E3D" w14:paraId="5D952838" w14:textId="77777777" w:rsidTr="00E44539">
        <w:trPr>
          <w:trHeight w:val="315"/>
        </w:trPr>
        <w:tc>
          <w:tcPr>
            <w:tcW w:w="893" w:type="dxa"/>
            <w:vAlign w:val="center"/>
            <w:hideMark/>
          </w:tcPr>
          <w:p w14:paraId="371924FD" w14:textId="77777777" w:rsidR="00803DA8" w:rsidRPr="00115E3D" w:rsidRDefault="00803DA8" w:rsidP="00E445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ACC218" w14:textId="77777777" w:rsidR="00803DA8" w:rsidRPr="00115E3D" w:rsidRDefault="00803DA8" w:rsidP="00E44539">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09EF7CC" w14:textId="77777777" w:rsidR="00803DA8" w:rsidRPr="00115E3D" w:rsidRDefault="00803DA8" w:rsidP="00E44539">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803DA8" w:rsidRPr="00115E3D" w14:paraId="1A532D5C" w14:textId="77777777" w:rsidTr="00E44539">
        <w:trPr>
          <w:trHeight w:val="330"/>
        </w:trPr>
        <w:tc>
          <w:tcPr>
            <w:tcW w:w="893" w:type="dxa"/>
            <w:vAlign w:val="center"/>
            <w:hideMark/>
          </w:tcPr>
          <w:p w14:paraId="3E34E7C0" w14:textId="77777777" w:rsidR="00803DA8" w:rsidRPr="00115E3D" w:rsidRDefault="00803DA8" w:rsidP="00E445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AB90D0" w14:textId="77777777" w:rsidR="00803DA8" w:rsidRDefault="00803DA8" w:rsidP="00E44539">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66DF29CB" w14:textId="77777777" w:rsidR="00803DA8" w:rsidRPr="00115E3D" w:rsidRDefault="00803DA8" w:rsidP="00E44539">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803DA8" w:rsidRPr="00115E3D" w14:paraId="375B8DD0" w14:textId="77777777" w:rsidTr="00E44539">
        <w:trPr>
          <w:trHeight w:val="300"/>
        </w:trPr>
        <w:tc>
          <w:tcPr>
            <w:tcW w:w="893" w:type="dxa"/>
            <w:vAlign w:val="center"/>
          </w:tcPr>
          <w:p w14:paraId="03FFE962" w14:textId="77777777" w:rsidR="00803DA8" w:rsidRPr="00115E3D" w:rsidRDefault="00803DA8" w:rsidP="00E445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A9089B" w14:textId="77777777" w:rsidR="00803DA8" w:rsidRPr="00115E3D" w:rsidRDefault="00803DA8" w:rsidP="00E445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6EBBD808" w14:textId="77777777" w:rsidR="00803DA8" w:rsidRPr="00115E3D" w:rsidRDefault="00803DA8" w:rsidP="00E445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50490E3C" w14:textId="77777777" w:rsidR="003C7118" w:rsidRDefault="003C7118" w:rsidP="30821638">
      <w:pPr>
        <w:spacing w:after="0" w:line="240" w:lineRule="auto"/>
        <w:jc w:val="both"/>
        <w:textAlignment w:val="baseline"/>
        <w:rPr>
          <w:rFonts w:ascii="Verdana" w:eastAsia="Verdana" w:hAnsi="Verdana" w:cs="Verdana"/>
          <w:lang w:eastAsia="es-CO"/>
        </w:rPr>
      </w:pPr>
    </w:p>
    <w:p w14:paraId="1CBE6039" w14:textId="77777777" w:rsidR="003C7118" w:rsidRPr="000E2B93" w:rsidRDefault="003C7118"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A7EB2" w14:textId="77777777" w:rsidR="00BB4ECE" w:rsidRDefault="00BB4ECE" w:rsidP="004A1847">
      <w:pPr>
        <w:spacing w:after="0" w:line="240" w:lineRule="auto"/>
      </w:pPr>
      <w:r>
        <w:separator/>
      </w:r>
    </w:p>
  </w:endnote>
  <w:endnote w:type="continuationSeparator" w:id="0">
    <w:p w14:paraId="6E9F4FA7" w14:textId="77777777" w:rsidR="00BB4ECE" w:rsidRDefault="00BB4E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CBB99" w14:textId="77777777" w:rsidR="00BB4ECE" w:rsidRDefault="00BB4ECE" w:rsidP="004A1847">
      <w:pPr>
        <w:spacing w:after="0" w:line="240" w:lineRule="auto"/>
      </w:pPr>
      <w:r>
        <w:separator/>
      </w:r>
    </w:p>
  </w:footnote>
  <w:footnote w:type="continuationSeparator" w:id="0">
    <w:p w14:paraId="066BB55C" w14:textId="77777777" w:rsidR="00BB4ECE" w:rsidRDefault="00BB4ECE" w:rsidP="004A1847">
      <w:pPr>
        <w:spacing w:after="0" w:line="240" w:lineRule="auto"/>
      </w:pPr>
      <w:r>
        <w:continuationSeparator/>
      </w:r>
    </w:p>
  </w:footnote>
  <w:footnote w:id="1">
    <w:p w14:paraId="25DA5348" w14:textId="77777777" w:rsidR="00803DA8" w:rsidRPr="00A30929" w:rsidRDefault="00803DA8" w:rsidP="00803DA8">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Sección Tercera. Subsección C. Sentencia del 13 de abril de 2011. Exp. 37423. C.P.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e Estado. Sección Tercera. Subsección B. Sentencia del 15 de noviembre de 2011. Exp. 21178. C.P. Ruth Stella Correa Palacio.</w:t>
      </w:r>
    </w:p>
  </w:footnote>
  <w:footnote w:id="2">
    <w:p w14:paraId="43B9BD82" w14:textId="77777777" w:rsidR="00803DA8" w:rsidRPr="00A30929" w:rsidRDefault="00803DA8" w:rsidP="00803DA8">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3">
    <w:p w14:paraId="47A80196" w14:textId="77777777" w:rsidR="00803DA8" w:rsidRPr="00C45436" w:rsidRDefault="00803DA8" w:rsidP="00803DA8">
      <w:pPr>
        <w:pStyle w:val="Textonotapie"/>
        <w:ind w:firstLine="708"/>
        <w:rPr>
          <w:rFonts w:ascii="Verdana" w:hAnsi="Verdana"/>
          <w:sz w:val="16"/>
          <w:szCs w:val="16"/>
          <w:lang w:val="es-ES"/>
        </w:rPr>
      </w:pPr>
      <w:r w:rsidRPr="00C45436">
        <w:rPr>
          <w:rStyle w:val="Refdenotaalpie"/>
          <w:rFonts w:ascii="Verdana" w:hAnsi="Verdana"/>
          <w:sz w:val="16"/>
          <w:szCs w:val="16"/>
        </w:rPr>
        <w:footnoteRef/>
      </w:r>
      <w:r w:rsidRPr="00C45436">
        <w:rPr>
          <w:rFonts w:ascii="Verdana" w:hAnsi="Verdana"/>
          <w:sz w:val="16"/>
          <w:szCs w:val="16"/>
        </w:rPr>
        <w:t xml:space="preserve"> Ibídem. </w:t>
      </w:r>
    </w:p>
  </w:footnote>
  <w:footnote w:id="4">
    <w:p w14:paraId="1351BDC6" w14:textId="77777777" w:rsidR="00803DA8" w:rsidRPr="007B7B6A" w:rsidRDefault="00803DA8" w:rsidP="00803DA8">
      <w:pPr>
        <w:pStyle w:val="Textonotapie"/>
        <w:ind w:firstLine="708"/>
        <w:jc w:val="both"/>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41EA0615" w14:textId="77777777" w:rsidR="00803DA8" w:rsidRPr="007B7B6A" w:rsidRDefault="00803DA8" w:rsidP="00803DA8">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49F83376" w14:textId="77777777" w:rsidR="00803DA8" w:rsidRPr="007B7B6A" w:rsidRDefault="00803DA8" w:rsidP="00803DA8">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51DB1BEB" w14:textId="77777777" w:rsidR="00803DA8" w:rsidRPr="007B7B6A" w:rsidRDefault="00803DA8" w:rsidP="00803DA8">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footnote>
  <w:footnote w:id="5">
    <w:p w14:paraId="5DCAEF58" w14:textId="77777777" w:rsidR="00803DA8" w:rsidRPr="008719EC" w:rsidRDefault="00803DA8" w:rsidP="00803DA8">
      <w:pPr>
        <w:pStyle w:val="Textonotapie"/>
        <w:ind w:firstLine="708"/>
        <w:jc w:val="both"/>
        <w:rPr>
          <w:rFonts w:ascii="Verdana" w:hAnsi="Verdana"/>
          <w:sz w:val="16"/>
          <w:szCs w:val="16"/>
          <w:lang w:val="es-ES"/>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footnote>
  <w:footnote w:id="6">
    <w:p w14:paraId="4D4CEF2A" w14:textId="77777777" w:rsidR="00803DA8" w:rsidRPr="00485C44" w:rsidRDefault="00803DA8" w:rsidP="00803DA8">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7">
    <w:p w14:paraId="1B800330" w14:textId="77777777" w:rsidR="00803DA8" w:rsidRPr="005D42C1" w:rsidRDefault="00803DA8" w:rsidP="00803DA8">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907159E" w14:textId="77777777" w:rsidR="00803DA8" w:rsidRPr="005D42C1" w:rsidRDefault="00803DA8" w:rsidP="00803DA8">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8">
    <w:p w14:paraId="3FD50552" w14:textId="77777777" w:rsidR="00803DA8" w:rsidRPr="006366CF" w:rsidRDefault="00803DA8" w:rsidP="00803DA8">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9">
    <w:p w14:paraId="6A39FA18" w14:textId="77777777" w:rsidR="00803DA8" w:rsidRPr="006366CF" w:rsidRDefault="00803DA8" w:rsidP="00803DA8">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10">
    <w:p w14:paraId="4D3C6CB8" w14:textId="77777777" w:rsidR="00803DA8" w:rsidRPr="006366CF" w:rsidRDefault="00803DA8" w:rsidP="00803DA8">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 xml:space="preserve">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11">
    <w:p w14:paraId="2223AE4E" w14:textId="77777777" w:rsidR="00803DA8" w:rsidRPr="006366CF" w:rsidRDefault="00803DA8" w:rsidP="00803DA8">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12">
    <w:p w14:paraId="4DE2A98C" w14:textId="77777777" w:rsidR="00803DA8" w:rsidRPr="006366CF" w:rsidRDefault="00803DA8" w:rsidP="00803DA8">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e Estado. Sección Tercera, Subsección A. Sentencia del 25 de mayo de 2025. C.P. María Adriana Marín Hernández. Exp. 70.504; CONSEJO DE ESTADO. Sección Tercera, Subsección A. Sentencia del 16 de agosto de 2022, C.P.: María Adriana Marín. Exp. 60434.</w:t>
      </w:r>
    </w:p>
  </w:footnote>
  <w:footnote w:id="13">
    <w:p w14:paraId="0B8F3714" w14:textId="77777777" w:rsidR="00803DA8" w:rsidRPr="00AD7D5F" w:rsidRDefault="00803DA8" w:rsidP="00803DA8">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14 de junio de 2019, C.P.: Marta Nubia Velásquez Rico. Rad.: 25000-23-37-000-2010-02552-01 (AP); Consejo </w:t>
      </w:r>
      <w:r>
        <w:rPr>
          <w:rFonts w:ascii="Verdana" w:hAnsi="Verdana"/>
          <w:sz w:val="16"/>
          <w:szCs w:val="16"/>
          <w:lang w:val="es-CO"/>
        </w:rPr>
        <w:t>d</w:t>
      </w:r>
      <w:r w:rsidRPr="00AD7D5F">
        <w:rPr>
          <w:rFonts w:ascii="Verdana" w:hAnsi="Verdana"/>
          <w:sz w:val="16"/>
          <w:szCs w:val="16"/>
          <w:lang w:val="es-CO"/>
        </w:rPr>
        <w:t>e Estado. Sección Tercera, Subsección A. Sentencia del 25 de mayo de 2025. C.P. María Adriana Marín Hernández. Exp. 70.504.</w:t>
      </w:r>
    </w:p>
  </w:footnote>
  <w:footnote w:id="14">
    <w:p w14:paraId="1040BE3B" w14:textId="77777777" w:rsidR="00803DA8" w:rsidRPr="003B2822" w:rsidRDefault="00803DA8" w:rsidP="00803DA8">
      <w:pPr>
        <w:pStyle w:val="Textonotapie"/>
        <w:ind w:firstLine="708"/>
        <w:jc w:val="both"/>
        <w:rPr>
          <w:rFonts w:ascii="Verdana" w:hAnsi="Verdana"/>
          <w:sz w:val="16"/>
          <w:szCs w:val="16"/>
          <w:lang w:val="es-CO"/>
        </w:rPr>
      </w:pPr>
      <w:r w:rsidRPr="003B2822">
        <w:rPr>
          <w:rStyle w:val="Refdenotaalpie"/>
          <w:rFonts w:ascii="Verdana" w:hAnsi="Verdana"/>
          <w:sz w:val="16"/>
          <w:szCs w:val="16"/>
        </w:rPr>
        <w:footnoteRef/>
      </w:r>
      <w:r w:rsidRPr="003B2822">
        <w:rPr>
          <w:rFonts w:ascii="Verdana" w:hAnsi="Verdana"/>
          <w:sz w:val="16"/>
          <w:szCs w:val="16"/>
        </w:rPr>
        <w:t xml:space="preserve"> La Corte Constitucional, al analizar el concepto, alcance y finalidad del principio de solidaridad</w:t>
      </w:r>
      <w:r>
        <w:rPr>
          <w:rFonts w:ascii="Verdana" w:hAnsi="Verdana"/>
          <w:sz w:val="16"/>
          <w:szCs w:val="16"/>
        </w:rPr>
        <w:t xml:space="preserve"> en la Constitución Política,</w:t>
      </w:r>
      <w:r w:rsidRPr="003B2822">
        <w:rPr>
          <w:rFonts w:ascii="Verdana" w:hAnsi="Verdana"/>
          <w:sz w:val="16"/>
          <w:szCs w:val="16"/>
        </w:rPr>
        <w:t xml:space="preserve"> señaló en la sentencia C-580 de 1.992: “(…) Al considerar la norma, que los servicios públicos se prestarán "en beneficio de la comunidad", entendida como un todo, se consagra allí un principio de solidaridad que, elimina la posibilidad que se establezca la prestación de los mismos, en condiciones favorables a sólo una parte del conglomerado social.  Más aún, se impone en ella, tomar en cuenta los distintos estratos sociales que participan como usuarios de los servicios públicos, según su capacidad económica, para establecer un régimen tarifario diferencial, que consulta una función redistributiva del costo de los servicios, de acuerdo con la capacidad económica del usuario del servicio, para evitar que sea igual la tarifa para los sectores más ricos de la comunidad que para los más pobres, con lo que se impide que una mayor proporción de la riqueza se concentre en pequeños segmentos de la población, mientras que las grandes mayorías asumen el mayor costo de los servicios.(…)”</w:t>
      </w:r>
    </w:p>
  </w:footnote>
  <w:footnote w:id="15">
    <w:p w14:paraId="1ECE873F" w14:textId="77777777" w:rsidR="00803DA8" w:rsidRPr="00BC61F4" w:rsidRDefault="00803DA8" w:rsidP="00803DA8">
      <w:pPr>
        <w:pStyle w:val="Textonotapie"/>
        <w:ind w:firstLine="708"/>
        <w:jc w:val="both"/>
        <w:rPr>
          <w:rFonts w:ascii="Verdana" w:hAnsi="Verdana"/>
          <w:sz w:val="16"/>
          <w:szCs w:val="16"/>
          <w:lang w:val="es-ES"/>
        </w:rPr>
      </w:pPr>
      <w:r w:rsidRPr="00BC61F4">
        <w:rPr>
          <w:rStyle w:val="Refdenotaalpie"/>
          <w:rFonts w:ascii="Verdana" w:hAnsi="Verdana"/>
          <w:sz w:val="16"/>
          <w:szCs w:val="16"/>
        </w:rPr>
        <w:footnoteRef/>
      </w:r>
      <w:r w:rsidRPr="00BC61F4">
        <w:rPr>
          <w:rFonts w:ascii="Verdana" w:hAnsi="Verdana"/>
          <w:sz w:val="16"/>
          <w:szCs w:val="16"/>
        </w:rPr>
        <w:t xml:space="preserve"> MARÍN CORTÉS, Fabián Gonzalo. Los servicios semipúblicos domiciliarios. Bogotá: Temis, 2010</w:t>
      </w:r>
      <w:r>
        <w:rPr>
          <w:rFonts w:ascii="Verdana" w:hAnsi="Verdana"/>
          <w:sz w:val="16"/>
          <w:szCs w:val="16"/>
        </w:rPr>
        <w:t>.</w:t>
      </w:r>
      <w:r w:rsidRPr="00BC61F4">
        <w:rPr>
          <w:rFonts w:ascii="Verdana" w:hAnsi="Verdana"/>
          <w:sz w:val="16"/>
          <w:szCs w:val="16"/>
        </w:rPr>
        <w:t xml:space="preserve"> p. </w:t>
      </w:r>
      <w:r w:rsidRPr="00BC61F4">
        <w:rPr>
          <w:rFonts w:ascii="Verdana" w:hAnsi="Verdana"/>
          <w:sz w:val="16"/>
          <w:szCs w:val="16"/>
          <w:lang w:val="es-ES"/>
        </w:rPr>
        <w:t xml:space="preserve">483. </w:t>
      </w:r>
    </w:p>
  </w:footnote>
  <w:footnote w:id="16">
    <w:p w14:paraId="74273CFF" w14:textId="77777777" w:rsidR="00803DA8" w:rsidRPr="00BC61F4" w:rsidRDefault="00803DA8" w:rsidP="00803DA8">
      <w:pPr>
        <w:pStyle w:val="Textonotapie"/>
        <w:ind w:firstLine="708"/>
        <w:jc w:val="both"/>
        <w:rPr>
          <w:rFonts w:ascii="Verdana" w:hAnsi="Verdana"/>
          <w:sz w:val="16"/>
          <w:szCs w:val="16"/>
          <w:lang w:val="es-CO"/>
        </w:rPr>
      </w:pPr>
      <w:r w:rsidRPr="00BC61F4">
        <w:rPr>
          <w:rStyle w:val="Refdenotaalpie"/>
          <w:rFonts w:ascii="Verdana" w:hAnsi="Verdana"/>
          <w:sz w:val="16"/>
          <w:szCs w:val="16"/>
        </w:rPr>
        <w:footnoteRef/>
      </w:r>
      <w:r w:rsidRPr="00BC61F4">
        <w:rPr>
          <w:rFonts w:ascii="Verdana" w:hAnsi="Verdana"/>
          <w:sz w:val="16"/>
          <w:szCs w:val="16"/>
        </w:rPr>
        <w:t xml:space="preserve"> </w:t>
      </w:r>
      <w:r w:rsidRPr="00BC61F4">
        <w:rPr>
          <w:rFonts w:ascii="Verdana" w:hAnsi="Verdana"/>
          <w:bCs/>
          <w:sz w:val="16"/>
          <w:szCs w:val="16"/>
          <w:lang w:val="es-CO"/>
        </w:rPr>
        <w:t>Artículo 3°. Instrumentos de la intervención estatal.</w:t>
      </w:r>
      <w:r w:rsidRPr="00BC61F4">
        <w:rPr>
          <w:rFonts w:ascii="Verdana" w:hAnsi="Verdana"/>
          <w:sz w:val="16"/>
          <w:szCs w:val="16"/>
          <w:lang w:val="es-CO"/>
        </w:rPr>
        <w:t> Constituyen instrumentos para la intervención estatal en los servicios públicos todas las atribuciones y funciones asignadas a las entidades, autoridades y organismos de que trata esta Ley, especialmente las relativas a las siguientes materias: </w:t>
      </w:r>
    </w:p>
    <w:p w14:paraId="205BFCEC"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3.1. Promoción y apoyo a personas que presten los servicios públicos. </w:t>
      </w:r>
    </w:p>
    <w:p w14:paraId="0402ADFF"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3.2. Gestión y obtención de recursos para la prestación de servicios. </w:t>
      </w:r>
    </w:p>
    <w:p w14:paraId="75D9D551"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3.3. Regulación de la prestación de los servicios públicos teniendo en cuenta las características de cada región; fijación de metas de eficiencia, cobertura y calidad, evaluación de las mismas, y definición del régimen tarifario. </w:t>
      </w:r>
    </w:p>
    <w:p w14:paraId="40D981C8" w14:textId="77777777" w:rsidR="00803DA8" w:rsidRPr="00BC61F4" w:rsidRDefault="00803DA8" w:rsidP="00803DA8">
      <w:pPr>
        <w:pStyle w:val="Textonotapie"/>
        <w:jc w:val="both"/>
        <w:rPr>
          <w:rFonts w:ascii="Verdana" w:hAnsi="Verdana"/>
          <w:sz w:val="16"/>
          <w:szCs w:val="16"/>
          <w:lang w:val="es-CO"/>
        </w:rPr>
      </w:pPr>
      <w:r w:rsidRPr="00BC61F4">
        <w:rPr>
          <w:rFonts w:ascii="Verdana" w:hAnsi="Verdana"/>
          <w:sz w:val="16"/>
          <w:szCs w:val="16"/>
          <w:lang w:val="es-CO"/>
        </w:rPr>
        <w:t> </w:t>
      </w:r>
      <w:r w:rsidRPr="00BC61F4">
        <w:rPr>
          <w:rFonts w:ascii="Verdana" w:hAnsi="Verdana"/>
          <w:sz w:val="16"/>
          <w:szCs w:val="16"/>
          <w:lang w:val="es-CO"/>
        </w:rPr>
        <w:tab/>
        <w:t>3.4. Control y vigilancia de la observancia de las normas y de los planes y programas sobre la materia. </w:t>
      </w:r>
    </w:p>
    <w:p w14:paraId="7354AB26"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3.5. Organización de sistemas de información, capacitación y asistencia técnica. </w:t>
      </w:r>
    </w:p>
    <w:p w14:paraId="1236B450"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3.6. Protección de los recursos naturales. </w:t>
      </w:r>
    </w:p>
    <w:p w14:paraId="57B01CEE"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3.7. Otorgamiento de subsidios a las personas de menores ingresos. </w:t>
      </w:r>
    </w:p>
    <w:p w14:paraId="1A52B553"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3.8. Estímulo a la inversión de los particulares en los servicios públicos. </w:t>
      </w:r>
    </w:p>
    <w:p w14:paraId="7202E2FA"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3.9. Respeto del principio de neutralidad, a fin de asegurar que no exista ninguna práctica discriminatoria en la prestación de los servicios. </w:t>
      </w:r>
    </w:p>
    <w:p w14:paraId="73CA8901" w14:textId="77777777" w:rsidR="00803DA8" w:rsidRPr="00BC61F4"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Todas las decisiones de las autoridades en materia de servicios públicos deben fundarse en los motivos que determina esta Ley; y los motivos que invoquen deben ser comprobables. </w:t>
      </w:r>
    </w:p>
    <w:p w14:paraId="3BF6D2B1" w14:textId="77777777" w:rsidR="00803DA8" w:rsidRPr="008A3E33" w:rsidRDefault="00803DA8" w:rsidP="00803DA8">
      <w:pPr>
        <w:pStyle w:val="Textonotapie"/>
        <w:ind w:firstLine="708"/>
        <w:jc w:val="both"/>
        <w:rPr>
          <w:rFonts w:ascii="Verdana" w:hAnsi="Verdana"/>
          <w:sz w:val="16"/>
          <w:szCs w:val="16"/>
          <w:lang w:val="es-CO"/>
        </w:rPr>
      </w:pPr>
      <w:r w:rsidRPr="00BC61F4">
        <w:rPr>
          <w:rFonts w:ascii="Verdana" w:hAnsi="Verdana"/>
          <w:sz w:val="16"/>
          <w:szCs w:val="16"/>
          <w:lang w:val="es-CO"/>
        </w:rPr>
        <w:t>Todos los prestadores quedarán sujetos, en lo que no sea incompatible con la Constitución o con la ley, a todo lo que esta Ley dispone para las empresas y sus administradores y, en especial, a las regulaciones</w:t>
      </w:r>
      <w:r w:rsidRPr="008A3E33">
        <w:rPr>
          <w:rFonts w:ascii="Verdana" w:hAnsi="Verdana"/>
          <w:sz w:val="16"/>
          <w:szCs w:val="16"/>
          <w:lang w:val="es-CO"/>
        </w:rPr>
        <w:t xml:space="preserve"> de las Comisiones, al control, inspección y vigilancia de la Superintendencia de Servicios Públicos, y a las contribuciones para aquéllas y ésta. </w:t>
      </w:r>
    </w:p>
    <w:p w14:paraId="06FD965D" w14:textId="77777777" w:rsidR="00803DA8" w:rsidRPr="00C45436" w:rsidRDefault="00803DA8" w:rsidP="00803DA8">
      <w:pPr>
        <w:pStyle w:val="Textonotapie"/>
        <w:rPr>
          <w:rFonts w:ascii="Verdana" w:hAnsi="Verdana"/>
          <w:sz w:val="16"/>
          <w:szCs w:val="16"/>
          <w:lang w:val="es-ES"/>
        </w:rPr>
      </w:pPr>
    </w:p>
  </w:footnote>
  <w:footnote w:id="17">
    <w:p w14:paraId="497E1AE4" w14:textId="77777777" w:rsidR="00803DA8" w:rsidRPr="00474655" w:rsidRDefault="00803DA8" w:rsidP="00803DA8">
      <w:pPr>
        <w:pStyle w:val="Textonotapie"/>
        <w:ind w:firstLine="708"/>
        <w:jc w:val="both"/>
        <w:rPr>
          <w:rFonts w:ascii="Verdana" w:hAnsi="Verdana"/>
          <w:sz w:val="16"/>
          <w:szCs w:val="16"/>
          <w:lang w:val="es-CO"/>
        </w:rPr>
      </w:pPr>
      <w:r w:rsidRPr="00474655">
        <w:rPr>
          <w:rStyle w:val="Refdenotaalpie"/>
          <w:rFonts w:ascii="Verdana" w:hAnsi="Verdana"/>
          <w:sz w:val="16"/>
          <w:szCs w:val="16"/>
        </w:rPr>
        <w:footnoteRef/>
      </w:r>
      <w:r w:rsidRPr="00474655">
        <w:rPr>
          <w:rFonts w:ascii="Verdana" w:hAnsi="Verdana"/>
          <w:sz w:val="16"/>
          <w:szCs w:val="16"/>
        </w:rPr>
        <w:t xml:space="preserve"> </w:t>
      </w:r>
      <w:r w:rsidRPr="00474655">
        <w:rPr>
          <w:rFonts w:ascii="Verdana" w:hAnsi="Verdana"/>
          <w:bCs/>
          <w:sz w:val="16"/>
          <w:szCs w:val="16"/>
          <w:lang w:val="es-CO"/>
        </w:rPr>
        <w:t>Artículo 2.3.5.1.2.2.14. </w:t>
      </w:r>
      <w:r w:rsidRPr="00474655">
        <w:rPr>
          <w:rFonts w:ascii="Verdana" w:hAnsi="Verdana"/>
          <w:bCs/>
          <w:i/>
          <w:iCs/>
          <w:sz w:val="16"/>
          <w:szCs w:val="16"/>
          <w:lang w:val="es-CO"/>
        </w:rPr>
        <w:t>Administración de los recursos del Sistema General de Participaciones para Agua Potable y Saneamiento Básico. </w:t>
      </w:r>
      <w:r w:rsidRPr="00474655">
        <w:rPr>
          <w:rFonts w:ascii="Verdana" w:hAnsi="Verdana"/>
          <w:sz w:val="16"/>
          <w:szCs w:val="16"/>
          <w:lang w:val="es-CO"/>
        </w:rPr>
        <w:t>El departamento, en ejercicio de la competencia asignada por el artículo 5° de la Ley 1176 de 2007, administrará los recursos del Sistema General de Participaciones para Agua Potable y Saneamiento Básico asignados al municipio o distrito descertificado, a partir de la fecha en que quede ejecutoriado el acto administrativo expedido por la Superintendencia de Servicios Públicos Domiciliarios, y en tal virtud le corresponde: </w:t>
      </w:r>
    </w:p>
    <w:p w14:paraId="05DA8402"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1. Realizar reunión de empalme con el fin de oficializar la recepción del cierre operativo del municipio o distrito descertificado donde el departamento reciba el balance detallado de la ejecución de ingresos: apropiación y recaudo efectivo; y de la ejecución de los gastos: apropiación, compromisos, obligaciones y pagos, de los recursos correspondientes al Sistema General de Participaciones – APSB ejecutados por el municipio o distrito. El Gobernador realizará dicha reunión, dentro de los 15 días siguientes a la fecha de ejecutoria del acto de descertificación del municipio o distrito de su jurisdicción. Si por razones de fuerza mayor el gobernador no puede asistir, solo podrá delegar esta función en el Secretario de Hacienda del departamento o quien haga sus veces. </w:t>
      </w:r>
    </w:p>
    <w:p w14:paraId="2B06F8C6"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Las cifras del cierre operativo tendrán como fecha de corte la ejecutoria del acto administrativo de la descertificación y como soporte la ejecución presupuestal de ingresos y gastos a esa fecha y las certificaciones bancarias de los saldos correspondientes. Los saldos sin ejecutar, las cuentas por pagar y las reservas presupuestales serán incorporados como rentas administradas en el presupuesto del departamento en la cuenta del municipio correspondiente. </w:t>
      </w:r>
    </w:p>
    <w:p w14:paraId="458298AC"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2. Administrar, apropiar, incorporar, comprometer, ordenar el gasto y ejecutar los recursos asignados, los recursos de créditos y los recursos del balance del Sistema General de Participaciones para agua potable y saneamiento de los municipios y distritos descertificados, en el presupuesto del departamento y llevar contabilidad en forma independiente disponiendo de una cuenta bancaria para cada municipio o distrito, de conformidad con el plan de desarrollo del municipio o distrito descertificado. </w:t>
      </w:r>
    </w:p>
    <w:p w14:paraId="3E27E908"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3. Presupuestar y contabilizar sin situación de fondos los recursos girados directamente a los prestadores de los servicios de acueducto, alcantarillado y aseo, a los patrimonios autónomos o a los esquemas fiduciarios constituidos para el manejo de los recursos del Sistema General de Participaciones para Agua Potable y Saneamiento Básico. </w:t>
      </w:r>
    </w:p>
    <w:p w14:paraId="1C23BCFD"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4. Suscribir los contratos que sean requeridos para asegurar la adecuada destinación de los recursos del Sistema General de Participaciones para Agua Potable y Saneamiento Básico. </w:t>
      </w:r>
    </w:p>
    <w:p w14:paraId="2215EAA9"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5. Suscribir con las personas prestadoras de los servicios públicos los contratos o convenios de que trata el artículo 2.3.4.1.2.11 del capítulo I del título IV del presente Libro o la norma que lo modifique, complemente o sustituya, para el otorgamiento de subsidios con cargo al SGP. Los contratos o convenios para la financiación de subsidios con cargo a otras fuentes diferentes al Sistema General de Participaciones serán suscritos y ejecutados por el municipio o distrito descertificado. </w:t>
      </w:r>
    </w:p>
    <w:p w14:paraId="3DD82A70" w14:textId="77777777" w:rsidR="00803DA8" w:rsidRPr="00474655" w:rsidRDefault="00803DA8" w:rsidP="00803DA8">
      <w:pPr>
        <w:pStyle w:val="Textonotapie"/>
        <w:ind w:firstLine="708"/>
        <w:jc w:val="both"/>
        <w:rPr>
          <w:rFonts w:ascii="Verdana" w:hAnsi="Verdana"/>
          <w:sz w:val="16"/>
          <w:szCs w:val="16"/>
          <w:lang w:val="es-CO"/>
        </w:rPr>
      </w:pPr>
      <w:r w:rsidRPr="00474655">
        <w:rPr>
          <w:rFonts w:ascii="Verdana" w:hAnsi="Verdana"/>
          <w:sz w:val="16"/>
          <w:szCs w:val="16"/>
          <w:lang w:val="es-CO"/>
        </w:rPr>
        <w:t>6. Cumplir con los compromisos adquiridos por el municipio o distrito descertificado con anterioridad a la fecha de ejecutoria del acto administrativo expedido por la Superintendencia de Servicios Públicos Domiciliarios que impone la descertificación, que hayan sido financiados con los recursos del Sistema General de Participaciones para Agua Potable y Saneamiento Básico y cuyo objeto sea cualquiera de las actividades establecidas en el artículo 11 de la Ley 1176 de 2007. </w:t>
      </w:r>
    </w:p>
    <w:p w14:paraId="28E0EABF" w14:textId="77777777" w:rsidR="00803DA8" w:rsidRPr="00C45436" w:rsidRDefault="00803DA8" w:rsidP="00803DA8">
      <w:pPr>
        <w:pStyle w:val="Textonotapie"/>
        <w:rPr>
          <w:rFonts w:ascii="Verdana" w:hAnsi="Verdana"/>
          <w:sz w:val="16"/>
          <w:szCs w:val="16"/>
          <w:lang w:val="es-CO"/>
        </w:rPr>
      </w:pPr>
      <w:r w:rsidRPr="00C45436">
        <w:rPr>
          <w:rFonts w:ascii="Verdana" w:hAnsi="Verdana"/>
          <w:sz w:val="16"/>
          <w:szCs w:val="16"/>
          <w:lang w:val="es-CO"/>
        </w:rPr>
        <w:t>[…]</w:t>
      </w:r>
    </w:p>
  </w:footnote>
  <w:footnote w:id="18">
    <w:p w14:paraId="579A75FB" w14:textId="77777777" w:rsidR="00803DA8" w:rsidRPr="00C45436" w:rsidRDefault="00803DA8" w:rsidP="00803DA8">
      <w:pPr>
        <w:spacing w:after="0" w:line="240" w:lineRule="auto"/>
        <w:ind w:firstLine="709"/>
        <w:jc w:val="both"/>
        <w:rPr>
          <w:rFonts w:ascii="Verdana" w:eastAsia="Times New Roman"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5" w:name="33"/>
      <w:r w:rsidRPr="00C45436">
        <w:rPr>
          <w:rFonts w:ascii="Verdana" w:eastAsia="Calibri" w:hAnsi="Verdana" w:cs="Arial"/>
          <w:color w:val="000000"/>
          <w:sz w:val="16"/>
          <w:szCs w:val="16"/>
        </w:rPr>
        <w:t>“</w:t>
      </w:r>
      <w:r w:rsidRPr="00C45436">
        <w:rPr>
          <w:rFonts w:ascii="Verdana" w:eastAsia="Times New Roman" w:hAnsi="Verdana" w:cs="Arial"/>
          <w:sz w:val="16"/>
          <w:szCs w:val="16"/>
        </w:rPr>
        <w:t>Artículo 33. Restricciones a la contratación pública.</w:t>
      </w:r>
      <w:bookmarkEnd w:id="5"/>
      <w:r w:rsidRPr="00C4543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BACFACB" w14:textId="77777777" w:rsidR="00803DA8" w:rsidRPr="00C45436" w:rsidRDefault="00803DA8" w:rsidP="00803DA8">
      <w:pPr>
        <w:spacing w:after="0" w:line="240" w:lineRule="auto"/>
        <w:ind w:firstLine="709"/>
        <w:jc w:val="both"/>
        <w:rPr>
          <w:rFonts w:ascii="Verdana" w:eastAsia="Times New Roman" w:hAnsi="Verdana" w:cs="Arial"/>
          <w:sz w:val="16"/>
          <w:szCs w:val="16"/>
        </w:rPr>
      </w:pPr>
      <w:r w:rsidRPr="00C4543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45436">
        <w:rPr>
          <w:rFonts w:ascii="Verdana" w:eastAsia="Calibri" w:hAnsi="Verdana" w:cs="Arial"/>
          <w:color w:val="000000"/>
          <w:sz w:val="16"/>
          <w:szCs w:val="16"/>
        </w:rPr>
        <w:t>”</w:t>
      </w:r>
      <w:r w:rsidRPr="00C45436">
        <w:rPr>
          <w:rFonts w:ascii="Verdana" w:eastAsia="Times New Roman" w:hAnsi="Verdana" w:cs="Arial"/>
          <w:sz w:val="16"/>
          <w:szCs w:val="16"/>
        </w:rPr>
        <w:t>.</w:t>
      </w:r>
    </w:p>
  </w:footnote>
  <w:footnote w:id="19">
    <w:p w14:paraId="161E2B12" w14:textId="77777777" w:rsidR="00803DA8" w:rsidRPr="00C45436" w:rsidRDefault="00803DA8" w:rsidP="00803DA8">
      <w:pPr>
        <w:pStyle w:val="NormalWeb"/>
        <w:spacing w:before="0" w:beforeAutospacing="0" w:after="0" w:afterAutospacing="0"/>
        <w:ind w:firstLine="709"/>
        <w:jc w:val="both"/>
        <w:rPr>
          <w:rFonts w:ascii="Verdana" w:hAnsi="Verdana" w:cs="Arial"/>
          <w:sz w:val="16"/>
          <w:szCs w:val="16"/>
          <w:lang w:val="es-MX"/>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6" w:name="38"/>
      <w:r w:rsidRPr="00C45436">
        <w:rPr>
          <w:rFonts w:ascii="Verdana" w:eastAsia="Calibri" w:hAnsi="Verdana" w:cs="Arial"/>
          <w:color w:val="000000"/>
          <w:sz w:val="16"/>
          <w:szCs w:val="16"/>
        </w:rPr>
        <w:t>“</w:t>
      </w:r>
      <w:r w:rsidRPr="00C45436">
        <w:rPr>
          <w:rFonts w:ascii="Verdana" w:hAnsi="Verdana" w:cs="Arial"/>
          <w:sz w:val="16"/>
          <w:szCs w:val="16"/>
          <w:lang w:val="es-MX"/>
        </w:rPr>
        <w:t>Artículo 38. Prohibiciones para los servidores públicos. A los empleados del Estado les está prohibido:</w:t>
      </w:r>
      <w:bookmarkEnd w:id="6"/>
      <w:r w:rsidRPr="00C45436">
        <w:rPr>
          <w:rFonts w:ascii="Verdana" w:hAnsi="Verdana" w:cs="Arial"/>
          <w:sz w:val="16"/>
          <w:szCs w:val="16"/>
          <w:lang w:val="es-MX"/>
        </w:rPr>
        <w:t xml:space="preserve"> […] </w:t>
      </w:r>
      <w:r w:rsidRPr="00C45436">
        <w:rPr>
          <w:rStyle w:val="baj"/>
          <w:rFonts w:ascii="Verdana" w:hAnsi="Verdana" w:cs="Arial"/>
          <w:sz w:val="16"/>
          <w:szCs w:val="16"/>
          <w:lang w:val="es-MX"/>
        </w:rPr>
        <w:t>Parágrafo.</w:t>
      </w:r>
      <w:r w:rsidRPr="00C4543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5436">
        <w:rPr>
          <w:rFonts w:ascii="Verdana" w:eastAsia="Calibri" w:hAnsi="Verdana" w:cs="Arial"/>
          <w:color w:val="000000"/>
          <w:sz w:val="16"/>
          <w:szCs w:val="16"/>
        </w:rPr>
        <w:t>”</w:t>
      </w:r>
      <w:r w:rsidRPr="00C45436">
        <w:rPr>
          <w:rFonts w:ascii="Verdana" w:hAnsi="Verdana" w:cs="Arial"/>
          <w:sz w:val="16"/>
          <w:szCs w:val="16"/>
          <w:lang w:val="es-MX"/>
        </w:rPr>
        <w:t>.</w:t>
      </w:r>
    </w:p>
  </w:footnote>
  <w:footnote w:id="20">
    <w:p w14:paraId="1E67058B" w14:textId="77777777" w:rsidR="00803DA8" w:rsidRPr="00C45436" w:rsidRDefault="00803DA8" w:rsidP="00803DA8">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16.5. </w:t>
      </w:r>
    </w:p>
  </w:footnote>
  <w:footnote w:id="21">
    <w:p w14:paraId="714C5B38" w14:textId="77777777" w:rsidR="00803DA8" w:rsidRPr="00C45436" w:rsidRDefault="00803DA8" w:rsidP="00803DA8">
      <w:pPr>
        <w:spacing w:after="0" w:line="240" w:lineRule="auto"/>
        <w:ind w:left="100" w:right="244" w:firstLine="608"/>
        <w:jc w:val="both"/>
        <w:rPr>
          <w:rFonts w:ascii="Verdana" w:hAnsi="Verdana" w:cs="Arial"/>
          <w:sz w:val="16"/>
          <w:szCs w:val="16"/>
          <w:lang w:val="es-ES"/>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17 de febrero de 2015. C.P. William Zambrano Cetina. Rad. 2269.</w:t>
      </w:r>
    </w:p>
  </w:footnote>
  <w:footnote w:id="22">
    <w:p w14:paraId="19545640" w14:textId="77777777" w:rsidR="00803DA8" w:rsidRPr="00C45436" w:rsidRDefault="00803DA8" w:rsidP="00803DA8">
      <w:pPr>
        <w:pStyle w:val="Textonotapie"/>
        <w:ind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08 de mayo de 2018.</w:t>
      </w:r>
      <w:r w:rsidRPr="00C45436">
        <w:rPr>
          <w:rFonts w:ascii="Verdana" w:hAnsi="Verdana" w:cs="Arial"/>
          <w:sz w:val="16"/>
          <w:szCs w:val="16"/>
          <w:lang w:val="es-CO"/>
        </w:rPr>
        <w:t xml:space="preserve"> C.P. Álvaro Namén Vargas.</w:t>
      </w:r>
      <w:r w:rsidRPr="00C45436">
        <w:rPr>
          <w:rFonts w:ascii="Verdana" w:hAnsi="Verdana" w:cs="Arial"/>
          <w:sz w:val="16"/>
          <w:szCs w:val="16"/>
        </w:rPr>
        <w:t xml:space="preserve"> Rad. 2.382.</w:t>
      </w:r>
    </w:p>
  </w:footnote>
  <w:footnote w:id="23">
    <w:p w14:paraId="537DA619" w14:textId="77777777" w:rsidR="00803DA8" w:rsidRPr="00C45436" w:rsidRDefault="00803DA8" w:rsidP="00803DA8">
      <w:pPr>
        <w:pStyle w:val="Textonotapie"/>
        <w:ind w:firstLine="708"/>
        <w:jc w:val="both"/>
        <w:rPr>
          <w:rFonts w:ascii="Verdana" w:hAnsi="Verdana"/>
          <w:sz w:val="16"/>
          <w:szCs w:val="16"/>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eastAsia="Arial" w:hAnsi="Verdana" w:cs="Arial"/>
          <w:sz w:val="16"/>
          <w:szCs w:val="16"/>
          <w:lang w:eastAsia="es-ES" w:bidi="es-ES"/>
        </w:rPr>
        <w:t xml:space="preserve">Mediante sentencia del 17 de octubre de 2025, emitida por la Sección Tercera del Consejo de Estado, dentro del expediente </w:t>
      </w:r>
      <w:r w:rsidRPr="00C45436">
        <w:rPr>
          <w:rFonts w:ascii="Verdana" w:eastAsia="Times New Roman" w:hAnsi="Verdana" w:cs="Times New Roman"/>
          <w:sz w:val="16"/>
          <w:szCs w:val="16"/>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footnote>
  <w:footnote w:id="24">
    <w:p w14:paraId="1659E68D" w14:textId="77777777" w:rsidR="00803DA8" w:rsidRPr="004F6BEA" w:rsidRDefault="00803DA8" w:rsidP="00803DA8">
      <w:pPr>
        <w:pStyle w:val="Textonotapie"/>
        <w:ind w:firstLine="708"/>
        <w:rPr>
          <w:rFonts w:ascii="Verdana" w:hAnsi="Verdana"/>
          <w:sz w:val="16"/>
          <w:szCs w:val="16"/>
          <w:lang w:val="es-CO"/>
        </w:rPr>
      </w:pPr>
      <w:r w:rsidRPr="004F6BEA">
        <w:rPr>
          <w:rStyle w:val="Refdenotaalpie"/>
          <w:rFonts w:ascii="Verdana" w:hAnsi="Verdana"/>
          <w:sz w:val="16"/>
          <w:szCs w:val="16"/>
        </w:rPr>
        <w:footnoteRef/>
      </w:r>
      <w:r w:rsidRPr="004F6BEA">
        <w:rPr>
          <w:rFonts w:ascii="Verdana" w:hAnsi="Verdana"/>
          <w:sz w:val="16"/>
          <w:szCs w:val="16"/>
        </w:rPr>
        <w:t xml:space="preserve"> </w:t>
      </w:r>
      <w:r>
        <w:rPr>
          <w:rFonts w:ascii="Verdana" w:hAnsi="Verdana"/>
          <w:sz w:val="16"/>
          <w:szCs w:val="16"/>
        </w:rPr>
        <w:t xml:space="preserve">Superintendencia de Servicios Públicos Domiciliarios. Conceptos C-086 de 2022 y C-194 de 2022. </w:t>
      </w:r>
    </w:p>
  </w:footnote>
  <w:footnote w:id="25">
    <w:p w14:paraId="11EE5E0E" w14:textId="77777777" w:rsidR="00803DA8" w:rsidRPr="00F5052E" w:rsidRDefault="00803DA8" w:rsidP="00803DA8">
      <w:pPr>
        <w:pStyle w:val="Textonotapie"/>
        <w:ind w:firstLine="708"/>
        <w:jc w:val="both"/>
        <w:rPr>
          <w:rFonts w:ascii="Verdana" w:hAnsi="Verdana"/>
          <w:sz w:val="16"/>
          <w:szCs w:val="16"/>
          <w:lang w:val="es-CO"/>
        </w:rPr>
      </w:pPr>
      <w:r w:rsidRPr="00F5052E">
        <w:rPr>
          <w:rStyle w:val="Refdenotaalpie"/>
          <w:rFonts w:ascii="Verdana" w:hAnsi="Verdana"/>
          <w:sz w:val="16"/>
          <w:szCs w:val="16"/>
        </w:rPr>
        <w:footnoteRef/>
      </w:r>
      <w:r w:rsidRPr="00F5052E">
        <w:rPr>
          <w:rFonts w:ascii="Verdana" w:hAnsi="Verdana"/>
          <w:sz w:val="16"/>
          <w:szCs w:val="16"/>
        </w:rPr>
        <w:t xml:space="preserve"> </w:t>
      </w:r>
      <w:r w:rsidRPr="00F5052E">
        <w:rPr>
          <w:rFonts w:ascii="Verdana" w:hAnsi="Verdana"/>
          <w:sz w:val="16"/>
          <w:szCs w:val="16"/>
          <w:lang w:val="es-CO"/>
        </w:rPr>
        <w:t xml:space="preserve">Consejo de Estado, Sala de Consulta y Servicio Civil. Concepto del 6 de abril de 2006, Rad. 1736. C.P. Luis Fernando Álvarez Jaramillo. </w:t>
      </w:r>
    </w:p>
  </w:footnote>
  <w:footnote w:id="26">
    <w:p w14:paraId="009B06B9" w14:textId="77777777" w:rsidR="00803DA8" w:rsidRPr="00C45436" w:rsidRDefault="00803DA8" w:rsidP="00803DA8">
      <w:pPr>
        <w:pStyle w:val="Textonotapie"/>
        <w:ind w:right="51"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20 de febrero de 2006. Rad. 1727. C.P. Enrique José Arboleda Perdomo. </w:t>
      </w:r>
    </w:p>
  </w:footnote>
  <w:footnote w:id="27">
    <w:p w14:paraId="565D8D32" w14:textId="77777777" w:rsidR="00803DA8" w:rsidRPr="00C45436" w:rsidRDefault="00803DA8" w:rsidP="00803DA8">
      <w:pPr>
        <w:pStyle w:val="Textonotapie"/>
        <w:ind w:firstLine="709"/>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hAnsi="Verdana" w:cs="Arial"/>
          <w:sz w:val="16"/>
          <w:szCs w:val="16"/>
        </w:rPr>
        <w:t>Consejo de Estado. Sala de Consulta y Servicio Civil. Concepto de 6 de abril de 2006. Rad. 1738. C.P. Enrique José Arboleda Perdomo.</w:t>
      </w:r>
    </w:p>
  </w:footnote>
  <w:footnote w:id="28">
    <w:p w14:paraId="5DFE9486" w14:textId="77777777" w:rsidR="00803DA8" w:rsidRPr="00C45436" w:rsidRDefault="00803DA8" w:rsidP="00803DA8">
      <w:pPr>
        <w:pStyle w:val="Textonotapie"/>
        <w:ind w:firstLine="709"/>
        <w:contextualSpacing/>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13" w:name="_Hlk192533196"/>
      <w:r w:rsidRPr="00C45436">
        <w:rPr>
          <w:rFonts w:ascii="Verdana" w:hAnsi="Verdana" w:cs="Arial"/>
          <w:sz w:val="16"/>
          <w:szCs w:val="16"/>
        </w:rPr>
        <w:t>Consejo de Estado. Sala de Consulta y Servicio Civil. Concepto del 15 de noviembre de 2007. Rad. 1863. C.P.: Luis Fernando Álvarez Jaramillo.</w:t>
      </w:r>
      <w:bookmarkEnd w:id="13"/>
    </w:p>
  </w:footnote>
  <w:footnote w:id="29">
    <w:p w14:paraId="0A94CA6D" w14:textId="77777777" w:rsidR="00803DA8" w:rsidRPr="00C45436" w:rsidRDefault="00803DA8" w:rsidP="00803DA8">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816144580">
    <w:abstractNumId w:val="0"/>
  </w:num>
  <w:num w:numId="17" w16cid:durableId="1291321349">
    <w:abstractNumId w:val="9"/>
  </w:num>
  <w:num w:numId="18" w16cid:durableId="16466197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7118"/>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47414"/>
    <w:rsid w:val="00665D70"/>
    <w:rsid w:val="006900D9"/>
    <w:rsid w:val="00706C16"/>
    <w:rsid w:val="007340C3"/>
    <w:rsid w:val="0075235A"/>
    <w:rsid w:val="00756841"/>
    <w:rsid w:val="007649AB"/>
    <w:rsid w:val="00771D0C"/>
    <w:rsid w:val="007833AC"/>
    <w:rsid w:val="007B268C"/>
    <w:rsid w:val="007B7171"/>
    <w:rsid w:val="007C0C0F"/>
    <w:rsid w:val="007C3DC2"/>
    <w:rsid w:val="007D11DD"/>
    <w:rsid w:val="007E5497"/>
    <w:rsid w:val="00803DA8"/>
    <w:rsid w:val="00806F5F"/>
    <w:rsid w:val="00820278"/>
    <w:rsid w:val="008258C9"/>
    <w:rsid w:val="00844AE9"/>
    <w:rsid w:val="00861494"/>
    <w:rsid w:val="00867F95"/>
    <w:rsid w:val="008843B6"/>
    <w:rsid w:val="00891928"/>
    <w:rsid w:val="008A446D"/>
    <w:rsid w:val="008B25F1"/>
    <w:rsid w:val="008B7399"/>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13E8"/>
    <w:rsid w:val="009F3A13"/>
    <w:rsid w:val="00A122D3"/>
    <w:rsid w:val="00A14468"/>
    <w:rsid w:val="00A17F13"/>
    <w:rsid w:val="00A20739"/>
    <w:rsid w:val="00A23AF9"/>
    <w:rsid w:val="00A33C78"/>
    <w:rsid w:val="00AB0ADB"/>
    <w:rsid w:val="00AF5294"/>
    <w:rsid w:val="00B00C0E"/>
    <w:rsid w:val="00B01B1A"/>
    <w:rsid w:val="00B0381D"/>
    <w:rsid w:val="00B44A47"/>
    <w:rsid w:val="00B72CD3"/>
    <w:rsid w:val="00B72FFF"/>
    <w:rsid w:val="00BB4ECE"/>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2D48"/>
    <w:rsid w:val="00D361FD"/>
    <w:rsid w:val="00D423A2"/>
    <w:rsid w:val="00D44E26"/>
    <w:rsid w:val="00D520D8"/>
    <w:rsid w:val="00D63AC2"/>
    <w:rsid w:val="00D65D28"/>
    <w:rsid w:val="00D7383B"/>
    <w:rsid w:val="00D7788A"/>
    <w:rsid w:val="00DA1AE6"/>
    <w:rsid w:val="00DA231B"/>
    <w:rsid w:val="00DC39FC"/>
    <w:rsid w:val="00DF5254"/>
    <w:rsid w:val="00E02524"/>
    <w:rsid w:val="00E063E9"/>
    <w:rsid w:val="00E16408"/>
    <w:rsid w:val="00E20894"/>
    <w:rsid w:val="00E245AB"/>
    <w:rsid w:val="00E2764C"/>
    <w:rsid w:val="00E27F2E"/>
    <w:rsid w:val="00E50AFE"/>
    <w:rsid w:val="00E7120B"/>
    <w:rsid w:val="00E75C92"/>
    <w:rsid w:val="00E771DC"/>
    <w:rsid w:val="00E8772A"/>
    <w:rsid w:val="00E90F6B"/>
    <w:rsid w:val="00E92C27"/>
    <w:rsid w:val="00EA0E3D"/>
    <w:rsid w:val="00EB29BE"/>
    <w:rsid w:val="00EC38A7"/>
    <w:rsid w:val="00EC3972"/>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03DA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3DA8"/>
    <w:rPr>
      <w:rFonts w:ascii="Geomanist Light" w:hAnsi="Geomanist Light"/>
      <w:lang w:val="es-ES"/>
    </w:rPr>
  </w:style>
  <w:style w:type="character" w:customStyle="1" w:styleId="baj">
    <w:name w:val="b_aj"/>
    <w:basedOn w:val="Fuentedeprrafopredeter"/>
    <w:rsid w:val="00803DA8"/>
  </w:style>
  <w:style w:type="character" w:customStyle="1" w:styleId="NormalWebCar">
    <w:name w:val="Normal (Web) Car"/>
    <w:link w:val="NormalWeb"/>
    <w:uiPriority w:val="99"/>
    <w:locked/>
    <w:rsid w:val="00803DA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funcionpublica.gov.co/eva/gestornormativo/norma.php?i=18232"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18232"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relatoria.colombiacompra.gov.c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8232"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F4AA0E-7129-4284-9154-9264C8F00FC0}"/>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103</TotalTime>
  <Pages>43</Pages>
  <Words>15058</Words>
  <Characters>82822</Characters>
  <Application>Microsoft Office Word</Application>
  <DocSecurity>0</DocSecurity>
  <Lines>690</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2026-05-08T10:50:00Z</dcterms:created>
  <dcterms:modified xsi:type="dcterms:W3CDTF">2026-05-09T12:03:00Z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