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2D462" w14:textId="77777777" w:rsidR="00D12C3C" w:rsidRPr="0039489B" w:rsidRDefault="00D12C3C" w:rsidP="00D12C3C">
      <w:pPr>
        <w:spacing w:after="0" w:line="240" w:lineRule="auto"/>
        <w:jc w:val="both"/>
        <w:rPr>
          <w:rFonts w:ascii="Verdana" w:eastAsia="Calibri" w:hAnsi="Verdana" w:cs="Arial"/>
          <w:b/>
          <w:color w:val="000000"/>
          <w:lang w:val="es-ES"/>
        </w:rPr>
      </w:pPr>
      <w:bookmarkStart w:id="0" w:name="_Hlk143780582"/>
      <w:r w:rsidRPr="0039489B">
        <w:rPr>
          <w:rFonts w:ascii="Verdana" w:eastAsia="Calibri" w:hAnsi="Verdana" w:cs="Arial"/>
          <w:b/>
          <w:color w:val="000000"/>
          <w:lang w:val="es-ES"/>
        </w:rPr>
        <w:t>LEY DE GARANTÍAS ELECTORALES – Finalidad – Ley 996 de 2005 – Comicios aplicables</w:t>
      </w:r>
    </w:p>
    <w:p w14:paraId="46CAB4A1" w14:textId="77777777" w:rsidR="00D12C3C" w:rsidRPr="0039489B" w:rsidRDefault="00D12C3C" w:rsidP="00D12C3C">
      <w:pPr>
        <w:spacing w:after="0" w:line="240" w:lineRule="auto"/>
        <w:jc w:val="both"/>
        <w:rPr>
          <w:rFonts w:ascii="Verdana" w:eastAsia="Calibri" w:hAnsi="Verdana" w:cs="Arial"/>
          <w:bCs/>
          <w:color w:val="000000"/>
          <w:sz w:val="20"/>
          <w:szCs w:val="20"/>
          <w:lang w:val="es-ES"/>
        </w:rPr>
      </w:pPr>
    </w:p>
    <w:p w14:paraId="69805615" w14:textId="77777777" w:rsidR="00D12C3C" w:rsidRPr="0039489B" w:rsidRDefault="00D12C3C" w:rsidP="00D12C3C">
      <w:pPr>
        <w:spacing w:after="0" w:line="240" w:lineRule="auto"/>
        <w:jc w:val="both"/>
        <w:rPr>
          <w:rFonts w:ascii="Verdana" w:eastAsia="Calibri" w:hAnsi="Verdana" w:cs="Arial"/>
          <w:color w:val="000000"/>
          <w:sz w:val="20"/>
          <w:szCs w:val="20"/>
          <w:lang w:val="es-ES_tradnl" w:eastAsia="es-ES_tradnl"/>
        </w:rPr>
      </w:pPr>
      <w:r w:rsidRPr="0039489B">
        <w:rPr>
          <w:rFonts w:ascii="Verdana" w:eastAsia="Calibri" w:hAnsi="Verdana" w:cs="Arial"/>
          <w:color w:val="000000"/>
          <w:sz w:val="20"/>
          <w:szCs w:val="20"/>
          <w:lang w:val="es-ES_tradnl" w:eastAsia="es-ES_tradnl"/>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7B735C69" w14:textId="77777777" w:rsidR="00D12C3C" w:rsidRPr="0039489B" w:rsidRDefault="00D12C3C" w:rsidP="00D12C3C">
      <w:pPr>
        <w:spacing w:after="0" w:line="240" w:lineRule="auto"/>
        <w:jc w:val="both"/>
        <w:rPr>
          <w:rFonts w:ascii="Verdana" w:eastAsia="Calibri" w:hAnsi="Verdana" w:cs="Arial"/>
          <w:color w:val="000000"/>
          <w:sz w:val="20"/>
          <w:szCs w:val="20"/>
          <w:lang w:val="es-ES_tradnl" w:eastAsia="es-ES_tradnl"/>
        </w:rPr>
      </w:pPr>
      <w:r w:rsidRPr="0039489B">
        <w:rPr>
          <w:rFonts w:ascii="Verdana" w:eastAsia="Calibri" w:hAnsi="Verdana" w:cs="Arial"/>
          <w:color w:val="000000"/>
          <w:sz w:val="20"/>
          <w:szCs w:val="20"/>
          <w:lang w:val="es-ES_tradnl" w:eastAsia="es-ES_tradnl"/>
        </w:rPr>
        <w:t>[…]</w:t>
      </w:r>
    </w:p>
    <w:p w14:paraId="13AD20DB" w14:textId="77777777" w:rsidR="00D12C3C" w:rsidRPr="0039489B" w:rsidRDefault="00D12C3C" w:rsidP="00D12C3C">
      <w:pPr>
        <w:spacing w:after="0" w:line="240" w:lineRule="auto"/>
        <w:jc w:val="both"/>
        <w:rPr>
          <w:rFonts w:ascii="Verdana" w:eastAsia="Calibri" w:hAnsi="Verdana" w:cs="Arial"/>
          <w:color w:val="000000"/>
          <w:sz w:val="20"/>
          <w:szCs w:val="20"/>
          <w:lang w:val="es-ES"/>
        </w:rPr>
      </w:pPr>
      <w:r w:rsidRPr="0039489B">
        <w:rPr>
          <w:rFonts w:ascii="Verdana" w:eastAsia="Calibri" w:hAnsi="Verdana" w:cs="Arial"/>
          <w:color w:val="000000"/>
          <w:sz w:val="20"/>
          <w:szCs w:val="20"/>
          <w:lang w:val="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73D23D02" w14:textId="77777777" w:rsidR="00D12C3C" w:rsidRPr="0039489B" w:rsidRDefault="00D12C3C" w:rsidP="00D12C3C">
      <w:pPr>
        <w:spacing w:after="0" w:line="240" w:lineRule="auto"/>
        <w:rPr>
          <w:rFonts w:ascii="Verdana" w:eastAsia="Geomanist Light" w:hAnsi="Verdana" w:cs="Arial"/>
          <w:color w:val="000000"/>
          <w:sz w:val="20"/>
          <w:szCs w:val="20"/>
          <w:lang w:val="es-ES_tradnl"/>
        </w:rPr>
      </w:pPr>
    </w:p>
    <w:p w14:paraId="637B728E" w14:textId="77777777" w:rsidR="00D12C3C" w:rsidRPr="0039489B" w:rsidRDefault="00D12C3C" w:rsidP="00D12C3C">
      <w:pPr>
        <w:spacing w:after="0" w:line="240" w:lineRule="auto"/>
        <w:jc w:val="both"/>
        <w:rPr>
          <w:rFonts w:ascii="Verdana" w:eastAsia="Aptos" w:hAnsi="Verdana" w:cs="Arial"/>
          <w:b/>
          <w:bCs/>
        </w:rPr>
      </w:pPr>
      <w:r w:rsidRPr="0039489B">
        <w:rPr>
          <w:rFonts w:ascii="Verdana" w:eastAsia="Aptos" w:hAnsi="Verdana" w:cs="Arial"/>
          <w:b/>
          <w:bCs/>
        </w:rPr>
        <w:t>LEY DE GARANTÍAS ELECTORALES – Restricciones – Elecciones presidenciales – Destinatarios – Excepciones</w:t>
      </w:r>
    </w:p>
    <w:p w14:paraId="11E6A31B" w14:textId="77777777" w:rsidR="00D12C3C" w:rsidRPr="0039489B" w:rsidRDefault="00D12C3C" w:rsidP="00D12C3C">
      <w:pPr>
        <w:spacing w:after="0" w:line="240" w:lineRule="auto"/>
        <w:jc w:val="both"/>
        <w:rPr>
          <w:rFonts w:ascii="Verdana" w:eastAsia="Aptos" w:hAnsi="Verdana" w:cs="Arial"/>
          <w:sz w:val="20"/>
          <w:szCs w:val="20"/>
        </w:rPr>
      </w:pPr>
    </w:p>
    <w:p w14:paraId="580BFD67" w14:textId="77777777" w:rsidR="00D12C3C" w:rsidRPr="0039489B" w:rsidRDefault="00D12C3C" w:rsidP="00D12C3C">
      <w:pPr>
        <w:spacing w:after="0" w:line="240" w:lineRule="auto"/>
        <w:jc w:val="both"/>
        <w:rPr>
          <w:rFonts w:ascii="Verdana" w:eastAsia="Aptos" w:hAnsi="Verdana" w:cs="Arial"/>
          <w:sz w:val="20"/>
          <w:szCs w:val="20"/>
        </w:rPr>
      </w:pPr>
      <w:r w:rsidRPr="0039489B">
        <w:rPr>
          <w:rFonts w:ascii="Verdana" w:eastAsia="Aptos" w:hAnsi="Verdana" w:cs="Arial"/>
          <w:sz w:val="20"/>
          <w:szCs w:val="20"/>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5F0533E7" w14:textId="77777777" w:rsidR="00D12C3C" w:rsidRPr="0039489B" w:rsidRDefault="00D12C3C" w:rsidP="00D12C3C">
      <w:pPr>
        <w:spacing w:after="0" w:line="240" w:lineRule="auto"/>
        <w:jc w:val="both"/>
        <w:rPr>
          <w:rFonts w:ascii="Verdana" w:eastAsia="Aptos" w:hAnsi="Verdana" w:cs="Arial"/>
          <w:sz w:val="20"/>
          <w:szCs w:val="20"/>
        </w:rPr>
      </w:pPr>
      <w:r w:rsidRPr="0039489B">
        <w:rPr>
          <w:rFonts w:ascii="Verdana" w:eastAsia="Aptos" w:hAnsi="Verdana" w:cs="Arial"/>
          <w:sz w:val="20"/>
          <w:szCs w:val="20"/>
        </w:rPr>
        <w:t>[…]</w:t>
      </w:r>
    </w:p>
    <w:p w14:paraId="65A51CCD" w14:textId="77777777" w:rsidR="00D12C3C" w:rsidRPr="0039489B" w:rsidRDefault="00D12C3C" w:rsidP="00D12C3C">
      <w:pPr>
        <w:spacing w:after="0" w:line="240" w:lineRule="auto"/>
        <w:jc w:val="both"/>
        <w:rPr>
          <w:rFonts w:ascii="Verdana" w:eastAsia="Aptos" w:hAnsi="Verdana" w:cs="Arial"/>
          <w:sz w:val="20"/>
          <w:szCs w:val="20"/>
        </w:rPr>
      </w:pPr>
      <w:r w:rsidRPr="0039489B">
        <w:rPr>
          <w:rFonts w:ascii="Verdana" w:eastAsia="Aptos" w:hAnsi="Verdana" w:cs="Arial"/>
          <w:sz w:val="20"/>
          <w:szCs w:val="20"/>
        </w:rPr>
        <w:t>En conclusión, todos los entes del Estado, independiente del régimen jurídico de contratación aplicable, están sujetos a la restricción del artículo 33 ibidem, es decir, no podrán adelantar procesos que impliquen contratación directa respecto de las elecciones presidenciales, dentro de los cuatro (4) meses anteriores a la celebración de los comicios, salvo las excepciones dispuestas en esta. En efecto, los entes del Estado independientemente de su régimen especial no podrán celebrar contratos de forma directa desde el 31 de enero de 2026, teniendo en cuenta que la Resolución 02580 del 5 de marzo de 2025, emitida por la Registraduría Nacional del Estado Civil dispuso que las elecciones presidenciales se celebrarán el 31 de mayo de 2026.</w:t>
      </w:r>
    </w:p>
    <w:p w14:paraId="0A4ED64B" w14:textId="77777777" w:rsidR="00D12C3C" w:rsidRPr="0039489B" w:rsidRDefault="00D12C3C" w:rsidP="00D12C3C">
      <w:pPr>
        <w:spacing w:after="0" w:line="240" w:lineRule="auto"/>
        <w:jc w:val="both"/>
        <w:rPr>
          <w:rFonts w:ascii="Verdana" w:eastAsia="Aptos" w:hAnsi="Verdana" w:cs="Arial"/>
          <w:sz w:val="20"/>
          <w:szCs w:val="20"/>
        </w:rPr>
      </w:pPr>
    </w:p>
    <w:p w14:paraId="0D7FAB5A" w14:textId="77777777" w:rsidR="00D12C3C" w:rsidRPr="0039489B" w:rsidRDefault="00D12C3C" w:rsidP="00D12C3C">
      <w:pPr>
        <w:spacing w:after="0" w:line="240" w:lineRule="auto"/>
        <w:jc w:val="both"/>
        <w:rPr>
          <w:rFonts w:ascii="Verdana" w:eastAsia="Aptos" w:hAnsi="Verdana" w:cs="Arial"/>
          <w:b/>
          <w:bCs/>
        </w:rPr>
      </w:pPr>
      <w:r w:rsidRPr="0039489B">
        <w:rPr>
          <w:rFonts w:ascii="Verdana" w:eastAsia="Aptos" w:hAnsi="Verdana" w:cs="Arial"/>
          <w:b/>
          <w:bCs/>
        </w:rPr>
        <w:lastRenderedPageBreak/>
        <w:t>LEY DE GARANTÍAS ELECTORALES – Restricciones – Otros comicios - Destinatarios</w:t>
      </w:r>
    </w:p>
    <w:p w14:paraId="75DD66B2" w14:textId="77777777" w:rsidR="00D12C3C" w:rsidRPr="0039489B" w:rsidRDefault="00D12C3C" w:rsidP="00D12C3C">
      <w:pPr>
        <w:spacing w:after="0" w:line="240" w:lineRule="auto"/>
        <w:jc w:val="both"/>
        <w:rPr>
          <w:rFonts w:ascii="Verdana" w:eastAsia="Aptos" w:hAnsi="Verdana" w:cs="Arial"/>
          <w:sz w:val="20"/>
          <w:szCs w:val="20"/>
        </w:rPr>
      </w:pPr>
    </w:p>
    <w:p w14:paraId="49B9B40C" w14:textId="77777777" w:rsidR="00D12C3C" w:rsidRPr="0039489B" w:rsidRDefault="00D12C3C" w:rsidP="00D12C3C">
      <w:pPr>
        <w:spacing w:after="0" w:line="240" w:lineRule="auto"/>
        <w:jc w:val="both"/>
        <w:rPr>
          <w:rFonts w:ascii="Verdana" w:eastAsia="Aptos" w:hAnsi="Verdana" w:cs="Arial"/>
          <w:sz w:val="20"/>
          <w:szCs w:val="20"/>
        </w:rPr>
      </w:pPr>
      <w:r w:rsidRPr="0039489B">
        <w:rPr>
          <w:rFonts w:ascii="Verdana" w:eastAsia="Aptos" w:hAnsi="Verdana" w:cs="Arial"/>
          <w:sz w:val="20"/>
          <w:szCs w:val="20"/>
        </w:rPr>
        <w:t>[…] respecto de los demás comicios, se tiene que a estos le son aplicables las prohibiciones dispuestas en el parágrafo del artículo 38 de la Ley 996 de 2005, disposición que prevé una restricción aplicable respecto de cualquier tipo de contienda electoral, que impide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743D1416" w14:textId="77777777" w:rsidR="00D12C3C" w:rsidRPr="0039489B" w:rsidRDefault="00D12C3C" w:rsidP="00D12C3C">
      <w:pPr>
        <w:spacing w:after="0" w:line="276" w:lineRule="auto"/>
        <w:jc w:val="both"/>
        <w:rPr>
          <w:rFonts w:ascii="Verdana" w:eastAsia="Aptos" w:hAnsi="Verdana" w:cs="Arial"/>
        </w:rPr>
      </w:pPr>
    </w:p>
    <w:p w14:paraId="66388720" w14:textId="77777777" w:rsidR="00D12C3C" w:rsidRPr="0039489B" w:rsidRDefault="00D12C3C" w:rsidP="00D12C3C">
      <w:pPr>
        <w:spacing w:after="0" w:line="240" w:lineRule="auto"/>
        <w:rPr>
          <w:rFonts w:ascii="Verdana" w:eastAsia="Aptos" w:hAnsi="Verdana" w:cs="Times New Roman"/>
          <w:sz w:val="20"/>
          <w:szCs w:val="20"/>
        </w:rPr>
      </w:pPr>
    </w:p>
    <w:p w14:paraId="21A4CFA3" w14:textId="77777777" w:rsidR="00D12C3C" w:rsidRPr="0039489B" w:rsidRDefault="00D12C3C" w:rsidP="00D12C3C">
      <w:pPr>
        <w:spacing w:after="0" w:line="240" w:lineRule="auto"/>
        <w:rPr>
          <w:rFonts w:ascii="Verdana" w:eastAsia="Aptos" w:hAnsi="Verdana" w:cs="Times New Roman"/>
          <w:sz w:val="20"/>
          <w:szCs w:val="20"/>
        </w:rPr>
      </w:pPr>
    </w:p>
    <w:p w14:paraId="4ABE611A" w14:textId="77777777" w:rsidR="00D12C3C" w:rsidRPr="0039489B" w:rsidRDefault="00D12C3C" w:rsidP="00D12C3C">
      <w:pPr>
        <w:spacing w:after="0" w:line="240" w:lineRule="auto"/>
        <w:rPr>
          <w:rFonts w:ascii="Verdana" w:eastAsia="Aptos" w:hAnsi="Verdana" w:cs="Times New Roman"/>
          <w:sz w:val="20"/>
          <w:szCs w:val="20"/>
        </w:rPr>
      </w:pPr>
    </w:p>
    <w:p w14:paraId="04A007D4" w14:textId="77777777" w:rsidR="00D12C3C" w:rsidRPr="0039489B" w:rsidRDefault="00D12C3C" w:rsidP="00D12C3C">
      <w:pPr>
        <w:spacing w:after="0" w:line="240" w:lineRule="auto"/>
        <w:rPr>
          <w:rFonts w:ascii="Verdana" w:eastAsia="Aptos" w:hAnsi="Verdana" w:cs="Times New Roman"/>
          <w:sz w:val="20"/>
          <w:szCs w:val="20"/>
        </w:rPr>
      </w:pPr>
    </w:p>
    <w:p w14:paraId="0A58FA47" w14:textId="77777777" w:rsidR="00D12C3C" w:rsidRPr="0039489B" w:rsidRDefault="00D12C3C" w:rsidP="00D12C3C">
      <w:pPr>
        <w:spacing w:after="0" w:line="240" w:lineRule="auto"/>
        <w:rPr>
          <w:rFonts w:ascii="Verdana" w:eastAsia="Aptos" w:hAnsi="Verdana" w:cs="Times New Roman"/>
          <w:sz w:val="20"/>
          <w:szCs w:val="20"/>
        </w:rPr>
      </w:pPr>
    </w:p>
    <w:p w14:paraId="12863A5B" w14:textId="77777777" w:rsidR="00D12C3C" w:rsidRPr="0039489B" w:rsidRDefault="00D12C3C" w:rsidP="00D12C3C">
      <w:pPr>
        <w:spacing w:after="0" w:line="240" w:lineRule="auto"/>
        <w:rPr>
          <w:rFonts w:ascii="Verdana" w:eastAsia="Aptos" w:hAnsi="Verdana" w:cs="Times New Roman"/>
          <w:sz w:val="20"/>
          <w:szCs w:val="20"/>
        </w:rPr>
      </w:pPr>
    </w:p>
    <w:p w14:paraId="42797041" w14:textId="77777777" w:rsidR="00D12C3C" w:rsidRPr="0039489B" w:rsidRDefault="00D12C3C" w:rsidP="00D12C3C">
      <w:pPr>
        <w:spacing w:after="0" w:line="240" w:lineRule="auto"/>
        <w:rPr>
          <w:rFonts w:ascii="Verdana" w:eastAsia="Aptos" w:hAnsi="Verdana" w:cs="Times New Roman"/>
          <w:sz w:val="20"/>
          <w:szCs w:val="20"/>
        </w:rPr>
      </w:pPr>
    </w:p>
    <w:p w14:paraId="47D4341F" w14:textId="77777777" w:rsidR="00D12C3C" w:rsidRPr="0039489B" w:rsidRDefault="00D12C3C" w:rsidP="00D12C3C">
      <w:pPr>
        <w:spacing w:after="0" w:line="240" w:lineRule="auto"/>
        <w:rPr>
          <w:rFonts w:ascii="Verdana" w:eastAsia="Aptos" w:hAnsi="Verdana" w:cs="Times New Roman"/>
          <w:sz w:val="20"/>
          <w:szCs w:val="20"/>
        </w:rPr>
      </w:pPr>
    </w:p>
    <w:p w14:paraId="32E0602E" w14:textId="77777777" w:rsidR="00D12C3C" w:rsidRPr="0039489B" w:rsidRDefault="00D12C3C" w:rsidP="00D12C3C">
      <w:pPr>
        <w:spacing w:after="0" w:line="240" w:lineRule="auto"/>
        <w:rPr>
          <w:rFonts w:ascii="Verdana" w:eastAsia="Aptos" w:hAnsi="Verdana" w:cs="Times New Roman"/>
          <w:sz w:val="20"/>
          <w:szCs w:val="20"/>
        </w:rPr>
      </w:pPr>
    </w:p>
    <w:p w14:paraId="64D69329" w14:textId="77777777" w:rsidR="00D12C3C" w:rsidRPr="0039489B" w:rsidRDefault="00D12C3C" w:rsidP="00D12C3C">
      <w:pPr>
        <w:spacing w:after="0" w:line="240" w:lineRule="auto"/>
        <w:rPr>
          <w:rFonts w:ascii="Verdana" w:eastAsia="Aptos" w:hAnsi="Verdana" w:cs="Times New Roman"/>
          <w:sz w:val="20"/>
          <w:szCs w:val="20"/>
        </w:rPr>
      </w:pPr>
    </w:p>
    <w:p w14:paraId="16D86C8E" w14:textId="77777777" w:rsidR="00D12C3C" w:rsidRPr="0039489B" w:rsidRDefault="00D12C3C" w:rsidP="00D12C3C">
      <w:pPr>
        <w:spacing w:after="0" w:line="240" w:lineRule="auto"/>
        <w:rPr>
          <w:rFonts w:ascii="Verdana" w:eastAsia="Aptos" w:hAnsi="Verdana" w:cs="Times New Roman"/>
          <w:sz w:val="20"/>
          <w:szCs w:val="20"/>
        </w:rPr>
      </w:pPr>
    </w:p>
    <w:p w14:paraId="07C94334" w14:textId="77777777" w:rsidR="00D12C3C" w:rsidRPr="0039489B" w:rsidRDefault="00D12C3C" w:rsidP="00D12C3C">
      <w:pPr>
        <w:spacing w:after="0" w:line="240" w:lineRule="auto"/>
        <w:rPr>
          <w:rFonts w:ascii="Verdana" w:eastAsia="Aptos" w:hAnsi="Verdana" w:cs="Times New Roman"/>
          <w:sz w:val="20"/>
          <w:szCs w:val="20"/>
        </w:rPr>
      </w:pPr>
    </w:p>
    <w:p w14:paraId="4F23DD88" w14:textId="77777777" w:rsidR="00D12C3C" w:rsidRPr="0039489B" w:rsidRDefault="00D12C3C" w:rsidP="00D12C3C">
      <w:pPr>
        <w:spacing w:after="0" w:line="240" w:lineRule="auto"/>
        <w:rPr>
          <w:rFonts w:ascii="Verdana" w:eastAsia="Aptos" w:hAnsi="Verdana" w:cs="Times New Roman"/>
          <w:sz w:val="20"/>
          <w:szCs w:val="20"/>
        </w:rPr>
      </w:pPr>
    </w:p>
    <w:p w14:paraId="2DF69ABA" w14:textId="77777777" w:rsidR="00D12C3C" w:rsidRPr="0039489B" w:rsidRDefault="00D12C3C" w:rsidP="00D12C3C">
      <w:pPr>
        <w:spacing w:after="0" w:line="240" w:lineRule="auto"/>
        <w:rPr>
          <w:rFonts w:ascii="Verdana" w:eastAsia="Aptos" w:hAnsi="Verdana" w:cs="Times New Roman"/>
          <w:sz w:val="20"/>
          <w:szCs w:val="20"/>
        </w:rPr>
      </w:pPr>
    </w:p>
    <w:p w14:paraId="689A8FC2" w14:textId="77777777" w:rsidR="00D12C3C" w:rsidRPr="0039489B" w:rsidRDefault="00D12C3C" w:rsidP="00D12C3C">
      <w:pPr>
        <w:spacing w:after="0" w:line="240" w:lineRule="auto"/>
        <w:rPr>
          <w:rFonts w:ascii="Verdana" w:eastAsia="Aptos" w:hAnsi="Verdana" w:cs="Times New Roman"/>
          <w:sz w:val="20"/>
          <w:szCs w:val="20"/>
        </w:rPr>
      </w:pPr>
    </w:p>
    <w:p w14:paraId="0C89FC8B" w14:textId="77777777" w:rsidR="00D12C3C" w:rsidRPr="0039489B" w:rsidRDefault="00D12C3C" w:rsidP="00D12C3C">
      <w:pPr>
        <w:spacing w:after="0" w:line="240" w:lineRule="auto"/>
        <w:rPr>
          <w:rFonts w:ascii="Verdana" w:eastAsia="Aptos" w:hAnsi="Verdana" w:cs="Times New Roman"/>
          <w:sz w:val="20"/>
          <w:szCs w:val="20"/>
        </w:rPr>
      </w:pPr>
    </w:p>
    <w:p w14:paraId="24AA05AA" w14:textId="77777777" w:rsidR="00D12C3C" w:rsidRPr="0039489B" w:rsidRDefault="00D12C3C" w:rsidP="00D12C3C">
      <w:pPr>
        <w:spacing w:after="0" w:line="240" w:lineRule="auto"/>
        <w:rPr>
          <w:rFonts w:ascii="Verdana" w:eastAsia="Aptos" w:hAnsi="Verdana" w:cs="Times New Roman"/>
          <w:sz w:val="20"/>
          <w:szCs w:val="20"/>
        </w:rPr>
      </w:pPr>
    </w:p>
    <w:p w14:paraId="29A801D5" w14:textId="77777777" w:rsidR="00D12C3C" w:rsidRPr="0039489B" w:rsidRDefault="00D12C3C" w:rsidP="00D12C3C">
      <w:pPr>
        <w:spacing w:after="0" w:line="240" w:lineRule="auto"/>
        <w:rPr>
          <w:rFonts w:ascii="Verdana" w:eastAsia="Aptos" w:hAnsi="Verdana" w:cs="Times New Roman"/>
          <w:sz w:val="20"/>
          <w:szCs w:val="20"/>
        </w:rPr>
      </w:pPr>
    </w:p>
    <w:p w14:paraId="2D5B0F43" w14:textId="77777777" w:rsidR="00D12C3C" w:rsidRPr="0039489B" w:rsidRDefault="00D12C3C" w:rsidP="00D12C3C">
      <w:pPr>
        <w:spacing w:after="0" w:line="240" w:lineRule="auto"/>
        <w:rPr>
          <w:rFonts w:ascii="Verdana" w:eastAsia="Aptos" w:hAnsi="Verdana" w:cs="Times New Roman"/>
          <w:sz w:val="20"/>
          <w:szCs w:val="20"/>
        </w:rPr>
      </w:pPr>
    </w:p>
    <w:p w14:paraId="196550BD" w14:textId="77777777" w:rsidR="00D12C3C" w:rsidRPr="0039489B" w:rsidRDefault="00D12C3C" w:rsidP="00D12C3C">
      <w:pPr>
        <w:spacing w:after="0" w:line="240" w:lineRule="auto"/>
        <w:rPr>
          <w:rFonts w:ascii="Verdana" w:eastAsia="Aptos" w:hAnsi="Verdana" w:cs="Times New Roman"/>
          <w:sz w:val="20"/>
          <w:szCs w:val="20"/>
        </w:rPr>
      </w:pPr>
    </w:p>
    <w:p w14:paraId="5ED71C81" w14:textId="77777777" w:rsidR="00D12C3C" w:rsidRPr="0039489B" w:rsidRDefault="00D12C3C" w:rsidP="00D12C3C">
      <w:pPr>
        <w:spacing w:after="0" w:line="240" w:lineRule="auto"/>
        <w:rPr>
          <w:rFonts w:ascii="Verdana" w:eastAsia="Aptos" w:hAnsi="Verdana" w:cs="Times New Roman"/>
          <w:sz w:val="20"/>
          <w:szCs w:val="20"/>
        </w:rPr>
      </w:pPr>
    </w:p>
    <w:p w14:paraId="7D6D6364" w14:textId="77777777" w:rsidR="00D12C3C" w:rsidRPr="0039489B" w:rsidRDefault="00D12C3C" w:rsidP="00D12C3C">
      <w:pPr>
        <w:spacing w:after="0" w:line="240" w:lineRule="auto"/>
        <w:rPr>
          <w:rFonts w:ascii="Verdana" w:eastAsia="Aptos" w:hAnsi="Verdana" w:cs="Times New Roman"/>
          <w:sz w:val="20"/>
          <w:szCs w:val="20"/>
        </w:rPr>
      </w:pPr>
    </w:p>
    <w:p w14:paraId="688AEE0F" w14:textId="77777777" w:rsidR="00D12C3C" w:rsidRPr="0039489B" w:rsidRDefault="00D12C3C" w:rsidP="00D12C3C">
      <w:pPr>
        <w:spacing w:after="0" w:line="240" w:lineRule="auto"/>
        <w:rPr>
          <w:rFonts w:ascii="Verdana" w:eastAsia="Aptos" w:hAnsi="Verdana" w:cs="Times New Roman"/>
          <w:sz w:val="20"/>
          <w:szCs w:val="20"/>
        </w:rPr>
      </w:pPr>
    </w:p>
    <w:p w14:paraId="34DBA3AB" w14:textId="77777777" w:rsidR="00D12C3C" w:rsidRPr="0039489B" w:rsidRDefault="00D12C3C" w:rsidP="00D12C3C">
      <w:pPr>
        <w:spacing w:after="0" w:line="240" w:lineRule="auto"/>
        <w:rPr>
          <w:rFonts w:ascii="Verdana" w:eastAsia="Aptos" w:hAnsi="Verdana" w:cs="Times New Roman"/>
          <w:sz w:val="20"/>
          <w:szCs w:val="20"/>
        </w:rPr>
      </w:pPr>
    </w:p>
    <w:p w14:paraId="6922B860" w14:textId="77777777" w:rsidR="00D12C3C" w:rsidRPr="0039489B" w:rsidRDefault="00D12C3C" w:rsidP="00D12C3C">
      <w:pPr>
        <w:spacing w:after="0" w:line="240" w:lineRule="auto"/>
        <w:rPr>
          <w:rFonts w:ascii="Verdana" w:eastAsia="Aptos" w:hAnsi="Verdana" w:cs="Times New Roman"/>
          <w:sz w:val="20"/>
          <w:szCs w:val="20"/>
        </w:rPr>
      </w:pPr>
    </w:p>
    <w:p w14:paraId="7408323C" w14:textId="77777777" w:rsidR="00D12C3C" w:rsidRPr="0039489B" w:rsidRDefault="00D12C3C" w:rsidP="00D12C3C">
      <w:pPr>
        <w:spacing w:after="0" w:line="240" w:lineRule="auto"/>
        <w:rPr>
          <w:rFonts w:ascii="Verdana" w:eastAsia="Aptos" w:hAnsi="Verdana" w:cs="Times New Roman"/>
          <w:sz w:val="20"/>
          <w:szCs w:val="20"/>
        </w:rPr>
      </w:pPr>
    </w:p>
    <w:p w14:paraId="797C0F32" w14:textId="77777777" w:rsidR="00D12C3C" w:rsidRPr="0039489B" w:rsidRDefault="00D12C3C" w:rsidP="00D12C3C">
      <w:pPr>
        <w:spacing w:after="0" w:line="240" w:lineRule="auto"/>
        <w:rPr>
          <w:rFonts w:ascii="Verdana" w:eastAsia="Aptos" w:hAnsi="Verdana" w:cs="Times New Roman"/>
          <w:sz w:val="20"/>
          <w:szCs w:val="20"/>
        </w:rPr>
      </w:pPr>
    </w:p>
    <w:p w14:paraId="275FE47B" w14:textId="77777777" w:rsidR="00D12C3C" w:rsidRPr="0039489B" w:rsidRDefault="00D12C3C" w:rsidP="00D12C3C">
      <w:pPr>
        <w:spacing w:after="0" w:line="240" w:lineRule="auto"/>
        <w:rPr>
          <w:rFonts w:ascii="Verdana" w:eastAsia="Aptos" w:hAnsi="Verdana" w:cs="Times New Roman"/>
          <w:sz w:val="20"/>
          <w:szCs w:val="20"/>
        </w:rPr>
      </w:pPr>
    </w:p>
    <w:p w14:paraId="24CD0B24" w14:textId="77777777" w:rsidR="00D12C3C" w:rsidRPr="0039489B" w:rsidRDefault="00D12C3C" w:rsidP="00D12C3C">
      <w:pPr>
        <w:spacing w:after="0" w:line="240" w:lineRule="auto"/>
        <w:rPr>
          <w:rFonts w:ascii="Verdana" w:eastAsia="Aptos" w:hAnsi="Verdana" w:cs="Times New Roman"/>
          <w:sz w:val="20"/>
          <w:szCs w:val="20"/>
        </w:rPr>
      </w:pPr>
    </w:p>
    <w:p w14:paraId="6931305A" w14:textId="77777777" w:rsidR="00D12C3C" w:rsidRPr="0039489B" w:rsidRDefault="00D12C3C" w:rsidP="00D12C3C">
      <w:pPr>
        <w:spacing w:after="0" w:line="240" w:lineRule="auto"/>
        <w:rPr>
          <w:rFonts w:ascii="Verdana" w:eastAsia="Aptos" w:hAnsi="Verdana" w:cs="Times New Roman"/>
          <w:sz w:val="20"/>
          <w:szCs w:val="20"/>
        </w:rPr>
      </w:pPr>
    </w:p>
    <w:p w14:paraId="1F18E974" w14:textId="77777777" w:rsidR="00D12C3C" w:rsidRPr="0039489B" w:rsidRDefault="00D12C3C" w:rsidP="00D12C3C">
      <w:pPr>
        <w:spacing w:after="0" w:line="240" w:lineRule="auto"/>
        <w:rPr>
          <w:rFonts w:ascii="Verdana" w:eastAsia="Aptos" w:hAnsi="Verdana" w:cs="Times New Roman"/>
          <w:sz w:val="20"/>
          <w:szCs w:val="20"/>
        </w:rPr>
      </w:pPr>
    </w:p>
    <w:p w14:paraId="19C0CB2E" w14:textId="77777777" w:rsidR="00D12C3C" w:rsidRPr="0039489B" w:rsidRDefault="00D12C3C" w:rsidP="00D12C3C">
      <w:pPr>
        <w:spacing w:after="0" w:line="240" w:lineRule="auto"/>
        <w:rPr>
          <w:rFonts w:ascii="Verdana" w:eastAsia="Aptos" w:hAnsi="Verdana" w:cs="Times New Roman"/>
          <w:sz w:val="20"/>
          <w:szCs w:val="20"/>
        </w:rPr>
      </w:pPr>
    </w:p>
    <w:p w14:paraId="646C89F3" w14:textId="359A6DE2" w:rsidR="00DE6563" w:rsidRPr="0039489B" w:rsidRDefault="00D12C3C" w:rsidP="00D12C3C">
      <w:pPr>
        <w:spacing w:after="0" w:line="240" w:lineRule="auto"/>
        <w:rPr>
          <w:rFonts w:ascii="Verdana" w:eastAsia="Geomanist Light" w:hAnsi="Verdana" w:cs="Arial"/>
          <w:lang w:val="es-MX"/>
        </w:rPr>
      </w:pPr>
      <w:r w:rsidRPr="0039489B">
        <w:rPr>
          <w:rFonts w:ascii="Verdana" w:eastAsia="Geomanist Light" w:hAnsi="Verdana" w:cs="Arial"/>
          <w:lang w:val="es-MX"/>
        </w:rPr>
        <w:lastRenderedPageBreak/>
        <w:t>Bogotá D.C., </w:t>
      </w:r>
      <w:r w:rsidR="00DE6563">
        <w:rPr>
          <w:rFonts w:ascii="Verdana" w:eastAsia="Geomanist Light" w:hAnsi="Verdana" w:cs="Arial"/>
          <w:lang w:val="es-MX"/>
        </w:rPr>
        <w:t>07 de mayo de 2026</w:t>
      </w:r>
    </w:p>
    <w:p w14:paraId="5C9922C3" w14:textId="77777777" w:rsidR="00D12C3C" w:rsidRPr="0039489B" w:rsidRDefault="00D12C3C" w:rsidP="00D12C3C">
      <w:pPr>
        <w:spacing w:after="0" w:line="240" w:lineRule="auto"/>
        <w:jc w:val="both"/>
        <w:rPr>
          <w:rFonts w:ascii="Verdana" w:eastAsia="Calibri" w:hAnsi="Verdana" w:cs="Arial"/>
          <w:lang w:val="es-ES"/>
        </w:rPr>
      </w:pPr>
    </w:p>
    <w:p w14:paraId="79D78D7F" w14:textId="47E1D7F1" w:rsidR="00D12C3C" w:rsidRPr="0039489B" w:rsidRDefault="00D94F9C" w:rsidP="00D12C3C">
      <w:pPr>
        <w:spacing w:after="0" w:line="240" w:lineRule="auto"/>
        <w:jc w:val="right"/>
        <w:rPr>
          <w:rFonts w:ascii="Verdana" w:eastAsia="Calibri" w:hAnsi="Verdana" w:cs="Arial"/>
          <w:lang w:val="es-ES"/>
        </w:rPr>
      </w:pPr>
      <w:r w:rsidRPr="00D94F9C">
        <w:rPr>
          <w:rFonts w:ascii="Verdana" w:eastAsia="Calibri" w:hAnsi="Verdana" w:cs="Arial"/>
          <w:lang w:val="es-ES" w:eastAsia="es-ES"/>
        </w:rPr>
        <w:drawing>
          <wp:inline distT="0" distB="0" distL="0" distR="0" wp14:anchorId="3E2601D5" wp14:editId="53211495">
            <wp:extent cx="1676634" cy="495369"/>
            <wp:effectExtent l="0" t="0" r="0" b="0"/>
            <wp:docPr id="6033793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379341" name=""/>
                    <pic:cNvPicPr/>
                  </pic:nvPicPr>
                  <pic:blipFill>
                    <a:blip r:embed="rId10"/>
                    <a:stretch>
                      <a:fillRect/>
                    </a:stretch>
                  </pic:blipFill>
                  <pic:spPr>
                    <a:xfrm>
                      <a:off x="0" y="0"/>
                      <a:ext cx="1676634" cy="495369"/>
                    </a:xfrm>
                    <a:prstGeom prst="rect">
                      <a:avLst/>
                    </a:prstGeom>
                  </pic:spPr>
                </pic:pic>
              </a:graphicData>
            </a:graphic>
          </wp:inline>
        </w:drawing>
      </w:r>
    </w:p>
    <w:p w14:paraId="5D5C283D" w14:textId="1B2DA6E5" w:rsidR="00D12C3C" w:rsidRPr="0039489B" w:rsidRDefault="00D12C3C" w:rsidP="00D12C3C">
      <w:pPr>
        <w:spacing w:after="0" w:line="240" w:lineRule="auto"/>
        <w:jc w:val="both"/>
        <w:rPr>
          <w:rFonts w:ascii="Verdana" w:eastAsia="Calibri" w:hAnsi="Verdana" w:cs="Arial"/>
          <w:lang w:val="es-ES" w:eastAsia="es-ES"/>
        </w:rPr>
      </w:pPr>
      <w:r w:rsidRPr="0039489B">
        <w:rPr>
          <w:rFonts w:ascii="Verdana" w:eastAsia="Calibri" w:hAnsi="Verdana" w:cs="Arial"/>
          <w:lang w:val="es-ES" w:eastAsia="es-ES"/>
        </w:rPr>
        <w:t>Señor</w:t>
      </w:r>
    </w:p>
    <w:p w14:paraId="3380839A" w14:textId="77777777" w:rsidR="00D12C3C" w:rsidRPr="0039489B" w:rsidRDefault="00D12C3C" w:rsidP="00D12C3C">
      <w:pPr>
        <w:spacing w:after="0" w:line="240" w:lineRule="auto"/>
        <w:rPr>
          <w:rFonts w:ascii="Verdana" w:eastAsia="Calibri" w:hAnsi="Verdana" w:cs="Arial"/>
          <w:b/>
          <w:lang w:val="es-ES" w:eastAsia="es-ES"/>
        </w:rPr>
      </w:pPr>
      <w:r w:rsidRPr="0039489B">
        <w:rPr>
          <w:rFonts w:ascii="Verdana" w:eastAsia="Calibri" w:hAnsi="Verdana" w:cs="Arial"/>
          <w:b/>
          <w:lang w:val="es-ES" w:eastAsia="es-ES"/>
        </w:rPr>
        <w:t>John William Sandoval Cruz</w:t>
      </w:r>
    </w:p>
    <w:p w14:paraId="644583CF" w14:textId="77777777" w:rsidR="00D12C3C" w:rsidRPr="0039489B" w:rsidRDefault="00D12C3C" w:rsidP="00D12C3C">
      <w:pPr>
        <w:spacing w:after="0" w:line="240" w:lineRule="auto"/>
        <w:rPr>
          <w:rFonts w:ascii="Verdana" w:eastAsia="Aptos" w:hAnsi="Verdana" w:cs="Arial"/>
        </w:rPr>
      </w:pPr>
      <w:hyperlink r:id="rId11" w:history="1">
        <w:r w:rsidRPr="0039489B">
          <w:rPr>
            <w:rFonts w:ascii="Verdana" w:eastAsia="Aptos" w:hAnsi="Verdana" w:cs="Arial"/>
            <w:color w:val="0000FF"/>
            <w:u w:val="single"/>
          </w:rPr>
          <w:t>poloandres270363@gmail.com</w:t>
        </w:r>
      </w:hyperlink>
    </w:p>
    <w:p w14:paraId="59DE865F" w14:textId="77777777" w:rsidR="00D12C3C" w:rsidRPr="0039489B" w:rsidRDefault="00D12C3C" w:rsidP="00D12C3C">
      <w:pPr>
        <w:spacing w:after="0" w:line="240" w:lineRule="auto"/>
        <w:rPr>
          <w:rFonts w:ascii="Verdana" w:eastAsia="Calibri" w:hAnsi="Verdana" w:cs="Arial"/>
          <w:b/>
          <w:bCs/>
          <w:lang w:val="es-ES" w:eastAsia="es-ES"/>
        </w:rPr>
      </w:pPr>
      <w:r w:rsidRPr="0039489B">
        <w:rPr>
          <w:rFonts w:ascii="Verdana" w:eastAsia="Calibri" w:hAnsi="Verdana" w:cs="Arial"/>
          <w:lang w:val="es-ES" w:eastAsia="es-ES"/>
        </w:rPr>
        <w:t xml:space="preserve">Pereira, Risaralda </w:t>
      </w:r>
    </w:p>
    <w:p w14:paraId="48D5D31D" w14:textId="77777777" w:rsidR="00D12C3C" w:rsidRPr="0039489B" w:rsidRDefault="00D12C3C" w:rsidP="00D12C3C">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12C3C" w:rsidRPr="0039489B" w14:paraId="5ADF8DF1" w14:textId="77777777" w:rsidTr="00CC1ADF">
        <w:trPr>
          <w:trHeight w:val="308"/>
        </w:trPr>
        <w:tc>
          <w:tcPr>
            <w:tcW w:w="2689" w:type="dxa"/>
          </w:tcPr>
          <w:p w14:paraId="4E10C8E4" w14:textId="77777777" w:rsidR="00D12C3C" w:rsidRPr="0039489B" w:rsidRDefault="00D12C3C" w:rsidP="00CC1ADF">
            <w:pPr>
              <w:jc w:val="both"/>
              <w:rPr>
                <w:rFonts w:ascii="Verdana" w:eastAsia="Calibri" w:hAnsi="Verdana" w:cs="Arial"/>
                <w:b/>
                <w:bCs/>
                <w:lang w:val="es-ES_tradnl" w:eastAsia="es-ES_tradnl"/>
              </w:rPr>
            </w:pPr>
          </w:p>
        </w:tc>
        <w:tc>
          <w:tcPr>
            <w:tcW w:w="6100" w:type="dxa"/>
          </w:tcPr>
          <w:p w14:paraId="74F7A5FF" w14:textId="77777777" w:rsidR="00D12C3C" w:rsidRPr="0039489B" w:rsidRDefault="00D12C3C" w:rsidP="00CC1ADF">
            <w:pPr>
              <w:jc w:val="both"/>
              <w:rPr>
                <w:rFonts w:ascii="Verdana" w:eastAsia="Calibri" w:hAnsi="Verdana" w:cs="Arial"/>
                <w:b/>
                <w:bCs/>
                <w:lang w:val="es-ES" w:eastAsia="es-ES"/>
              </w:rPr>
            </w:pPr>
            <w:r w:rsidRPr="0039489B">
              <w:rPr>
                <w:rFonts w:ascii="Verdana" w:eastAsia="Calibri" w:hAnsi="Verdana" w:cs="Arial"/>
                <w:b/>
                <w:bCs/>
                <w:lang w:val="es-ES" w:eastAsia="es-ES"/>
              </w:rPr>
              <w:t>Concepto C-481 de 2026</w:t>
            </w:r>
          </w:p>
          <w:p w14:paraId="5BA8194D" w14:textId="77777777" w:rsidR="00D12C3C" w:rsidRPr="0039489B" w:rsidRDefault="00D12C3C" w:rsidP="00CC1ADF">
            <w:pPr>
              <w:jc w:val="both"/>
              <w:rPr>
                <w:rFonts w:ascii="Verdana" w:eastAsia="Calibri" w:hAnsi="Verdana" w:cs="Arial"/>
                <w:b/>
                <w:bCs/>
                <w:lang w:val="es-ES" w:eastAsia="es-ES"/>
              </w:rPr>
            </w:pPr>
          </w:p>
        </w:tc>
      </w:tr>
      <w:tr w:rsidR="00D12C3C" w:rsidRPr="0039489B" w14:paraId="286D70D8" w14:textId="77777777" w:rsidTr="00CC1ADF">
        <w:trPr>
          <w:trHeight w:val="884"/>
        </w:trPr>
        <w:tc>
          <w:tcPr>
            <w:tcW w:w="2689" w:type="dxa"/>
          </w:tcPr>
          <w:p w14:paraId="4D5530C4" w14:textId="77777777" w:rsidR="00D12C3C" w:rsidRPr="0039489B" w:rsidRDefault="00D12C3C" w:rsidP="00CC1ADF">
            <w:pPr>
              <w:jc w:val="both"/>
              <w:rPr>
                <w:rFonts w:ascii="Verdana" w:eastAsia="Calibri" w:hAnsi="Verdana" w:cs="Arial"/>
                <w:lang w:val="es-ES_tradnl" w:eastAsia="es-ES_tradnl"/>
              </w:rPr>
            </w:pPr>
            <w:r w:rsidRPr="0039489B">
              <w:rPr>
                <w:rFonts w:ascii="Verdana" w:eastAsia="Calibri" w:hAnsi="Verdana" w:cs="Arial"/>
                <w:b/>
                <w:lang w:val="es-ES_tradnl" w:eastAsia="es-ES_tradnl"/>
              </w:rPr>
              <w:t>Temas:</w:t>
            </w:r>
            <w:r w:rsidRPr="0039489B">
              <w:rPr>
                <w:rFonts w:ascii="Verdana" w:eastAsia="Calibri" w:hAnsi="Verdana" w:cs="Arial"/>
                <w:lang w:val="es-ES_tradnl" w:eastAsia="es-ES_tradnl"/>
              </w:rPr>
              <w:t xml:space="preserve">                   </w:t>
            </w:r>
          </w:p>
        </w:tc>
        <w:tc>
          <w:tcPr>
            <w:tcW w:w="6100" w:type="dxa"/>
          </w:tcPr>
          <w:p w14:paraId="583C9D5A" w14:textId="77777777" w:rsidR="00D12C3C" w:rsidRPr="0039489B" w:rsidRDefault="00D12C3C" w:rsidP="00CC1ADF">
            <w:pPr>
              <w:spacing w:line="276" w:lineRule="auto"/>
              <w:jc w:val="both"/>
              <w:rPr>
                <w:rFonts w:ascii="Verdana" w:eastAsia="Calibri" w:hAnsi="Verdana" w:cs="Arial"/>
                <w:lang w:val="es-ES" w:eastAsia="es-ES"/>
              </w:rPr>
            </w:pPr>
            <w:r w:rsidRPr="0039489B">
              <w:rPr>
                <w:rFonts w:ascii="Verdana" w:eastAsia="Calibri" w:hAnsi="Verdana" w:cs="Arial"/>
                <w:lang w:val="es-ES" w:eastAsia="es-ES"/>
              </w:rPr>
              <w:t>LEY DE GARANTÍAS ELECTORALES – Finalidad – Ley 996 de 2005 – Comicios aplicables / LEY DE GARANTÍAS ELECTORALES – Restricciones – Elecciones presidenciales – Destinatarios – Excepciones / LEY DE GARANTÍAS ELECTORALES – Restricciones – Otros comicios – Destinatarios</w:t>
            </w:r>
          </w:p>
        </w:tc>
      </w:tr>
    </w:tbl>
    <w:p w14:paraId="098EDE92" w14:textId="77777777" w:rsidR="00D12C3C" w:rsidRPr="0039489B" w:rsidRDefault="00D12C3C" w:rsidP="00D12C3C">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12C3C" w:rsidRPr="0039489B" w14:paraId="2BD1C2C9" w14:textId="77777777" w:rsidTr="00CC1ADF">
        <w:tc>
          <w:tcPr>
            <w:tcW w:w="2689" w:type="dxa"/>
          </w:tcPr>
          <w:p w14:paraId="48FD412F" w14:textId="77777777" w:rsidR="00D12C3C" w:rsidRPr="0039489B" w:rsidRDefault="00D12C3C" w:rsidP="00CC1ADF">
            <w:pPr>
              <w:jc w:val="both"/>
              <w:rPr>
                <w:rFonts w:ascii="Verdana" w:eastAsia="Calibri" w:hAnsi="Verdana" w:cs="Arial"/>
                <w:b/>
                <w:lang w:val="es-ES_tradnl" w:eastAsia="es-ES_tradnl"/>
              </w:rPr>
            </w:pPr>
            <w:r w:rsidRPr="0039489B">
              <w:rPr>
                <w:rFonts w:ascii="Verdana" w:eastAsia="Calibri" w:hAnsi="Verdana" w:cs="Arial"/>
                <w:b/>
                <w:lang w:val="es-ES_tradnl" w:eastAsia="es-ES_tradnl"/>
              </w:rPr>
              <w:t>Radicación:</w:t>
            </w:r>
            <w:r w:rsidRPr="0039489B">
              <w:rPr>
                <w:rFonts w:ascii="Verdana" w:eastAsia="Calibri" w:hAnsi="Verdana" w:cs="Arial"/>
                <w:lang w:val="es-ES_tradnl" w:eastAsia="es-ES_tradnl"/>
              </w:rPr>
              <w:t xml:space="preserve">               </w:t>
            </w:r>
          </w:p>
        </w:tc>
        <w:tc>
          <w:tcPr>
            <w:tcW w:w="6100" w:type="dxa"/>
          </w:tcPr>
          <w:p w14:paraId="36BA801E" w14:textId="77777777" w:rsidR="00D12C3C" w:rsidRPr="0039489B" w:rsidRDefault="00D12C3C" w:rsidP="00CC1ADF">
            <w:pPr>
              <w:jc w:val="both"/>
              <w:rPr>
                <w:rFonts w:ascii="Verdana" w:eastAsia="Calibri" w:hAnsi="Verdana" w:cs="Arial"/>
                <w:lang w:val="es-ES_tradnl" w:eastAsia="es-ES_tradnl"/>
              </w:rPr>
            </w:pPr>
            <w:r w:rsidRPr="0039489B">
              <w:rPr>
                <w:rFonts w:ascii="Verdana" w:eastAsia="Calibri" w:hAnsi="Verdana" w:cs="Arial"/>
                <w:lang w:val="es-ES_tradnl" w:eastAsia="es-ES_tradnl"/>
              </w:rPr>
              <w:t>Respuesta a consulta con radicado No. 1_2026_03_25_004092</w:t>
            </w:r>
          </w:p>
        </w:tc>
      </w:tr>
    </w:tbl>
    <w:p w14:paraId="292A623A" w14:textId="77777777" w:rsidR="00D12C3C" w:rsidRPr="0039489B" w:rsidRDefault="00D12C3C" w:rsidP="00D12C3C">
      <w:pPr>
        <w:spacing w:after="0" w:line="240" w:lineRule="auto"/>
        <w:jc w:val="both"/>
        <w:rPr>
          <w:rFonts w:ascii="Verdana" w:eastAsia="Calibri" w:hAnsi="Verdana" w:cs="Arial"/>
          <w:lang w:val="es-ES_tradnl" w:eastAsia="es-ES_tradnl"/>
        </w:rPr>
      </w:pPr>
    </w:p>
    <w:p w14:paraId="5A07104E" w14:textId="77777777" w:rsidR="00D12C3C" w:rsidRPr="0039489B" w:rsidRDefault="00D12C3C" w:rsidP="00D12C3C">
      <w:pPr>
        <w:spacing w:after="0" w:line="240" w:lineRule="auto"/>
        <w:jc w:val="both"/>
        <w:rPr>
          <w:rFonts w:ascii="Verdana" w:eastAsia="Calibri" w:hAnsi="Verdana" w:cs="Arial"/>
          <w:lang w:val="es-ES_tradnl" w:eastAsia="es-ES_tradnl"/>
        </w:rPr>
      </w:pPr>
    </w:p>
    <w:p w14:paraId="5C0953E1" w14:textId="77777777" w:rsidR="00D12C3C" w:rsidRPr="0039489B" w:rsidRDefault="00D12C3C" w:rsidP="00D12C3C">
      <w:pPr>
        <w:spacing w:after="0" w:line="276" w:lineRule="auto"/>
        <w:jc w:val="both"/>
        <w:rPr>
          <w:rFonts w:ascii="Verdana" w:eastAsia="Calibri" w:hAnsi="Verdana" w:cs="Arial"/>
          <w:lang w:val="es-ES" w:eastAsia="es-ES"/>
        </w:rPr>
      </w:pPr>
      <w:r w:rsidRPr="0039489B">
        <w:rPr>
          <w:rFonts w:ascii="Verdana" w:eastAsia="Calibri" w:hAnsi="Verdana" w:cs="Arial"/>
          <w:lang w:val="es-ES" w:eastAsia="es-ES"/>
        </w:rPr>
        <w:t xml:space="preserve">Estimando Señor Sandoval: </w:t>
      </w:r>
    </w:p>
    <w:p w14:paraId="6CE3CCE1" w14:textId="77777777" w:rsidR="00D12C3C" w:rsidRPr="0039489B" w:rsidRDefault="00D12C3C" w:rsidP="00D12C3C">
      <w:pPr>
        <w:tabs>
          <w:tab w:val="left" w:pos="3768"/>
        </w:tabs>
        <w:spacing w:after="0" w:line="276" w:lineRule="auto"/>
        <w:jc w:val="both"/>
        <w:rPr>
          <w:rFonts w:ascii="Verdana" w:eastAsia="Calibri" w:hAnsi="Verdana" w:cs="Arial"/>
          <w:lang w:val="es-ES" w:eastAsia="es-ES"/>
        </w:rPr>
      </w:pPr>
    </w:p>
    <w:p w14:paraId="7A37D463" w14:textId="77777777" w:rsidR="00D12C3C" w:rsidRPr="0039489B" w:rsidRDefault="00D12C3C" w:rsidP="00D12C3C">
      <w:pPr>
        <w:spacing w:after="0" w:line="276" w:lineRule="auto"/>
        <w:jc w:val="both"/>
        <w:rPr>
          <w:rFonts w:ascii="Verdana" w:eastAsia="Calibri" w:hAnsi="Verdana" w:cs="Arial"/>
          <w:lang w:val="es-ES" w:eastAsia="es-ES"/>
        </w:rPr>
      </w:pPr>
      <w:r w:rsidRPr="0039489B">
        <w:rPr>
          <w:rFonts w:ascii="Verdana" w:eastAsia="Calibri" w:hAnsi="Verdana" w:cs="Arial"/>
          <w:lang w:val="es-ES" w:eastAsia="es-ES"/>
        </w:rPr>
        <w:t>En ejercicio de la competencia otorgada por los artículos 3, numeral 5º, y 11, numeral 8º, del Decreto Ley 4170 de 2011,</w:t>
      </w:r>
      <w:r w:rsidRPr="0039489B">
        <w:rPr>
          <w:rFonts w:ascii="Verdana" w:eastAsia="Arial MT" w:hAnsi="Verdana" w:cs="Arial MT"/>
          <w:lang w:val="es-ES" w:eastAsia="es-ES"/>
        </w:rPr>
        <w:t xml:space="preserve"> </w:t>
      </w:r>
      <w:r w:rsidRPr="0039489B">
        <w:rPr>
          <w:rFonts w:ascii="Verdana" w:eastAsia="Aptos" w:hAnsi="Verdana" w:cs="Arial"/>
        </w:rPr>
        <w:t xml:space="preserve">así como lo establecido en el artículo 4 de la Resolución 1707 de 2018 expedida por esta Entidad, </w:t>
      </w:r>
      <w:r w:rsidRPr="0039489B">
        <w:rPr>
          <w:rFonts w:ascii="Verdana" w:eastAsia="Calibri" w:hAnsi="Verdana" w:cs="Arial"/>
          <w:lang w:val="es-ES" w:eastAsia="es-ES"/>
        </w:rPr>
        <w:t xml:space="preserve">la Agencia Nacional de Contratación Pública – Colombia Compra Eficiente– responde su petición del 25 de marzo de 2026, en la que realiza la siguiente consulta: </w:t>
      </w:r>
    </w:p>
    <w:p w14:paraId="4ADBD585" w14:textId="77777777" w:rsidR="00D12C3C" w:rsidRPr="0039489B" w:rsidRDefault="00D12C3C" w:rsidP="00D12C3C">
      <w:pPr>
        <w:spacing w:after="0" w:line="276" w:lineRule="auto"/>
        <w:jc w:val="both"/>
        <w:rPr>
          <w:rFonts w:ascii="Verdana" w:eastAsia="Calibri" w:hAnsi="Verdana" w:cs="Arial"/>
          <w:lang w:val="es-ES" w:eastAsia="es-ES"/>
        </w:rPr>
      </w:pPr>
    </w:p>
    <w:p w14:paraId="6E9B3D62" w14:textId="77777777" w:rsidR="00D12C3C" w:rsidRPr="0039489B" w:rsidRDefault="00D12C3C" w:rsidP="00D12C3C">
      <w:pPr>
        <w:spacing w:after="0" w:line="240" w:lineRule="auto"/>
        <w:ind w:left="709" w:right="709"/>
        <w:jc w:val="both"/>
        <w:rPr>
          <w:rFonts w:ascii="Verdana" w:eastAsia="Calibri" w:hAnsi="Verdana" w:cs="Arial"/>
          <w:sz w:val="20"/>
          <w:szCs w:val="20"/>
          <w:lang w:val="es-MX"/>
        </w:rPr>
      </w:pPr>
      <w:r w:rsidRPr="0039489B">
        <w:rPr>
          <w:rFonts w:ascii="Verdana" w:eastAsia="Calibri" w:hAnsi="Verdana" w:cs="Arial"/>
          <w:sz w:val="20"/>
          <w:szCs w:val="20"/>
          <w:lang w:val="es-MX"/>
        </w:rPr>
        <w:t>“requiero una orientación sobre el siguiente caso, en una entidad pública a corte 31 de diciembre se efectuaron ventas de unos locales comerciales de propiedad del municipio, los cuales fueron cancelados por los compradores; es decir toda la negociación y cancelación de los locales comerciales se efectuó en el año 2025, quedando pendiente el trámite de escrituración a los nuevos propietarios por parte de la alcaldía municipal. pregunta, en vigencia de la ley de garantías electorales hoy el alcalde de ese municipio puede o no firmar las escrituras públicas de los locales comerciales que se negociaron y cancelaron en la vigencia 2025. […]” [sic]</w:t>
      </w:r>
    </w:p>
    <w:p w14:paraId="548ED249" w14:textId="77777777" w:rsidR="00D12C3C" w:rsidRPr="0039489B" w:rsidRDefault="00D12C3C" w:rsidP="00D12C3C">
      <w:pPr>
        <w:spacing w:after="0" w:line="276" w:lineRule="auto"/>
        <w:jc w:val="both"/>
        <w:rPr>
          <w:rFonts w:ascii="Verdana" w:eastAsia="Calibri" w:hAnsi="Verdana" w:cs="Arial"/>
          <w:lang w:val="es-ES" w:eastAsia="es-ES"/>
        </w:rPr>
      </w:pPr>
    </w:p>
    <w:p w14:paraId="062613C3" w14:textId="77777777" w:rsidR="00D12C3C" w:rsidRPr="0039489B" w:rsidRDefault="00D12C3C" w:rsidP="00D12C3C">
      <w:pPr>
        <w:spacing w:after="120" w:line="276" w:lineRule="auto"/>
        <w:jc w:val="both"/>
        <w:rPr>
          <w:rFonts w:ascii="Verdana" w:eastAsia="Calibri" w:hAnsi="Verdana" w:cs="Arial"/>
          <w:szCs w:val="24"/>
          <w:lang w:val="es-ES_tradnl" w:eastAsia="es-ES_tradnl"/>
        </w:rPr>
      </w:pPr>
      <w:r w:rsidRPr="0039489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DD0E020" w14:textId="77777777" w:rsidR="00D12C3C" w:rsidRPr="0039489B" w:rsidRDefault="00D12C3C" w:rsidP="00D12C3C">
      <w:pPr>
        <w:spacing w:after="0" w:line="276" w:lineRule="auto"/>
        <w:ind w:firstLine="709"/>
        <w:jc w:val="both"/>
        <w:rPr>
          <w:rFonts w:ascii="Verdana" w:eastAsia="Calibri" w:hAnsi="Verdana" w:cs="Arial"/>
          <w:lang w:val="es-ES" w:eastAsia="es-ES"/>
        </w:rPr>
      </w:pPr>
      <w:r w:rsidRPr="0039489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13325FB" w14:textId="77777777" w:rsidR="00D12C3C" w:rsidRPr="0039489B" w:rsidRDefault="00D12C3C" w:rsidP="00D12C3C">
      <w:pPr>
        <w:spacing w:after="0" w:line="276" w:lineRule="auto"/>
        <w:ind w:firstLine="709"/>
        <w:jc w:val="both"/>
        <w:rPr>
          <w:rFonts w:ascii="Verdana" w:eastAsia="Calibri" w:hAnsi="Verdana" w:cs="Arial"/>
          <w:lang w:val="es-ES" w:eastAsia="es-ES"/>
        </w:rPr>
      </w:pPr>
    </w:p>
    <w:p w14:paraId="3244FFDA" w14:textId="77777777" w:rsidR="00D12C3C" w:rsidRPr="0039489B" w:rsidRDefault="00D12C3C" w:rsidP="00D12C3C">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39489B">
        <w:rPr>
          <w:rFonts w:ascii="Verdana" w:eastAsia="Arial" w:hAnsi="Verdana" w:cs="Arial"/>
          <w:b/>
          <w:bCs/>
          <w:lang w:val="es-ES"/>
        </w:rPr>
        <w:t>1. Problema planteado:</w:t>
      </w:r>
    </w:p>
    <w:p w14:paraId="1C1816BA" w14:textId="77777777" w:rsidR="00D12C3C" w:rsidRPr="0039489B" w:rsidRDefault="00D12C3C" w:rsidP="00D12C3C">
      <w:pPr>
        <w:tabs>
          <w:tab w:val="left" w:pos="426"/>
        </w:tabs>
        <w:spacing w:after="0" w:line="276" w:lineRule="auto"/>
        <w:jc w:val="both"/>
        <w:rPr>
          <w:rFonts w:ascii="Verdana" w:eastAsia="Century Gothic" w:hAnsi="Verdana" w:cs="Century Gothic"/>
          <w:lang w:val="es-ES"/>
        </w:rPr>
      </w:pPr>
    </w:p>
    <w:p w14:paraId="632CB0D0" w14:textId="77777777" w:rsidR="00D12C3C" w:rsidRPr="0039489B" w:rsidRDefault="00D12C3C" w:rsidP="00D12C3C">
      <w:pPr>
        <w:spacing w:after="0"/>
        <w:jc w:val="both"/>
        <w:rPr>
          <w:rFonts w:ascii="Verdana" w:eastAsia="Aptos" w:hAnsi="Verdana" w:cs="Arial"/>
        </w:rPr>
      </w:pPr>
      <w:r w:rsidRPr="0039489B">
        <w:rPr>
          <w:rFonts w:ascii="Verdana" w:eastAsia="Century Gothic" w:hAnsi="Verdana" w:cs="Century Gothic"/>
        </w:rPr>
        <w:t xml:space="preserve">De acuerdo con el contenido de su solicitud, le informamos que la misma se resolverá desde el siguiente </w:t>
      </w:r>
      <w:bookmarkStart w:id="1" w:name="_Hlk171070029"/>
      <w:r w:rsidRPr="0039489B">
        <w:rPr>
          <w:rFonts w:ascii="Verdana" w:eastAsia="Century Gothic" w:hAnsi="Verdana" w:cs="Century Gothic"/>
        </w:rPr>
        <w:t>interrogante: ¿Cuáles son las restricciones contractuales de la Ley de Garantías Electorales y que actualmente se encuentran vigentes?</w:t>
      </w:r>
    </w:p>
    <w:bookmarkEnd w:id="1"/>
    <w:p w14:paraId="44881432" w14:textId="77777777" w:rsidR="00D12C3C" w:rsidRPr="0039489B" w:rsidRDefault="00D12C3C" w:rsidP="00D12C3C">
      <w:pPr>
        <w:widowControl w:val="0"/>
        <w:autoSpaceDE w:val="0"/>
        <w:autoSpaceDN w:val="0"/>
        <w:spacing w:before="1" w:after="0" w:line="240" w:lineRule="auto"/>
        <w:jc w:val="both"/>
        <w:outlineLvl w:val="0"/>
        <w:rPr>
          <w:rFonts w:ascii="Verdana" w:eastAsia="Arial" w:hAnsi="Verdana" w:cs="Arial"/>
          <w:b/>
          <w:bCs/>
          <w:lang w:val="es-ES"/>
        </w:rPr>
      </w:pPr>
      <w:r w:rsidRPr="0039489B">
        <w:rPr>
          <w:rFonts w:ascii="Verdana" w:eastAsia="Arial" w:hAnsi="Verdana" w:cs="Arial"/>
          <w:b/>
          <w:bCs/>
          <w:lang w:val="es-ES"/>
        </w:rPr>
        <w:t>2. Respuesta:</w:t>
      </w:r>
    </w:p>
    <w:p w14:paraId="337BACF0" w14:textId="77777777" w:rsidR="00D12C3C" w:rsidRPr="0039489B" w:rsidRDefault="00D12C3C" w:rsidP="00D12C3C">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2C3C" w:rsidRPr="0039489B" w14:paraId="01512EDD" w14:textId="77777777" w:rsidTr="00CC1ADF">
        <w:tc>
          <w:tcPr>
            <w:tcW w:w="8828" w:type="dxa"/>
          </w:tcPr>
          <w:p w14:paraId="2AA646CF" w14:textId="77777777" w:rsidR="00D12C3C" w:rsidRPr="0039489B" w:rsidRDefault="00D12C3C" w:rsidP="00CC1ADF">
            <w:pPr>
              <w:spacing w:after="120" w:line="276" w:lineRule="auto"/>
              <w:jc w:val="both"/>
              <w:rPr>
                <w:rFonts w:ascii="Verdana" w:eastAsia="Arial" w:hAnsi="Verdana" w:cs="Arial"/>
                <w:lang w:eastAsia="es-ES" w:bidi="es-ES"/>
              </w:rPr>
            </w:pPr>
            <w:bookmarkStart w:id="2" w:name="_Hlk171067516"/>
            <w:r w:rsidRPr="0039489B">
              <w:rPr>
                <w:rFonts w:ascii="Verdana" w:eastAsia="Arial" w:hAnsi="Verdana" w:cs="Arial"/>
                <w:lang w:eastAsia="es-ES" w:bidi="es-ES"/>
              </w:rPr>
              <w:t xml:space="preserve">De manera preliminar, debe precisarse que las restricciones contractuales de la Ley de Garantías Electorales –Ley 996 de 2005– se dirigen a dos (2) tipos de campañas electorales diferenciadas: i) la del artículo 33 que aplica solo respecto de las elecciones presidenciales, en virtud de la cual queda proscrita la contratación directa dentro de los cuatro (4) meses anteriores a la celebración de los comicios, salvo las excepciones aplicables. Sin embargo, si ningún candidato obtiene la mitad más uno de los votos que, de manera secreta y directa, depositen los ciudadanos, se celebrará una nueva votación </w:t>
            </w:r>
            <w:r w:rsidRPr="0039489B">
              <w:rPr>
                <w:rFonts w:ascii="Verdana" w:eastAsia="Arial" w:hAnsi="Verdana" w:cs="Arial"/>
                <w:lang w:eastAsia="es-ES" w:bidi="es-ES"/>
              </w:rPr>
              <w:lastRenderedPageBreak/>
              <w:t xml:space="preserve">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roofErr w:type="spellStart"/>
            <w:r w:rsidRPr="0039489B">
              <w:rPr>
                <w:rFonts w:ascii="Verdana" w:eastAsia="Arial" w:hAnsi="Verdana" w:cs="Arial"/>
                <w:lang w:eastAsia="es-ES" w:bidi="es-ES"/>
              </w:rPr>
              <w:t>ii</w:t>
            </w:r>
            <w:proofErr w:type="spellEnd"/>
            <w:r w:rsidRPr="0039489B">
              <w:rPr>
                <w:rFonts w:ascii="Verdana" w:eastAsia="Arial" w:hAnsi="Verdana" w:cs="Arial"/>
                <w:lang w:eastAsia="es-ES" w:bidi="es-ES"/>
              </w:rPr>
              <w:t>) también se encuentra la prohibición del parágrafo del artículo 38 de la referida ley,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7F741F3" w14:textId="77777777" w:rsidR="00D12C3C" w:rsidRPr="0039489B" w:rsidRDefault="00D12C3C" w:rsidP="00CC1ADF">
            <w:pPr>
              <w:spacing w:after="120" w:line="276" w:lineRule="auto"/>
              <w:ind w:firstLine="709"/>
              <w:jc w:val="both"/>
              <w:rPr>
                <w:rFonts w:ascii="Verdana" w:eastAsia="Arial" w:hAnsi="Verdana" w:cs="Arial"/>
                <w:lang w:eastAsia="es-ES" w:bidi="es-ES"/>
              </w:rPr>
            </w:pPr>
            <w:r w:rsidRPr="0039489B">
              <w:rPr>
                <w:rFonts w:ascii="Verdana" w:eastAsia="Arial" w:hAnsi="Verdana" w:cs="Arial"/>
                <w:lang w:eastAsia="es-ES" w:bidi="es-ES"/>
              </w:rPr>
              <w:t xml:space="preserve">Ambas restricciones no son excluyentes, lo que permite concluir que, en el período preelectoral para elección de </w:t>
            </w:r>
            <w:proofErr w:type="gramStart"/>
            <w:r w:rsidRPr="0039489B">
              <w:rPr>
                <w:rFonts w:ascii="Verdana" w:eastAsia="Arial" w:hAnsi="Verdana" w:cs="Arial"/>
                <w:lang w:eastAsia="es-ES" w:bidi="es-ES"/>
              </w:rPr>
              <w:t>Presidente</w:t>
            </w:r>
            <w:proofErr w:type="gramEnd"/>
            <w:r w:rsidRPr="0039489B">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39489B">
              <w:rPr>
                <w:rFonts w:ascii="Verdana" w:eastAsia="Arial" w:hAnsi="Verdana" w:cs="Arial"/>
                <w:lang w:eastAsia="es-ES" w:bidi="es-ES"/>
              </w:rPr>
              <w:t>Presidente</w:t>
            </w:r>
            <w:proofErr w:type="gramEnd"/>
            <w:r w:rsidRPr="0039489B">
              <w:rPr>
                <w:rFonts w:ascii="Verdana" w:eastAsia="Arial" w:hAnsi="Verdana" w:cs="Arial"/>
                <w:lang w:eastAsia="es-ES" w:bidi="es-ES"/>
              </w:rPr>
              <w:t xml:space="preserve"> de la República, las autoridades allí mencionadas sólo deben aplicar las restricciones contenidas en el parágrafo del artículo 38.</w:t>
            </w:r>
          </w:p>
          <w:p w14:paraId="73A9DD71" w14:textId="77777777" w:rsidR="00D12C3C" w:rsidRPr="0039489B" w:rsidRDefault="00D12C3C" w:rsidP="00CC1ADF">
            <w:pPr>
              <w:spacing w:after="120" w:line="276" w:lineRule="auto"/>
              <w:ind w:firstLine="709"/>
              <w:jc w:val="both"/>
              <w:rPr>
                <w:rFonts w:ascii="Verdana" w:eastAsia="Times New Roman" w:hAnsi="Verdana" w:cs="Arial"/>
              </w:rPr>
            </w:pPr>
            <w:r w:rsidRPr="0039489B">
              <w:rPr>
                <w:rFonts w:ascii="Verdana" w:eastAsia="Arial" w:hAnsi="Verdana" w:cs="Arial"/>
                <w:lang w:eastAsia="es-ES" w:bidi="es-ES"/>
              </w:rPr>
              <w:t xml:space="preserve">Ahora bien, </w:t>
            </w:r>
            <w:r w:rsidRPr="0039489B">
              <w:rPr>
                <w:rFonts w:ascii="Verdana" w:eastAsia="Calibri" w:hAnsi="Verdana" w:cs="Arial"/>
                <w:lang w:eastAsia="es-ES" w:bidi="es-ES"/>
              </w:rPr>
              <w:t xml:space="preserve">es necesario precisar el alcance de la prohibición </w:t>
            </w:r>
            <w:r w:rsidRPr="0039489B">
              <w:rPr>
                <w:rFonts w:ascii="Verdana" w:eastAsia="Arial" w:hAnsi="Verdana" w:cs="Arial"/>
                <w:lang w:eastAsia="es-ES" w:bidi="es-ES"/>
              </w:rPr>
              <w:t>establecida en e</w:t>
            </w:r>
            <w:r w:rsidRPr="0039489B">
              <w:rPr>
                <w:rFonts w:ascii="Verdana" w:eastAsia="Calibri" w:hAnsi="Verdana" w:cs="Arial"/>
              </w:rPr>
              <w:t xml:space="preserve">l </w:t>
            </w:r>
            <w:r w:rsidRPr="0039489B">
              <w:rPr>
                <w:rFonts w:ascii="Verdana" w:eastAsia="Times New Roman" w:hAnsi="Verdana" w:cs="Arial"/>
              </w:rPr>
              <w:t xml:space="preserve">artículo 33 de la Ley 996 de 2005. Esta restricción </w:t>
            </w:r>
            <w:r w:rsidRPr="0039489B">
              <w:rPr>
                <w:rFonts w:ascii="Verdana" w:eastAsia="Times New Roman" w:hAnsi="Verdana" w:cs="Arial"/>
                <w:bCs/>
                <w:lang w:eastAsia="es-CO"/>
              </w:rPr>
              <w:t>no solo aplica frente a las entidades sometidas al Estatuto general de Contratación de la Administración Pública</w:t>
            </w:r>
            <w:r w:rsidRPr="0039489B">
              <w:rPr>
                <w:rFonts w:ascii="Verdana" w:eastAsia="Times New Roman" w:hAnsi="Verdana" w:cs="Arial"/>
                <w:bCs/>
                <w:i/>
                <w:iCs/>
                <w:lang w:eastAsia="es-CO"/>
              </w:rPr>
              <w:t>, sino también frente a las entidades que tengan un régimen especial de contratación</w:t>
            </w:r>
            <w:r w:rsidRPr="0039489B">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39489B">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6A133E8" w14:textId="77777777" w:rsidR="00D12C3C" w:rsidRPr="0039489B" w:rsidRDefault="00D12C3C" w:rsidP="00CC1ADF">
            <w:pPr>
              <w:spacing w:after="120" w:line="276" w:lineRule="auto"/>
              <w:ind w:firstLine="709"/>
              <w:jc w:val="both"/>
              <w:rPr>
                <w:rFonts w:ascii="Verdana" w:eastAsia="Arial" w:hAnsi="Verdana" w:cs="Arial"/>
                <w:bCs/>
                <w:color w:val="000000"/>
              </w:rPr>
            </w:pPr>
            <w:r w:rsidRPr="0039489B">
              <w:rPr>
                <w:rFonts w:ascii="Verdana" w:eastAsia="Arial" w:hAnsi="Verdana" w:cs="Arial"/>
                <w:bCs/>
                <w:color w:val="000000"/>
              </w:rPr>
              <w:t>Conforme con lo expuesto, las Entidades Estatales que requieran adelantar procesos durante el periodo de vigencia de la Ley de Garantías Electorales deberán analizar, si el objeto a contratar se encausa o no en las restricciones contractuales previamente expuestas.</w:t>
            </w:r>
          </w:p>
        </w:tc>
      </w:tr>
      <w:bookmarkEnd w:id="2"/>
    </w:tbl>
    <w:p w14:paraId="227F9720" w14:textId="77777777" w:rsidR="00D12C3C" w:rsidRPr="0039489B" w:rsidRDefault="00D12C3C" w:rsidP="00D12C3C">
      <w:pPr>
        <w:spacing w:after="0"/>
        <w:jc w:val="both"/>
        <w:rPr>
          <w:rFonts w:ascii="Verdana" w:eastAsia="Aptos" w:hAnsi="Verdana" w:cs="Times New Roman"/>
        </w:rPr>
      </w:pPr>
    </w:p>
    <w:p w14:paraId="13D55B01" w14:textId="77777777" w:rsidR="00D12C3C" w:rsidRPr="0039489B" w:rsidRDefault="00D12C3C" w:rsidP="00D12C3C">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39489B">
        <w:rPr>
          <w:rFonts w:ascii="Verdana" w:eastAsia="Arial" w:hAnsi="Verdana" w:cs="Arial"/>
          <w:b/>
          <w:bCs/>
          <w:lang w:val="es-ES"/>
        </w:rPr>
        <w:t>3. Razones de la respuesta</w:t>
      </w:r>
    </w:p>
    <w:p w14:paraId="7B10F310" w14:textId="77777777" w:rsidR="00D12C3C" w:rsidRPr="0039489B" w:rsidRDefault="00D12C3C" w:rsidP="00D12C3C">
      <w:pPr>
        <w:spacing w:after="0" w:line="276" w:lineRule="auto"/>
        <w:jc w:val="both"/>
        <w:rPr>
          <w:rFonts w:ascii="Verdana" w:eastAsia="Calibri" w:hAnsi="Verdana" w:cs="Arial"/>
          <w:lang w:val="es-ES"/>
        </w:rPr>
      </w:pPr>
    </w:p>
    <w:p w14:paraId="5449B020" w14:textId="77777777" w:rsidR="00D12C3C" w:rsidRPr="0039489B" w:rsidRDefault="00D12C3C" w:rsidP="00D12C3C">
      <w:pPr>
        <w:spacing w:after="0" w:line="276" w:lineRule="auto"/>
        <w:jc w:val="both"/>
        <w:rPr>
          <w:rFonts w:ascii="Verdana" w:eastAsia="Calibri" w:hAnsi="Verdana" w:cs="Arial"/>
          <w:lang w:val="es-ES"/>
        </w:rPr>
      </w:pPr>
      <w:r w:rsidRPr="0039489B">
        <w:rPr>
          <w:rFonts w:ascii="Verdana" w:eastAsia="Calibri" w:hAnsi="Verdana" w:cs="Arial"/>
          <w:lang w:val="es-ES"/>
        </w:rPr>
        <w:lastRenderedPageBreak/>
        <w:t xml:space="preserve">Las respuestas anteriores se sustentan en las siguientes consideraciones: </w:t>
      </w:r>
    </w:p>
    <w:p w14:paraId="29F68EDF" w14:textId="77777777" w:rsidR="00D12C3C" w:rsidRPr="0039489B" w:rsidRDefault="00D12C3C" w:rsidP="00D12C3C">
      <w:pPr>
        <w:spacing w:after="0" w:line="276" w:lineRule="auto"/>
        <w:jc w:val="both"/>
        <w:rPr>
          <w:rFonts w:ascii="Verdana" w:eastAsia="Calibri" w:hAnsi="Verdana" w:cs="Arial"/>
          <w:lang w:val="es-ES"/>
        </w:rPr>
      </w:pPr>
    </w:p>
    <w:p w14:paraId="72D3D348" w14:textId="77777777" w:rsidR="00D12C3C" w:rsidRPr="0039489B" w:rsidRDefault="00D12C3C" w:rsidP="00D12C3C">
      <w:pPr>
        <w:spacing w:after="120" w:line="276" w:lineRule="auto"/>
        <w:jc w:val="both"/>
        <w:rPr>
          <w:rFonts w:ascii="Verdana" w:eastAsia="Century Gothic" w:hAnsi="Verdana" w:cs="Century Gothic"/>
          <w:bCs/>
          <w:lang w:val="es-ES_tradnl"/>
        </w:rPr>
      </w:pPr>
      <w:bookmarkStart w:id="3" w:name="_Hlk209416551"/>
      <w:r w:rsidRPr="0039489B">
        <w:rPr>
          <w:rFonts w:ascii="Verdana" w:eastAsia="Aptos" w:hAnsi="Verdana" w:cs="Arial"/>
          <w:bCs/>
          <w:lang w:val="es-ES_tradnl" w:eastAsia="es-ES" w:bidi="es-ES"/>
        </w:rPr>
        <w:t xml:space="preserve">i) </w:t>
      </w:r>
      <w:r w:rsidRPr="0039489B">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435D5BEE"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6F9C8D27"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63E00D3F"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p>
    <w:p w14:paraId="2569224C"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r w:rsidRPr="0039489B">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4D55937A"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p>
    <w:p w14:paraId="67078F4D"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r w:rsidRPr="0039489B">
        <w:rPr>
          <w:rFonts w:ascii="Verdana" w:eastAsia="Century Gothic" w:hAnsi="Verdana" w:cs="Century Gothic"/>
          <w:bCs/>
          <w:sz w:val="20"/>
          <w:szCs w:val="20"/>
          <w:lang w:val="es-ES_tradnl"/>
        </w:rPr>
        <w:t xml:space="preserve">[…] </w:t>
      </w:r>
    </w:p>
    <w:p w14:paraId="281170F7"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p>
    <w:p w14:paraId="40276E1A"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r w:rsidRPr="0039489B">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3B7A207" w14:textId="77777777" w:rsidR="00D12C3C" w:rsidRPr="0039489B" w:rsidRDefault="00D12C3C" w:rsidP="00D12C3C">
      <w:pPr>
        <w:spacing w:after="0" w:line="276" w:lineRule="auto"/>
        <w:ind w:left="709" w:right="709"/>
        <w:jc w:val="both"/>
        <w:rPr>
          <w:rFonts w:ascii="Verdana" w:eastAsia="Century Gothic" w:hAnsi="Verdana" w:cs="Century Gothic"/>
          <w:bCs/>
          <w:lang w:val="es-ES_tradnl"/>
        </w:rPr>
      </w:pPr>
    </w:p>
    <w:p w14:paraId="76CFC46D"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BAF7A4B"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p>
    <w:p w14:paraId="35F349EA" w14:textId="77777777" w:rsidR="00D12C3C" w:rsidRPr="0039489B" w:rsidRDefault="00D12C3C" w:rsidP="00D12C3C">
      <w:pPr>
        <w:spacing w:after="0" w:line="240" w:lineRule="auto"/>
        <w:ind w:left="709" w:right="709"/>
        <w:jc w:val="both"/>
        <w:rPr>
          <w:rFonts w:ascii="Verdana" w:eastAsia="Century Gothic" w:hAnsi="Verdana" w:cs="Century Gothic"/>
          <w:sz w:val="20"/>
          <w:szCs w:val="20"/>
          <w:lang w:val="es-ES"/>
        </w:rPr>
      </w:pPr>
      <w:r w:rsidRPr="0039489B">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9489B">
        <w:rPr>
          <w:rFonts w:ascii="Verdana" w:eastAsia="Century Gothic" w:hAnsi="Verdana" w:cs="Century Gothic"/>
          <w:sz w:val="20"/>
          <w:szCs w:val="20"/>
          <w:lang w:val="es-ES"/>
        </w:rPr>
        <w:t>legis</w:t>
      </w:r>
      <w:proofErr w:type="spellEnd"/>
      <w:r w:rsidRPr="0039489B">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1677876" w14:textId="77777777" w:rsidR="00D12C3C" w:rsidRPr="0039489B" w:rsidRDefault="00D12C3C" w:rsidP="00D12C3C">
      <w:pPr>
        <w:spacing w:after="0" w:line="240" w:lineRule="auto"/>
        <w:ind w:left="709" w:right="709"/>
        <w:jc w:val="both"/>
        <w:rPr>
          <w:rFonts w:ascii="Verdana" w:eastAsia="Century Gothic" w:hAnsi="Verdana" w:cs="Century Gothic"/>
          <w:sz w:val="20"/>
          <w:szCs w:val="20"/>
          <w:lang w:val="es-ES"/>
        </w:rPr>
      </w:pPr>
    </w:p>
    <w:p w14:paraId="09853AA3"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r w:rsidRPr="0039489B">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572724AE" w14:textId="77777777" w:rsidR="00D12C3C" w:rsidRPr="0039489B" w:rsidRDefault="00D12C3C" w:rsidP="00D12C3C">
      <w:pPr>
        <w:spacing w:after="0" w:line="276" w:lineRule="auto"/>
        <w:ind w:left="709" w:right="709"/>
        <w:jc w:val="both"/>
        <w:rPr>
          <w:rFonts w:ascii="Verdana" w:eastAsia="Century Gothic" w:hAnsi="Verdana" w:cs="Century Gothic"/>
          <w:bCs/>
          <w:sz w:val="20"/>
          <w:szCs w:val="20"/>
          <w:lang w:val="es-ES_tradnl"/>
        </w:rPr>
      </w:pPr>
    </w:p>
    <w:p w14:paraId="13B6FA29" w14:textId="77777777" w:rsidR="00D12C3C" w:rsidRPr="0039489B" w:rsidRDefault="00D12C3C" w:rsidP="00D12C3C">
      <w:pPr>
        <w:spacing w:after="0" w:line="276" w:lineRule="auto"/>
        <w:ind w:firstLine="709"/>
        <w:jc w:val="both"/>
        <w:rPr>
          <w:rFonts w:ascii="Verdana" w:eastAsia="Arial" w:hAnsi="Verdana" w:cs="Arial"/>
          <w:lang w:val="es-ES" w:eastAsia="es-ES" w:bidi="es-ES"/>
        </w:rPr>
      </w:pPr>
      <w:r w:rsidRPr="0039489B">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Así las cosas,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39489B">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6DA7AD4A" w14:textId="77777777" w:rsidR="00D12C3C" w:rsidRPr="0039489B" w:rsidRDefault="00D12C3C" w:rsidP="00D12C3C">
      <w:pPr>
        <w:spacing w:after="0" w:line="276" w:lineRule="auto"/>
        <w:jc w:val="both"/>
        <w:rPr>
          <w:rFonts w:ascii="Verdana" w:eastAsia="Century Gothic" w:hAnsi="Verdana" w:cs="Century Gothic"/>
          <w:bCs/>
          <w:lang w:val="es-ES_tradnl"/>
        </w:rPr>
      </w:pPr>
    </w:p>
    <w:p w14:paraId="54AFEB24" w14:textId="77777777" w:rsidR="00D12C3C" w:rsidRPr="0039489B" w:rsidRDefault="00D12C3C" w:rsidP="00D12C3C">
      <w:pPr>
        <w:spacing w:after="120" w:line="276" w:lineRule="auto"/>
        <w:jc w:val="both"/>
        <w:rPr>
          <w:rFonts w:ascii="Verdana" w:eastAsia="Century Gothic" w:hAnsi="Verdana" w:cs="Century Gothic"/>
          <w:lang w:val="es-ES"/>
        </w:rPr>
      </w:pPr>
      <w:proofErr w:type="spellStart"/>
      <w:r w:rsidRPr="0039489B">
        <w:rPr>
          <w:rFonts w:ascii="Verdana" w:eastAsia="Century Gothic" w:hAnsi="Verdana" w:cs="Century Gothic"/>
          <w:lang w:val="es-ES"/>
        </w:rPr>
        <w:lastRenderedPageBreak/>
        <w:t>ii</w:t>
      </w:r>
      <w:proofErr w:type="spellEnd"/>
      <w:r w:rsidRPr="0039489B">
        <w:rPr>
          <w:rFonts w:ascii="Verdana" w:eastAsia="Century Gothic" w:hAnsi="Verdana" w:cs="Century Gothic"/>
          <w:lang w:val="es-ES"/>
        </w:rPr>
        <w:t>)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7BDC9645"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Por un lado, el artículo 33 de la Ley 996 de 2005 prohíbe “[…] la contratación directa por parte de todos los entes del Estado” durante los cuatro (4) meses anteriores a las elecciones presidenciales, salvo “[…] lo referente a la </w:t>
      </w:r>
      <w:r w:rsidRPr="0039489B">
        <w:rPr>
          <w:rFonts w:ascii="Verdana" w:eastAsia="Century Gothic" w:hAnsi="Verdana" w:cs="Century Gothic"/>
          <w:bCs/>
          <w:i/>
          <w:iCs/>
          <w:lang w:val="es-ES_tradnl"/>
        </w:rPr>
        <w:t>defensa y seguridad del Estado</w:t>
      </w:r>
      <w:r w:rsidRPr="0039489B">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587DDF3C"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FE9D889"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7924F481"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p>
    <w:p w14:paraId="19C4F911"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r w:rsidRPr="0039489B">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39489B">
        <w:rPr>
          <w:rFonts w:ascii="Verdana" w:eastAsia="Century Gothic" w:hAnsi="Verdana" w:cs="Century Gothic"/>
          <w:bCs/>
          <w:sz w:val="20"/>
          <w:szCs w:val="20"/>
          <w:lang w:val="es-ES_tradnl"/>
        </w:rPr>
        <w:lastRenderedPageBreak/>
        <w:t xml:space="preserve">excluyendo las correspondientes a presidente de la República, a las autoridades territoriales allí mencionadas sólo se aplican las restricciones contenidas en el parágrafo del artículo 38”. </w:t>
      </w:r>
    </w:p>
    <w:p w14:paraId="3493D2EC" w14:textId="77777777" w:rsidR="00D12C3C" w:rsidRPr="0039489B" w:rsidRDefault="00D12C3C" w:rsidP="00D12C3C">
      <w:pPr>
        <w:spacing w:after="0" w:line="276" w:lineRule="auto"/>
        <w:ind w:left="709" w:right="709"/>
        <w:jc w:val="both"/>
        <w:rPr>
          <w:rFonts w:ascii="Verdana" w:eastAsia="Century Gothic" w:hAnsi="Verdana" w:cs="Century Gothic"/>
          <w:bCs/>
          <w:lang w:val="es-ES_tradnl"/>
        </w:rPr>
      </w:pPr>
    </w:p>
    <w:p w14:paraId="260F8818" w14:textId="77777777" w:rsidR="00D12C3C" w:rsidRPr="0039489B" w:rsidRDefault="00D12C3C" w:rsidP="00D12C3C">
      <w:pPr>
        <w:spacing w:after="12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CE4CAD3" w14:textId="77777777" w:rsidR="00D12C3C" w:rsidRPr="0039489B" w:rsidRDefault="00D12C3C" w:rsidP="00D12C3C">
      <w:pPr>
        <w:spacing w:after="12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Ambas restricciones no son excluyentes, lo que permite concluir que, en el período preelectoral para elección de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de la República, las autoridades allí mencionadas sólo deben aplicar las restricciones contenidas en el parágrafo del artículo 38.</w:t>
      </w:r>
    </w:p>
    <w:p w14:paraId="3045CCC8" w14:textId="77777777" w:rsidR="00D12C3C" w:rsidRPr="0039489B" w:rsidRDefault="00D12C3C" w:rsidP="00D12C3C">
      <w:pPr>
        <w:spacing w:after="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o el </w:t>
      </w:r>
      <w:proofErr w:type="gramStart"/>
      <w:r w:rsidRPr="0039489B">
        <w:rPr>
          <w:rFonts w:ascii="Verdana" w:eastAsia="Century Gothic" w:hAnsi="Verdana" w:cs="Century Gothic"/>
          <w:lang w:val="es-ES"/>
        </w:rPr>
        <w:t>Vicepresidente</w:t>
      </w:r>
      <w:proofErr w:type="gramEnd"/>
      <w:r w:rsidRPr="0039489B">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39489B">
        <w:rPr>
          <w:rFonts w:ascii="Verdana" w:eastAsia="Century Gothic" w:hAnsi="Verdana" w:cs="Century Gothic"/>
          <w:lang w:val="es-ES"/>
        </w:rPr>
        <w:t>Presidente</w:t>
      </w:r>
      <w:proofErr w:type="gramEnd"/>
      <w:r w:rsidRPr="0039489B">
        <w:rPr>
          <w:rFonts w:ascii="Verdana" w:eastAsia="Century Gothic" w:hAnsi="Verdana" w:cs="Century Gothic"/>
          <w:lang w:val="es-ES"/>
        </w:rPr>
        <w:t xml:space="preserve"> y el </w:t>
      </w:r>
      <w:proofErr w:type="gramStart"/>
      <w:r w:rsidRPr="0039489B">
        <w:rPr>
          <w:rFonts w:ascii="Verdana" w:eastAsia="Century Gothic" w:hAnsi="Verdana" w:cs="Century Gothic"/>
          <w:lang w:val="es-ES"/>
        </w:rPr>
        <w:t>Vicepresidente</w:t>
      </w:r>
      <w:proofErr w:type="gramEnd"/>
      <w:r w:rsidRPr="0039489B">
        <w:rPr>
          <w:rFonts w:ascii="Verdana" w:eastAsia="Century Gothic" w:hAnsi="Verdana" w:cs="Century Gothic"/>
          <w:lang w:val="es-ES"/>
        </w:rPr>
        <w:t xml:space="preserve"> de la República, ha perdido vigencia ante la prohibición de la </w:t>
      </w:r>
      <w:r w:rsidRPr="0039489B">
        <w:rPr>
          <w:rFonts w:ascii="Verdana" w:eastAsia="Century Gothic" w:hAnsi="Verdana" w:cs="Century Gothic"/>
          <w:lang w:val="es-ES"/>
        </w:rPr>
        <w:lastRenderedPageBreak/>
        <w:t xml:space="preserve">reelección presidencial, restablecida por el Acto Legislativo 2 de 2015. Esto excepto para el </w:t>
      </w:r>
      <w:proofErr w:type="gramStart"/>
      <w:r w:rsidRPr="0039489B">
        <w:rPr>
          <w:rFonts w:ascii="Verdana" w:eastAsia="Century Gothic" w:hAnsi="Verdana" w:cs="Century Gothic"/>
          <w:lang w:val="es-ES"/>
        </w:rPr>
        <w:t>Vicepresidente</w:t>
      </w:r>
      <w:proofErr w:type="gramEnd"/>
      <w:r w:rsidRPr="0039489B">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00CDDD1E" w14:textId="77777777" w:rsidR="00D12C3C" w:rsidRPr="0039489B" w:rsidRDefault="00D12C3C" w:rsidP="00D12C3C">
      <w:pPr>
        <w:spacing w:after="0" w:line="276" w:lineRule="auto"/>
        <w:ind w:firstLine="709"/>
        <w:jc w:val="both"/>
        <w:rPr>
          <w:rFonts w:ascii="Verdana" w:eastAsia="Century Gothic" w:hAnsi="Verdana" w:cs="Century Gothic"/>
          <w:lang w:val="es-ES"/>
        </w:rPr>
      </w:pPr>
    </w:p>
    <w:p w14:paraId="74A86DCF" w14:textId="77777777" w:rsidR="00D12C3C" w:rsidRPr="0039489B" w:rsidRDefault="00D12C3C" w:rsidP="00D12C3C">
      <w:pPr>
        <w:spacing w:after="120" w:line="276" w:lineRule="auto"/>
        <w:jc w:val="both"/>
        <w:rPr>
          <w:rFonts w:ascii="Verdana" w:eastAsia="Century Gothic" w:hAnsi="Verdana" w:cs="Century Gothic"/>
          <w:lang w:val="es-ES"/>
        </w:rPr>
      </w:pPr>
      <w:proofErr w:type="spellStart"/>
      <w:r w:rsidRPr="0039489B">
        <w:rPr>
          <w:rFonts w:ascii="Verdana" w:eastAsia="Century Gothic" w:hAnsi="Verdana" w:cs="Century Gothic"/>
          <w:lang w:val="es-ES"/>
        </w:rPr>
        <w:t>iii</w:t>
      </w:r>
      <w:proofErr w:type="spellEnd"/>
      <w:r w:rsidRPr="0039489B">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0039489B">
        <w:rPr>
          <w:rFonts w:ascii="Verdana" w:eastAsia="Century Gothic" w:hAnsi="Verdana" w:cs="Century Gothic"/>
          <w:lang w:val="es-ES"/>
        </w:rPr>
        <w:t>Proc</w:t>
      </w:r>
      <w:proofErr w:type="spellEnd"/>
      <w:r w:rsidRPr="0039489B">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C899AF4"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60A78A7"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AC37BCE" w14:textId="77777777" w:rsidR="00D12C3C" w:rsidRPr="0039489B" w:rsidRDefault="00D12C3C" w:rsidP="00D12C3C">
      <w:pPr>
        <w:spacing w:after="0" w:line="276" w:lineRule="auto"/>
        <w:ind w:firstLine="709"/>
        <w:jc w:val="both"/>
        <w:rPr>
          <w:rFonts w:ascii="Verdana" w:eastAsia="Century Gothic" w:hAnsi="Verdana" w:cs="Century Gothic"/>
          <w:bCs/>
          <w:lang w:val="es-ES_tradnl"/>
        </w:rPr>
      </w:pPr>
      <w:r w:rsidRPr="0039489B">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0039489B">
        <w:rPr>
          <w:rFonts w:ascii="Verdana" w:eastAsia="Century Gothic" w:hAnsi="Verdana" w:cs="Century Gothic"/>
          <w:lang w:val="es-ES"/>
        </w:rPr>
        <w:lastRenderedPageBreak/>
        <w:t>entrada en vigencia</w:t>
      </w:r>
      <w:proofErr w:type="gramEnd"/>
      <w:r w:rsidRPr="0039489B">
        <w:rPr>
          <w:rFonts w:ascii="Verdana" w:eastAsia="Century Gothic" w:hAnsi="Verdana" w:cs="Century Gothic"/>
          <w:lang w:val="es-ES"/>
        </w:rPr>
        <w:t xml:space="preserve">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w:t>
      </w:r>
      <w:r w:rsidRPr="0039489B">
        <w:rPr>
          <w:rFonts w:ascii="Verdana" w:eastAsia="Century Gothic" w:hAnsi="Verdana" w:cs="Century Gothic"/>
          <w:bCs/>
          <w:lang w:val="es-ES_tradnl"/>
        </w:rPr>
        <w:t xml:space="preserve">responsabilidad. </w:t>
      </w:r>
    </w:p>
    <w:p w14:paraId="58715F35" w14:textId="77777777" w:rsidR="00D12C3C" w:rsidRPr="0039489B" w:rsidRDefault="00D12C3C" w:rsidP="00D12C3C">
      <w:pPr>
        <w:spacing w:after="0" w:line="276" w:lineRule="auto"/>
        <w:ind w:firstLine="709"/>
        <w:jc w:val="both"/>
        <w:rPr>
          <w:rFonts w:ascii="Verdana" w:eastAsia="Century Gothic" w:hAnsi="Verdana" w:cs="Century Gothic"/>
          <w:bCs/>
          <w:lang w:val="es-ES_tradnl"/>
        </w:rPr>
      </w:pPr>
    </w:p>
    <w:p w14:paraId="105E5823" w14:textId="77777777" w:rsidR="00D12C3C" w:rsidRPr="0039489B" w:rsidRDefault="00D12C3C" w:rsidP="00D12C3C">
      <w:pPr>
        <w:spacing w:after="0" w:line="276" w:lineRule="auto"/>
        <w:jc w:val="both"/>
        <w:rPr>
          <w:rFonts w:ascii="Verdana" w:eastAsia="Century Gothic" w:hAnsi="Verdana" w:cs="Century Gothic"/>
          <w:lang w:val="es-ES"/>
        </w:rPr>
      </w:pPr>
      <w:proofErr w:type="spellStart"/>
      <w:r w:rsidRPr="0039489B">
        <w:rPr>
          <w:rFonts w:ascii="Verdana" w:eastAsia="Century Gothic" w:hAnsi="Verdana" w:cs="Century Gothic"/>
          <w:bCs/>
          <w:lang w:val="es-ES_tradnl"/>
        </w:rPr>
        <w:t>iv</w:t>
      </w:r>
      <w:proofErr w:type="spellEnd"/>
      <w:r w:rsidRPr="0039489B">
        <w:rPr>
          <w:rFonts w:ascii="Verdana" w:eastAsia="Century Gothic" w:hAnsi="Verdana" w:cs="Century Gothic"/>
          <w:bCs/>
          <w:lang w:val="es-ES_tradnl"/>
        </w:rPr>
        <w:t xml:space="preserve">) </w:t>
      </w:r>
      <w:r w:rsidRPr="0039489B">
        <w:rPr>
          <w:rFonts w:ascii="Verdana" w:eastAsia="Calibri" w:hAnsi="Verdana" w:cs="Arial"/>
          <w:lang w:val="es-ES" w:eastAsia="es-ES" w:bidi="es-ES"/>
        </w:rPr>
        <w:t xml:space="preserve">Para responder al problema jurídico planteado es necesario precisar el alcance de la prohibición </w:t>
      </w:r>
      <w:r w:rsidRPr="0039489B">
        <w:rPr>
          <w:rFonts w:ascii="Verdana" w:eastAsia="Arial" w:hAnsi="Verdana" w:cs="Arial"/>
          <w:lang w:val="es-ES" w:eastAsia="es-ES" w:bidi="es-ES"/>
        </w:rPr>
        <w:t>establecida en e</w:t>
      </w:r>
      <w:r w:rsidRPr="0039489B">
        <w:rPr>
          <w:rFonts w:ascii="Verdana" w:eastAsia="Calibri" w:hAnsi="Verdana" w:cs="Arial"/>
          <w:lang w:val="es-ES"/>
        </w:rPr>
        <w:t xml:space="preserve">l </w:t>
      </w:r>
      <w:r w:rsidRPr="0039489B">
        <w:rPr>
          <w:rFonts w:ascii="Verdana" w:eastAsia="Times New Roman" w:hAnsi="Verdana" w:cs="Arial"/>
          <w:lang w:val="es-ES"/>
        </w:rPr>
        <w:t xml:space="preserve">artículo 33 de la Ley 996 de 2005. </w:t>
      </w:r>
      <w:r w:rsidRPr="0039489B">
        <w:rPr>
          <w:rFonts w:ascii="Verdana" w:eastAsia="Century Gothic" w:hAnsi="Verdana" w:cs="Century Gothic"/>
          <w:bCs/>
          <w:lang w:val="es-ES_tradnl"/>
        </w:rPr>
        <w:t>E</w:t>
      </w:r>
      <w:r w:rsidRPr="0039489B">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0E67EF10" w14:textId="77777777" w:rsidR="00D12C3C" w:rsidRPr="0039489B" w:rsidRDefault="00D12C3C" w:rsidP="00D12C3C">
      <w:pPr>
        <w:spacing w:after="0" w:line="276" w:lineRule="auto"/>
        <w:jc w:val="both"/>
        <w:rPr>
          <w:rFonts w:ascii="Verdana" w:eastAsia="Century Gothic" w:hAnsi="Verdana" w:cs="Century Gothic"/>
          <w:bCs/>
          <w:lang w:val="es-ES_tradnl"/>
        </w:rPr>
      </w:pPr>
    </w:p>
    <w:p w14:paraId="444B0311"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r w:rsidRPr="0039489B">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0CC17D3E" w14:textId="77777777" w:rsidR="00D12C3C" w:rsidRPr="0039489B" w:rsidRDefault="00D12C3C" w:rsidP="00D12C3C">
      <w:pPr>
        <w:spacing w:after="0" w:line="240" w:lineRule="auto"/>
        <w:ind w:left="709" w:right="709"/>
        <w:jc w:val="both"/>
        <w:rPr>
          <w:rFonts w:ascii="Verdana" w:eastAsia="Century Gothic" w:hAnsi="Verdana" w:cs="Century Gothic"/>
          <w:bCs/>
          <w:sz w:val="20"/>
          <w:szCs w:val="20"/>
          <w:lang w:val="es-ES_tradnl"/>
        </w:rPr>
      </w:pPr>
    </w:p>
    <w:p w14:paraId="75EE73BC" w14:textId="77777777" w:rsidR="00D12C3C" w:rsidRPr="0039489B" w:rsidRDefault="00D12C3C" w:rsidP="00D12C3C">
      <w:pPr>
        <w:spacing w:after="0" w:line="240" w:lineRule="auto"/>
        <w:ind w:left="709" w:right="709"/>
        <w:jc w:val="both"/>
        <w:rPr>
          <w:rFonts w:ascii="Verdana" w:eastAsia="Century Gothic" w:hAnsi="Verdana" w:cs="Century Gothic"/>
          <w:sz w:val="20"/>
          <w:szCs w:val="20"/>
          <w:lang w:val="es-ES"/>
        </w:rPr>
      </w:pPr>
      <w:r w:rsidRPr="26938163">
        <w:rPr>
          <w:rFonts w:ascii="Verdana" w:eastAsia="Century Gothic" w:hAnsi="Verdana" w:cs="Century Gothic"/>
          <w:sz w:val="20"/>
          <w:szCs w:val="20"/>
          <w:lang w:val="es-ES"/>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w:t>
      </w:r>
      <w:proofErr w:type="gramStart"/>
      <w:r w:rsidRPr="26938163">
        <w:rPr>
          <w:rFonts w:ascii="Verdana" w:eastAsia="Century Gothic" w:hAnsi="Verdana" w:cs="Century Gothic"/>
          <w:sz w:val="20"/>
          <w:szCs w:val="20"/>
          <w:lang w:val="es-ES"/>
        </w:rPr>
        <w:t>sistemas ]</w:t>
      </w:r>
      <w:proofErr w:type="gramEnd"/>
      <w:r w:rsidRPr="26938163">
        <w:rPr>
          <w:rFonts w:ascii="Verdana" w:eastAsia="Century Gothic" w:hAnsi="Verdana" w:cs="Century Gothic"/>
          <w:sz w:val="20"/>
          <w:szCs w:val="20"/>
          <w:lang w:val="es-ES"/>
        </w:rPr>
        <w:t>…]”.</w:t>
      </w:r>
    </w:p>
    <w:p w14:paraId="57DAE6AF" w14:textId="77777777" w:rsidR="00D12C3C" w:rsidRPr="0039489B" w:rsidRDefault="00D12C3C" w:rsidP="00D12C3C">
      <w:pPr>
        <w:spacing w:after="0" w:line="276" w:lineRule="auto"/>
        <w:ind w:firstLine="708"/>
        <w:jc w:val="both"/>
        <w:rPr>
          <w:rFonts w:ascii="Verdana" w:eastAsia="Century Gothic" w:hAnsi="Verdana" w:cs="Century Gothic"/>
          <w:bCs/>
          <w:lang w:val="es-ES_tradnl"/>
        </w:rPr>
      </w:pPr>
    </w:p>
    <w:p w14:paraId="03D0BD4A" w14:textId="77777777" w:rsidR="00D12C3C" w:rsidRPr="0039489B" w:rsidRDefault="00D12C3C" w:rsidP="00D12C3C">
      <w:pPr>
        <w:spacing w:after="120" w:line="276" w:lineRule="auto"/>
        <w:ind w:firstLine="708"/>
        <w:jc w:val="both"/>
        <w:rPr>
          <w:rFonts w:ascii="Verdana" w:eastAsia="Century Gothic" w:hAnsi="Verdana" w:cs="Century Gothic"/>
          <w:lang w:val="es-ES"/>
        </w:rPr>
      </w:pPr>
      <w:r w:rsidRPr="0039489B">
        <w:rPr>
          <w:rFonts w:ascii="Verdana" w:eastAsia="Century Gothic" w:hAnsi="Verdana" w:cs="Century Gothic"/>
          <w:lang w:val="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w:t>
      </w:r>
      <w:r w:rsidRPr="0039489B">
        <w:rPr>
          <w:rFonts w:ascii="Verdana" w:eastAsia="Century Gothic" w:hAnsi="Verdana" w:cs="Century Gothic"/>
          <w:lang w:val="es-ES"/>
        </w:rPr>
        <w:lastRenderedPageBreak/>
        <w:t>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79FA8111"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1A366A6E"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349DBE2D" w14:textId="77777777" w:rsidR="00D12C3C" w:rsidRPr="0039489B" w:rsidRDefault="00D12C3C" w:rsidP="00D12C3C">
      <w:pPr>
        <w:spacing w:after="120" w:line="276" w:lineRule="auto"/>
        <w:ind w:firstLine="708"/>
        <w:jc w:val="both"/>
        <w:rPr>
          <w:rFonts w:ascii="Verdana" w:eastAsia="Century Gothic" w:hAnsi="Verdana" w:cs="Century Gothic"/>
          <w:lang w:val="es-ES"/>
        </w:rPr>
      </w:pPr>
      <w:r w:rsidRPr="0039489B">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2959160" w14:textId="77777777" w:rsidR="00D12C3C" w:rsidRPr="0039489B" w:rsidRDefault="00D12C3C" w:rsidP="00D12C3C">
      <w:pPr>
        <w:spacing w:after="120" w:line="276" w:lineRule="auto"/>
        <w:ind w:firstLine="708"/>
        <w:jc w:val="both"/>
        <w:rPr>
          <w:rFonts w:ascii="Verdana" w:eastAsia="Century Gothic" w:hAnsi="Verdana" w:cs="Century Gothic"/>
          <w:bCs/>
          <w:lang w:val="es-ES_tradnl"/>
        </w:rPr>
      </w:pPr>
      <w:r w:rsidRPr="0039489B">
        <w:rPr>
          <w:rFonts w:ascii="Verdana" w:eastAsia="Century Gothic" w:hAnsi="Verdana" w:cs="Century Gothic"/>
          <w:bCs/>
          <w:lang w:val="es-ES_tradnl"/>
        </w:rPr>
        <w:t xml:space="preserve">Así las cosas, ha de entenderse que, para los efectos de la Ley de Garantías Electorales y, en particular, para la prohibición o restricción temporal </w:t>
      </w:r>
      <w:r w:rsidRPr="0039489B">
        <w:rPr>
          <w:rFonts w:ascii="Verdana" w:eastAsia="Century Gothic" w:hAnsi="Verdana" w:cs="Century Gothic"/>
          <w:bCs/>
          <w:lang w:val="es-ES_tradnl"/>
        </w:rPr>
        <w:lastRenderedPageBreak/>
        <w:t>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EF6DF39" w14:textId="77777777" w:rsidR="00D12C3C" w:rsidRPr="0039489B" w:rsidRDefault="00D12C3C" w:rsidP="00D12C3C">
      <w:pPr>
        <w:spacing w:after="0" w:line="276" w:lineRule="auto"/>
        <w:ind w:firstLine="709"/>
        <w:jc w:val="both"/>
        <w:rPr>
          <w:rFonts w:ascii="Verdana" w:eastAsia="Century Gothic" w:hAnsi="Verdana" w:cs="Century Gothic"/>
          <w:lang w:val="es-ES"/>
        </w:rPr>
      </w:pPr>
      <w:r w:rsidRPr="0039489B">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3FDE7542" w14:textId="77777777" w:rsidR="00D12C3C" w:rsidRPr="0039489B" w:rsidRDefault="00D12C3C" w:rsidP="00D12C3C">
      <w:pPr>
        <w:spacing w:before="120" w:after="120" w:line="276" w:lineRule="auto"/>
        <w:ind w:firstLine="709"/>
        <w:jc w:val="both"/>
        <w:rPr>
          <w:rFonts w:ascii="Verdana" w:eastAsia="Times New Roman" w:hAnsi="Verdana" w:cs="Arial"/>
          <w:bCs/>
          <w:lang w:eastAsia="es-CO"/>
        </w:rPr>
      </w:pPr>
      <w:r w:rsidRPr="0039489B">
        <w:rPr>
          <w:rFonts w:ascii="Verdana" w:eastAsia="Arial" w:hAnsi="Verdana" w:cs="Arial"/>
          <w:color w:val="000000"/>
        </w:rPr>
        <w:t xml:space="preserve">Finalmente, es importante advertir que </w:t>
      </w:r>
      <w:r w:rsidRPr="0039489B">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39489B">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bookmarkEnd w:id="3"/>
    </w:p>
    <w:p w14:paraId="54453FDD" w14:textId="77777777" w:rsidR="00D12C3C" w:rsidRPr="0039489B" w:rsidRDefault="00D12C3C" w:rsidP="00D12C3C">
      <w:pPr>
        <w:spacing w:before="120" w:after="0" w:line="276" w:lineRule="auto"/>
        <w:ind w:firstLine="709"/>
        <w:jc w:val="both"/>
        <w:rPr>
          <w:rFonts w:ascii="Verdana" w:eastAsia="Calibri" w:hAnsi="Verdana" w:cs="Arial"/>
        </w:rPr>
      </w:pPr>
    </w:p>
    <w:p w14:paraId="7FAFE7C9" w14:textId="77777777" w:rsidR="00D12C3C" w:rsidRPr="0039489B" w:rsidRDefault="00D12C3C" w:rsidP="00D12C3C">
      <w:pPr>
        <w:widowControl w:val="0"/>
        <w:autoSpaceDE w:val="0"/>
        <w:autoSpaceDN w:val="0"/>
        <w:spacing w:before="1" w:after="0" w:line="240" w:lineRule="auto"/>
        <w:outlineLvl w:val="0"/>
        <w:rPr>
          <w:rFonts w:ascii="Verdana" w:eastAsia="Arial" w:hAnsi="Verdana" w:cs="Arial"/>
          <w:b/>
          <w:bCs/>
          <w:lang w:val="es-ES"/>
        </w:rPr>
      </w:pPr>
      <w:r w:rsidRPr="0039489B">
        <w:rPr>
          <w:rFonts w:ascii="Verdana" w:eastAsia="Arial" w:hAnsi="Verdana" w:cs="Arial"/>
          <w:b/>
          <w:bCs/>
          <w:lang w:val="es-ES"/>
        </w:rPr>
        <w:t>4.Referencias normativas, jurisprudenciales y otras fuentes:</w:t>
      </w:r>
    </w:p>
    <w:p w14:paraId="1A5BF672" w14:textId="77777777" w:rsidR="00D12C3C" w:rsidRPr="0039489B" w:rsidRDefault="00D12C3C" w:rsidP="00D12C3C">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2C3C" w:rsidRPr="0039489B" w14:paraId="24FD2B4F" w14:textId="77777777" w:rsidTr="00CC1ADF">
        <w:trPr>
          <w:trHeight w:val="870"/>
        </w:trPr>
        <w:tc>
          <w:tcPr>
            <w:tcW w:w="8647" w:type="dxa"/>
          </w:tcPr>
          <w:p w14:paraId="550A2098" w14:textId="77777777" w:rsidR="00D12C3C" w:rsidRPr="0039489B" w:rsidRDefault="00D12C3C" w:rsidP="00D12C3C">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39489B">
              <w:rPr>
                <w:rFonts w:ascii="Verdana" w:eastAsia="Arial MT" w:hAnsi="Verdana" w:cs="Arial"/>
                <w:lang w:eastAsia="es-ES" w:bidi="es-ES"/>
              </w:rPr>
              <w:t>Constitución Política. Artículo 127.</w:t>
            </w:r>
          </w:p>
          <w:p w14:paraId="0091555E" w14:textId="77777777" w:rsidR="00D12C3C" w:rsidRPr="0039489B" w:rsidRDefault="00D12C3C" w:rsidP="00D12C3C">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39489B">
              <w:rPr>
                <w:rFonts w:ascii="Verdana" w:eastAsia="Arial MT" w:hAnsi="Verdana" w:cs="Arial"/>
                <w:bCs/>
                <w:lang w:eastAsia="es-ES" w:bidi="es-ES"/>
              </w:rPr>
              <w:t>Ley 996 de 2005. Artículos 33 y 38.</w:t>
            </w:r>
          </w:p>
          <w:p w14:paraId="6284AB12" w14:textId="77777777" w:rsidR="00D12C3C" w:rsidRPr="0039489B" w:rsidRDefault="00D12C3C" w:rsidP="00D12C3C">
            <w:pPr>
              <w:widowControl w:val="0"/>
              <w:numPr>
                <w:ilvl w:val="0"/>
                <w:numId w:val="1"/>
              </w:numPr>
              <w:autoSpaceDE w:val="0"/>
              <w:autoSpaceDN w:val="0"/>
              <w:spacing w:line="276" w:lineRule="auto"/>
              <w:contextualSpacing/>
              <w:jc w:val="both"/>
              <w:rPr>
                <w:rFonts w:ascii="Verdana" w:eastAsia="Arial MT" w:hAnsi="Verdana" w:cs="Arial"/>
                <w:lang w:eastAsia="es-ES" w:bidi="es-ES"/>
              </w:rPr>
            </w:pPr>
            <w:r w:rsidRPr="0039489B">
              <w:rPr>
                <w:rFonts w:ascii="Verdana" w:eastAsia="Times New Roman" w:hAnsi="Verdana" w:cs="Times New Roman"/>
                <w:lang w:eastAsia="es-MX"/>
              </w:rPr>
              <w:t>Ley 1150 de 2007. A</w:t>
            </w:r>
            <w:r w:rsidRPr="0039489B">
              <w:rPr>
                <w:rFonts w:ascii="Verdana" w:eastAsia="Arial MT" w:hAnsi="Verdana" w:cs="Arial"/>
                <w:lang w:eastAsia="es-ES" w:bidi="es-ES"/>
              </w:rPr>
              <w:t xml:space="preserve">rtículo 2, numeral 4. </w:t>
            </w:r>
          </w:p>
          <w:p w14:paraId="16A3CD06" w14:textId="77777777" w:rsidR="00D12C3C" w:rsidRPr="0039489B" w:rsidRDefault="00D12C3C" w:rsidP="00CC1ADF">
            <w:pPr>
              <w:spacing w:line="276" w:lineRule="auto"/>
              <w:ind w:left="720"/>
              <w:contextualSpacing/>
              <w:jc w:val="both"/>
              <w:rPr>
                <w:rFonts w:ascii="Verdana" w:eastAsia="Arial MT" w:hAnsi="Verdana" w:cs="Arial"/>
                <w:lang w:eastAsia="es-ES" w:bidi="es-ES"/>
              </w:rPr>
            </w:pPr>
          </w:p>
        </w:tc>
      </w:tr>
    </w:tbl>
    <w:p w14:paraId="1F733E28" w14:textId="77777777" w:rsidR="00D12C3C" w:rsidRPr="0039489B" w:rsidRDefault="00D12C3C" w:rsidP="00D12C3C">
      <w:pPr>
        <w:widowControl w:val="0"/>
        <w:autoSpaceDE w:val="0"/>
        <w:autoSpaceDN w:val="0"/>
        <w:spacing w:after="0" w:line="276" w:lineRule="auto"/>
        <w:jc w:val="both"/>
        <w:rPr>
          <w:rFonts w:ascii="Verdana" w:eastAsia="Aptos" w:hAnsi="Verdana" w:cs="Arial"/>
        </w:rPr>
      </w:pPr>
    </w:p>
    <w:p w14:paraId="232450CF" w14:textId="77777777" w:rsidR="00D12C3C" w:rsidRPr="0039489B" w:rsidRDefault="00D12C3C" w:rsidP="00D12C3C">
      <w:pPr>
        <w:widowControl w:val="0"/>
        <w:autoSpaceDE w:val="0"/>
        <w:autoSpaceDN w:val="0"/>
        <w:spacing w:before="1" w:after="0" w:line="240" w:lineRule="auto"/>
        <w:outlineLvl w:val="0"/>
        <w:rPr>
          <w:rFonts w:ascii="Verdana" w:eastAsia="Arial" w:hAnsi="Verdana" w:cs="Arial"/>
          <w:b/>
          <w:bCs/>
          <w:lang w:val="es-ES"/>
        </w:rPr>
      </w:pPr>
      <w:r w:rsidRPr="0039489B">
        <w:rPr>
          <w:rFonts w:ascii="Verdana" w:eastAsia="Arial" w:hAnsi="Verdana" w:cs="Arial"/>
          <w:b/>
          <w:bCs/>
          <w:lang w:val="es-ES"/>
        </w:rPr>
        <w:t>5. Doctrina de la Agencia Nacional de Contratación Pública:</w:t>
      </w:r>
    </w:p>
    <w:p w14:paraId="433CEB97" w14:textId="77777777" w:rsidR="00D12C3C" w:rsidRPr="0039489B" w:rsidRDefault="00D12C3C" w:rsidP="00D12C3C">
      <w:pPr>
        <w:widowControl w:val="0"/>
        <w:autoSpaceDE w:val="0"/>
        <w:autoSpaceDN w:val="0"/>
        <w:spacing w:after="0" w:line="276" w:lineRule="auto"/>
        <w:jc w:val="both"/>
        <w:rPr>
          <w:rFonts w:ascii="Verdana" w:eastAsia="Aptos" w:hAnsi="Verdana" w:cs="Arial"/>
        </w:rPr>
      </w:pPr>
    </w:p>
    <w:p w14:paraId="1326EA42" w14:textId="77777777" w:rsidR="00D12C3C" w:rsidRPr="0039489B" w:rsidRDefault="00D12C3C" w:rsidP="00D12C3C">
      <w:pPr>
        <w:widowControl w:val="0"/>
        <w:autoSpaceDE w:val="0"/>
        <w:autoSpaceDN w:val="0"/>
        <w:spacing w:after="0" w:line="276" w:lineRule="auto"/>
        <w:jc w:val="both"/>
        <w:rPr>
          <w:rFonts w:ascii="Verdana" w:eastAsia="Aptos" w:hAnsi="Verdana" w:cs="Arial"/>
          <w:shd w:val="clear" w:color="auto" w:fill="FFFFFF"/>
          <w:lang w:val="es-ES"/>
        </w:rPr>
      </w:pPr>
      <w:r w:rsidRPr="0039489B">
        <w:rPr>
          <w:rFonts w:ascii="Verdana" w:eastAsia="Calibri" w:hAnsi="Verdana" w:cs="Arial"/>
          <w:bCs/>
          <w:shd w:val="clear" w:color="auto" w:fill="FFFFFF"/>
        </w:rPr>
        <w:lastRenderedPageBreak/>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w:t>
      </w:r>
      <w:r w:rsidRPr="0039489B">
        <w:rPr>
          <w:rFonts w:ascii="Verdana" w:eastAsia="Calibri" w:hAnsi="Verdana" w:cs="Arial"/>
          <w:bCs/>
          <w:shd w:val="clear" w:color="auto" w:fill="FFFFFF"/>
          <w:lang w:val="es-ES"/>
        </w:rPr>
        <w:t xml:space="preserve">En tal sentido, recoge los conceptos expuestos, sin perjuicio de otras consideraciones. </w:t>
      </w:r>
      <w:r w:rsidRPr="0039489B">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39489B">
          <w:rPr>
            <w:rFonts w:ascii="Verdana" w:eastAsia="Aptos" w:hAnsi="Verdana" w:cs="Arial"/>
            <w:color w:val="0000FF"/>
            <w:u w:val="single"/>
            <w:shd w:val="clear" w:color="auto" w:fill="FFFFFF"/>
            <w:lang w:val="es-ES"/>
          </w:rPr>
          <w:t>https://relatoria.colombiacompra.gov.co/</w:t>
        </w:r>
      </w:hyperlink>
      <w:r w:rsidRPr="0039489B">
        <w:rPr>
          <w:rFonts w:ascii="Verdana" w:eastAsia="Aptos" w:hAnsi="Verdana" w:cs="Arial"/>
          <w:shd w:val="clear" w:color="auto" w:fill="FFFFFF"/>
          <w:lang w:val="es-ES"/>
        </w:rPr>
        <w:t xml:space="preserve">. </w:t>
      </w:r>
    </w:p>
    <w:p w14:paraId="56F596C1" w14:textId="77777777" w:rsidR="00D12C3C" w:rsidRPr="0039489B" w:rsidRDefault="00D12C3C" w:rsidP="00D12C3C">
      <w:pPr>
        <w:spacing w:before="120" w:after="120"/>
        <w:ind w:firstLine="709"/>
        <w:jc w:val="both"/>
        <w:rPr>
          <w:rFonts w:ascii="Verdana" w:eastAsia="Aptos" w:hAnsi="Verdana" w:cs="Times New Roman"/>
        </w:rPr>
      </w:pPr>
      <w:r w:rsidRPr="0039489B">
        <w:rPr>
          <w:rFonts w:ascii="Verdana" w:eastAsia="Aptos" w:hAnsi="Verdana" w:cs="Times New Roman"/>
        </w:rPr>
        <w:t xml:space="preserve">La sostenibilidad no es una opción, es una obligación. Por ello, la Agencia Nacional de Contratación Pública –Colombia Compra Eficiente– te invita a realizar el </w:t>
      </w:r>
      <w:r w:rsidRPr="0039489B">
        <w:rPr>
          <w:rFonts w:ascii="Verdana" w:eastAsia="Aptos" w:hAnsi="Verdana" w:cs="Times New Roman"/>
          <w:b/>
          <w:bCs/>
        </w:rPr>
        <w:t>Curso de Contratación Pública Sostenible y Socialmente Responsable</w:t>
      </w:r>
      <w:r w:rsidRPr="0039489B">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9489B">
        <w:rPr>
          <w:rFonts w:ascii="Verdana" w:eastAsia="Aptos" w:hAnsi="Verdana" w:cs="Times New Roman"/>
        </w:rPr>
        <w:br/>
      </w:r>
      <w:hyperlink r:id="rId13" w:tgtFrame="_new" w:history="1">
        <w:r w:rsidRPr="0039489B">
          <w:rPr>
            <w:rFonts w:ascii="Verdana" w:eastAsia="Aptos" w:hAnsi="Verdana" w:cs="Times New Roman"/>
            <w:color w:val="0000FF"/>
            <w:u w:val="single"/>
          </w:rPr>
          <w:t>https://formacionvirtual.colombiacompra.gov.co/mod/page/view.php?id=3718</w:t>
        </w:r>
      </w:hyperlink>
    </w:p>
    <w:p w14:paraId="26A54D78" w14:textId="77777777" w:rsidR="00D12C3C" w:rsidRPr="0039489B" w:rsidRDefault="00D12C3C" w:rsidP="00D12C3C">
      <w:pPr>
        <w:ind w:firstLine="708"/>
        <w:jc w:val="both"/>
        <w:rPr>
          <w:rFonts w:ascii="Verdana" w:eastAsia="Aptos" w:hAnsi="Verdana" w:cs="Times New Roman"/>
        </w:rPr>
      </w:pPr>
      <w:r w:rsidRPr="0039489B">
        <w:rPr>
          <w:rFonts w:ascii="Verdana" w:eastAsia="Aptos" w:hAnsi="Verdana" w:cs="Times New Roman"/>
        </w:rPr>
        <w:t xml:space="preserve">De otro lado, te contamos que esta Agencia ha da un paso decisivo en la estandarización y modernización del </w:t>
      </w:r>
      <w:r w:rsidRPr="0039489B">
        <w:rPr>
          <w:rFonts w:ascii="Verdana" w:eastAsia="Aptos" w:hAnsi="Verdana" w:cs="Times New Roman"/>
          <w:b/>
          <w:bCs/>
        </w:rPr>
        <w:t>sector  social</w:t>
      </w:r>
      <w:r w:rsidRPr="0039489B">
        <w:rPr>
          <w:rFonts w:ascii="Verdana" w:eastAsia="Aptos" w:hAnsi="Verdana" w:cs="Times New Roman"/>
        </w:rPr>
        <w:t xml:space="preserve"> con la expedición de las </w:t>
      </w:r>
      <w:r w:rsidRPr="0039489B">
        <w:rPr>
          <w:rFonts w:ascii="Verdana" w:eastAsia="Aptos" w:hAnsi="Verdana" w:cs="Times New Roman"/>
          <w:b/>
          <w:bCs/>
        </w:rPr>
        <w:t>Resoluciones 539, 540, 541, 952 y 953 de 2025</w:t>
      </w:r>
      <w:r w:rsidRPr="0039489B">
        <w:rPr>
          <w:rFonts w:ascii="Verdana" w:eastAsia="Aptos" w:hAnsi="Verdana" w:cs="Times New Roman"/>
        </w:rPr>
        <w:t xml:space="preserve">, </w:t>
      </w:r>
      <w:r w:rsidRPr="0039489B">
        <w:rPr>
          <w:rFonts w:ascii="Verdana" w:eastAsia="Aptos" w:hAnsi="Verdana" w:cs="Times New Roman"/>
          <w:b/>
          <w:bCs/>
        </w:rPr>
        <w:t>mediante las cuales adoptó Documentos Tipo</w:t>
      </w:r>
      <w:r w:rsidRPr="0039489B">
        <w:rPr>
          <w:rFonts w:ascii="Verdana" w:eastAsia="Aptos" w:hAnsi="Verdana" w:cs="Times New Roman"/>
        </w:rPr>
        <w:t xml:space="preserve"> para las modalidades de selección de</w:t>
      </w:r>
      <w:r w:rsidRPr="0039489B">
        <w:rPr>
          <w:rFonts w:ascii="Verdana" w:eastAsia="Aptos" w:hAnsi="Verdana" w:cs="Times New Roman"/>
          <w:b/>
          <w:bCs/>
        </w:rPr>
        <w:t xml:space="preserve"> licitación pública (versión 2), selección abreviada de menor cuantía, mínima cuantía, consultoría e interventoría</w:t>
      </w:r>
      <w:r w:rsidRPr="0039489B">
        <w:rPr>
          <w:rFonts w:ascii="Verdana" w:eastAsia="Aptos" w:hAnsi="Verdana" w:cs="Times New Roman"/>
        </w:rPr>
        <w:t xml:space="preserve">, promoviendo procesos más </w:t>
      </w:r>
      <w:r w:rsidRPr="0039489B">
        <w:rPr>
          <w:rFonts w:ascii="Verdana" w:eastAsia="Aptos" w:hAnsi="Verdana" w:cs="Times New Roman"/>
        </w:rPr>
        <w:lastRenderedPageBreak/>
        <w:t xml:space="preserve">transparentes, eficientes  competitivos y sostenibles en sectores estratégicos como educación, salud, cultura, recreación, deporte, institucional y vivienda. Consulta y descarga los documentos aquí: </w:t>
      </w:r>
      <w:hyperlink r:id="rId14" w:tgtFrame="_new" w:history="1">
        <w:r w:rsidRPr="0039489B">
          <w:rPr>
            <w:rFonts w:ascii="Verdana" w:eastAsia="Aptos" w:hAnsi="Verdana" w:cs="Times New Roman"/>
            <w:color w:val="0000FF"/>
            <w:u w:val="single"/>
          </w:rPr>
          <w:t>https://www.colombiacompra.gov.co/normativa-y-relatoria/documentos-tipo</w:t>
        </w:r>
      </w:hyperlink>
    </w:p>
    <w:p w14:paraId="2E99C8E4" w14:textId="77777777" w:rsidR="00D12C3C" w:rsidRPr="0039489B" w:rsidRDefault="00D12C3C" w:rsidP="00D12C3C">
      <w:pPr>
        <w:spacing w:after="0"/>
        <w:ind w:firstLine="708"/>
        <w:jc w:val="both"/>
        <w:rPr>
          <w:rFonts w:ascii="Verdana" w:eastAsia="Aptos" w:hAnsi="Verdana" w:cs="Times New Roman"/>
        </w:rPr>
      </w:pPr>
      <w:r w:rsidRPr="0039489B">
        <w:rPr>
          <w:rFonts w:ascii="Verdana" w:eastAsia="Aptos" w:hAnsi="Verdana" w:cs="Times New Roman"/>
        </w:rPr>
        <w:t xml:space="preserve">Si quieres conocer más sobre la aplicación de Documentos Tipo puedes consultar la última versión de la </w:t>
      </w:r>
      <w:r w:rsidRPr="0039489B">
        <w:rPr>
          <w:rFonts w:ascii="Verdana" w:eastAsia="Aptos" w:hAnsi="Verdana" w:cs="Times New Roman"/>
          <w:b/>
          <w:bCs/>
        </w:rPr>
        <w:t>Guía para la comprensión e implementación de los Documentos Tipo de obra pública de infraestructura de transporte</w:t>
      </w:r>
      <w:r w:rsidRPr="0039489B">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9489B">
        <w:rPr>
          <w:rFonts w:ascii="Verdana" w:eastAsia="Aptos" w:hAnsi="Verdana" w:cs="Times New Roman"/>
        </w:rPr>
        <w:br/>
      </w:r>
      <w:hyperlink r:id="rId15" w:tgtFrame="_new" w:history="1">
        <w:r w:rsidRPr="0039489B">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5CBC9391" w14:textId="77777777" w:rsidR="00D12C3C" w:rsidRPr="0039489B" w:rsidRDefault="00D12C3C" w:rsidP="00D12C3C">
      <w:pPr>
        <w:widowControl w:val="0"/>
        <w:autoSpaceDE w:val="0"/>
        <w:autoSpaceDN w:val="0"/>
        <w:spacing w:after="0" w:line="276" w:lineRule="auto"/>
        <w:jc w:val="both"/>
        <w:rPr>
          <w:rFonts w:ascii="Verdana" w:eastAsia="Aptos" w:hAnsi="Verdana" w:cs="Arial"/>
          <w:shd w:val="clear" w:color="auto" w:fill="FFFFFF"/>
          <w:lang w:val="es-ES"/>
        </w:rPr>
      </w:pPr>
    </w:p>
    <w:p w14:paraId="4975F91E" w14:textId="77777777" w:rsidR="00D12C3C" w:rsidRPr="0039489B" w:rsidRDefault="00D12C3C" w:rsidP="00D12C3C">
      <w:pPr>
        <w:spacing w:after="0" w:line="240" w:lineRule="auto"/>
        <w:jc w:val="both"/>
        <w:rPr>
          <w:rFonts w:ascii="Verdana" w:eastAsia="Aptos" w:hAnsi="Verdana" w:cs="Times New Roman"/>
        </w:rPr>
      </w:pPr>
      <w:r w:rsidRPr="0039489B">
        <w:rPr>
          <w:rFonts w:ascii="Verdana" w:eastAsia="Aptos" w:hAnsi="Verdana" w:cs="Times New Roman"/>
        </w:rPr>
        <w:t xml:space="preserve">Por último, lo invitamos a seguirnos en las redes sociales en las cuales se difunde información institucional: </w:t>
      </w:r>
    </w:p>
    <w:p w14:paraId="4DE2CCC3" w14:textId="77777777" w:rsidR="00D12C3C" w:rsidRPr="0039489B" w:rsidRDefault="00D12C3C" w:rsidP="00D12C3C">
      <w:pPr>
        <w:spacing w:after="0" w:line="240" w:lineRule="auto"/>
        <w:jc w:val="both"/>
        <w:rPr>
          <w:rFonts w:ascii="Verdana" w:eastAsia="Aptos" w:hAnsi="Verdana" w:cs="Times New Roman"/>
        </w:rPr>
      </w:pPr>
    </w:p>
    <w:p w14:paraId="10D63F04" w14:textId="77777777" w:rsidR="00D12C3C" w:rsidRPr="0039489B" w:rsidRDefault="00D12C3C" w:rsidP="00D12C3C">
      <w:pPr>
        <w:spacing w:after="0" w:line="240" w:lineRule="auto"/>
        <w:jc w:val="both"/>
        <w:rPr>
          <w:rFonts w:ascii="Verdana" w:eastAsia="Aptos" w:hAnsi="Verdana" w:cs="Times New Roman"/>
        </w:rPr>
      </w:pPr>
      <w:r w:rsidRPr="0039489B">
        <w:rPr>
          <w:rFonts w:ascii="Verdana" w:eastAsia="Aptos" w:hAnsi="Verdana" w:cs="Times New Roman"/>
        </w:rPr>
        <w:t xml:space="preserve">Twitter: </w:t>
      </w:r>
      <w:r w:rsidRPr="0039489B">
        <w:rPr>
          <w:rFonts w:ascii="Verdana" w:eastAsia="Aptos" w:hAnsi="Verdana" w:cs="Arial"/>
          <w:color w:val="0000FF"/>
          <w:u w:val="single"/>
          <w:shd w:val="clear" w:color="auto" w:fill="FFFFFF"/>
          <w:lang w:val="es-ES"/>
        </w:rPr>
        <w:t>@colombiacompra</w:t>
      </w:r>
      <w:r w:rsidRPr="0039489B">
        <w:rPr>
          <w:rFonts w:ascii="Verdana" w:eastAsia="Aptos" w:hAnsi="Verdana" w:cs="Times New Roman"/>
          <w:color w:val="156082"/>
        </w:rPr>
        <w:t xml:space="preserve"> </w:t>
      </w:r>
    </w:p>
    <w:p w14:paraId="063C3EB2" w14:textId="77777777" w:rsidR="00D12C3C" w:rsidRPr="0039489B" w:rsidRDefault="00D12C3C" w:rsidP="00D12C3C">
      <w:pPr>
        <w:spacing w:after="0" w:line="240" w:lineRule="auto"/>
        <w:jc w:val="both"/>
        <w:rPr>
          <w:rFonts w:ascii="Verdana" w:eastAsia="Aptos" w:hAnsi="Verdana" w:cs="Times New Roman"/>
        </w:rPr>
      </w:pPr>
      <w:r w:rsidRPr="0039489B">
        <w:rPr>
          <w:rFonts w:ascii="Verdana" w:eastAsia="Aptos" w:hAnsi="Verdana" w:cs="Times New Roman"/>
        </w:rPr>
        <w:t xml:space="preserve">Facebook: </w:t>
      </w:r>
      <w:proofErr w:type="spellStart"/>
      <w:r w:rsidRPr="0039489B">
        <w:rPr>
          <w:rFonts w:ascii="Verdana" w:eastAsia="Aptos" w:hAnsi="Verdana" w:cs="Arial"/>
          <w:color w:val="0000FF"/>
          <w:u w:val="single"/>
          <w:shd w:val="clear" w:color="auto" w:fill="FFFFFF"/>
          <w:lang w:val="es-ES"/>
        </w:rPr>
        <w:t>ColombiaCompraEficiente</w:t>
      </w:r>
      <w:proofErr w:type="spellEnd"/>
    </w:p>
    <w:p w14:paraId="503DD5A8" w14:textId="77777777" w:rsidR="00D12C3C" w:rsidRPr="0039489B" w:rsidRDefault="00D12C3C" w:rsidP="00D12C3C">
      <w:pPr>
        <w:spacing w:after="0" w:line="240" w:lineRule="auto"/>
        <w:jc w:val="both"/>
        <w:rPr>
          <w:rFonts w:ascii="Verdana" w:eastAsia="Aptos" w:hAnsi="Verdana" w:cs="Times New Roman"/>
        </w:rPr>
      </w:pPr>
      <w:r w:rsidRPr="0039489B">
        <w:rPr>
          <w:rFonts w:ascii="Verdana" w:eastAsia="Aptos" w:hAnsi="Verdana" w:cs="Times New Roman"/>
        </w:rPr>
        <w:t xml:space="preserve">LinkedIn: </w:t>
      </w:r>
      <w:r w:rsidRPr="0039489B">
        <w:rPr>
          <w:rFonts w:ascii="Verdana" w:eastAsia="Aptos" w:hAnsi="Verdana" w:cs="Arial"/>
          <w:color w:val="0000FF"/>
          <w:u w:val="single"/>
          <w:shd w:val="clear" w:color="auto" w:fill="FFFFFF"/>
          <w:lang w:val="es-ES"/>
        </w:rPr>
        <w:t>Agencia Nacional de Contratación Pública - Colombia Compra Eficiente</w:t>
      </w:r>
      <w:r w:rsidRPr="0039489B">
        <w:rPr>
          <w:rFonts w:ascii="Verdana" w:eastAsia="Aptos" w:hAnsi="Verdana" w:cs="Times New Roman"/>
          <w:color w:val="156082"/>
        </w:rPr>
        <w:t xml:space="preserve"> </w:t>
      </w:r>
      <w:r w:rsidRPr="0039489B">
        <w:rPr>
          <w:rFonts w:ascii="Verdana" w:eastAsia="Aptos" w:hAnsi="Verdana" w:cs="Times New Roman"/>
        </w:rPr>
        <w:t xml:space="preserve">Instagram: </w:t>
      </w:r>
      <w:r w:rsidRPr="0039489B">
        <w:rPr>
          <w:rFonts w:ascii="Verdana" w:eastAsia="Aptos" w:hAnsi="Verdana" w:cs="Arial"/>
          <w:color w:val="0000FF"/>
          <w:u w:val="single"/>
          <w:shd w:val="clear" w:color="auto" w:fill="FFFFFF"/>
          <w:lang w:val="es-ES"/>
        </w:rPr>
        <w:t>@colombiacompraeficiente_cce</w:t>
      </w:r>
    </w:p>
    <w:p w14:paraId="6F3A6133" w14:textId="77777777" w:rsidR="00D12C3C" w:rsidRPr="0039489B" w:rsidRDefault="00D12C3C" w:rsidP="00D12C3C">
      <w:pPr>
        <w:widowControl w:val="0"/>
        <w:autoSpaceDE w:val="0"/>
        <w:autoSpaceDN w:val="0"/>
        <w:spacing w:after="0" w:line="276" w:lineRule="auto"/>
        <w:jc w:val="both"/>
        <w:rPr>
          <w:rFonts w:ascii="Verdana" w:eastAsia="Aptos" w:hAnsi="Verdana" w:cs="Arial"/>
        </w:rPr>
      </w:pPr>
    </w:p>
    <w:p w14:paraId="2DAFD332" w14:textId="77777777" w:rsidR="00D12C3C" w:rsidRPr="0039489B" w:rsidRDefault="00D12C3C" w:rsidP="00D12C3C">
      <w:pPr>
        <w:widowControl w:val="0"/>
        <w:autoSpaceDE w:val="0"/>
        <w:autoSpaceDN w:val="0"/>
        <w:spacing w:after="0" w:line="276" w:lineRule="auto"/>
        <w:jc w:val="both"/>
        <w:rPr>
          <w:rFonts w:ascii="Verdana" w:eastAsia="Aptos" w:hAnsi="Verdana" w:cs="Arial"/>
          <w:lang w:val="es-ES_tradnl"/>
        </w:rPr>
      </w:pPr>
      <w:r w:rsidRPr="0039489B">
        <w:rPr>
          <w:rFonts w:ascii="Verdana" w:eastAsia="Aptos" w:hAnsi="Verdana" w:cs="Arial"/>
        </w:rPr>
        <w:t xml:space="preserve">Este concepto tiene el alcance previsto en el artículo 28 del Código de Procedimiento Administrativo y de lo Contencioso Administrativo </w:t>
      </w:r>
      <w:r w:rsidRPr="0039489B">
        <w:rPr>
          <w:rFonts w:ascii="Verdana" w:eastAsia="Aptos" w:hAnsi="Verdana" w:cs="Arial"/>
          <w:lang w:val="es-ES_tradnl"/>
        </w:rPr>
        <w:t>y las expresiones aquí utilizadas con mayúscula inicial deben ser entendidas con el significado que les otorga el artículo 2.2.1.1.1.3.1. del Decreto 1082 de 2015.</w:t>
      </w:r>
    </w:p>
    <w:p w14:paraId="4D45EDC5" w14:textId="77777777" w:rsidR="00D12C3C" w:rsidRPr="0039489B" w:rsidRDefault="00D12C3C" w:rsidP="00D12C3C">
      <w:pPr>
        <w:widowControl w:val="0"/>
        <w:autoSpaceDE w:val="0"/>
        <w:autoSpaceDN w:val="0"/>
        <w:spacing w:after="0" w:line="276" w:lineRule="auto"/>
        <w:jc w:val="both"/>
        <w:rPr>
          <w:rFonts w:ascii="Verdana" w:eastAsia="Aptos" w:hAnsi="Verdana" w:cs="Arial"/>
        </w:rPr>
      </w:pPr>
    </w:p>
    <w:p w14:paraId="0EBF78C9" w14:textId="77777777" w:rsidR="00D12C3C" w:rsidRPr="0039489B" w:rsidRDefault="00D12C3C" w:rsidP="00D12C3C">
      <w:pPr>
        <w:spacing w:after="0" w:line="240" w:lineRule="auto"/>
        <w:rPr>
          <w:rFonts w:ascii="Verdana" w:eastAsia="Aptos" w:hAnsi="Verdana" w:cs="Arial"/>
          <w:lang w:eastAsia="es-CO"/>
        </w:rPr>
      </w:pPr>
      <w:r w:rsidRPr="0039489B">
        <w:rPr>
          <w:rFonts w:ascii="Verdana" w:eastAsia="Times New Roman" w:hAnsi="Verdana" w:cs="Arial"/>
          <w:lang w:eastAsia="es-CO"/>
        </w:rPr>
        <w:t>Atentamente,</w:t>
      </w:r>
      <w:r w:rsidRPr="0039489B">
        <w:rPr>
          <w:rFonts w:ascii="Verdana" w:eastAsia="Aptos" w:hAnsi="Verdana" w:cs="Arial"/>
          <w:lang w:eastAsia="es-CO"/>
        </w:rPr>
        <w:t xml:space="preserve"> </w:t>
      </w:r>
    </w:p>
    <w:p w14:paraId="62895ECE" w14:textId="66F4B657" w:rsidR="00D12C3C" w:rsidRPr="0039489B" w:rsidRDefault="00006402" w:rsidP="00D12C3C">
      <w:pPr>
        <w:spacing w:after="0" w:line="276" w:lineRule="auto"/>
        <w:jc w:val="center"/>
        <w:rPr>
          <w:rFonts w:ascii="Verdana" w:eastAsia="Aptos" w:hAnsi="Verdana" w:cs="Arial"/>
          <w:lang w:val="es-ES_tradnl" w:eastAsia="es-CO"/>
        </w:rPr>
      </w:pPr>
      <w:r>
        <w:rPr>
          <w:noProof/>
        </w:rPr>
        <w:lastRenderedPageBreak/>
        <w:drawing>
          <wp:inline distT="0" distB="0" distL="0" distR="0" wp14:anchorId="5504136D" wp14:editId="186A250D">
            <wp:extent cx="3774440" cy="1414145"/>
            <wp:effectExtent l="0" t="0" r="0" b="0"/>
            <wp:docPr id="142581818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4440" cy="141414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D12C3C" w:rsidRPr="0039489B" w14:paraId="49BA1BD1" w14:textId="77777777" w:rsidTr="00CC1ADF">
        <w:trPr>
          <w:trHeight w:val="286"/>
        </w:trPr>
        <w:tc>
          <w:tcPr>
            <w:tcW w:w="901" w:type="dxa"/>
            <w:vAlign w:val="center"/>
            <w:hideMark/>
          </w:tcPr>
          <w:p w14:paraId="4B06EFFC"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643166A5"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Nasly Yeana Mosquera Rivas</w:t>
            </w:r>
          </w:p>
          <w:p w14:paraId="563BA873"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Analista T2–06 de la Subdirección de Gestión Contractual</w:t>
            </w:r>
          </w:p>
        </w:tc>
      </w:tr>
      <w:tr w:rsidR="00D12C3C" w:rsidRPr="0039489B" w14:paraId="66DCDDD5" w14:textId="77777777" w:rsidTr="00CC1ADF">
        <w:trPr>
          <w:trHeight w:val="299"/>
        </w:trPr>
        <w:tc>
          <w:tcPr>
            <w:tcW w:w="901" w:type="dxa"/>
            <w:vAlign w:val="center"/>
          </w:tcPr>
          <w:p w14:paraId="03CA0B2E"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791B868D"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Adriana Katherine López Rodríguez</w:t>
            </w:r>
          </w:p>
          <w:p w14:paraId="3005BAD2"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Contratista de la Subdirección de Gestión Contractual</w:t>
            </w:r>
          </w:p>
        </w:tc>
      </w:tr>
      <w:tr w:rsidR="00D12C3C" w:rsidRPr="0039489B" w14:paraId="7A4D29A4" w14:textId="77777777" w:rsidTr="00CC1ADF">
        <w:trPr>
          <w:trHeight w:val="272"/>
        </w:trPr>
        <w:tc>
          <w:tcPr>
            <w:tcW w:w="901" w:type="dxa"/>
            <w:vAlign w:val="center"/>
            <w:hideMark/>
          </w:tcPr>
          <w:p w14:paraId="42372286"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83448F8"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Carolina Quintero Gacharná</w:t>
            </w:r>
          </w:p>
          <w:p w14:paraId="68E02736" w14:textId="77777777" w:rsidR="00D12C3C" w:rsidRPr="0039489B" w:rsidRDefault="00D12C3C" w:rsidP="00CC1ADF">
            <w:pPr>
              <w:rPr>
                <w:rFonts w:ascii="Verdana" w:eastAsia="Aptos" w:hAnsi="Verdana" w:cs="Arial"/>
                <w:sz w:val="14"/>
                <w:szCs w:val="14"/>
                <w:lang w:eastAsia="es-ES"/>
              </w:rPr>
            </w:pPr>
            <w:r w:rsidRPr="0039489B">
              <w:rPr>
                <w:rFonts w:ascii="Verdana" w:eastAsia="Aptos" w:hAnsi="Verdana" w:cs="Arial"/>
                <w:sz w:val="14"/>
                <w:szCs w:val="14"/>
                <w:lang w:eastAsia="es-ES"/>
              </w:rPr>
              <w:t>Subdirectora de Gestión Contractual ANCP – CCE</w:t>
            </w:r>
          </w:p>
        </w:tc>
      </w:tr>
    </w:tbl>
    <w:p w14:paraId="7D436F69" w14:textId="77777777" w:rsidR="00D12C3C" w:rsidRPr="0039489B" w:rsidRDefault="00D12C3C" w:rsidP="00D12C3C">
      <w:pPr>
        <w:spacing w:after="0" w:line="240" w:lineRule="auto"/>
        <w:rPr>
          <w:rFonts w:ascii="Verdana" w:eastAsia="Times New Roman" w:hAnsi="Verdana" w:cs="Arial"/>
          <w:sz w:val="24"/>
          <w:szCs w:val="24"/>
          <w:lang w:eastAsia="es-ES"/>
        </w:rPr>
      </w:pPr>
    </w:p>
    <w:p w14:paraId="1F1612A5" w14:textId="77777777" w:rsidR="00D12C3C" w:rsidRPr="0039489B" w:rsidRDefault="00D12C3C" w:rsidP="00D12C3C">
      <w:pPr>
        <w:rPr>
          <w:rFonts w:ascii="Verdana" w:eastAsia="Aptos" w:hAnsi="Verdana" w:cs="Times New Roman"/>
        </w:rPr>
      </w:pPr>
    </w:p>
    <w:p w14:paraId="2CD61564" w14:textId="77777777" w:rsidR="00D12C3C" w:rsidRPr="0039489B" w:rsidRDefault="00D12C3C" w:rsidP="00D12C3C">
      <w:pPr>
        <w:rPr>
          <w:rFonts w:ascii="Verdana" w:eastAsia="Aptos" w:hAnsi="Verdana" w:cs="Arial"/>
        </w:rPr>
      </w:pPr>
    </w:p>
    <w:p w14:paraId="2BFF61D0" w14:textId="791A3531" w:rsidR="00D12C3C" w:rsidRPr="0039489B" w:rsidRDefault="00D12C3C" w:rsidP="00D12C3C">
      <w:pPr>
        <w:spacing w:after="0" w:line="240" w:lineRule="auto"/>
        <w:textAlignment w:val="baseline"/>
        <w:rPr>
          <w:rFonts w:ascii="Verdana" w:eastAsia="Verdana" w:hAnsi="Verdana" w:cs="Verdana"/>
          <w:lang w:eastAsia="es-CO"/>
        </w:rPr>
      </w:pPr>
      <w:r w:rsidRPr="0039489B">
        <w:rPr>
          <w:rFonts w:ascii="Verdana" w:eastAsia="Verdana" w:hAnsi="Verdana" w:cs="Verdana"/>
          <w:lang w:eastAsia="es-CO"/>
        </w:rPr>
        <w:t> </w:t>
      </w:r>
      <w:bookmarkEnd w:id="0"/>
    </w:p>
    <w:p w14:paraId="7F584326" w14:textId="77777777" w:rsidR="00D12C3C" w:rsidRPr="0039489B" w:rsidRDefault="00D12C3C" w:rsidP="00D12C3C">
      <w:pPr>
        <w:rPr>
          <w:rFonts w:ascii="Aptos" w:eastAsia="Aptos" w:hAnsi="Aptos" w:cs="Arial"/>
        </w:rPr>
      </w:pPr>
    </w:p>
    <w:p w14:paraId="7814F9CB" w14:textId="77777777" w:rsidR="00D12C3C" w:rsidRPr="0039489B" w:rsidRDefault="00D12C3C" w:rsidP="00D12C3C"/>
    <w:p w14:paraId="7C0EF5F1" w14:textId="77777777" w:rsidR="008E5C2E" w:rsidRDefault="008E5C2E"/>
    <w:sectPr w:rsidR="008E5C2E" w:rsidSect="00D12C3C">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96637" w14:textId="77777777" w:rsidR="009D4C33" w:rsidRDefault="009D4C33">
      <w:pPr>
        <w:spacing w:after="0" w:line="240" w:lineRule="auto"/>
      </w:pPr>
      <w:r>
        <w:separator/>
      </w:r>
    </w:p>
  </w:endnote>
  <w:endnote w:type="continuationSeparator" w:id="0">
    <w:p w14:paraId="622B13FE" w14:textId="77777777" w:rsidR="009D4C33" w:rsidRDefault="009D4C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C6E3F" w14:textId="77777777" w:rsidR="00D12C3C" w:rsidRDefault="00D12C3C">
    <w:pPr>
      <w:pStyle w:val="Piedepgina"/>
    </w:pPr>
  </w:p>
  <w:p w14:paraId="313E6153" w14:textId="77777777" w:rsidR="00D12C3C" w:rsidRPr="00174B77" w:rsidRDefault="00D12C3C"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1286FFD" w14:textId="77777777" w:rsidR="00D12C3C" w:rsidRDefault="00D12C3C"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75D17A6" w14:textId="77777777" w:rsidR="00D12C3C" w:rsidRPr="00E41027" w:rsidRDefault="00D12C3C"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96113DE" w14:textId="77777777" w:rsidR="00D12C3C" w:rsidRDefault="00D12C3C"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39489B">
      <w:rPr>
        <w:rFonts w:ascii="Verdana" w:eastAsia="Verdana" w:hAnsi="Verdana" w:cs="Verdana"/>
        <w:b/>
        <w:bCs/>
        <w:color w:val="000000"/>
        <w:sz w:val="18"/>
        <w:szCs w:val="18"/>
        <w:lang w:eastAsia="es-CO"/>
      </w:rPr>
      <w:t xml:space="preserve">Código: </w:t>
    </w:r>
    <w:r w:rsidRPr="0039489B">
      <w:rPr>
        <w:rFonts w:ascii="Verdana" w:eastAsia="Verdana" w:hAnsi="Verdana" w:cs="Verdana"/>
        <w:color w:val="000000"/>
        <w:sz w:val="18"/>
        <w:szCs w:val="18"/>
        <w:lang w:eastAsia="es-CO"/>
      </w:rPr>
      <w:t xml:space="preserve">CCE-REC-FM-17 </w:t>
    </w:r>
    <w:r w:rsidRPr="0039489B">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1F6E2" w14:textId="77777777" w:rsidR="009D4C33" w:rsidRDefault="009D4C33">
      <w:pPr>
        <w:spacing w:after="0" w:line="240" w:lineRule="auto"/>
      </w:pPr>
      <w:r>
        <w:separator/>
      </w:r>
    </w:p>
  </w:footnote>
  <w:footnote w:type="continuationSeparator" w:id="0">
    <w:p w14:paraId="7B24E406" w14:textId="77777777" w:rsidR="009D4C33" w:rsidRDefault="009D4C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09C5CB" w14:textId="77777777" w:rsidR="00D12C3C" w:rsidRDefault="00D12C3C"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AA75A1E" wp14:editId="5138E91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F532067" wp14:editId="030ECB5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CF5D53D" w14:textId="77777777" w:rsidR="00D12C3C" w:rsidRDefault="00D12C3C">
    <w:pPr>
      <w:pStyle w:val="Encabezado"/>
    </w:pPr>
  </w:p>
  <w:p w14:paraId="4E024C7E" w14:textId="77777777" w:rsidR="00D12C3C" w:rsidRPr="004A305D" w:rsidRDefault="00D12C3C" w:rsidP="00B01B1A">
    <w:pPr>
      <w:spacing w:after="0" w:line="120" w:lineRule="auto"/>
      <w:rPr>
        <w:rFonts w:ascii="Century Gothic" w:eastAsia="Geo" w:hAnsi="Century Gothic" w:cs="Geo"/>
        <w:sz w:val="16"/>
        <w:szCs w:val="16"/>
        <w:lang w:eastAsia="es-CO"/>
      </w:rPr>
    </w:pPr>
  </w:p>
  <w:p w14:paraId="493D549D" w14:textId="77777777" w:rsidR="00D12C3C" w:rsidRDefault="00D12C3C" w:rsidP="00844AE9">
    <w:pPr>
      <w:spacing w:after="0" w:line="240" w:lineRule="auto"/>
      <w:rPr>
        <w:rFonts w:ascii="Verdana" w:hAnsi="Verdana"/>
        <w:sz w:val="24"/>
        <w:szCs w:val="24"/>
      </w:rPr>
    </w:pPr>
  </w:p>
  <w:p w14:paraId="50E3F8E1" w14:textId="77777777" w:rsidR="00D12C3C" w:rsidRPr="00C925AC" w:rsidRDefault="00D12C3C" w:rsidP="00844AE9">
    <w:pPr>
      <w:spacing w:after="0" w:line="240" w:lineRule="auto"/>
      <w:rPr>
        <w:rFonts w:ascii="Verdana" w:hAnsi="Verdana"/>
        <w:sz w:val="24"/>
        <w:szCs w:val="24"/>
      </w:rPr>
    </w:pPr>
  </w:p>
  <w:p w14:paraId="54CFB484" w14:textId="77777777" w:rsidR="00D12C3C" w:rsidRPr="00C925AC" w:rsidRDefault="00D12C3C"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3C"/>
    <w:rsid w:val="00006402"/>
    <w:rsid w:val="005727E1"/>
    <w:rsid w:val="005818E2"/>
    <w:rsid w:val="0087297D"/>
    <w:rsid w:val="008E5C2E"/>
    <w:rsid w:val="009D4C33"/>
    <w:rsid w:val="00D12C3C"/>
    <w:rsid w:val="00D94F9C"/>
    <w:rsid w:val="00DE6563"/>
    <w:rsid w:val="00FB3547"/>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256A3"/>
  <w15:chartTrackingRefBased/>
  <w15:docId w15:val="{AB026BCD-DF27-4F4A-9185-FD650A903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2C3C"/>
    <w:rPr>
      <w:kern w:val="0"/>
      <w14:ligatures w14:val="none"/>
    </w:rPr>
  </w:style>
  <w:style w:type="paragraph" w:styleId="Ttulo1">
    <w:name w:val="heading 1"/>
    <w:basedOn w:val="Normal"/>
    <w:next w:val="Normal"/>
    <w:link w:val="Ttulo1Car"/>
    <w:uiPriority w:val="9"/>
    <w:qFormat/>
    <w:rsid w:val="00D12C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12C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12C3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12C3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12C3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12C3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12C3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12C3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12C3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12C3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12C3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12C3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12C3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12C3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12C3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12C3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12C3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12C3C"/>
    <w:rPr>
      <w:rFonts w:eastAsiaTheme="majorEastAsia" w:cstheme="majorBidi"/>
      <w:color w:val="272727" w:themeColor="text1" w:themeTint="D8"/>
    </w:rPr>
  </w:style>
  <w:style w:type="paragraph" w:styleId="Ttulo">
    <w:name w:val="Title"/>
    <w:basedOn w:val="Normal"/>
    <w:next w:val="Normal"/>
    <w:link w:val="TtuloCar"/>
    <w:uiPriority w:val="10"/>
    <w:qFormat/>
    <w:rsid w:val="00D1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12C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12C3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12C3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12C3C"/>
    <w:pPr>
      <w:spacing w:before="160"/>
      <w:jc w:val="center"/>
    </w:pPr>
    <w:rPr>
      <w:i/>
      <w:iCs/>
      <w:color w:val="404040" w:themeColor="text1" w:themeTint="BF"/>
    </w:rPr>
  </w:style>
  <w:style w:type="character" w:customStyle="1" w:styleId="CitaCar">
    <w:name w:val="Cita Car"/>
    <w:basedOn w:val="Fuentedeprrafopredeter"/>
    <w:link w:val="Cita"/>
    <w:uiPriority w:val="29"/>
    <w:rsid w:val="00D12C3C"/>
    <w:rPr>
      <w:i/>
      <w:iCs/>
      <w:color w:val="404040" w:themeColor="text1" w:themeTint="BF"/>
    </w:rPr>
  </w:style>
  <w:style w:type="paragraph" w:styleId="Prrafodelista">
    <w:name w:val="List Paragraph"/>
    <w:basedOn w:val="Normal"/>
    <w:uiPriority w:val="34"/>
    <w:qFormat/>
    <w:rsid w:val="00D12C3C"/>
    <w:pPr>
      <w:ind w:left="720"/>
      <w:contextualSpacing/>
    </w:pPr>
  </w:style>
  <w:style w:type="character" w:styleId="nfasisintenso">
    <w:name w:val="Intense Emphasis"/>
    <w:basedOn w:val="Fuentedeprrafopredeter"/>
    <w:uiPriority w:val="21"/>
    <w:qFormat/>
    <w:rsid w:val="00D12C3C"/>
    <w:rPr>
      <w:i/>
      <w:iCs/>
      <w:color w:val="0F4761" w:themeColor="accent1" w:themeShade="BF"/>
    </w:rPr>
  </w:style>
  <w:style w:type="paragraph" w:styleId="Citadestacada">
    <w:name w:val="Intense Quote"/>
    <w:basedOn w:val="Normal"/>
    <w:next w:val="Normal"/>
    <w:link w:val="CitadestacadaCar"/>
    <w:uiPriority w:val="30"/>
    <w:qFormat/>
    <w:rsid w:val="00D12C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12C3C"/>
    <w:rPr>
      <w:i/>
      <w:iCs/>
      <w:color w:val="0F4761" w:themeColor="accent1" w:themeShade="BF"/>
    </w:rPr>
  </w:style>
  <w:style w:type="character" w:styleId="Referenciaintensa">
    <w:name w:val="Intense Reference"/>
    <w:basedOn w:val="Fuentedeprrafopredeter"/>
    <w:uiPriority w:val="32"/>
    <w:qFormat/>
    <w:rsid w:val="00D12C3C"/>
    <w:rPr>
      <w:b/>
      <w:bCs/>
      <w:smallCaps/>
      <w:color w:val="0F4761" w:themeColor="accent1" w:themeShade="BF"/>
      <w:spacing w:val="5"/>
    </w:rPr>
  </w:style>
  <w:style w:type="paragraph" w:styleId="Encabezado">
    <w:name w:val="header"/>
    <w:basedOn w:val="Normal"/>
    <w:link w:val="EncabezadoCar"/>
    <w:uiPriority w:val="99"/>
    <w:unhideWhenUsed/>
    <w:rsid w:val="00D12C3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12C3C"/>
    <w:rPr>
      <w:kern w:val="0"/>
      <w14:ligatures w14:val="none"/>
    </w:rPr>
  </w:style>
  <w:style w:type="paragraph" w:styleId="Piedepgina">
    <w:name w:val="footer"/>
    <w:basedOn w:val="Normal"/>
    <w:link w:val="PiedepginaCar"/>
    <w:uiPriority w:val="99"/>
    <w:unhideWhenUsed/>
    <w:rsid w:val="00D12C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12C3C"/>
    <w:rPr>
      <w:kern w:val="0"/>
      <w14:ligatures w14:val="none"/>
    </w:rPr>
  </w:style>
  <w:style w:type="table" w:styleId="Tablaconcuadrcula">
    <w:name w:val="Table Grid"/>
    <w:basedOn w:val="Tablanormal"/>
    <w:uiPriority w:val="39"/>
    <w:qFormat/>
    <w:rsid w:val="00D12C3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qFormat/>
    <w:rsid w:val="00D12C3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oloandres270363@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66DB09-44C9-4D0A-8863-DEC1E113EF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A67B37-6C2A-465B-BED9-D87B41E31019}">
  <ds:schemaRefs>
    <ds:schemaRef ds:uri="http://schemas.microsoft.com/sharepoint/v3/contenttype/forms"/>
  </ds:schemaRefs>
</ds:datastoreItem>
</file>

<file path=customXml/itemProps3.xml><?xml version="1.0" encoding="utf-8"?>
<ds:datastoreItem xmlns:ds="http://schemas.openxmlformats.org/officeDocument/2006/customXml" ds:itemID="{DCE65615-B889-462E-B707-624405F3A52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16</Pages>
  <Words>5402</Words>
  <Characters>29714</Characters>
  <Application>Microsoft Office Word</Application>
  <DocSecurity>0</DocSecurity>
  <Lines>247</Lines>
  <Paragraphs>70</Paragraphs>
  <ScaleCrop>false</ScaleCrop>
  <Company/>
  <LinksUpToDate>false</LinksUpToDate>
  <CharactersWithSpaces>35046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4</cp:revision>
  <dcterms:created xsi:type="dcterms:W3CDTF">2026-05-07T21:44:00Z</dcterms:created>
  <dcterms:modified xsi:type="dcterms:W3CDTF">2026-05-07T21:50:00Z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