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A95B1" w14:textId="77777777" w:rsidR="007B5AD4" w:rsidRPr="004C046B" w:rsidRDefault="007B5AD4" w:rsidP="007B5AD4">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02186126" w14:textId="77777777" w:rsidR="00337110" w:rsidRDefault="00337110" w:rsidP="007B5AD4">
      <w:pPr>
        <w:spacing w:after="0" w:line="240" w:lineRule="auto"/>
        <w:contextualSpacing/>
        <w:jc w:val="both"/>
        <w:rPr>
          <w:rFonts w:ascii="Verdana" w:eastAsia="Calibri" w:hAnsi="Verdana" w:cs="Arial"/>
          <w:sz w:val="20"/>
          <w:szCs w:val="20"/>
          <w:lang w:eastAsia="es-ES"/>
        </w:rPr>
      </w:pPr>
    </w:p>
    <w:p w14:paraId="4540194E" w14:textId="7FC689D4" w:rsidR="00337110" w:rsidRDefault="007C6F9B" w:rsidP="007B5AD4">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w:t>
      </w:r>
      <w:r w:rsidR="00C95F94">
        <w:rPr>
          <w:rFonts w:ascii="Verdana" w:eastAsia="Calibri" w:hAnsi="Verdana" w:cs="Arial"/>
          <w:sz w:val="20"/>
          <w:szCs w:val="20"/>
          <w:lang w:eastAsia="es-ES"/>
        </w:rPr>
        <w:t xml:space="preserve"> </w:t>
      </w:r>
      <w:r w:rsidR="000A5E13">
        <w:rPr>
          <w:rFonts w:ascii="Verdana" w:eastAsia="Calibri" w:hAnsi="Verdana" w:cs="Arial"/>
          <w:sz w:val="20"/>
          <w:szCs w:val="20"/>
          <w:lang w:eastAsia="es-ES"/>
        </w:rPr>
        <w:t>R</w:t>
      </w:r>
      <w:r w:rsidR="000A5E13"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000A5E13" w:rsidRPr="000A5E13">
        <w:rPr>
          <w:rFonts w:ascii="Verdana" w:eastAsia="Calibri" w:hAnsi="Verdana" w:cs="Arial"/>
          <w:sz w:val="20"/>
          <w:szCs w:val="20"/>
          <w:lang w:eastAsia="es-ES"/>
        </w:rPr>
        <w:t>N.°</w:t>
      </w:r>
      <w:proofErr w:type="spellEnd"/>
      <w:r w:rsidR="000A5E13"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000A5E13" w:rsidRPr="000A5E13">
        <w:rPr>
          <w:rFonts w:ascii="Verdana" w:eastAsia="Calibri" w:hAnsi="Verdana" w:cs="Arial"/>
          <w:sz w:val="20"/>
          <w:szCs w:val="20"/>
          <w:lang w:eastAsia="es-ES"/>
        </w:rPr>
        <w:t>PcD</w:t>
      </w:r>
      <w:proofErr w:type="spellEnd"/>
      <w:r w:rsidR="000A5E13" w:rsidRPr="000A5E13">
        <w:rPr>
          <w:rFonts w:ascii="Verdana" w:eastAsia="Calibri" w:hAnsi="Verdana" w:cs="Arial"/>
          <w:sz w:val="20"/>
          <w:szCs w:val="20"/>
          <w:lang w:eastAsia="es-ES"/>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6CD5D098" w14:textId="77777777" w:rsidR="00337110" w:rsidRPr="007B5AD4" w:rsidRDefault="00337110" w:rsidP="007B5AD4">
      <w:pPr>
        <w:spacing w:after="0" w:line="240" w:lineRule="auto"/>
        <w:contextualSpacing/>
        <w:jc w:val="both"/>
        <w:rPr>
          <w:rFonts w:ascii="Verdana" w:eastAsia="Calibri" w:hAnsi="Verdana" w:cs="Arial"/>
          <w:sz w:val="20"/>
          <w:szCs w:val="20"/>
          <w:lang w:eastAsia="es-ES"/>
        </w:rPr>
      </w:pPr>
    </w:p>
    <w:p w14:paraId="25D2F39F" w14:textId="511D7536" w:rsidR="007B5AD4" w:rsidRPr="004C046B" w:rsidRDefault="007B5AD4" w:rsidP="007B5AD4">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74ADB024" w14:textId="77777777" w:rsidR="007B5AD4" w:rsidRPr="007B5AD4" w:rsidRDefault="007B5AD4" w:rsidP="007B5AD4">
      <w:pPr>
        <w:spacing w:after="0" w:line="240" w:lineRule="auto"/>
        <w:contextualSpacing/>
        <w:jc w:val="both"/>
        <w:rPr>
          <w:rFonts w:ascii="Verdana" w:eastAsia="Calibri" w:hAnsi="Verdana" w:cs="Arial"/>
          <w:b/>
          <w:bCs/>
          <w:sz w:val="20"/>
          <w:szCs w:val="20"/>
          <w:lang w:eastAsia="es-ES"/>
        </w:rPr>
      </w:pPr>
    </w:p>
    <w:p w14:paraId="128CF4EE" w14:textId="7A031481" w:rsidR="00337110" w:rsidRDefault="007C6F9B" w:rsidP="007B5AD4">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2469AD36" w14:textId="77777777" w:rsidR="00337110" w:rsidRDefault="00337110" w:rsidP="007B5AD4">
      <w:pPr>
        <w:spacing w:after="0" w:line="240" w:lineRule="auto"/>
        <w:contextualSpacing/>
        <w:jc w:val="both"/>
        <w:rPr>
          <w:rFonts w:ascii="Verdana" w:eastAsia="Calibri" w:hAnsi="Verdana" w:cs="Arial"/>
          <w:sz w:val="20"/>
          <w:szCs w:val="20"/>
          <w:lang w:eastAsia="es-ES"/>
        </w:rPr>
      </w:pPr>
    </w:p>
    <w:p w14:paraId="25801161" w14:textId="77777777" w:rsidR="007B5AD4" w:rsidRPr="004C046B" w:rsidRDefault="007B5AD4" w:rsidP="007B5AD4">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0E6F80C3" w14:textId="77777777" w:rsidR="007B5AD4" w:rsidRPr="007B5AD4" w:rsidRDefault="007B5AD4" w:rsidP="007B5AD4">
      <w:pPr>
        <w:spacing w:after="0" w:line="240" w:lineRule="auto"/>
        <w:contextualSpacing/>
        <w:jc w:val="both"/>
        <w:rPr>
          <w:rFonts w:ascii="Verdana" w:eastAsia="Calibri" w:hAnsi="Verdana" w:cs="Arial"/>
          <w:b/>
          <w:bCs/>
          <w:sz w:val="20"/>
          <w:szCs w:val="20"/>
          <w:lang w:eastAsia="es-ES"/>
        </w:rPr>
      </w:pPr>
    </w:p>
    <w:p w14:paraId="3D277A59" w14:textId="5C574CD4" w:rsidR="007B5AD4" w:rsidRPr="00206556" w:rsidRDefault="007C6F9B" w:rsidP="007B5AD4">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por al menos un año; y personas jurídicas con al menos una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vinculada laboralmente en un cargo de nivel directivo por al menos un año. El segundo sujeto son los empleadores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r w:rsidR="007B5AD4" w:rsidRPr="007B5AD4">
        <w:rPr>
          <w:rFonts w:ascii="Verdana" w:eastAsia="Calibri" w:hAnsi="Verdana" w:cs="Arial"/>
          <w:sz w:val="20"/>
          <w:szCs w:val="20"/>
          <w:lang w:eastAsia="es-ES"/>
        </w:rPr>
        <w:t>.</w:t>
      </w:r>
    </w:p>
    <w:p w14:paraId="5D0A89A9" w14:textId="77777777" w:rsidR="007B5AD4" w:rsidRPr="007B5AD4" w:rsidRDefault="007B5AD4" w:rsidP="007B5AD4">
      <w:pPr>
        <w:spacing w:after="0" w:line="240" w:lineRule="auto"/>
        <w:contextualSpacing/>
        <w:jc w:val="both"/>
        <w:rPr>
          <w:rFonts w:ascii="Verdana" w:eastAsia="Calibri" w:hAnsi="Verdana" w:cs="Arial"/>
          <w:sz w:val="20"/>
          <w:szCs w:val="20"/>
          <w:lang w:eastAsia="es-ES"/>
        </w:rPr>
      </w:pPr>
    </w:p>
    <w:p w14:paraId="2E8D8671" w14:textId="77777777" w:rsidR="007B5AD4" w:rsidRPr="004C046B" w:rsidRDefault="007B5AD4" w:rsidP="007B5AD4">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No acumulabilidad ‒ Acreditación simultánea de condiciones ‒ Modalidades de selección aplicables</w:t>
      </w:r>
    </w:p>
    <w:p w14:paraId="354554F5" w14:textId="77777777" w:rsidR="007B5AD4" w:rsidRPr="00206556" w:rsidRDefault="007B5AD4" w:rsidP="007B5AD4">
      <w:pPr>
        <w:spacing w:after="0" w:line="240" w:lineRule="auto"/>
        <w:contextualSpacing/>
        <w:jc w:val="both"/>
        <w:rPr>
          <w:rFonts w:ascii="Verdana" w:eastAsia="Calibri" w:hAnsi="Verdana" w:cs="Arial"/>
          <w:sz w:val="20"/>
          <w:szCs w:val="20"/>
          <w:lang w:eastAsia="es-ES"/>
        </w:rPr>
      </w:pPr>
    </w:p>
    <w:p w14:paraId="066B7C4A" w14:textId="73F604BA" w:rsidR="007B5AD4" w:rsidRDefault="007C6F9B" w:rsidP="007B5AD4">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artículo 2.2.1.2.4.2.7.4. del Decreto 0287 de 2026 es explícito al disponer que, aunque el proponente acredite simultáneamente ser emprendimiento o empresa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y ser empleador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r w:rsidR="007B5AD4" w:rsidRPr="007B5AD4">
        <w:rPr>
          <w:rFonts w:ascii="Verdana" w:eastAsia="Calibri" w:hAnsi="Verdana" w:cs="Arial"/>
          <w:sz w:val="20"/>
          <w:szCs w:val="20"/>
          <w:lang w:eastAsia="es-ES"/>
        </w:rPr>
        <w:t>.</w:t>
      </w:r>
    </w:p>
    <w:p w14:paraId="7380B0FD" w14:textId="77777777" w:rsidR="00E84734" w:rsidRDefault="00E84734" w:rsidP="007B5AD4">
      <w:pPr>
        <w:spacing w:after="0" w:line="240" w:lineRule="auto"/>
        <w:contextualSpacing/>
        <w:jc w:val="both"/>
        <w:rPr>
          <w:rFonts w:ascii="Verdana" w:eastAsia="Calibri" w:hAnsi="Verdana" w:cs="Arial"/>
          <w:b/>
          <w:bCs/>
          <w:sz w:val="20"/>
          <w:szCs w:val="20"/>
          <w:lang w:eastAsia="es-ES"/>
        </w:rPr>
      </w:pPr>
    </w:p>
    <w:p w14:paraId="648BD130" w14:textId="49C3B196" w:rsidR="007B5AD4" w:rsidRPr="004C046B" w:rsidRDefault="007B5AD4" w:rsidP="007B5AD4">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Vinculación de personas con discapacidad ‒ Planillas de seguridad social ‒ Período de tres meses ‒ Vinculaciones recientes</w:t>
      </w:r>
    </w:p>
    <w:p w14:paraId="20A3AD43" w14:textId="77777777" w:rsidR="007B5AD4" w:rsidRPr="00206556" w:rsidRDefault="007B5AD4" w:rsidP="007B5AD4">
      <w:pPr>
        <w:spacing w:after="0" w:line="240" w:lineRule="auto"/>
        <w:contextualSpacing/>
        <w:jc w:val="both"/>
        <w:rPr>
          <w:rFonts w:ascii="Verdana" w:eastAsia="Calibri" w:hAnsi="Verdana" w:cs="Arial"/>
          <w:sz w:val="20"/>
          <w:szCs w:val="20"/>
          <w:lang w:eastAsia="es-ES"/>
        </w:rPr>
      </w:pPr>
    </w:p>
    <w:p w14:paraId="1C39400C" w14:textId="77777777" w:rsidR="00C820EF" w:rsidRDefault="00C820EF" w:rsidP="00C820EF">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t xml:space="preserve">Ahora bien, la documentación para la acreditación de las condiciones bajo las cuales se otorga el puntaje depende del sujeto de que se trate, en la condición de empleador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los documentos están dispuestos en el artículo 2.2.1.2.4.2.7.4, el cual exige, entre otros documentos, los certificados de aportes a seguridad social de los tres (3) meses anteriores a la presentación de la oferta respecto de cada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cuyas planillas no alcancen ese período, pudiendo el proponente acreditar el puntaje con base en las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que sí cumplen el requisito temporal y participar en el proceso sin el puntaje en caso de no alcanzar ninguna. El término de tres (3) </w:t>
      </w:r>
      <w:proofErr w:type="gramStart"/>
      <w:r w:rsidRPr="00C820EF">
        <w:rPr>
          <w:rFonts w:ascii="Verdana" w:eastAsia="Calibri" w:hAnsi="Verdana" w:cs="Arial"/>
          <w:sz w:val="20"/>
          <w:szCs w:val="20"/>
          <w:lang w:eastAsia="es-ES"/>
        </w:rPr>
        <w:t>meses aquí mencionado</w:t>
      </w:r>
      <w:proofErr w:type="gramEnd"/>
      <w:r w:rsidRPr="00C820EF">
        <w:rPr>
          <w:rFonts w:ascii="Verdana" w:eastAsia="Calibri" w:hAnsi="Verdana" w:cs="Arial"/>
          <w:sz w:val="20"/>
          <w:szCs w:val="20"/>
          <w:lang w:eastAsia="es-ES"/>
        </w:rPr>
        <w:t xml:space="preserve"> es diferente al término de un (1) año mencionado en el artículo 2.2.1.2.4.2.6 respecto de los emprendimientos y empresas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w:t>
      </w:r>
    </w:p>
    <w:p w14:paraId="67BF45BF" w14:textId="77777777" w:rsidR="00C820EF" w:rsidRPr="00C820EF" w:rsidRDefault="00C820EF" w:rsidP="00C820EF">
      <w:pPr>
        <w:spacing w:after="0" w:line="240" w:lineRule="auto"/>
        <w:contextualSpacing/>
        <w:jc w:val="both"/>
        <w:rPr>
          <w:rFonts w:ascii="Verdana" w:eastAsia="Calibri" w:hAnsi="Verdana" w:cs="Arial"/>
          <w:sz w:val="20"/>
          <w:szCs w:val="20"/>
          <w:lang w:eastAsia="es-ES"/>
        </w:rPr>
      </w:pPr>
    </w:p>
    <w:p w14:paraId="5597273D" w14:textId="2059A1F0" w:rsidR="003C64A5" w:rsidRPr="003C64A5" w:rsidRDefault="00C820EF" w:rsidP="00C820EF">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lastRenderedPageBreak/>
        <w:t xml:space="preserve">Para efectos de determinar el número mínimo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que el proponente debe tener vinculadas en su planta de personal para acceder al puntaje, el artículo 2.2.1.2.4.2.7.4. del Decreto 0287 de 2026 establece una tabla, que ya incorpora los mínimos exigidos por la Ley 2466 de 2025 (Reforma Laboral), de modo que el puntaje solo se otorga a quien cumpla lo indicado en la tabla. La vinculación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a las plantas de personal de posibles proveedores, debe ser a través de contrato laboral con dedicación exclusiva, cuya definición le corresponde al Ministerio del Trabajo. Por otra parte, los documentos para acreditar la otra condición que es ser emprendimiento o empresa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son los indicados en el artículo 2.2.1.2.4.2.6 y no los del artículo 2.2.1.2.4.2.7.4</w:t>
      </w:r>
      <w:r w:rsidR="003C64A5" w:rsidRPr="003C64A5">
        <w:rPr>
          <w:rFonts w:ascii="Verdana" w:eastAsia="Calibri" w:hAnsi="Verdana" w:cs="Arial"/>
          <w:sz w:val="20"/>
          <w:szCs w:val="20"/>
          <w:lang w:eastAsia="es-ES"/>
        </w:rPr>
        <w:t>.</w:t>
      </w:r>
    </w:p>
    <w:p w14:paraId="5DBB55F5" w14:textId="77777777" w:rsidR="007B5AD4" w:rsidRPr="007B5AD4" w:rsidRDefault="007B5AD4" w:rsidP="007B5AD4">
      <w:pPr>
        <w:spacing w:after="0" w:line="240" w:lineRule="auto"/>
        <w:contextualSpacing/>
        <w:jc w:val="both"/>
        <w:rPr>
          <w:rFonts w:ascii="Verdana" w:eastAsia="Calibri" w:hAnsi="Verdana" w:cs="Arial"/>
          <w:sz w:val="20"/>
          <w:szCs w:val="20"/>
          <w:lang w:eastAsia="es-ES"/>
        </w:rPr>
      </w:pPr>
    </w:p>
    <w:p w14:paraId="10DD707F"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753F349A"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2C5829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21B69100"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43CF61A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75A613D7"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A2DA0D7"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0A1F8A89"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69B8B0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E864662"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DDA385D"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3CC37E14"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6F6D02F"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735E8A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79E0336"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3FB5ABEF"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6C23B0C2"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482AA94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56192A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2E7326F2"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A47CDFD"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91AF36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0EDA3021"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BFC3C7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4B29E45D"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212A9250"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793BC852" w14:textId="77777777" w:rsidR="008D5774" w:rsidRPr="00206556"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54798CAB" w14:textId="77777777" w:rsidR="006A0794" w:rsidRDefault="006A0794" w:rsidP="001B064E">
      <w:pPr>
        <w:spacing w:after="0"/>
        <w:rPr>
          <w:rFonts w:ascii="Verdana" w:hAnsi="Verdana"/>
          <w:lang w:val="es-ES_tradnl"/>
        </w:rPr>
      </w:pPr>
    </w:p>
    <w:p w14:paraId="33F4D8A2" w14:textId="77777777" w:rsidR="006A0794" w:rsidRDefault="006A0794" w:rsidP="001B064E">
      <w:pPr>
        <w:spacing w:after="0"/>
        <w:rPr>
          <w:rFonts w:ascii="Verdana" w:hAnsi="Verdana"/>
          <w:lang w:val="es-ES_tradnl"/>
        </w:rPr>
      </w:pPr>
    </w:p>
    <w:p w14:paraId="2E7BCE1B" w14:textId="77777777" w:rsidR="006A0794" w:rsidRDefault="006A0794" w:rsidP="001B064E">
      <w:pPr>
        <w:spacing w:after="0"/>
        <w:rPr>
          <w:rFonts w:ascii="Verdana" w:hAnsi="Verdana"/>
          <w:lang w:val="es-ES_tradnl"/>
        </w:rPr>
      </w:pPr>
    </w:p>
    <w:p w14:paraId="0AAB7FD1" w14:textId="77777777" w:rsidR="006A0794" w:rsidRDefault="006A0794" w:rsidP="001B064E">
      <w:pPr>
        <w:spacing w:after="0"/>
        <w:rPr>
          <w:rFonts w:ascii="Verdana" w:hAnsi="Verdana"/>
          <w:lang w:val="es-ES_tradnl"/>
        </w:rPr>
      </w:pPr>
    </w:p>
    <w:p w14:paraId="416167AB" w14:textId="77777777" w:rsidR="006A0794" w:rsidRDefault="006A0794" w:rsidP="001B064E">
      <w:pPr>
        <w:spacing w:after="0"/>
        <w:rPr>
          <w:rFonts w:ascii="Verdana" w:hAnsi="Verdana"/>
          <w:lang w:val="es-ES_tradnl"/>
        </w:rPr>
      </w:pPr>
    </w:p>
    <w:p w14:paraId="448CCFB7" w14:textId="77777777" w:rsidR="006A0794" w:rsidRDefault="006A0794" w:rsidP="001B064E">
      <w:pPr>
        <w:spacing w:after="0"/>
        <w:rPr>
          <w:rFonts w:ascii="Verdana" w:hAnsi="Verdana"/>
          <w:lang w:val="es-ES_tradnl"/>
        </w:rPr>
      </w:pPr>
    </w:p>
    <w:p w14:paraId="28B73089" w14:textId="77777777" w:rsidR="006A0794" w:rsidRDefault="006A0794" w:rsidP="001B064E">
      <w:pPr>
        <w:spacing w:after="0"/>
        <w:rPr>
          <w:rFonts w:ascii="Verdana" w:hAnsi="Verdana"/>
          <w:lang w:val="es-ES_tradnl"/>
        </w:rPr>
      </w:pPr>
    </w:p>
    <w:p w14:paraId="62D221C9" w14:textId="31841780" w:rsidR="001B064E" w:rsidRPr="00777292" w:rsidRDefault="00A4789E" w:rsidP="001B064E">
      <w:pPr>
        <w:spacing w:after="0"/>
        <w:rPr>
          <w:rFonts w:ascii="Verdana" w:hAnsi="Verdana"/>
          <w:lang w:val="es-ES_tradnl"/>
        </w:rPr>
      </w:pPr>
      <w:r w:rsidRPr="00A4789E">
        <w:rPr>
          <w:rFonts w:ascii="Verdana" w:hAnsi="Verdana"/>
          <w:noProof/>
          <w:lang w:val="es-ES_tradnl"/>
        </w:rPr>
        <w:lastRenderedPageBreak/>
        <w:drawing>
          <wp:anchor distT="0" distB="0" distL="114300" distR="114300" simplePos="0" relativeHeight="251658240" behindDoc="1" locked="0" layoutInCell="1" allowOverlap="1" wp14:anchorId="4A6F1A18" wp14:editId="1F233719">
            <wp:simplePos x="0" y="0"/>
            <wp:positionH relativeFrom="margin">
              <wp:align>right</wp:align>
            </wp:positionH>
            <wp:positionV relativeFrom="paragraph">
              <wp:posOffset>9221</wp:posOffset>
            </wp:positionV>
            <wp:extent cx="2825750" cy="880110"/>
            <wp:effectExtent l="0" t="0" r="0" b="0"/>
            <wp:wrapSquare wrapText="bothSides"/>
            <wp:docPr id="21455009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500954" name=""/>
                    <pic:cNvPicPr/>
                  </pic:nvPicPr>
                  <pic:blipFill>
                    <a:blip r:embed="rId11">
                      <a:extLst>
                        <a:ext uri="{28A0092B-C50C-407E-A947-70E740481C1C}">
                          <a14:useLocalDpi xmlns:a14="http://schemas.microsoft.com/office/drawing/2010/main" val="0"/>
                        </a:ext>
                      </a:extLst>
                    </a:blip>
                    <a:stretch>
                      <a:fillRect/>
                    </a:stretch>
                  </pic:blipFill>
                  <pic:spPr>
                    <a:xfrm>
                      <a:off x="0" y="0"/>
                      <a:ext cx="2825750" cy="880110"/>
                    </a:xfrm>
                    <a:prstGeom prst="rect">
                      <a:avLst/>
                    </a:prstGeom>
                  </pic:spPr>
                </pic:pic>
              </a:graphicData>
            </a:graphic>
            <wp14:sizeRelH relativeFrom="page">
              <wp14:pctWidth>0</wp14:pctWidth>
            </wp14:sizeRelH>
            <wp14:sizeRelV relativeFrom="page">
              <wp14:pctHeight>0</wp14:pctHeight>
            </wp14:sizeRelV>
          </wp:anchor>
        </w:drawing>
      </w:r>
      <w:r w:rsidRPr="00A4789E">
        <w:rPr>
          <w:rFonts w:ascii="Verdana" w:hAnsi="Verdana"/>
        </w:rPr>
        <w:t xml:space="preserve">Bogotá D.C., 07 de </w:t>
      </w:r>
      <w:r w:rsidR="00567A81" w:rsidRPr="00A4789E">
        <w:rPr>
          <w:rFonts w:ascii="Verdana" w:hAnsi="Verdana"/>
        </w:rPr>
        <w:t>mayo</w:t>
      </w:r>
      <w:r w:rsidRPr="00A4789E">
        <w:rPr>
          <w:rFonts w:ascii="Verdana" w:hAnsi="Verdana"/>
        </w:rPr>
        <w:t xml:space="preserve"> de 2026</w:t>
      </w:r>
    </w:p>
    <w:p w14:paraId="5DF4E0A1" w14:textId="174688CF" w:rsidR="008D5774" w:rsidRPr="00777292" w:rsidRDefault="008D5774" w:rsidP="008D5774">
      <w:pPr>
        <w:spacing w:after="0"/>
        <w:rPr>
          <w:rFonts w:ascii="Verdana" w:hAnsi="Verdana"/>
          <w:lang w:val="es-ES_tradnl"/>
        </w:rPr>
      </w:pPr>
    </w:p>
    <w:p w14:paraId="2402F1C9" w14:textId="1AC66E78" w:rsidR="008D5774" w:rsidRDefault="008D5774" w:rsidP="006A0794">
      <w:pPr>
        <w:spacing w:after="0" w:line="240" w:lineRule="auto"/>
        <w:rPr>
          <w:rFonts w:ascii="Verdana" w:hAnsi="Verdana"/>
          <w:lang w:val="es-ES"/>
        </w:rPr>
      </w:pPr>
      <w:bookmarkStart w:id="0" w:name="_Hlk143780582"/>
      <w:r w:rsidRPr="00777292">
        <w:rPr>
          <w:rFonts w:ascii="Verdana" w:eastAsia="Calibri" w:hAnsi="Verdana" w:cs="Arial"/>
          <w:lang w:val="es-ES" w:eastAsia="es-ES"/>
        </w:rPr>
        <w:t>Señor</w:t>
      </w:r>
    </w:p>
    <w:p w14:paraId="7C21A137" w14:textId="77777777" w:rsidR="006A0794" w:rsidRDefault="006A0794" w:rsidP="006A0794">
      <w:pPr>
        <w:spacing w:after="0" w:line="240" w:lineRule="auto"/>
        <w:rPr>
          <w:rFonts w:ascii="Verdana" w:hAnsi="Verdana"/>
          <w:b/>
          <w:bCs/>
          <w:lang w:val="es-ES"/>
        </w:rPr>
      </w:pPr>
      <w:r>
        <w:rPr>
          <w:rFonts w:ascii="Verdana" w:hAnsi="Verdana"/>
          <w:b/>
          <w:bCs/>
          <w:lang w:val="es-ES"/>
        </w:rPr>
        <w:t>Steven Ortiz Vásquez</w:t>
      </w:r>
    </w:p>
    <w:p w14:paraId="161EFC6C" w14:textId="1BA8014A" w:rsidR="008D5774" w:rsidRPr="006A0794" w:rsidRDefault="006A0794" w:rsidP="006A0794">
      <w:pPr>
        <w:spacing w:after="0" w:line="240" w:lineRule="auto"/>
        <w:rPr>
          <w:rStyle w:val="Hipervnculo"/>
          <w:rFonts w:ascii="Verdana" w:hAnsi="Verdana"/>
          <w:b/>
          <w:bCs/>
          <w:color w:val="auto"/>
          <w:u w:val="none"/>
          <w:lang w:val="es-ES"/>
        </w:rPr>
      </w:pPr>
      <w:proofErr w:type="spellStart"/>
      <w:r>
        <w:rPr>
          <w:rFonts w:ascii="Verdana" w:hAnsi="Verdana"/>
          <w:lang w:val="es-ES"/>
        </w:rPr>
        <w:t>Stevenortizvasquez</w:t>
      </w:r>
      <w:proofErr w:type="spellEnd"/>
      <w:r w:rsidR="00D878A4" w:rsidRPr="00D878A4">
        <w:rPr>
          <w:rStyle w:val="Hipervnculo"/>
          <w:rFonts w:ascii="Verdana" w:hAnsi="Verdana"/>
          <w:color w:val="auto"/>
        </w:rPr>
        <w:t>@gmail.com</w:t>
      </w:r>
    </w:p>
    <w:p w14:paraId="61203DA3" w14:textId="1822C5B3" w:rsidR="001B6C7C" w:rsidRPr="00777292" w:rsidRDefault="006A0794" w:rsidP="001B6C7C">
      <w:pPr>
        <w:spacing w:after="0"/>
        <w:rPr>
          <w:rFonts w:ascii="Verdana" w:eastAsia="Calibri" w:hAnsi="Verdana" w:cs="Arial"/>
          <w:lang w:eastAsia="es-ES"/>
        </w:rPr>
      </w:pPr>
      <w:r>
        <w:rPr>
          <w:rFonts w:ascii="Verdana" w:eastAsia="Calibri" w:hAnsi="Verdana" w:cs="Arial"/>
          <w:lang w:eastAsia="es-ES"/>
        </w:rPr>
        <w:t>Bogotá, Cundinamarca</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6C7C" w:rsidRPr="00777292" w14:paraId="085D21A1" w14:textId="77777777">
        <w:trPr>
          <w:trHeight w:val="190"/>
        </w:trPr>
        <w:tc>
          <w:tcPr>
            <w:tcW w:w="2689" w:type="dxa"/>
          </w:tcPr>
          <w:p w14:paraId="2CE989D5" w14:textId="77777777" w:rsidR="001B6C7C" w:rsidRPr="00777292" w:rsidRDefault="001B6C7C">
            <w:pPr>
              <w:jc w:val="both"/>
              <w:rPr>
                <w:rFonts w:ascii="Verdana" w:eastAsia="Calibri" w:hAnsi="Verdana" w:cs="Arial"/>
                <w:b/>
                <w:bCs/>
                <w:lang w:eastAsia="es-ES_tradnl"/>
              </w:rPr>
            </w:pPr>
          </w:p>
        </w:tc>
        <w:tc>
          <w:tcPr>
            <w:tcW w:w="6100" w:type="dxa"/>
          </w:tcPr>
          <w:p w14:paraId="16596E46" w14:textId="72857E06" w:rsidR="001B6C7C" w:rsidRPr="00777292" w:rsidRDefault="001B6C7C">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sidR="006A0794">
              <w:rPr>
                <w:rFonts w:ascii="Verdana" w:eastAsia="Calibri" w:hAnsi="Verdana" w:cs="Arial"/>
                <w:b/>
                <w:bCs/>
                <w:lang w:eastAsia="es-ES"/>
              </w:rPr>
              <w:t>484</w:t>
            </w:r>
            <w:r w:rsidRPr="00777292">
              <w:rPr>
                <w:rFonts w:ascii="Verdana" w:eastAsia="Calibri" w:hAnsi="Verdana" w:cs="Arial"/>
                <w:b/>
                <w:bCs/>
                <w:lang w:eastAsia="es-ES"/>
              </w:rPr>
              <w:t xml:space="preserve"> de 2026</w:t>
            </w:r>
          </w:p>
          <w:p w14:paraId="7FE82840" w14:textId="77777777" w:rsidR="001B6C7C" w:rsidRPr="00777292" w:rsidRDefault="001B6C7C">
            <w:pPr>
              <w:jc w:val="both"/>
              <w:rPr>
                <w:rFonts w:ascii="Verdana" w:eastAsia="Calibri" w:hAnsi="Verdana" w:cs="Arial"/>
                <w:b/>
                <w:bCs/>
                <w:lang w:eastAsia="es-ES"/>
              </w:rPr>
            </w:pPr>
          </w:p>
        </w:tc>
      </w:tr>
      <w:tr w:rsidR="001B6C7C" w:rsidRPr="00777292" w14:paraId="63A5AB9D" w14:textId="77777777">
        <w:trPr>
          <w:trHeight w:val="884"/>
        </w:trPr>
        <w:tc>
          <w:tcPr>
            <w:tcW w:w="2689" w:type="dxa"/>
          </w:tcPr>
          <w:p w14:paraId="77DFD30F" w14:textId="77777777" w:rsidR="001B6C7C" w:rsidRPr="00777292" w:rsidRDefault="001B6C7C" w:rsidP="001B6C7C">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4213B622" w14:textId="77777777" w:rsidR="006A0794" w:rsidRDefault="00777292" w:rsidP="006A0794">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No acumulabilidad ‒ Acreditación simultánea de condiciones ‒ Modalidades de selección aplicables</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Vinculación de personas con discapacidad ‒ Planillas de seguridad social ‒ Período de tres meses ‒ Vinculaciones recientes</w:t>
            </w:r>
            <w:r>
              <w:rPr>
                <w:rFonts w:ascii="Verdana" w:eastAsia="Calibri" w:hAnsi="Verdana" w:cs="Arial"/>
                <w:lang w:eastAsia="es-ES"/>
              </w:rPr>
              <w:t xml:space="preserve"> </w:t>
            </w:r>
          </w:p>
          <w:p w14:paraId="34C0CDD8" w14:textId="7233C292" w:rsidR="006A0794" w:rsidRPr="00777292" w:rsidRDefault="006A0794" w:rsidP="006A0794">
            <w:pPr>
              <w:contextualSpacing/>
              <w:jc w:val="both"/>
              <w:rPr>
                <w:rFonts w:ascii="Verdana" w:eastAsia="Calibri" w:hAnsi="Verdana" w:cs="Arial"/>
                <w:lang w:eastAsia="es-ES"/>
              </w:rPr>
            </w:pPr>
          </w:p>
        </w:tc>
      </w:tr>
      <w:tr w:rsidR="001B6C7C" w:rsidRPr="00777292" w14:paraId="18649ABC" w14:textId="77777777">
        <w:tc>
          <w:tcPr>
            <w:tcW w:w="2689" w:type="dxa"/>
          </w:tcPr>
          <w:p w14:paraId="65B57F33" w14:textId="77777777" w:rsidR="001B6C7C" w:rsidRPr="00777292" w:rsidRDefault="001B6C7C">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7EDDA735" w14:textId="25891996" w:rsidR="001B6C7C" w:rsidRPr="00777292" w:rsidRDefault="001B6C7C">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00D878A4" w:rsidRPr="00D878A4">
              <w:rPr>
                <w:rFonts w:ascii="Verdana" w:hAnsi="Verdana" w:cs="Segoe UI"/>
                <w:color w:val="2B2B2B"/>
                <w:shd w:val="clear" w:color="auto" w:fill="FFFFFF"/>
              </w:rPr>
              <w:t>1_2026_03_25_004104</w:t>
            </w:r>
          </w:p>
        </w:tc>
      </w:tr>
    </w:tbl>
    <w:p w14:paraId="170CD5C6" w14:textId="77777777" w:rsidR="001B6C7C" w:rsidRPr="00206556" w:rsidRDefault="001B6C7C" w:rsidP="001B6C7C">
      <w:pPr>
        <w:tabs>
          <w:tab w:val="left" w:pos="1520"/>
        </w:tabs>
        <w:spacing w:after="0" w:line="276" w:lineRule="auto"/>
        <w:jc w:val="both"/>
        <w:rPr>
          <w:rFonts w:ascii="Verdana" w:eastAsia="Calibri" w:hAnsi="Verdana" w:cs="Arial"/>
          <w:color w:val="ED7D31" w:themeColor="accent2"/>
          <w:sz w:val="20"/>
          <w:szCs w:val="20"/>
          <w:lang w:val="es-ES" w:eastAsia="es-ES"/>
        </w:rPr>
      </w:pPr>
    </w:p>
    <w:p w14:paraId="7B20ECE9" w14:textId="77777777" w:rsidR="008D5774" w:rsidRPr="00206556" w:rsidRDefault="008D5774" w:rsidP="008D5774">
      <w:pPr>
        <w:spacing w:after="0" w:line="276" w:lineRule="auto"/>
        <w:jc w:val="both"/>
        <w:rPr>
          <w:rFonts w:ascii="Verdana" w:eastAsia="Calibri" w:hAnsi="Verdana" w:cs="Arial"/>
          <w:color w:val="ED7D31" w:themeColor="accent2"/>
          <w:lang w:val="es-ES" w:eastAsia="es-ES"/>
        </w:rPr>
      </w:pPr>
    </w:p>
    <w:p w14:paraId="392D9012" w14:textId="30FD4D2E" w:rsidR="008D5774" w:rsidRPr="00206556" w:rsidRDefault="008D5774" w:rsidP="008D5774">
      <w:pPr>
        <w:spacing w:after="0" w:line="276" w:lineRule="auto"/>
        <w:jc w:val="both"/>
        <w:rPr>
          <w:rFonts w:ascii="Verdana" w:eastAsia="Calibri" w:hAnsi="Verdana" w:cs="Arial"/>
          <w:lang w:val="es-ES" w:eastAsia="es-ES"/>
        </w:rPr>
      </w:pPr>
      <w:r w:rsidRPr="00D878A4">
        <w:rPr>
          <w:rFonts w:ascii="Verdana" w:eastAsia="Calibri" w:hAnsi="Verdana" w:cs="Arial"/>
          <w:lang w:val="es-ES" w:eastAsia="es-ES"/>
        </w:rPr>
        <w:t>Estimad</w:t>
      </w:r>
      <w:r w:rsidR="00C622DE" w:rsidRPr="00D878A4">
        <w:rPr>
          <w:rFonts w:ascii="Verdana" w:eastAsia="Calibri" w:hAnsi="Verdana" w:cs="Arial"/>
          <w:lang w:val="es-ES" w:eastAsia="es-ES"/>
        </w:rPr>
        <w:t>o</w:t>
      </w:r>
      <w:r w:rsidRPr="00D878A4">
        <w:rPr>
          <w:rFonts w:ascii="Verdana" w:eastAsia="Calibri" w:hAnsi="Verdana" w:cs="Arial"/>
          <w:lang w:val="es-ES" w:eastAsia="es-ES"/>
        </w:rPr>
        <w:t xml:space="preserve"> </w:t>
      </w:r>
      <w:r w:rsidR="006A0794" w:rsidRPr="00D878A4">
        <w:rPr>
          <w:rFonts w:ascii="Verdana" w:eastAsia="Calibri" w:hAnsi="Verdana" w:cs="Arial"/>
          <w:lang w:val="es-ES" w:eastAsia="es-ES"/>
        </w:rPr>
        <w:t>señor Ortiz</w:t>
      </w:r>
      <w:r w:rsidRPr="00D878A4">
        <w:rPr>
          <w:rFonts w:ascii="Verdana" w:eastAsia="Calibri" w:hAnsi="Verdana" w:cs="Arial"/>
          <w:lang w:val="es-ES" w:eastAsia="es-ES"/>
        </w:rPr>
        <w:t>,</w:t>
      </w:r>
    </w:p>
    <w:p w14:paraId="23FCCBE5" w14:textId="77777777" w:rsidR="008D5774" w:rsidRPr="00206556" w:rsidRDefault="008D5774" w:rsidP="008D5774">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3426E35D" w14:textId="63E441F7" w:rsidR="008D5774" w:rsidRPr="00206556" w:rsidRDefault="008D5774" w:rsidP="008D5774">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w:t>
      </w:r>
      <w:r w:rsidR="00995967" w:rsidRPr="00206556">
        <w:rPr>
          <w:rFonts w:ascii="Verdana" w:hAnsi="Verdana" w:cs="Arial"/>
          <w:lang w:val="es-ES"/>
        </w:rPr>
        <w:t xml:space="preserve">la Resolución 469 de 2025 </w:t>
      </w:r>
      <w:r w:rsidRPr="00206556">
        <w:rPr>
          <w:rFonts w:ascii="Verdana" w:hAnsi="Verdana" w:cs="Arial"/>
          <w:lang w:val="es-ES"/>
        </w:rPr>
        <w:t xml:space="preserve">expedida por esta Entidad, </w:t>
      </w:r>
      <w:r w:rsidRPr="00206556">
        <w:rPr>
          <w:rFonts w:ascii="Verdana" w:eastAsia="Calibri" w:hAnsi="Verdana" w:cs="Arial"/>
          <w:lang w:val="es-ES" w:eastAsia="es-ES"/>
        </w:rPr>
        <w:t xml:space="preserve">la Agencia Nacional de Contratación Pública – Colombia Compra Eficiente– responde su solicitud de consulta de </w:t>
      </w:r>
      <w:r w:rsidRPr="00D878A4">
        <w:rPr>
          <w:rFonts w:ascii="Verdana" w:eastAsia="Calibri" w:hAnsi="Verdana" w:cs="Arial"/>
          <w:lang w:val="es-ES" w:eastAsia="es-ES"/>
        </w:rPr>
        <w:t xml:space="preserve">fecha </w:t>
      </w:r>
      <w:r w:rsidR="006A0794" w:rsidRPr="00D878A4">
        <w:rPr>
          <w:rFonts w:ascii="Verdana" w:eastAsia="Calibri" w:hAnsi="Verdana" w:cs="Arial"/>
          <w:lang w:val="es-ES" w:eastAsia="es-ES"/>
        </w:rPr>
        <w:t>25</w:t>
      </w:r>
      <w:r w:rsidRPr="00D878A4">
        <w:rPr>
          <w:rFonts w:ascii="Verdana" w:eastAsia="Calibri" w:hAnsi="Verdana" w:cs="Arial"/>
          <w:lang w:val="es-ES" w:eastAsia="es-ES"/>
        </w:rPr>
        <w:t xml:space="preserve"> de </w:t>
      </w:r>
      <w:r w:rsidR="006A0794" w:rsidRPr="00D878A4">
        <w:rPr>
          <w:rFonts w:ascii="Verdana" w:eastAsia="Calibri" w:hAnsi="Verdana" w:cs="Arial"/>
          <w:lang w:val="es-ES" w:eastAsia="es-ES"/>
        </w:rPr>
        <w:t>marzo</w:t>
      </w:r>
      <w:r w:rsidRPr="00D878A4">
        <w:rPr>
          <w:rFonts w:ascii="Verdana" w:eastAsia="Calibri" w:hAnsi="Verdana" w:cs="Arial"/>
          <w:lang w:val="es-ES" w:eastAsia="es-ES"/>
        </w:rPr>
        <w:t xml:space="preserve"> de 202</w:t>
      </w:r>
      <w:r w:rsidR="0006693F" w:rsidRPr="00D878A4">
        <w:rPr>
          <w:rFonts w:ascii="Verdana" w:eastAsia="Calibri" w:hAnsi="Verdana" w:cs="Arial"/>
          <w:lang w:val="es-ES" w:eastAsia="es-ES"/>
        </w:rPr>
        <w:t>6</w:t>
      </w:r>
      <w:r w:rsidRPr="00D878A4">
        <w:rPr>
          <w:rFonts w:ascii="Verdana" w:eastAsia="Calibri" w:hAnsi="Verdana" w:cs="Arial"/>
          <w:lang w:val="es-ES" w:eastAsia="es-ES"/>
        </w:rPr>
        <w:t>,</w:t>
      </w:r>
      <w:r w:rsidRPr="00206556">
        <w:rPr>
          <w:rFonts w:ascii="Verdana" w:eastAsia="Calibri" w:hAnsi="Verdana" w:cs="Arial"/>
          <w:lang w:val="es-ES" w:eastAsia="es-ES"/>
        </w:rPr>
        <w:t xml:space="preserve"> en la cual manifiesta lo siguiente: </w:t>
      </w:r>
    </w:p>
    <w:p w14:paraId="64073759" w14:textId="0A86B783" w:rsidR="009948E7" w:rsidRPr="006A0794" w:rsidRDefault="009948E7" w:rsidP="00346FE0">
      <w:pPr>
        <w:spacing w:before="120" w:after="120" w:line="240" w:lineRule="auto"/>
        <w:ind w:right="709"/>
        <w:contextualSpacing/>
        <w:jc w:val="both"/>
        <w:rPr>
          <w:rFonts w:ascii="Verdana" w:eastAsia="Century Gothic" w:hAnsi="Verdana" w:cs="Century Gothic"/>
          <w:i/>
          <w:iCs/>
          <w:sz w:val="20"/>
          <w:szCs w:val="20"/>
          <w:lang w:val="es-ES"/>
        </w:rPr>
      </w:pPr>
    </w:p>
    <w:p w14:paraId="1C2C1615" w14:textId="10F63DEE" w:rsidR="00887E82" w:rsidRPr="006A0794" w:rsidRDefault="006A0794" w:rsidP="006A0794">
      <w:pPr>
        <w:spacing w:before="120" w:after="120" w:line="240" w:lineRule="auto"/>
        <w:ind w:left="709" w:right="709"/>
        <w:contextualSpacing/>
        <w:jc w:val="both"/>
        <w:rPr>
          <w:rFonts w:ascii="Verdana" w:eastAsia="Century Gothic" w:hAnsi="Verdana" w:cs="Century Gothic"/>
          <w:sz w:val="20"/>
          <w:szCs w:val="20"/>
          <w:lang w:val="es-ES"/>
        </w:rPr>
      </w:pPr>
      <w:r w:rsidRPr="006A0794">
        <w:rPr>
          <w:rFonts w:ascii="Verdana" w:eastAsia="Century Gothic" w:hAnsi="Verdana" w:cs="Century Gothic"/>
          <w:sz w:val="20"/>
          <w:szCs w:val="20"/>
          <w:lang w:val="es-ES"/>
        </w:rPr>
        <w:t xml:space="preserve">¿En nuestra condición de corredor de seguros habilitado y participante habitual en procesos de concurso de méritos adelantados por entidades estatales, nos dirigimos a esta Agencia con el fin de solicitar un concepto orientador sobre la interpretación y aplicación de las disposiciones del </w:t>
      </w:r>
      <w:r w:rsidRPr="006A0794">
        <w:rPr>
          <w:rFonts w:ascii="Verdana" w:eastAsia="Century Gothic" w:hAnsi="Verdana" w:cs="Century Gothic"/>
          <w:sz w:val="20"/>
          <w:szCs w:val="20"/>
          <w:lang w:val="es-ES"/>
        </w:rPr>
        <w:lastRenderedPageBreak/>
        <w:t>Decreto 287 del 19 de marzo de 2026, que modificó los artículos 2?2.1.2.4.2.6., 2.2.1.2.4.2.7. y 2.2.1.2.4.2.8. del Decreto 1082 de 2015.Las consultas que sometemos a consideración de esa Agencia son las siguientes: Alcance del puntaje del 2% frente a la acreditación simultánea de condiciones El artículo 2.2.1.2.4.2.7.4 establece que el proponente podrá acreditar alguna de las situaciones previstas (</w:t>
      </w:r>
      <w:proofErr w:type="gramStart"/>
      <w:r w:rsidRPr="006A0794">
        <w:rPr>
          <w:rFonts w:ascii="Verdana" w:eastAsia="Century Gothic" w:hAnsi="Verdana" w:cs="Century Gothic"/>
          <w:sz w:val="20"/>
          <w:szCs w:val="20"/>
          <w:lang w:val="es-ES"/>
        </w:rPr>
        <w:t>ser emprendimiento o empresa de persona con discapacidad conforme al art?</w:t>
      </w:r>
      <w:proofErr w:type="gramEnd"/>
    </w:p>
    <w:p w14:paraId="448C66CB" w14:textId="77777777" w:rsidR="006C4B2C" w:rsidRPr="006A0794" w:rsidRDefault="006C4B2C" w:rsidP="006A0794">
      <w:pPr>
        <w:spacing w:before="120" w:after="120" w:line="240" w:lineRule="auto"/>
        <w:ind w:left="709" w:right="709"/>
        <w:contextualSpacing/>
        <w:jc w:val="both"/>
        <w:rPr>
          <w:rFonts w:ascii="Verdana" w:eastAsia="Century Gothic" w:hAnsi="Verdana" w:cs="Century Gothic"/>
          <w:sz w:val="20"/>
          <w:szCs w:val="20"/>
          <w:lang w:val="es-ES"/>
        </w:rPr>
      </w:pPr>
    </w:p>
    <w:p w14:paraId="07A0E538" w14:textId="6BA45CFF" w:rsidR="008D5774" w:rsidRPr="00206556" w:rsidRDefault="008D5774" w:rsidP="008D5774">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sidR="008A5E24">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sidR="008A5E24">
        <w:rPr>
          <w:rFonts w:ascii="Verdana" w:hAnsi="Verdana"/>
        </w:rPr>
        <w:t>Estatuto General de Contratación Pública</w:t>
      </w:r>
      <w:r w:rsidR="008A5E24" w:rsidRPr="00206556">
        <w:rPr>
          <w:rFonts w:ascii="Verdana" w:eastAsia="Calibri" w:hAnsi="Verdana" w:cs="Arial"/>
          <w:lang w:val="es-ES" w:eastAsia="es-ES"/>
        </w:rPr>
        <w:t xml:space="preserve"> </w:t>
      </w:r>
      <w:r w:rsidRPr="00206556">
        <w:rPr>
          <w:rFonts w:ascii="Verdana" w:eastAsia="Calibri" w:hAnsi="Verdana" w:cs="Arial"/>
          <w:lang w:val="es-ES" w:eastAsia="es-ES"/>
        </w:rPr>
        <w:t xml:space="preserve">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428652EF" w14:textId="77777777" w:rsidR="008D5774" w:rsidRPr="00206556" w:rsidRDefault="008D5774" w:rsidP="008D5774">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6288081" w14:textId="77777777" w:rsidR="008D5774" w:rsidRPr="00206556" w:rsidRDefault="008D5774" w:rsidP="008D5774">
      <w:pPr>
        <w:spacing w:after="0" w:line="276" w:lineRule="auto"/>
        <w:ind w:firstLine="709"/>
        <w:jc w:val="both"/>
        <w:rPr>
          <w:rFonts w:ascii="Verdana" w:eastAsia="Calibri" w:hAnsi="Verdana" w:cs="Arial"/>
          <w:lang w:val="es-ES" w:eastAsia="es-ES"/>
        </w:rPr>
      </w:pPr>
    </w:p>
    <w:p w14:paraId="4AD69AFF" w14:textId="77777777" w:rsidR="008D5774" w:rsidRPr="00206556" w:rsidRDefault="008D5774" w:rsidP="008D5774">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26050314" w14:textId="77777777" w:rsidR="008D5774" w:rsidRPr="00206556" w:rsidRDefault="008D5774" w:rsidP="008D5774">
      <w:pPr>
        <w:tabs>
          <w:tab w:val="left" w:pos="426"/>
        </w:tabs>
        <w:spacing w:after="0" w:line="276" w:lineRule="auto"/>
        <w:jc w:val="both"/>
        <w:rPr>
          <w:rFonts w:ascii="Verdana" w:eastAsia="Century Gothic" w:hAnsi="Verdana" w:cs="Century Gothic"/>
          <w:color w:val="ED7D31" w:themeColor="accent2"/>
          <w:lang w:val="es-ES"/>
        </w:rPr>
      </w:pPr>
    </w:p>
    <w:p w14:paraId="2953D2F6" w14:textId="43516994" w:rsidR="008D5774" w:rsidRDefault="008D5774" w:rsidP="008D5774">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proofErr w:type="gramStart"/>
      <w:r w:rsidR="00D878A4" w:rsidRPr="00206556">
        <w:rPr>
          <w:rFonts w:ascii="Verdana" w:eastAsia="Century Gothic" w:hAnsi="Verdana" w:cs="Century Gothic"/>
        </w:rPr>
        <w:t>¿</w:t>
      </w:r>
      <w:r w:rsidR="00D878A4" w:rsidRPr="00D878A4">
        <w:rPr>
          <w:rFonts w:ascii="Verdana" w:eastAsia="Century Gothic" w:hAnsi="Verdana" w:cs="Century Gothic"/>
        </w:rPr>
        <w:t>El puntaje adicional previsto en el artículo 2.</w:t>
      </w:r>
      <w:proofErr w:type="gramEnd"/>
      <w:r w:rsidR="00D878A4" w:rsidRPr="00D878A4">
        <w:rPr>
          <w:rFonts w:ascii="Verdana" w:eastAsia="Century Gothic" w:hAnsi="Verdana" w:cs="Century Gothic"/>
        </w:rPr>
        <w:t>1.2.4.2.7.4 del Decreto 1082 de 2015 es acumulable cuando un proponente acredita simultáneamente varias de las situaciones allí contempladas, o por el contrario el beneficio se encuentra limitado a un máximo del 2% con independencia del número de condiciones concurrentemente acreditadas?</w:t>
      </w:r>
    </w:p>
    <w:p w14:paraId="21699937" w14:textId="77777777" w:rsidR="00D878A4" w:rsidRPr="00206556" w:rsidRDefault="00D878A4" w:rsidP="008D5774">
      <w:pPr>
        <w:spacing w:after="0" w:line="276" w:lineRule="auto"/>
        <w:jc w:val="both"/>
        <w:rPr>
          <w:rFonts w:ascii="Verdana" w:eastAsia="Century Gothic" w:hAnsi="Verdana" w:cs="Century Gothic"/>
          <w:color w:val="ED7D31" w:themeColor="accent2"/>
        </w:rPr>
      </w:pPr>
    </w:p>
    <w:p w14:paraId="59BA1073" w14:textId="42929675" w:rsidR="00E54F30" w:rsidRPr="00A4789E" w:rsidRDefault="008D5774" w:rsidP="00E54F30">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54F30" w:rsidRPr="00206556" w14:paraId="35A9DBAE" w14:textId="77777777">
        <w:tc>
          <w:tcPr>
            <w:tcW w:w="8828" w:type="dxa"/>
          </w:tcPr>
          <w:p w14:paraId="5216047C" w14:textId="72F9627D" w:rsidR="00E54F30" w:rsidRPr="00073658" w:rsidRDefault="00E54F30">
            <w:pPr>
              <w:spacing w:before="120" w:after="120" w:line="276" w:lineRule="auto"/>
              <w:jc w:val="both"/>
              <w:rPr>
                <w:rFonts w:ascii="Verdana" w:eastAsia="Calibri" w:hAnsi="Verdana" w:cs="Arial"/>
              </w:rPr>
            </w:pPr>
            <w:r>
              <w:rPr>
                <w:rFonts w:ascii="Verdana" w:eastAsia="Calibri" w:hAnsi="Verdana" w:cs="Arial"/>
              </w:rPr>
              <w:lastRenderedPageBreak/>
              <w:t>En atención a</w:t>
            </w:r>
            <w:r w:rsidR="000916EA">
              <w:rPr>
                <w:rFonts w:ascii="Verdana" w:eastAsia="Calibri" w:hAnsi="Verdana" w:cs="Arial"/>
              </w:rPr>
              <w:t xml:space="preserve">l </w:t>
            </w:r>
            <w:r>
              <w:rPr>
                <w:rFonts w:ascii="Verdana" w:eastAsia="Calibri" w:hAnsi="Verdana" w:cs="Arial"/>
              </w:rPr>
              <w:t>problema jurídico planteado y respecto al alcance de</w:t>
            </w:r>
            <w:r w:rsidRPr="00E54F30">
              <w:rPr>
                <w:rFonts w:ascii="Verdana" w:eastAsia="Calibri" w:hAnsi="Verdana" w:cs="Arial"/>
              </w:rPr>
              <w:t>l Decreto 0287 de 2026</w:t>
            </w:r>
            <w:r>
              <w:rPr>
                <w:rFonts w:ascii="Verdana" w:eastAsia="Calibri" w:hAnsi="Verdana" w:cs="Arial"/>
              </w:rPr>
              <w:t>, es necesario indicar que este</w:t>
            </w:r>
            <w:r w:rsidRPr="00E54F30">
              <w:rPr>
                <w:rFonts w:ascii="Verdana" w:eastAsia="Calibri" w:hAnsi="Verdana" w:cs="Arial"/>
              </w:rPr>
              <w:t xml:space="preserve"> reglamenta </w:t>
            </w:r>
            <w:r w:rsidR="00251EEA">
              <w:rPr>
                <w:rFonts w:ascii="Verdana" w:eastAsia="Calibri" w:hAnsi="Verdana" w:cs="Arial"/>
              </w:rPr>
              <w:t>los numerales 1, 7 y 8</w:t>
            </w:r>
            <w:r w:rsidRPr="00E54F30">
              <w:rPr>
                <w:rFonts w:ascii="Verdana" w:eastAsia="Calibri" w:hAnsi="Verdana" w:cs="Arial"/>
              </w:rPr>
              <w:t xml:space="preserve"> </w:t>
            </w:r>
            <w:r w:rsidR="00251EEA">
              <w:rPr>
                <w:rFonts w:ascii="Verdana" w:eastAsia="Calibri" w:hAnsi="Verdana" w:cs="Arial"/>
              </w:rPr>
              <w:t>d</w:t>
            </w:r>
            <w:r w:rsidRPr="00E54F30">
              <w:rPr>
                <w:rFonts w:ascii="Verdana" w:eastAsia="Calibri" w:hAnsi="Verdana" w:cs="Arial"/>
              </w:rPr>
              <w:t xml:space="preserve">el artículo 13 de la Ley 1618 de 2013, acción que fue ordenada por el Consejo de Estado, Sección Quinta de la Sala de lo Contencioso Administrativo, mediante sentencia de acción de cumplimiento del 12 de diciembre de 2024, radicación </w:t>
            </w:r>
            <w:proofErr w:type="spellStart"/>
            <w:r w:rsidR="005E2AFD">
              <w:rPr>
                <w:rFonts w:ascii="Verdana" w:eastAsia="Calibri" w:hAnsi="Verdana" w:cs="Arial"/>
              </w:rPr>
              <w:t>N</w:t>
            </w:r>
            <w:r w:rsidRPr="00E54F30">
              <w:rPr>
                <w:rFonts w:ascii="Verdana" w:eastAsia="Calibri" w:hAnsi="Verdana" w:cs="Arial"/>
              </w:rPr>
              <w:t>.°</w:t>
            </w:r>
            <w:proofErr w:type="spellEnd"/>
            <w:r w:rsidR="0074357A">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Pr="00206556">
              <w:rPr>
                <w:rFonts w:ascii="Verdana" w:eastAsia="Calibri" w:hAnsi="Verdana" w:cs="Arial"/>
              </w:rPr>
              <w:t>,</w:t>
            </w:r>
            <w:r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73658">
              <w:rPr>
                <w:rFonts w:ascii="Verdana" w:eastAsia="Calibri" w:hAnsi="Verdana" w:cs="Arial"/>
              </w:rPr>
              <w:t>PcD</w:t>
            </w:r>
            <w:proofErr w:type="spellEnd"/>
            <w:r w:rsidRPr="00073658">
              <w:rPr>
                <w:rFonts w:ascii="Verdana" w:eastAsia="Calibri" w:hAnsi="Verdana" w:cs="Arial"/>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sidR="00AA0274">
              <w:rPr>
                <w:rFonts w:ascii="Verdana" w:eastAsia="Calibri" w:hAnsi="Verdana" w:cs="Arial"/>
              </w:rPr>
              <w:t>, irradiando la fase de planeación ya que es allí donde la compra debe plantearse con criterios de accesibilidad</w:t>
            </w:r>
            <w:r w:rsidRPr="00073658">
              <w:rPr>
                <w:rFonts w:ascii="Verdana" w:eastAsia="Calibri" w:hAnsi="Verdana" w:cs="Arial"/>
              </w:rPr>
              <w:t>.</w:t>
            </w:r>
          </w:p>
          <w:p w14:paraId="31B6FACA" w14:textId="77777777" w:rsidR="00E54F30" w:rsidRPr="00073658" w:rsidRDefault="00E54F30">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w:t>
            </w:r>
            <w:proofErr w:type="spellStart"/>
            <w:r w:rsidRPr="00073658">
              <w:rPr>
                <w:rFonts w:ascii="Verdana" w:eastAsia="Calibri" w:hAnsi="Verdana" w:cs="Arial"/>
              </w:rPr>
              <w:t>PcD</w:t>
            </w:r>
            <w:proofErr w:type="spellEnd"/>
            <w:r w:rsidRPr="00073658">
              <w:rPr>
                <w:rFonts w:ascii="Verdana" w:eastAsia="Calibri" w:hAnsi="Verdana" w:cs="Arial"/>
              </w:rPr>
              <w:t xml:space="preserve"> por al menos un año; y personas jurídicas con al menos una </w:t>
            </w:r>
            <w:proofErr w:type="spellStart"/>
            <w:r w:rsidRPr="00073658">
              <w:rPr>
                <w:rFonts w:ascii="Verdana" w:eastAsia="Calibri" w:hAnsi="Verdana" w:cs="Arial"/>
              </w:rPr>
              <w:t>PcD</w:t>
            </w:r>
            <w:proofErr w:type="spellEnd"/>
            <w:r w:rsidRPr="00073658">
              <w:rPr>
                <w:rFonts w:ascii="Verdana" w:eastAsia="Calibri" w:hAnsi="Verdana" w:cs="Arial"/>
              </w:rPr>
              <w:t xml:space="preserve"> vinculada laboralmente en un cargo de nivel directivo por al menos un año. El segundo sujeto son los empleadores de </w:t>
            </w:r>
            <w:proofErr w:type="spellStart"/>
            <w:r w:rsidRPr="00073658">
              <w:rPr>
                <w:rFonts w:ascii="Verdana" w:eastAsia="Calibri" w:hAnsi="Verdana" w:cs="Arial"/>
              </w:rPr>
              <w:t>PcD</w:t>
            </w:r>
            <w:proofErr w:type="spellEnd"/>
            <w:r w:rsidRPr="00073658">
              <w:rPr>
                <w:rFonts w:ascii="Verdana" w:eastAsia="Calibri" w:hAnsi="Verdana" w:cs="Arial"/>
              </w:rPr>
              <w:t xml:space="preserve">, esto es, cualquier empresa que tenga en su planta de personal trabajadores con discapacidad contratados laboralmente con dedicación exclusiva, superando los mínimos que exige la Ley 2466 de 2025 (Reforma Laboral). Confundir los dos sujetos genera aplicaciones incorrectas del </w:t>
            </w:r>
            <w:r w:rsidRPr="00073658">
              <w:rPr>
                <w:rFonts w:ascii="Verdana" w:eastAsia="Calibri" w:hAnsi="Verdana" w:cs="Arial"/>
              </w:rPr>
              <w:lastRenderedPageBreak/>
              <w:t>sistema, razón por la cual resulta esencial que las entidades contratantes identifiquen en cada caso qué sujeto está acreditando el proponente y qué documentación y medidas corresponden a ese sujeto específico.</w:t>
            </w:r>
          </w:p>
          <w:p w14:paraId="53BFE6E1" w14:textId="2B2BCBBE" w:rsidR="00E54F30" w:rsidRDefault="002F6EDD">
            <w:pPr>
              <w:spacing w:before="120" w:after="120" w:line="276" w:lineRule="auto"/>
              <w:ind w:firstLine="709"/>
              <w:jc w:val="both"/>
              <w:rPr>
                <w:rFonts w:ascii="Verdana" w:eastAsia="Calibri" w:hAnsi="Verdana" w:cs="Arial"/>
              </w:rPr>
            </w:pPr>
            <w:r>
              <w:rPr>
                <w:rFonts w:ascii="Verdana" w:eastAsia="Calibri" w:hAnsi="Verdana" w:cs="Arial"/>
              </w:rPr>
              <w:t>Respecto de las medidas del sistema, una de estas es e</w:t>
            </w:r>
            <w:r w:rsidR="00E54F30" w:rsidRPr="00073658">
              <w:rPr>
                <w:rFonts w:ascii="Verdana" w:eastAsia="Calibri" w:hAnsi="Verdana" w:cs="Arial"/>
              </w:rPr>
              <w:t xml:space="preserve">l puntaje adicional del </w:t>
            </w:r>
            <w:r w:rsidR="00796E68" w:rsidRPr="00073658">
              <w:rPr>
                <w:rFonts w:ascii="Verdana" w:eastAsia="Calibri" w:hAnsi="Verdana" w:cs="Arial"/>
              </w:rPr>
              <w:t>dos por ciento (2%)</w:t>
            </w:r>
            <w:r>
              <w:rPr>
                <w:rFonts w:ascii="Verdana" w:eastAsia="Calibri" w:hAnsi="Verdana" w:cs="Arial"/>
              </w:rPr>
              <w:t>, el cual</w:t>
            </w:r>
            <w:r w:rsidR="00E54F30" w:rsidRPr="00073658">
              <w:rPr>
                <w:rFonts w:ascii="Verdana" w:eastAsia="Calibri" w:hAnsi="Verdana" w:cs="Arial"/>
              </w:rPr>
              <w:t xml:space="preserve"> es único, total </w:t>
            </w:r>
            <w:r w:rsidR="00E54F30" w:rsidRPr="00206556">
              <w:rPr>
                <w:rFonts w:ascii="Verdana" w:eastAsia="Calibri" w:hAnsi="Verdana" w:cs="Arial"/>
              </w:rPr>
              <w:t>y no acumulable</w:t>
            </w:r>
            <w:r w:rsidR="00E54F30" w:rsidRPr="00073658">
              <w:rPr>
                <w:rFonts w:ascii="Verdana" w:eastAsia="Calibri" w:hAnsi="Verdana" w:cs="Arial"/>
              </w:rPr>
              <w:t xml:space="preserve">. El artículo 2.2.1.2.4.2.7.4. del Decreto 0287 de 2026 es explícito al disponer que, aunque el proponente acredite simultáneamente ser emprendimiento o empresa de </w:t>
            </w:r>
            <w:proofErr w:type="spellStart"/>
            <w:r w:rsidR="00E54F30" w:rsidRPr="00073658">
              <w:rPr>
                <w:rFonts w:ascii="Verdana" w:eastAsia="Calibri" w:hAnsi="Verdana" w:cs="Arial"/>
              </w:rPr>
              <w:t>PcD</w:t>
            </w:r>
            <w:proofErr w:type="spellEnd"/>
            <w:r w:rsidR="00E54F30" w:rsidRPr="00073658">
              <w:rPr>
                <w:rFonts w:ascii="Verdana" w:eastAsia="Calibri" w:hAnsi="Verdana" w:cs="Arial"/>
              </w:rPr>
              <w:t xml:space="preserve"> y ser empleador de </w:t>
            </w:r>
            <w:proofErr w:type="spellStart"/>
            <w:r w:rsidR="00E54F30" w:rsidRPr="00073658">
              <w:rPr>
                <w:rFonts w:ascii="Verdana" w:eastAsia="Calibri" w:hAnsi="Verdana" w:cs="Arial"/>
              </w:rPr>
              <w:t>PcD</w:t>
            </w:r>
            <w:proofErr w:type="spellEnd"/>
            <w:r w:rsidR="00E54F30" w:rsidRPr="00073658">
              <w:rPr>
                <w:rFonts w:ascii="Verdana" w:eastAsia="Calibri" w:hAnsi="Verdana" w:cs="Arial"/>
              </w:rPr>
              <w:t>, el puntaje máximo a otorgar por este criterio es siempre el 2% del total de los puntos del pliego, sin que las condiciones acreditadas sean sumables para efectos de la evaluación de la oferta</w:t>
            </w:r>
            <w:r w:rsidR="00796E68">
              <w:rPr>
                <w:rFonts w:ascii="Verdana" w:eastAsia="Calibri" w:hAnsi="Verdana" w:cs="Arial"/>
              </w:rPr>
              <w:t>, y tampoco es posible disminuir ese porcentaje de puntos ya que siempre será el 2%</w:t>
            </w:r>
            <w:r w:rsidR="00F82724">
              <w:rPr>
                <w:rFonts w:ascii="Verdana" w:eastAsia="Calibri" w:hAnsi="Verdana" w:cs="Arial"/>
              </w:rPr>
              <w:t xml:space="preserve"> como lo establece el decreto</w:t>
            </w:r>
            <w:r w:rsidR="00E54F30" w:rsidRPr="00073658">
              <w:rPr>
                <w:rFonts w:ascii="Verdana" w:eastAsia="Calibri" w:hAnsi="Verdana" w:cs="Arial"/>
              </w:rPr>
              <w:t xml:space="preserve">. Este puntaje aplica únicamente en entidades regidas por </w:t>
            </w:r>
            <w:r w:rsidR="008A5E24">
              <w:rPr>
                <w:rFonts w:ascii="Verdana" w:eastAsia="Calibri" w:hAnsi="Verdana" w:cs="Arial"/>
              </w:rPr>
              <w:t xml:space="preserve">el </w:t>
            </w:r>
            <w:r w:rsidR="008A5E24">
              <w:rPr>
                <w:rFonts w:ascii="Verdana" w:hAnsi="Verdana"/>
              </w:rPr>
              <w:t>Estatuto General de Contratación Pública</w:t>
            </w:r>
            <w:r w:rsidR="00E54F30" w:rsidRPr="00073658">
              <w:rPr>
                <w:rFonts w:ascii="Verdana" w:eastAsia="Calibri" w:hAnsi="Verdana" w:cs="Arial"/>
              </w:rPr>
              <w:t>, en las modalidades de licitación pública y concurso de méritos; no aplica en régimen especial, ni en selección abreviada, mínima cuantía ni contratación directa</w:t>
            </w:r>
            <w:r>
              <w:rPr>
                <w:rFonts w:ascii="Verdana" w:eastAsia="Calibri" w:hAnsi="Verdana" w:cs="Arial"/>
              </w:rPr>
              <w:t>.</w:t>
            </w:r>
          </w:p>
          <w:p w14:paraId="32B789FD" w14:textId="5D2B92F3" w:rsidR="00A97194" w:rsidRPr="00A97194" w:rsidRDefault="00021872" w:rsidP="00A97194">
            <w:pPr>
              <w:spacing w:before="120" w:after="120" w:line="276" w:lineRule="auto"/>
              <w:ind w:firstLine="709"/>
              <w:jc w:val="both"/>
              <w:rPr>
                <w:rFonts w:ascii="Verdana" w:eastAsia="Calibri" w:hAnsi="Verdana" w:cs="Arial"/>
              </w:rPr>
            </w:pPr>
            <w:r>
              <w:rPr>
                <w:rFonts w:ascii="Verdana" w:eastAsia="Calibri" w:hAnsi="Verdana" w:cs="Arial"/>
              </w:rPr>
              <w:t xml:space="preserve">La aplicación del puntaje para proponentes plurales </w:t>
            </w:r>
            <w:r w:rsidR="00A97194" w:rsidRPr="00A97194">
              <w:rPr>
                <w:rFonts w:ascii="Verdana" w:eastAsia="Calibri" w:hAnsi="Verdana" w:cs="Arial"/>
              </w:rPr>
              <w:t xml:space="preserve">respecto de los empleadores de </w:t>
            </w:r>
            <w:proofErr w:type="spellStart"/>
            <w:r w:rsidR="00A97194" w:rsidRPr="00A97194">
              <w:rPr>
                <w:rFonts w:ascii="Verdana" w:eastAsia="Calibri" w:hAnsi="Verdana" w:cs="Arial"/>
              </w:rPr>
              <w:t>PcD</w:t>
            </w:r>
            <w:proofErr w:type="spellEnd"/>
            <w:r w:rsidR="00A97194" w:rsidRPr="00A97194">
              <w:rPr>
                <w:rFonts w:ascii="Verdana" w:eastAsia="Calibri" w:hAnsi="Verdana" w:cs="Arial"/>
              </w:rPr>
              <w:t xml:space="preserve"> no exige un mínimo de experiencia sino una participación mayoritaria en el proponente plural, y a ese miembro será al que se le revise su planta de personal con el fin de determinar si cumple con el número mínimo de </w:t>
            </w:r>
            <w:proofErr w:type="spellStart"/>
            <w:r w:rsidR="00A97194" w:rsidRPr="00A97194">
              <w:rPr>
                <w:rFonts w:ascii="Verdana" w:eastAsia="Calibri" w:hAnsi="Verdana" w:cs="Arial"/>
              </w:rPr>
              <w:t>PcD</w:t>
            </w:r>
            <w:proofErr w:type="spellEnd"/>
            <w:r w:rsidR="00A97194" w:rsidRPr="00A97194">
              <w:rPr>
                <w:rFonts w:ascii="Verdana" w:eastAsia="Calibri" w:hAnsi="Verdana" w:cs="Arial"/>
              </w:rPr>
              <w:t xml:space="preserve"> contratadas para acceder al puntaje. </w:t>
            </w:r>
          </w:p>
          <w:p w14:paraId="230862DD" w14:textId="4635781D" w:rsidR="00021872" w:rsidRPr="00073658" w:rsidRDefault="00A97194" w:rsidP="00A97194">
            <w:pPr>
              <w:spacing w:before="120" w:after="120" w:line="276" w:lineRule="auto"/>
              <w:ind w:firstLine="709"/>
              <w:jc w:val="both"/>
              <w:rPr>
                <w:rFonts w:ascii="Verdana" w:eastAsia="Calibri" w:hAnsi="Verdana" w:cs="Arial"/>
              </w:rPr>
            </w:pPr>
            <w:r w:rsidRPr="00A97194">
              <w:rPr>
                <w:rFonts w:ascii="Verdana" w:eastAsia="Calibri" w:hAnsi="Verdana" w:cs="Arial"/>
              </w:rPr>
              <w:t xml:space="preserve">No obstante, para emprendimientos y empresas </w:t>
            </w:r>
            <w:proofErr w:type="spellStart"/>
            <w:r w:rsidRPr="00A97194">
              <w:rPr>
                <w:rFonts w:ascii="Verdana" w:eastAsia="Calibri" w:hAnsi="Verdana" w:cs="Arial"/>
              </w:rPr>
              <w:t>PcD</w:t>
            </w:r>
            <w:proofErr w:type="spellEnd"/>
            <w:r w:rsidRPr="00A97194">
              <w:rPr>
                <w:rFonts w:ascii="Verdana" w:eastAsia="Calibri" w:hAnsi="Verdana" w:cs="Arial"/>
              </w:rPr>
              <w:t xml:space="preserve"> es necesario hacer una remisión al artículo 2.2.1.2.4.2.7.3 puesto que cuando el proponente plural tenga a este sujeto como miembro, la participación a exigir no es una participación mayoritaria sino una participación no inferior al 10% y en la misma proporción de su participación debe aportar su experiencia. De esta manera, si el proponente plural tiene como miembro a empleadores de </w:t>
            </w:r>
            <w:proofErr w:type="spellStart"/>
            <w:r w:rsidRPr="00A97194">
              <w:rPr>
                <w:rFonts w:ascii="Verdana" w:eastAsia="Calibri" w:hAnsi="Verdana" w:cs="Arial"/>
              </w:rPr>
              <w:t>PcD</w:t>
            </w:r>
            <w:proofErr w:type="spellEnd"/>
            <w:r w:rsidRPr="00A97194">
              <w:rPr>
                <w:rFonts w:ascii="Verdana" w:eastAsia="Calibri" w:hAnsi="Verdana" w:cs="Arial"/>
              </w:rPr>
              <w:t xml:space="preserve">, para obtener el puntaje este debe tener una mayor participación en el proponente plural sin que se requiera aporte de experiencia; pero cuando se trata de emprendimientos o empresas de </w:t>
            </w:r>
            <w:proofErr w:type="spellStart"/>
            <w:r w:rsidRPr="00A97194">
              <w:rPr>
                <w:rFonts w:ascii="Verdana" w:eastAsia="Calibri" w:hAnsi="Verdana" w:cs="Arial"/>
              </w:rPr>
              <w:t>PcD</w:t>
            </w:r>
            <w:proofErr w:type="spellEnd"/>
            <w:r w:rsidRPr="00A97194">
              <w:rPr>
                <w:rFonts w:ascii="Verdana" w:eastAsia="Calibri" w:hAnsi="Verdana" w:cs="Arial"/>
              </w:rPr>
              <w:t>, si se exige un mínimo de participación de estos en el proponente plural, que es el 10% y en la misma proporción se debe aportar experiencia, por lo que no se exige que tengan participación mayoritaria.</w:t>
            </w:r>
          </w:p>
          <w:p w14:paraId="3DFF0491" w14:textId="234F80E0" w:rsidR="006A64D0" w:rsidRDefault="00E54F30" w:rsidP="00502309">
            <w:pPr>
              <w:spacing w:before="120" w:after="120" w:line="276" w:lineRule="auto"/>
              <w:ind w:firstLine="709"/>
              <w:jc w:val="both"/>
              <w:rPr>
                <w:rFonts w:ascii="Verdana" w:eastAsia="Calibri" w:hAnsi="Verdana" w:cs="Arial"/>
              </w:rPr>
            </w:pPr>
            <w:r>
              <w:rPr>
                <w:rFonts w:ascii="Verdana" w:eastAsia="Calibri" w:hAnsi="Verdana" w:cs="Arial"/>
              </w:rPr>
              <w:lastRenderedPageBreak/>
              <w:t xml:space="preserve">Ahora bien, </w:t>
            </w:r>
            <w:r w:rsidR="000F1443">
              <w:rPr>
                <w:rFonts w:ascii="Verdana" w:eastAsia="Calibri" w:hAnsi="Verdana" w:cs="Arial"/>
              </w:rPr>
              <w:t>la documentación para la acreditación de las condiciones bajo las cuales se otorga</w:t>
            </w:r>
            <w:r w:rsidR="00D37660">
              <w:rPr>
                <w:rFonts w:ascii="Verdana" w:eastAsia="Calibri" w:hAnsi="Verdana" w:cs="Arial"/>
              </w:rPr>
              <w:t xml:space="preserve"> </w:t>
            </w:r>
            <w:r w:rsidRPr="00073658">
              <w:rPr>
                <w:rFonts w:ascii="Verdana" w:eastAsia="Calibri" w:hAnsi="Verdana" w:cs="Arial"/>
              </w:rPr>
              <w:t>el puntaje</w:t>
            </w:r>
            <w:r w:rsidR="00831262">
              <w:rPr>
                <w:rFonts w:ascii="Verdana" w:eastAsia="Calibri" w:hAnsi="Verdana" w:cs="Arial"/>
              </w:rPr>
              <w:t xml:space="preserve"> depende del sujeto de que se trate,</w:t>
            </w:r>
            <w:r w:rsidRPr="00073658">
              <w:rPr>
                <w:rFonts w:ascii="Verdana" w:eastAsia="Calibri" w:hAnsi="Verdana" w:cs="Arial"/>
              </w:rPr>
              <w:t xml:space="preserve"> en la condición de empleador de </w:t>
            </w:r>
            <w:proofErr w:type="spellStart"/>
            <w:r w:rsidRPr="00073658">
              <w:rPr>
                <w:rFonts w:ascii="Verdana" w:eastAsia="Calibri" w:hAnsi="Verdana" w:cs="Arial"/>
              </w:rPr>
              <w:t>PcD</w:t>
            </w:r>
            <w:proofErr w:type="spellEnd"/>
            <w:r w:rsidR="005A7A1B">
              <w:rPr>
                <w:rFonts w:ascii="Verdana" w:eastAsia="Calibri" w:hAnsi="Verdana" w:cs="Arial"/>
              </w:rPr>
              <w:t>, los documentos están dispuestos</w:t>
            </w:r>
            <w:r w:rsidR="00060428">
              <w:rPr>
                <w:rFonts w:ascii="Verdana" w:eastAsia="Calibri" w:hAnsi="Verdana" w:cs="Arial"/>
              </w:rPr>
              <w:t xml:space="preserve"> </w:t>
            </w:r>
            <w:r w:rsidR="005A7A1B">
              <w:rPr>
                <w:rFonts w:ascii="Verdana" w:eastAsia="Calibri" w:hAnsi="Verdana" w:cs="Arial"/>
              </w:rPr>
              <w:t>en el artículo 2.2.1.2.4.2.7.4, el cual</w:t>
            </w:r>
            <w:r w:rsidRPr="00073658">
              <w:rPr>
                <w:rFonts w:ascii="Verdana" w:eastAsia="Calibri" w:hAnsi="Verdana" w:cs="Arial"/>
              </w:rPr>
              <w:t xml:space="preserve"> exige, entre otros documentos, los certificados de aportes a seguridad social de los tres (3) meses anteriores a la presentación de la oferta respecto de cada </w:t>
            </w:r>
            <w:proofErr w:type="spellStart"/>
            <w:r w:rsidRPr="00073658">
              <w:rPr>
                <w:rFonts w:ascii="Verdana" w:eastAsia="Calibri" w:hAnsi="Verdana" w:cs="Arial"/>
              </w:rPr>
              <w:t>PcD</w:t>
            </w:r>
            <w:proofErr w:type="spellEnd"/>
            <w:r w:rsidRPr="00073658">
              <w:rPr>
                <w:rFonts w:ascii="Verdana" w:eastAsia="Calibri" w:hAnsi="Verdana" w:cs="Arial"/>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sidRPr="00073658">
              <w:rPr>
                <w:rFonts w:ascii="Verdana" w:eastAsia="Calibri" w:hAnsi="Verdana" w:cs="Arial"/>
              </w:rPr>
              <w:t>PcD</w:t>
            </w:r>
            <w:proofErr w:type="spellEnd"/>
            <w:r w:rsidRPr="00073658">
              <w:rPr>
                <w:rFonts w:ascii="Verdana" w:eastAsia="Calibri" w:hAnsi="Verdana" w:cs="Arial"/>
              </w:rPr>
              <w:t xml:space="preserve"> cuyas planillas no alcancen ese período, pudiendo el proponente acreditar el puntaje con base en las </w:t>
            </w:r>
            <w:proofErr w:type="spellStart"/>
            <w:r w:rsidRPr="00073658">
              <w:rPr>
                <w:rFonts w:ascii="Verdana" w:eastAsia="Calibri" w:hAnsi="Verdana" w:cs="Arial"/>
              </w:rPr>
              <w:t>PcD</w:t>
            </w:r>
            <w:proofErr w:type="spellEnd"/>
            <w:r w:rsidRPr="00073658">
              <w:rPr>
                <w:rFonts w:ascii="Verdana" w:eastAsia="Calibri" w:hAnsi="Verdana" w:cs="Arial"/>
              </w:rPr>
              <w:t xml:space="preserve"> que sí cumplen el requisito temporal y participar en el proceso sin el puntaje en caso de no alcanzar ninguna.</w:t>
            </w:r>
            <w:r w:rsidR="008C727F">
              <w:rPr>
                <w:rFonts w:ascii="Verdana" w:eastAsia="Calibri" w:hAnsi="Verdana" w:cs="Arial"/>
              </w:rPr>
              <w:t xml:space="preserve"> El término de tres (3) </w:t>
            </w:r>
            <w:proofErr w:type="gramStart"/>
            <w:r w:rsidR="008C727F">
              <w:rPr>
                <w:rFonts w:ascii="Verdana" w:eastAsia="Calibri" w:hAnsi="Verdana" w:cs="Arial"/>
              </w:rPr>
              <w:t>meses aquí mencionado</w:t>
            </w:r>
            <w:proofErr w:type="gramEnd"/>
            <w:r w:rsidR="008C727F">
              <w:rPr>
                <w:rFonts w:ascii="Verdana" w:eastAsia="Calibri" w:hAnsi="Verdana" w:cs="Arial"/>
              </w:rPr>
              <w:t xml:space="preserve"> es diferente al término de un (1) año mencionado en el artículo 2.2.1.2.4.2.6 respecto de los emprendimientos y empresas de </w:t>
            </w:r>
            <w:proofErr w:type="spellStart"/>
            <w:r w:rsidR="008C727F">
              <w:rPr>
                <w:rFonts w:ascii="Verdana" w:eastAsia="Calibri" w:hAnsi="Verdana" w:cs="Arial"/>
              </w:rPr>
              <w:t>PcD</w:t>
            </w:r>
            <w:proofErr w:type="spellEnd"/>
            <w:r w:rsidR="008C727F">
              <w:rPr>
                <w:rFonts w:ascii="Verdana" w:eastAsia="Calibri" w:hAnsi="Verdana" w:cs="Arial"/>
              </w:rPr>
              <w:t>.</w:t>
            </w:r>
          </w:p>
          <w:p w14:paraId="13DB6080" w14:textId="57312CF7" w:rsidR="00424469" w:rsidRDefault="00502309" w:rsidP="006A64D0">
            <w:pPr>
              <w:spacing w:before="120" w:after="120" w:line="276" w:lineRule="auto"/>
              <w:ind w:firstLine="709"/>
              <w:jc w:val="both"/>
              <w:rPr>
                <w:rFonts w:ascii="Verdana" w:eastAsia="Times New Roman" w:hAnsi="Verdana" w:cs="Times New Roman"/>
              </w:rPr>
            </w:pPr>
            <w:r w:rsidRPr="00502309">
              <w:rPr>
                <w:rFonts w:ascii="Verdana" w:eastAsia="Times New Roman" w:hAnsi="Verdana" w:cs="Times New Roman"/>
              </w:rPr>
              <w:t xml:space="preserve">Para efectos de determinar el número mínimo de </w:t>
            </w:r>
            <w:proofErr w:type="spellStart"/>
            <w:r w:rsidRPr="00502309">
              <w:rPr>
                <w:rFonts w:ascii="Verdana" w:eastAsia="Times New Roman" w:hAnsi="Verdana" w:cs="Times New Roman"/>
              </w:rPr>
              <w:t>PcD</w:t>
            </w:r>
            <w:proofErr w:type="spellEnd"/>
            <w:r w:rsidRPr="00502309">
              <w:rPr>
                <w:rFonts w:ascii="Verdana" w:eastAsia="Times New Roman" w:hAnsi="Verdana" w:cs="Times New Roman"/>
              </w:rPr>
              <w:t xml:space="preserve"> que el proponente debe tener vinculadas en su planta de personal para acceder al puntaje, el artículo 2.2.1.2.4.2.7.4. del Decreto 0287 de 2026 establece </w:t>
            </w:r>
            <w:r w:rsidR="000C0C33">
              <w:rPr>
                <w:rFonts w:ascii="Verdana" w:eastAsia="Times New Roman" w:hAnsi="Verdana" w:cs="Times New Roman"/>
              </w:rPr>
              <w:t>una</w:t>
            </w:r>
            <w:r w:rsidRPr="00502309">
              <w:rPr>
                <w:rFonts w:ascii="Verdana" w:eastAsia="Times New Roman" w:hAnsi="Verdana" w:cs="Times New Roman"/>
              </w:rPr>
              <w:t xml:space="preserve"> tabla, que ya incorpora los mínimos exigidos por la Ley 2466 de 2025 (Reforma Laboral), de modo que el puntaje solo se otorga a quien </w:t>
            </w:r>
            <w:r w:rsidR="003D37EE">
              <w:rPr>
                <w:rFonts w:ascii="Verdana" w:eastAsia="Times New Roman" w:hAnsi="Verdana" w:cs="Times New Roman"/>
              </w:rPr>
              <w:t>cumpla lo</w:t>
            </w:r>
            <w:r w:rsidR="000C0C33">
              <w:rPr>
                <w:rFonts w:ascii="Verdana" w:eastAsia="Times New Roman" w:hAnsi="Verdana" w:cs="Times New Roman"/>
              </w:rPr>
              <w:t xml:space="preserve"> indicado en la tabla.</w:t>
            </w:r>
            <w:r w:rsidR="009A5ED3">
              <w:rPr>
                <w:rFonts w:ascii="Verdana" w:eastAsia="Times New Roman" w:hAnsi="Verdana" w:cs="Times New Roman"/>
              </w:rPr>
              <w:t xml:space="preserve"> La vinculación de </w:t>
            </w:r>
            <w:proofErr w:type="spellStart"/>
            <w:r w:rsidR="009A5ED3">
              <w:rPr>
                <w:rFonts w:ascii="Verdana" w:eastAsia="Times New Roman" w:hAnsi="Verdana" w:cs="Times New Roman"/>
              </w:rPr>
              <w:t>PcD</w:t>
            </w:r>
            <w:proofErr w:type="spellEnd"/>
            <w:r w:rsidR="009A5ED3">
              <w:rPr>
                <w:rFonts w:ascii="Verdana" w:eastAsia="Times New Roman" w:hAnsi="Verdana" w:cs="Times New Roman"/>
              </w:rPr>
              <w:t xml:space="preserve"> a las plantas de personal de posibles proveedores, debe ser a través de contrato laboral con dedicación exclusiva, cuya definición le corresponde al Ministerio del Trabajo.</w:t>
            </w:r>
            <w:r w:rsidR="003F0D9A">
              <w:rPr>
                <w:rFonts w:ascii="Verdana" w:eastAsia="Times New Roman" w:hAnsi="Verdana" w:cs="Times New Roman"/>
              </w:rPr>
              <w:t xml:space="preserve"> Por otra parte, los documentos para</w:t>
            </w:r>
            <w:r w:rsidR="006A64D0">
              <w:rPr>
                <w:rFonts w:ascii="Verdana" w:eastAsia="Times New Roman" w:hAnsi="Verdana" w:cs="Times New Roman"/>
              </w:rPr>
              <w:t xml:space="preserve"> acreditar la otra condición que es ser emprendimiento o empresa de </w:t>
            </w:r>
            <w:proofErr w:type="spellStart"/>
            <w:r w:rsidR="006A64D0">
              <w:rPr>
                <w:rFonts w:ascii="Verdana" w:eastAsia="Times New Roman" w:hAnsi="Verdana" w:cs="Times New Roman"/>
              </w:rPr>
              <w:t>PcD</w:t>
            </w:r>
            <w:proofErr w:type="spellEnd"/>
            <w:r w:rsidR="006A64D0">
              <w:rPr>
                <w:rFonts w:ascii="Verdana" w:eastAsia="Times New Roman" w:hAnsi="Verdana" w:cs="Times New Roman"/>
              </w:rPr>
              <w:t xml:space="preserve"> son los indicados en el artículo 2.2.1.2.4.2.6 y no los del artículo </w:t>
            </w:r>
            <w:r w:rsidR="006A64D0" w:rsidRPr="00502309">
              <w:rPr>
                <w:rFonts w:ascii="Verdana" w:eastAsia="Times New Roman" w:hAnsi="Verdana" w:cs="Times New Roman"/>
              </w:rPr>
              <w:t xml:space="preserve">2.2.1.2.4.2.7.4. </w:t>
            </w:r>
            <w:r w:rsidR="003F0D9A">
              <w:rPr>
                <w:rFonts w:ascii="Verdana" w:eastAsia="Times New Roman" w:hAnsi="Verdana" w:cs="Times New Roman"/>
              </w:rPr>
              <w:t xml:space="preserve"> </w:t>
            </w:r>
          </w:p>
          <w:p w14:paraId="3F9441B7" w14:textId="2753AAAA" w:rsidR="00630A93" w:rsidRPr="00670CFB" w:rsidRDefault="00424469" w:rsidP="00D878A4">
            <w:pPr>
              <w:spacing w:after="120" w:line="276" w:lineRule="auto"/>
              <w:ind w:firstLine="709"/>
              <w:jc w:val="both"/>
              <w:rPr>
                <w:rFonts w:ascii="Verdana" w:eastAsia="Calibri" w:hAnsi="Verdana" w:cs="Arial"/>
              </w:rPr>
            </w:pPr>
            <w:r w:rsidRPr="00073658">
              <w:rPr>
                <w:rFonts w:ascii="Verdana" w:eastAsia="Calibri" w:hAnsi="Verdana" w:cs="Arial"/>
              </w:rPr>
              <w:t xml:space="preserve">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w:t>
            </w:r>
            <w:proofErr w:type="spellStart"/>
            <w:r w:rsidRPr="00073658">
              <w:rPr>
                <w:rFonts w:ascii="Verdana" w:eastAsia="Calibri" w:hAnsi="Verdana" w:cs="Arial"/>
              </w:rPr>
              <w:t>PcD</w:t>
            </w:r>
            <w:proofErr w:type="spellEnd"/>
            <w:r w:rsidRPr="00206556">
              <w:rPr>
                <w:rFonts w:ascii="Verdana" w:eastAsia="Calibri" w:hAnsi="Verdana" w:cs="Arial"/>
              </w:rPr>
              <w:t xml:space="preserve">, </w:t>
            </w:r>
            <w:r w:rsidRPr="00073658">
              <w:rPr>
                <w:rFonts w:ascii="Verdana" w:eastAsia="Calibri" w:hAnsi="Verdana" w:cs="Arial"/>
              </w:rPr>
              <w:t xml:space="preserve">no a los emprendimientos y </w:t>
            </w:r>
            <w:r w:rsidRPr="00073658">
              <w:rPr>
                <w:rFonts w:ascii="Verdana" w:eastAsia="Calibri" w:hAnsi="Verdana" w:cs="Arial"/>
              </w:rPr>
              <w:lastRenderedPageBreak/>
              <w:t xml:space="preserve">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w:t>
            </w:r>
            <w:r w:rsidRPr="00206556">
              <w:rPr>
                <w:rFonts w:ascii="Verdana" w:eastAsia="Calibri" w:hAnsi="Verdana" w:cs="Arial"/>
              </w:rPr>
              <w:t xml:space="preserve">dicha norma </w:t>
            </w:r>
            <w:r w:rsidRPr="00073658">
              <w:rPr>
                <w:rFonts w:ascii="Verdana" w:eastAsia="Calibri" w:hAnsi="Verdana" w:cs="Arial"/>
              </w:rPr>
              <w:t>exige que al menos el 10% de la nómina esté en condición de discapacidad y opera únicamente cuando hay empate entre dos o más ofertas. El Decreto 0287 de 2026 no modificó el criterio de desempate de la Ley 2069 de 2020, que por ser norma de rango legal no puede ser alterada por decreto reglamentario, y la diferencia en las exigencias de vinculación entre los dos instrumentos responde precisamente a que son mecanismos distintos que no deben interpretarse extensivamente el uno respecto del otro.</w:t>
            </w:r>
          </w:p>
        </w:tc>
      </w:tr>
    </w:tbl>
    <w:p w14:paraId="6914BB7C"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5B697DCE"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790C280A"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color w:val="ED7D31" w:themeColor="accent2"/>
          <w:lang w:val="es-ES"/>
        </w:rPr>
      </w:pPr>
    </w:p>
    <w:p w14:paraId="62691086" w14:textId="77777777" w:rsidR="008D5774" w:rsidRPr="00206556" w:rsidRDefault="008D5774" w:rsidP="008D5774">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16FC2502" w14:textId="77777777" w:rsidR="001C2502" w:rsidRPr="00206556" w:rsidRDefault="001C2502" w:rsidP="008D5774">
      <w:pPr>
        <w:spacing w:after="0" w:line="276" w:lineRule="auto"/>
        <w:jc w:val="both"/>
        <w:rPr>
          <w:rFonts w:ascii="Verdana" w:eastAsia="Calibri" w:hAnsi="Verdana" w:cs="Arial"/>
          <w:lang w:val="es-ES"/>
        </w:rPr>
      </w:pPr>
    </w:p>
    <w:p w14:paraId="40E10886" w14:textId="0216FC68" w:rsidR="001C2502" w:rsidRPr="00206556" w:rsidRDefault="001C2502" w:rsidP="003C3B8B">
      <w:pPr>
        <w:spacing w:after="120" w:line="276" w:lineRule="auto"/>
        <w:jc w:val="both"/>
        <w:rPr>
          <w:rFonts w:ascii="Verdana" w:hAnsi="Verdana"/>
        </w:rPr>
      </w:pPr>
      <w:r w:rsidRPr="00206556">
        <w:rPr>
          <w:rFonts w:ascii="Verdana" w:eastAsia="Calibri" w:hAnsi="Verdana" w:cs="Arial"/>
          <w:lang w:val="es-ES"/>
        </w:rPr>
        <w:t xml:space="preserve">(i) </w:t>
      </w:r>
      <w:r w:rsidR="006521AC" w:rsidRPr="00206556">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sidRPr="00206556">
        <w:rPr>
          <w:rFonts w:ascii="Verdana" w:eastAsia="Times New Roman" w:hAnsi="Verdana" w:cs="Times New Roman"/>
        </w:rPr>
        <w:t xml:space="preserve">El fundamento del Sistema de Preferencias para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sidR="0024618D">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2"/>
      </w:r>
      <w:r w:rsidR="000A72A9">
        <w:rPr>
          <w:rFonts w:ascii="Verdana" w:eastAsia="Times New Roman" w:hAnsi="Verdana" w:cs="Times New Roman"/>
        </w:rPr>
        <w:t>.</w:t>
      </w:r>
    </w:p>
    <w:p w14:paraId="1410D207" w14:textId="4511F042" w:rsidR="001C2502" w:rsidRPr="00206556" w:rsidRDefault="001C2502" w:rsidP="003C3B8B">
      <w:pPr>
        <w:spacing w:after="120" w:line="276" w:lineRule="auto"/>
        <w:ind w:firstLine="708"/>
        <w:jc w:val="both"/>
        <w:rPr>
          <w:rFonts w:ascii="Verdana" w:hAnsi="Verdana"/>
        </w:rPr>
      </w:pPr>
      <w:r w:rsidRPr="00206556">
        <w:rPr>
          <w:rFonts w:ascii="Verdana" w:eastAsia="Times New Roman" w:hAnsi="Verdana" w:cs="Times New Roman"/>
        </w:rPr>
        <w:t xml:space="preserve">En el plano internacional, Colombia es Estado Parte de instrumentos que conforman el Bloque de Constitucionalidad en virtud del artículo 93 superior. La </w:t>
      </w:r>
      <w:r w:rsidRPr="00206556">
        <w:rPr>
          <w:rFonts w:ascii="Verdana" w:eastAsia="Times New Roman" w:hAnsi="Verdana" w:cs="Times New Roman"/>
        </w:rPr>
        <w:lastRenderedPageBreak/>
        <w:t>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progresivamente la discriminación en la prestación de servicios, incluido el 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materia de empleo.</w:t>
      </w:r>
    </w:p>
    <w:p w14:paraId="53275ADC" w14:textId="5C3AE858" w:rsidR="001C2502" w:rsidRPr="00206556" w:rsidRDefault="006521AC" w:rsidP="003C3B8B">
      <w:pPr>
        <w:spacing w:after="120" w:line="276" w:lineRule="auto"/>
        <w:jc w:val="both"/>
        <w:rPr>
          <w:rFonts w:ascii="Verdana" w:hAnsi="Verdana"/>
        </w:rPr>
      </w:pPr>
      <w:r w:rsidRPr="00206556">
        <w:rPr>
          <w:rFonts w:ascii="Verdana" w:eastAsia="Times New Roman" w:hAnsi="Verdana" w:cs="Times New Roman"/>
          <w:b/>
          <w:bCs/>
        </w:rPr>
        <w:t xml:space="preserve">        </w:t>
      </w:r>
      <w:r w:rsidR="001C2502" w:rsidRPr="00206556">
        <w:rPr>
          <w:rFonts w:ascii="Verdana" w:eastAsia="Times New Roman" w:hAnsi="Verdana" w:cs="Times New Roman"/>
        </w:rPr>
        <w:t xml:space="preserve">La Ley 361 de 1997 estableció los primeros mecanismos de integración social de las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Su artículo 24 introdujo una preferencia en igualdad de condiciones en licitaciones y adjudicaciones de contratos para los empleadores que tuvieran al menos el 10% de su nómina compuesta por </w:t>
      </w:r>
      <w:proofErr w:type="spellStart"/>
      <w:r w:rsidR="001C2502"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6"/>
      </w:r>
      <w:r w:rsidR="000A72A9">
        <w:rPr>
          <w:rFonts w:ascii="Verdana" w:eastAsia="Times New Roman" w:hAnsi="Verdana" w:cs="Times New Roman"/>
        </w:rPr>
        <w:t>.</w:t>
      </w:r>
      <w:r w:rsidR="001C2502" w:rsidRPr="00206556">
        <w:rPr>
          <w:rFonts w:ascii="Verdana" w:eastAsia="Times New Roman" w:hAnsi="Verdana" w:cs="Times New Roman"/>
        </w:rPr>
        <w:t xml:space="preserve"> Esta norma vinculó por primera vez la contratación pública con la inclusión laboral de las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pero su alcance era limitado: una preferencia residual aplicable solo en caso de empate, que beneficiaba únicamente a los empleadores de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sin considerar a las propias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como proponentes directos.</w:t>
      </w:r>
    </w:p>
    <w:p w14:paraId="69EA8BBF" w14:textId="538760F4" w:rsidR="001C2502" w:rsidRPr="00206556" w:rsidRDefault="006521AC" w:rsidP="003C3B8B">
      <w:pPr>
        <w:spacing w:after="120" w:line="276" w:lineRule="auto"/>
        <w:jc w:val="both"/>
        <w:rPr>
          <w:rFonts w:ascii="Verdana" w:hAnsi="Verdana"/>
        </w:rPr>
      </w:pPr>
      <w:r w:rsidRPr="00206556">
        <w:rPr>
          <w:rFonts w:ascii="Verdana" w:eastAsia="Times New Roman" w:hAnsi="Verdana" w:cs="Times New Roman"/>
          <w:b/>
          <w:bCs/>
        </w:rPr>
        <w:t xml:space="preserve">       </w:t>
      </w:r>
      <w:r w:rsidR="001C2502" w:rsidRPr="00206556">
        <w:rPr>
          <w:rFonts w:ascii="Verdana" w:eastAsia="Times New Roman" w:hAnsi="Verdana" w:cs="Times New Roman"/>
        </w:rPr>
        <w:t xml:space="preserve">La Ley Estatutaria 1618 de 2013 representó un salto cualitativo en el marco jurídico de protección de las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al definir a estas como </w:t>
      </w:r>
      <w:r w:rsidR="001C2502"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sidR="000F3D1E">
        <w:rPr>
          <w:rFonts w:ascii="Verdana" w:eastAsia="Times New Roman" w:hAnsi="Verdana" w:cs="Times New Roman"/>
          <w:i/>
          <w:iCs/>
        </w:rPr>
        <w:t>.</w:t>
      </w:r>
      <w:r w:rsidR="001C2502" w:rsidRPr="00206556">
        <w:rPr>
          <w:rFonts w:ascii="Verdana" w:eastAsia="Times New Roman" w:hAnsi="Verdana" w:cs="Times New Roman"/>
        </w:rPr>
        <w:t xml:space="preserve"> Su artículo 13, en los numerales 1, 7 y 8, ordenó </w:t>
      </w:r>
      <w:r w:rsidR="001C2502" w:rsidRPr="00206556">
        <w:rPr>
          <w:rFonts w:ascii="Verdana" w:eastAsia="Times New Roman" w:hAnsi="Verdana" w:cs="Times New Roman"/>
        </w:rPr>
        <w:lastRenderedPageBreak/>
        <w:t xml:space="preserve">al Gobierno Nacional reglamentar: una puntuación adicional en licitación pública, concurso de méritos y contratación directa para empresas que vinculen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y para empresas de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un sistema de preferencias para empleadores de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en la adjudicación; y un sistema de preferencias en favor de las propias </w:t>
      </w:r>
      <w:proofErr w:type="spellStart"/>
      <w:r w:rsidR="001C2502" w:rsidRPr="00206556">
        <w:rPr>
          <w:rFonts w:ascii="Verdana" w:eastAsia="Times New Roman" w:hAnsi="Verdana" w:cs="Times New Roman"/>
        </w:rPr>
        <w:t>PcD</w:t>
      </w:r>
      <w:proofErr w:type="spellEnd"/>
      <w:r w:rsidR="001C2502" w:rsidRPr="00206556">
        <w:rPr>
          <w:rFonts w:ascii="Verdana" w:eastAsia="Times New Roman" w:hAnsi="Verdana" w:cs="Times New Roman"/>
        </w:rPr>
        <w:t xml:space="preserve"> como contratistas</w:t>
      </w:r>
      <w:r w:rsidRPr="00206556">
        <w:rPr>
          <w:rStyle w:val="Refdenotaalpie"/>
          <w:rFonts w:ascii="Verdana" w:eastAsia="Times New Roman" w:hAnsi="Verdana" w:cs="Times New Roman"/>
        </w:rPr>
        <w:footnoteReference w:id="8"/>
      </w:r>
      <w:r w:rsidR="00DF3D9A">
        <w:rPr>
          <w:rFonts w:ascii="Verdana" w:eastAsia="Times New Roman" w:hAnsi="Verdana" w:cs="Times New Roman"/>
        </w:rPr>
        <w:t>.</w:t>
      </w:r>
      <w:r w:rsidR="001C2502" w:rsidRPr="00206556">
        <w:rPr>
          <w:rFonts w:ascii="Verdana" w:eastAsia="Times New Roman" w:hAnsi="Verdana" w:cs="Times New Roman"/>
        </w:rPr>
        <w:t xml:space="preserve"> Este último mandato fue especialmente significativo porque introdujo el concepto de </w:t>
      </w:r>
      <w:r w:rsidR="001C2502" w:rsidRPr="00206556">
        <w:rPr>
          <w:rFonts w:ascii="Verdana" w:eastAsia="Times New Roman" w:hAnsi="Verdana" w:cs="Times New Roman"/>
          <w:i/>
          <w:iCs/>
        </w:rPr>
        <w:t>"sistema de preferencias"</w:t>
      </w:r>
      <w:r w:rsidR="001C2502" w:rsidRPr="00206556">
        <w:rPr>
          <w:rFonts w:ascii="Verdana" w:eastAsia="Times New Roman" w:hAnsi="Verdana" w:cs="Times New Roman"/>
        </w:rPr>
        <w:t xml:space="preserve">, que por definición no puede reducirse a una sola </w:t>
      </w:r>
      <w:proofErr w:type="gramStart"/>
      <w:r w:rsidR="001C2502" w:rsidRPr="00206556">
        <w:rPr>
          <w:rFonts w:ascii="Verdana" w:eastAsia="Times New Roman" w:hAnsi="Verdana" w:cs="Times New Roman"/>
        </w:rPr>
        <w:t>medida</w:t>
      </w:r>
      <w:proofErr w:type="gramEnd"/>
      <w:r w:rsidR="001C2502" w:rsidRPr="00206556">
        <w:rPr>
          <w:rFonts w:ascii="Verdana" w:eastAsia="Times New Roman" w:hAnsi="Verdana" w:cs="Times New Roman"/>
        </w:rPr>
        <w:t xml:space="preserve"> sino que implica un conjunto estructurado de instrumentos que actúen en las distintas fases del proceso contractual.</w:t>
      </w:r>
    </w:p>
    <w:p w14:paraId="2BE88AEB" w14:textId="66EDAB46" w:rsidR="00A420A9" w:rsidRPr="00A420A9" w:rsidRDefault="00E727F0" w:rsidP="00D878A4">
      <w:pPr>
        <w:spacing w:after="120" w:line="276" w:lineRule="auto"/>
        <w:ind w:firstLine="709"/>
        <w:jc w:val="both"/>
        <w:rPr>
          <w:rFonts w:ascii="Verdana" w:hAnsi="Verdana"/>
        </w:rPr>
      </w:pPr>
      <w:r w:rsidRPr="00E727F0">
        <w:rPr>
          <w:rFonts w:ascii="Verdana" w:hAnsi="Verdana"/>
        </w:rPr>
        <w:t xml:space="preserve">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w:t>
      </w:r>
      <w:proofErr w:type="spellStart"/>
      <w:r w:rsidRPr="00E727F0">
        <w:rPr>
          <w:rFonts w:ascii="Verdana" w:hAnsi="Verdana"/>
        </w:rPr>
        <w:t>PcD</w:t>
      </w:r>
      <w:proofErr w:type="spellEnd"/>
      <w:r w:rsidRPr="00E727F0">
        <w:rPr>
          <w:rFonts w:ascii="Verdana" w:hAnsi="Verdana"/>
        </w:rPr>
        <w:t xml:space="preserve">, sin incluir a las empresas de </w:t>
      </w:r>
      <w:proofErr w:type="spellStart"/>
      <w:r w:rsidRPr="00E727F0">
        <w:rPr>
          <w:rFonts w:ascii="Verdana" w:hAnsi="Verdana"/>
        </w:rPr>
        <w:t>PcD</w:t>
      </w:r>
      <w:proofErr w:type="spellEnd"/>
      <w:r w:rsidRPr="00E727F0">
        <w:rPr>
          <w:rFonts w:ascii="Verdana" w:hAnsi="Verdana"/>
        </w:rPr>
        <w:t>; redujo el "sistema de preferencias" a un único criterio de desempate; y no previó medidas en planeación, criterios habilitantes diferenciales, condiciones especiales de ejecución ni abordó la contratación directa como escenario de inclusión.</w:t>
      </w:r>
      <w:r w:rsidR="000D4B26">
        <w:rPr>
          <w:rFonts w:ascii="Verdana" w:hAnsi="Verdana"/>
        </w:rPr>
        <w:t xml:space="preserve"> </w:t>
      </w:r>
      <w:r w:rsidR="000D4B26" w:rsidRPr="00A420A9">
        <w:rPr>
          <w:rFonts w:ascii="Verdana" w:hAnsi="Verdana"/>
        </w:rPr>
        <w:t xml:space="preserve">En consecuencia, desde el punto de vista sustantivo, el Decreto 392 de 2018 reglamentó el numeral 1 de manera parcial y el numeral 7, dejando sin reglamentación material el numeral 8, que era precisamente el que ordenaba el sistema de preferencias en favor de las propias </w:t>
      </w:r>
      <w:proofErr w:type="spellStart"/>
      <w:r w:rsidR="000D4B26" w:rsidRPr="00A420A9">
        <w:rPr>
          <w:rFonts w:ascii="Verdana" w:hAnsi="Verdana"/>
        </w:rPr>
        <w:t>PcD</w:t>
      </w:r>
      <w:proofErr w:type="spellEnd"/>
      <w:r w:rsidR="000D4B26" w:rsidRPr="00A420A9">
        <w:rPr>
          <w:rFonts w:ascii="Verdana" w:hAnsi="Verdana"/>
        </w:rPr>
        <w:t xml:space="preserve"> como contratistas.</w:t>
      </w:r>
    </w:p>
    <w:p w14:paraId="3361EDFD" w14:textId="46D09224" w:rsidR="00A420A9" w:rsidRDefault="00A420A9" w:rsidP="00D878A4">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69E4590C" w14:textId="08C86626" w:rsidR="00E727F0" w:rsidRDefault="00E727F0" w:rsidP="003C3B8B">
      <w:pPr>
        <w:spacing w:after="120" w:line="276" w:lineRule="auto"/>
        <w:ind w:firstLine="709"/>
        <w:jc w:val="both"/>
        <w:rPr>
          <w:rFonts w:ascii="Verdana" w:hAnsi="Verdana"/>
        </w:rPr>
      </w:pPr>
      <w:r w:rsidRPr="00E727F0">
        <w:rPr>
          <w:rFonts w:ascii="Verdana" w:hAnsi="Verdana"/>
        </w:rPr>
        <w:lastRenderedPageBreak/>
        <w:t>En cumplimiento de esa decisión fue expedido el Decreto 0287 de 2026, el cual, como se indicó en la respuesta,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w:t>
      </w:r>
      <w:proofErr w:type="spellStart"/>
      <w:r w:rsidRPr="00E727F0">
        <w:rPr>
          <w:rFonts w:ascii="Verdana" w:hAnsi="Verdana"/>
        </w:rPr>
        <w:t>PcD</w:t>
      </w:r>
      <w:proofErr w:type="spellEnd"/>
      <w:r w:rsidRPr="00E727F0">
        <w:rPr>
          <w:rFonts w:ascii="Verdana" w:hAnsi="Verdana"/>
        </w:rPr>
        <w:t xml:space="preserve"> y los empleadores de </w:t>
      </w:r>
      <w:proofErr w:type="spellStart"/>
      <w:r w:rsidRPr="00E727F0">
        <w:rPr>
          <w:rFonts w:ascii="Verdana" w:hAnsi="Verdana"/>
        </w:rPr>
        <w:t>PcD</w:t>
      </w:r>
      <w:proofErr w:type="spellEnd"/>
      <w:r w:rsidRPr="00E727F0">
        <w:rPr>
          <w:rFonts w:ascii="Verdana" w:hAnsi="Verdana"/>
        </w:rPr>
        <w:t xml:space="preserve">. A continuación, se desarrolla el alcance de cada aspecto del sistema planteado en los problemas jurídicos. </w:t>
      </w:r>
    </w:p>
    <w:p w14:paraId="10295E57" w14:textId="77777777" w:rsidR="00E727F0" w:rsidRPr="00E727F0" w:rsidRDefault="006C4B2C" w:rsidP="003C3B8B">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00E727F0" w:rsidRPr="00E727F0">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w:t>
      </w:r>
      <w:proofErr w:type="spellStart"/>
      <w:r w:rsidR="00E727F0" w:rsidRPr="00E727F0">
        <w:rPr>
          <w:rFonts w:ascii="Verdana" w:eastAsia="Times New Roman" w:hAnsi="Verdana" w:cs="Times New Roman"/>
        </w:rPr>
        <w:t>PcD</w:t>
      </w:r>
      <w:proofErr w:type="spellEnd"/>
      <w:r w:rsidR="00E727F0" w:rsidRPr="00E727F0">
        <w:rPr>
          <w:rFonts w:ascii="Verdana" w:eastAsia="Times New Roman" w:hAnsi="Verdana" w:cs="Times New Roman"/>
        </w:rPr>
        <w:t xml:space="preserve">, conforme a las categorías del artículo 2.2.1.2.4.2.6., o ser empleador de </w:t>
      </w:r>
      <w:proofErr w:type="spellStart"/>
      <w:r w:rsidR="00E727F0" w:rsidRPr="00E727F0">
        <w:rPr>
          <w:rFonts w:ascii="Verdana" w:eastAsia="Times New Roman" w:hAnsi="Verdana" w:cs="Times New Roman"/>
        </w:rPr>
        <w:t>PcD</w:t>
      </w:r>
      <w:proofErr w:type="spellEnd"/>
      <w:r w:rsidR="00E727F0" w:rsidRPr="00E727F0">
        <w:rPr>
          <w:rFonts w:ascii="Verdana" w:eastAsia="Times New Roman" w:hAnsi="Verdana" w:cs="Times New Roman"/>
        </w:rPr>
        <w:t xml:space="preserve">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1E14E0E9" w14:textId="77777777" w:rsidR="00E727F0" w:rsidRPr="00E727F0" w:rsidRDefault="00E727F0" w:rsidP="00E727F0">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098E474B" w14:textId="3DCEEB9E" w:rsidR="006C4B2C" w:rsidRPr="00206556" w:rsidRDefault="00E727F0" w:rsidP="003C3B8B">
      <w:pPr>
        <w:spacing w:after="120" w:line="276" w:lineRule="auto"/>
        <w:ind w:firstLine="709"/>
        <w:jc w:val="both"/>
        <w:rPr>
          <w:rFonts w:ascii="Verdana" w:hAnsi="Verdana"/>
        </w:rPr>
      </w:pPr>
      <w:r w:rsidRPr="00E727F0">
        <w:rPr>
          <w:rFonts w:ascii="Verdana" w:eastAsia="Times New Roman" w:hAnsi="Verdana" w:cs="Times New Roman"/>
        </w:rPr>
        <w:t xml:space="preserve">Esta decisión normativa responde a una razón de diseño del sistema: el 2% ya incorpora el estímulo suficiente para promover la inclusión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3F2EB7AD" w14:textId="70111AAF" w:rsidR="00D22B7C" w:rsidRPr="00D22B7C" w:rsidRDefault="006C4B2C" w:rsidP="003C3B8B">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00D22B7C" w:rsidRPr="00D22B7C">
        <w:rPr>
          <w:rFonts w:ascii="Verdana" w:eastAsia="Times New Roman" w:hAnsi="Verdana" w:cs="Times New Roman"/>
        </w:rPr>
        <w:t xml:space="preserve">En cuanto a la exigencia del número mínimo de </w:t>
      </w:r>
      <w:proofErr w:type="spellStart"/>
      <w:r w:rsidR="00D22B7C" w:rsidRPr="00D22B7C">
        <w:rPr>
          <w:rFonts w:ascii="Verdana" w:eastAsia="Times New Roman" w:hAnsi="Verdana" w:cs="Times New Roman"/>
        </w:rPr>
        <w:t>PcD</w:t>
      </w:r>
      <w:proofErr w:type="spellEnd"/>
      <w:r w:rsidR="00D22B7C" w:rsidRPr="00D22B7C">
        <w:rPr>
          <w:rFonts w:ascii="Verdana" w:eastAsia="Times New Roman" w:hAnsi="Verdana" w:cs="Times New Roman"/>
        </w:rPr>
        <w:t xml:space="preserve"> vinculadas y la acreditación mediante planillas de seguridad social</w:t>
      </w:r>
      <w:r w:rsidR="006E7113">
        <w:rPr>
          <w:rFonts w:ascii="Verdana" w:eastAsia="Times New Roman" w:hAnsi="Verdana" w:cs="Times New Roman"/>
        </w:rPr>
        <w:t>, e</w:t>
      </w:r>
      <w:r w:rsidR="00D22B7C" w:rsidRPr="006E7113">
        <w:rPr>
          <w:rFonts w:ascii="Verdana" w:eastAsia="Times New Roman" w:hAnsi="Verdana" w:cs="Times New Roman"/>
        </w:rPr>
        <w:t>l artículo 2.2.1.2.4.2.7.4. del Decreto 0287 de 2026 establece que para acceder al</w:t>
      </w:r>
      <w:r w:rsidR="00D22B7C" w:rsidRPr="00D22B7C">
        <w:rPr>
          <w:rFonts w:ascii="Verdana" w:eastAsia="Times New Roman" w:hAnsi="Verdana" w:cs="Times New Roman"/>
        </w:rPr>
        <w:t xml:space="preserve"> puntaje adicional en la condición de empleador de </w:t>
      </w:r>
      <w:proofErr w:type="spellStart"/>
      <w:r w:rsidR="00D22B7C" w:rsidRPr="00D22B7C">
        <w:rPr>
          <w:rFonts w:ascii="Verdana" w:eastAsia="Times New Roman" w:hAnsi="Verdana" w:cs="Times New Roman"/>
        </w:rPr>
        <w:t>PcD</w:t>
      </w:r>
      <w:proofErr w:type="spellEnd"/>
      <w:r w:rsidR="00D22B7C" w:rsidRPr="00D22B7C">
        <w:rPr>
          <w:rFonts w:ascii="Verdana" w:eastAsia="Times New Roman" w:hAnsi="Verdana" w:cs="Times New Roman"/>
        </w:rPr>
        <w:t xml:space="preserve">, el proponente debe acreditar dentro de su planta </w:t>
      </w:r>
      <w:r w:rsidR="00D22B7C" w:rsidRPr="00D22B7C">
        <w:rPr>
          <w:rFonts w:ascii="Verdana" w:eastAsia="Times New Roman" w:hAnsi="Verdana" w:cs="Times New Roman"/>
        </w:rPr>
        <w:lastRenderedPageBreak/>
        <w:t xml:space="preserve">de personal la vinculación de personas con discapacidad mediante contrato laboral con dedicación exclusiva, superando los mínimos que exige la Ley 2466 de 2025 (Reforma Laboral). El número mínimo de </w:t>
      </w:r>
      <w:proofErr w:type="spellStart"/>
      <w:r w:rsidR="00D22B7C" w:rsidRPr="00D22B7C">
        <w:rPr>
          <w:rFonts w:ascii="Verdana" w:eastAsia="Times New Roman" w:hAnsi="Verdana" w:cs="Times New Roman"/>
        </w:rPr>
        <w:t>PcD</w:t>
      </w:r>
      <w:proofErr w:type="spellEnd"/>
      <w:r w:rsidR="00D22B7C" w:rsidRPr="00D22B7C">
        <w:rPr>
          <w:rFonts w:ascii="Verdana" w:eastAsia="Times New Roman" w:hAnsi="Verdana" w:cs="Times New Roman"/>
        </w:rPr>
        <w:t xml:space="preserve"> requerido varía según el tamaño de la planta de personal del proponente, conforme a la siguiente tabla:</w:t>
      </w:r>
    </w:p>
    <w:p w14:paraId="7E494AAD" w14:textId="77777777" w:rsidR="00D22B7C" w:rsidRPr="00D22B7C" w:rsidRDefault="00D22B7C" w:rsidP="00D22B7C">
      <w:pPr>
        <w:spacing w:after="100"/>
        <w:rPr>
          <w:rFonts w:ascii="Verdana" w:hAnsi="Verdana"/>
        </w:rPr>
      </w:pP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D22B7C" w:rsidRPr="00D22B7C" w14:paraId="78C85C1C" w14:textId="77777777" w:rsidTr="00D22B7C">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5CC2BF17" w14:textId="77777777" w:rsidR="00D22B7C" w:rsidRPr="00D22B7C" w:rsidRDefault="00D22B7C" w:rsidP="00D22B7C">
            <w:pPr>
              <w:jc w:val="center"/>
              <w:rPr>
                <w:rFonts w:ascii="Verdana" w:hAnsi="Verdana"/>
              </w:rPr>
            </w:pPr>
            <w:r w:rsidRPr="00D22B7C">
              <w:rPr>
                <w:rFonts w:ascii="Verdana" w:eastAsia="Times New Roman" w:hAnsi="Verdana" w:cs="Times New Roman"/>
                <w:b/>
                <w:bCs/>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3629B317" w14:textId="77777777" w:rsidR="00D22B7C" w:rsidRPr="00D22B7C" w:rsidRDefault="00D22B7C" w:rsidP="00D22B7C">
            <w:pPr>
              <w:jc w:val="center"/>
              <w:rPr>
                <w:rFonts w:ascii="Verdana" w:hAnsi="Verdana"/>
              </w:rPr>
            </w:pPr>
            <w:r w:rsidRPr="00D22B7C">
              <w:rPr>
                <w:rFonts w:ascii="Verdana" w:eastAsia="Times New Roman" w:hAnsi="Verdana" w:cs="Times New Roman"/>
                <w:b/>
                <w:bCs/>
              </w:rPr>
              <w:t>Número mínimo de trabajadores con discapacidad requerido</w:t>
            </w:r>
          </w:p>
        </w:tc>
      </w:tr>
      <w:tr w:rsidR="00D22B7C" w:rsidRPr="00D22B7C" w14:paraId="25C81394" w14:textId="77777777" w:rsidTr="00D22B7C">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9828772" w14:textId="77777777" w:rsidR="00D22B7C" w:rsidRPr="00D22B7C" w:rsidRDefault="00D22B7C" w:rsidP="00D22B7C">
            <w:pPr>
              <w:jc w:val="center"/>
              <w:rPr>
                <w:rFonts w:ascii="Verdana" w:hAnsi="Verdana"/>
              </w:rPr>
            </w:pPr>
            <w:r w:rsidRPr="00D22B7C">
              <w:rPr>
                <w:rFonts w:ascii="Verdana" w:eastAsia="Times New Roman" w:hAnsi="Verdana" w:cs="Times New Roman"/>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F930232" w14:textId="77777777" w:rsidR="00D22B7C" w:rsidRPr="00D22B7C" w:rsidRDefault="00D22B7C" w:rsidP="00D22B7C">
            <w:pPr>
              <w:jc w:val="center"/>
              <w:rPr>
                <w:rFonts w:ascii="Verdana" w:hAnsi="Verdana"/>
              </w:rPr>
            </w:pPr>
            <w:r w:rsidRPr="00D22B7C">
              <w:rPr>
                <w:rFonts w:ascii="Verdana" w:eastAsia="Times New Roman" w:hAnsi="Verdana" w:cs="Times New Roman"/>
              </w:rPr>
              <w:t>2</w:t>
            </w:r>
          </w:p>
        </w:tc>
      </w:tr>
      <w:tr w:rsidR="00D22B7C" w:rsidRPr="00D22B7C" w14:paraId="093BF1E2" w14:textId="77777777" w:rsidTr="00D22B7C">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7A3DF53" w14:textId="77777777" w:rsidR="00D22B7C" w:rsidRPr="00D22B7C" w:rsidRDefault="00D22B7C" w:rsidP="00D22B7C">
            <w:pPr>
              <w:jc w:val="center"/>
              <w:rPr>
                <w:rFonts w:ascii="Verdana" w:hAnsi="Verdana"/>
              </w:rPr>
            </w:pPr>
            <w:r w:rsidRPr="00D22B7C">
              <w:rPr>
                <w:rFonts w:ascii="Verdana" w:eastAsia="Times New Roman" w:hAnsi="Verdana" w:cs="Times New Roman"/>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4BB1C5D" w14:textId="77777777" w:rsidR="00D22B7C" w:rsidRPr="00D22B7C" w:rsidRDefault="00D22B7C" w:rsidP="00D22B7C">
            <w:pPr>
              <w:jc w:val="center"/>
              <w:rPr>
                <w:rFonts w:ascii="Verdana" w:hAnsi="Verdana"/>
              </w:rPr>
            </w:pPr>
            <w:r w:rsidRPr="00D22B7C">
              <w:rPr>
                <w:rFonts w:ascii="Verdana" w:eastAsia="Times New Roman" w:hAnsi="Verdana" w:cs="Times New Roman"/>
              </w:rPr>
              <w:t>3</w:t>
            </w:r>
          </w:p>
        </w:tc>
      </w:tr>
      <w:tr w:rsidR="00D22B7C" w:rsidRPr="00D22B7C" w14:paraId="2A365D97" w14:textId="77777777" w:rsidTr="00D22B7C">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BBB1343" w14:textId="77777777" w:rsidR="00D22B7C" w:rsidRPr="00D22B7C" w:rsidRDefault="00D22B7C" w:rsidP="00D22B7C">
            <w:pPr>
              <w:jc w:val="center"/>
              <w:rPr>
                <w:rFonts w:ascii="Verdana" w:hAnsi="Verdana"/>
              </w:rPr>
            </w:pPr>
            <w:r w:rsidRPr="00D22B7C">
              <w:rPr>
                <w:rFonts w:ascii="Verdana" w:eastAsia="Times New Roman" w:hAnsi="Verdana" w:cs="Times New Roman"/>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2DED8F8" w14:textId="77777777" w:rsidR="00D22B7C" w:rsidRPr="00D22B7C" w:rsidRDefault="00D22B7C" w:rsidP="00D22B7C">
            <w:pPr>
              <w:jc w:val="center"/>
              <w:rPr>
                <w:rFonts w:ascii="Verdana" w:hAnsi="Verdana"/>
              </w:rPr>
            </w:pPr>
            <w:r w:rsidRPr="00D22B7C">
              <w:rPr>
                <w:rFonts w:ascii="Verdana" w:eastAsia="Times New Roman" w:hAnsi="Verdana" w:cs="Times New Roman"/>
              </w:rPr>
              <w:t>4</w:t>
            </w:r>
          </w:p>
        </w:tc>
      </w:tr>
      <w:tr w:rsidR="00D22B7C" w:rsidRPr="00D22B7C" w14:paraId="5C527D26" w14:textId="77777777" w:rsidTr="00D22B7C">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2B125E1" w14:textId="77777777" w:rsidR="00D22B7C" w:rsidRPr="00D22B7C" w:rsidRDefault="00D22B7C" w:rsidP="00D22B7C">
            <w:pPr>
              <w:jc w:val="center"/>
              <w:rPr>
                <w:rFonts w:ascii="Verdana" w:hAnsi="Verdana"/>
              </w:rPr>
            </w:pPr>
            <w:r w:rsidRPr="00D22B7C">
              <w:rPr>
                <w:rFonts w:ascii="Verdana" w:eastAsia="Times New Roman" w:hAnsi="Verdana" w:cs="Times New Roman"/>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106C8CE" w14:textId="77777777" w:rsidR="00D22B7C" w:rsidRPr="00D22B7C" w:rsidRDefault="00D22B7C" w:rsidP="00D22B7C">
            <w:pPr>
              <w:jc w:val="center"/>
              <w:rPr>
                <w:rFonts w:ascii="Verdana" w:hAnsi="Verdana"/>
              </w:rPr>
            </w:pPr>
            <w:r w:rsidRPr="00D22B7C">
              <w:rPr>
                <w:rFonts w:ascii="Verdana" w:eastAsia="Times New Roman" w:hAnsi="Verdana" w:cs="Times New Roman"/>
              </w:rPr>
              <w:t>5</w:t>
            </w:r>
          </w:p>
        </w:tc>
      </w:tr>
      <w:tr w:rsidR="00D22B7C" w:rsidRPr="00D22B7C" w14:paraId="6D9F5076" w14:textId="77777777" w:rsidTr="00D22B7C">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3980460" w14:textId="77777777" w:rsidR="00D22B7C" w:rsidRPr="00D22B7C" w:rsidRDefault="00D22B7C" w:rsidP="00D22B7C">
            <w:pPr>
              <w:jc w:val="center"/>
              <w:rPr>
                <w:rFonts w:ascii="Verdana" w:hAnsi="Verdana"/>
              </w:rPr>
            </w:pPr>
            <w:r w:rsidRPr="00D22B7C">
              <w:rPr>
                <w:rFonts w:ascii="Verdana" w:eastAsia="Times New Roman" w:hAnsi="Verdana" w:cs="Times New Roman"/>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9ECD474" w14:textId="77777777" w:rsidR="00D22B7C" w:rsidRPr="00D22B7C" w:rsidRDefault="00D22B7C" w:rsidP="00D22B7C">
            <w:pPr>
              <w:jc w:val="center"/>
              <w:rPr>
                <w:rFonts w:ascii="Verdana" w:hAnsi="Verdana"/>
              </w:rPr>
            </w:pPr>
            <w:r w:rsidRPr="00D22B7C">
              <w:rPr>
                <w:rFonts w:ascii="Verdana" w:eastAsia="Times New Roman" w:hAnsi="Verdana" w:cs="Times New Roman"/>
              </w:rPr>
              <w:t>7</w:t>
            </w:r>
          </w:p>
        </w:tc>
      </w:tr>
      <w:tr w:rsidR="00D22B7C" w:rsidRPr="00D22B7C" w14:paraId="39C13FDA" w14:textId="77777777" w:rsidTr="00D22B7C">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3DEB568" w14:textId="77777777" w:rsidR="00D22B7C" w:rsidRPr="00D22B7C" w:rsidRDefault="00D22B7C" w:rsidP="00D22B7C">
            <w:pPr>
              <w:jc w:val="center"/>
              <w:rPr>
                <w:rFonts w:ascii="Verdana" w:hAnsi="Verdana"/>
              </w:rPr>
            </w:pPr>
            <w:r w:rsidRPr="00D22B7C">
              <w:rPr>
                <w:rFonts w:ascii="Verdana" w:eastAsia="Times New Roman" w:hAnsi="Verdana" w:cs="Times New Roman"/>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1E2180B" w14:textId="77777777" w:rsidR="00D22B7C" w:rsidRPr="00D22B7C" w:rsidRDefault="00D22B7C" w:rsidP="00D22B7C">
            <w:pPr>
              <w:jc w:val="center"/>
              <w:rPr>
                <w:rFonts w:ascii="Verdana" w:hAnsi="Verdana"/>
              </w:rPr>
            </w:pPr>
            <w:r w:rsidRPr="00D22B7C">
              <w:rPr>
                <w:rFonts w:ascii="Verdana" w:eastAsia="Times New Roman" w:hAnsi="Verdana" w:cs="Times New Roman"/>
              </w:rPr>
              <w:t>10</w:t>
            </w:r>
          </w:p>
        </w:tc>
      </w:tr>
      <w:tr w:rsidR="00D22B7C" w:rsidRPr="00D22B7C" w14:paraId="58DA087A" w14:textId="77777777" w:rsidTr="00D22B7C">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5BB7093" w14:textId="77777777" w:rsidR="00D22B7C" w:rsidRPr="00D22B7C" w:rsidRDefault="00D22B7C" w:rsidP="00D22B7C">
            <w:pPr>
              <w:jc w:val="center"/>
              <w:rPr>
                <w:rFonts w:ascii="Verdana" w:hAnsi="Verdana"/>
              </w:rPr>
            </w:pPr>
            <w:r w:rsidRPr="00D22B7C">
              <w:rPr>
                <w:rFonts w:ascii="Verdana" w:eastAsia="Times New Roman" w:hAnsi="Verdana" w:cs="Times New Roman"/>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2DAA433" w14:textId="77777777" w:rsidR="00D22B7C" w:rsidRPr="00D22B7C" w:rsidRDefault="00D22B7C" w:rsidP="00D22B7C">
            <w:pPr>
              <w:jc w:val="center"/>
              <w:rPr>
                <w:rFonts w:ascii="Verdana" w:hAnsi="Verdana"/>
              </w:rPr>
            </w:pPr>
            <w:r w:rsidRPr="00D22B7C">
              <w:rPr>
                <w:rFonts w:ascii="Verdana" w:eastAsia="Times New Roman" w:hAnsi="Verdana" w:cs="Times New Roman"/>
              </w:rPr>
              <w:t>12</w:t>
            </w:r>
          </w:p>
        </w:tc>
      </w:tr>
      <w:tr w:rsidR="00D22B7C" w:rsidRPr="00D22B7C" w14:paraId="48E9ACAC" w14:textId="77777777" w:rsidTr="00D22B7C">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F8402E4" w14:textId="77777777" w:rsidR="00D22B7C" w:rsidRPr="00D22B7C" w:rsidRDefault="00D22B7C" w:rsidP="00D22B7C">
            <w:pPr>
              <w:jc w:val="center"/>
              <w:rPr>
                <w:rFonts w:ascii="Verdana" w:hAnsi="Verdana"/>
              </w:rPr>
            </w:pPr>
            <w:r w:rsidRPr="00D22B7C">
              <w:rPr>
                <w:rFonts w:ascii="Verdana" w:eastAsia="Times New Roman" w:hAnsi="Verdana" w:cs="Times New Roman"/>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66FC51C" w14:textId="77777777" w:rsidR="00D22B7C" w:rsidRPr="00D22B7C" w:rsidRDefault="00D22B7C" w:rsidP="00D22B7C">
            <w:pPr>
              <w:jc w:val="center"/>
              <w:rPr>
                <w:rFonts w:ascii="Verdana" w:hAnsi="Verdana"/>
              </w:rPr>
            </w:pPr>
            <w:r w:rsidRPr="00D22B7C">
              <w:rPr>
                <w:rFonts w:ascii="Verdana" w:eastAsia="Times New Roman" w:hAnsi="Verdana" w:cs="Times New Roman"/>
              </w:rPr>
              <w:t>14</w:t>
            </w:r>
          </w:p>
        </w:tc>
      </w:tr>
      <w:tr w:rsidR="00D22B7C" w:rsidRPr="00D22B7C" w14:paraId="042E1F0A" w14:textId="77777777" w:rsidTr="00D22B7C">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79212BC" w14:textId="77777777" w:rsidR="00D22B7C" w:rsidRPr="00D22B7C" w:rsidRDefault="00D22B7C" w:rsidP="00D22B7C">
            <w:pPr>
              <w:jc w:val="center"/>
              <w:rPr>
                <w:rFonts w:ascii="Verdana" w:hAnsi="Verdana"/>
              </w:rPr>
            </w:pPr>
            <w:r w:rsidRPr="00D22B7C">
              <w:rPr>
                <w:rFonts w:ascii="Verdana" w:eastAsia="Times New Roman" w:hAnsi="Verdana" w:cs="Times New Roman"/>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9E57E61" w14:textId="77777777" w:rsidR="00D22B7C" w:rsidRPr="00D22B7C" w:rsidRDefault="00D22B7C" w:rsidP="00D22B7C">
            <w:pPr>
              <w:jc w:val="center"/>
              <w:rPr>
                <w:rFonts w:ascii="Verdana" w:hAnsi="Verdana"/>
              </w:rPr>
            </w:pPr>
            <w:r w:rsidRPr="00D22B7C">
              <w:rPr>
                <w:rFonts w:ascii="Verdana" w:eastAsia="Times New Roman" w:hAnsi="Verdana" w:cs="Times New Roman"/>
              </w:rPr>
              <w:t>16</w:t>
            </w:r>
          </w:p>
        </w:tc>
      </w:tr>
      <w:tr w:rsidR="00D22B7C" w:rsidRPr="00D22B7C" w14:paraId="0CB5ADE6" w14:textId="77777777" w:rsidTr="00D22B7C">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8698744" w14:textId="77777777" w:rsidR="00D22B7C" w:rsidRPr="00D22B7C" w:rsidRDefault="00D22B7C" w:rsidP="00D22B7C">
            <w:pPr>
              <w:jc w:val="center"/>
              <w:rPr>
                <w:rFonts w:ascii="Verdana" w:hAnsi="Verdana"/>
              </w:rPr>
            </w:pPr>
            <w:r w:rsidRPr="00D22B7C">
              <w:rPr>
                <w:rFonts w:ascii="Verdana" w:eastAsia="Times New Roman" w:hAnsi="Verdana" w:cs="Times New Roman"/>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377243B" w14:textId="77777777" w:rsidR="00D22B7C" w:rsidRPr="00D22B7C" w:rsidRDefault="00D22B7C" w:rsidP="00D22B7C">
            <w:pPr>
              <w:jc w:val="center"/>
              <w:rPr>
                <w:rFonts w:ascii="Verdana" w:hAnsi="Verdana"/>
              </w:rPr>
            </w:pPr>
            <w:r w:rsidRPr="00D22B7C">
              <w:rPr>
                <w:rFonts w:ascii="Verdana" w:eastAsia="Times New Roman" w:hAnsi="Verdana" w:cs="Times New Roman"/>
              </w:rPr>
              <w:t>Por cada 100 trabajadores adicionales, se suman 2 trabajadores con discapacidad</w:t>
            </w:r>
          </w:p>
        </w:tc>
      </w:tr>
    </w:tbl>
    <w:p w14:paraId="30DD0874" w14:textId="77777777" w:rsidR="00D22B7C" w:rsidRPr="00D22B7C" w:rsidRDefault="00D22B7C" w:rsidP="003C3B8B">
      <w:pPr>
        <w:spacing w:after="0" w:line="276" w:lineRule="auto"/>
        <w:rPr>
          <w:rFonts w:ascii="Verdana" w:hAnsi="Verdana"/>
        </w:rPr>
      </w:pPr>
    </w:p>
    <w:p w14:paraId="2A9A10F3" w14:textId="49FF2C5C" w:rsidR="00D22B7C" w:rsidRPr="00D22B7C" w:rsidRDefault="00D22B7C" w:rsidP="003C3B8B">
      <w:pPr>
        <w:spacing w:after="120" w:line="276" w:lineRule="auto"/>
        <w:ind w:firstLine="709"/>
        <w:jc w:val="both"/>
        <w:rPr>
          <w:rFonts w:ascii="Verdana" w:hAnsi="Verdana"/>
        </w:rPr>
      </w:pPr>
      <w:r w:rsidRPr="00D22B7C">
        <w:rPr>
          <w:rFonts w:ascii="Verdana" w:eastAsia="Times New Roman" w:hAnsi="Verdana" w:cs="Times New Roman"/>
        </w:rPr>
        <w:t xml:space="preserve">El puntaje no se otorga por cumplir la ley sino por superarla: solo el proponente que acredite un número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igual o superior al </w:t>
      </w:r>
      <w:r w:rsidRPr="00D22B7C">
        <w:rPr>
          <w:rFonts w:ascii="Verdana" w:eastAsia="Times New Roman" w:hAnsi="Verdana" w:cs="Times New Roman"/>
        </w:rPr>
        <w:lastRenderedPageBreak/>
        <w:t>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sidR="007437DE">
        <w:rPr>
          <w:rFonts w:ascii="Verdana" w:eastAsia="Times New Roman" w:hAnsi="Verdana" w:cs="Times New Roman"/>
        </w:rPr>
        <w:t>, sin que se exija el aporte de experiencia</w:t>
      </w:r>
      <w:r w:rsidRPr="00D22B7C">
        <w:rPr>
          <w:rFonts w:ascii="Verdana" w:eastAsia="Times New Roman" w:hAnsi="Verdana" w:cs="Times New Roman"/>
        </w:rPr>
        <w:t>.</w:t>
      </w:r>
    </w:p>
    <w:p w14:paraId="738906B4" w14:textId="300F0E10" w:rsidR="00D22B7C" w:rsidRPr="00D22B7C" w:rsidRDefault="00D22B7C" w:rsidP="003C3B8B">
      <w:pPr>
        <w:spacing w:after="120" w:line="276" w:lineRule="auto"/>
        <w:ind w:firstLine="709"/>
        <w:jc w:val="both"/>
        <w:rPr>
          <w:rFonts w:ascii="Verdana" w:hAnsi="Verdana"/>
        </w:rPr>
      </w:pPr>
      <w:r w:rsidRPr="00D22B7C">
        <w:rPr>
          <w:rFonts w:ascii="Verdana" w:eastAsia="Times New Roman" w:hAnsi="Verdana" w:cs="Times New Roman"/>
        </w:rPr>
        <w:t xml:space="preserve">Acreditada esa vinculación, el decreto exige adicionalmente los certificados de aportes a seguridad social de los tres (3) meses anteriores a la presentación de la oferta respecto de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el cómputo, sin distinción entre vinculaciones iniciales e incrementos posteriores, junto con el certificado que expide el Ministerio de</w:t>
      </w:r>
      <w:r w:rsidR="00B53C1C">
        <w:rPr>
          <w:rFonts w:ascii="Verdana" w:eastAsia="Times New Roman" w:hAnsi="Verdana" w:cs="Times New Roman"/>
        </w:rPr>
        <w:t>l</w:t>
      </w:r>
      <w:r w:rsidRPr="00D22B7C">
        <w:rPr>
          <w:rFonts w:ascii="Verdana" w:eastAsia="Times New Roman" w:hAnsi="Verdana" w:cs="Times New Roman"/>
        </w:rPr>
        <w:t xml:space="preserve"> Trabajo</w:t>
      </w:r>
      <w:r w:rsidR="00E425E8">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6AD30BB8" w14:textId="5B39A5A2" w:rsidR="00D22B7C" w:rsidRPr="003C3B8B" w:rsidRDefault="00D22B7C" w:rsidP="003C3B8B">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 xml:space="preserve">"no se exige vinculación de las </w:t>
      </w:r>
      <w:proofErr w:type="spellStart"/>
      <w:r w:rsidRPr="003C3B8B">
        <w:rPr>
          <w:rFonts w:ascii="Verdana" w:eastAsia="Times New Roman" w:hAnsi="Verdana" w:cs="Times New Roman"/>
          <w:i/>
          <w:iCs/>
          <w:sz w:val="21"/>
          <w:szCs w:val="21"/>
        </w:rPr>
        <w:t>PcD</w:t>
      </w:r>
      <w:proofErr w:type="spellEnd"/>
      <w:r w:rsidRPr="003C3B8B">
        <w:rPr>
          <w:rFonts w:ascii="Verdana" w:eastAsia="Times New Roman" w:hAnsi="Verdana" w:cs="Times New Roman"/>
          <w:i/>
          <w:iCs/>
          <w:sz w:val="21"/>
          <w:szCs w:val="21"/>
        </w:rPr>
        <w:t xml:space="preserve"> durante un (1) año antes del proceso contractual, ya que el Decreto 392 de 2018 no lo exigía así, y la nueva regulación exige solo tres (3) meses anteriores a la celebración del proceso"</w:t>
      </w:r>
      <w:r w:rsidR="00B53C1C">
        <w:rPr>
          <w:rFonts w:ascii="Verdana" w:eastAsia="Times New Roman" w:hAnsi="Verdana" w:cs="Times New Roman"/>
          <w:i/>
          <w:iCs/>
          <w:sz w:val="21"/>
          <w:szCs w:val="21"/>
        </w:rPr>
        <w:t>.</w:t>
      </w:r>
    </w:p>
    <w:p w14:paraId="4909A91D" w14:textId="6F878B0D" w:rsidR="00E727F0" w:rsidRDefault="00D22B7C">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 xml:space="preserve">El período de tres meses es el umbral mínimo de estabilidad laboral que diferencia un compromiso genuino con la inclusión de una vinculación oportunista. La norma aplica este requisito para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la acreditación, independientemente de si es una vinculación original o una nueva incorporación. Si una empresa ha incrementado recientemente su planta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y alguna de estas vinculaciones no alcanza el período requerido, el proponente puede participar en el proceso utilizando únicamente las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que sí cumplan el requisito temporal. La consecuencia de no alcanzar el período no es la exclusión del proceso sino la imposibilidad de obtener el puntaje adicional respecto de esas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específicas, lo que es coherente con los principios de participación y pluralidad de oferentes.</w:t>
      </w:r>
    </w:p>
    <w:p w14:paraId="62BC6855" w14:textId="77777777" w:rsidR="007B01BA" w:rsidRDefault="007B01BA">
      <w:pPr>
        <w:spacing w:after="120" w:line="276" w:lineRule="auto"/>
        <w:ind w:firstLine="708"/>
        <w:jc w:val="both"/>
        <w:rPr>
          <w:rFonts w:ascii="Verdana" w:eastAsia="Times New Roman" w:hAnsi="Verdana" w:cs="Times New Roman"/>
        </w:rPr>
      </w:pPr>
    </w:p>
    <w:p w14:paraId="76FD440C" w14:textId="5E4A5613" w:rsidR="007B01BA" w:rsidRDefault="007B01BA" w:rsidP="003C3B8B">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 xml:space="preserve">Es importante precisar que la vinculación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a las plantas de personal debe realizarse mediante contrato laboral con dedicación exclusiva, cuya definición le corresponde al Ministerio del Trabajo. Adicionalmente, debe destacarse la diferencia entre los documentos exigidos según el sujeto que </w:t>
      </w:r>
      <w:r w:rsidRPr="007B01BA">
        <w:rPr>
          <w:rFonts w:ascii="Verdana" w:eastAsia="Times New Roman" w:hAnsi="Verdana" w:cs="Times New Roman"/>
        </w:rPr>
        <w:lastRenderedPageBreak/>
        <w:t xml:space="preserve">acredita el puntaje: cuando se trata de un empleador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los documentos requeridos son los establecidos en el artículo 2.2.1.2.4.2.7.4., que incluye las planillas de seguridad social de los últimos tres (3) meses y el certificado del Ministerio del Trabajo</w:t>
      </w:r>
      <w:r w:rsidR="00B0404B">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los documentos requeridos son los establecidos en el artículo 2.2.1.2.4.2.6., que varían según la categoría que se acredite. En ningún caso los documentos del artículo 2.2.1.2.4.2.7.4. son exigibles a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por lo que no deben confundirse.</w:t>
      </w:r>
    </w:p>
    <w:p w14:paraId="10A51E17" w14:textId="4D940DA5" w:rsidR="00E727F0" w:rsidRPr="00D22B7C" w:rsidRDefault="00E727F0" w:rsidP="003C3B8B">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iv</w:t>
      </w:r>
      <w:proofErr w:type="spellEnd"/>
      <w:r w:rsidRPr="00206556">
        <w:rPr>
          <w:rFonts w:ascii="Verdana" w:hAnsi="Verdana"/>
        </w:rPr>
        <w:t>) En relación, al ámbito de aplicación del puntaje adicional del 2%</w:t>
      </w:r>
      <w:r w:rsidR="00534597">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xml:space="preserve">; y la contratación directa tiene su propia medida afirmativa a través de los contratos de prestación de servicios con </w:t>
      </w:r>
      <w:proofErr w:type="spellStart"/>
      <w:r w:rsidRPr="00206556">
        <w:rPr>
          <w:rFonts w:ascii="Verdana" w:hAnsi="Verdana"/>
        </w:rPr>
        <w:t>PcD</w:t>
      </w:r>
      <w:proofErr w:type="spellEnd"/>
      <w:r w:rsidRPr="00206556">
        <w:rPr>
          <w:rFonts w:ascii="Verdana" w:hAnsi="Verdana"/>
        </w:rPr>
        <w:t>.</w:t>
      </w:r>
    </w:p>
    <w:p w14:paraId="7F0CC426" w14:textId="1E2FF4AA" w:rsidR="006C4B2C" w:rsidRPr="00206556" w:rsidRDefault="006C4B2C" w:rsidP="003C3B8B">
      <w:pPr>
        <w:spacing w:after="120" w:line="276" w:lineRule="auto"/>
        <w:ind w:firstLine="709"/>
        <w:jc w:val="both"/>
        <w:rPr>
          <w:rFonts w:ascii="Verdana" w:hAnsi="Verdana"/>
          <w:sz w:val="20"/>
          <w:szCs w:val="20"/>
        </w:rPr>
      </w:pPr>
      <w:r w:rsidRPr="00206556">
        <w:rPr>
          <w:rFonts w:ascii="Verdana" w:hAnsi="Verdana"/>
        </w:rPr>
        <w:t xml:space="preserve">(v) Sobre la aplicación del Decreto 0287 de 2026 en los documentos </w:t>
      </w:r>
      <w:r w:rsidR="00206F7B" w:rsidRPr="00206556">
        <w:rPr>
          <w:rFonts w:ascii="Verdana" w:hAnsi="Verdana"/>
        </w:rPr>
        <w:t>tipo, el</w:t>
      </w:r>
      <w:r w:rsidRPr="00206556">
        <w:rPr>
          <w:rFonts w:ascii="Verdana" w:hAnsi="Verdana"/>
        </w:rPr>
        <w:t xml:space="preserve"> artículo 2.2.1.2.4.2.7.8. del Decreto 0287 de 2026 establece que Colombia Compra Eficiente garantizará la incorporación permanente de las medidas del sistema en los documentos e instrumentos que genera. </w:t>
      </w:r>
    </w:p>
    <w:p w14:paraId="38812DAA" w14:textId="372A6B22" w:rsidR="00670CFB" w:rsidRPr="00670CFB" w:rsidRDefault="007B01BA" w:rsidP="00D878A4">
      <w:pPr>
        <w:spacing w:after="120" w:line="276" w:lineRule="auto"/>
        <w:ind w:firstLine="708"/>
        <w:jc w:val="both"/>
        <w:rPr>
          <w:rFonts w:ascii="Verdana" w:hAnsi="Verdana"/>
        </w:rPr>
      </w:pPr>
      <w:r w:rsidRPr="007B01BA">
        <w:rPr>
          <w:rFonts w:ascii="Verdana" w:hAnsi="Verdana"/>
        </w:rPr>
        <w:t xml:space="preserve">El principio de inalterabilidad de los documentos tipo impide modificaciones unilaterales por parte de las entidades, pues ello afectaría la estandarización, la transparencia y la igualdad entre proponentes que dichos documentos buscan garantizar. Colombia Compra Eficiente realizará las actualizaciones necesarias a los documentos tipo en el menor tiempo posible para incorporar las medidas del sistema de preferencias. La aplicación del decreto queda diferenciada según la etapa del proceso: los procesos con </w:t>
      </w:r>
      <w:r w:rsidRPr="007B01BA">
        <w:rPr>
          <w:rFonts w:ascii="Verdana" w:hAnsi="Verdana"/>
        </w:rPr>
        <w:lastRenderedPageBreak/>
        <w:t>resolución de apertura firmada el 19 de marzo de 2026 o antes continúan con las reglas del Decreto 392 de 2018; los procesos con proyecto de pliego publicado pero sin apertura a esa fecha pueden incorporar las nuevas medidas antes de publicar los pliegos definitivos; y los procesos nuevos sujetos a documentos tipo deben esperar las actualizaciones de Colombia Compra Eficiente,</w:t>
      </w:r>
      <w:r w:rsidR="00D37660">
        <w:rPr>
          <w:rFonts w:ascii="Verdana" w:hAnsi="Verdana"/>
        </w:rPr>
        <w:t xml:space="preserve"> </w:t>
      </w:r>
      <w:r w:rsidR="00C71DE4">
        <w:rPr>
          <w:rFonts w:ascii="Verdana" w:hAnsi="Verdana"/>
        </w:rPr>
        <w:t>y continuar aplicando el documento tipo vigente sin alterarlo.</w:t>
      </w:r>
    </w:p>
    <w:p w14:paraId="4EC1A27B" w14:textId="77777777" w:rsidR="00670CFB" w:rsidRPr="00670CFB" w:rsidRDefault="00670CFB" w:rsidP="003C3B8B">
      <w:pPr>
        <w:spacing w:after="12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26EE0FA2" w14:textId="77777777" w:rsidR="00C03F30" w:rsidRPr="00206556" w:rsidRDefault="00C03F30" w:rsidP="008D5774">
      <w:pPr>
        <w:spacing w:after="0" w:line="276" w:lineRule="auto"/>
        <w:jc w:val="both"/>
        <w:rPr>
          <w:rFonts w:ascii="Verdana" w:eastAsia="Calibri" w:hAnsi="Verdana" w:cs="Arial"/>
          <w:lang w:val="es-ES"/>
        </w:rPr>
      </w:pPr>
    </w:p>
    <w:p w14:paraId="3BB213F2" w14:textId="39B40B46" w:rsidR="00670CFB" w:rsidRPr="00206556" w:rsidRDefault="008D5774" w:rsidP="008D5774">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D5774" w:rsidRPr="00206556" w14:paraId="1C6609D5" w14:textId="77777777" w:rsidTr="0002168A">
        <w:trPr>
          <w:trHeight w:val="297"/>
        </w:trPr>
        <w:tc>
          <w:tcPr>
            <w:tcW w:w="8647" w:type="dxa"/>
          </w:tcPr>
          <w:p w14:paraId="0145906A" w14:textId="4D7EA1CC" w:rsidR="007B5AD4" w:rsidRPr="00670CFB" w:rsidRDefault="007B5AD4" w:rsidP="00670CFB">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64C1EAA1" w14:textId="09B119CE"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7E52FE33" w14:textId="5B2C1DCA"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50EEDC6B" w14:textId="4C0AB84C"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768AD24E" w14:textId="3B86D8CE"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46B2E795" w14:textId="3E73AE73"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586B12AC" w14:textId="6E32E0E8"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1EB83EA2" w14:textId="4284DBE0"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1D4780C8" w14:textId="40C3F44D"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5B242769" w14:textId="3D573DDD"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1508CE2D" w14:textId="0D56FC04"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0DDA3E76" w14:textId="55F21E92"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089AEB7E" w14:textId="7E5B6171"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Decreto 392 de 2018. Derogado en lo contrario por el Decreto 0287 de 2026.</w:t>
            </w:r>
          </w:p>
          <w:p w14:paraId="3A490436" w14:textId="22025CA7"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1E335161" w14:textId="33EFB66F"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287 de 2026. Por el cual se modifican los artículos 2.2.1.2.4.2.6., 2.2.1.2.4.2.7. y 2.2.1.2.4.2.8. del Decreto 1082 de 2015.</w:t>
            </w:r>
          </w:p>
          <w:p w14:paraId="31C5ADD6" w14:textId="00197EBF"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07AABC0B" w14:textId="62D6C065"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3BFCA88B" w14:textId="291AB883"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66DABF53" w14:textId="0337E03C"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70EAC364" w14:textId="7FC8D207"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7956D746" w14:textId="4E39E3D6"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138D93B1" w14:textId="1709780C"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39679922" w14:textId="79F14A85"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566A9128" w14:textId="75D8BCDB"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514F8346" w14:textId="150D4980"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726BE2CD" w14:textId="07918F30" w:rsidR="007B5AD4" w:rsidRPr="00206556" w:rsidRDefault="007B5AD4" w:rsidP="007B5AD4">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474425AC" w14:textId="697AB31D" w:rsidR="008D5774" w:rsidRPr="00206556" w:rsidRDefault="008D5774" w:rsidP="007B5AD4">
            <w:pPr>
              <w:widowControl w:val="0"/>
              <w:autoSpaceDE w:val="0"/>
              <w:autoSpaceDN w:val="0"/>
              <w:spacing w:line="276" w:lineRule="auto"/>
              <w:jc w:val="both"/>
              <w:rPr>
                <w:rFonts w:ascii="Verdana" w:eastAsia="Arial MT" w:hAnsi="Verdana" w:cs="Arial"/>
                <w:lang w:val="es-ES" w:eastAsia="es-ES" w:bidi="es-ES"/>
              </w:rPr>
            </w:pPr>
          </w:p>
        </w:tc>
      </w:tr>
    </w:tbl>
    <w:p w14:paraId="1193FBC3" w14:textId="77777777" w:rsidR="008D5774" w:rsidRPr="00206556" w:rsidRDefault="008D5774" w:rsidP="008D5774">
      <w:pPr>
        <w:widowControl w:val="0"/>
        <w:autoSpaceDE w:val="0"/>
        <w:autoSpaceDN w:val="0"/>
        <w:spacing w:after="0" w:line="276" w:lineRule="auto"/>
        <w:jc w:val="both"/>
        <w:rPr>
          <w:rFonts w:ascii="Verdana" w:hAnsi="Verdana" w:cs="Arial"/>
          <w:color w:val="ED7D31" w:themeColor="accent2"/>
          <w:lang w:val="es-ES"/>
        </w:rPr>
      </w:pPr>
    </w:p>
    <w:p w14:paraId="034E15F3" w14:textId="25AF6A80" w:rsidR="008D5774" w:rsidRDefault="008D5774" w:rsidP="00670CFB">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68206BDC" w14:textId="77777777" w:rsidR="00852A3D" w:rsidRPr="00670CFB" w:rsidRDefault="00852A3D" w:rsidP="00670CFB">
      <w:pPr>
        <w:tabs>
          <w:tab w:val="left" w:pos="142"/>
          <w:tab w:val="left" w:pos="284"/>
        </w:tabs>
        <w:spacing w:after="0" w:line="276" w:lineRule="auto"/>
        <w:jc w:val="both"/>
        <w:rPr>
          <w:rFonts w:ascii="Verdana" w:eastAsia="Century Gothic" w:hAnsi="Verdana" w:cs="Century Gothic"/>
          <w:b/>
          <w:lang w:val="es-ES"/>
        </w:rPr>
      </w:pPr>
    </w:p>
    <w:p w14:paraId="6FE230E8" w14:textId="7E2AC142" w:rsidR="008D5774" w:rsidRPr="00206556" w:rsidRDefault="008D5774" w:rsidP="008D5774">
      <w:pPr>
        <w:spacing w:after="0" w:line="276" w:lineRule="auto"/>
        <w:jc w:val="both"/>
        <w:rPr>
          <w:rFonts w:ascii="Verdana" w:hAnsi="Verdana"/>
          <w:color w:val="ED7D31"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 xml:space="preserve">sobre </w:t>
      </w:r>
      <w:r w:rsidR="007B5AD4" w:rsidRPr="00206556">
        <w:rPr>
          <w:rFonts w:ascii="Verdana" w:hAnsi="Verdana" w:cs="Arial"/>
          <w:shd w:val="clear" w:color="auto" w:fill="FFFFFF"/>
          <w:lang w:val="es-ES"/>
        </w:rPr>
        <w:t>el alcance del Decreto 0287 de 2026 en este concepto</w:t>
      </w:r>
      <w:r w:rsidRPr="00206556">
        <w:rPr>
          <w:rFonts w:ascii="Verdana" w:eastAsia="Calibri" w:hAnsi="Verdana" w:cs="Arial"/>
          <w:lang w:val="es-ES_tradnl" w:eastAsia="es-ES"/>
        </w:rPr>
        <w:t>.</w:t>
      </w:r>
      <w:r w:rsidR="0015488B" w:rsidRPr="00206556">
        <w:rPr>
          <w:rFonts w:ascii="Verdana" w:hAnsi="Verdana" w:cs="Arial"/>
          <w:shd w:val="clear" w:color="auto" w:fill="FFFFFF"/>
          <w:lang w:val="es-ES"/>
        </w:rPr>
        <w:t xml:space="preserve"> </w:t>
      </w:r>
      <w:r w:rsidRPr="00206556">
        <w:rPr>
          <w:rFonts w:ascii="Verdana" w:hAnsi="Verdana" w:cs="Arial"/>
          <w:shd w:val="clear" w:color="auto" w:fill="FFFFFF"/>
          <w:lang w:val="es-ES"/>
        </w:rPr>
        <w:t>Est</w:t>
      </w:r>
      <w:r w:rsidR="00852A3D">
        <w:rPr>
          <w:rFonts w:ascii="Verdana" w:hAnsi="Verdana" w:cs="Arial"/>
          <w:shd w:val="clear" w:color="auto" w:fill="FFFFFF"/>
          <w:lang w:val="es-ES"/>
        </w:rPr>
        <w:t>e</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2" w:history="1">
        <w:r w:rsidRPr="00206556">
          <w:rPr>
            <w:rStyle w:val="Hipervnculo"/>
            <w:rFonts w:ascii="Verdana" w:hAnsi="Verdana" w:cs="Arial"/>
            <w:shd w:val="clear" w:color="auto" w:fill="FFFFFF"/>
            <w:lang w:val="es-ES"/>
          </w:rPr>
          <w:t>https://relatoria.colombiacompra.gov.co/busqueda/conceptos</w:t>
        </w:r>
      </w:hyperlink>
    </w:p>
    <w:p w14:paraId="537B2233" w14:textId="77777777" w:rsidR="008D5774" w:rsidRPr="00206556" w:rsidRDefault="008D5774" w:rsidP="003C3B8B">
      <w:pPr>
        <w:spacing w:after="0" w:line="276" w:lineRule="auto"/>
        <w:jc w:val="both"/>
        <w:rPr>
          <w:rFonts w:ascii="Verdana" w:hAnsi="Verdana" w:cs="Arial"/>
          <w:color w:val="ED7D31" w:themeColor="accent2"/>
          <w:shd w:val="clear" w:color="auto" w:fill="FFFFFF"/>
          <w:lang w:val="es-ES"/>
        </w:rPr>
      </w:pPr>
    </w:p>
    <w:p w14:paraId="53F8138D" w14:textId="775728F2" w:rsidR="005179DF" w:rsidRPr="00206556" w:rsidRDefault="005179DF" w:rsidP="003C3B8B">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3" w:history="1">
        <w:r w:rsidR="00CF24C0" w:rsidRPr="00206556">
          <w:rPr>
            <w:rStyle w:val="Hipervnculo"/>
            <w:rFonts w:ascii="Verdana" w:hAnsi="Verdana" w:cs="Arial"/>
            <w:shd w:val="clear" w:color="auto" w:fill="FFFFFF"/>
          </w:rPr>
          <w:t>https://formacionvirtual.colombiacompra.gov.co/mod/page/view.php?id=3718</w:t>
        </w:r>
      </w:hyperlink>
      <w:r w:rsidR="00CF24C0" w:rsidRPr="00206556">
        <w:rPr>
          <w:rFonts w:ascii="Verdana" w:hAnsi="Verdana" w:cs="Arial"/>
          <w:shd w:val="clear" w:color="auto" w:fill="FFFFFF"/>
        </w:rPr>
        <w:t xml:space="preserve"> </w:t>
      </w:r>
    </w:p>
    <w:p w14:paraId="2D72AF6B" w14:textId="77777777" w:rsidR="005179DF" w:rsidRPr="00206556" w:rsidRDefault="005179DF" w:rsidP="003C3B8B">
      <w:pPr>
        <w:spacing w:after="0" w:line="276" w:lineRule="auto"/>
        <w:jc w:val="both"/>
        <w:rPr>
          <w:rFonts w:ascii="Verdana" w:hAnsi="Verdana" w:cs="Arial"/>
          <w:shd w:val="clear" w:color="auto" w:fill="FFFFFF"/>
        </w:rPr>
      </w:pPr>
    </w:p>
    <w:p w14:paraId="6F12E20F" w14:textId="1D3FA391" w:rsidR="005179DF" w:rsidRPr="00206556" w:rsidRDefault="005179DF" w:rsidP="003C3B8B">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4" w:history="1">
        <w:r w:rsidRPr="00206556">
          <w:rPr>
            <w:rStyle w:val="Hipervnculo"/>
            <w:rFonts w:ascii="Verdana" w:hAnsi="Verdana" w:cs="Arial"/>
            <w:shd w:val="clear" w:color="auto" w:fill="FFFFFF"/>
          </w:rPr>
          <w:t>https://www.colombiacompra.gov.co/normativa-y-relatoria/documentos-tipo</w:t>
        </w:r>
      </w:hyperlink>
    </w:p>
    <w:p w14:paraId="16F44F44" w14:textId="77777777" w:rsidR="005179DF" w:rsidRPr="00206556" w:rsidRDefault="005179DF" w:rsidP="003C3B8B">
      <w:pPr>
        <w:spacing w:after="0" w:line="276" w:lineRule="auto"/>
        <w:jc w:val="both"/>
        <w:rPr>
          <w:rFonts w:ascii="Verdana" w:hAnsi="Verdana" w:cs="Arial"/>
          <w:shd w:val="clear" w:color="auto" w:fill="FFFFFF"/>
        </w:rPr>
      </w:pPr>
    </w:p>
    <w:p w14:paraId="4277517C" w14:textId="77777777" w:rsidR="005179DF" w:rsidRPr="00206556" w:rsidRDefault="005179DF" w:rsidP="003C3B8B">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206556">
        <w:rPr>
          <w:rFonts w:ascii="Verdana" w:hAnsi="Verdana" w:cs="Arial"/>
          <w:shd w:val="clear" w:color="auto" w:fill="FFFFFF"/>
        </w:rPr>
        <w:t>Además</w:t>
      </w:r>
      <w:proofErr w:type="gramEnd"/>
      <w:r w:rsidRPr="00206556">
        <w:rPr>
          <w:rFonts w:ascii="Verdana" w:hAnsi="Verdana" w:cs="Arial"/>
          <w:shd w:val="clear" w:color="auto" w:fill="FFFFFF"/>
        </w:rPr>
        <w:t xml:space="preserve"> se incluyeron lineamientos que orientan la implementación de los criterios ambientales y sociales incluidos en los documentos tipo: Consulta la guía aquí: </w:t>
      </w:r>
      <w:r w:rsidRPr="00206556">
        <w:rPr>
          <w:rFonts w:ascii="Verdana" w:hAnsi="Verdana" w:cs="Arial"/>
          <w:shd w:val="clear" w:color="auto" w:fill="FFFFFF"/>
        </w:rPr>
        <w:lastRenderedPageBreak/>
        <w:t>https://www.colombiacompra.gov.co/archivos/manual/guia-para-la-comprension-e-implementacion-de-los-documentos-tipo-de-obra-publica-de-infraestructura-de-transporte-bajo-las-diferentes-modalidades-de-contratacion-vigentes</w:t>
      </w:r>
    </w:p>
    <w:p w14:paraId="50BA40C8" w14:textId="77777777" w:rsidR="008D5774" w:rsidRPr="00206556" w:rsidRDefault="008D5774" w:rsidP="003C3B8B">
      <w:pPr>
        <w:spacing w:after="0" w:line="276" w:lineRule="auto"/>
        <w:jc w:val="both"/>
        <w:rPr>
          <w:rFonts w:ascii="Verdana" w:hAnsi="Verdana" w:cs="Arial"/>
          <w:color w:val="ED7D31" w:themeColor="accent2"/>
          <w:shd w:val="clear" w:color="auto" w:fill="FFFFFF"/>
        </w:rPr>
      </w:pPr>
    </w:p>
    <w:p w14:paraId="14541A71"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79871619" w14:textId="77777777" w:rsidR="008D5774" w:rsidRPr="00206556" w:rsidRDefault="008D5774" w:rsidP="008D5774">
      <w:pPr>
        <w:spacing w:after="0"/>
        <w:jc w:val="both"/>
        <w:rPr>
          <w:rFonts w:ascii="Verdana" w:hAnsi="Verdana" w:cs="Arial"/>
          <w:shd w:val="clear" w:color="auto" w:fill="FFFFFF"/>
        </w:rPr>
      </w:pPr>
    </w:p>
    <w:p w14:paraId="4E67AE00"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7A8B05A5"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42648E5E"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26B676B4" w14:textId="77777777" w:rsidR="008D5774" w:rsidRPr="00206556" w:rsidRDefault="008D5774" w:rsidP="008D5774">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40F4A6F7" w14:textId="77777777" w:rsidR="008D5774" w:rsidRPr="00206556" w:rsidRDefault="008D5774" w:rsidP="008D5774">
      <w:pPr>
        <w:widowControl w:val="0"/>
        <w:autoSpaceDE w:val="0"/>
        <w:autoSpaceDN w:val="0"/>
        <w:spacing w:after="0" w:line="276" w:lineRule="auto"/>
        <w:jc w:val="both"/>
        <w:rPr>
          <w:rFonts w:ascii="Verdana" w:hAnsi="Verdana" w:cs="Arial"/>
          <w:color w:val="ED7D31" w:themeColor="accent2"/>
          <w:lang w:val="es-ES"/>
        </w:rPr>
      </w:pPr>
    </w:p>
    <w:p w14:paraId="04B627D4" w14:textId="77777777" w:rsidR="008D5774" w:rsidRPr="00206556" w:rsidRDefault="008D5774" w:rsidP="008D5774">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B22982D" w14:textId="77777777" w:rsidR="008D5774" w:rsidRPr="00206556" w:rsidRDefault="008D5774" w:rsidP="008D5774">
      <w:pPr>
        <w:widowControl w:val="0"/>
        <w:autoSpaceDE w:val="0"/>
        <w:autoSpaceDN w:val="0"/>
        <w:spacing w:after="0" w:line="276" w:lineRule="auto"/>
        <w:jc w:val="both"/>
        <w:rPr>
          <w:rFonts w:ascii="Verdana" w:hAnsi="Verdana" w:cs="Arial"/>
          <w:lang w:val="es-ES"/>
        </w:rPr>
      </w:pPr>
    </w:p>
    <w:p w14:paraId="5934DDF9" w14:textId="77777777" w:rsidR="008D5774" w:rsidRPr="00206556" w:rsidRDefault="008D5774" w:rsidP="008D5774">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75F00371" w14:textId="77777777" w:rsidR="00A754B1" w:rsidRPr="00206556" w:rsidRDefault="00A754B1" w:rsidP="00670CFB">
      <w:pPr>
        <w:autoSpaceDE w:val="0"/>
        <w:autoSpaceDN w:val="0"/>
        <w:adjustRightInd w:val="0"/>
        <w:spacing w:after="0" w:line="276" w:lineRule="auto"/>
        <w:rPr>
          <w:rFonts w:ascii="Verdana" w:eastAsia="Calibri" w:hAnsi="Verdana" w:cs="Arial"/>
          <w:noProof/>
          <w:sz w:val="20"/>
          <w:szCs w:val="20"/>
        </w:rPr>
      </w:pPr>
    </w:p>
    <w:p w14:paraId="13C0EB0F" w14:textId="0755F2E2" w:rsidR="00A754B1" w:rsidRPr="00206556" w:rsidRDefault="00A4789E" w:rsidP="00A754B1">
      <w:pPr>
        <w:spacing w:after="0" w:line="256" w:lineRule="auto"/>
        <w:jc w:val="center"/>
        <w:rPr>
          <w:rFonts w:ascii="Verdana" w:eastAsia="Times New Roman" w:hAnsi="Verdana" w:cs="Arial"/>
          <w:lang w:eastAsia="es-ES"/>
        </w:rPr>
      </w:pPr>
      <w:r>
        <w:rPr>
          <w:rFonts w:ascii="Verdana" w:eastAsia="Times New Roman" w:hAnsi="Verdana" w:cs="Arial"/>
          <w:noProof/>
          <w:lang w:eastAsia="es-ES"/>
        </w:rPr>
        <w:drawing>
          <wp:inline distT="0" distB="0" distL="0" distR="0" wp14:anchorId="07537A02" wp14:editId="169A8FFD">
            <wp:extent cx="3639058" cy="1343212"/>
            <wp:effectExtent l="0" t="0" r="0" b="0"/>
            <wp:docPr id="126630406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304061"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p w14:paraId="6B064C3A" w14:textId="77777777" w:rsidR="00A754B1" w:rsidRPr="00206556" w:rsidRDefault="00A754B1" w:rsidP="00A754B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754B1" w:rsidRPr="00206556" w14:paraId="5C634FCB" w14:textId="77777777">
        <w:trPr>
          <w:trHeight w:val="322"/>
        </w:trPr>
        <w:tc>
          <w:tcPr>
            <w:tcW w:w="733" w:type="dxa"/>
            <w:tcBorders>
              <w:top w:val="nil"/>
              <w:left w:val="nil"/>
              <w:bottom w:val="nil"/>
              <w:right w:val="nil"/>
            </w:tcBorders>
            <w:vAlign w:val="center"/>
            <w:hideMark/>
          </w:tcPr>
          <w:p w14:paraId="6BA74C99"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76F1BA0" w14:textId="77777777" w:rsidR="00670CFB" w:rsidRPr="00206556" w:rsidRDefault="00670CFB" w:rsidP="00670CFB">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eastAsia="es-CO"/>
              </w:rPr>
              <w:t>Gloria Elizabeth Arango Builes</w:t>
            </w:r>
          </w:p>
          <w:p w14:paraId="0502EDA4" w14:textId="4C8370B0" w:rsidR="00A754B1" w:rsidRPr="00206556" w:rsidRDefault="00670CFB" w:rsidP="00670CFB">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eastAsia="es-ES"/>
              </w:rPr>
              <w:t xml:space="preserve">Contratista </w:t>
            </w:r>
            <w:r w:rsidRPr="00206556">
              <w:rPr>
                <w:rFonts w:ascii="Verdana" w:eastAsia="Times New Roman" w:hAnsi="Verdana" w:cs="Times New Roman"/>
                <w:sz w:val="16"/>
                <w:szCs w:val="16"/>
                <w:lang w:eastAsia="es-CO"/>
              </w:rPr>
              <w:t>de la Subdirección de Gestión Contractual</w:t>
            </w:r>
          </w:p>
        </w:tc>
      </w:tr>
      <w:tr w:rsidR="00A754B1" w:rsidRPr="00206556" w14:paraId="4384CD0E" w14:textId="77777777">
        <w:trPr>
          <w:trHeight w:val="322"/>
        </w:trPr>
        <w:tc>
          <w:tcPr>
            <w:tcW w:w="733" w:type="dxa"/>
            <w:tcBorders>
              <w:top w:val="nil"/>
              <w:left w:val="nil"/>
              <w:bottom w:val="nil"/>
              <w:right w:val="nil"/>
            </w:tcBorders>
            <w:vAlign w:val="center"/>
            <w:hideMark/>
          </w:tcPr>
          <w:p w14:paraId="68F906D2"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F65E976" w14:textId="73728A63" w:rsidR="00670CFB" w:rsidRPr="00206556" w:rsidRDefault="00D878A4" w:rsidP="00670CFB">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Lucía Saavedra Castañeda</w:t>
            </w:r>
          </w:p>
          <w:p w14:paraId="53BA1B20" w14:textId="7AD84E41" w:rsidR="00670CFB" w:rsidRPr="00206556" w:rsidRDefault="00D878A4" w:rsidP="00670CFB">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Contratista</w:t>
            </w:r>
            <w:r w:rsidR="00670CFB" w:rsidRPr="00206556">
              <w:rPr>
                <w:rFonts w:ascii="Verdana" w:eastAsia="Times New Roman" w:hAnsi="Verdana" w:cs="Arial"/>
                <w:sz w:val="16"/>
                <w:szCs w:val="16"/>
                <w:lang w:eastAsia="es-ES"/>
              </w:rPr>
              <w:t xml:space="preserve"> de la Subdirección de Gestión Contractual</w:t>
            </w:r>
          </w:p>
          <w:p w14:paraId="4F030FDF" w14:textId="6BB16468"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p>
        </w:tc>
      </w:tr>
      <w:tr w:rsidR="00A754B1" w:rsidRPr="00206556" w14:paraId="51B53319" w14:textId="77777777">
        <w:trPr>
          <w:trHeight w:val="307"/>
        </w:trPr>
        <w:tc>
          <w:tcPr>
            <w:tcW w:w="733" w:type="dxa"/>
            <w:tcBorders>
              <w:top w:val="nil"/>
              <w:left w:val="nil"/>
              <w:bottom w:val="nil"/>
              <w:right w:val="nil"/>
            </w:tcBorders>
            <w:vAlign w:val="center"/>
            <w:hideMark/>
          </w:tcPr>
          <w:p w14:paraId="58BB7344"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A41E819"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3D71CC3E"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1F1E5D50" w14:textId="77777777" w:rsidR="00A754B1" w:rsidRDefault="00A754B1" w:rsidP="00A754B1">
      <w:pPr>
        <w:autoSpaceDE w:val="0"/>
        <w:autoSpaceDN w:val="0"/>
        <w:adjustRightInd w:val="0"/>
        <w:spacing w:after="0" w:line="276" w:lineRule="auto"/>
        <w:jc w:val="center"/>
        <w:rPr>
          <w:rFonts w:ascii="Verdana" w:eastAsia="Calibri" w:hAnsi="Verdana" w:cs="Arial"/>
        </w:rPr>
      </w:pPr>
    </w:p>
    <w:p w14:paraId="0F8936C8" w14:textId="77777777" w:rsidR="00670CFB" w:rsidRDefault="00670CFB" w:rsidP="00A754B1">
      <w:pPr>
        <w:autoSpaceDE w:val="0"/>
        <w:autoSpaceDN w:val="0"/>
        <w:adjustRightInd w:val="0"/>
        <w:spacing w:after="0" w:line="276" w:lineRule="auto"/>
        <w:jc w:val="center"/>
        <w:rPr>
          <w:rFonts w:ascii="Verdana" w:eastAsia="Calibri" w:hAnsi="Verdana" w:cs="Arial"/>
        </w:rPr>
      </w:pPr>
    </w:p>
    <w:p w14:paraId="179A18B3" w14:textId="5C20A6F1" w:rsidR="00670CFB" w:rsidRPr="00206556" w:rsidRDefault="00670CFB" w:rsidP="00670CFB">
      <w:pPr>
        <w:autoSpaceDE w:val="0"/>
        <w:autoSpaceDN w:val="0"/>
        <w:adjustRightInd w:val="0"/>
        <w:spacing w:after="0" w:line="276" w:lineRule="auto"/>
        <w:jc w:val="center"/>
        <w:rPr>
          <w:rFonts w:ascii="Verdana" w:eastAsia="Calibri" w:hAnsi="Verdana" w:cs="Arial"/>
        </w:rPr>
      </w:pPr>
    </w:p>
    <w:sectPr w:rsidR="00670CFB" w:rsidRPr="0020655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D15371" w14:textId="77777777" w:rsidR="00B875D0" w:rsidRDefault="00B875D0" w:rsidP="004A1847">
      <w:pPr>
        <w:spacing w:after="0" w:line="240" w:lineRule="auto"/>
      </w:pPr>
      <w:r>
        <w:separator/>
      </w:r>
    </w:p>
  </w:endnote>
  <w:endnote w:type="continuationSeparator" w:id="0">
    <w:p w14:paraId="0AAE7968" w14:textId="77777777" w:rsidR="00B875D0" w:rsidRDefault="00B875D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378727" w14:textId="77777777" w:rsidR="00B875D0" w:rsidRDefault="00B875D0" w:rsidP="004A1847">
      <w:pPr>
        <w:spacing w:after="0" w:line="240" w:lineRule="auto"/>
      </w:pPr>
      <w:r>
        <w:separator/>
      </w:r>
    </w:p>
  </w:footnote>
  <w:footnote w:type="continuationSeparator" w:id="0">
    <w:p w14:paraId="1289237C" w14:textId="77777777" w:rsidR="00B875D0" w:rsidRDefault="00B875D0" w:rsidP="004A1847">
      <w:pPr>
        <w:spacing w:after="0" w:line="240" w:lineRule="auto"/>
      </w:pPr>
      <w:r>
        <w:continuationSeparator/>
      </w:r>
    </w:p>
  </w:footnote>
  <w:footnote w:id="1">
    <w:p w14:paraId="7D140E9B" w14:textId="24C29FB1" w:rsidR="001C2502" w:rsidRDefault="001C2502" w:rsidP="00FD2507">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79F7FA1B" w14:textId="77777777" w:rsidR="00FD2507" w:rsidRPr="00FD2507" w:rsidRDefault="00FD2507" w:rsidP="00FD2507">
      <w:pPr>
        <w:spacing w:after="80" w:line="240" w:lineRule="auto"/>
        <w:ind w:firstLine="708"/>
        <w:jc w:val="both"/>
        <w:rPr>
          <w:rFonts w:ascii="Verdana" w:eastAsia="Times New Roman" w:hAnsi="Verdana" w:cs="Times New Roman"/>
          <w:sz w:val="16"/>
          <w:szCs w:val="16"/>
        </w:rPr>
      </w:pPr>
    </w:p>
  </w:footnote>
  <w:footnote w:id="2">
    <w:p w14:paraId="0728A198" w14:textId="13797DEF" w:rsidR="001C2502" w:rsidRPr="00206556" w:rsidRDefault="001C2502" w:rsidP="001C2502">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4B0659D7" w14:textId="77777777" w:rsidR="001C2502" w:rsidRPr="00206556" w:rsidRDefault="001C2502" w:rsidP="001C2502">
      <w:pPr>
        <w:pStyle w:val="Textonotapie"/>
        <w:ind w:firstLine="708"/>
        <w:jc w:val="both"/>
        <w:rPr>
          <w:rFonts w:ascii="Verdana" w:hAnsi="Verdana"/>
          <w:sz w:val="16"/>
          <w:szCs w:val="16"/>
          <w:lang w:val="es-ES"/>
        </w:rPr>
      </w:pPr>
    </w:p>
  </w:footnote>
  <w:footnote w:id="3">
    <w:p w14:paraId="0AB30D8B" w14:textId="3059083C" w:rsidR="001C2502" w:rsidRPr="00206556" w:rsidRDefault="001C2502" w:rsidP="001C2502">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28FB0CC5" w14:textId="77777777" w:rsidR="001C2502" w:rsidRPr="00206556" w:rsidRDefault="001C2502" w:rsidP="001C2502">
      <w:pPr>
        <w:spacing w:after="80" w:line="240" w:lineRule="auto"/>
        <w:ind w:firstLine="708"/>
        <w:jc w:val="both"/>
        <w:rPr>
          <w:rFonts w:ascii="Verdana" w:hAnsi="Verdana"/>
          <w:sz w:val="16"/>
          <w:szCs w:val="16"/>
        </w:rPr>
      </w:pPr>
    </w:p>
  </w:footnote>
  <w:footnote w:id="4">
    <w:p w14:paraId="12028090" w14:textId="229DEE2C" w:rsidR="001C2502" w:rsidRPr="00206556" w:rsidRDefault="001C2502" w:rsidP="001C2502">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3A5D0FEE" w14:textId="77777777" w:rsidR="001C2502" w:rsidRPr="00206556" w:rsidRDefault="001C2502" w:rsidP="001C2502">
      <w:pPr>
        <w:pStyle w:val="Textonotapie"/>
        <w:ind w:firstLine="708"/>
        <w:jc w:val="both"/>
        <w:rPr>
          <w:rFonts w:ascii="Verdana" w:hAnsi="Verdana"/>
          <w:sz w:val="16"/>
          <w:szCs w:val="16"/>
          <w:lang w:val="es-ES"/>
        </w:rPr>
      </w:pPr>
    </w:p>
  </w:footnote>
  <w:footnote w:id="5">
    <w:p w14:paraId="56084FA1" w14:textId="76FE825B" w:rsidR="001C2502" w:rsidRPr="00206556" w:rsidRDefault="001C2502" w:rsidP="001C2502">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6B4D7182" w14:textId="77777777" w:rsidR="006521AC" w:rsidRPr="00206556" w:rsidRDefault="006521AC" w:rsidP="001C2502">
      <w:pPr>
        <w:pStyle w:val="Textonotapie"/>
        <w:ind w:firstLine="708"/>
        <w:jc w:val="both"/>
        <w:rPr>
          <w:rFonts w:ascii="Verdana" w:hAnsi="Verdana"/>
          <w:sz w:val="16"/>
          <w:szCs w:val="16"/>
          <w:lang w:val="es-ES"/>
        </w:rPr>
      </w:pPr>
    </w:p>
  </w:footnote>
  <w:footnote w:id="6">
    <w:p w14:paraId="70B758A0" w14:textId="425C4927" w:rsidR="006521AC" w:rsidRPr="00206556" w:rsidRDefault="006521AC" w:rsidP="006521A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3D1DEE25" w14:textId="77777777" w:rsidR="006521AC" w:rsidRPr="00206556" w:rsidRDefault="006521AC" w:rsidP="006521AC">
      <w:pPr>
        <w:pStyle w:val="Textonotapie"/>
        <w:ind w:firstLine="708"/>
        <w:rPr>
          <w:rFonts w:ascii="Verdana" w:hAnsi="Verdana"/>
          <w:sz w:val="16"/>
          <w:szCs w:val="16"/>
          <w:lang w:val="es-ES"/>
        </w:rPr>
      </w:pPr>
    </w:p>
  </w:footnote>
  <w:footnote w:id="7">
    <w:p w14:paraId="05E86488" w14:textId="5C6AFB5C" w:rsidR="006521AC" w:rsidRPr="00206556" w:rsidRDefault="006521AC" w:rsidP="006521A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5E79A43D" w14:textId="77777777" w:rsidR="006521AC" w:rsidRPr="00206556" w:rsidRDefault="006521AC" w:rsidP="006521AC">
      <w:pPr>
        <w:pStyle w:val="Textonotapie"/>
        <w:ind w:firstLine="708"/>
        <w:rPr>
          <w:rFonts w:ascii="Verdana" w:hAnsi="Verdana"/>
          <w:sz w:val="16"/>
          <w:szCs w:val="16"/>
          <w:lang w:val="es-ES"/>
        </w:rPr>
      </w:pPr>
    </w:p>
  </w:footnote>
  <w:footnote w:id="8">
    <w:p w14:paraId="336D5BCE" w14:textId="30916641" w:rsidR="006521AC" w:rsidRPr="00206556" w:rsidRDefault="006521AC" w:rsidP="006521AC">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53255849">
    <w:abstractNumId w:val="9"/>
  </w:num>
  <w:num w:numId="17"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670"/>
    <w:rsid w:val="00016C94"/>
    <w:rsid w:val="00016F78"/>
    <w:rsid w:val="0002168A"/>
    <w:rsid w:val="00021872"/>
    <w:rsid w:val="00022CC8"/>
    <w:rsid w:val="00042A91"/>
    <w:rsid w:val="00046945"/>
    <w:rsid w:val="00046C5F"/>
    <w:rsid w:val="00053563"/>
    <w:rsid w:val="000542B4"/>
    <w:rsid w:val="00055B9D"/>
    <w:rsid w:val="00060428"/>
    <w:rsid w:val="00061B2A"/>
    <w:rsid w:val="0006693F"/>
    <w:rsid w:val="00070BF4"/>
    <w:rsid w:val="00073658"/>
    <w:rsid w:val="00080209"/>
    <w:rsid w:val="00082362"/>
    <w:rsid w:val="000834DD"/>
    <w:rsid w:val="000916EA"/>
    <w:rsid w:val="00092965"/>
    <w:rsid w:val="00094252"/>
    <w:rsid w:val="000A5E13"/>
    <w:rsid w:val="000A683E"/>
    <w:rsid w:val="000A72A9"/>
    <w:rsid w:val="000A7D46"/>
    <w:rsid w:val="000B19B9"/>
    <w:rsid w:val="000B4D47"/>
    <w:rsid w:val="000B6F89"/>
    <w:rsid w:val="000C0C33"/>
    <w:rsid w:val="000C7411"/>
    <w:rsid w:val="000D0334"/>
    <w:rsid w:val="000D2F32"/>
    <w:rsid w:val="000D4B26"/>
    <w:rsid w:val="000D5DA7"/>
    <w:rsid w:val="000E7C7B"/>
    <w:rsid w:val="000F1443"/>
    <w:rsid w:val="000F3D1E"/>
    <w:rsid w:val="000F6486"/>
    <w:rsid w:val="00103BFE"/>
    <w:rsid w:val="001068E1"/>
    <w:rsid w:val="00112DCB"/>
    <w:rsid w:val="00115970"/>
    <w:rsid w:val="00116940"/>
    <w:rsid w:val="00117A5A"/>
    <w:rsid w:val="001228DC"/>
    <w:rsid w:val="00124C21"/>
    <w:rsid w:val="00125105"/>
    <w:rsid w:val="0012666F"/>
    <w:rsid w:val="00127233"/>
    <w:rsid w:val="00130695"/>
    <w:rsid w:val="00134886"/>
    <w:rsid w:val="001406B4"/>
    <w:rsid w:val="00142035"/>
    <w:rsid w:val="0015042F"/>
    <w:rsid w:val="00152F52"/>
    <w:rsid w:val="0015488B"/>
    <w:rsid w:val="0015650E"/>
    <w:rsid w:val="0015699B"/>
    <w:rsid w:val="00163017"/>
    <w:rsid w:val="0016488C"/>
    <w:rsid w:val="00165A70"/>
    <w:rsid w:val="001679AE"/>
    <w:rsid w:val="001726AF"/>
    <w:rsid w:val="0017343D"/>
    <w:rsid w:val="00180418"/>
    <w:rsid w:val="00182010"/>
    <w:rsid w:val="001930C3"/>
    <w:rsid w:val="00196F75"/>
    <w:rsid w:val="001A2C19"/>
    <w:rsid w:val="001A2E74"/>
    <w:rsid w:val="001A33BF"/>
    <w:rsid w:val="001B064E"/>
    <w:rsid w:val="001B3AEB"/>
    <w:rsid w:val="001B6C7C"/>
    <w:rsid w:val="001C2502"/>
    <w:rsid w:val="001C73B4"/>
    <w:rsid w:val="001E4177"/>
    <w:rsid w:val="001F0B24"/>
    <w:rsid w:val="001F46EB"/>
    <w:rsid w:val="001F7294"/>
    <w:rsid w:val="001F7DC6"/>
    <w:rsid w:val="00203EC3"/>
    <w:rsid w:val="00206556"/>
    <w:rsid w:val="00206F7B"/>
    <w:rsid w:val="0022400B"/>
    <w:rsid w:val="00224979"/>
    <w:rsid w:val="00233946"/>
    <w:rsid w:val="002418DF"/>
    <w:rsid w:val="002421BB"/>
    <w:rsid w:val="0024618D"/>
    <w:rsid w:val="002506B7"/>
    <w:rsid w:val="00251EEA"/>
    <w:rsid w:val="0025796E"/>
    <w:rsid w:val="00261EC2"/>
    <w:rsid w:val="002630D9"/>
    <w:rsid w:val="002667E1"/>
    <w:rsid w:val="002676A6"/>
    <w:rsid w:val="002707A2"/>
    <w:rsid w:val="00277337"/>
    <w:rsid w:val="002809EE"/>
    <w:rsid w:val="002951A0"/>
    <w:rsid w:val="002962BC"/>
    <w:rsid w:val="002A00A1"/>
    <w:rsid w:val="002A093D"/>
    <w:rsid w:val="002A0DD0"/>
    <w:rsid w:val="002A49AC"/>
    <w:rsid w:val="002A64FD"/>
    <w:rsid w:val="002B0A25"/>
    <w:rsid w:val="002B3B70"/>
    <w:rsid w:val="002C7A84"/>
    <w:rsid w:val="002D3D4B"/>
    <w:rsid w:val="002E043C"/>
    <w:rsid w:val="002E1E54"/>
    <w:rsid w:val="002E2BF8"/>
    <w:rsid w:val="002E2C06"/>
    <w:rsid w:val="002E410E"/>
    <w:rsid w:val="002E46C5"/>
    <w:rsid w:val="002E4FD9"/>
    <w:rsid w:val="002F04E0"/>
    <w:rsid w:val="002F3F1B"/>
    <w:rsid w:val="002F6EDD"/>
    <w:rsid w:val="00302E7B"/>
    <w:rsid w:val="0030657A"/>
    <w:rsid w:val="003116AA"/>
    <w:rsid w:val="00316B4B"/>
    <w:rsid w:val="0031712D"/>
    <w:rsid w:val="0032249D"/>
    <w:rsid w:val="00322A85"/>
    <w:rsid w:val="00322AC7"/>
    <w:rsid w:val="00324168"/>
    <w:rsid w:val="00330834"/>
    <w:rsid w:val="003348C1"/>
    <w:rsid w:val="00336915"/>
    <w:rsid w:val="00337110"/>
    <w:rsid w:val="003404B1"/>
    <w:rsid w:val="00341D29"/>
    <w:rsid w:val="00342D84"/>
    <w:rsid w:val="003448F4"/>
    <w:rsid w:val="00346FE0"/>
    <w:rsid w:val="00351706"/>
    <w:rsid w:val="00356BF6"/>
    <w:rsid w:val="0035753C"/>
    <w:rsid w:val="00363F8D"/>
    <w:rsid w:val="00366AAB"/>
    <w:rsid w:val="00373B36"/>
    <w:rsid w:val="00374F5E"/>
    <w:rsid w:val="00377E3E"/>
    <w:rsid w:val="00395FD0"/>
    <w:rsid w:val="003974B1"/>
    <w:rsid w:val="003A613F"/>
    <w:rsid w:val="003A779E"/>
    <w:rsid w:val="003B4D9D"/>
    <w:rsid w:val="003C3B8B"/>
    <w:rsid w:val="003C64A5"/>
    <w:rsid w:val="003D0F4D"/>
    <w:rsid w:val="003D15AD"/>
    <w:rsid w:val="003D37EE"/>
    <w:rsid w:val="003D3EB2"/>
    <w:rsid w:val="003D45B0"/>
    <w:rsid w:val="003D5B0D"/>
    <w:rsid w:val="003E0499"/>
    <w:rsid w:val="003E4F80"/>
    <w:rsid w:val="003E6439"/>
    <w:rsid w:val="003E68FC"/>
    <w:rsid w:val="003F0D9A"/>
    <w:rsid w:val="003F0E92"/>
    <w:rsid w:val="003F21FF"/>
    <w:rsid w:val="003F3941"/>
    <w:rsid w:val="00406575"/>
    <w:rsid w:val="00414C74"/>
    <w:rsid w:val="00424469"/>
    <w:rsid w:val="0042722E"/>
    <w:rsid w:val="004317A8"/>
    <w:rsid w:val="0043275B"/>
    <w:rsid w:val="0043526E"/>
    <w:rsid w:val="0044528D"/>
    <w:rsid w:val="00445E6C"/>
    <w:rsid w:val="00451BB4"/>
    <w:rsid w:val="00451BBD"/>
    <w:rsid w:val="00454707"/>
    <w:rsid w:val="004566CD"/>
    <w:rsid w:val="004654BF"/>
    <w:rsid w:val="00466E39"/>
    <w:rsid w:val="0047233C"/>
    <w:rsid w:val="00486F02"/>
    <w:rsid w:val="00491868"/>
    <w:rsid w:val="00492EFE"/>
    <w:rsid w:val="004A1847"/>
    <w:rsid w:val="004A305D"/>
    <w:rsid w:val="004B1246"/>
    <w:rsid w:val="004B2ACC"/>
    <w:rsid w:val="004B305D"/>
    <w:rsid w:val="004B4114"/>
    <w:rsid w:val="004C046B"/>
    <w:rsid w:val="004C6990"/>
    <w:rsid w:val="004D6D8D"/>
    <w:rsid w:val="004E19DC"/>
    <w:rsid w:val="004E7B1E"/>
    <w:rsid w:val="004F21C4"/>
    <w:rsid w:val="004F2BF5"/>
    <w:rsid w:val="004F5ED9"/>
    <w:rsid w:val="004F685F"/>
    <w:rsid w:val="00502309"/>
    <w:rsid w:val="00516F85"/>
    <w:rsid w:val="005179DF"/>
    <w:rsid w:val="005259F2"/>
    <w:rsid w:val="0053070B"/>
    <w:rsid w:val="00534597"/>
    <w:rsid w:val="00536F7E"/>
    <w:rsid w:val="005541CB"/>
    <w:rsid w:val="005566E8"/>
    <w:rsid w:val="00556BFA"/>
    <w:rsid w:val="005608AE"/>
    <w:rsid w:val="00567A81"/>
    <w:rsid w:val="00574867"/>
    <w:rsid w:val="00577188"/>
    <w:rsid w:val="00580FC8"/>
    <w:rsid w:val="00591460"/>
    <w:rsid w:val="00594718"/>
    <w:rsid w:val="005A65E0"/>
    <w:rsid w:val="005A7A1B"/>
    <w:rsid w:val="005C13BA"/>
    <w:rsid w:val="005C3777"/>
    <w:rsid w:val="005C56B5"/>
    <w:rsid w:val="005C5CDC"/>
    <w:rsid w:val="005C6779"/>
    <w:rsid w:val="005D3CF1"/>
    <w:rsid w:val="005D476C"/>
    <w:rsid w:val="005E2AFD"/>
    <w:rsid w:val="005E492A"/>
    <w:rsid w:val="005E76F5"/>
    <w:rsid w:val="005E7FBC"/>
    <w:rsid w:val="00603D11"/>
    <w:rsid w:val="00607E13"/>
    <w:rsid w:val="00620032"/>
    <w:rsid w:val="006200BF"/>
    <w:rsid w:val="00620BC7"/>
    <w:rsid w:val="00620E38"/>
    <w:rsid w:val="006219F8"/>
    <w:rsid w:val="00622B3B"/>
    <w:rsid w:val="00622F1C"/>
    <w:rsid w:val="00624038"/>
    <w:rsid w:val="006302F7"/>
    <w:rsid w:val="00630A93"/>
    <w:rsid w:val="00631EDC"/>
    <w:rsid w:val="00635683"/>
    <w:rsid w:val="006378E7"/>
    <w:rsid w:val="0064564D"/>
    <w:rsid w:val="00645740"/>
    <w:rsid w:val="00646B9F"/>
    <w:rsid w:val="006521AC"/>
    <w:rsid w:val="006552C5"/>
    <w:rsid w:val="00665D70"/>
    <w:rsid w:val="00670CFB"/>
    <w:rsid w:val="00671A77"/>
    <w:rsid w:val="006900D9"/>
    <w:rsid w:val="00690862"/>
    <w:rsid w:val="006A0794"/>
    <w:rsid w:val="006A64D0"/>
    <w:rsid w:val="006A66C8"/>
    <w:rsid w:val="006A7374"/>
    <w:rsid w:val="006C00A6"/>
    <w:rsid w:val="006C3CE7"/>
    <w:rsid w:val="006C4B2C"/>
    <w:rsid w:val="006C5EB1"/>
    <w:rsid w:val="006C678A"/>
    <w:rsid w:val="006D595B"/>
    <w:rsid w:val="006D6B3F"/>
    <w:rsid w:val="006E4EC5"/>
    <w:rsid w:val="006E6F85"/>
    <w:rsid w:val="006E7113"/>
    <w:rsid w:val="007009C8"/>
    <w:rsid w:val="0070142E"/>
    <w:rsid w:val="0070233A"/>
    <w:rsid w:val="00703453"/>
    <w:rsid w:val="00706C16"/>
    <w:rsid w:val="00713052"/>
    <w:rsid w:val="00715ED7"/>
    <w:rsid w:val="00723433"/>
    <w:rsid w:val="00731DFB"/>
    <w:rsid w:val="007340C3"/>
    <w:rsid w:val="00737577"/>
    <w:rsid w:val="00741328"/>
    <w:rsid w:val="0074357A"/>
    <w:rsid w:val="007437DE"/>
    <w:rsid w:val="0075235A"/>
    <w:rsid w:val="0075272A"/>
    <w:rsid w:val="00756841"/>
    <w:rsid w:val="00764624"/>
    <w:rsid w:val="007649AB"/>
    <w:rsid w:val="0076758B"/>
    <w:rsid w:val="00771D0C"/>
    <w:rsid w:val="0077201E"/>
    <w:rsid w:val="00774862"/>
    <w:rsid w:val="00774956"/>
    <w:rsid w:val="00777292"/>
    <w:rsid w:val="00777A45"/>
    <w:rsid w:val="007833AC"/>
    <w:rsid w:val="0078375B"/>
    <w:rsid w:val="00792D67"/>
    <w:rsid w:val="00796E68"/>
    <w:rsid w:val="007A1BCB"/>
    <w:rsid w:val="007A2CE0"/>
    <w:rsid w:val="007B01BA"/>
    <w:rsid w:val="007B268C"/>
    <w:rsid w:val="007B3C5F"/>
    <w:rsid w:val="007B5AD4"/>
    <w:rsid w:val="007B7171"/>
    <w:rsid w:val="007C0C0F"/>
    <w:rsid w:val="007C3DC2"/>
    <w:rsid w:val="007C435B"/>
    <w:rsid w:val="007C6F9B"/>
    <w:rsid w:val="007D3227"/>
    <w:rsid w:val="007D3DBF"/>
    <w:rsid w:val="007D4373"/>
    <w:rsid w:val="007D4B07"/>
    <w:rsid w:val="007E5497"/>
    <w:rsid w:val="007F778E"/>
    <w:rsid w:val="00806318"/>
    <w:rsid w:val="00806F5F"/>
    <w:rsid w:val="00812D27"/>
    <w:rsid w:val="00816452"/>
    <w:rsid w:val="00816FE1"/>
    <w:rsid w:val="00820278"/>
    <w:rsid w:val="008258C9"/>
    <w:rsid w:val="00831262"/>
    <w:rsid w:val="00835946"/>
    <w:rsid w:val="008403BF"/>
    <w:rsid w:val="00843BB2"/>
    <w:rsid w:val="0084403B"/>
    <w:rsid w:val="00844AE9"/>
    <w:rsid w:val="0084550E"/>
    <w:rsid w:val="00850360"/>
    <w:rsid w:val="00852A3D"/>
    <w:rsid w:val="00864642"/>
    <w:rsid w:val="00867F95"/>
    <w:rsid w:val="00870496"/>
    <w:rsid w:val="008843B6"/>
    <w:rsid w:val="00886133"/>
    <w:rsid w:val="00887E82"/>
    <w:rsid w:val="0089143B"/>
    <w:rsid w:val="008917C7"/>
    <w:rsid w:val="00891928"/>
    <w:rsid w:val="008A3A49"/>
    <w:rsid w:val="008A446D"/>
    <w:rsid w:val="008A5E24"/>
    <w:rsid w:val="008B25F1"/>
    <w:rsid w:val="008C1642"/>
    <w:rsid w:val="008C727F"/>
    <w:rsid w:val="008D10BF"/>
    <w:rsid w:val="008D180B"/>
    <w:rsid w:val="008D55CB"/>
    <w:rsid w:val="008D5774"/>
    <w:rsid w:val="008E1F8B"/>
    <w:rsid w:val="008E3F41"/>
    <w:rsid w:val="008E4A2D"/>
    <w:rsid w:val="008F0EA7"/>
    <w:rsid w:val="008F1293"/>
    <w:rsid w:val="00900AB5"/>
    <w:rsid w:val="00900DB0"/>
    <w:rsid w:val="009032C3"/>
    <w:rsid w:val="0090530F"/>
    <w:rsid w:val="0091370F"/>
    <w:rsid w:val="00917748"/>
    <w:rsid w:val="00920D56"/>
    <w:rsid w:val="00923EEF"/>
    <w:rsid w:val="009252BB"/>
    <w:rsid w:val="00925CA2"/>
    <w:rsid w:val="009363F6"/>
    <w:rsid w:val="009419F9"/>
    <w:rsid w:val="0095685E"/>
    <w:rsid w:val="00961B09"/>
    <w:rsid w:val="00965055"/>
    <w:rsid w:val="00965334"/>
    <w:rsid w:val="0097093E"/>
    <w:rsid w:val="00973F3B"/>
    <w:rsid w:val="00975224"/>
    <w:rsid w:val="0098182E"/>
    <w:rsid w:val="00982ACA"/>
    <w:rsid w:val="009948E7"/>
    <w:rsid w:val="00995967"/>
    <w:rsid w:val="00996F0C"/>
    <w:rsid w:val="009A0DFA"/>
    <w:rsid w:val="009A1A4B"/>
    <w:rsid w:val="009A1C6F"/>
    <w:rsid w:val="009A5ED3"/>
    <w:rsid w:val="009B0CF4"/>
    <w:rsid w:val="009B2D26"/>
    <w:rsid w:val="009B3626"/>
    <w:rsid w:val="009B7C82"/>
    <w:rsid w:val="009C44A9"/>
    <w:rsid w:val="009C71FA"/>
    <w:rsid w:val="009C72E7"/>
    <w:rsid w:val="009C7F7E"/>
    <w:rsid w:val="009D1B97"/>
    <w:rsid w:val="009D3058"/>
    <w:rsid w:val="009D377E"/>
    <w:rsid w:val="009D40B6"/>
    <w:rsid w:val="009E1A2D"/>
    <w:rsid w:val="009E451E"/>
    <w:rsid w:val="009E593E"/>
    <w:rsid w:val="009E5E98"/>
    <w:rsid w:val="009E6BF4"/>
    <w:rsid w:val="009F05FF"/>
    <w:rsid w:val="009F3A13"/>
    <w:rsid w:val="00A0302B"/>
    <w:rsid w:val="00A122D3"/>
    <w:rsid w:val="00A14468"/>
    <w:rsid w:val="00A150CF"/>
    <w:rsid w:val="00A17F13"/>
    <w:rsid w:val="00A20739"/>
    <w:rsid w:val="00A21CA3"/>
    <w:rsid w:val="00A23AF9"/>
    <w:rsid w:val="00A300AA"/>
    <w:rsid w:val="00A31841"/>
    <w:rsid w:val="00A33C78"/>
    <w:rsid w:val="00A420A9"/>
    <w:rsid w:val="00A42C60"/>
    <w:rsid w:val="00A4789E"/>
    <w:rsid w:val="00A500F1"/>
    <w:rsid w:val="00A51816"/>
    <w:rsid w:val="00A52C8E"/>
    <w:rsid w:val="00A54668"/>
    <w:rsid w:val="00A57140"/>
    <w:rsid w:val="00A709D2"/>
    <w:rsid w:val="00A754B1"/>
    <w:rsid w:val="00A8025C"/>
    <w:rsid w:val="00A87C26"/>
    <w:rsid w:val="00A925AD"/>
    <w:rsid w:val="00A97194"/>
    <w:rsid w:val="00AA0274"/>
    <w:rsid w:val="00AA080B"/>
    <w:rsid w:val="00AB0ADB"/>
    <w:rsid w:val="00AB30D4"/>
    <w:rsid w:val="00AC466D"/>
    <w:rsid w:val="00AD6F80"/>
    <w:rsid w:val="00AF1D25"/>
    <w:rsid w:val="00AF5B25"/>
    <w:rsid w:val="00AF7544"/>
    <w:rsid w:val="00B00C0E"/>
    <w:rsid w:val="00B01B1A"/>
    <w:rsid w:val="00B02418"/>
    <w:rsid w:val="00B024CD"/>
    <w:rsid w:val="00B0381D"/>
    <w:rsid w:val="00B0404B"/>
    <w:rsid w:val="00B04D3B"/>
    <w:rsid w:val="00B162DD"/>
    <w:rsid w:val="00B16B28"/>
    <w:rsid w:val="00B22BE8"/>
    <w:rsid w:val="00B443A2"/>
    <w:rsid w:val="00B44A47"/>
    <w:rsid w:val="00B4752F"/>
    <w:rsid w:val="00B53C1C"/>
    <w:rsid w:val="00B5706D"/>
    <w:rsid w:val="00B6113F"/>
    <w:rsid w:val="00B72CD3"/>
    <w:rsid w:val="00B72FFF"/>
    <w:rsid w:val="00B75E25"/>
    <w:rsid w:val="00B875D0"/>
    <w:rsid w:val="00B9043C"/>
    <w:rsid w:val="00B94F8F"/>
    <w:rsid w:val="00BA1EA8"/>
    <w:rsid w:val="00BA3D9C"/>
    <w:rsid w:val="00BB1DB6"/>
    <w:rsid w:val="00BC3D36"/>
    <w:rsid w:val="00BC5CA2"/>
    <w:rsid w:val="00BC7C68"/>
    <w:rsid w:val="00BD4175"/>
    <w:rsid w:val="00BD4742"/>
    <w:rsid w:val="00BD54A6"/>
    <w:rsid w:val="00BD7F72"/>
    <w:rsid w:val="00BE1819"/>
    <w:rsid w:val="00BE228B"/>
    <w:rsid w:val="00BE732E"/>
    <w:rsid w:val="00BF7425"/>
    <w:rsid w:val="00C00F79"/>
    <w:rsid w:val="00C01610"/>
    <w:rsid w:val="00C03F30"/>
    <w:rsid w:val="00C04FB3"/>
    <w:rsid w:val="00C11D8B"/>
    <w:rsid w:val="00C15139"/>
    <w:rsid w:val="00C17086"/>
    <w:rsid w:val="00C330EB"/>
    <w:rsid w:val="00C34A82"/>
    <w:rsid w:val="00C47291"/>
    <w:rsid w:val="00C50D69"/>
    <w:rsid w:val="00C5146A"/>
    <w:rsid w:val="00C5365C"/>
    <w:rsid w:val="00C53B15"/>
    <w:rsid w:val="00C622DE"/>
    <w:rsid w:val="00C62EF1"/>
    <w:rsid w:val="00C63846"/>
    <w:rsid w:val="00C654FA"/>
    <w:rsid w:val="00C71DE4"/>
    <w:rsid w:val="00C754BE"/>
    <w:rsid w:val="00C75BA3"/>
    <w:rsid w:val="00C76B1C"/>
    <w:rsid w:val="00C76B5F"/>
    <w:rsid w:val="00C820EF"/>
    <w:rsid w:val="00C824BD"/>
    <w:rsid w:val="00C831EC"/>
    <w:rsid w:val="00C91D70"/>
    <w:rsid w:val="00C925AC"/>
    <w:rsid w:val="00C93DAC"/>
    <w:rsid w:val="00C95F94"/>
    <w:rsid w:val="00CA0621"/>
    <w:rsid w:val="00CA2E8A"/>
    <w:rsid w:val="00CB0A50"/>
    <w:rsid w:val="00CB44F3"/>
    <w:rsid w:val="00CB6357"/>
    <w:rsid w:val="00CC1B26"/>
    <w:rsid w:val="00CC29BA"/>
    <w:rsid w:val="00CE2A60"/>
    <w:rsid w:val="00CF24C0"/>
    <w:rsid w:val="00D027C3"/>
    <w:rsid w:val="00D0376A"/>
    <w:rsid w:val="00D05F46"/>
    <w:rsid w:val="00D078C9"/>
    <w:rsid w:val="00D109FE"/>
    <w:rsid w:val="00D11C80"/>
    <w:rsid w:val="00D22B7C"/>
    <w:rsid w:val="00D24AA6"/>
    <w:rsid w:val="00D27B04"/>
    <w:rsid w:val="00D31DC0"/>
    <w:rsid w:val="00D33696"/>
    <w:rsid w:val="00D35983"/>
    <w:rsid w:val="00D361FD"/>
    <w:rsid w:val="00D37660"/>
    <w:rsid w:val="00D423A2"/>
    <w:rsid w:val="00D44E26"/>
    <w:rsid w:val="00D520D8"/>
    <w:rsid w:val="00D63AC2"/>
    <w:rsid w:val="00D7383B"/>
    <w:rsid w:val="00D7788A"/>
    <w:rsid w:val="00D851ED"/>
    <w:rsid w:val="00D878A4"/>
    <w:rsid w:val="00D9033C"/>
    <w:rsid w:val="00DA1940"/>
    <w:rsid w:val="00DA231B"/>
    <w:rsid w:val="00DA71B3"/>
    <w:rsid w:val="00DC051E"/>
    <w:rsid w:val="00DC39FC"/>
    <w:rsid w:val="00DC6DAB"/>
    <w:rsid w:val="00DC7D55"/>
    <w:rsid w:val="00DD24B2"/>
    <w:rsid w:val="00DF021B"/>
    <w:rsid w:val="00DF1C4B"/>
    <w:rsid w:val="00DF32B2"/>
    <w:rsid w:val="00DF3D9A"/>
    <w:rsid w:val="00DF5254"/>
    <w:rsid w:val="00E00882"/>
    <w:rsid w:val="00E02524"/>
    <w:rsid w:val="00E16408"/>
    <w:rsid w:val="00E20894"/>
    <w:rsid w:val="00E245AB"/>
    <w:rsid w:val="00E25712"/>
    <w:rsid w:val="00E26E9D"/>
    <w:rsid w:val="00E2764C"/>
    <w:rsid w:val="00E27F2E"/>
    <w:rsid w:val="00E36715"/>
    <w:rsid w:val="00E425E8"/>
    <w:rsid w:val="00E50AFE"/>
    <w:rsid w:val="00E53EA1"/>
    <w:rsid w:val="00E53FCC"/>
    <w:rsid w:val="00E54F30"/>
    <w:rsid w:val="00E55CFA"/>
    <w:rsid w:val="00E65677"/>
    <w:rsid w:val="00E727F0"/>
    <w:rsid w:val="00E75C92"/>
    <w:rsid w:val="00E771DC"/>
    <w:rsid w:val="00E84734"/>
    <w:rsid w:val="00E85CA7"/>
    <w:rsid w:val="00E8772A"/>
    <w:rsid w:val="00E90F6B"/>
    <w:rsid w:val="00E910FB"/>
    <w:rsid w:val="00E92C27"/>
    <w:rsid w:val="00E92DD0"/>
    <w:rsid w:val="00EA02F5"/>
    <w:rsid w:val="00EA06E6"/>
    <w:rsid w:val="00EA0E3D"/>
    <w:rsid w:val="00EA16FC"/>
    <w:rsid w:val="00EA31C7"/>
    <w:rsid w:val="00EA44A1"/>
    <w:rsid w:val="00EA5D59"/>
    <w:rsid w:val="00EB7308"/>
    <w:rsid w:val="00EC38A7"/>
    <w:rsid w:val="00EC7C37"/>
    <w:rsid w:val="00EE1AA8"/>
    <w:rsid w:val="00EE7A5D"/>
    <w:rsid w:val="00EF41C4"/>
    <w:rsid w:val="00F14CCF"/>
    <w:rsid w:val="00F23FEA"/>
    <w:rsid w:val="00F31EDC"/>
    <w:rsid w:val="00F32723"/>
    <w:rsid w:val="00F33CF5"/>
    <w:rsid w:val="00F41C3E"/>
    <w:rsid w:val="00F462B3"/>
    <w:rsid w:val="00F47458"/>
    <w:rsid w:val="00F5119A"/>
    <w:rsid w:val="00F52E27"/>
    <w:rsid w:val="00F5664F"/>
    <w:rsid w:val="00F579DF"/>
    <w:rsid w:val="00F666C4"/>
    <w:rsid w:val="00F76AC9"/>
    <w:rsid w:val="00F76AFC"/>
    <w:rsid w:val="00F805C5"/>
    <w:rsid w:val="00F82724"/>
    <w:rsid w:val="00F955C6"/>
    <w:rsid w:val="00FA47C0"/>
    <w:rsid w:val="00FA5003"/>
    <w:rsid w:val="00FB16EC"/>
    <w:rsid w:val="00FB3899"/>
    <w:rsid w:val="00FB5DD1"/>
    <w:rsid w:val="00FB7920"/>
    <w:rsid w:val="00FC2B5D"/>
    <w:rsid w:val="00FD2507"/>
    <w:rsid w:val="00FD4A49"/>
    <w:rsid w:val="00FE26DE"/>
    <w:rsid w:val="00FF1449"/>
    <w:rsid w:val="00FF2610"/>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3CD496-8D74-491F-B9C0-152AFA3DD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9241">
      <w:bodyDiv w:val="1"/>
      <w:marLeft w:val="0"/>
      <w:marRight w:val="0"/>
      <w:marTop w:val="0"/>
      <w:marBottom w:val="0"/>
      <w:divBdr>
        <w:top w:val="none" w:sz="0" w:space="0" w:color="auto"/>
        <w:left w:val="none" w:sz="0" w:space="0" w:color="auto"/>
        <w:bottom w:val="none" w:sz="0" w:space="0" w:color="auto"/>
        <w:right w:val="none" w:sz="0" w:space="0" w:color="auto"/>
      </w:divBdr>
    </w:div>
    <w:div w:id="63797035">
      <w:bodyDiv w:val="1"/>
      <w:marLeft w:val="0"/>
      <w:marRight w:val="0"/>
      <w:marTop w:val="0"/>
      <w:marBottom w:val="0"/>
      <w:divBdr>
        <w:top w:val="none" w:sz="0" w:space="0" w:color="auto"/>
        <w:left w:val="none" w:sz="0" w:space="0" w:color="auto"/>
        <w:bottom w:val="none" w:sz="0" w:space="0" w:color="auto"/>
        <w:right w:val="none" w:sz="0" w:space="0" w:color="auto"/>
      </w:divBdr>
    </w:div>
    <w:div w:id="124738522">
      <w:bodyDiv w:val="1"/>
      <w:marLeft w:val="0"/>
      <w:marRight w:val="0"/>
      <w:marTop w:val="0"/>
      <w:marBottom w:val="0"/>
      <w:divBdr>
        <w:top w:val="none" w:sz="0" w:space="0" w:color="auto"/>
        <w:left w:val="none" w:sz="0" w:space="0" w:color="auto"/>
        <w:bottom w:val="none" w:sz="0" w:space="0" w:color="auto"/>
        <w:right w:val="none" w:sz="0" w:space="0" w:color="auto"/>
      </w:divBdr>
    </w:div>
    <w:div w:id="156120696">
      <w:bodyDiv w:val="1"/>
      <w:marLeft w:val="0"/>
      <w:marRight w:val="0"/>
      <w:marTop w:val="0"/>
      <w:marBottom w:val="0"/>
      <w:divBdr>
        <w:top w:val="none" w:sz="0" w:space="0" w:color="auto"/>
        <w:left w:val="none" w:sz="0" w:space="0" w:color="auto"/>
        <w:bottom w:val="none" w:sz="0" w:space="0" w:color="auto"/>
        <w:right w:val="none" w:sz="0" w:space="0" w:color="auto"/>
      </w:divBdr>
    </w:div>
    <w:div w:id="208539241">
      <w:bodyDiv w:val="1"/>
      <w:marLeft w:val="0"/>
      <w:marRight w:val="0"/>
      <w:marTop w:val="0"/>
      <w:marBottom w:val="0"/>
      <w:divBdr>
        <w:top w:val="none" w:sz="0" w:space="0" w:color="auto"/>
        <w:left w:val="none" w:sz="0" w:space="0" w:color="auto"/>
        <w:bottom w:val="none" w:sz="0" w:space="0" w:color="auto"/>
        <w:right w:val="none" w:sz="0" w:space="0" w:color="auto"/>
      </w:divBdr>
    </w:div>
    <w:div w:id="271012095">
      <w:bodyDiv w:val="1"/>
      <w:marLeft w:val="0"/>
      <w:marRight w:val="0"/>
      <w:marTop w:val="0"/>
      <w:marBottom w:val="0"/>
      <w:divBdr>
        <w:top w:val="none" w:sz="0" w:space="0" w:color="auto"/>
        <w:left w:val="none" w:sz="0" w:space="0" w:color="auto"/>
        <w:bottom w:val="none" w:sz="0" w:space="0" w:color="auto"/>
        <w:right w:val="none" w:sz="0" w:space="0" w:color="auto"/>
      </w:divBdr>
    </w:div>
    <w:div w:id="309529247">
      <w:bodyDiv w:val="1"/>
      <w:marLeft w:val="0"/>
      <w:marRight w:val="0"/>
      <w:marTop w:val="0"/>
      <w:marBottom w:val="0"/>
      <w:divBdr>
        <w:top w:val="none" w:sz="0" w:space="0" w:color="auto"/>
        <w:left w:val="none" w:sz="0" w:space="0" w:color="auto"/>
        <w:bottom w:val="none" w:sz="0" w:space="0" w:color="auto"/>
        <w:right w:val="none" w:sz="0" w:space="0" w:color="auto"/>
      </w:divBdr>
    </w:div>
    <w:div w:id="325669828">
      <w:bodyDiv w:val="1"/>
      <w:marLeft w:val="0"/>
      <w:marRight w:val="0"/>
      <w:marTop w:val="0"/>
      <w:marBottom w:val="0"/>
      <w:divBdr>
        <w:top w:val="none" w:sz="0" w:space="0" w:color="auto"/>
        <w:left w:val="none" w:sz="0" w:space="0" w:color="auto"/>
        <w:bottom w:val="none" w:sz="0" w:space="0" w:color="auto"/>
        <w:right w:val="none" w:sz="0" w:space="0" w:color="auto"/>
      </w:divBdr>
    </w:div>
    <w:div w:id="392658240">
      <w:bodyDiv w:val="1"/>
      <w:marLeft w:val="0"/>
      <w:marRight w:val="0"/>
      <w:marTop w:val="0"/>
      <w:marBottom w:val="0"/>
      <w:divBdr>
        <w:top w:val="none" w:sz="0" w:space="0" w:color="auto"/>
        <w:left w:val="none" w:sz="0" w:space="0" w:color="auto"/>
        <w:bottom w:val="none" w:sz="0" w:space="0" w:color="auto"/>
        <w:right w:val="none" w:sz="0" w:space="0" w:color="auto"/>
      </w:divBdr>
    </w:div>
    <w:div w:id="495611751">
      <w:bodyDiv w:val="1"/>
      <w:marLeft w:val="0"/>
      <w:marRight w:val="0"/>
      <w:marTop w:val="0"/>
      <w:marBottom w:val="0"/>
      <w:divBdr>
        <w:top w:val="none" w:sz="0" w:space="0" w:color="auto"/>
        <w:left w:val="none" w:sz="0" w:space="0" w:color="auto"/>
        <w:bottom w:val="none" w:sz="0" w:space="0" w:color="auto"/>
        <w:right w:val="none" w:sz="0" w:space="0" w:color="auto"/>
      </w:divBdr>
    </w:div>
    <w:div w:id="6110165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9152002">
      <w:bodyDiv w:val="1"/>
      <w:marLeft w:val="0"/>
      <w:marRight w:val="0"/>
      <w:marTop w:val="0"/>
      <w:marBottom w:val="0"/>
      <w:divBdr>
        <w:top w:val="none" w:sz="0" w:space="0" w:color="auto"/>
        <w:left w:val="none" w:sz="0" w:space="0" w:color="auto"/>
        <w:bottom w:val="none" w:sz="0" w:space="0" w:color="auto"/>
        <w:right w:val="none" w:sz="0" w:space="0" w:color="auto"/>
      </w:divBdr>
    </w:div>
    <w:div w:id="105489399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11960701">
      <w:bodyDiv w:val="1"/>
      <w:marLeft w:val="0"/>
      <w:marRight w:val="0"/>
      <w:marTop w:val="0"/>
      <w:marBottom w:val="0"/>
      <w:divBdr>
        <w:top w:val="none" w:sz="0" w:space="0" w:color="auto"/>
        <w:left w:val="none" w:sz="0" w:space="0" w:color="auto"/>
        <w:bottom w:val="none" w:sz="0" w:space="0" w:color="auto"/>
        <w:right w:val="none" w:sz="0" w:space="0" w:color="auto"/>
      </w:divBdr>
    </w:div>
    <w:div w:id="125200626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1055532">
      <w:bodyDiv w:val="1"/>
      <w:marLeft w:val="0"/>
      <w:marRight w:val="0"/>
      <w:marTop w:val="0"/>
      <w:marBottom w:val="0"/>
      <w:divBdr>
        <w:top w:val="none" w:sz="0" w:space="0" w:color="auto"/>
        <w:left w:val="none" w:sz="0" w:space="0" w:color="auto"/>
        <w:bottom w:val="none" w:sz="0" w:space="0" w:color="auto"/>
        <w:right w:val="none" w:sz="0" w:space="0" w:color="auto"/>
      </w:divBdr>
    </w:div>
    <w:div w:id="1414081077">
      <w:bodyDiv w:val="1"/>
      <w:marLeft w:val="0"/>
      <w:marRight w:val="0"/>
      <w:marTop w:val="0"/>
      <w:marBottom w:val="0"/>
      <w:divBdr>
        <w:top w:val="none" w:sz="0" w:space="0" w:color="auto"/>
        <w:left w:val="none" w:sz="0" w:space="0" w:color="auto"/>
        <w:bottom w:val="none" w:sz="0" w:space="0" w:color="auto"/>
        <w:right w:val="none" w:sz="0" w:space="0" w:color="auto"/>
      </w:divBdr>
    </w:div>
    <w:div w:id="1620992496">
      <w:bodyDiv w:val="1"/>
      <w:marLeft w:val="0"/>
      <w:marRight w:val="0"/>
      <w:marTop w:val="0"/>
      <w:marBottom w:val="0"/>
      <w:divBdr>
        <w:top w:val="none" w:sz="0" w:space="0" w:color="auto"/>
        <w:left w:val="none" w:sz="0" w:space="0" w:color="auto"/>
        <w:bottom w:val="none" w:sz="0" w:space="0" w:color="auto"/>
        <w:right w:val="none" w:sz="0" w:space="0" w:color="auto"/>
      </w:divBdr>
    </w:div>
    <w:div w:id="1667980077">
      <w:bodyDiv w:val="1"/>
      <w:marLeft w:val="0"/>
      <w:marRight w:val="0"/>
      <w:marTop w:val="0"/>
      <w:marBottom w:val="0"/>
      <w:divBdr>
        <w:top w:val="none" w:sz="0" w:space="0" w:color="auto"/>
        <w:left w:val="none" w:sz="0" w:space="0" w:color="auto"/>
        <w:bottom w:val="none" w:sz="0" w:space="0" w:color="auto"/>
        <w:right w:val="none" w:sz="0" w:space="0" w:color="auto"/>
      </w:divBdr>
    </w:div>
    <w:div w:id="1701468496">
      <w:bodyDiv w:val="1"/>
      <w:marLeft w:val="0"/>
      <w:marRight w:val="0"/>
      <w:marTop w:val="0"/>
      <w:marBottom w:val="0"/>
      <w:divBdr>
        <w:top w:val="none" w:sz="0" w:space="0" w:color="auto"/>
        <w:left w:val="none" w:sz="0" w:space="0" w:color="auto"/>
        <w:bottom w:val="none" w:sz="0" w:space="0" w:color="auto"/>
        <w:right w:val="none" w:sz="0" w:space="0" w:color="auto"/>
      </w:divBdr>
    </w:div>
    <w:div w:id="1755012375">
      <w:bodyDiv w:val="1"/>
      <w:marLeft w:val="0"/>
      <w:marRight w:val="0"/>
      <w:marTop w:val="0"/>
      <w:marBottom w:val="0"/>
      <w:divBdr>
        <w:top w:val="none" w:sz="0" w:space="0" w:color="auto"/>
        <w:left w:val="none" w:sz="0" w:space="0" w:color="auto"/>
        <w:bottom w:val="none" w:sz="0" w:space="0" w:color="auto"/>
        <w:right w:val="none" w:sz="0" w:space="0" w:color="auto"/>
      </w:divBdr>
    </w:div>
    <w:div w:id="179683000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445460-0CDA-4868-BB92-FAC0F961BC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TotalTime>
  <Pages>19</Pages>
  <Words>6171</Words>
  <Characters>33944</Characters>
  <Application>Microsoft Office Word</Application>
  <DocSecurity>0</DocSecurity>
  <Lines>282</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2026-05-07T00:44:00Z</dcterms:created>
  <dcterms:modified xsi:type="dcterms:W3CDTF">2026-05-12T15:08:00Z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