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08F0F" w14:textId="77777777" w:rsidR="007F5261" w:rsidRDefault="007F5261" w:rsidP="007F5261">
      <w:pPr>
        <w:spacing w:after="0" w:line="240" w:lineRule="auto"/>
        <w:rPr>
          <w:rFonts w:ascii="Verdana" w:hAnsi="Verdana" w:cs="Arial"/>
          <w:b/>
          <w:bCs/>
          <w:color w:val="000000" w:themeColor="text1"/>
        </w:rPr>
      </w:pPr>
      <w:bookmarkStart w:id="0" w:name="_Hlk143780582"/>
      <w:r w:rsidRPr="007F5261">
        <w:rPr>
          <w:rFonts w:ascii="Verdana" w:hAnsi="Verdana" w:cs="Arial"/>
          <w:b/>
          <w:bCs/>
          <w:color w:val="000000" w:themeColor="text1"/>
        </w:rPr>
        <w:t>SEGURIDAD SOCIAL – Ley 789 de 2002 artículo 50</w:t>
      </w:r>
    </w:p>
    <w:p w14:paraId="0F95A9F3" w14:textId="77777777" w:rsidR="007F5261" w:rsidRDefault="007F5261" w:rsidP="007F5261">
      <w:pPr>
        <w:spacing w:after="0" w:line="240" w:lineRule="auto"/>
        <w:rPr>
          <w:rFonts w:ascii="Verdana" w:hAnsi="Verdana" w:cs="Arial"/>
          <w:b/>
          <w:bCs/>
          <w:color w:val="000000" w:themeColor="text1"/>
        </w:rPr>
      </w:pPr>
    </w:p>
    <w:p w14:paraId="7D36F637" w14:textId="77777777" w:rsidR="007F5261" w:rsidRPr="007F5261" w:rsidRDefault="007F5261" w:rsidP="007F5261">
      <w:pPr>
        <w:pStyle w:val="Textoindependiente"/>
        <w:ind w:right="51"/>
        <w:jc w:val="both"/>
        <w:rPr>
          <w:rFonts w:ascii="Verdana" w:hAnsi="Verdana"/>
          <w:sz w:val="20"/>
          <w:szCs w:val="20"/>
        </w:rPr>
      </w:pPr>
      <w:r w:rsidRPr="007F5261">
        <w:rPr>
          <w:rFonts w:ascii="Verdana" w:hAnsi="Verdana"/>
          <w:sz w:val="20"/>
          <w:szCs w:val="20"/>
        </w:rPr>
        <w:t xml:space="preserve">La Ley 80 de 1993, en el texto original del artículo 41, indicó que los requisitos de perfeccionamiento del contrato son: i) el acuerdo sobre el objeto y la contraprestación, y </w:t>
      </w:r>
      <w:proofErr w:type="spellStart"/>
      <w:r w:rsidRPr="007F5261">
        <w:rPr>
          <w:rFonts w:ascii="Verdana" w:hAnsi="Verdana"/>
          <w:sz w:val="20"/>
          <w:szCs w:val="20"/>
        </w:rPr>
        <w:t>ii</w:t>
      </w:r>
      <w:proofErr w:type="spellEnd"/>
      <w:r w:rsidRPr="007F5261">
        <w:rPr>
          <w:rFonts w:ascii="Verdana" w:hAnsi="Verdana"/>
          <w:sz w:val="20"/>
          <w:szCs w:val="20"/>
        </w:rPr>
        <w:t xml:space="preserve">) que conste por escrito. Por su parte, para iniciar la ejecución se requerirá: i) la constitución y aprobación de la garantía y </w:t>
      </w:r>
      <w:proofErr w:type="spellStart"/>
      <w:r w:rsidRPr="007F5261">
        <w:rPr>
          <w:rFonts w:ascii="Verdana" w:hAnsi="Verdana"/>
          <w:sz w:val="20"/>
          <w:szCs w:val="20"/>
        </w:rPr>
        <w:t>ii</w:t>
      </w:r>
      <w:proofErr w:type="spellEnd"/>
      <w:r w:rsidRPr="007F5261">
        <w:rPr>
          <w:rFonts w:ascii="Verdana" w:hAnsi="Verdana"/>
          <w:sz w:val="20"/>
          <w:szCs w:val="20"/>
        </w:rPr>
        <w:t>) la existencia del registro presupuestal.</w:t>
      </w:r>
    </w:p>
    <w:p w14:paraId="7F9DEC2F" w14:textId="77777777" w:rsidR="007F5261" w:rsidRDefault="007F5261" w:rsidP="007F5261">
      <w:pPr>
        <w:pStyle w:val="Textoindependiente"/>
        <w:ind w:right="51"/>
        <w:jc w:val="both"/>
        <w:rPr>
          <w:rFonts w:ascii="Verdana" w:hAnsi="Verdana"/>
          <w:sz w:val="20"/>
          <w:szCs w:val="20"/>
        </w:rPr>
      </w:pPr>
    </w:p>
    <w:p w14:paraId="40908BC6" w14:textId="687AC1CE" w:rsidR="007F5261" w:rsidRPr="007F5261" w:rsidRDefault="007F5261" w:rsidP="007F5261">
      <w:pPr>
        <w:pStyle w:val="Textoindependiente"/>
        <w:ind w:right="51"/>
        <w:jc w:val="both"/>
        <w:rPr>
          <w:rFonts w:ascii="Verdana" w:hAnsi="Verdana"/>
          <w:sz w:val="20"/>
          <w:szCs w:val="20"/>
        </w:rPr>
      </w:pPr>
      <w:r w:rsidRPr="007F5261">
        <w:rPr>
          <w:rFonts w:ascii="Verdana" w:hAnsi="Verdana"/>
          <w:sz w:val="20"/>
          <w:szCs w:val="20"/>
        </w:rPr>
        <w:t>Posteriormente, la Ley 789 de 2002,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w:t>
      </w:r>
      <w:r w:rsidRPr="007F5261">
        <w:rPr>
          <w:rFonts w:ascii="Verdana" w:hAnsi="Verdana"/>
          <w:spacing w:val="-4"/>
          <w:sz w:val="20"/>
          <w:szCs w:val="20"/>
        </w:rPr>
        <w:t xml:space="preserve"> </w:t>
      </w:r>
      <w:r w:rsidRPr="007F5261">
        <w:rPr>
          <w:rFonts w:ascii="Verdana" w:hAnsi="Verdana"/>
          <w:sz w:val="20"/>
          <w:szCs w:val="20"/>
        </w:rPr>
        <w:t>cotizar.</w:t>
      </w:r>
    </w:p>
    <w:p w14:paraId="15D41C07" w14:textId="77777777" w:rsidR="007F5261" w:rsidRPr="007F5261" w:rsidRDefault="007F5261" w:rsidP="007F5261">
      <w:pPr>
        <w:spacing w:after="0" w:line="240" w:lineRule="auto"/>
        <w:rPr>
          <w:rFonts w:ascii="Verdana" w:hAnsi="Verdana" w:cs="Arial"/>
          <w:b/>
          <w:bCs/>
          <w:color w:val="000000" w:themeColor="text1"/>
          <w:lang w:val="es-ES"/>
        </w:rPr>
      </w:pPr>
    </w:p>
    <w:p w14:paraId="1DB9852F" w14:textId="77777777" w:rsidR="007F5261" w:rsidRDefault="007F5261" w:rsidP="007F5261">
      <w:pPr>
        <w:spacing w:after="0" w:line="240" w:lineRule="auto"/>
        <w:rPr>
          <w:rFonts w:ascii="Verdana" w:hAnsi="Verdana" w:cs="Arial"/>
          <w:b/>
          <w:bCs/>
          <w:color w:val="000000" w:themeColor="text1"/>
        </w:rPr>
      </w:pPr>
      <w:r w:rsidRPr="007F5261">
        <w:rPr>
          <w:rFonts w:ascii="Verdana" w:hAnsi="Verdana" w:cs="Arial"/>
          <w:b/>
          <w:bCs/>
          <w:color w:val="000000" w:themeColor="text1"/>
        </w:rPr>
        <w:t xml:space="preserve">SEGURIDAD SOCIAL – Ley 1150 de 2007 artículo 23 – Ley 80 de 1993 artículo 41 – Requisito de ejecución </w:t>
      </w:r>
    </w:p>
    <w:p w14:paraId="4B918CF7" w14:textId="77777777" w:rsidR="007F5261" w:rsidRDefault="007F5261" w:rsidP="007F5261">
      <w:pPr>
        <w:spacing w:after="0" w:line="240" w:lineRule="auto"/>
        <w:rPr>
          <w:rFonts w:ascii="Verdana" w:hAnsi="Verdana" w:cs="Arial"/>
          <w:b/>
          <w:bCs/>
          <w:color w:val="000000" w:themeColor="text1"/>
        </w:rPr>
      </w:pPr>
    </w:p>
    <w:p w14:paraId="22B9304E" w14:textId="518D178A" w:rsidR="007F5261" w:rsidRDefault="007F5261" w:rsidP="007F5261">
      <w:pPr>
        <w:spacing w:after="0" w:line="240" w:lineRule="auto"/>
        <w:jc w:val="both"/>
        <w:rPr>
          <w:rFonts w:ascii="Verdana" w:hAnsi="Verdana"/>
          <w:sz w:val="20"/>
          <w:szCs w:val="20"/>
        </w:rPr>
      </w:pPr>
      <w:r>
        <w:rPr>
          <w:rFonts w:ascii="Verdana" w:hAnsi="Verdana"/>
          <w:sz w:val="20"/>
          <w:szCs w:val="20"/>
        </w:rPr>
        <w:t xml:space="preserve">(…) </w:t>
      </w:r>
      <w:r w:rsidRPr="007F5261">
        <w:rPr>
          <w:rFonts w:ascii="Verdana" w:hAnsi="Verdana"/>
          <w:sz w:val="20"/>
          <w:szCs w:val="20"/>
        </w:rPr>
        <w:t>el artículo 23 de la Ley 1150 de 2007 modificó el inciso segundo del artículo 41 de la Ley 80 de 1993, incluyendo la obligación, para los proponentes y contratistas, de estar a paz</w:t>
      </w:r>
      <w:r w:rsidRPr="007F5261">
        <w:rPr>
          <w:rFonts w:ascii="Verdana" w:hAnsi="Verdana"/>
          <w:spacing w:val="-4"/>
          <w:sz w:val="20"/>
          <w:szCs w:val="20"/>
        </w:rPr>
        <w:t xml:space="preserve"> </w:t>
      </w:r>
      <w:r w:rsidRPr="007F5261">
        <w:rPr>
          <w:rFonts w:ascii="Verdana" w:hAnsi="Verdana"/>
          <w:sz w:val="20"/>
          <w:szCs w:val="20"/>
        </w:rPr>
        <w:t>y</w:t>
      </w:r>
      <w:r w:rsidRPr="007F5261">
        <w:rPr>
          <w:rFonts w:ascii="Verdana" w:hAnsi="Verdana"/>
          <w:spacing w:val="-4"/>
          <w:sz w:val="20"/>
          <w:szCs w:val="20"/>
        </w:rPr>
        <w:t xml:space="preserve"> </w:t>
      </w:r>
      <w:r w:rsidRPr="007F5261">
        <w:rPr>
          <w:rFonts w:ascii="Verdana" w:hAnsi="Verdana"/>
          <w:sz w:val="20"/>
          <w:szCs w:val="20"/>
        </w:rPr>
        <w:t>salvo</w:t>
      </w:r>
      <w:r w:rsidRPr="007F5261">
        <w:rPr>
          <w:rFonts w:ascii="Verdana" w:hAnsi="Verdana"/>
          <w:spacing w:val="-3"/>
          <w:sz w:val="20"/>
          <w:szCs w:val="20"/>
        </w:rPr>
        <w:t xml:space="preserve"> </w:t>
      </w:r>
      <w:r w:rsidRPr="007F5261">
        <w:rPr>
          <w:rFonts w:ascii="Verdana" w:hAnsi="Verdana"/>
          <w:sz w:val="20"/>
          <w:szCs w:val="20"/>
        </w:rPr>
        <w:t>con</w:t>
      </w:r>
      <w:r w:rsidRPr="007F5261">
        <w:rPr>
          <w:rFonts w:ascii="Verdana" w:hAnsi="Verdana"/>
          <w:spacing w:val="-3"/>
          <w:sz w:val="20"/>
          <w:szCs w:val="20"/>
        </w:rPr>
        <w:t xml:space="preserve"> </w:t>
      </w:r>
      <w:r w:rsidRPr="007F5261">
        <w:rPr>
          <w:rFonts w:ascii="Verdana" w:hAnsi="Verdana"/>
          <w:sz w:val="20"/>
          <w:szCs w:val="20"/>
        </w:rPr>
        <w:t>los</w:t>
      </w:r>
      <w:r w:rsidRPr="007F5261">
        <w:rPr>
          <w:rFonts w:ascii="Verdana" w:hAnsi="Verdana"/>
          <w:spacing w:val="-3"/>
          <w:sz w:val="20"/>
          <w:szCs w:val="20"/>
        </w:rPr>
        <w:t xml:space="preserve"> </w:t>
      </w:r>
      <w:r w:rsidRPr="007F5261">
        <w:rPr>
          <w:rFonts w:ascii="Verdana" w:hAnsi="Verdana"/>
          <w:sz w:val="20"/>
          <w:szCs w:val="20"/>
        </w:rPr>
        <w:t>aportes</w:t>
      </w:r>
      <w:r w:rsidRPr="007F5261">
        <w:rPr>
          <w:rFonts w:ascii="Verdana" w:hAnsi="Verdana"/>
          <w:spacing w:val="-4"/>
          <w:sz w:val="20"/>
          <w:szCs w:val="20"/>
        </w:rPr>
        <w:t xml:space="preserve"> </w:t>
      </w:r>
      <w:r w:rsidRPr="007F5261">
        <w:rPr>
          <w:rFonts w:ascii="Verdana" w:hAnsi="Verdana"/>
          <w:sz w:val="20"/>
          <w:szCs w:val="20"/>
        </w:rPr>
        <w:t>parafiscales</w:t>
      </w:r>
      <w:r w:rsidRPr="007F5261">
        <w:rPr>
          <w:rFonts w:ascii="Verdana" w:hAnsi="Verdana"/>
          <w:spacing w:val="-3"/>
          <w:sz w:val="20"/>
          <w:szCs w:val="20"/>
        </w:rPr>
        <w:t xml:space="preserve"> </w:t>
      </w:r>
      <w:r w:rsidRPr="007F5261">
        <w:rPr>
          <w:rFonts w:ascii="Verdana" w:hAnsi="Verdana"/>
          <w:sz w:val="20"/>
          <w:szCs w:val="20"/>
        </w:rPr>
        <w:t>al</w:t>
      </w:r>
      <w:r w:rsidRPr="007F5261">
        <w:rPr>
          <w:rFonts w:ascii="Verdana" w:hAnsi="Verdana"/>
          <w:spacing w:val="-2"/>
          <w:sz w:val="20"/>
          <w:szCs w:val="20"/>
        </w:rPr>
        <w:t xml:space="preserve"> </w:t>
      </w:r>
      <w:r w:rsidRPr="007F5261">
        <w:rPr>
          <w:rFonts w:ascii="Verdana" w:hAnsi="Verdana"/>
          <w:sz w:val="20"/>
          <w:szCs w:val="20"/>
        </w:rPr>
        <w:t>Sistema</w:t>
      </w:r>
      <w:r w:rsidRPr="007F5261">
        <w:rPr>
          <w:rFonts w:ascii="Verdana" w:hAnsi="Verdana"/>
          <w:spacing w:val="-5"/>
          <w:sz w:val="20"/>
          <w:szCs w:val="20"/>
        </w:rPr>
        <w:t xml:space="preserve"> </w:t>
      </w:r>
      <w:r w:rsidRPr="007F5261">
        <w:rPr>
          <w:rFonts w:ascii="Verdana" w:hAnsi="Verdana"/>
          <w:sz w:val="20"/>
          <w:szCs w:val="20"/>
        </w:rPr>
        <w:t>de</w:t>
      </w:r>
      <w:r w:rsidRPr="007F5261">
        <w:rPr>
          <w:rFonts w:ascii="Verdana" w:hAnsi="Verdana"/>
          <w:spacing w:val="-3"/>
          <w:sz w:val="20"/>
          <w:szCs w:val="20"/>
        </w:rPr>
        <w:t xml:space="preserve"> </w:t>
      </w:r>
      <w:r w:rsidRPr="007F5261">
        <w:rPr>
          <w:rFonts w:ascii="Verdana" w:hAnsi="Verdana"/>
          <w:sz w:val="20"/>
          <w:szCs w:val="20"/>
        </w:rPr>
        <w:t>Seguridad</w:t>
      </w:r>
      <w:r w:rsidRPr="007F5261">
        <w:rPr>
          <w:rFonts w:ascii="Verdana" w:hAnsi="Verdana"/>
          <w:spacing w:val="-3"/>
          <w:sz w:val="20"/>
          <w:szCs w:val="20"/>
        </w:rPr>
        <w:t xml:space="preserve"> </w:t>
      </w:r>
      <w:r w:rsidRPr="007F5261">
        <w:rPr>
          <w:rFonts w:ascii="Verdana" w:hAnsi="Verdana"/>
          <w:sz w:val="20"/>
          <w:szCs w:val="20"/>
        </w:rPr>
        <w:t>Social</w:t>
      </w:r>
      <w:r w:rsidRPr="007F5261">
        <w:rPr>
          <w:rFonts w:ascii="Verdana" w:hAnsi="Verdana"/>
          <w:spacing w:val="-2"/>
          <w:sz w:val="20"/>
          <w:szCs w:val="20"/>
        </w:rPr>
        <w:t xml:space="preserve"> </w:t>
      </w:r>
      <w:r w:rsidRPr="007F5261">
        <w:rPr>
          <w:rFonts w:ascii="Verdana" w:hAnsi="Verdana"/>
          <w:sz w:val="20"/>
          <w:szCs w:val="20"/>
        </w:rPr>
        <w:t>integral</w:t>
      </w:r>
      <w:r w:rsidR="00987561">
        <w:rPr>
          <w:rFonts w:ascii="Verdana" w:hAnsi="Verdana"/>
          <w:sz w:val="20"/>
          <w:szCs w:val="20"/>
        </w:rPr>
        <w:t>.</w:t>
      </w:r>
    </w:p>
    <w:p w14:paraId="4BEFB356" w14:textId="77777777" w:rsidR="00987561" w:rsidRDefault="00987561" w:rsidP="007F5261">
      <w:pPr>
        <w:spacing w:after="0" w:line="240" w:lineRule="auto"/>
        <w:jc w:val="both"/>
        <w:rPr>
          <w:rFonts w:ascii="Verdana" w:hAnsi="Verdana"/>
          <w:sz w:val="20"/>
          <w:szCs w:val="20"/>
        </w:rPr>
      </w:pPr>
    </w:p>
    <w:p w14:paraId="2F82CE63" w14:textId="77777777" w:rsidR="00987561" w:rsidRDefault="00987561" w:rsidP="00987561">
      <w:pPr>
        <w:spacing w:after="0" w:line="240" w:lineRule="auto"/>
        <w:jc w:val="both"/>
        <w:rPr>
          <w:rFonts w:ascii="Verdana" w:hAnsi="Verdana" w:cs="Arial"/>
          <w:color w:val="000000" w:themeColor="text1"/>
          <w:sz w:val="20"/>
          <w:szCs w:val="20"/>
        </w:rPr>
      </w:pPr>
      <w:r w:rsidRPr="00987561">
        <w:rPr>
          <w:rFonts w:ascii="Verdana" w:hAnsi="Verdana" w:cs="Arial"/>
          <w:color w:val="000000" w:themeColor="text1"/>
          <w:sz w:val="20"/>
          <w:szCs w:val="20"/>
        </w:rPr>
        <w:t xml:space="preserve">(…) </w:t>
      </w:r>
      <w:r w:rsidRPr="00987561">
        <w:rPr>
          <w:rFonts w:ascii="Verdana" w:hAnsi="Verdana" w:cs="Arial"/>
          <w:color w:val="000000" w:themeColor="text1"/>
          <w:sz w:val="20"/>
          <w:szCs w:val="20"/>
        </w:rPr>
        <w:t>De la lectura integral del artículo 23 de la Ley 1150 de 2007 se concluye que, si bien los proponentes y los contratistas deben estar al día en el pago al Sistema de Seguridad Social, la verificación de este requisito, por parte de las entidades estatales, se efectuará cuando realicen los pagos del contrato, es decir, durante la ejecución.</w:t>
      </w:r>
    </w:p>
    <w:p w14:paraId="213D75AD" w14:textId="77777777" w:rsidR="00987561" w:rsidRDefault="00987561" w:rsidP="00987561">
      <w:pPr>
        <w:spacing w:after="0" w:line="240" w:lineRule="auto"/>
        <w:jc w:val="both"/>
        <w:rPr>
          <w:rFonts w:ascii="Verdana" w:hAnsi="Verdana" w:cs="Arial"/>
          <w:color w:val="000000" w:themeColor="text1"/>
          <w:sz w:val="20"/>
          <w:szCs w:val="20"/>
        </w:rPr>
      </w:pPr>
    </w:p>
    <w:p w14:paraId="5F132072" w14:textId="483480C9" w:rsidR="00987561" w:rsidRPr="00987561" w:rsidRDefault="00987561" w:rsidP="00987561">
      <w:pPr>
        <w:spacing w:after="0" w:line="240" w:lineRule="auto"/>
        <w:jc w:val="both"/>
        <w:rPr>
          <w:rFonts w:ascii="Verdana" w:hAnsi="Verdana" w:cs="Arial"/>
          <w:color w:val="000000" w:themeColor="text1"/>
          <w:sz w:val="20"/>
          <w:szCs w:val="20"/>
        </w:rPr>
      </w:pPr>
      <w:r w:rsidRPr="00987561">
        <w:rPr>
          <w:rFonts w:ascii="Verdana" w:hAnsi="Verdana" w:cs="Arial"/>
          <w:color w:val="000000" w:themeColor="text1"/>
          <w:sz w:val="20"/>
          <w:szCs w:val="20"/>
        </w:rPr>
        <w:t xml:space="preserve">(…) </w:t>
      </w:r>
      <w:r w:rsidRPr="00987561">
        <w:rPr>
          <w:rFonts w:ascii="Verdana" w:hAnsi="Verdana"/>
          <w:sz w:val="20"/>
          <w:szCs w:val="20"/>
        </w:rPr>
        <w:t xml:space="preserve">la verificación del aporte al pago al sistema de seguridad social cambia dependiendo si se trata de una persona natural o de una jurídica: i) si es una natural, la entidad estatal verificará el pago al sistema de seguridad social cuando se realicen los pagos del contrato, es decir, durante su ejecución y </w:t>
      </w:r>
      <w:proofErr w:type="spellStart"/>
      <w:r w:rsidRPr="00987561">
        <w:rPr>
          <w:rFonts w:ascii="Verdana" w:hAnsi="Verdana"/>
          <w:sz w:val="20"/>
          <w:szCs w:val="20"/>
        </w:rPr>
        <w:t>ii</w:t>
      </w:r>
      <w:proofErr w:type="spellEnd"/>
      <w:r w:rsidRPr="00987561">
        <w:rPr>
          <w:rFonts w:ascii="Verdana" w:hAnsi="Verdana"/>
          <w:sz w:val="20"/>
          <w:szCs w:val="20"/>
        </w:rPr>
        <w:t>) si se refiere a una persona jurídica, el comprobante de pago de los aportes al sistema de seguridad social de sus empleados se debe aportar con la presentación de la oferta, y este constituye un criterio de admisión de la misma; sin perjuicio de que durante la ejecución del contrato también se acredite el pago al sistema de seguridad social para cancelar las cuentas o</w:t>
      </w:r>
      <w:r w:rsidRPr="00987561">
        <w:rPr>
          <w:rFonts w:ascii="Verdana" w:hAnsi="Verdana"/>
          <w:spacing w:val="-14"/>
          <w:sz w:val="20"/>
          <w:szCs w:val="20"/>
        </w:rPr>
        <w:t xml:space="preserve"> </w:t>
      </w:r>
      <w:r w:rsidRPr="00987561">
        <w:rPr>
          <w:rFonts w:ascii="Verdana" w:hAnsi="Verdana"/>
          <w:sz w:val="20"/>
          <w:szCs w:val="20"/>
        </w:rPr>
        <w:t>facturas.</w:t>
      </w:r>
    </w:p>
    <w:p w14:paraId="4AABE039" w14:textId="7BD0A97A" w:rsidR="00987561" w:rsidRPr="00987561" w:rsidRDefault="00987561" w:rsidP="007F5261">
      <w:pPr>
        <w:spacing w:after="0" w:line="240" w:lineRule="auto"/>
        <w:jc w:val="both"/>
        <w:rPr>
          <w:rFonts w:ascii="Verdana" w:hAnsi="Verdana" w:cs="Arial"/>
          <w:color w:val="000000" w:themeColor="text1"/>
          <w:sz w:val="20"/>
          <w:szCs w:val="20"/>
          <w:lang w:val="es-ES"/>
        </w:rPr>
      </w:pPr>
    </w:p>
    <w:p w14:paraId="0F4E26ED" w14:textId="77777777" w:rsidR="007F5261" w:rsidRDefault="007F5261" w:rsidP="00987561">
      <w:pPr>
        <w:spacing w:after="0" w:line="240" w:lineRule="auto"/>
        <w:jc w:val="both"/>
        <w:rPr>
          <w:rFonts w:ascii="Verdana" w:hAnsi="Verdana" w:cs="Arial"/>
          <w:b/>
          <w:bCs/>
          <w:color w:val="000000" w:themeColor="text1"/>
        </w:rPr>
      </w:pPr>
      <w:r w:rsidRPr="007F5261">
        <w:rPr>
          <w:rFonts w:ascii="Verdana" w:hAnsi="Verdana" w:cs="Arial"/>
          <w:b/>
          <w:bCs/>
          <w:color w:val="000000" w:themeColor="text1"/>
        </w:rPr>
        <w:t xml:space="preserve">SEGURIDAD SOCIAL – Obligación a afiliación a sistema general de pensiones – Artículo 3 </w:t>
      </w:r>
    </w:p>
    <w:p w14:paraId="5B185C39" w14:textId="77777777" w:rsidR="00987561" w:rsidRDefault="00987561" w:rsidP="00987561">
      <w:pPr>
        <w:spacing w:after="0" w:line="240" w:lineRule="auto"/>
        <w:jc w:val="both"/>
        <w:rPr>
          <w:rFonts w:ascii="Verdana" w:hAnsi="Verdana" w:cs="Arial"/>
          <w:b/>
          <w:bCs/>
          <w:color w:val="000000" w:themeColor="text1"/>
        </w:rPr>
      </w:pPr>
    </w:p>
    <w:p w14:paraId="47E4B8D6" w14:textId="1FA17D24" w:rsidR="00987561" w:rsidRPr="00987561" w:rsidRDefault="00987561" w:rsidP="00987561">
      <w:pPr>
        <w:spacing w:after="0" w:line="240" w:lineRule="auto"/>
        <w:jc w:val="both"/>
        <w:rPr>
          <w:rFonts w:ascii="Verdana" w:hAnsi="Verdana" w:cs="Arial"/>
          <w:b/>
          <w:bCs/>
          <w:color w:val="000000" w:themeColor="text1"/>
          <w:sz w:val="20"/>
          <w:szCs w:val="20"/>
        </w:rPr>
      </w:pPr>
      <w:r w:rsidRPr="00987561">
        <w:rPr>
          <w:rFonts w:ascii="Verdana" w:hAnsi="Verdana"/>
          <w:sz w:val="20"/>
          <w:szCs w:val="20"/>
        </w:rPr>
        <w:t>La Ley 797 de 2003, que regula el Sistema General de Pensiones, en el artículo 3 establece que tienen la obligación de estar afiliados al Sistema General de Pensiones todas las personas naturales que presten directamente servicios al Estado o a las entidades bajo la modalidad de contratos de prestación de</w:t>
      </w:r>
      <w:r w:rsidRPr="00987561">
        <w:rPr>
          <w:rFonts w:ascii="Verdana" w:hAnsi="Verdana"/>
          <w:spacing w:val="-13"/>
          <w:sz w:val="20"/>
          <w:szCs w:val="20"/>
        </w:rPr>
        <w:t xml:space="preserve"> </w:t>
      </w:r>
      <w:r w:rsidRPr="00987561">
        <w:rPr>
          <w:rFonts w:ascii="Verdana" w:hAnsi="Verdana"/>
          <w:sz w:val="20"/>
          <w:szCs w:val="20"/>
        </w:rPr>
        <w:t>servicios</w:t>
      </w:r>
      <w:r>
        <w:rPr>
          <w:rFonts w:ascii="Verdana" w:hAnsi="Verdana"/>
          <w:sz w:val="20"/>
          <w:szCs w:val="20"/>
        </w:rPr>
        <w:t>.</w:t>
      </w:r>
    </w:p>
    <w:p w14:paraId="376265BC" w14:textId="77777777" w:rsidR="007F5261" w:rsidRPr="007F5261" w:rsidRDefault="007F5261" w:rsidP="007F5261">
      <w:pPr>
        <w:spacing w:after="0" w:line="240" w:lineRule="auto"/>
        <w:rPr>
          <w:rFonts w:ascii="Verdana" w:hAnsi="Verdana" w:cs="Arial"/>
          <w:b/>
          <w:bCs/>
          <w:color w:val="000000" w:themeColor="text1"/>
        </w:rPr>
      </w:pPr>
    </w:p>
    <w:p w14:paraId="3E7A82CE" w14:textId="77777777" w:rsidR="007F5261" w:rsidRDefault="007F5261" w:rsidP="00987561">
      <w:pPr>
        <w:spacing w:after="0" w:line="240" w:lineRule="auto"/>
        <w:jc w:val="both"/>
        <w:rPr>
          <w:rFonts w:ascii="Verdana" w:hAnsi="Verdana" w:cs="Arial"/>
          <w:b/>
          <w:bCs/>
          <w:color w:val="000000" w:themeColor="text1"/>
        </w:rPr>
      </w:pPr>
      <w:r w:rsidRPr="007F5261">
        <w:rPr>
          <w:rFonts w:ascii="Verdana" w:hAnsi="Verdana" w:cs="Arial"/>
          <w:b/>
          <w:bCs/>
          <w:color w:val="000000" w:themeColor="text1"/>
        </w:rPr>
        <w:t xml:space="preserve">SEGURIDAD SOCIAL – Cotización al sistema general de pensiones – Artículo 4 </w:t>
      </w:r>
    </w:p>
    <w:p w14:paraId="030290DE" w14:textId="77777777" w:rsidR="00987561" w:rsidRDefault="00987561" w:rsidP="00987561">
      <w:pPr>
        <w:spacing w:after="0" w:line="240" w:lineRule="auto"/>
        <w:jc w:val="both"/>
        <w:rPr>
          <w:rFonts w:ascii="Verdana" w:hAnsi="Verdana" w:cs="Arial"/>
          <w:b/>
          <w:bCs/>
          <w:color w:val="000000" w:themeColor="text1"/>
        </w:rPr>
      </w:pPr>
    </w:p>
    <w:p w14:paraId="673D0591" w14:textId="449F6EF2" w:rsidR="00987561" w:rsidRPr="00987561" w:rsidRDefault="00987561" w:rsidP="00987561">
      <w:pPr>
        <w:pStyle w:val="Textoindependiente"/>
        <w:ind w:right="51"/>
        <w:jc w:val="both"/>
        <w:rPr>
          <w:rFonts w:ascii="Verdana" w:hAnsi="Verdana"/>
          <w:sz w:val="20"/>
          <w:szCs w:val="20"/>
        </w:rPr>
      </w:pPr>
      <w:r w:rsidRPr="00987561">
        <w:rPr>
          <w:rFonts w:ascii="Verdana" w:hAnsi="Verdana"/>
          <w:sz w:val="20"/>
          <w:szCs w:val="20"/>
        </w:rPr>
        <w:t xml:space="preserve">(…) </w:t>
      </w:r>
      <w:r w:rsidRPr="00987561">
        <w:rPr>
          <w:rFonts w:ascii="Verdana" w:hAnsi="Verdana"/>
          <w:sz w:val="20"/>
          <w:szCs w:val="20"/>
        </w:rPr>
        <w:t xml:space="preserve">el artículo 4 señala, en relación con la cotización al Sistema General </w:t>
      </w:r>
      <w:r w:rsidRPr="00987561">
        <w:rPr>
          <w:rFonts w:ascii="Verdana" w:hAnsi="Verdana"/>
          <w:spacing w:val="-3"/>
          <w:sz w:val="20"/>
          <w:szCs w:val="20"/>
        </w:rPr>
        <w:t xml:space="preserve">de </w:t>
      </w:r>
      <w:r w:rsidRPr="00987561">
        <w:rPr>
          <w:rFonts w:ascii="Verdana" w:hAnsi="Verdana"/>
          <w:sz w:val="20"/>
          <w:szCs w:val="20"/>
        </w:rPr>
        <w:t>Pensiones, que durante la vigencia del contrato de prestación de servicios se efectuarán cotizaciones obligatorias por parte de los empleadores y contratistas con base en el salario o ingresos por prestación de servicios que ellos devenguen, sin embargo, la obligación de cotizar cesa al momento en que el afiliado reúna los requisitos para acceder a la pensión mínima de vejez, o cuando el afiliado se pensione por invalidez o anticipadamente. En este sentido, una persona natural que se encuentre pensionada y celebre un contrato con una entidad estatal no está obligada a cotizar al Sistema de Pensiones, por expresa disposición</w:t>
      </w:r>
      <w:r w:rsidRPr="00987561">
        <w:rPr>
          <w:rFonts w:ascii="Verdana" w:hAnsi="Verdana"/>
          <w:spacing w:val="-2"/>
          <w:sz w:val="20"/>
          <w:szCs w:val="20"/>
        </w:rPr>
        <w:t xml:space="preserve"> </w:t>
      </w:r>
      <w:r w:rsidRPr="00987561">
        <w:rPr>
          <w:rFonts w:ascii="Verdana" w:hAnsi="Verdana"/>
          <w:sz w:val="20"/>
          <w:szCs w:val="20"/>
        </w:rPr>
        <w:t>legal.</w:t>
      </w:r>
    </w:p>
    <w:p w14:paraId="7FAB3C80" w14:textId="77777777" w:rsidR="00987561" w:rsidRPr="00987561" w:rsidRDefault="00987561" w:rsidP="00987561">
      <w:pPr>
        <w:spacing w:after="0" w:line="240" w:lineRule="auto"/>
        <w:jc w:val="both"/>
        <w:rPr>
          <w:rFonts w:ascii="Verdana" w:hAnsi="Verdana" w:cs="Arial"/>
          <w:b/>
          <w:bCs/>
          <w:color w:val="000000" w:themeColor="text1"/>
          <w:lang w:val="es-ES"/>
        </w:rPr>
      </w:pPr>
    </w:p>
    <w:p w14:paraId="35B7B737" w14:textId="77777777" w:rsidR="003D6274" w:rsidRDefault="007F5261" w:rsidP="003D6274">
      <w:pPr>
        <w:spacing w:after="0" w:line="240" w:lineRule="auto"/>
        <w:jc w:val="both"/>
        <w:rPr>
          <w:rFonts w:ascii="Verdana" w:hAnsi="Verdana" w:cs="Arial"/>
          <w:b/>
          <w:bCs/>
          <w:color w:val="000000" w:themeColor="text1"/>
        </w:rPr>
      </w:pPr>
      <w:r w:rsidRPr="007F5261">
        <w:rPr>
          <w:rFonts w:ascii="Verdana" w:hAnsi="Verdana" w:cs="Arial"/>
          <w:b/>
          <w:bCs/>
          <w:color w:val="000000" w:themeColor="text1"/>
        </w:rPr>
        <w:t xml:space="preserve">LEY 100 DE 1993 - Artículo 61 literal b) – Personas excluidas de régimen de ahorro individual con solidaridad – Exigencia de afiliación a fondo de pensiones   </w:t>
      </w:r>
    </w:p>
    <w:p w14:paraId="67692433" w14:textId="77777777" w:rsidR="003D6274" w:rsidRDefault="003D6274" w:rsidP="003D6274">
      <w:pPr>
        <w:spacing w:after="0" w:line="240" w:lineRule="auto"/>
        <w:jc w:val="both"/>
        <w:rPr>
          <w:rFonts w:ascii="Verdana" w:hAnsi="Verdana" w:cs="Arial"/>
          <w:b/>
          <w:bCs/>
          <w:color w:val="000000" w:themeColor="text1"/>
        </w:rPr>
      </w:pPr>
    </w:p>
    <w:p w14:paraId="30938BC6" w14:textId="63FC76DF" w:rsidR="003D6274" w:rsidRPr="003D6274" w:rsidRDefault="003D6274" w:rsidP="003D6274">
      <w:pPr>
        <w:spacing w:after="0" w:line="240" w:lineRule="auto"/>
        <w:jc w:val="both"/>
        <w:rPr>
          <w:rFonts w:ascii="Verdana" w:hAnsi="Verdana" w:cs="Arial"/>
          <w:b/>
          <w:bCs/>
          <w:color w:val="000000" w:themeColor="text1"/>
        </w:rPr>
      </w:pPr>
      <w:r w:rsidRPr="003D6274">
        <w:rPr>
          <w:rFonts w:ascii="Verdana" w:hAnsi="Verdana"/>
          <w:sz w:val="20"/>
          <w:szCs w:val="20"/>
        </w:rPr>
        <w:t xml:space="preserve">Podría pensarse que, según lo establecido en el artículo 61 de la Ley 100 de 1993 en su literal b) están excluidos del Régimen de Ahorro Individual con Solidaridad: Las personas que al </w:t>
      </w:r>
      <w:proofErr w:type="gramStart"/>
      <w:r w:rsidRPr="003D6274">
        <w:rPr>
          <w:rFonts w:ascii="Verdana" w:hAnsi="Verdana"/>
          <w:sz w:val="20"/>
          <w:szCs w:val="20"/>
        </w:rPr>
        <w:t>entrar en vigencia</w:t>
      </w:r>
      <w:proofErr w:type="gramEnd"/>
      <w:r w:rsidRPr="003D6274">
        <w:rPr>
          <w:rFonts w:ascii="Verdana" w:hAnsi="Verdana"/>
          <w:sz w:val="20"/>
          <w:szCs w:val="20"/>
        </w:rPr>
        <w:t xml:space="preserve"> el sistema tuvieren cincuenta y cinco (55) años o más de edad, si son hombres, o cincuenta (50) años o más de edad, si son mujeres, salvo que decidan cotizar por lo menos 500 semanas en el nuevo régimen, caso en el cual será obligatorio para el empleador efectuar los aportes correspondientes. Este literal no implica una exclusión del sistema general, sino solo del régimen de ahorro individual, de modo que resulta obligatorio afiliarse al sistema de prima media.</w:t>
      </w:r>
    </w:p>
    <w:p w14:paraId="00CAE949" w14:textId="77777777" w:rsidR="003D6274" w:rsidRDefault="003D6274" w:rsidP="003D6274">
      <w:pPr>
        <w:pStyle w:val="Textoindependiente"/>
        <w:ind w:right="51"/>
        <w:jc w:val="both"/>
        <w:rPr>
          <w:rFonts w:ascii="Verdana" w:hAnsi="Verdana"/>
          <w:sz w:val="20"/>
          <w:szCs w:val="20"/>
          <w:lang w:val="es-CO"/>
        </w:rPr>
      </w:pPr>
    </w:p>
    <w:p w14:paraId="2765E60D" w14:textId="12AA9DE8" w:rsidR="003D6274" w:rsidRPr="003D6274" w:rsidRDefault="003D6274" w:rsidP="003D6274">
      <w:pPr>
        <w:pStyle w:val="Textoindependiente"/>
        <w:ind w:right="51"/>
        <w:jc w:val="both"/>
        <w:rPr>
          <w:rFonts w:ascii="Verdana" w:hAnsi="Verdana"/>
          <w:sz w:val="20"/>
          <w:szCs w:val="20"/>
          <w:lang w:val="es-CO"/>
        </w:rPr>
      </w:pPr>
      <w:r w:rsidRPr="003D6274">
        <w:rPr>
          <w:rFonts w:ascii="Verdana" w:hAnsi="Verdana"/>
          <w:sz w:val="20"/>
          <w:szCs w:val="20"/>
          <w:lang w:val="es-CO"/>
        </w:rPr>
        <w:t xml:space="preserve">En esa medida conforme lo dispuso la Corte Suprema de Justicia “(…) a partir de la expedición de la Ley 100 de 1993 no existe ninguna disposición que excluya a aquellos trabajadores activos que tengan o sobrepasen la edad mínima exigida para acceder a la pensión de vejez, de la obligación de afiliarse al sistema para cubrir otros riesgos como la invalidez y la muerte (…)”. </w:t>
      </w:r>
    </w:p>
    <w:p w14:paraId="734E73AB" w14:textId="77777777" w:rsidR="007F5261" w:rsidRDefault="007F5261" w:rsidP="003D6274">
      <w:pPr>
        <w:spacing w:after="0"/>
        <w:jc w:val="both"/>
        <w:rPr>
          <w:rFonts w:ascii="Verdana" w:hAnsi="Verdana" w:cs="Arial"/>
          <w:color w:val="000000" w:themeColor="text1"/>
        </w:rPr>
      </w:pPr>
    </w:p>
    <w:p w14:paraId="07DB2955" w14:textId="7825C2B0" w:rsidR="00407BAE" w:rsidRPr="00407BAE" w:rsidRDefault="00407BAE" w:rsidP="003D6274">
      <w:pPr>
        <w:spacing w:after="0"/>
        <w:jc w:val="both"/>
        <w:rPr>
          <w:rFonts w:ascii="Verdana" w:hAnsi="Verdana" w:cs="Arial"/>
          <w:color w:val="000000" w:themeColor="text1"/>
          <w:sz w:val="20"/>
          <w:szCs w:val="20"/>
          <w:lang w:val="es-ES"/>
        </w:rPr>
      </w:pPr>
      <w:r w:rsidRPr="00407BAE">
        <w:rPr>
          <w:rFonts w:ascii="Verdana" w:hAnsi="Verdana" w:cs="Arial"/>
          <w:color w:val="000000" w:themeColor="text1"/>
          <w:sz w:val="20"/>
          <w:szCs w:val="20"/>
        </w:rPr>
        <w:t xml:space="preserve">(…) </w:t>
      </w:r>
      <w:r w:rsidRPr="00407BAE">
        <w:rPr>
          <w:rFonts w:ascii="Verdana" w:hAnsi="Verdana" w:cs="Arial"/>
          <w:color w:val="000000" w:themeColor="text1"/>
          <w:sz w:val="20"/>
          <w:szCs w:val="20"/>
        </w:rPr>
        <w:t xml:space="preserve">la entidad territorial deberá exigirle al futuro contratista la afiliación al sistema de seguridad social en pensiones, por cuanto se trata de una afiliación que cobija no solo lo relativo a la pensión de vejez sino por invalidez o muerte por cuanto según lo dispuesto en el artículo 10 de la Ley 100 de 1993 dispone que el Sistema General de Pensiones tiene por objeto garantizar a la población, el amparo contra las contingencias derivadas de la vejez, la invalidez y la muerte, mediante el reconocimiento de las pensiones y prestaciones que se determinan en la presente Ley, así como propender por la ampliación progresiva de cobertura a los segmentos de población no cubiertos con un sistema de pensiones.  </w:t>
      </w:r>
    </w:p>
    <w:p w14:paraId="43BBF19F" w14:textId="77777777" w:rsidR="00407BAE" w:rsidRDefault="00407BAE" w:rsidP="009973D8">
      <w:pPr>
        <w:spacing w:after="0"/>
        <w:rPr>
          <w:rFonts w:ascii="Verdana" w:hAnsi="Verdana" w:cs="Arial"/>
          <w:color w:val="000000" w:themeColor="text1"/>
        </w:rPr>
      </w:pPr>
    </w:p>
    <w:p w14:paraId="249CBA68" w14:textId="77777777" w:rsidR="00407BAE" w:rsidRDefault="00407BAE" w:rsidP="009973D8">
      <w:pPr>
        <w:spacing w:after="0"/>
        <w:rPr>
          <w:rFonts w:ascii="Verdana" w:hAnsi="Verdana" w:cs="Arial"/>
          <w:color w:val="000000" w:themeColor="text1"/>
        </w:rPr>
      </w:pPr>
    </w:p>
    <w:p w14:paraId="313E06CC" w14:textId="1C312673" w:rsidR="007F5261" w:rsidRDefault="009973D8" w:rsidP="009973D8">
      <w:pPr>
        <w:spacing w:after="0"/>
      </w:pPr>
      <w:r w:rsidRPr="30821638">
        <w:rPr>
          <w:rFonts w:ascii="Verdana" w:eastAsia="Verdana" w:hAnsi="Verdana" w:cs="Verdana"/>
        </w:rPr>
        <w:t xml:space="preserve">Bogotá D.C., </w:t>
      </w:r>
      <w:r w:rsidR="007F5261">
        <w:rPr>
          <w:rFonts w:ascii="Verdana" w:eastAsia="Verdana" w:hAnsi="Verdana" w:cs="Verdana"/>
        </w:rPr>
        <w:t xml:space="preserve">07 </w:t>
      </w:r>
      <w:proofErr w:type="gramStart"/>
      <w:r w:rsidR="007F5261">
        <w:rPr>
          <w:rFonts w:ascii="Verdana" w:eastAsia="Verdana" w:hAnsi="Verdana" w:cs="Verdana"/>
        </w:rPr>
        <w:t>Mayo</w:t>
      </w:r>
      <w:proofErr w:type="gramEnd"/>
      <w:r w:rsidR="007F5261">
        <w:rPr>
          <w:rFonts w:ascii="Verdana" w:eastAsia="Verdana" w:hAnsi="Verdana" w:cs="Verdana"/>
        </w:rPr>
        <w:t xml:space="preserve"> 2026</w:t>
      </w:r>
      <w:r>
        <w:tab/>
      </w:r>
    </w:p>
    <w:p w14:paraId="3A13E7FA" w14:textId="33978259" w:rsidR="009973D8" w:rsidRPr="0024624F" w:rsidRDefault="009973D8" w:rsidP="007F5261">
      <w:pPr>
        <w:spacing w:after="0"/>
        <w:jc w:val="right"/>
        <w:rPr>
          <w:rFonts w:ascii="Verdana" w:eastAsia="Verdana" w:hAnsi="Verdana" w:cs="Verdana"/>
        </w:rPr>
      </w:pPr>
      <w:r>
        <w:br/>
      </w:r>
      <w:r>
        <w:tab/>
      </w:r>
      <w:r w:rsidR="007F5261" w:rsidRPr="007F5261">
        <w:drawing>
          <wp:inline distT="0" distB="0" distL="0" distR="0" wp14:anchorId="350AE04B" wp14:editId="4F6C9A0E">
            <wp:extent cx="1726082" cy="403816"/>
            <wp:effectExtent l="0" t="0" r="0" b="0"/>
            <wp:docPr id="3837526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52673" name=""/>
                    <pic:cNvPicPr/>
                  </pic:nvPicPr>
                  <pic:blipFill>
                    <a:blip r:embed="rId10"/>
                    <a:stretch>
                      <a:fillRect/>
                    </a:stretch>
                  </pic:blipFill>
                  <pic:spPr>
                    <a:xfrm>
                      <a:off x="0" y="0"/>
                      <a:ext cx="1776487" cy="415608"/>
                    </a:xfrm>
                    <a:prstGeom prst="rect">
                      <a:avLst/>
                    </a:prstGeom>
                  </pic:spPr>
                </pic:pic>
              </a:graphicData>
            </a:graphic>
          </wp:inline>
        </w:drawing>
      </w:r>
    </w:p>
    <w:p w14:paraId="28B73A9D" w14:textId="77777777" w:rsidR="009973D8" w:rsidRPr="00852B35" w:rsidRDefault="009973D8" w:rsidP="009973D8">
      <w:pPr>
        <w:spacing w:after="0" w:line="240" w:lineRule="auto"/>
        <w:jc w:val="both"/>
        <w:rPr>
          <w:rFonts w:ascii="Verdana" w:eastAsia="Calibri" w:hAnsi="Verdana" w:cs="Arial"/>
          <w:lang w:eastAsia="es-ES"/>
        </w:rPr>
      </w:pPr>
      <w:bookmarkStart w:id="1" w:name="_Hlk214366482"/>
      <w:r w:rsidRPr="00852B35">
        <w:rPr>
          <w:rFonts w:ascii="Verdana" w:eastAsia="Calibri" w:hAnsi="Verdana" w:cs="Arial"/>
          <w:lang w:eastAsia="es-ES"/>
        </w:rPr>
        <w:t>Señor</w:t>
      </w:r>
      <w:r>
        <w:rPr>
          <w:rFonts w:ascii="Verdana" w:eastAsia="Calibri" w:hAnsi="Verdana" w:cs="Arial"/>
          <w:lang w:eastAsia="es-ES"/>
        </w:rPr>
        <w:t>es</w:t>
      </w:r>
    </w:p>
    <w:p w14:paraId="185055E1" w14:textId="77777777" w:rsidR="009973D8" w:rsidRDefault="009973D8" w:rsidP="009973D8">
      <w:pPr>
        <w:spacing w:after="0" w:line="240" w:lineRule="auto"/>
        <w:jc w:val="both"/>
        <w:rPr>
          <w:rFonts w:ascii="Verdana" w:eastAsia="Calibri" w:hAnsi="Verdana" w:cs="Arial"/>
          <w:b/>
          <w:bCs/>
          <w:lang w:eastAsia="es-ES"/>
        </w:rPr>
      </w:pPr>
      <w:r w:rsidRPr="0056758C">
        <w:rPr>
          <w:rFonts w:ascii="Verdana" w:eastAsia="Calibri" w:hAnsi="Verdana" w:cs="Arial"/>
          <w:b/>
          <w:bCs/>
          <w:lang w:eastAsia="es-ES"/>
        </w:rPr>
        <w:t xml:space="preserve">Alcaldía </w:t>
      </w:r>
      <w:r>
        <w:rPr>
          <w:rFonts w:ascii="Verdana" w:eastAsia="Calibri" w:hAnsi="Verdana" w:cs="Arial"/>
          <w:b/>
          <w:bCs/>
          <w:lang w:eastAsia="es-ES"/>
        </w:rPr>
        <w:t>d</w:t>
      </w:r>
      <w:r w:rsidRPr="0056758C">
        <w:rPr>
          <w:rFonts w:ascii="Verdana" w:eastAsia="Calibri" w:hAnsi="Verdana" w:cs="Arial"/>
          <w:b/>
          <w:bCs/>
          <w:lang w:eastAsia="es-ES"/>
        </w:rPr>
        <w:t xml:space="preserve">e Puerto </w:t>
      </w:r>
      <w:proofErr w:type="spellStart"/>
      <w:r w:rsidRPr="0056758C">
        <w:rPr>
          <w:rFonts w:ascii="Verdana" w:eastAsia="Calibri" w:hAnsi="Verdana" w:cs="Arial"/>
          <w:b/>
          <w:bCs/>
          <w:lang w:eastAsia="es-ES"/>
        </w:rPr>
        <w:t>Legu</w:t>
      </w:r>
      <w:r>
        <w:rPr>
          <w:rFonts w:ascii="Verdana" w:eastAsia="Calibri" w:hAnsi="Verdana" w:cs="Arial"/>
          <w:b/>
          <w:bCs/>
          <w:lang w:eastAsia="es-ES"/>
        </w:rPr>
        <w:t>í</w:t>
      </w:r>
      <w:r w:rsidRPr="0056758C">
        <w:rPr>
          <w:rFonts w:ascii="Verdana" w:eastAsia="Calibri" w:hAnsi="Verdana" w:cs="Arial"/>
          <w:b/>
          <w:bCs/>
          <w:lang w:eastAsia="es-ES"/>
        </w:rPr>
        <w:t>zamo</w:t>
      </w:r>
      <w:proofErr w:type="spellEnd"/>
    </w:p>
    <w:p w14:paraId="5CFB5F18" w14:textId="77777777" w:rsidR="009973D8" w:rsidRPr="0056758C" w:rsidRDefault="009973D8" w:rsidP="009973D8">
      <w:pPr>
        <w:spacing w:after="0" w:line="240" w:lineRule="auto"/>
        <w:jc w:val="both"/>
        <w:rPr>
          <w:rFonts w:ascii="Verdana" w:eastAsia="Calibri" w:hAnsi="Verdana" w:cs="Arial"/>
          <w:lang w:eastAsia="es-ES"/>
        </w:rPr>
      </w:pPr>
      <w:r w:rsidRPr="0056758C">
        <w:rPr>
          <w:rFonts w:ascii="Verdana" w:eastAsia="Calibri" w:hAnsi="Verdana" w:cs="Arial"/>
          <w:lang w:eastAsia="es-ES"/>
        </w:rPr>
        <w:t xml:space="preserve">Señor </w:t>
      </w:r>
    </w:p>
    <w:p w14:paraId="327C0B10" w14:textId="77777777" w:rsidR="009973D8" w:rsidRDefault="009973D8" w:rsidP="009973D8">
      <w:pPr>
        <w:spacing w:after="0" w:line="240" w:lineRule="auto"/>
        <w:jc w:val="both"/>
        <w:rPr>
          <w:rFonts w:ascii="Verdana" w:eastAsia="Calibri" w:hAnsi="Verdana" w:cs="Arial"/>
          <w:b/>
          <w:bCs/>
          <w:lang w:eastAsia="es-ES"/>
        </w:rPr>
      </w:pPr>
      <w:r w:rsidRPr="0056758C">
        <w:rPr>
          <w:rFonts w:ascii="Verdana" w:eastAsia="Calibri" w:hAnsi="Verdana" w:cs="Arial"/>
          <w:b/>
          <w:bCs/>
          <w:lang w:eastAsia="es-ES"/>
        </w:rPr>
        <w:t>Andrés Felipe González Herrera</w:t>
      </w:r>
    </w:p>
    <w:p w14:paraId="5BC13B81" w14:textId="77777777" w:rsidR="009973D8" w:rsidRPr="0056758C" w:rsidRDefault="009973D8" w:rsidP="009973D8">
      <w:pPr>
        <w:spacing w:after="0" w:line="240" w:lineRule="auto"/>
        <w:jc w:val="both"/>
        <w:rPr>
          <w:rFonts w:ascii="Verdana" w:eastAsia="Calibri" w:hAnsi="Verdana" w:cs="Arial"/>
          <w:lang w:eastAsia="es-ES"/>
        </w:rPr>
      </w:pPr>
      <w:r>
        <w:rPr>
          <w:rFonts w:ascii="Verdana" w:eastAsia="Calibri" w:hAnsi="Verdana" w:cs="Arial"/>
          <w:lang w:eastAsia="es-ES"/>
        </w:rPr>
        <w:t xml:space="preserve">Asesor de contratación </w:t>
      </w:r>
    </w:p>
    <w:p w14:paraId="1F14A3C6" w14:textId="77777777" w:rsidR="009973D8" w:rsidRDefault="009973D8" w:rsidP="009973D8">
      <w:pPr>
        <w:spacing w:after="0" w:line="240" w:lineRule="auto"/>
        <w:jc w:val="both"/>
        <w:rPr>
          <w:rFonts w:ascii="Verdana" w:eastAsia="Calibri" w:hAnsi="Verdana" w:cs="Arial"/>
          <w:b/>
          <w:bCs/>
          <w:lang w:eastAsia="es-ES"/>
        </w:rPr>
      </w:pPr>
      <w:hyperlink r:id="rId11" w:history="1">
        <w:r w:rsidRPr="003E605D">
          <w:rPr>
            <w:rStyle w:val="Hipervnculo"/>
            <w:rFonts w:ascii="Verdana" w:eastAsia="Calibri" w:hAnsi="Verdana" w:cs="Arial"/>
            <w:b/>
            <w:bCs/>
            <w:lang w:eastAsia="es-ES"/>
          </w:rPr>
          <w:t>contratacion@puertoleguizamo-putumayo.gov.co</w:t>
        </w:r>
      </w:hyperlink>
    </w:p>
    <w:p w14:paraId="75DBA996" w14:textId="77777777" w:rsidR="009973D8" w:rsidRPr="007C073E" w:rsidRDefault="009973D8" w:rsidP="009973D8">
      <w:pPr>
        <w:spacing w:after="0" w:line="240" w:lineRule="auto"/>
        <w:jc w:val="both"/>
        <w:rPr>
          <w:rFonts w:ascii="Verdana" w:hAnsi="Verdana"/>
        </w:rPr>
      </w:pPr>
      <w:r w:rsidRPr="007C073E">
        <w:rPr>
          <w:rFonts w:ascii="Verdana" w:hAnsi="Verdana"/>
        </w:rPr>
        <w:t xml:space="preserve">Ciudad  </w:t>
      </w:r>
    </w:p>
    <w:p w14:paraId="0705C459" w14:textId="77777777" w:rsidR="009973D8" w:rsidRPr="007C073E" w:rsidRDefault="009973D8" w:rsidP="009973D8">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973D8" w:rsidRPr="007C073E" w14:paraId="4BA632BE" w14:textId="77777777" w:rsidTr="002908F6">
        <w:trPr>
          <w:trHeight w:val="162"/>
        </w:trPr>
        <w:tc>
          <w:tcPr>
            <w:tcW w:w="3119" w:type="dxa"/>
          </w:tcPr>
          <w:p w14:paraId="034A50B2" w14:textId="77777777" w:rsidR="009973D8" w:rsidRPr="007C073E" w:rsidRDefault="009973D8" w:rsidP="002908F6">
            <w:pPr>
              <w:jc w:val="both"/>
              <w:rPr>
                <w:rFonts w:ascii="Verdana" w:eastAsia="Calibri" w:hAnsi="Verdana" w:cs="Arial"/>
                <w:b/>
                <w:bCs/>
                <w:color w:val="7030A0"/>
                <w:lang w:eastAsia="es-ES_tradnl"/>
              </w:rPr>
            </w:pPr>
          </w:p>
        </w:tc>
        <w:tc>
          <w:tcPr>
            <w:tcW w:w="5670" w:type="dxa"/>
          </w:tcPr>
          <w:p w14:paraId="55065F48" w14:textId="77777777" w:rsidR="009973D8" w:rsidRPr="007C073E" w:rsidRDefault="009973D8" w:rsidP="002908F6">
            <w:pPr>
              <w:jc w:val="both"/>
              <w:rPr>
                <w:rFonts w:ascii="Verdana" w:eastAsia="Calibri" w:hAnsi="Verdana" w:cs="Arial"/>
                <w:b/>
                <w:bCs/>
                <w:lang w:eastAsia="es-ES"/>
              </w:rPr>
            </w:pPr>
            <w:r w:rsidRPr="007C073E">
              <w:rPr>
                <w:rFonts w:ascii="Verdana" w:eastAsia="Calibri" w:hAnsi="Verdana" w:cs="Arial"/>
                <w:b/>
                <w:bCs/>
                <w:lang w:eastAsia="es-ES"/>
              </w:rPr>
              <w:t>Concepto C-4</w:t>
            </w:r>
            <w:r>
              <w:rPr>
                <w:rFonts w:ascii="Verdana" w:eastAsia="Calibri" w:hAnsi="Verdana" w:cs="Arial"/>
                <w:b/>
                <w:bCs/>
                <w:lang w:eastAsia="es-ES"/>
              </w:rPr>
              <w:t xml:space="preserve">90 de 2026 </w:t>
            </w:r>
          </w:p>
          <w:p w14:paraId="708223D9" w14:textId="77777777" w:rsidR="009973D8" w:rsidRPr="007C073E" w:rsidRDefault="009973D8" w:rsidP="002908F6">
            <w:pPr>
              <w:jc w:val="both"/>
              <w:rPr>
                <w:rFonts w:ascii="Verdana" w:eastAsia="Calibri" w:hAnsi="Verdana" w:cs="Arial"/>
                <w:b/>
                <w:bCs/>
                <w:color w:val="7030A0"/>
                <w:lang w:eastAsia="es-ES"/>
              </w:rPr>
            </w:pPr>
          </w:p>
        </w:tc>
      </w:tr>
      <w:tr w:rsidR="009973D8" w:rsidRPr="007C073E" w14:paraId="6C0E0085" w14:textId="77777777" w:rsidTr="002908F6">
        <w:trPr>
          <w:trHeight w:val="884"/>
        </w:trPr>
        <w:tc>
          <w:tcPr>
            <w:tcW w:w="3119" w:type="dxa"/>
          </w:tcPr>
          <w:p w14:paraId="41F5870E" w14:textId="77777777" w:rsidR="009973D8" w:rsidRPr="007C073E" w:rsidRDefault="009973D8" w:rsidP="002908F6">
            <w:pPr>
              <w:jc w:val="both"/>
              <w:rPr>
                <w:rFonts w:ascii="Verdana" w:eastAsia="Calibri" w:hAnsi="Verdana" w:cs="Arial"/>
                <w:color w:val="000000"/>
                <w:lang w:eastAsia="es-ES_tradnl"/>
              </w:rPr>
            </w:pPr>
            <w:r w:rsidRPr="007C073E">
              <w:rPr>
                <w:rFonts w:ascii="Verdana" w:eastAsia="Calibri" w:hAnsi="Verdana" w:cs="Arial"/>
                <w:b/>
                <w:color w:val="000000"/>
                <w:lang w:eastAsia="es-ES_tradnl"/>
              </w:rPr>
              <w:t>Temas:</w:t>
            </w:r>
            <w:r w:rsidRPr="007C073E">
              <w:rPr>
                <w:rFonts w:ascii="Verdana" w:eastAsia="Calibri" w:hAnsi="Verdana" w:cs="Arial"/>
                <w:color w:val="000000"/>
                <w:lang w:eastAsia="es-ES_tradnl"/>
              </w:rPr>
              <w:t xml:space="preserve">                   </w:t>
            </w:r>
          </w:p>
        </w:tc>
        <w:tc>
          <w:tcPr>
            <w:tcW w:w="5670" w:type="dxa"/>
          </w:tcPr>
          <w:p w14:paraId="034AEA5F" w14:textId="77777777" w:rsidR="009973D8" w:rsidRPr="007C073E" w:rsidRDefault="009973D8" w:rsidP="002908F6">
            <w:pPr>
              <w:spacing w:after="120" w:line="276" w:lineRule="auto"/>
              <w:jc w:val="both"/>
              <w:rPr>
                <w:rFonts w:ascii="Verdana" w:hAnsi="Verdana" w:cs="Arial"/>
                <w:color w:val="000000" w:themeColor="text1"/>
              </w:rPr>
            </w:pPr>
            <w:r>
              <w:rPr>
                <w:rFonts w:ascii="Verdana" w:hAnsi="Verdana" w:cs="Arial"/>
                <w:color w:val="000000" w:themeColor="text1"/>
              </w:rPr>
              <w:t xml:space="preserve">SEGURIDAD SOCIAL – Ley 789 de 2002 artículo 50 / SEGURIDAD SOCIAL – Ley 1150 de 2007 artículo 23 – Ley 80 de 1993 artículo 41 – Requisito de ejecución / SEGURIDAD SOCIAL – Obligación a afiliación a sistema general de pensiones – Artículo 3 / SEGURIDAD SOCIAL – Cotización al sistema general de pensiones – Artículo 4 / LEY 100 DE 1993 - Artículo 61 literal b) – Personas excluidas de régimen de ahorro individual con solidaridad – Exigencia de afiliación a fondo de pensiones   </w:t>
            </w:r>
          </w:p>
        </w:tc>
      </w:tr>
      <w:tr w:rsidR="009973D8" w:rsidRPr="007C073E" w14:paraId="2A51BD1F" w14:textId="77777777" w:rsidTr="002908F6">
        <w:tc>
          <w:tcPr>
            <w:tcW w:w="3119" w:type="dxa"/>
          </w:tcPr>
          <w:p w14:paraId="7036EF7E" w14:textId="77777777" w:rsidR="009973D8" w:rsidRPr="007C073E" w:rsidRDefault="009973D8" w:rsidP="002908F6">
            <w:pPr>
              <w:jc w:val="both"/>
              <w:rPr>
                <w:rFonts w:ascii="Verdana" w:eastAsia="Calibri" w:hAnsi="Verdana" w:cs="Arial"/>
                <w:b/>
                <w:lang w:eastAsia="es-ES_tradnl"/>
              </w:rPr>
            </w:pPr>
            <w:r w:rsidRPr="007C073E">
              <w:rPr>
                <w:rFonts w:ascii="Verdana" w:eastAsia="Calibri" w:hAnsi="Verdana" w:cs="Arial"/>
                <w:b/>
                <w:lang w:eastAsia="es-ES_tradnl"/>
              </w:rPr>
              <w:t>Radicación:</w:t>
            </w:r>
            <w:r w:rsidRPr="007C073E">
              <w:rPr>
                <w:rFonts w:ascii="Verdana" w:eastAsia="Calibri" w:hAnsi="Verdana" w:cs="Arial"/>
                <w:lang w:eastAsia="es-ES_tradnl"/>
              </w:rPr>
              <w:t xml:space="preserve">               </w:t>
            </w:r>
          </w:p>
        </w:tc>
        <w:tc>
          <w:tcPr>
            <w:tcW w:w="5670" w:type="dxa"/>
          </w:tcPr>
          <w:p w14:paraId="068EAB64" w14:textId="77777777" w:rsidR="009973D8" w:rsidRPr="007C073E" w:rsidRDefault="009973D8" w:rsidP="002908F6">
            <w:pPr>
              <w:jc w:val="both"/>
              <w:rPr>
                <w:rFonts w:ascii="Verdana" w:eastAsia="Calibri" w:hAnsi="Verdana" w:cs="Arial"/>
                <w:lang w:eastAsia="es-ES_tradnl"/>
              </w:rPr>
            </w:pPr>
            <w:r w:rsidRPr="007C073E">
              <w:rPr>
                <w:rFonts w:ascii="Verdana" w:eastAsia="Calibri" w:hAnsi="Verdana" w:cs="Arial"/>
                <w:lang w:eastAsia="es-ES_tradnl"/>
              </w:rPr>
              <w:t xml:space="preserve">Respuesta a consulta con radicado </w:t>
            </w:r>
            <w:r w:rsidRPr="00780652">
              <w:rPr>
                <w:rFonts w:ascii="Verdana" w:eastAsia="Calibri" w:hAnsi="Verdana" w:cs="Arial"/>
                <w:lang w:eastAsia="es-ES_tradnl"/>
              </w:rPr>
              <w:t>1</w:t>
            </w:r>
            <w:r w:rsidRPr="0056758C">
              <w:rPr>
                <w:rFonts w:ascii="Verdana" w:eastAsia="Calibri" w:hAnsi="Verdana" w:cs="Arial"/>
                <w:lang w:eastAsia="es-ES_tradnl"/>
              </w:rPr>
              <w:t xml:space="preserve"> 1_2026_03_25_004144</w:t>
            </w:r>
          </w:p>
        </w:tc>
      </w:tr>
    </w:tbl>
    <w:p w14:paraId="1CD12508" w14:textId="77777777" w:rsidR="009973D8" w:rsidRPr="007C073E" w:rsidRDefault="009973D8" w:rsidP="009973D8">
      <w:pPr>
        <w:spacing w:after="0" w:line="240" w:lineRule="auto"/>
        <w:jc w:val="both"/>
        <w:rPr>
          <w:rFonts w:ascii="Verdana" w:eastAsia="Calibri" w:hAnsi="Verdana" w:cs="Arial"/>
          <w:lang w:eastAsia="es-ES_tradnl"/>
        </w:rPr>
      </w:pPr>
    </w:p>
    <w:p w14:paraId="1E86646C" w14:textId="77777777" w:rsidR="009973D8" w:rsidRPr="005644FE" w:rsidRDefault="009973D8" w:rsidP="009973D8">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González: </w:t>
      </w:r>
    </w:p>
    <w:p w14:paraId="24C745C6" w14:textId="77777777" w:rsidR="009973D8" w:rsidRPr="00E02524" w:rsidRDefault="009973D8" w:rsidP="009973D8">
      <w:pPr>
        <w:spacing w:after="0" w:line="276" w:lineRule="auto"/>
        <w:jc w:val="both"/>
        <w:rPr>
          <w:rFonts w:ascii="Verdana" w:hAnsi="Verdana"/>
          <w:lang w:val="es-MX"/>
        </w:rPr>
      </w:pPr>
    </w:p>
    <w:p w14:paraId="0BCC7BCC" w14:textId="77777777" w:rsidR="009973D8" w:rsidRPr="00370B15" w:rsidRDefault="009973D8" w:rsidP="009973D8">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370B15">
        <w:rPr>
          <w:rFonts w:ascii="Verdana" w:hAnsi="Verdana"/>
        </w:rPr>
        <w:t xml:space="preserve">por los artículos 3, numeral 5º, y 11, numeral 8º, del Decreto Ley 4170 de 2011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370B15">
        <w:rPr>
          <w:rFonts w:ascii="Verdana" w:hAnsi="Verdana"/>
        </w:rPr>
        <w:t>N°</w:t>
      </w:r>
      <w:proofErr w:type="spellEnd"/>
      <w:r w:rsidRPr="00370B15">
        <w:rPr>
          <w:rFonts w:ascii="Verdana" w:hAnsi="Verdana"/>
        </w:rPr>
        <w:t xml:space="preserve"> 469 del 2025 </w:t>
      </w:r>
      <w:r w:rsidRPr="00E02524">
        <w:rPr>
          <w:rFonts w:ascii="Verdana" w:hAnsi="Verdana"/>
        </w:rPr>
        <w:t xml:space="preserve">expedida por esta Agencia, </w:t>
      </w:r>
      <w:r w:rsidRPr="00370B15">
        <w:rPr>
          <w:rFonts w:ascii="Verdana" w:hAnsi="Verdana"/>
        </w:rPr>
        <w:t>responde su solicitud de consulta</w:t>
      </w:r>
      <w:r>
        <w:rPr>
          <w:rFonts w:ascii="Verdana" w:hAnsi="Verdana"/>
        </w:rPr>
        <w:t xml:space="preserve"> de fecha</w:t>
      </w:r>
      <w:r w:rsidRPr="00370B15">
        <w:rPr>
          <w:rFonts w:ascii="Verdana" w:hAnsi="Verdana"/>
        </w:rPr>
        <w:t xml:space="preserve"> 2</w:t>
      </w:r>
      <w:r>
        <w:rPr>
          <w:rFonts w:ascii="Verdana" w:hAnsi="Verdana"/>
        </w:rPr>
        <w:t>5</w:t>
      </w:r>
      <w:r w:rsidRPr="00370B15">
        <w:rPr>
          <w:rFonts w:ascii="Verdana" w:hAnsi="Verdana"/>
        </w:rPr>
        <w:t xml:space="preserve"> de marzo de 2026, la cual manifiesta lo siguiente:</w:t>
      </w:r>
    </w:p>
    <w:p w14:paraId="3EB603CC" w14:textId="77777777" w:rsidR="009973D8" w:rsidRDefault="009973D8" w:rsidP="009973D8">
      <w:pPr>
        <w:spacing w:after="0" w:line="276" w:lineRule="auto"/>
        <w:jc w:val="both"/>
        <w:rPr>
          <w:rFonts w:ascii="Verdana" w:hAnsi="Verdana"/>
        </w:rPr>
      </w:pPr>
      <w:r w:rsidRPr="00E02524">
        <w:rPr>
          <w:rFonts w:ascii="Verdana" w:hAnsi="Verdana"/>
        </w:rPr>
        <w:t xml:space="preserve">PETICIÓN REALIZADA </w:t>
      </w:r>
    </w:p>
    <w:p w14:paraId="67BC75E9" w14:textId="77777777" w:rsidR="009973D8" w:rsidRPr="008E5B36" w:rsidRDefault="009973D8" w:rsidP="009973D8">
      <w:pPr>
        <w:spacing w:after="0" w:line="240" w:lineRule="auto"/>
        <w:jc w:val="both"/>
        <w:rPr>
          <w:rFonts w:ascii="Verdana" w:hAnsi="Verdana"/>
        </w:rPr>
      </w:pPr>
    </w:p>
    <w:p w14:paraId="44044C74" w14:textId="77777777" w:rsidR="009973D8" w:rsidRDefault="009973D8" w:rsidP="009973D8">
      <w:pPr>
        <w:spacing w:after="0" w:line="240" w:lineRule="auto"/>
        <w:ind w:left="709" w:right="618"/>
        <w:jc w:val="both"/>
        <w:rPr>
          <w:rFonts w:ascii="Verdana" w:hAnsi="Verdana"/>
          <w:sz w:val="20"/>
          <w:szCs w:val="20"/>
        </w:rPr>
      </w:pPr>
      <w:r>
        <w:rPr>
          <w:rFonts w:ascii="Verdana" w:hAnsi="Verdana"/>
          <w:sz w:val="20"/>
          <w:szCs w:val="20"/>
        </w:rPr>
        <w:t xml:space="preserve">“(…) </w:t>
      </w:r>
      <w:r w:rsidRPr="0056758C">
        <w:rPr>
          <w:rFonts w:ascii="Verdana" w:hAnsi="Verdana"/>
          <w:sz w:val="20"/>
          <w:szCs w:val="20"/>
        </w:rPr>
        <w:t>De manera atenta me permito solicitar a esa entidad la emisión de un </w:t>
      </w:r>
      <w:r w:rsidRPr="0056758C">
        <w:rPr>
          <w:rFonts w:ascii="Verdana" w:hAnsi="Verdana"/>
          <w:b/>
          <w:bCs/>
          <w:sz w:val="20"/>
          <w:szCs w:val="20"/>
        </w:rPr>
        <w:t>concepto técnico–jurídico</w:t>
      </w:r>
      <w:r w:rsidRPr="0056758C">
        <w:rPr>
          <w:rFonts w:ascii="Verdana" w:hAnsi="Verdana"/>
          <w:sz w:val="20"/>
          <w:szCs w:val="20"/>
        </w:rPr>
        <w:t> respecto a la aplicación de la normativa relacionada con el </w:t>
      </w:r>
      <w:r w:rsidRPr="0056758C">
        <w:rPr>
          <w:rFonts w:ascii="Verdana" w:hAnsi="Verdana"/>
          <w:b/>
          <w:bCs/>
          <w:sz w:val="20"/>
          <w:szCs w:val="20"/>
        </w:rPr>
        <w:t>Sistema General de Seguridad Social en Pensiones</w:t>
      </w:r>
      <w:r w:rsidRPr="0056758C">
        <w:rPr>
          <w:rFonts w:ascii="Verdana" w:hAnsi="Verdana"/>
          <w:sz w:val="20"/>
          <w:szCs w:val="20"/>
        </w:rPr>
        <w:t>, específicamente en relación con la situación de personas que prestan servicios mediante </w:t>
      </w:r>
      <w:r w:rsidRPr="0056758C">
        <w:rPr>
          <w:rFonts w:ascii="Verdana" w:hAnsi="Verdana"/>
          <w:b/>
          <w:bCs/>
          <w:sz w:val="20"/>
          <w:szCs w:val="20"/>
        </w:rPr>
        <w:t>contratos de prestación de servicios con entidades públicas</w:t>
      </w:r>
      <w:r w:rsidRPr="0056758C">
        <w:rPr>
          <w:rFonts w:ascii="Verdana" w:hAnsi="Verdana"/>
          <w:sz w:val="20"/>
          <w:szCs w:val="20"/>
        </w:rPr>
        <w:t> y</w:t>
      </w:r>
      <w:r>
        <w:rPr>
          <w:rFonts w:ascii="Verdana" w:hAnsi="Verdana"/>
          <w:sz w:val="20"/>
          <w:szCs w:val="20"/>
        </w:rPr>
        <w:t xml:space="preserve"> </w:t>
      </w:r>
      <w:r w:rsidRPr="0056758C">
        <w:rPr>
          <w:rFonts w:ascii="Verdana" w:hAnsi="Verdana"/>
          <w:sz w:val="20"/>
          <w:szCs w:val="20"/>
        </w:rPr>
        <w:t>que </w:t>
      </w:r>
      <w:r w:rsidRPr="0056758C">
        <w:rPr>
          <w:rFonts w:ascii="Verdana" w:hAnsi="Verdana"/>
          <w:b/>
          <w:bCs/>
          <w:sz w:val="20"/>
          <w:szCs w:val="20"/>
        </w:rPr>
        <w:t>han superado la edad legal para pensionarse sin haber realizado cotizaciones al sistema pensional</w:t>
      </w:r>
      <w:r w:rsidRPr="0056758C">
        <w:rPr>
          <w:rFonts w:ascii="Verdana" w:hAnsi="Verdana"/>
          <w:sz w:val="20"/>
          <w:szCs w:val="20"/>
        </w:rPr>
        <w:t>.</w:t>
      </w:r>
    </w:p>
    <w:p w14:paraId="73F5CBB0" w14:textId="77777777" w:rsidR="009973D8" w:rsidRPr="0056758C" w:rsidRDefault="009973D8" w:rsidP="009973D8">
      <w:pPr>
        <w:spacing w:after="0" w:line="240" w:lineRule="auto"/>
        <w:ind w:left="709" w:right="618"/>
        <w:jc w:val="both"/>
        <w:rPr>
          <w:rFonts w:ascii="Verdana" w:hAnsi="Verdana"/>
          <w:sz w:val="20"/>
          <w:szCs w:val="20"/>
        </w:rPr>
      </w:pPr>
    </w:p>
    <w:p w14:paraId="37941F11" w14:textId="77777777" w:rsidR="009973D8" w:rsidRDefault="009973D8" w:rsidP="009973D8">
      <w:pPr>
        <w:spacing w:after="0" w:line="240" w:lineRule="auto"/>
        <w:ind w:left="709" w:right="618"/>
        <w:jc w:val="both"/>
        <w:rPr>
          <w:rFonts w:ascii="Verdana" w:hAnsi="Verdana"/>
          <w:sz w:val="20"/>
          <w:szCs w:val="20"/>
        </w:rPr>
      </w:pPr>
      <w:r w:rsidRPr="0056758C">
        <w:rPr>
          <w:rFonts w:ascii="Verdana" w:hAnsi="Verdana"/>
          <w:sz w:val="20"/>
          <w:szCs w:val="20"/>
        </w:rPr>
        <w:t>En particular, se solicita orientación sobre los siguientes aspectos:</w:t>
      </w:r>
    </w:p>
    <w:p w14:paraId="48789A07" w14:textId="77777777" w:rsidR="009973D8" w:rsidRDefault="009973D8" w:rsidP="009973D8">
      <w:pPr>
        <w:spacing w:after="0" w:line="240" w:lineRule="auto"/>
        <w:ind w:left="709" w:right="618"/>
        <w:jc w:val="both"/>
        <w:rPr>
          <w:rFonts w:ascii="Verdana" w:hAnsi="Verdana"/>
          <w:sz w:val="20"/>
          <w:szCs w:val="20"/>
        </w:rPr>
      </w:pPr>
    </w:p>
    <w:p w14:paraId="55B9E9FD" w14:textId="77777777" w:rsidR="009973D8" w:rsidRPr="005F1BAD" w:rsidRDefault="009973D8" w:rsidP="009973D8">
      <w:pPr>
        <w:pStyle w:val="Prrafodelista"/>
        <w:numPr>
          <w:ilvl w:val="0"/>
          <w:numId w:val="18"/>
        </w:numPr>
        <w:spacing w:after="0" w:line="240" w:lineRule="auto"/>
        <w:ind w:right="618"/>
        <w:jc w:val="both"/>
        <w:rPr>
          <w:rFonts w:ascii="Verdana" w:hAnsi="Verdana"/>
          <w:sz w:val="20"/>
          <w:szCs w:val="20"/>
        </w:rPr>
      </w:pPr>
      <w:r w:rsidRPr="005F1BAD">
        <w:rPr>
          <w:rFonts w:ascii="Verdana" w:hAnsi="Verdana"/>
          <w:b/>
          <w:bCs/>
          <w:sz w:val="20"/>
          <w:szCs w:val="20"/>
        </w:rPr>
        <w:t>Si la entidad contratante está obligada a exigir la afiliación y cotización al Sistema General de Pensiones</w:t>
      </w:r>
      <w:r w:rsidRPr="005F1BAD">
        <w:rPr>
          <w:rFonts w:ascii="Verdana" w:hAnsi="Verdana"/>
          <w:sz w:val="20"/>
          <w:szCs w:val="20"/>
        </w:rPr>
        <w:t> a los contratistas independientes que han superado la edad legal para pensionarse y que </w:t>
      </w:r>
      <w:r w:rsidRPr="005F1BAD">
        <w:rPr>
          <w:rFonts w:ascii="Verdana" w:hAnsi="Verdana"/>
          <w:b/>
          <w:bCs/>
          <w:sz w:val="20"/>
          <w:szCs w:val="20"/>
        </w:rPr>
        <w:t>nunca han realizado aportes al sistema pensional</w:t>
      </w:r>
      <w:r w:rsidRPr="005F1BAD">
        <w:rPr>
          <w:rFonts w:ascii="Verdana" w:hAnsi="Verdana"/>
          <w:sz w:val="20"/>
          <w:szCs w:val="20"/>
        </w:rPr>
        <w:t>.</w:t>
      </w:r>
    </w:p>
    <w:p w14:paraId="58527AE1" w14:textId="77777777" w:rsidR="009973D8" w:rsidRPr="0056758C" w:rsidRDefault="009973D8" w:rsidP="009973D8">
      <w:pPr>
        <w:spacing w:after="0" w:line="240" w:lineRule="auto"/>
        <w:ind w:left="720" w:right="618"/>
        <w:jc w:val="both"/>
        <w:rPr>
          <w:rFonts w:ascii="Verdana" w:hAnsi="Verdana"/>
          <w:sz w:val="20"/>
          <w:szCs w:val="20"/>
        </w:rPr>
      </w:pPr>
    </w:p>
    <w:p w14:paraId="6F41001F" w14:textId="77777777" w:rsidR="009973D8" w:rsidRDefault="009973D8" w:rsidP="009973D8">
      <w:pPr>
        <w:numPr>
          <w:ilvl w:val="0"/>
          <w:numId w:val="18"/>
        </w:numPr>
        <w:spacing w:after="0" w:line="240" w:lineRule="auto"/>
        <w:ind w:right="618"/>
        <w:jc w:val="both"/>
        <w:rPr>
          <w:rFonts w:ascii="Verdana" w:hAnsi="Verdana"/>
          <w:sz w:val="20"/>
          <w:szCs w:val="20"/>
        </w:rPr>
      </w:pPr>
      <w:r w:rsidRPr="0056758C">
        <w:rPr>
          <w:rFonts w:ascii="Verdana" w:hAnsi="Verdana"/>
          <w:b/>
          <w:bCs/>
          <w:sz w:val="20"/>
          <w:szCs w:val="20"/>
        </w:rPr>
        <w:t>Si los fondos o administradoras del sistema de pensiones están obligados a afiliar a dichas personas</w:t>
      </w:r>
      <w:r w:rsidRPr="0056758C">
        <w:rPr>
          <w:rFonts w:ascii="Verdana" w:hAnsi="Verdana"/>
          <w:sz w:val="20"/>
          <w:szCs w:val="20"/>
        </w:rPr>
        <w:t>, aun cuando estas ya hayan superado la edad mínima de pensión establecida en la legislación colombiana.</w:t>
      </w:r>
    </w:p>
    <w:p w14:paraId="2BAEA52A" w14:textId="77777777" w:rsidR="009973D8" w:rsidRPr="0056758C" w:rsidRDefault="009973D8" w:rsidP="009973D8">
      <w:pPr>
        <w:spacing w:after="0" w:line="240" w:lineRule="auto"/>
        <w:ind w:right="618"/>
        <w:jc w:val="both"/>
        <w:rPr>
          <w:rFonts w:ascii="Verdana" w:hAnsi="Verdana"/>
          <w:sz w:val="20"/>
          <w:szCs w:val="20"/>
        </w:rPr>
      </w:pPr>
    </w:p>
    <w:p w14:paraId="6603187E" w14:textId="77777777" w:rsidR="009973D8" w:rsidRPr="0056758C" w:rsidRDefault="009973D8" w:rsidP="009973D8">
      <w:pPr>
        <w:numPr>
          <w:ilvl w:val="0"/>
          <w:numId w:val="18"/>
        </w:numPr>
        <w:spacing w:after="0" w:line="240" w:lineRule="auto"/>
        <w:ind w:right="618"/>
        <w:jc w:val="both"/>
        <w:rPr>
          <w:rFonts w:ascii="Verdana" w:hAnsi="Verdana"/>
          <w:sz w:val="20"/>
          <w:szCs w:val="20"/>
        </w:rPr>
      </w:pPr>
      <w:r w:rsidRPr="0056758C">
        <w:rPr>
          <w:rFonts w:ascii="Verdana" w:hAnsi="Verdana"/>
          <w:b/>
          <w:bCs/>
          <w:sz w:val="20"/>
          <w:szCs w:val="20"/>
        </w:rPr>
        <w:t>Si, por el contrario, estas personas se encuentran excluidas de la obligación de cotizar al sistema de pensiones</w:t>
      </w:r>
      <w:r w:rsidRPr="0056758C">
        <w:rPr>
          <w:rFonts w:ascii="Verdana" w:hAnsi="Verdana"/>
          <w:sz w:val="20"/>
          <w:szCs w:val="20"/>
        </w:rPr>
        <w:t>, en virtud de haber superado la edad legal sin haber cumplido previamente los requisitos de afiliación o cotización, y en consecuencia </w:t>
      </w:r>
      <w:r w:rsidRPr="0056758C">
        <w:rPr>
          <w:rFonts w:ascii="Verdana" w:hAnsi="Verdana"/>
          <w:b/>
          <w:bCs/>
          <w:sz w:val="20"/>
          <w:szCs w:val="20"/>
        </w:rPr>
        <w:t>si las entidades contratantes no deberían exigir dichos aportes como requisito dentro de la ejecución contractual</w:t>
      </w:r>
      <w:r>
        <w:rPr>
          <w:rFonts w:ascii="Verdana" w:hAnsi="Verdana"/>
          <w:sz w:val="20"/>
          <w:szCs w:val="20"/>
        </w:rPr>
        <w:t xml:space="preserve"> </w:t>
      </w:r>
      <w:r w:rsidRPr="0056758C">
        <w:rPr>
          <w:rFonts w:ascii="Verdana" w:hAnsi="Verdana"/>
          <w:sz w:val="20"/>
          <w:szCs w:val="20"/>
        </w:rPr>
        <w:t>(…)”.</w:t>
      </w:r>
    </w:p>
    <w:p w14:paraId="1FCF8A9E" w14:textId="77777777" w:rsidR="009973D8" w:rsidRPr="00763B14" w:rsidRDefault="009973D8" w:rsidP="009973D8">
      <w:pPr>
        <w:spacing w:after="0" w:line="240" w:lineRule="auto"/>
        <w:ind w:left="567" w:right="758"/>
        <w:jc w:val="both"/>
        <w:rPr>
          <w:rFonts w:ascii="Verdana" w:hAnsi="Verdana"/>
          <w:sz w:val="20"/>
          <w:szCs w:val="20"/>
        </w:rPr>
      </w:pPr>
    </w:p>
    <w:p w14:paraId="78059800" w14:textId="77777777" w:rsidR="009973D8" w:rsidRPr="00370B15" w:rsidRDefault="009973D8" w:rsidP="009973D8">
      <w:pPr>
        <w:spacing w:after="120" w:line="276" w:lineRule="auto"/>
        <w:ind w:firstLine="709"/>
        <w:jc w:val="both"/>
        <w:rPr>
          <w:rFonts w:ascii="Verdana" w:hAnsi="Verdana"/>
        </w:rPr>
      </w:pPr>
      <w:r w:rsidRPr="00370B15">
        <w:rPr>
          <w:rFonts w:ascii="Verdana" w:hAnsi="Verdana"/>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9A53895" w14:textId="77777777" w:rsidR="009973D8" w:rsidRPr="001C57E0" w:rsidRDefault="009973D8" w:rsidP="009973D8">
      <w:pPr>
        <w:spacing w:after="120" w:line="276" w:lineRule="auto"/>
        <w:ind w:firstLine="709"/>
        <w:jc w:val="both"/>
        <w:rPr>
          <w:rFonts w:ascii="Verdana" w:hAnsi="Verdana"/>
        </w:rPr>
      </w:pPr>
      <w:r w:rsidRPr="007C39E5">
        <w:rPr>
          <w:rFonts w:ascii="Verdana" w:hAnsi="Verdana"/>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1C57E0">
        <w:rPr>
          <w:rFonts w:ascii="Verdana" w:hAnsi="Verdana"/>
        </w:rPr>
        <w:t>petición, pero señalando algunas consideraciones sobre las normas generales relacionadas a</w:t>
      </w:r>
      <w:r>
        <w:rPr>
          <w:rFonts w:ascii="Verdana" w:hAnsi="Verdana"/>
        </w:rPr>
        <w:t xml:space="preserve"> </w:t>
      </w:r>
      <w:r w:rsidRPr="001C57E0">
        <w:rPr>
          <w:rFonts w:ascii="Verdana" w:hAnsi="Verdana"/>
        </w:rPr>
        <w:t>l</w:t>
      </w:r>
      <w:r>
        <w:rPr>
          <w:rFonts w:ascii="Verdana" w:hAnsi="Verdana"/>
        </w:rPr>
        <w:t>os</w:t>
      </w:r>
      <w:r w:rsidRPr="001C57E0">
        <w:rPr>
          <w:rFonts w:ascii="Verdana" w:hAnsi="Verdana"/>
        </w:rPr>
        <w:t xml:space="preserve"> problema</w:t>
      </w:r>
      <w:r>
        <w:rPr>
          <w:rFonts w:ascii="Verdana" w:hAnsi="Verdana"/>
        </w:rPr>
        <w:t>s</w:t>
      </w:r>
      <w:r w:rsidRPr="001C57E0">
        <w:rPr>
          <w:rFonts w:ascii="Verdana" w:hAnsi="Verdana"/>
        </w:rPr>
        <w:t xml:space="preserve"> jurídico</w:t>
      </w:r>
      <w:r>
        <w:rPr>
          <w:rFonts w:ascii="Verdana" w:hAnsi="Verdana"/>
        </w:rPr>
        <w:t>s</w:t>
      </w:r>
      <w:r w:rsidRPr="001C57E0">
        <w:rPr>
          <w:rFonts w:ascii="Verdana" w:hAnsi="Verdana"/>
        </w:rPr>
        <w:t xml:space="preserve"> de su consulta.  </w:t>
      </w:r>
    </w:p>
    <w:p w14:paraId="227853EB" w14:textId="77777777" w:rsidR="009973D8" w:rsidRPr="001C57E0" w:rsidRDefault="009973D8" w:rsidP="009973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C57E0">
        <w:rPr>
          <w:rFonts w:ascii="Verdana" w:eastAsia="Century Gothic" w:hAnsi="Verdana" w:cs="Century Gothic"/>
          <w:b/>
          <w:bCs/>
        </w:rPr>
        <w:t>Problema planteado:</w:t>
      </w:r>
    </w:p>
    <w:p w14:paraId="7D382327" w14:textId="77777777" w:rsidR="009973D8" w:rsidRPr="001C57E0" w:rsidRDefault="009973D8" w:rsidP="009973D8">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6DA985A1" w14:textId="77777777" w:rsidR="009973D8" w:rsidRPr="00D61F40" w:rsidRDefault="009973D8" w:rsidP="009973D8">
      <w:pPr>
        <w:spacing w:after="120" w:line="276" w:lineRule="auto"/>
        <w:jc w:val="both"/>
        <w:rPr>
          <w:rFonts w:ascii="Verdana" w:hAnsi="Verdana"/>
        </w:rPr>
      </w:pPr>
      <w:r w:rsidRPr="001C57E0">
        <w:rPr>
          <w:rFonts w:ascii="Verdana" w:hAnsi="Verdana"/>
        </w:rPr>
        <w:t xml:space="preserve">De acuerdo con el contenido de su solicitud, esta Agencia resolverá el siguiente problema jurídico: </w:t>
      </w:r>
      <w:r>
        <w:rPr>
          <w:rFonts w:ascii="Verdana" w:hAnsi="Verdana"/>
        </w:rPr>
        <w:t xml:space="preserve">i) </w:t>
      </w:r>
      <w:r w:rsidRPr="001C57E0">
        <w:rPr>
          <w:rFonts w:ascii="Verdana" w:hAnsi="Verdana"/>
        </w:rPr>
        <w:t>¿La entidad contratante está obligada a exigir la afiliación y cotización al Sistema General de Pensiones</w:t>
      </w:r>
      <w:r w:rsidRPr="005F1BAD">
        <w:rPr>
          <w:rFonts w:ascii="Verdana" w:hAnsi="Verdana"/>
        </w:rPr>
        <w:t xml:space="preserve"> a </w:t>
      </w:r>
      <w:r>
        <w:rPr>
          <w:rFonts w:ascii="Verdana" w:hAnsi="Verdana"/>
        </w:rPr>
        <w:t xml:space="preserve">un contratista </w:t>
      </w:r>
      <w:r w:rsidRPr="005F1BAD">
        <w:rPr>
          <w:rFonts w:ascii="Verdana" w:hAnsi="Verdana"/>
        </w:rPr>
        <w:t>que ha superado la edad legal para pensionarse,</w:t>
      </w:r>
      <w:r>
        <w:rPr>
          <w:rFonts w:ascii="Verdana" w:hAnsi="Verdana"/>
        </w:rPr>
        <w:t xml:space="preserve"> pero no ha efectuado cotizaciones o aportes al </w:t>
      </w:r>
      <w:r w:rsidRPr="005F1BAD">
        <w:rPr>
          <w:rFonts w:ascii="Verdana" w:hAnsi="Verdana"/>
        </w:rPr>
        <w:t>sistema pensional</w:t>
      </w:r>
      <w:r>
        <w:rPr>
          <w:rFonts w:ascii="Verdana" w:hAnsi="Verdana"/>
        </w:rPr>
        <w:t xml:space="preserve">? </w:t>
      </w:r>
      <w:proofErr w:type="spellStart"/>
      <w:r>
        <w:rPr>
          <w:rFonts w:ascii="Verdana" w:hAnsi="Verdana"/>
        </w:rPr>
        <w:t>ii</w:t>
      </w:r>
      <w:proofErr w:type="spellEnd"/>
      <w:r>
        <w:rPr>
          <w:rFonts w:ascii="Verdana" w:hAnsi="Verdana"/>
        </w:rPr>
        <w:t xml:space="preserve">) ¿Los fondos de pensiones están en la obligación de afiliar a la persona que aun, cuando cuente con edad para pensionarse, no ha cotizado para el sistema de seguridad social en pensión? </w:t>
      </w:r>
    </w:p>
    <w:p w14:paraId="1B785213" w14:textId="77777777" w:rsidR="009973D8" w:rsidRDefault="009973D8" w:rsidP="009973D8">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6B2A71">
        <w:rPr>
          <w:rFonts w:ascii="Verdana" w:eastAsia="Century Gothic" w:hAnsi="Verdana" w:cs="Century Gothic"/>
          <w:b/>
          <w:bCs/>
        </w:rPr>
        <w:t>Respuesta:</w:t>
      </w:r>
    </w:p>
    <w:p w14:paraId="71F15B9F" w14:textId="77777777" w:rsidR="009973D8" w:rsidRPr="006B2A71" w:rsidRDefault="009973D8" w:rsidP="009973D8">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973D8" w:rsidRPr="005644FE" w14:paraId="1331A651" w14:textId="77777777" w:rsidTr="002908F6">
        <w:tc>
          <w:tcPr>
            <w:tcW w:w="8828" w:type="dxa"/>
          </w:tcPr>
          <w:p w14:paraId="5354CFDB" w14:textId="77777777" w:rsidR="009973D8" w:rsidRDefault="009973D8" w:rsidP="002908F6">
            <w:pPr>
              <w:spacing w:before="120" w:after="120" w:line="276" w:lineRule="auto"/>
              <w:jc w:val="both"/>
              <w:rPr>
                <w:rFonts w:ascii="Verdana" w:hAnsi="Verdana"/>
              </w:rPr>
            </w:pPr>
            <w:r>
              <w:rPr>
                <w:rFonts w:ascii="Verdana" w:hAnsi="Verdana" w:cs="Arial"/>
                <w:color w:val="000000" w:themeColor="text1"/>
              </w:rPr>
              <w:t xml:space="preserve">i) La </w:t>
            </w:r>
            <w:r w:rsidRPr="004C3DC0">
              <w:rPr>
                <w:rFonts w:ascii="Verdana" w:hAnsi="Verdana"/>
              </w:rPr>
              <w:t>Ley 789 de 2002,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w:t>
            </w:r>
            <w:r>
              <w:rPr>
                <w:rFonts w:ascii="Verdana" w:hAnsi="Verdana"/>
              </w:rPr>
              <w:t xml:space="preserve"> Por su parte, </w:t>
            </w:r>
            <w:r w:rsidRPr="004C3DC0">
              <w:rPr>
                <w:rFonts w:ascii="Verdana" w:hAnsi="Verdana"/>
              </w:rPr>
              <w:t>el artículo 23 de la Ley 1150 de 2007 modificó el inciso segundo del artículo 41 de la Ley 80 de 1993, incluyendo la obligación, para los proponentes y contratistas, de estar a paz</w:t>
            </w:r>
            <w:r w:rsidRPr="004C3DC0">
              <w:rPr>
                <w:rFonts w:ascii="Verdana" w:hAnsi="Verdana"/>
                <w:spacing w:val="-4"/>
              </w:rPr>
              <w:t xml:space="preserve"> </w:t>
            </w:r>
            <w:r w:rsidRPr="004C3DC0">
              <w:rPr>
                <w:rFonts w:ascii="Verdana" w:hAnsi="Verdana"/>
              </w:rPr>
              <w:t>y</w:t>
            </w:r>
            <w:r w:rsidRPr="004C3DC0">
              <w:rPr>
                <w:rFonts w:ascii="Verdana" w:hAnsi="Verdana"/>
                <w:spacing w:val="-4"/>
              </w:rPr>
              <w:t xml:space="preserve"> </w:t>
            </w:r>
            <w:r w:rsidRPr="004C3DC0">
              <w:rPr>
                <w:rFonts w:ascii="Verdana" w:hAnsi="Verdana"/>
              </w:rPr>
              <w:t>salvo</w:t>
            </w:r>
            <w:r w:rsidRPr="004C3DC0">
              <w:rPr>
                <w:rFonts w:ascii="Verdana" w:hAnsi="Verdana"/>
                <w:spacing w:val="-3"/>
              </w:rPr>
              <w:t xml:space="preserve"> </w:t>
            </w:r>
            <w:r w:rsidRPr="004C3DC0">
              <w:rPr>
                <w:rFonts w:ascii="Verdana" w:hAnsi="Verdana"/>
              </w:rPr>
              <w:t>con</w:t>
            </w:r>
            <w:r w:rsidRPr="004C3DC0">
              <w:rPr>
                <w:rFonts w:ascii="Verdana" w:hAnsi="Verdana"/>
                <w:spacing w:val="-3"/>
              </w:rPr>
              <w:t xml:space="preserve"> </w:t>
            </w:r>
            <w:r w:rsidRPr="004C3DC0">
              <w:rPr>
                <w:rFonts w:ascii="Verdana" w:hAnsi="Verdana"/>
              </w:rPr>
              <w:t>los</w:t>
            </w:r>
            <w:r w:rsidRPr="004C3DC0">
              <w:rPr>
                <w:rFonts w:ascii="Verdana" w:hAnsi="Verdana"/>
                <w:spacing w:val="-3"/>
              </w:rPr>
              <w:t xml:space="preserve"> </w:t>
            </w:r>
            <w:r w:rsidRPr="004C3DC0">
              <w:rPr>
                <w:rFonts w:ascii="Verdana" w:hAnsi="Verdana"/>
              </w:rPr>
              <w:t>aportes</w:t>
            </w:r>
            <w:r w:rsidRPr="004C3DC0">
              <w:rPr>
                <w:rFonts w:ascii="Verdana" w:hAnsi="Verdana"/>
                <w:spacing w:val="-4"/>
              </w:rPr>
              <w:t xml:space="preserve"> </w:t>
            </w:r>
            <w:r w:rsidRPr="004C3DC0">
              <w:rPr>
                <w:rFonts w:ascii="Verdana" w:hAnsi="Verdana"/>
              </w:rPr>
              <w:t>parafiscales</w:t>
            </w:r>
            <w:r w:rsidRPr="004C3DC0">
              <w:rPr>
                <w:rFonts w:ascii="Verdana" w:hAnsi="Verdana"/>
                <w:spacing w:val="-3"/>
              </w:rPr>
              <w:t xml:space="preserve"> </w:t>
            </w:r>
            <w:r w:rsidRPr="004C3DC0">
              <w:rPr>
                <w:rFonts w:ascii="Verdana" w:hAnsi="Verdana"/>
              </w:rPr>
              <w:t>al</w:t>
            </w:r>
            <w:r w:rsidRPr="004C3DC0">
              <w:rPr>
                <w:rFonts w:ascii="Verdana" w:hAnsi="Verdana"/>
                <w:spacing w:val="-2"/>
              </w:rPr>
              <w:t xml:space="preserve"> </w:t>
            </w:r>
            <w:r w:rsidRPr="004C3DC0">
              <w:rPr>
                <w:rFonts w:ascii="Verdana" w:hAnsi="Verdana"/>
              </w:rPr>
              <w:t>Sistema</w:t>
            </w:r>
            <w:r w:rsidRPr="004C3DC0">
              <w:rPr>
                <w:rFonts w:ascii="Verdana" w:hAnsi="Verdana"/>
                <w:spacing w:val="-5"/>
              </w:rPr>
              <w:t xml:space="preserve"> </w:t>
            </w:r>
            <w:r w:rsidRPr="004C3DC0">
              <w:rPr>
                <w:rFonts w:ascii="Verdana" w:hAnsi="Verdana"/>
              </w:rPr>
              <w:t>de</w:t>
            </w:r>
            <w:r w:rsidRPr="004C3DC0">
              <w:rPr>
                <w:rFonts w:ascii="Verdana" w:hAnsi="Verdana"/>
                <w:spacing w:val="-3"/>
              </w:rPr>
              <w:t xml:space="preserve"> </w:t>
            </w:r>
            <w:r w:rsidRPr="004C3DC0">
              <w:rPr>
                <w:rFonts w:ascii="Verdana" w:hAnsi="Verdana"/>
              </w:rPr>
              <w:t>Seguridad</w:t>
            </w:r>
            <w:r w:rsidRPr="004C3DC0">
              <w:rPr>
                <w:rFonts w:ascii="Verdana" w:hAnsi="Verdana"/>
                <w:spacing w:val="-3"/>
              </w:rPr>
              <w:t xml:space="preserve"> </w:t>
            </w:r>
            <w:r w:rsidRPr="004C3DC0">
              <w:rPr>
                <w:rFonts w:ascii="Verdana" w:hAnsi="Verdana"/>
              </w:rPr>
              <w:t>Social</w:t>
            </w:r>
            <w:r w:rsidRPr="004C3DC0">
              <w:rPr>
                <w:rFonts w:ascii="Verdana" w:hAnsi="Verdana"/>
                <w:spacing w:val="-2"/>
              </w:rPr>
              <w:t xml:space="preserve"> </w:t>
            </w:r>
            <w:r w:rsidRPr="004C3DC0">
              <w:rPr>
                <w:rFonts w:ascii="Verdana" w:hAnsi="Verdana"/>
              </w:rPr>
              <w:t>integral</w:t>
            </w:r>
            <w:r>
              <w:rPr>
                <w:rFonts w:ascii="Verdana" w:hAnsi="Verdana"/>
              </w:rPr>
              <w:t>.</w:t>
            </w:r>
          </w:p>
          <w:p w14:paraId="77B6F061" w14:textId="77777777" w:rsidR="009973D8" w:rsidRDefault="009973D8" w:rsidP="002908F6">
            <w:pPr>
              <w:spacing w:before="120" w:after="120" w:line="276" w:lineRule="auto"/>
              <w:ind w:firstLine="709"/>
              <w:jc w:val="both"/>
              <w:rPr>
                <w:rFonts w:ascii="Verdana" w:hAnsi="Verdana"/>
              </w:rPr>
            </w:pPr>
            <w:r>
              <w:rPr>
                <w:rFonts w:ascii="Verdana" w:hAnsi="Verdana"/>
              </w:rPr>
              <w:t>Para dar respuesta al primer problema jurídico, la Le</w:t>
            </w:r>
            <w:r w:rsidRPr="004C3DC0">
              <w:rPr>
                <w:rFonts w:ascii="Verdana" w:hAnsi="Verdana"/>
              </w:rPr>
              <w:t>y 797 de 2003, que regula el Sistema General de Pensiones, en el artículo 3 establece que tienen la obligación de estar afiliados al Sistema General de Pensiones todas las personas naturales que presten directamente servicios al Estado o a las entidades bajo la modalidad de contratos de prestación de</w:t>
            </w:r>
            <w:r w:rsidRPr="004C3DC0">
              <w:rPr>
                <w:rFonts w:ascii="Verdana" w:hAnsi="Verdana"/>
                <w:spacing w:val="-13"/>
              </w:rPr>
              <w:t xml:space="preserve"> </w:t>
            </w:r>
            <w:r w:rsidRPr="004C3DC0">
              <w:rPr>
                <w:rFonts w:ascii="Verdana" w:hAnsi="Verdana"/>
              </w:rPr>
              <w:t>servicios.</w:t>
            </w:r>
            <w:r>
              <w:rPr>
                <w:rFonts w:ascii="Verdana" w:hAnsi="Verdana"/>
              </w:rPr>
              <w:t xml:space="preserve"> De otra parte, el artículo 4 de a la misma ley señala</w:t>
            </w:r>
            <w:r w:rsidRPr="004C3DC0">
              <w:rPr>
                <w:rFonts w:ascii="Verdana" w:hAnsi="Verdana"/>
              </w:rPr>
              <w:t xml:space="preserve">, en relación con la cotización al Sistema General </w:t>
            </w:r>
            <w:r w:rsidRPr="004C3DC0">
              <w:rPr>
                <w:rFonts w:ascii="Verdana" w:hAnsi="Verdana"/>
                <w:spacing w:val="-3"/>
              </w:rPr>
              <w:t xml:space="preserve">de </w:t>
            </w:r>
            <w:r w:rsidRPr="004C3DC0">
              <w:rPr>
                <w:rFonts w:ascii="Verdana" w:hAnsi="Verdana"/>
              </w:rPr>
              <w:t>Pensiones, que durante la vigencia del contrato de prestación de servicios se efectuarán cotizaciones obligatorias por parte de los empleadores y contratistas con base en el salario o ingresos por prestación de servicios que ellos devenguen, sin embargo, la obligación de cotizar cesa al momento en que el afiliado reúna los requisitos para acceder a la pensión mínima de vejez, o cuando el afiliado se pensione por invalidez o anticipadamente. En este sentido, una persona natural que se encuentre pensionada y celebre un contrato con una entidad estatal no está obligada a cotizar al Sistema de Pensiones, por expresa disposición</w:t>
            </w:r>
            <w:r w:rsidRPr="004C3DC0">
              <w:rPr>
                <w:rFonts w:ascii="Verdana" w:hAnsi="Verdana"/>
                <w:spacing w:val="-2"/>
              </w:rPr>
              <w:t xml:space="preserve"> </w:t>
            </w:r>
            <w:r w:rsidRPr="004C3DC0">
              <w:rPr>
                <w:rFonts w:ascii="Verdana" w:hAnsi="Verdana"/>
              </w:rPr>
              <w:t>legal.</w:t>
            </w:r>
          </w:p>
          <w:p w14:paraId="4030A1B0" w14:textId="77777777" w:rsidR="009973D8" w:rsidRDefault="009973D8" w:rsidP="002908F6">
            <w:pPr>
              <w:spacing w:before="120" w:after="120" w:line="276" w:lineRule="auto"/>
              <w:ind w:firstLine="709"/>
              <w:jc w:val="both"/>
              <w:rPr>
                <w:rFonts w:ascii="Verdana" w:hAnsi="Verdana"/>
              </w:rPr>
            </w:pPr>
            <w:r>
              <w:rPr>
                <w:rFonts w:ascii="Verdana" w:hAnsi="Verdana"/>
              </w:rPr>
              <w:t>Podría pensarse que, según lo establecido en el artículo 61 de la Ley 100 de 1993 en su literal b) están</w:t>
            </w:r>
            <w:r w:rsidRPr="00831795">
              <w:rPr>
                <w:rFonts w:ascii="Verdana" w:eastAsia="Arial" w:hAnsi="Verdana" w:cs="Arial"/>
              </w:rPr>
              <w:t xml:space="preserve"> excluidos del Régimen de Ahorro Individual con Solidaridad</w:t>
            </w:r>
            <w:r>
              <w:rPr>
                <w:rFonts w:ascii="Verdana" w:hAnsi="Verdana"/>
              </w:rPr>
              <w:t xml:space="preserve">: </w:t>
            </w:r>
            <w:r w:rsidRPr="00831795">
              <w:rPr>
                <w:rFonts w:ascii="Verdana" w:eastAsia="Arial" w:hAnsi="Verdana" w:cs="Arial"/>
              </w:rPr>
              <w:t xml:space="preserve">Las personas que al </w:t>
            </w:r>
            <w:proofErr w:type="gramStart"/>
            <w:r w:rsidRPr="00831795">
              <w:rPr>
                <w:rFonts w:ascii="Verdana" w:eastAsia="Arial" w:hAnsi="Verdana" w:cs="Arial"/>
              </w:rPr>
              <w:t>entrar en vigencia</w:t>
            </w:r>
            <w:proofErr w:type="gramEnd"/>
            <w:r w:rsidRPr="00831795">
              <w:rPr>
                <w:rFonts w:ascii="Verdana" w:eastAsia="Arial" w:hAnsi="Verdana" w:cs="Arial"/>
              </w:rPr>
              <w:t xml:space="preserve"> el sistema tuvieren cincuenta y cinco (55) años o más de edad, si son hombres, o cincuenta (50) años o más de edad, si son mujeres, salvo que decidan cotizar por lo menos 500 semanas en el nuevo régimen, caso en el cual será obligatorio para el empleador efectuar los aportes correspondientes</w:t>
            </w:r>
            <w:r>
              <w:rPr>
                <w:rFonts w:ascii="Verdana" w:hAnsi="Verdana"/>
              </w:rPr>
              <w:t>. Este literal no implica una exclusión del sistema general, sino solo del régimen de ahorro individual, de modo que resulta obligatorio afiliarse al sistema de prima media.</w:t>
            </w:r>
          </w:p>
          <w:p w14:paraId="24B7BEDF" w14:textId="77777777" w:rsidR="009973D8" w:rsidRDefault="009973D8" w:rsidP="002908F6">
            <w:pPr>
              <w:spacing w:before="120" w:after="120" w:line="276" w:lineRule="auto"/>
              <w:ind w:firstLine="709"/>
              <w:jc w:val="both"/>
              <w:rPr>
                <w:rFonts w:ascii="Verdana" w:hAnsi="Verdana"/>
              </w:rPr>
            </w:pPr>
            <w:r>
              <w:rPr>
                <w:rFonts w:ascii="Verdana" w:hAnsi="Verdana"/>
              </w:rPr>
              <w:t>Por lo tanto, la entidad territorial deberá exigirle al futuro contratista la afiliación al sistema de seguridad social en pensiones, por cuanto se trata de una afiliación que cobija no solo lo relativo a la pensión de vejez sino por invalidez o muerte por cuanto según lo dispuesto en el artículo 10 de la Ley 100 de 1993 dispone que e</w:t>
            </w:r>
            <w:r w:rsidRPr="00746237">
              <w:rPr>
                <w:rFonts w:ascii="Verdana" w:hAnsi="Verdana"/>
              </w:rPr>
              <w:t>l Sistema General de Pensiones tiene por objeto garantizar a la población, el amparo contra las contingencias derivadas de la vejez, la invalidez y la muerte, mediante el reconocimiento de las pensiones y prestaciones que se determinan en la presente Ley, así como propender por la ampliación progresiva de cobertura a los segmentos de población no cubiertos con un sistema de pensiones. </w:t>
            </w:r>
            <w:r>
              <w:rPr>
                <w:rFonts w:ascii="Verdana" w:hAnsi="Verdana"/>
              </w:rPr>
              <w:t xml:space="preserve"> </w:t>
            </w:r>
          </w:p>
          <w:p w14:paraId="38223400" w14:textId="77777777" w:rsidR="009973D8" w:rsidRPr="007A7286" w:rsidRDefault="009973D8" w:rsidP="002908F6">
            <w:pPr>
              <w:spacing w:before="120" w:after="120" w:line="276" w:lineRule="auto"/>
              <w:jc w:val="both"/>
              <w:rPr>
                <w:rFonts w:ascii="Verdana" w:hAnsi="Verdana"/>
              </w:rPr>
            </w:pPr>
            <w:proofErr w:type="spellStart"/>
            <w:r>
              <w:rPr>
                <w:rFonts w:ascii="Verdana" w:hAnsi="Verdana"/>
              </w:rPr>
              <w:t>ii</w:t>
            </w:r>
            <w:proofErr w:type="spellEnd"/>
            <w:r>
              <w:rPr>
                <w:rFonts w:ascii="Verdana" w:hAnsi="Verdana"/>
              </w:rPr>
              <w:t>) De otra parte, en cuanto al segundo problema jurídico, los fondos de pensiones deberán afiliar a la persona que se vinculará a través de un contrato de prestación de servicios, por cuanto dicha afiliación no solo cobija la pensión de vejez sino también por invalidez o por muerte como se expuso en líneas anteriores.</w:t>
            </w:r>
          </w:p>
        </w:tc>
      </w:tr>
    </w:tbl>
    <w:p w14:paraId="72C61B62" w14:textId="77777777" w:rsidR="009973D8" w:rsidRDefault="009973D8" w:rsidP="009973D8">
      <w:pPr>
        <w:tabs>
          <w:tab w:val="left" w:pos="142"/>
          <w:tab w:val="left" w:pos="284"/>
        </w:tabs>
        <w:spacing w:after="0" w:line="276" w:lineRule="auto"/>
        <w:jc w:val="both"/>
        <w:rPr>
          <w:rFonts w:ascii="Verdana" w:eastAsia="Century Gothic" w:hAnsi="Verdana" w:cs="Century Gothic"/>
          <w:b/>
          <w:bCs/>
        </w:rPr>
      </w:pPr>
    </w:p>
    <w:p w14:paraId="35157404" w14:textId="77777777" w:rsidR="009973D8" w:rsidRPr="006B2A71" w:rsidRDefault="009973D8" w:rsidP="009973D8">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3. </w:t>
      </w:r>
      <w:r w:rsidRPr="006B2A71">
        <w:rPr>
          <w:rFonts w:ascii="Verdana" w:eastAsia="Century Gothic" w:hAnsi="Verdana" w:cs="Century Gothic"/>
          <w:b/>
          <w:bCs/>
        </w:rPr>
        <w:t>Razones de la respuesta:</w:t>
      </w:r>
    </w:p>
    <w:p w14:paraId="13108935" w14:textId="77777777" w:rsidR="009973D8" w:rsidRPr="005644FE" w:rsidRDefault="009973D8" w:rsidP="009973D8">
      <w:pPr>
        <w:pStyle w:val="Prrafodelista"/>
        <w:tabs>
          <w:tab w:val="left" w:pos="142"/>
          <w:tab w:val="left" w:pos="284"/>
        </w:tabs>
        <w:spacing w:after="0" w:line="240" w:lineRule="auto"/>
        <w:ind w:left="0"/>
        <w:contextualSpacing w:val="0"/>
        <w:jc w:val="both"/>
        <w:rPr>
          <w:rFonts w:ascii="Verdana" w:eastAsia="Calibri" w:hAnsi="Verdana" w:cs="Arial"/>
        </w:rPr>
      </w:pPr>
    </w:p>
    <w:p w14:paraId="7C6C823A" w14:textId="77777777" w:rsidR="009973D8" w:rsidRDefault="009973D8" w:rsidP="009973D8">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69CCF250" w14:textId="77777777" w:rsidR="009973D8" w:rsidRDefault="009973D8" w:rsidP="009973D8">
      <w:pPr>
        <w:tabs>
          <w:tab w:val="left" w:pos="142"/>
          <w:tab w:val="left" w:pos="284"/>
          <w:tab w:val="left" w:pos="6975"/>
        </w:tabs>
        <w:spacing w:after="0" w:line="276" w:lineRule="auto"/>
        <w:jc w:val="both"/>
        <w:rPr>
          <w:rFonts w:ascii="Verdana" w:eastAsia="Calibri" w:hAnsi="Verdana" w:cs="Arial"/>
        </w:rPr>
      </w:pPr>
    </w:p>
    <w:p w14:paraId="7678E204" w14:textId="77777777" w:rsidR="009973D8" w:rsidRDefault="009973D8" w:rsidP="009973D8">
      <w:pPr>
        <w:pStyle w:val="Textoindependiente"/>
        <w:spacing w:after="120" w:line="276" w:lineRule="auto"/>
        <w:ind w:right="49"/>
        <w:jc w:val="both"/>
        <w:rPr>
          <w:rFonts w:ascii="Verdana" w:hAnsi="Verdana"/>
        </w:rPr>
      </w:pPr>
      <w:r>
        <w:rPr>
          <w:rFonts w:ascii="Verdana" w:hAnsi="Verdana"/>
        </w:rPr>
        <w:t xml:space="preserve">i) </w:t>
      </w:r>
      <w:r w:rsidRPr="004C3DC0">
        <w:rPr>
          <w:rFonts w:ascii="Verdana" w:hAnsi="Verdana"/>
        </w:rPr>
        <w:t xml:space="preserve">La Ley 80 de 1993, en el texto original del artículo 41, indicó que los requisitos </w:t>
      </w:r>
      <w:r>
        <w:rPr>
          <w:rFonts w:ascii="Verdana" w:hAnsi="Verdana"/>
        </w:rPr>
        <w:t xml:space="preserve">de perfeccionamiento </w:t>
      </w:r>
      <w:r w:rsidRPr="004C3DC0">
        <w:rPr>
          <w:rFonts w:ascii="Verdana" w:hAnsi="Verdana"/>
        </w:rPr>
        <w:t xml:space="preserve">del contrato son: i) </w:t>
      </w:r>
      <w:r>
        <w:rPr>
          <w:rFonts w:ascii="Verdana" w:hAnsi="Verdana"/>
        </w:rPr>
        <w:t>el</w:t>
      </w:r>
      <w:r w:rsidRPr="004C3DC0">
        <w:rPr>
          <w:rFonts w:ascii="Verdana" w:hAnsi="Verdana"/>
        </w:rPr>
        <w:t xml:space="preserve"> acuerdo sobre el objeto y la contraprestación, y </w:t>
      </w:r>
      <w:proofErr w:type="spellStart"/>
      <w:r w:rsidRPr="004C3DC0">
        <w:rPr>
          <w:rFonts w:ascii="Verdana" w:hAnsi="Verdana"/>
        </w:rPr>
        <w:t>ii</w:t>
      </w:r>
      <w:proofErr w:type="spellEnd"/>
      <w:r w:rsidRPr="004C3DC0">
        <w:rPr>
          <w:rFonts w:ascii="Verdana" w:hAnsi="Verdana"/>
        </w:rPr>
        <w:t>) que conste por escrito. Por su parte, para iniciar la ejecución se requer</w:t>
      </w:r>
      <w:r>
        <w:rPr>
          <w:rFonts w:ascii="Verdana" w:hAnsi="Verdana"/>
        </w:rPr>
        <w:t xml:space="preserve">irá: </w:t>
      </w:r>
      <w:r w:rsidRPr="004C3DC0">
        <w:rPr>
          <w:rFonts w:ascii="Verdana" w:hAnsi="Verdana"/>
        </w:rPr>
        <w:t xml:space="preserve">i) la constitución y aprobación de la garantía y </w:t>
      </w:r>
      <w:proofErr w:type="spellStart"/>
      <w:r w:rsidRPr="004C3DC0">
        <w:rPr>
          <w:rFonts w:ascii="Verdana" w:hAnsi="Verdana"/>
        </w:rPr>
        <w:t>ii</w:t>
      </w:r>
      <w:proofErr w:type="spellEnd"/>
      <w:r w:rsidRPr="004C3DC0">
        <w:rPr>
          <w:rFonts w:ascii="Verdana" w:hAnsi="Verdana"/>
        </w:rPr>
        <w:t>) la existencia del registro presupuestal.</w:t>
      </w:r>
    </w:p>
    <w:p w14:paraId="1683B66E"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Posteriormente, la Ley 789 de 2002</w:t>
      </w:r>
      <w:r>
        <w:rPr>
          <w:rStyle w:val="Refdenotaalpie"/>
          <w:rFonts w:ascii="Verdana" w:hAnsi="Verdana"/>
        </w:rPr>
        <w:footnoteReference w:id="1"/>
      </w:r>
      <w:r w:rsidRPr="004C3DC0">
        <w:rPr>
          <w:rFonts w:ascii="Verdana" w:hAnsi="Verdana"/>
        </w:rPr>
        <w:t>, en el artículo 50, estableció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w:t>
      </w:r>
      <w:r w:rsidRPr="004C3DC0">
        <w:rPr>
          <w:rFonts w:ascii="Verdana" w:hAnsi="Verdana"/>
          <w:spacing w:val="-4"/>
        </w:rPr>
        <w:t xml:space="preserve"> </w:t>
      </w:r>
      <w:r w:rsidRPr="004C3DC0">
        <w:rPr>
          <w:rFonts w:ascii="Verdana" w:hAnsi="Verdana"/>
        </w:rPr>
        <w:t>cotizar</w:t>
      </w:r>
      <w:r w:rsidRPr="004C3DC0">
        <w:rPr>
          <w:rStyle w:val="Refdenotaalpie"/>
          <w:rFonts w:ascii="Verdana" w:hAnsi="Verdana"/>
        </w:rPr>
        <w:footnoteReference w:id="2"/>
      </w:r>
      <w:r w:rsidRPr="004C3DC0">
        <w:rPr>
          <w:rFonts w:ascii="Verdana" w:hAnsi="Verdana"/>
        </w:rPr>
        <w:t>.</w:t>
      </w:r>
    </w:p>
    <w:p w14:paraId="55FA60EB"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Además, aclara que las personas jurídicas que quieran celebrar contratos con las entidades estatales deben acreditan el pago al sistema de seguridad social de sus empleados, por eso presentarán una certificación expedida por el revisor fiscal o por el representante legal, durante un lapso equivalente al que exija el respectivo régimen de contratación</w:t>
      </w:r>
      <w:r w:rsidRPr="004C3DC0">
        <w:rPr>
          <w:rFonts w:ascii="Verdana" w:hAnsi="Verdana"/>
          <w:spacing w:val="8"/>
        </w:rPr>
        <w:t xml:space="preserve"> </w:t>
      </w:r>
      <w:r w:rsidRPr="004C3DC0">
        <w:rPr>
          <w:rFonts w:ascii="Verdana" w:hAnsi="Verdana"/>
        </w:rPr>
        <w:t>para</w:t>
      </w:r>
      <w:r w:rsidRPr="004C3DC0">
        <w:rPr>
          <w:rFonts w:ascii="Verdana" w:hAnsi="Verdana"/>
          <w:spacing w:val="8"/>
        </w:rPr>
        <w:t xml:space="preserve"> </w:t>
      </w:r>
      <w:r w:rsidRPr="004C3DC0">
        <w:rPr>
          <w:rFonts w:ascii="Verdana" w:hAnsi="Verdana"/>
        </w:rPr>
        <w:t>que</w:t>
      </w:r>
      <w:r w:rsidRPr="004C3DC0">
        <w:rPr>
          <w:rFonts w:ascii="Verdana" w:hAnsi="Verdana"/>
          <w:spacing w:val="8"/>
        </w:rPr>
        <w:t xml:space="preserve"> </w:t>
      </w:r>
      <w:r w:rsidRPr="004C3DC0">
        <w:rPr>
          <w:rFonts w:ascii="Verdana" w:hAnsi="Verdana"/>
        </w:rPr>
        <w:t>se</w:t>
      </w:r>
      <w:r w:rsidRPr="004C3DC0">
        <w:rPr>
          <w:rFonts w:ascii="Verdana" w:hAnsi="Verdana"/>
          <w:spacing w:val="6"/>
        </w:rPr>
        <w:t xml:space="preserve"> </w:t>
      </w:r>
      <w:r w:rsidRPr="004C3DC0">
        <w:rPr>
          <w:rFonts w:ascii="Verdana" w:hAnsi="Verdana"/>
        </w:rPr>
        <w:t>hubiera</w:t>
      </w:r>
      <w:r w:rsidRPr="004C3DC0">
        <w:rPr>
          <w:rFonts w:ascii="Verdana" w:hAnsi="Verdana"/>
          <w:spacing w:val="7"/>
        </w:rPr>
        <w:t xml:space="preserve"> </w:t>
      </w:r>
      <w:r w:rsidRPr="004C3DC0">
        <w:rPr>
          <w:rFonts w:ascii="Verdana" w:hAnsi="Verdana"/>
        </w:rPr>
        <w:t>constituido</w:t>
      </w:r>
      <w:r w:rsidRPr="004C3DC0">
        <w:rPr>
          <w:rFonts w:ascii="Verdana" w:hAnsi="Verdana"/>
          <w:spacing w:val="6"/>
        </w:rPr>
        <w:t xml:space="preserve"> </w:t>
      </w:r>
      <w:r w:rsidRPr="004C3DC0">
        <w:rPr>
          <w:rFonts w:ascii="Verdana" w:hAnsi="Verdana"/>
        </w:rPr>
        <w:t>la</w:t>
      </w:r>
      <w:r w:rsidRPr="004C3DC0">
        <w:rPr>
          <w:rFonts w:ascii="Verdana" w:hAnsi="Verdana"/>
          <w:spacing w:val="8"/>
        </w:rPr>
        <w:t xml:space="preserve"> </w:t>
      </w:r>
      <w:r w:rsidRPr="004C3DC0">
        <w:rPr>
          <w:rFonts w:ascii="Verdana" w:hAnsi="Verdana"/>
        </w:rPr>
        <w:t>sociedad,</w:t>
      </w:r>
      <w:r w:rsidRPr="004C3DC0">
        <w:rPr>
          <w:rFonts w:ascii="Verdana" w:hAnsi="Verdana"/>
          <w:spacing w:val="8"/>
        </w:rPr>
        <w:t xml:space="preserve"> </w:t>
      </w:r>
      <w:r w:rsidRPr="004C3DC0">
        <w:rPr>
          <w:rFonts w:ascii="Verdana" w:hAnsi="Verdana"/>
        </w:rPr>
        <w:t>el</w:t>
      </w:r>
      <w:r w:rsidRPr="004C3DC0">
        <w:rPr>
          <w:rFonts w:ascii="Verdana" w:hAnsi="Verdana"/>
          <w:spacing w:val="9"/>
        </w:rPr>
        <w:t xml:space="preserve"> </w:t>
      </w:r>
      <w:r w:rsidRPr="004C3DC0">
        <w:rPr>
          <w:rFonts w:ascii="Verdana" w:hAnsi="Verdana"/>
        </w:rPr>
        <w:t>cual</w:t>
      </w:r>
      <w:r w:rsidRPr="004C3DC0">
        <w:rPr>
          <w:rFonts w:ascii="Verdana" w:hAnsi="Verdana"/>
          <w:spacing w:val="10"/>
        </w:rPr>
        <w:t xml:space="preserve"> </w:t>
      </w:r>
      <w:r w:rsidRPr="004C3DC0">
        <w:rPr>
          <w:rFonts w:ascii="Verdana" w:hAnsi="Verdana"/>
        </w:rPr>
        <w:t>no</w:t>
      </w:r>
      <w:r w:rsidRPr="004C3DC0">
        <w:rPr>
          <w:rFonts w:ascii="Verdana" w:hAnsi="Verdana"/>
          <w:spacing w:val="8"/>
        </w:rPr>
        <w:t xml:space="preserve"> </w:t>
      </w:r>
      <w:r w:rsidRPr="004C3DC0">
        <w:rPr>
          <w:rFonts w:ascii="Verdana" w:hAnsi="Verdana"/>
        </w:rPr>
        <w:t>será</w:t>
      </w:r>
      <w:r w:rsidRPr="004C3DC0">
        <w:rPr>
          <w:rFonts w:ascii="Verdana" w:hAnsi="Verdana"/>
          <w:spacing w:val="6"/>
        </w:rPr>
        <w:t xml:space="preserve"> </w:t>
      </w:r>
      <w:r w:rsidRPr="004C3DC0">
        <w:rPr>
          <w:rFonts w:ascii="Verdana" w:hAnsi="Verdana"/>
        </w:rPr>
        <w:t>inferior</w:t>
      </w:r>
      <w:r w:rsidRPr="004C3DC0">
        <w:rPr>
          <w:rFonts w:ascii="Verdana" w:hAnsi="Verdana"/>
          <w:spacing w:val="7"/>
        </w:rPr>
        <w:t xml:space="preserve"> </w:t>
      </w:r>
      <w:r w:rsidRPr="004C3DC0">
        <w:rPr>
          <w:rFonts w:ascii="Verdana" w:hAnsi="Verdana"/>
        </w:rPr>
        <w:t>a</w:t>
      </w:r>
      <w:r w:rsidRPr="004C3DC0">
        <w:rPr>
          <w:rFonts w:ascii="Verdana" w:hAnsi="Verdana"/>
          <w:spacing w:val="9"/>
        </w:rPr>
        <w:t xml:space="preserve"> </w:t>
      </w:r>
      <w:r w:rsidRPr="004C3DC0">
        <w:rPr>
          <w:rFonts w:ascii="Verdana" w:hAnsi="Verdana"/>
        </w:rPr>
        <w:t>los</w:t>
      </w:r>
      <w:r w:rsidRPr="004C3DC0">
        <w:rPr>
          <w:rFonts w:ascii="Verdana" w:hAnsi="Verdana"/>
          <w:spacing w:val="8"/>
        </w:rPr>
        <w:t xml:space="preserve"> </w:t>
      </w:r>
      <w:r w:rsidRPr="004C3DC0">
        <w:rPr>
          <w:rFonts w:ascii="Verdana" w:hAnsi="Verdana"/>
        </w:rPr>
        <w:t>seis</w:t>
      </w:r>
      <w:r>
        <w:rPr>
          <w:rFonts w:ascii="Verdana" w:hAnsi="Verdana"/>
        </w:rPr>
        <w:t xml:space="preserve"> </w:t>
      </w:r>
      <w:r w:rsidRPr="004C3DC0">
        <w:rPr>
          <w:rFonts w:ascii="Verdana" w:hAnsi="Verdana"/>
        </w:rPr>
        <w:t>(6) meses anteriores a la celebración del contrato. En este sentido, la ley señala que para presentar la oferta las personas jurídicas deben acreditar el requisito señalado anteriormente, es decir, el pago al sistema de seguridad social de sus empleados.</w:t>
      </w:r>
    </w:p>
    <w:p w14:paraId="0164F1BD"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Esta norma fue analizada en una sentencia del Consejo de Estado</w:t>
      </w:r>
      <w:r>
        <w:rPr>
          <w:rStyle w:val="Refdenotaalpie"/>
          <w:rFonts w:ascii="Verdana" w:hAnsi="Verdana"/>
        </w:rPr>
        <w:footnoteReference w:id="3"/>
      </w:r>
      <w:r w:rsidRPr="004C3DC0">
        <w:rPr>
          <w:rFonts w:ascii="Verdana" w:hAnsi="Verdana"/>
        </w:rPr>
        <w:t>, donde consideró que el artículo 50 de la Ley 789 de 2002  tiene</w:t>
      </w:r>
      <w:r w:rsidRPr="004C3DC0">
        <w:rPr>
          <w:rFonts w:ascii="Verdana" w:hAnsi="Verdana"/>
          <w:spacing w:val="45"/>
        </w:rPr>
        <w:t xml:space="preserve"> </w:t>
      </w:r>
      <w:r w:rsidRPr="004C3DC0">
        <w:rPr>
          <w:rFonts w:ascii="Verdana" w:hAnsi="Verdana"/>
        </w:rPr>
        <w:t>por</w:t>
      </w:r>
      <w:r w:rsidRPr="004C3DC0">
        <w:rPr>
          <w:rFonts w:ascii="Verdana" w:hAnsi="Verdana"/>
          <w:spacing w:val="45"/>
        </w:rPr>
        <w:t xml:space="preserve"> </w:t>
      </w:r>
      <w:r w:rsidRPr="004C3DC0">
        <w:rPr>
          <w:rFonts w:ascii="Verdana" w:hAnsi="Verdana"/>
        </w:rPr>
        <w:t>objeto</w:t>
      </w:r>
      <w:r w:rsidRPr="004C3DC0">
        <w:rPr>
          <w:rFonts w:ascii="Verdana" w:hAnsi="Verdana"/>
          <w:spacing w:val="45"/>
        </w:rPr>
        <w:t xml:space="preserve"> </w:t>
      </w:r>
      <w:r w:rsidRPr="004C3DC0">
        <w:rPr>
          <w:rFonts w:ascii="Verdana" w:hAnsi="Verdana"/>
        </w:rPr>
        <w:t>evitar</w:t>
      </w:r>
      <w:r w:rsidRPr="004C3DC0">
        <w:rPr>
          <w:rFonts w:ascii="Verdana" w:hAnsi="Verdana"/>
          <w:spacing w:val="44"/>
        </w:rPr>
        <w:t xml:space="preserve"> </w:t>
      </w:r>
      <w:r w:rsidRPr="004C3DC0">
        <w:rPr>
          <w:rFonts w:ascii="Verdana" w:hAnsi="Verdana"/>
        </w:rPr>
        <w:t>la</w:t>
      </w:r>
      <w:r w:rsidRPr="004C3DC0">
        <w:rPr>
          <w:rFonts w:ascii="Verdana" w:hAnsi="Verdana"/>
          <w:spacing w:val="47"/>
        </w:rPr>
        <w:t xml:space="preserve"> </w:t>
      </w:r>
      <w:r w:rsidRPr="004C3DC0">
        <w:rPr>
          <w:rFonts w:ascii="Verdana" w:hAnsi="Verdana"/>
        </w:rPr>
        <w:t>evasión</w:t>
      </w:r>
      <w:r w:rsidRPr="004C3DC0">
        <w:rPr>
          <w:rFonts w:ascii="Verdana" w:hAnsi="Verdana"/>
          <w:spacing w:val="45"/>
        </w:rPr>
        <w:t xml:space="preserve"> </w:t>
      </w:r>
      <w:r w:rsidRPr="004C3DC0">
        <w:rPr>
          <w:rFonts w:ascii="Verdana" w:hAnsi="Verdana"/>
        </w:rPr>
        <w:t>por</w:t>
      </w:r>
      <w:r w:rsidRPr="004C3DC0">
        <w:rPr>
          <w:rFonts w:ascii="Verdana" w:hAnsi="Verdana"/>
          <w:spacing w:val="49"/>
        </w:rPr>
        <w:t xml:space="preserve"> </w:t>
      </w:r>
      <w:r w:rsidRPr="004C3DC0">
        <w:rPr>
          <w:rFonts w:ascii="Verdana" w:hAnsi="Verdana"/>
        </w:rPr>
        <w:t>parte</w:t>
      </w:r>
      <w:r w:rsidRPr="004C3DC0">
        <w:rPr>
          <w:rFonts w:ascii="Verdana" w:hAnsi="Verdana"/>
          <w:spacing w:val="45"/>
        </w:rPr>
        <w:t xml:space="preserve"> </w:t>
      </w:r>
      <w:r w:rsidRPr="004C3DC0">
        <w:rPr>
          <w:rFonts w:ascii="Verdana" w:hAnsi="Verdana"/>
        </w:rPr>
        <w:t>de</w:t>
      </w:r>
      <w:r w:rsidRPr="004C3DC0">
        <w:rPr>
          <w:rFonts w:ascii="Verdana" w:hAnsi="Verdana"/>
          <w:spacing w:val="45"/>
        </w:rPr>
        <w:t xml:space="preserve"> </w:t>
      </w:r>
      <w:r w:rsidRPr="004C3DC0">
        <w:rPr>
          <w:rFonts w:ascii="Verdana" w:hAnsi="Verdana"/>
        </w:rPr>
        <w:t>los</w:t>
      </w:r>
      <w:r w:rsidRPr="004C3DC0">
        <w:rPr>
          <w:rFonts w:ascii="Verdana" w:hAnsi="Verdana"/>
          <w:spacing w:val="45"/>
        </w:rPr>
        <w:t xml:space="preserve"> </w:t>
      </w:r>
      <w:r w:rsidRPr="004C3DC0">
        <w:rPr>
          <w:rFonts w:ascii="Verdana" w:hAnsi="Verdana"/>
        </w:rPr>
        <w:t>empleadores</w:t>
      </w:r>
      <w:r w:rsidRPr="004C3DC0">
        <w:rPr>
          <w:rFonts w:ascii="Verdana" w:hAnsi="Verdana"/>
          <w:spacing w:val="45"/>
        </w:rPr>
        <w:t xml:space="preserve"> </w:t>
      </w:r>
      <w:r w:rsidRPr="004C3DC0">
        <w:rPr>
          <w:rFonts w:ascii="Verdana" w:hAnsi="Verdana"/>
        </w:rPr>
        <w:t>de</w:t>
      </w:r>
      <w:r w:rsidRPr="004C3DC0">
        <w:rPr>
          <w:rFonts w:ascii="Verdana" w:hAnsi="Verdana"/>
          <w:spacing w:val="43"/>
        </w:rPr>
        <w:t xml:space="preserve"> </w:t>
      </w:r>
      <w:r w:rsidRPr="004C3DC0">
        <w:rPr>
          <w:rFonts w:ascii="Verdana" w:hAnsi="Verdana"/>
        </w:rPr>
        <w:t>las</w:t>
      </w:r>
      <w:r w:rsidRPr="004C3DC0">
        <w:rPr>
          <w:rFonts w:ascii="Verdana" w:hAnsi="Verdana"/>
          <w:spacing w:val="45"/>
        </w:rPr>
        <w:t xml:space="preserve"> </w:t>
      </w:r>
      <w:r w:rsidRPr="004C3DC0">
        <w:rPr>
          <w:rFonts w:ascii="Verdana" w:hAnsi="Verdana"/>
        </w:rPr>
        <w:t>cotizaciones</w:t>
      </w:r>
      <w:r w:rsidRPr="004C3DC0">
        <w:rPr>
          <w:rFonts w:ascii="Verdana" w:hAnsi="Verdana"/>
          <w:spacing w:val="45"/>
        </w:rPr>
        <w:t xml:space="preserve"> </w:t>
      </w:r>
      <w:r w:rsidRPr="004C3DC0">
        <w:rPr>
          <w:rFonts w:ascii="Verdana" w:hAnsi="Verdana"/>
        </w:rPr>
        <w:t>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w:t>
      </w:r>
      <w:r w:rsidRPr="004C3DC0">
        <w:rPr>
          <w:rStyle w:val="Refdenotaalpie"/>
          <w:rFonts w:ascii="Verdana" w:hAnsi="Verdana"/>
        </w:rPr>
        <w:footnoteReference w:id="4"/>
      </w:r>
      <w:r w:rsidRPr="004C3DC0">
        <w:rPr>
          <w:rFonts w:ascii="Verdana" w:hAnsi="Verdana"/>
        </w:rPr>
        <w:t>. Por lo tanto, la jurisprudencia reiteró la necesidad de que las entidades estatales, durante la ejecución de un contrato, verifiquen el cumplimiento de las obligaciones del sistema de seguridad social por parte de los</w:t>
      </w:r>
      <w:r w:rsidRPr="004C3DC0">
        <w:rPr>
          <w:rFonts w:ascii="Verdana" w:hAnsi="Verdana"/>
          <w:spacing w:val="-9"/>
        </w:rPr>
        <w:t xml:space="preserve"> </w:t>
      </w:r>
      <w:r w:rsidRPr="004C3DC0">
        <w:rPr>
          <w:rFonts w:ascii="Verdana" w:hAnsi="Verdana"/>
        </w:rPr>
        <w:t>oferentes.</w:t>
      </w:r>
    </w:p>
    <w:p w14:paraId="189A9563" w14:textId="77777777" w:rsidR="009973D8" w:rsidRPr="001B777E" w:rsidRDefault="009973D8" w:rsidP="009973D8">
      <w:pPr>
        <w:pStyle w:val="Textoindependiente"/>
        <w:spacing w:after="120" w:line="276" w:lineRule="auto"/>
        <w:ind w:right="49" w:firstLine="709"/>
        <w:jc w:val="both"/>
        <w:rPr>
          <w:rFonts w:ascii="Verdana" w:hAnsi="Verdana"/>
        </w:rPr>
      </w:pPr>
      <w:r>
        <w:rPr>
          <w:rFonts w:ascii="Verdana" w:hAnsi="Verdana"/>
        </w:rPr>
        <w:t>Posteriormente</w:t>
      </w:r>
      <w:r w:rsidRPr="004C3DC0">
        <w:rPr>
          <w:rFonts w:ascii="Verdana" w:hAnsi="Verdana"/>
        </w:rPr>
        <w:t>, el artículo 23 de la Ley 1150 de 2007 modificó el inciso segundo del artículo 41 de la Ley 80 de 1993, incluyendo la obligación, para los proponentes y contratistas, de estar a paz</w:t>
      </w:r>
      <w:r w:rsidRPr="004C3DC0">
        <w:rPr>
          <w:rFonts w:ascii="Verdana" w:hAnsi="Verdana"/>
          <w:spacing w:val="-4"/>
        </w:rPr>
        <w:t xml:space="preserve"> </w:t>
      </w:r>
      <w:r w:rsidRPr="004C3DC0">
        <w:rPr>
          <w:rFonts w:ascii="Verdana" w:hAnsi="Verdana"/>
        </w:rPr>
        <w:t>y</w:t>
      </w:r>
      <w:r w:rsidRPr="004C3DC0">
        <w:rPr>
          <w:rFonts w:ascii="Verdana" w:hAnsi="Verdana"/>
          <w:spacing w:val="-4"/>
        </w:rPr>
        <w:t xml:space="preserve"> </w:t>
      </w:r>
      <w:r w:rsidRPr="004C3DC0">
        <w:rPr>
          <w:rFonts w:ascii="Verdana" w:hAnsi="Verdana"/>
        </w:rPr>
        <w:t>salvo</w:t>
      </w:r>
      <w:r w:rsidRPr="004C3DC0">
        <w:rPr>
          <w:rFonts w:ascii="Verdana" w:hAnsi="Verdana"/>
          <w:spacing w:val="-3"/>
        </w:rPr>
        <w:t xml:space="preserve"> </w:t>
      </w:r>
      <w:r w:rsidRPr="004C3DC0">
        <w:rPr>
          <w:rFonts w:ascii="Verdana" w:hAnsi="Verdana"/>
        </w:rPr>
        <w:t>con</w:t>
      </w:r>
      <w:r w:rsidRPr="004C3DC0">
        <w:rPr>
          <w:rFonts w:ascii="Verdana" w:hAnsi="Verdana"/>
          <w:spacing w:val="-3"/>
        </w:rPr>
        <w:t xml:space="preserve"> </w:t>
      </w:r>
      <w:r w:rsidRPr="004C3DC0">
        <w:rPr>
          <w:rFonts w:ascii="Verdana" w:hAnsi="Verdana"/>
        </w:rPr>
        <w:t>los</w:t>
      </w:r>
      <w:r w:rsidRPr="004C3DC0">
        <w:rPr>
          <w:rFonts w:ascii="Verdana" w:hAnsi="Verdana"/>
          <w:spacing w:val="-3"/>
        </w:rPr>
        <w:t xml:space="preserve"> </w:t>
      </w:r>
      <w:r w:rsidRPr="004C3DC0">
        <w:rPr>
          <w:rFonts w:ascii="Verdana" w:hAnsi="Verdana"/>
        </w:rPr>
        <w:t>aportes</w:t>
      </w:r>
      <w:r w:rsidRPr="004C3DC0">
        <w:rPr>
          <w:rFonts w:ascii="Verdana" w:hAnsi="Verdana"/>
          <w:spacing w:val="-4"/>
        </w:rPr>
        <w:t xml:space="preserve"> </w:t>
      </w:r>
      <w:r w:rsidRPr="004C3DC0">
        <w:rPr>
          <w:rFonts w:ascii="Verdana" w:hAnsi="Verdana"/>
        </w:rPr>
        <w:t>parafiscales</w:t>
      </w:r>
      <w:r w:rsidRPr="004C3DC0">
        <w:rPr>
          <w:rFonts w:ascii="Verdana" w:hAnsi="Verdana"/>
          <w:spacing w:val="-3"/>
        </w:rPr>
        <w:t xml:space="preserve"> </w:t>
      </w:r>
      <w:r w:rsidRPr="004C3DC0">
        <w:rPr>
          <w:rFonts w:ascii="Verdana" w:hAnsi="Verdana"/>
        </w:rPr>
        <w:t>al</w:t>
      </w:r>
      <w:r w:rsidRPr="004C3DC0">
        <w:rPr>
          <w:rFonts w:ascii="Verdana" w:hAnsi="Verdana"/>
          <w:spacing w:val="-2"/>
        </w:rPr>
        <w:t xml:space="preserve"> </w:t>
      </w:r>
      <w:r w:rsidRPr="004C3DC0">
        <w:rPr>
          <w:rFonts w:ascii="Verdana" w:hAnsi="Verdana"/>
        </w:rPr>
        <w:t>Sistema</w:t>
      </w:r>
      <w:r w:rsidRPr="004C3DC0">
        <w:rPr>
          <w:rFonts w:ascii="Verdana" w:hAnsi="Verdana"/>
          <w:spacing w:val="-5"/>
        </w:rPr>
        <w:t xml:space="preserve"> </w:t>
      </w:r>
      <w:r w:rsidRPr="004C3DC0">
        <w:rPr>
          <w:rFonts w:ascii="Verdana" w:hAnsi="Verdana"/>
        </w:rPr>
        <w:t>de</w:t>
      </w:r>
      <w:r w:rsidRPr="004C3DC0">
        <w:rPr>
          <w:rFonts w:ascii="Verdana" w:hAnsi="Verdana"/>
          <w:spacing w:val="-3"/>
        </w:rPr>
        <w:t xml:space="preserve"> </w:t>
      </w:r>
      <w:r w:rsidRPr="004C3DC0">
        <w:rPr>
          <w:rFonts w:ascii="Verdana" w:hAnsi="Verdana"/>
        </w:rPr>
        <w:t>Seguridad</w:t>
      </w:r>
      <w:r w:rsidRPr="004C3DC0">
        <w:rPr>
          <w:rFonts w:ascii="Verdana" w:hAnsi="Verdana"/>
          <w:spacing w:val="-3"/>
        </w:rPr>
        <w:t xml:space="preserve"> </w:t>
      </w:r>
      <w:r w:rsidRPr="004C3DC0">
        <w:rPr>
          <w:rFonts w:ascii="Verdana" w:hAnsi="Verdana"/>
        </w:rPr>
        <w:t>Social</w:t>
      </w:r>
      <w:r w:rsidRPr="004C3DC0">
        <w:rPr>
          <w:rFonts w:ascii="Verdana" w:hAnsi="Verdana"/>
          <w:spacing w:val="-2"/>
        </w:rPr>
        <w:t xml:space="preserve"> </w:t>
      </w:r>
      <w:r w:rsidRPr="004C3DC0">
        <w:rPr>
          <w:rFonts w:ascii="Verdana" w:hAnsi="Verdana"/>
        </w:rPr>
        <w:t>integral,</w:t>
      </w:r>
      <w:r w:rsidRPr="004C3DC0">
        <w:rPr>
          <w:rFonts w:ascii="Verdana" w:hAnsi="Verdana"/>
          <w:spacing w:val="-5"/>
        </w:rPr>
        <w:t xml:space="preserve"> </w:t>
      </w:r>
      <w:r w:rsidRPr="004C3DC0">
        <w:rPr>
          <w:rFonts w:ascii="Verdana" w:hAnsi="Verdana"/>
        </w:rPr>
        <w:t>al</w:t>
      </w:r>
      <w:r w:rsidRPr="004C3DC0">
        <w:rPr>
          <w:rFonts w:ascii="Verdana" w:hAnsi="Verdana"/>
          <w:spacing w:val="-2"/>
        </w:rPr>
        <w:t xml:space="preserve"> </w:t>
      </w:r>
      <w:r w:rsidRPr="004C3DC0">
        <w:rPr>
          <w:rFonts w:ascii="Verdana" w:hAnsi="Verdana"/>
        </w:rPr>
        <w:t>señalar:</w:t>
      </w:r>
    </w:p>
    <w:p w14:paraId="7D61B381" w14:textId="77777777" w:rsidR="009973D8" w:rsidRPr="004C3DC0" w:rsidRDefault="009973D8" w:rsidP="009973D8">
      <w:pPr>
        <w:spacing w:line="240" w:lineRule="auto"/>
        <w:ind w:left="1009" w:right="758"/>
        <w:jc w:val="both"/>
        <w:rPr>
          <w:rFonts w:ascii="Verdana" w:hAnsi="Verdana"/>
          <w:sz w:val="20"/>
        </w:rPr>
      </w:pPr>
      <w:r w:rsidRPr="004C3DC0">
        <w:rPr>
          <w:rFonts w:ascii="Verdana" w:hAnsi="Verdana"/>
          <w:sz w:val="20"/>
        </w:rPr>
        <w:t>Para</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9"/>
          <w:sz w:val="20"/>
        </w:rPr>
        <w:t xml:space="preserve"> </w:t>
      </w:r>
      <w:r w:rsidRPr="004C3DC0">
        <w:rPr>
          <w:rFonts w:ascii="Verdana" w:hAnsi="Verdana"/>
          <w:sz w:val="20"/>
        </w:rPr>
        <w:t>ejecución</w:t>
      </w:r>
      <w:r w:rsidRPr="004C3DC0">
        <w:rPr>
          <w:rFonts w:ascii="Verdana" w:hAnsi="Verdana"/>
          <w:spacing w:val="6"/>
          <w:sz w:val="20"/>
        </w:rPr>
        <w:t xml:space="preserve"> </w:t>
      </w:r>
      <w:r w:rsidRPr="004C3DC0">
        <w:rPr>
          <w:rFonts w:ascii="Verdana" w:hAnsi="Verdana"/>
          <w:sz w:val="20"/>
        </w:rPr>
        <w:t>se</w:t>
      </w:r>
      <w:r w:rsidRPr="004C3DC0">
        <w:rPr>
          <w:rFonts w:ascii="Verdana" w:hAnsi="Verdana"/>
          <w:spacing w:val="7"/>
          <w:sz w:val="20"/>
        </w:rPr>
        <w:t xml:space="preserve"> </w:t>
      </w:r>
      <w:r w:rsidRPr="004C3DC0">
        <w:rPr>
          <w:rFonts w:ascii="Verdana" w:hAnsi="Verdana"/>
          <w:sz w:val="20"/>
        </w:rPr>
        <w:t>requerirá</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10"/>
          <w:sz w:val="20"/>
        </w:rPr>
        <w:t xml:space="preserve"> </w:t>
      </w:r>
      <w:r w:rsidRPr="004C3DC0">
        <w:rPr>
          <w:rFonts w:ascii="Verdana" w:hAnsi="Verdana"/>
          <w:sz w:val="20"/>
        </w:rPr>
        <w:t>aprobación</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6"/>
          <w:sz w:val="20"/>
        </w:rPr>
        <w:t xml:space="preserve"> </w:t>
      </w:r>
      <w:r w:rsidRPr="004C3DC0">
        <w:rPr>
          <w:rFonts w:ascii="Verdana" w:hAnsi="Verdana"/>
          <w:sz w:val="20"/>
        </w:rPr>
        <w:t>la</w:t>
      </w:r>
      <w:r w:rsidRPr="004C3DC0">
        <w:rPr>
          <w:rFonts w:ascii="Verdana" w:hAnsi="Verdana"/>
          <w:spacing w:val="10"/>
          <w:sz w:val="20"/>
        </w:rPr>
        <w:t xml:space="preserve"> </w:t>
      </w:r>
      <w:r w:rsidRPr="004C3DC0">
        <w:rPr>
          <w:rFonts w:ascii="Verdana" w:hAnsi="Verdana"/>
          <w:sz w:val="20"/>
        </w:rPr>
        <w:t>garantía</w:t>
      </w:r>
      <w:r w:rsidRPr="004C3DC0">
        <w:rPr>
          <w:rFonts w:ascii="Verdana" w:hAnsi="Verdana"/>
          <w:spacing w:val="8"/>
          <w:sz w:val="20"/>
        </w:rPr>
        <w:t xml:space="preserve"> </w:t>
      </w:r>
      <w:r w:rsidRPr="004C3DC0">
        <w:rPr>
          <w:rFonts w:ascii="Verdana" w:hAnsi="Verdana"/>
          <w:sz w:val="20"/>
        </w:rPr>
        <w:t>y</w:t>
      </w:r>
      <w:r w:rsidRPr="004C3DC0">
        <w:rPr>
          <w:rFonts w:ascii="Verdana" w:hAnsi="Verdana"/>
          <w:spacing w:val="4"/>
          <w:sz w:val="20"/>
        </w:rPr>
        <w:t xml:space="preserve"> </w:t>
      </w:r>
      <w:r w:rsidRPr="004C3DC0">
        <w:rPr>
          <w:rFonts w:ascii="Verdana" w:hAnsi="Verdana"/>
          <w:sz w:val="20"/>
        </w:rPr>
        <w:t>de</w:t>
      </w:r>
      <w:r w:rsidRPr="004C3DC0">
        <w:rPr>
          <w:rFonts w:ascii="Verdana" w:hAnsi="Verdana"/>
          <w:spacing w:val="7"/>
          <w:sz w:val="20"/>
        </w:rPr>
        <w:t xml:space="preserve"> </w:t>
      </w:r>
      <w:r w:rsidRPr="004C3DC0">
        <w:rPr>
          <w:rFonts w:ascii="Verdana" w:hAnsi="Verdana"/>
          <w:sz w:val="20"/>
        </w:rPr>
        <w:t>la</w:t>
      </w:r>
      <w:r w:rsidRPr="004C3DC0">
        <w:rPr>
          <w:rFonts w:ascii="Verdana" w:hAnsi="Verdana"/>
          <w:spacing w:val="6"/>
          <w:sz w:val="20"/>
        </w:rPr>
        <w:t xml:space="preserve"> </w:t>
      </w:r>
      <w:r w:rsidRPr="004C3DC0">
        <w:rPr>
          <w:rFonts w:ascii="Verdana" w:hAnsi="Verdana"/>
          <w:sz w:val="20"/>
        </w:rPr>
        <w:t>existencia</w:t>
      </w:r>
      <w:r w:rsidRPr="004C3DC0">
        <w:rPr>
          <w:rFonts w:ascii="Verdana" w:hAnsi="Verdana"/>
          <w:spacing w:val="6"/>
          <w:sz w:val="20"/>
        </w:rPr>
        <w:t xml:space="preserve"> </w:t>
      </w:r>
      <w:r w:rsidRPr="004C3DC0">
        <w:rPr>
          <w:rFonts w:ascii="Verdana" w:hAnsi="Verdana"/>
          <w:sz w:val="20"/>
        </w:rPr>
        <w:t>de</w:t>
      </w:r>
      <w:r w:rsidRPr="004C3DC0">
        <w:rPr>
          <w:rFonts w:ascii="Verdana" w:hAnsi="Verdana"/>
          <w:spacing w:val="7"/>
          <w:sz w:val="20"/>
        </w:rPr>
        <w:t xml:space="preserve"> </w:t>
      </w:r>
      <w:r w:rsidRPr="004C3DC0">
        <w:rPr>
          <w:rFonts w:ascii="Verdana" w:hAnsi="Verdana"/>
          <w:sz w:val="20"/>
        </w:rPr>
        <w:t>las</w:t>
      </w:r>
      <w:r>
        <w:rPr>
          <w:rFonts w:ascii="Verdana" w:hAnsi="Verdana"/>
          <w:sz w:val="20"/>
        </w:rPr>
        <w:t xml:space="preserve"> </w:t>
      </w:r>
      <w:r w:rsidRPr="004C3DC0">
        <w:rPr>
          <w:rFonts w:ascii="Verdana" w:hAnsi="Verdana"/>
          <w:sz w:val="20"/>
        </w:rPr>
        <w:t>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w:t>
      </w:r>
      <w:r w:rsidRPr="004C3DC0">
        <w:rPr>
          <w:rFonts w:ascii="Verdana" w:hAnsi="Verdana"/>
          <w:spacing w:val="-5"/>
          <w:sz w:val="20"/>
        </w:rPr>
        <w:t xml:space="preserve"> </w:t>
      </w:r>
      <w:r w:rsidRPr="004C3DC0">
        <w:rPr>
          <w:rFonts w:ascii="Verdana" w:hAnsi="Verdana"/>
          <w:sz w:val="20"/>
        </w:rPr>
        <w:t>corresponda.</w:t>
      </w:r>
    </w:p>
    <w:p w14:paraId="28305E94" w14:textId="77777777" w:rsidR="009973D8" w:rsidRPr="004C3DC0" w:rsidRDefault="009973D8" w:rsidP="009973D8">
      <w:pPr>
        <w:spacing w:line="240" w:lineRule="auto"/>
        <w:ind w:left="1009" w:right="740"/>
        <w:jc w:val="both"/>
        <w:rPr>
          <w:rFonts w:ascii="Verdana" w:hAnsi="Verdana"/>
          <w:sz w:val="20"/>
        </w:rPr>
      </w:pPr>
      <w:r w:rsidRPr="004C3DC0">
        <w:rPr>
          <w:rFonts w:ascii="Verdana" w:hAnsi="Verdana"/>
          <w:sz w:val="20"/>
        </w:rPr>
        <w:t>Parágrafo 1. El requisito establecido en la parte final del inciso segundo de este artículo deberá acreditarse para la realización de cada pago derivado del contrato estatal.</w:t>
      </w:r>
    </w:p>
    <w:p w14:paraId="62A915A0" w14:textId="77777777" w:rsidR="009973D8" w:rsidRPr="001B777E" w:rsidRDefault="009973D8" w:rsidP="009973D8">
      <w:pPr>
        <w:ind w:left="1008" w:right="734"/>
        <w:jc w:val="both"/>
        <w:rPr>
          <w:rFonts w:ascii="Verdana" w:hAnsi="Verdana"/>
          <w:sz w:val="20"/>
        </w:rPr>
      </w:pPr>
      <w:r w:rsidRPr="004C3DC0">
        <w:rPr>
          <w:rFonts w:ascii="Verdana" w:hAnsi="Verdana"/>
          <w:sz w:val="20"/>
        </w:rPr>
        <w:t>El servidor público que sin justa causa no verifique el pago de los aportes a que se refiere el presente artículo, incurrirá en causal de mala conducta, que será sancionada con arreglo al régimen disciplinario vigente.</w:t>
      </w:r>
    </w:p>
    <w:p w14:paraId="0BAF8E5E"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De la lectura integral del artículo 23 de la Ley 1150 de 2007 se concluye que</w:t>
      </w:r>
      <w:r>
        <w:rPr>
          <w:rFonts w:ascii="Verdana" w:hAnsi="Verdana"/>
        </w:rPr>
        <w:t>,</w:t>
      </w:r>
      <w:r w:rsidRPr="004C3DC0">
        <w:rPr>
          <w:rFonts w:ascii="Verdana" w:hAnsi="Verdana"/>
        </w:rPr>
        <w:t xml:space="preserve"> si bien los proponentes y los contratistas deben estar al día en el pago al Sistema de Seguridad Social, la verificación de este requisito, por parte de las entidades estatales, se </w:t>
      </w:r>
      <w:r>
        <w:rPr>
          <w:rFonts w:ascii="Verdana" w:hAnsi="Verdana"/>
        </w:rPr>
        <w:t>efectuará</w:t>
      </w:r>
      <w:r w:rsidRPr="004C3DC0">
        <w:rPr>
          <w:rFonts w:ascii="Verdana" w:hAnsi="Verdana"/>
        </w:rPr>
        <w:t xml:space="preserve"> cuando realicen los pagos del contrato, es decir, durante la ejecución.</w:t>
      </w:r>
    </w:p>
    <w:p w14:paraId="68F56D8F"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No obstante, el artículo 50 de la Ley 789 de 2002 previó una regla especial para las personas jurídicas que quieren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ejecutarlo, si lo es para admitir la</w:t>
      </w:r>
      <w:r w:rsidRPr="004C3DC0">
        <w:rPr>
          <w:rFonts w:ascii="Verdana" w:hAnsi="Verdana"/>
          <w:spacing w:val="-8"/>
        </w:rPr>
        <w:t xml:space="preserve"> </w:t>
      </w:r>
      <w:r w:rsidRPr="004C3DC0">
        <w:rPr>
          <w:rFonts w:ascii="Verdana" w:hAnsi="Verdana"/>
        </w:rPr>
        <w:t>oferta.</w:t>
      </w:r>
    </w:p>
    <w:p w14:paraId="2A78F6BE"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 xml:space="preserve">En este sentido, la verificación del aporte al pago al sistema de seguridad social cambia dependiendo si se trata de una persona natural o de una jurídica: i) si es una natural, la entidad estatal verificará el pago al sistema de seguridad social cuando se realicen los pagos del contrato, es decir, durante su ejecución y </w:t>
      </w:r>
      <w:proofErr w:type="spellStart"/>
      <w:r w:rsidRPr="004C3DC0">
        <w:rPr>
          <w:rFonts w:ascii="Verdana" w:hAnsi="Verdana"/>
        </w:rPr>
        <w:t>ii</w:t>
      </w:r>
      <w:proofErr w:type="spellEnd"/>
      <w:r w:rsidRPr="004C3DC0">
        <w:rPr>
          <w:rFonts w:ascii="Verdana" w:hAnsi="Verdana"/>
        </w:rPr>
        <w:t>) si se refiere a una persona jurídica, el comprobante de pago de los aportes al sistema de seguridad social de sus empleados se debe aportar con la presentación de la oferta, y este constituye un criterio de admisión de la misma; sin perjuicio de que durante la ejecución del contrato también se acredite el pago al sistema de seguridad social para cancelar las cuentas o</w:t>
      </w:r>
      <w:r w:rsidRPr="004C3DC0">
        <w:rPr>
          <w:rFonts w:ascii="Verdana" w:hAnsi="Verdana"/>
          <w:spacing w:val="-14"/>
        </w:rPr>
        <w:t xml:space="preserve"> </w:t>
      </w:r>
      <w:r w:rsidRPr="004C3DC0">
        <w:rPr>
          <w:rFonts w:ascii="Verdana" w:hAnsi="Verdana"/>
        </w:rPr>
        <w:t>facturas.</w:t>
      </w:r>
    </w:p>
    <w:p w14:paraId="7D9EB129"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 xml:space="preserve">Ahora, </w:t>
      </w:r>
      <w:r>
        <w:rPr>
          <w:rFonts w:ascii="Verdana" w:hAnsi="Verdana"/>
        </w:rPr>
        <w:t xml:space="preserve">sobre el problema jurídico planteado respecto a </w:t>
      </w:r>
      <w:r w:rsidRPr="004C3DC0">
        <w:rPr>
          <w:rFonts w:ascii="Verdana" w:hAnsi="Verdana"/>
        </w:rPr>
        <w:t xml:space="preserve">si </w:t>
      </w:r>
      <w:r>
        <w:rPr>
          <w:rFonts w:ascii="Verdana" w:hAnsi="Verdana"/>
        </w:rPr>
        <w:t xml:space="preserve">la entidad territorial está en la obligación de exigirle al contratista la afiliación al sistema general de pensiones cuando dicha persona, si bien cumple con la edad para pensionarse, pero no ha cotizado a pensión, el contratista </w:t>
      </w:r>
      <w:r w:rsidRPr="004C3DC0">
        <w:rPr>
          <w:rFonts w:ascii="Verdana" w:hAnsi="Verdana"/>
        </w:rPr>
        <w:t>debe</w:t>
      </w:r>
      <w:r>
        <w:rPr>
          <w:rFonts w:ascii="Verdana" w:hAnsi="Verdana"/>
        </w:rPr>
        <w:t xml:space="preserve">rá acreditar su afiliación </w:t>
      </w:r>
      <w:r w:rsidRPr="004C3DC0">
        <w:rPr>
          <w:rFonts w:ascii="Verdana" w:hAnsi="Verdana"/>
        </w:rPr>
        <w:t xml:space="preserve">al sistema de seguridad social </w:t>
      </w:r>
      <w:r>
        <w:rPr>
          <w:rFonts w:ascii="Verdana" w:hAnsi="Verdana"/>
        </w:rPr>
        <w:t xml:space="preserve">en pensión. </w:t>
      </w:r>
    </w:p>
    <w:p w14:paraId="4BFF5F70" w14:textId="77777777" w:rsidR="009973D8" w:rsidRDefault="009973D8" w:rsidP="009973D8">
      <w:pPr>
        <w:pStyle w:val="Textoindependiente"/>
        <w:spacing w:after="120" w:line="276" w:lineRule="auto"/>
        <w:ind w:right="49" w:firstLine="709"/>
        <w:jc w:val="both"/>
        <w:rPr>
          <w:rFonts w:ascii="Verdana" w:hAnsi="Verdana"/>
        </w:rPr>
      </w:pPr>
      <w:r>
        <w:rPr>
          <w:rFonts w:ascii="Verdana" w:hAnsi="Verdana"/>
        </w:rPr>
        <w:t>La Le</w:t>
      </w:r>
      <w:r w:rsidRPr="004C3DC0">
        <w:rPr>
          <w:rFonts w:ascii="Verdana" w:hAnsi="Verdana"/>
        </w:rPr>
        <w:t>y 797 de 2003, que regula el Sistema General de Pensiones, en el artículo 3 establece que tienen la obligación de estar afiliados al Sistema General de Pensiones todas las personas naturales que presten directamente servicios al Estado o a las entidades bajo la modalidad de contratos de prestación de</w:t>
      </w:r>
      <w:r w:rsidRPr="004C3DC0">
        <w:rPr>
          <w:rFonts w:ascii="Verdana" w:hAnsi="Verdana"/>
          <w:spacing w:val="-13"/>
        </w:rPr>
        <w:t xml:space="preserve"> </w:t>
      </w:r>
      <w:r w:rsidRPr="004C3DC0">
        <w:rPr>
          <w:rFonts w:ascii="Verdana" w:hAnsi="Verdana"/>
        </w:rPr>
        <w:t>servicios</w:t>
      </w:r>
      <w:r w:rsidRPr="004C3DC0">
        <w:rPr>
          <w:rStyle w:val="Refdenotaalpie"/>
          <w:rFonts w:ascii="Verdana" w:hAnsi="Verdana"/>
        </w:rPr>
        <w:footnoteReference w:id="5"/>
      </w:r>
      <w:r w:rsidRPr="004C3DC0">
        <w:rPr>
          <w:rFonts w:ascii="Verdana" w:hAnsi="Verdana"/>
        </w:rPr>
        <w:t>.</w:t>
      </w:r>
    </w:p>
    <w:p w14:paraId="1EFD3B1C" w14:textId="77777777" w:rsidR="009973D8" w:rsidRDefault="009973D8" w:rsidP="009973D8">
      <w:pPr>
        <w:pStyle w:val="Textoindependiente"/>
        <w:spacing w:after="120" w:line="276" w:lineRule="auto"/>
        <w:ind w:right="49" w:firstLine="709"/>
        <w:jc w:val="both"/>
        <w:rPr>
          <w:rFonts w:ascii="Verdana" w:hAnsi="Verdana"/>
        </w:rPr>
      </w:pPr>
      <w:r w:rsidRPr="004C3DC0">
        <w:rPr>
          <w:rFonts w:ascii="Verdana" w:hAnsi="Verdana"/>
        </w:rPr>
        <w:t>Ahora bien, el artículo 4 señala</w:t>
      </w:r>
      <w:r>
        <w:rPr>
          <w:rStyle w:val="Refdenotaalpie"/>
          <w:rFonts w:ascii="Verdana" w:hAnsi="Verdana"/>
        </w:rPr>
        <w:footnoteReference w:id="6"/>
      </w:r>
      <w:r w:rsidRPr="004C3DC0">
        <w:rPr>
          <w:rFonts w:ascii="Verdana" w:hAnsi="Verdana"/>
        </w:rPr>
        <w:t xml:space="preserve">, en relación con la cotización al Sistema General </w:t>
      </w:r>
      <w:r w:rsidRPr="004C3DC0">
        <w:rPr>
          <w:rFonts w:ascii="Verdana" w:hAnsi="Verdana"/>
          <w:spacing w:val="-3"/>
        </w:rPr>
        <w:t xml:space="preserve">de </w:t>
      </w:r>
      <w:r w:rsidRPr="004C3DC0">
        <w:rPr>
          <w:rFonts w:ascii="Verdana" w:hAnsi="Verdana"/>
        </w:rPr>
        <w:t>Pensiones, que durante la vigencia del contrato de prestación de servicios se efectuarán cotizaciones obligatorias por parte de los empleadores y contratistas con base en el salario o ingresos por prestación de servicios que ellos devenguen, sin embargo, la obligación de cotizar cesa al momento en que el afiliado reúna los requisitos para acceder a la pensión mínima de vejez, o cuando el afiliado se pensione por invalidez o anticipadamente</w:t>
      </w:r>
      <w:r w:rsidRPr="004C3DC0">
        <w:rPr>
          <w:rStyle w:val="Refdenotaalpie"/>
          <w:rFonts w:ascii="Verdana" w:hAnsi="Verdana"/>
        </w:rPr>
        <w:footnoteReference w:id="7"/>
      </w:r>
      <w:r w:rsidRPr="004C3DC0">
        <w:rPr>
          <w:rFonts w:ascii="Verdana" w:hAnsi="Verdana"/>
        </w:rPr>
        <w:t>. En este sentido, una persona natural que se encuentre pensionada y celebre un contrato con una entidad estatal no está obligada a cotizar al Sistema de Pensiones, por expresa disposición</w:t>
      </w:r>
      <w:r w:rsidRPr="004C3DC0">
        <w:rPr>
          <w:rFonts w:ascii="Verdana" w:hAnsi="Verdana"/>
          <w:spacing w:val="-2"/>
        </w:rPr>
        <w:t xml:space="preserve"> </w:t>
      </w:r>
      <w:r w:rsidRPr="004C3DC0">
        <w:rPr>
          <w:rFonts w:ascii="Verdana" w:hAnsi="Verdana"/>
        </w:rPr>
        <w:t>legal.</w:t>
      </w:r>
    </w:p>
    <w:p w14:paraId="73D15877" w14:textId="77777777" w:rsidR="009973D8" w:rsidRDefault="009973D8" w:rsidP="009973D8">
      <w:pPr>
        <w:pStyle w:val="Textoindependiente"/>
        <w:spacing w:after="120" w:line="276" w:lineRule="auto"/>
        <w:ind w:right="49" w:firstLine="709"/>
        <w:jc w:val="both"/>
        <w:rPr>
          <w:rFonts w:ascii="Verdana" w:hAnsi="Verdana"/>
          <w:lang w:val="es-CO"/>
        </w:rPr>
      </w:pPr>
      <w:r>
        <w:rPr>
          <w:rFonts w:ascii="Verdana" w:hAnsi="Verdana"/>
        </w:rPr>
        <w:t>Podría pensarse que, según lo establecido en el artículo 61 de la Ley 100 de 1993 en su literal b) están</w:t>
      </w:r>
      <w:r w:rsidRPr="00831795">
        <w:rPr>
          <w:rFonts w:ascii="Verdana" w:hAnsi="Verdana"/>
          <w:lang w:val="es-CO"/>
        </w:rPr>
        <w:t xml:space="preserve"> excluidos del Régimen de Ahorro Individual con Solidaridad</w:t>
      </w:r>
      <w:r>
        <w:rPr>
          <w:rFonts w:ascii="Verdana" w:hAnsi="Verdana"/>
          <w:lang w:val="es-CO"/>
        </w:rPr>
        <w:t xml:space="preserve">: </w:t>
      </w:r>
      <w:r w:rsidRPr="00831795">
        <w:rPr>
          <w:rFonts w:ascii="Verdana" w:hAnsi="Verdana"/>
          <w:lang w:val="es-CO"/>
        </w:rPr>
        <w:t xml:space="preserve">Las personas que al </w:t>
      </w:r>
      <w:proofErr w:type="gramStart"/>
      <w:r w:rsidRPr="00831795">
        <w:rPr>
          <w:rFonts w:ascii="Verdana" w:hAnsi="Verdana"/>
          <w:lang w:val="es-CO"/>
        </w:rPr>
        <w:t>entrar en vigencia</w:t>
      </w:r>
      <w:proofErr w:type="gramEnd"/>
      <w:r w:rsidRPr="00831795">
        <w:rPr>
          <w:rFonts w:ascii="Verdana" w:hAnsi="Verdana"/>
          <w:lang w:val="es-CO"/>
        </w:rPr>
        <w:t xml:space="preserve"> el sistema tuvieren cincuenta y cinco (55) años o más de edad, si son hombres, o cincuenta (50) años o más de edad, si son mujeres, salvo que decidan cotizar por lo menos 500 semanas en el nuevo régimen, caso en el cual será obligatorio para el empleador efectuar los aportes correspondientes</w:t>
      </w:r>
      <w:r>
        <w:rPr>
          <w:rFonts w:ascii="Verdana" w:hAnsi="Verdana"/>
          <w:lang w:val="es-CO"/>
        </w:rPr>
        <w:t>. Este literal no implica una exclusión del sistema general, sino solo del régimen de ahorro individual, de modo que resulta obligatorio afiliarse al sistema de prima media.</w:t>
      </w:r>
    </w:p>
    <w:p w14:paraId="413BCF62" w14:textId="77777777" w:rsidR="009973D8" w:rsidRPr="001C522B" w:rsidRDefault="009973D8" w:rsidP="009973D8">
      <w:pPr>
        <w:pStyle w:val="Textoindependiente"/>
        <w:spacing w:after="120" w:line="276" w:lineRule="auto"/>
        <w:ind w:right="49" w:firstLine="709"/>
        <w:jc w:val="both"/>
        <w:rPr>
          <w:rFonts w:ascii="Verdana" w:hAnsi="Verdana"/>
          <w:lang w:val="es-CO"/>
        </w:rPr>
      </w:pPr>
      <w:r>
        <w:rPr>
          <w:rFonts w:ascii="Verdana" w:hAnsi="Verdana"/>
          <w:lang w:val="es-CO"/>
        </w:rPr>
        <w:t xml:space="preserve">En esa medida conforme lo dispuso la Corte Suprema de Justicia “(…) </w:t>
      </w:r>
      <w:r w:rsidRPr="000E0929">
        <w:rPr>
          <w:rFonts w:ascii="Verdana" w:hAnsi="Verdana"/>
          <w:lang w:val="es-CO"/>
        </w:rPr>
        <w:t>a partir de la expedición de la Ley 100 de 1993 no existe ninguna disposición que excluya a aquellos trabajadores activos que tengan o sobrepasen la edad mínima exigida para acceder a la pensión de vejez, de la obligación de afiliarse al sistema para cubrir otros riesgos como la invalidez y la muerte</w:t>
      </w:r>
      <w:r>
        <w:rPr>
          <w:rFonts w:ascii="Verdana" w:hAnsi="Verdana"/>
          <w:lang w:val="es-CO"/>
        </w:rPr>
        <w:t xml:space="preserve"> (…)”</w:t>
      </w:r>
      <w:r>
        <w:rPr>
          <w:rStyle w:val="Refdenotaalpie"/>
          <w:rFonts w:ascii="Verdana" w:hAnsi="Verdana"/>
          <w:lang w:val="es-CO"/>
        </w:rPr>
        <w:footnoteReference w:id="8"/>
      </w:r>
      <w:r>
        <w:rPr>
          <w:rFonts w:ascii="Verdana" w:hAnsi="Verdana"/>
          <w:lang w:val="es-CO"/>
        </w:rPr>
        <w:t xml:space="preserve">. </w:t>
      </w:r>
    </w:p>
    <w:p w14:paraId="2E8FA9B6" w14:textId="77777777" w:rsidR="009973D8" w:rsidRDefault="009973D8" w:rsidP="009973D8">
      <w:pPr>
        <w:pStyle w:val="Textoindependiente"/>
        <w:spacing w:after="120" w:line="276" w:lineRule="auto"/>
        <w:ind w:right="49" w:firstLine="709"/>
        <w:jc w:val="both"/>
        <w:rPr>
          <w:rFonts w:ascii="Verdana" w:hAnsi="Verdana"/>
        </w:rPr>
      </w:pPr>
      <w:r>
        <w:rPr>
          <w:rFonts w:ascii="Verdana" w:hAnsi="Verdana"/>
        </w:rPr>
        <w:t xml:space="preserve">De esta manera, resulta oportuno indicar que la afiliación no solo se predica de la pensión de vejez sino también abarca la pensión por invalidez o muerte, como lo expuso la Corte Suprema de Justicia al indicar que: </w:t>
      </w:r>
    </w:p>
    <w:p w14:paraId="586E6D0E" w14:textId="77777777" w:rsidR="009973D8" w:rsidRDefault="009973D8" w:rsidP="009973D8">
      <w:pPr>
        <w:pStyle w:val="Textoindependiente"/>
        <w:ind w:left="567" w:right="760"/>
        <w:jc w:val="both"/>
        <w:rPr>
          <w:rFonts w:ascii="Verdana" w:hAnsi="Verdana"/>
          <w:sz w:val="20"/>
          <w:szCs w:val="20"/>
        </w:rPr>
      </w:pPr>
      <w:r w:rsidRPr="00D64DE8">
        <w:rPr>
          <w:rFonts w:ascii="Verdana" w:hAnsi="Verdana"/>
          <w:sz w:val="20"/>
          <w:szCs w:val="20"/>
        </w:rPr>
        <w:t>“</w:t>
      </w:r>
      <w:r w:rsidRPr="00D64DE8">
        <w:rPr>
          <w:rFonts w:ascii="Verdana" w:hAnsi="Verdana"/>
          <w:sz w:val="20"/>
          <w:szCs w:val="20"/>
          <w:lang w:val="es-CO"/>
        </w:rPr>
        <w:t>las personas de edad avanzada también tienen derecho a acceder a un trabajo dependiente o por cuenta propia, en cuyo caso, su afiliación al sistema de seguridad social es ineludible pese a que tengan la edad de pensión por vejez, -prestación que por tal razón no obtendrán-, y, en esa medida, sí tienen derecho, en el régimen de prima media con prestación definida, a estar amparadas para cubrir los eventuales riesgos de invalidez y muerte. (CSJ SL 16155-2014 y CSJ SL2159-2017)</w:t>
      </w:r>
      <w:r w:rsidRPr="00D64DE8">
        <w:rPr>
          <w:rStyle w:val="Refdenotaalpie"/>
          <w:rFonts w:ascii="Verdana" w:hAnsi="Verdana"/>
          <w:sz w:val="20"/>
          <w:szCs w:val="20"/>
          <w:lang w:val="es-CO"/>
        </w:rPr>
        <w:footnoteReference w:id="9"/>
      </w:r>
      <w:r w:rsidRPr="00D64DE8">
        <w:rPr>
          <w:rFonts w:ascii="Verdana" w:hAnsi="Verdana"/>
          <w:sz w:val="20"/>
          <w:szCs w:val="20"/>
          <w:lang w:val="es-CO"/>
        </w:rPr>
        <w:t>.</w:t>
      </w:r>
    </w:p>
    <w:p w14:paraId="1F5A85EF" w14:textId="77777777" w:rsidR="009973D8" w:rsidRPr="00D64DE8" w:rsidRDefault="009973D8" w:rsidP="009973D8">
      <w:pPr>
        <w:pStyle w:val="Textoindependiente"/>
        <w:ind w:left="567" w:right="760"/>
        <w:jc w:val="both"/>
        <w:rPr>
          <w:rFonts w:ascii="Verdana" w:hAnsi="Verdana"/>
          <w:sz w:val="20"/>
          <w:szCs w:val="20"/>
        </w:rPr>
      </w:pPr>
    </w:p>
    <w:p w14:paraId="6ED0DF1D" w14:textId="77777777" w:rsidR="009973D8" w:rsidRDefault="009973D8" w:rsidP="009973D8">
      <w:pPr>
        <w:pStyle w:val="Textoindependiente"/>
        <w:spacing w:after="120" w:line="276" w:lineRule="auto"/>
        <w:ind w:right="49" w:firstLine="709"/>
        <w:jc w:val="both"/>
        <w:rPr>
          <w:rFonts w:ascii="Verdana" w:hAnsi="Verdana"/>
        </w:rPr>
      </w:pPr>
      <w:r>
        <w:rPr>
          <w:rFonts w:ascii="Verdana" w:hAnsi="Verdana"/>
        </w:rPr>
        <w:t xml:space="preserve">Por lo tanto, la entidad territorial deberá exigirle al futuro contratista la afiliación al sistema de seguridad social en pensiones, por cuanto se trata de una afiliación que cobija no solo lo relativo a la pensión de vejez sino por invalidez o muerte por cuanto según lo dispuesto en el artículo 10 de la Ley 100 de 1993 dispone que </w:t>
      </w:r>
      <w:r>
        <w:rPr>
          <w:rFonts w:ascii="Verdana" w:hAnsi="Verdana"/>
          <w:lang w:val="es-CO"/>
        </w:rPr>
        <w:t>e</w:t>
      </w:r>
      <w:r w:rsidRPr="00746237">
        <w:rPr>
          <w:rFonts w:ascii="Verdana" w:hAnsi="Verdana"/>
          <w:lang w:val="es-CO"/>
        </w:rPr>
        <w:t>l Sistema General de Pensiones tiene por objeto garantizar a la población, el amparo contra las contingencias derivadas de la vejez, la invalidez y la muerte, mediante el reconocimiento de las pensiones y prestaciones que se determinan en la presente Ley, así como propender por la ampliación progresiva de cobertura a los segmentos de población no cubiertos con un sistema de pensiones. </w:t>
      </w:r>
      <w:r>
        <w:rPr>
          <w:rFonts w:ascii="Verdana" w:hAnsi="Verdana"/>
        </w:rPr>
        <w:t xml:space="preserve"> </w:t>
      </w:r>
    </w:p>
    <w:p w14:paraId="5E0C4BB4" w14:textId="77777777" w:rsidR="009973D8" w:rsidRDefault="009973D8" w:rsidP="009973D8">
      <w:pPr>
        <w:pStyle w:val="Textoindependiente"/>
        <w:spacing w:after="120" w:line="276" w:lineRule="auto"/>
        <w:ind w:right="49"/>
        <w:jc w:val="both"/>
        <w:rPr>
          <w:rFonts w:ascii="Verdana" w:hAnsi="Verdana"/>
        </w:rPr>
      </w:pPr>
      <w:proofErr w:type="spellStart"/>
      <w:r>
        <w:rPr>
          <w:rFonts w:ascii="Verdana" w:hAnsi="Verdana"/>
        </w:rPr>
        <w:t>ii</w:t>
      </w:r>
      <w:proofErr w:type="spellEnd"/>
      <w:r>
        <w:rPr>
          <w:rFonts w:ascii="Verdana" w:hAnsi="Verdana"/>
        </w:rPr>
        <w:t xml:space="preserve">) De otra parte, respecto del segundo problema jurídico, los fondos de pensiones deberán afiliar a la persona que se vinculará a través de un contrato de prestación de servicios, por cuanto dicha afiliación no solo cobija la pensión de vejez sino también por invalidez o por muerte como se expuso en líneas anteriores. </w:t>
      </w:r>
    </w:p>
    <w:p w14:paraId="18C10F16" w14:textId="77777777" w:rsidR="009973D8" w:rsidRPr="003C01CA" w:rsidRDefault="009973D8" w:rsidP="009973D8">
      <w:pPr>
        <w:pStyle w:val="Textoindependiente"/>
        <w:spacing w:after="120" w:line="276" w:lineRule="auto"/>
        <w:ind w:right="49" w:firstLine="709"/>
        <w:jc w:val="both"/>
        <w:rPr>
          <w:rFonts w:ascii="Verdana" w:hAnsi="Verdana"/>
          <w:lang w:val="es-CO"/>
        </w:rPr>
      </w:pPr>
      <w:r w:rsidRPr="003C01CA">
        <w:rPr>
          <w:rFonts w:ascii="Verdana" w:hAnsi="Verdana"/>
          <w:lang w:val="es-CO"/>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9590CC9" w14:textId="5E724006" w:rsidR="009973D8" w:rsidRPr="003C01CA" w:rsidRDefault="009973D8" w:rsidP="009973D8">
      <w:pPr>
        <w:pStyle w:val="Textoindependiente"/>
        <w:spacing w:after="120" w:line="276" w:lineRule="auto"/>
        <w:ind w:right="49" w:firstLine="709"/>
        <w:jc w:val="both"/>
        <w:rPr>
          <w:rFonts w:ascii="Verdana" w:hAnsi="Verdana"/>
          <w:lang w:val="es-CO"/>
        </w:rPr>
      </w:pPr>
      <w:r w:rsidRPr="003C01CA">
        <w:rPr>
          <w:rFonts w:ascii="Verdana" w:hAnsi="Verdana"/>
          <w:lang w:val="es-CO"/>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84C863C" w14:textId="77777777" w:rsidR="009973D8" w:rsidRPr="00D56DDB" w:rsidRDefault="009973D8" w:rsidP="009973D8">
      <w:pPr>
        <w:spacing w:after="0" w:line="276" w:lineRule="auto"/>
        <w:jc w:val="both"/>
        <w:rPr>
          <w:rFonts w:ascii="Verdana" w:eastAsia="Century Gothic" w:hAnsi="Verdana" w:cs="Century Gothic"/>
          <w:b/>
          <w:bCs/>
        </w:rPr>
      </w:pPr>
      <w:r w:rsidRPr="00D56DDB">
        <w:rPr>
          <w:rFonts w:ascii="Verdana" w:hAnsi="Verdana" w:cs="Arial"/>
          <w:b/>
          <w:color w:val="000000" w:themeColor="text1"/>
        </w:rPr>
        <w:t>4.</w:t>
      </w:r>
      <w:r w:rsidRPr="00D56DDB">
        <w:rPr>
          <w:rFonts w:ascii="Verdana" w:hAnsi="Verdana" w:cs="Arial"/>
          <w:bCs/>
          <w:color w:val="000000" w:themeColor="text1"/>
        </w:rPr>
        <w:t xml:space="preserve"> </w:t>
      </w:r>
      <w:r w:rsidRPr="00D56DDB">
        <w:rPr>
          <w:rFonts w:ascii="Verdana" w:eastAsia="Century Gothic" w:hAnsi="Verdana" w:cs="Century Gothic"/>
          <w:b/>
          <w:bCs/>
        </w:rPr>
        <w:t>Referencias normativas y jurisprudenciales:</w:t>
      </w:r>
      <w:bookmarkEnd w:id="2"/>
    </w:p>
    <w:p w14:paraId="5AC69884" w14:textId="77777777" w:rsidR="009973D8" w:rsidRPr="00D56DDB" w:rsidRDefault="009973D8" w:rsidP="009973D8">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973D8" w:rsidRPr="00D56DDB" w14:paraId="49FA9EC0" w14:textId="77777777" w:rsidTr="002908F6">
        <w:trPr>
          <w:trHeight w:val="56"/>
          <w:jc w:val="center"/>
        </w:trPr>
        <w:tc>
          <w:tcPr>
            <w:tcW w:w="8647" w:type="dxa"/>
          </w:tcPr>
          <w:p w14:paraId="0FD5EF4D" w14:textId="77777777" w:rsidR="009973D8"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cs="Arial"/>
                <w:lang w:val="es-CO" w:eastAsia="es-ES"/>
              </w:rPr>
              <w:t xml:space="preserve">Ley 100 de 1993. Artículo 61. </w:t>
            </w:r>
          </w:p>
          <w:p w14:paraId="1D4A0D4E" w14:textId="77777777" w:rsidR="009973D8"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cs="Arial"/>
                <w:lang w:val="es-CO" w:eastAsia="es-ES"/>
              </w:rPr>
              <w:t xml:space="preserve">Ley 80 de 1993. Artículo 41. </w:t>
            </w:r>
          </w:p>
          <w:p w14:paraId="3CED22E2" w14:textId="77777777" w:rsidR="009973D8"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cs="Arial"/>
                <w:lang w:val="es-CO" w:eastAsia="es-ES"/>
              </w:rPr>
              <w:t xml:space="preserve">Decreto 1406 de 1999. Artículo 16. </w:t>
            </w:r>
          </w:p>
          <w:p w14:paraId="705FFEC2" w14:textId="77777777" w:rsidR="009973D8" w:rsidRPr="007A7286" w:rsidRDefault="009973D8" w:rsidP="002908F6">
            <w:pPr>
              <w:pStyle w:val="Prrafodelista"/>
              <w:numPr>
                <w:ilvl w:val="0"/>
                <w:numId w:val="17"/>
              </w:numPr>
              <w:spacing w:line="276" w:lineRule="auto"/>
              <w:jc w:val="both"/>
              <w:rPr>
                <w:rFonts w:ascii="Verdana" w:hAnsi="Verdana" w:cs="Arial"/>
                <w:lang w:val="es-CO" w:eastAsia="es-ES"/>
              </w:rPr>
            </w:pPr>
            <w:r w:rsidRPr="004C3DC0">
              <w:rPr>
                <w:rFonts w:ascii="Verdana" w:hAnsi="Verdana"/>
              </w:rPr>
              <w:t>Ley 789 de 2002</w:t>
            </w:r>
            <w:r>
              <w:rPr>
                <w:rFonts w:ascii="Verdana" w:hAnsi="Verdana"/>
              </w:rPr>
              <w:t>. Artículo 50.</w:t>
            </w:r>
          </w:p>
          <w:p w14:paraId="2DBD3D55" w14:textId="77777777" w:rsidR="009973D8" w:rsidRPr="007A7286"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rPr>
              <w:t>Ley 797 de 2003. Artículo 3, 4.</w:t>
            </w:r>
          </w:p>
          <w:p w14:paraId="4FE6AC3C" w14:textId="77777777" w:rsidR="009973D8" w:rsidRPr="0005678A"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rPr>
              <w:t xml:space="preserve">Ley 1150 de 2007. Artículo 23. </w:t>
            </w:r>
          </w:p>
          <w:p w14:paraId="5F6A6924" w14:textId="77777777" w:rsidR="009973D8" w:rsidRPr="007A7286" w:rsidRDefault="009973D8" w:rsidP="002908F6">
            <w:pPr>
              <w:pStyle w:val="Prrafodelista"/>
              <w:numPr>
                <w:ilvl w:val="0"/>
                <w:numId w:val="17"/>
              </w:numPr>
              <w:spacing w:line="276" w:lineRule="auto"/>
              <w:jc w:val="both"/>
              <w:rPr>
                <w:rFonts w:ascii="Verdana" w:hAnsi="Verdana" w:cs="Arial"/>
                <w:lang w:val="es-CO" w:eastAsia="es-ES"/>
              </w:rPr>
            </w:pPr>
            <w:r>
              <w:rPr>
                <w:rFonts w:ascii="Verdana" w:hAnsi="Verdana"/>
              </w:rPr>
              <w:t>Decreto 780 de 2016. Artículo 2.1.4.1.</w:t>
            </w:r>
          </w:p>
          <w:p w14:paraId="105060C6" w14:textId="77777777" w:rsidR="009973D8" w:rsidRDefault="009973D8" w:rsidP="002908F6">
            <w:pPr>
              <w:pStyle w:val="Prrafodelista"/>
              <w:numPr>
                <w:ilvl w:val="0"/>
                <w:numId w:val="17"/>
              </w:numPr>
              <w:spacing w:line="276" w:lineRule="auto"/>
              <w:jc w:val="both"/>
              <w:rPr>
                <w:rFonts w:ascii="Verdana" w:hAnsi="Verdana" w:cs="Arial"/>
                <w:lang w:val="es-CO" w:eastAsia="es-ES"/>
              </w:rPr>
            </w:pPr>
            <w:r w:rsidRPr="007A7286">
              <w:rPr>
                <w:rFonts w:ascii="Verdana" w:hAnsi="Verdana" w:cs="Arial"/>
                <w:lang w:val="es-CO" w:eastAsia="es-ES"/>
              </w:rPr>
              <w:t>Consejo de Estado. Sala de lo Contencioso Administrativo. Sección Tercera. Subsección C. Sentencia del 8 de junio de 2011. Radicado No. 20001-23-31-000-2005-00409-01(AP). C.P: Enrique Gil Botero.</w:t>
            </w:r>
          </w:p>
          <w:p w14:paraId="769D4579" w14:textId="77777777" w:rsidR="009973D8" w:rsidRPr="0005678A" w:rsidRDefault="009973D8" w:rsidP="002908F6">
            <w:pPr>
              <w:pStyle w:val="Prrafodelista"/>
              <w:numPr>
                <w:ilvl w:val="0"/>
                <w:numId w:val="17"/>
              </w:numPr>
              <w:spacing w:line="276" w:lineRule="auto"/>
              <w:jc w:val="both"/>
              <w:rPr>
                <w:rFonts w:ascii="Verdana" w:hAnsi="Verdana" w:cs="Arial"/>
                <w:lang w:val="es-CO" w:eastAsia="es-ES"/>
              </w:rPr>
            </w:pPr>
            <w:r w:rsidRPr="0005678A">
              <w:rPr>
                <w:rFonts w:ascii="Verdana" w:hAnsi="Verdana"/>
              </w:rPr>
              <w:t xml:space="preserve">Corte Suprema de Justicia. Sala de Casación Laboral. 25 de noviembre de 2020. </w:t>
            </w:r>
            <w:r w:rsidRPr="0005678A">
              <w:rPr>
                <w:rFonts w:ascii="Verdana" w:hAnsi="Verdana"/>
                <w:lang w:val="es-CO"/>
              </w:rPr>
              <w:t xml:space="preserve">Radicación </w:t>
            </w:r>
            <w:proofErr w:type="spellStart"/>
            <w:r w:rsidRPr="0005678A">
              <w:rPr>
                <w:rFonts w:ascii="Verdana" w:hAnsi="Verdana"/>
                <w:lang w:val="es-CO"/>
              </w:rPr>
              <w:t>n.°</w:t>
            </w:r>
            <w:proofErr w:type="spellEnd"/>
            <w:r w:rsidRPr="0005678A">
              <w:rPr>
                <w:rFonts w:ascii="Verdana" w:hAnsi="Verdana"/>
                <w:lang w:val="es-CO"/>
              </w:rPr>
              <w:t xml:space="preserve"> 86013. SL4698-2020. M.P: Clara Cecilia Dueñas Quevedo. Disponible en </w:t>
            </w:r>
            <w:hyperlink r:id="rId12" w:history="1">
              <w:r w:rsidRPr="0005678A">
                <w:rPr>
                  <w:rStyle w:val="Hipervnculo"/>
                  <w:rFonts w:ascii="Verdana" w:hAnsi="Verdana"/>
                  <w:lang w:val="es-CO"/>
                </w:rPr>
                <w:t>SL4698-2020.pdf</w:t>
              </w:r>
            </w:hyperlink>
          </w:p>
          <w:p w14:paraId="0A7F1FFB" w14:textId="77777777" w:rsidR="009973D8" w:rsidRPr="0005678A" w:rsidRDefault="009973D8" w:rsidP="002908F6">
            <w:pPr>
              <w:pStyle w:val="Prrafodelista"/>
              <w:numPr>
                <w:ilvl w:val="0"/>
                <w:numId w:val="17"/>
              </w:numPr>
              <w:spacing w:line="276" w:lineRule="auto"/>
              <w:jc w:val="both"/>
              <w:rPr>
                <w:rFonts w:ascii="Verdana" w:hAnsi="Verdana" w:cs="Arial"/>
                <w:lang w:val="es-CO" w:eastAsia="es-ES"/>
              </w:rPr>
            </w:pPr>
            <w:r w:rsidRPr="0005678A">
              <w:rPr>
                <w:rFonts w:ascii="Verdana" w:hAnsi="Verdana"/>
              </w:rPr>
              <w:t xml:space="preserve">Corte Suprema de Justicia. Sala de Casación Laboral. 5 de agosto de 2020. </w:t>
            </w:r>
            <w:r w:rsidRPr="0005678A">
              <w:rPr>
                <w:rFonts w:ascii="Verdana" w:hAnsi="Verdana"/>
                <w:lang w:val="es-CO"/>
              </w:rPr>
              <w:t xml:space="preserve">Radicación </w:t>
            </w:r>
            <w:proofErr w:type="spellStart"/>
            <w:r w:rsidRPr="0005678A">
              <w:rPr>
                <w:rFonts w:ascii="Verdana" w:hAnsi="Verdana"/>
                <w:lang w:val="es-CO"/>
              </w:rPr>
              <w:t>n.°</w:t>
            </w:r>
            <w:proofErr w:type="spellEnd"/>
            <w:r w:rsidRPr="0005678A">
              <w:rPr>
                <w:rFonts w:ascii="Verdana" w:hAnsi="Verdana"/>
                <w:lang w:val="es-CO"/>
              </w:rPr>
              <w:t xml:space="preserve"> 76937. SL2991-2020. M.P: Clara Cecilia Dueñas Quevedo. Disponible en </w:t>
            </w:r>
            <w:hyperlink r:id="rId13" w:history="1">
              <w:r w:rsidRPr="0005678A">
                <w:rPr>
                  <w:rStyle w:val="Hipervnculo"/>
                  <w:rFonts w:ascii="Verdana" w:hAnsi="Verdana"/>
                  <w:lang w:val="es-CO"/>
                </w:rPr>
                <w:t>CORTE SUPREMA DE JUSTICIA</w:t>
              </w:r>
            </w:hyperlink>
          </w:p>
        </w:tc>
      </w:tr>
    </w:tbl>
    <w:p w14:paraId="2EA8F8ED" w14:textId="77777777" w:rsidR="009973D8" w:rsidRPr="00D56DDB" w:rsidRDefault="009973D8" w:rsidP="009973D8">
      <w:pPr>
        <w:tabs>
          <w:tab w:val="left" w:pos="142"/>
          <w:tab w:val="left" w:pos="284"/>
          <w:tab w:val="left" w:pos="3828"/>
        </w:tabs>
        <w:spacing w:after="0" w:line="276" w:lineRule="auto"/>
        <w:jc w:val="both"/>
        <w:rPr>
          <w:rFonts w:ascii="Verdana" w:eastAsia="Century Gothic" w:hAnsi="Verdana" w:cs="Century Gothic"/>
          <w:b/>
          <w:bCs/>
        </w:rPr>
      </w:pPr>
    </w:p>
    <w:p w14:paraId="23627963" w14:textId="77777777" w:rsidR="009973D8" w:rsidRDefault="009973D8" w:rsidP="009973D8">
      <w:pPr>
        <w:tabs>
          <w:tab w:val="left" w:pos="142"/>
          <w:tab w:val="left" w:pos="284"/>
          <w:tab w:val="left" w:pos="3828"/>
        </w:tabs>
        <w:spacing w:after="0" w:line="276" w:lineRule="auto"/>
        <w:jc w:val="both"/>
        <w:rPr>
          <w:rFonts w:ascii="Verdana" w:eastAsia="Century Gothic" w:hAnsi="Verdana" w:cs="Century Gothic"/>
          <w:b/>
          <w:bCs/>
        </w:rPr>
      </w:pPr>
      <w:r w:rsidRPr="00D56DDB">
        <w:rPr>
          <w:rFonts w:ascii="Verdana" w:eastAsia="Century Gothic" w:hAnsi="Verdana" w:cs="Century Gothic"/>
          <w:b/>
          <w:bCs/>
        </w:rPr>
        <w:t>5. Doctrina de la Agencia Nacional de Contratación Pública:</w:t>
      </w:r>
    </w:p>
    <w:p w14:paraId="13D783EA" w14:textId="77777777" w:rsidR="009973D8" w:rsidRPr="00D56DDB" w:rsidRDefault="009973D8" w:rsidP="009973D8">
      <w:pPr>
        <w:tabs>
          <w:tab w:val="left" w:pos="142"/>
          <w:tab w:val="left" w:pos="284"/>
          <w:tab w:val="left" w:pos="3828"/>
        </w:tabs>
        <w:spacing w:after="0" w:line="276" w:lineRule="auto"/>
        <w:jc w:val="both"/>
        <w:rPr>
          <w:rFonts w:ascii="Verdana" w:eastAsia="Century Gothic" w:hAnsi="Verdana" w:cs="Century Gothic"/>
          <w:b/>
          <w:bCs/>
        </w:rPr>
      </w:pPr>
    </w:p>
    <w:p w14:paraId="4DEC5D48" w14:textId="77777777" w:rsidR="009973D8" w:rsidRPr="00EA15FC" w:rsidRDefault="009973D8" w:rsidP="009973D8">
      <w:pPr>
        <w:widowControl w:val="0"/>
        <w:autoSpaceDE w:val="0"/>
        <w:autoSpaceDN w:val="0"/>
        <w:spacing w:after="120" w:line="276" w:lineRule="auto"/>
        <w:jc w:val="both"/>
        <w:rPr>
          <w:rFonts w:ascii="Verdana" w:eastAsia="Calibri" w:hAnsi="Verdana" w:cs="Arial"/>
          <w:bCs/>
          <w:shd w:val="clear" w:color="auto" w:fill="FFFFFF"/>
        </w:rPr>
      </w:pPr>
      <w:r w:rsidRPr="00274E89">
        <w:rPr>
          <w:rFonts w:ascii="Verdana" w:hAnsi="Verdana"/>
        </w:rPr>
        <w:t>La Agencia Nacional de Contratación Pública – Colombia Compra Eficiente se ha pronunciado</w:t>
      </w:r>
      <w:r w:rsidRPr="00EA15FC">
        <w:rPr>
          <w:rFonts w:ascii="Verdana" w:eastAsia="Calibri" w:hAnsi="Verdana" w:cs="Arial"/>
          <w:bCs/>
          <w:shd w:val="clear" w:color="auto" w:fill="FFFFFF"/>
        </w:rPr>
        <w:t xml:space="preserve"> </w:t>
      </w:r>
      <w:r>
        <w:rPr>
          <w:rFonts w:ascii="Verdana" w:eastAsia="Calibri" w:hAnsi="Verdana" w:cs="Arial"/>
          <w:bCs/>
          <w:shd w:val="clear" w:color="auto" w:fill="FFFFFF"/>
        </w:rPr>
        <w:t xml:space="preserve">sobre la obligatoriedad de aportes a pensión y al sistema de seguridad social en salud para pensionados en el concepto </w:t>
      </w:r>
      <w:r w:rsidRPr="001A22DC">
        <w:rPr>
          <w:rFonts w:ascii="Verdana" w:eastAsia="Calibri" w:hAnsi="Verdana" w:cs="Arial"/>
          <w:bCs/>
          <w:shd w:val="clear" w:color="auto" w:fill="FFFFFF"/>
        </w:rPr>
        <w:t>2201913000007816</w:t>
      </w:r>
      <w:r>
        <w:rPr>
          <w:rFonts w:ascii="Verdana" w:eastAsia="Calibri" w:hAnsi="Verdana" w:cs="Arial"/>
          <w:bCs/>
          <w:shd w:val="clear" w:color="auto" w:fill="FFFFFF"/>
        </w:rPr>
        <w:t xml:space="preserve"> de 2019, C-305 del 10 de abril de 2026, </w:t>
      </w:r>
      <w:r>
        <w:rPr>
          <w:rFonts w:ascii="Verdana" w:hAnsi="Verdana"/>
        </w:rPr>
        <w:t>entre otros</w:t>
      </w:r>
      <w:r w:rsidRPr="00D56DDB">
        <w:rPr>
          <w:rFonts w:ascii="Verdana" w:hAnsi="Verdana" w:cs="Arial"/>
          <w:shd w:val="clear" w:color="auto" w:fill="FFFFFF"/>
          <w:lang w:val="es-ES"/>
        </w:rPr>
        <w:t xml:space="preserve">. </w:t>
      </w:r>
      <w:r w:rsidRPr="00D56DDB">
        <w:rPr>
          <w:rFonts w:ascii="Verdana" w:hAnsi="Verdana" w:cs="Arial"/>
        </w:rPr>
        <w:t xml:space="preserve">Estos y otros </w:t>
      </w:r>
      <w:r w:rsidRPr="00D56DDB">
        <w:rPr>
          <w:rFonts w:ascii="Verdana" w:hAnsi="Verdana"/>
        </w:rPr>
        <w:t>conceptos se encuentran disponibles para consulta en el Sistema de relatoría de la Agencia, al cual se puede acceder a través del siguiente enlace:</w:t>
      </w:r>
      <w:r w:rsidRPr="00D56DDB">
        <w:rPr>
          <w:rFonts w:ascii="Verdana" w:hAnsi="Verdana" w:cs="Arial"/>
          <w:shd w:val="clear" w:color="auto" w:fill="FFFFFF"/>
        </w:rPr>
        <w:t xml:space="preserve"> </w:t>
      </w:r>
      <w:hyperlink r:id="rId14" w:history="1">
        <w:r w:rsidRPr="00D56DDB">
          <w:rPr>
            <w:rStyle w:val="Hipervnculo"/>
            <w:rFonts w:ascii="Verdana" w:hAnsi="Verdana" w:cs="Arial"/>
            <w:shd w:val="clear" w:color="auto" w:fill="FFFFFF"/>
          </w:rPr>
          <w:t>https://relatoria.colombiacompra.gov.co/busqueda/conceptos</w:t>
        </w:r>
      </w:hyperlink>
      <w:r w:rsidRPr="00D56DDB">
        <w:rPr>
          <w:rFonts w:ascii="Verdana" w:hAnsi="Verdana" w:cs="Arial"/>
          <w:shd w:val="clear" w:color="auto" w:fill="FFFFFF"/>
        </w:rPr>
        <w:t>.</w:t>
      </w:r>
      <w:r w:rsidRPr="00D56DDB">
        <w:rPr>
          <w:rFonts w:ascii="Verdana" w:hAnsi="Verdana" w:cs="Arial"/>
          <w:color w:val="FF0000"/>
          <w:shd w:val="clear" w:color="auto" w:fill="FFFFFF"/>
        </w:rPr>
        <w:t xml:space="preserve"> </w:t>
      </w:r>
      <w:r w:rsidRPr="00D56DDB">
        <w:rPr>
          <w:rFonts w:ascii="Verdana" w:hAnsi="Verdana" w:cs="Arial"/>
          <w:color w:val="000000" w:themeColor="text1"/>
          <w:shd w:val="clear" w:color="auto" w:fill="FFFFFF"/>
        </w:rPr>
        <w:t>  </w:t>
      </w:r>
    </w:p>
    <w:p w14:paraId="7FC3729C" w14:textId="77777777" w:rsidR="009973D8" w:rsidRDefault="009973D8" w:rsidP="009973D8">
      <w:pPr>
        <w:widowControl w:val="0"/>
        <w:autoSpaceDE w:val="0"/>
        <w:autoSpaceDN w:val="0"/>
        <w:spacing w:after="0" w:line="240" w:lineRule="auto"/>
        <w:jc w:val="both"/>
        <w:rPr>
          <w:rFonts w:ascii="Verdana" w:hAnsi="Verdana"/>
        </w:rPr>
      </w:pPr>
    </w:p>
    <w:p w14:paraId="0810DA9D" w14:textId="77777777" w:rsidR="009973D8" w:rsidRPr="00066CE5" w:rsidRDefault="009973D8" w:rsidP="009973D8">
      <w:pPr>
        <w:widowControl w:val="0"/>
        <w:autoSpaceDE w:val="0"/>
        <w:autoSpaceDN w:val="0"/>
        <w:spacing w:after="120" w:line="276" w:lineRule="auto"/>
        <w:jc w:val="both"/>
        <w:rPr>
          <w:rStyle w:val="Hipervnculo"/>
          <w:rFonts w:ascii="Verdana" w:hAnsi="Verdana" w:cs="Arial"/>
          <w:color w:val="000000" w:themeColor="text1"/>
          <w:u w:val="none"/>
          <w:shd w:val="clear" w:color="auto" w:fill="FFFFFF"/>
        </w:rPr>
      </w:pPr>
      <w:r w:rsidRPr="00D56DDB">
        <w:rPr>
          <w:rFonts w:ascii="Verdana" w:hAnsi="Verdana"/>
        </w:rPr>
        <w:t xml:space="preserve">La sostenibilidad no es una opción, es una obligación. Por ello, la Agencia Nacional de Contratación Pública –Colombia Compra Eficiente– te invita a realizar el </w:t>
      </w:r>
      <w:r w:rsidRPr="00D56DDB">
        <w:rPr>
          <w:rFonts w:ascii="Verdana" w:hAnsi="Verdana"/>
          <w:b/>
          <w:bCs/>
        </w:rPr>
        <w:t>Curso de Contratación Pública Sostenible y Socialmente Responsable</w:t>
      </w:r>
      <w:r w:rsidRPr="00D56DDB">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56DDB">
        <w:rPr>
          <w:rFonts w:ascii="Verdana" w:hAnsi="Verdana"/>
        </w:rPr>
        <w:br/>
      </w:r>
      <w:hyperlink r:id="rId15" w:tgtFrame="_new" w:history="1">
        <w:r w:rsidRPr="00D56DDB">
          <w:rPr>
            <w:rStyle w:val="Hipervnculo"/>
            <w:rFonts w:ascii="Verdana" w:hAnsi="Verdana"/>
          </w:rPr>
          <w:t>https://formacionvirtual.colombiacompra.gov.co/mod/page/view.php?id=3718</w:t>
        </w:r>
      </w:hyperlink>
    </w:p>
    <w:p w14:paraId="099F69F8" w14:textId="77777777" w:rsidR="009973D8" w:rsidRDefault="009973D8" w:rsidP="009973D8">
      <w:pPr>
        <w:spacing w:after="0" w:line="240" w:lineRule="auto"/>
        <w:jc w:val="both"/>
        <w:rPr>
          <w:rFonts w:ascii="Verdana" w:hAnsi="Verdana"/>
        </w:rPr>
      </w:pPr>
    </w:p>
    <w:p w14:paraId="08047A6D" w14:textId="77777777" w:rsidR="009973D8" w:rsidRDefault="009973D8" w:rsidP="009973D8">
      <w:pPr>
        <w:spacing w:after="120" w:line="276" w:lineRule="auto"/>
        <w:jc w:val="both"/>
        <w:rPr>
          <w:rStyle w:val="Hipervnculo"/>
          <w:rFonts w:ascii="Verdana" w:hAnsi="Verdana"/>
        </w:rPr>
      </w:pPr>
      <w:r w:rsidRPr="00D56DDB">
        <w:rPr>
          <w:rFonts w:ascii="Verdana" w:hAnsi="Verdana"/>
        </w:rPr>
        <w:t xml:space="preserve">De otro lado, te contamos que esta Agencia ha dado un paso decisivo en la estandarización y modernización del </w:t>
      </w:r>
      <w:r w:rsidRPr="00D56DDB">
        <w:rPr>
          <w:rFonts w:ascii="Verdana" w:hAnsi="Verdana"/>
          <w:b/>
          <w:bCs/>
        </w:rPr>
        <w:t>sector social</w:t>
      </w:r>
      <w:r w:rsidRPr="00D56DDB">
        <w:rPr>
          <w:rFonts w:ascii="Verdana" w:hAnsi="Verdana"/>
        </w:rPr>
        <w:t xml:space="preserve"> con la expedición de las </w:t>
      </w:r>
      <w:r w:rsidRPr="00D56DDB">
        <w:rPr>
          <w:rFonts w:ascii="Verdana" w:hAnsi="Verdana"/>
          <w:b/>
          <w:bCs/>
        </w:rPr>
        <w:t>Resoluciones 539, 540, 541, 952 y 953 de 2025</w:t>
      </w:r>
      <w:r w:rsidRPr="00D56DDB">
        <w:rPr>
          <w:rFonts w:ascii="Verdana" w:hAnsi="Verdana"/>
        </w:rPr>
        <w:t xml:space="preserve">, </w:t>
      </w:r>
      <w:r w:rsidRPr="00D56DDB">
        <w:rPr>
          <w:rFonts w:ascii="Verdana" w:hAnsi="Verdana"/>
          <w:b/>
          <w:bCs/>
        </w:rPr>
        <w:t>mediante las cuales adoptó Documentos Tipo</w:t>
      </w:r>
      <w:r w:rsidRPr="00D56DDB">
        <w:rPr>
          <w:rFonts w:ascii="Verdana" w:hAnsi="Verdana"/>
        </w:rPr>
        <w:t xml:space="preserve"> para las modalidades de selección de</w:t>
      </w:r>
      <w:r w:rsidRPr="00D56DDB">
        <w:rPr>
          <w:rFonts w:ascii="Verdana" w:hAnsi="Verdana"/>
          <w:b/>
          <w:bCs/>
        </w:rPr>
        <w:t xml:space="preserve"> licitación pública (versión 2), selección abreviada de menor cuantía, mínima cuantía, consultoría e interventoría</w:t>
      </w:r>
      <w:r w:rsidRPr="00D56DDB">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D56DDB">
          <w:rPr>
            <w:rStyle w:val="Hipervnculo"/>
            <w:rFonts w:ascii="Verdana" w:hAnsi="Verdana"/>
          </w:rPr>
          <w:t>https://www.colombiacompra.gov.co/normativa-y-relatoria/documentos-tipo</w:t>
        </w:r>
      </w:hyperlink>
    </w:p>
    <w:p w14:paraId="635C9B83" w14:textId="77777777" w:rsidR="009973D8" w:rsidRDefault="009973D8" w:rsidP="009973D8">
      <w:pPr>
        <w:spacing w:after="0" w:line="240" w:lineRule="auto"/>
        <w:jc w:val="both"/>
        <w:rPr>
          <w:rStyle w:val="Hipervnculo"/>
          <w:rFonts w:ascii="Verdana" w:hAnsi="Verdana"/>
        </w:rPr>
      </w:pPr>
    </w:p>
    <w:p w14:paraId="135EFD77" w14:textId="77777777" w:rsidR="009973D8" w:rsidRDefault="009973D8" w:rsidP="009973D8">
      <w:pPr>
        <w:spacing w:after="120" w:line="276" w:lineRule="auto"/>
        <w:jc w:val="both"/>
        <w:rPr>
          <w:rStyle w:val="Hipervnculo"/>
          <w:rFonts w:ascii="Verdana" w:hAnsi="Verdana"/>
        </w:rPr>
      </w:pPr>
      <w:r w:rsidRPr="00D56DDB">
        <w:rPr>
          <w:rFonts w:ascii="Verdana" w:hAnsi="Verdana"/>
        </w:rPr>
        <w:t xml:space="preserve">Si quieres conocer más sobre la aplicación de Documentos Tipo puedes consultar la última versión de la </w:t>
      </w:r>
      <w:r w:rsidRPr="00D56DDB">
        <w:rPr>
          <w:rFonts w:ascii="Verdana" w:hAnsi="Verdana"/>
          <w:b/>
          <w:bCs/>
        </w:rPr>
        <w:t>Guía para la comprensión e implementación de los Documentos Tipo de obra pública de infraestructura de transporte</w:t>
      </w:r>
      <w:r w:rsidRPr="00D56DDB">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56DDB">
        <w:rPr>
          <w:rFonts w:ascii="Verdana" w:hAnsi="Verdana"/>
        </w:rPr>
        <w:br/>
      </w:r>
      <w:hyperlink r:id="rId17" w:tgtFrame="_new" w:history="1">
        <w:r w:rsidRPr="00D56DDB">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794B29" w14:textId="77777777" w:rsidR="009973D8" w:rsidRDefault="009973D8" w:rsidP="009973D8">
      <w:pPr>
        <w:spacing w:after="0" w:line="240" w:lineRule="auto"/>
        <w:jc w:val="both"/>
        <w:rPr>
          <w:rStyle w:val="Hipervnculo"/>
          <w:rFonts w:ascii="Verdana" w:hAnsi="Verdana"/>
        </w:rPr>
      </w:pPr>
    </w:p>
    <w:p w14:paraId="36E70B44" w14:textId="3E2E7CDF" w:rsidR="009973D8" w:rsidRPr="009973D8" w:rsidRDefault="009973D8" w:rsidP="009973D8">
      <w:pPr>
        <w:spacing w:after="120" w:line="276" w:lineRule="auto"/>
        <w:jc w:val="both"/>
        <w:rPr>
          <w:rFonts w:ascii="Verdana" w:hAnsi="Verdana"/>
          <w:color w:val="0000FF"/>
          <w:u w:val="single"/>
        </w:rPr>
      </w:pPr>
      <w:r w:rsidRPr="00D56DD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8A80040" w14:textId="77777777" w:rsidR="009973D8" w:rsidRPr="00D56DDB" w:rsidRDefault="009973D8" w:rsidP="009973D8">
      <w:pPr>
        <w:pStyle w:val="Prrafodelista"/>
        <w:numPr>
          <w:ilvl w:val="0"/>
          <w:numId w:val="15"/>
        </w:numPr>
        <w:spacing w:after="120" w:line="276" w:lineRule="auto"/>
        <w:jc w:val="both"/>
        <w:rPr>
          <w:rFonts w:ascii="Verdana" w:eastAsia="Verdana" w:hAnsi="Verdana" w:cs="Verdana"/>
          <w:color w:val="4472C4" w:themeColor="accent1"/>
          <w:u w:val="single"/>
          <w:lang w:val="es-MX"/>
        </w:rPr>
      </w:pPr>
      <w:r w:rsidRPr="00D56DDB">
        <w:rPr>
          <w:rFonts w:ascii="Verdana" w:eastAsia="Verdana" w:hAnsi="Verdana" w:cs="Verdana"/>
          <w:lang w:val="es-MX"/>
        </w:rPr>
        <w:t xml:space="preserve">Línea nacional gratuita o servicio a la ciudadanía (Mesa de servicio): </w:t>
      </w:r>
      <w:r w:rsidRPr="00D56DDB">
        <w:rPr>
          <w:rStyle w:val="Hipervnculo"/>
          <w:rFonts w:ascii="Verdana" w:hAnsi="Verdana"/>
        </w:rPr>
        <w:t>01800 0520808</w:t>
      </w:r>
    </w:p>
    <w:p w14:paraId="401E7B34" w14:textId="77777777" w:rsidR="009973D8" w:rsidRPr="00D56DDB" w:rsidRDefault="009973D8" w:rsidP="009973D8">
      <w:pPr>
        <w:pStyle w:val="Prrafodelista"/>
        <w:numPr>
          <w:ilvl w:val="0"/>
          <w:numId w:val="15"/>
        </w:numPr>
        <w:spacing w:after="120" w:line="276" w:lineRule="auto"/>
        <w:rPr>
          <w:rFonts w:ascii="Verdana" w:eastAsia="Verdana" w:hAnsi="Verdana" w:cs="Verdana"/>
          <w:color w:val="4472C4" w:themeColor="accent1"/>
          <w:u w:val="single"/>
          <w:lang w:val="es-MX"/>
        </w:rPr>
      </w:pPr>
      <w:r w:rsidRPr="00D56DDB">
        <w:rPr>
          <w:rFonts w:ascii="Verdana" w:eastAsia="Verdana" w:hAnsi="Verdana" w:cs="Verdana"/>
          <w:lang w:val="es-MX"/>
        </w:rPr>
        <w:t>Línea en Bogotá (Mesa de servicio</w:t>
      </w:r>
      <w:proofErr w:type="gramStart"/>
      <w:r w:rsidRPr="00D56DDB">
        <w:rPr>
          <w:rFonts w:ascii="Verdana" w:eastAsia="Verdana" w:hAnsi="Verdana" w:cs="Verdana"/>
          <w:lang w:val="es-MX"/>
        </w:rPr>
        <w:t>):</w:t>
      </w:r>
      <w:r w:rsidRPr="00D56DDB">
        <w:rPr>
          <w:rStyle w:val="Hipervnculo"/>
          <w:rFonts w:ascii="Verdana" w:hAnsi="Verdana"/>
        </w:rPr>
        <w:t>+</w:t>
      </w:r>
      <w:proofErr w:type="gramEnd"/>
      <w:r w:rsidRPr="00D56DDB">
        <w:rPr>
          <w:rStyle w:val="Hipervnculo"/>
          <w:rFonts w:ascii="Verdana" w:hAnsi="Verdana"/>
        </w:rPr>
        <w:t>57 601 7456788</w:t>
      </w:r>
    </w:p>
    <w:p w14:paraId="6C695F91" w14:textId="77777777" w:rsidR="009973D8" w:rsidRPr="00D56DDB" w:rsidRDefault="009973D8" w:rsidP="009973D8">
      <w:pPr>
        <w:pStyle w:val="Prrafodelista"/>
        <w:numPr>
          <w:ilvl w:val="0"/>
          <w:numId w:val="15"/>
        </w:numPr>
        <w:spacing w:after="120" w:line="276" w:lineRule="auto"/>
        <w:rPr>
          <w:rFonts w:ascii="Verdana" w:eastAsia="Verdana" w:hAnsi="Verdana" w:cs="Verdana"/>
          <w:color w:val="0000FF"/>
          <w:u w:val="single"/>
          <w:lang w:val="es-MX"/>
        </w:rPr>
      </w:pPr>
      <w:r w:rsidRPr="00D56DDB">
        <w:rPr>
          <w:rFonts w:ascii="Verdana" w:eastAsia="Verdana" w:hAnsi="Verdana" w:cs="Verdana"/>
          <w:lang w:val="es-MX"/>
        </w:rPr>
        <w:t xml:space="preserve">Correo de radicación de correspondencia: </w:t>
      </w:r>
      <w:hyperlink r:id="rId18">
        <w:r w:rsidRPr="00D56DDB">
          <w:rPr>
            <w:rStyle w:val="Hipervnculo"/>
            <w:rFonts w:ascii="Verdana" w:eastAsia="Verdana" w:hAnsi="Verdana" w:cs="Verdana"/>
            <w:lang w:val="es-MX"/>
          </w:rPr>
          <w:t>ventanilladeradicacion@colombiacompra.gov.co</w:t>
        </w:r>
      </w:hyperlink>
    </w:p>
    <w:p w14:paraId="21842A2D" w14:textId="77777777" w:rsidR="009973D8" w:rsidRPr="00D56DDB" w:rsidRDefault="009973D8" w:rsidP="009973D8">
      <w:pPr>
        <w:pStyle w:val="Prrafodelista"/>
        <w:numPr>
          <w:ilvl w:val="0"/>
          <w:numId w:val="15"/>
        </w:numPr>
        <w:spacing w:after="120" w:line="276" w:lineRule="auto"/>
        <w:rPr>
          <w:rFonts w:ascii="Verdana" w:eastAsia="Verdana" w:hAnsi="Verdana" w:cs="Verdana"/>
          <w:color w:val="0000FF"/>
          <w:u w:val="single"/>
          <w:lang w:val="es-MX"/>
        </w:rPr>
      </w:pPr>
      <w:r w:rsidRPr="00D56DDB">
        <w:rPr>
          <w:rFonts w:ascii="Verdana" w:eastAsia="Verdana" w:hAnsi="Verdana" w:cs="Verdana"/>
        </w:rPr>
        <w:t>Formulario web para</w:t>
      </w:r>
      <w:r w:rsidRPr="00D56DDB">
        <w:rPr>
          <w:rFonts w:ascii="Verdana" w:eastAsia="Verdana" w:hAnsi="Verdana" w:cs="Verdana"/>
          <w:lang w:val="es"/>
        </w:rPr>
        <w:t xml:space="preserve"> PQRSD: </w:t>
      </w:r>
      <w:hyperlink r:id="rId19">
        <w:r w:rsidRPr="00D56DDB">
          <w:rPr>
            <w:rStyle w:val="Hipervnculo"/>
            <w:rFonts w:ascii="Verdana" w:eastAsia="Verdana" w:hAnsi="Verdana" w:cs="Verdana"/>
            <w:lang w:val="es-MX"/>
          </w:rPr>
          <w:t>https://www.colombiacompra.gov.co/pqrsd/informacion-importante-antes-de-formular-una-pqrsd</w:t>
        </w:r>
      </w:hyperlink>
    </w:p>
    <w:p w14:paraId="6652B46C" w14:textId="77777777" w:rsidR="009973D8" w:rsidRDefault="009973D8" w:rsidP="009973D8">
      <w:pPr>
        <w:spacing w:after="0" w:line="240" w:lineRule="auto"/>
        <w:jc w:val="both"/>
        <w:rPr>
          <w:rFonts w:ascii="Verdana" w:hAnsi="Verdana"/>
        </w:rPr>
      </w:pPr>
    </w:p>
    <w:p w14:paraId="0DE0764B" w14:textId="77777777" w:rsidR="009973D8" w:rsidRDefault="009973D8" w:rsidP="009973D8">
      <w:pPr>
        <w:spacing w:after="120" w:line="276" w:lineRule="auto"/>
        <w:jc w:val="both"/>
        <w:rPr>
          <w:rFonts w:ascii="Verdana" w:hAnsi="Verdana"/>
        </w:rPr>
      </w:pPr>
      <w:r w:rsidRPr="00D56DDB">
        <w:rPr>
          <w:rFonts w:ascii="Verdana" w:hAnsi="Verdana"/>
        </w:rPr>
        <w:t xml:space="preserve">Evalúa el servicio que ofrece la Agencia por el canal de atención de PQRSD en el siguiente enlace: </w:t>
      </w:r>
      <w:hyperlink r:id="rId20" w:history="1">
        <w:r w:rsidRPr="00D56DDB">
          <w:rPr>
            <w:rStyle w:val="Hipervnculo"/>
            <w:rFonts w:ascii="Verdana" w:eastAsia="Verdana" w:hAnsi="Verdana" w:cs="Verdana"/>
            <w:lang w:val="es-MX"/>
          </w:rPr>
          <w:t>https://forms.office.com/r/pPHyWVs2SZ</w:t>
        </w:r>
      </w:hyperlink>
      <w:r w:rsidRPr="00D56DDB">
        <w:rPr>
          <w:rStyle w:val="Hipervnculo"/>
          <w:rFonts w:ascii="Verdana" w:eastAsia="Verdana" w:hAnsi="Verdana" w:cs="Verdana"/>
          <w:lang w:val="es-MX"/>
        </w:rPr>
        <w:t>.</w:t>
      </w:r>
      <w:r w:rsidRPr="00D56DDB">
        <w:rPr>
          <w:rFonts w:ascii="Verdana" w:hAnsi="Verdana"/>
        </w:rPr>
        <w:t xml:space="preserve"> ¡Ayúdanos a mejorar porque el compromiso es de todos!</w:t>
      </w:r>
    </w:p>
    <w:p w14:paraId="7726D3AA" w14:textId="77777777" w:rsidR="009973D8" w:rsidRDefault="009973D8" w:rsidP="009973D8">
      <w:pPr>
        <w:spacing w:after="120" w:line="276" w:lineRule="auto"/>
        <w:jc w:val="both"/>
        <w:rPr>
          <w:rFonts w:ascii="Verdana" w:hAnsi="Verdana"/>
        </w:rPr>
      </w:pPr>
      <w:r w:rsidRPr="00D56DDB">
        <w:rPr>
          <w:rFonts w:ascii="Verdana" w:hAnsi="Verdana"/>
        </w:rPr>
        <w:t xml:space="preserve">Por último, lo invitamos a seguirnos en las redes sociales en las cuales se difunde información institucional: </w:t>
      </w:r>
    </w:p>
    <w:p w14:paraId="27931858" w14:textId="77777777" w:rsidR="009973D8" w:rsidRPr="00D56DDB" w:rsidRDefault="009973D8" w:rsidP="009973D8">
      <w:pPr>
        <w:spacing w:after="120" w:line="276" w:lineRule="auto"/>
        <w:jc w:val="both"/>
        <w:rPr>
          <w:rFonts w:ascii="Verdana" w:hAnsi="Verdana"/>
        </w:rPr>
      </w:pPr>
      <w:r w:rsidRPr="00D56DDB">
        <w:rPr>
          <w:rFonts w:ascii="Verdana" w:hAnsi="Verdana"/>
        </w:rPr>
        <w:t xml:space="preserve">Twitter: </w:t>
      </w:r>
      <w:r w:rsidRPr="00D56DDB">
        <w:rPr>
          <w:rStyle w:val="Hipervnculo"/>
          <w:rFonts w:ascii="Verdana" w:hAnsi="Verdana"/>
        </w:rPr>
        <w:t>@colombiacompra</w:t>
      </w:r>
      <w:r w:rsidRPr="00D56DDB">
        <w:rPr>
          <w:rFonts w:ascii="Verdana" w:hAnsi="Verdana"/>
        </w:rPr>
        <w:t xml:space="preserve"> </w:t>
      </w:r>
    </w:p>
    <w:p w14:paraId="5119BDE9" w14:textId="77777777" w:rsidR="009973D8" w:rsidRPr="00D56DDB" w:rsidRDefault="009973D8" w:rsidP="009973D8">
      <w:pPr>
        <w:spacing w:after="120" w:line="276" w:lineRule="auto"/>
        <w:jc w:val="both"/>
        <w:rPr>
          <w:rFonts w:ascii="Verdana" w:hAnsi="Verdana"/>
        </w:rPr>
      </w:pPr>
      <w:r w:rsidRPr="00D56DDB">
        <w:rPr>
          <w:rFonts w:ascii="Verdana" w:hAnsi="Verdana"/>
        </w:rPr>
        <w:t xml:space="preserve">Facebook: </w:t>
      </w:r>
      <w:proofErr w:type="spellStart"/>
      <w:r w:rsidRPr="00D56DDB">
        <w:rPr>
          <w:rStyle w:val="Hipervnculo"/>
          <w:rFonts w:ascii="Verdana" w:hAnsi="Verdana"/>
        </w:rPr>
        <w:t>ColombiaCompraEficiente</w:t>
      </w:r>
      <w:proofErr w:type="spellEnd"/>
    </w:p>
    <w:p w14:paraId="63977A98" w14:textId="77777777" w:rsidR="009973D8" w:rsidRPr="00D56DDB" w:rsidRDefault="009973D8" w:rsidP="009973D8">
      <w:pPr>
        <w:spacing w:after="120" w:line="276" w:lineRule="auto"/>
        <w:jc w:val="both"/>
        <w:rPr>
          <w:rFonts w:ascii="Verdana" w:hAnsi="Verdana"/>
        </w:rPr>
      </w:pPr>
      <w:r w:rsidRPr="00D56DDB">
        <w:rPr>
          <w:rFonts w:ascii="Verdana" w:hAnsi="Verdana"/>
        </w:rPr>
        <w:t xml:space="preserve">LinkedIn: </w:t>
      </w:r>
      <w:r w:rsidRPr="00D56DDB">
        <w:rPr>
          <w:rStyle w:val="Hipervnculo"/>
          <w:rFonts w:ascii="Verdana" w:hAnsi="Verdana"/>
        </w:rPr>
        <w:t>Agencia Nacional de Contratación Pública - Colombia Compra Eficiente</w:t>
      </w:r>
      <w:r w:rsidRPr="00D56DDB">
        <w:rPr>
          <w:rFonts w:ascii="Verdana" w:hAnsi="Verdana"/>
        </w:rPr>
        <w:t xml:space="preserve"> Instagram: </w:t>
      </w:r>
      <w:r w:rsidRPr="00D56DDB">
        <w:rPr>
          <w:rStyle w:val="Hipervnculo"/>
          <w:rFonts w:ascii="Verdana" w:hAnsi="Verdana"/>
        </w:rPr>
        <w:t>@colombiacompraeficiente_cce</w:t>
      </w:r>
    </w:p>
    <w:p w14:paraId="45470916" w14:textId="77777777" w:rsidR="009973D8" w:rsidRPr="003C01CA" w:rsidRDefault="009973D8" w:rsidP="009973D8">
      <w:pPr>
        <w:spacing w:after="120" w:line="276" w:lineRule="auto"/>
        <w:jc w:val="both"/>
        <w:rPr>
          <w:rFonts w:ascii="Verdana" w:hAnsi="Verdana"/>
          <w:lang w:val="es-ES_tradnl"/>
        </w:rPr>
      </w:pPr>
      <w:r w:rsidRPr="003C01CA">
        <w:rPr>
          <w:rFonts w:ascii="Verdana" w:hAnsi="Verdana"/>
        </w:rPr>
        <w:t xml:space="preserve">Este concepto tiene el alcance previsto en el artículo 28 del Código de Procedimiento Administrativo y de lo Contencioso Administrativo </w:t>
      </w:r>
      <w:r w:rsidRPr="003C01CA">
        <w:rPr>
          <w:rFonts w:ascii="Verdana" w:hAnsi="Verdana"/>
          <w:lang w:val="es-ES_tradnl"/>
        </w:rPr>
        <w:t>y las expresiones aquí utilizadas con mayúscula inicial deben ser entendidas con el significado que les otorga el artículo 2.2.1.1.1.3.1. del Decreto 1082 de 2015.</w:t>
      </w:r>
    </w:p>
    <w:p w14:paraId="51347219" w14:textId="77777777" w:rsidR="009973D8" w:rsidRPr="003C01CA" w:rsidRDefault="009973D8" w:rsidP="009973D8">
      <w:pPr>
        <w:spacing w:after="0" w:line="276" w:lineRule="auto"/>
        <w:jc w:val="both"/>
        <w:rPr>
          <w:rFonts w:ascii="Verdana" w:hAnsi="Verdana"/>
          <w:lang w:val="es-ES_tradnl"/>
        </w:rPr>
      </w:pPr>
    </w:p>
    <w:p w14:paraId="640A1281" w14:textId="77777777" w:rsidR="009973D8" w:rsidRDefault="009973D8" w:rsidP="009973D8">
      <w:pPr>
        <w:spacing w:after="0" w:line="276" w:lineRule="auto"/>
        <w:jc w:val="both"/>
        <w:rPr>
          <w:rFonts w:ascii="Verdana" w:hAnsi="Verdana"/>
          <w:lang w:val="es-MX"/>
        </w:rPr>
      </w:pPr>
      <w:r w:rsidRPr="00D56DDB">
        <w:rPr>
          <w:rFonts w:ascii="Verdana" w:hAnsi="Verdana"/>
          <w:lang w:val="es-MX"/>
        </w:rPr>
        <w:t>Cordialmente,</w:t>
      </w:r>
    </w:p>
    <w:p w14:paraId="432CD476" w14:textId="0D6A326C" w:rsidR="009973D8" w:rsidRDefault="007F5261" w:rsidP="007F5261">
      <w:pPr>
        <w:spacing w:after="0" w:line="276" w:lineRule="auto"/>
        <w:jc w:val="center"/>
        <w:rPr>
          <w:rFonts w:ascii="Verdana" w:hAnsi="Verdana"/>
          <w:lang w:val="es-MX"/>
        </w:rPr>
      </w:pPr>
      <w:r w:rsidRPr="0065791A">
        <w:rPr>
          <w:rFonts w:ascii="Century Gothic" w:hAnsi="Century Gothic"/>
          <w:noProof/>
        </w:rPr>
        <w:drawing>
          <wp:inline distT="0" distB="0" distL="0" distR="0" wp14:anchorId="3A0A7CC7" wp14:editId="15720E4B">
            <wp:extent cx="3357676" cy="1581982"/>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374416" cy="1589869"/>
                    </a:xfrm>
                    <a:prstGeom prst="rect">
                      <a:avLst/>
                    </a:prstGeom>
                  </pic:spPr>
                </pic:pic>
              </a:graphicData>
            </a:graphic>
          </wp:inline>
        </w:drawing>
      </w:r>
    </w:p>
    <w:p w14:paraId="0A5BB098" w14:textId="77777777" w:rsidR="007F5261" w:rsidRDefault="007F5261" w:rsidP="007F5261">
      <w:pPr>
        <w:spacing w:after="0" w:line="276" w:lineRule="auto"/>
        <w:jc w:val="center"/>
        <w:rPr>
          <w:rFonts w:ascii="Verdana" w:hAnsi="Verdana"/>
          <w:lang w:val="es-MX"/>
        </w:rPr>
      </w:pPr>
    </w:p>
    <w:p w14:paraId="5B818A72" w14:textId="77777777" w:rsidR="007F5261" w:rsidRDefault="007F5261" w:rsidP="007F5261">
      <w:pPr>
        <w:spacing w:after="0" w:line="276" w:lineRule="auto"/>
        <w:jc w:val="center"/>
        <w:rPr>
          <w:rFonts w:ascii="Verdana" w:hAnsi="Verdana"/>
          <w:lang w:val="es-MX"/>
        </w:rPr>
      </w:pPr>
    </w:p>
    <w:p w14:paraId="359DF616" w14:textId="77777777" w:rsidR="007F5261" w:rsidRPr="007F5261" w:rsidRDefault="007F5261" w:rsidP="007F5261">
      <w:pPr>
        <w:spacing w:after="0" w:line="276" w:lineRule="auto"/>
        <w:jc w:val="center"/>
        <w:rPr>
          <w:rFonts w:ascii="Verdana" w:hAnsi="Verdana"/>
          <w:lang w:val="es-MX"/>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9973D8" w:rsidRPr="005644FE" w14:paraId="6B06964A" w14:textId="77777777" w:rsidTr="002908F6">
        <w:trPr>
          <w:trHeight w:val="288"/>
        </w:trPr>
        <w:tc>
          <w:tcPr>
            <w:tcW w:w="893" w:type="dxa"/>
            <w:vAlign w:val="center"/>
            <w:hideMark/>
          </w:tcPr>
          <w:p w14:paraId="29DF81FE" w14:textId="77777777" w:rsidR="009973D8" w:rsidRPr="005644FE" w:rsidRDefault="009973D8" w:rsidP="002908F6">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E8ABFEA" w14:textId="77777777" w:rsidR="009973D8" w:rsidRPr="005644FE" w:rsidRDefault="009973D8" w:rsidP="002908F6">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BF181A0" w14:textId="77777777" w:rsidR="009973D8" w:rsidRPr="005644FE" w:rsidRDefault="009973D8" w:rsidP="002908F6">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9973D8" w:rsidRPr="005644FE" w14:paraId="19425DA4" w14:textId="77777777" w:rsidTr="002908F6">
        <w:trPr>
          <w:trHeight w:val="330"/>
        </w:trPr>
        <w:tc>
          <w:tcPr>
            <w:tcW w:w="893" w:type="dxa"/>
            <w:vAlign w:val="center"/>
            <w:hideMark/>
          </w:tcPr>
          <w:p w14:paraId="76C07370" w14:textId="77777777" w:rsidR="009973D8" w:rsidRPr="005644FE" w:rsidRDefault="009973D8" w:rsidP="002908F6">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01998E1" w14:textId="77777777" w:rsidR="009973D8" w:rsidRPr="007A7F07" w:rsidRDefault="009973D8" w:rsidP="002908F6">
            <w:pPr>
              <w:pStyle w:val="paragraph"/>
              <w:spacing w:before="0" w:beforeAutospacing="0" w:after="0" w:afterAutospacing="0"/>
              <w:contextualSpacing/>
              <w:textAlignment w:val="baseline"/>
              <w:rPr>
                <w:rStyle w:val="normaltextrun"/>
                <w:rFonts w:ascii="Verdana" w:hAnsi="Verdana"/>
                <w:sz w:val="16"/>
                <w:szCs w:val="16"/>
              </w:rPr>
            </w:pPr>
            <w:r w:rsidRPr="007A7F07">
              <w:rPr>
                <w:rStyle w:val="normaltextrun"/>
                <w:rFonts w:ascii="Verdana" w:hAnsi="Verdana"/>
                <w:sz w:val="16"/>
                <w:szCs w:val="16"/>
              </w:rPr>
              <w:t>Diana Lucía Saavedra C</w:t>
            </w:r>
            <w:r>
              <w:rPr>
                <w:rStyle w:val="normaltextrun"/>
                <w:rFonts w:ascii="Verdana" w:hAnsi="Verdana"/>
                <w:sz w:val="16"/>
                <w:szCs w:val="16"/>
              </w:rPr>
              <w:t>a</w:t>
            </w:r>
            <w:r w:rsidRPr="007A7F07">
              <w:rPr>
                <w:rStyle w:val="normaltextrun"/>
                <w:rFonts w:ascii="Verdana" w:hAnsi="Verdana"/>
                <w:sz w:val="16"/>
                <w:szCs w:val="16"/>
              </w:rPr>
              <w:t xml:space="preserve">stañeda  </w:t>
            </w:r>
          </w:p>
          <w:p w14:paraId="010AE00F" w14:textId="77777777" w:rsidR="009973D8" w:rsidRPr="005644FE" w:rsidRDefault="009973D8" w:rsidP="002908F6">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9973D8" w:rsidRPr="005644FE" w14:paraId="4E082935" w14:textId="77777777" w:rsidTr="002908F6">
        <w:trPr>
          <w:trHeight w:val="300"/>
        </w:trPr>
        <w:tc>
          <w:tcPr>
            <w:tcW w:w="893" w:type="dxa"/>
            <w:vAlign w:val="center"/>
          </w:tcPr>
          <w:p w14:paraId="220F2D47" w14:textId="77777777" w:rsidR="009973D8" w:rsidRPr="005644FE" w:rsidRDefault="009973D8" w:rsidP="002908F6">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B48D3D3" w14:textId="77777777" w:rsidR="009973D8" w:rsidRPr="005644FE" w:rsidRDefault="009973D8" w:rsidP="002908F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73F30B5F" w14:textId="77777777" w:rsidR="009973D8" w:rsidRPr="005644FE" w:rsidRDefault="009973D8" w:rsidP="002908F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3A90F0F8" w:rsidR="00127233" w:rsidRPr="000C577C" w:rsidRDefault="00127233" w:rsidP="000C577C"/>
    <w:sectPr w:rsidR="00127233" w:rsidRPr="000C577C"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99E00" w14:textId="77777777" w:rsidR="006A5330" w:rsidRDefault="006A5330" w:rsidP="004A1847">
      <w:pPr>
        <w:spacing w:after="0" w:line="240" w:lineRule="auto"/>
      </w:pPr>
      <w:r>
        <w:separator/>
      </w:r>
    </w:p>
  </w:endnote>
  <w:endnote w:type="continuationSeparator" w:id="0">
    <w:p w14:paraId="129F77A5" w14:textId="77777777" w:rsidR="006A5330" w:rsidRDefault="006A533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5B241" w14:textId="77777777" w:rsidR="006A5330" w:rsidRDefault="006A5330" w:rsidP="004A1847">
      <w:pPr>
        <w:spacing w:after="0" w:line="240" w:lineRule="auto"/>
      </w:pPr>
      <w:r>
        <w:separator/>
      </w:r>
    </w:p>
  </w:footnote>
  <w:footnote w:type="continuationSeparator" w:id="0">
    <w:p w14:paraId="080AD3EC" w14:textId="77777777" w:rsidR="006A5330" w:rsidRDefault="006A5330" w:rsidP="004A1847">
      <w:pPr>
        <w:spacing w:after="0" w:line="240" w:lineRule="auto"/>
      </w:pPr>
      <w:r>
        <w:continuationSeparator/>
      </w:r>
    </w:p>
  </w:footnote>
  <w:footnote w:id="1">
    <w:p w14:paraId="143326F8" w14:textId="77777777" w:rsidR="009973D8" w:rsidRDefault="009973D8" w:rsidP="009973D8">
      <w:pPr>
        <w:pStyle w:val="Textonotapie"/>
        <w:ind w:firstLine="709"/>
        <w:rPr>
          <w:rFonts w:ascii="Verdana" w:hAnsi="Verdana"/>
          <w:sz w:val="16"/>
          <w:szCs w:val="16"/>
          <w:lang w:val="es-CO"/>
        </w:rPr>
      </w:pPr>
      <w:r w:rsidRPr="001E153D">
        <w:rPr>
          <w:rStyle w:val="Refdenotaalpie"/>
          <w:rFonts w:ascii="Verdana" w:hAnsi="Verdana"/>
          <w:sz w:val="16"/>
          <w:szCs w:val="16"/>
        </w:rPr>
        <w:footnoteRef/>
      </w:r>
      <w:r w:rsidRPr="001E153D">
        <w:rPr>
          <w:rFonts w:ascii="Verdana" w:hAnsi="Verdana"/>
          <w:sz w:val="16"/>
          <w:szCs w:val="16"/>
        </w:rPr>
        <w:t xml:space="preserve"> </w:t>
      </w:r>
      <w:r w:rsidRPr="001E153D">
        <w:rPr>
          <w:rFonts w:ascii="Verdana" w:hAnsi="Verdana"/>
          <w:sz w:val="16"/>
          <w:szCs w:val="16"/>
          <w:lang w:val="es-CO"/>
        </w:rPr>
        <w:t>Por la cual se dictan normas para apoyar el empleo y ampliar la protección social y se modifican algunos artículos del Código Sustantivo de Trabajo.</w:t>
      </w:r>
    </w:p>
    <w:p w14:paraId="096AB46A" w14:textId="77777777" w:rsidR="009973D8" w:rsidRPr="001E153D" w:rsidRDefault="009973D8" w:rsidP="009973D8">
      <w:pPr>
        <w:pStyle w:val="Textonotapie"/>
        <w:ind w:firstLine="709"/>
        <w:rPr>
          <w:rFonts w:ascii="Verdana" w:hAnsi="Verdana"/>
          <w:sz w:val="16"/>
          <w:szCs w:val="16"/>
        </w:rPr>
      </w:pPr>
    </w:p>
  </w:footnote>
  <w:footnote w:id="2">
    <w:p w14:paraId="5D980273" w14:textId="77777777" w:rsidR="009973D8" w:rsidRPr="004C3DC0" w:rsidRDefault="009973D8" w:rsidP="009973D8">
      <w:pPr>
        <w:spacing w:after="0" w:line="240" w:lineRule="auto"/>
        <w:ind w:right="306" w:firstLine="709"/>
        <w:jc w:val="both"/>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w:t>
      </w:r>
    </w:p>
    <w:p w14:paraId="2BA2DB9B" w14:textId="77777777" w:rsidR="009973D8" w:rsidRPr="004C3DC0" w:rsidRDefault="009973D8" w:rsidP="009973D8">
      <w:pPr>
        <w:spacing w:after="0" w:line="240" w:lineRule="auto"/>
        <w:ind w:right="307" w:firstLine="709"/>
        <w:jc w:val="both"/>
        <w:rPr>
          <w:rFonts w:ascii="Verdana" w:hAnsi="Verdana"/>
          <w:sz w:val="16"/>
          <w:szCs w:val="16"/>
        </w:rPr>
      </w:pPr>
      <w:r w:rsidRPr="004C3DC0">
        <w:rPr>
          <w:rFonts w:ascii="Verdana" w:hAnsi="Verdana"/>
          <w:sz w:val="16"/>
          <w:szCs w:val="16"/>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21CF9D61" w14:textId="77777777" w:rsidR="009973D8" w:rsidRDefault="009973D8" w:rsidP="009973D8">
      <w:pPr>
        <w:spacing w:after="0" w:line="240" w:lineRule="auto"/>
        <w:ind w:right="308" w:firstLine="709"/>
        <w:jc w:val="both"/>
        <w:rPr>
          <w:rFonts w:ascii="Verdana" w:hAnsi="Verdana"/>
          <w:sz w:val="16"/>
          <w:szCs w:val="16"/>
        </w:rPr>
      </w:pPr>
      <w:r w:rsidRPr="004C3DC0">
        <w:rPr>
          <w:rFonts w:ascii="Verdana" w:hAnsi="Verdana"/>
          <w:sz w:val="16"/>
          <w:szCs w:val="16"/>
        </w:rPr>
        <w:t>“Cuando la contratación se realice con personas jurídicas, se deberá acreditar el pago de los aportes de sus empleados, a los sistemas mencionados mediante certificación expedida por el 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mas de seis (6) meses de constituida, deberá acreditar los pagos a partir de la fecha de su constitución.</w:t>
      </w:r>
    </w:p>
    <w:p w14:paraId="34D56470" w14:textId="77777777" w:rsidR="009973D8" w:rsidRPr="004C3DC0" w:rsidRDefault="009973D8" w:rsidP="009973D8">
      <w:pPr>
        <w:spacing w:after="0" w:line="240" w:lineRule="auto"/>
        <w:ind w:right="308" w:firstLine="709"/>
        <w:jc w:val="both"/>
        <w:rPr>
          <w:rFonts w:ascii="Verdana" w:hAnsi="Verdana"/>
          <w:sz w:val="16"/>
          <w:szCs w:val="16"/>
        </w:rPr>
      </w:pPr>
      <w:r w:rsidRPr="004C3DC0">
        <w:rPr>
          <w:rFonts w:ascii="Verdana" w:hAnsi="Verdana"/>
          <w:sz w:val="16"/>
          <w:szCs w:val="16"/>
        </w:rPr>
        <w:t>“Para la presentación de ofertas por parte de personas jurídicas será indispensable acreditar el requisito señalado anteriormente. El funcionario que no deje constancia de la verificación del cumplimiento de este requisito incurrirá en causal de mala conducta”.</w:t>
      </w:r>
    </w:p>
  </w:footnote>
  <w:footnote w:id="3">
    <w:p w14:paraId="797ADA20" w14:textId="77777777" w:rsidR="009973D8" w:rsidRDefault="009973D8" w:rsidP="009973D8">
      <w:pPr>
        <w:pStyle w:val="Textonotapie"/>
        <w:ind w:right="333" w:firstLine="709"/>
        <w:jc w:val="both"/>
        <w:rPr>
          <w:rFonts w:ascii="Verdana" w:hAnsi="Verdana"/>
          <w:sz w:val="16"/>
          <w:szCs w:val="16"/>
        </w:rPr>
      </w:pPr>
      <w:r w:rsidRPr="00D61F40">
        <w:rPr>
          <w:rStyle w:val="Refdenotaalpie"/>
          <w:rFonts w:ascii="Verdana" w:hAnsi="Verdana"/>
          <w:sz w:val="16"/>
          <w:szCs w:val="16"/>
        </w:rPr>
        <w:footnoteRef/>
      </w:r>
      <w:r w:rsidRPr="00D61F40">
        <w:rPr>
          <w:rFonts w:ascii="Verdana" w:hAnsi="Verdana"/>
          <w:sz w:val="16"/>
          <w:szCs w:val="16"/>
        </w:rPr>
        <w:t xml:space="preserve"> Consejo de Estado. Sala de lo Contencioso Administrativo. Sección Tercera. Subsección C. Sentencia del 8 de junio de 2011. Radicado No. 20001-23-31-000-2005-00409-01(AP). C.P: Enrique Gil Botero.</w:t>
      </w:r>
    </w:p>
    <w:p w14:paraId="790EFBBA" w14:textId="77777777" w:rsidR="009973D8" w:rsidRPr="00D61F40" w:rsidRDefault="009973D8" w:rsidP="009973D8">
      <w:pPr>
        <w:pStyle w:val="Textonotapie"/>
        <w:ind w:right="333" w:firstLine="709"/>
        <w:jc w:val="both"/>
        <w:rPr>
          <w:rFonts w:ascii="Verdana" w:hAnsi="Verdana"/>
          <w:sz w:val="16"/>
          <w:szCs w:val="16"/>
        </w:rPr>
      </w:pPr>
    </w:p>
  </w:footnote>
  <w:footnote w:id="4">
    <w:p w14:paraId="4EDC0362" w14:textId="77777777" w:rsidR="009973D8" w:rsidRPr="004C3DC0" w:rsidRDefault="009973D8" w:rsidP="009973D8">
      <w:pPr>
        <w:spacing w:after="0" w:line="240" w:lineRule="auto"/>
        <w:ind w:right="310" w:firstLine="709"/>
        <w:jc w:val="both"/>
        <w:rPr>
          <w:rFonts w:ascii="Verdana" w:hAnsi="Verdana"/>
          <w:sz w:val="16"/>
          <w:szCs w:val="16"/>
        </w:rPr>
      </w:pPr>
      <w:r w:rsidRPr="004C3DC0">
        <w:rPr>
          <w:rStyle w:val="Refdenotaalpie"/>
          <w:rFonts w:ascii="Verdana" w:hAnsi="Verdana"/>
          <w:sz w:val="16"/>
          <w:szCs w:val="16"/>
        </w:rPr>
        <w:footnoteRef/>
      </w:r>
      <w:r w:rsidRPr="004C3DC0">
        <w:rPr>
          <w:rFonts w:ascii="Verdana" w:hAnsi="Verdana"/>
          <w:sz w:val="16"/>
          <w:szCs w:val="16"/>
        </w:rPr>
        <w:t xml:space="preserve"> En todo caso, el legislador impone la obligación a los oferentes (cuando éstos sean personas jurídicas) de acreditar el requisito señalado en el acápite anterior. Si el funcionario responsable no deja constancia de la verificación de este requisito incurrirá en causal de mala conducta.</w:t>
      </w:r>
    </w:p>
    <w:p w14:paraId="697AA755" w14:textId="77777777" w:rsidR="009973D8" w:rsidRPr="004C3DC0" w:rsidRDefault="009973D8" w:rsidP="009973D8">
      <w:pPr>
        <w:spacing w:after="0" w:line="240" w:lineRule="auto"/>
        <w:ind w:firstLine="709"/>
        <w:jc w:val="both"/>
        <w:rPr>
          <w:rFonts w:ascii="Verdana" w:hAnsi="Verdana"/>
          <w:sz w:val="16"/>
          <w:szCs w:val="16"/>
        </w:rPr>
      </w:pPr>
      <w:r w:rsidRPr="004C3DC0">
        <w:rPr>
          <w:rFonts w:ascii="Verdana" w:hAnsi="Verdana"/>
          <w:sz w:val="16"/>
          <w:szCs w:val="16"/>
        </w:rPr>
        <w:t>“De la disposición referenciada la Sala concluye lo siguiente:</w:t>
      </w:r>
    </w:p>
    <w:p w14:paraId="217254D4" w14:textId="77777777" w:rsidR="009973D8" w:rsidRPr="004C3DC0" w:rsidRDefault="009973D8" w:rsidP="009973D8">
      <w:pPr>
        <w:spacing w:after="0" w:line="240" w:lineRule="auto"/>
        <w:ind w:right="308" w:firstLine="709"/>
        <w:jc w:val="both"/>
        <w:rPr>
          <w:rFonts w:ascii="Verdana" w:hAnsi="Verdana"/>
          <w:sz w:val="16"/>
          <w:szCs w:val="16"/>
        </w:rPr>
      </w:pPr>
      <w:r w:rsidRPr="004C3DC0">
        <w:rPr>
          <w:rFonts w:ascii="Verdana" w:hAnsi="Verdana"/>
          <w:sz w:val="16"/>
          <w:szCs w:val="16"/>
        </w:rPr>
        <w:t>“1. El artículo 50 de la Ley 789 de 2002 tiene como principal objetivo evitar la evasión por parte de los empleadores de las cotizaciones al sistema de seguridad social y de los aportes parafiscales destinados al Instituto Colombiano de Bienestar familiar, las Cajas de compensación y el Sena.</w:t>
      </w:r>
    </w:p>
    <w:p w14:paraId="3A2D008A" w14:textId="77777777" w:rsidR="009973D8" w:rsidRPr="004C3DC0" w:rsidRDefault="009973D8" w:rsidP="009973D8">
      <w:pPr>
        <w:spacing w:after="0" w:line="240" w:lineRule="auto"/>
        <w:ind w:right="309" w:firstLine="709"/>
        <w:jc w:val="both"/>
        <w:rPr>
          <w:rFonts w:ascii="Verdana" w:hAnsi="Verdana"/>
          <w:sz w:val="16"/>
          <w:szCs w:val="16"/>
        </w:rPr>
      </w:pPr>
      <w:r w:rsidRPr="004C3DC0">
        <w:rPr>
          <w:rFonts w:ascii="Verdana" w:hAnsi="Verdana"/>
          <w:sz w:val="16"/>
          <w:szCs w:val="16"/>
        </w:rPr>
        <w:t>“2. Para lograr la finalidad señalada, el legislador impuso a las entidades públicas la obligación de verificar, en los procesos de selección de contratistas y en la ejecución y liquidación de los contratos, que tanto los oferentes como los contratistas hayan realizado los aportes respectivos, no desconociendo los derechos reconocidos a los</w:t>
      </w:r>
      <w:r w:rsidRPr="004C3DC0">
        <w:rPr>
          <w:rFonts w:ascii="Verdana" w:hAnsi="Verdana"/>
          <w:spacing w:val="-2"/>
          <w:sz w:val="16"/>
          <w:szCs w:val="16"/>
        </w:rPr>
        <w:t xml:space="preserve"> </w:t>
      </w:r>
      <w:r w:rsidRPr="004C3DC0">
        <w:rPr>
          <w:rFonts w:ascii="Verdana" w:hAnsi="Verdana"/>
          <w:sz w:val="16"/>
          <w:szCs w:val="16"/>
        </w:rPr>
        <w:t>trabajadores.</w:t>
      </w:r>
    </w:p>
    <w:p w14:paraId="6B7A7876" w14:textId="77777777" w:rsidR="009973D8" w:rsidRPr="004C3DC0" w:rsidRDefault="009973D8" w:rsidP="009973D8">
      <w:pPr>
        <w:spacing w:after="0" w:line="240" w:lineRule="auto"/>
        <w:ind w:right="310" w:firstLine="709"/>
        <w:jc w:val="both"/>
        <w:rPr>
          <w:rFonts w:ascii="Verdana" w:hAnsi="Verdana"/>
          <w:sz w:val="16"/>
          <w:szCs w:val="16"/>
        </w:rPr>
      </w:pPr>
      <w:r w:rsidRPr="004C3DC0">
        <w:rPr>
          <w:rFonts w:ascii="Verdana" w:hAnsi="Verdana"/>
          <w:sz w:val="16"/>
          <w:szCs w:val="16"/>
        </w:rPr>
        <w:t>“3. No obstante lo anterior, la norma otorga la posibilidad de que aquella entidad pública que durante la ejecución del contrato no haya solicitado las certificaciones del pago de los aportes parafiscales y a los sistemas de seguridad social en salud y pensiones, lo haga en el momento de la liquidación, cerciorándose de que las obligaciones referenciadas se han cumplido durante el tiempo de vigencia del negocio</w:t>
      </w:r>
      <w:r w:rsidRPr="004C3DC0">
        <w:rPr>
          <w:rFonts w:ascii="Verdana" w:hAnsi="Verdana"/>
          <w:spacing w:val="-34"/>
          <w:sz w:val="16"/>
          <w:szCs w:val="16"/>
        </w:rPr>
        <w:t xml:space="preserve"> </w:t>
      </w:r>
      <w:r w:rsidRPr="004C3DC0">
        <w:rPr>
          <w:rFonts w:ascii="Verdana" w:hAnsi="Verdana"/>
          <w:sz w:val="16"/>
          <w:szCs w:val="16"/>
        </w:rPr>
        <w:t>jurídico.</w:t>
      </w:r>
    </w:p>
    <w:p w14:paraId="546C27E6" w14:textId="77777777" w:rsidR="009973D8" w:rsidRPr="004C3DC0" w:rsidRDefault="009973D8" w:rsidP="009973D8">
      <w:pPr>
        <w:spacing w:after="0" w:line="240" w:lineRule="auto"/>
        <w:ind w:right="314" w:firstLine="709"/>
        <w:jc w:val="both"/>
        <w:rPr>
          <w:rFonts w:ascii="Verdana" w:hAnsi="Verdana"/>
          <w:sz w:val="16"/>
          <w:szCs w:val="16"/>
        </w:rPr>
      </w:pPr>
      <w:r w:rsidRPr="004C3DC0">
        <w:rPr>
          <w:rFonts w:ascii="Verdana" w:hAnsi="Verdana"/>
          <w:sz w:val="16"/>
          <w:szCs w:val="16"/>
        </w:rPr>
        <w:t>“4. Cuando se contrate con personas jurídicas, la obligación se extiende también a la comprobación de aquellos aportes que corresponde por ley realizar a sus empleados, a través de certificación expedida por el revisor fiscal cuando este sea necesario o por el representante legal de la</w:t>
      </w:r>
      <w:r w:rsidRPr="004C3DC0">
        <w:rPr>
          <w:rFonts w:ascii="Verdana" w:hAnsi="Verdana"/>
          <w:spacing w:val="-16"/>
          <w:sz w:val="16"/>
          <w:szCs w:val="16"/>
        </w:rPr>
        <w:t xml:space="preserve"> </w:t>
      </w:r>
      <w:r w:rsidRPr="004C3DC0">
        <w:rPr>
          <w:rFonts w:ascii="Verdana" w:hAnsi="Verdana"/>
          <w:sz w:val="16"/>
          <w:szCs w:val="16"/>
        </w:rPr>
        <w:t>entidad.</w:t>
      </w:r>
    </w:p>
    <w:p w14:paraId="54438516" w14:textId="77777777" w:rsidR="009973D8" w:rsidRPr="004C3DC0" w:rsidRDefault="009973D8" w:rsidP="009973D8">
      <w:pPr>
        <w:spacing w:after="0" w:line="240" w:lineRule="auto"/>
        <w:ind w:right="305" w:firstLine="709"/>
        <w:jc w:val="both"/>
        <w:rPr>
          <w:rFonts w:ascii="Verdana" w:hAnsi="Verdana"/>
          <w:sz w:val="16"/>
          <w:szCs w:val="16"/>
        </w:rPr>
      </w:pPr>
      <w:r w:rsidRPr="004C3DC0">
        <w:rPr>
          <w:rFonts w:ascii="Verdana" w:hAnsi="Verdana"/>
          <w:sz w:val="16"/>
          <w:szCs w:val="16"/>
        </w:rPr>
        <w:t>“5. En caso de que se compruebe un incumplimiento en el pago de los aportes parafiscales y al Sistema General de Seguridad Social, la ley otorga la facultad a la entidad pública de retener el monto adeudado y hacer las consignaciones</w:t>
      </w:r>
      <w:r w:rsidRPr="004C3DC0">
        <w:rPr>
          <w:rFonts w:ascii="Verdana" w:hAnsi="Verdana"/>
          <w:spacing w:val="-4"/>
          <w:sz w:val="16"/>
          <w:szCs w:val="16"/>
        </w:rPr>
        <w:t xml:space="preserve"> </w:t>
      </w:r>
      <w:r w:rsidRPr="004C3DC0">
        <w:rPr>
          <w:rFonts w:ascii="Verdana" w:hAnsi="Verdana"/>
          <w:sz w:val="16"/>
          <w:szCs w:val="16"/>
        </w:rPr>
        <w:t>correspondientes”.</w:t>
      </w:r>
    </w:p>
    <w:p w14:paraId="3D55715D" w14:textId="77777777" w:rsidR="009973D8" w:rsidRPr="004C3DC0" w:rsidRDefault="009973D8" w:rsidP="009973D8">
      <w:pPr>
        <w:pStyle w:val="Textonotapie"/>
        <w:rPr>
          <w:rFonts w:ascii="Verdana" w:hAnsi="Verdana"/>
          <w:sz w:val="16"/>
          <w:szCs w:val="16"/>
        </w:rPr>
      </w:pPr>
    </w:p>
  </w:footnote>
  <w:footnote w:id="5">
    <w:p w14:paraId="11EAC47F" w14:textId="77777777" w:rsidR="009973D8" w:rsidRDefault="009973D8" w:rsidP="009973D8">
      <w:pPr>
        <w:spacing w:after="0" w:line="240" w:lineRule="auto"/>
        <w:ind w:firstLine="709"/>
        <w:jc w:val="both"/>
        <w:rPr>
          <w:rFonts w:ascii="Verdana" w:hAnsi="Verdana"/>
          <w:sz w:val="16"/>
          <w:szCs w:val="16"/>
        </w:rPr>
      </w:pPr>
      <w:r w:rsidRPr="00D53FEF">
        <w:rPr>
          <w:rStyle w:val="Refdenotaalpie"/>
          <w:rFonts w:ascii="Verdana" w:hAnsi="Verdana"/>
          <w:sz w:val="16"/>
          <w:szCs w:val="16"/>
        </w:rPr>
        <w:footnoteRef/>
      </w:r>
      <w:r w:rsidRPr="00D53FEF">
        <w:rPr>
          <w:rFonts w:ascii="Verdana" w:hAnsi="Verdana"/>
          <w:sz w:val="16"/>
          <w:szCs w:val="16"/>
        </w:rPr>
        <w:t xml:space="preserve"> Ley 797 de 2003: “Artículo 3o El artículo </w:t>
      </w:r>
      <w:hyperlink r:id="rId1" w:anchor="15">
        <w:r w:rsidRPr="00D53FEF">
          <w:rPr>
            <w:rFonts w:ascii="Verdana" w:hAnsi="Verdana"/>
            <w:sz w:val="16"/>
            <w:szCs w:val="16"/>
            <w:u w:val="single" w:color="4D4D4D"/>
          </w:rPr>
          <w:t>15</w:t>
        </w:r>
        <w:r w:rsidRPr="00D53FEF">
          <w:rPr>
            <w:rFonts w:ascii="Verdana" w:hAnsi="Verdana"/>
            <w:sz w:val="16"/>
            <w:szCs w:val="16"/>
          </w:rPr>
          <w:t xml:space="preserve"> </w:t>
        </w:r>
      </w:hyperlink>
      <w:r w:rsidRPr="00D53FEF">
        <w:rPr>
          <w:rFonts w:ascii="Verdana" w:hAnsi="Verdana"/>
          <w:sz w:val="16"/>
          <w:szCs w:val="16"/>
        </w:rPr>
        <w:t>de la Ley 100 de 1993, quedará así:</w:t>
      </w:r>
    </w:p>
    <w:p w14:paraId="7680E917" w14:textId="77777777" w:rsidR="009973D8" w:rsidRPr="00D53FEF" w:rsidRDefault="009973D8" w:rsidP="009973D8">
      <w:pPr>
        <w:spacing w:after="0" w:line="240" w:lineRule="auto"/>
        <w:ind w:firstLine="709"/>
        <w:jc w:val="both"/>
        <w:rPr>
          <w:rFonts w:ascii="Verdana" w:hAnsi="Verdana"/>
          <w:sz w:val="16"/>
          <w:szCs w:val="16"/>
        </w:rPr>
      </w:pPr>
    </w:p>
    <w:p w14:paraId="4A7B16F5" w14:textId="77777777" w:rsidR="009973D8" w:rsidRPr="00D53FEF" w:rsidRDefault="009973D8" w:rsidP="009973D8">
      <w:pPr>
        <w:spacing w:after="0" w:line="240" w:lineRule="auto"/>
        <w:ind w:left="300" w:firstLine="709"/>
        <w:jc w:val="both"/>
        <w:rPr>
          <w:rFonts w:ascii="Verdana" w:hAnsi="Verdana"/>
          <w:sz w:val="16"/>
          <w:szCs w:val="16"/>
        </w:rPr>
      </w:pPr>
      <w:r w:rsidRPr="00D53FEF">
        <w:rPr>
          <w:rFonts w:ascii="Verdana" w:hAnsi="Verdana"/>
          <w:sz w:val="16"/>
          <w:szCs w:val="16"/>
        </w:rPr>
        <w:t>“Artículo 15. Afiliados. Serán afiliados al Sistema General de Pensiones:</w:t>
      </w:r>
    </w:p>
    <w:p w14:paraId="6F2C9BBA" w14:textId="77777777" w:rsidR="009973D8" w:rsidRPr="00D53FEF" w:rsidRDefault="009973D8" w:rsidP="009973D8">
      <w:pPr>
        <w:pStyle w:val="Textoindependiente"/>
        <w:ind w:firstLine="709"/>
        <w:rPr>
          <w:rFonts w:ascii="Verdana" w:hAnsi="Verdana"/>
          <w:sz w:val="16"/>
          <w:szCs w:val="16"/>
        </w:rPr>
      </w:pPr>
    </w:p>
    <w:p w14:paraId="1D5F2FE6" w14:textId="77777777" w:rsidR="009973D8" w:rsidRPr="00D53FEF" w:rsidRDefault="009973D8" w:rsidP="009973D8">
      <w:pPr>
        <w:spacing w:after="0" w:line="240" w:lineRule="auto"/>
        <w:ind w:left="301" w:right="306" w:firstLine="709"/>
        <w:jc w:val="both"/>
        <w:rPr>
          <w:rFonts w:ascii="Verdana" w:hAnsi="Verdana"/>
          <w:sz w:val="16"/>
          <w:szCs w:val="16"/>
        </w:rPr>
      </w:pPr>
      <w:r w:rsidRPr="00D53FEF">
        <w:rPr>
          <w:rFonts w:ascii="Verdana" w:hAnsi="Verdana"/>
          <w:sz w:val="16"/>
          <w:szCs w:val="16"/>
        </w:rPr>
        <w:t>“1. En forma obligatoria: Todas aquellas personas vinculadas mediante contrato de trabajo o como servidores públicos. Así mismo, las personas naturales que presten directamente servicios al Estado o a las entidades o empresas del sector privado, bajo la modalidad de contratos de prestación de servicios, o cualquier otra modalidad de servicios que adopten, los trabajadores independientes y los grupos de población que por sus características o condiciones socioeconómicas sean elegidos para ser beneficiarios de subsidios a través del Fondo de Solidaridad Pensional, de acuerdo con las disponibilidades presupuestales”.</w:t>
      </w:r>
    </w:p>
    <w:p w14:paraId="67BD51CF" w14:textId="77777777" w:rsidR="009973D8" w:rsidRPr="00D53FEF" w:rsidRDefault="009973D8" w:rsidP="009973D8">
      <w:pPr>
        <w:pStyle w:val="Textonotapie"/>
        <w:rPr>
          <w:rFonts w:ascii="Verdana" w:hAnsi="Verdana"/>
          <w:sz w:val="16"/>
          <w:szCs w:val="16"/>
        </w:rPr>
      </w:pPr>
    </w:p>
  </w:footnote>
  <w:footnote w:id="6">
    <w:p w14:paraId="64F8686F" w14:textId="77777777" w:rsidR="009973D8" w:rsidRPr="00D53FEF" w:rsidRDefault="009973D8" w:rsidP="009973D8">
      <w:pPr>
        <w:spacing w:after="0" w:line="240" w:lineRule="auto"/>
        <w:ind w:firstLine="709"/>
        <w:rPr>
          <w:rFonts w:ascii="Verdana" w:hAnsi="Verdana"/>
          <w:sz w:val="16"/>
          <w:szCs w:val="16"/>
        </w:rPr>
      </w:pPr>
      <w:r w:rsidRPr="00D53FEF">
        <w:rPr>
          <w:rStyle w:val="Refdenotaalpie"/>
          <w:rFonts w:ascii="Verdana" w:hAnsi="Verdana"/>
          <w:sz w:val="16"/>
          <w:szCs w:val="16"/>
        </w:rPr>
        <w:footnoteRef/>
      </w:r>
      <w:r w:rsidRPr="00D53FEF">
        <w:rPr>
          <w:rFonts w:ascii="Verdana" w:hAnsi="Verdana"/>
          <w:sz w:val="16"/>
          <w:szCs w:val="16"/>
        </w:rPr>
        <w:t xml:space="preserve"> Ley 797 de 2003: “Artículo 4. El artículo</w:t>
      </w:r>
      <w:hyperlink r:id="rId2" w:anchor="17">
        <w:r w:rsidRPr="00D53FEF">
          <w:rPr>
            <w:rFonts w:ascii="Verdana" w:hAnsi="Verdana"/>
            <w:sz w:val="16"/>
            <w:szCs w:val="16"/>
          </w:rPr>
          <w:t xml:space="preserve"> 17 </w:t>
        </w:r>
      </w:hyperlink>
      <w:r w:rsidRPr="00D53FEF">
        <w:rPr>
          <w:rFonts w:ascii="Verdana" w:hAnsi="Verdana"/>
          <w:sz w:val="16"/>
          <w:szCs w:val="16"/>
        </w:rPr>
        <w:t>de la Ley 100 de 1993 quedará así:</w:t>
      </w:r>
    </w:p>
    <w:p w14:paraId="28CB5C4B" w14:textId="77777777" w:rsidR="009973D8" w:rsidRPr="00D53FEF" w:rsidRDefault="009973D8" w:rsidP="009973D8">
      <w:pPr>
        <w:pStyle w:val="Textoindependiente"/>
        <w:rPr>
          <w:rFonts w:ascii="Verdana" w:hAnsi="Verdana"/>
          <w:sz w:val="16"/>
          <w:szCs w:val="16"/>
        </w:rPr>
      </w:pPr>
    </w:p>
    <w:p w14:paraId="1CA0674A" w14:textId="77777777" w:rsidR="009973D8" w:rsidRPr="00D53FEF" w:rsidRDefault="009973D8" w:rsidP="009973D8">
      <w:pPr>
        <w:spacing w:after="0" w:line="240" w:lineRule="auto"/>
        <w:ind w:right="306" w:firstLine="709"/>
        <w:jc w:val="both"/>
        <w:rPr>
          <w:rFonts w:ascii="Verdana" w:hAnsi="Verdana"/>
          <w:sz w:val="16"/>
          <w:szCs w:val="16"/>
        </w:rPr>
      </w:pPr>
      <w:r w:rsidRPr="00D53FEF">
        <w:rPr>
          <w:rFonts w:ascii="Verdana" w:hAnsi="Verdana"/>
          <w:sz w:val="16"/>
          <w:szCs w:val="16"/>
        </w:rPr>
        <w:t>“Artículo 17. Obligatoriedad de las Cotizaciones. Durante la vigencia de la relación laboral y del contrato de prestación de servicios, deberán efectuarse cotizaciones obligatorias a los regímenes del sistema general de pensiones por parte de los afiliados, los empleadores y contratistas con base en el salario o ingresos por prestación de servicios que aquellos devenguen.</w:t>
      </w:r>
    </w:p>
    <w:p w14:paraId="50A744A5" w14:textId="77777777" w:rsidR="009973D8" w:rsidRPr="00D53FEF" w:rsidRDefault="009973D8" w:rsidP="009973D8">
      <w:pPr>
        <w:pStyle w:val="Textoindependiente"/>
        <w:ind w:firstLine="709"/>
        <w:rPr>
          <w:rFonts w:ascii="Verdana" w:hAnsi="Verdana"/>
          <w:sz w:val="16"/>
          <w:szCs w:val="16"/>
        </w:rPr>
      </w:pPr>
    </w:p>
    <w:p w14:paraId="3C0141B6" w14:textId="77777777" w:rsidR="009973D8" w:rsidRPr="00D53FEF" w:rsidRDefault="009973D8" w:rsidP="009973D8">
      <w:pPr>
        <w:spacing w:after="0" w:line="240" w:lineRule="auto"/>
        <w:ind w:right="311" w:firstLine="709"/>
        <w:jc w:val="both"/>
        <w:rPr>
          <w:rFonts w:ascii="Verdana" w:hAnsi="Verdana"/>
          <w:sz w:val="16"/>
          <w:szCs w:val="16"/>
        </w:rPr>
      </w:pPr>
      <w:r w:rsidRPr="00D53FEF">
        <w:rPr>
          <w:rFonts w:ascii="Verdana" w:hAnsi="Verdana"/>
          <w:sz w:val="16"/>
          <w:szCs w:val="16"/>
        </w:rPr>
        <w:t>“La obligación de cotizar cesa al momento en que el afiliado reúna los requisitos para acceder a la pensión mínima de vejez, o cuando el afiliado se pensione por invalidez o anticipadamente”.</w:t>
      </w:r>
    </w:p>
    <w:p w14:paraId="1742BFCE" w14:textId="77777777" w:rsidR="009973D8" w:rsidRPr="00D53FEF" w:rsidRDefault="009973D8" w:rsidP="009973D8">
      <w:pPr>
        <w:pStyle w:val="Textonotapie"/>
        <w:rPr>
          <w:rFonts w:ascii="Verdana" w:hAnsi="Verdana"/>
          <w:sz w:val="16"/>
          <w:szCs w:val="16"/>
          <w:lang w:val="es-CO"/>
        </w:rPr>
      </w:pPr>
    </w:p>
  </w:footnote>
  <w:footnote w:id="7">
    <w:p w14:paraId="76C50FC2" w14:textId="77777777" w:rsidR="009973D8" w:rsidRPr="007A7286" w:rsidRDefault="009973D8" w:rsidP="009973D8">
      <w:pPr>
        <w:spacing w:after="0" w:line="240" w:lineRule="auto"/>
        <w:ind w:firstLine="709"/>
        <w:jc w:val="both"/>
        <w:rPr>
          <w:rFonts w:ascii="Verdana" w:hAnsi="Verdana"/>
          <w:sz w:val="16"/>
          <w:szCs w:val="16"/>
        </w:rPr>
      </w:pPr>
      <w:r w:rsidRPr="007A7286">
        <w:rPr>
          <w:rStyle w:val="Refdenotaalpie"/>
          <w:rFonts w:ascii="Verdana" w:hAnsi="Verdana"/>
          <w:sz w:val="16"/>
          <w:szCs w:val="16"/>
        </w:rPr>
        <w:footnoteRef/>
      </w:r>
      <w:r w:rsidRPr="007A7286">
        <w:rPr>
          <w:rFonts w:ascii="Verdana" w:hAnsi="Verdana"/>
          <w:sz w:val="16"/>
          <w:szCs w:val="16"/>
        </w:rPr>
        <w:t xml:space="preserve"> (…)</w:t>
      </w:r>
      <w:r>
        <w:rPr>
          <w:rFonts w:ascii="Verdana" w:hAnsi="Verdana"/>
          <w:sz w:val="16"/>
          <w:szCs w:val="16"/>
        </w:rPr>
        <w:t xml:space="preserve"> </w:t>
      </w:r>
      <w:r w:rsidRPr="007A7286">
        <w:rPr>
          <w:rFonts w:ascii="Verdana" w:hAnsi="Verdana"/>
          <w:sz w:val="16"/>
          <w:szCs w:val="16"/>
        </w:rPr>
        <w:t>“1.4 Los trabajadores independientes, los rentistas, los propietarios de las empresas y en general todas las personas residentes en el país, que no tengan vínculo contractual y reglamentario con algún empleador y cuyos ingresos mensuales sean iguales o superiores a un salario mínimo mensual legal</w:t>
      </w:r>
      <w:r w:rsidRPr="007A7286">
        <w:rPr>
          <w:rFonts w:ascii="Verdana" w:hAnsi="Verdana"/>
          <w:spacing w:val="-20"/>
          <w:sz w:val="16"/>
          <w:szCs w:val="16"/>
        </w:rPr>
        <w:t xml:space="preserve"> </w:t>
      </w:r>
      <w:r w:rsidRPr="007A7286">
        <w:rPr>
          <w:rFonts w:ascii="Verdana" w:hAnsi="Verdana"/>
          <w:sz w:val="16"/>
          <w:szCs w:val="16"/>
        </w:rPr>
        <w:t>vigente”.</w:t>
      </w:r>
    </w:p>
    <w:p w14:paraId="00FA8216" w14:textId="77777777" w:rsidR="009973D8" w:rsidRPr="007A7286" w:rsidRDefault="009973D8" w:rsidP="009973D8">
      <w:pPr>
        <w:pStyle w:val="Textonotapie"/>
        <w:ind w:firstLine="709"/>
        <w:jc w:val="both"/>
        <w:rPr>
          <w:rFonts w:ascii="Verdana" w:hAnsi="Verdana"/>
          <w:sz w:val="16"/>
          <w:szCs w:val="16"/>
        </w:rPr>
      </w:pPr>
    </w:p>
  </w:footnote>
  <w:footnote w:id="8">
    <w:p w14:paraId="255D3C2B" w14:textId="77777777" w:rsidR="009973D8" w:rsidRPr="007A7286" w:rsidRDefault="009973D8" w:rsidP="009973D8">
      <w:pPr>
        <w:pStyle w:val="Textonotapie"/>
        <w:ind w:firstLine="709"/>
        <w:jc w:val="both"/>
        <w:rPr>
          <w:rFonts w:ascii="Verdana" w:hAnsi="Verdana"/>
          <w:sz w:val="16"/>
          <w:szCs w:val="16"/>
        </w:rPr>
      </w:pPr>
      <w:r w:rsidRPr="007A7286">
        <w:rPr>
          <w:rStyle w:val="Refdenotaalpie"/>
          <w:rFonts w:ascii="Verdana" w:hAnsi="Verdana"/>
          <w:sz w:val="16"/>
          <w:szCs w:val="16"/>
        </w:rPr>
        <w:footnoteRef/>
      </w:r>
      <w:r w:rsidRPr="007A7286">
        <w:rPr>
          <w:rFonts w:ascii="Verdana" w:hAnsi="Verdana"/>
          <w:sz w:val="16"/>
          <w:szCs w:val="16"/>
        </w:rPr>
        <w:t xml:space="preserve"> Corte Suprema de Justicia. Sala de Casación Laboral. 25 de noviembre de 2020. </w:t>
      </w:r>
      <w:r w:rsidRPr="007A7286">
        <w:rPr>
          <w:rFonts w:ascii="Verdana" w:hAnsi="Verdana"/>
          <w:sz w:val="16"/>
          <w:szCs w:val="16"/>
          <w:lang w:val="es-CO"/>
        </w:rPr>
        <w:t xml:space="preserve">Radicación n.° 86013. SL4698-2020. M.P: Clara Cecilia Dueñas Quevedo. Disponible en </w:t>
      </w:r>
      <w:hyperlink r:id="rId3" w:history="1">
        <w:r w:rsidRPr="007A7286">
          <w:rPr>
            <w:rStyle w:val="Hipervnculo"/>
            <w:rFonts w:ascii="Verdana" w:hAnsi="Verdana"/>
            <w:sz w:val="16"/>
            <w:szCs w:val="16"/>
            <w:lang w:val="es-CO"/>
          </w:rPr>
          <w:t>SL4698-2020.pdf</w:t>
        </w:r>
      </w:hyperlink>
    </w:p>
    <w:p w14:paraId="04D9FD9D" w14:textId="77777777" w:rsidR="009973D8" w:rsidRPr="007A7286" w:rsidRDefault="009973D8" w:rsidP="009973D8">
      <w:pPr>
        <w:pStyle w:val="Textonotapie"/>
        <w:ind w:firstLine="709"/>
        <w:jc w:val="both"/>
        <w:rPr>
          <w:rFonts w:ascii="Verdana" w:hAnsi="Verdana"/>
          <w:sz w:val="16"/>
          <w:szCs w:val="16"/>
          <w:lang w:val="es-ES"/>
        </w:rPr>
      </w:pPr>
    </w:p>
  </w:footnote>
  <w:footnote w:id="9">
    <w:p w14:paraId="39E333A9" w14:textId="77777777" w:rsidR="009973D8" w:rsidRPr="00D53FEF" w:rsidRDefault="009973D8" w:rsidP="009973D8">
      <w:pPr>
        <w:pStyle w:val="Textonotapie"/>
        <w:ind w:firstLine="709"/>
        <w:jc w:val="both"/>
        <w:rPr>
          <w:rFonts w:ascii="Verdana" w:hAnsi="Verdana"/>
          <w:sz w:val="16"/>
          <w:szCs w:val="16"/>
        </w:rPr>
      </w:pPr>
      <w:r w:rsidRPr="00D53FEF">
        <w:rPr>
          <w:rStyle w:val="Refdenotaalpie"/>
          <w:rFonts w:ascii="Verdana" w:hAnsi="Verdana"/>
          <w:sz w:val="16"/>
          <w:szCs w:val="16"/>
        </w:rPr>
        <w:footnoteRef/>
      </w:r>
      <w:r w:rsidRPr="00D53FEF">
        <w:rPr>
          <w:rFonts w:ascii="Verdana" w:hAnsi="Verdana"/>
          <w:sz w:val="16"/>
          <w:szCs w:val="16"/>
        </w:rPr>
        <w:t xml:space="preserve"> Corte Suprema de Justicia. Sala de Casación Laboral. 5 de agosto de 2020. </w:t>
      </w:r>
      <w:r w:rsidRPr="00D53FEF">
        <w:rPr>
          <w:rFonts w:ascii="Verdana" w:hAnsi="Verdana"/>
          <w:sz w:val="16"/>
          <w:szCs w:val="16"/>
          <w:lang w:val="es-CO"/>
        </w:rPr>
        <w:t>Radicación n.° 76937. SL2991-2020. M.P: Clara Cecilia Dueñas Quevedo</w:t>
      </w:r>
      <w:r>
        <w:rPr>
          <w:rFonts w:ascii="Verdana" w:hAnsi="Verdana"/>
          <w:sz w:val="16"/>
          <w:szCs w:val="16"/>
          <w:lang w:val="es-CO"/>
        </w:rPr>
        <w:t xml:space="preserve">. Disponible en </w:t>
      </w:r>
      <w:hyperlink r:id="rId4" w:history="1">
        <w:r w:rsidRPr="00697BBB">
          <w:rPr>
            <w:rStyle w:val="Hipervnculo"/>
            <w:rFonts w:ascii="Verdana" w:hAnsi="Verdana"/>
            <w:sz w:val="16"/>
            <w:szCs w:val="16"/>
            <w:lang w:val="es-CO"/>
          </w:rPr>
          <w:t>CORTE SUPREMA DE JUSTICIA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360" w:hanging="360"/>
      </w:pPr>
      <w:rPr>
        <w:b/>
        <w:color w:val="000000" w:themeColor="text1"/>
        <w:lang w:val="es-C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0C32A9"/>
    <w:multiLevelType w:val="multilevel"/>
    <w:tmpl w:val="642A2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599874326">
    <w:abstractNumId w:val="0"/>
  </w:num>
  <w:num w:numId="17" w16cid:durableId="1444806992">
    <w:abstractNumId w:val="2"/>
  </w:num>
  <w:num w:numId="18" w16cid:durableId="6393050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577C"/>
    <w:rsid w:val="000D0334"/>
    <w:rsid w:val="000D5DA7"/>
    <w:rsid w:val="000F6486"/>
    <w:rsid w:val="00116940"/>
    <w:rsid w:val="00125105"/>
    <w:rsid w:val="00127233"/>
    <w:rsid w:val="0013331E"/>
    <w:rsid w:val="0015699B"/>
    <w:rsid w:val="001A33BF"/>
    <w:rsid w:val="001E4177"/>
    <w:rsid w:val="001F0B24"/>
    <w:rsid w:val="001F7DC6"/>
    <w:rsid w:val="0022400B"/>
    <w:rsid w:val="002421BB"/>
    <w:rsid w:val="0025796E"/>
    <w:rsid w:val="00262BDB"/>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D6274"/>
    <w:rsid w:val="003E0499"/>
    <w:rsid w:val="003E4F80"/>
    <w:rsid w:val="003E6439"/>
    <w:rsid w:val="003F3941"/>
    <w:rsid w:val="003F70B9"/>
    <w:rsid w:val="00406575"/>
    <w:rsid w:val="00407BAE"/>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02DB"/>
    <w:rsid w:val="006A5330"/>
    <w:rsid w:val="00706C16"/>
    <w:rsid w:val="007340C3"/>
    <w:rsid w:val="0075235A"/>
    <w:rsid w:val="00756841"/>
    <w:rsid w:val="007649AB"/>
    <w:rsid w:val="00771D0C"/>
    <w:rsid w:val="007833AC"/>
    <w:rsid w:val="007B268C"/>
    <w:rsid w:val="007B7171"/>
    <w:rsid w:val="007C0C0F"/>
    <w:rsid w:val="007C3DC2"/>
    <w:rsid w:val="007E197B"/>
    <w:rsid w:val="007E5497"/>
    <w:rsid w:val="007F5261"/>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7561"/>
    <w:rsid w:val="009973D8"/>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0224"/>
    <w:rsid w:val="00AB0ADB"/>
    <w:rsid w:val="00B00C0E"/>
    <w:rsid w:val="00B01B1A"/>
    <w:rsid w:val="00B0381D"/>
    <w:rsid w:val="00B44A47"/>
    <w:rsid w:val="00B72CD3"/>
    <w:rsid w:val="00B72FFF"/>
    <w:rsid w:val="00BC3D36"/>
    <w:rsid w:val="00BD54A6"/>
    <w:rsid w:val="00BD7F72"/>
    <w:rsid w:val="00BF7425"/>
    <w:rsid w:val="00C03A34"/>
    <w:rsid w:val="00C04FB3"/>
    <w:rsid w:val="00C11D8B"/>
    <w:rsid w:val="00C15139"/>
    <w:rsid w:val="00C330EB"/>
    <w:rsid w:val="00C50D69"/>
    <w:rsid w:val="00C5365C"/>
    <w:rsid w:val="00C754BE"/>
    <w:rsid w:val="00C76B1C"/>
    <w:rsid w:val="00C925AC"/>
    <w:rsid w:val="00CB6357"/>
    <w:rsid w:val="00CC1B26"/>
    <w:rsid w:val="00D02C44"/>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4A28"/>
    <w:rsid w:val="00E75C92"/>
    <w:rsid w:val="00E771DC"/>
    <w:rsid w:val="00E8772A"/>
    <w:rsid w:val="00E90F6B"/>
    <w:rsid w:val="00E92C27"/>
    <w:rsid w:val="00EA0E3D"/>
    <w:rsid w:val="00EA1A7C"/>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973D8"/>
    <w:rPr>
      <w:rFonts w:ascii="Geomanist Light" w:hAnsi="Geomanist Light"/>
      <w:lang w:val="es-ES"/>
    </w:rPr>
  </w:style>
  <w:style w:type="paragraph" w:customStyle="1" w:styleId="Appelnotedebasde">
    <w:name w:val="Appel note de bas de..."/>
    <w:basedOn w:val="Normal"/>
    <w:link w:val="Refdenotaalpie"/>
    <w:uiPriority w:val="99"/>
    <w:rsid w:val="009973D8"/>
    <w:pPr>
      <w:spacing w:line="240" w:lineRule="exact"/>
    </w:pPr>
    <w:rPr>
      <w:vertAlign w:val="superscript"/>
    </w:rPr>
  </w:style>
  <w:style w:type="paragraph" w:styleId="Textoindependiente">
    <w:name w:val="Body Text"/>
    <w:basedOn w:val="Normal"/>
    <w:link w:val="TextoindependienteCar"/>
    <w:uiPriority w:val="1"/>
    <w:qFormat/>
    <w:rsid w:val="009973D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973D8"/>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rtesuprema.gov.co/corte/wp-content/uploads/relatorias/la/cartilladef/DSS/SL2991-2020.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cortesuprema.gov.co/corte/wp-content/uploads/relatorias/la/bfeb2021/SL4698-2020.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puertoleguizamo-putumayo.gov.co"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cortesuprema.gov.co/corte/wp-content/uploads/relatorias/la/bfeb2021/SL4698-2020.pdf" TargetMode="External"/><Relationship Id="rId2" Type="http://schemas.openxmlformats.org/officeDocument/2006/relationships/hyperlink" Target="http://www.secretariasenado.gov.co/senado/basedoc/ley_0100_1993.html" TargetMode="External"/><Relationship Id="rId1" Type="http://schemas.openxmlformats.org/officeDocument/2006/relationships/hyperlink" Target="http://www.secretariasenado.gov.co/senado/basedoc/ley_0100_1993.html" TargetMode="External"/><Relationship Id="rId4" Type="http://schemas.openxmlformats.org/officeDocument/2006/relationships/hyperlink" Target="https://cortesuprema.gov.co/corte/wp-content/uploads/relatorias/la/cartilladef/DSS/SL2991-202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1A9C1A6-2D45-42AB-8D38-079835C2702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16</Pages>
  <Words>4806</Words>
  <Characters>26435</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2026-05-07T16:40:00Z</dcterms:created>
  <dcterms:modified xsi:type="dcterms:W3CDTF">2026-05-08T01:21:00Z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