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C3B09" w14:textId="77777777" w:rsidR="002E06E9" w:rsidRPr="00A007C7" w:rsidRDefault="002E06E9" w:rsidP="002E06E9">
      <w:pPr>
        <w:spacing w:after="0" w:line="240" w:lineRule="auto"/>
        <w:jc w:val="both"/>
        <w:rPr>
          <w:rFonts w:ascii="Verdana" w:eastAsia="Verdana" w:hAnsi="Verdana" w:cs="Verdana"/>
          <w:b/>
        </w:rPr>
      </w:pPr>
      <w:bookmarkStart w:id="0" w:name="_Hlk143780582"/>
      <w:r w:rsidRPr="00A007C7">
        <w:rPr>
          <w:rFonts w:ascii="Verdana" w:eastAsia="Verdana" w:hAnsi="Verdana" w:cs="Verdana"/>
          <w:b/>
        </w:rPr>
        <w:t xml:space="preserve">CONTRATO DE PRESTACIÓN DE SERVICIOS – Definición </w:t>
      </w:r>
    </w:p>
    <w:p w14:paraId="4F3178AC" w14:textId="77777777" w:rsidR="002E06E9" w:rsidRPr="00A007C7" w:rsidRDefault="002E06E9" w:rsidP="002E06E9">
      <w:pPr>
        <w:spacing w:after="0" w:line="240" w:lineRule="auto"/>
        <w:jc w:val="both"/>
        <w:rPr>
          <w:rFonts w:ascii="Verdana" w:eastAsia="Verdana" w:hAnsi="Verdana" w:cs="Verdana"/>
          <w:b/>
        </w:rPr>
      </w:pPr>
    </w:p>
    <w:p w14:paraId="37EF455D" w14:textId="77777777" w:rsidR="002E06E9" w:rsidRPr="00A007C7" w:rsidRDefault="002E06E9" w:rsidP="002E06E9">
      <w:pPr>
        <w:spacing w:after="0" w:line="240" w:lineRule="auto"/>
        <w:jc w:val="both"/>
        <w:rPr>
          <w:rFonts w:ascii="Verdana" w:eastAsia="Verdana" w:hAnsi="Verdana" w:cs="Verdana"/>
          <w:sz w:val="20"/>
        </w:rPr>
      </w:pPr>
      <w:r w:rsidRPr="00A007C7">
        <w:rPr>
          <w:rFonts w:ascii="Verdana" w:eastAsia="Verdana" w:hAnsi="Verdana" w:cs="Verdana"/>
          <w:sz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144C352" w14:textId="77777777" w:rsidR="002E06E9" w:rsidRPr="00A007C7" w:rsidRDefault="002E06E9" w:rsidP="002E06E9">
      <w:pPr>
        <w:spacing w:after="0" w:line="240" w:lineRule="auto"/>
        <w:jc w:val="both"/>
        <w:rPr>
          <w:rFonts w:ascii="Verdana" w:eastAsia="Verdana" w:hAnsi="Verdana" w:cs="Verdana"/>
          <w:b/>
        </w:rPr>
      </w:pPr>
    </w:p>
    <w:p w14:paraId="76060604" w14:textId="77777777" w:rsidR="002E06E9" w:rsidRPr="00A007C7" w:rsidRDefault="002E06E9" w:rsidP="002E06E9">
      <w:pPr>
        <w:spacing w:after="0" w:line="240" w:lineRule="auto"/>
        <w:jc w:val="both"/>
        <w:rPr>
          <w:rFonts w:ascii="Verdana" w:eastAsia="Verdana" w:hAnsi="Verdana" w:cs="Verdana"/>
          <w:b/>
        </w:rPr>
      </w:pPr>
      <w:r w:rsidRPr="00A007C7">
        <w:rPr>
          <w:rFonts w:ascii="Verdana" w:eastAsia="Verdana" w:hAnsi="Verdana" w:cs="Verdana"/>
          <w:b/>
        </w:rPr>
        <w:t xml:space="preserve">CONTRATO DE PRESTACIÓN DE SERVICIOS – Características </w:t>
      </w:r>
    </w:p>
    <w:p w14:paraId="6021B093" w14:textId="77777777" w:rsidR="002E06E9" w:rsidRDefault="002E06E9" w:rsidP="002E06E9">
      <w:pPr>
        <w:spacing w:after="0" w:line="240" w:lineRule="auto"/>
        <w:jc w:val="both"/>
        <w:rPr>
          <w:rFonts w:ascii="Verdana" w:eastAsia="Verdana" w:hAnsi="Verdana" w:cs="Verdana"/>
          <w:b/>
        </w:rPr>
      </w:pPr>
    </w:p>
    <w:p w14:paraId="077FF19D" w14:textId="77777777" w:rsidR="002E06E9" w:rsidRDefault="002E06E9" w:rsidP="002E06E9">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5264D153" w14:textId="77777777" w:rsidR="002E06E9" w:rsidRPr="00A007C7" w:rsidRDefault="002E06E9" w:rsidP="002E06E9">
      <w:pPr>
        <w:spacing w:after="0" w:line="240" w:lineRule="auto"/>
        <w:jc w:val="both"/>
        <w:rPr>
          <w:rFonts w:ascii="Verdana" w:eastAsia="Verdana" w:hAnsi="Verdana" w:cs="Verdana"/>
          <w:sz w:val="20"/>
          <w:szCs w:val="20"/>
        </w:rPr>
      </w:pPr>
    </w:p>
    <w:p w14:paraId="00BF4D53" w14:textId="77777777" w:rsidR="002E06E9" w:rsidRDefault="002E06E9" w:rsidP="002E06E9">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a) Solo puede celebrarse para realizar “actividades relacionadas con la administración o funcionamiento de la entidad”, es decir, que hagan parte de su giro ordinario o quehacer cotidiano.</w:t>
      </w:r>
    </w:p>
    <w:p w14:paraId="46061968" w14:textId="77777777" w:rsidR="002E06E9" w:rsidRPr="00A007C7" w:rsidRDefault="002E06E9" w:rsidP="002E06E9">
      <w:pPr>
        <w:spacing w:after="0" w:line="240" w:lineRule="auto"/>
        <w:jc w:val="both"/>
        <w:rPr>
          <w:rFonts w:ascii="Verdana" w:eastAsia="Verdana" w:hAnsi="Verdana" w:cs="Verdana"/>
          <w:sz w:val="20"/>
          <w:szCs w:val="20"/>
        </w:rPr>
      </w:pPr>
    </w:p>
    <w:p w14:paraId="730983B8" w14:textId="77777777" w:rsidR="002E06E9" w:rsidRDefault="002E06E9" w:rsidP="002E06E9">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F0F2673" w14:textId="77777777" w:rsidR="002E06E9" w:rsidRPr="00A007C7" w:rsidRDefault="002E06E9" w:rsidP="002E06E9">
      <w:pPr>
        <w:spacing w:after="0" w:line="240" w:lineRule="auto"/>
        <w:jc w:val="both"/>
        <w:rPr>
          <w:rFonts w:ascii="Verdana" w:eastAsia="Verdana" w:hAnsi="Verdana" w:cs="Verdana"/>
          <w:sz w:val="20"/>
          <w:szCs w:val="20"/>
        </w:rPr>
      </w:pPr>
    </w:p>
    <w:p w14:paraId="1342E651" w14:textId="77777777" w:rsidR="002E06E9" w:rsidRPr="00A007C7" w:rsidRDefault="002E06E9" w:rsidP="002E06E9">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 xml:space="preserve">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A007C7">
        <w:rPr>
          <w:rFonts w:ascii="Verdana" w:eastAsia="Verdana" w:hAnsi="Verdana" w:cs="Verdana"/>
          <w:i/>
          <w:sz w:val="20"/>
          <w:szCs w:val="20"/>
        </w:rPr>
        <w:t>subordinación y dependencia</w:t>
      </w:r>
      <w:r w:rsidRPr="00A007C7">
        <w:rPr>
          <w:rFonts w:ascii="Verdana" w:eastAsia="Verdana" w:hAnsi="Verdana" w:cs="Verdana"/>
          <w:iCs/>
          <w:sz w:val="20"/>
          <w:szCs w:val="20"/>
        </w:rPr>
        <w:t>,</w:t>
      </w:r>
      <w:r w:rsidRPr="00A007C7">
        <w:rPr>
          <w:rFonts w:ascii="Verdana" w:eastAsia="Verdana" w:hAnsi="Verdana" w:cs="Verdana"/>
          <w:sz w:val="20"/>
          <w:szCs w:val="2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007C7">
        <w:rPr>
          <w:rFonts w:ascii="Verdana" w:eastAsia="Verdana" w:hAnsi="Verdana" w:cs="Verdana"/>
          <w:i/>
          <w:sz w:val="20"/>
          <w:szCs w:val="20"/>
        </w:rPr>
        <w:t>no pueden</w:t>
      </w:r>
      <w:r w:rsidRPr="00A007C7">
        <w:rPr>
          <w:rFonts w:ascii="Verdana" w:eastAsia="Verdana" w:hAnsi="Verdana" w:cs="Verdana"/>
          <w:sz w:val="20"/>
          <w:szCs w:val="20"/>
        </w:rPr>
        <w:t xml:space="preserve"> generar relación laboral, ni dar lugar a que las entidades estatales paguen por su cuenta los aportes al Sistema de Seguridad Social Integral del contratista. </w:t>
      </w:r>
    </w:p>
    <w:p w14:paraId="7A024833" w14:textId="77777777" w:rsidR="002E06E9" w:rsidRPr="002E06E9" w:rsidRDefault="002E06E9" w:rsidP="002E06E9">
      <w:pPr>
        <w:spacing w:after="0" w:line="240" w:lineRule="auto"/>
        <w:jc w:val="both"/>
        <w:rPr>
          <w:rFonts w:ascii="Verdana" w:eastAsia="Verdana" w:hAnsi="Verdana" w:cs="Verdana"/>
          <w:b/>
          <w:lang w:val="es-ES_tradnl"/>
        </w:rPr>
      </w:pPr>
      <w:r w:rsidRPr="002E06E9">
        <w:rPr>
          <w:rFonts w:ascii="Verdana" w:eastAsia="Verdana" w:hAnsi="Verdana" w:cs="Verdana"/>
          <w:b/>
          <w:lang w:val="es-ES_tradnl"/>
        </w:rPr>
        <w:lastRenderedPageBreak/>
        <w:t>SERVIDORES PÚBLICOS – Empleados Públicos – Trabajadores Oficiales – Miembros de Corporaciones Públicas</w:t>
      </w:r>
    </w:p>
    <w:p w14:paraId="3563DAA5" w14:textId="2CAB6549" w:rsidR="002E06E9" w:rsidRPr="002E06E9" w:rsidRDefault="002E06E9" w:rsidP="002E06E9">
      <w:pPr>
        <w:spacing w:after="0" w:line="240" w:lineRule="auto"/>
        <w:jc w:val="both"/>
        <w:rPr>
          <w:rFonts w:ascii="Verdana" w:eastAsia="Verdana" w:hAnsi="Verdana" w:cs="Verdana"/>
          <w:sz w:val="20"/>
          <w:lang w:val="es-ES_tradnl"/>
        </w:rPr>
      </w:pPr>
    </w:p>
    <w:p w14:paraId="46595A04" w14:textId="4DDA0BBE" w:rsidR="002E06E9" w:rsidRPr="002E06E9" w:rsidRDefault="002E06E9" w:rsidP="002E06E9">
      <w:pPr>
        <w:spacing w:after="0" w:line="240" w:lineRule="auto"/>
        <w:jc w:val="both"/>
        <w:rPr>
          <w:rFonts w:ascii="Verdana" w:eastAsia="Verdana" w:hAnsi="Verdana" w:cs="Verdana"/>
          <w:bCs/>
          <w:sz w:val="20"/>
        </w:rPr>
      </w:pPr>
      <w:r w:rsidRPr="002E06E9">
        <w:rPr>
          <w:rFonts w:ascii="Verdana" w:eastAsia="Verdana" w:hAnsi="Verdana" w:cs="Verdana"/>
          <w:bCs/>
          <w:sz w:val="20"/>
          <w:lang w:val="es-ES_tradnl"/>
        </w:rPr>
        <w:t xml:space="preserve">Para ello, se detalla que los contratistas de prestación de servicios no son considerados servidores públicos, con fundamento en el artículo 123 de la Constitución, que define quiénes integran la categoría de servidores públicos: los miembros de corporaciones públicas, empleados y trabajadores del Estado, así como de sus entidades descentralizadas. Dicha clasificación de los servidores públicos </w:t>
      </w:r>
      <w:r w:rsidRPr="002E06E9">
        <w:rPr>
          <w:rFonts w:ascii="Verdana" w:eastAsia="Verdana" w:hAnsi="Verdana" w:cs="Verdana"/>
          <w:bCs/>
          <w:sz w:val="20"/>
        </w:rPr>
        <w:t>se remonta a la ley </w:t>
      </w:r>
      <w:hyperlink r:id="rId11" w:anchor="4" w:tooltip="vinculo" w:history="1">
        <w:r w:rsidRPr="002E06E9">
          <w:rPr>
            <w:rStyle w:val="Hipervnculo"/>
            <w:rFonts w:ascii="Verdana" w:eastAsia="Verdana" w:hAnsi="Verdana" w:cs="Verdana"/>
            <w:bCs/>
            <w:color w:val="auto"/>
            <w:sz w:val="20"/>
          </w:rPr>
          <w:t>4</w:t>
        </w:r>
      </w:hyperlink>
      <w:r w:rsidRPr="002E06E9">
        <w:rPr>
          <w:rFonts w:ascii="Verdana" w:eastAsia="Verdana" w:hAnsi="Verdana" w:cs="Verdana"/>
          <w:bCs/>
          <w:sz w:val="20"/>
        </w:rPr>
        <w:t>a de 1913, que basándose en el criterio finalista definió a los empleados públicos como los que tienen funciones administrativas y los trabajadores oficiales aquéllos que realizan las obras públicas y actividades industriales y comerciales del Estado.</w:t>
      </w:r>
    </w:p>
    <w:p w14:paraId="1F941577" w14:textId="77777777" w:rsidR="002E06E9" w:rsidRPr="002E06E9" w:rsidRDefault="002E06E9" w:rsidP="002E06E9">
      <w:pPr>
        <w:spacing w:after="0" w:line="240" w:lineRule="auto"/>
        <w:jc w:val="both"/>
        <w:rPr>
          <w:rFonts w:ascii="Verdana" w:eastAsia="Verdana" w:hAnsi="Verdana" w:cs="Verdana"/>
          <w:b/>
          <w:lang w:val="es-ES_tradnl"/>
        </w:rPr>
      </w:pPr>
    </w:p>
    <w:p w14:paraId="2B35431C" w14:textId="77777777" w:rsidR="002E06E9" w:rsidRPr="002E06E9" w:rsidRDefault="002E06E9" w:rsidP="002E06E9">
      <w:pPr>
        <w:spacing w:after="0" w:line="240" w:lineRule="auto"/>
        <w:jc w:val="both"/>
        <w:rPr>
          <w:rFonts w:ascii="Verdana" w:eastAsia="Verdana" w:hAnsi="Verdana" w:cs="Verdana"/>
          <w:b/>
          <w:lang w:val="es-ES_tradnl"/>
        </w:rPr>
      </w:pPr>
      <w:r w:rsidRPr="002E06E9">
        <w:rPr>
          <w:rFonts w:ascii="Verdana" w:eastAsia="Verdana" w:hAnsi="Verdana" w:cs="Verdana"/>
          <w:b/>
          <w:lang w:val="es-ES_tradnl"/>
        </w:rPr>
        <w:t xml:space="preserve">CONTRATOS DE PRESTACIÓN DE SERVICIOS – No calidad – Servidores Públicos </w:t>
      </w:r>
    </w:p>
    <w:p w14:paraId="56B8E520" w14:textId="21C5031A" w:rsidR="002E06E9" w:rsidRPr="00E77230" w:rsidRDefault="002E06E9" w:rsidP="00E77230">
      <w:pPr>
        <w:spacing w:after="0" w:line="240" w:lineRule="auto"/>
        <w:jc w:val="both"/>
        <w:rPr>
          <w:rFonts w:ascii="Verdana" w:eastAsia="Verdana" w:hAnsi="Verdana" w:cs="Verdana"/>
          <w:sz w:val="20"/>
          <w:lang w:val="es-ES_tradnl"/>
        </w:rPr>
      </w:pPr>
    </w:p>
    <w:p w14:paraId="0B17DF1B" w14:textId="77777777" w:rsidR="00E77230" w:rsidRPr="00E77230" w:rsidRDefault="00E77230" w:rsidP="00E77230">
      <w:pPr>
        <w:spacing w:after="0" w:line="240" w:lineRule="auto"/>
        <w:jc w:val="both"/>
        <w:rPr>
          <w:rFonts w:ascii="Verdana" w:eastAsia="Verdana" w:hAnsi="Verdana" w:cs="Verdana"/>
          <w:bCs/>
          <w:sz w:val="20"/>
          <w:lang w:val="es-ES_tradnl"/>
        </w:rPr>
      </w:pPr>
      <w:r w:rsidRPr="00E77230">
        <w:rPr>
          <w:rFonts w:ascii="Verdana" w:eastAsia="Verdana" w:hAnsi="Verdana" w:cs="Verdana"/>
          <w:bCs/>
          <w:sz w:val="20"/>
          <w:lang w:val="es-ES_tradnl"/>
        </w:rPr>
        <w:t xml:space="preserve">De acuerdo con lo expuesto, los contratistas de prestación de servicios no adquieren la calidad de servidores públicos, ya que su vinculación con el Estado se da exclusivamente a través de un contrato estatal de prestación de servicios, sin que ello les confiera una investidura pública. Aunque mediante dicho contrato se les encomiende la realización de actividades de interés general o utilidad pública, estas se ejecutan con autonomía técnica y operativa frente a la entidad contratante, lo que los mantiene en la condición de particulares. En consecuencia, el hecho de colaborar con la administración no implica el ejercicio de funciones públicas en sentido estricto, ni los somete al régimen jurídico propio de los servidores públicos. </w:t>
      </w:r>
    </w:p>
    <w:p w14:paraId="1E14B432" w14:textId="77777777" w:rsidR="00E77230" w:rsidRPr="002E06E9" w:rsidRDefault="00E77230" w:rsidP="002E06E9">
      <w:pPr>
        <w:spacing w:after="0" w:line="240" w:lineRule="auto"/>
        <w:jc w:val="both"/>
        <w:rPr>
          <w:rFonts w:ascii="Verdana" w:eastAsia="Verdana" w:hAnsi="Verdana" w:cs="Verdana"/>
          <w:b/>
          <w:lang w:val="es-ES_tradnl"/>
        </w:rPr>
      </w:pPr>
    </w:p>
    <w:p w14:paraId="50A4FD59" w14:textId="77777777" w:rsidR="002E06E9" w:rsidRDefault="002E06E9" w:rsidP="002E06E9">
      <w:pPr>
        <w:spacing w:after="0" w:line="240" w:lineRule="auto"/>
        <w:jc w:val="both"/>
        <w:rPr>
          <w:rFonts w:ascii="Verdana" w:eastAsia="Verdana" w:hAnsi="Verdana" w:cs="Verdana"/>
          <w:b/>
          <w:bCs/>
          <w:lang w:val="es-ES"/>
        </w:rPr>
      </w:pPr>
      <w:r w:rsidRPr="002E06E9">
        <w:rPr>
          <w:rFonts w:ascii="Verdana" w:eastAsia="Verdana" w:hAnsi="Verdana" w:cs="Verdana"/>
          <w:b/>
          <w:bCs/>
          <w:lang w:val="es-ES"/>
        </w:rPr>
        <w:t xml:space="preserve">SUPERVISIÓN – Apoyo de la Supervisión – Contratista de </w:t>
      </w:r>
      <w:r>
        <w:rPr>
          <w:rFonts w:ascii="Verdana" w:eastAsia="Verdana" w:hAnsi="Verdana" w:cs="Verdana"/>
          <w:b/>
          <w:bCs/>
          <w:lang w:val="es-ES"/>
        </w:rPr>
        <w:t xml:space="preserve">Prestación de Servicios – Rol </w:t>
      </w:r>
    </w:p>
    <w:p w14:paraId="3183AD1B" w14:textId="77777777" w:rsidR="002E06E9" w:rsidRDefault="002E06E9" w:rsidP="002E06E9">
      <w:pPr>
        <w:spacing w:after="0" w:line="240" w:lineRule="auto"/>
        <w:jc w:val="both"/>
        <w:rPr>
          <w:rFonts w:ascii="Verdana" w:eastAsia="Verdana" w:hAnsi="Verdana" w:cs="Verdana"/>
          <w:b/>
          <w:bCs/>
          <w:lang w:val="es-ES"/>
        </w:rPr>
      </w:pPr>
    </w:p>
    <w:p w14:paraId="2208F740" w14:textId="77777777" w:rsidR="00E77230" w:rsidRPr="00E77230" w:rsidRDefault="00E77230" w:rsidP="00E77230">
      <w:pPr>
        <w:spacing w:after="0" w:line="240" w:lineRule="auto"/>
        <w:jc w:val="both"/>
        <w:rPr>
          <w:rFonts w:ascii="Verdana" w:eastAsia="Verdana" w:hAnsi="Verdana" w:cs="Verdana"/>
          <w:bCs/>
          <w:sz w:val="20"/>
          <w:szCs w:val="20"/>
          <w:lang w:val="es-ES_tradnl"/>
        </w:rPr>
      </w:pPr>
      <w:r w:rsidRPr="00E77230">
        <w:rPr>
          <w:rFonts w:ascii="Verdana" w:eastAsia="Verdana" w:hAnsi="Verdana" w:cs="Verdana"/>
          <w:bCs/>
          <w:sz w:val="20"/>
          <w:szCs w:val="20"/>
          <w:lang w:val="es-ES_tradnl"/>
        </w:rPr>
        <w:t>Esta distinción del contratista de prestación de servicios con los servidores públicos se considera esencial para delimitar responsabilidades, derechos y deberes, evitando interpretaciones erradas entre quienes ejercen autoridad estatal y quienes prestan servicios de apoyo u especializados bajo una relación contractual temporal. En este aspecto, se resalta que los contratistas de prestación de prestación de servicios pueden apoyar en la supervisión de los contratos estatales, pero no fungen como supervisores.</w:t>
      </w:r>
    </w:p>
    <w:p w14:paraId="4163A828" w14:textId="3EA6DA14" w:rsidR="00E77230" w:rsidRPr="00E77230" w:rsidRDefault="00E77230" w:rsidP="00E77230">
      <w:pPr>
        <w:spacing w:after="0" w:line="240" w:lineRule="auto"/>
        <w:jc w:val="both"/>
        <w:rPr>
          <w:rFonts w:ascii="Verdana" w:eastAsia="Verdana" w:hAnsi="Verdana" w:cs="Verdana"/>
          <w:bCs/>
          <w:sz w:val="20"/>
          <w:szCs w:val="20"/>
          <w:lang w:val="es-ES"/>
        </w:rPr>
      </w:pPr>
      <w:r w:rsidRPr="00E77230">
        <w:rPr>
          <w:rFonts w:ascii="Verdana" w:eastAsia="Verdana" w:hAnsi="Verdana" w:cs="Verdana"/>
          <w:bCs/>
          <w:sz w:val="20"/>
          <w:szCs w:val="20"/>
          <w:lang w:val="es-ES_tradnl"/>
        </w:rPr>
        <w:t xml:space="preserve">  </w:t>
      </w:r>
    </w:p>
    <w:p w14:paraId="2736E4CB" w14:textId="77777777" w:rsidR="00E77230" w:rsidRPr="00E77230" w:rsidRDefault="00E77230" w:rsidP="00E77230">
      <w:pPr>
        <w:spacing w:after="0" w:line="240" w:lineRule="auto"/>
        <w:jc w:val="both"/>
        <w:rPr>
          <w:rFonts w:ascii="Verdana" w:eastAsia="Verdana" w:hAnsi="Verdana" w:cs="Verdana"/>
          <w:bCs/>
          <w:sz w:val="20"/>
          <w:szCs w:val="20"/>
          <w:lang w:val="es-ES"/>
        </w:rPr>
      </w:pPr>
      <w:r w:rsidRPr="00E77230">
        <w:rPr>
          <w:rFonts w:ascii="Verdana" w:eastAsia="Verdana" w:hAnsi="Verdana" w:cs="Verdana"/>
          <w:bCs/>
          <w:sz w:val="20"/>
          <w:szCs w:val="20"/>
          <w:lang w:val="es-ES"/>
        </w:rPr>
        <w:t xml:space="preserve">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implique que asuma directamente la supervisión. Así, por ejemplo,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w:t>
      </w:r>
      <w:r w:rsidRPr="00E77230">
        <w:rPr>
          <w:rFonts w:ascii="Verdana" w:eastAsia="Verdana" w:hAnsi="Verdana" w:cs="Verdana"/>
          <w:bCs/>
          <w:sz w:val="20"/>
          <w:szCs w:val="20"/>
          <w:lang w:val="es-ES"/>
        </w:rPr>
        <w:lastRenderedPageBreak/>
        <w:t xml:space="preserve">que faciliten la labor de supervisión, sin que implique asumir decisiones definitivas frente a la entidad estatal. </w:t>
      </w:r>
    </w:p>
    <w:p w14:paraId="30335B65" w14:textId="77777777" w:rsidR="002E06E9" w:rsidRDefault="002E06E9" w:rsidP="002E06E9">
      <w:pPr>
        <w:spacing w:after="0" w:line="240" w:lineRule="auto"/>
        <w:jc w:val="both"/>
        <w:rPr>
          <w:rFonts w:ascii="Verdana" w:eastAsia="Verdana" w:hAnsi="Verdana" w:cs="Verdana"/>
          <w:b/>
          <w:bCs/>
          <w:lang w:val="es-ES"/>
        </w:rPr>
      </w:pPr>
    </w:p>
    <w:p w14:paraId="3FD6307B" w14:textId="768A39B4" w:rsidR="002E06E9" w:rsidRPr="002E06E9" w:rsidRDefault="002E06E9" w:rsidP="002E06E9">
      <w:pPr>
        <w:spacing w:after="0" w:line="240" w:lineRule="auto"/>
        <w:jc w:val="both"/>
        <w:rPr>
          <w:rFonts w:ascii="Verdana" w:eastAsia="Verdana" w:hAnsi="Verdana" w:cs="Verdana"/>
          <w:b/>
        </w:rPr>
      </w:pPr>
      <w:r w:rsidRPr="002E06E9">
        <w:rPr>
          <w:rFonts w:ascii="Verdana" w:eastAsia="Verdana" w:hAnsi="Verdana" w:cs="Verdana"/>
          <w:b/>
          <w:bCs/>
          <w:lang w:val="es-ES"/>
        </w:rPr>
        <w:t>SUPERVISIÓN – Apoyo a la Supervisión – Responsabilidad</w:t>
      </w:r>
    </w:p>
    <w:p w14:paraId="27E7F12F" w14:textId="77777777" w:rsidR="002E06E9" w:rsidRDefault="002E06E9" w:rsidP="00ED2656">
      <w:pPr>
        <w:spacing w:after="0"/>
        <w:rPr>
          <w:rFonts w:ascii="Verdana" w:eastAsia="Verdana" w:hAnsi="Verdana" w:cs="Verdana"/>
        </w:rPr>
      </w:pPr>
    </w:p>
    <w:p w14:paraId="43751250" w14:textId="1E16A9BC" w:rsidR="00E77230" w:rsidRDefault="00E77230" w:rsidP="00E77230">
      <w:pPr>
        <w:spacing w:after="0" w:line="240" w:lineRule="auto"/>
        <w:jc w:val="both"/>
        <w:rPr>
          <w:rFonts w:ascii="Verdana" w:eastAsia="Verdana" w:hAnsi="Verdana" w:cs="Verdana"/>
          <w:bCs/>
          <w:sz w:val="20"/>
        </w:rPr>
      </w:pPr>
      <w:r w:rsidRPr="00E77230">
        <w:rPr>
          <w:rFonts w:ascii="Verdana" w:eastAsia="Verdana" w:hAnsi="Verdana" w:cs="Verdana"/>
          <w:bCs/>
          <w:sz w:val="20"/>
          <w:lang w:val="es-ES"/>
        </w:rPr>
        <w:t xml:space="preserve">Es de resaltar pues, que los </w:t>
      </w:r>
      <w:r w:rsidRPr="00E77230">
        <w:rPr>
          <w:rFonts w:ascii="Verdana" w:eastAsia="Verdana" w:hAnsi="Verdana" w:cs="Verdana"/>
          <w:bCs/>
          <w:sz w:val="20"/>
        </w:rPr>
        <w:t>contratistas de prestación de servicios son particulares que cumplen funciones públicas, ya que su vinculación con el Estado tiene un carácter eminentemente contractual y auxiliar, orientado a apoyar la administración o el funcionamiento de la entidad sin asumir funciones administrativas para efectos de responsabilidad. De este modo, los particulares que desempeñan funciones públicas no se contemplan a los contratistas de prestación de servicios, sino que están los notarios, los interventores y los auxiliares de justicia. Los notarios dan fe pública y garantizan la seguridad jurídica; los interventores ejercen funciones de control y vigilancia sobre la ejecución contractual; y los auxiliares de la justicia colaboran con la administración de justicia. En estos casos, la ley traslada de manera expresa una función pública, lo que implica un mayor nivel de responsabilidad y sujeción a principios propios del ejercicio de autoridad pública.</w:t>
      </w:r>
    </w:p>
    <w:p w14:paraId="67FA4EC8" w14:textId="77777777" w:rsidR="00E77230" w:rsidRPr="00E77230" w:rsidRDefault="00E77230" w:rsidP="00E77230">
      <w:pPr>
        <w:spacing w:after="0" w:line="240" w:lineRule="auto"/>
        <w:jc w:val="both"/>
        <w:rPr>
          <w:rFonts w:ascii="Verdana" w:eastAsia="Verdana" w:hAnsi="Verdana" w:cs="Verdana"/>
          <w:bCs/>
          <w:sz w:val="20"/>
        </w:rPr>
      </w:pPr>
    </w:p>
    <w:p w14:paraId="7D4C694A" w14:textId="77777777" w:rsidR="00E77230" w:rsidRPr="00E77230" w:rsidRDefault="00E77230" w:rsidP="00E77230">
      <w:pPr>
        <w:spacing w:after="0" w:line="240" w:lineRule="auto"/>
        <w:jc w:val="both"/>
        <w:rPr>
          <w:rFonts w:ascii="Verdana" w:eastAsia="Verdana" w:hAnsi="Verdana" w:cs="Verdana"/>
          <w:sz w:val="20"/>
          <w:lang w:val="es-ES"/>
        </w:rPr>
      </w:pPr>
      <w:r w:rsidRPr="00E77230">
        <w:rPr>
          <w:rFonts w:ascii="Verdana" w:eastAsia="Verdana" w:hAnsi="Verdana" w:cs="Verdana"/>
          <w:sz w:val="20"/>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7523011B" w14:textId="3BA98897" w:rsidR="002E06E9" w:rsidRDefault="002E06E9" w:rsidP="00ED2656">
      <w:pPr>
        <w:spacing w:after="0"/>
        <w:rPr>
          <w:rFonts w:ascii="Verdana" w:eastAsia="Verdana" w:hAnsi="Verdana" w:cs="Verdana"/>
          <w:lang w:val="es-ES"/>
        </w:rPr>
      </w:pPr>
    </w:p>
    <w:p w14:paraId="71E9CDF0" w14:textId="34686B69" w:rsidR="00E77230" w:rsidRDefault="00E77230" w:rsidP="00ED2656">
      <w:pPr>
        <w:spacing w:after="0"/>
        <w:rPr>
          <w:rFonts w:ascii="Verdana" w:eastAsia="Verdana" w:hAnsi="Verdana" w:cs="Verdana"/>
          <w:lang w:val="es-ES"/>
        </w:rPr>
      </w:pPr>
    </w:p>
    <w:p w14:paraId="24ED5F8E" w14:textId="0FFE4BDC" w:rsidR="00E77230" w:rsidRDefault="00E77230" w:rsidP="00ED2656">
      <w:pPr>
        <w:spacing w:after="0"/>
        <w:rPr>
          <w:rFonts w:ascii="Verdana" w:eastAsia="Verdana" w:hAnsi="Verdana" w:cs="Verdana"/>
          <w:lang w:val="es-ES"/>
        </w:rPr>
      </w:pPr>
    </w:p>
    <w:p w14:paraId="29B0EA8D" w14:textId="428B092B" w:rsidR="00E77230" w:rsidRDefault="00E77230" w:rsidP="00ED2656">
      <w:pPr>
        <w:spacing w:after="0"/>
        <w:rPr>
          <w:rFonts w:ascii="Verdana" w:eastAsia="Verdana" w:hAnsi="Verdana" w:cs="Verdana"/>
          <w:lang w:val="es-ES"/>
        </w:rPr>
      </w:pPr>
    </w:p>
    <w:p w14:paraId="6AEB7B8E" w14:textId="51A379D1" w:rsidR="00E77230" w:rsidRDefault="00E77230" w:rsidP="00ED2656">
      <w:pPr>
        <w:spacing w:after="0"/>
        <w:rPr>
          <w:rFonts w:ascii="Verdana" w:eastAsia="Verdana" w:hAnsi="Verdana" w:cs="Verdana"/>
          <w:lang w:val="es-ES"/>
        </w:rPr>
      </w:pPr>
    </w:p>
    <w:p w14:paraId="07851F1F" w14:textId="701C21EB" w:rsidR="00E77230" w:rsidRDefault="00E77230" w:rsidP="00ED2656">
      <w:pPr>
        <w:spacing w:after="0"/>
        <w:rPr>
          <w:rFonts w:ascii="Verdana" w:eastAsia="Verdana" w:hAnsi="Verdana" w:cs="Verdana"/>
          <w:lang w:val="es-ES"/>
        </w:rPr>
      </w:pPr>
    </w:p>
    <w:p w14:paraId="024E2119" w14:textId="5EBC9F0F" w:rsidR="00E77230" w:rsidRDefault="00E77230" w:rsidP="00ED2656">
      <w:pPr>
        <w:spacing w:after="0"/>
        <w:rPr>
          <w:rFonts w:ascii="Verdana" w:eastAsia="Verdana" w:hAnsi="Verdana" w:cs="Verdana"/>
          <w:lang w:val="es-ES"/>
        </w:rPr>
      </w:pPr>
    </w:p>
    <w:p w14:paraId="052EE715" w14:textId="640CEF4F" w:rsidR="00E77230" w:rsidRDefault="00E77230" w:rsidP="00ED2656">
      <w:pPr>
        <w:spacing w:after="0"/>
        <w:rPr>
          <w:rFonts w:ascii="Verdana" w:eastAsia="Verdana" w:hAnsi="Verdana" w:cs="Verdana"/>
          <w:lang w:val="es-ES"/>
        </w:rPr>
      </w:pPr>
    </w:p>
    <w:p w14:paraId="5F45A4A8" w14:textId="7AEEAB9E" w:rsidR="00E77230" w:rsidRDefault="00E77230" w:rsidP="00ED2656">
      <w:pPr>
        <w:spacing w:after="0"/>
        <w:rPr>
          <w:rFonts w:ascii="Verdana" w:eastAsia="Verdana" w:hAnsi="Verdana" w:cs="Verdana"/>
          <w:lang w:val="es-ES"/>
        </w:rPr>
      </w:pPr>
    </w:p>
    <w:p w14:paraId="313AB4ED" w14:textId="25123A89" w:rsidR="00E77230" w:rsidRDefault="00E77230" w:rsidP="00ED2656">
      <w:pPr>
        <w:spacing w:after="0"/>
        <w:rPr>
          <w:rFonts w:ascii="Verdana" w:eastAsia="Verdana" w:hAnsi="Verdana" w:cs="Verdana"/>
          <w:lang w:val="es-ES"/>
        </w:rPr>
      </w:pPr>
    </w:p>
    <w:p w14:paraId="475C5B42" w14:textId="1E2DC7F6" w:rsidR="00E77230" w:rsidRDefault="00E77230" w:rsidP="00ED2656">
      <w:pPr>
        <w:spacing w:after="0"/>
        <w:rPr>
          <w:rFonts w:ascii="Verdana" w:eastAsia="Verdana" w:hAnsi="Verdana" w:cs="Verdana"/>
          <w:lang w:val="es-ES"/>
        </w:rPr>
      </w:pPr>
    </w:p>
    <w:p w14:paraId="5D5CF04C" w14:textId="3BF3B604" w:rsidR="00E77230" w:rsidRDefault="00E77230" w:rsidP="00ED2656">
      <w:pPr>
        <w:spacing w:after="0"/>
        <w:rPr>
          <w:rFonts w:ascii="Verdana" w:eastAsia="Verdana" w:hAnsi="Verdana" w:cs="Verdana"/>
          <w:lang w:val="es-ES"/>
        </w:rPr>
      </w:pPr>
    </w:p>
    <w:p w14:paraId="0F9A9651" w14:textId="775248E4" w:rsidR="00E77230" w:rsidRDefault="00E77230" w:rsidP="00ED2656">
      <w:pPr>
        <w:spacing w:after="0"/>
        <w:rPr>
          <w:rFonts w:ascii="Verdana" w:eastAsia="Verdana" w:hAnsi="Verdana" w:cs="Verdana"/>
          <w:lang w:val="es-ES"/>
        </w:rPr>
      </w:pPr>
    </w:p>
    <w:p w14:paraId="2AC341A6" w14:textId="4DC427CB" w:rsidR="00E77230" w:rsidRDefault="00E77230" w:rsidP="00ED2656">
      <w:pPr>
        <w:spacing w:after="0"/>
        <w:rPr>
          <w:rFonts w:ascii="Verdana" w:eastAsia="Verdana" w:hAnsi="Verdana" w:cs="Verdana"/>
          <w:lang w:val="es-ES"/>
        </w:rPr>
      </w:pPr>
    </w:p>
    <w:p w14:paraId="7937736E" w14:textId="77777777" w:rsidR="00E77230" w:rsidRPr="00E77230" w:rsidRDefault="00E77230" w:rsidP="00ED2656">
      <w:pPr>
        <w:spacing w:after="0"/>
        <w:rPr>
          <w:rFonts w:ascii="Verdana" w:eastAsia="Verdana" w:hAnsi="Verdana" w:cs="Verdana"/>
          <w:lang w:val="es-ES"/>
        </w:rPr>
      </w:pPr>
    </w:p>
    <w:p w14:paraId="4F7DC8DB" w14:textId="2B82C0C9" w:rsidR="00ED2656" w:rsidRDefault="00E77230" w:rsidP="00ED2656">
      <w:pPr>
        <w:spacing w:after="0"/>
        <w:rPr>
          <w:rFonts w:ascii="Verdana" w:hAnsi="Verdana"/>
        </w:rPr>
      </w:pPr>
      <w:r w:rsidRPr="00E77230">
        <w:rPr>
          <w:noProof/>
          <w:lang w:val="en-US"/>
        </w:rPr>
        <w:lastRenderedPageBreak/>
        <w:drawing>
          <wp:anchor distT="0" distB="0" distL="114300" distR="114300" simplePos="0" relativeHeight="251658240" behindDoc="0" locked="0" layoutInCell="1" allowOverlap="1" wp14:anchorId="0805083A" wp14:editId="5E886E2A">
            <wp:simplePos x="0" y="0"/>
            <wp:positionH relativeFrom="margin">
              <wp:posOffset>2888615</wp:posOffset>
            </wp:positionH>
            <wp:positionV relativeFrom="paragraph">
              <wp:posOffset>205105</wp:posOffset>
            </wp:positionV>
            <wp:extent cx="2724785" cy="75184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24785" cy="751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06E9">
        <w:rPr>
          <w:rFonts w:ascii="Verdana" w:eastAsia="Verdana" w:hAnsi="Verdana" w:cs="Verdana"/>
        </w:rPr>
        <w:t>Bogotá D.C., 6 de mayo de 2026</w:t>
      </w:r>
      <w:r w:rsidR="00ED2656">
        <w:tab/>
      </w:r>
      <w:r w:rsidR="00ED2656">
        <w:br/>
      </w:r>
    </w:p>
    <w:p w14:paraId="767201C5" w14:textId="43715593" w:rsidR="00ED2656" w:rsidRPr="000B0175" w:rsidRDefault="00ED2656" w:rsidP="00ED2656">
      <w:pPr>
        <w:spacing w:after="0"/>
        <w:rPr>
          <w:rFonts w:ascii="Verdana" w:hAnsi="Verdana"/>
        </w:rPr>
      </w:pPr>
    </w:p>
    <w:p w14:paraId="278F695A" w14:textId="78B88DA6" w:rsidR="00ED2656" w:rsidRPr="000B0175" w:rsidRDefault="00ED2656" w:rsidP="00ED2656">
      <w:pPr>
        <w:spacing w:after="0" w:line="240" w:lineRule="auto"/>
        <w:rPr>
          <w:rFonts w:ascii="Verdana" w:eastAsia="Calibri" w:hAnsi="Verdana" w:cs="Times New Roman"/>
          <w:lang w:val="es-MX"/>
        </w:rPr>
      </w:pPr>
      <w:r w:rsidRPr="000B0175">
        <w:rPr>
          <w:rFonts w:ascii="Verdana" w:eastAsia="Calibri" w:hAnsi="Verdana" w:cs="Times New Roman"/>
          <w:lang w:val="es-MX"/>
        </w:rPr>
        <w:t>Señor</w:t>
      </w:r>
    </w:p>
    <w:p w14:paraId="43C97BD6" w14:textId="77777777" w:rsidR="00ED2656" w:rsidRPr="000B0175" w:rsidRDefault="00ED2656" w:rsidP="00ED2656">
      <w:pPr>
        <w:spacing w:after="0" w:line="240" w:lineRule="auto"/>
        <w:rPr>
          <w:rFonts w:ascii="Verdana" w:eastAsia="Calibri" w:hAnsi="Verdana" w:cs="Times New Roman"/>
          <w:b/>
        </w:rPr>
      </w:pPr>
      <w:r w:rsidRPr="000B0175">
        <w:rPr>
          <w:rFonts w:ascii="Verdana" w:eastAsia="Calibri" w:hAnsi="Verdana" w:cs="Times New Roman"/>
          <w:b/>
        </w:rPr>
        <w:t>Eder Renteria Moreno</w:t>
      </w:r>
    </w:p>
    <w:p w14:paraId="23A087ED" w14:textId="77777777" w:rsidR="00ED2656" w:rsidRPr="000B0175" w:rsidRDefault="00ED2656" w:rsidP="00ED2656">
      <w:pPr>
        <w:spacing w:after="0" w:line="240" w:lineRule="auto"/>
        <w:rPr>
          <w:rFonts w:ascii="Verdana" w:hAnsi="Verdana"/>
        </w:rPr>
      </w:pPr>
      <w:r w:rsidRPr="000B0175">
        <w:rPr>
          <w:rFonts w:ascii="Verdana" w:hAnsi="Verdana"/>
        </w:rPr>
        <w:fldChar w:fldCharType="begin"/>
      </w:r>
      <w:r w:rsidRPr="000B0175">
        <w:rPr>
          <w:rFonts w:ascii="Verdana" w:hAnsi="Verdana"/>
        </w:rPr>
        <w:instrText xml:space="preserve"> HYPERLINK "mailto:unidadcorrespondencia@cnsc.gov.co</w:instrText>
      </w:r>
    </w:p>
    <w:p w14:paraId="608B5800" w14:textId="77777777" w:rsidR="00ED2656" w:rsidRPr="000B0175" w:rsidRDefault="00ED2656" w:rsidP="00ED2656">
      <w:pPr>
        <w:spacing w:after="0" w:line="240" w:lineRule="auto"/>
        <w:rPr>
          <w:rFonts w:ascii="Verdana" w:hAnsi="Verdana"/>
          <w:color w:val="0000FF"/>
          <w:u w:val="single"/>
        </w:rPr>
      </w:pPr>
      <w:r w:rsidRPr="000B0175">
        <w:rPr>
          <w:rFonts w:ascii="Verdana" w:hAnsi="Verdana"/>
        </w:rPr>
        <w:instrText xml:space="preserve">hermanaspascittomoreno@gmail.com" </w:instrText>
      </w:r>
      <w:r w:rsidRPr="000B0175">
        <w:rPr>
          <w:rFonts w:ascii="Verdana" w:hAnsi="Verdana"/>
        </w:rPr>
      </w:r>
      <w:r w:rsidRPr="000B0175">
        <w:rPr>
          <w:rFonts w:ascii="Verdana" w:hAnsi="Verdana"/>
        </w:rPr>
        <w:fldChar w:fldCharType="separate"/>
      </w:r>
      <w:r w:rsidRPr="000B0175">
        <w:rPr>
          <w:rFonts w:ascii="Verdana" w:hAnsi="Verdana"/>
          <w:color w:val="0000FF"/>
          <w:u w:val="single"/>
        </w:rPr>
        <w:t>unidadcorrespondencia@cnsc.gov.co</w:t>
      </w:r>
    </w:p>
    <w:p w14:paraId="5CBBEE16" w14:textId="77777777" w:rsidR="00ED2656" w:rsidRPr="000B0175" w:rsidRDefault="00ED2656" w:rsidP="00ED2656">
      <w:pPr>
        <w:spacing w:after="0" w:line="240" w:lineRule="auto"/>
        <w:rPr>
          <w:rFonts w:ascii="Verdana" w:hAnsi="Verdana"/>
        </w:rPr>
      </w:pPr>
      <w:r w:rsidRPr="000B0175">
        <w:rPr>
          <w:rFonts w:ascii="Verdana" w:hAnsi="Verdana"/>
          <w:color w:val="0000FF"/>
          <w:u w:val="single"/>
        </w:rPr>
        <w:t>hermanaspascittomoreno@gmail.com</w:t>
      </w:r>
      <w:r w:rsidRPr="000B0175">
        <w:rPr>
          <w:rFonts w:ascii="Verdana" w:hAnsi="Verdana"/>
        </w:rPr>
        <w:fldChar w:fldCharType="end"/>
      </w:r>
      <w:r w:rsidRPr="000B0175">
        <w:rPr>
          <w:rFonts w:ascii="Verdana" w:hAnsi="Verdana"/>
        </w:rPr>
        <w:t xml:space="preserve"> </w:t>
      </w:r>
    </w:p>
    <w:p w14:paraId="30A9A606" w14:textId="77777777" w:rsidR="00ED2656" w:rsidRPr="000B0175" w:rsidRDefault="00ED2656" w:rsidP="00ED2656">
      <w:pPr>
        <w:spacing w:after="0" w:line="240" w:lineRule="auto"/>
        <w:rPr>
          <w:rFonts w:ascii="Verdana" w:eastAsia="Calibri" w:hAnsi="Verdana" w:cs="Times New Roman"/>
        </w:rPr>
      </w:pPr>
      <w:r w:rsidRPr="000B0175">
        <w:rPr>
          <w:rFonts w:ascii="Verdana" w:eastAsia="Calibri" w:hAnsi="Verdana" w:cs="Times New Roman"/>
        </w:rPr>
        <w:t>Bogotá D.C.</w:t>
      </w:r>
    </w:p>
    <w:p w14:paraId="7752FA76" w14:textId="77777777" w:rsidR="00ED2656" w:rsidRPr="000B0175" w:rsidRDefault="00ED2656" w:rsidP="00ED2656">
      <w:pPr>
        <w:spacing w:after="0" w:line="240" w:lineRule="auto"/>
        <w:rPr>
          <w:rFonts w:ascii="Verdana" w:eastAsia="Calibri" w:hAnsi="Verdana" w:cs="Times New Roman"/>
        </w:rPr>
      </w:pPr>
    </w:p>
    <w:p w14:paraId="455F693E" w14:textId="77777777" w:rsidR="00ED2656" w:rsidRPr="000B0175" w:rsidRDefault="00ED2656" w:rsidP="00ED2656">
      <w:pPr>
        <w:spacing w:after="0" w:line="240" w:lineRule="auto"/>
        <w:rPr>
          <w:rFonts w:ascii="Verdana" w:eastAsia="Calibri" w:hAnsi="Verdana" w:cs="Times New Roman"/>
        </w:rPr>
      </w:pPr>
    </w:p>
    <w:p w14:paraId="78554A69" w14:textId="77777777" w:rsidR="00ED2656" w:rsidRPr="000B0175" w:rsidRDefault="00ED2656" w:rsidP="00ED2656">
      <w:pPr>
        <w:spacing w:after="0" w:line="240" w:lineRule="auto"/>
        <w:rPr>
          <w:rFonts w:ascii="Verdana" w:eastAsia="Calibri" w:hAnsi="Verdana" w:cs="Times New Roman"/>
          <w:b/>
          <w:bCs/>
          <w:lang w:val="es-ES"/>
        </w:rPr>
      </w:pPr>
      <w:r w:rsidRPr="000B0175">
        <w:rPr>
          <w:rFonts w:ascii="Verdana" w:eastAsia="Calibri" w:hAnsi="Verdana" w:cs="Times New Roman"/>
          <w:b/>
          <w:bCs/>
        </w:rPr>
        <w:t xml:space="preserve">                                    </w:t>
      </w:r>
      <w:r w:rsidRPr="000B0175">
        <w:rPr>
          <w:rFonts w:ascii="Verdana" w:eastAsia="Calibri" w:hAnsi="Verdana" w:cs="Times New Roman"/>
          <w:b/>
          <w:bCs/>
          <w:lang w:val="es-ES"/>
        </w:rPr>
        <w:t>Concepto C– 491 de 2026</w:t>
      </w:r>
    </w:p>
    <w:p w14:paraId="7B1484A5" w14:textId="77777777" w:rsidR="00ED2656" w:rsidRPr="000B0175" w:rsidRDefault="00ED2656" w:rsidP="00ED2656">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D2656" w:rsidRPr="000B0175" w14:paraId="44453EAF" w14:textId="77777777" w:rsidTr="00DC7B3A">
        <w:trPr>
          <w:trHeight w:val="884"/>
        </w:trPr>
        <w:tc>
          <w:tcPr>
            <w:tcW w:w="2685" w:type="dxa"/>
            <w:hideMark/>
          </w:tcPr>
          <w:p w14:paraId="5D319A5C" w14:textId="77777777" w:rsidR="00ED2656" w:rsidRPr="000B0175" w:rsidRDefault="00ED2656" w:rsidP="00DC7B3A">
            <w:pPr>
              <w:spacing w:line="276" w:lineRule="auto"/>
              <w:rPr>
                <w:rFonts w:ascii="Verdana" w:hAnsi="Verdana"/>
                <w:b/>
                <w:bCs/>
                <w:lang w:val="es-ES_tradnl"/>
              </w:rPr>
            </w:pPr>
            <w:r w:rsidRPr="000B0175">
              <w:rPr>
                <w:rFonts w:ascii="Verdana" w:hAnsi="Verdana"/>
                <w:b/>
                <w:bCs/>
                <w:lang w:val="es-ES_tradnl"/>
              </w:rPr>
              <w:t xml:space="preserve">Temas:                   </w:t>
            </w:r>
          </w:p>
        </w:tc>
        <w:tc>
          <w:tcPr>
            <w:tcW w:w="6241" w:type="dxa"/>
            <w:hideMark/>
          </w:tcPr>
          <w:p w14:paraId="52FBB554" w14:textId="1CB73E75" w:rsidR="00ED2656" w:rsidRPr="000B0175" w:rsidRDefault="00ED2656" w:rsidP="00DC7B3A">
            <w:pPr>
              <w:spacing w:line="276" w:lineRule="auto"/>
              <w:jc w:val="both"/>
              <w:rPr>
                <w:rFonts w:ascii="Verdana" w:hAnsi="Verdana" w:cs="Arial"/>
                <w:lang w:val="es-ES_tradnl"/>
              </w:rPr>
            </w:pPr>
            <w:r w:rsidRPr="000B0175">
              <w:rPr>
                <w:rFonts w:ascii="Verdana" w:hAnsi="Verdana" w:cs="Arial"/>
                <w:lang w:val="es-ES_tradnl"/>
              </w:rPr>
              <w:t xml:space="preserve">CONTRATO DE PRESTACIÓN DE SERVICIOS – Definición / CONTRATO DE PRESTACIÓN DE SERVICIOS – Características / SERVIDORES PÚBLICOS – Empleados Públicos – Trabajadores Oficiales – Miembros de Corporaciones Públicas / CONTRATOS DE PRESTACIÓN DE SERVICIOS – No calidad – Servidores Públicos / </w:t>
            </w:r>
            <w:r w:rsidRPr="000B0175">
              <w:rPr>
                <w:rFonts w:ascii="Verdana" w:hAnsi="Verdana" w:cs="Arial"/>
                <w:bCs/>
                <w:lang w:val="es-ES"/>
              </w:rPr>
              <w:t>SUPERVISIÓN – Apoyo de la Supervisión – Contratista de Prestación de Servicios – Rol / SUPERVISIÓN – Apoyo a la Supervisión – Responsabilidad</w:t>
            </w:r>
          </w:p>
        </w:tc>
        <w:tc>
          <w:tcPr>
            <w:tcW w:w="6237" w:type="dxa"/>
          </w:tcPr>
          <w:p w14:paraId="1D6845AA" w14:textId="77777777" w:rsidR="00ED2656" w:rsidRPr="000B0175" w:rsidRDefault="00ED2656" w:rsidP="00DC7B3A">
            <w:pPr>
              <w:rPr>
                <w:rFonts w:ascii="Verdana" w:hAnsi="Verdana"/>
              </w:rPr>
            </w:pPr>
          </w:p>
        </w:tc>
      </w:tr>
      <w:tr w:rsidR="00ED2656" w:rsidRPr="000B0175" w14:paraId="3C7743C2" w14:textId="77777777" w:rsidTr="00DC7B3A">
        <w:tc>
          <w:tcPr>
            <w:tcW w:w="2685" w:type="dxa"/>
          </w:tcPr>
          <w:p w14:paraId="2F8294B2" w14:textId="77777777" w:rsidR="00ED2656" w:rsidRPr="000B0175" w:rsidRDefault="00ED2656" w:rsidP="00DC7B3A">
            <w:pPr>
              <w:rPr>
                <w:rFonts w:ascii="Verdana" w:hAnsi="Verdana"/>
                <w:lang w:val="es-ES_tradnl"/>
              </w:rPr>
            </w:pPr>
          </w:p>
          <w:p w14:paraId="3F8F3154" w14:textId="77777777" w:rsidR="00ED2656" w:rsidRPr="000B0175" w:rsidRDefault="00ED2656" w:rsidP="00DC7B3A">
            <w:pPr>
              <w:rPr>
                <w:rFonts w:ascii="Verdana" w:hAnsi="Verdana"/>
                <w:b/>
                <w:bCs/>
                <w:lang w:val="es-ES_tradnl"/>
              </w:rPr>
            </w:pPr>
            <w:r w:rsidRPr="000B0175">
              <w:rPr>
                <w:rFonts w:ascii="Verdana" w:hAnsi="Verdana"/>
                <w:b/>
                <w:bCs/>
                <w:lang w:val="es-ES_tradnl"/>
              </w:rPr>
              <w:t xml:space="preserve">Radicación:               </w:t>
            </w:r>
          </w:p>
        </w:tc>
        <w:tc>
          <w:tcPr>
            <w:tcW w:w="6241" w:type="dxa"/>
          </w:tcPr>
          <w:p w14:paraId="736433FC" w14:textId="77777777" w:rsidR="00ED2656" w:rsidRPr="000B0175" w:rsidRDefault="00ED2656" w:rsidP="00DC7B3A">
            <w:pPr>
              <w:jc w:val="both"/>
              <w:rPr>
                <w:rFonts w:ascii="Verdana" w:hAnsi="Verdana"/>
                <w:lang w:val="es-ES_tradnl"/>
              </w:rPr>
            </w:pPr>
          </w:p>
          <w:p w14:paraId="662B4DE5" w14:textId="77777777" w:rsidR="00ED2656" w:rsidRPr="000B0175" w:rsidRDefault="00ED2656" w:rsidP="00DC7B3A">
            <w:pPr>
              <w:jc w:val="both"/>
              <w:rPr>
                <w:rFonts w:ascii="Verdana" w:hAnsi="Verdana"/>
              </w:rPr>
            </w:pPr>
            <w:r w:rsidRPr="000B0175">
              <w:rPr>
                <w:rFonts w:ascii="Verdana" w:hAnsi="Verdana"/>
                <w:lang w:val="es-ES_tradnl"/>
              </w:rPr>
              <w:t xml:space="preserve">Respuesta a consulta con radicado </w:t>
            </w:r>
            <w:r w:rsidRPr="000B0175">
              <w:rPr>
                <w:rFonts w:ascii="Verdana" w:hAnsi="Verdana"/>
              </w:rPr>
              <w:t>1_2026_03_25_004111</w:t>
            </w:r>
          </w:p>
          <w:p w14:paraId="26583411" w14:textId="77777777" w:rsidR="00ED2656" w:rsidRPr="000B0175" w:rsidRDefault="00ED2656" w:rsidP="00DC7B3A">
            <w:pPr>
              <w:jc w:val="both"/>
              <w:rPr>
                <w:rFonts w:ascii="Verdana" w:hAnsi="Verdana"/>
              </w:rPr>
            </w:pPr>
          </w:p>
        </w:tc>
        <w:tc>
          <w:tcPr>
            <w:tcW w:w="6237" w:type="dxa"/>
          </w:tcPr>
          <w:p w14:paraId="20D23CE8" w14:textId="77777777" w:rsidR="00ED2656" w:rsidRPr="000B0175" w:rsidRDefault="00ED2656" w:rsidP="00DC7B3A">
            <w:pPr>
              <w:rPr>
                <w:rFonts w:ascii="Verdana" w:hAnsi="Verdana"/>
                <w:lang w:val="es-ES_tradnl"/>
              </w:rPr>
            </w:pPr>
          </w:p>
        </w:tc>
      </w:tr>
      <w:tr w:rsidR="00ED2656" w:rsidRPr="000B0175" w14:paraId="0335AE16" w14:textId="77777777" w:rsidTr="00DC7B3A">
        <w:tc>
          <w:tcPr>
            <w:tcW w:w="2685" w:type="dxa"/>
          </w:tcPr>
          <w:p w14:paraId="466F3B26" w14:textId="77777777" w:rsidR="00ED2656" w:rsidRPr="000B0175" w:rsidRDefault="00ED2656" w:rsidP="00DC7B3A">
            <w:pPr>
              <w:spacing w:line="276" w:lineRule="auto"/>
              <w:rPr>
                <w:rFonts w:ascii="Verdana" w:hAnsi="Verdana"/>
                <w:lang w:val="es-ES_tradnl"/>
              </w:rPr>
            </w:pPr>
          </w:p>
        </w:tc>
        <w:tc>
          <w:tcPr>
            <w:tcW w:w="6241" w:type="dxa"/>
          </w:tcPr>
          <w:p w14:paraId="343CFA32" w14:textId="77777777" w:rsidR="00ED2656" w:rsidRPr="000B0175" w:rsidRDefault="00ED2656" w:rsidP="00DC7B3A">
            <w:pPr>
              <w:spacing w:line="276" w:lineRule="auto"/>
              <w:jc w:val="both"/>
              <w:rPr>
                <w:rFonts w:ascii="Verdana" w:hAnsi="Verdana"/>
                <w:lang w:val="es-ES_tradnl"/>
              </w:rPr>
            </w:pPr>
          </w:p>
        </w:tc>
        <w:tc>
          <w:tcPr>
            <w:tcW w:w="6237" w:type="dxa"/>
          </w:tcPr>
          <w:p w14:paraId="22571E64" w14:textId="77777777" w:rsidR="00ED2656" w:rsidRPr="000B0175" w:rsidRDefault="00ED2656" w:rsidP="00DC7B3A">
            <w:pPr>
              <w:spacing w:line="276" w:lineRule="auto"/>
              <w:rPr>
                <w:rFonts w:ascii="Verdana" w:hAnsi="Verdana"/>
                <w:lang w:val="es-ES_tradnl"/>
              </w:rPr>
            </w:pPr>
          </w:p>
        </w:tc>
      </w:tr>
    </w:tbl>
    <w:p w14:paraId="3D64279B" w14:textId="77777777" w:rsidR="00ED2656" w:rsidRPr="000B0175" w:rsidRDefault="00ED2656" w:rsidP="00ED2656">
      <w:pPr>
        <w:spacing w:after="0" w:line="276" w:lineRule="auto"/>
        <w:rPr>
          <w:rFonts w:ascii="Verdana" w:eastAsia="Calibri" w:hAnsi="Verdana" w:cs="Times New Roman"/>
          <w:lang w:val="es-ES"/>
        </w:rPr>
      </w:pPr>
      <w:r w:rsidRPr="000B0175">
        <w:rPr>
          <w:rFonts w:ascii="Verdana" w:eastAsia="Calibri" w:hAnsi="Verdana" w:cs="Times New Roman"/>
          <w:lang w:val="es-ES"/>
        </w:rPr>
        <w:t>Estimado Señor Moreno:</w:t>
      </w:r>
    </w:p>
    <w:p w14:paraId="46504631" w14:textId="77777777" w:rsidR="00ED2656" w:rsidRPr="000B0175" w:rsidRDefault="00ED2656" w:rsidP="00ED2656">
      <w:pPr>
        <w:spacing w:after="0" w:line="276" w:lineRule="auto"/>
        <w:rPr>
          <w:rFonts w:ascii="Verdana" w:eastAsia="Calibri" w:hAnsi="Verdana" w:cs="Times New Roman"/>
          <w:lang w:val="es-ES"/>
        </w:rPr>
      </w:pPr>
    </w:p>
    <w:p w14:paraId="10A1B153" w14:textId="77777777" w:rsidR="00ED2656" w:rsidRPr="000B0175" w:rsidRDefault="00ED2656" w:rsidP="00ED2656">
      <w:pPr>
        <w:spacing w:after="0" w:line="276" w:lineRule="auto"/>
        <w:jc w:val="both"/>
        <w:rPr>
          <w:rFonts w:ascii="Verdana" w:eastAsia="Calibri" w:hAnsi="Verdana" w:cs="Times New Roman"/>
          <w:bCs/>
          <w:lang w:val="es-ES" w:bidi="es-ES"/>
        </w:rPr>
      </w:pPr>
      <w:r w:rsidRPr="000B0175">
        <w:rPr>
          <w:rFonts w:ascii="Verdana" w:eastAsia="Calibri" w:hAnsi="Verdana" w:cs="Times New Roman"/>
          <w:bCs/>
          <w:lang w:val="es-ES" w:bidi="es-ES"/>
        </w:rPr>
        <w:t xml:space="preserve">En ejercicio de la competencia otorgada por los artículos 3, numeral 5º, y 11, numeral 8º, del Decreto Ley 4170 de 2011, </w:t>
      </w:r>
      <w:r w:rsidRPr="000B0175">
        <w:rPr>
          <w:rFonts w:ascii="Verdana" w:eastAsia="Calibri" w:hAnsi="Verdana" w:cs="Times New Roman"/>
          <w:bCs/>
        </w:rPr>
        <w:t xml:space="preserve">así como lo establecido por la Resolución 469 de 2025 expedida por esta Entidad, </w:t>
      </w:r>
      <w:r w:rsidRPr="000B0175">
        <w:rPr>
          <w:rFonts w:ascii="Verdana" w:eastAsia="Calibri" w:hAnsi="Verdana" w:cs="Times New Roman"/>
          <w:bCs/>
          <w:lang w:val="es-ES" w:bidi="es-ES"/>
        </w:rPr>
        <w:t xml:space="preserve">la Agencia Nacional de Contratación Pública – Colombia Compra Eficiente– responde la solicitud de consulta presentada el 25 de marzo de 2026, en la cual manifiesta: </w:t>
      </w:r>
    </w:p>
    <w:p w14:paraId="261C89BB" w14:textId="77777777" w:rsidR="00ED2656" w:rsidRPr="000B0175" w:rsidRDefault="00ED2656" w:rsidP="00ED2656">
      <w:pPr>
        <w:spacing w:after="0" w:line="276" w:lineRule="auto"/>
        <w:jc w:val="both"/>
        <w:rPr>
          <w:rFonts w:ascii="Verdana" w:eastAsia="Calibri" w:hAnsi="Verdana" w:cs="Times New Roman"/>
          <w:lang w:val="es-ES"/>
        </w:rPr>
      </w:pPr>
    </w:p>
    <w:p w14:paraId="2FDC96D6" w14:textId="77777777" w:rsidR="00ED2656" w:rsidRPr="000B0175" w:rsidRDefault="00ED2656" w:rsidP="00ED2656">
      <w:pPr>
        <w:spacing w:after="0" w:line="240" w:lineRule="auto"/>
        <w:ind w:left="709" w:right="709"/>
        <w:jc w:val="both"/>
        <w:rPr>
          <w:rFonts w:ascii="Verdana" w:eastAsia="Calibri" w:hAnsi="Verdana" w:cs="Times New Roman"/>
          <w:b/>
          <w:bCs/>
          <w:i/>
          <w:iCs/>
          <w:sz w:val="20"/>
          <w:szCs w:val="20"/>
        </w:rPr>
      </w:pPr>
      <w:r w:rsidRPr="000B0175">
        <w:rPr>
          <w:rFonts w:ascii="Verdana" w:eastAsia="Calibri" w:hAnsi="Verdana" w:cs="Times New Roman"/>
          <w:sz w:val="20"/>
          <w:szCs w:val="20"/>
          <w:lang w:val="es-ES"/>
        </w:rPr>
        <w:t>“</w:t>
      </w:r>
      <w:r w:rsidRPr="000B0175">
        <w:rPr>
          <w:rFonts w:ascii="Verdana" w:eastAsia="Calibri" w:hAnsi="Verdana" w:cs="Times New Roman"/>
          <w:i/>
          <w:iCs/>
          <w:sz w:val="20"/>
          <w:szCs w:val="20"/>
        </w:rPr>
        <w:t xml:space="preserve">(…) </w:t>
      </w:r>
      <w:r w:rsidRPr="000B0175">
        <w:rPr>
          <w:rFonts w:ascii="Verdana" w:eastAsia="Calibri" w:hAnsi="Verdana" w:cs="Times New Roman"/>
          <w:b/>
          <w:bCs/>
          <w:i/>
          <w:iCs/>
          <w:sz w:val="20"/>
          <w:szCs w:val="20"/>
        </w:rPr>
        <w:t>l. Sobre la calidad de servidor público</w:t>
      </w:r>
    </w:p>
    <w:p w14:paraId="3C9369A8" w14:textId="77777777" w:rsidR="00ED2656" w:rsidRPr="000B0175" w:rsidRDefault="00ED2656" w:rsidP="00ED2656">
      <w:pPr>
        <w:spacing w:after="0" w:line="240" w:lineRule="auto"/>
        <w:ind w:left="709" w:right="709"/>
        <w:jc w:val="both"/>
        <w:rPr>
          <w:rFonts w:ascii="Verdana" w:eastAsia="Calibri" w:hAnsi="Verdana" w:cs="Times New Roman"/>
          <w:i/>
          <w:iCs/>
          <w:sz w:val="20"/>
          <w:szCs w:val="20"/>
        </w:rPr>
      </w:pPr>
      <w:r w:rsidRPr="000B0175">
        <w:rPr>
          <w:rFonts w:ascii="Verdana" w:eastAsia="Calibri" w:hAnsi="Verdana" w:cs="Times New Roman"/>
          <w:i/>
          <w:iCs/>
          <w:sz w:val="20"/>
          <w:szCs w:val="20"/>
        </w:rPr>
        <w:t>1. ¿Cuál es la definición formal que adopta esa Comisión respecto del concepto de “ servidor público”?</w:t>
      </w:r>
    </w:p>
    <w:p w14:paraId="7E492AAB"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lastRenderedPageBreak/>
        <w:t>2. ¿Qué criterios determinan que una persona ostente dicha calidad dentro del sistema de carrera administrativa?</w:t>
      </w:r>
    </w:p>
    <w:p w14:paraId="57F6DDC0"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3. ¿La vinculación mediante contrato de prestación de servicios confiere en algún caso la calidad de servidor público?</w:t>
      </w:r>
    </w:p>
    <w:p w14:paraId="34A603DD"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4. ¿Un contratista por prestación de servicios puede ejercer funciones propias de un empleo público de carrera? (…)”</w:t>
      </w:r>
    </w:p>
    <w:p w14:paraId="5FEF0B73" w14:textId="77777777" w:rsidR="00ED2656" w:rsidRPr="000B0175" w:rsidRDefault="00ED2656" w:rsidP="00ED2656">
      <w:pPr>
        <w:spacing w:after="0" w:line="240" w:lineRule="auto"/>
        <w:ind w:left="709" w:right="709"/>
        <w:contextualSpacing/>
        <w:jc w:val="both"/>
        <w:rPr>
          <w:rFonts w:ascii="Verdana" w:eastAsia="Calibri" w:hAnsi="Verdana" w:cs="Times New Roman"/>
          <w:b/>
          <w:bCs/>
          <w:i/>
          <w:iCs/>
          <w:sz w:val="20"/>
          <w:szCs w:val="20"/>
        </w:rPr>
      </w:pPr>
      <w:r w:rsidRPr="000B0175">
        <w:rPr>
          <w:rFonts w:ascii="Verdana" w:eastAsia="Calibri" w:hAnsi="Verdana" w:cs="Times New Roman"/>
          <w:b/>
          <w:bCs/>
          <w:i/>
          <w:iCs/>
          <w:sz w:val="20"/>
          <w:szCs w:val="20"/>
        </w:rPr>
        <w:t>II. Sobre el contratista por prestación de servicios</w:t>
      </w:r>
    </w:p>
    <w:p w14:paraId="709736A2"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1. ¿Cuál es la naturaleza jurídica de la vinculación mediante contrato de prestación de servicios en entidades sujetas al sistema de carrera administrativa?</w:t>
      </w:r>
    </w:p>
    <w:p w14:paraId="7417C85A"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2. ¿Puede un contratista por prestación de servicios ejercer autoridad administrativa?</w:t>
      </w:r>
    </w:p>
    <w:p w14:paraId="4F6E2D4A"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3. ¿Puede un contratista asumir funciones permanentes de la administración?</w:t>
      </w:r>
    </w:p>
    <w:p w14:paraId="50CC4ED1"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4. ¿El contratista se encuentra sometido al régimen disciplinario aplicable a los servidores públicos de carrera?</w:t>
      </w:r>
    </w:p>
    <w:p w14:paraId="48F88716" w14:textId="77777777" w:rsidR="00ED2656" w:rsidRPr="000B0175" w:rsidRDefault="00ED2656" w:rsidP="00ED2656">
      <w:pPr>
        <w:spacing w:after="0" w:line="240" w:lineRule="auto"/>
        <w:ind w:left="709" w:right="709"/>
        <w:contextualSpacing/>
        <w:jc w:val="both"/>
        <w:rPr>
          <w:rFonts w:ascii="Verdana" w:eastAsia="Calibri" w:hAnsi="Verdana" w:cs="Times New Roman"/>
          <w:b/>
          <w:bCs/>
          <w:i/>
          <w:iCs/>
          <w:sz w:val="20"/>
          <w:szCs w:val="20"/>
        </w:rPr>
      </w:pPr>
      <w:r w:rsidRPr="000B0175">
        <w:rPr>
          <w:rFonts w:ascii="Verdana" w:eastAsia="Calibri" w:hAnsi="Verdana" w:cs="Times New Roman"/>
          <w:b/>
          <w:bCs/>
          <w:i/>
          <w:iCs/>
          <w:sz w:val="20"/>
          <w:szCs w:val="20"/>
        </w:rPr>
        <w:t>III. Sobre el alcance de responsabilidades</w:t>
      </w:r>
    </w:p>
    <w:p w14:paraId="016324B2" w14:textId="77777777" w:rsidR="00ED2656" w:rsidRPr="000B0175" w:rsidRDefault="00ED2656" w:rsidP="00ED2656">
      <w:pPr>
        <w:spacing w:after="0" w:line="240" w:lineRule="auto"/>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1. ¿Las obligaciones del contratista se limitan estrictamente a las expresamente pactadas en el</w:t>
      </w:r>
    </w:p>
    <w:p w14:paraId="53838200" w14:textId="77777777" w:rsidR="00ED2656" w:rsidRPr="000B0175" w:rsidRDefault="00ED2656" w:rsidP="00ED2656">
      <w:pPr>
        <w:spacing w:after="0" w:line="240" w:lineRule="auto"/>
        <w:ind w:left="709" w:right="709"/>
        <w:contextualSpacing/>
        <w:jc w:val="both"/>
        <w:rPr>
          <w:rFonts w:ascii="Verdana" w:eastAsia="Calibri" w:hAnsi="Verdana" w:cs="Times New Roman"/>
          <w:sz w:val="20"/>
          <w:szCs w:val="20"/>
        </w:rPr>
      </w:pPr>
      <w:r w:rsidRPr="000B0175">
        <w:rPr>
          <w:rFonts w:ascii="Verdana" w:eastAsia="Calibri" w:hAnsi="Verdana" w:cs="Times New Roman"/>
          <w:i/>
          <w:iCs/>
          <w:sz w:val="20"/>
          <w:szCs w:val="20"/>
        </w:rPr>
        <w:t>contrato?</w:t>
      </w:r>
    </w:p>
    <w:p w14:paraId="771F22D3" w14:textId="77777777" w:rsidR="00ED2656" w:rsidRPr="000B0175" w:rsidRDefault="00ED2656" w:rsidP="00ED2656">
      <w:pPr>
        <w:spacing w:after="0"/>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2. ¿Existe subordinación jurídica entre la entidad y el contratista?</w:t>
      </w:r>
    </w:p>
    <w:p w14:paraId="0087E261" w14:textId="77777777" w:rsidR="00ED2656" w:rsidRPr="000B0175" w:rsidRDefault="00ED2656" w:rsidP="00ED2656">
      <w:pPr>
        <w:spacing w:after="0"/>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3. ¿Puede exigírsele al contratista el cumplimiento de funciones no previstas contractualmente?</w:t>
      </w:r>
    </w:p>
    <w:p w14:paraId="7804621A" w14:textId="77777777" w:rsidR="00ED2656" w:rsidRPr="000B0175" w:rsidRDefault="00ED2656" w:rsidP="00ED2656">
      <w:pPr>
        <w:spacing w:after="0"/>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4. ¿La supervisión contractual puede convertirse en subordinación funcional?</w:t>
      </w:r>
    </w:p>
    <w:p w14:paraId="5B34687F" w14:textId="77777777" w:rsidR="00ED2656" w:rsidRPr="000B0175" w:rsidRDefault="00ED2656" w:rsidP="00ED2656">
      <w:pPr>
        <w:spacing w:after="0"/>
        <w:ind w:left="709" w:right="709"/>
        <w:contextualSpacing/>
        <w:jc w:val="both"/>
        <w:rPr>
          <w:rFonts w:ascii="Verdana" w:eastAsia="Calibri" w:hAnsi="Verdana" w:cs="Times New Roman"/>
          <w:i/>
          <w:iCs/>
          <w:sz w:val="20"/>
          <w:szCs w:val="20"/>
        </w:rPr>
      </w:pPr>
      <w:r w:rsidRPr="000B0175">
        <w:rPr>
          <w:rFonts w:ascii="Verdana" w:eastAsia="Calibri" w:hAnsi="Verdana" w:cs="Times New Roman"/>
          <w:i/>
          <w:iCs/>
          <w:sz w:val="20"/>
          <w:szCs w:val="20"/>
        </w:rPr>
        <w:t>5. ¿Un contratista puede participar en programas y/o concursos celebrados por entidades como un concejo municipal o la misma alcaldía?</w:t>
      </w:r>
      <w:r w:rsidRPr="000B0175">
        <w:rPr>
          <w:rFonts w:ascii="Verdana" w:eastAsia="Calibri" w:hAnsi="Verdana" w:cs="Times New Roman"/>
          <w:sz w:val="20"/>
          <w:szCs w:val="20"/>
          <w:lang w:val="es-ES"/>
        </w:rPr>
        <w:t xml:space="preserve">. </w:t>
      </w:r>
    </w:p>
    <w:p w14:paraId="0499A87B" w14:textId="77777777" w:rsidR="00ED2656" w:rsidRPr="000B0175" w:rsidRDefault="00ED2656" w:rsidP="00ED2656">
      <w:pPr>
        <w:spacing w:after="0" w:line="276" w:lineRule="auto"/>
        <w:ind w:left="709" w:right="709"/>
        <w:jc w:val="both"/>
        <w:rPr>
          <w:rFonts w:ascii="Verdana" w:eastAsia="Calibri" w:hAnsi="Verdana" w:cs="Times New Roman"/>
          <w:bCs/>
          <w:i/>
          <w:iCs/>
        </w:rPr>
      </w:pPr>
    </w:p>
    <w:p w14:paraId="15E13015" w14:textId="77777777" w:rsidR="00ED2656" w:rsidRPr="000B0175" w:rsidRDefault="00ED2656" w:rsidP="00ED2656">
      <w:pPr>
        <w:spacing w:after="120" w:line="276" w:lineRule="auto"/>
        <w:ind w:firstLine="709"/>
        <w:jc w:val="both"/>
        <w:rPr>
          <w:rFonts w:ascii="Verdana" w:eastAsia="Calibri" w:hAnsi="Verdana" w:cs="Times New Roman"/>
          <w:lang w:val="es-ES"/>
        </w:rPr>
      </w:pPr>
      <w:r w:rsidRPr="000B0175">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w:t>
      </w:r>
      <w:r w:rsidRPr="000B0175">
        <w:rPr>
          <w:rFonts w:ascii="Verdana" w:eastAsia="Calibri" w:hAnsi="Verdana" w:cs="Times New Roman"/>
          <w:lang w:val="es-ES"/>
        </w:rPr>
        <w:lastRenderedPageBreak/>
        <w:t>asesorías sobre casos puntuales, ni a determinar grados de responsabilidad por las actuaciones de los diferentes participes del sistema de compra pública.</w:t>
      </w:r>
    </w:p>
    <w:p w14:paraId="7AFE4E59" w14:textId="77777777" w:rsidR="00ED2656" w:rsidRPr="000B0175" w:rsidRDefault="00ED2656" w:rsidP="00ED2656">
      <w:pPr>
        <w:spacing w:after="0" w:line="276" w:lineRule="auto"/>
        <w:ind w:firstLine="708"/>
        <w:jc w:val="both"/>
        <w:rPr>
          <w:rFonts w:ascii="Verdana" w:eastAsia="Calibri" w:hAnsi="Verdana" w:cs="Times New Roman"/>
          <w:lang w:val="es-ES"/>
        </w:rPr>
      </w:pPr>
      <w:r w:rsidRPr="000B0175">
        <w:rPr>
          <w:rFonts w:ascii="Verdana" w:eastAsia="Calibri" w:hAnsi="Verdana" w:cs="Times New Roman"/>
          <w:lang w:val="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en materia de contratación estatal relacionadas con el problema jurídico de su consulta. </w:t>
      </w:r>
    </w:p>
    <w:p w14:paraId="0910996E" w14:textId="77777777" w:rsidR="00ED2656" w:rsidRPr="000B0175" w:rsidRDefault="00ED2656" w:rsidP="00ED2656">
      <w:pPr>
        <w:spacing w:after="0" w:line="276" w:lineRule="auto"/>
        <w:ind w:firstLine="708"/>
        <w:jc w:val="both"/>
        <w:rPr>
          <w:rFonts w:ascii="Verdana" w:eastAsia="Calibri" w:hAnsi="Verdana" w:cs="Times New Roman"/>
          <w:lang w:val="es-ES"/>
        </w:rPr>
      </w:pPr>
    </w:p>
    <w:p w14:paraId="5CDAD66B" w14:textId="77777777" w:rsidR="00ED2656" w:rsidRPr="000B0175" w:rsidRDefault="00ED2656" w:rsidP="00ED2656">
      <w:pPr>
        <w:spacing w:after="0" w:line="276" w:lineRule="auto"/>
        <w:rPr>
          <w:rFonts w:ascii="Verdana" w:eastAsia="Calibri" w:hAnsi="Verdana" w:cs="Times New Roman"/>
          <w:b/>
          <w:bCs/>
          <w:lang w:val="es-ES"/>
        </w:rPr>
      </w:pPr>
      <w:r w:rsidRPr="000B0175">
        <w:rPr>
          <w:rFonts w:ascii="Verdana" w:eastAsia="Calibri" w:hAnsi="Verdana" w:cs="Times New Roman"/>
          <w:b/>
          <w:bCs/>
          <w:lang w:val="es-ES"/>
        </w:rPr>
        <w:t>I. Problema planteado:</w:t>
      </w:r>
    </w:p>
    <w:p w14:paraId="5260AF52" w14:textId="77777777" w:rsidR="00ED2656" w:rsidRPr="000B0175" w:rsidRDefault="00ED2656" w:rsidP="00ED2656">
      <w:pPr>
        <w:spacing w:after="0" w:line="276" w:lineRule="auto"/>
        <w:rPr>
          <w:rFonts w:ascii="Verdana" w:eastAsia="Calibri" w:hAnsi="Verdana" w:cs="Times New Roman"/>
        </w:rPr>
      </w:pPr>
    </w:p>
    <w:p w14:paraId="6232BE92" w14:textId="77777777" w:rsidR="00ED2656" w:rsidRPr="000B0175" w:rsidRDefault="00ED2656" w:rsidP="00ED2656">
      <w:pPr>
        <w:spacing w:after="0" w:line="276" w:lineRule="auto"/>
        <w:jc w:val="both"/>
        <w:rPr>
          <w:rFonts w:ascii="Verdana" w:eastAsia="Calibri" w:hAnsi="Verdana" w:cs="Times New Roman"/>
        </w:rPr>
      </w:pPr>
      <w:r w:rsidRPr="000B0175">
        <w:rPr>
          <w:rFonts w:ascii="Verdana" w:eastAsia="Calibri" w:hAnsi="Verdana" w:cs="Times New Roman"/>
        </w:rPr>
        <w:t>De acuerdo con el contenido de su solicitud, esta Agencia procede a resolver el siguiente problema jurídico: ¿Cuál es la naturaleza jurídica del contrato de prestación de servicios y en qué medida dicha vinculación puede, según el caso, implicar el ejercicio de funciones propias de un empleo público, generar subordinación incompatible con su carácter contractual —a partir de la supervisión, la integración funcional o la asignación de tareas no pactadas— o dar lugar a responsabilidades y regímenes asimilables a los de los servidores públicos, incluidos los de carácter disciplinario?</w:t>
      </w:r>
    </w:p>
    <w:p w14:paraId="4FC5C273" w14:textId="77777777" w:rsidR="00ED2656" w:rsidRPr="000B0175" w:rsidRDefault="00ED2656" w:rsidP="00ED2656">
      <w:pPr>
        <w:spacing w:after="0" w:line="276" w:lineRule="auto"/>
        <w:jc w:val="both"/>
        <w:rPr>
          <w:rFonts w:ascii="Verdana" w:eastAsia="Calibri" w:hAnsi="Verdana" w:cs="Times New Roman"/>
        </w:rPr>
      </w:pPr>
    </w:p>
    <w:p w14:paraId="70C1A6B1" w14:textId="77777777" w:rsidR="00ED2656" w:rsidRPr="000B0175" w:rsidRDefault="00ED2656" w:rsidP="00ED2656">
      <w:pPr>
        <w:spacing w:after="0" w:line="276" w:lineRule="auto"/>
        <w:rPr>
          <w:rFonts w:ascii="Verdana" w:eastAsia="Calibri" w:hAnsi="Verdana" w:cs="Times New Roman"/>
          <w:b/>
          <w:bCs/>
          <w:lang w:val="es-ES"/>
        </w:rPr>
      </w:pPr>
      <w:r w:rsidRPr="000B0175">
        <w:rPr>
          <w:rFonts w:ascii="Verdana" w:eastAsia="Calibri" w:hAnsi="Verdana" w:cs="Times New Roman"/>
          <w:b/>
          <w:bCs/>
          <w:lang w:val="es-ES"/>
        </w:rPr>
        <w:t>II. Respuesta:</w:t>
      </w:r>
    </w:p>
    <w:p w14:paraId="5024CA3D" w14:textId="77777777" w:rsidR="00ED2656" w:rsidRPr="000B0175" w:rsidRDefault="00ED2656" w:rsidP="00ED2656">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2656" w:rsidRPr="000B0175" w14:paraId="70AAE052" w14:textId="77777777" w:rsidTr="00DC7B3A">
        <w:trPr>
          <w:trHeight w:val="870"/>
          <w:jc w:val="center"/>
        </w:trPr>
        <w:tc>
          <w:tcPr>
            <w:tcW w:w="8647" w:type="dxa"/>
          </w:tcPr>
          <w:p w14:paraId="2E6F5C67" w14:textId="77777777" w:rsidR="00ED2656" w:rsidRPr="000B0175" w:rsidRDefault="00ED2656" w:rsidP="00DC7B3A">
            <w:pPr>
              <w:tabs>
                <w:tab w:val="left" w:pos="0"/>
              </w:tabs>
              <w:spacing w:after="120" w:line="276" w:lineRule="auto"/>
              <w:jc w:val="both"/>
              <w:rPr>
                <w:rFonts w:ascii="Verdana" w:eastAsia="Calibri" w:hAnsi="Verdana" w:cs="Arial"/>
                <w:bCs/>
                <w:color w:val="000000" w:themeColor="text1"/>
                <w:lang w:val="es-ES_tradnl"/>
              </w:rPr>
            </w:pPr>
            <w:r w:rsidRPr="000B0175">
              <w:rPr>
                <w:rFonts w:ascii="Verdana" w:eastAsia="Calibri" w:hAnsi="Verdana" w:cs="Arial"/>
                <w:bCs/>
                <w:lang w:val="es-ES"/>
              </w:rPr>
              <w:t xml:space="preserve">De acuerdo con el problema jurídico, objeto de consulta, se señala que </w:t>
            </w:r>
            <w:r w:rsidRPr="000B0175">
              <w:rPr>
                <w:rFonts w:ascii="Verdana" w:eastAsia="Calibri" w:hAnsi="Verdana" w:cs="Arial"/>
                <w:bCs/>
                <w:color w:val="000000" w:themeColor="text1"/>
                <w:lang w:val="es-ES_tradnl"/>
              </w:rPr>
              <w:t xml:space="preserve">los contratistas de prestación de servicios no adquieren la calidad de servidores públicos, ya que su vinculación con el Estado se da exclusivamente a través de un contrato estatal de prestación de servicios, sin que ello les confiera una investidura pública, ni mucho menos están contemplados en el artículo 123 constitucional. Aunque mediante dicho contrato se les encomiende la realización de actividades de interés general o utilidad pública, estas se ejecutan con autonomía técnica y operativa frente a la entidad contratante, lo que los mantiene en la condición de particulares. En consecuencia, el hecho de colaborar con la administración no implica el ejercicio de funciones públicas en sentido estricto, ni los somete al régimen jurídico propio de los servidores públicos. </w:t>
            </w:r>
          </w:p>
          <w:p w14:paraId="0138B7E2" w14:textId="77777777" w:rsidR="00ED2656" w:rsidRPr="000B0175" w:rsidRDefault="00ED2656" w:rsidP="00DC7B3A">
            <w:pPr>
              <w:tabs>
                <w:tab w:val="left" w:pos="0"/>
              </w:tabs>
              <w:spacing w:after="120" w:line="276" w:lineRule="auto"/>
              <w:jc w:val="both"/>
              <w:rPr>
                <w:rFonts w:ascii="Verdana" w:eastAsia="Calibri" w:hAnsi="Verdana" w:cs="Arial"/>
                <w:bCs/>
                <w:color w:val="000000" w:themeColor="text1"/>
              </w:rPr>
            </w:pPr>
            <w:r w:rsidRPr="000B0175">
              <w:rPr>
                <w:rFonts w:ascii="Verdana" w:eastAsia="Calibri" w:hAnsi="Verdana" w:cs="Arial"/>
                <w:bCs/>
                <w:color w:val="000000" w:themeColor="text1"/>
                <w:lang w:val="es-ES_tradnl"/>
              </w:rPr>
              <w:lastRenderedPageBreak/>
              <w:tab/>
              <w:t>Teniendo en cuenta las consideraciones precedentes en el numeral i) se señala que u</w:t>
            </w:r>
            <w:r w:rsidRPr="000B0175">
              <w:rPr>
                <w:rFonts w:ascii="Verdana" w:eastAsia="Calibri" w:hAnsi="Verdana" w:cs="Arial"/>
                <w:bCs/>
                <w:color w:val="000000" w:themeColor="text1"/>
              </w:rPr>
              <w:t xml:space="preserve">na de sus notas esenciales es que no genera vínculo laboral ni da lugar al reconocimiento de prestaciones sociales. El contratista de prestación de servicios actúa con autonomía e independencia técnica, sin subordinación ni dependencia, lo que lo diferencia del contrato de trabajo. Esto, sin perjuicio del deber de seguimiento a la ejecución contractual por parte del supervisor, quien debe hacer un seguimiento técnico, administrativo, financiero, contable y jurídico al contrato estatal. Dicha supervisión implica que puedan solicitar informes, aclaraciones y explicaciones sobre el desarrollo de la ejecución contractual, conforme a lo prescrito en el artículo 84 de la Ley 1474 de 2011. Por tanto, la exigencia de supervisión por parte de la entidad estatal sobre la ejecución del contrato de prestación de servicios no implica, por sí sola, la existencia de una relación laboral, en la medida en que dicha supervisión se limita a verificar el cumplimiento del objeto contractual, el uso correcto de los recursos públicos y la observancia de las obligaciones pactadas, sin que suponga subordinación jurídica ni dependencia propia de un vínculo laboral. </w:t>
            </w:r>
          </w:p>
          <w:p w14:paraId="77F3121E" w14:textId="77777777" w:rsidR="00ED2656" w:rsidRPr="000B0175" w:rsidRDefault="00ED2656" w:rsidP="00DC7B3A">
            <w:pPr>
              <w:widowControl w:val="0"/>
              <w:autoSpaceDE w:val="0"/>
              <w:autoSpaceDN w:val="0"/>
              <w:spacing w:after="120" w:line="276" w:lineRule="auto"/>
              <w:jc w:val="both"/>
              <w:rPr>
                <w:rFonts w:ascii="Verdana" w:eastAsia="Arial MT" w:hAnsi="Verdana" w:cs="Arial"/>
                <w:lang w:val="es-ES"/>
              </w:rPr>
            </w:pPr>
            <w:r w:rsidRPr="000B0175">
              <w:rPr>
                <w:rFonts w:ascii="Verdana" w:eastAsia="Calibri" w:hAnsi="Verdana" w:cs="Arial"/>
                <w:bCs/>
                <w:color w:val="000000" w:themeColor="text1"/>
              </w:rPr>
              <w:tab/>
            </w:r>
            <w:r w:rsidRPr="000B0175">
              <w:rPr>
                <w:rFonts w:ascii="Verdana" w:eastAsia="Calibri" w:hAnsi="Verdana" w:cs="Arial"/>
                <w:bCs/>
                <w:color w:val="000000" w:themeColor="text1"/>
                <w:lang w:val="es-ES_tradnl"/>
              </w:rPr>
              <w:t xml:space="preserve">Esta distinción del contratista de prestación de servicios con los servidores públicos se considera esencial para delimitar responsabilidades, derechos y deberes, evitando interpretaciones erradas entre quienes ejercen autoridad estatal y quienes prestan servicios de apoyo u especializados bajo una relación contractual temporal. En este aspecto, se resalta que los contratistas de prestación de prestación de servicios pueden apoyar en la supervisión de los contratos estatales, pero no fungen como supervisores.  </w:t>
            </w:r>
          </w:p>
          <w:p w14:paraId="430B11DE" w14:textId="77777777" w:rsidR="00ED2656" w:rsidRPr="000B0175" w:rsidRDefault="00ED2656" w:rsidP="00DC7B3A">
            <w:pPr>
              <w:widowControl w:val="0"/>
              <w:autoSpaceDE w:val="0"/>
              <w:autoSpaceDN w:val="0"/>
              <w:spacing w:after="120" w:line="276" w:lineRule="auto"/>
              <w:ind w:firstLine="708"/>
              <w:jc w:val="both"/>
              <w:rPr>
                <w:rFonts w:ascii="Verdana" w:eastAsia="Arial MT" w:hAnsi="Verdana" w:cs="Arial"/>
                <w:spacing w:val="1"/>
                <w:lang w:val="es-ES"/>
              </w:rPr>
            </w:pPr>
            <w:r w:rsidRPr="000B0175">
              <w:rPr>
                <w:rFonts w:ascii="Verdana" w:eastAsia="Arial MT" w:hAnsi="Verdana" w:cs="Arial"/>
                <w:lang w:val="es-ES"/>
              </w:rPr>
              <w:t>El alcance de dicho apoyo</w:t>
            </w:r>
            <w:r w:rsidRPr="000B0175">
              <w:rPr>
                <w:rFonts w:ascii="Verdana" w:eastAsia="Arial MT" w:hAnsi="Verdana" w:cs="Arial"/>
                <w:spacing w:val="1"/>
                <w:lang w:val="es-ES"/>
              </w:rPr>
              <w:t xml:space="preserve"> </w:t>
            </w:r>
            <w:r w:rsidRPr="000B0175">
              <w:rPr>
                <w:rFonts w:ascii="Verdana" w:eastAsia="Arial MT" w:hAnsi="Verdana" w:cs="Arial"/>
                <w:lang w:val="es-ES"/>
              </w:rPr>
              <w:t>dependerá del objeto y las obligaciones determinadas en el contrato de prestación de servicios,</w:t>
            </w:r>
            <w:r w:rsidRPr="000B0175">
              <w:rPr>
                <w:rFonts w:ascii="Verdana" w:eastAsia="Arial MT" w:hAnsi="Verdana" w:cs="Arial"/>
                <w:spacing w:val="-59"/>
                <w:lang w:val="es-ES"/>
              </w:rPr>
              <w:t xml:space="preserve"> </w:t>
            </w:r>
            <w:r w:rsidRPr="000B0175">
              <w:rPr>
                <w:rFonts w:ascii="Verdana" w:eastAsia="Arial MT" w:hAnsi="Verdana" w:cs="Arial"/>
                <w:lang w:val="es-ES"/>
              </w:rPr>
              <w:t>marco</w:t>
            </w:r>
            <w:r w:rsidRPr="000B0175">
              <w:rPr>
                <w:rFonts w:ascii="Verdana" w:eastAsia="Arial MT" w:hAnsi="Verdana" w:cs="Arial"/>
                <w:spacing w:val="1"/>
                <w:lang w:val="es-ES"/>
              </w:rPr>
              <w:t xml:space="preserve"> </w:t>
            </w:r>
            <w:r w:rsidRPr="000B0175">
              <w:rPr>
                <w:rFonts w:ascii="Verdana" w:eastAsia="Arial MT" w:hAnsi="Verdana" w:cs="Arial"/>
                <w:lang w:val="es-ES"/>
              </w:rPr>
              <w:t>dentro</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cual</w:t>
            </w:r>
            <w:r w:rsidRPr="000B0175">
              <w:rPr>
                <w:rFonts w:ascii="Verdana" w:eastAsia="Arial MT" w:hAnsi="Verdana" w:cs="Arial"/>
                <w:spacing w:val="1"/>
                <w:lang w:val="es-ES"/>
              </w:rPr>
              <w:t xml:space="preserve"> </w:t>
            </w:r>
            <w:r w:rsidRPr="000B0175">
              <w:rPr>
                <w:rFonts w:ascii="Verdana" w:eastAsia="Arial MT" w:hAnsi="Verdana" w:cs="Arial"/>
                <w:lang w:val="es-ES"/>
              </w:rPr>
              <w:t>el</w:t>
            </w:r>
            <w:r w:rsidRPr="000B0175">
              <w:rPr>
                <w:rFonts w:ascii="Verdana" w:eastAsia="Arial MT" w:hAnsi="Verdana" w:cs="Arial"/>
                <w:spacing w:val="1"/>
                <w:lang w:val="es-ES"/>
              </w:rPr>
              <w:t xml:space="preserve"> </w:t>
            </w:r>
            <w:r w:rsidRPr="000B0175">
              <w:rPr>
                <w:rFonts w:ascii="Verdana" w:eastAsia="Arial MT" w:hAnsi="Verdana" w:cs="Arial"/>
                <w:lang w:val="es-ES"/>
              </w:rPr>
              <w:t>contratista</w:t>
            </w:r>
            <w:r w:rsidRPr="000B0175">
              <w:rPr>
                <w:rFonts w:ascii="Verdana" w:eastAsia="Arial MT" w:hAnsi="Verdana" w:cs="Arial"/>
                <w:spacing w:val="1"/>
                <w:lang w:val="es-ES"/>
              </w:rPr>
              <w:t xml:space="preserve"> </w:t>
            </w:r>
            <w:r w:rsidRPr="000B0175">
              <w:rPr>
                <w:rFonts w:ascii="Verdana" w:eastAsia="Arial MT" w:hAnsi="Verdana" w:cs="Arial"/>
                <w:lang w:val="es-ES"/>
              </w:rPr>
              <w:t>desarrollará</w:t>
            </w:r>
            <w:r w:rsidRPr="000B0175">
              <w:rPr>
                <w:rFonts w:ascii="Verdana" w:eastAsia="Arial MT" w:hAnsi="Verdana" w:cs="Arial"/>
                <w:spacing w:val="1"/>
                <w:lang w:val="es-ES"/>
              </w:rPr>
              <w:t xml:space="preserve"> </w:t>
            </w:r>
            <w:r w:rsidRPr="000B0175">
              <w:rPr>
                <w:rFonts w:ascii="Verdana" w:eastAsia="Arial MT" w:hAnsi="Verdana" w:cs="Arial"/>
                <w:lang w:val="es-ES"/>
              </w:rPr>
              <w:t>las</w:t>
            </w:r>
            <w:r w:rsidRPr="000B0175">
              <w:rPr>
                <w:rFonts w:ascii="Verdana" w:eastAsia="Arial MT" w:hAnsi="Verdana" w:cs="Arial"/>
                <w:spacing w:val="1"/>
                <w:lang w:val="es-ES"/>
              </w:rPr>
              <w:t xml:space="preserve"> </w:t>
            </w:r>
            <w:r w:rsidRPr="000B0175">
              <w:rPr>
                <w:rFonts w:ascii="Verdana" w:eastAsia="Arial MT" w:hAnsi="Verdana" w:cs="Arial"/>
                <w:lang w:val="es-ES"/>
              </w:rPr>
              <w:t>actividades</w:t>
            </w:r>
            <w:r w:rsidRPr="000B0175">
              <w:rPr>
                <w:rFonts w:ascii="Verdana" w:eastAsia="Arial MT" w:hAnsi="Verdana" w:cs="Arial"/>
                <w:spacing w:val="1"/>
                <w:lang w:val="es-ES"/>
              </w:rPr>
              <w:t xml:space="preserve"> </w:t>
            </w:r>
            <w:r w:rsidRPr="000B0175">
              <w:rPr>
                <w:rFonts w:ascii="Verdana" w:eastAsia="Arial MT" w:hAnsi="Verdana" w:cs="Arial"/>
                <w:lang w:val="es-ES"/>
              </w:rPr>
              <w:t>tendientes</w:t>
            </w:r>
            <w:r w:rsidRPr="000B0175">
              <w:rPr>
                <w:rFonts w:ascii="Verdana" w:eastAsia="Arial MT" w:hAnsi="Verdana" w:cs="Arial"/>
                <w:spacing w:val="1"/>
                <w:lang w:val="es-ES"/>
              </w:rPr>
              <w:t xml:space="preserve"> </w:t>
            </w:r>
            <w:r w:rsidRPr="000B0175">
              <w:rPr>
                <w:rFonts w:ascii="Verdana" w:eastAsia="Arial MT" w:hAnsi="Verdana" w:cs="Arial"/>
                <w:lang w:val="es-ES"/>
              </w:rPr>
              <w:t>a</w:t>
            </w:r>
            <w:r w:rsidRPr="000B0175">
              <w:rPr>
                <w:rFonts w:ascii="Verdana" w:eastAsia="Arial MT" w:hAnsi="Verdana" w:cs="Arial"/>
                <w:spacing w:val="1"/>
                <w:lang w:val="es-ES"/>
              </w:rPr>
              <w:t xml:space="preserve"> </w:t>
            </w:r>
            <w:r w:rsidRPr="000B0175">
              <w:rPr>
                <w:rFonts w:ascii="Verdana" w:eastAsia="Arial MT" w:hAnsi="Verdana" w:cs="Arial"/>
                <w:lang w:val="es-ES"/>
              </w:rPr>
              <w:t>soportar</w:t>
            </w:r>
            <w:r w:rsidRPr="000B0175">
              <w:rPr>
                <w:rFonts w:ascii="Verdana" w:eastAsia="Arial MT" w:hAnsi="Verdana" w:cs="Arial"/>
                <w:spacing w:val="1"/>
                <w:lang w:val="es-ES"/>
              </w:rPr>
              <w:t xml:space="preserve"> </w:t>
            </w:r>
            <w:r w:rsidRPr="000B0175">
              <w:rPr>
                <w:rFonts w:ascii="Verdana" w:eastAsia="Arial MT" w:hAnsi="Verdana" w:cs="Arial"/>
                <w:lang w:val="es-ES"/>
              </w:rPr>
              <w:t>el</w:t>
            </w:r>
            <w:r w:rsidRPr="000B0175">
              <w:rPr>
                <w:rFonts w:ascii="Verdana" w:eastAsia="Arial MT" w:hAnsi="Verdana" w:cs="Arial"/>
                <w:spacing w:val="1"/>
                <w:lang w:val="es-ES"/>
              </w:rPr>
              <w:t xml:space="preserve"> </w:t>
            </w:r>
            <w:r w:rsidRPr="000B0175">
              <w:rPr>
                <w:rFonts w:ascii="Verdana" w:eastAsia="Arial MT" w:hAnsi="Verdana" w:cs="Arial"/>
                <w:lang w:val="es-ES"/>
              </w:rPr>
              <w:t>seguimiento</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contrato</w:t>
            </w:r>
            <w:r w:rsidRPr="000B0175">
              <w:rPr>
                <w:rFonts w:ascii="Verdana" w:eastAsia="Arial MT" w:hAnsi="Verdana" w:cs="Arial"/>
                <w:spacing w:val="1"/>
                <w:lang w:val="es-ES"/>
              </w:rPr>
              <w:t xml:space="preserve"> </w:t>
            </w:r>
            <w:r w:rsidRPr="000B0175">
              <w:rPr>
                <w:rFonts w:ascii="Verdana" w:eastAsia="Arial MT" w:hAnsi="Verdana" w:cs="Arial"/>
                <w:lang w:val="es-ES"/>
              </w:rPr>
              <w:t>y</w:t>
            </w:r>
            <w:r w:rsidRPr="000B0175">
              <w:rPr>
                <w:rFonts w:ascii="Verdana" w:eastAsia="Arial MT" w:hAnsi="Verdana" w:cs="Arial"/>
                <w:spacing w:val="1"/>
                <w:lang w:val="es-ES"/>
              </w:rPr>
              <w:t xml:space="preserve"> </w:t>
            </w:r>
            <w:r w:rsidRPr="000B0175">
              <w:rPr>
                <w:rFonts w:ascii="Verdana" w:eastAsia="Arial MT" w:hAnsi="Verdana" w:cs="Arial"/>
                <w:lang w:val="es-ES"/>
              </w:rPr>
              <w:t>apoyar</w:t>
            </w:r>
            <w:r w:rsidRPr="000B0175">
              <w:rPr>
                <w:rFonts w:ascii="Verdana" w:eastAsia="Arial MT" w:hAnsi="Verdana" w:cs="Arial"/>
                <w:spacing w:val="1"/>
                <w:lang w:val="es-ES"/>
              </w:rPr>
              <w:t xml:space="preserve"> </w:t>
            </w:r>
            <w:r w:rsidRPr="000B0175">
              <w:rPr>
                <w:rFonts w:ascii="Verdana" w:eastAsia="Arial MT" w:hAnsi="Verdana" w:cs="Arial"/>
                <w:lang w:val="es-ES"/>
              </w:rPr>
              <w:t>la</w:t>
            </w:r>
            <w:r w:rsidRPr="000B0175">
              <w:rPr>
                <w:rFonts w:ascii="Verdana" w:eastAsia="Arial MT" w:hAnsi="Verdana" w:cs="Arial"/>
                <w:spacing w:val="1"/>
                <w:lang w:val="es-ES"/>
              </w:rPr>
              <w:t xml:space="preserve"> </w:t>
            </w:r>
            <w:r w:rsidRPr="000B0175">
              <w:rPr>
                <w:rFonts w:ascii="Verdana" w:eastAsia="Arial MT" w:hAnsi="Verdana" w:cs="Arial"/>
                <w:lang w:val="es-ES"/>
              </w:rPr>
              <w:t>verificación</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cumplimiento,</w:t>
            </w:r>
            <w:r w:rsidRPr="000B0175">
              <w:rPr>
                <w:rFonts w:ascii="Verdana" w:eastAsia="Arial MT" w:hAnsi="Verdana" w:cs="Arial"/>
                <w:spacing w:val="1"/>
                <w:lang w:val="es-ES"/>
              </w:rPr>
              <w:t xml:space="preserve"> </w:t>
            </w:r>
            <w:r w:rsidRPr="000B0175">
              <w:rPr>
                <w:rFonts w:ascii="Verdana" w:eastAsia="Arial MT" w:hAnsi="Verdana" w:cs="Arial"/>
                <w:lang w:val="es-ES"/>
              </w:rPr>
              <w:t>en</w:t>
            </w:r>
            <w:r w:rsidRPr="000B0175">
              <w:rPr>
                <w:rFonts w:ascii="Verdana" w:eastAsia="Arial MT" w:hAnsi="Verdana" w:cs="Arial"/>
                <w:spacing w:val="1"/>
                <w:lang w:val="es-ES"/>
              </w:rPr>
              <w:t xml:space="preserve"> </w:t>
            </w:r>
            <w:r w:rsidRPr="000B0175">
              <w:rPr>
                <w:rFonts w:ascii="Verdana" w:eastAsia="Arial MT" w:hAnsi="Verdana" w:cs="Arial"/>
                <w:lang w:val="es-ES"/>
              </w:rPr>
              <w:t>las</w:t>
            </w:r>
            <w:r w:rsidRPr="000B0175">
              <w:rPr>
                <w:rFonts w:ascii="Verdana" w:eastAsia="Arial MT" w:hAnsi="Verdana" w:cs="Arial"/>
                <w:spacing w:val="1"/>
                <w:lang w:val="es-ES"/>
              </w:rPr>
              <w:t xml:space="preserve"> </w:t>
            </w:r>
            <w:r w:rsidRPr="000B0175">
              <w:rPr>
                <w:rFonts w:ascii="Verdana" w:eastAsia="Arial MT" w:hAnsi="Verdana" w:cs="Arial"/>
                <w:lang w:val="es-ES"/>
              </w:rPr>
              <w:t>condiciones</w:t>
            </w:r>
            <w:r w:rsidRPr="000B0175">
              <w:rPr>
                <w:rFonts w:ascii="Verdana" w:eastAsia="Arial MT" w:hAnsi="Verdana" w:cs="Arial"/>
                <w:spacing w:val="1"/>
                <w:lang w:val="es-ES"/>
              </w:rPr>
              <w:t xml:space="preserve"> </w:t>
            </w:r>
            <w:r w:rsidRPr="000B0175">
              <w:rPr>
                <w:rFonts w:ascii="Verdana" w:eastAsia="Arial MT" w:hAnsi="Verdana" w:cs="Arial"/>
                <w:spacing w:val="-1"/>
                <w:lang w:val="es-ES"/>
              </w:rPr>
              <w:t>establecidas</w:t>
            </w:r>
            <w:r w:rsidRPr="000B0175">
              <w:rPr>
                <w:rFonts w:ascii="Verdana" w:eastAsia="Arial MT" w:hAnsi="Verdana" w:cs="Arial"/>
                <w:spacing w:val="-10"/>
                <w:lang w:val="es-ES"/>
              </w:rPr>
              <w:t xml:space="preserve"> </w:t>
            </w:r>
            <w:r w:rsidRPr="000B0175">
              <w:rPr>
                <w:rFonts w:ascii="Verdana" w:eastAsia="Arial MT" w:hAnsi="Verdana" w:cs="Arial"/>
                <w:lang w:val="es-ES"/>
              </w:rPr>
              <w:t>en</w:t>
            </w:r>
            <w:r w:rsidRPr="000B0175">
              <w:rPr>
                <w:rFonts w:ascii="Verdana" w:eastAsia="Arial MT" w:hAnsi="Verdana" w:cs="Arial"/>
                <w:spacing w:val="-13"/>
                <w:lang w:val="es-ES"/>
              </w:rPr>
              <w:t xml:space="preserve"> </w:t>
            </w:r>
            <w:r w:rsidRPr="000B0175">
              <w:rPr>
                <w:rFonts w:ascii="Verdana" w:eastAsia="Arial MT" w:hAnsi="Verdana" w:cs="Arial"/>
                <w:lang w:val="es-ES"/>
              </w:rPr>
              <w:t>el</w:t>
            </w:r>
            <w:r w:rsidRPr="000B0175">
              <w:rPr>
                <w:rFonts w:ascii="Verdana" w:eastAsia="Arial MT" w:hAnsi="Verdana" w:cs="Arial"/>
                <w:spacing w:val="-11"/>
                <w:lang w:val="es-ES"/>
              </w:rPr>
              <w:t xml:space="preserve"> </w:t>
            </w:r>
            <w:r w:rsidRPr="000B0175">
              <w:rPr>
                <w:rFonts w:ascii="Verdana" w:eastAsia="Arial MT" w:hAnsi="Verdana" w:cs="Arial"/>
                <w:lang w:val="es-ES"/>
              </w:rPr>
              <w:t>contrato</w:t>
            </w:r>
            <w:r w:rsidRPr="000B0175">
              <w:rPr>
                <w:rFonts w:ascii="Verdana" w:eastAsia="Arial MT" w:hAnsi="Verdana" w:cs="Arial"/>
                <w:spacing w:val="-10"/>
                <w:lang w:val="es-ES"/>
              </w:rPr>
              <w:t xml:space="preserve"> </w:t>
            </w:r>
            <w:r w:rsidRPr="000B0175">
              <w:rPr>
                <w:rFonts w:ascii="Verdana" w:eastAsia="Arial MT" w:hAnsi="Verdana" w:cs="Arial"/>
                <w:lang w:val="es-ES"/>
              </w:rPr>
              <w:t>vigilado,</w:t>
            </w:r>
            <w:r w:rsidRPr="000B0175">
              <w:rPr>
                <w:rFonts w:ascii="Verdana" w:eastAsia="Arial MT" w:hAnsi="Verdana" w:cs="Arial"/>
                <w:spacing w:val="-12"/>
                <w:lang w:val="es-ES"/>
              </w:rPr>
              <w:t xml:space="preserve"> </w:t>
            </w:r>
            <w:r w:rsidRPr="000B0175">
              <w:rPr>
                <w:rFonts w:ascii="Verdana" w:eastAsia="Arial MT" w:hAnsi="Verdana" w:cs="Arial"/>
                <w:lang w:val="es-ES"/>
              </w:rPr>
              <w:t>sin</w:t>
            </w:r>
            <w:r w:rsidRPr="000B0175">
              <w:rPr>
                <w:rFonts w:ascii="Verdana" w:eastAsia="Arial MT" w:hAnsi="Verdana" w:cs="Arial"/>
                <w:spacing w:val="-12"/>
                <w:lang w:val="es-ES"/>
              </w:rPr>
              <w:t xml:space="preserve"> </w:t>
            </w:r>
            <w:r w:rsidRPr="000B0175">
              <w:rPr>
                <w:rFonts w:ascii="Verdana" w:eastAsia="Arial MT" w:hAnsi="Verdana" w:cs="Arial"/>
                <w:lang w:val="es-ES"/>
              </w:rPr>
              <w:t>que</w:t>
            </w:r>
            <w:r w:rsidRPr="000B0175">
              <w:rPr>
                <w:rFonts w:ascii="Verdana" w:eastAsia="Arial MT" w:hAnsi="Verdana" w:cs="Arial"/>
                <w:spacing w:val="-13"/>
                <w:lang w:val="es-ES"/>
              </w:rPr>
              <w:t xml:space="preserve"> </w:t>
            </w:r>
            <w:r w:rsidRPr="000B0175">
              <w:rPr>
                <w:rFonts w:ascii="Verdana" w:eastAsia="Arial MT" w:hAnsi="Verdana" w:cs="Arial"/>
                <w:lang w:val="es-ES"/>
              </w:rPr>
              <w:t>implique</w:t>
            </w:r>
            <w:r w:rsidRPr="000B0175">
              <w:rPr>
                <w:rFonts w:ascii="Verdana" w:eastAsia="Arial MT" w:hAnsi="Verdana" w:cs="Arial"/>
                <w:spacing w:val="-15"/>
                <w:lang w:val="es-ES"/>
              </w:rPr>
              <w:t xml:space="preserve"> </w:t>
            </w:r>
            <w:r w:rsidRPr="000B0175">
              <w:rPr>
                <w:rFonts w:ascii="Verdana" w:eastAsia="Arial MT" w:hAnsi="Verdana" w:cs="Arial"/>
                <w:lang w:val="es-ES"/>
              </w:rPr>
              <w:t>que</w:t>
            </w:r>
            <w:r w:rsidRPr="000B0175">
              <w:rPr>
                <w:rFonts w:ascii="Verdana" w:eastAsia="Arial MT" w:hAnsi="Verdana" w:cs="Arial"/>
                <w:spacing w:val="-10"/>
                <w:lang w:val="es-ES"/>
              </w:rPr>
              <w:t xml:space="preserve"> </w:t>
            </w:r>
            <w:r w:rsidRPr="000B0175">
              <w:rPr>
                <w:rFonts w:ascii="Verdana" w:eastAsia="Arial MT" w:hAnsi="Verdana" w:cs="Arial"/>
                <w:lang w:val="es-ES"/>
              </w:rPr>
              <w:t>asuma</w:t>
            </w:r>
            <w:r w:rsidRPr="000B0175">
              <w:rPr>
                <w:rFonts w:ascii="Verdana" w:eastAsia="Arial MT" w:hAnsi="Verdana" w:cs="Arial"/>
                <w:spacing w:val="-12"/>
                <w:lang w:val="es-ES"/>
              </w:rPr>
              <w:t xml:space="preserve"> </w:t>
            </w:r>
            <w:r w:rsidRPr="000B0175">
              <w:rPr>
                <w:rFonts w:ascii="Verdana" w:eastAsia="Arial MT" w:hAnsi="Verdana" w:cs="Arial"/>
                <w:lang w:val="es-ES"/>
              </w:rPr>
              <w:t>directamente</w:t>
            </w:r>
            <w:r w:rsidRPr="000B0175">
              <w:rPr>
                <w:rFonts w:ascii="Verdana" w:eastAsia="Arial MT" w:hAnsi="Verdana" w:cs="Arial"/>
                <w:spacing w:val="-10"/>
                <w:lang w:val="es-ES"/>
              </w:rPr>
              <w:t xml:space="preserve"> </w:t>
            </w:r>
            <w:r w:rsidRPr="000B0175">
              <w:rPr>
                <w:rFonts w:ascii="Verdana" w:eastAsia="Arial MT" w:hAnsi="Verdana" w:cs="Arial"/>
                <w:lang w:val="es-ES"/>
              </w:rPr>
              <w:t>la</w:t>
            </w:r>
            <w:r w:rsidRPr="000B0175">
              <w:rPr>
                <w:rFonts w:ascii="Verdana" w:eastAsia="Arial MT" w:hAnsi="Verdana" w:cs="Arial"/>
                <w:spacing w:val="-13"/>
                <w:lang w:val="es-ES"/>
              </w:rPr>
              <w:t xml:space="preserve"> </w:t>
            </w:r>
            <w:r w:rsidRPr="000B0175">
              <w:rPr>
                <w:rFonts w:ascii="Verdana" w:eastAsia="Arial MT" w:hAnsi="Verdana" w:cs="Arial"/>
                <w:lang w:val="es-ES"/>
              </w:rPr>
              <w:t>supervisión.</w:t>
            </w:r>
            <w:r w:rsidRPr="000B0175">
              <w:rPr>
                <w:rFonts w:ascii="Verdana" w:eastAsia="Arial MT" w:hAnsi="Verdana" w:cs="Arial"/>
                <w:spacing w:val="-59"/>
                <w:lang w:val="es-ES"/>
              </w:rPr>
              <w:t xml:space="preserve"> </w:t>
            </w:r>
            <w:r w:rsidRPr="000B0175">
              <w:rPr>
                <w:rFonts w:ascii="Verdana" w:eastAsia="Arial MT" w:hAnsi="Verdana" w:cs="Arial"/>
                <w:lang w:val="es-ES"/>
              </w:rPr>
              <w:t>Así,</w:t>
            </w:r>
            <w:r w:rsidRPr="000B0175">
              <w:rPr>
                <w:rFonts w:ascii="Verdana" w:eastAsia="Arial MT" w:hAnsi="Verdana" w:cs="Arial"/>
                <w:spacing w:val="1"/>
                <w:lang w:val="es-ES"/>
              </w:rPr>
              <w:t xml:space="preserve"> </w:t>
            </w:r>
            <w:r w:rsidRPr="000B0175">
              <w:rPr>
                <w:rFonts w:ascii="Verdana" w:eastAsia="Arial MT" w:hAnsi="Verdana" w:cs="Arial"/>
                <w:lang w:val="es-ES"/>
              </w:rPr>
              <w:t>por</w:t>
            </w:r>
            <w:r w:rsidRPr="000B0175">
              <w:rPr>
                <w:rFonts w:ascii="Verdana" w:eastAsia="Arial MT" w:hAnsi="Verdana" w:cs="Arial"/>
                <w:spacing w:val="1"/>
                <w:lang w:val="es-ES"/>
              </w:rPr>
              <w:t xml:space="preserve"> </w:t>
            </w:r>
            <w:r w:rsidRPr="000B0175">
              <w:rPr>
                <w:rFonts w:ascii="Verdana" w:eastAsia="Arial MT" w:hAnsi="Verdana" w:cs="Arial"/>
                <w:lang w:val="es-ES"/>
              </w:rPr>
              <w:t>ejemplo,</w:t>
            </w:r>
            <w:r w:rsidRPr="000B0175">
              <w:rPr>
                <w:rFonts w:ascii="Verdana" w:eastAsia="Arial MT" w:hAnsi="Verdana" w:cs="Arial"/>
                <w:spacing w:val="1"/>
                <w:lang w:val="es-ES"/>
              </w:rPr>
              <w:t xml:space="preserve">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w:t>
            </w:r>
            <w:r w:rsidRPr="000B0175">
              <w:rPr>
                <w:rFonts w:ascii="Verdana" w:eastAsia="Arial MT" w:hAnsi="Verdana" w:cs="Arial"/>
                <w:spacing w:val="1"/>
                <w:lang w:val="es-ES"/>
              </w:rPr>
              <w:lastRenderedPageBreak/>
              <w:t xml:space="preserve">supervisión, sin que implique asumir decisiones definitivas frente a la entidad estatal. </w:t>
            </w:r>
          </w:p>
          <w:p w14:paraId="1AB95887" w14:textId="25B1165C" w:rsidR="00ED2656" w:rsidRPr="000B0175" w:rsidRDefault="00ED2656" w:rsidP="00DC7B3A">
            <w:pPr>
              <w:tabs>
                <w:tab w:val="left" w:pos="0"/>
              </w:tabs>
              <w:spacing w:after="120" w:line="276" w:lineRule="auto"/>
              <w:jc w:val="both"/>
              <w:rPr>
                <w:rFonts w:ascii="Verdana" w:eastAsia="Calibri" w:hAnsi="Verdana" w:cs="Arial"/>
                <w:bCs/>
                <w:color w:val="000000" w:themeColor="text1"/>
              </w:rPr>
            </w:pPr>
            <w:r w:rsidRPr="000B0175">
              <w:rPr>
                <w:rFonts w:ascii="Verdana" w:eastAsia="Calibri" w:hAnsi="Verdana" w:cs="Arial"/>
                <w:bCs/>
                <w:color w:val="000000" w:themeColor="text1"/>
                <w:lang w:val="es-ES"/>
              </w:rPr>
              <w:tab/>
              <w:t xml:space="preserve">Es de resaltar pues, que los </w:t>
            </w:r>
            <w:r w:rsidRPr="000B0175">
              <w:rPr>
                <w:rFonts w:ascii="Verdana" w:eastAsia="Calibri" w:hAnsi="Verdana" w:cs="Arial"/>
                <w:bCs/>
                <w:color w:val="000000" w:themeColor="text1"/>
              </w:rPr>
              <w:t>contratistas de prestación de servicios</w:t>
            </w:r>
            <w:r w:rsidR="00E77230">
              <w:rPr>
                <w:rFonts w:ascii="Verdana" w:eastAsia="Calibri" w:hAnsi="Verdana" w:cs="Arial"/>
                <w:bCs/>
                <w:color w:val="000000" w:themeColor="text1"/>
              </w:rPr>
              <w:t xml:space="preserve"> </w:t>
            </w:r>
            <w:r w:rsidRPr="000B0175">
              <w:rPr>
                <w:rFonts w:ascii="Verdana" w:eastAsia="Calibri" w:hAnsi="Verdana" w:cs="Arial"/>
                <w:bCs/>
                <w:color w:val="000000" w:themeColor="text1"/>
              </w:rPr>
              <w:t>son particulares que cumplen funciones públicas, ya que su vinculación con el Estado tiene un carácter eminentemente contractual y auxiliar, orientado a apoyar la administración o el funcionamiento de la entidad sin asumir funciones administrativas para efectos de responsabilidad. De este modo, los particulares que desempeñan funciones públicas no se contemplan a los contratistas de prestación de servicios, sino que están los notarios, los interventores y los auxiliares de justicia. Los notarios dan fe pública y garantizan la seguridad jurídica; los interventores ejercen funciones de control y vigilancia sobre la ejecución contractual; y los auxiliares de la justicia colaboran con la administración de justicia. En estos casos, la ley traslada de manera expresa una función pública, lo que implica un mayor nivel de responsabilidad y sujeción a principios propios del ejercicio de autoridad pública.</w:t>
            </w:r>
          </w:p>
          <w:p w14:paraId="5385F594" w14:textId="77777777" w:rsidR="00ED2656" w:rsidRPr="000B0175" w:rsidRDefault="00ED2656" w:rsidP="00DC7B3A">
            <w:pPr>
              <w:widowControl w:val="0"/>
              <w:autoSpaceDE w:val="0"/>
              <w:autoSpaceDN w:val="0"/>
              <w:spacing w:after="120" w:line="276" w:lineRule="auto"/>
              <w:ind w:right="113" w:firstLine="709"/>
              <w:jc w:val="both"/>
              <w:rPr>
                <w:rFonts w:ascii="Verdana" w:eastAsia="Arial MT" w:hAnsi="Verdana" w:cs="Arial MT"/>
                <w:lang w:val="es-ES"/>
              </w:rPr>
            </w:pPr>
            <w:r w:rsidRPr="000B0175">
              <w:rPr>
                <w:rFonts w:ascii="Verdana" w:eastAsia="Arial MT" w:hAnsi="Verdana" w:cs="Arial MT"/>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552B13FE" w14:textId="77777777" w:rsidR="00ED2656" w:rsidRPr="000B0175" w:rsidRDefault="00ED2656" w:rsidP="00DC7B3A">
            <w:pPr>
              <w:spacing w:after="120" w:line="276" w:lineRule="auto"/>
              <w:ind w:firstLine="708"/>
              <w:jc w:val="both"/>
              <w:rPr>
                <w:rFonts w:ascii="Verdana" w:eastAsia="Calibri" w:hAnsi="Verdana" w:cs="Arial"/>
                <w:bCs/>
                <w:color w:val="000000" w:themeColor="text1"/>
              </w:rPr>
            </w:pPr>
            <w:r w:rsidRPr="000B0175">
              <w:rPr>
                <w:rFonts w:ascii="Verdana" w:eastAsia="Calibri" w:hAnsi="Verdana" w:cs="Arial"/>
                <w:bCs/>
                <w:color w:val="000000" w:themeColor="text1"/>
              </w:rPr>
              <w:t xml:space="preserve">Dentro de este marco, el consultante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666C9CF4" w14:textId="7E6769AF" w:rsidR="00ED2656" w:rsidRDefault="00ED2656" w:rsidP="00ED2656">
      <w:pPr>
        <w:spacing w:after="0" w:line="276" w:lineRule="auto"/>
        <w:rPr>
          <w:rFonts w:ascii="Verdana" w:eastAsia="Calibri" w:hAnsi="Verdana" w:cs="Times New Roman"/>
          <w:b/>
          <w:bCs/>
          <w:lang w:val="es-ES"/>
        </w:rPr>
      </w:pPr>
    </w:p>
    <w:p w14:paraId="604E4CF1" w14:textId="77777777" w:rsidR="00E64A5A" w:rsidRPr="000B0175" w:rsidRDefault="00E64A5A" w:rsidP="00ED2656">
      <w:pPr>
        <w:spacing w:after="0" w:line="276" w:lineRule="auto"/>
        <w:rPr>
          <w:rFonts w:ascii="Verdana" w:eastAsia="Calibri" w:hAnsi="Verdana" w:cs="Times New Roman"/>
          <w:b/>
          <w:bCs/>
          <w:lang w:val="es-ES"/>
        </w:rPr>
      </w:pPr>
    </w:p>
    <w:p w14:paraId="6FCE1D85" w14:textId="77777777" w:rsidR="00ED2656" w:rsidRPr="000B0175" w:rsidRDefault="00ED2656" w:rsidP="00ED2656">
      <w:pPr>
        <w:spacing w:after="0" w:line="276" w:lineRule="auto"/>
        <w:rPr>
          <w:rFonts w:ascii="Verdana" w:eastAsia="Calibri" w:hAnsi="Verdana" w:cs="Times New Roman"/>
          <w:b/>
          <w:bCs/>
          <w:lang w:val="es-ES"/>
        </w:rPr>
      </w:pPr>
      <w:r w:rsidRPr="000B0175">
        <w:rPr>
          <w:rFonts w:ascii="Verdana" w:eastAsia="Calibri" w:hAnsi="Verdana" w:cs="Times New Roman"/>
          <w:b/>
          <w:bCs/>
          <w:lang w:val="es-ES"/>
        </w:rPr>
        <w:lastRenderedPageBreak/>
        <w:t>III. Razones de la respuesta:</w:t>
      </w:r>
    </w:p>
    <w:p w14:paraId="514F7233" w14:textId="77777777" w:rsidR="00ED2656" w:rsidRPr="000B0175" w:rsidRDefault="00ED2656" w:rsidP="00ED2656">
      <w:pPr>
        <w:spacing w:after="0" w:line="276" w:lineRule="auto"/>
        <w:rPr>
          <w:rFonts w:ascii="Verdana" w:eastAsia="Calibri" w:hAnsi="Verdana" w:cs="Times New Roman"/>
          <w:b/>
          <w:bCs/>
          <w:lang w:val="es-ES"/>
        </w:rPr>
      </w:pPr>
    </w:p>
    <w:p w14:paraId="6FDCE42B" w14:textId="77777777" w:rsidR="00ED2656" w:rsidRPr="000B0175" w:rsidRDefault="00ED2656" w:rsidP="00ED2656">
      <w:pPr>
        <w:spacing w:after="0" w:line="276" w:lineRule="auto"/>
        <w:jc w:val="both"/>
        <w:rPr>
          <w:rFonts w:ascii="Verdana" w:eastAsia="Calibri" w:hAnsi="Verdana" w:cs="Arial"/>
          <w:lang w:val="es-ES"/>
        </w:rPr>
      </w:pPr>
      <w:r w:rsidRPr="000B0175">
        <w:rPr>
          <w:rFonts w:ascii="Verdana" w:eastAsia="Calibri" w:hAnsi="Verdana" w:cs="Arial"/>
          <w:lang w:val="es-ES"/>
        </w:rPr>
        <w:t xml:space="preserve">Lo anterior se sustenta en las siguientes consideraciones: </w:t>
      </w:r>
    </w:p>
    <w:p w14:paraId="082A3711" w14:textId="77777777" w:rsidR="00ED2656" w:rsidRPr="000B0175" w:rsidRDefault="00ED2656" w:rsidP="00ED2656">
      <w:pPr>
        <w:spacing w:after="0" w:line="276" w:lineRule="auto"/>
        <w:jc w:val="both"/>
        <w:rPr>
          <w:rFonts w:ascii="Verdana" w:eastAsia="Calibri" w:hAnsi="Verdana" w:cs="Arial"/>
          <w:lang w:val="es-MX"/>
        </w:rPr>
      </w:pPr>
    </w:p>
    <w:p w14:paraId="568F3AF3" w14:textId="77777777" w:rsidR="00ED2656" w:rsidRPr="000B0175" w:rsidRDefault="00ED2656" w:rsidP="00ED2656">
      <w:pPr>
        <w:spacing w:after="0" w:line="276" w:lineRule="auto"/>
        <w:jc w:val="both"/>
        <w:rPr>
          <w:rFonts w:ascii="Verdana" w:eastAsia="Calibri" w:hAnsi="Verdana" w:cs="Arial"/>
          <w:color w:val="000000"/>
        </w:rPr>
      </w:pPr>
      <w:r w:rsidRPr="000B0175">
        <w:rPr>
          <w:rFonts w:ascii="Verdana" w:eastAsia="Calibri" w:hAnsi="Verdana" w:cs="Arial"/>
          <w:lang w:val="es-ES"/>
        </w:rPr>
        <w:t>i.</w:t>
      </w:r>
      <w:r w:rsidRPr="000B0175">
        <w:rPr>
          <w:rFonts w:ascii="Verdana" w:hAnsi="Verdana" w:cs="Arial"/>
          <w:color w:val="000000" w:themeColor="text1"/>
          <w:lang w:val="es-ES"/>
        </w:rPr>
        <w:t xml:space="preserve"> </w:t>
      </w:r>
      <w:r w:rsidRPr="000B0175">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4FD569D2" w14:textId="77777777" w:rsidR="00ED2656" w:rsidRPr="000B0175" w:rsidRDefault="00ED2656" w:rsidP="00ED2656">
      <w:pPr>
        <w:spacing w:after="0" w:line="276" w:lineRule="auto"/>
        <w:jc w:val="both"/>
        <w:rPr>
          <w:rFonts w:ascii="Verdana" w:eastAsia="Calibri" w:hAnsi="Verdana" w:cs="Arial"/>
          <w:color w:val="000000"/>
        </w:rPr>
      </w:pPr>
    </w:p>
    <w:p w14:paraId="49498C8F"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5A219AD"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p>
    <w:p w14:paraId="56BFBF83"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En ningún caso estos contratos generan relación laboral ni prestaciones sociales y se celebrarán por el término estrictamente indispensable”.</w:t>
      </w:r>
    </w:p>
    <w:p w14:paraId="1522F13D" w14:textId="77777777" w:rsidR="00ED2656" w:rsidRPr="000B0175" w:rsidRDefault="00ED2656" w:rsidP="00ED2656">
      <w:pPr>
        <w:tabs>
          <w:tab w:val="left" w:pos="284"/>
        </w:tabs>
        <w:spacing w:after="0" w:line="276" w:lineRule="auto"/>
        <w:contextualSpacing/>
        <w:jc w:val="both"/>
        <w:rPr>
          <w:rFonts w:ascii="Verdana" w:eastAsia="Calibri" w:hAnsi="Verdana" w:cs="Arial"/>
          <w:b/>
          <w:color w:val="000000"/>
        </w:rPr>
      </w:pPr>
    </w:p>
    <w:p w14:paraId="788D732B" w14:textId="77777777" w:rsidR="00ED2656" w:rsidRPr="000B0175" w:rsidRDefault="00ED2656" w:rsidP="00ED2656">
      <w:pPr>
        <w:spacing w:after="0" w:line="276" w:lineRule="auto"/>
        <w:ind w:firstLine="709"/>
        <w:jc w:val="both"/>
        <w:rPr>
          <w:rFonts w:ascii="Verdana" w:eastAsia="Calibri" w:hAnsi="Verdana" w:cs="Arial"/>
          <w:color w:val="000000"/>
        </w:rPr>
      </w:pPr>
      <w:r w:rsidRPr="000B0175">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658839CC" w14:textId="77777777" w:rsidR="00ED2656" w:rsidRPr="000B0175" w:rsidRDefault="00ED2656" w:rsidP="00ED2656">
      <w:pPr>
        <w:spacing w:after="0" w:line="276" w:lineRule="auto"/>
        <w:ind w:firstLine="709"/>
        <w:jc w:val="both"/>
        <w:rPr>
          <w:rFonts w:ascii="Verdana" w:eastAsia="Calibri" w:hAnsi="Verdana" w:cs="Arial"/>
          <w:color w:val="000000"/>
        </w:rPr>
      </w:pPr>
    </w:p>
    <w:p w14:paraId="361E26A5"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w:t>
      </w:r>
    </w:p>
    <w:p w14:paraId="3DBD521F"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Contratación directa. La modalidad de selección de contratación directa, solamente procederá en los siguientes casos:</w:t>
      </w:r>
    </w:p>
    <w:p w14:paraId="2304425C"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w:t>
      </w:r>
    </w:p>
    <w:p w14:paraId="757287C1" w14:textId="77777777" w:rsidR="00ED2656" w:rsidRPr="000B0175" w:rsidRDefault="00ED2656" w:rsidP="00ED2656">
      <w:pPr>
        <w:spacing w:after="0" w:line="240" w:lineRule="auto"/>
        <w:ind w:left="709" w:right="709"/>
        <w:jc w:val="both"/>
        <w:rPr>
          <w:rFonts w:ascii="Verdana" w:eastAsia="Calibri" w:hAnsi="Verdana" w:cs="Arial"/>
          <w:color w:val="000000"/>
          <w:sz w:val="20"/>
          <w:szCs w:val="20"/>
        </w:rPr>
      </w:pPr>
      <w:r w:rsidRPr="000B0175">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p>
    <w:p w14:paraId="45CEEA21" w14:textId="77777777" w:rsidR="00ED2656" w:rsidRPr="000B0175" w:rsidRDefault="00ED2656" w:rsidP="00ED2656">
      <w:pPr>
        <w:spacing w:after="0" w:line="276" w:lineRule="auto"/>
        <w:ind w:right="709"/>
        <w:jc w:val="both"/>
        <w:rPr>
          <w:rFonts w:ascii="Verdana" w:eastAsia="Calibri" w:hAnsi="Verdana" w:cs="Arial"/>
          <w:color w:val="000000"/>
        </w:rPr>
      </w:pPr>
    </w:p>
    <w:p w14:paraId="2DF8C6EF"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3BF49B96"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32019E63"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lastRenderedPageBreak/>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03260E17"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c) Si bien se celebran para obtener la prestación personal de un servicio, se diferencian del contrato de trabajo</w:t>
      </w:r>
      <w:r w:rsidRPr="000B0175">
        <w:rPr>
          <w:rFonts w:ascii="Verdana" w:eastAsia="Calibri" w:hAnsi="Verdana" w:cs="Arial"/>
          <w:color w:val="000000"/>
          <w:vertAlign w:val="superscript"/>
        </w:rPr>
        <w:footnoteReference w:id="1"/>
      </w:r>
      <w:r w:rsidRPr="000B0175">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0B0175">
        <w:rPr>
          <w:rFonts w:ascii="Verdana" w:eastAsia="Calibri" w:hAnsi="Verdana" w:cs="Arial"/>
          <w:i/>
          <w:color w:val="000000"/>
        </w:rPr>
        <w:t>subordinación y dependencia</w:t>
      </w:r>
      <w:r w:rsidRPr="000B0175">
        <w:rPr>
          <w:rFonts w:ascii="Verdana" w:eastAsia="Calibri" w:hAnsi="Verdana" w:cs="Arial"/>
          <w:iCs/>
          <w:color w:val="000000"/>
        </w:rPr>
        <w:t>,</w:t>
      </w:r>
      <w:r w:rsidRPr="000B0175">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0B0175">
        <w:rPr>
          <w:rFonts w:ascii="Verdana" w:eastAsia="Calibri" w:hAnsi="Verdana" w:cs="Arial"/>
          <w:i/>
          <w:color w:val="000000"/>
        </w:rPr>
        <w:t>no pueden</w:t>
      </w:r>
      <w:r w:rsidRPr="000B0175">
        <w:rPr>
          <w:rFonts w:ascii="Verdana" w:eastAsia="Calibri" w:hAnsi="Verdana" w:cs="Arial"/>
          <w:color w:val="000000"/>
        </w:rPr>
        <w:t xml:space="preserve"> generar relación laboral, ni dar lugar a que las entidades estatales paguen por su cuenta los aportes al Sistema de Seguridad Social Integral del contratista. </w:t>
      </w:r>
    </w:p>
    <w:p w14:paraId="65F73ED4"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 xml:space="preserve">Lo anterior por cuanto, según se indicó, en dichos contratos no puede existir subordinación ni dependencia. Así las cosas, la relación laboral está proscrita y es el contratista quien, como “trabajador independiente” –como lo califican las normas en materia de seguridad social– debe cotizar por su cuenta y riesgo al Sistema de Seguridad Social Integral. </w:t>
      </w:r>
    </w:p>
    <w:p w14:paraId="593226E1"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lastRenderedPageBreak/>
        <w:t xml:space="preserve">Pero es posible que, a pesar de este mandato deontológico, en la práctica surja la relación laboral, pues, como se sabe, el contrato de trabajo es un </w:t>
      </w:r>
      <w:r w:rsidRPr="000B0175">
        <w:rPr>
          <w:rFonts w:ascii="Verdana" w:eastAsia="Calibri" w:hAnsi="Verdana" w:cs="Arial"/>
          <w:i/>
          <w:color w:val="000000"/>
        </w:rPr>
        <w:t>contrato realidad</w:t>
      </w:r>
      <w:r w:rsidRPr="000B0175">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0B0175">
        <w:rPr>
          <w:rFonts w:ascii="Verdana" w:eastAsia="Calibri" w:hAnsi="Verdana" w:cs="Arial"/>
          <w:color w:val="000000"/>
          <w:vertAlign w:val="superscript"/>
        </w:rPr>
        <w:footnoteReference w:id="2"/>
      </w:r>
      <w:r w:rsidRPr="000B0175">
        <w:rPr>
          <w:rFonts w:ascii="Verdana" w:eastAsia="Calibri" w:hAnsi="Verdana" w:cs="Arial"/>
          <w:color w:val="000000"/>
        </w:rPr>
        <w:t xml:space="preserve">. </w:t>
      </w:r>
    </w:p>
    <w:p w14:paraId="740A6ABD"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0B0175">
        <w:rPr>
          <w:rFonts w:ascii="Verdana" w:eastAsia="Calibri" w:hAnsi="Verdana" w:cs="Arial"/>
          <w:color w:val="000000"/>
          <w:vertAlign w:val="superscript"/>
        </w:rPr>
        <w:footnoteReference w:id="3"/>
      </w:r>
      <w:r w:rsidRPr="000B0175">
        <w:rPr>
          <w:rFonts w:ascii="Verdana" w:eastAsia="Calibri" w:hAnsi="Verdana" w:cs="Arial"/>
          <w:color w:val="000000"/>
        </w:rPr>
        <w:t xml:space="preserve">. </w:t>
      </w:r>
    </w:p>
    <w:p w14:paraId="4EADCF2B"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De modo que, bajo la perspectiva indicada, se podría invocar la presunción de la existencia de una relación laboral; siendo contrario a uno de los aspectos más relevantes del contrato de prestación de servicio, la autonomía e independencia en la ejecución del mismo.</w:t>
      </w:r>
    </w:p>
    <w:p w14:paraId="7CF17DDB" w14:textId="77777777" w:rsidR="00ED2656" w:rsidRPr="000B0175" w:rsidRDefault="00ED2656" w:rsidP="00ED2656">
      <w:pPr>
        <w:spacing w:after="0" w:line="276" w:lineRule="auto"/>
        <w:ind w:firstLine="709"/>
        <w:jc w:val="both"/>
        <w:rPr>
          <w:rFonts w:ascii="Verdana" w:eastAsia="Calibri" w:hAnsi="Verdana" w:cs="Arial"/>
          <w:color w:val="000000"/>
        </w:rPr>
      </w:pPr>
      <w:r w:rsidRPr="000B0175">
        <w:rPr>
          <w:rFonts w:ascii="Verdana" w:eastAsia="Calibri" w:hAnsi="Verdana" w:cs="Arial"/>
          <w:color w:val="000000"/>
        </w:rPr>
        <w:t>d) Deben ser temporales. Así lo señaló la Corte Constitucional en la misma providencia a la que se aludió previamente, expresando que:</w:t>
      </w:r>
    </w:p>
    <w:p w14:paraId="57764793" w14:textId="77777777" w:rsidR="00ED2656" w:rsidRPr="000B0175" w:rsidRDefault="00ED2656" w:rsidP="00ED2656">
      <w:pPr>
        <w:spacing w:after="0" w:line="276" w:lineRule="auto"/>
        <w:ind w:firstLine="709"/>
        <w:jc w:val="both"/>
        <w:rPr>
          <w:rFonts w:ascii="Verdana" w:eastAsia="Calibri" w:hAnsi="Verdana" w:cs="Arial"/>
          <w:color w:val="000000"/>
        </w:rPr>
      </w:pPr>
    </w:p>
    <w:p w14:paraId="6FA4A68B" w14:textId="77777777" w:rsidR="00ED2656" w:rsidRPr="000B0175" w:rsidRDefault="00ED2656" w:rsidP="00ED2656">
      <w:pPr>
        <w:spacing w:after="0" w:line="240" w:lineRule="auto"/>
        <w:ind w:left="709" w:right="709"/>
        <w:jc w:val="both"/>
        <w:rPr>
          <w:rFonts w:ascii="Verdana" w:eastAsia="Calibri" w:hAnsi="Verdana" w:cs="Arial"/>
          <w:color w:val="000000"/>
          <w:sz w:val="21"/>
          <w:szCs w:val="21"/>
        </w:rPr>
      </w:pPr>
      <w:r w:rsidRPr="000B0175">
        <w:rPr>
          <w:rFonts w:ascii="Verdana" w:eastAsia="Calibri" w:hAnsi="Verdana" w:cs="Arial"/>
          <w:color w:val="000000"/>
          <w:sz w:val="20"/>
          <w:szCs w:val="20"/>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w:t>
      </w:r>
      <w:r w:rsidRPr="000B0175">
        <w:rPr>
          <w:rFonts w:ascii="Verdana" w:eastAsia="Calibri" w:hAnsi="Verdana" w:cs="Arial"/>
          <w:color w:val="000000"/>
          <w:sz w:val="20"/>
          <w:szCs w:val="20"/>
        </w:rPr>
        <w:lastRenderedPageBreak/>
        <w:t>Carta Política, según el cual se requiere que el empleo público quede contemplado en la respectiva planta y previstos sus emolumentos en el presupuesto correspondiente”</w:t>
      </w:r>
      <w:r w:rsidRPr="000B0175">
        <w:rPr>
          <w:rFonts w:ascii="Verdana" w:eastAsia="Calibri" w:hAnsi="Verdana" w:cs="Arial"/>
          <w:color w:val="000000"/>
          <w:sz w:val="21"/>
          <w:szCs w:val="21"/>
          <w:vertAlign w:val="superscript"/>
        </w:rPr>
        <w:footnoteReference w:id="4"/>
      </w:r>
      <w:r w:rsidRPr="000B0175">
        <w:rPr>
          <w:rFonts w:ascii="Verdana" w:eastAsia="Calibri" w:hAnsi="Verdana" w:cs="Arial"/>
          <w:color w:val="000000"/>
          <w:sz w:val="21"/>
          <w:szCs w:val="21"/>
        </w:rPr>
        <w:t>.</w:t>
      </w:r>
    </w:p>
    <w:p w14:paraId="1A962207" w14:textId="77777777" w:rsidR="00ED2656" w:rsidRPr="000B0175" w:rsidRDefault="00ED2656" w:rsidP="00ED2656">
      <w:pPr>
        <w:spacing w:after="0" w:line="240" w:lineRule="auto"/>
        <w:ind w:firstLine="709"/>
        <w:jc w:val="both"/>
        <w:rPr>
          <w:rFonts w:ascii="Verdana" w:eastAsia="Calibri" w:hAnsi="Verdana" w:cs="Arial"/>
          <w:color w:val="000000"/>
        </w:rPr>
      </w:pPr>
    </w:p>
    <w:p w14:paraId="0CA42004" w14:textId="77777777" w:rsidR="00ED2656" w:rsidRPr="000B0175" w:rsidRDefault="00ED2656" w:rsidP="00ED2656">
      <w:pPr>
        <w:spacing w:after="120" w:line="276" w:lineRule="auto"/>
        <w:ind w:firstLine="709"/>
        <w:jc w:val="both"/>
        <w:rPr>
          <w:rFonts w:ascii="Verdana" w:eastAsia="Calibri" w:hAnsi="Verdana" w:cs="Arial"/>
          <w:color w:val="000000"/>
          <w:sz w:val="21"/>
          <w:szCs w:val="21"/>
        </w:rPr>
      </w:pPr>
      <w:r w:rsidRPr="000B0175">
        <w:rPr>
          <w:rFonts w:ascii="Verdana" w:eastAsia="Calibri" w:hAnsi="Verdana" w:cs="Arial"/>
          <w:color w:val="000000"/>
        </w:rPr>
        <w:t xml:space="preserve">e) Los contratos de prestación de servicios profesionales hacen parte del género denominado </w:t>
      </w:r>
      <w:r w:rsidRPr="000B0175">
        <w:rPr>
          <w:rFonts w:ascii="Verdana" w:eastAsia="Calibri" w:hAnsi="Verdana" w:cs="Arial"/>
          <w:i/>
          <w:color w:val="000000"/>
        </w:rPr>
        <w:t>contratos de prestación de servicios</w:t>
      </w:r>
      <w:r w:rsidRPr="000B0175">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0B0175">
        <w:rPr>
          <w:rFonts w:ascii="Verdana" w:eastAsia="Calibri" w:hAnsi="Verdana" w:cs="Arial"/>
          <w:color w:val="000000"/>
          <w:vertAlign w:val="superscript"/>
        </w:rPr>
        <w:footnoteReference w:id="5"/>
      </w:r>
      <w:r w:rsidRPr="000B0175">
        <w:rPr>
          <w:rFonts w:ascii="Verdana" w:eastAsia="Calibri" w:hAnsi="Verdana" w:cs="Arial"/>
          <w:color w:val="000000"/>
        </w:rPr>
        <w:t xml:space="preserve">. </w:t>
      </w:r>
    </w:p>
    <w:p w14:paraId="0F6CF925"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si bien en ambos existe un componente intelectual, profesional e intangible, el objeto del contrato de consultoría es especial y debe celebrarse, por regla general, precedido de un concurso de méritos</w:t>
      </w:r>
      <w:r w:rsidRPr="000B0175">
        <w:rPr>
          <w:rFonts w:ascii="Verdana" w:eastAsia="Calibri" w:hAnsi="Verdana" w:cs="Arial"/>
          <w:color w:val="000000"/>
          <w:vertAlign w:val="superscript"/>
        </w:rPr>
        <w:footnoteReference w:id="6"/>
      </w:r>
      <w:r w:rsidRPr="000B0175">
        <w:rPr>
          <w:rFonts w:ascii="Verdana" w:eastAsia="Calibri" w:hAnsi="Verdana" w:cs="Arial"/>
          <w:color w:val="000000"/>
        </w:rPr>
        <w:t>.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p>
    <w:p w14:paraId="629EC30D"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lastRenderedPageBreak/>
        <w:t>g) Para su celebración no se requiere la expedición del acto administrativo de justificación de la contratación directa</w:t>
      </w:r>
      <w:r w:rsidRPr="000B0175">
        <w:rPr>
          <w:rFonts w:ascii="Verdana" w:eastAsia="Calibri" w:hAnsi="Verdana" w:cs="Arial"/>
          <w:color w:val="000000"/>
          <w:vertAlign w:val="superscript"/>
        </w:rPr>
        <w:footnoteReference w:id="7"/>
      </w:r>
      <w:r w:rsidRPr="000B0175">
        <w:rPr>
          <w:rFonts w:ascii="Verdana" w:eastAsia="Calibri" w:hAnsi="Verdana" w:cs="Arial"/>
          <w:color w:val="000000"/>
        </w:rPr>
        <w:t xml:space="preserve">. </w:t>
      </w:r>
    </w:p>
    <w:p w14:paraId="7FADB5EA"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0B0175">
        <w:rPr>
          <w:rFonts w:ascii="Verdana" w:eastAsia="Calibri" w:hAnsi="Verdana" w:cs="Arial"/>
          <w:color w:val="000000"/>
          <w:vertAlign w:val="superscript"/>
        </w:rPr>
        <w:footnoteReference w:id="8"/>
      </w:r>
      <w:r w:rsidRPr="000B0175">
        <w:rPr>
          <w:rFonts w:ascii="Verdana" w:eastAsia="Calibri" w:hAnsi="Verdana" w:cs="Arial"/>
          <w:color w:val="000000"/>
        </w:rPr>
        <w:t>.</w:t>
      </w:r>
    </w:p>
    <w:p w14:paraId="4628DD4D" w14:textId="77777777" w:rsidR="00ED2656" w:rsidRPr="000B0175" w:rsidRDefault="00ED2656" w:rsidP="00ED2656">
      <w:pPr>
        <w:spacing w:before="120" w:after="120" w:line="276" w:lineRule="auto"/>
        <w:ind w:firstLine="709"/>
        <w:jc w:val="both"/>
        <w:rPr>
          <w:rFonts w:ascii="Verdana" w:eastAsia="Calibri" w:hAnsi="Verdana" w:cs="Arial"/>
          <w:color w:val="000000"/>
        </w:rPr>
      </w:pPr>
      <w:r w:rsidRPr="000B0175">
        <w:rPr>
          <w:rFonts w:ascii="Verdana" w:eastAsia="Calibri" w:hAnsi="Verdana" w:cs="Arial"/>
          <w:color w:val="000000"/>
        </w:rPr>
        <w:t>i) En ellos no es obligatoria la liquidación, pues así lo estableció el artículo 217 del Decreto 019 de 2012, que modificó el artículo 60 de la Ley 80 de 1993</w:t>
      </w:r>
      <w:r w:rsidRPr="000B0175">
        <w:rPr>
          <w:rFonts w:ascii="Verdana" w:eastAsia="Calibri" w:hAnsi="Verdana" w:cs="Arial"/>
          <w:color w:val="000000"/>
          <w:vertAlign w:val="superscript"/>
        </w:rPr>
        <w:footnoteReference w:id="9"/>
      </w:r>
      <w:r w:rsidRPr="000B0175">
        <w:rPr>
          <w:rFonts w:ascii="Verdana" w:eastAsia="Calibri" w:hAnsi="Verdana" w:cs="Arial"/>
          <w:color w:val="000000"/>
        </w:rPr>
        <w:t xml:space="preserve">, </w:t>
      </w:r>
      <w:r w:rsidRPr="000B0175">
        <w:rPr>
          <w:rFonts w:ascii="Verdana" w:eastAsia="Calibri" w:hAnsi="Verdana" w:cs="Arial"/>
          <w:color w:val="000000"/>
          <w:lang w:val="es-ES" w:eastAsia="es-ES"/>
        </w:rPr>
        <w:t>refiriéndose expresamente a los contratos de prestación de servicios profesionales y de apoyo a la gestión.</w:t>
      </w:r>
    </w:p>
    <w:p w14:paraId="28BEA03A"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t>j) Para su celebración no se requiere inscripción en el Registro Único de Proponentes (RUP), según lo prevé el artículo 6 de la Ley 1150 de 2007</w:t>
      </w:r>
      <w:r w:rsidRPr="000B0175">
        <w:rPr>
          <w:rFonts w:ascii="Verdana" w:eastAsia="Calibri" w:hAnsi="Verdana" w:cs="Arial"/>
          <w:color w:val="000000"/>
          <w:vertAlign w:val="superscript"/>
        </w:rPr>
        <w:footnoteReference w:id="10"/>
      </w:r>
      <w:r w:rsidRPr="000B0175">
        <w:rPr>
          <w:rFonts w:ascii="Verdana" w:eastAsia="Calibri" w:hAnsi="Verdana" w:cs="Arial"/>
          <w:color w:val="000000"/>
        </w:rPr>
        <w:t>.</w:t>
      </w:r>
    </w:p>
    <w:p w14:paraId="34158EF6" w14:textId="77777777" w:rsidR="00ED2656" w:rsidRPr="000B0175" w:rsidRDefault="00ED2656" w:rsidP="00ED2656">
      <w:pPr>
        <w:spacing w:after="120" w:line="276" w:lineRule="auto"/>
        <w:ind w:firstLine="709"/>
        <w:jc w:val="both"/>
        <w:rPr>
          <w:rFonts w:ascii="Verdana" w:eastAsia="Calibri" w:hAnsi="Verdana" w:cs="Arial"/>
          <w:color w:val="000000"/>
        </w:rPr>
      </w:pPr>
      <w:r w:rsidRPr="000B0175">
        <w:rPr>
          <w:rFonts w:ascii="Verdana" w:eastAsia="Calibri" w:hAnsi="Verdana" w:cs="Arial"/>
          <w:color w:val="000000"/>
        </w:rPr>
        <w:lastRenderedPageBreak/>
        <w:t>k) En ellos no son necesarias las garantías</w:t>
      </w:r>
      <w:r w:rsidRPr="000B0175">
        <w:rPr>
          <w:rFonts w:ascii="Verdana" w:eastAsia="Calibri" w:hAnsi="Verdana" w:cs="Arial"/>
          <w:color w:val="000000"/>
          <w:vertAlign w:val="superscript"/>
        </w:rPr>
        <w:footnoteReference w:id="11"/>
      </w:r>
      <w:r w:rsidRPr="000B0175">
        <w:rPr>
          <w:rFonts w:ascii="Verdana" w:eastAsia="Calibri" w:hAnsi="Verdana" w:cs="Arial"/>
          <w:color w:val="000000"/>
        </w:rPr>
        <w:t>.</w:t>
      </w:r>
    </w:p>
    <w:p w14:paraId="3A1A4E8E" w14:textId="77777777" w:rsidR="00ED2656" w:rsidRPr="000B0175" w:rsidRDefault="00ED2656" w:rsidP="00ED2656">
      <w:pPr>
        <w:shd w:val="clear" w:color="auto" w:fill="FFFFFF"/>
        <w:spacing w:after="0" w:line="276" w:lineRule="auto"/>
        <w:ind w:firstLine="567"/>
        <w:jc w:val="both"/>
        <w:rPr>
          <w:rFonts w:ascii="Verdana" w:hAnsi="Verdana"/>
        </w:rPr>
      </w:pPr>
      <w:r w:rsidRPr="000B0175">
        <w:rPr>
          <w:rFonts w:ascii="Verdana" w:hAnsi="Verdana"/>
        </w:rPr>
        <w:t>De lo expuesto, se destaca una de las características que se destacaron atrás, que es la diferencia entre el contrato de prestación de servicios con el contrato laboral. Queda claro que la diferencia entre el contrato de prestación de servicios regulado por el numeral 3 del artículo 32 de la Ley 80 de 1993 y el contrato de carácter laboral radica esencialmente en el elemento de la subordinación o dependencia, en la medida en que, en el contrato de prestación de servicios, necesariamente, el contratista no puede tener frente a la Administración calidad diferente a la de contratista independiente sin derecho a prestaciones sociales. En contraste, en el evento en que se acredite la existencia de un trabajo subordinado o dependiente donde las entidades estatales contratantes adoptan una actitud con vocación a impartir órdenes a quien presta el servicio para que se efectúe la ejecución de la labor contratada o determina la fijación de horario de trabajo para la prestación del servicio, es claro que resultaría posible que se tipifique dicho negocio jurídico como un contrato laboral, circunstancia que haría que surgiera derecho al pago de prestaciones sociales.</w:t>
      </w:r>
    </w:p>
    <w:p w14:paraId="1E44799A" w14:textId="77777777" w:rsidR="00ED2656" w:rsidRPr="000B0175" w:rsidRDefault="00ED2656" w:rsidP="00ED2656">
      <w:pPr>
        <w:spacing w:after="0" w:line="276" w:lineRule="auto"/>
        <w:jc w:val="both"/>
        <w:rPr>
          <w:rFonts w:ascii="Verdana" w:hAnsi="Verdana" w:cs="Arial"/>
          <w:color w:val="000000" w:themeColor="text1"/>
          <w:lang w:val="es-ES"/>
        </w:rPr>
      </w:pPr>
      <w:bookmarkStart w:id="1" w:name="_Hlk213782318"/>
    </w:p>
    <w:p w14:paraId="43F9BE85" w14:textId="77777777" w:rsidR="00ED2656" w:rsidRPr="000B0175" w:rsidRDefault="00ED2656" w:rsidP="00ED2656">
      <w:pPr>
        <w:spacing w:after="0" w:line="276" w:lineRule="auto"/>
        <w:jc w:val="both"/>
        <w:rPr>
          <w:rFonts w:ascii="Verdana" w:eastAsia="Calibri" w:hAnsi="Verdana" w:cs="Arial"/>
          <w:bCs/>
        </w:rPr>
      </w:pPr>
      <w:r w:rsidRPr="000B0175">
        <w:rPr>
          <w:rFonts w:ascii="Verdana" w:hAnsi="Verdana" w:cs="Arial"/>
          <w:color w:val="000000" w:themeColor="text1"/>
          <w:lang w:val="es-ES"/>
        </w:rPr>
        <w:t xml:space="preserve">ii. </w:t>
      </w:r>
      <w:r w:rsidRPr="000B0175">
        <w:rPr>
          <w:rFonts w:ascii="Verdana" w:eastAsia="Calibri" w:hAnsi="Verdana" w:cs="Arial"/>
          <w:bCs/>
          <w:lang w:val="es-ES_tradnl"/>
        </w:rPr>
        <w:t>Para ello, se detalla que los contratistas de prestación de servicios no son considerados servidores públicos, con fundamento en el artículo 123 de la Constitución</w:t>
      </w:r>
      <w:r w:rsidRPr="000B0175">
        <w:rPr>
          <w:rFonts w:ascii="Verdana" w:eastAsia="Calibri" w:hAnsi="Verdana" w:cs="Arial"/>
          <w:bCs/>
          <w:vertAlign w:val="superscript"/>
          <w:lang w:val="es-ES_tradnl"/>
        </w:rPr>
        <w:footnoteReference w:id="12"/>
      </w:r>
      <w:r w:rsidRPr="000B0175">
        <w:rPr>
          <w:rFonts w:ascii="Verdana" w:eastAsia="Calibri" w:hAnsi="Verdana" w:cs="Arial"/>
          <w:bCs/>
          <w:lang w:val="es-ES_tradnl"/>
        </w:rPr>
        <w:t xml:space="preserve">, que define quiénes integran la categoría de servidores públicos: los miembros de corporaciones públicas, empleados y trabajadores del Estado, así como de sus entidades descentralizadas. Dicha clasificación de los servidores </w:t>
      </w:r>
      <w:r w:rsidRPr="000B0175">
        <w:rPr>
          <w:rFonts w:ascii="Verdana" w:eastAsia="Calibri" w:hAnsi="Verdana" w:cs="Arial"/>
          <w:bCs/>
          <w:lang w:val="es-ES_tradnl"/>
        </w:rPr>
        <w:lastRenderedPageBreak/>
        <w:t xml:space="preserve">públicos </w:t>
      </w:r>
      <w:r w:rsidRPr="000B0175">
        <w:rPr>
          <w:rFonts w:ascii="Verdana" w:eastAsia="Calibri" w:hAnsi="Verdana" w:cs="Arial"/>
          <w:bCs/>
        </w:rPr>
        <w:t>se remonta a la ley </w:t>
      </w:r>
      <w:hyperlink r:id="rId13" w:anchor="4" w:tooltip="vinculo" w:history="1">
        <w:r w:rsidRPr="000B0175">
          <w:rPr>
            <w:rFonts w:ascii="Verdana" w:eastAsia="Calibri" w:hAnsi="Verdana" w:cs="Arial"/>
            <w:bCs/>
          </w:rPr>
          <w:t>4</w:t>
        </w:r>
      </w:hyperlink>
      <w:r w:rsidRPr="000B0175">
        <w:rPr>
          <w:rFonts w:ascii="Verdana" w:eastAsia="Calibri" w:hAnsi="Verdana" w:cs="Arial"/>
          <w:bCs/>
        </w:rPr>
        <w:t>a de 1913, que basándose en el criterio finalista definió a los empleados públicos como los que tienen funciones administrativas y los trabajadores oficiales aquéllos que realizan las obras públicas y actividades industriales y comerciales del Estado. Al respecto, el Decreto </w:t>
      </w:r>
      <w:hyperlink r:id="rId14" w:anchor="3135" w:tooltip="vinculo" w:history="1">
        <w:r w:rsidRPr="000B0175">
          <w:rPr>
            <w:rFonts w:ascii="Verdana" w:eastAsia="Calibri" w:hAnsi="Verdana" w:cs="Arial"/>
            <w:bCs/>
          </w:rPr>
          <w:t>3135</w:t>
        </w:r>
      </w:hyperlink>
      <w:r w:rsidRPr="000B0175">
        <w:rPr>
          <w:rFonts w:ascii="Verdana" w:eastAsia="Calibri" w:hAnsi="Verdana" w:cs="Arial"/>
          <w:bCs/>
        </w:rPr>
        <w:t xml:space="preserve"> de 1968 siguió el criterio organicista para definir los empleados públicos y trabajadores oficiales: </w:t>
      </w:r>
    </w:p>
    <w:p w14:paraId="5F0EC949" w14:textId="77777777" w:rsidR="00ED2656" w:rsidRPr="000B0175" w:rsidRDefault="00ED2656" w:rsidP="00ED2656">
      <w:pPr>
        <w:spacing w:after="0" w:line="276" w:lineRule="auto"/>
        <w:jc w:val="both"/>
        <w:rPr>
          <w:rFonts w:ascii="Verdana" w:eastAsia="Calibri" w:hAnsi="Verdana" w:cs="Arial"/>
          <w:bCs/>
        </w:rPr>
      </w:pPr>
    </w:p>
    <w:p w14:paraId="554CCE9C" w14:textId="77777777" w:rsidR="00ED2656" w:rsidRPr="000B0175" w:rsidRDefault="00ED2656" w:rsidP="00ED2656">
      <w:pPr>
        <w:spacing w:after="0" w:line="240" w:lineRule="auto"/>
        <w:ind w:left="709" w:right="709"/>
        <w:jc w:val="both"/>
        <w:rPr>
          <w:rFonts w:ascii="Verdana" w:eastAsia="Calibri" w:hAnsi="Verdana" w:cs="Arial"/>
          <w:bCs/>
          <w:color w:val="000000" w:themeColor="text1"/>
          <w:sz w:val="20"/>
          <w:szCs w:val="20"/>
        </w:rPr>
      </w:pPr>
      <w:r w:rsidRPr="000B0175">
        <w:rPr>
          <w:rFonts w:ascii="Verdana" w:eastAsia="Calibri" w:hAnsi="Verdana" w:cs="Arial"/>
          <w:bCs/>
          <w:color w:val="000000" w:themeColor="text1"/>
          <w:sz w:val="20"/>
          <w:szCs w:val="20"/>
        </w:rPr>
        <w:t>Artículo 5º Empleados públicos y trabajadores oficiales. Las personas que presten sus servicios en los ministerios, departamentos administrativos, superintendencias y establecimientos públicos son empleados públicos; sin embargo, los trabajadores de la construcción y sostenimiento de obras públicas son trabajadores oficiales. En los estatutos de los establecimientos públicos se precisará qué actividades pueden ser desempeñadas por personas vinculadas mediante contrato de trabajo.</w:t>
      </w:r>
    </w:p>
    <w:p w14:paraId="7E9F0F62" w14:textId="77777777" w:rsidR="00ED2656" w:rsidRPr="000B0175" w:rsidRDefault="00ED2656" w:rsidP="00ED2656">
      <w:pPr>
        <w:spacing w:after="0" w:line="240" w:lineRule="auto"/>
        <w:ind w:left="709" w:right="709"/>
        <w:jc w:val="both"/>
        <w:rPr>
          <w:rFonts w:ascii="Verdana" w:eastAsia="Calibri" w:hAnsi="Verdana" w:cs="Arial"/>
          <w:bCs/>
          <w:color w:val="000000" w:themeColor="text1"/>
          <w:sz w:val="20"/>
          <w:szCs w:val="20"/>
        </w:rPr>
      </w:pPr>
    </w:p>
    <w:p w14:paraId="371E2534" w14:textId="77777777" w:rsidR="00ED2656" w:rsidRPr="000B0175" w:rsidRDefault="00ED2656" w:rsidP="00ED2656">
      <w:pPr>
        <w:spacing w:after="0" w:line="240" w:lineRule="auto"/>
        <w:ind w:left="709" w:right="709"/>
        <w:jc w:val="both"/>
        <w:rPr>
          <w:rFonts w:ascii="Verdana" w:eastAsia="Calibri" w:hAnsi="Verdana" w:cs="Arial"/>
          <w:bCs/>
          <w:color w:val="000000" w:themeColor="text1"/>
          <w:sz w:val="20"/>
          <w:szCs w:val="20"/>
        </w:rPr>
      </w:pPr>
      <w:r w:rsidRPr="000B0175">
        <w:rPr>
          <w:rFonts w:ascii="Verdana" w:eastAsia="Calibri" w:hAnsi="Verdana" w:cs="Arial"/>
          <w:bCs/>
          <w:color w:val="000000" w:themeColor="text1"/>
          <w:sz w:val="20"/>
          <w:szCs w:val="20"/>
        </w:rPr>
        <w:t>Las personas que prestan sus servicios en las empresas industriales y comerciales del Estado son trabajadores oficiales; sin embargo, los estatutos de dichas empresas precisarán qué actividades de dirección o confianza deban ser desempeñadas por personas que tengan la calidad de empleados públicos. </w:t>
      </w:r>
    </w:p>
    <w:p w14:paraId="1A860672" w14:textId="77777777" w:rsidR="00ED2656" w:rsidRPr="000B0175" w:rsidRDefault="00ED2656" w:rsidP="00ED2656">
      <w:pPr>
        <w:spacing w:after="0" w:line="276" w:lineRule="auto"/>
        <w:jc w:val="both"/>
        <w:rPr>
          <w:rFonts w:ascii="Verdana" w:eastAsia="Calibri" w:hAnsi="Verdana" w:cs="Arial"/>
          <w:bCs/>
          <w:color w:val="000000" w:themeColor="text1"/>
        </w:rPr>
      </w:pPr>
    </w:p>
    <w:p w14:paraId="22B212FD" w14:textId="77777777" w:rsidR="00ED2656" w:rsidRPr="000B0175" w:rsidRDefault="00ED2656" w:rsidP="00ED2656">
      <w:pPr>
        <w:spacing w:after="0" w:line="276" w:lineRule="auto"/>
        <w:ind w:firstLine="709"/>
        <w:jc w:val="both"/>
        <w:rPr>
          <w:rFonts w:ascii="Verdana" w:eastAsia="Calibri" w:hAnsi="Verdana" w:cs="Arial"/>
          <w:bCs/>
          <w:color w:val="000000" w:themeColor="text1"/>
        </w:rPr>
      </w:pPr>
      <w:r w:rsidRPr="000B0175">
        <w:rPr>
          <w:rFonts w:ascii="Verdana" w:eastAsia="Calibri" w:hAnsi="Verdana" w:cs="Arial"/>
          <w:bCs/>
          <w:color w:val="000000" w:themeColor="text1"/>
        </w:rPr>
        <w:t xml:space="preserve">En este contexto, el término “servidor público” es asimilado en ocasiones a “funcionario público”, los cuales son usados por la norma como denominación general para las personas que desempeñan cargos en entidades del estado, entrando así a diferenciar las categorías en las que se dividen, como lo son los trabajadores oficiales y los empleados públicos. En el caso de los </w:t>
      </w:r>
      <w:r w:rsidRPr="000B0175">
        <w:rPr>
          <w:rFonts w:ascii="Verdana" w:eastAsia="Calibri" w:hAnsi="Verdana" w:cs="Arial"/>
          <w:bCs/>
          <w:color w:val="000000" w:themeColor="text1"/>
          <w:lang w:val="es-ES_tradnl"/>
        </w:rPr>
        <w:t>contratistas de prestación de servicios se vinculan mediante contratos de prestación de servicios, lo que significa que no forman parte de la estructura orgánica del Estado ni están sujetos al régimen laboral propio de los empleados públicos o de los trabajadores oficiales. Su relación es de carácter estrictamente contractual, limitada al cumplimiento de las obligaciones pactadas en el contrato, sin que ello les otorgue la calidad de servidores públicos ni los derechos y deberes que esta condición implica. Sobre el particular, el Consejo de Estado mediante Concepto de la Sala de Consulta y Servicio Civil expresó:</w:t>
      </w:r>
    </w:p>
    <w:p w14:paraId="248F4A01" w14:textId="77777777" w:rsidR="00ED2656" w:rsidRPr="000B0175" w:rsidRDefault="00ED2656" w:rsidP="00ED2656">
      <w:pPr>
        <w:tabs>
          <w:tab w:val="left" w:pos="0"/>
        </w:tabs>
        <w:spacing w:after="0"/>
        <w:jc w:val="both"/>
        <w:rPr>
          <w:rFonts w:ascii="Verdana" w:eastAsia="Calibri" w:hAnsi="Verdana" w:cs="Arial"/>
          <w:bCs/>
          <w:color w:val="000000" w:themeColor="text1"/>
          <w:lang w:val="es-ES_tradnl"/>
        </w:rPr>
      </w:pPr>
    </w:p>
    <w:p w14:paraId="2816D6E4" w14:textId="77777777" w:rsidR="00ED2656" w:rsidRPr="000B0175" w:rsidRDefault="00ED2656" w:rsidP="00ED2656">
      <w:pPr>
        <w:tabs>
          <w:tab w:val="left" w:pos="567"/>
        </w:tabs>
        <w:spacing w:after="0" w:line="240" w:lineRule="auto"/>
        <w:ind w:left="567" w:right="1041"/>
        <w:jc w:val="both"/>
        <w:rPr>
          <w:rFonts w:ascii="Verdana" w:eastAsia="Calibri" w:hAnsi="Verdana" w:cs="Arial"/>
          <w:bCs/>
          <w:color w:val="000000" w:themeColor="text1"/>
          <w:sz w:val="20"/>
          <w:szCs w:val="20"/>
          <w:lang w:val="es-ES_tradnl"/>
        </w:rPr>
      </w:pPr>
      <w:r w:rsidRPr="000B0175">
        <w:rPr>
          <w:rFonts w:ascii="Verdana" w:eastAsia="Calibri" w:hAnsi="Verdana" w:cs="Arial"/>
          <w:bCs/>
          <w:color w:val="000000" w:themeColor="text1"/>
          <w:sz w:val="20"/>
          <w:szCs w:val="20"/>
          <w:lang w:val="es-ES_tradnl"/>
        </w:rPr>
        <w:t xml:space="preserve">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w:t>
      </w:r>
      <w:r w:rsidRPr="000B0175">
        <w:rPr>
          <w:rFonts w:ascii="Verdana" w:eastAsia="Calibri" w:hAnsi="Verdana" w:cs="Arial"/>
          <w:bCs/>
          <w:color w:val="000000" w:themeColor="text1"/>
          <w:sz w:val="20"/>
          <w:szCs w:val="20"/>
          <w:lang w:val="es-ES_tradnl"/>
        </w:rPr>
        <w:lastRenderedPageBreak/>
        <w:t>entidad; el contratista es autónomo para ejecutar el contrato; no se causan prestaciones sociales y no responde disciplinariamente - Sentencia C -280/96-, 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0F3EAA18" w14:textId="77777777" w:rsidR="00ED2656" w:rsidRPr="000B0175" w:rsidRDefault="00ED2656" w:rsidP="00ED2656">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sidRPr="000B0175">
        <w:rPr>
          <w:rFonts w:ascii="Verdana" w:eastAsia="Calibri" w:hAnsi="Verdana" w:cs="Arial"/>
          <w:bCs/>
          <w:color w:val="000000" w:themeColor="text1"/>
          <w:sz w:val="20"/>
          <w:szCs w:val="20"/>
          <w:lang w:val="es-ES_tradnl"/>
        </w:rPr>
        <w:t>[…]</w:t>
      </w:r>
    </w:p>
    <w:p w14:paraId="72101636" w14:textId="77777777" w:rsidR="00ED2656" w:rsidRPr="000B0175" w:rsidRDefault="00ED2656" w:rsidP="00ED2656">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sidRPr="000B0175">
        <w:rPr>
          <w:rFonts w:ascii="Verdana" w:eastAsia="Calibri" w:hAnsi="Verdana" w:cs="Arial"/>
          <w:bCs/>
          <w:color w:val="000000" w:themeColor="text1"/>
          <w:sz w:val="20"/>
          <w:szCs w:val="20"/>
          <w:lang w:val="es-ES_tradnl"/>
        </w:rPr>
        <w:t xml:space="preserve">De los presupuestos de la definición legal y de los elementos analizados, se concluye que particulares que colaboran con </w:t>
      </w:r>
      <w:r w:rsidRPr="000B0175">
        <w:rPr>
          <w:rFonts w:ascii="Verdana" w:eastAsia="Calibri" w:hAnsi="Verdana" w:cs="Arial"/>
          <w:b/>
          <w:color w:val="000000" w:themeColor="text1"/>
          <w:sz w:val="20"/>
          <w:szCs w:val="20"/>
          <w:lang w:val="es-ES_tradnl"/>
        </w:rPr>
        <w:t>el Estado mediante un contrato de prestación de servicios o cualquier otro, tipificado en la Ley 80 de 1993 o producto de la autonomía de la voluntad, no están subsumidos en el contexto de la función pública, ni son, por tanto, servidores públicos</w:t>
      </w:r>
      <w:r w:rsidRPr="000B0175">
        <w:rPr>
          <w:rFonts w:ascii="Verdana" w:eastAsia="Calibri" w:hAnsi="Verdana" w:cs="Arial"/>
          <w:bCs/>
          <w:color w:val="000000" w:themeColor="text1"/>
          <w:sz w:val="20"/>
          <w:szCs w:val="20"/>
          <w:lang w:val="es-ES_tradnl"/>
        </w:rPr>
        <w:t xml:space="preserve"> y, por lo mismo, no reciben "asignación" en los términos establecidos16, lo que hace imposible aplicarles el régimen de estos.”</w:t>
      </w:r>
      <w:r w:rsidRPr="000B0175">
        <w:rPr>
          <w:rFonts w:ascii="Verdana" w:eastAsia="Calibri" w:hAnsi="Verdana" w:cs="Arial"/>
          <w:bCs/>
          <w:color w:val="000000" w:themeColor="text1"/>
          <w:sz w:val="20"/>
          <w:szCs w:val="20"/>
          <w:vertAlign w:val="superscript"/>
          <w:lang w:val="es-ES_tradnl"/>
        </w:rPr>
        <w:footnoteReference w:id="13"/>
      </w:r>
      <w:r w:rsidRPr="000B0175">
        <w:rPr>
          <w:rFonts w:ascii="Verdana" w:eastAsia="Calibri" w:hAnsi="Verdana" w:cs="Arial"/>
          <w:bCs/>
          <w:color w:val="000000" w:themeColor="text1"/>
          <w:sz w:val="20"/>
          <w:szCs w:val="20"/>
          <w:lang w:val="es-ES_tradnl"/>
        </w:rPr>
        <w:t xml:space="preserve"> (énfasis fuera de texto)</w:t>
      </w:r>
    </w:p>
    <w:p w14:paraId="6E30F7FF" w14:textId="77777777" w:rsidR="00ED2656" w:rsidRPr="000B0175" w:rsidRDefault="00ED2656" w:rsidP="00ED2656">
      <w:pPr>
        <w:tabs>
          <w:tab w:val="left" w:pos="0"/>
        </w:tabs>
        <w:spacing w:after="0" w:line="276" w:lineRule="auto"/>
        <w:jc w:val="both"/>
        <w:rPr>
          <w:rFonts w:ascii="Verdana" w:eastAsia="Calibri" w:hAnsi="Verdana" w:cs="Arial"/>
          <w:bCs/>
          <w:color w:val="000000" w:themeColor="text1"/>
          <w:lang w:val="es-ES_tradnl"/>
        </w:rPr>
      </w:pPr>
    </w:p>
    <w:p w14:paraId="67A6DE81" w14:textId="77777777" w:rsidR="00ED2656" w:rsidRPr="000B0175" w:rsidRDefault="00ED2656" w:rsidP="00ED2656">
      <w:pPr>
        <w:tabs>
          <w:tab w:val="left" w:pos="0"/>
        </w:tabs>
        <w:spacing w:line="276" w:lineRule="auto"/>
        <w:jc w:val="both"/>
        <w:rPr>
          <w:rFonts w:ascii="Verdana" w:eastAsia="Calibri" w:hAnsi="Verdana" w:cs="Arial"/>
          <w:bCs/>
          <w:color w:val="000000" w:themeColor="text1"/>
          <w:lang w:val="es-ES_tradnl"/>
        </w:rPr>
      </w:pPr>
      <w:r w:rsidRPr="000B0175">
        <w:rPr>
          <w:rFonts w:ascii="Verdana" w:eastAsia="Calibri" w:hAnsi="Verdana" w:cs="Arial"/>
          <w:bCs/>
          <w:color w:val="000000" w:themeColor="text1"/>
          <w:lang w:val="es-ES_tradnl"/>
        </w:rPr>
        <w:tab/>
        <w:t xml:space="preserve">De acuerdo con lo expuesto, los contratistas de prestación de servicios no adquieren la calidad de servidores públicos, ya que su vinculación con el Estado se da exclusivamente a través de un contrato estatal de prestación de servicios, sin que ello les confiera una investidura pública. Aunque mediante dicho contrato se les encomiende la realización de actividades de interés general o utilidad pública, estas se ejecutan con autonomía técnica y operativa frente a la entidad contratante, lo que los mantiene en la condición de particulares. En consecuencia, el hecho de colaborar con la administración no implica el ejercicio de funciones públicas en sentido estricto, ni los somete al régimen jurídico propio de los servidores públicos. </w:t>
      </w:r>
    </w:p>
    <w:p w14:paraId="07B2F839" w14:textId="77777777" w:rsidR="00ED2656" w:rsidRPr="000B0175" w:rsidRDefault="00ED2656" w:rsidP="00ED2656">
      <w:pPr>
        <w:tabs>
          <w:tab w:val="left" w:pos="0"/>
        </w:tabs>
        <w:spacing w:after="120" w:line="276" w:lineRule="auto"/>
        <w:jc w:val="both"/>
        <w:rPr>
          <w:rFonts w:ascii="Verdana" w:eastAsia="Calibri" w:hAnsi="Verdana" w:cs="Arial"/>
          <w:bCs/>
          <w:color w:val="000000" w:themeColor="text1"/>
        </w:rPr>
      </w:pPr>
      <w:r w:rsidRPr="000B0175">
        <w:rPr>
          <w:rFonts w:ascii="Verdana" w:eastAsia="Calibri" w:hAnsi="Verdana" w:cs="Arial"/>
          <w:bCs/>
          <w:color w:val="000000" w:themeColor="text1"/>
          <w:lang w:val="es-ES_tradnl"/>
        </w:rPr>
        <w:tab/>
        <w:t>Teniendo en cuenta las consideraciones precedentes en el numeral i) se señala que u</w:t>
      </w:r>
      <w:r w:rsidRPr="000B0175">
        <w:rPr>
          <w:rFonts w:ascii="Verdana" w:eastAsia="Calibri" w:hAnsi="Verdana" w:cs="Arial"/>
          <w:bCs/>
          <w:color w:val="000000" w:themeColor="text1"/>
        </w:rPr>
        <w:t xml:space="preserve">na de sus notas esenciales es que no genera vínculo laboral ni da lugar al reconocimiento de prestaciones sociales. El contratista de prestación de servicios actúa con autonomía e independencia técnica, sin subordinación ni dependencia, lo que lo diferencia del contrato de trabajo. Esto, sin perjuicio del deber de seguimiento a la ejecución contractual por parte del supervisor, quien debe hacer un seguimiento técnico, administrativo, financiero, contable y jurídico al contrato estatal. Dicha supervisión implica que puedan solicitar </w:t>
      </w:r>
      <w:r w:rsidRPr="000B0175">
        <w:rPr>
          <w:rFonts w:ascii="Verdana" w:eastAsia="Calibri" w:hAnsi="Verdana" w:cs="Arial"/>
          <w:bCs/>
          <w:color w:val="000000" w:themeColor="text1"/>
        </w:rPr>
        <w:lastRenderedPageBreak/>
        <w:t>informes, aclaraciones y explicaciones sobre el desarrollo de la ejecución contractual, conforme a lo prescrito en el artículo 84 de la Ley 1474 de 2011</w:t>
      </w:r>
      <w:r>
        <w:rPr>
          <w:rStyle w:val="Refdenotaalpie"/>
          <w:rFonts w:ascii="Verdana" w:eastAsia="Calibri" w:hAnsi="Verdana" w:cs="Arial"/>
          <w:bCs/>
          <w:color w:val="000000" w:themeColor="text1"/>
        </w:rPr>
        <w:footnoteReference w:id="14"/>
      </w:r>
      <w:r w:rsidRPr="000B0175">
        <w:rPr>
          <w:rFonts w:ascii="Verdana" w:eastAsia="Calibri" w:hAnsi="Verdana" w:cs="Arial"/>
          <w:bCs/>
          <w:color w:val="000000" w:themeColor="text1"/>
        </w:rPr>
        <w:t xml:space="preserve">. Por tanto, la exigencia de supervisión por parte de la entidad estatal sobre la ejecución del contrato de prestación de servicios no implica, por sí sola, la existencia de una relación laboral, en la medida en que dicha supervisión se limita a verificar el cumplimiento del objeto contractual, el uso correcto de los recursos públicos y la observancia de las obligaciones pactadas, sin que suponga subordinación jurídica ni dependencia propia de un vínculo laboral. </w:t>
      </w:r>
    </w:p>
    <w:p w14:paraId="77E951C2" w14:textId="77777777" w:rsidR="00ED2656" w:rsidRPr="000B0175" w:rsidRDefault="00ED2656" w:rsidP="00ED2656">
      <w:pPr>
        <w:widowControl w:val="0"/>
        <w:autoSpaceDE w:val="0"/>
        <w:autoSpaceDN w:val="0"/>
        <w:spacing w:after="120" w:line="276" w:lineRule="auto"/>
        <w:jc w:val="both"/>
        <w:rPr>
          <w:rFonts w:ascii="Verdana" w:eastAsia="Arial MT" w:hAnsi="Verdana" w:cs="Arial"/>
          <w:lang w:val="es-ES"/>
        </w:rPr>
      </w:pPr>
      <w:r w:rsidRPr="000B0175">
        <w:rPr>
          <w:rFonts w:ascii="Verdana" w:eastAsia="Calibri" w:hAnsi="Verdana" w:cs="Arial"/>
          <w:bCs/>
          <w:color w:val="000000" w:themeColor="text1"/>
        </w:rPr>
        <w:tab/>
      </w:r>
      <w:r w:rsidRPr="000B0175">
        <w:rPr>
          <w:rFonts w:ascii="Verdana" w:eastAsia="Calibri" w:hAnsi="Verdana" w:cs="Arial"/>
          <w:bCs/>
          <w:color w:val="000000" w:themeColor="text1"/>
          <w:lang w:val="es-ES_tradnl"/>
        </w:rPr>
        <w:t xml:space="preserve">Esta distinción del contratista de prestación de servicios con los servidores públicos se considera esencial para delimitar responsabilidades, derechos y deberes, evitando interpretaciones erradas entre quienes ejercen autoridad estatal y quienes prestan servicios de apoyo u especializados bajo una relación contractual temporal. En este aspecto, se resalta que los contratistas de prestación de prestación de servicios pueden apoyar en la supervisión de los contratos estatales, pero no fungen como supervisores.  </w:t>
      </w:r>
    </w:p>
    <w:p w14:paraId="4CF28260" w14:textId="77777777" w:rsidR="00ED2656" w:rsidRPr="000B0175" w:rsidRDefault="00ED2656" w:rsidP="00ED2656">
      <w:pPr>
        <w:widowControl w:val="0"/>
        <w:autoSpaceDE w:val="0"/>
        <w:autoSpaceDN w:val="0"/>
        <w:spacing w:after="120" w:line="276" w:lineRule="auto"/>
        <w:ind w:firstLine="708"/>
        <w:jc w:val="both"/>
        <w:rPr>
          <w:rFonts w:ascii="Verdana" w:eastAsia="Arial MT" w:hAnsi="Verdana" w:cs="Arial"/>
          <w:spacing w:val="1"/>
          <w:lang w:val="es-ES"/>
        </w:rPr>
      </w:pPr>
      <w:r w:rsidRPr="000B0175">
        <w:rPr>
          <w:rFonts w:ascii="Verdana" w:eastAsia="Arial MT" w:hAnsi="Verdana" w:cs="Arial"/>
          <w:lang w:val="es-ES"/>
        </w:rPr>
        <w:t>El alcance de dicho apoyo</w:t>
      </w:r>
      <w:r w:rsidRPr="000B0175">
        <w:rPr>
          <w:rFonts w:ascii="Verdana" w:eastAsia="Arial MT" w:hAnsi="Verdana" w:cs="Arial"/>
          <w:spacing w:val="1"/>
          <w:lang w:val="es-ES"/>
        </w:rPr>
        <w:t xml:space="preserve"> </w:t>
      </w:r>
      <w:r w:rsidRPr="000B0175">
        <w:rPr>
          <w:rFonts w:ascii="Verdana" w:eastAsia="Arial MT" w:hAnsi="Verdana" w:cs="Arial"/>
          <w:lang w:val="es-ES"/>
        </w:rPr>
        <w:t>dependerá del objeto y las obligaciones determinadas en el contrato de prestación de servicios,</w:t>
      </w:r>
      <w:r w:rsidRPr="000B0175">
        <w:rPr>
          <w:rFonts w:ascii="Verdana" w:eastAsia="Arial MT" w:hAnsi="Verdana" w:cs="Arial"/>
          <w:spacing w:val="-59"/>
          <w:lang w:val="es-ES"/>
        </w:rPr>
        <w:t xml:space="preserve"> </w:t>
      </w:r>
      <w:r w:rsidRPr="000B0175">
        <w:rPr>
          <w:rFonts w:ascii="Verdana" w:eastAsia="Arial MT" w:hAnsi="Verdana" w:cs="Arial"/>
          <w:lang w:val="es-ES"/>
        </w:rPr>
        <w:t>marco</w:t>
      </w:r>
      <w:r w:rsidRPr="000B0175">
        <w:rPr>
          <w:rFonts w:ascii="Verdana" w:eastAsia="Arial MT" w:hAnsi="Verdana" w:cs="Arial"/>
          <w:spacing w:val="1"/>
          <w:lang w:val="es-ES"/>
        </w:rPr>
        <w:t xml:space="preserve"> </w:t>
      </w:r>
      <w:r w:rsidRPr="000B0175">
        <w:rPr>
          <w:rFonts w:ascii="Verdana" w:eastAsia="Arial MT" w:hAnsi="Verdana" w:cs="Arial"/>
          <w:lang w:val="es-ES"/>
        </w:rPr>
        <w:t>dentro</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cual</w:t>
      </w:r>
      <w:r w:rsidRPr="000B0175">
        <w:rPr>
          <w:rFonts w:ascii="Verdana" w:eastAsia="Arial MT" w:hAnsi="Verdana" w:cs="Arial"/>
          <w:spacing w:val="1"/>
          <w:lang w:val="es-ES"/>
        </w:rPr>
        <w:t xml:space="preserve"> </w:t>
      </w:r>
      <w:r w:rsidRPr="000B0175">
        <w:rPr>
          <w:rFonts w:ascii="Verdana" w:eastAsia="Arial MT" w:hAnsi="Verdana" w:cs="Arial"/>
          <w:lang w:val="es-ES"/>
        </w:rPr>
        <w:t>el</w:t>
      </w:r>
      <w:r w:rsidRPr="000B0175">
        <w:rPr>
          <w:rFonts w:ascii="Verdana" w:eastAsia="Arial MT" w:hAnsi="Verdana" w:cs="Arial"/>
          <w:spacing w:val="1"/>
          <w:lang w:val="es-ES"/>
        </w:rPr>
        <w:t xml:space="preserve"> </w:t>
      </w:r>
      <w:r w:rsidRPr="000B0175">
        <w:rPr>
          <w:rFonts w:ascii="Verdana" w:eastAsia="Arial MT" w:hAnsi="Verdana" w:cs="Arial"/>
          <w:lang w:val="es-ES"/>
        </w:rPr>
        <w:t>contratista</w:t>
      </w:r>
      <w:r w:rsidRPr="000B0175">
        <w:rPr>
          <w:rFonts w:ascii="Verdana" w:eastAsia="Arial MT" w:hAnsi="Verdana" w:cs="Arial"/>
          <w:spacing w:val="1"/>
          <w:lang w:val="es-ES"/>
        </w:rPr>
        <w:t xml:space="preserve"> </w:t>
      </w:r>
      <w:r w:rsidRPr="000B0175">
        <w:rPr>
          <w:rFonts w:ascii="Verdana" w:eastAsia="Arial MT" w:hAnsi="Verdana" w:cs="Arial"/>
          <w:lang w:val="es-ES"/>
        </w:rPr>
        <w:t>desarrollará</w:t>
      </w:r>
      <w:r w:rsidRPr="000B0175">
        <w:rPr>
          <w:rFonts w:ascii="Verdana" w:eastAsia="Arial MT" w:hAnsi="Verdana" w:cs="Arial"/>
          <w:spacing w:val="1"/>
          <w:lang w:val="es-ES"/>
        </w:rPr>
        <w:t xml:space="preserve"> </w:t>
      </w:r>
      <w:r w:rsidRPr="000B0175">
        <w:rPr>
          <w:rFonts w:ascii="Verdana" w:eastAsia="Arial MT" w:hAnsi="Verdana" w:cs="Arial"/>
          <w:lang w:val="es-ES"/>
        </w:rPr>
        <w:t>las</w:t>
      </w:r>
      <w:r w:rsidRPr="000B0175">
        <w:rPr>
          <w:rFonts w:ascii="Verdana" w:eastAsia="Arial MT" w:hAnsi="Verdana" w:cs="Arial"/>
          <w:spacing w:val="1"/>
          <w:lang w:val="es-ES"/>
        </w:rPr>
        <w:t xml:space="preserve"> </w:t>
      </w:r>
      <w:r w:rsidRPr="000B0175">
        <w:rPr>
          <w:rFonts w:ascii="Verdana" w:eastAsia="Arial MT" w:hAnsi="Verdana" w:cs="Arial"/>
          <w:lang w:val="es-ES"/>
        </w:rPr>
        <w:t>actividades</w:t>
      </w:r>
      <w:r w:rsidRPr="000B0175">
        <w:rPr>
          <w:rFonts w:ascii="Verdana" w:eastAsia="Arial MT" w:hAnsi="Verdana" w:cs="Arial"/>
          <w:spacing w:val="1"/>
          <w:lang w:val="es-ES"/>
        </w:rPr>
        <w:t xml:space="preserve"> </w:t>
      </w:r>
      <w:r w:rsidRPr="000B0175">
        <w:rPr>
          <w:rFonts w:ascii="Verdana" w:eastAsia="Arial MT" w:hAnsi="Verdana" w:cs="Arial"/>
          <w:lang w:val="es-ES"/>
        </w:rPr>
        <w:t>tendientes</w:t>
      </w:r>
      <w:r w:rsidRPr="000B0175">
        <w:rPr>
          <w:rFonts w:ascii="Verdana" w:eastAsia="Arial MT" w:hAnsi="Verdana" w:cs="Arial"/>
          <w:spacing w:val="1"/>
          <w:lang w:val="es-ES"/>
        </w:rPr>
        <w:t xml:space="preserve"> </w:t>
      </w:r>
      <w:r w:rsidRPr="000B0175">
        <w:rPr>
          <w:rFonts w:ascii="Verdana" w:eastAsia="Arial MT" w:hAnsi="Verdana" w:cs="Arial"/>
          <w:lang w:val="es-ES"/>
        </w:rPr>
        <w:t>a</w:t>
      </w:r>
      <w:r w:rsidRPr="000B0175">
        <w:rPr>
          <w:rFonts w:ascii="Verdana" w:eastAsia="Arial MT" w:hAnsi="Verdana" w:cs="Arial"/>
          <w:spacing w:val="1"/>
          <w:lang w:val="es-ES"/>
        </w:rPr>
        <w:t xml:space="preserve"> </w:t>
      </w:r>
      <w:r w:rsidRPr="000B0175">
        <w:rPr>
          <w:rFonts w:ascii="Verdana" w:eastAsia="Arial MT" w:hAnsi="Verdana" w:cs="Arial"/>
          <w:lang w:val="es-ES"/>
        </w:rPr>
        <w:t>soportar</w:t>
      </w:r>
      <w:r w:rsidRPr="000B0175">
        <w:rPr>
          <w:rFonts w:ascii="Verdana" w:eastAsia="Arial MT" w:hAnsi="Verdana" w:cs="Arial"/>
          <w:spacing w:val="1"/>
          <w:lang w:val="es-ES"/>
        </w:rPr>
        <w:t xml:space="preserve"> </w:t>
      </w:r>
      <w:r w:rsidRPr="000B0175">
        <w:rPr>
          <w:rFonts w:ascii="Verdana" w:eastAsia="Arial MT" w:hAnsi="Verdana" w:cs="Arial"/>
          <w:lang w:val="es-ES"/>
        </w:rPr>
        <w:t>el</w:t>
      </w:r>
      <w:r w:rsidRPr="000B0175">
        <w:rPr>
          <w:rFonts w:ascii="Verdana" w:eastAsia="Arial MT" w:hAnsi="Verdana" w:cs="Arial"/>
          <w:spacing w:val="1"/>
          <w:lang w:val="es-ES"/>
        </w:rPr>
        <w:t xml:space="preserve"> </w:t>
      </w:r>
      <w:r w:rsidRPr="000B0175">
        <w:rPr>
          <w:rFonts w:ascii="Verdana" w:eastAsia="Arial MT" w:hAnsi="Verdana" w:cs="Arial"/>
          <w:lang w:val="es-ES"/>
        </w:rPr>
        <w:t>seguimiento</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contrato</w:t>
      </w:r>
      <w:r w:rsidRPr="000B0175">
        <w:rPr>
          <w:rFonts w:ascii="Verdana" w:eastAsia="Arial MT" w:hAnsi="Verdana" w:cs="Arial"/>
          <w:spacing w:val="1"/>
          <w:lang w:val="es-ES"/>
        </w:rPr>
        <w:t xml:space="preserve"> </w:t>
      </w:r>
      <w:r w:rsidRPr="000B0175">
        <w:rPr>
          <w:rFonts w:ascii="Verdana" w:eastAsia="Arial MT" w:hAnsi="Verdana" w:cs="Arial"/>
          <w:lang w:val="es-ES"/>
        </w:rPr>
        <w:t>y</w:t>
      </w:r>
      <w:r w:rsidRPr="000B0175">
        <w:rPr>
          <w:rFonts w:ascii="Verdana" w:eastAsia="Arial MT" w:hAnsi="Verdana" w:cs="Arial"/>
          <w:spacing w:val="1"/>
          <w:lang w:val="es-ES"/>
        </w:rPr>
        <w:t xml:space="preserve"> </w:t>
      </w:r>
      <w:r w:rsidRPr="000B0175">
        <w:rPr>
          <w:rFonts w:ascii="Verdana" w:eastAsia="Arial MT" w:hAnsi="Verdana" w:cs="Arial"/>
          <w:lang w:val="es-ES"/>
        </w:rPr>
        <w:t>apoyar</w:t>
      </w:r>
      <w:r w:rsidRPr="000B0175">
        <w:rPr>
          <w:rFonts w:ascii="Verdana" w:eastAsia="Arial MT" w:hAnsi="Verdana" w:cs="Arial"/>
          <w:spacing w:val="1"/>
          <w:lang w:val="es-ES"/>
        </w:rPr>
        <w:t xml:space="preserve"> </w:t>
      </w:r>
      <w:r w:rsidRPr="000B0175">
        <w:rPr>
          <w:rFonts w:ascii="Verdana" w:eastAsia="Arial MT" w:hAnsi="Verdana" w:cs="Arial"/>
          <w:lang w:val="es-ES"/>
        </w:rPr>
        <w:t>la</w:t>
      </w:r>
      <w:r w:rsidRPr="000B0175">
        <w:rPr>
          <w:rFonts w:ascii="Verdana" w:eastAsia="Arial MT" w:hAnsi="Verdana" w:cs="Arial"/>
          <w:spacing w:val="1"/>
          <w:lang w:val="es-ES"/>
        </w:rPr>
        <w:t xml:space="preserve"> </w:t>
      </w:r>
      <w:r w:rsidRPr="000B0175">
        <w:rPr>
          <w:rFonts w:ascii="Verdana" w:eastAsia="Arial MT" w:hAnsi="Verdana" w:cs="Arial"/>
          <w:lang w:val="es-ES"/>
        </w:rPr>
        <w:t>verificación</w:t>
      </w:r>
      <w:r w:rsidRPr="000B0175">
        <w:rPr>
          <w:rFonts w:ascii="Verdana" w:eastAsia="Arial MT" w:hAnsi="Verdana" w:cs="Arial"/>
          <w:spacing w:val="1"/>
          <w:lang w:val="es-ES"/>
        </w:rPr>
        <w:t xml:space="preserve"> </w:t>
      </w:r>
      <w:r w:rsidRPr="000B0175">
        <w:rPr>
          <w:rFonts w:ascii="Verdana" w:eastAsia="Arial MT" w:hAnsi="Verdana" w:cs="Arial"/>
          <w:lang w:val="es-ES"/>
        </w:rPr>
        <w:t>del</w:t>
      </w:r>
      <w:r w:rsidRPr="000B0175">
        <w:rPr>
          <w:rFonts w:ascii="Verdana" w:eastAsia="Arial MT" w:hAnsi="Verdana" w:cs="Arial"/>
          <w:spacing w:val="1"/>
          <w:lang w:val="es-ES"/>
        </w:rPr>
        <w:t xml:space="preserve"> </w:t>
      </w:r>
      <w:r w:rsidRPr="000B0175">
        <w:rPr>
          <w:rFonts w:ascii="Verdana" w:eastAsia="Arial MT" w:hAnsi="Verdana" w:cs="Arial"/>
          <w:lang w:val="es-ES"/>
        </w:rPr>
        <w:t>cumplimiento,</w:t>
      </w:r>
      <w:r w:rsidRPr="000B0175">
        <w:rPr>
          <w:rFonts w:ascii="Verdana" w:eastAsia="Arial MT" w:hAnsi="Verdana" w:cs="Arial"/>
          <w:spacing w:val="1"/>
          <w:lang w:val="es-ES"/>
        </w:rPr>
        <w:t xml:space="preserve"> </w:t>
      </w:r>
      <w:r w:rsidRPr="000B0175">
        <w:rPr>
          <w:rFonts w:ascii="Verdana" w:eastAsia="Arial MT" w:hAnsi="Verdana" w:cs="Arial"/>
          <w:lang w:val="es-ES"/>
        </w:rPr>
        <w:t>en</w:t>
      </w:r>
      <w:r w:rsidRPr="000B0175">
        <w:rPr>
          <w:rFonts w:ascii="Verdana" w:eastAsia="Arial MT" w:hAnsi="Verdana" w:cs="Arial"/>
          <w:spacing w:val="1"/>
          <w:lang w:val="es-ES"/>
        </w:rPr>
        <w:t xml:space="preserve"> </w:t>
      </w:r>
      <w:r w:rsidRPr="000B0175">
        <w:rPr>
          <w:rFonts w:ascii="Verdana" w:eastAsia="Arial MT" w:hAnsi="Verdana" w:cs="Arial"/>
          <w:lang w:val="es-ES"/>
        </w:rPr>
        <w:t>las</w:t>
      </w:r>
      <w:r w:rsidRPr="000B0175">
        <w:rPr>
          <w:rFonts w:ascii="Verdana" w:eastAsia="Arial MT" w:hAnsi="Verdana" w:cs="Arial"/>
          <w:spacing w:val="1"/>
          <w:lang w:val="es-ES"/>
        </w:rPr>
        <w:t xml:space="preserve"> </w:t>
      </w:r>
      <w:r w:rsidRPr="000B0175">
        <w:rPr>
          <w:rFonts w:ascii="Verdana" w:eastAsia="Arial MT" w:hAnsi="Verdana" w:cs="Arial"/>
          <w:lang w:val="es-ES"/>
        </w:rPr>
        <w:t>condiciones</w:t>
      </w:r>
      <w:r w:rsidRPr="000B0175">
        <w:rPr>
          <w:rFonts w:ascii="Verdana" w:eastAsia="Arial MT" w:hAnsi="Verdana" w:cs="Arial"/>
          <w:spacing w:val="1"/>
          <w:lang w:val="es-ES"/>
        </w:rPr>
        <w:t xml:space="preserve"> </w:t>
      </w:r>
      <w:r w:rsidRPr="000B0175">
        <w:rPr>
          <w:rFonts w:ascii="Verdana" w:eastAsia="Arial MT" w:hAnsi="Verdana" w:cs="Arial"/>
          <w:spacing w:val="-1"/>
          <w:lang w:val="es-ES"/>
        </w:rPr>
        <w:t>establecidas</w:t>
      </w:r>
      <w:r w:rsidRPr="000B0175">
        <w:rPr>
          <w:rFonts w:ascii="Verdana" w:eastAsia="Arial MT" w:hAnsi="Verdana" w:cs="Arial"/>
          <w:spacing w:val="-10"/>
          <w:lang w:val="es-ES"/>
        </w:rPr>
        <w:t xml:space="preserve"> </w:t>
      </w:r>
      <w:r w:rsidRPr="000B0175">
        <w:rPr>
          <w:rFonts w:ascii="Verdana" w:eastAsia="Arial MT" w:hAnsi="Verdana" w:cs="Arial"/>
          <w:lang w:val="es-ES"/>
        </w:rPr>
        <w:t>en</w:t>
      </w:r>
      <w:r w:rsidRPr="000B0175">
        <w:rPr>
          <w:rFonts w:ascii="Verdana" w:eastAsia="Arial MT" w:hAnsi="Verdana" w:cs="Arial"/>
          <w:spacing w:val="-13"/>
          <w:lang w:val="es-ES"/>
        </w:rPr>
        <w:t xml:space="preserve"> </w:t>
      </w:r>
      <w:r w:rsidRPr="000B0175">
        <w:rPr>
          <w:rFonts w:ascii="Verdana" w:eastAsia="Arial MT" w:hAnsi="Verdana" w:cs="Arial"/>
          <w:lang w:val="es-ES"/>
        </w:rPr>
        <w:t>el</w:t>
      </w:r>
      <w:r w:rsidRPr="000B0175">
        <w:rPr>
          <w:rFonts w:ascii="Verdana" w:eastAsia="Arial MT" w:hAnsi="Verdana" w:cs="Arial"/>
          <w:spacing w:val="-11"/>
          <w:lang w:val="es-ES"/>
        </w:rPr>
        <w:t xml:space="preserve"> </w:t>
      </w:r>
      <w:r w:rsidRPr="000B0175">
        <w:rPr>
          <w:rFonts w:ascii="Verdana" w:eastAsia="Arial MT" w:hAnsi="Verdana" w:cs="Arial"/>
          <w:lang w:val="es-ES"/>
        </w:rPr>
        <w:t>contrato</w:t>
      </w:r>
      <w:r w:rsidRPr="000B0175">
        <w:rPr>
          <w:rFonts w:ascii="Verdana" w:eastAsia="Arial MT" w:hAnsi="Verdana" w:cs="Arial"/>
          <w:spacing w:val="-10"/>
          <w:lang w:val="es-ES"/>
        </w:rPr>
        <w:t xml:space="preserve"> </w:t>
      </w:r>
      <w:r w:rsidRPr="000B0175">
        <w:rPr>
          <w:rFonts w:ascii="Verdana" w:eastAsia="Arial MT" w:hAnsi="Verdana" w:cs="Arial"/>
          <w:lang w:val="es-ES"/>
        </w:rPr>
        <w:t>vigilado,</w:t>
      </w:r>
      <w:r w:rsidRPr="000B0175">
        <w:rPr>
          <w:rFonts w:ascii="Verdana" w:eastAsia="Arial MT" w:hAnsi="Verdana" w:cs="Arial"/>
          <w:spacing w:val="-12"/>
          <w:lang w:val="es-ES"/>
        </w:rPr>
        <w:t xml:space="preserve"> </w:t>
      </w:r>
      <w:r w:rsidRPr="000B0175">
        <w:rPr>
          <w:rFonts w:ascii="Verdana" w:eastAsia="Arial MT" w:hAnsi="Verdana" w:cs="Arial"/>
          <w:lang w:val="es-ES"/>
        </w:rPr>
        <w:t>sin</w:t>
      </w:r>
      <w:r w:rsidRPr="000B0175">
        <w:rPr>
          <w:rFonts w:ascii="Verdana" w:eastAsia="Arial MT" w:hAnsi="Verdana" w:cs="Arial"/>
          <w:spacing w:val="-12"/>
          <w:lang w:val="es-ES"/>
        </w:rPr>
        <w:t xml:space="preserve"> </w:t>
      </w:r>
      <w:r w:rsidRPr="000B0175">
        <w:rPr>
          <w:rFonts w:ascii="Verdana" w:eastAsia="Arial MT" w:hAnsi="Verdana" w:cs="Arial"/>
          <w:lang w:val="es-ES"/>
        </w:rPr>
        <w:t>que</w:t>
      </w:r>
      <w:r w:rsidRPr="000B0175">
        <w:rPr>
          <w:rFonts w:ascii="Verdana" w:eastAsia="Arial MT" w:hAnsi="Verdana" w:cs="Arial"/>
          <w:spacing w:val="-13"/>
          <w:lang w:val="es-ES"/>
        </w:rPr>
        <w:t xml:space="preserve"> </w:t>
      </w:r>
      <w:r w:rsidRPr="000B0175">
        <w:rPr>
          <w:rFonts w:ascii="Verdana" w:eastAsia="Arial MT" w:hAnsi="Verdana" w:cs="Arial"/>
          <w:lang w:val="es-ES"/>
        </w:rPr>
        <w:t>implique</w:t>
      </w:r>
      <w:r w:rsidRPr="000B0175">
        <w:rPr>
          <w:rFonts w:ascii="Verdana" w:eastAsia="Arial MT" w:hAnsi="Verdana" w:cs="Arial"/>
          <w:spacing w:val="-15"/>
          <w:lang w:val="es-ES"/>
        </w:rPr>
        <w:t xml:space="preserve"> </w:t>
      </w:r>
      <w:r w:rsidRPr="000B0175">
        <w:rPr>
          <w:rFonts w:ascii="Verdana" w:eastAsia="Arial MT" w:hAnsi="Verdana" w:cs="Arial"/>
          <w:lang w:val="es-ES"/>
        </w:rPr>
        <w:t>que</w:t>
      </w:r>
      <w:r w:rsidRPr="000B0175">
        <w:rPr>
          <w:rFonts w:ascii="Verdana" w:eastAsia="Arial MT" w:hAnsi="Verdana" w:cs="Arial"/>
          <w:spacing w:val="-10"/>
          <w:lang w:val="es-ES"/>
        </w:rPr>
        <w:t xml:space="preserve"> </w:t>
      </w:r>
      <w:r w:rsidRPr="000B0175">
        <w:rPr>
          <w:rFonts w:ascii="Verdana" w:eastAsia="Arial MT" w:hAnsi="Verdana" w:cs="Arial"/>
          <w:lang w:val="es-ES"/>
        </w:rPr>
        <w:t>asuma</w:t>
      </w:r>
      <w:r w:rsidRPr="000B0175">
        <w:rPr>
          <w:rFonts w:ascii="Verdana" w:eastAsia="Arial MT" w:hAnsi="Verdana" w:cs="Arial"/>
          <w:spacing w:val="-12"/>
          <w:lang w:val="es-ES"/>
        </w:rPr>
        <w:t xml:space="preserve"> </w:t>
      </w:r>
      <w:r w:rsidRPr="000B0175">
        <w:rPr>
          <w:rFonts w:ascii="Verdana" w:eastAsia="Arial MT" w:hAnsi="Verdana" w:cs="Arial"/>
          <w:lang w:val="es-ES"/>
        </w:rPr>
        <w:t>directamente</w:t>
      </w:r>
      <w:r w:rsidRPr="000B0175">
        <w:rPr>
          <w:rFonts w:ascii="Verdana" w:eastAsia="Arial MT" w:hAnsi="Verdana" w:cs="Arial"/>
          <w:spacing w:val="-10"/>
          <w:lang w:val="es-ES"/>
        </w:rPr>
        <w:t xml:space="preserve"> </w:t>
      </w:r>
      <w:r w:rsidRPr="000B0175">
        <w:rPr>
          <w:rFonts w:ascii="Verdana" w:eastAsia="Arial MT" w:hAnsi="Verdana" w:cs="Arial"/>
          <w:lang w:val="es-ES"/>
        </w:rPr>
        <w:t>la</w:t>
      </w:r>
      <w:r w:rsidRPr="000B0175">
        <w:rPr>
          <w:rFonts w:ascii="Verdana" w:eastAsia="Arial MT" w:hAnsi="Verdana" w:cs="Arial"/>
          <w:spacing w:val="-13"/>
          <w:lang w:val="es-ES"/>
        </w:rPr>
        <w:t xml:space="preserve"> </w:t>
      </w:r>
      <w:r w:rsidRPr="000B0175">
        <w:rPr>
          <w:rFonts w:ascii="Verdana" w:eastAsia="Arial MT" w:hAnsi="Verdana" w:cs="Arial"/>
          <w:lang w:val="es-ES"/>
        </w:rPr>
        <w:t>supervisión.</w:t>
      </w:r>
      <w:r w:rsidRPr="000B0175">
        <w:rPr>
          <w:rFonts w:ascii="Verdana" w:eastAsia="Arial MT" w:hAnsi="Verdana" w:cs="Arial"/>
          <w:spacing w:val="-59"/>
          <w:lang w:val="es-ES"/>
        </w:rPr>
        <w:t xml:space="preserve"> </w:t>
      </w:r>
      <w:r w:rsidRPr="000B0175">
        <w:rPr>
          <w:rFonts w:ascii="Verdana" w:eastAsia="Arial MT" w:hAnsi="Verdana" w:cs="Arial"/>
          <w:lang w:val="es-ES"/>
        </w:rPr>
        <w:t>Así,</w:t>
      </w:r>
      <w:r w:rsidRPr="000B0175">
        <w:rPr>
          <w:rFonts w:ascii="Verdana" w:eastAsia="Arial MT" w:hAnsi="Verdana" w:cs="Arial"/>
          <w:spacing w:val="1"/>
          <w:lang w:val="es-ES"/>
        </w:rPr>
        <w:t xml:space="preserve"> </w:t>
      </w:r>
      <w:r w:rsidRPr="000B0175">
        <w:rPr>
          <w:rFonts w:ascii="Verdana" w:eastAsia="Arial MT" w:hAnsi="Verdana" w:cs="Arial"/>
          <w:lang w:val="es-ES"/>
        </w:rPr>
        <w:t>por</w:t>
      </w:r>
      <w:r w:rsidRPr="000B0175">
        <w:rPr>
          <w:rFonts w:ascii="Verdana" w:eastAsia="Arial MT" w:hAnsi="Verdana" w:cs="Arial"/>
          <w:spacing w:val="1"/>
          <w:lang w:val="es-ES"/>
        </w:rPr>
        <w:t xml:space="preserve"> </w:t>
      </w:r>
      <w:r w:rsidRPr="000B0175">
        <w:rPr>
          <w:rFonts w:ascii="Verdana" w:eastAsia="Arial MT" w:hAnsi="Verdana" w:cs="Arial"/>
          <w:lang w:val="es-ES"/>
        </w:rPr>
        <w:t>ejemplo,</w:t>
      </w:r>
      <w:r w:rsidRPr="000B0175">
        <w:rPr>
          <w:rFonts w:ascii="Verdana" w:eastAsia="Arial MT" w:hAnsi="Verdana" w:cs="Arial"/>
          <w:spacing w:val="1"/>
          <w:lang w:val="es-ES"/>
        </w:rPr>
        <w:t xml:space="preserve">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supervisión, sin que implique asumir decisiones definitivas frente a la entidad estatal. </w:t>
      </w:r>
    </w:p>
    <w:p w14:paraId="0E80834E" w14:textId="2464D468" w:rsidR="00ED2656" w:rsidRPr="000B0175" w:rsidRDefault="00ED2656" w:rsidP="00ED2656">
      <w:pPr>
        <w:tabs>
          <w:tab w:val="left" w:pos="0"/>
        </w:tabs>
        <w:spacing w:after="120" w:line="276" w:lineRule="auto"/>
        <w:jc w:val="both"/>
        <w:rPr>
          <w:rFonts w:ascii="Verdana" w:eastAsia="Calibri" w:hAnsi="Verdana" w:cs="Arial"/>
          <w:bCs/>
          <w:color w:val="000000" w:themeColor="text1"/>
        </w:rPr>
      </w:pPr>
      <w:r w:rsidRPr="000B0175">
        <w:rPr>
          <w:rFonts w:ascii="Verdana" w:eastAsia="Calibri" w:hAnsi="Verdana" w:cs="Arial"/>
          <w:bCs/>
          <w:color w:val="000000" w:themeColor="text1"/>
          <w:lang w:val="es-ES"/>
        </w:rPr>
        <w:lastRenderedPageBreak/>
        <w:tab/>
        <w:t xml:space="preserve">Es de resaltar pues, que los </w:t>
      </w:r>
      <w:r w:rsidRPr="000B0175">
        <w:rPr>
          <w:rFonts w:ascii="Verdana" w:eastAsia="Calibri" w:hAnsi="Verdana" w:cs="Arial"/>
          <w:bCs/>
          <w:color w:val="000000" w:themeColor="text1"/>
        </w:rPr>
        <w:t xml:space="preserve">contratistas de prestación de servicios </w:t>
      </w:r>
      <w:r w:rsidR="00E77230">
        <w:rPr>
          <w:rFonts w:ascii="Verdana" w:eastAsia="Calibri" w:hAnsi="Verdana" w:cs="Arial"/>
          <w:bCs/>
          <w:color w:val="000000" w:themeColor="text1"/>
        </w:rPr>
        <w:t xml:space="preserve">no </w:t>
      </w:r>
      <w:r w:rsidRPr="000B0175">
        <w:rPr>
          <w:rFonts w:ascii="Verdana" w:eastAsia="Calibri" w:hAnsi="Verdana" w:cs="Arial"/>
          <w:bCs/>
          <w:color w:val="000000" w:themeColor="text1"/>
        </w:rPr>
        <w:t>son particulares que cumplen funciones públicas, ya que su vinculación con el Estado tiene un carácter eminentemente contractual y auxiliar, orientado a apoyar la administración o el funcionamiento de la entidad sin asumir funciones administrativas para efectos de responsabilidad. De este modo, los particulares que desempeñan funciones públicas no se contemplan a los contratistas de prestación de servicios, sino que están los notarios, los interventores y los auxiliares de justicia</w:t>
      </w:r>
      <w:r w:rsidRPr="000B0175">
        <w:rPr>
          <w:rFonts w:ascii="Verdana" w:eastAsia="Calibri" w:hAnsi="Verdana" w:cs="Arial"/>
          <w:bCs/>
          <w:color w:val="000000" w:themeColor="text1"/>
          <w:vertAlign w:val="superscript"/>
        </w:rPr>
        <w:footnoteReference w:id="15"/>
      </w:r>
      <w:r w:rsidRPr="000B0175">
        <w:rPr>
          <w:rFonts w:ascii="Verdana" w:eastAsia="Calibri" w:hAnsi="Verdana" w:cs="Arial"/>
          <w:bCs/>
          <w:color w:val="000000" w:themeColor="text1"/>
        </w:rPr>
        <w:t>. Los notarios dan fe pública y garantizan la seguridad jurídica; los interventores ejercen funciones de control y vigilancia sobre la ejecución contractual; y los auxiliares de la justicia colaboran con la administración de justicia. En estos casos, la ley traslada de manera expresa una función pública, lo que implica un mayor nivel de responsabilidad y sujeción a principios propios del ejercicio de autoridad pública.</w:t>
      </w:r>
    </w:p>
    <w:p w14:paraId="733A066C" w14:textId="77777777" w:rsidR="00ED2656" w:rsidRPr="000B0175" w:rsidRDefault="00ED2656" w:rsidP="00ED2656">
      <w:pPr>
        <w:widowControl w:val="0"/>
        <w:autoSpaceDE w:val="0"/>
        <w:autoSpaceDN w:val="0"/>
        <w:spacing w:after="0" w:line="276" w:lineRule="auto"/>
        <w:ind w:right="113" w:firstLine="709"/>
        <w:jc w:val="both"/>
        <w:rPr>
          <w:rFonts w:ascii="Verdana" w:eastAsia="Arial MT" w:hAnsi="Verdana" w:cs="Arial MT"/>
          <w:lang w:val="es-ES"/>
        </w:rPr>
      </w:pPr>
      <w:r w:rsidRPr="000B0175">
        <w:rPr>
          <w:rFonts w:ascii="Verdana" w:eastAsia="Arial MT" w:hAnsi="Verdana" w:cs="Arial MT"/>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bookmarkEnd w:id="1"/>
    </w:p>
    <w:p w14:paraId="14155B31" w14:textId="77777777" w:rsidR="00ED2656" w:rsidRPr="000B0175" w:rsidRDefault="00ED2656" w:rsidP="00ED2656">
      <w:pPr>
        <w:widowControl w:val="0"/>
        <w:autoSpaceDE w:val="0"/>
        <w:autoSpaceDN w:val="0"/>
        <w:spacing w:after="0" w:line="276" w:lineRule="auto"/>
        <w:ind w:right="113" w:firstLine="709"/>
        <w:jc w:val="both"/>
        <w:rPr>
          <w:rFonts w:ascii="Verdana" w:eastAsia="Arial MT" w:hAnsi="Verdana" w:cs="Arial MT"/>
          <w:lang w:val="es-ES"/>
        </w:rPr>
      </w:pPr>
    </w:p>
    <w:p w14:paraId="12582751" w14:textId="77777777" w:rsidR="00ED2656" w:rsidRPr="000B0175" w:rsidRDefault="00ED2656" w:rsidP="00ED2656">
      <w:pPr>
        <w:spacing w:after="120" w:line="276" w:lineRule="auto"/>
        <w:jc w:val="both"/>
        <w:rPr>
          <w:rFonts w:ascii="Verdana" w:hAnsi="Verdana"/>
        </w:rPr>
      </w:pPr>
      <w:r w:rsidRPr="000B0175">
        <w:rPr>
          <w:rFonts w:ascii="Verdana" w:eastAsia="Arial" w:hAnsi="Verdana" w:cs="Arial"/>
          <w:lang w:val="es-ES_tradnl"/>
        </w:rPr>
        <w:t xml:space="preserve">iii. </w:t>
      </w:r>
      <w:r w:rsidRPr="000B0175">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w:t>
      </w:r>
      <w:r w:rsidRPr="000B0175">
        <w:rPr>
          <w:rFonts w:ascii="Verdana" w:eastAsia="Calibri" w:hAnsi="Verdana" w:cs="Arial"/>
          <w:bCs/>
          <w:color w:val="000000" w:themeColor="text1"/>
        </w:rPr>
        <w:lastRenderedPageBreak/>
        <w:t>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AE910F6" w14:textId="77777777" w:rsidR="00ED2656" w:rsidRPr="000B0175" w:rsidRDefault="00ED2656" w:rsidP="00ED2656">
      <w:pPr>
        <w:spacing w:after="0" w:line="276" w:lineRule="auto"/>
        <w:ind w:firstLine="708"/>
        <w:jc w:val="both"/>
        <w:rPr>
          <w:rFonts w:ascii="Verdana" w:eastAsia="Calibri" w:hAnsi="Verdana" w:cs="Arial"/>
          <w:bCs/>
          <w:color w:val="000000" w:themeColor="text1"/>
        </w:rPr>
      </w:pPr>
      <w:r w:rsidRPr="000B0175">
        <w:rPr>
          <w:rFonts w:ascii="Verdana" w:eastAsia="Calibri" w:hAnsi="Verdana" w:cs="Arial"/>
          <w:bCs/>
          <w:color w:val="000000" w:themeColor="text1"/>
        </w:rPr>
        <w:t xml:space="preserve">Dentro de este marco, el consultante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A3C9299" w14:textId="77777777" w:rsidR="00ED2656" w:rsidRPr="000B0175" w:rsidRDefault="00ED2656" w:rsidP="00ED2656">
      <w:pPr>
        <w:spacing w:after="0" w:line="276" w:lineRule="auto"/>
        <w:jc w:val="both"/>
        <w:rPr>
          <w:rFonts w:ascii="Verdana" w:eastAsia="Arial" w:hAnsi="Verdana" w:cs="Arial"/>
        </w:rPr>
      </w:pPr>
    </w:p>
    <w:p w14:paraId="40D0BA45" w14:textId="77777777" w:rsidR="00ED2656" w:rsidRPr="000B0175" w:rsidRDefault="00ED2656" w:rsidP="00ED2656">
      <w:pPr>
        <w:spacing w:after="0" w:line="276" w:lineRule="auto"/>
        <w:contextualSpacing/>
        <w:rPr>
          <w:rFonts w:ascii="Verdana" w:eastAsia="Calibri" w:hAnsi="Verdana" w:cs="Times New Roman"/>
          <w:b/>
          <w:bCs/>
          <w:lang w:val="es-ES"/>
        </w:rPr>
      </w:pPr>
      <w:r w:rsidRPr="000B0175">
        <w:rPr>
          <w:rFonts w:ascii="Verdana" w:eastAsia="Calibri" w:hAnsi="Verdana" w:cs="Times New Roman"/>
          <w:b/>
          <w:bCs/>
          <w:lang w:val="es-ES"/>
        </w:rPr>
        <w:t>IV. Referencias normativas:</w:t>
      </w:r>
    </w:p>
    <w:p w14:paraId="2286B5DF" w14:textId="77777777" w:rsidR="00ED2656" w:rsidRPr="000B0175" w:rsidRDefault="00ED2656" w:rsidP="00ED2656">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2656" w:rsidRPr="000B0175" w14:paraId="634B34F0" w14:textId="77777777" w:rsidTr="00DC7B3A">
        <w:trPr>
          <w:trHeight w:val="487"/>
          <w:jc w:val="center"/>
        </w:trPr>
        <w:tc>
          <w:tcPr>
            <w:tcW w:w="8647" w:type="dxa"/>
          </w:tcPr>
          <w:p w14:paraId="24FBE675"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Constitución Política, artículos 123, 127 y 219.</w:t>
            </w:r>
          </w:p>
          <w:p w14:paraId="6EC4E40D"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 xml:space="preserve">Código Sustantivo del Trabajo, artículo 22. </w:t>
            </w:r>
          </w:p>
          <w:p w14:paraId="126DC6DA"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 xml:space="preserve">Decreto 3135 de 1968, artículo 5. </w:t>
            </w:r>
          </w:p>
          <w:p w14:paraId="1872640D"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Ley 80 de 1993, artículo 32 numeral 3.</w:t>
            </w:r>
          </w:p>
          <w:p w14:paraId="77750BCE"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Ley 1150 de 2007, artículo 2 numeral 4 literal h).</w:t>
            </w:r>
          </w:p>
          <w:p w14:paraId="6052C9CE"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rPr>
              <w:t xml:space="preserve">Ley 1474 de 2011, artículos 83, 84 y 86. </w:t>
            </w:r>
          </w:p>
          <w:p w14:paraId="6314DA4C"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rPr>
              <w:t xml:space="preserve">Ley 1952 de 2019, artículo 70. </w:t>
            </w:r>
          </w:p>
          <w:p w14:paraId="3207761E" w14:textId="77777777" w:rsidR="00ED2656" w:rsidRPr="000B0175" w:rsidRDefault="00ED2656" w:rsidP="00ED2656">
            <w:pPr>
              <w:numPr>
                <w:ilvl w:val="0"/>
                <w:numId w:val="19"/>
              </w:numPr>
              <w:spacing w:before="120" w:after="120" w:line="276" w:lineRule="auto"/>
              <w:ind w:left="640" w:hanging="357"/>
              <w:jc w:val="both"/>
              <w:rPr>
                <w:rFonts w:ascii="Verdana" w:hAnsi="Verdana" w:cs="Arial"/>
                <w:lang w:val="es-ES"/>
              </w:rPr>
            </w:pPr>
            <w:r w:rsidRPr="000B0175">
              <w:rPr>
                <w:rFonts w:ascii="Verdana" w:hAnsi="Verdana" w:cs="Arial"/>
                <w:lang w:val="es-ES"/>
              </w:rPr>
              <w:t>Decreto 1082 de 2015, artículo 2.2.1.2.1.4.9.</w:t>
            </w:r>
          </w:p>
        </w:tc>
      </w:tr>
    </w:tbl>
    <w:p w14:paraId="573AC56F" w14:textId="77777777" w:rsidR="00ED2656" w:rsidRPr="000B0175" w:rsidRDefault="00ED2656" w:rsidP="00ED2656">
      <w:pPr>
        <w:spacing w:after="0" w:line="276" w:lineRule="auto"/>
        <w:ind w:left="360"/>
        <w:contextualSpacing/>
        <w:rPr>
          <w:rFonts w:ascii="Verdana" w:eastAsia="Calibri" w:hAnsi="Verdana" w:cs="Times New Roman"/>
          <w:b/>
          <w:bCs/>
          <w:lang w:val="es-ES"/>
        </w:rPr>
      </w:pPr>
    </w:p>
    <w:p w14:paraId="04B522E5" w14:textId="77777777" w:rsidR="00ED2656" w:rsidRPr="000B0175" w:rsidRDefault="00ED2656" w:rsidP="00ED2656">
      <w:pPr>
        <w:spacing w:after="0" w:line="276" w:lineRule="auto"/>
        <w:contextualSpacing/>
        <w:rPr>
          <w:rFonts w:ascii="Verdana" w:eastAsia="Calibri" w:hAnsi="Verdana" w:cs="Times New Roman"/>
          <w:b/>
          <w:bCs/>
          <w:lang w:val="es-ES"/>
        </w:rPr>
      </w:pPr>
      <w:r w:rsidRPr="000B0175">
        <w:rPr>
          <w:rFonts w:ascii="Verdana" w:eastAsia="Calibri" w:hAnsi="Verdana" w:cs="Times New Roman"/>
          <w:b/>
          <w:bCs/>
          <w:lang w:val="es-ES"/>
        </w:rPr>
        <w:t>V. Doctrina de la Agencia Nacional de Contratación Pública:</w:t>
      </w:r>
    </w:p>
    <w:p w14:paraId="3408706D" w14:textId="77777777" w:rsidR="00ED2656" w:rsidRPr="000B0175" w:rsidRDefault="00ED2656" w:rsidP="00ED2656">
      <w:pPr>
        <w:widowControl w:val="0"/>
        <w:autoSpaceDE w:val="0"/>
        <w:autoSpaceDN w:val="0"/>
        <w:spacing w:after="0" w:line="276" w:lineRule="auto"/>
        <w:jc w:val="both"/>
        <w:rPr>
          <w:rFonts w:ascii="Verdana" w:hAnsi="Verdana" w:cs="Arial"/>
          <w:bCs/>
          <w:shd w:val="clear" w:color="auto" w:fill="FFFFFF"/>
        </w:rPr>
      </w:pPr>
    </w:p>
    <w:p w14:paraId="42CDD925" w14:textId="77777777" w:rsidR="00ED2656" w:rsidRPr="000B0175" w:rsidRDefault="00ED2656" w:rsidP="00ED2656">
      <w:pPr>
        <w:widowControl w:val="0"/>
        <w:autoSpaceDE w:val="0"/>
        <w:autoSpaceDN w:val="0"/>
        <w:spacing w:after="0" w:line="276" w:lineRule="auto"/>
        <w:jc w:val="both"/>
        <w:rPr>
          <w:rFonts w:ascii="Verdana" w:hAnsi="Verdana" w:cs="Arial"/>
          <w:bCs/>
          <w:shd w:val="clear" w:color="auto" w:fill="FFFFFF"/>
        </w:rPr>
      </w:pPr>
      <w:r w:rsidRPr="000B0175">
        <w:rPr>
          <w:rFonts w:ascii="Verdana" w:hAnsi="Verdana" w:cs="Arial"/>
          <w:shd w:val="clear" w:color="auto" w:fill="FFFFFF"/>
          <w:lang w:val="es-ES"/>
        </w:rPr>
        <w:t xml:space="preserve">La Subdirección de Gestión Contractual de la Agencia Nacional de Contratación Pública – Colombia Compra Eficiente ha analizado los contratos de prestación de servicios, así como los requisitos para su celebración, entre otros, en los </w:t>
      </w:r>
      <w:r w:rsidRPr="000B0175">
        <w:rPr>
          <w:rFonts w:ascii="Verdana" w:hAnsi="Verdana" w:cs="Arial"/>
          <w:shd w:val="clear" w:color="auto" w:fill="FFFFFF"/>
          <w:lang w:val="es-ES"/>
        </w:rPr>
        <w:lastRenderedPageBreak/>
        <w:t xml:space="preserve">conceptos con radicado: 4201913000006452 del 07 de octubre de 2019, 4201912000006434 del 30 de octubre de 2019, 4201913000006444 del 01 de noviembre de 2019, 4201913000006331 del 07 de noviembre de 2019, 4201912000006692 del 12 de noviembre de 2019 de noviembre de 2019, 4201912000006692 del 12 de noviembre  de 20194201912000007378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y C-372 del 26 de Agosto 2024, C-904 del 9 de diciembre de 2024, C-227 del 27 de marzo de 2025, C-411 del 13 de mayo de 2025, C-800 del 23 de julio de 2025, C-935 del 1 de agosto de 2025, C-1098 del 8 de septiembre de 2025, C-039 del 30 de enero de 2026, C-054 del 23 de enero de 2026, entre otros. </w:t>
      </w:r>
      <w:r w:rsidRPr="000B017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E102838" w14:textId="77777777" w:rsidR="00ED2656" w:rsidRPr="000B0175" w:rsidRDefault="00ED2656" w:rsidP="00ED2656">
      <w:pPr>
        <w:widowControl w:val="0"/>
        <w:autoSpaceDE w:val="0"/>
        <w:autoSpaceDN w:val="0"/>
        <w:spacing w:after="0" w:line="276" w:lineRule="auto"/>
        <w:jc w:val="both"/>
        <w:rPr>
          <w:rFonts w:ascii="Verdana" w:hAnsi="Verdana" w:cs="Arial"/>
          <w:shd w:val="clear" w:color="auto" w:fill="FFFFFF"/>
        </w:rPr>
      </w:pPr>
      <w:hyperlink r:id="rId15" w:history="1">
        <w:r w:rsidRPr="000B0175">
          <w:rPr>
            <w:rFonts w:ascii="Verdana" w:eastAsia="Calibri" w:hAnsi="Verdana" w:cs="Times New Roman"/>
            <w:color w:val="0000FF"/>
            <w:u w:val="single"/>
            <w:lang w:val="es-ES"/>
          </w:rPr>
          <w:t>https://relatoria.colombiacompra.gov.co/busqueda/conceptos</w:t>
        </w:r>
      </w:hyperlink>
      <w:r w:rsidRPr="000B0175">
        <w:rPr>
          <w:rFonts w:ascii="Verdana" w:eastAsia="Calibri" w:hAnsi="Verdana" w:cs="Times New Roman"/>
        </w:rPr>
        <w:t>.</w:t>
      </w:r>
    </w:p>
    <w:p w14:paraId="7CE3ECFE" w14:textId="77777777" w:rsidR="00ED2656" w:rsidRPr="000B0175" w:rsidRDefault="00ED2656" w:rsidP="00ED2656">
      <w:pPr>
        <w:spacing w:after="0" w:line="276" w:lineRule="auto"/>
        <w:jc w:val="both"/>
        <w:rPr>
          <w:rFonts w:ascii="Verdana" w:hAnsi="Verdana"/>
        </w:rPr>
      </w:pPr>
    </w:p>
    <w:p w14:paraId="4F07C7D4" w14:textId="77777777" w:rsidR="00ED2656" w:rsidRPr="000B0175" w:rsidRDefault="00ED2656" w:rsidP="00ED2656">
      <w:pPr>
        <w:spacing w:after="0" w:line="256" w:lineRule="auto"/>
        <w:jc w:val="both"/>
        <w:rPr>
          <w:rFonts w:ascii="Verdana" w:eastAsia="Calibri" w:hAnsi="Verdana" w:cs="Times New Roman"/>
        </w:rPr>
      </w:pPr>
      <w:r w:rsidRPr="000B0175">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0B0175">
        <w:rPr>
          <w:rFonts w:ascii="Verdana" w:eastAsia="Calibri" w:hAnsi="Verdana" w:cs="Times New Roman"/>
          <w:b/>
          <w:bCs/>
        </w:rPr>
        <w:t>Curso de Contratación Pública Sostenible y Socialmente Responsable</w:t>
      </w:r>
      <w:r w:rsidRPr="000B0175">
        <w:rPr>
          <w:rFonts w:ascii="Verdana" w:eastAsia="Calibri" w:hAnsi="Verdana" w:cs="Times New Roman"/>
        </w:rPr>
        <w:t xml:space="preserve">, una herramienta clave para fortalecer las capacidades de todos los compradores públicos, proveedores, servidores públicos v para generar mayor valor público. Accede al curso y aprende como implementar criterios </w:t>
      </w:r>
      <w:r w:rsidRPr="000B0175">
        <w:rPr>
          <w:rFonts w:ascii="Verdana" w:eastAsia="Calibri" w:hAnsi="Verdana" w:cs="Times New Roman"/>
        </w:rPr>
        <w:lastRenderedPageBreak/>
        <w:t>sociales y ambientales en las diferentes etapas del proceso de contratación:</w:t>
      </w:r>
      <w:r w:rsidRPr="000B0175">
        <w:rPr>
          <w:rFonts w:ascii="Verdana" w:eastAsia="Calibri" w:hAnsi="Verdana" w:cs="Times New Roman"/>
        </w:rPr>
        <w:br/>
      </w:r>
      <w:hyperlink r:id="rId16" w:tgtFrame="_new" w:history="1">
        <w:r w:rsidRPr="000B0175">
          <w:rPr>
            <w:rFonts w:ascii="Verdana" w:eastAsia="Calibri" w:hAnsi="Verdana" w:cs="Times New Roman"/>
            <w:color w:val="0000FF"/>
            <w:u w:val="single"/>
          </w:rPr>
          <w:t>https://formacionvirtual.colombiacompra.gov.co/mod/page/view.php?id=3718</w:t>
        </w:r>
      </w:hyperlink>
    </w:p>
    <w:p w14:paraId="7889FE15" w14:textId="77777777" w:rsidR="00ED2656" w:rsidRPr="000B0175" w:rsidRDefault="00ED2656" w:rsidP="00ED2656">
      <w:pPr>
        <w:spacing w:after="0" w:line="256" w:lineRule="auto"/>
        <w:jc w:val="both"/>
        <w:rPr>
          <w:rFonts w:ascii="Verdana" w:eastAsia="Calibri" w:hAnsi="Verdana" w:cs="Times New Roman"/>
        </w:rPr>
      </w:pPr>
    </w:p>
    <w:p w14:paraId="60E56550" w14:textId="77777777" w:rsidR="00ED2656" w:rsidRPr="000B0175" w:rsidRDefault="00ED2656" w:rsidP="00ED2656">
      <w:pPr>
        <w:spacing w:after="0" w:line="256" w:lineRule="auto"/>
        <w:jc w:val="both"/>
        <w:rPr>
          <w:rFonts w:ascii="Verdana" w:eastAsia="Calibri" w:hAnsi="Verdana" w:cs="Times New Roman"/>
        </w:rPr>
      </w:pPr>
      <w:r w:rsidRPr="000B0175">
        <w:rPr>
          <w:rFonts w:ascii="Verdana" w:eastAsia="Calibri" w:hAnsi="Verdana" w:cs="Times New Roman"/>
        </w:rPr>
        <w:t xml:space="preserve">De otro lado, te contamos que esta Agencia ha da un paso decisivo en la estandarización y modernización del </w:t>
      </w:r>
      <w:r w:rsidRPr="000B0175">
        <w:rPr>
          <w:rFonts w:ascii="Verdana" w:eastAsia="Calibri" w:hAnsi="Verdana" w:cs="Times New Roman"/>
          <w:b/>
          <w:bCs/>
        </w:rPr>
        <w:t>sector  social</w:t>
      </w:r>
      <w:r w:rsidRPr="000B0175">
        <w:rPr>
          <w:rFonts w:ascii="Verdana" w:eastAsia="Calibri" w:hAnsi="Verdana" w:cs="Times New Roman"/>
        </w:rPr>
        <w:t xml:space="preserve"> con la expedición de las </w:t>
      </w:r>
      <w:r w:rsidRPr="000B0175">
        <w:rPr>
          <w:rFonts w:ascii="Verdana" w:eastAsia="Calibri" w:hAnsi="Verdana" w:cs="Times New Roman"/>
          <w:b/>
          <w:bCs/>
        </w:rPr>
        <w:t>Resoluciones 539, 540, 541, 952 y 953 de 2025</w:t>
      </w:r>
      <w:r w:rsidRPr="000B0175">
        <w:rPr>
          <w:rFonts w:ascii="Verdana" w:eastAsia="Calibri" w:hAnsi="Verdana" w:cs="Times New Roman"/>
        </w:rPr>
        <w:t xml:space="preserve">, </w:t>
      </w:r>
      <w:r w:rsidRPr="000B0175">
        <w:rPr>
          <w:rFonts w:ascii="Verdana" w:eastAsia="Calibri" w:hAnsi="Verdana" w:cs="Times New Roman"/>
          <w:b/>
          <w:bCs/>
        </w:rPr>
        <w:t>mediante las cuales adoptó Documentos Tipo</w:t>
      </w:r>
      <w:r w:rsidRPr="000B0175">
        <w:rPr>
          <w:rFonts w:ascii="Verdana" w:eastAsia="Calibri" w:hAnsi="Verdana" w:cs="Times New Roman"/>
        </w:rPr>
        <w:t xml:space="preserve"> para las modalidades de selección de</w:t>
      </w:r>
      <w:r w:rsidRPr="000B0175">
        <w:rPr>
          <w:rFonts w:ascii="Verdana" w:eastAsia="Calibri" w:hAnsi="Verdana" w:cs="Times New Roman"/>
          <w:b/>
          <w:bCs/>
        </w:rPr>
        <w:t xml:space="preserve"> licitación pública (versión 2), selección abreviada de menor cuantía, mínima cuantía, consultoría e interventoría</w:t>
      </w:r>
      <w:r w:rsidRPr="000B0175">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7" w:tgtFrame="_new" w:history="1">
        <w:r w:rsidRPr="000B0175">
          <w:rPr>
            <w:rFonts w:ascii="Verdana" w:eastAsia="Calibri" w:hAnsi="Verdana" w:cs="Times New Roman"/>
            <w:color w:val="0000FF"/>
            <w:u w:val="single"/>
          </w:rPr>
          <w:t>https://www.colombiacompra.gov.co/normativa-y-relatoria/documentos-tipo</w:t>
        </w:r>
      </w:hyperlink>
    </w:p>
    <w:p w14:paraId="5B6C874D" w14:textId="77777777" w:rsidR="00ED2656" w:rsidRPr="000B0175" w:rsidRDefault="00ED2656" w:rsidP="00ED2656">
      <w:pPr>
        <w:spacing w:after="0" w:line="256" w:lineRule="auto"/>
        <w:jc w:val="both"/>
        <w:rPr>
          <w:rFonts w:ascii="Verdana" w:eastAsia="Calibri" w:hAnsi="Verdana" w:cs="Times New Roman"/>
        </w:rPr>
      </w:pPr>
    </w:p>
    <w:p w14:paraId="6D8F7B9F" w14:textId="77777777" w:rsidR="00ED2656" w:rsidRPr="000B0175" w:rsidRDefault="00ED2656" w:rsidP="00ED2656">
      <w:pPr>
        <w:spacing w:after="0" w:line="256" w:lineRule="auto"/>
        <w:jc w:val="both"/>
        <w:rPr>
          <w:rFonts w:ascii="Verdana" w:eastAsia="Calibri" w:hAnsi="Verdana" w:cs="Times New Roman"/>
        </w:rPr>
      </w:pPr>
      <w:r w:rsidRPr="000B0175">
        <w:rPr>
          <w:rFonts w:ascii="Verdana" w:eastAsia="Calibri" w:hAnsi="Verdana" w:cs="Times New Roman"/>
        </w:rPr>
        <w:t xml:space="preserve">Si quieres conocer más sobre la aplicación de Documentos Tipo puedes consultar la última versión de la </w:t>
      </w:r>
      <w:r w:rsidRPr="000B0175">
        <w:rPr>
          <w:rFonts w:ascii="Verdana" w:eastAsia="Calibri" w:hAnsi="Verdana" w:cs="Times New Roman"/>
          <w:b/>
          <w:bCs/>
        </w:rPr>
        <w:t>Guía para la comprensión e implementación de los Documentos Tipo de obra pública de infraestructura de transporte</w:t>
      </w:r>
      <w:r w:rsidRPr="000B0175">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B0175">
        <w:rPr>
          <w:rFonts w:ascii="Verdana" w:eastAsia="Calibri" w:hAnsi="Verdana" w:cs="Times New Roman"/>
        </w:rPr>
        <w:br/>
      </w:r>
      <w:hyperlink r:id="rId18" w:tgtFrame="_new" w:history="1">
        <w:r w:rsidRPr="000B0175">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34867D1F" w14:textId="77777777" w:rsidR="00ED2656" w:rsidRPr="000B0175" w:rsidRDefault="00ED2656" w:rsidP="00ED2656">
      <w:pPr>
        <w:spacing w:after="0" w:line="240" w:lineRule="auto"/>
        <w:jc w:val="both"/>
        <w:rPr>
          <w:rFonts w:ascii="Verdana" w:hAnsi="Verdana"/>
        </w:rPr>
      </w:pPr>
    </w:p>
    <w:p w14:paraId="267AD991" w14:textId="77777777" w:rsidR="00ED2656" w:rsidRPr="000B0175" w:rsidRDefault="00ED2656" w:rsidP="00ED2656">
      <w:pPr>
        <w:spacing w:after="0"/>
        <w:jc w:val="both"/>
        <w:rPr>
          <w:rFonts w:ascii="Verdana" w:hAnsi="Verdana"/>
        </w:rPr>
      </w:pPr>
      <w:r w:rsidRPr="000B0175">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1F95835" w14:textId="77777777" w:rsidR="00ED2656" w:rsidRPr="000B0175" w:rsidRDefault="00ED2656" w:rsidP="00ED2656">
      <w:pPr>
        <w:spacing w:after="0"/>
        <w:jc w:val="both"/>
        <w:rPr>
          <w:rFonts w:ascii="Verdana" w:hAnsi="Verdana"/>
        </w:rPr>
      </w:pPr>
    </w:p>
    <w:p w14:paraId="65B9BC7F" w14:textId="77777777" w:rsidR="00ED2656" w:rsidRPr="000B0175" w:rsidRDefault="00ED2656" w:rsidP="00ED2656">
      <w:pPr>
        <w:numPr>
          <w:ilvl w:val="0"/>
          <w:numId w:val="15"/>
        </w:numPr>
        <w:spacing w:after="0" w:line="240" w:lineRule="auto"/>
        <w:contextualSpacing/>
        <w:jc w:val="both"/>
        <w:rPr>
          <w:rFonts w:ascii="Verdana" w:eastAsia="Verdana" w:hAnsi="Verdana" w:cs="Verdana"/>
          <w:color w:val="4472C4" w:themeColor="accent1"/>
          <w:u w:val="single"/>
          <w:lang w:val="es-MX"/>
        </w:rPr>
      </w:pPr>
      <w:r w:rsidRPr="000B0175">
        <w:rPr>
          <w:rFonts w:ascii="Verdana" w:eastAsia="Verdana" w:hAnsi="Verdana" w:cs="Verdana"/>
          <w:lang w:val="es-MX"/>
        </w:rPr>
        <w:t xml:space="preserve">Línea nacional gratuita o servicio a la ciudadanía (Mesa de servicio): </w:t>
      </w:r>
      <w:r w:rsidRPr="000B0175">
        <w:rPr>
          <w:rFonts w:ascii="Verdana" w:hAnsi="Verdana"/>
          <w:color w:val="0000FF"/>
          <w:u w:val="single"/>
          <w:lang w:val="es-ES"/>
        </w:rPr>
        <w:t>01800 0520808</w:t>
      </w:r>
    </w:p>
    <w:p w14:paraId="21814CC6" w14:textId="77777777" w:rsidR="00ED2656" w:rsidRPr="000B0175" w:rsidRDefault="00ED2656" w:rsidP="00ED2656">
      <w:pPr>
        <w:numPr>
          <w:ilvl w:val="0"/>
          <w:numId w:val="15"/>
        </w:numPr>
        <w:spacing w:after="0"/>
        <w:contextualSpacing/>
        <w:rPr>
          <w:rFonts w:ascii="Verdana" w:eastAsia="Verdana" w:hAnsi="Verdana" w:cs="Verdana"/>
          <w:color w:val="4472C4" w:themeColor="accent1"/>
          <w:u w:val="single"/>
          <w:lang w:val="es-MX"/>
        </w:rPr>
      </w:pPr>
      <w:r w:rsidRPr="000B0175">
        <w:rPr>
          <w:rFonts w:ascii="Verdana" w:eastAsia="Verdana" w:hAnsi="Verdana" w:cs="Verdana"/>
          <w:lang w:val="es-MX"/>
        </w:rPr>
        <w:t>Línea en Bogotá (Mesa de servicio):</w:t>
      </w:r>
      <w:r w:rsidRPr="000B0175">
        <w:rPr>
          <w:rFonts w:ascii="Verdana" w:hAnsi="Verdana"/>
          <w:color w:val="0000FF"/>
          <w:u w:val="single"/>
          <w:lang w:val="es-ES"/>
        </w:rPr>
        <w:t>+57 601 7456788</w:t>
      </w:r>
    </w:p>
    <w:p w14:paraId="786B0C56" w14:textId="77777777" w:rsidR="00ED2656" w:rsidRPr="000B0175" w:rsidRDefault="00ED2656" w:rsidP="00ED2656">
      <w:pPr>
        <w:numPr>
          <w:ilvl w:val="0"/>
          <w:numId w:val="15"/>
        </w:numPr>
        <w:spacing w:after="0"/>
        <w:contextualSpacing/>
        <w:rPr>
          <w:rFonts w:ascii="Verdana" w:eastAsia="Verdana" w:hAnsi="Verdana" w:cs="Verdana"/>
          <w:color w:val="0000FF"/>
          <w:u w:val="single"/>
          <w:lang w:val="es-MX"/>
        </w:rPr>
      </w:pPr>
      <w:r w:rsidRPr="000B0175">
        <w:rPr>
          <w:rFonts w:ascii="Verdana" w:eastAsia="Verdana" w:hAnsi="Verdana" w:cs="Verdana"/>
          <w:lang w:val="es-MX"/>
        </w:rPr>
        <w:lastRenderedPageBreak/>
        <w:t xml:space="preserve">Correo de radicación de correspondencia: </w:t>
      </w:r>
      <w:hyperlink r:id="rId19">
        <w:r w:rsidRPr="000B0175">
          <w:rPr>
            <w:rFonts w:ascii="Verdana" w:eastAsia="Verdana" w:hAnsi="Verdana" w:cs="Verdana"/>
            <w:color w:val="0000FF"/>
            <w:u w:val="single"/>
            <w:lang w:val="es-MX"/>
          </w:rPr>
          <w:t>ventanilladeradicacion@colombiacompra.gov.co</w:t>
        </w:r>
      </w:hyperlink>
    </w:p>
    <w:p w14:paraId="3DC5393A" w14:textId="77777777" w:rsidR="00ED2656" w:rsidRPr="000B0175" w:rsidRDefault="00ED2656" w:rsidP="00ED2656">
      <w:pPr>
        <w:numPr>
          <w:ilvl w:val="0"/>
          <w:numId w:val="15"/>
        </w:numPr>
        <w:spacing w:after="0"/>
        <w:contextualSpacing/>
        <w:rPr>
          <w:rFonts w:ascii="Verdana" w:eastAsia="Verdana" w:hAnsi="Verdana" w:cs="Verdana"/>
          <w:color w:val="0000FF"/>
          <w:u w:val="single"/>
          <w:lang w:val="es-MX"/>
        </w:rPr>
      </w:pPr>
      <w:r w:rsidRPr="000B0175">
        <w:rPr>
          <w:rFonts w:ascii="Verdana" w:eastAsia="Verdana" w:hAnsi="Verdana" w:cs="Verdana"/>
          <w:lang w:val="es-ES"/>
        </w:rPr>
        <w:t>Formulario web para</w:t>
      </w:r>
      <w:r w:rsidRPr="000B0175">
        <w:rPr>
          <w:rFonts w:ascii="Verdana" w:eastAsia="Verdana" w:hAnsi="Verdana" w:cs="Verdana"/>
          <w:lang w:val="es"/>
        </w:rPr>
        <w:t xml:space="preserve"> PQRSD: </w:t>
      </w:r>
      <w:hyperlink r:id="rId20">
        <w:r w:rsidRPr="000B0175">
          <w:rPr>
            <w:rFonts w:ascii="Verdana" w:eastAsia="Verdana" w:hAnsi="Verdana" w:cs="Verdana"/>
            <w:color w:val="0000FF"/>
            <w:u w:val="single"/>
            <w:lang w:val="es-MX"/>
          </w:rPr>
          <w:t>https://www.colombiacompra.gov.co/pqrsd/informacion-importante-antes-de-formular-una-pqrsd</w:t>
        </w:r>
      </w:hyperlink>
    </w:p>
    <w:p w14:paraId="523134D2" w14:textId="77777777" w:rsidR="00ED2656" w:rsidRPr="000B0175" w:rsidRDefault="00ED2656" w:rsidP="00ED2656">
      <w:pPr>
        <w:spacing w:after="0" w:line="240" w:lineRule="auto"/>
        <w:ind w:left="720"/>
        <w:jc w:val="both"/>
        <w:rPr>
          <w:rFonts w:ascii="Verdana" w:hAnsi="Verdana"/>
        </w:rPr>
      </w:pPr>
    </w:p>
    <w:p w14:paraId="44C43275" w14:textId="77777777" w:rsidR="00ED2656" w:rsidRPr="000B0175" w:rsidRDefault="00ED2656" w:rsidP="00ED2656">
      <w:pPr>
        <w:spacing w:after="0" w:line="240" w:lineRule="auto"/>
        <w:rPr>
          <w:rFonts w:ascii="Verdana" w:hAnsi="Verdana"/>
        </w:rPr>
      </w:pPr>
      <w:r w:rsidRPr="000B0175">
        <w:rPr>
          <w:rFonts w:ascii="Verdana" w:hAnsi="Verdana"/>
        </w:rPr>
        <w:t>Evalúa el servicio que ofrece la Agencia por el canal de atención de PQRSD en el siguiente enlace :</w:t>
      </w:r>
      <w:hyperlink r:id="rId21" w:tgtFrame="_blank" w:tooltip="https://forms.office.com/r/pphywvs2sz" w:history="1">
        <w:r w:rsidRPr="000B0175">
          <w:rPr>
            <w:rFonts w:ascii="Verdana" w:hAnsi="Verdana"/>
            <w:color w:val="0000FF"/>
            <w:u w:val="single"/>
          </w:rPr>
          <w:t>https://forms.office.com/r/pPHyWVs2SZ</w:t>
        </w:r>
      </w:hyperlink>
      <w:r w:rsidRPr="000B0175">
        <w:rPr>
          <w:rFonts w:ascii="Verdana" w:hAnsi="Verdana"/>
        </w:rPr>
        <w:t xml:space="preserve"> .¡Ayúdanos a mejorar porque el compromiso es de todos!</w:t>
      </w:r>
    </w:p>
    <w:p w14:paraId="35D087FF" w14:textId="77777777" w:rsidR="00ED2656" w:rsidRPr="000B0175" w:rsidRDefault="00ED2656" w:rsidP="00ED2656">
      <w:pPr>
        <w:spacing w:after="0" w:line="240" w:lineRule="auto"/>
        <w:rPr>
          <w:rFonts w:ascii="Verdana" w:hAnsi="Verdana"/>
        </w:rPr>
      </w:pPr>
    </w:p>
    <w:p w14:paraId="1BFE2525" w14:textId="77777777" w:rsidR="00ED2656" w:rsidRPr="000B0175" w:rsidRDefault="00ED2656" w:rsidP="00ED2656">
      <w:pPr>
        <w:spacing w:after="0" w:line="240" w:lineRule="auto"/>
        <w:jc w:val="both"/>
        <w:rPr>
          <w:rFonts w:ascii="Verdana" w:hAnsi="Verdana"/>
        </w:rPr>
      </w:pPr>
      <w:r w:rsidRPr="000B0175">
        <w:rPr>
          <w:rFonts w:ascii="Verdana" w:hAnsi="Verdana"/>
        </w:rPr>
        <w:t xml:space="preserve">Por último, lo invitamos a seguirnos en las redes sociales en las cuales se difunde información institucional: </w:t>
      </w:r>
    </w:p>
    <w:p w14:paraId="7FE3B84E" w14:textId="77777777" w:rsidR="00ED2656" w:rsidRPr="000B0175" w:rsidRDefault="00ED2656" w:rsidP="00ED2656">
      <w:pPr>
        <w:spacing w:after="0" w:line="240" w:lineRule="auto"/>
        <w:jc w:val="both"/>
        <w:rPr>
          <w:rFonts w:ascii="Verdana" w:hAnsi="Verdana"/>
        </w:rPr>
      </w:pPr>
    </w:p>
    <w:p w14:paraId="5E228D8F" w14:textId="77777777" w:rsidR="00ED2656" w:rsidRPr="000B0175" w:rsidRDefault="00ED2656" w:rsidP="00ED2656">
      <w:pPr>
        <w:spacing w:after="0" w:line="240" w:lineRule="auto"/>
        <w:jc w:val="both"/>
        <w:rPr>
          <w:rFonts w:ascii="Verdana" w:hAnsi="Verdana"/>
        </w:rPr>
      </w:pPr>
      <w:r w:rsidRPr="000B0175">
        <w:rPr>
          <w:rFonts w:ascii="Verdana" w:hAnsi="Verdana"/>
        </w:rPr>
        <w:t xml:space="preserve">Twitter: </w:t>
      </w:r>
      <w:r w:rsidRPr="000B0175">
        <w:rPr>
          <w:rFonts w:ascii="Verdana" w:hAnsi="Verdana"/>
          <w:color w:val="0000FF"/>
          <w:u w:val="single"/>
        </w:rPr>
        <w:t>@colombiacompra</w:t>
      </w:r>
      <w:r w:rsidRPr="000B0175">
        <w:rPr>
          <w:rFonts w:ascii="Verdana" w:hAnsi="Verdana"/>
        </w:rPr>
        <w:t xml:space="preserve"> </w:t>
      </w:r>
    </w:p>
    <w:p w14:paraId="6E9D7F4A" w14:textId="77777777" w:rsidR="00ED2656" w:rsidRPr="000B0175" w:rsidRDefault="00ED2656" w:rsidP="00ED2656">
      <w:pPr>
        <w:spacing w:after="0" w:line="240" w:lineRule="auto"/>
        <w:jc w:val="both"/>
        <w:rPr>
          <w:rFonts w:ascii="Verdana" w:hAnsi="Verdana"/>
        </w:rPr>
      </w:pPr>
      <w:r w:rsidRPr="000B0175">
        <w:rPr>
          <w:rFonts w:ascii="Verdana" w:hAnsi="Verdana"/>
        </w:rPr>
        <w:t xml:space="preserve">Facebook: </w:t>
      </w:r>
      <w:r w:rsidRPr="000B0175">
        <w:rPr>
          <w:rFonts w:ascii="Verdana" w:hAnsi="Verdana"/>
          <w:color w:val="0000FF"/>
          <w:u w:val="single"/>
        </w:rPr>
        <w:t>ColombiaCompraEficiente</w:t>
      </w:r>
    </w:p>
    <w:p w14:paraId="2B2919A5" w14:textId="77777777" w:rsidR="00ED2656" w:rsidRPr="000B0175" w:rsidRDefault="00ED2656" w:rsidP="00ED2656">
      <w:pPr>
        <w:spacing w:after="0" w:line="240" w:lineRule="auto"/>
        <w:jc w:val="both"/>
        <w:rPr>
          <w:rFonts w:ascii="Verdana" w:hAnsi="Verdana"/>
        </w:rPr>
      </w:pPr>
      <w:r w:rsidRPr="000B0175">
        <w:rPr>
          <w:rFonts w:ascii="Verdana" w:hAnsi="Verdana"/>
        </w:rPr>
        <w:t xml:space="preserve">LinkedIn: </w:t>
      </w:r>
      <w:r w:rsidRPr="000B0175">
        <w:rPr>
          <w:rFonts w:ascii="Verdana" w:hAnsi="Verdana"/>
          <w:color w:val="0000FF"/>
          <w:u w:val="single"/>
        </w:rPr>
        <w:t>Agencia Nacional de Contratación Pública - Colombia Compra Eficiente</w:t>
      </w:r>
      <w:r w:rsidRPr="000B0175">
        <w:rPr>
          <w:rFonts w:ascii="Verdana" w:hAnsi="Verdana"/>
        </w:rPr>
        <w:t xml:space="preserve"> Instagram: </w:t>
      </w:r>
      <w:r w:rsidRPr="000B0175">
        <w:rPr>
          <w:rFonts w:ascii="Verdana" w:hAnsi="Verdana"/>
          <w:color w:val="0000FF"/>
          <w:u w:val="single"/>
        </w:rPr>
        <w:t>@colombiacompraeficiente_cce</w:t>
      </w:r>
    </w:p>
    <w:p w14:paraId="62C987CF" w14:textId="77777777" w:rsidR="00ED2656" w:rsidRPr="000B0175" w:rsidRDefault="00ED2656" w:rsidP="00ED2656">
      <w:pPr>
        <w:spacing w:after="0" w:line="240" w:lineRule="auto"/>
        <w:jc w:val="both"/>
        <w:rPr>
          <w:rFonts w:ascii="Verdana" w:hAnsi="Verdana"/>
        </w:rPr>
      </w:pPr>
    </w:p>
    <w:p w14:paraId="686C0B3B" w14:textId="77777777" w:rsidR="00ED2656" w:rsidRPr="000B0175" w:rsidRDefault="00ED2656" w:rsidP="00ED2656">
      <w:pPr>
        <w:spacing w:after="0" w:line="256" w:lineRule="auto"/>
        <w:jc w:val="both"/>
        <w:rPr>
          <w:rFonts w:ascii="Verdana" w:eastAsia="Calibri" w:hAnsi="Verdana" w:cs="Times New Roman"/>
          <w:bCs/>
          <w:lang w:val="es-ES_tradnl"/>
        </w:rPr>
      </w:pPr>
      <w:r w:rsidRPr="000B0175">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3F7BA04" w14:textId="77777777" w:rsidR="00ED2656" w:rsidRPr="000B0175" w:rsidRDefault="00ED2656" w:rsidP="00ED2656">
      <w:pPr>
        <w:spacing w:after="0" w:line="256" w:lineRule="auto"/>
        <w:jc w:val="both"/>
        <w:rPr>
          <w:rFonts w:ascii="Verdana" w:eastAsia="Calibri" w:hAnsi="Verdana" w:cs="Times New Roman"/>
        </w:rPr>
      </w:pPr>
    </w:p>
    <w:p w14:paraId="21A7EE4B" w14:textId="77777777" w:rsidR="00ED2656" w:rsidRPr="000B0175" w:rsidRDefault="00ED2656" w:rsidP="00ED2656">
      <w:pPr>
        <w:spacing w:after="0" w:line="256" w:lineRule="auto"/>
        <w:jc w:val="both"/>
        <w:rPr>
          <w:rFonts w:ascii="Verdana" w:eastAsia="Calibri" w:hAnsi="Verdana" w:cs="Times New Roman"/>
        </w:rPr>
      </w:pPr>
      <w:r w:rsidRPr="000B0175">
        <w:rPr>
          <w:rFonts w:ascii="Verdana" w:eastAsia="Calibri" w:hAnsi="Verdana" w:cs="Times New Roman"/>
        </w:rPr>
        <w:t>Atentamente,</w:t>
      </w:r>
    </w:p>
    <w:p w14:paraId="426D679F" w14:textId="77777777" w:rsidR="00ED2656" w:rsidRPr="000B0175" w:rsidRDefault="00ED2656" w:rsidP="00ED2656">
      <w:pPr>
        <w:spacing w:after="0" w:line="256" w:lineRule="auto"/>
        <w:jc w:val="both"/>
        <w:rPr>
          <w:rFonts w:ascii="Century Gothic" w:hAnsi="Century Gothic"/>
          <w:noProof/>
          <w:lang w:val="en-US"/>
        </w:rPr>
      </w:pPr>
    </w:p>
    <w:p w14:paraId="7A2D1753" w14:textId="3A6607FD" w:rsidR="00ED2656" w:rsidRPr="000B0175" w:rsidRDefault="00E77230" w:rsidP="00ED2656">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74D3B44" wp14:editId="68E78F0B">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312722" cy="1229722"/>
                    </a:xfrm>
                    <a:prstGeom prst="rect">
                      <a:avLst/>
                    </a:prstGeom>
                  </pic:spPr>
                </pic:pic>
              </a:graphicData>
            </a:graphic>
          </wp:inline>
        </w:drawing>
      </w:r>
    </w:p>
    <w:p w14:paraId="2EE4BFD1" w14:textId="77777777" w:rsidR="00ED2656" w:rsidRPr="000B0175" w:rsidRDefault="00ED2656" w:rsidP="00ED2656">
      <w:pPr>
        <w:spacing w:after="0" w:line="256" w:lineRule="auto"/>
        <w:rPr>
          <w:rFonts w:ascii="Verdana" w:hAnsi="Verdana"/>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ED2656" w:rsidRPr="000B0175" w14:paraId="1E5AB25F" w14:textId="77777777" w:rsidTr="00DC7B3A">
        <w:trPr>
          <w:trHeight w:val="409"/>
        </w:trPr>
        <w:tc>
          <w:tcPr>
            <w:tcW w:w="817" w:type="dxa"/>
            <w:tcBorders>
              <w:top w:val="nil"/>
              <w:left w:val="nil"/>
              <w:bottom w:val="nil"/>
              <w:right w:val="nil"/>
            </w:tcBorders>
            <w:vAlign w:val="center"/>
            <w:hideMark/>
          </w:tcPr>
          <w:p w14:paraId="189F87B9"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B269308"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José Luis Sánchez Cardona</w:t>
            </w:r>
          </w:p>
          <w:p w14:paraId="51E3770B"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Contratista de la Subdirección de Gestión Contractual</w:t>
            </w:r>
          </w:p>
        </w:tc>
      </w:tr>
      <w:tr w:rsidR="00ED2656" w:rsidRPr="000B0175" w14:paraId="5253E0B6" w14:textId="77777777" w:rsidTr="00DC7B3A">
        <w:trPr>
          <w:trHeight w:val="409"/>
        </w:trPr>
        <w:tc>
          <w:tcPr>
            <w:tcW w:w="817" w:type="dxa"/>
            <w:tcBorders>
              <w:top w:val="nil"/>
              <w:left w:val="nil"/>
              <w:bottom w:val="nil"/>
              <w:right w:val="nil"/>
            </w:tcBorders>
            <w:vAlign w:val="center"/>
            <w:hideMark/>
          </w:tcPr>
          <w:p w14:paraId="1879A408"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D967F41" w14:textId="77777777" w:rsidR="00ED2656" w:rsidRPr="000B0175" w:rsidRDefault="00ED2656" w:rsidP="00DC7B3A">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619CAADE"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Contratista de la Subdirección de Gestión Contractual </w:t>
            </w:r>
          </w:p>
        </w:tc>
      </w:tr>
      <w:tr w:rsidR="00ED2656" w:rsidRPr="000B0175" w14:paraId="302365DB" w14:textId="77777777" w:rsidTr="00DC7B3A">
        <w:trPr>
          <w:trHeight w:val="389"/>
        </w:trPr>
        <w:tc>
          <w:tcPr>
            <w:tcW w:w="817" w:type="dxa"/>
            <w:tcBorders>
              <w:top w:val="nil"/>
              <w:left w:val="nil"/>
              <w:bottom w:val="nil"/>
              <w:right w:val="nil"/>
            </w:tcBorders>
            <w:vAlign w:val="center"/>
            <w:hideMark/>
          </w:tcPr>
          <w:p w14:paraId="76E08CB1"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F8255B1"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Carolina Quintero Gacharná</w:t>
            </w:r>
          </w:p>
          <w:p w14:paraId="661E36A6" w14:textId="77777777" w:rsidR="00ED2656" w:rsidRPr="000B0175" w:rsidRDefault="00ED2656" w:rsidP="00DC7B3A">
            <w:pPr>
              <w:spacing w:after="0" w:line="256" w:lineRule="auto"/>
              <w:rPr>
                <w:rFonts w:ascii="Verdana" w:eastAsia="Calibri" w:hAnsi="Verdana" w:cs="Times New Roman"/>
                <w:sz w:val="16"/>
                <w:szCs w:val="16"/>
              </w:rPr>
            </w:pPr>
            <w:r w:rsidRPr="000B0175">
              <w:rPr>
                <w:rFonts w:ascii="Verdana" w:eastAsia="Calibri" w:hAnsi="Verdana" w:cs="Times New Roman"/>
                <w:sz w:val="16"/>
                <w:szCs w:val="16"/>
              </w:rPr>
              <w:t>Subdirectora de Gestión Contractual ANCP – CCE</w:t>
            </w:r>
          </w:p>
        </w:tc>
      </w:tr>
      <w:bookmarkEnd w:id="0"/>
    </w:tbl>
    <w:p w14:paraId="5D64733D" w14:textId="27AB789B" w:rsidR="007A1830" w:rsidRPr="00E64A5A" w:rsidRDefault="007A1830" w:rsidP="00E64A5A">
      <w:pPr>
        <w:spacing w:after="0" w:line="240" w:lineRule="auto"/>
        <w:textAlignment w:val="baseline"/>
        <w:rPr>
          <w:rFonts w:ascii="Verdana" w:eastAsia="Verdana" w:hAnsi="Verdana" w:cs="Verdana"/>
          <w:lang w:eastAsia="es-CO"/>
        </w:rPr>
      </w:pPr>
    </w:p>
    <w:sectPr w:rsidR="007A1830" w:rsidRPr="00E64A5A"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50D2C6" w14:textId="77777777" w:rsidR="0001248B" w:rsidRDefault="0001248B" w:rsidP="004A1847">
      <w:pPr>
        <w:spacing w:after="0" w:line="240" w:lineRule="auto"/>
      </w:pPr>
      <w:r>
        <w:separator/>
      </w:r>
    </w:p>
  </w:endnote>
  <w:endnote w:type="continuationSeparator" w:id="0">
    <w:p w14:paraId="0012DC25" w14:textId="77777777" w:rsidR="0001248B" w:rsidRDefault="0001248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rial Nova">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95ABC3E"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E64A5A" w:rsidRPr="00E64A5A">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D3242" w14:textId="77777777" w:rsidR="0001248B" w:rsidRDefault="0001248B" w:rsidP="004A1847">
      <w:pPr>
        <w:spacing w:after="0" w:line="240" w:lineRule="auto"/>
      </w:pPr>
      <w:r>
        <w:separator/>
      </w:r>
    </w:p>
  </w:footnote>
  <w:footnote w:type="continuationSeparator" w:id="0">
    <w:p w14:paraId="3C32F3A4" w14:textId="77777777" w:rsidR="0001248B" w:rsidRDefault="0001248B" w:rsidP="004A1847">
      <w:pPr>
        <w:spacing w:after="0" w:line="240" w:lineRule="auto"/>
      </w:pPr>
      <w:r>
        <w:continuationSeparator/>
      </w:r>
    </w:p>
  </w:footnote>
  <w:footnote w:id="1">
    <w:p w14:paraId="7F32FA74"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61BF3BD6"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2">
    <w:p w14:paraId="006758CA" w14:textId="77777777" w:rsidR="00ED2656" w:rsidRPr="00337320" w:rsidRDefault="00ED2656" w:rsidP="00ED2656">
      <w:pPr>
        <w:pStyle w:val="Textonotapie"/>
        <w:ind w:firstLine="708"/>
        <w:jc w:val="both"/>
        <w:rPr>
          <w:rFonts w:ascii="Verdana" w:hAnsi="Verdana" w:cs="Arial"/>
          <w:color w:val="000000"/>
          <w:sz w:val="16"/>
          <w:szCs w:val="16"/>
          <w:lang w:val="pt-BR"/>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Corte Constitucional. Sentencia C-154 de 1997. M.P. Hernando Herrera Vergara.</w:t>
      </w:r>
    </w:p>
  </w:footnote>
  <w:footnote w:id="3">
    <w:p w14:paraId="17C5DAE8" w14:textId="77777777" w:rsidR="00ED2656" w:rsidRPr="00337320" w:rsidRDefault="00ED2656" w:rsidP="00ED2656">
      <w:pPr>
        <w:spacing w:after="0"/>
        <w:ind w:firstLine="708"/>
        <w:jc w:val="both"/>
        <w:rPr>
          <w:rFonts w:ascii="Verdana" w:eastAsia="Arial Nova" w:hAnsi="Verdana" w:cs="Arial"/>
          <w:sz w:val="16"/>
          <w:szCs w:val="16"/>
          <w:lang w:val="pt-BR"/>
        </w:rPr>
      </w:pPr>
      <w:r w:rsidRPr="00214997">
        <w:rPr>
          <w:rStyle w:val="Refdenotaalpie"/>
          <w:rFonts w:ascii="Verdana" w:hAnsi="Verdana" w:cs="Arial"/>
          <w:sz w:val="16"/>
          <w:szCs w:val="16"/>
        </w:rPr>
        <w:footnoteRef/>
      </w:r>
      <w:r w:rsidRPr="00337320">
        <w:rPr>
          <w:rFonts w:ascii="Verdana" w:hAnsi="Verdana" w:cs="Arial"/>
          <w:sz w:val="16"/>
          <w:szCs w:val="16"/>
          <w:lang w:val="pt-BR"/>
        </w:rPr>
        <w:t xml:space="preserve"> </w:t>
      </w:r>
      <w:r w:rsidRPr="00337320">
        <w:rPr>
          <w:rFonts w:ascii="Verdana" w:eastAsia="Arial Nova" w:hAnsi="Verdana" w:cs="Arial"/>
          <w:sz w:val="16"/>
          <w:szCs w:val="16"/>
          <w:lang w:val="pt-BR"/>
        </w:rPr>
        <w:t xml:space="preserve">Corte Constitucional. Sentencia C-614 de 2009. M.P. Jorge Ignacio Pretelt Chaljub. </w:t>
      </w:r>
    </w:p>
  </w:footnote>
  <w:footnote w:id="4">
    <w:p w14:paraId="1C6BBF7D" w14:textId="77777777" w:rsidR="00ED2656" w:rsidRPr="00214997" w:rsidRDefault="00ED2656" w:rsidP="00ED2656">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 xml:space="preserve">Corte Constitucional. Sentencia C-154 de 1997. </w:t>
      </w:r>
      <w:r w:rsidRPr="00214997">
        <w:rPr>
          <w:rFonts w:ascii="Verdana" w:hAnsi="Verdana" w:cs="Arial"/>
          <w:color w:val="000000"/>
          <w:sz w:val="16"/>
          <w:szCs w:val="16"/>
          <w:lang w:val="es-ES"/>
        </w:rPr>
        <w:t>Magistrado Ponente: Hernando Herrera Vergara.</w:t>
      </w:r>
    </w:p>
  </w:footnote>
  <w:footnote w:id="5">
    <w:p w14:paraId="6C9DF202"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6">
    <w:p w14:paraId="025A33B6"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97E7FB1"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64F59A71"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7">
    <w:p w14:paraId="3D32DC88"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6343346E"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1. La causal que invoca para contratar directamente.</w:t>
      </w:r>
    </w:p>
    <w:p w14:paraId="243F56CD"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El objeto del contrato.</w:t>
      </w:r>
    </w:p>
    <w:p w14:paraId="2CF1AD19"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3. El presupuesto para la contratación y las condiciones que exigirá al contratista.</w:t>
      </w:r>
    </w:p>
    <w:p w14:paraId="4E8A5B84"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4. El lugar en el cual los interesados pueden consultar los estudios y documentos previos.</w:t>
      </w:r>
    </w:p>
    <w:p w14:paraId="2CE5C313"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8">
    <w:p w14:paraId="05798DDE"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Esta norma expresa: “</w:t>
      </w:r>
      <w:r w:rsidRPr="00214997">
        <w:rPr>
          <w:rFonts w:ascii="Verdana" w:hAnsi="Verdana" w:cs="Arial"/>
          <w:color w:val="000000"/>
          <w:sz w:val="16"/>
          <w:szCs w:val="16"/>
        </w:rPr>
        <w:t>P</w:t>
      </w:r>
      <w:r w:rsidRPr="00214997">
        <w:rPr>
          <w:rFonts w:ascii="Verdana" w:hAnsi="Verdana" w:cs="Arial"/>
          <w:color w:val="000000"/>
          <w:sz w:val="16"/>
          <w:szCs w:val="16"/>
          <w:lang w:val="es-ES"/>
        </w:rPr>
        <w:t>ara el cumplimiento de los fines de la contratación, las entidades estatales al celebrar un contrato:</w:t>
      </w:r>
    </w:p>
    <w:p w14:paraId="23442896"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p w14:paraId="08D5B90B"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A289778"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Las entidades estatales podrán pactar estas cláusulas en los contratos de suministro y de prestación de servicios.</w:t>
      </w:r>
    </w:p>
    <w:p w14:paraId="52477A1C"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footnote>
  <w:footnote w:id="9">
    <w:p w14:paraId="1B2461C3" w14:textId="77777777" w:rsidR="00ED2656" w:rsidRPr="00214997" w:rsidRDefault="00ED2656" w:rsidP="00ED2656">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0">
    <w:p w14:paraId="5DC7244B" w14:textId="77777777" w:rsidR="00ED2656" w:rsidRPr="00214997" w:rsidRDefault="00ED2656" w:rsidP="00ED2656">
      <w:pPr>
        <w:pStyle w:val="Textonotapie"/>
        <w:ind w:firstLine="709"/>
        <w:jc w:val="both"/>
        <w:rPr>
          <w:rFonts w:ascii="Verdana" w:hAnsi="Verdana" w:cs="Arial"/>
          <w:color w:val="000000"/>
          <w:sz w:val="16"/>
          <w:szCs w:val="16"/>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BC842C3" w14:textId="77777777" w:rsidR="00ED2656" w:rsidRPr="00214997" w:rsidRDefault="00ED2656" w:rsidP="00ED2656">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CB613CD" w14:textId="77777777" w:rsidR="00ED2656" w:rsidRPr="00214997" w:rsidRDefault="00ED2656" w:rsidP="00ED2656">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w:t>
      </w:r>
    </w:p>
  </w:footnote>
  <w:footnote w:id="11">
    <w:p w14:paraId="40225499" w14:textId="77777777" w:rsidR="00ED2656" w:rsidRPr="00214997" w:rsidRDefault="00ED2656" w:rsidP="00ED2656">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2">
    <w:p w14:paraId="0014431C" w14:textId="77777777" w:rsidR="00ED2656" w:rsidRPr="00546396" w:rsidRDefault="00ED2656" w:rsidP="00ED2656">
      <w:pPr>
        <w:pStyle w:val="Textonotapie"/>
        <w:ind w:firstLine="708"/>
        <w:jc w:val="both"/>
        <w:rPr>
          <w:rFonts w:ascii="Verdana" w:hAnsi="Verdana"/>
          <w:sz w:val="16"/>
          <w:szCs w:val="16"/>
          <w:lang w:val="es-CO"/>
        </w:rPr>
      </w:pPr>
      <w:r w:rsidRPr="00546396">
        <w:rPr>
          <w:rStyle w:val="Refdenotaalpie"/>
          <w:rFonts w:ascii="Verdana" w:hAnsi="Verdana"/>
          <w:sz w:val="16"/>
          <w:szCs w:val="16"/>
        </w:rPr>
        <w:footnoteRef/>
      </w:r>
      <w:r w:rsidRPr="00546396">
        <w:rPr>
          <w:rFonts w:ascii="Verdana" w:hAnsi="Verdana"/>
          <w:sz w:val="16"/>
          <w:szCs w:val="16"/>
        </w:rPr>
        <w:t xml:space="preserve"> </w:t>
      </w:r>
      <w:r w:rsidRPr="00546396">
        <w:rPr>
          <w:rFonts w:ascii="Verdana" w:hAnsi="Verdana"/>
          <w:bCs/>
          <w:sz w:val="16"/>
          <w:szCs w:val="16"/>
          <w:lang w:val="es-CO"/>
        </w:rPr>
        <w:t>Artículo 123.</w:t>
      </w:r>
      <w:r w:rsidRPr="00546396">
        <w:rPr>
          <w:rFonts w:ascii="Verdana" w:hAnsi="Verdana"/>
          <w:sz w:val="16"/>
          <w:szCs w:val="16"/>
          <w:lang w:val="es-CO"/>
        </w:rPr>
        <w:t> Son servidores públicos los miembros de las corporaciones públicas, los empleados y trabajadores del Estado y de sus entidades descentralizadas territorialmente y por servicios. </w:t>
      </w:r>
    </w:p>
    <w:p w14:paraId="245F2E43" w14:textId="77777777" w:rsidR="00ED2656" w:rsidRPr="00546396" w:rsidRDefault="00ED2656" w:rsidP="00ED2656">
      <w:pPr>
        <w:pStyle w:val="Textonotapie"/>
        <w:ind w:firstLine="708"/>
        <w:jc w:val="both"/>
        <w:rPr>
          <w:rFonts w:ascii="Verdana" w:hAnsi="Verdana"/>
          <w:sz w:val="16"/>
          <w:szCs w:val="16"/>
          <w:lang w:val="es-CO"/>
        </w:rPr>
      </w:pPr>
      <w:r w:rsidRPr="00546396">
        <w:rPr>
          <w:rFonts w:ascii="Verdana" w:hAnsi="Verdana"/>
          <w:sz w:val="16"/>
          <w:szCs w:val="16"/>
          <w:lang w:val="es-CO"/>
        </w:rPr>
        <w:t>Los servidores públicos están al servicio del Estado y de la comunidad; ejercerán sus funciones en la forma prevista por la Constitución, la ley y el reglamento. </w:t>
      </w:r>
    </w:p>
    <w:p w14:paraId="727E96CE" w14:textId="77777777" w:rsidR="00ED2656" w:rsidRPr="00546396" w:rsidRDefault="00ED2656" w:rsidP="00ED2656">
      <w:pPr>
        <w:pStyle w:val="Textonotapie"/>
        <w:ind w:firstLine="708"/>
        <w:jc w:val="both"/>
        <w:rPr>
          <w:rFonts w:ascii="Verdana" w:hAnsi="Verdana"/>
          <w:sz w:val="16"/>
          <w:szCs w:val="16"/>
          <w:lang w:val="es-CO"/>
        </w:rPr>
      </w:pPr>
      <w:r w:rsidRPr="00546396">
        <w:rPr>
          <w:rFonts w:ascii="Verdana" w:hAnsi="Verdana"/>
          <w:sz w:val="16"/>
          <w:szCs w:val="16"/>
          <w:lang w:val="es-CO"/>
        </w:rPr>
        <w:t>La ley determinará el régimen aplicable a los particulares que temporalmente desempeñen funciones públicas y regulará su ejercicio. </w:t>
      </w:r>
    </w:p>
  </w:footnote>
  <w:footnote w:id="13">
    <w:p w14:paraId="7D6C5BD6" w14:textId="77777777" w:rsidR="00ED2656" w:rsidRPr="000B0175" w:rsidRDefault="00ED2656" w:rsidP="00ED2656">
      <w:pPr>
        <w:pStyle w:val="Textonotapie"/>
        <w:ind w:firstLine="708"/>
        <w:jc w:val="both"/>
        <w:rPr>
          <w:rFonts w:ascii="Verdana" w:hAnsi="Verdana"/>
          <w:sz w:val="16"/>
          <w:szCs w:val="16"/>
        </w:rPr>
      </w:pPr>
      <w:r w:rsidRPr="00214997">
        <w:rPr>
          <w:rStyle w:val="Refdenotaalpie"/>
          <w:rFonts w:ascii="Verdana" w:hAnsi="Verdana"/>
          <w:sz w:val="16"/>
          <w:szCs w:val="16"/>
        </w:rPr>
        <w:footnoteRef/>
      </w:r>
      <w:r w:rsidRPr="00214997">
        <w:rPr>
          <w:rFonts w:ascii="Verdana" w:hAnsi="Verdana"/>
          <w:sz w:val="16"/>
          <w:szCs w:val="16"/>
        </w:rPr>
        <w:t xml:space="preserve"> Consejo de Estado, Sala de Consulta y Servicio Civil. Concepto </w:t>
      </w:r>
      <w:r w:rsidRPr="00214997">
        <w:rPr>
          <w:rFonts w:ascii="Verdana" w:hAnsi="Verdana"/>
          <w:bCs/>
          <w:sz w:val="16"/>
          <w:szCs w:val="16"/>
          <w:lang w:val="es-ES_tradnl"/>
        </w:rPr>
        <w:t xml:space="preserve">del 10 de mayo de 2001. Rad. No </w:t>
      </w:r>
      <w:r w:rsidRPr="000B0175">
        <w:rPr>
          <w:rFonts w:ascii="Verdana" w:hAnsi="Verdana"/>
          <w:bCs/>
          <w:sz w:val="16"/>
          <w:szCs w:val="16"/>
          <w:lang w:val="es-ES_tradnl"/>
        </w:rPr>
        <w:t xml:space="preserve">1.344. C.P. Flavio Augusto Rodríguez Arce. </w:t>
      </w:r>
    </w:p>
  </w:footnote>
  <w:footnote w:id="14">
    <w:p w14:paraId="410C1C73" w14:textId="77777777" w:rsidR="00ED2656" w:rsidRPr="000B0175" w:rsidRDefault="00ED2656" w:rsidP="00ED2656">
      <w:pPr>
        <w:pStyle w:val="Textonotapie"/>
        <w:ind w:firstLine="708"/>
        <w:jc w:val="both"/>
        <w:rPr>
          <w:rFonts w:ascii="Verdana" w:hAnsi="Verdana"/>
          <w:sz w:val="16"/>
          <w:szCs w:val="16"/>
          <w:lang w:val="es-CO"/>
        </w:rPr>
      </w:pPr>
      <w:r w:rsidRPr="000B0175">
        <w:rPr>
          <w:rStyle w:val="Refdenotaalpie"/>
          <w:rFonts w:ascii="Verdana" w:hAnsi="Verdana"/>
          <w:sz w:val="16"/>
          <w:szCs w:val="16"/>
        </w:rPr>
        <w:footnoteRef/>
      </w:r>
      <w:r w:rsidRPr="000B0175">
        <w:rPr>
          <w:rFonts w:ascii="Verdana" w:hAnsi="Verdana"/>
          <w:sz w:val="16"/>
          <w:szCs w:val="16"/>
        </w:rPr>
        <w:t xml:space="preserve"> </w:t>
      </w:r>
      <w:r w:rsidRPr="000B0175">
        <w:rPr>
          <w:rFonts w:ascii="Verdana" w:hAnsi="Verdana"/>
          <w:bCs/>
          <w:sz w:val="16"/>
          <w:szCs w:val="16"/>
          <w:lang w:val="es-CO"/>
        </w:rPr>
        <w:t>Artículo 84.</w:t>
      </w:r>
      <w:r>
        <w:rPr>
          <w:rFonts w:ascii="Verdana" w:hAnsi="Verdana"/>
          <w:bCs/>
          <w:sz w:val="16"/>
          <w:szCs w:val="16"/>
          <w:lang w:val="es-CO"/>
        </w:rPr>
        <w:t xml:space="preserve"> </w:t>
      </w:r>
      <w:r w:rsidRPr="000B0175">
        <w:rPr>
          <w:rFonts w:ascii="Verdana" w:hAnsi="Verdana"/>
          <w:bCs/>
          <w:i/>
          <w:iCs/>
          <w:sz w:val="16"/>
          <w:szCs w:val="16"/>
          <w:lang w:val="es-CO"/>
        </w:rPr>
        <w:t>Facultades y deberes de los supervisores y los interventores.</w:t>
      </w:r>
      <w:r w:rsidRPr="000B0175">
        <w:rPr>
          <w:rFonts w:ascii="Verdana" w:hAnsi="Verdana"/>
          <w:sz w:val="16"/>
          <w:szCs w:val="16"/>
          <w:lang w:val="es-CO"/>
        </w:rPr>
        <w:t> La supervisión e interventoría contractual implica el seguimiento al ejercicio del cumplimiento obligacional por la entidad contratante sobre las obligaciones a cargo del contratista. </w:t>
      </w:r>
    </w:p>
    <w:p w14:paraId="08AC3D6D" w14:textId="77777777" w:rsidR="00ED2656" w:rsidRPr="000B0175" w:rsidRDefault="00ED2656" w:rsidP="00ED2656">
      <w:pPr>
        <w:pStyle w:val="Textonotapie"/>
        <w:ind w:firstLine="708"/>
        <w:jc w:val="both"/>
        <w:rPr>
          <w:rFonts w:ascii="Verdana" w:hAnsi="Verdana"/>
          <w:sz w:val="16"/>
          <w:szCs w:val="16"/>
          <w:lang w:val="es-CO"/>
        </w:rPr>
      </w:pPr>
      <w:r w:rsidRPr="000B0175">
        <w:rPr>
          <w:rFonts w:ascii="Verdana" w:hAnsi="Verdana"/>
          <w:sz w:val="16"/>
          <w:szCs w:val="16"/>
          <w:lang w:val="es-CO"/>
        </w:rPr>
        <w:t>Los interventores y supervisores están facultados para solicitar informes, aclaraciones y explicaciones sobre el desarrollo de la ejecución contractual, y serán responsables por mantener informada a la entidad contratante de los hechos o circunstancias que puedan constituir actos de corrupción tipificados como conductas punibles, o que puedan poner o pongan en riesgo el cumplimiento del contrato, o cuando tal incumplimiento se presente. </w:t>
      </w:r>
    </w:p>
    <w:p w14:paraId="52BD2350" w14:textId="77777777" w:rsidR="00ED2656" w:rsidRPr="000B0175" w:rsidRDefault="00ED2656" w:rsidP="00ED2656">
      <w:pPr>
        <w:pStyle w:val="Textonotapie"/>
        <w:rPr>
          <w:lang w:val="es-ES"/>
        </w:rPr>
      </w:pPr>
    </w:p>
  </w:footnote>
  <w:footnote w:id="15">
    <w:p w14:paraId="3D008E0D" w14:textId="77777777" w:rsidR="00ED2656" w:rsidRPr="006B6C2D" w:rsidRDefault="00ED2656" w:rsidP="00ED2656">
      <w:pPr>
        <w:pStyle w:val="NormalWeb"/>
        <w:spacing w:before="0" w:beforeAutospacing="0" w:after="0" w:afterAutospacing="0"/>
        <w:ind w:firstLine="708"/>
        <w:jc w:val="both"/>
        <w:rPr>
          <w:rFonts w:ascii="Verdana" w:hAnsi="Verdana" w:cs="Arial"/>
          <w:color w:val="000000"/>
          <w:sz w:val="16"/>
          <w:szCs w:val="16"/>
        </w:rPr>
      </w:pPr>
      <w:r w:rsidRPr="006B6C2D">
        <w:rPr>
          <w:rStyle w:val="Refdenotaalpie"/>
          <w:rFonts w:ascii="Verdana" w:hAnsi="Verdana"/>
          <w:sz w:val="16"/>
          <w:szCs w:val="16"/>
        </w:rPr>
        <w:footnoteRef/>
      </w:r>
      <w:r w:rsidRPr="006B6C2D">
        <w:rPr>
          <w:rFonts w:ascii="Verdana" w:hAnsi="Verdana"/>
          <w:sz w:val="16"/>
          <w:szCs w:val="16"/>
        </w:rPr>
        <w:t xml:space="preserve"> </w:t>
      </w:r>
      <w:r w:rsidRPr="00272281">
        <w:rPr>
          <w:rStyle w:val="Fuerte"/>
          <w:rFonts w:ascii="Verdana" w:hAnsi="Verdana" w:cs="Arial"/>
          <w:color w:val="000000"/>
          <w:sz w:val="16"/>
          <w:szCs w:val="16"/>
        </w:rPr>
        <w:t>Artículo 70</w:t>
      </w:r>
      <w:r w:rsidRPr="00272281">
        <w:rPr>
          <w:rFonts w:ascii="Verdana" w:hAnsi="Verdana" w:cs="Arial"/>
          <w:b/>
          <w:bCs/>
          <w:color w:val="000000"/>
          <w:sz w:val="16"/>
          <w:szCs w:val="16"/>
        </w:rPr>
        <w:t>.</w:t>
      </w:r>
      <w:r w:rsidRPr="006B6C2D">
        <w:rPr>
          <w:rFonts w:ascii="Verdana" w:hAnsi="Verdana" w:cs="Arial"/>
          <w:b/>
          <w:bCs/>
          <w:color w:val="000000"/>
          <w:sz w:val="16"/>
          <w:szCs w:val="16"/>
        </w:rPr>
        <w:t> </w:t>
      </w:r>
      <w:r w:rsidRPr="006B6C2D">
        <w:rPr>
          <w:rStyle w:val="nfasis"/>
          <w:rFonts w:ascii="Verdana" w:hAnsi="Verdana" w:cs="Arial"/>
          <w:color w:val="000000"/>
          <w:sz w:val="16"/>
          <w:szCs w:val="16"/>
        </w:rPr>
        <w:t>Sujetos disciplinables</w:t>
      </w:r>
      <w:r w:rsidRPr="006B6C2D">
        <w:rPr>
          <w:rStyle w:val="Fuerte"/>
          <w:rFonts w:ascii="Verdana" w:hAnsi="Verdana" w:cs="Arial"/>
          <w:color w:val="000000"/>
          <w:sz w:val="16"/>
          <w:szCs w:val="16"/>
        </w:rPr>
        <w:t>.</w:t>
      </w:r>
      <w:r w:rsidRPr="006B6C2D">
        <w:rPr>
          <w:rFonts w:ascii="Verdana" w:hAnsi="Verdana" w:cs="Arial"/>
          <w:color w:val="000000"/>
          <w:sz w:val="16"/>
          <w:szCs w:val="16"/>
        </w:rPr>
        <w:t> El presente régimen se aplica a los particulares que ejerzan funciones públicas de manera permanente o transitoria; que administren recursos públicos; que cumplan labores de interventoría o supervisión en los contratos estatales y a los auxiliares de la justicia. </w:t>
      </w:r>
    </w:p>
    <w:p w14:paraId="59566854" w14:textId="77777777" w:rsidR="00ED2656" w:rsidRPr="006B6C2D" w:rsidRDefault="00ED2656" w:rsidP="00ED2656">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Los auxiliares de la justicia serán disciplinables conforme a este Código, sin perjuicio del poder correctivo del juez ante cuyo despacho intervengan. </w:t>
      </w:r>
    </w:p>
    <w:p w14:paraId="62ED5606" w14:textId="77777777" w:rsidR="00ED2656" w:rsidRPr="006B6C2D" w:rsidRDefault="00ED2656" w:rsidP="00ED2656">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Se entiende que ejerce función pública aquel particular que, por disposición legal, acto administrativo, convenio o contrato, desarrolle o realice prerrogativas exclusivas de los órganos del Estado. No serán disciplinables aquellos particulares que presten servicios públicos, salvo que en ejercicio de dichas actividades desempeñen funciones públicas, evento en el cual resultarán destinatarios de las normas disciplinarias. </w:t>
      </w:r>
    </w:p>
    <w:p w14:paraId="460A1984" w14:textId="77777777" w:rsidR="00ED2656" w:rsidRPr="006B6C2D" w:rsidRDefault="00ED2656" w:rsidP="00ED2656">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Administran recursos públicos aquellos particulares que recaudan, custodian, liquidan o disponen el uso de rentas parafiscales, de rentas que hacen parte del presupuesto de las entidades públicas o que estas últimas han destinado para su utilización con fines específicos. </w:t>
      </w:r>
    </w:p>
    <w:p w14:paraId="0C81C807" w14:textId="77777777" w:rsidR="00ED2656" w:rsidRPr="006B6C2D" w:rsidRDefault="00ED2656" w:rsidP="00ED2656">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Cuando se trate de personas jurídicas la responsabilidad disciplinaria será exigible tanto al representante legal como a los miembros de la Junta Directiva, según el caso. </w:t>
      </w:r>
    </w:p>
    <w:p w14:paraId="69E37DAC" w14:textId="77777777" w:rsidR="00ED2656" w:rsidRPr="006B6C2D" w:rsidRDefault="00ED2656" w:rsidP="00ED2656">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0A7E04"/>
    <w:multiLevelType w:val="hybridMultilevel"/>
    <w:tmpl w:val="FC62E3D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58713256">
    <w:abstractNumId w:val="8"/>
  </w:num>
  <w:num w:numId="2" w16cid:durableId="912398331">
    <w:abstractNumId w:val="2"/>
  </w:num>
  <w:num w:numId="3" w16cid:durableId="2143838707">
    <w:abstractNumId w:val="6"/>
  </w:num>
  <w:num w:numId="4" w16cid:durableId="4658967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09735642">
    <w:abstractNumId w:val="2"/>
  </w:num>
  <w:num w:numId="6" w16cid:durableId="2015449435">
    <w:abstractNumId w:val="15"/>
  </w:num>
  <w:num w:numId="7" w16cid:durableId="433719259">
    <w:abstractNumId w:val="7"/>
  </w:num>
  <w:num w:numId="8" w16cid:durableId="227230446">
    <w:abstractNumId w:val="14"/>
  </w:num>
  <w:num w:numId="9" w16cid:durableId="1601835347">
    <w:abstractNumId w:val="9"/>
  </w:num>
  <w:num w:numId="10" w16cid:durableId="1747071715">
    <w:abstractNumId w:val="13"/>
  </w:num>
  <w:num w:numId="11" w16cid:durableId="2048751446">
    <w:abstractNumId w:val="10"/>
  </w:num>
  <w:num w:numId="12" w16cid:durableId="1198660825">
    <w:abstractNumId w:val="0"/>
  </w:num>
  <w:num w:numId="13" w16cid:durableId="1150949359">
    <w:abstractNumId w:val="4"/>
  </w:num>
  <w:num w:numId="14" w16cid:durableId="615261441">
    <w:abstractNumId w:val="16"/>
  </w:num>
  <w:num w:numId="15" w16cid:durableId="1462456839">
    <w:abstractNumId w:val="12"/>
  </w:num>
  <w:num w:numId="16" w16cid:durableId="367224593">
    <w:abstractNumId w:val="5"/>
  </w:num>
  <w:num w:numId="17" w16cid:durableId="1244682336">
    <w:abstractNumId w:val="11"/>
  </w:num>
  <w:num w:numId="18" w16cid:durableId="322586458">
    <w:abstractNumId w:val="17"/>
  </w:num>
  <w:num w:numId="19" w16cid:durableId="1290936580">
    <w:abstractNumId w:val="3"/>
  </w:num>
  <w:num w:numId="20" w16cid:durableId="1003508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3D2"/>
    <w:rsid w:val="0001240F"/>
    <w:rsid w:val="0001248B"/>
    <w:rsid w:val="00012B4D"/>
    <w:rsid w:val="00015FFC"/>
    <w:rsid w:val="00016F78"/>
    <w:rsid w:val="000300F7"/>
    <w:rsid w:val="00046945"/>
    <w:rsid w:val="000477C2"/>
    <w:rsid w:val="00050549"/>
    <w:rsid w:val="000563BF"/>
    <w:rsid w:val="00061B2A"/>
    <w:rsid w:val="000711CF"/>
    <w:rsid w:val="0007142E"/>
    <w:rsid w:val="00074A61"/>
    <w:rsid w:val="00082362"/>
    <w:rsid w:val="000A00A3"/>
    <w:rsid w:val="000A0A66"/>
    <w:rsid w:val="000A683E"/>
    <w:rsid w:val="000B19B9"/>
    <w:rsid w:val="000B340E"/>
    <w:rsid w:val="000C4623"/>
    <w:rsid w:val="000C65F1"/>
    <w:rsid w:val="000D0334"/>
    <w:rsid w:val="000D05F5"/>
    <w:rsid w:val="000D5DA7"/>
    <w:rsid w:val="000E1C41"/>
    <w:rsid w:val="000F0115"/>
    <w:rsid w:val="000F071E"/>
    <w:rsid w:val="000F6486"/>
    <w:rsid w:val="00104066"/>
    <w:rsid w:val="00105C57"/>
    <w:rsid w:val="00112A59"/>
    <w:rsid w:val="00116940"/>
    <w:rsid w:val="001229DB"/>
    <w:rsid w:val="00125105"/>
    <w:rsid w:val="00127233"/>
    <w:rsid w:val="001328F3"/>
    <w:rsid w:val="00143B7B"/>
    <w:rsid w:val="00150C6E"/>
    <w:rsid w:val="00151F44"/>
    <w:rsid w:val="00155B89"/>
    <w:rsid w:val="0015699B"/>
    <w:rsid w:val="00156EBA"/>
    <w:rsid w:val="00162CCF"/>
    <w:rsid w:val="00166DF0"/>
    <w:rsid w:val="001811E7"/>
    <w:rsid w:val="00195416"/>
    <w:rsid w:val="00196A21"/>
    <w:rsid w:val="001A33BF"/>
    <w:rsid w:val="001A5E75"/>
    <w:rsid w:val="001C1D75"/>
    <w:rsid w:val="001C20D9"/>
    <w:rsid w:val="001C3FFD"/>
    <w:rsid w:val="001D3DEC"/>
    <w:rsid w:val="001E2E05"/>
    <w:rsid w:val="001E314C"/>
    <w:rsid w:val="001E4177"/>
    <w:rsid w:val="001F0B24"/>
    <w:rsid w:val="001F0E49"/>
    <w:rsid w:val="001F7DC6"/>
    <w:rsid w:val="00214997"/>
    <w:rsid w:val="0022400B"/>
    <w:rsid w:val="00224F6D"/>
    <w:rsid w:val="002252BB"/>
    <w:rsid w:val="00234CB6"/>
    <w:rsid w:val="00235E16"/>
    <w:rsid w:val="00240C59"/>
    <w:rsid w:val="002421BB"/>
    <w:rsid w:val="00252B6B"/>
    <w:rsid w:val="0025796E"/>
    <w:rsid w:val="002707A2"/>
    <w:rsid w:val="00272281"/>
    <w:rsid w:val="00273BF5"/>
    <w:rsid w:val="00280A29"/>
    <w:rsid w:val="0028160D"/>
    <w:rsid w:val="00284EAB"/>
    <w:rsid w:val="00284F88"/>
    <w:rsid w:val="00286BCB"/>
    <w:rsid w:val="0028778F"/>
    <w:rsid w:val="00292F14"/>
    <w:rsid w:val="00293386"/>
    <w:rsid w:val="002951A0"/>
    <w:rsid w:val="002962BC"/>
    <w:rsid w:val="00297DE3"/>
    <w:rsid w:val="002A093D"/>
    <w:rsid w:val="002A0DD0"/>
    <w:rsid w:val="002A49AC"/>
    <w:rsid w:val="002A64FD"/>
    <w:rsid w:val="002B109E"/>
    <w:rsid w:val="002B730F"/>
    <w:rsid w:val="002C61F1"/>
    <w:rsid w:val="002C7A84"/>
    <w:rsid w:val="002D1F63"/>
    <w:rsid w:val="002D2A51"/>
    <w:rsid w:val="002D542E"/>
    <w:rsid w:val="002D6F7E"/>
    <w:rsid w:val="002E06E9"/>
    <w:rsid w:val="002E1EAA"/>
    <w:rsid w:val="002E2BF8"/>
    <w:rsid w:val="002E40AA"/>
    <w:rsid w:val="002E4FD9"/>
    <w:rsid w:val="002F4642"/>
    <w:rsid w:val="0030657A"/>
    <w:rsid w:val="00316053"/>
    <w:rsid w:val="00322A85"/>
    <w:rsid w:val="00324168"/>
    <w:rsid w:val="00330834"/>
    <w:rsid w:val="00330E84"/>
    <w:rsid w:val="0033168E"/>
    <w:rsid w:val="00337CF4"/>
    <w:rsid w:val="003418E6"/>
    <w:rsid w:val="003448F4"/>
    <w:rsid w:val="00350B73"/>
    <w:rsid w:val="003565AF"/>
    <w:rsid w:val="003575AD"/>
    <w:rsid w:val="00365C7D"/>
    <w:rsid w:val="00373FA9"/>
    <w:rsid w:val="00374F5E"/>
    <w:rsid w:val="00377E3E"/>
    <w:rsid w:val="00381BAB"/>
    <w:rsid w:val="00390998"/>
    <w:rsid w:val="00394739"/>
    <w:rsid w:val="003A3E79"/>
    <w:rsid w:val="003A4367"/>
    <w:rsid w:val="003A779E"/>
    <w:rsid w:val="003C7D14"/>
    <w:rsid w:val="003D0F4D"/>
    <w:rsid w:val="003D5B0D"/>
    <w:rsid w:val="003E0499"/>
    <w:rsid w:val="003E4F80"/>
    <w:rsid w:val="003E6439"/>
    <w:rsid w:val="003F3941"/>
    <w:rsid w:val="00406575"/>
    <w:rsid w:val="004140B3"/>
    <w:rsid w:val="00414C74"/>
    <w:rsid w:val="00421B86"/>
    <w:rsid w:val="004226F9"/>
    <w:rsid w:val="0042722E"/>
    <w:rsid w:val="00430A9E"/>
    <w:rsid w:val="00437C8E"/>
    <w:rsid w:val="004435DE"/>
    <w:rsid w:val="0044528D"/>
    <w:rsid w:val="004555EA"/>
    <w:rsid w:val="00460B9E"/>
    <w:rsid w:val="00465DAB"/>
    <w:rsid w:val="00466E39"/>
    <w:rsid w:val="00494F04"/>
    <w:rsid w:val="0049738F"/>
    <w:rsid w:val="004A1847"/>
    <w:rsid w:val="004A305D"/>
    <w:rsid w:val="004B3DAC"/>
    <w:rsid w:val="004C2344"/>
    <w:rsid w:val="004C6E83"/>
    <w:rsid w:val="004D0A4C"/>
    <w:rsid w:val="004E091A"/>
    <w:rsid w:val="004E2B55"/>
    <w:rsid w:val="004F21C4"/>
    <w:rsid w:val="004F24CA"/>
    <w:rsid w:val="004F52F2"/>
    <w:rsid w:val="004F685F"/>
    <w:rsid w:val="00500260"/>
    <w:rsid w:val="00511706"/>
    <w:rsid w:val="00520017"/>
    <w:rsid w:val="00527D3A"/>
    <w:rsid w:val="00541689"/>
    <w:rsid w:val="00545994"/>
    <w:rsid w:val="00546396"/>
    <w:rsid w:val="00547D4E"/>
    <w:rsid w:val="00550896"/>
    <w:rsid w:val="005566E8"/>
    <w:rsid w:val="00561ECD"/>
    <w:rsid w:val="0056295E"/>
    <w:rsid w:val="0057231C"/>
    <w:rsid w:val="00574867"/>
    <w:rsid w:val="00591460"/>
    <w:rsid w:val="00597A02"/>
    <w:rsid w:val="005A65E0"/>
    <w:rsid w:val="005B2709"/>
    <w:rsid w:val="005C0881"/>
    <w:rsid w:val="005C3777"/>
    <w:rsid w:val="005C5CDC"/>
    <w:rsid w:val="005D476C"/>
    <w:rsid w:val="005E0E6E"/>
    <w:rsid w:val="005E1978"/>
    <w:rsid w:val="005F026F"/>
    <w:rsid w:val="005F20A4"/>
    <w:rsid w:val="00603C5B"/>
    <w:rsid w:val="0061208E"/>
    <w:rsid w:val="00616204"/>
    <w:rsid w:val="006200BF"/>
    <w:rsid w:val="0062143E"/>
    <w:rsid w:val="006219F8"/>
    <w:rsid w:val="00623BEE"/>
    <w:rsid w:val="00625855"/>
    <w:rsid w:val="006302F7"/>
    <w:rsid w:val="00630756"/>
    <w:rsid w:val="00641070"/>
    <w:rsid w:val="00643E06"/>
    <w:rsid w:val="00646B9F"/>
    <w:rsid w:val="00655029"/>
    <w:rsid w:val="0065555E"/>
    <w:rsid w:val="00661930"/>
    <w:rsid w:val="006619B4"/>
    <w:rsid w:val="00665D70"/>
    <w:rsid w:val="006710AB"/>
    <w:rsid w:val="006717C4"/>
    <w:rsid w:val="00684F67"/>
    <w:rsid w:val="006900D9"/>
    <w:rsid w:val="006A2BE4"/>
    <w:rsid w:val="006B00F1"/>
    <w:rsid w:val="006B3EB4"/>
    <w:rsid w:val="006B49FD"/>
    <w:rsid w:val="006B6C2D"/>
    <w:rsid w:val="006C573D"/>
    <w:rsid w:val="006D148F"/>
    <w:rsid w:val="006E3F40"/>
    <w:rsid w:val="006F0B02"/>
    <w:rsid w:val="007025D7"/>
    <w:rsid w:val="00706C16"/>
    <w:rsid w:val="00713AFE"/>
    <w:rsid w:val="00717A9A"/>
    <w:rsid w:val="00725B96"/>
    <w:rsid w:val="00731F30"/>
    <w:rsid w:val="007340C3"/>
    <w:rsid w:val="0075235A"/>
    <w:rsid w:val="00756841"/>
    <w:rsid w:val="0075751E"/>
    <w:rsid w:val="007649AB"/>
    <w:rsid w:val="00771D0C"/>
    <w:rsid w:val="007735CE"/>
    <w:rsid w:val="007833AC"/>
    <w:rsid w:val="00795086"/>
    <w:rsid w:val="00796B38"/>
    <w:rsid w:val="007A1830"/>
    <w:rsid w:val="007B268C"/>
    <w:rsid w:val="007B7171"/>
    <w:rsid w:val="007C0C0F"/>
    <w:rsid w:val="007C0F52"/>
    <w:rsid w:val="007C3466"/>
    <w:rsid w:val="007C3DC2"/>
    <w:rsid w:val="007C77F6"/>
    <w:rsid w:val="007D3058"/>
    <w:rsid w:val="007D3576"/>
    <w:rsid w:val="007D395D"/>
    <w:rsid w:val="007D58BB"/>
    <w:rsid w:val="007E48D5"/>
    <w:rsid w:val="007E4FC2"/>
    <w:rsid w:val="007E5497"/>
    <w:rsid w:val="007E60A8"/>
    <w:rsid w:val="00806F5F"/>
    <w:rsid w:val="00820278"/>
    <w:rsid w:val="00822AFA"/>
    <w:rsid w:val="00823284"/>
    <w:rsid w:val="008258C9"/>
    <w:rsid w:val="00826293"/>
    <w:rsid w:val="008363EE"/>
    <w:rsid w:val="00844AE9"/>
    <w:rsid w:val="008531D1"/>
    <w:rsid w:val="008618A0"/>
    <w:rsid w:val="00861C23"/>
    <w:rsid w:val="00867F95"/>
    <w:rsid w:val="00874528"/>
    <w:rsid w:val="008843B6"/>
    <w:rsid w:val="0088457B"/>
    <w:rsid w:val="00891928"/>
    <w:rsid w:val="008A3E6A"/>
    <w:rsid w:val="008A446D"/>
    <w:rsid w:val="008B0675"/>
    <w:rsid w:val="008B25F1"/>
    <w:rsid w:val="008D180B"/>
    <w:rsid w:val="008D6709"/>
    <w:rsid w:val="008D75B9"/>
    <w:rsid w:val="008E18DF"/>
    <w:rsid w:val="008E1910"/>
    <w:rsid w:val="008E42CF"/>
    <w:rsid w:val="008F0EA7"/>
    <w:rsid w:val="008F17DC"/>
    <w:rsid w:val="008F3C76"/>
    <w:rsid w:val="008F4334"/>
    <w:rsid w:val="008F547C"/>
    <w:rsid w:val="008F6705"/>
    <w:rsid w:val="009057FD"/>
    <w:rsid w:val="00914B5C"/>
    <w:rsid w:val="00923EEF"/>
    <w:rsid w:val="00931C25"/>
    <w:rsid w:val="009344C4"/>
    <w:rsid w:val="009419F9"/>
    <w:rsid w:val="00944629"/>
    <w:rsid w:val="00950B6F"/>
    <w:rsid w:val="00955881"/>
    <w:rsid w:val="00955F17"/>
    <w:rsid w:val="0095685E"/>
    <w:rsid w:val="00961B09"/>
    <w:rsid w:val="00965334"/>
    <w:rsid w:val="0097093E"/>
    <w:rsid w:val="00973F2E"/>
    <w:rsid w:val="00977ABB"/>
    <w:rsid w:val="00980759"/>
    <w:rsid w:val="0099138F"/>
    <w:rsid w:val="00994A19"/>
    <w:rsid w:val="009A018D"/>
    <w:rsid w:val="009A0486"/>
    <w:rsid w:val="009A0DFA"/>
    <w:rsid w:val="009A551E"/>
    <w:rsid w:val="009B2D26"/>
    <w:rsid w:val="009B3BFF"/>
    <w:rsid w:val="009B5CF4"/>
    <w:rsid w:val="009C71FA"/>
    <w:rsid w:val="009C72E7"/>
    <w:rsid w:val="009C7F7E"/>
    <w:rsid w:val="009D3058"/>
    <w:rsid w:val="009D4D56"/>
    <w:rsid w:val="009F3A13"/>
    <w:rsid w:val="00A007C7"/>
    <w:rsid w:val="00A0334B"/>
    <w:rsid w:val="00A03984"/>
    <w:rsid w:val="00A122D3"/>
    <w:rsid w:val="00A14468"/>
    <w:rsid w:val="00A1790D"/>
    <w:rsid w:val="00A17F13"/>
    <w:rsid w:val="00A20739"/>
    <w:rsid w:val="00A23AF9"/>
    <w:rsid w:val="00A23BC2"/>
    <w:rsid w:val="00A31A76"/>
    <w:rsid w:val="00A33C78"/>
    <w:rsid w:val="00A35E10"/>
    <w:rsid w:val="00A53622"/>
    <w:rsid w:val="00A60836"/>
    <w:rsid w:val="00A61B2B"/>
    <w:rsid w:val="00A64E62"/>
    <w:rsid w:val="00A73F45"/>
    <w:rsid w:val="00A81A44"/>
    <w:rsid w:val="00A8291E"/>
    <w:rsid w:val="00A852F4"/>
    <w:rsid w:val="00A87F3B"/>
    <w:rsid w:val="00A91DC5"/>
    <w:rsid w:val="00AA6FC9"/>
    <w:rsid w:val="00AB0ADB"/>
    <w:rsid w:val="00AB1F47"/>
    <w:rsid w:val="00AB3120"/>
    <w:rsid w:val="00AC1AD2"/>
    <w:rsid w:val="00AD59C0"/>
    <w:rsid w:val="00AE2F78"/>
    <w:rsid w:val="00AF4771"/>
    <w:rsid w:val="00B00C0E"/>
    <w:rsid w:val="00B01B1A"/>
    <w:rsid w:val="00B05121"/>
    <w:rsid w:val="00B175C7"/>
    <w:rsid w:val="00B24E62"/>
    <w:rsid w:val="00B36B4B"/>
    <w:rsid w:val="00B4440D"/>
    <w:rsid w:val="00B44A47"/>
    <w:rsid w:val="00B54271"/>
    <w:rsid w:val="00B54563"/>
    <w:rsid w:val="00B6353F"/>
    <w:rsid w:val="00B72CD3"/>
    <w:rsid w:val="00B72FFF"/>
    <w:rsid w:val="00B74092"/>
    <w:rsid w:val="00B7420C"/>
    <w:rsid w:val="00B80D9F"/>
    <w:rsid w:val="00B853E8"/>
    <w:rsid w:val="00B85ED4"/>
    <w:rsid w:val="00B8762B"/>
    <w:rsid w:val="00B87FD5"/>
    <w:rsid w:val="00B9013E"/>
    <w:rsid w:val="00B95131"/>
    <w:rsid w:val="00BA4080"/>
    <w:rsid w:val="00BB6BD7"/>
    <w:rsid w:val="00BC19C1"/>
    <w:rsid w:val="00BC3D36"/>
    <w:rsid w:val="00BC4B72"/>
    <w:rsid w:val="00BC6F90"/>
    <w:rsid w:val="00BC70CB"/>
    <w:rsid w:val="00BD0A04"/>
    <w:rsid w:val="00BD54A6"/>
    <w:rsid w:val="00BD7F72"/>
    <w:rsid w:val="00BE32DB"/>
    <w:rsid w:val="00BE4E47"/>
    <w:rsid w:val="00BF5C08"/>
    <w:rsid w:val="00BF628F"/>
    <w:rsid w:val="00BF7425"/>
    <w:rsid w:val="00C00CDC"/>
    <w:rsid w:val="00C0254D"/>
    <w:rsid w:val="00C04FB3"/>
    <w:rsid w:val="00C055B6"/>
    <w:rsid w:val="00C1149B"/>
    <w:rsid w:val="00C11D8B"/>
    <w:rsid w:val="00C203CF"/>
    <w:rsid w:val="00C245F2"/>
    <w:rsid w:val="00C25A5F"/>
    <w:rsid w:val="00C330EB"/>
    <w:rsid w:val="00C42249"/>
    <w:rsid w:val="00C44190"/>
    <w:rsid w:val="00C50D69"/>
    <w:rsid w:val="00C51EF7"/>
    <w:rsid w:val="00C5365C"/>
    <w:rsid w:val="00C57F0F"/>
    <w:rsid w:val="00C64851"/>
    <w:rsid w:val="00C7540C"/>
    <w:rsid w:val="00C754BE"/>
    <w:rsid w:val="00C76B1C"/>
    <w:rsid w:val="00C8271E"/>
    <w:rsid w:val="00C87884"/>
    <w:rsid w:val="00C918DC"/>
    <w:rsid w:val="00C925AC"/>
    <w:rsid w:val="00C932EF"/>
    <w:rsid w:val="00C96038"/>
    <w:rsid w:val="00CB0162"/>
    <w:rsid w:val="00CB6357"/>
    <w:rsid w:val="00CC1B26"/>
    <w:rsid w:val="00CC1C6E"/>
    <w:rsid w:val="00CC30CA"/>
    <w:rsid w:val="00CC5B02"/>
    <w:rsid w:val="00D04471"/>
    <w:rsid w:val="00D06146"/>
    <w:rsid w:val="00D0699E"/>
    <w:rsid w:val="00D133D3"/>
    <w:rsid w:val="00D15FE7"/>
    <w:rsid w:val="00D23287"/>
    <w:rsid w:val="00D27A1E"/>
    <w:rsid w:val="00D310B7"/>
    <w:rsid w:val="00D334DD"/>
    <w:rsid w:val="00D361FD"/>
    <w:rsid w:val="00D423A2"/>
    <w:rsid w:val="00D44E26"/>
    <w:rsid w:val="00D520D8"/>
    <w:rsid w:val="00D547E3"/>
    <w:rsid w:val="00D6031D"/>
    <w:rsid w:val="00D62B9C"/>
    <w:rsid w:val="00D63AC2"/>
    <w:rsid w:val="00D652BE"/>
    <w:rsid w:val="00D66DFD"/>
    <w:rsid w:val="00D7383B"/>
    <w:rsid w:val="00D7589E"/>
    <w:rsid w:val="00D7788A"/>
    <w:rsid w:val="00D8129E"/>
    <w:rsid w:val="00D86E98"/>
    <w:rsid w:val="00DA034F"/>
    <w:rsid w:val="00DA231B"/>
    <w:rsid w:val="00DC39FC"/>
    <w:rsid w:val="00DC4247"/>
    <w:rsid w:val="00DC7CCB"/>
    <w:rsid w:val="00DF4C83"/>
    <w:rsid w:val="00DF5254"/>
    <w:rsid w:val="00DF6C63"/>
    <w:rsid w:val="00E02524"/>
    <w:rsid w:val="00E07A1B"/>
    <w:rsid w:val="00E16408"/>
    <w:rsid w:val="00E20894"/>
    <w:rsid w:val="00E21BEB"/>
    <w:rsid w:val="00E221A2"/>
    <w:rsid w:val="00E22C94"/>
    <w:rsid w:val="00E24411"/>
    <w:rsid w:val="00E245AB"/>
    <w:rsid w:val="00E2764C"/>
    <w:rsid w:val="00E27F2E"/>
    <w:rsid w:val="00E30EBF"/>
    <w:rsid w:val="00E33F16"/>
    <w:rsid w:val="00E41358"/>
    <w:rsid w:val="00E50AFE"/>
    <w:rsid w:val="00E511B1"/>
    <w:rsid w:val="00E54D21"/>
    <w:rsid w:val="00E64A5A"/>
    <w:rsid w:val="00E713E2"/>
    <w:rsid w:val="00E72E62"/>
    <w:rsid w:val="00E75C92"/>
    <w:rsid w:val="00E771DC"/>
    <w:rsid w:val="00E77230"/>
    <w:rsid w:val="00E77A21"/>
    <w:rsid w:val="00E84522"/>
    <w:rsid w:val="00E868EC"/>
    <w:rsid w:val="00E8772A"/>
    <w:rsid w:val="00E90F6B"/>
    <w:rsid w:val="00E92C27"/>
    <w:rsid w:val="00EA0E3D"/>
    <w:rsid w:val="00EA1A9D"/>
    <w:rsid w:val="00EA5B3F"/>
    <w:rsid w:val="00EB4247"/>
    <w:rsid w:val="00EC38A7"/>
    <w:rsid w:val="00ED1DC8"/>
    <w:rsid w:val="00ED2656"/>
    <w:rsid w:val="00EE1113"/>
    <w:rsid w:val="00EE1AA8"/>
    <w:rsid w:val="00EE24FD"/>
    <w:rsid w:val="00EF5E13"/>
    <w:rsid w:val="00EF647F"/>
    <w:rsid w:val="00F0321C"/>
    <w:rsid w:val="00F23FEA"/>
    <w:rsid w:val="00F27B7B"/>
    <w:rsid w:val="00F31EDC"/>
    <w:rsid w:val="00F3383B"/>
    <w:rsid w:val="00F4494B"/>
    <w:rsid w:val="00F462B3"/>
    <w:rsid w:val="00F5664F"/>
    <w:rsid w:val="00F61AA0"/>
    <w:rsid w:val="00F666C4"/>
    <w:rsid w:val="00F76AFC"/>
    <w:rsid w:val="00F77397"/>
    <w:rsid w:val="00F831F4"/>
    <w:rsid w:val="00F90469"/>
    <w:rsid w:val="00F90FCC"/>
    <w:rsid w:val="00F948E6"/>
    <w:rsid w:val="00FA47C0"/>
    <w:rsid w:val="00FB0193"/>
    <w:rsid w:val="00FB4911"/>
    <w:rsid w:val="00FB5DD1"/>
    <w:rsid w:val="00FC2B5D"/>
    <w:rsid w:val="00FE311E"/>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65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73BF5"/>
    <w:rPr>
      <w:b/>
      <w:bCs/>
    </w:rPr>
  </w:style>
  <w:style w:type="character" w:customStyle="1" w:styleId="Mencinsinresolver2">
    <w:name w:val="Mención sin resolver2"/>
    <w:basedOn w:val="Fuentedeprrafopredeter"/>
    <w:uiPriority w:val="99"/>
    <w:semiHidden/>
    <w:unhideWhenUsed/>
    <w:rsid w:val="00826293"/>
    <w:rPr>
      <w:color w:val="605E5C"/>
      <w:shd w:val="clear" w:color="auto" w:fill="E1DFDD"/>
    </w:rPr>
  </w:style>
  <w:style w:type="character" w:styleId="nfasis">
    <w:name w:val="Emphasis"/>
    <w:basedOn w:val="Fuentedeprrafopredeter"/>
    <w:uiPriority w:val="20"/>
    <w:qFormat/>
    <w:rsid w:val="006B6C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31442">
      <w:bodyDiv w:val="1"/>
      <w:marLeft w:val="0"/>
      <w:marRight w:val="0"/>
      <w:marTop w:val="0"/>
      <w:marBottom w:val="0"/>
      <w:divBdr>
        <w:top w:val="none" w:sz="0" w:space="0" w:color="auto"/>
        <w:left w:val="none" w:sz="0" w:space="0" w:color="auto"/>
        <w:bottom w:val="none" w:sz="0" w:space="0" w:color="auto"/>
        <w:right w:val="none" w:sz="0" w:space="0" w:color="auto"/>
      </w:divBdr>
      <w:divsChild>
        <w:div w:id="374937288">
          <w:marLeft w:val="0"/>
          <w:marRight w:val="0"/>
          <w:marTop w:val="0"/>
          <w:marBottom w:val="0"/>
          <w:divBdr>
            <w:top w:val="none" w:sz="0" w:space="0" w:color="auto"/>
            <w:left w:val="none" w:sz="0" w:space="0" w:color="auto"/>
            <w:bottom w:val="none" w:sz="0" w:space="0" w:color="auto"/>
            <w:right w:val="none" w:sz="0" w:space="0" w:color="auto"/>
          </w:divBdr>
        </w:div>
      </w:divsChild>
    </w:div>
    <w:div w:id="267126264">
      <w:bodyDiv w:val="1"/>
      <w:marLeft w:val="0"/>
      <w:marRight w:val="0"/>
      <w:marTop w:val="0"/>
      <w:marBottom w:val="0"/>
      <w:divBdr>
        <w:top w:val="none" w:sz="0" w:space="0" w:color="auto"/>
        <w:left w:val="none" w:sz="0" w:space="0" w:color="auto"/>
        <w:bottom w:val="none" w:sz="0" w:space="0" w:color="auto"/>
        <w:right w:val="none" w:sz="0" w:space="0" w:color="auto"/>
      </w:divBdr>
      <w:divsChild>
        <w:div w:id="522481599">
          <w:marLeft w:val="0"/>
          <w:marRight w:val="0"/>
          <w:marTop w:val="0"/>
          <w:marBottom w:val="0"/>
          <w:divBdr>
            <w:top w:val="none" w:sz="0" w:space="0" w:color="auto"/>
            <w:left w:val="none" w:sz="0" w:space="0" w:color="auto"/>
            <w:bottom w:val="none" w:sz="0" w:space="0" w:color="auto"/>
            <w:right w:val="none" w:sz="0" w:space="0" w:color="auto"/>
          </w:divBdr>
        </w:div>
      </w:divsChild>
    </w:div>
    <w:div w:id="282540829">
      <w:bodyDiv w:val="1"/>
      <w:marLeft w:val="0"/>
      <w:marRight w:val="0"/>
      <w:marTop w:val="0"/>
      <w:marBottom w:val="0"/>
      <w:divBdr>
        <w:top w:val="none" w:sz="0" w:space="0" w:color="auto"/>
        <w:left w:val="none" w:sz="0" w:space="0" w:color="auto"/>
        <w:bottom w:val="none" w:sz="0" w:space="0" w:color="auto"/>
        <w:right w:val="none" w:sz="0" w:space="0" w:color="auto"/>
      </w:divBdr>
    </w:div>
    <w:div w:id="527376828">
      <w:bodyDiv w:val="1"/>
      <w:marLeft w:val="0"/>
      <w:marRight w:val="0"/>
      <w:marTop w:val="0"/>
      <w:marBottom w:val="0"/>
      <w:divBdr>
        <w:top w:val="none" w:sz="0" w:space="0" w:color="auto"/>
        <w:left w:val="none" w:sz="0" w:space="0" w:color="auto"/>
        <w:bottom w:val="none" w:sz="0" w:space="0" w:color="auto"/>
        <w:right w:val="none" w:sz="0" w:space="0" w:color="auto"/>
      </w:divBdr>
      <w:divsChild>
        <w:div w:id="1057439125">
          <w:marLeft w:val="0"/>
          <w:marRight w:val="0"/>
          <w:marTop w:val="0"/>
          <w:marBottom w:val="0"/>
          <w:divBdr>
            <w:top w:val="none" w:sz="0" w:space="0" w:color="auto"/>
            <w:left w:val="none" w:sz="0" w:space="0" w:color="auto"/>
            <w:bottom w:val="none" w:sz="0" w:space="0" w:color="auto"/>
            <w:right w:val="none" w:sz="0" w:space="0" w:color="auto"/>
          </w:divBdr>
        </w:div>
      </w:divsChild>
    </w:div>
    <w:div w:id="59771866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8217888">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
      </w:divsChild>
    </w:div>
    <w:div w:id="933320750">
      <w:bodyDiv w:val="1"/>
      <w:marLeft w:val="0"/>
      <w:marRight w:val="0"/>
      <w:marTop w:val="0"/>
      <w:marBottom w:val="0"/>
      <w:divBdr>
        <w:top w:val="none" w:sz="0" w:space="0" w:color="auto"/>
        <w:left w:val="none" w:sz="0" w:space="0" w:color="auto"/>
        <w:bottom w:val="none" w:sz="0" w:space="0" w:color="auto"/>
        <w:right w:val="none" w:sz="0" w:space="0" w:color="auto"/>
      </w:divBdr>
      <w:divsChild>
        <w:div w:id="1268737910">
          <w:marLeft w:val="0"/>
          <w:marRight w:val="0"/>
          <w:marTop w:val="0"/>
          <w:marBottom w:val="0"/>
          <w:divBdr>
            <w:top w:val="none" w:sz="0" w:space="0" w:color="auto"/>
            <w:left w:val="none" w:sz="0" w:space="0" w:color="auto"/>
            <w:bottom w:val="none" w:sz="0" w:space="0" w:color="auto"/>
            <w:right w:val="none" w:sz="0" w:space="0" w:color="auto"/>
          </w:divBdr>
        </w:div>
      </w:divsChild>
    </w:div>
    <w:div w:id="109151205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035838339">
      <w:bodyDiv w:val="1"/>
      <w:marLeft w:val="0"/>
      <w:marRight w:val="0"/>
      <w:marTop w:val="0"/>
      <w:marBottom w:val="0"/>
      <w:divBdr>
        <w:top w:val="none" w:sz="0" w:space="0" w:color="auto"/>
        <w:left w:val="none" w:sz="0" w:space="0" w:color="auto"/>
        <w:bottom w:val="none" w:sz="0" w:space="0" w:color="auto"/>
        <w:right w:val="none" w:sz="0" w:space="0" w:color="auto"/>
      </w:divBdr>
    </w:div>
    <w:div w:id="2053532672">
      <w:bodyDiv w:val="1"/>
      <w:marLeft w:val="0"/>
      <w:marRight w:val="0"/>
      <w:marTop w:val="0"/>
      <w:marBottom w:val="0"/>
      <w:divBdr>
        <w:top w:val="none" w:sz="0" w:space="0" w:color="auto"/>
        <w:left w:val="none" w:sz="0" w:space="0" w:color="auto"/>
        <w:bottom w:val="none" w:sz="0" w:space="0" w:color="auto"/>
        <w:right w:val="none" w:sz="0" w:space="0" w:color="auto"/>
      </w:divBdr>
      <w:divsChild>
        <w:div w:id="135102804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8426"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uncionpublica.gov.co/eva/gestornormativo/norma.php?i=8426"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567"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A6CB3F-9D4D-4A78-A7DF-EC7B35937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D62DE3-16AA-46A0-A809-3942DACFFD9C}">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22</Pages>
  <Words>7094</Words>
  <Characters>39019</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2026-05-06T20:25:00Z</dcterms:created>
  <dcterms:modified xsi:type="dcterms:W3CDTF">2026-05-07T14:46:00Z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