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275890" w14:textId="77777777" w:rsidR="00B7779E" w:rsidRPr="00760536" w:rsidRDefault="00B7779E" w:rsidP="00B7779E">
      <w:pPr>
        <w:spacing w:after="0" w:line="240" w:lineRule="auto"/>
        <w:jc w:val="both"/>
        <w:rPr>
          <w:rFonts w:ascii="Verdana" w:hAnsi="Verdana" w:cs="Arial"/>
          <w:bCs/>
          <w:sz w:val="20"/>
          <w:szCs w:val="20"/>
        </w:rPr>
      </w:pPr>
    </w:p>
    <w:p w14:paraId="047D736B" w14:textId="77777777" w:rsidR="00B7779E" w:rsidRPr="00760536" w:rsidRDefault="00B7779E" w:rsidP="00B7779E">
      <w:pPr>
        <w:spacing w:after="0" w:line="240" w:lineRule="auto"/>
        <w:jc w:val="both"/>
        <w:rPr>
          <w:rFonts w:ascii="Verdana" w:hAnsi="Verdana" w:cs="Arial"/>
          <w:b/>
        </w:rPr>
      </w:pPr>
      <w:r w:rsidRPr="00760536">
        <w:rPr>
          <w:rFonts w:ascii="Verdana" w:hAnsi="Verdana" w:cs="Arial"/>
          <w:b/>
        </w:rPr>
        <w:t xml:space="preserve">RIESGOS EN LA CONTRATACIÓN ESTATAL – Obligación de las entidades estatales de tipificarlos </w:t>
      </w:r>
    </w:p>
    <w:p w14:paraId="5BC180F3" w14:textId="77777777" w:rsidR="00B7779E" w:rsidRPr="00760536" w:rsidRDefault="00B7779E" w:rsidP="00B7779E">
      <w:pPr>
        <w:spacing w:after="0" w:line="240" w:lineRule="auto"/>
        <w:jc w:val="both"/>
        <w:rPr>
          <w:rFonts w:ascii="Verdana" w:hAnsi="Verdana" w:cs="Arial"/>
          <w:b/>
          <w:sz w:val="20"/>
          <w:szCs w:val="20"/>
        </w:rPr>
      </w:pPr>
    </w:p>
    <w:p w14:paraId="297CC325" w14:textId="77777777" w:rsidR="00B7779E" w:rsidRPr="00760536" w:rsidRDefault="00B7779E" w:rsidP="00B7779E">
      <w:pPr>
        <w:spacing w:after="0" w:line="240" w:lineRule="auto"/>
        <w:jc w:val="both"/>
        <w:textAlignment w:val="baseline"/>
        <w:rPr>
          <w:rFonts w:ascii="Verdana" w:hAnsi="Verdana" w:cs="Arial"/>
          <w:sz w:val="20"/>
          <w:szCs w:val="20"/>
          <w:lang w:val="es-ES" w:eastAsia="es-CO"/>
        </w:rPr>
      </w:pPr>
      <w:r w:rsidRPr="00760536">
        <w:rPr>
          <w:rFonts w:ascii="Verdana" w:hAnsi="Verdana" w:cs="Arial"/>
          <w:sz w:val="20"/>
          <w:szCs w:val="20"/>
          <w:lang w:val="es-ES" w:eastAsia="es-CO"/>
        </w:rPr>
        <w:t>[…] el Decreto 1082 de 2015 reiteró, en los siguientes términos, la obligación que tienen las entidades estatales de tipificar, estimar y asignar los riesgos previsibles que surjan durante la ejecución contractual dentro del pliego de condiciones. desde la Ley 1150 de 2007 y conforme los decretos reglamentarios de la contratación estatal, se establecieron obligaciones de estimación de riesgos durante la etapa de planeación. Por un lado, por parte de las entidades estatales quienes deben tipificarlos, estimarlos y asignarlos en los pliegos de condiciones, y por otro, los participantes del proceso de selección quienes deberán valorarlos y complementarlos en virtud del deber de colaboración con la administración pública en la construcción de los documentos definitivos, dada su experticia, especialidad y conocimientos. En tal sentido, ellos podrán pronunciarse frente a este contenido de los pliegos de condiciones mediante la presentación de observaciones a los proyectos de pliegos de condiciones y a los pliegos de condiciones definitivos, sin perjuicio de que en los procesos de licitación pública sea obligatoria realizar una audiencia de asignación de riesgos –art. 4 de la Ley 1150 de 2007, artículo 30, numeral 4, de la Ley 80 de 1993 y artículo 2.2.1.2.1.1.2. del Decreto 1082 de 2015–.</w:t>
      </w:r>
    </w:p>
    <w:p w14:paraId="32572641" w14:textId="77777777" w:rsidR="00B7779E" w:rsidRPr="00760536" w:rsidRDefault="00B7779E" w:rsidP="00B7779E">
      <w:pPr>
        <w:spacing w:after="0" w:line="240" w:lineRule="auto"/>
        <w:jc w:val="both"/>
        <w:textAlignment w:val="baseline"/>
        <w:rPr>
          <w:rFonts w:ascii="Verdana" w:hAnsi="Verdana" w:cs="Arial"/>
          <w:sz w:val="20"/>
          <w:szCs w:val="20"/>
          <w:lang w:val="es-ES" w:eastAsia="es-CO"/>
        </w:rPr>
      </w:pPr>
    </w:p>
    <w:p w14:paraId="54634DD9" w14:textId="77777777" w:rsidR="00B7779E" w:rsidRPr="00760536" w:rsidRDefault="00B7779E" w:rsidP="00B7779E">
      <w:pPr>
        <w:spacing w:after="0" w:line="240" w:lineRule="auto"/>
        <w:jc w:val="both"/>
        <w:rPr>
          <w:rFonts w:ascii="Verdana" w:hAnsi="Verdana" w:cs="Arial"/>
          <w:b/>
          <w:lang w:val="es-ES"/>
        </w:rPr>
      </w:pPr>
      <w:r w:rsidRPr="00760536">
        <w:rPr>
          <w:rFonts w:ascii="Verdana" w:hAnsi="Verdana" w:cs="Arial"/>
          <w:b/>
          <w:lang w:val="es-ES"/>
        </w:rPr>
        <w:t xml:space="preserve">MATRIZ DE RIESGOS – identificación y administración de riesgos </w:t>
      </w:r>
    </w:p>
    <w:p w14:paraId="00AE6D8E" w14:textId="77777777" w:rsidR="00B7779E" w:rsidRPr="00760536" w:rsidRDefault="00B7779E" w:rsidP="00B7779E">
      <w:pPr>
        <w:spacing w:after="0" w:line="240" w:lineRule="auto"/>
        <w:jc w:val="both"/>
        <w:rPr>
          <w:rFonts w:ascii="Verdana" w:hAnsi="Verdana" w:cs="Arial"/>
          <w:b/>
          <w:sz w:val="20"/>
          <w:szCs w:val="20"/>
          <w:lang w:val="es-ES"/>
        </w:rPr>
      </w:pPr>
    </w:p>
    <w:p w14:paraId="3EAD8D65" w14:textId="77777777" w:rsidR="00B7779E" w:rsidRPr="00760536" w:rsidRDefault="00B7779E" w:rsidP="00B7779E">
      <w:pPr>
        <w:spacing w:after="0" w:line="240" w:lineRule="auto"/>
        <w:jc w:val="both"/>
        <w:textAlignment w:val="baseline"/>
        <w:rPr>
          <w:rFonts w:ascii="Verdana" w:hAnsi="Verdana" w:cs="Arial"/>
          <w:sz w:val="20"/>
          <w:szCs w:val="20"/>
          <w:lang w:val="es-ES" w:eastAsia="es-CO"/>
        </w:rPr>
      </w:pPr>
      <w:r w:rsidRPr="00760536">
        <w:rPr>
          <w:rFonts w:ascii="Verdana" w:hAnsi="Verdana" w:cs="Arial"/>
          <w:sz w:val="20"/>
          <w:szCs w:val="20"/>
          <w:lang w:val="es-ES" w:eastAsia="es-CO"/>
        </w:rPr>
        <w:t xml:space="preserve">[…] la Agencia de Contratación </w:t>
      </w:r>
      <w:r w:rsidRPr="00760536">
        <w:rPr>
          <w:rFonts w:ascii="Verdana" w:hAnsi="Verdana" w:cs="Arial"/>
          <w:sz w:val="20"/>
          <w:szCs w:val="20"/>
          <w:lang w:val="es-ES"/>
        </w:rPr>
        <w:t xml:space="preserve">Pública – Colombia Compra Eficiente, recomendó a las entidades incluir una matriz de riesgos en los que se incluya todos los riesgos identificados en el proceso contractual y con ello reducir la </w:t>
      </w:r>
      <w:r w:rsidRPr="00760536">
        <w:rPr>
          <w:rFonts w:ascii="Verdana" w:hAnsi="Verdana" w:cs="Arial"/>
          <w:sz w:val="20"/>
          <w:szCs w:val="20"/>
          <w:lang w:val="es-ES" w:eastAsia="es-CO"/>
        </w:rPr>
        <w:t>exposición del Proceso de Contratación frente a los diferentes riesgos que se puedan presentar, por ejemplo, la identificación de aquellos eventos que:</w:t>
      </w:r>
      <w:r>
        <w:rPr>
          <w:rFonts w:ascii="Verdana" w:hAnsi="Verdana" w:cs="Arial"/>
          <w:sz w:val="20"/>
          <w:szCs w:val="20"/>
          <w:lang w:val="es-ES" w:eastAsia="es-CO"/>
        </w:rPr>
        <w:t xml:space="preserve"> </w:t>
      </w:r>
      <w:r w:rsidRPr="00760536">
        <w:rPr>
          <w:rFonts w:ascii="Verdana" w:hAnsi="Verdana" w:cs="Arial"/>
          <w:sz w:val="20"/>
          <w:szCs w:val="20"/>
        </w:rPr>
        <w:t>(a) los eventos que impidan la adjudicación y firma del contrato como resultado del Proceso de Contratación; (b) los eventos que alteren la ejecución del contrato; (c) el equilibrio económico del contrato; (d) la eficacia del Proceso de Contratación, es decir, que la Entidad Estatal pueda satisfacer la necesidad que motivó el Proceso de Contratación; y (e) la reputación y legitimidad de la Entidad Estatal encargada de prestar el bien o servicio.</w:t>
      </w:r>
      <w:r w:rsidRPr="00760536">
        <w:rPr>
          <w:rFonts w:ascii="Verdana" w:hAnsi="Verdana" w:cs="Arial"/>
          <w:sz w:val="20"/>
          <w:szCs w:val="20"/>
          <w:lang w:val="es-ES" w:eastAsia="es-CO"/>
        </w:rPr>
        <w:t xml:space="preserve">Finalmente, una adecuada administración de riesgos, permite: </w:t>
      </w:r>
      <w:r>
        <w:rPr>
          <w:rFonts w:ascii="Verdana" w:hAnsi="Verdana" w:cs="Arial"/>
          <w:sz w:val="20"/>
          <w:szCs w:val="20"/>
        </w:rPr>
        <w:t>“</w:t>
      </w:r>
      <w:r w:rsidRPr="00760536">
        <w:rPr>
          <w:rFonts w:ascii="Verdana" w:hAnsi="Verdana" w:cs="Arial"/>
          <w:sz w:val="20"/>
          <w:szCs w:val="20"/>
          <w:lang w:eastAsia="es-CO"/>
        </w:rPr>
        <w:t>(i) proporcionar un mayor nivel de certeza y conocimiento para la toma de decisiones relacionadas con el Proceso de Contratación; (</w:t>
      </w:r>
      <w:proofErr w:type="spellStart"/>
      <w:r w:rsidRPr="00760536">
        <w:rPr>
          <w:rFonts w:ascii="Verdana" w:hAnsi="Verdana" w:cs="Arial"/>
          <w:sz w:val="20"/>
          <w:szCs w:val="20"/>
          <w:lang w:eastAsia="es-CO"/>
        </w:rPr>
        <w:t>ii</w:t>
      </w:r>
      <w:proofErr w:type="spellEnd"/>
      <w:r w:rsidRPr="00760536">
        <w:rPr>
          <w:rFonts w:ascii="Verdana" w:hAnsi="Verdana" w:cs="Arial"/>
          <w:sz w:val="20"/>
          <w:szCs w:val="20"/>
          <w:lang w:eastAsia="es-CO"/>
        </w:rPr>
        <w:t>) mejorar la planeación de contingencias del Proceso de Contratación; (</w:t>
      </w:r>
      <w:proofErr w:type="spellStart"/>
      <w:r w:rsidRPr="00760536">
        <w:rPr>
          <w:rFonts w:ascii="Verdana" w:hAnsi="Verdana" w:cs="Arial"/>
          <w:sz w:val="20"/>
          <w:szCs w:val="20"/>
          <w:lang w:eastAsia="es-CO"/>
        </w:rPr>
        <w:t>iii</w:t>
      </w:r>
      <w:proofErr w:type="spellEnd"/>
      <w:r w:rsidRPr="00760536">
        <w:rPr>
          <w:rFonts w:ascii="Verdana" w:hAnsi="Verdana" w:cs="Arial"/>
          <w:sz w:val="20"/>
          <w:szCs w:val="20"/>
          <w:lang w:eastAsia="es-CO"/>
        </w:rPr>
        <w:t>) incrementar el grado de confianza entre la partes del Proceso de Contratación; y (</w:t>
      </w:r>
      <w:proofErr w:type="spellStart"/>
      <w:r w:rsidRPr="00760536">
        <w:rPr>
          <w:rFonts w:ascii="Verdana" w:hAnsi="Verdana" w:cs="Arial"/>
          <w:sz w:val="20"/>
          <w:szCs w:val="20"/>
          <w:lang w:eastAsia="es-CO"/>
        </w:rPr>
        <w:t>iv</w:t>
      </w:r>
      <w:proofErr w:type="spellEnd"/>
      <w:r w:rsidRPr="00760536">
        <w:rPr>
          <w:rFonts w:ascii="Verdana" w:hAnsi="Verdana" w:cs="Arial"/>
          <w:sz w:val="20"/>
          <w:szCs w:val="20"/>
          <w:lang w:eastAsia="es-CO"/>
        </w:rPr>
        <w:t>) reducir la posibilidad de litigios; entre otro</w:t>
      </w:r>
      <w:r>
        <w:rPr>
          <w:rFonts w:ascii="Verdana" w:hAnsi="Verdana" w:cs="Arial"/>
          <w:sz w:val="20"/>
          <w:szCs w:val="20"/>
        </w:rPr>
        <w:t>”</w:t>
      </w:r>
      <w:r w:rsidRPr="00760536">
        <w:rPr>
          <w:rFonts w:ascii="Verdana" w:hAnsi="Verdana" w:cs="Arial"/>
          <w:sz w:val="20"/>
          <w:szCs w:val="20"/>
        </w:rPr>
        <w:t>.</w:t>
      </w:r>
    </w:p>
    <w:p w14:paraId="231626FF" w14:textId="77777777" w:rsidR="00B7779E" w:rsidRPr="00760536" w:rsidRDefault="00B7779E" w:rsidP="00B7779E">
      <w:pPr>
        <w:spacing w:after="0" w:line="240" w:lineRule="auto"/>
        <w:jc w:val="both"/>
        <w:rPr>
          <w:rFonts w:ascii="Verdana" w:eastAsia="Calibri" w:hAnsi="Verdana" w:cs="Arial"/>
          <w:b/>
          <w:color w:val="000000" w:themeColor="text1"/>
          <w:sz w:val="20"/>
          <w:szCs w:val="20"/>
          <w:lang w:val="es-ES"/>
        </w:rPr>
      </w:pPr>
    </w:p>
    <w:p w14:paraId="23E2D8A2" w14:textId="77777777" w:rsidR="00B7779E" w:rsidRPr="00AF1555" w:rsidRDefault="00B7779E" w:rsidP="00B7779E">
      <w:pPr>
        <w:spacing w:after="0" w:line="240" w:lineRule="auto"/>
        <w:jc w:val="both"/>
        <w:rPr>
          <w:rFonts w:ascii="Verdana" w:eastAsia="Calibri" w:hAnsi="Verdana" w:cs="Arial"/>
          <w:b/>
          <w:color w:val="000000" w:themeColor="text1"/>
          <w:lang w:val="es-ES"/>
        </w:rPr>
      </w:pPr>
      <w:r w:rsidRPr="00292198">
        <w:rPr>
          <w:rFonts w:ascii="Verdana" w:eastAsia="Calibri" w:hAnsi="Verdana" w:cs="Arial"/>
          <w:b/>
          <w:color w:val="000000" w:themeColor="text1"/>
          <w:lang w:val="es-ES"/>
        </w:rPr>
        <w:t>PRECIOS UNITARIOS – APU – AIU – Diferencias</w:t>
      </w:r>
      <w:r w:rsidRPr="00AF1555">
        <w:rPr>
          <w:rFonts w:ascii="Verdana" w:eastAsia="Calibri" w:hAnsi="Verdana" w:cs="Arial"/>
          <w:b/>
          <w:color w:val="000000" w:themeColor="text1"/>
          <w:lang w:val="es-ES"/>
        </w:rPr>
        <w:t xml:space="preserve"> </w:t>
      </w:r>
    </w:p>
    <w:p w14:paraId="509D8A14" w14:textId="77777777" w:rsidR="00B7779E" w:rsidRPr="00AF1555" w:rsidRDefault="00B7779E" w:rsidP="00B7779E">
      <w:pPr>
        <w:spacing w:after="0" w:line="240" w:lineRule="auto"/>
        <w:jc w:val="both"/>
        <w:rPr>
          <w:rFonts w:ascii="Verdana" w:eastAsia="Calibri" w:hAnsi="Verdana" w:cs="Arial"/>
          <w:bCs/>
          <w:color w:val="000000" w:themeColor="text1"/>
          <w:sz w:val="20"/>
          <w:szCs w:val="20"/>
          <w:lang w:val="es-ES"/>
        </w:rPr>
      </w:pPr>
    </w:p>
    <w:p w14:paraId="46C70931" w14:textId="77777777" w:rsidR="00B7779E" w:rsidRPr="00EB0B5F" w:rsidRDefault="00B7779E" w:rsidP="00B7779E">
      <w:pPr>
        <w:spacing w:after="0" w:line="240" w:lineRule="auto"/>
        <w:jc w:val="both"/>
        <w:rPr>
          <w:rFonts w:ascii="Verdana" w:eastAsia="Calibri" w:hAnsi="Verdana" w:cs="Arial"/>
          <w:iCs/>
          <w:color w:val="000000" w:themeColor="text1"/>
          <w:sz w:val="20"/>
          <w:szCs w:val="20"/>
          <w:lang w:eastAsia="es-ES_tradnl"/>
        </w:rPr>
      </w:pPr>
      <w:r>
        <w:rPr>
          <w:rFonts w:ascii="Verdana" w:eastAsia="Calibri" w:hAnsi="Verdana" w:cs="Arial"/>
          <w:bCs/>
          <w:color w:val="000000" w:themeColor="text1"/>
          <w:sz w:val="20"/>
          <w:szCs w:val="20"/>
          <w:lang w:val="es-ES" w:eastAsia="es-ES_tradnl"/>
        </w:rPr>
        <w:t xml:space="preserve">[…] </w:t>
      </w:r>
      <w:r w:rsidRPr="00683260">
        <w:rPr>
          <w:rFonts w:ascii="Verdana" w:eastAsia="Calibri" w:hAnsi="Verdana" w:cs="Arial"/>
          <w:bCs/>
          <w:color w:val="000000" w:themeColor="text1"/>
          <w:sz w:val="20"/>
          <w:szCs w:val="20"/>
          <w:lang w:val="es-ES" w:eastAsia="es-ES_tradnl"/>
        </w:rPr>
        <w:t xml:space="preserve">en los contratos cuyo precio se estructura a partir del sistema de precios unitarios, ha hecho parte de la práctica de los negocios que el contratante le solicite al potencial contratista que separe en su propuesta los </w:t>
      </w:r>
      <w:r w:rsidRPr="00683260">
        <w:rPr>
          <w:rFonts w:ascii="Verdana" w:eastAsia="Calibri" w:hAnsi="Verdana" w:cs="Arial"/>
          <w:bCs/>
          <w:i/>
          <w:iCs/>
          <w:color w:val="000000" w:themeColor="text1"/>
          <w:sz w:val="20"/>
          <w:szCs w:val="20"/>
          <w:lang w:val="es-ES" w:eastAsia="es-ES_tradnl"/>
        </w:rPr>
        <w:t>costos directos</w:t>
      </w:r>
      <w:r w:rsidRPr="00683260">
        <w:rPr>
          <w:rFonts w:ascii="Verdana" w:eastAsia="Calibri" w:hAnsi="Verdana" w:cs="Arial"/>
          <w:bCs/>
          <w:color w:val="000000" w:themeColor="text1"/>
          <w:sz w:val="20"/>
          <w:szCs w:val="20"/>
          <w:lang w:val="es-ES" w:eastAsia="es-ES_tradnl"/>
        </w:rPr>
        <w:t xml:space="preserve"> –es decir, los que están directamente implicados en la ejecución del objeto–, de los </w:t>
      </w:r>
      <w:r w:rsidRPr="00683260">
        <w:rPr>
          <w:rFonts w:ascii="Verdana" w:eastAsia="Calibri" w:hAnsi="Verdana" w:cs="Arial"/>
          <w:bCs/>
          <w:i/>
          <w:iCs/>
          <w:color w:val="000000" w:themeColor="text1"/>
          <w:sz w:val="20"/>
          <w:szCs w:val="20"/>
          <w:lang w:val="es-ES" w:eastAsia="es-ES_tradnl"/>
        </w:rPr>
        <w:t>costos indirectos</w:t>
      </w:r>
      <w:r w:rsidRPr="00683260">
        <w:rPr>
          <w:rFonts w:ascii="Verdana" w:eastAsia="Calibri" w:hAnsi="Verdana" w:cs="Arial"/>
          <w:bCs/>
          <w:color w:val="000000" w:themeColor="text1"/>
          <w:sz w:val="20"/>
          <w:szCs w:val="20"/>
          <w:lang w:val="es-ES" w:eastAsia="es-ES_tradnl"/>
        </w:rPr>
        <w:t xml:space="preserve"> –que </w:t>
      </w:r>
      <w:r w:rsidRPr="00683260">
        <w:rPr>
          <w:rFonts w:ascii="Verdana" w:eastAsia="Calibri" w:hAnsi="Verdana" w:cs="Arial"/>
          <w:bCs/>
          <w:color w:val="000000" w:themeColor="text1"/>
          <w:sz w:val="20"/>
          <w:szCs w:val="20"/>
          <w:lang w:val="es-ES" w:eastAsia="es-ES_tradnl"/>
        </w:rPr>
        <w:lastRenderedPageBreak/>
        <w:t xml:space="preserve">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683260">
        <w:rPr>
          <w:rFonts w:ascii="Verdana" w:eastAsia="Calibri" w:hAnsi="Verdana" w:cs="Arial"/>
          <w:bCs/>
          <w:i/>
          <w:iCs/>
          <w:color w:val="000000" w:themeColor="text1"/>
          <w:sz w:val="20"/>
          <w:szCs w:val="20"/>
          <w:lang w:val="es-ES" w:eastAsia="es-ES_tradnl"/>
        </w:rPr>
        <w:t>costos directos</w:t>
      </w:r>
      <w:r w:rsidRPr="00683260">
        <w:rPr>
          <w:rFonts w:ascii="Verdana" w:eastAsia="Calibri" w:hAnsi="Verdana" w:cs="Arial"/>
          <w:bCs/>
          <w:color w:val="000000" w:themeColor="text1"/>
          <w:sz w:val="20"/>
          <w:szCs w:val="20"/>
          <w:lang w:val="es-ES" w:eastAsia="es-ES_tradnl"/>
        </w:rPr>
        <w:t xml:space="preserve"> se evidencian en el análisis de precios unitarios –APU–, como la sumatoria de los valores de los </w:t>
      </w:r>
      <w:r w:rsidRPr="00683260">
        <w:rPr>
          <w:rFonts w:ascii="Verdana" w:eastAsia="Calibri" w:hAnsi="Verdana" w:cs="Arial"/>
          <w:bCs/>
          <w:i/>
          <w:iCs/>
          <w:color w:val="000000" w:themeColor="text1"/>
          <w:sz w:val="20"/>
          <w:szCs w:val="20"/>
          <w:lang w:val="es-ES" w:eastAsia="es-ES_tradnl"/>
        </w:rPr>
        <w:t>ítems</w:t>
      </w:r>
      <w:r w:rsidRPr="00683260">
        <w:rPr>
          <w:rFonts w:ascii="Verdana" w:eastAsia="Calibri" w:hAnsi="Verdana" w:cs="Arial"/>
          <w:bCs/>
          <w:color w:val="000000" w:themeColor="text1"/>
          <w:sz w:val="20"/>
          <w:szCs w:val="20"/>
          <w:lang w:val="es-ES" w:eastAsia="es-ES_tradnl"/>
        </w:rPr>
        <w:t xml:space="preserve"> según su unidad de medida, los </w:t>
      </w:r>
      <w:r w:rsidRPr="00683260">
        <w:rPr>
          <w:rFonts w:ascii="Verdana" w:eastAsia="Calibri" w:hAnsi="Verdana" w:cs="Arial"/>
          <w:bCs/>
          <w:i/>
          <w:iCs/>
          <w:color w:val="000000" w:themeColor="text1"/>
          <w:sz w:val="20"/>
          <w:szCs w:val="20"/>
          <w:lang w:val="es-ES" w:eastAsia="es-ES_tradnl"/>
        </w:rPr>
        <w:t>costos indirectos</w:t>
      </w:r>
      <w:r w:rsidRPr="00683260">
        <w:rPr>
          <w:rFonts w:ascii="Verdana" w:eastAsia="Calibri" w:hAnsi="Verdana" w:cs="Arial"/>
          <w:bCs/>
          <w:color w:val="000000" w:themeColor="text1"/>
          <w:sz w:val="20"/>
          <w:szCs w:val="20"/>
          <w:lang w:val="es-ES" w:eastAsia="es-ES_tradnl"/>
        </w:rPr>
        <w:t xml:space="preserve"> se suelen abreviar en las variables que integran el acrónimo AIU –Administración, Imprevistos y Utilidad–</w:t>
      </w:r>
      <w:r w:rsidRPr="00AF1555">
        <w:rPr>
          <w:rFonts w:ascii="Verdana" w:eastAsia="Calibri" w:hAnsi="Verdana" w:cs="Arial"/>
          <w:color w:val="000000" w:themeColor="text1"/>
          <w:sz w:val="20"/>
          <w:szCs w:val="20"/>
          <w:lang w:val="es-ES_tradnl"/>
        </w:rPr>
        <w:t>.</w:t>
      </w:r>
    </w:p>
    <w:p w14:paraId="5CB8742A" w14:textId="77777777" w:rsidR="00B7779E" w:rsidRPr="00AF1555" w:rsidRDefault="00B7779E" w:rsidP="00B7779E">
      <w:pPr>
        <w:spacing w:after="0" w:line="240" w:lineRule="auto"/>
        <w:jc w:val="both"/>
        <w:rPr>
          <w:rFonts w:ascii="Verdana" w:eastAsia="Geomanist Light" w:hAnsi="Verdana" w:cs="Arial"/>
          <w:color w:val="000000" w:themeColor="text1"/>
          <w:sz w:val="20"/>
          <w:szCs w:val="20"/>
          <w:lang w:val="es-ES_tradnl"/>
        </w:rPr>
      </w:pPr>
    </w:p>
    <w:p w14:paraId="2B4D6785" w14:textId="77777777" w:rsidR="00B7779E" w:rsidRPr="00AF1555" w:rsidRDefault="00B7779E" w:rsidP="00B7779E">
      <w:pPr>
        <w:spacing w:after="0" w:line="240" w:lineRule="auto"/>
        <w:jc w:val="both"/>
        <w:rPr>
          <w:rFonts w:ascii="Verdana" w:eastAsia="Calibri" w:hAnsi="Verdana" w:cs="Arial"/>
          <w:b/>
          <w:lang w:val="es-ES"/>
        </w:rPr>
      </w:pPr>
      <w:r w:rsidRPr="00292198">
        <w:rPr>
          <w:rFonts w:ascii="Verdana" w:eastAsia="Calibri" w:hAnsi="Verdana" w:cs="Arial"/>
          <w:b/>
          <w:lang w:val="es-ES"/>
        </w:rPr>
        <w:t>AIU – Costos indirectos – Finalidad – Ejecución del contrato</w:t>
      </w:r>
    </w:p>
    <w:p w14:paraId="5389213F" w14:textId="77777777" w:rsidR="00B7779E" w:rsidRPr="00AF1555" w:rsidRDefault="00B7779E" w:rsidP="00B7779E">
      <w:pPr>
        <w:spacing w:after="0" w:line="240" w:lineRule="auto"/>
        <w:jc w:val="both"/>
        <w:rPr>
          <w:rFonts w:ascii="Verdana" w:eastAsia="Calibri" w:hAnsi="Verdana" w:cs="Arial"/>
          <w:b/>
          <w:sz w:val="20"/>
          <w:szCs w:val="20"/>
          <w:lang w:val="es-ES"/>
        </w:rPr>
      </w:pPr>
    </w:p>
    <w:p w14:paraId="4ECD561D" w14:textId="77777777" w:rsidR="00B7779E" w:rsidRPr="00683260" w:rsidRDefault="00B7779E" w:rsidP="00B7779E">
      <w:pPr>
        <w:spacing w:after="0" w:line="240" w:lineRule="auto"/>
        <w:jc w:val="both"/>
        <w:rPr>
          <w:rFonts w:ascii="Verdana" w:eastAsia="Calibri" w:hAnsi="Verdana" w:cs="Arial"/>
          <w:bCs/>
          <w:sz w:val="20"/>
          <w:szCs w:val="20"/>
          <w:lang w:val="es-ES"/>
        </w:rPr>
      </w:pPr>
      <w:r w:rsidRPr="00683260">
        <w:rPr>
          <w:rFonts w:ascii="Verdana" w:eastAsia="Calibri" w:hAnsi="Verdana" w:cs="Arial"/>
          <w:bCs/>
          <w:sz w:val="20"/>
          <w:szCs w:val="20"/>
          <w:lang w:val="es-ES"/>
        </w:rPr>
        <w:t xml:space="preserve">Lo usual, que se advierte en la práctica de las entidades estatales, es que acuden al AIU con la finalidad de establecer un precio más estable, de manera que el valor del contrato consistirá en lo que resulte de afectar los costos directos por el porcentaje, en principio, invariable del AIU, de manera que al valor de los costos directos se le sume el AIU. Así las cosas, las partes asumen los riesgos inherentes a esta forma de pactar el precio, entendiendo aceptados los </w:t>
      </w:r>
      <w:proofErr w:type="spellStart"/>
      <w:r w:rsidRPr="00683260">
        <w:rPr>
          <w:rFonts w:ascii="Verdana" w:eastAsia="Calibri" w:hAnsi="Verdana" w:cs="Arial"/>
          <w:bCs/>
          <w:sz w:val="20"/>
          <w:szCs w:val="20"/>
          <w:lang w:val="es-ES"/>
        </w:rPr>
        <w:t>áleas</w:t>
      </w:r>
      <w:proofErr w:type="spellEnd"/>
      <w:r w:rsidRPr="00683260">
        <w:rPr>
          <w:rFonts w:ascii="Verdana" w:eastAsia="Calibri" w:hAnsi="Verdana" w:cs="Arial"/>
          <w:bCs/>
          <w:sz w:val="20"/>
          <w:szCs w:val="20"/>
          <w:lang w:val="es-ES"/>
        </w:rPr>
        <w:t xml:space="preserve"> normales que se presenten en la ejecución del contrato, de manera que, aunque el contratista incurra en mayores costos de los ítems incluidos en la </w:t>
      </w:r>
      <w:r w:rsidRPr="00683260">
        <w:rPr>
          <w:rFonts w:ascii="Verdana" w:eastAsia="Calibri" w:hAnsi="Verdana" w:cs="Arial"/>
          <w:bCs/>
          <w:i/>
          <w:iCs/>
          <w:sz w:val="20"/>
          <w:szCs w:val="20"/>
          <w:lang w:val="es-ES"/>
        </w:rPr>
        <w:t>Administración</w:t>
      </w:r>
      <w:r w:rsidRPr="00683260">
        <w:rPr>
          <w:rFonts w:ascii="Verdana" w:eastAsia="Calibri" w:hAnsi="Verdana" w:cs="Arial"/>
          <w:bCs/>
          <w:sz w:val="20"/>
          <w:szCs w:val="20"/>
          <w:lang w:val="es-ES"/>
        </w:rPr>
        <w:t xml:space="preserve"> o en más gastos de </w:t>
      </w:r>
      <w:r w:rsidRPr="00683260">
        <w:rPr>
          <w:rFonts w:ascii="Verdana" w:eastAsia="Calibri" w:hAnsi="Verdana" w:cs="Arial"/>
          <w:bCs/>
          <w:i/>
          <w:iCs/>
          <w:sz w:val="20"/>
          <w:szCs w:val="20"/>
          <w:lang w:val="es-ES"/>
        </w:rPr>
        <w:t>Imprevistos</w:t>
      </w:r>
      <w:r w:rsidRPr="00683260">
        <w:rPr>
          <w:rFonts w:ascii="Verdana" w:eastAsia="Calibri" w:hAnsi="Verdana" w:cs="Arial"/>
          <w:bCs/>
          <w:sz w:val="20"/>
          <w:szCs w:val="20"/>
          <w:lang w:val="es-ES"/>
        </w:rPr>
        <w:t xml:space="preserve"> al presentar su oferta, o que estos disminuyan, aparezcan algunos nuevos o desaparezcan algunos de ellos, el valor se mantenga invariable. De este modo, las partes optan por darle estabilidad al negocio, asumiendo cada una de ellas lo que le favorezca o desfavorezca, lo que evita, además, incurrir en costos de transacción relacionados con la necesidad de acreditar y verificar cada costo o gasto específico asociado a la </w:t>
      </w:r>
      <w:r w:rsidRPr="00683260">
        <w:rPr>
          <w:rFonts w:ascii="Verdana" w:eastAsia="Calibri" w:hAnsi="Verdana" w:cs="Arial"/>
          <w:bCs/>
          <w:i/>
          <w:iCs/>
          <w:sz w:val="20"/>
          <w:szCs w:val="20"/>
          <w:lang w:val="es-ES"/>
        </w:rPr>
        <w:t xml:space="preserve">Administración </w:t>
      </w:r>
      <w:r w:rsidRPr="00683260">
        <w:rPr>
          <w:rFonts w:ascii="Verdana" w:eastAsia="Calibri" w:hAnsi="Verdana" w:cs="Arial"/>
          <w:bCs/>
          <w:sz w:val="20"/>
          <w:szCs w:val="20"/>
          <w:lang w:val="es-ES"/>
        </w:rPr>
        <w:t>o lo</w:t>
      </w:r>
      <w:r w:rsidRPr="00683260">
        <w:rPr>
          <w:rFonts w:ascii="Verdana" w:eastAsia="Calibri" w:hAnsi="Verdana" w:cs="Arial"/>
          <w:bCs/>
          <w:i/>
          <w:iCs/>
          <w:sz w:val="20"/>
          <w:szCs w:val="20"/>
          <w:lang w:val="es-ES"/>
        </w:rPr>
        <w:t>s Imprevistos</w:t>
      </w:r>
      <w:r w:rsidRPr="00683260">
        <w:rPr>
          <w:rFonts w:ascii="Verdana" w:eastAsia="Calibri" w:hAnsi="Verdana" w:cs="Arial"/>
          <w:bCs/>
          <w:sz w:val="20"/>
          <w:szCs w:val="20"/>
          <w:lang w:val="es-ES"/>
        </w:rPr>
        <w:t>, lo que generaría más gastos tanto para la entidad como para el contratista</w:t>
      </w:r>
      <w:r>
        <w:rPr>
          <w:rFonts w:ascii="Verdana" w:eastAsia="Calibri" w:hAnsi="Verdana" w:cs="Arial"/>
          <w:bCs/>
          <w:sz w:val="20"/>
          <w:szCs w:val="20"/>
        </w:rPr>
        <w:t>.</w:t>
      </w:r>
    </w:p>
    <w:p w14:paraId="366D636A" w14:textId="77777777" w:rsidR="00B7779E" w:rsidRPr="00AF1555" w:rsidRDefault="00B7779E" w:rsidP="00B7779E">
      <w:pPr>
        <w:spacing w:after="0" w:line="240" w:lineRule="auto"/>
        <w:jc w:val="both"/>
        <w:rPr>
          <w:rFonts w:ascii="Verdana" w:eastAsia="Geomanist Light" w:hAnsi="Verdana" w:cs="Arial"/>
          <w:color w:val="000000" w:themeColor="text1"/>
          <w:sz w:val="20"/>
          <w:szCs w:val="20"/>
          <w:lang w:val="es-ES_tradnl"/>
        </w:rPr>
      </w:pPr>
    </w:p>
    <w:p w14:paraId="1D8B9AEC" w14:textId="77777777" w:rsidR="00B7779E" w:rsidRPr="00AF1555" w:rsidRDefault="00B7779E" w:rsidP="00B7779E">
      <w:pPr>
        <w:tabs>
          <w:tab w:val="left" w:pos="426"/>
        </w:tabs>
        <w:spacing w:after="0" w:line="240" w:lineRule="auto"/>
        <w:jc w:val="both"/>
        <w:rPr>
          <w:rFonts w:ascii="Verdana" w:hAnsi="Verdana" w:cs="Arial"/>
          <w:b/>
          <w:lang w:eastAsia="es-CO"/>
        </w:rPr>
      </w:pPr>
      <w:r>
        <w:rPr>
          <w:rFonts w:ascii="Verdana" w:hAnsi="Verdana" w:cs="Arial"/>
          <w:b/>
          <w:lang w:eastAsia="es-CO"/>
        </w:rPr>
        <w:t>AIU – Componentes – Discrecionalidad</w:t>
      </w:r>
    </w:p>
    <w:p w14:paraId="0FC3192B" w14:textId="77777777" w:rsidR="00B7779E" w:rsidRPr="00AF1555" w:rsidRDefault="00B7779E" w:rsidP="00B7779E">
      <w:pPr>
        <w:tabs>
          <w:tab w:val="left" w:pos="426"/>
        </w:tabs>
        <w:spacing w:after="0" w:line="240" w:lineRule="auto"/>
        <w:jc w:val="both"/>
        <w:rPr>
          <w:rFonts w:ascii="Verdana" w:hAnsi="Verdana" w:cs="Arial"/>
          <w:b/>
          <w:sz w:val="20"/>
          <w:szCs w:val="20"/>
          <w:lang w:eastAsia="es-CO"/>
        </w:rPr>
      </w:pPr>
    </w:p>
    <w:p w14:paraId="4AA93A65" w14:textId="77777777" w:rsidR="00B7779E" w:rsidRDefault="00B7779E" w:rsidP="00B7779E">
      <w:pPr>
        <w:spacing w:after="0" w:line="240" w:lineRule="auto"/>
        <w:jc w:val="both"/>
        <w:rPr>
          <w:rFonts w:ascii="Verdana" w:hAnsi="Verdana" w:cs="Arial"/>
          <w:bCs/>
          <w:sz w:val="20"/>
          <w:szCs w:val="20"/>
          <w:lang w:val="es-ES" w:eastAsia="es-CO"/>
        </w:rPr>
      </w:pPr>
      <w:r>
        <w:rPr>
          <w:rFonts w:ascii="Verdana" w:hAnsi="Verdana" w:cs="Arial"/>
          <w:bCs/>
          <w:sz w:val="20"/>
          <w:szCs w:val="20"/>
          <w:lang w:val="es-ES" w:eastAsia="es-CO"/>
        </w:rPr>
        <w:t xml:space="preserve">[…] </w:t>
      </w:r>
      <w:r w:rsidRPr="00683260">
        <w:rPr>
          <w:rFonts w:ascii="Verdana" w:hAnsi="Verdana" w:cs="Arial"/>
          <w:bCs/>
          <w:sz w:val="20"/>
          <w:szCs w:val="20"/>
          <w:lang w:val="es-ES" w:eastAsia="es-CO"/>
        </w:rPr>
        <w:t>las entidades cuentan con discrecionalidad para establecer en el pliego de condiciones o en su documento equivalente, así como en el contrato, el sistema de precios unitarios y la figura del AIU. De este modo, teniendo en cuenta el concepto de AIU, ni la forma de calcularlo son aspectos que cuenten con una regulación normativa en materia contractual del Estado, la determinación de los componentes del AIU dependerá del análisis particular que realice la entidad en relación con el presupuesto estimado del valor de la ejecución del contrato que, a su vez, sirve de guía para que los proponentes formulen sus ofertas.</w:t>
      </w:r>
    </w:p>
    <w:p w14:paraId="5932223C" w14:textId="77777777" w:rsidR="00B7779E" w:rsidRPr="00683260" w:rsidRDefault="00B7779E" w:rsidP="00B7779E">
      <w:pPr>
        <w:spacing w:after="0" w:line="240" w:lineRule="auto"/>
        <w:jc w:val="both"/>
        <w:rPr>
          <w:rFonts w:ascii="Verdana" w:hAnsi="Verdana" w:cs="Arial"/>
          <w:bCs/>
          <w:sz w:val="20"/>
          <w:szCs w:val="20"/>
          <w:lang w:val="es-ES" w:eastAsia="es-CO"/>
        </w:rPr>
      </w:pPr>
    </w:p>
    <w:p w14:paraId="73584710" w14:textId="77777777" w:rsidR="00B7779E" w:rsidRPr="000739A2" w:rsidRDefault="00B7779E" w:rsidP="00B7779E">
      <w:pPr>
        <w:spacing w:after="0" w:line="240" w:lineRule="auto"/>
        <w:jc w:val="both"/>
        <w:rPr>
          <w:rFonts w:ascii="Verdana" w:eastAsia="Geomanist Light" w:hAnsi="Verdana" w:cs="Arial"/>
          <w:color w:val="000000" w:themeColor="text1"/>
          <w:lang w:val="es-MX"/>
        </w:rPr>
      </w:pPr>
      <w:r w:rsidRPr="00683260">
        <w:rPr>
          <w:rFonts w:ascii="Verdana" w:hAnsi="Verdana" w:cs="Arial"/>
          <w:bCs/>
          <w:sz w:val="20"/>
          <w:szCs w:val="20"/>
          <w:lang w:val="es-ES" w:eastAsia="es-CO"/>
        </w:rPr>
        <w:t xml:space="preserve">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unitarios y la figura del AIU; modelo que, como se indicó, es más pertinente para los contratos de tracto sucesivo, como el de obra. Por ende, la decisión de incluir el AIU, al igual que la metodología de delimitación de sus variables –ítems y porcentajes– debe obedecer a un juicioso análisis de oportunidad y </w:t>
      </w:r>
      <w:r w:rsidRPr="00683260">
        <w:rPr>
          <w:rFonts w:ascii="Verdana" w:hAnsi="Verdana" w:cs="Arial"/>
          <w:bCs/>
          <w:sz w:val="20"/>
          <w:szCs w:val="20"/>
          <w:lang w:val="es-ES" w:eastAsia="es-CO"/>
        </w:rPr>
        <w:lastRenderedPageBreak/>
        <w:t>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1CAB26E7" w14:textId="77777777" w:rsidR="00B7779E" w:rsidRPr="005549AE" w:rsidRDefault="00B7779E" w:rsidP="00B7779E">
      <w:pPr>
        <w:spacing w:after="0" w:line="240" w:lineRule="auto"/>
        <w:jc w:val="both"/>
        <w:rPr>
          <w:rFonts w:ascii="Verdana" w:hAnsi="Verdana"/>
          <w:b/>
          <w:bCs/>
          <w:sz w:val="20"/>
          <w:szCs w:val="20"/>
          <w:lang w:val="es-ES"/>
        </w:rPr>
      </w:pPr>
    </w:p>
    <w:p w14:paraId="6D002995" w14:textId="77777777" w:rsidR="00B7779E" w:rsidRPr="005549AE" w:rsidRDefault="00B7779E" w:rsidP="00B7779E">
      <w:pPr>
        <w:spacing w:after="0" w:line="240" w:lineRule="auto"/>
        <w:jc w:val="both"/>
        <w:rPr>
          <w:rFonts w:ascii="Verdana" w:hAnsi="Verdana"/>
          <w:b/>
        </w:rPr>
      </w:pPr>
      <w:r w:rsidRPr="00660AA2">
        <w:rPr>
          <w:rFonts w:ascii="Verdana" w:hAnsi="Verdana"/>
          <w:b/>
        </w:rPr>
        <w:t>EQUILIBRIO ECONÓMICO – Contrato estatal – Fundamento</w:t>
      </w:r>
    </w:p>
    <w:p w14:paraId="3A4825C7" w14:textId="77777777" w:rsidR="00B7779E" w:rsidRPr="005549AE" w:rsidRDefault="00B7779E" w:rsidP="00B7779E">
      <w:pPr>
        <w:spacing w:after="0" w:line="240" w:lineRule="auto"/>
        <w:jc w:val="both"/>
        <w:rPr>
          <w:rFonts w:ascii="Verdana" w:hAnsi="Verdana"/>
          <w:bCs/>
          <w:sz w:val="20"/>
          <w:szCs w:val="20"/>
        </w:rPr>
      </w:pPr>
    </w:p>
    <w:p w14:paraId="7CDE054D" w14:textId="77777777" w:rsidR="00B7779E" w:rsidRPr="00660AA2" w:rsidRDefault="00B7779E" w:rsidP="00B7779E">
      <w:pPr>
        <w:spacing w:after="0" w:line="240" w:lineRule="auto"/>
        <w:jc w:val="both"/>
        <w:rPr>
          <w:rFonts w:ascii="Verdana" w:eastAsia="Calibri" w:hAnsi="Verdana" w:cs="Arial"/>
          <w:sz w:val="20"/>
          <w:szCs w:val="20"/>
          <w:shd w:val="clear" w:color="auto" w:fill="FFFFFF"/>
          <w:lang w:val="es-ES"/>
        </w:rPr>
      </w:pPr>
      <w:r w:rsidRPr="00660AA2">
        <w:rPr>
          <w:rFonts w:ascii="Verdana" w:eastAsia="Calibri" w:hAnsi="Verdana" w:cs="Arial"/>
          <w:sz w:val="20"/>
          <w:szCs w:val="20"/>
          <w:shd w:val="clear" w:color="auto" w:fill="FFFFFF"/>
          <w:lang w:val="es-ES"/>
        </w:rPr>
        <w:t xml:space="preserve">De conformidad con el artículo 3 de la Ley 80 de 1993 la celebración y ejecución de los contratos estatales tiene como fin el cumplimiento de los fines estatales, la continua y eficiente prestación de los servicios públicos y la efectividad de los derechos e intereses de los administrados que colaboran con ellas en la consecución de dichos fines. Por su parte, los particulares que celebran y ejecutan contratos con las entidades estatales tendrán en cuenta que colaboran con ellas en el logro de sus fines y cumplen una función social que, como tal, implica obligaciones. Así, con la celebración del contrato estatal surgen derechos y obligaciones para cada una de las partes que tienen como propósito, por un lado, la continua y eficiente prestación de los servicios públicos y la satisfacción del interés general y por otro lado, generar un beneficio económico para el particular que colabora en su ejecución. </w:t>
      </w:r>
    </w:p>
    <w:p w14:paraId="6C7E5C26" w14:textId="77777777" w:rsidR="00B7779E" w:rsidRPr="00660AA2" w:rsidRDefault="00B7779E" w:rsidP="00B7779E">
      <w:pPr>
        <w:spacing w:after="0" w:line="240" w:lineRule="auto"/>
        <w:jc w:val="both"/>
        <w:rPr>
          <w:rFonts w:ascii="Verdana" w:eastAsia="Calibri" w:hAnsi="Verdana" w:cs="Arial"/>
          <w:sz w:val="20"/>
          <w:szCs w:val="20"/>
          <w:shd w:val="clear" w:color="auto" w:fill="FFFFFF"/>
          <w:lang w:val="es-ES"/>
        </w:rPr>
      </w:pPr>
    </w:p>
    <w:p w14:paraId="46A1FD57" w14:textId="77777777" w:rsidR="00B7779E" w:rsidRPr="005549AE" w:rsidRDefault="00B7779E" w:rsidP="00B7779E">
      <w:pPr>
        <w:spacing w:after="0" w:line="240" w:lineRule="auto"/>
        <w:jc w:val="both"/>
        <w:rPr>
          <w:rFonts w:ascii="Verdana" w:eastAsia="Arial MT" w:hAnsi="Verdana" w:cs="Arial"/>
          <w:sz w:val="20"/>
          <w:szCs w:val="20"/>
          <w:lang w:eastAsia="es-ES" w:bidi="es-ES"/>
        </w:rPr>
      </w:pPr>
      <w:r w:rsidRPr="00660AA2">
        <w:rPr>
          <w:rFonts w:ascii="Verdana" w:eastAsia="Calibri" w:hAnsi="Verdana" w:cs="Arial"/>
          <w:sz w:val="20"/>
          <w:szCs w:val="20"/>
          <w:shd w:val="clear" w:color="auto" w:fill="FFFFFF"/>
          <w:lang w:val="es-ES"/>
        </w:rPr>
        <w:t>De esta manera, los contratos estatales se deben pactar sobre la base de la interdependencia entre las prestaciones, esto es, que exista reciprocidad entre los derechos y las obligaciones de las entidades y los particulares, de tal forma que estas sean equivalentes y se mantengan durante la ejecución contractual. Esto se fundamenta en el principio del equilibrio financiero del contrato previsto en el artículo 27 de la Ley 80 de 1993 […].</w:t>
      </w:r>
    </w:p>
    <w:p w14:paraId="4F80BCDC" w14:textId="77777777" w:rsidR="00B7779E" w:rsidRPr="005549AE" w:rsidRDefault="00B7779E" w:rsidP="00B7779E">
      <w:pPr>
        <w:spacing w:after="0" w:line="240" w:lineRule="auto"/>
        <w:jc w:val="both"/>
        <w:rPr>
          <w:rFonts w:ascii="Verdana" w:hAnsi="Verdana"/>
          <w:bCs/>
          <w:sz w:val="20"/>
          <w:szCs w:val="20"/>
        </w:rPr>
      </w:pPr>
    </w:p>
    <w:p w14:paraId="18DA1DFD" w14:textId="77777777" w:rsidR="00B7779E" w:rsidRPr="005549AE" w:rsidRDefault="00B7779E" w:rsidP="00B7779E">
      <w:pPr>
        <w:spacing w:after="0" w:line="240" w:lineRule="auto"/>
        <w:jc w:val="both"/>
        <w:rPr>
          <w:rFonts w:ascii="Verdana" w:hAnsi="Verdana"/>
          <w:b/>
        </w:rPr>
      </w:pPr>
      <w:r w:rsidRPr="00660AA2">
        <w:rPr>
          <w:rFonts w:ascii="Verdana" w:hAnsi="Verdana"/>
          <w:b/>
        </w:rPr>
        <w:t>EQUILIBRIO ECONÓMICO – Contrato estatal – Concepto</w:t>
      </w:r>
    </w:p>
    <w:p w14:paraId="02BD3321" w14:textId="77777777" w:rsidR="00B7779E" w:rsidRPr="005549AE" w:rsidRDefault="00B7779E" w:rsidP="00B7779E">
      <w:pPr>
        <w:spacing w:after="0" w:line="240" w:lineRule="auto"/>
        <w:jc w:val="both"/>
        <w:rPr>
          <w:rFonts w:ascii="Verdana" w:hAnsi="Verdana"/>
          <w:bCs/>
          <w:sz w:val="20"/>
          <w:szCs w:val="20"/>
        </w:rPr>
      </w:pPr>
    </w:p>
    <w:p w14:paraId="2F5F1FA7" w14:textId="77777777" w:rsidR="00B7779E" w:rsidRPr="005549AE" w:rsidRDefault="00B7779E" w:rsidP="00B7779E">
      <w:pPr>
        <w:spacing w:after="0" w:line="240" w:lineRule="auto"/>
        <w:jc w:val="both"/>
        <w:rPr>
          <w:rFonts w:ascii="Verdana" w:hAnsi="Verdana"/>
          <w:b/>
          <w:bCs/>
          <w:sz w:val="20"/>
          <w:szCs w:val="20"/>
        </w:rPr>
      </w:pPr>
      <w:r w:rsidRPr="00660AA2">
        <w:rPr>
          <w:rFonts w:ascii="Verdana" w:eastAsia="Arial MT" w:hAnsi="Verdana" w:cs="Arial"/>
          <w:sz w:val="20"/>
          <w:szCs w:val="20"/>
          <w:lang w:eastAsia="es-ES" w:bidi="es-ES"/>
        </w:rPr>
        <w:t xml:space="preserve">Sobre el principio del equilibrio financiero del contrato, el Consejo de Estado ha señalado que consiste </w:t>
      </w:r>
      <w:r>
        <w:rPr>
          <w:rFonts w:ascii="Verdana" w:eastAsia="Arial MT" w:hAnsi="Verdana" w:cs="Arial"/>
          <w:sz w:val="20"/>
          <w:szCs w:val="20"/>
          <w:lang w:eastAsia="es-ES" w:bidi="es-ES"/>
        </w:rPr>
        <w:t>“</w:t>
      </w:r>
      <w:r w:rsidRPr="00660AA2">
        <w:rPr>
          <w:rFonts w:ascii="Verdana" w:eastAsia="Arial MT" w:hAnsi="Verdana" w:cs="Arial"/>
          <w:sz w:val="20"/>
          <w:szCs w:val="20"/>
          <w:lang w:eastAsia="es-ES" w:bidi="es-ES"/>
        </w:rPr>
        <w:t>en garantizar el mantenimiento de la igualdad o equivalencia entre derechos y obligaciones surgidos al momento de proponer o de contratar, según el caso, de manera que si se rompe por causas sobrevinientes, imprevisibles y no imputables a quien resulte afectado, las partes adoptarán las medidas necesarias para su restablecimiento, so pena de incurrir en una responsabilidad contractual tendiente a restituir tal equilibrio</w:t>
      </w:r>
      <w:r>
        <w:rPr>
          <w:rFonts w:ascii="Verdana" w:eastAsia="Arial MT" w:hAnsi="Verdana" w:cs="Arial"/>
          <w:sz w:val="20"/>
          <w:szCs w:val="20"/>
          <w:lang w:eastAsia="es-ES" w:bidi="es-ES"/>
        </w:rPr>
        <w:t>”</w:t>
      </w:r>
      <w:r w:rsidRPr="00660AA2">
        <w:rPr>
          <w:rFonts w:ascii="Verdana" w:eastAsia="Arial MT" w:hAnsi="Verdana" w:cs="Arial"/>
          <w:sz w:val="20"/>
          <w:szCs w:val="20"/>
          <w:lang w:eastAsia="es-ES" w:bidi="es-ES"/>
        </w:rPr>
        <w:t xml:space="preserve">. En concordancia, la doctrina ha indicado que con este principio, también denominado </w:t>
      </w:r>
      <w:r>
        <w:rPr>
          <w:rFonts w:ascii="Verdana" w:eastAsia="Arial MT" w:hAnsi="Verdana" w:cs="Arial"/>
          <w:sz w:val="20"/>
          <w:szCs w:val="20"/>
          <w:lang w:eastAsia="es-ES" w:bidi="es-ES"/>
        </w:rPr>
        <w:t>“</w:t>
      </w:r>
      <w:r w:rsidRPr="00660AA2">
        <w:rPr>
          <w:rFonts w:ascii="Verdana" w:eastAsia="Arial MT" w:hAnsi="Verdana" w:cs="Arial"/>
          <w:sz w:val="20"/>
          <w:szCs w:val="20"/>
          <w:lang w:eastAsia="es-ES" w:bidi="es-ES"/>
        </w:rPr>
        <w:t>el de la honesta equivalencia de prestaciones</w:t>
      </w:r>
      <w:r>
        <w:rPr>
          <w:rFonts w:ascii="Verdana" w:eastAsia="Arial MT" w:hAnsi="Verdana" w:cs="Arial"/>
          <w:sz w:val="20"/>
          <w:szCs w:val="20"/>
          <w:lang w:eastAsia="es-ES" w:bidi="es-ES"/>
        </w:rPr>
        <w:t>”</w:t>
      </w:r>
      <w:r w:rsidRPr="00660AA2">
        <w:rPr>
          <w:rFonts w:ascii="Verdana" w:eastAsia="Arial MT" w:hAnsi="Verdana" w:cs="Arial"/>
          <w:sz w:val="20"/>
          <w:szCs w:val="20"/>
          <w:lang w:eastAsia="es-ES" w:bidi="es-ES"/>
        </w:rPr>
        <w:t xml:space="preserve">, se privilegia el carácter conmutativo o sinalagmático que, por regla general, tiene el contrato estatal, </w:t>
      </w:r>
      <w:r>
        <w:rPr>
          <w:rFonts w:ascii="Verdana" w:eastAsia="Arial MT" w:hAnsi="Verdana" w:cs="Arial"/>
          <w:sz w:val="20"/>
          <w:szCs w:val="20"/>
          <w:lang w:eastAsia="es-ES" w:bidi="es-ES"/>
        </w:rPr>
        <w:t>“</w:t>
      </w:r>
      <w:r w:rsidRPr="00660AA2">
        <w:rPr>
          <w:rFonts w:ascii="Verdana" w:eastAsia="Arial MT" w:hAnsi="Verdana" w:cs="Arial"/>
          <w:sz w:val="20"/>
          <w:szCs w:val="20"/>
          <w:lang w:eastAsia="es-ES" w:bidi="es-ES"/>
        </w:rPr>
        <w:t>lo que significa que las prestaciones (derechos y obligaciones) asumidas por una parte contractual se entienden como equivalentes a las de la otra parte y obliga a la adopción de medidas tendientes a garantizar que esa igualdad existente en términos económicos al tiempo de su celebración se conserve y permanezca intacta durante su ejecución, y a que se restablezca esa equivalencia en caso de su ruptura por circunstancias o causas sobrevinientes, imprevisibles e imputables o no a ellas</w:t>
      </w:r>
      <w:r>
        <w:rPr>
          <w:rFonts w:ascii="Verdana" w:eastAsia="Arial MT" w:hAnsi="Verdana" w:cs="Arial"/>
          <w:sz w:val="20"/>
          <w:szCs w:val="20"/>
          <w:lang w:eastAsia="es-ES" w:bidi="es-ES"/>
        </w:rPr>
        <w:t>”</w:t>
      </w:r>
      <w:r w:rsidRPr="00660AA2">
        <w:rPr>
          <w:rFonts w:ascii="Verdana" w:eastAsia="Arial MT" w:hAnsi="Verdana" w:cs="Arial"/>
          <w:sz w:val="20"/>
          <w:szCs w:val="20"/>
          <w:lang w:eastAsia="es-ES" w:bidi="es-ES"/>
        </w:rPr>
        <w:t>.</w:t>
      </w:r>
    </w:p>
    <w:p w14:paraId="6F4E1904" w14:textId="77777777" w:rsidR="00B7779E" w:rsidRPr="005549AE" w:rsidRDefault="00B7779E" w:rsidP="00B7779E">
      <w:pPr>
        <w:spacing w:after="0" w:line="240" w:lineRule="auto"/>
        <w:jc w:val="both"/>
        <w:rPr>
          <w:rFonts w:ascii="Verdana" w:hAnsi="Verdana"/>
          <w:b/>
          <w:bCs/>
          <w:sz w:val="20"/>
          <w:szCs w:val="20"/>
        </w:rPr>
      </w:pPr>
    </w:p>
    <w:p w14:paraId="2222AD02" w14:textId="77777777" w:rsidR="00B7779E" w:rsidRPr="005549AE" w:rsidRDefault="00B7779E" w:rsidP="00B7779E">
      <w:pPr>
        <w:spacing w:after="0" w:line="240" w:lineRule="auto"/>
        <w:jc w:val="both"/>
        <w:rPr>
          <w:rFonts w:ascii="Verdana" w:hAnsi="Verdana"/>
          <w:b/>
          <w:bCs/>
        </w:rPr>
      </w:pPr>
      <w:r w:rsidRPr="00660AA2">
        <w:rPr>
          <w:rFonts w:ascii="Verdana" w:hAnsi="Verdana"/>
          <w:b/>
          <w:bCs/>
        </w:rPr>
        <w:lastRenderedPageBreak/>
        <w:t>EQUILIBRIO ECONÓMICO – Contrato estatal – Restablecimiento – Procedencia – Requisitos</w:t>
      </w:r>
    </w:p>
    <w:p w14:paraId="2753F7A0" w14:textId="77777777" w:rsidR="00B7779E" w:rsidRPr="005549AE" w:rsidRDefault="00B7779E" w:rsidP="00B7779E">
      <w:pPr>
        <w:spacing w:after="0" w:line="240" w:lineRule="auto"/>
        <w:jc w:val="both"/>
        <w:rPr>
          <w:rFonts w:ascii="Verdana" w:hAnsi="Verdana"/>
          <w:b/>
          <w:bCs/>
          <w:sz w:val="20"/>
          <w:szCs w:val="20"/>
        </w:rPr>
      </w:pPr>
    </w:p>
    <w:p w14:paraId="5B4F7D0E" w14:textId="77777777" w:rsidR="00B7779E" w:rsidRPr="00660AA2" w:rsidRDefault="00B7779E" w:rsidP="00B7779E">
      <w:pPr>
        <w:spacing w:after="0" w:line="240" w:lineRule="auto"/>
        <w:jc w:val="both"/>
        <w:rPr>
          <w:rFonts w:ascii="Verdana" w:hAnsi="Verdana"/>
          <w:sz w:val="20"/>
          <w:szCs w:val="20"/>
        </w:rPr>
      </w:pPr>
      <w:r w:rsidRPr="00660AA2">
        <w:rPr>
          <w:rFonts w:ascii="Verdana" w:hAnsi="Verdana"/>
          <w:sz w:val="20"/>
          <w:szCs w:val="20"/>
          <w:lang w:bidi="es-ES"/>
        </w:rPr>
        <w:t xml:space="preserve">En lo que atañe a la procedencia del restablecimiento del equilibrio financiero del contrato cuando este se vulnera, la jurisprudencia ha señalado que para estos efectos es imperativo la prueba del menoscabo, demostrar que este es grave y que además no corresponde a un riesgo propio de la actividad que deba ser asumido por una de las partes contractuales. Además, es necesario que las reclamaciones para el restablecimiento se realicen en la oportunidad debida, de manera que </w:t>
      </w:r>
      <w:r w:rsidRPr="00660AA2">
        <w:rPr>
          <w:rFonts w:ascii="Verdana" w:hAnsi="Verdana"/>
          <w:sz w:val="20"/>
          <w:szCs w:val="20"/>
        </w:rPr>
        <w:t xml:space="preserve">si las solicitudes, o salvedades </w:t>
      </w:r>
      <w:r>
        <w:rPr>
          <w:rFonts w:ascii="Verdana" w:hAnsi="Verdana"/>
          <w:sz w:val="20"/>
          <w:szCs w:val="20"/>
          <w:lang w:val="es-MX"/>
        </w:rPr>
        <w:t>“</w:t>
      </w:r>
      <w:r w:rsidRPr="00660AA2">
        <w:rPr>
          <w:rFonts w:ascii="Verdana" w:hAnsi="Verdana"/>
          <w:sz w:val="20"/>
          <w:szCs w:val="20"/>
        </w:rPr>
        <w:t>no se hacen al momento de suscribir las suspensiones, adiciones o prórrogas del plazo contractual, contratos adicionales, otrosíes, etc., que por tal motivo se convinieren, cualquier solicitud, reclamación o pretensión ulterior es extemporánea, improcedente e impróspera por vulnerar el principio de la buena fe contractual</w:t>
      </w:r>
      <w:r>
        <w:rPr>
          <w:rFonts w:ascii="Verdana" w:hAnsi="Verdana"/>
          <w:sz w:val="20"/>
          <w:szCs w:val="20"/>
          <w:lang w:val="es-MX"/>
        </w:rPr>
        <w:t>”</w:t>
      </w:r>
      <w:r w:rsidRPr="00660AA2">
        <w:rPr>
          <w:rFonts w:ascii="Verdana" w:hAnsi="Verdana"/>
          <w:sz w:val="20"/>
          <w:szCs w:val="20"/>
          <w:lang w:val="es-MX"/>
        </w:rPr>
        <w:t xml:space="preserve">. </w:t>
      </w:r>
    </w:p>
    <w:p w14:paraId="137D6A50" w14:textId="77777777" w:rsidR="00B7779E" w:rsidRPr="00660AA2" w:rsidRDefault="00B7779E" w:rsidP="00B7779E">
      <w:pPr>
        <w:spacing w:after="0" w:line="240" w:lineRule="auto"/>
        <w:jc w:val="both"/>
        <w:rPr>
          <w:rFonts w:ascii="Verdana" w:hAnsi="Verdana"/>
          <w:sz w:val="20"/>
          <w:szCs w:val="20"/>
          <w:lang w:bidi="es-ES"/>
        </w:rPr>
      </w:pPr>
    </w:p>
    <w:p w14:paraId="4D644BF0" w14:textId="77777777" w:rsidR="00B7779E" w:rsidRPr="00660AA2" w:rsidRDefault="00B7779E" w:rsidP="00B7779E">
      <w:pPr>
        <w:spacing w:after="0" w:line="240" w:lineRule="auto"/>
        <w:jc w:val="both"/>
        <w:rPr>
          <w:rFonts w:ascii="Verdana" w:hAnsi="Verdana"/>
          <w:sz w:val="20"/>
          <w:szCs w:val="20"/>
          <w:lang w:bidi="es-ES"/>
        </w:rPr>
      </w:pPr>
      <w:r w:rsidRPr="00660AA2">
        <w:rPr>
          <w:rFonts w:ascii="Verdana" w:hAnsi="Verdana"/>
          <w:sz w:val="20"/>
          <w:szCs w:val="20"/>
          <w:lang w:bidi="es-ES"/>
        </w:rPr>
        <w:t xml:space="preserve">De este modo, conforme a esta postura del Consejo de Estado no basta con la alegación del rompimiento del equilibrio del contrato puesto que resulta indispensable demostrar la afectación grave de las condiciones del contrato y, además, que la reclamación o solicitud en que se fundamenta el desequilibrio económico del contrato se realice en el momento oportuno, esto es, cuando se celebren las modificaciones, prórrogas, suspensiones, entre otros y no con posterioridad a ella. </w:t>
      </w:r>
    </w:p>
    <w:p w14:paraId="1BC21DF7" w14:textId="77777777" w:rsidR="00B7779E" w:rsidRPr="00660AA2" w:rsidRDefault="00B7779E" w:rsidP="00B7779E">
      <w:pPr>
        <w:spacing w:after="0" w:line="240" w:lineRule="auto"/>
        <w:jc w:val="both"/>
        <w:rPr>
          <w:rFonts w:ascii="Verdana" w:hAnsi="Verdana"/>
          <w:sz w:val="20"/>
          <w:szCs w:val="20"/>
        </w:rPr>
      </w:pPr>
    </w:p>
    <w:p w14:paraId="0104562A" w14:textId="77777777" w:rsidR="00B7779E" w:rsidRPr="00660AA2" w:rsidRDefault="00B7779E" w:rsidP="00B7779E">
      <w:pPr>
        <w:spacing w:after="0" w:line="240" w:lineRule="auto"/>
        <w:jc w:val="both"/>
        <w:rPr>
          <w:rFonts w:ascii="Verdana" w:hAnsi="Verdana"/>
          <w:sz w:val="20"/>
          <w:szCs w:val="20"/>
        </w:rPr>
      </w:pPr>
      <w:r w:rsidRPr="00660AA2">
        <w:rPr>
          <w:rFonts w:ascii="Verdana" w:hAnsi="Verdana"/>
          <w:sz w:val="20"/>
          <w:szCs w:val="20"/>
          <w:lang w:bidi="es-ES"/>
        </w:rPr>
        <w:t>En sentencias recientes el Consejo de Estado ha morigerado la postura anterior en relación con la oportunidad de la reclamación, en la medida en que, si bien es importante considerar el principio de buena fe al momento de suscribir los acuerdos entre las partes, se resalta la necesidad de analizar</w:t>
      </w:r>
      <w:r w:rsidRPr="00660AA2">
        <w:rPr>
          <w:rFonts w:ascii="Verdana" w:hAnsi="Verdana"/>
          <w:sz w:val="20"/>
          <w:szCs w:val="20"/>
        </w:rPr>
        <w:t xml:space="preserve"> cada caso el contenido del respectivo acuerdo y de sus antecedentes, para determinar el alcance de los otrosíes o de las actas de suspensión correspondientes. En tal sentido, con base en esta posición se considera que la inexistencia de una salvedad en la prórroga o suspensión o cualquier acuerdo de voluntades que se efectúe por las partes no es suficiente para determinar la improcedencia de la reclamación, ya que es necesario revisar los antecedentes y los hechos que justificaron dicho acuerdo. Esto se fundamente en que </w:t>
      </w:r>
      <w:r>
        <w:rPr>
          <w:rFonts w:ascii="Verdana" w:hAnsi="Verdana"/>
          <w:sz w:val="20"/>
          <w:szCs w:val="20"/>
          <w:lang w:val="es-MX"/>
        </w:rPr>
        <w:t>“</w:t>
      </w:r>
      <w:r w:rsidRPr="00660AA2">
        <w:rPr>
          <w:rFonts w:ascii="Verdana" w:hAnsi="Verdana"/>
          <w:sz w:val="20"/>
          <w:szCs w:val="20"/>
        </w:rPr>
        <w:t>la denegatoria de tales pretensiones, es el hecho de que el acuerdo suscrito haya servido, precisamente, para solventar situaciones que se hayan presentado durante la ejecución del contrato, por lo que no se entendería que, de considerar que subsistía un perjuicio para el contratista derivado de tales situaciones, haya concurrido a suscribirlo, sin dejar alguna manifestación sobre la insuficiencia de ese acuerdo para satisfacer sus reclamaciones</w:t>
      </w:r>
      <w:r>
        <w:rPr>
          <w:rFonts w:ascii="Verdana" w:hAnsi="Verdana"/>
          <w:sz w:val="20"/>
          <w:szCs w:val="20"/>
          <w:lang w:val="es-MX"/>
        </w:rPr>
        <w:t>”</w:t>
      </w:r>
      <w:r w:rsidRPr="00660AA2">
        <w:rPr>
          <w:rFonts w:ascii="Verdana" w:hAnsi="Verdana"/>
          <w:sz w:val="20"/>
          <w:szCs w:val="20"/>
        </w:rPr>
        <w:t>.</w:t>
      </w:r>
    </w:p>
    <w:p w14:paraId="1E6A3D09" w14:textId="77777777" w:rsidR="00B7779E" w:rsidRPr="005549AE" w:rsidRDefault="00B7779E" w:rsidP="00B7779E">
      <w:pPr>
        <w:spacing w:after="0" w:line="240" w:lineRule="auto"/>
        <w:jc w:val="both"/>
        <w:rPr>
          <w:rFonts w:ascii="Verdana" w:hAnsi="Verdana"/>
          <w:sz w:val="20"/>
          <w:szCs w:val="20"/>
        </w:rPr>
      </w:pPr>
    </w:p>
    <w:p w14:paraId="6CB44973" w14:textId="77777777" w:rsidR="00B7779E" w:rsidRPr="00AF1555" w:rsidRDefault="00B7779E" w:rsidP="00B7779E">
      <w:pPr>
        <w:tabs>
          <w:tab w:val="left" w:pos="426"/>
        </w:tabs>
        <w:spacing w:after="0" w:line="240" w:lineRule="auto"/>
        <w:jc w:val="both"/>
        <w:rPr>
          <w:rFonts w:ascii="Verdana" w:hAnsi="Verdana" w:cs="Arial"/>
          <w:b/>
          <w:lang w:eastAsia="es-CO"/>
        </w:rPr>
      </w:pPr>
      <w:r>
        <w:rPr>
          <w:rFonts w:ascii="Verdana" w:hAnsi="Verdana" w:cs="Arial"/>
          <w:b/>
          <w:lang w:val="es-ES_tradnl" w:eastAsia="es-CO"/>
        </w:rPr>
        <w:t>RESTABLECIMIENTO DE LA ECUACIÓN ECONÓMICA</w:t>
      </w:r>
      <w:r>
        <w:rPr>
          <w:rFonts w:ascii="Verdana" w:hAnsi="Verdana" w:cs="Arial"/>
          <w:b/>
          <w:lang w:eastAsia="es-CO"/>
        </w:rPr>
        <w:t xml:space="preserve"> – Liquidación</w:t>
      </w:r>
      <w:r w:rsidRPr="00AF1555">
        <w:rPr>
          <w:rFonts w:ascii="Verdana" w:hAnsi="Verdana" w:cs="Arial"/>
          <w:b/>
          <w:lang w:eastAsia="es-CO"/>
        </w:rPr>
        <w:t xml:space="preserve">  </w:t>
      </w:r>
    </w:p>
    <w:p w14:paraId="5B72BB8C" w14:textId="77777777" w:rsidR="00B7779E" w:rsidRPr="00AF1555" w:rsidRDefault="00B7779E" w:rsidP="00B7779E">
      <w:pPr>
        <w:tabs>
          <w:tab w:val="left" w:pos="426"/>
        </w:tabs>
        <w:spacing w:after="0" w:line="240" w:lineRule="auto"/>
        <w:jc w:val="both"/>
        <w:rPr>
          <w:rFonts w:ascii="Verdana" w:hAnsi="Verdana" w:cs="Arial"/>
          <w:b/>
          <w:sz w:val="20"/>
          <w:szCs w:val="20"/>
          <w:lang w:eastAsia="es-CO"/>
        </w:rPr>
      </w:pPr>
    </w:p>
    <w:p w14:paraId="5B91C831" w14:textId="77777777" w:rsidR="00B7779E" w:rsidRPr="006F121D" w:rsidRDefault="00B7779E" w:rsidP="00B7779E">
      <w:pPr>
        <w:spacing w:after="0" w:line="240" w:lineRule="auto"/>
        <w:jc w:val="both"/>
        <w:rPr>
          <w:rFonts w:ascii="Verdana" w:hAnsi="Verdana" w:cs="Arial"/>
          <w:bCs/>
          <w:sz w:val="20"/>
          <w:szCs w:val="20"/>
          <w:lang w:eastAsia="es-CO"/>
        </w:rPr>
      </w:pPr>
      <w:r w:rsidRPr="006F121D">
        <w:rPr>
          <w:rFonts w:ascii="Verdana" w:hAnsi="Verdana" w:cs="Arial"/>
          <w:bCs/>
          <w:sz w:val="20"/>
          <w:szCs w:val="20"/>
          <w:lang w:eastAsia="es-CO"/>
        </w:rPr>
        <w:t>De los incisos segundo y tercero del artículo 60 del EGCAP se desprende que en la liquidación “[…] las partes acordarán los ajustes, revisiones y reconocimientos a que haya lugar” y en ella “[…] constarán los acuerdos, conciliaciones y transacciones a que llegaren las partes para poner fin a las divergencias presentadas y poder declararse a paz y salvo”.</w:t>
      </w:r>
      <w:r>
        <w:rPr>
          <w:rFonts w:ascii="Verdana" w:hAnsi="Verdana" w:cs="Arial"/>
          <w:bCs/>
          <w:sz w:val="20"/>
          <w:szCs w:val="20"/>
          <w:lang w:eastAsia="es-CO"/>
        </w:rPr>
        <w:t xml:space="preserve"> </w:t>
      </w:r>
      <w:r w:rsidRPr="00154048">
        <w:rPr>
          <w:rFonts w:ascii="Verdana" w:hAnsi="Verdana" w:cs="Arial"/>
          <w:bCs/>
          <w:sz w:val="20"/>
          <w:szCs w:val="20"/>
          <w:lang w:eastAsia="es-CO"/>
        </w:rPr>
        <w:t xml:space="preserve">Esto hace que la liquidación no sólo sea un mecanismo alternativo de solución de conflictos, sino también un medio para resolver asuntos relacionados con el desequilibrio económico del contrato. Sobre esta última faceta, la norma en comento </w:t>
      </w:r>
      <w:r w:rsidRPr="00154048">
        <w:rPr>
          <w:rFonts w:ascii="Verdana" w:hAnsi="Verdana" w:cs="Arial"/>
          <w:bCs/>
          <w:sz w:val="20"/>
          <w:szCs w:val="20"/>
          <w:lang w:eastAsia="es-CO"/>
        </w:rPr>
        <w:lastRenderedPageBreak/>
        <w:t>consagra una posibilidad para que las entidades públicas garanticen el equilibrio económico si éste resultó afectado en la ejecución del negocio jurídico, así que la liquidación es el momento oportuno para resolver las diferencias existentes</w:t>
      </w:r>
      <w:r>
        <w:rPr>
          <w:rFonts w:ascii="Verdana" w:hAnsi="Verdana" w:cs="Arial"/>
          <w:bCs/>
          <w:sz w:val="20"/>
          <w:szCs w:val="20"/>
          <w:lang w:eastAsia="es-CO"/>
        </w:rPr>
        <w:t>.</w:t>
      </w:r>
    </w:p>
    <w:p w14:paraId="2443D898" w14:textId="77777777" w:rsidR="00B7779E" w:rsidRPr="00B7779E" w:rsidRDefault="00B7779E" w:rsidP="0080580F">
      <w:pPr>
        <w:spacing w:after="0" w:line="240" w:lineRule="auto"/>
        <w:rPr>
          <w:rFonts w:ascii="Verdana" w:eastAsia="Geomanist Light" w:hAnsi="Verdana" w:cs="Arial"/>
          <w:color w:val="000000" w:themeColor="text1"/>
        </w:rPr>
      </w:pPr>
    </w:p>
    <w:p w14:paraId="7641C189" w14:textId="77777777" w:rsidR="00B7779E" w:rsidRDefault="00B7779E" w:rsidP="0080580F">
      <w:pPr>
        <w:spacing w:after="0" w:line="240" w:lineRule="auto"/>
        <w:rPr>
          <w:rFonts w:ascii="Verdana" w:eastAsia="Geomanist Light" w:hAnsi="Verdana" w:cs="Arial"/>
          <w:color w:val="000000" w:themeColor="text1"/>
          <w:lang w:val="es-MX"/>
        </w:rPr>
      </w:pPr>
    </w:p>
    <w:p w14:paraId="532905FB" w14:textId="77777777" w:rsidR="00B7779E" w:rsidRDefault="00B7779E" w:rsidP="0080580F">
      <w:pPr>
        <w:spacing w:after="0" w:line="240" w:lineRule="auto"/>
        <w:rPr>
          <w:rFonts w:ascii="Verdana" w:eastAsia="Geomanist Light" w:hAnsi="Verdana" w:cs="Arial"/>
          <w:color w:val="000000" w:themeColor="text1"/>
          <w:lang w:val="es-MX"/>
        </w:rPr>
      </w:pPr>
    </w:p>
    <w:p w14:paraId="4A882D9E" w14:textId="77777777" w:rsidR="00B7779E" w:rsidRDefault="00B7779E" w:rsidP="0080580F">
      <w:pPr>
        <w:spacing w:after="0" w:line="240" w:lineRule="auto"/>
        <w:rPr>
          <w:rFonts w:ascii="Verdana" w:eastAsia="Geomanist Light" w:hAnsi="Verdana" w:cs="Arial"/>
          <w:color w:val="000000" w:themeColor="text1"/>
          <w:lang w:val="es-MX"/>
        </w:rPr>
      </w:pPr>
    </w:p>
    <w:p w14:paraId="03A08050" w14:textId="77777777" w:rsidR="00B7779E" w:rsidRDefault="00B7779E" w:rsidP="0080580F">
      <w:pPr>
        <w:spacing w:after="0" w:line="240" w:lineRule="auto"/>
        <w:rPr>
          <w:rFonts w:ascii="Verdana" w:eastAsia="Geomanist Light" w:hAnsi="Verdana" w:cs="Arial"/>
          <w:color w:val="000000" w:themeColor="text1"/>
          <w:lang w:val="es-MX"/>
        </w:rPr>
      </w:pPr>
    </w:p>
    <w:p w14:paraId="72F4E45D" w14:textId="77777777" w:rsidR="00B7779E" w:rsidRDefault="00B7779E" w:rsidP="0080580F">
      <w:pPr>
        <w:spacing w:after="0" w:line="240" w:lineRule="auto"/>
        <w:rPr>
          <w:rFonts w:ascii="Verdana" w:eastAsia="Geomanist Light" w:hAnsi="Verdana" w:cs="Arial"/>
          <w:color w:val="000000" w:themeColor="text1"/>
          <w:lang w:val="es-MX"/>
        </w:rPr>
      </w:pPr>
    </w:p>
    <w:p w14:paraId="1E752E0F" w14:textId="77777777" w:rsidR="00B7779E" w:rsidRDefault="00B7779E" w:rsidP="0080580F">
      <w:pPr>
        <w:spacing w:after="0" w:line="240" w:lineRule="auto"/>
        <w:rPr>
          <w:rFonts w:ascii="Verdana" w:eastAsia="Geomanist Light" w:hAnsi="Verdana" w:cs="Arial"/>
          <w:color w:val="000000" w:themeColor="text1"/>
          <w:lang w:val="es-MX"/>
        </w:rPr>
      </w:pPr>
    </w:p>
    <w:p w14:paraId="67D1AEA3" w14:textId="77777777" w:rsidR="00B7779E" w:rsidRDefault="00B7779E" w:rsidP="0080580F">
      <w:pPr>
        <w:spacing w:after="0" w:line="240" w:lineRule="auto"/>
        <w:rPr>
          <w:rFonts w:ascii="Verdana" w:eastAsia="Geomanist Light" w:hAnsi="Verdana" w:cs="Arial"/>
          <w:color w:val="000000" w:themeColor="text1"/>
          <w:lang w:val="es-MX"/>
        </w:rPr>
      </w:pPr>
    </w:p>
    <w:p w14:paraId="25A557F4" w14:textId="77777777" w:rsidR="00B7779E" w:rsidRDefault="00B7779E" w:rsidP="0080580F">
      <w:pPr>
        <w:spacing w:after="0" w:line="240" w:lineRule="auto"/>
        <w:rPr>
          <w:rFonts w:ascii="Verdana" w:eastAsia="Geomanist Light" w:hAnsi="Verdana" w:cs="Arial"/>
          <w:color w:val="000000" w:themeColor="text1"/>
          <w:lang w:val="es-MX"/>
        </w:rPr>
      </w:pPr>
    </w:p>
    <w:p w14:paraId="1AE5622E" w14:textId="77777777" w:rsidR="00B7779E" w:rsidRDefault="00B7779E" w:rsidP="0080580F">
      <w:pPr>
        <w:spacing w:after="0" w:line="240" w:lineRule="auto"/>
        <w:rPr>
          <w:rFonts w:ascii="Verdana" w:eastAsia="Geomanist Light" w:hAnsi="Verdana" w:cs="Arial"/>
          <w:color w:val="000000" w:themeColor="text1"/>
          <w:lang w:val="es-MX"/>
        </w:rPr>
      </w:pPr>
    </w:p>
    <w:p w14:paraId="6FCBA662" w14:textId="77777777" w:rsidR="00B7779E" w:rsidRDefault="00B7779E" w:rsidP="0080580F">
      <w:pPr>
        <w:spacing w:after="0" w:line="240" w:lineRule="auto"/>
        <w:rPr>
          <w:rFonts w:ascii="Verdana" w:eastAsia="Geomanist Light" w:hAnsi="Verdana" w:cs="Arial"/>
          <w:color w:val="000000" w:themeColor="text1"/>
          <w:lang w:val="es-MX"/>
        </w:rPr>
      </w:pPr>
    </w:p>
    <w:p w14:paraId="07380129" w14:textId="77777777" w:rsidR="00B7779E" w:rsidRDefault="00B7779E" w:rsidP="0080580F">
      <w:pPr>
        <w:spacing w:after="0" w:line="240" w:lineRule="auto"/>
        <w:rPr>
          <w:rFonts w:ascii="Verdana" w:eastAsia="Geomanist Light" w:hAnsi="Verdana" w:cs="Arial"/>
          <w:color w:val="000000" w:themeColor="text1"/>
          <w:lang w:val="es-MX"/>
        </w:rPr>
      </w:pPr>
    </w:p>
    <w:p w14:paraId="7FF88C56" w14:textId="77777777" w:rsidR="00B7779E" w:rsidRDefault="00B7779E" w:rsidP="0080580F">
      <w:pPr>
        <w:spacing w:after="0" w:line="240" w:lineRule="auto"/>
        <w:rPr>
          <w:rFonts w:ascii="Verdana" w:eastAsia="Geomanist Light" w:hAnsi="Verdana" w:cs="Arial"/>
          <w:color w:val="000000" w:themeColor="text1"/>
          <w:lang w:val="es-MX"/>
        </w:rPr>
      </w:pPr>
    </w:p>
    <w:p w14:paraId="369162FE" w14:textId="77777777" w:rsidR="00B7779E" w:rsidRDefault="00B7779E" w:rsidP="0080580F">
      <w:pPr>
        <w:spacing w:after="0" w:line="240" w:lineRule="auto"/>
        <w:rPr>
          <w:rFonts w:ascii="Verdana" w:eastAsia="Geomanist Light" w:hAnsi="Verdana" w:cs="Arial"/>
          <w:color w:val="000000" w:themeColor="text1"/>
          <w:lang w:val="es-MX"/>
        </w:rPr>
      </w:pPr>
    </w:p>
    <w:p w14:paraId="55A12BA8" w14:textId="77777777" w:rsidR="00B7779E" w:rsidRDefault="00B7779E" w:rsidP="0080580F">
      <w:pPr>
        <w:spacing w:after="0" w:line="240" w:lineRule="auto"/>
        <w:rPr>
          <w:rFonts w:ascii="Verdana" w:eastAsia="Geomanist Light" w:hAnsi="Verdana" w:cs="Arial"/>
          <w:color w:val="000000" w:themeColor="text1"/>
          <w:lang w:val="es-MX"/>
        </w:rPr>
      </w:pPr>
    </w:p>
    <w:p w14:paraId="6B17FA14" w14:textId="77777777" w:rsidR="00B7779E" w:rsidRDefault="00B7779E" w:rsidP="0080580F">
      <w:pPr>
        <w:spacing w:after="0" w:line="240" w:lineRule="auto"/>
        <w:rPr>
          <w:rFonts w:ascii="Verdana" w:eastAsia="Geomanist Light" w:hAnsi="Verdana" w:cs="Arial"/>
          <w:color w:val="000000" w:themeColor="text1"/>
          <w:lang w:val="es-MX"/>
        </w:rPr>
      </w:pPr>
    </w:p>
    <w:p w14:paraId="1EDA5E05" w14:textId="77777777" w:rsidR="00B7779E" w:rsidRDefault="00B7779E" w:rsidP="0080580F">
      <w:pPr>
        <w:spacing w:after="0" w:line="240" w:lineRule="auto"/>
        <w:rPr>
          <w:rFonts w:ascii="Verdana" w:eastAsia="Geomanist Light" w:hAnsi="Verdana" w:cs="Arial"/>
          <w:color w:val="000000" w:themeColor="text1"/>
          <w:lang w:val="es-MX"/>
        </w:rPr>
      </w:pPr>
    </w:p>
    <w:p w14:paraId="017EFD11" w14:textId="77777777" w:rsidR="00B7779E" w:rsidRDefault="00B7779E" w:rsidP="0080580F">
      <w:pPr>
        <w:spacing w:after="0" w:line="240" w:lineRule="auto"/>
        <w:rPr>
          <w:rFonts w:ascii="Verdana" w:eastAsia="Geomanist Light" w:hAnsi="Verdana" w:cs="Arial"/>
          <w:color w:val="000000" w:themeColor="text1"/>
          <w:lang w:val="es-MX"/>
        </w:rPr>
      </w:pPr>
    </w:p>
    <w:p w14:paraId="65396CD0" w14:textId="77777777" w:rsidR="00B7779E" w:rsidRDefault="00B7779E" w:rsidP="0080580F">
      <w:pPr>
        <w:spacing w:after="0" w:line="240" w:lineRule="auto"/>
        <w:rPr>
          <w:rFonts w:ascii="Verdana" w:eastAsia="Geomanist Light" w:hAnsi="Verdana" w:cs="Arial"/>
          <w:color w:val="000000" w:themeColor="text1"/>
          <w:lang w:val="es-MX"/>
        </w:rPr>
      </w:pPr>
    </w:p>
    <w:p w14:paraId="760B99B1" w14:textId="77777777" w:rsidR="00B7779E" w:rsidRDefault="00B7779E" w:rsidP="0080580F">
      <w:pPr>
        <w:spacing w:after="0" w:line="240" w:lineRule="auto"/>
        <w:rPr>
          <w:rFonts w:ascii="Verdana" w:eastAsia="Geomanist Light" w:hAnsi="Verdana" w:cs="Arial"/>
          <w:color w:val="000000" w:themeColor="text1"/>
          <w:lang w:val="es-MX"/>
        </w:rPr>
      </w:pPr>
    </w:p>
    <w:p w14:paraId="389EA195" w14:textId="77777777" w:rsidR="00B7779E" w:rsidRDefault="00B7779E" w:rsidP="0080580F">
      <w:pPr>
        <w:spacing w:after="0" w:line="240" w:lineRule="auto"/>
        <w:rPr>
          <w:rFonts w:ascii="Verdana" w:eastAsia="Geomanist Light" w:hAnsi="Verdana" w:cs="Arial"/>
          <w:color w:val="000000" w:themeColor="text1"/>
          <w:lang w:val="es-MX"/>
        </w:rPr>
      </w:pPr>
    </w:p>
    <w:p w14:paraId="5E4D7211" w14:textId="77777777" w:rsidR="00B7779E" w:rsidRDefault="00B7779E" w:rsidP="0080580F">
      <w:pPr>
        <w:spacing w:after="0" w:line="240" w:lineRule="auto"/>
        <w:rPr>
          <w:rFonts w:ascii="Verdana" w:eastAsia="Geomanist Light" w:hAnsi="Verdana" w:cs="Arial"/>
          <w:color w:val="000000" w:themeColor="text1"/>
          <w:lang w:val="es-MX"/>
        </w:rPr>
      </w:pPr>
    </w:p>
    <w:p w14:paraId="03AA229D" w14:textId="77777777" w:rsidR="00B7779E" w:rsidRDefault="00B7779E" w:rsidP="0080580F">
      <w:pPr>
        <w:spacing w:after="0" w:line="240" w:lineRule="auto"/>
        <w:rPr>
          <w:rFonts w:ascii="Verdana" w:eastAsia="Geomanist Light" w:hAnsi="Verdana" w:cs="Arial"/>
          <w:color w:val="000000" w:themeColor="text1"/>
          <w:lang w:val="es-MX"/>
        </w:rPr>
      </w:pPr>
    </w:p>
    <w:p w14:paraId="31D6544A" w14:textId="77777777" w:rsidR="00B7779E" w:rsidRDefault="00B7779E" w:rsidP="0080580F">
      <w:pPr>
        <w:spacing w:after="0" w:line="240" w:lineRule="auto"/>
        <w:rPr>
          <w:rFonts w:ascii="Verdana" w:eastAsia="Geomanist Light" w:hAnsi="Verdana" w:cs="Arial"/>
          <w:color w:val="000000" w:themeColor="text1"/>
          <w:lang w:val="es-MX"/>
        </w:rPr>
      </w:pPr>
    </w:p>
    <w:p w14:paraId="0700AED3" w14:textId="77777777" w:rsidR="00B7779E" w:rsidRDefault="00B7779E" w:rsidP="0080580F">
      <w:pPr>
        <w:spacing w:after="0" w:line="240" w:lineRule="auto"/>
        <w:rPr>
          <w:rFonts w:ascii="Verdana" w:eastAsia="Geomanist Light" w:hAnsi="Verdana" w:cs="Arial"/>
          <w:color w:val="000000" w:themeColor="text1"/>
          <w:lang w:val="es-MX"/>
        </w:rPr>
      </w:pPr>
    </w:p>
    <w:p w14:paraId="6355A921" w14:textId="77777777" w:rsidR="00B7779E" w:rsidRDefault="00B7779E" w:rsidP="0080580F">
      <w:pPr>
        <w:spacing w:after="0" w:line="240" w:lineRule="auto"/>
        <w:rPr>
          <w:rFonts w:ascii="Verdana" w:eastAsia="Geomanist Light" w:hAnsi="Verdana" w:cs="Arial"/>
          <w:color w:val="000000" w:themeColor="text1"/>
          <w:lang w:val="es-MX"/>
        </w:rPr>
      </w:pPr>
    </w:p>
    <w:p w14:paraId="698F5262" w14:textId="77777777" w:rsidR="00B7779E" w:rsidRDefault="00B7779E" w:rsidP="0080580F">
      <w:pPr>
        <w:spacing w:after="0" w:line="240" w:lineRule="auto"/>
        <w:rPr>
          <w:rFonts w:ascii="Verdana" w:eastAsia="Geomanist Light" w:hAnsi="Verdana" w:cs="Arial"/>
          <w:color w:val="000000" w:themeColor="text1"/>
          <w:lang w:val="es-MX"/>
        </w:rPr>
      </w:pPr>
    </w:p>
    <w:p w14:paraId="6A3AFF93" w14:textId="77777777" w:rsidR="00B7779E" w:rsidRDefault="00B7779E" w:rsidP="0080580F">
      <w:pPr>
        <w:spacing w:after="0" w:line="240" w:lineRule="auto"/>
        <w:rPr>
          <w:rFonts w:ascii="Verdana" w:eastAsia="Geomanist Light" w:hAnsi="Verdana" w:cs="Arial"/>
          <w:color w:val="000000" w:themeColor="text1"/>
          <w:lang w:val="es-MX"/>
        </w:rPr>
      </w:pPr>
    </w:p>
    <w:p w14:paraId="5D01E194" w14:textId="77777777" w:rsidR="00B7779E" w:rsidRDefault="00B7779E" w:rsidP="0080580F">
      <w:pPr>
        <w:spacing w:after="0" w:line="240" w:lineRule="auto"/>
        <w:rPr>
          <w:rFonts w:ascii="Verdana" w:eastAsia="Geomanist Light" w:hAnsi="Verdana" w:cs="Arial"/>
          <w:color w:val="000000" w:themeColor="text1"/>
          <w:lang w:val="es-MX"/>
        </w:rPr>
      </w:pPr>
    </w:p>
    <w:p w14:paraId="77638797" w14:textId="77777777" w:rsidR="00B7779E" w:rsidRDefault="00B7779E" w:rsidP="0080580F">
      <w:pPr>
        <w:spacing w:after="0" w:line="240" w:lineRule="auto"/>
        <w:rPr>
          <w:rFonts w:ascii="Verdana" w:eastAsia="Geomanist Light" w:hAnsi="Verdana" w:cs="Arial"/>
          <w:color w:val="000000" w:themeColor="text1"/>
          <w:lang w:val="es-MX"/>
        </w:rPr>
      </w:pPr>
    </w:p>
    <w:p w14:paraId="3296C31C" w14:textId="77777777" w:rsidR="00B7779E" w:rsidRDefault="00B7779E" w:rsidP="0080580F">
      <w:pPr>
        <w:spacing w:after="0" w:line="240" w:lineRule="auto"/>
        <w:rPr>
          <w:rFonts w:ascii="Verdana" w:eastAsia="Geomanist Light" w:hAnsi="Verdana" w:cs="Arial"/>
          <w:color w:val="000000" w:themeColor="text1"/>
          <w:lang w:val="es-MX"/>
        </w:rPr>
      </w:pPr>
    </w:p>
    <w:p w14:paraId="7A292999" w14:textId="77777777" w:rsidR="00B7779E" w:rsidRDefault="00B7779E" w:rsidP="0080580F">
      <w:pPr>
        <w:spacing w:after="0" w:line="240" w:lineRule="auto"/>
        <w:rPr>
          <w:rFonts w:ascii="Verdana" w:eastAsia="Geomanist Light" w:hAnsi="Verdana" w:cs="Arial"/>
          <w:color w:val="000000" w:themeColor="text1"/>
          <w:lang w:val="es-MX"/>
        </w:rPr>
      </w:pPr>
    </w:p>
    <w:p w14:paraId="2E027CF7" w14:textId="77777777" w:rsidR="00B7779E" w:rsidRDefault="00B7779E" w:rsidP="0080580F">
      <w:pPr>
        <w:spacing w:after="0" w:line="240" w:lineRule="auto"/>
        <w:rPr>
          <w:rFonts w:ascii="Verdana" w:eastAsia="Geomanist Light" w:hAnsi="Verdana" w:cs="Arial"/>
          <w:color w:val="000000" w:themeColor="text1"/>
          <w:lang w:val="es-MX"/>
        </w:rPr>
      </w:pPr>
    </w:p>
    <w:p w14:paraId="596B5BCB" w14:textId="77777777" w:rsidR="00B7779E" w:rsidRDefault="00B7779E" w:rsidP="0080580F">
      <w:pPr>
        <w:spacing w:after="0" w:line="240" w:lineRule="auto"/>
        <w:rPr>
          <w:rFonts w:ascii="Verdana" w:eastAsia="Geomanist Light" w:hAnsi="Verdana" w:cs="Arial"/>
          <w:color w:val="000000" w:themeColor="text1"/>
          <w:lang w:val="es-MX"/>
        </w:rPr>
      </w:pPr>
    </w:p>
    <w:p w14:paraId="425672E1" w14:textId="77777777" w:rsidR="00B7779E" w:rsidRDefault="00B7779E" w:rsidP="0080580F">
      <w:pPr>
        <w:spacing w:after="0" w:line="240" w:lineRule="auto"/>
        <w:rPr>
          <w:rFonts w:ascii="Verdana" w:eastAsia="Geomanist Light" w:hAnsi="Verdana" w:cs="Arial"/>
          <w:color w:val="000000" w:themeColor="text1"/>
          <w:lang w:val="es-MX"/>
        </w:rPr>
      </w:pPr>
    </w:p>
    <w:p w14:paraId="5C047E45" w14:textId="77777777" w:rsidR="00B7779E" w:rsidRDefault="00B7779E" w:rsidP="0080580F">
      <w:pPr>
        <w:spacing w:after="0" w:line="240" w:lineRule="auto"/>
        <w:rPr>
          <w:rFonts w:ascii="Verdana" w:eastAsia="Geomanist Light" w:hAnsi="Verdana" w:cs="Arial"/>
          <w:color w:val="000000" w:themeColor="text1"/>
          <w:lang w:val="es-MX"/>
        </w:rPr>
      </w:pPr>
    </w:p>
    <w:p w14:paraId="7981EED5" w14:textId="77777777" w:rsidR="00B7779E" w:rsidRDefault="00B7779E" w:rsidP="0080580F">
      <w:pPr>
        <w:spacing w:after="0" w:line="240" w:lineRule="auto"/>
        <w:rPr>
          <w:rFonts w:ascii="Verdana" w:eastAsia="Geomanist Light" w:hAnsi="Verdana" w:cs="Arial"/>
          <w:color w:val="000000" w:themeColor="text1"/>
          <w:lang w:val="es-MX"/>
        </w:rPr>
      </w:pPr>
    </w:p>
    <w:p w14:paraId="0BF93854" w14:textId="77777777" w:rsidR="00B7779E" w:rsidRDefault="00B7779E" w:rsidP="0080580F">
      <w:pPr>
        <w:spacing w:after="0" w:line="240" w:lineRule="auto"/>
        <w:rPr>
          <w:rFonts w:ascii="Verdana" w:eastAsia="Geomanist Light" w:hAnsi="Verdana" w:cs="Arial"/>
          <w:color w:val="000000" w:themeColor="text1"/>
          <w:lang w:val="es-MX"/>
        </w:rPr>
      </w:pPr>
    </w:p>
    <w:p w14:paraId="3077116C" w14:textId="77777777" w:rsidR="00A75BFF" w:rsidRDefault="00A75BFF" w:rsidP="0080580F">
      <w:pPr>
        <w:spacing w:after="0" w:line="240" w:lineRule="auto"/>
        <w:rPr>
          <w:rFonts w:ascii="Verdana" w:eastAsia="Geomanist Light" w:hAnsi="Verdana" w:cs="Arial"/>
          <w:color w:val="000000" w:themeColor="text1"/>
          <w:lang w:val="es-MX"/>
        </w:rPr>
      </w:pPr>
    </w:p>
    <w:p w14:paraId="6BC4A68A" w14:textId="15F9EFF4" w:rsidR="0080580F" w:rsidRPr="00593A5F" w:rsidRDefault="0080580F" w:rsidP="0080580F">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EE011E" w:rsidRPr="00EE011E">
        <w:rPr>
          <w:rFonts w:ascii="Verdana" w:eastAsia="Geomanist Light" w:hAnsi="Verdana" w:cs="Arial"/>
          <w:color w:val="000000" w:themeColor="text1"/>
          <w:lang w:val="es-MX"/>
        </w:rPr>
        <w:t>08 de Mayo de 2026</w:t>
      </w:r>
    </w:p>
    <w:p w14:paraId="7235FF8E" w14:textId="77777777" w:rsidR="0080580F" w:rsidRDefault="0080580F" w:rsidP="0080580F">
      <w:pPr>
        <w:spacing w:after="0" w:line="240" w:lineRule="auto"/>
        <w:jc w:val="both"/>
        <w:rPr>
          <w:rFonts w:ascii="Verdana" w:eastAsia="Calibri" w:hAnsi="Verdana" w:cs="Arial"/>
          <w:color w:val="000000"/>
          <w:lang w:val="es-ES"/>
        </w:rPr>
      </w:pPr>
    </w:p>
    <w:p w14:paraId="0A0F0D31" w14:textId="55312F04" w:rsidR="00EE011E" w:rsidRDefault="00EE011E" w:rsidP="00EE011E">
      <w:pPr>
        <w:spacing w:after="0" w:line="240" w:lineRule="auto"/>
        <w:jc w:val="right"/>
        <w:rPr>
          <w:rFonts w:ascii="Verdana" w:eastAsia="Calibri" w:hAnsi="Verdana" w:cs="Arial"/>
          <w:color w:val="000000"/>
          <w:lang w:val="es-ES"/>
        </w:rPr>
      </w:pPr>
    </w:p>
    <w:p w14:paraId="1C99DB5B" w14:textId="5AE59FC4" w:rsidR="0080580F" w:rsidRPr="00593A5F" w:rsidRDefault="00BB114C" w:rsidP="0080580F">
      <w:pPr>
        <w:spacing w:after="0" w:line="240" w:lineRule="auto"/>
        <w:jc w:val="both"/>
        <w:rPr>
          <w:rFonts w:ascii="Verdana" w:eastAsia="Calibri" w:hAnsi="Verdana" w:cs="Arial"/>
          <w:color w:val="000000"/>
          <w:lang w:val="es-ES"/>
        </w:rPr>
      </w:pPr>
      <w:r w:rsidRPr="00EE011E">
        <w:rPr>
          <w:rFonts w:ascii="Verdana" w:eastAsia="Calibri" w:hAnsi="Verdana" w:cs="Arial"/>
          <w:noProof/>
          <w:color w:val="000000"/>
          <w:lang w:val="es-ES"/>
        </w:rPr>
        <w:drawing>
          <wp:anchor distT="0" distB="0" distL="114300" distR="114300" simplePos="0" relativeHeight="251658240" behindDoc="0" locked="0" layoutInCell="1" allowOverlap="1" wp14:anchorId="42273DAE" wp14:editId="1B7483F5">
            <wp:simplePos x="0" y="0"/>
            <wp:positionH relativeFrom="column">
              <wp:posOffset>2792095</wp:posOffset>
            </wp:positionH>
            <wp:positionV relativeFrom="paragraph">
              <wp:posOffset>8890</wp:posOffset>
            </wp:positionV>
            <wp:extent cx="2766060" cy="850265"/>
            <wp:effectExtent l="0" t="0" r="0" b="6985"/>
            <wp:wrapSquare wrapText="bothSides"/>
            <wp:docPr id="41683675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836756" name=""/>
                    <pic:cNvPicPr/>
                  </pic:nvPicPr>
                  <pic:blipFill>
                    <a:blip r:embed="rId10">
                      <a:extLst>
                        <a:ext uri="{28A0092B-C50C-407E-A947-70E740481C1C}">
                          <a14:useLocalDpi xmlns:a14="http://schemas.microsoft.com/office/drawing/2010/main" val="0"/>
                        </a:ext>
                      </a:extLst>
                    </a:blip>
                    <a:stretch>
                      <a:fillRect/>
                    </a:stretch>
                  </pic:blipFill>
                  <pic:spPr>
                    <a:xfrm>
                      <a:off x="0" y="0"/>
                      <a:ext cx="2766060" cy="850265"/>
                    </a:xfrm>
                    <a:prstGeom prst="rect">
                      <a:avLst/>
                    </a:prstGeom>
                  </pic:spPr>
                </pic:pic>
              </a:graphicData>
            </a:graphic>
            <wp14:sizeRelH relativeFrom="margin">
              <wp14:pctWidth>0</wp14:pctWidth>
            </wp14:sizeRelH>
            <wp14:sizeRelV relativeFrom="margin">
              <wp14:pctHeight>0</wp14:pctHeight>
            </wp14:sizeRelV>
          </wp:anchor>
        </w:drawing>
      </w:r>
    </w:p>
    <w:p w14:paraId="5580F3C5" w14:textId="77777777" w:rsidR="0080580F" w:rsidRPr="00755139" w:rsidRDefault="0080580F" w:rsidP="0080580F">
      <w:pPr>
        <w:spacing w:after="0" w:line="240" w:lineRule="auto"/>
        <w:jc w:val="both"/>
        <w:rPr>
          <w:rFonts w:ascii="Verdana" w:eastAsia="Calibri" w:hAnsi="Verdana" w:cs="Arial"/>
          <w:lang w:val="pt-BR" w:eastAsia="es-ES"/>
        </w:rPr>
      </w:pPr>
      <w:proofErr w:type="spellStart"/>
      <w:r w:rsidRPr="00755139">
        <w:rPr>
          <w:rFonts w:ascii="Verdana" w:eastAsia="Calibri" w:hAnsi="Verdana" w:cs="Arial"/>
          <w:lang w:val="pt-BR" w:eastAsia="es-ES"/>
        </w:rPr>
        <w:t>Señor</w:t>
      </w:r>
      <w:proofErr w:type="spellEnd"/>
    </w:p>
    <w:p w14:paraId="4F14B1DE" w14:textId="77777777" w:rsidR="0080580F" w:rsidRPr="00755139" w:rsidRDefault="0080580F" w:rsidP="4F3DA362">
      <w:pPr>
        <w:spacing w:after="0" w:line="240" w:lineRule="auto"/>
        <w:rPr>
          <w:rFonts w:ascii="Verdana" w:eastAsia="Calibri" w:hAnsi="Verdana" w:cs="Arial"/>
          <w:b/>
          <w:bCs/>
          <w:lang w:val="pt-BR" w:eastAsia="es-ES"/>
        </w:rPr>
      </w:pPr>
      <w:proofErr w:type="spellStart"/>
      <w:r w:rsidRPr="00755139">
        <w:rPr>
          <w:rFonts w:ascii="Verdana" w:eastAsia="Calibri" w:hAnsi="Verdana" w:cs="Arial"/>
          <w:b/>
          <w:bCs/>
          <w:lang w:val="pt-BR" w:eastAsia="es-ES"/>
        </w:rPr>
        <w:t>Jaiver</w:t>
      </w:r>
      <w:proofErr w:type="spellEnd"/>
      <w:r w:rsidRPr="00755139">
        <w:rPr>
          <w:rFonts w:ascii="Verdana" w:eastAsia="Calibri" w:hAnsi="Verdana" w:cs="Arial"/>
          <w:b/>
          <w:bCs/>
          <w:lang w:val="pt-BR" w:eastAsia="es-ES"/>
        </w:rPr>
        <w:t xml:space="preserve"> Danilo Amado González</w:t>
      </w:r>
    </w:p>
    <w:p w14:paraId="67F881AA" w14:textId="77777777" w:rsidR="0080580F" w:rsidRPr="00755139" w:rsidRDefault="0080580F" w:rsidP="0080580F">
      <w:pPr>
        <w:spacing w:after="0" w:line="240" w:lineRule="auto"/>
        <w:rPr>
          <w:rFonts w:ascii="Verdana" w:eastAsia="Calibri" w:hAnsi="Verdana" w:cs="Arial"/>
          <w:lang w:val="pt-BR" w:eastAsia="es-ES"/>
        </w:rPr>
      </w:pPr>
      <w:hyperlink r:id="rId11" w:history="1">
        <w:r w:rsidRPr="00755139">
          <w:rPr>
            <w:rStyle w:val="Hipervnculo"/>
            <w:rFonts w:ascii="Verdana" w:hAnsi="Verdana"/>
            <w:lang w:val="pt-BR"/>
          </w:rPr>
          <w:t>funser.consorcio@gmail.com</w:t>
        </w:r>
      </w:hyperlink>
      <w:r w:rsidRPr="00755139">
        <w:rPr>
          <w:rFonts w:ascii="Verdana" w:hAnsi="Verdana"/>
          <w:lang w:val="pt-BR"/>
        </w:rPr>
        <w:t xml:space="preserve">                   </w:t>
      </w:r>
      <w:r w:rsidRPr="00755139">
        <w:rPr>
          <w:rFonts w:ascii="Verdana" w:eastAsia="Calibri" w:hAnsi="Verdana" w:cs="Arial"/>
          <w:lang w:val="pt-BR" w:eastAsia="es-ES"/>
        </w:rPr>
        <w:t xml:space="preserve">    </w:t>
      </w:r>
    </w:p>
    <w:p w14:paraId="439345CD" w14:textId="77777777" w:rsidR="0080580F" w:rsidRPr="00755139" w:rsidRDefault="0080580F" w:rsidP="0080580F">
      <w:pPr>
        <w:spacing w:after="0" w:line="240" w:lineRule="auto"/>
        <w:rPr>
          <w:rFonts w:ascii="Verdana" w:eastAsia="Calibri" w:hAnsi="Verdana" w:cs="Arial"/>
          <w:lang w:val="pt-BR" w:eastAsia="es-ES"/>
        </w:rPr>
      </w:pPr>
      <w:proofErr w:type="spellStart"/>
      <w:r w:rsidRPr="00755139">
        <w:rPr>
          <w:rFonts w:ascii="Verdana" w:eastAsia="Calibri" w:hAnsi="Verdana" w:cs="Arial"/>
          <w:lang w:val="pt-BR" w:eastAsia="es-ES"/>
        </w:rPr>
        <w:t>Sogamoso</w:t>
      </w:r>
      <w:proofErr w:type="spellEnd"/>
      <w:r w:rsidRPr="00755139">
        <w:rPr>
          <w:rFonts w:ascii="Verdana" w:eastAsia="Calibri" w:hAnsi="Verdana" w:cs="Arial"/>
          <w:lang w:val="pt-BR" w:eastAsia="es-ES"/>
        </w:rPr>
        <w:t xml:space="preserve">, Boyacá </w:t>
      </w:r>
    </w:p>
    <w:p w14:paraId="03E9AAA9" w14:textId="77777777" w:rsidR="0080580F" w:rsidRPr="00755139" w:rsidRDefault="0080580F" w:rsidP="0080580F">
      <w:pPr>
        <w:spacing w:after="0" w:line="240" w:lineRule="auto"/>
        <w:rPr>
          <w:rFonts w:ascii="Verdana" w:eastAsia="Calibri" w:hAnsi="Verdana" w:cs="Arial"/>
          <w:b/>
          <w:bCs/>
          <w:color w:val="000000"/>
          <w:lang w:val="pt-BR" w:eastAsia="es-ES_tradnl"/>
        </w:rPr>
      </w:pPr>
    </w:p>
    <w:p w14:paraId="3644B910" w14:textId="77777777" w:rsidR="0080580F" w:rsidRPr="00755139" w:rsidRDefault="0080580F" w:rsidP="0080580F">
      <w:pPr>
        <w:spacing w:after="0" w:line="240" w:lineRule="auto"/>
        <w:rPr>
          <w:rFonts w:ascii="Verdana" w:eastAsia="Calibri" w:hAnsi="Verdana" w:cs="Arial"/>
          <w:b/>
          <w:bCs/>
          <w:color w:val="000000"/>
          <w:lang w:val="pt-BR"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0580F" w:rsidRPr="00593A5F" w14:paraId="6E5A452B" w14:textId="77777777">
        <w:trPr>
          <w:trHeight w:val="884"/>
        </w:trPr>
        <w:tc>
          <w:tcPr>
            <w:tcW w:w="2689" w:type="dxa"/>
          </w:tcPr>
          <w:p w14:paraId="057C5FFA" w14:textId="77777777" w:rsidR="0080580F" w:rsidRPr="00755139" w:rsidRDefault="0080580F">
            <w:pPr>
              <w:jc w:val="both"/>
              <w:rPr>
                <w:rFonts w:ascii="Verdana" w:eastAsia="Calibri" w:hAnsi="Verdana" w:cs="Arial"/>
                <w:b/>
                <w:bCs/>
                <w:color w:val="7030A0"/>
                <w:lang w:val="pt-BR" w:eastAsia="es-ES_tradnl"/>
              </w:rPr>
            </w:pPr>
          </w:p>
        </w:tc>
        <w:tc>
          <w:tcPr>
            <w:tcW w:w="6100" w:type="dxa"/>
          </w:tcPr>
          <w:p w14:paraId="0F7AA009" w14:textId="782E22DD" w:rsidR="0080580F" w:rsidRPr="00C00976" w:rsidRDefault="0080580F">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8443DD">
              <w:rPr>
                <w:rFonts w:ascii="Verdana" w:eastAsia="Calibri" w:hAnsi="Verdana" w:cs="Arial"/>
                <w:b/>
                <w:bCs/>
                <w:lang w:val="es-ES" w:eastAsia="es-ES"/>
              </w:rPr>
              <w:t xml:space="preserve">493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80580F" w:rsidRPr="00593A5F" w14:paraId="5025F1EC" w14:textId="77777777">
        <w:trPr>
          <w:trHeight w:val="884"/>
        </w:trPr>
        <w:tc>
          <w:tcPr>
            <w:tcW w:w="2689" w:type="dxa"/>
          </w:tcPr>
          <w:p w14:paraId="181C82E7" w14:textId="77777777" w:rsidR="0080580F" w:rsidRPr="00593A5F" w:rsidRDefault="0080580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8D68A33" w14:textId="77777777" w:rsidR="0080580F" w:rsidRPr="00A11406" w:rsidRDefault="0080580F">
            <w:pPr>
              <w:spacing w:line="276" w:lineRule="auto"/>
              <w:jc w:val="both"/>
              <w:rPr>
                <w:rFonts w:ascii="Verdana" w:eastAsia="Calibri" w:hAnsi="Verdana" w:cs="Arial"/>
                <w:lang w:val="es-ES" w:eastAsia="es-ES"/>
              </w:rPr>
            </w:pPr>
            <w:r w:rsidRPr="00E027DE">
              <w:rPr>
                <w:rFonts w:ascii="Verdana" w:eastAsia="Calibri" w:hAnsi="Verdana" w:cs="Arial"/>
                <w:lang w:val="es-ES" w:eastAsia="es-ES"/>
              </w:rPr>
              <w:t>RIESGOS EN LA CONTRATACIÓN ESTATAL – Obligación de las entidades estatales de tipificarlos</w:t>
            </w:r>
            <w:r>
              <w:rPr>
                <w:rFonts w:ascii="Verdana" w:eastAsia="Calibri" w:hAnsi="Verdana" w:cs="Arial"/>
                <w:lang w:val="es-ES" w:eastAsia="es-ES"/>
              </w:rPr>
              <w:t xml:space="preserve"> / </w:t>
            </w:r>
            <w:r w:rsidRPr="00E027DE">
              <w:rPr>
                <w:rFonts w:ascii="Verdana" w:eastAsia="Calibri" w:hAnsi="Verdana" w:cs="Arial"/>
                <w:lang w:val="es-ES" w:eastAsia="es-ES"/>
              </w:rPr>
              <w:t>MATRIZ DE RIESGOS – identificación y administración de riesgos</w:t>
            </w:r>
            <w:r>
              <w:rPr>
                <w:rFonts w:ascii="Verdana" w:eastAsia="Calibri" w:hAnsi="Verdana" w:cs="Arial"/>
                <w:lang w:val="es-ES" w:eastAsia="es-ES"/>
              </w:rPr>
              <w:t xml:space="preserve"> /</w:t>
            </w:r>
            <w:r w:rsidRPr="00E027DE">
              <w:rPr>
                <w:rFonts w:ascii="Verdana" w:eastAsia="Calibri" w:hAnsi="Verdana" w:cs="Arial"/>
                <w:lang w:val="es-ES" w:eastAsia="es-ES"/>
              </w:rPr>
              <w:t xml:space="preserve"> </w:t>
            </w:r>
            <w:r w:rsidRPr="003846D3">
              <w:rPr>
                <w:rFonts w:ascii="Verdana" w:eastAsia="Calibri" w:hAnsi="Verdana" w:cs="Arial"/>
                <w:lang w:val="es-ES" w:eastAsia="es-ES"/>
              </w:rPr>
              <w:t>PRECIOS UNITARIOS – APU – AIU – Diferencias – Configuración / AIU – Costos indirectos – Finalidad – Ejecución del contrato / AIU – Componentes – Discrecionalidad</w:t>
            </w:r>
            <w:r w:rsidRPr="006A662D">
              <w:rPr>
                <w:rFonts w:ascii="Verdana" w:eastAsia="Calibri" w:hAnsi="Verdana" w:cs="Arial"/>
                <w:lang w:val="es-ES" w:eastAsia="es-ES"/>
              </w:rPr>
              <w:t xml:space="preserve"> </w:t>
            </w:r>
            <w:r>
              <w:rPr>
                <w:rFonts w:ascii="Verdana" w:eastAsia="Calibri" w:hAnsi="Verdana" w:cs="Arial"/>
                <w:lang w:val="es-ES" w:eastAsia="es-ES"/>
              </w:rPr>
              <w:t xml:space="preserve">/ </w:t>
            </w:r>
            <w:r w:rsidRPr="0002298C">
              <w:rPr>
                <w:rFonts w:ascii="Verdana" w:eastAsia="Calibri" w:hAnsi="Verdana" w:cs="Arial"/>
                <w:lang w:val="es-ES" w:eastAsia="es-ES"/>
              </w:rPr>
              <w:t>EQUILIBRIO ECONÓMICO – Contrato estatal – Fundamento / EQUILIBRIO ECONÓMICO – Contrato estatal – Concepto / EQUILIBRIO ECONÓMICO – Contrato estatal – Restablecimiento – Procedencia – Requisitos / RESTABLECIMIENTO DE LA ECUACIÓN ECONÓMICA – Liquidación</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7980756E" w14:textId="77777777" w:rsidR="0080580F" w:rsidRPr="00593A5F" w:rsidRDefault="0080580F">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80580F" w:rsidRPr="008E6AD9" w14:paraId="35E168E6" w14:textId="77777777">
        <w:tc>
          <w:tcPr>
            <w:tcW w:w="2689" w:type="dxa"/>
          </w:tcPr>
          <w:p w14:paraId="5ABED967" w14:textId="77777777" w:rsidR="0080580F" w:rsidRPr="008E6AD9" w:rsidRDefault="0080580F">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66A7291F" w14:textId="77777777" w:rsidR="0080580F" w:rsidRPr="00B92340" w:rsidRDefault="0080580F">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A96363">
              <w:rPr>
                <w:rFonts w:ascii="Verdana" w:eastAsia="Calibri" w:hAnsi="Verdana" w:cs="Arial"/>
                <w:lang w:val="es-ES_tradnl" w:eastAsia="es-ES_tradnl"/>
              </w:rPr>
              <w:t>1_2026_03_25_004152</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238202D8" w14:textId="77777777" w:rsidR="0080580F" w:rsidRPr="00593A5F" w:rsidRDefault="0080580F" w:rsidP="0080580F">
      <w:pPr>
        <w:spacing w:after="0" w:line="240" w:lineRule="auto"/>
        <w:jc w:val="both"/>
        <w:rPr>
          <w:rFonts w:ascii="Verdana" w:eastAsia="Calibri" w:hAnsi="Verdana" w:cs="Arial"/>
          <w:color w:val="000000"/>
          <w:lang w:val="es-ES_tradnl" w:eastAsia="es-ES_tradnl"/>
        </w:rPr>
      </w:pPr>
    </w:p>
    <w:p w14:paraId="4DB3D04A" w14:textId="77777777" w:rsidR="0080580F" w:rsidRPr="00593A5F" w:rsidRDefault="0080580F" w:rsidP="0080580F">
      <w:pPr>
        <w:spacing w:after="0" w:line="240" w:lineRule="auto"/>
        <w:jc w:val="both"/>
        <w:rPr>
          <w:rFonts w:ascii="Verdana" w:eastAsia="Calibri" w:hAnsi="Verdana" w:cs="Arial"/>
          <w:color w:val="000000"/>
          <w:lang w:val="es-ES_tradnl" w:eastAsia="es-ES_tradnl"/>
        </w:rPr>
      </w:pPr>
    </w:p>
    <w:p w14:paraId="064A8D17" w14:textId="77777777" w:rsidR="0080580F" w:rsidRPr="008E6AD9" w:rsidRDefault="0080580F" w:rsidP="0080580F">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87600E">
        <w:rPr>
          <w:rFonts w:ascii="Verdana" w:eastAsia="Calibri" w:hAnsi="Verdana" w:cs="Arial"/>
          <w:lang w:val="es-ES" w:eastAsia="es-ES"/>
        </w:rPr>
        <w:t>Amado González</w:t>
      </w:r>
      <w:r w:rsidRPr="008E6AD9">
        <w:rPr>
          <w:rFonts w:ascii="Verdana" w:eastAsia="Calibri" w:hAnsi="Verdana" w:cs="Arial"/>
          <w:lang w:val="es-ES" w:eastAsia="es-ES"/>
        </w:rPr>
        <w:t xml:space="preserve">: </w:t>
      </w:r>
    </w:p>
    <w:p w14:paraId="7513558A" w14:textId="77777777" w:rsidR="0080580F" w:rsidRDefault="0080580F" w:rsidP="0080580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1C57317" w14:textId="77777777" w:rsidR="0080580F" w:rsidRPr="00593A5F" w:rsidRDefault="0080580F" w:rsidP="0080580F">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25 de marzo de 2026, donde solicita conceptuar sobre los siguientes aspectos</w:t>
      </w:r>
      <w:r w:rsidRPr="008E6AD9">
        <w:rPr>
          <w:rFonts w:ascii="Verdana" w:eastAsia="Calibri" w:hAnsi="Verdana" w:cs="Arial"/>
          <w:lang w:val="es-ES" w:eastAsia="es-ES"/>
        </w:rPr>
        <w:t xml:space="preserve">: </w:t>
      </w:r>
    </w:p>
    <w:p w14:paraId="0EDCF8AC" w14:textId="77777777" w:rsidR="0080580F" w:rsidRPr="00272A7B" w:rsidRDefault="0080580F" w:rsidP="0080580F">
      <w:pPr>
        <w:pStyle w:val="Prrafodelista"/>
        <w:tabs>
          <w:tab w:val="left" w:pos="142"/>
          <w:tab w:val="left" w:pos="284"/>
        </w:tabs>
        <w:spacing w:after="0" w:line="276" w:lineRule="auto"/>
        <w:ind w:left="0"/>
        <w:jc w:val="both"/>
        <w:rPr>
          <w:rFonts w:ascii="Verdana" w:eastAsia="Century Gothic" w:hAnsi="Verdana" w:cs="Century Gothic"/>
          <w:b/>
          <w:bCs/>
        </w:rPr>
      </w:pPr>
    </w:p>
    <w:p w14:paraId="4E3CA49E" w14:textId="77777777" w:rsidR="0080580F" w:rsidRPr="0087600E" w:rsidRDefault="0080580F" w:rsidP="0080580F">
      <w:pPr>
        <w:spacing w:after="12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t>“</w:t>
      </w:r>
      <w:bookmarkEnd w:id="0"/>
      <w:r w:rsidRPr="0087600E">
        <w:rPr>
          <w:rFonts w:ascii="Verdana" w:eastAsia="Century Gothic" w:hAnsi="Verdana" w:cs="Century Gothic"/>
          <w:sz w:val="20"/>
          <w:szCs w:val="20"/>
          <w:lang w:val="es-ES"/>
        </w:rPr>
        <w:t xml:space="preserve">1. </w:t>
      </w:r>
      <w:r w:rsidRPr="0087600E">
        <w:rPr>
          <w:rFonts w:ascii="Verdana" w:eastAsia="Century Gothic" w:hAnsi="Verdana" w:cs="Century Gothic"/>
          <w:b/>
          <w:bCs/>
          <w:sz w:val="20"/>
          <w:szCs w:val="20"/>
          <w:lang w:val="es-ES"/>
        </w:rPr>
        <w:t>Eficacia de la Autonomía de la Voluntad vs. Equilibrio Económico:</w:t>
      </w:r>
      <w:r w:rsidRPr="0087600E">
        <w:rPr>
          <w:rFonts w:ascii="Verdana" w:eastAsia="Century Gothic" w:hAnsi="Verdana" w:cs="Century Gothic"/>
          <w:sz w:val="20"/>
          <w:szCs w:val="20"/>
          <w:lang w:val="es-ES"/>
        </w:rPr>
        <w:t xml:space="preserve"> A la luz del Artículo 27 de la Ley 80 de 1993, ¿es dable que la ausencia de una fórmula de reajuste pactada originalmente actúe como una renuncia tácita del contratista al restablecimiento del equilibrio económico ante hechos extraordinarios e imprevistos? </w:t>
      </w:r>
    </w:p>
    <w:p w14:paraId="078432D8" w14:textId="77777777" w:rsidR="0080580F" w:rsidRDefault="0080580F" w:rsidP="0080580F">
      <w:pPr>
        <w:spacing w:after="120" w:line="240" w:lineRule="auto"/>
        <w:ind w:left="709" w:right="709"/>
        <w:jc w:val="both"/>
        <w:rPr>
          <w:rFonts w:ascii="Verdana" w:eastAsia="Century Gothic" w:hAnsi="Verdana" w:cs="Century Gothic"/>
          <w:sz w:val="20"/>
          <w:szCs w:val="20"/>
          <w:lang w:val="es-ES"/>
        </w:rPr>
      </w:pPr>
      <w:r w:rsidRPr="0087600E">
        <w:rPr>
          <w:rFonts w:ascii="Verdana" w:eastAsia="Century Gothic" w:hAnsi="Verdana" w:cs="Century Gothic"/>
          <w:sz w:val="20"/>
          <w:szCs w:val="20"/>
          <w:lang w:val="es-ES"/>
        </w:rPr>
        <w:t xml:space="preserve">2. </w:t>
      </w:r>
      <w:r w:rsidRPr="0087600E">
        <w:rPr>
          <w:rFonts w:ascii="Verdana" w:eastAsia="Century Gothic" w:hAnsi="Verdana" w:cs="Century Gothic"/>
          <w:b/>
          <w:bCs/>
          <w:sz w:val="20"/>
          <w:szCs w:val="20"/>
          <w:lang w:val="es-ES"/>
        </w:rPr>
        <w:t>Criterio de "Hecho No Imputable":</w:t>
      </w:r>
      <w:r w:rsidRPr="0087600E">
        <w:rPr>
          <w:rFonts w:ascii="Verdana" w:eastAsia="Century Gothic" w:hAnsi="Verdana" w:cs="Century Gothic"/>
          <w:sz w:val="20"/>
          <w:szCs w:val="20"/>
          <w:lang w:val="es-ES"/>
        </w:rPr>
        <w:t xml:space="preserve"> Bajo la interpretación del Artículo 1602 del Código Civil y la Teoría de la Imprevisión, ¿cómo debe proceder una entidad estatal cuando un fenómeno macroeconómico no imputable a las partes genera una onerosidad excesiva en un contrato de larga duración que no previ</w:t>
      </w:r>
      <w:r>
        <w:rPr>
          <w:rFonts w:ascii="Verdana" w:eastAsia="Century Gothic" w:hAnsi="Verdana" w:cs="Century Gothic"/>
          <w:sz w:val="20"/>
          <w:szCs w:val="20"/>
          <w:lang w:val="es-ES"/>
        </w:rPr>
        <w:t>ó</w:t>
      </w:r>
      <w:r w:rsidRPr="0087600E">
        <w:rPr>
          <w:rFonts w:ascii="Verdana" w:eastAsia="Century Gothic" w:hAnsi="Verdana" w:cs="Century Gothic"/>
          <w:sz w:val="20"/>
          <w:szCs w:val="20"/>
          <w:lang w:val="es-ES"/>
        </w:rPr>
        <w:t xml:space="preserve"> mecanismos de ajuste?</w:t>
      </w:r>
    </w:p>
    <w:p w14:paraId="759F3C17" w14:textId="77777777" w:rsidR="0080580F" w:rsidRPr="0087600E" w:rsidRDefault="0080580F" w:rsidP="0080580F">
      <w:pPr>
        <w:spacing w:after="120" w:line="240" w:lineRule="auto"/>
        <w:ind w:left="709" w:right="709"/>
        <w:jc w:val="both"/>
        <w:rPr>
          <w:rFonts w:ascii="Verdana" w:eastAsia="Century Gothic" w:hAnsi="Verdana" w:cs="Century Gothic"/>
          <w:sz w:val="20"/>
          <w:szCs w:val="20"/>
          <w:lang w:val="es-ES"/>
        </w:rPr>
      </w:pPr>
      <w:r w:rsidRPr="0087600E">
        <w:rPr>
          <w:rFonts w:ascii="Verdana" w:eastAsia="Century Gothic" w:hAnsi="Verdana" w:cs="Century Gothic"/>
          <w:sz w:val="20"/>
          <w:szCs w:val="20"/>
          <w:lang w:val="es-ES"/>
        </w:rPr>
        <w:t xml:space="preserve">3. </w:t>
      </w:r>
      <w:r w:rsidRPr="0087600E">
        <w:rPr>
          <w:rFonts w:ascii="Verdana" w:eastAsia="Century Gothic" w:hAnsi="Verdana" w:cs="Century Gothic"/>
          <w:b/>
          <w:bCs/>
          <w:sz w:val="20"/>
          <w:szCs w:val="20"/>
          <w:lang w:val="es-ES"/>
        </w:rPr>
        <w:t xml:space="preserve">Procedencia del Otrosí de Reajuste: </w:t>
      </w:r>
      <w:r w:rsidRPr="0087600E">
        <w:rPr>
          <w:rFonts w:ascii="Verdana" w:eastAsia="Century Gothic" w:hAnsi="Verdana" w:cs="Century Gothic"/>
          <w:sz w:val="20"/>
          <w:szCs w:val="20"/>
          <w:lang w:val="es-ES"/>
        </w:rPr>
        <w:t xml:space="preserve">¿Existe impedimento legal para que una entidad estatal, mediante un acta de revisión de precios o un otrosí, reconozca el mayor valor de un insumo específico si se demuestra técnicamente que el precio de mercado supera el margen de riesgo asumido por el contratista? </w:t>
      </w:r>
    </w:p>
    <w:p w14:paraId="78D14453" w14:textId="77777777" w:rsidR="0080580F" w:rsidRPr="001904AF" w:rsidRDefault="0080580F" w:rsidP="0080580F">
      <w:pPr>
        <w:spacing w:after="0" w:line="240" w:lineRule="auto"/>
        <w:ind w:left="709" w:right="709"/>
        <w:jc w:val="both"/>
        <w:rPr>
          <w:rFonts w:ascii="Verdana" w:eastAsia="Century Gothic" w:hAnsi="Verdana" w:cs="Century Gothic"/>
          <w:sz w:val="20"/>
          <w:szCs w:val="20"/>
          <w:lang w:val="es-ES"/>
        </w:rPr>
      </w:pPr>
      <w:r w:rsidRPr="0087600E">
        <w:rPr>
          <w:rFonts w:ascii="Verdana" w:eastAsia="Century Gothic" w:hAnsi="Verdana" w:cs="Century Gothic"/>
          <w:sz w:val="20"/>
          <w:szCs w:val="20"/>
          <w:lang w:val="es-ES"/>
        </w:rPr>
        <w:t>4.</w:t>
      </w:r>
      <w:r>
        <w:rPr>
          <w:rFonts w:ascii="Verdana" w:eastAsia="Century Gothic" w:hAnsi="Verdana" w:cs="Century Gothic"/>
          <w:sz w:val="20"/>
          <w:szCs w:val="20"/>
          <w:lang w:val="es-ES"/>
        </w:rPr>
        <w:t xml:space="preserve"> </w:t>
      </w:r>
      <w:r w:rsidRPr="0087600E">
        <w:rPr>
          <w:rFonts w:ascii="Verdana" w:eastAsia="Century Gothic" w:hAnsi="Verdana" w:cs="Century Gothic"/>
          <w:b/>
          <w:bCs/>
          <w:sz w:val="20"/>
          <w:szCs w:val="20"/>
          <w:lang w:val="es-ES"/>
        </w:rPr>
        <w:t>Impacto del Cambio de Anualidad:</w:t>
      </w:r>
      <w:r w:rsidRPr="0087600E">
        <w:rPr>
          <w:rFonts w:ascii="Verdana" w:eastAsia="Century Gothic" w:hAnsi="Verdana" w:cs="Century Gothic"/>
          <w:sz w:val="20"/>
          <w:szCs w:val="20"/>
          <w:lang w:val="es-ES"/>
        </w:rPr>
        <w:t xml:space="preserve"> En contratos que cruzan vigencias anuales, ¿el incremento del Salario Mínimo Legal Mensual Vigente (SMLMV) y los índices de inflación oficiales (IPC/ICCP) constituyen por sí mismos una justificación suficiente para evaluar el reajuste de la estructura de costos, aun si el contrato se denominó como de </w:t>
      </w:r>
      <w:r>
        <w:rPr>
          <w:rFonts w:ascii="Verdana" w:eastAsia="Century Gothic" w:hAnsi="Verdana" w:cs="Century Gothic"/>
          <w:sz w:val="20"/>
          <w:szCs w:val="20"/>
          <w:lang w:val="es-ES"/>
        </w:rPr>
        <w:t>‘</w:t>
      </w:r>
      <w:r w:rsidRPr="0087600E">
        <w:rPr>
          <w:rFonts w:ascii="Verdana" w:eastAsia="Century Gothic" w:hAnsi="Verdana" w:cs="Century Gothic"/>
          <w:sz w:val="20"/>
          <w:szCs w:val="20"/>
          <w:lang w:val="es-ES"/>
        </w:rPr>
        <w:t>Precio Firme</w:t>
      </w:r>
      <w:r>
        <w:rPr>
          <w:rFonts w:ascii="Verdana" w:eastAsia="Century Gothic" w:hAnsi="Verdana" w:cs="Century Gothic"/>
          <w:sz w:val="20"/>
          <w:szCs w:val="20"/>
          <w:lang w:val="es-ES"/>
        </w:rPr>
        <w:t>’</w:t>
      </w:r>
      <w:r w:rsidRPr="0087600E">
        <w:rPr>
          <w:rFonts w:ascii="Verdana" w:eastAsia="Century Gothic" w:hAnsi="Verdana" w:cs="Century Gothic"/>
          <w:sz w:val="20"/>
          <w:szCs w:val="20"/>
          <w:lang w:val="es-ES"/>
        </w:rPr>
        <w:t>?</w:t>
      </w:r>
      <w:r w:rsidRPr="001904AF">
        <w:rPr>
          <w:rFonts w:ascii="Verdana" w:eastAsia="Century Gothic" w:hAnsi="Verdana" w:cs="Century Gothic"/>
          <w:sz w:val="20"/>
          <w:szCs w:val="20"/>
          <w:lang w:val="es-ES"/>
        </w:rPr>
        <w:t>”.</w:t>
      </w:r>
    </w:p>
    <w:p w14:paraId="0F371BAB" w14:textId="77777777" w:rsidR="0080580F" w:rsidRPr="008E6AD9" w:rsidRDefault="0080580F" w:rsidP="0080580F">
      <w:pPr>
        <w:pStyle w:val="Prrafodelista"/>
        <w:tabs>
          <w:tab w:val="left" w:pos="142"/>
          <w:tab w:val="left" w:pos="284"/>
        </w:tabs>
        <w:spacing w:after="0" w:line="276" w:lineRule="auto"/>
        <w:ind w:left="0"/>
        <w:jc w:val="both"/>
        <w:rPr>
          <w:rFonts w:ascii="Verdana" w:eastAsia="Century Gothic" w:hAnsi="Verdana" w:cs="Century Gothic"/>
          <w:b/>
          <w:bCs/>
        </w:rPr>
      </w:pPr>
    </w:p>
    <w:p w14:paraId="502D17CE" w14:textId="77777777" w:rsidR="0080580F" w:rsidRPr="00A652FF" w:rsidRDefault="0080580F" w:rsidP="0080580F">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CF72BE0" w14:textId="77777777" w:rsidR="0080580F" w:rsidRDefault="0080580F" w:rsidP="0080580F">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 xml:space="preserve">específicas que la </w:t>
      </w:r>
      <w:r>
        <w:rPr>
          <w:rFonts w:ascii="Verdana" w:eastAsia="Calibri" w:hAnsi="Verdana" w:cs="Arial"/>
          <w:color w:val="000000"/>
          <w:lang w:val="es-ES" w:eastAsia="es-ES"/>
        </w:rPr>
        <w:lastRenderedPageBreak/>
        <w:t>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615B1BBF" w14:textId="77777777" w:rsidR="0080580F" w:rsidRPr="00593A5F" w:rsidRDefault="0080580F" w:rsidP="0080580F">
      <w:pPr>
        <w:spacing w:after="0" w:line="276" w:lineRule="auto"/>
        <w:ind w:firstLine="709"/>
        <w:jc w:val="both"/>
        <w:rPr>
          <w:rFonts w:ascii="Verdana" w:eastAsia="Calibri" w:hAnsi="Verdana" w:cs="Arial"/>
          <w:color w:val="000000"/>
          <w:lang w:val="es-ES" w:eastAsia="es-ES"/>
        </w:rPr>
      </w:pPr>
    </w:p>
    <w:p w14:paraId="7F445376" w14:textId="77777777" w:rsidR="0080580F" w:rsidRPr="00593A5F" w:rsidRDefault="0080580F" w:rsidP="0080580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B42D757" w14:textId="77777777" w:rsidR="0080580F" w:rsidRPr="00593A5F" w:rsidRDefault="0080580F" w:rsidP="0080580F">
      <w:pPr>
        <w:tabs>
          <w:tab w:val="left" w:pos="426"/>
        </w:tabs>
        <w:spacing w:after="0" w:line="276" w:lineRule="auto"/>
        <w:jc w:val="both"/>
        <w:rPr>
          <w:rFonts w:ascii="Verdana" w:eastAsia="Century Gothic" w:hAnsi="Verdana" w:cs="Century Gothic"/>
          <w:lang w:val="es-ES"/>
        </w:rPr>
      </w:pPr>
    </w:p>
    <w:p w14:paraId="4E4C2003" w14:textId="77777777" w:rsidR="0080580F" w:rsidRPr="00593A5F" w:rsidRDefault="0080580F" w:rsidP="0080580F">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A56E74">
        <w:rPr>
          <w:rFonts w:ascii="Verdana" w:eastAsia="Century Gothic" w:hAnsi="Verdana" w:cs="Century Gothic"/>
        </w:rPr>
        <w:t>¿qué mecanismos establece el ordenamiento jurídico para promover el equilibrio económico del contrato estatal?</w:t>
      </w:r>
      <w:r>
        <w:rPr>
          <w:rFonts w:ascii="Verdana" w:eastAsia="Century Gothic" w:hAnsi="Verdana" w:cs="Century Gothic"/>
        </w:rPr>
        <w:t xml:space="preserve"> </w:t>
      </w:r>
    </w:p>
    <w:p w14:paraId="5974F339" w14:textId="77777777" w:rsidR="0080580F" w:rsidRPr="004B140F" w:rsidRDefault="0080580F" w:rsidP="0080580F">
      <w:pPr>
        <w:spacing w:after="0" w:line="276" w:lineRule="auto"/>
        <w:jc w:val="both"/>
        <w:rPr>
          <w:rFonts w:ascii="Verdana" w:eastAsia="Calibri" w:hAnsi="Verdana" w:cs="Arial"/>
          <w:color w:val="7030A0"/>
        </w:rPr>
      </w:pPr>
    </w:p>
    <w:p w14:paraId="76A3AD44" w14:textId="77777777" w:rsidR="0080580F" w:rsidRPr="00593A5F" w:rsidRDefault="0080580F" w:rsidP="0080580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03B0890" w14:textId="77777777" w:rsidR="0080580F" w:rsidRPr="00593A5F" w:rsidRDefault="0080580F" w:rsidP="0080580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0580F" w:rsidRPr="00593A5F" w14:paraId="31DA41A9" w14:textId="77777777">
        <w:trPr>
          <w:jc w:val="center"/>
        </w:trPr>
        <w:tc>
          <w:tcPr>
            <w:tcW w:w="8828" w:type="dxa"/>
          </w:tcPr>
          <w:p w14:paraId="73C41D5A" w14:textId="1D0EA081" w:rsidR="0080580F" w:rsidRDefault="0080580F">
            <w:pPr>
              <w:spacing w:after="120" w:line="276" w:lineRule="auto"/>
              <w:jc w:val="both"/>
              <w:rPr>
                <w:rFonts w:ascii="Verdana" w:eastAsia="Arial" w:hAnsi="Verdana" w:cs="Arial"/>
                <w:lang w:val="es-MX" w:eastAsia="es-ES" w:bidi="es-ES"/>
              </w:rPr>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frente al</w:t>
            </w:r>
            <w:r w:rsidRPr="007D43D2">
              <w:rPr>
                <w:rFonts w:ascii="Verdana" w:eastAsia="Arial" w:hAnsi="Verdana" w:cs="Arial"/>
                <w:lang w:val="es-MX" w:eastAsia="es-ES" w:bidi="es-ES"/>
              </w:rPr>
              <w:t xml:space="preserve"> ajuste </w:t>
            </w:r>
            <w:r>
              <w:rPr>
                <w:rFonts w:ascii="Verdana" w:eastAsia="Arial" w:hAnsi="Verdana" w:cs="Arial"/>
                <w:lang w:val="es-MX" w:eastAsia="es-ES" w:bidi="es-ES"/>
              </w:rPr>
              <w:t>de los</w:t>
            </w:r>
            <w:r w:rsidRPr="007D43D2">
              <w:rPr>
                <w:rFonts w:ascii="Verdana" w:eastAsia="Arial" w:hAnsi="Verdana" w:cs="Arial"/>
                <w:lang w:val="es-MX" w:eastAsia="es-ES" w:bidi="es-ES"/>
              </w:rPr>
              <w:t xml:space="preserve"> contratos que </w:t>
            </w:r>
            <w:r w:rsidR="001431FC" w:rsidRPr="007D43D2">
              <w:rPr>
                <w:rFonts w:ascii="Verdana" w:eastAsia="Arial" w:hAnsi="Verdana" w:cs="Arial"/>
                <w:lang w:val="es-MX" w:eastAsia="es-ES" w:bidi="es-ES"/>
              </w:rPr>
              <w:t>establez</w:t>
            </w:r>
            <w:r w:rsidR="001431FC">
              <w:rPr>
                <w:rFonts w:ascii="Verdana" w:eastAsia="Arial" w:hAnsi="Verdana" w:cs="Arial"/>
                <w:lang w:val="es-MX" w:eastAsia="es-ES" w:bidi="es-ES"/>
              </w:rPr>
              <w:t>can</w:t>
            </w:r>
            <w:r w:rsidRPr="007D43D2">
              <w:rPr>
                <w:rFonts w:ascii="Verdana" w:eastAsia="Arial" w:hAnsi="Verdana" w:cs="Arial"/>
                <w:lang w:val="es-MX" w:eastAsia="es-ES" w:bidi="es-ES"/>
              </w:rPr>
              <w:t xml:space="preserve"> </w:t>
            </w:r>
            <w:r>
              <w:rPr>
                <w:rFonts w:ascii="Verdana" w:eastAsia="Arial" w:hAnsi="Verdana" w:cs="Arial"/>
                <w:lang w:val="es-MX" w:eastAsia="es-ES" w:bidi="es-ES"/>
              </w:rPr>
              <w:t>la actualización del IPC o/y el</w:t>
            </w:r>
            <w:r w:rsidRPr="007D43D2">
              <w:rPr>
                <w:rFonts w:ascii="Verdana" w:eastAsia="Arial" w:hAnsi="Verdana" w:cs="Arial"/>
                <w:lang w:val="es-MX" w:eastAsia="es-ES" w:bidi="es-ES"/>
              </w:rPr>
              <w:t xml:space="preserve"> salario mínimo </w:t>
            </w:r>
            <w:r>
              <w:rPr>
                <w:rFonts w:ascii="Verdana" w:eastAsia="Arial" w:hAnsi="Verdana" w:cs="Arial"/>
                <w:lang w:val="es-MX" w:eastAsia="es-ES" w:bidi="es-ES"/>
              </w:rPr>
              <w:t xml:space="preserve">debe seguirse las indicaciones de los documentos del proceso, especialmente, en lo relacionado con la matriz de riesgos, el AIU o las cláusulas de reajuste y revisión de precios. </w:t>
            </w:r>
            <w:r w:rsidRPr="00DA5D02">
              <w:rPr>
                <w:rFonts w:ascii="Verdana" w:eastAsia="Arial" w:hAnsi="Verdana" w:cs="Arial"/>
                <w:i/>
                <w:iCs/>
                <w:lang w:val="es-MX" w:eastAsia="es-ES" w:bidi="es-ES"/>
              </w:rPr>
              <w:t>Por un lado</w:t>
            </w:r>
            <w:r>
              <w:rPr>
                <w:rFonts w:ascii="Verdana" w:eastAsia="Arial" w:hAnsi="Verdana" w:cs="Arial"/>
                <w:lang w:val="es-MX" w:eastAsia="es-ES" w:bidi="es-ES"/>
              </w:rPr>
              <w:t xml:space="preserve">, </w:t>
            </w:r>
            <w:r w:rsidRPr="00364005">
              <w:rPr>
                <w:rFonts w:ascii="Verdana" w:hAnsi="Verdana" w:cs="Arial"/>
                <w:lang w:val="es-ES" w:eastAsia="es-CO"/>
              </w:rPr>
              <w:t xml:space="preserve">el artículo 4 </w:t>
            </w:r>
            <w:r>
              <w:rPr>
                <w:rFonts w:ascii="Verdana" w:hAnsi="Verdana" w:cs="Arial"/>
                <w:lang w:val="es-ES" w:eastAsia="es-CO"/>
              </w:rPr>
              <w:t xml:space="preserve">de la Ley 1150 de 2007 </w:t>
            </w:r>
            <w:r w:rsidRPr="00364005">
              <w:rPr>
                <w:rFonts w:ascii="Verdana" w:hAnsi="Verdana" w:cs="Arial"/>
                <w:lang w:val="es-ES" w:eastAsia="es-CO"/>
              </w:rPr>
              <w:t>obliga a las entidades estatales a estimar, tipificar y asignar los riesgos previsibles involucrados en la contratación dentro de los pliegos de condiciones o en sus equivalentes</w:t>
            </w:r>
            <w:r>
              <w:rPr>
                <w:rFonts w:ascii="Verdana" w:hAnsi="Verdana" w:cs="Arial"/>
                <w:lang w:val="es-ES" w:eastAsia="es-CO"/>
              </w:rPr>
              <w:t xml:space="preserve">. </w:t>
            </w:r>
            <w:r w:rsidRPr="00364005">
              <w:rPr>
                <w:rFonts w:ascii="Verdana" w:hAnsi="Verdana" w:cs="Arial"/>
                <w:lang w:eastAsia="es-CO"/>
              </w:rPr>
              <w:t>En este sentido, si bien deben tener en consideración las observaciones formuladas por los interesados al proyecto de pliego de condiciones, al pliego de condiciones definitivo y lo debatido en la audiencia de asignación de riesgos –en los procesos de licitación pública–, corresponde a cada entidad analizar y pronunciarse motivadamente frente a dichas observaciones, correspondiendo a la entidad tomar la decisión final sobre el contenido de los riesgos.</w:t>
            </w:r>
            <w:r>
              <w:rPr>
                <w:rFonts w:ascii="Verdana" w:hAnsi="Verdana" w:cs="Arial"/>
                <w:lang w:eastAsia="es-CO"/>
              </w:rPr>
              <w:t xml:space="preserve"> </w:t>
            </w:r>
            <w:r w:rsidRPr="00364005">
              <w:rPr>
                <w:rFonts w:ascii="Verdana" w:hAnsi="Verdana" w:cs="Arial"/>
                <w:lang w:val="es-ES" w:eastAsia="es-CO"/>
              </w:rPr>
              <w:t>Con fundamento en lo anterior, corresponde a cada entidad efectuar en la fase de planeación el análisis inicial de los riesgos previsibles asociados al procedimiento de selección</w:t>
            </w:r>
            <w:r>
              <w:rPr>
                <w:rFonts w:ascii="Verdana" w:hAnsi="Verdana" w:cs="Arial"/>
                <w:lang w:val="es-ES" w:eastAsia="es-CO"/>
              </w:rPr>
              <w:t>, así como la asignación de los mismo y la forma de mitigarlos</w:t>
            </w:r>
            <w:r w:rsidRPr="00364005">
              <w:rPr>
                <w:rFonts w:ascii="Verdana" w:hAnsi="Verdana" w:cs="Arial"/>
                <w:lang w:val="es-ES" w:eastAsia="es-CO"/>
              </w:rPr>
              <w:t>.</w:t>
            </w:r>
          </w:p>
          <w:p w14:paraId="45A709DF" w14:textId="77777777" w:rsidR="0080580F" w:rsidRDefault="0080580F">
            <w:pPr>
              <w:spacing w:after="120" w:line="276" w:lineRule="auto"/>
              <w:ind w:firstLine="737"/>
              <w:jc w:val="both"/>
              <w:rPr>
                <w:rFonts w:ascii="Verdana" w:eastAsia="Times New Roman" w:hAnsi="Verdana" w:cs="Arial"/>
                <w:color w:val="000000"/>
                <w:lang w:val="es-ES_tradnl" w:eastAsia="es-ES_tradnl"/>
              </w:rPr>
            </w:pPr>
            <w:r w:rsidRPr="00B61739">
              <w:rPr>
                <w:rFonts w:ascii="Verdana" w:eastAsia="Times New Roman" w:hAnsi="Verdana" w:cs="Arial"/>
                <w:i/>
                <w:iCs/>
                <w:color w:val="000000"/>
                <w:lang w:val="es-ES_tradnl" w:eastAsia="es-ES_tradnl"/>
              </w:rPr>
              <w:t>Por otra parte</w:t>
            </w:r>
            <w:r>
              <w:rPr>
                <w:rFonts w:ascii="Verdana" w:eastAsia="Times New Roman" w:hAnsi="Verdana" w:cs="Arial"/>
                <w:color w:val="000000"/>
                <w:lang w:val="es-ES_tradnl" w:eastAsia="es-ES_tradnl"/>
              </w:rPr>
              <w:t xml:space="preserve">, </w:t>
            </w:r>
            <w:r w:rsidRPr="00301910">
              <w:rPr>
                <w:rFonts w:ascii="Verdana" w:eastAsia="Times New Roman" w:hAnsi="Verdana" w:cs="Arial"/>
                <w:color w:val="000000"/>
                <w:lang w:val="es-ES_tradnl" w:eastAsia="es-ES_tradnl"/>
              </w:rPr>
              <w:t>el AIU hace parte del precio de los contratos cuando se ha pactado esta metodología de cálculo de los costos indirectos, que resulta más común, sobre todo, en los contratos de tracto sucesivo, como los de obra pública a precios unitarios.</w:t>
            </w:r>
            <w:r>
              <w:rPr>
                <w:rFonts w:ascii="Verdana" w:eastAsia="Times New Roman" w:hAnsi="Verdana" w:cs="Arial"/>
                <w:color w:val="000000"/>
                <w:lang w:val="es-ES_tradnl" w:eastAsia="es-ES_tradnl"/>
              </w:rPr>
              <w:t xml:space="preserve"> Al ser </w:t>
            </w:r>
            <w:r w:rsidRPr="00301910">
              <w:rPr>
                <w:rFonts w:ascii="Verdana" w:eastAsia="Times New Roman" w:hAnsi="Verdana" w:cs="Arial"/>
                <w:color w:val="000000"/>
                <w:lang w:val="es-ES_tradnl" w:eastAsia="es-ES_tradnl"/>
              </w:rPr>
              <w:t xml:space="preserve">un elemento que integra el precio que se paga al contratista, este goza, en principio, de libertad en la </w:t>
            </w:r>
            <w:r>
              <w:rPr>
                <w:rFonts w:ascii="Verdana" w:eastAsia="Times New Roman" w:hAnsi="Verdana" w:cs="Arial"/>
                <w:color w:val="000000"/>
                <w:lang w:val="es-ES_tradnl" w:eastAsia="es-ES_tradnl"/>
              </w:rPr>
              <w:t>fijación de sus componentes</w:t>
            </w:r>
            <w:r w:rsidRPr="00301910">
              <w:rPr>
                <w:rFonts w:ascii="Verdana" w:eastAsia="Times New Roman" w:hAnsi="Verdana" w:cs="Arial"/>
                <w:color w:val="000000"/>
                <w:lang w:val="es-ES_tradnl" w:eastAsia="es-ES_tradnl"/>
              </w:rPr>
              <w:t xml:space="preserve">, salvo que las partes hayan acordado una metodología especial </w:t>
            </w:r>
            <w:r w:rsidRPr="00301910">
              <w:rPr>
                <w:rFonts w:ascii="Verdana" w:eastAsia="Times New Roman" w:hAnsi="Verdana" w:cs="Arial"/>
                <w:color w:val="000000"/>
                <w:lang w:val="es-ES_tradnl" w:eastAsia="es-ES_tradnl"/>
              </w:rPr>
              <w:lastRenderedPageBreak/>
              <w:t>en el contrato, que le imponga al contratista algunas restricciones, en virtud de la autonomía de la voluntad.</w:t>
            </w:r>
          </w:p>
          <w:p w14:paraId="343281C2" w14:textId="77777777" w:rsidR="0080580F" w:rsidRDefault="0080580F">
            <w:pPr>
              <w:spacing w:before="120" w:line="276" w:lineRule="auto"/>
              <w:ind w:firstLine="708"/>
              <w:jc w:val="both"/>
              <w:rPr>
                <w:rFonts w:ascii="Verdana" w:hAnsi="Verdana" w:cs="Arial"/>
                <w:lang w:val="es-ES" w:eastAsia="es-ES"/>
              </w:rPr>
            </w:pPr>
            <w:r w:rsidRPr="00371A1F">
              <w:rPr>
                <w:rFonts w:ascii="Verdana" w:hAnsi="Verdana" w:cs="Arial"/>
                <w:lang w:val="es-ES" w:eastAsia="es-ES"/>
              </w:rPr>
              <w:t xml:space="preserve">Tratándose de los </w:t>
            </w:r>
            <w:r w:rsidRPr="00371A1F">
              <w:rPr>
                <w:rFonts w:ascii="Verdana" w:hAnsi="Verdana" w:cs="Arial"/>
                <w:i/>
                <w:iCs/>
                <w:lang w:val="es-ES" w:eastAsia="es-ES"/>
              </w:rPr>
              <w:t>imprevistos</w:t>
            </w:r>
            <w:r w:rsidRPr="00371A1F">
              <w:rPr>
                <w:rFonts w:ascii="Verdana" w:hAnsi="Verdana" w:cs="Arial"/>
                <w:lang w:val="es-ES" w:eastAsia="es-ES"/>
              </w:rPr>
              <w:t xml:space="preserve">, </w:t>
            </w:r>
            <w:r>
              <w:rPr>
                <w:rFonts w:ascii="Verdana" w:hAnsi="Verdana" w:cs="Arial"/>
                <w:lang w:val="es-ES" w:eastAsia="es-ES"/>
              </w:rPr>
              <w:t>éstos constituyen</w:t>
            </w:r>
            <w:r w:rsidRPr="00494109">
              <w:rPr>
                <w:rFonts w:ascii="Verdana" w:hAnsi="Verdana" w:cs="Arial"/>
                <w:lang w:val="es-ES" w:eastAsia="es-ES"/>
              </w:rPr>
              <w:t xml:space="preserve"> una partida destinada a cubrir gastos no contemplados expresamente en la oferta, pero que suelen presentarse durante la ejecución normal del proyecto</w:t>
            </w:r>
            <w:r>
              <w:rPr>
                <w:rFonts w:ascii="Verdana" w:hAnsi="Verdana" w:cs="Arial"/>
                <w:lang w:val="es-ES" w:eastAsia="es-ES"/>
              </w:rPr>
              <w:t xml:space="preserve">. </w:t>
            </w:r>
            <w:r w:rsidRPr="00494109">
              <w:rPr>
                <w:rFonts w:ascii="Verdana" w:hAnsi="Verdana" w:cs="Arial"/>
                <w:lang w:val="es-ES" w:eastAsia="es-ES"/>
              </w:rPr>
              <w:t xml:space="preserve">Se trata de costos adicionales inherentes al desarrollo ordinario </w:t>
            </w:r>
            <w:r>
              <w:rPr>
                <w:rFonts w:ascii="Verdana" w:hAnsi="Verdana" w:cs="Arial"/>
                <w:lang w:val="es-ES" w:eastAsia="es-ES"/>
              </w:rPr>
              <w:t>de la actividad contratada,</w:t>
            </w:r>
            <w:r w:rsidRPr="00494109">
              <w:rPr>
                <w:rFonts w:ascii="Verdana" w:hAnsi="Verdana" w:cs="Arial"/>
                <w:lang w:val="es-ES" w:eastAsia="es-ES"/>
              </w:rPr>
              <w:t xml:space="preserve"> cuya ocurrencia </w:t>
            </w:r>
            <w:r>
              <w:rPr>
                <w:rFonts w:ascii="Verdana" w:hAnsi="Verdana" w:cs="Arial"/>
                <w:lang w:val="es-ES" w:eastAsia="es-ES"/>
              </w:rPr>
              <w:t xml:space="preserve">–por ser parte del alea normal del negocio– </w:t>
            </w:r>
            <w:r w:rsidRPr="00494109">
              <w:rPr>
                <w:rFonts w:ascii="Verdana" w:hAnsi="Verdana" w:cs="Arial"/>
                <w:lang w:val="es-ES" w:eastAsia="es-ES"/>
              </w:rPr>
              <w:t xml:space="preserve">es posible y esperada, aunque </w:t>
            </w:r>
            <w:r>
              <w:rPr>
                <w:rFonts w:ascii="Verdana" w:hAnsi="Verdana" w:cs="Arial"/>
                <w:lang w:val="es-ES" w:eastAsia="es-ES"/>
              </w:rPr>
              <w:t>sea incierto tanto el momento en que se causa</w:t>
            </w:r>
            <w:r w:rsidRPr="00494109">
              <w:rPr>
                <w:rFonts w:ascii="Verdana" w:hAnsi="Verdana" w:cs="Arial"/>
                <w:lang w:val="es-ES" w:eastAsia="es-ES"/>
              </w:rPr>
              <w:t xml:space="preserve"> </w:t>
            </w:r>
            <w:r>
              <w:rPr>
                <w:rFonts w:ascii="Verdana" w:hAnsi="Verdana" w:cs="Arial"/>
                <w:lang w:val="es-ES" w:eastAsia="es-ES"/>
              </w:rPr>
              <w:t>como su</w:t>
            </w:r>
            <w:r w:rsidRPr="00494109">
              <w:rPr>
                <w:rFonts w:ascii="Verdana" w:hAnsi="Verdana" w:cs="Arial"/>
                <w:lang w:val="es-ES" w:eastAsia="es-ES"/>
              </w:rPr>
              <w:t xml:space="preserve"> cuantía</w:t>
            </w:r>
            <w:r>
              <w:rPr>
                <w:rFonts w:ascii="Verdana" w:hAnsi="Verdana" w:cs="Arial"/>
                <w:lang w:val="es-ES" w:eastAsia="es-ES"/>
              </w:rPr>
              <w:t xml:space="preserve">. Para la doctrina, “[…] </w:t>
            </w:r>
            <w:r w:rsidRPr="00BB09DB">
              <w:rPr>
                <w:rFonts w:ascii="Verdana" w:hAnsi="Verdana" w:cs="Arial"/>
                <w:lang w:val="es-ES" w:eastAsia="es-ES"/>
              </w:rPr>
              <w:t xml:space="preserve">es el caso de la sobre remuneración que se paga al personal; la adquisición de materiales a un precio mayor al calculado; el pago de conceptos o </w:t>
            </w:r>
            <w:proofErr w:type="spellStart"/>
            <w:r w:rsidRPr="00BB09DB">
              <w:rPr>
                <w:rFonts w:ascii="Verdana" w:hAnsi="Verdana" w:cs="Arial"/>
                <w:lang w:val="es-ES" w:eastAsia="es-ES"/>
              </w:rPr>
              <w:t>experticios</w:t>
            </w:r>
            <w:proofErr w:type="spellEnd"/>
            <w:r w:rsidRPr="00BB09DB">
              <w:rPr>
                <w:rFonts w:ascii="Verdana" w:hAnsi="Verdana" w:cs="Arial"/>
                <w:lang w:val="es-ES" w:eastAsia="es-ES"/>
              </w:rPr>
              <w:t xml:space="preserve"> técnicos necesarios para evaluar una tarea o trabajo no previsto; la reparación de maquinaria; el alquiler de equipos que no se habían contemplado</w:t>
            </w:r>
            <w:r>
              <w:rPr>
                <w:rFonts w:ascii="Verdana" w:hAnsi="Verdana" w:cs="Arial"/>
                <w:lang w:val="es-ES" w:eastAsia="es-ES"/>
              </w:rPr>
              <w:t>, entre otros […]”.</w:t>
            </w:r>
          </w:p>
          <w:p w14:paraId="10A8CFD6" w14:textId="77777777" w:rsidR="0080580F" w:rsidRPr="00503CCA" w:rsidRDefault="0080580F">
            <w:pPr>
              <w:spacing w:before="120" w:after="120" w:line="276" w:lineRule="auto"/>
              <w:ind w:firstLine="709"/>
              <w:jc w:val="both"/>
              <w:rPr>
                <w:rFonts w:ascii="Verdana" w:hAnsi="Verdana" w:cs="Arial"/>
                <w:lang w:val="es-ES" w:eastAsia="es-ES"/>
              </w:rPr>
            </w:pPr>
            <w:r>
              <w:rPr>
                <w:rFonts w:ascii="Verdana" w:hAnsi="Verdana" w:cs="Arial"/>
                <w:lang w:val="es-ES" w:eastAsia="es-ES"/>
              </w:rPr>
              <w:t xml:space="preserve">Estos imprevistos son diferentes a las situaciones que corresponden a </w:t>
            </w:r>
            <w:r w:rsidRPr="00312E69">
              <w:rPr>
                <w:rFonts w:ascii="Verdana" w:hAnsi="Verdana" w:cs="Arial"/>
                <w:lang w:val="es-ES" w:eastAsia="es-ES"/>
              </w:rPr>
              <w:t xml:space="preserve">contingencias extraordinarias, imprevisibles y no controlables por las partes </w:t>
            </w:r>
            <w:r>
              <w:rPr>
                <w:rFonts w:ascii="Verdana" w:hAnsi="Verdana" w:cs="Arial"/>
                <w:lang w:val="es-ES" w:eastAsia="es-ES"/>
              </w:rPr>
              <w:t>–</w:t>
            </w:r>
            <w:r w:rsidRPr="00312E69">
              <w:rPr>
                <w:rFonts w:ascii="Verdana" w:hAnsi="Verdana" w:cs="Arial"/>
                <w:lang w:val="es-ES" w:eastAsia="es-ES"/>
              </w:rPr>
              <w:t xml:space="preserve">como </w:t>
            </w:r>
            <w:r>
              <w:rPr>
                <w:rFonts w:ascii="Verdana" w:hAnsi="Verdana" w:cs="Arial"/>
                <w:lang w:val="es-ES" w:eastAsia="es-ES"/>
              </w:rPr>
              <w:t xml:space="preserve">los </w:t>
            </w:r>
            <w:r w:rsidRPr="00312E69">
              <w:rPr>
                <w:rFonts w:ascii="Verdana" w:hAnsi="Verdana" w:cs="Arial"/>
                <w:lang w:val="es-ES" w:eastAsia="es-ES"/>
              </w:rPr>
              <w:t>desastres naturales</w:t>
            </w:r>
            <w:r>
              <w:rPr>
                <w:rFonts w:ascii="Verdana" w:hAnsi="Verdana" w:cs="Arial"/>
                <w:lang w:val="es-ES" w:eastAsia="es-ES"/>
              </w:rPr>
              <w:t>, por ejemplo–</w:t>
            </w:r>
            <w:r w:rsidRPr="00312E69">
              <w:rPr>
                <w:rFonts w:ascii="Verdana" w:hAnsi="Verdana" w:cs="Arial"/>
                <w:lang w:val="es-ES" w:eastAsia="es-ES"/>
              </w:rPr>
              <w:t xml:space="preserve"> que generan un impacto grave y exceden la ejecución ordinaria del contrato</w:t>
            </w:r>
            <w:r>
              <w:rPr>
                <w:rFonts w:ascii="Verdana" w:hAnsi="Verdana" w:cs="Arial"/>
                <w:lang w:val="es-ES" w:eastAsia="es-ES"/>
              </w:rPr>
              <w:t>. Es decir, “[…] l</w:t>
            </w:r>
            <w:r w:rsidRPr="00FD66F1">
              <w:rPr>
                <w:rFonts w:ascii="Verdana" w:hAnsi="Verdana" w:cs="Arial"/>
                <w:lang w:val="es-ES" w:eastAsia="es-ES"/>
              </w:rPr>
              <w:t xml:space="preserve">a I como parte del precio no debe confundirse con los riesgos del contrato que conducen al desequilibrio financiero, porque mientras aquélla se refiere a la parte de los gastos extraordinarios que se presentan en el día a día de una obra, pero que son </w:t>
            </w:r>
            <w:r>
              <w:rPr>
                <w:rFonts w:ascii="Verdana" w:hAnsi="Verdana" w:cs="Arial"/>
                <w:lang w:val="es-ES" w:eastAsia="es-ES"/>
              </w:rPr>
              <w:t>‘</w:t>
            </w:r>
            <w:r w:rsidRPr="00FD66F1">
              <w:rPr>
                <w:rFonts w:ascii="Verdana" w:hAnsi="Verdana" w:cs="Arial"/>
                <w:lang w:val="es-ES" w:eastAsia="es-ES"/>
              </w:rPr>
              <w:t>normales</w:t>
            </w:r>
            <w:r>
              <w:rPr>
                <w:rFonts w:ascii="Verdana" w:hAnsi="Verdana" w:cs="Arial"/>
                <w:lang w:val="es-ES" w:eastAsia="es-ES"/>
              </w:rPr>
              <w:t>’</w:t>
            </w:r>
            <w:r w:rsidRPr="00FD66F1">
              <w:rPr>
                <w:rFonts w:ascii="Verdana" w:hAnsi="Verdana" w:cs="Arial"/>
                <w:lang w:val="es-ES" w:eastAsia="es-ES"/>
              </w:rPr>
              <w:t xml:space="preserve"> en su desarrollo; éstos aluden a las contingencias que exceden la ejecución ordinaria del contrato y la capacidad de soportarlas</w:t>
            </w:r>
            <w:r>
              <w:rPr>
                <w:rFonts w:ascii="Verdana" w:hAnsi="Verdana" w:cs="Arial"/>
                <w:lang w:val="es-ES" w:eastAsia="es-ES"/>
              </w:rPr>
              <w:t xml:space="preserve"> […]”. M</w:t>
            </w:r>
            <w:r w:rsidRPr="00FD66F1">
              <w:rPr>
                <w:rFonts w:ascii="Verdana" w:hAnsi="Verdana" w:cs="Arial"/>
                <w:lang w:val="es-ES" w:eastAsia="es-ES"/>
              </w:rPr>
              <w:t xml:space="preserve">ientras los primeros integran el precio y forman parte del riesgo normal asumido por el contratista, los segundos pueden dar lugar </w:t>
            </w:r>
            <w:r>
              <w:rPr>
                <w:rFonts w:ascii="Verdana" w:hAnsi="Verdana" w:cs="Arial"/>
                <w:lang w:val="es-ES" w:eastAsia="es-ES"/>
              </w:rPr>
              <w:t>restablecimiento de la ecuación económica</w:t>
            </w:r>
            <w:r w:rsidRPr="00FD66F1">
              <w:rPr>
                <w:rFonts w:ascii="Verdana" w:hAnsi="Verdana" w:cs="Arial"/>
                <w:lang w:val="es-ES" w:eastAsia="es-ES"/>
              </w:rPr>
              <w:t>, ya que su asignación no siempre es clara y puede requerir decisión judicial para determinar quién debe asumir su costo.</w:t>
            </w:r>
            <w:r>
              <w:rPr>
                <w:rFonts w:ascii="Verdana" w:hAnsi="Verdana" w:cs="Arial"/>
                <w:lang w:val="es-ES" w:eastAsia="es-ES"/>
              </w:rPr>
              <w:t xml:space="preserve"> </w:t>
            </w:r>
          </w:p>
          <w:p w14:paraId="373A0ED9" w14:textId="77777777" w:rsidR="0080580F" w:rsidRDefault="0080580F">
            <w:pPr>
              <w:spacing w:after="120" w:line="276" w:lineRule="auto"/>
              <w:ind w:firstLine="731"/>
              <w:jc w:val="both"/>
              <w:rPr>
                <w:rFonts w:ascii="Verdana" w:eastAsia="Arial" w:hAnsi="Verdana" w:cs="Arial"/>
                <w:color w:val="000000"/>
              </w:rPr>
            </w:pPr>
            <w:r w:rsidRPr="00301910">
              <w:rPr>
                <w:rFonts w:ascii="Verdana" w:eastAsia="Arial" w:hAnsi="Verdana" w:cs="Arial"/>
                <w:color w:val="000000"/>
              </w:rPr>
              <w:t xml:space="preserve">Al no estar el AIU regulado normativamente, no existe un deber jurídico consagrado en el Estatuto General de Contratación de la Administración Pública dirigido al contratista, para que este rinda cuentas sobre la destinación de los ítems que componen dicha partida. </w:t>
            </w:r>
            <w:r>
              <w:rPr>
                <w:rFonts w:ascii="Verdana" w:eastAsia="Arial" w:hAnsi="Verdana" w:cs="Arial"/>
                <w:color w:val="000000"/>
              </w:rPr>
              <w:t>L</w:t>
            </w:r>
            <w:r w:rsidRPr="00301910">
              <w:rPr>
                <w:rFonts w:ascii="Verdana" w:eastAsia="Arial" w:hAnsi="Verdana" w:cs="Arial"/>
                <w:color w:val="000000"/>
              </w:rPr>
              <w:t>a metodología de estipulación y administración del AIU ha sido un desarrollo de la costumbre mercantil que se ha venido adoptado voluntariamente por parte de las entidades estatales. Sin embargo, en caso de que el pliego de condiciones o el contrato establezca la obligación de rendir dichas cuentas, deberá respetarse este pacto.</w:t>
            </w:r>
          </w:p>
          <w:p w14:paraId="495866F5" w14:textId="77777777" w:rsidR="0080580F" w:rsidRDefault="0080580F">
            <w:pPr>
              <w:spacing w:after="120" w:line="276" w:lineRule="auto"/>
              <w:ind w:right="51" w:firstLine="737"/>
              <w:jc w:val="both"/>
              <w:rPr>
                <w:rFonts w:ascii="Verdana" w:eastAsia="Arial" w:hAnsi="Verdana" w:cs="Arial"/>
                <w:color w:val="000000" w:themeColor="text1"/>
                <w:lang w:eastAsia="es-ES" w:bidi="es-ES"/>
              </w:rPr>
            </w:pPr>
            <w:r>
              <w:rPr>
                <w:rFonts w:ascii="Verdana" w:eastAsia="Arial" w:hAnsi="Verdana" w:cs="Arial"/>
                <w:i/>
                <w:iCs/>
                <w:color w:val="000000"/>
              </w:rPr>
              <w:lastRenderedPageBreak/>
              <w:t>Finalmente</w:t>
            </w:r>
            <w:r>
              <w:rPr>
                <w:rFonts w:ascii="Verdana" w:eastAsia="Arial" w:hAnsi="Verdana" w:cs="Arial"/>
                <w:color w:val="000000"/>
              </w:rPr>
              <w:t xml:space="preserve">, </w:t>
            </w:r>
            <w:r>
              <w:rPr>
                <w:rFonts w:ascii="Verdana" w:eastAsia="Calibri" w:hAnsi="Verdana" w:cs="Arial"/>
                <w:bCs/>
                <w:color w:val="000000" w:themeColor="text1"/>
              </w:rPr>
              <w:t>p</w:t>
            </w:r>
            <w:r>
              <w:rPr>
                <w:rFonts w:ascii="Verdana" w:eastAsia="Arial" w:hAnsi="Verdana" w:cs="Arial"/>
                <w:color w:val="000000" w:themeColor="text1"/>
                <w:lang w:eastAsia="es-ES" w:bidi="es-ES"/>
              </w:rPr>
              <w:t xml:space="preserve">or remisión de los artículos 13, 32 y 40 del EGCAP al derecho privado, el contrato es ley para las partes conforme al artículo 1602 del Código Civil. Aunque la </w:t>
            </w:r>
            <w:r w:rsidRPr="00752476">
              <w:rPr>
                <w:rFonts w:ascii="Verdana" w:eastAsia="Arial" w:hAnsi="Verdana" w:cs="Arial"/>
                <w:i/>
                <w:iCs/>
                <w:color w:val="000000" w:themeColor="text1"/>
                <w:lang w:eastAsia="es-ES" w:bidi="es-ES"/>
              </w:rPr>
              <w:t>regla general</w:t>
            </w:r>
            <w:r>
              <w:rPr>
                <w:rFonts w:ascii="Verdana" w:eastAsia="Arial" w:hAnsi="Verdana" w:cs="Arial"/>
                <w:color w:val="000000" w:themeColor="text1"/>
                <w:lang w:eastAsia="es-ES" w:bidi="es-ES"/>
              </w:rPr>
              <w:t xml:space="preserve"> es el cumplimiento de los precios pactados, </w:t>
            </w:r>
            <w:r>
              <w:rPr>
                <w:rFonts w:ascii="Verdana" w:eastAsia="Arial" w:hAnsi="Verdana" w:cs="Arial"/>
                <w:i/>
                <w:iCs/>
                <w:color w:val="000000" w:themeColor="text1"/>
                <w:lang w:eastAsia="es-ES" w:bidi="es-ES"/>
              </w:rPr>
              <w:t>de forma excepcional</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pueden surgir circunstancias imprevistas que</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hagan</w:t>
            </w:r>
            <w:r>
              <w:rPr>
                <w:rFonts w:ascii="Verdana" w:eastAsia="Arial" w:hAnsi="Verdana" w:cs="Arial"/>
                <w:color w:val="000000" w:themeColor="text1"/>
                <w:lang w:eastAsia="es-ES" w:bidi="es-ES"/>
              </w:rPr>
              <w:t xml:space="preserve"> la ejecución</w:t>
            </w:r>
            <w:r w:rsidRPr="00752476">
              <w:rPr>
                <w:rFonts w:ascii="Verdana" w:eastAsia="Arial" w:hAnsi="Verdana" w:cs="Arial"/>
                <w:color w:val="000000" w:themeColor="text1"/>
                <w:lang w:eastAsia="es-ES" w:bidi="es-ES"/>
              </w:rPr>
              <w:t xml:space="preserve"> excesivamente gravos</w:t>
            </w:r>
            <w:r>
              <w:rPr>
                <w:rFonts w:ascii="Verdana" w:eastAsia="Arial" w:hAnsi="Verdana" w:cs="Arial"/>
                <w:color w:val="000000" w:themeColor="text1"/>
                <w:lang w:eastAsia="es-ES" w:bidi="es-ES"/>
              </w:rPr>
              <w:t>a</w:t>
            </w:r>
            <w:r w:rsidRPr="00752476">
              <w:rPr>
                <w:rFonts w:ascii="Verdana" w:eastAsia="Arial" w:hAnsi="Verdana" w:cs="Arial"/>
                <w:color w:val="000000" w:themeColor="text1"/>
                <w:lang w:eastAsia="es-ES" w:bidi="es-ES"/>
              </w:rPr>
              <w:t xml:space="preserve">, por lo que se han creado mecanismos para mantener la equidad y el equilibrio entre las </w:t>
            </w:r>
            <w:r>
              <w:rPr>
                <w:rFonts w:ascii="Verdana" w:eastAsia="Arial" w:hAnsi="Verdana" w:cs="Arial"/>
                <w:color w:val="000000" w:themeColor="text1"/>
                <w:lang w:eastAsia="es-ES" w:bidi="es-ES"/>
              </w:rPr>
              <w:t xml:space="preserve">obligaciones. </w:t>
            </w:r>
          </w:p>
          <w:p w14:paraId="5F72B3D2" w14:textId="5DBA1BBA" w:rsidR="0080580F" w:rsidRDefault="0080580F" w:rsidP="00EF446B">
            <w:pPr>
              <w:widowControl w:val="0"/>
              <w:autoSpaceDE w:val="0"/>
              <w:autoSpaceDN w:val="0"/>
              <w:spacing w:before="120" w:line="276" w:lineRule="auto"/>
              <w:ind w:firstLine="709"/>
              <w:jc w:val="both"/>
              <w:rPr>
                <w:rFonts w:ascii="Verdana" w:eastAsia="Arial" w:hAnsi="Verdana" w:cs="Arial"/>
                <w:color w:val="000000" w:themeColor="text1"/>
                <w:lang w:val="es-ES" w:eastAsia="es-ES" w:bidi="es-ES"/>
              </w:rPr>
            </w:pPr>
            <w:r>
              <w:rPr>
                <w:rFonts w:ascii="Verdana" w:eastAsia="Arial" w:hAnsi="Verdana" w:cs="Arial"/>
                <w:color w:val="000000" w:themeColor="text1"/>
                <w:lang w:val="es-ES" w:eastAsia="es-ES" w:bidi="es-ES"/>
              </w:rPr>
              <w:t xml:space="preserve">Para estos efectos, </w:t>
            </w:r>
            <w:r w:rsidRPr="00E97A27">
              <w:rPr>
                <w:rFonts w:ascii="Verdana" w:eastAsia="Arial" w:hAnsi="Verdana" w:cs="Arial"/>
                <w:color w:val="000000" w:themeColor="text1"/>
                <w:lang w:val="es-ES" w:eastAsia="es-ES" w:bidi="es-ES"/>
              </w:rPr>
              <w:t xml:space="preserve">el numeral 3 del artículo 4 </w:t>
            </w:r>
            <w:r>
              <w:rPr>
                <w:rFonts w:ascii="Verdana" w:eastAsia="Arial" w:hAnsi="Verdana" w:cs="Arial"/>
                <w:color w:val="000000" w:themeColor="text1"/>
                <w:lang w:val="es-ES" w:eastAsia="es-ES" w:bidi="es-ES"/>
              </w:rPr>
              <w:t>del EGCAP</w:t>
            </w:r>
            <w:r w:rsidRPr="00E97A27">
              <w:rPr>
                <w:rFonts w:ascii="Verdana" w:eastAsia="Arial" w:hAnsi="Verdana" w:cs="Arial"/>
                <w:color w:val="000000" w:themeColor="text1"/>
                <w:lang w:val="es-ES" w:eastAsia="es-ES" w:bidi="es-ES"/>
              </w:rPr>
              <w:t xml:space="preserve"> señala que las entidades estatales solicitarán la actualización o la revisión de los precios cuando se produzcan fenómenos que alteren en su contra </w:t>
            </w:r>
            <w:r w:rsidRPr="00E97A27">
              <w:rPr>
                <w:rFonts w:ascii="Verdana" w:eastAsia="Arial" w:hAnsi="Verdana" w:cs="Arial"/>
                <w:i/>
                <w:iCs/>
                <w:color w:val="000000" w:themeColor="text1"/>
                <w:lang w:val="es-ES" w:eastAsia="es-ES" w:bidi="es-ES"/>
              </w:rPr>
              <w:t>el equilibrio económico o financiero</w:t>
            </w:r>
            <w:r w:rsidRPr="00E97A27">
              <w:rPr>
                <w:rFonts w:ascii="Verdana" w:eastAsia="Arial" w:hAnsi="Verdana" w:cs="Arial"/>
                <w:color w:val="000000" w:themeColor="text1"/>
                <w:lang w:val="es-ES" w:eastAsia="es-ES" w:bidi="es-ES"/>
              </w:rPr>
              <w:t xml:space="preserve"> del contrato. Asimismo, el numeral 8 del artículo en comento señala que las entidades deberán adoptar las medidas necesarias para mantener durante el desarrollo y ejecución del contrato las condiciones técnicas, económicas y financieras existentes al momento de proponer en los casos en que se hubiere realizado licitación o concurso, o de contratar en los casos de contratación directa, para lo cual se emplearán los mecanismos de revisión y reajuste de precios</w:t>
            </w:r>
            <w:r>
              <w:rPr>
                <w:rFonts w:ascii="Verdana" w:eastAsia="Arial" w:hAnsi="Verdana" w:cs="Arial"/>
                <w:color w:val="000000" w:themeColor="text1"/>
                <w:lang w:val="es-ES" w:eastAsia="es-ES" w:bidi="es-ES"/>
              </w:rPr>
              <w:t>. De acuerdo con la jurisprudencia:</w:t>
            </w:r>
          </w:p>
          <w:p w14:paraId="4E6971EE" w14:textId="77777777" w:rsidR="0080580F" w:rsidRDefault="0080580F">
            <w:pPr>
              <w:widowControl w:val="0"/>
              <w:autoSpaceDE w:val="0"/>
              <w:autoSpaceDN w:val="0"/>
              <w:spacing w:line="276" w:lineRule="auto"/>
              <w:ind w:firstLine="709"/>
              <w:jc w:val="both"/>
              <w:rPr>
                <w:rFonts w:ascii="Verdana" w:eastAsia="Arial" w:hAnsi="Verdana" w:cs="Arial"/>
                <w:color w:val="000000" w:themeColor="text1"/>
                <w:lang w:val="es-ES" w:eastAsia="es-ES" w:bidi="es-ES"/>
              </w:rPr>
            </w:pPr>
          </w:p>
          <w:p w14:paraId="3E448DDB" w14:textId="77777777" w:rsidR="0080580F" w:rsidRPr="000E4887" w:rsidRDefault="0080580F">
            <w:pPr>
              <w:widowControl w:val="0"/>
              <w:autoSpaceDE w:val="0"/>
              <w:autoSpaceDN w:val="0"/>
              <w:ind w:left="709" w:right="709"/>
              <w:jc w:val="both"/>
              <w:rPr>
                <w:rFonts w:ascii="Verdana" w:eastAsia="Arial" w:hAnsi="Verdana" w:cs="Arial"/>
                <w:color w:val="000000" w:themeColor="text1"/>
                <w:sz w:val="20"/>
                <w:szCs w:val="20"/>
                <w:lang w:val="es-ES" w:eastAsia="es-ES" w:bidi="es-ES"/>
              </w:rPr>
            </w:pPr>
            <w:r w:rsidRPr="000E4887">
              <w:rPr>
                <w:rFonts w:ascii="Verdana" w:eastAsia="Arial" w:hAnsi="Verdana" w:cs="Arial"/>
                <w:color w:val="000000" w:themeColor="text1"/>
                <w:sz w:val="20"/>
                <w:szCs w:val="20"/>
                <w:lang w:val="es-ES" w:eastAsia="es-ES" w:bidi="es-ES"/>
              </w:rPr>
              <w:t>“[…] la cláusula de estabilización o ajuste de precios resulta ser una medida preventiva frente a una situación previsible que puede afectar el resultado económico final del contrato en contra de cualquiera de las partes, y que se resuelve mediante la inclusión de la respectiva estipulación, normalmente expresada en una fórmula matemática concebida en función de los factores que inciden en los costos de ejecución del contrato. Por tanto, es un mecanismo que tiende a preservar la naturaleza conmutativa de los contratos y a garantizar que la equivalencia inicialmente acordada entre las prestaciones recíprocas se mantenga a lo largo de la ejecución del negocio jurídico, en tal forma que la remuneración recibida finalmente por el contratista corresponda a la que contempló al momento de presentar su propuesta y celebrar el contrato.</w:t>
            </w:r>
          </w:p>
          <w:p w14:paraId="6702CE97" w14:textId="77777777" w:rsidR="0080580F" w:rsidRDefault="0080580F">
            <w:pPr>
              <w:widowControl w:val="0"/>
              <w:autoSpaceDE w:val="0"/>
              <w:autoSpaceDN w:val="0"/>
              <w:spacing w:before="120"/>
              <w:ind w:left="709" w:right="709"/>
              <w:jc w:val="both"/>
              <w:rPr>
                <w:rFonts w:ascii="Verdana" w:eastAsia="Arial" w:hAnsi="Verdana" w:cs="Arial"/>
                <w:color w:val="000000" w:themeColor="text1"/>
                <w:lang w:val="es-ES" w:eastAsia="es-ES" w:bidi="es-ES"/>
              </w:rPr>
            </w:pPr>
            <w:r w:rsidRPr="000E4887">
              <w:rPr>
                <w:rFonts w:ascii="Verdana" w:eastAsia="Arial" w:hAnsi="Verdana" w:cs="Arial"/>
                <w:color w:val="000000" w:themeColor="text1"/>
                <w:sz w:val="20"/>
                <w:szCs w:val="20"/>
                <w:lang w:val="es-ES" w:eastAsia="es-ES" w:bidi="es-ES"/>
              </w:rPr>
              <w:t>De igual modo, paralelamente con la actualización de precios la Ley 80 de 1993 también contempla la figura de la revisión de precios, la cual opera cuando sobrevengan hechos económicos que hagan ineficaz o insuficiente la fórmula de reajuste o cuando las partes no han pactado un sistema de ajuste o actualización de los precios y estos sufren alteración como resultado de los fenómenos económicos mencionados, como la inflación o el alza de precios, eventos estos en los cuales puede solicitarse al juez la corrección de la cláusula de ajuste pactada y la revisión de los precios”.</w:t>
            </w:r>
          </w:p>
          <w:p w14:paraId="71BC745C" w14:textId="77777777" w:rsidR="0080580F" w:rsidRPr="00F74AF6" w:rsidRDefault="0080580F">
            <w:pPr>
              <w:spacing w:line="276" w:lineRule="auto"/>
              <w:ind w:right="51"/>
              <w:jc w:val="both"/>
              <w:rPr>
                <w:rFonts w:ascii="Verdana" w:eastAsia="Arial" w:hAnsi="Verdana" w:cs="Arial"/>
                <w:color w:val="000000" w:themeColor="text1"/>
                <w:lang w:val="es-ES" w:eastAsia="es-ES" w:bidi="es-ES"/>
              </w:rPr>
            </w:pPr>
          </w:p>
          <w:p w14:paraId="65C8D0C6" w14:textId="77777777" w:rsidR="0080580F" w:rsidRPr="00324083" w:rsidRDefault="0080580F">
            <w:pPr>
              <w:spacing w:after="120" w:line="276" w:lineRule="auto"/>
              <w:ind w:right="51" w:firstLine="737"/>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lastRenderedPageBreak/>
              <w:t>C</w:t>
            </w:r>
            <w:proofErr w:type="spellStart"/>
            <w:r w:rsidRPr="00E97A27">
              <w:rPr>
                <w:rFonts w:ascii="Verdana" w:eastAsia="Arial" w:hAnsi="Verdana" w:cs="Arial"/>
                <w:color w:val="000000" w:themeColor="text1"/>
                <w:lang w:val="es-ES" w:eastAsia="es-ES" w:bidi="es-ES"/>
              </w:rPr>
              <w:t>uando</w:t>
            </w:r>
            <w:proofErr w:type="spellEnd"/>
            <w:r w:rsidRPr="00E97A27">
              <w:rPr>
                <w:rFonts w:ascii="Verdana" w:eastAsia="Arial" w:hAnsi="Verdana" w:cs="Arial"/>
                <w:color w:val="000000" w:themeColor="text1"/>
                <w:lang w:val="es-ES" w:eastAsia="es-ES" w:bidi="es-ES"/>
              </w:rPr>
              <w:t xml:space="preserve"> se presenten situaciones que generen el desequilibrio económico del contrato, previa revisión de su procedencia, conforme el análisis del caso concreto, la entidad deberá adoptar las medidas correspondientes para su restablecimiento, si a ello hay lugar, para lo cual tiene la potestad de suscribir los acuerdos necesarios sobre cuantía, condiciones, forma de pago, etc.</w:t>
            </w:r>
            <w:r>
              <w:rPr>
                <w:rFonts w:ascii="Verdana" w:eastAsia="Arial" w:hAnsi="Verdana" w:cs="Arial"/>
                <w:color w:val="000000" w:themeColor="text1"/>
                <w:lang w:val="es-ES" w:eastAsia="es-ES" w:bidi="es-ES"/>
              </w:rPr>
              <w:t xml:space="preserve"> </w:t>
            </w:r>
            <w:r w:rsidRPr="00E97A27">
              <w:rPr>
                <w:rFonts w:ascii="Verdana" w:eastAsia="Arial" w:hAnsi="Verdana" w:cs="Arial"/>
                <w:color w:val="000000" w:themeColor="text1"/>
                <w:lang w:val="es-ES" w:eastAsia="es-ES" w:bidi="es-ES"/>
              </w:rPr>
              <w:t>Estas medidas podrán materializarse a través de los distintos acuerdos que suscriban las partes como prórrogas, adiciones, otrosíes o cualquier acuerdo modificatorio que se considere necesarios para solventar el desequilibrio del contrato de acuerdo con las particularidades de cada caso. Igualmente, podrá efectuarse dicho reconocimiento por parte del juez mediante el ejercicio de la acción judicial correspondiente.</w:t>
            </w:r>
          </w:p>
          <w:p w14:paraId="63FE3696" w14:textId="77777777" w:rsidR="0080580F" w:rsidRPr="00850F19" w:rsidRDefault="0080580F">
            <w:pPr>
              <w:spacing w:after="120" w:line="276" w:lineRule="auto"/>
              <w:ind w:firstLine="731"/>
              <w:jc w:val="both"/>
              <w:rPr>
                <w:rFonts w:ascii="Verdana" w:eastAsia="Arial" w:hAnsi="Verdana" w:cs="Arial"/>
                <w:color w:val="000000"/>
              </w:rPr>
            </w:pPr>
            <w:r>
              <w:rPr>
                <w:rFonts w:ascii="Verdana" w:eastAsia="Times New Roman" w:hAnsi="Verdana" w:cs="Arial"/>
                <w:color w:val="000000"/>
                <w:bdr w:val="none" w:sz="0" w:space="0" w:color="auto" w:frame="1"/>
                <w:shd w:val="clear" w:color="auto" w:fill="FFFFFF"/>
                <w:lang w:eastAsia="es-ES_tradnl"/>
              </w:rPr>
              <w:t xml:space="preserve">Por lo demás, conforme a los incisos segundo y tercero del artículo 60 del EGCAP, en la liquidación “[…] </w:t>
            </w:r>
            <w:r w:rsidRPr="00D118AB">
              <w:rPr>
                <w:rFonts w:ascii="Verdana" w:eastAsia="Times New Roman" w:hAnsi="Verdana" w:cs="Arial"/>
                <w:color w:val="000000"/>
                <w:bdr w:val="none" w:sz="0" w:space="0" w:color="auto" w:frame="1"/>
                <w:shd w:val="clear" w:color="auto" w:fill="FFFFFF"/>
                <w:lang w:eastAsia="es-ES_tradnl"/>
              </w:rPr>
              <w:t>las partes acordarán los ajustes, revisiones y reconocimientos a que haya lugar</w:t>
            </w:r>
            <w:r>
              <w:rPr>
                <w:rFonts w:ascii="Verdana" w:eastAsia="Times New Roman" w:hAnsi="Verdana" w:cs="Arial"/>
                <w:color w:val="000000"/>
                <w:bdr w:val="none" w:sz="0" w:space="0" w:color="auto" w:frame="1"/>
                <w:shd w:val="clear" w:color="auto" w:fill="FFFFFF"/>
                <w:lang w:eastAsia="es-ES_tradnl"/>
              </w:rPr>
              <w:t xml:space="preserve">” y en ella “[…] </w:t>
            </w:r>
            <w:r w:rsidRPr="00D118AB">
              <w:rPr>
                <w:rFonts w:ascii="Verdana" w:eastAsia="Times New Roman" w:hAnsi="Verdana" w:cs="Arial"/>
                <w:color w:val="000000"/>
                <w:bdr w:val="none" w:sz="0" w:space="0" w:color="auto" w:frame="1"/>
                <w:shd w:val="clear" w:color="auto" w:fill="FFFFFF"/>
                <w:lang w:eastAsia="es-ES_tradnl"/>
              </w:rPr>
              <w:t>constarán los acuerdos, conciliaciones y transacciones a que llegaren las partes para poner fin a las divergencias presentadas y poder declararse a paz y salvo</w:t>
            </w:r>
            <w:r>
              <w:rPr>
                <w:rFonts w:ascii="Verdana" w:eastAsia="Times New Roman" w:hAnsi="Verdana" w:cs="Arial"/>
                <w:color w:val="000000"/>
                <w:bdr w:val="none" w:sz="0" w:space="0" w:color="auto" w:frame="1"/>
                <w:shd w:val="clear" w:color="auto" w:fill="FFFFFF"/>
                <w:lang w:eastAsia="es-ES_tradnl"/>
              </w:rPr>
              <w:t>”</w:t>
            </w:r>
            <w:r w:rsidRPr="00D118AB">
              <w:rPr>
                <w:rFonts w:ascii="Verdana" w:eastAsia="Times New Roman" w:hAnsi="Verdana" w:cs="Arial"/>
                <w:color w:val="000000"/>
                <w:bdr w:val="none" w:sz="0" w:space="0" w:color="auto" w:frame="1"/>
                <w:shd w:val="clear" w:color="auto" w:fill="FFFFFF"/>
                <w:lang w:eastAsia="es-ES_tradnl"/>
              </w:rPr>
              <w:t>.</w:t>
            </w:r>
            <w:r>
              <w:rPr>
                <w:rFonts w:ascii="Verdana" w:eastAsia="Times New Roman" w:hAnsi="Verdana" w:cs="Arial"/>
                <w:color w:val="000000"/>
                <w:bdr w:val="none" w:sz="0" w:space="0" w:color="auto" w:frame="1"/>
                <w:shd w:val="clear" w:color="auto" w:fill="FFFFFF"/>
                <w:lang w:eastAsia="es-ES_tradnl"/>
              </w:rPr>
              <w:t xml:space="preserve"> Esto hace que la liquidación no sólo sea un mecanismo alternativo de solución de conflictos, sino también un medio para resolver asuntos relacionados con el desequilibrio económico del contrato.</w:t>
            </w:r>
          </w:p>
          <w:p w14:paraId="2A80FF98" w14:textId="47C6A1BC" w:rsidR="0080580F" w:rsidRPr="001941FD" w:rsidRDefault="0080580F">
            <w:pPr>
              <w:spacing w:line="276" w:lineRule="auto"/>
              <w:ind w:right="51" w:firstLine="737"/>
              <w:jc w:val="both"/>
              <w:rPr>
                <w:rFonts w:ascii="Verdana" w:eastAsia="Calibri" w:hAnsi="Verdana" w:cs="Arial"/>
                <w:bCs/>
                <w:color w:val="000000" w:themeColor="text1"/>
              </w:rPr>
            </w:pPr>
            <w:r w:rsidRPr="00F740F0">
              <w:rPr>
                <w:rStyle w:val="s15"/>
                <w:rFonts w:ascii="Verdana" w:hAnsi="Verdana"/>
                <w:color w:val="000000"/>
              </w:rPr>
              <w:t>Al margen de la explicación precedente</w:t>
            </w:r>
            <w:r>
              <w:rPr>
                <w:rStyle w:val="s15"/>
                <w:rFonts w:ascii="Verdana" w:hAnsi="Verdana"/>
                <w:color w:val="000000"/>
              </w:rPr>
              <w:t>,</w:t>
            </w:r>
            <w:r w:rsidRPr="00F740F0">
              <w:rPr>
                <w:rStyle w:val="s15"/>
                <w:rFonts w:ascii="Verdana" w:hAnsi="Verdana"/>
                <w:color w:val="000000"/>
              </w:rPr>
              <w:t xml:space="preserve"> debe advertirse que el análisis requerido para resolver problemas específicos en torno a los reconocimientos económicos derivados del desequilibrio en el contrato debe ser realizado por quienes tengan interés en ello, de acuerdo con lo explicado la aclaración preliminar del presente oficio</w:t>
            </w:r>
            <w:r w:rsidRPr="00007D0A">
              <w:rPr>
                <w:rStyle w:val="s15"/>
                <w:rFonts w:ascii="Verdana" w:hAnsi="Verdana"/>
                <w:color w:val="000000"/>
              </w:rPr>
              <w:t xml:space="preserve">. </w:t>
            </w:r>
            <w:r w:rsidRPr="001A39AD">
              <w:rPr>
                <w:rFonts w:ascii="Verdana" w:hAnsi="Verdana"/>
                <w:bCs/>
                <w:color w:val="000000"/>
              </w:rPr>
              <w:t xml:space="preserve">Por lo anterior, previo concepto de sus </w:t>
            </w:r>
            <w:r w:rsidR="00452C77" w:rsidRPr="001A39AD">
              <w:rPr>
                <w:rFonts w:ascii="Verdana" w:hAnsi="Verdana"/>
                <w:bCs/>
                <w:color w:val="000000"/>
              </w:rPr>
              <w:t>asesores</w:t>
            </w:r>
            <w:r w:rsidR="00B3683D">
              <w:rPr>
                <w:rFonts w:ascii="Verdana" w:hAnsi="Verdana"/>
                <w:bCs/>
                <w:color w:val="000000"/>
              </w:rPr>
              <w:t>,</w:t>
            </w:r>
            <w:r w:rsidRPr="001A39AD">
              <w:rPr>
                <w:rFonts w:ascii="Verdana" w:hAnsi="Verdana"/>
                <w:bCs/>
                <w:color w:val="000000"/>
              </w:rPr>
              <w:t xml:space="preserve"> corresponde a las partes del contrato definir tanto la procedencia de los ajustes contractuales frente a la actualización del</w:t>
            </w:r>
            <w:r>
              <w:rPr>
                <w:rFonts w:ascii="Verdana" w:hAnsi="Verdana"/>
                <w:bCs/>
                <w:color w:val="000000"/>
              </w:rPr>
              <w:t xml:space="preserve"> IPC y/o el</w:t>
            </w:r>
            <w:r w:rsidRPr="001A39AD">
              <w:rPr>
                <w:rFonts w:ascii="Verdana" w:hAnsi="Verdana"/>
                <w:bCs/>
                <w:color w:val="000000"/>
              </w:rPr>
              <w:t xml:space="preserve"> salario mínimo legal mensual vigente como la forma de </w:t>
            </w:r>
            <w:proofErr w:type="spellStart"/>
            <w:r w:rsidRPr="001A39AD">
              <w:rPr>
                <w:rFonts w:ascii="Verdana" w:hAnsi="Verdana"/>
                <w:bCs/>
                <w:color w:val="000000"/>
              </w:rPr>
              <w:t>viabilizarlo</w:t>
            </w:r>
            <w:proofErr w:type="spellEnd"/>
            <w:r w:rsidRPr="001A39AD">
              <w:rPr>
                <w:rFonts w:ascii="Verdana" w:hAnsi="Verdana"/>
                <w:bCs/>
                <w:color w:val="000000"/>
              </w:rPr>
              <w:t xml:space="preserve"> jurídicamente; motivo por el cual, en caso de conflicto, intervendrán las autoridades judiciales, fiscales y disciplinarias</w:t>
            </w:r>
            <w:r w:rsidRPr="00007D0A">
              <w:rPr>
                <w:rStyle w:val="s15"/>
                <w:rFonts w:ascii="Verdana" w:hAnsi="Verdana"/>
                <w:color w:val="000000"/>
              </w:rPr>
              <w:t>. Así, cada entidad definirá la forma de adelantar su gestión contractual, sin que sea atribución de Colombia Compra Eficiente validar sus actuaciones.</w:t>
            </w:r>
          </w:p>
        </w:tc>
      </w:tr>
    </w:tbl>
    <w:p w14:paraId="1D15C943" w14:textId="77777777" w:rsidR="0080580F" w:rsidRPr="00593A5F" w:rsidRDefault="0080580F" w:rsidP="0080580F">
      <w:pPr>
        <w:tabs>
          <w:tab w:val="left" w:pos="142"/>
          <w:tab w:val="left" w:pos="284"/>
        </w:tabs>
        <w:spacing w:after="0" w:line="276" w:lineRule="auto"/>
        <w:jc w:val="both"/>
        <w:rPr>
          <w:rFonts w:ascii="Verdana" w:eastAsia="Century Gothic" w:hAnsi="Verdana" w:cs="Century Gothic"/>
          <w:b/>
          <w:bCs/>
          <w:lang w:val="es-ES"/>
        </w:rPr>
      </w:pPr>
    </w:p>
    <w:bookmarkEnd w:id="1"/>
    <w:p w14:paraId="67D6D326" w14:textId="77777777" w:rsidR="0080580F" w:rsidRPr="00593A5F" w:rsidRDefault="0080580F" w:rsidP="0080580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76F4168" w14:textId="77777777" w:rsidR="0080580F" w:rsidRPr="00593A5F" w:rsidRDefault="0080580F" w:rsidP="0080580F">
      <w:pPr>
        <w:spacing w:after="0" w:line="276" w:lineRule="auto"/>
        <w:jc w:val="both"/>
        <w:rPr>
          <w:rFonts w:ascii="Verdana" w:eastAsia="Calibri" w:hAnsi="Verdana" w:cs="Arial"/>
          <w:color w:val="7030A0"/>
          <w:lang w:val="es-ES"/>
        </w:rPr>
      </w:pPr>
    </w:p>
    <w:p w14:paraId="422CFC23" w14:textId="77777777" w:rsidR="0080580F" w:rsidRDefault="0080580F" w:rsidP="0080580F">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52D19DE2" w14:textId="77777777" w:rsidR="0080580F" w:rsidRPr="00415608" w:rsidRDefault="0080580F" w:rsidP="0080580F">
      <w:pPr>
        <w:spacing w:after="0" w:line="276" w:lineRule="auto"/>
        <w:jc w:val="both"/>
        <w:rPr>
          <w:rFonts w:ascii="Verdana" w:eastAsia="Calibri" w:hAnsi="Verdana" w:cs="Arial"/>
          <w:lang w:val="es-ES"/>
        </w:rPr>
      </w:pPr>
    </w:p>
    <w:p w14:paraId="4EA2D8C4" w14:textId="77777777" w:rsidR="0080580F" w:rsidRPr="00364005" w:rsidRDefault="0080580F" w:rsidP="0080580F">
      <w:pPr>
        <w:spacing w:after="120" w:line="276" w:lineRule="auto"/>
        <w:jc w:val="both"/>
        <w:textAlignment w:val="baseline"/>
        <w:rPr>
          <w:rFonts w:ascii="Verdana" w:hAnsi="Verdana" w:cs="Arial"/>
          <w:lang w:val="es-ES" w:eastAsia="es-CO"/>
        </w:rPr>
      </w:pPr>
      <w:r w:rsidRPr="00364005">
        <w:rPr>
          <w:rFonts w:ascii="Verdana" w:hAnsi="Verdana" w:cs="Arial"/>
          <w:lang w:val="es-ES" w:eastAsia="es-ES"/>
        </w:rPr>
        <w:t xml:space="preserve">i. </w:t>
      </w:r>
      <w:r w:rsidRPr="00364005">
        <w:rPr>
          <w:rFonts w:ascii="Verdana" w:hAnsi="Verdana" w:cs="Arial"/>
          <w:lang w:val="es-ES" w:eastAsia="es-CO"/>
        </w:rPr>
        <w:t>La Real Academia de la Lengua Española – RAE define el riesgo como “1. m. Contingencia o proximidad de un daño. 2. m. Cada una de las contingencias que pueden ser objeto de un contrato de seguro”. La literatura internacional define el riesgo en las adquisiciones como los eventos que pueden afectar la realización de la ejecución contractual y cuya ocurrencia no puede ser predicha de manera exacta por las partes involucradas en el Proceso de Contratación</w:t>
      </w:r>
      <w:r w:rsidRPr="00364005">
        <w:rPr>
          <w:rStyle w:val="Refdenotaalpie"/>
          <w:rFonts w:ascii="Verdana" w:hAnsi="Verdana" w:cs="Arial"/>
          <w:lang w:val="es-ES" w:eastAsia="es-CO"/>
        </w:rPr>
        <w:footnoteReference w:id="1"/>
      </w:r>
      <w:r w:rsidRPr="00364005">
        <w:rPr>
          <w:rFonts w:ascii="Verdana" w:hAnsi="Verdana" w:cs="Arial"/>
          <w:lang w:val="es-ES" w:eastAsia="es-CO"/>
        </w:rPr>
        <w:t>.</w:t>
      </w:r>
    </w:p>
    <w:p w14:paraId="5862C619" w14:textId="77777777" w:rsidR="0080580F" w:rsidRDefault="0080580F" w:rsidP="0080580F">
      <w:pPr>
        <w:spacing w:after="0" w:line="276" w:lineRule="auto"/>
        <w:ind w:firstLine="708"/>
        <w:jc w:val="both"/>
        <w:textAlignment w:val="baseline"/>
        <w:rPr>
          <w:rFonts w:ascii="Verdana" w:hAnsi="Verdana" w:cs="Arial"/>
          <w:lang w:val="es-ES" w:eastAsia="es-CO"/>
        </w:rPr>
      </w:pPr>
      <w:r w:rsidRPr="00364005">
        <w:rPr>
          <w:rFonts w:ascii="Verdana" w:hAnsi="Verdana" w:cs="Arial"/>
          <w:lang w:val="es-ES" w:eastAsia="es-CO"/>
        </w:rPr>
        <w:t>Tratándose de la normativa que regula lo relativo a los riesgos, el Decreto 423 de 2001</w:t>
      </w:r>
      <w:r>
        <w:rPr>
          <w:rFonts w:ascii="Verdana" w:hAnsi="Verdana" w:cs="Arial"/>
          <w:lang w:val="es-ES" w:eastAsia="es-CO"/>
        </w:rPr>
        <w:t>,</w:t>
      </w:r>
      <w:r w:rsidRPr="00364005">
        <w:rPr>
          <w:rFonts w:ascii="Verdana" w:hAnsi="Verdana" w:cs="Arial"/>
          <w:lang w:val="es-ES" w:eastAsia="es-CO"/>
        </w:rPr>
        <w:t xml:space="preserve"> por medio del cual se reglamentó parcialmente la Ley 488 de 1998 –compilado actualmente en el Decreto 1068 de 2015–</w:t>
      </w:r>
      <w:r>
        <w:rPr>
          <w:rFonts w:ascii="Verdana" w:hAnsi="Verdana" w:cs="Arial"/>
          <w:lang w:val="es-ES" w:eastAsia="es-CO"/>
        </w:rPr>
        <w:t>,</w:t>
      </w:r>
      <w:r w:rsidRPr="00364005">
        <w:rPr>
          <w:rFonts w:ascii="Verdana" w:hAnsi="Verdana" w:cs="Arial"/>
          <w:lang w:val="es-ES" w:eastAsia="es-CO"/>
        </w:rPr>
        <w:t xml:space="preserve"> estableció que el Consejo de Política Económica y Social orientaría la política de riesgo contractual del Estado a partir del principio en relación con el cual corresponde a las entidades estatales asumir los riesgos propios de su carácter público y del objeto social para el que fueron creadas o autorizadas, y a los contratistas aquellos relacionados con su objeto. Los artículos 14 y 15 del mencionado Decreto establecen:</w:t>
      </w:r>
    </w:p>
    <w:p w14:paraId="60568053" w14:textId="77777777" w:rsidR="0080580F" w:rsidRPr="00364005" w:rsidRDefault="0080580F" w:rsidP="0080580F">
      <w:pPr>
        <w:spacing w:after="0" w:line="276" w:lineRule="auto"/>
        <w:ind w:firstLine="708"/>
        <w:jc w:val="both"/>
        <w:textAlignment w:val="baseline"/>
        <w:rPr>
          <w:rFonts w:ascii="Verdana" w:hAnsi="Verdana" w:cs="Arial"/>
          <w:lang w:val="es-ES" w:eastAsia="es-CO"/>
        </w:rPr>
      </w:pPr>
    </w:p>
    <w:p w14:paraId="7185E8C9" w14:textId="77777777" w:rsidR="0080580F" w:rsidRPr="00364005" w:rsidRDefault="0080580F" w:rsidP="0080580F">
      <w:pPr>
        <w:pStyle w:val="NormalWeb"/>
        <w:shd w:val="clear" w:color="auto" w:fill="FFFFFF"/>
        <w:spacing w:before="0" w:beforeAutospacing="0" w:after="120" w:afterAutospacing="0"/>
        <w:ind w:left="709" w:right="709"/>
        <w:jc w:val="both"/>
        <w:rPr>
          <w:rFonts w:ascii="Verdana" w:hAnsi="Verdana" w:cs="Arial"/>
          <w:sz w:val="20"/>
          <w:szCs w:val="20"/>
        </w:rPr>
      </w:pPr>
      <w:r w:rsidRPr="00364005">
        <w:rPr>
          <w:rFonts w:ascii="Verdana" w:hAnsi="Verdana" w:cs="Arial"/>
          <w:sz w:val="20"/>
          <w:szCs w:val="20"/>
        </w:rPr>
        <w:t>“Artículo 15. De la política de riesgo contractual del Estado. Las entidades estatales sometidas al régimen aquí previsto, deberán ajustarse a la política de riesgo contractual del Estado, conformada por los principios, pautas e instrucciones que determine el Gobierno Nacional, para la estipulación de obligaciones contingentes a su cargo.</w:t>
      </w:r>
    </w:p>
    <w:p w14:paraId="394051CB" w14:textId="77777777" w:rsidR="0080580F" w:rsidRPr="00364005" w:rsidRDefault="0080580F" w:rsidP="0080580F">
      <w:pPr>
        <w:pStyle w:val="NormalWeb"/>
        <w:shd w:val="clear" w:color="auto" w:fill="FFFFFF"/>
        <w:spacing w:before="0" w:beforeAutospacing="0" w:after="0" w:afterAutospacing="0"/>
        <w:ind w:left="709" w:right="709"/>
        <w:jc w:val="both"/>
        <w:rPr>
          <w:rFonts w:ascii="Verdana" w:hAnsi="Verdana" w:cs="Arial"/>
          <w:sz w:val="20"/>
          <w:szCs w:val="20"/>
        </w:rPr>
      </w:pPr>
      <w:r w:rsidRPr="00364005">
        <w:rPr>
          <w:rFonts w:ascii="Verdana" w:hAnsi="Verdana" w:cs="Arial"/>
          <w:sz w:val="20"/>
          <w:szCs w:val="20"/>
        </w:rPr>
        <w:t xml:space="preserve">Artículo 16. Del diseño de la política de riesgo contractual del Estado. El Consejo de Política Económica y Social, </w:t>
      </w:r>
      <w:r>
        <w:rPr>
          <w:rFonts w:ascii="Verdana" w:hAnsi="Verdana" w:cs="Arial"/>
          <w:sz w:val="20"/>
          <w:szCs w:val="20"/>
        </w:rPr>
        <w:t>CONPES</w:t>
      </w:r>
      <w:r w:rsidRPr="00364005">
        <w:rPr>
          <w:rFonts w:ascii="Verdana" w:hAnsi="Verdana" w:cs="Arial"/>
          <w:sz w:val="20"/>
          <w:szCs w:val="20"/>
        </w:rPr>
        <w:t>, orientará la política de riesgo contractual del Estado a partir del principio de que corresponde a las entidades estatales asumir los riesgos propios de su carácter público y del objeto social para el que fueron creadas o autorizadas, y a los contratistas aquéllos determinados por el lucro que constituye el objeto principal de su actividad”.</w:t>
      </w:r>
    </w:p>
    <w:p w14:paraId="738EAC70" w14:textId="77777777" w:rsidR="0080580F" w:rsidRPr="00364005" w:rsidRDefault="0080580F" w:rsidP="0080580F">
      <w:pPr>
        <w:pStyle w:val="NormalWeb"/>
        <w:shd w:val="clear" w:color="auto" w:fill="FFFFFF"/>
        <w:spacing w:before="0" w:beforeAutospacing="0" w:after="0" w:afterAutospacing="0" w:line="276" w:lineRule="auto"/>
        <w:ind w:left="709" w:right="709"/>
        <w:jc w:val="both"/>
        <w:rPr>
          <w:rFonts w:ascii="Verdana" w:hAnsi="Verdana" w:cs="Arial"/>
          <w:sz w:val="22"/>
          <w:szCs w:val="22"/>
        </w:rPr>
      </w:pPr>
    </w:p>
    <w:p w14:paraId="437A40C5" w14:textId="77777777" w:rsidR="0080580F" w:rsidRPr="00364005" w:rsidRDefault="0080580F" w:rsidP="0080580F">
      <w:pPr>
        <w:spacing w:after="0" w:line="276" w:lineRule="auto"/>
        <w:ind w:firstLine="705"/>
        <w:jc w:val="both"/>
        <w:textAlignment w:val="baseline"/>
        <w:rPr>
          <w:rFonts w:ascii="Verdana" w:hAnsi="Verdana" w:cs="Arial"/>
          <w:lang w:val="es-ES" w:eastAsia="es-CO"/>
        </w:rPr>
      </w:pPr>
      <w:r w:rsidRPr="00364005">
        <w:rPr>
          <w:rFonts w:ascii="Verdana" w:hAnsi="Verdana" w:cs="Arial"/>
          <w:lang w:val="es-ES" w:eastAsia="es-CO"/>
        </w:rPr>
        <w:t xml:space="preserve">Por su parte, la Ley 1150 de 2007 pretendía que durante la planeación de los procesos de contratación las entidades estatales estimaran de forma anticipada las posibles eventualidades que puedan generarse durante la ejecución del contrato. En tal sentido, la exposición de motivos del proyecto de ley, “Por medio de la cual se modifica la Ley 80 de 1993, Estatuto General de Contratación de la Administración Pública”, hoy Ley 1150 de 2007 explicó que:  </w:t>
      </w:r>
    </w:p>
    <w:p w14:paraId="4413979D" w14:textId="77777777" w:rsidR="0080580F" w:rsidRPr="00233727" w:rsidRDefault="0080580F" w:rsidP="0080580F">
      <w:pPr>
        <w:spacing w:after="0" w:line="276" w:lineRule="auto"/>
        <w:ind w:firstLine="705"/>
        <w:jc w:val="both"/>
        <w:textAlignment w:val="baseline"/>
        <w:rPr>
          <w:rFonts w:ascii="Verdana" w:hAnsi="Verdana" w:cs="Arial"/>
          <w:lang w:val="es-ES" w:eastAsia="es-CO"/>
        </w:rPr>
      </w:pPr>
    </w:p>
    <w:p w14:paraId="3EAC37E7" w14:textId="77777777" w:rsidR="0080580F" w:rsidRPr="00364005" w:rsidRDefault="0080580F" w:rsidP="0080580F">
      <w:pPr>
        <w:spacing w:after="0" w:line="240" w:lineRule="auto"/>
        <w:ind w:left="709" w:right="709"/>
        <w:jc w:val="both"/>
        <w:textAlignment w:val="baseline"/>
        <w:rPr>
          <w:rFonts w:ascii="Verdana" w:hAnsi="Verdana" w:cs="Arial"/>
          <w:sz w:val="20"/>
          <w:szCs w:val="20"/>
          <w:lang w:eastAsia="es-CO"/>
        </w:rPr>
      </w:pPr>
      <w:r w:rsidRPr="00364005">
        <w:rPr>
          <w:rFonts w:ascii="Verdana" w:hAnsi="Verdana" w:cs="Arial"/>
          <w:sz w:val="20"/>
          <w:szCs w:val="20"/>
          <w:lang w:eastAsia="es-CO"/>
        </w:rPr>
        <w:t xml:space="preserve">“En ese panorama y no obstante el tamaño e impacto del gasto que se ejecuta por medio de contratos, se aprecia la ausencia de instrumentos legales que permitan la optimización y el uso eficiente de los recursos públicos involucrados en la contratación. De esta forma, el proyecto que se presenta busca orientar a las entidades hacia el fortalecimiento de los procesos de planeación permitiendo la estimación anticipada de las contingencias que puedan producirse en su ejecución, el diseño de procesos adecuados a la naturaleza de los diferentes objetos contractuales, la utilización de mecanismos de contratación que permitan el aprovechamiento de economías de escala, la incorporación de probados mecanismos para </w:t>
      </w:r>
      <w:r>
        <w:rPr>
          <w:rFonts w:ascii="Verdana" w:hAnsi="Verdana" w:cs="Arial"/>
          <w:sz w:val="20"/>
          <w:szCs w:val="20"/>
          <w:lang w:eastAsia="es-CO"/>
        </w:rPr>
        <w:t>‘</w:t>
      </w:r>
      <w:r w:rsidRPr="00364005">
        <w:rPr>
          <w:rFonts w:ascii="Verdana" w:hAnsi="Verdana" w:cs="Arial"/>
          <w:sz w:val="20"/>
          <w:szCs w:val="20"/>
          <w:lang w:eastAsia="es-CO"/>
        </w:rPr>
        <w:t>extraer valor</w:t>
      </w:r>
      <w:r>
        <w:rPr>
          <w:rFonts w:ascii="Verdana" w:hAnsi="Verdana" w:cs="Arial"/>
          <w:sz w:val="20"/>
          <w:szCs w:val="20"/>
          <w:lang w:eastAsia="es-CO"/>
        </w:rPr>
        <w:t>’</w:t>
      </w:r>
      <w:r w:rsidRPr="00364005">
        <w:rPr>
          <w:rFonts w:ascii="Verdana" w:hAnsi="Verdana" w:cs="Arial"/>
          <w:sz w:val="20"/>
          <w:szCs w:val="20"/>
          <w:lang w:eastAsia="es-CO"/>
        </w:rPr>
        <w:t xml:space="preserve"> el proceso contractual (subastas, compra por catálogo, uso de bolsas de productos) y el establecimiento de indicadores para evaluar la utilización eficiente de los recursos (administrativos y presupuestales) involucrados en la ejecución contractual”</w:t>
      </w:r>
      <w:r w:rsidRPr="00364005">
        <w:rPr>
          <w:rStyle w:val="Refdenotaalpie"/>
          <w:rFonts w:ascii="Verdana" w:hAnsi="Verdana" w:cs="Arial"/>
          <w:sz w:val="20"/>
          <w:szCs w:val="20"/>
          <w:lang w:eastAsia="es-CO"/>
        </w:rPr>
        <w:t xml:space="preserve"> </w:t>
      </w:r>
      <w:r w:rsidRPr="00364005">
        <w:rPr>
          <w:rStyle w:val="Refdenotaalpie"/>
          <w:rFonts w:ascii="Verdana" w:hAnsi="Verdana" w:cs="Arial"/>
          <w:sz w:val="20"/>
          <w:szCs w:val="20"/>
          <w:lang w:eastAsia="es-CO"/>
        </w:rPr>
        <w:footnoteReference w:id="2"/>
      </w:r>
      <w:r>
        <w:rPr>
          <w:rFonts w:ascii="Verdana" w:hAnsi="Verdana" w:cs="Arial"/>
          <w:sz w:val="20"/>
          <w:szCs w:val="20"/>
          <w:lang w:eastAsia="es-CO"/>
        </w:rPr>
        <w:t>.</w:t>
      </w:r>
    </w:p>
    <w:p w14:paraId="6FE978E6" w14:textId="77777777" w:rsidR="0080580F" w:rsidRPr="00233727" w:rsidRDefault="0080580F" w:rsidP="0080580F">
      <w:pPr>
        <w:spacing w:after="0" w:line="276" w:lineRule="auto"/>
        <w:ind w:left="709" w:right="709"/>
        <w:jc w:val="both"/>
        <w:textAlignment w:val="baseline"/>
        <w:rPr>
          <w:rFonts w:ascii="Verdana" w:hAnsi="Verdana" w:cs="Arial"/>
          <w:lang w:eastAsia="es-CO"/>
        </w:rPr>
      </w:pPr>
    </w:p>
    <w:p w14:paraId="6AD0038B" w14:textId="77777777" w:rsidR="0080580F" w:rsidRDefault="0080580F" w:rsidP="0080580F">
      <w:pPr>
        <w:spacing w:after="0" w:line="276" w:lineRule="auto"/>
        <w:ind w:firstLine="705"/>
        <w:jc w:val="both"/>
        <w:textAlignment w:val="baseline"/>
        <w:rPr>
          <w:rFonts w:ascii="Verdana" w:hAnsi="Verdana" w:cs="Arial"/>
          <w:lang w:val="es-ES" w:eastAsia="es-CO"/>
        </w:rPr>
      </w:pPr>
      <w:r w:rsidRPr="00364005">
        <w:rPr>
          <w:rFonts w:ascii="Verdana" w:hAnsi="Verdana" w:cs="Arial"/>
          <w:lang w:val="es-ES" w:eastAsia="es-CO"/>
        </w:rPr>
        <w:t>Como resultado de la promulgación de la Ley 1150 de 2007, en relación con los riesgos, el artículo 4 obliga a las entidades estatales a estimar, tipificar y asignar los riesgos previsibles involucrados en la contratación dentro de los pliegos de condiciones o en sus equivalentes. El mencionado artículo establece:</w:t>
      </w:r>
    </w:p>
    <w:p w14:paraId="4924CC3A" w14:textId="77777777" w:rsidR="0080580F" w:rsidRPr="00364005" w:rsidRDefault="0080580F" w:rsidP="0080580F">
      <w:pPr>
        <w:spacing w:after="0" w:line="276" w:lineRule="auto"/>
        <w:ind w:firstLine="705"/>
        <w:jc w:val="both"/>
        <w:textAlignment w:val="baseline"/>
        <w:rPr>
          <w:rFonts w:ascii="Verdana" w:hAnsi="Verdana" w:cs="Arial"/>
          <w:lang w:val="es-ES" w:eastAsia="es-CO"/>
        </w:rPr>
      </w:pPr>
    </w:p>
    <w:p w14:paraId="23BBBA18" w14:textId="77777777" w:rsidR="0080580F" w:rsidRPr="00233727" w:rsidRDefault="0080580F" w:rsidP="0080580F">
      <w:pPr>
        <w:pStyle w:val="NormalWeb"/>
        <w:spacing w:before="0" w:beforeAutospacing="0" w:after="120" w:afterAutospacing="0"/>
        <w:ind w:left="709" w:right="709"/>
        <w:jc w:val="both"/>
        <w:rPr>
          <w:rFonts w:ascii="Verdana" w:hAnsi="Verdana" w:cs="Arial"/>
          <w:sz w:val="20"/>
          <w:szCs w:val="20"/>
        </w:rPr>
      </w:pPr>
      <w:bookmarkStart w:id="2" w:name="4"/>
      <w:r w:rsidRPr="00233727">
        <w:rPr>
          <w:rFonts w:ascii="Verdana" w:hAnsi="Verdana" w:cs="Arial"/>
          <w:sz w:val="20"/>
          <w:szCs w:val="20"/>
        </w:rPr>
        <w:t>“Artículo 4. De la distribución de riesgos en los contratos estatales.</w:t>
      </w:r>
      <w:bookmarkEnd w:id="2"/>
      <w:r w:rsidRPr="00233727">
        <w:rPr>
          <w:rFonts w:ascii="Verdana" w:hAnsi="Verdana" w:cs="Arial"/>
          <w:sz w:val="20"/>
          <w:szCs w:val="20"/>
        </w:rPr>
        <w:t> Los pliegos de condiciones o sus equivalentes deberán incluir la estimación, tipificación y asignación de los riesgos previsibles involucrados en la contratación.</w:t>
      </w:r>
    </w:p>
    <w:p w14:paraId="73DEE935" w14:textId="77777777" w:rsidR="0080580F" w:rsidRPr="00233727" w:rsidRDefault="0080580F" w:rsidP="0080580F">
      <w:pPr>
        <w:pStyle w:val="NormalWeb"/>
        <w:spacing w:before="0" w:beforeAutospacing="0" w:after="0" w:afterAutospacing="0"/>
        <w:ind w:left="709" w:right="709"/>
        <w:jc w:val="both"/>
        <w:rPr>
          <w:rFonts w:ascii="Verdana" w:hAnsi="Verdana" w:cs="Arial"/>
          <w:sz w:val="20"/>
          <w:szCs w:val="20"/>
        </w:rPr>
      </w:pPr>
      <w:r w:rsidRPr="00233727">
        <w:rPr>
          <w:rFonts w:ascii="Verdana" w:hAnsi="Verdana" w:cs="Arial"/>
          <w:sz w:val="20"/>
          <w:szCs w:val="20"/>
        </w:rPr>
        <w:t>En las licitaciones públicas, los pliegos de condiciones de las entidades estatales deberán señalar el momento en el que, con anterioridad a la presentación de las ofertas, los oferentes y la entidad revisarán la asignación de riesgos con el fin de establecer su distribución definitiva”.</w:t>
      </w:r>
    </w:p>
    <w:p w14:paraId="49A582D3" w14:textId="77777777" w:rsidR="0080580F" w:rsidRDefault="0080580F" w:rsidP="0080580F">
      <w:pPr>
        <w:spacing w:after="0" w:line="276" w:lineRule="auto"/>
        <w:ind w:firstLine="705"/>
        <w:jc w:val="both"/>
        <w:textAlignment w:val="baseline"/>
        <w:rPr>
          <w:rFonts w:ascii="Verdana" w:hAnsi="Verdana" w:cs="Arial"/>
          <w:lang w:val="es-ES" w:eastAsia="es-CO"/>
        </w:rPr>
      </w:pPr>
    </w:p>
    <w:p w14:paraId="6D98BA22" w14:textId="77777777" w:rsidR="0080580F" w:rsidRPr="00364005" w:rsidRDefault="0080580F" w:rsidP="0080580F">
      <w:pPr>
        <w:spacing w:after="0" w:line="276" w:lineRule="auto"/>
        <w:ind w:firstLine="705"/>
        <w:jc w:val="both"/>
        <w:textAlignment w:val="baseline"/>
        <w:rPr>
          <w:rFonts w:ascii="Verdana" w:hAnsi="Verdana" w:cs="Arial"/>
          <w:lang w:val="es-ES" w:eastAsia="es-CO"/>
        </w:rPr>
      </w:pPr>
      <w:r w:rsidRPr="00364005">
        <w:rPr>
          <w:rFonts w:ascii="Verdana" w:hAnsi="Verdana" w:cs="Arial"/>
          <w:lang w:val="es-ES" w:eastAsia="es-CO"/>
        </w:rPr>
        <w:t xml:space="preserve">Posteriormente, con la expedición del CONPES 3107 de 2011 se establecieron lineamientos en materia de “Política de Manejo de Riesgo Contractual del Estado para Procesos de Participación Privada en Infraestructura” para la adecuada estructuración de proyectos y la asignación de riesgos en los procesos de contratación que se desarrollen en los sectores de transporte, energía, comunicaciones y agua potable y saneamiento básico. De tal forma, estableció que en la medida que “una asignación adecuada de los riesgos minimiza el costo de su mitigación” es necesario que los riesgos sean </w:t>
      </w:r>
      <w:r w:rsidRPr="00364005">
        <w:rPr>
          <w:rFonts w:ascii="Verdana" w:hAnsi="Verdana" w:cs="Arial"/>
          <w:lang w:val="es-ES" w:eastAsia="es-CO"/>
        </w:rPr>
        <w:lastRenderedPageBreak/>
        <w:t>asumidos por quién mejor los controla en la relación contractual, lo que implica que sean asignados e identificados correctamente. Así, al definir el concepto de riesgo determinó:</w:t>
      </w:r>
    </w:p>
    <w:p w14:paraId="17299042" w14:textId="77777777" w:rsidR="0080580F" w:rsidRPr="00364005" w:rsidRDefault="0080580F" w:rsidP="0080580F">
      <w:pPr>
        <w:spacing w:after="0"/>
        <w:ind w:left="705" w:right="786"/>
        <w:jc w:val="both"/>
        <w:textAlignment w:val="baseline"/>
        <w:rPr>
          <w:rFonts w:ascii="Verdana" w:hAnsi="Verdana" w:cs="Arial"/>
          <w:sz w:val="21"/>
          <w:szCs w:val="21"/>
          <w:lang w:eastAsia="es-CO"/>
        </w:rPr>
      </w:pPr>
    </w:p>
    <w:p w14:paraId="308FE8A7" w14:textId="77777777" w:rsidR="0080580F" w:rsidRPr="00233727" w:rsidRDefault="0080580F" w:rsidP="0080580F">
      <w:pPr>
        <w:spacing w:after="0" w:line="240" w:lineRule="auto"/>
        <w:ind w:left="705" w:right="786"/>
        <w:jc w:val="both"/>
        <w:textAlignment w:val="baseline"/>
        <w:rPr>
          <w:rFonts w:ascii="Verdana" w:hAnsi="Verdana" w:cs="Segoe UI Historic"/>
          <w:sz w:val="20"/>
          <w:szCs w:val="20"/>
          <w:lang w:eastAsia="es-CO"/>
        </w:rPr>
      </w:pPr>
      <w:r w:rsidRPr="00233727">
        <w:rPr>
          <w:rFonts w:ascii="Verdana" w:hAnsi="Verdana" w:cs="Arial"/>
          <w:sz w:val="20"/>
          <w:szCs w:val="20"/>
          <w:lang w:eastAsia="es-CO"/>
        </w:rPr>
        <w:t>“Los riesgos de un proyecto se refieren a los diferentes factores que pueden hacer que no se cumplan los resultados previstos y los respectivos flujos esperados. Para determinar cuáles son los riesgos asociados a un proyecto se debe identificar las principales variables que determinan estos flujos. El concepto de riesgo en proyectos de infraestructura se puede definir como la probabilidad de ocurrencia de eventos aleatorios que afecten el desarrollo del mismo, generando una variación sobre el resultado esperado, tanto en relación con los costos como con los ingresos</w:t>
      </w:r>
      <w:r w:rsidRPr="00233727">
        <w:rPr>
          <w:rFonts w:ascii="Verdana" w:hAnsi="Verdana" w:cs="Segoe UI Historic"/>
          <w:sz w:val="20"/>
          <w:szCs w:val="20"/>
          <w:lang w:eastAsia="es-CO"/>
        </w:rPr>
        <w:t>”</w:t>
      </w:r>
      <w:r>
        <w:rPr>
          <w:rFonts w:ascii="Verdana" w:hAnsi="Verdana" w:cs="Segoe UI Historic"/>
          <w:sz w:val="20"/>
          <w:szCs w:val="20"/>
          <w:lang w:eastAsia="es-CO"/>
        </w:rPr>
        <w:t>.</w:t>
      </w:r>
    </w:p>
    <w:p w14:paraId="1BDD1CBF" w14:textId="77777777" w:rsidR="0080580F" w:rsidRPr="00364005" w:rsidRDefault="0080580F" w:rsidP="0080580F">
      <w:pPr>
        <w:spacing w:after="0"/>
        <w:ind w:left="705" w:right="786"/>
        <w:jc w:val="both"/>
        <w:textAlignment w:val="baseline"/>
        <w:rPr>
          <w:rFonts w:ascii="Verdana" w:hAnsi="Verdana" w:cs="Segoe UI Historic"/>
          <w:sz w:val="21"/>
          <w:szCs w:val="21"/>
          <w:lang w:eastAsia="es-CO"/>
        </w:rPr>
      </w:pPr>
    </w:p>
    <w:p w14:paraId="0CA48935" w14:textId="77777777" w:rsidR="0080580F" w:rsidRPr="00364005" w:rsidRDefault="0080580F" w:rsidP="0080580F">
      <w:pPr>
        <w:spacing w:after="120" w:line="276" w:lineRule="auto"/>
        <w:ind w:firstLine="703"/>
        <w:jc w:val="both"/>
        <w:textAlignment w:val="baseline"/>
        <w:rPr>
          <w:rFonts w:ascii="Verdana" w:hAnsi="Verdana" w:cs="Arial"/>
          <w:lang w:val="es-ES" w:eastAsia="es-CO"/>
        </w:rPr>
      </w:pPr>
      <w:bookmarkStart w:id="3" w:name="_Hlk108627685"/>
      <w:r w:rsidRPr="00364005">
        <w:rPr>
          <w:rFonts w:ascii="Verdana" w:hAnsi="Verdana" w:cs="Arial"/>
          <w:lang w:val="es-ES" w:eastAsia="es-CO"/>
        </w:rPr>
        <w:t>Sumado a lo anterior, el CONPES 3107 de 2011 consagra la importancia de realizar un análisis de información que permita determinar la asignación del riesgo basado en información confiable y de calidad, pues “con información de mejor calidad, la percepción de riesgo es menor y se pueden adoptar las medidas para controlar la incidencia de las fuentes de riesgo”, establecer mecanismos de mitigación del impacto y cobertura, instrumentos de protección, así como determinar su asignación a los distintos participes del negocio jurídico</w:t>
      </w:r>
      <w:bookmarkEnd w:id="3"/>
      <w:r w:rsidRPr="00364005">
        <w:rPr>
          <w:rFonts w:ascii="Verdana" w:hAnsi="Verdana" w:cs="Arial"/>
          <w:lang w:val="es-ES" w:eastAsia="es-CO"/>
        </w:rPr>
        <w:t xml:space="preserve">. </w:t>
      </w:r>
    </w:p>
    <w:p w14:paraId="1F30641D" w14:textId="77777777" w:rsidR="0080580F" w:rsidRPr="00364005" w:rsidRDefault="0080580F" w:rsidP="0080580F">
      <w:pPr>
        <w:spacing w:after="0" w:line="276" w:lineRule="auto"/>
        <w:ind w:firstLine="705"/>
        <w:jc w:val="both"/>
        <w:textAlignment w:val="baseline"/>
        <w:rPr>
          <w:rFonts w:ascii="Verdana" w:hAnsi="Verdana" w:cs="Arial"/>
          <w:lang w:val="es-ES" w:eastAsia="es-CO"/>
        </w:rPr>
      </w:pPr>
      <w:bookmarkStart w:id="4" w:name="_Hlk108627718"/>
      <w:r w:rsidRPr="00364005">
        <w:rPr>
          <w:rFonts w:ascii="Verdana" w:hAnsi="Verdana" w:cs="Arial"/>
          <w:lang w:val="es-ES" w:eastAsia="es-CO"/>
        </w:rPr>
        <w:t xml:space="preserve">En la misma línea, el CONPES 3714 de 2011, definió lineamientos para el entendimiento del concepto de “riesgo previsible” en el marco de los procesos de selección sometidos al Estatuto General de Contratación de la Administración Pública, con el fin de “convertirse en una herramienta para el mejoramiento continuo en la aplicación de la normativa existente; buscar el establecimiento de reglas claras frente a posibles alteraciones del equilibrio financiero de los contratos; generar seguridad jurídica; y, en general, sentar las bases para el fortalecimiento y la homogenización de los pasos que se surten en la etapa precontractual para el establecimiento de los riesgos previsibles de la contratación”. </w:t>
      </w:r>
      <w:bookmarkEnd w:id="4"/>
      <w:r w:rsidRPr="00364005">
        <w:rPr>
          <w:rFonts w:ascii="Verdana" w:hAnsi="Verdana" w:cs="Arial"/>
          <w:lang w:val="es-ES" w:eastAsia="es-CO"/>
        </w:rPr>
        <w:t xml:space="preserve">En tal sentido, dicho documento de política pública definió el riesgo y el riesgo previsible en el marco de la gestión contractual como: </w:t>
      </w:r>
    </w:p>
    <w:p w14:paraId="1E7D664F" w14:textId="77777777" w:rsidR="0080580F" w:rsidRPr="00233727" w:rsidRDefault="0080580F" w:rsidP="0080580F">
      <w:pPr>
        <w:spacing w:after="0" w:line="276" w:lineRule="auto"/>
        <w:ind w:firstLine="705"/>
        <w:jc w:val="both"/>
        <w:textAlignment w:val="baseline"/>
        <w:rPr>
          <w:rFonts w:ascii="Verdana" w:hAnsi="Verdana" w:cs="Arial"/>
          <w:lang w:val="es-ES" w:eastAsia="es-CO"/>
        </w:rPr>
      </w:pPr>
    </w:p>
    <w:p w14:paraId="4BCA99E6" w14:textId="77777777" w:rsidR="0080580F" w:rsidRPr="00233727" w:rsidRDefault="0080580F" w:rsidP="0080580F">
      <w:pPr>
        <w:spacing w:after="120" w:line="240" w:lineRule="auto"/>
        <w:ind w:left="703" w:right="646"/>
        <w:jc w:val="both"/>
        <w:textAlignment w:val="baseline"/>
        <w:rPr>
          <w:rFonts w:ascii="Verdana" w:hAnsi="Verdana" w:cs="Arial"/>
          <w:sz w:val="20"/>
          <w:szCs w:val="20"/>
          <w:lang w:eastAsia="es-CO"/>
        </w:rPr>
      </w:pPr>
      <w:r w:rsidRPr="00233727">
        <w:rPr>
          <w:rFonts w:ascii="Verdana" w:hAnsi="Verdana" w:cs="Arial"/>
          <w:sz w:val="20"/>
          <w:szCs w:val="20"/>
          <w:lang w:eastAsia="es-CO"/>
        </w:rPr>
        <w:t>“El riesgo contractual en general es entendido como todas aquellas circunstancias que pueden presentarse durante el desarrollo o ejecución de un contrato y que pueden alterar el equilibrio financiero del mismo y ha tenido una regulación desde cinco ópticas, asociadas con el proceso de gestión que se requiere en cada caso. […]</w:t>
      </w:r>
    </w:p>
    <w:p w14:paraId="367EE50C" w14:textId="77777777" w:rsidR="0080580F" w:rsidRPr="00233727" w:rsidRDefault="0080580F" w:rsidP="0080580F">
      <w:pPr>
        <w:spacing w:after="0" w:line="240" w:lineRule="auto"/>
        <w:ind w:left="705" w:right="644"/>
        <w:jc w:val="both"/>
        <w:textAlignment w:val="baseline"/>
        <w:rPr>
          <w:rFonts w:ascii="Verdana" w:hAnsi="Verdana" w:cs="Arial"/>
          <w:sz w:val="20"/>
          <w:szCs w:val="20"/>
          <w:lang w:eastAsia="es-CO"/>
        </w:rPr>
      </w:pPr>
      <w:r w:rsidRPr="00233727">
        <w:rPr>
          <w:rFonts w:ascii="Verdana" w:hAnsi="Verdana" w:cs="Arial"/>
          <w:sz w:val="20"/>
          <w:szCs w:val="20"/>
          <w:lang w:eastAsia="es-CO"/>
        </w:rPr>
        <w:lastRenderedPageBreak/>
        <w:t xml:space="preserve">Así, los </w:t>
      </w:r>
      <w:r>
        <w:rPr>
          <w:rFonts w:ascii="Verdana" w:hAnsi="Verdana" w:cs="Arial"/>
          <w:sz w:val="20"/>
          <w:szCs w:val="20"/>
          <w:lang w:eastAsia="es-CO"/>
        </w:rPr>
        <w:t>‘</w:t>
      </w:r>
      <w:r w:rsidRPr="00233727">
        <w:rPr>
          <w:rFonts w:ascii="Verdana" w:hAnsi="Verdana" w:cs="Arial"/>
          <w:sz w:val="20"/>
          <w:szCs w:val="20"/>
          <w:lang w:eastAsia="es-CO"/>
        </w:rPr>
        <w:t>riesgos previsibles</w:t>
      </w:r>
      <w:r>
        <w:rPr>
          <w:rFonts w:ascii="Verdana" w:hAnsi="Verdana" w:cs="Arial"/>
          <w:sz w:val="20"/>
          <w:szCs w:val="20"/>
          <w:lang w:eastAsia="es-CO"/>
        </w:rPr>
        <w:t>’</w:t>
      </w:r>
      <w:r w:rsidRPr="00233727">
        <w:rPr>
          <w:rFonts w:ascii="Verdana" w:hAnsi="Verdana" w:cs="Arial"/>
          <w:sz w:val="20"/>
          <w:szCs w:val="20"/>
          <w:lang w:eastAsia="es-CO"/>
        </w:rPr>
        <w:t>, son todas aquellas circunstancias que de presentarse durante el desarrollo y ejecución del contrato, tienen la potencialidad de alterar el equilibrio financiero del mismo, siempre que sean identificables y cuantificables en condiciones normales”</w:t>
      </w:r>
      <w:r>
        <w:rPr>
          <w:rFonts w:ascii="Verdana" w:hAnsi="Verdana" w:cs="Arial"/>
          <w:sz w:val="20"/>
          <w:szCs w:val="20"/>
          <w:lang w:eastAsia="es-CO"/>
        </w:rPr>
        <w:t>.</w:t>
      </w:r>
    </w:p>
    <w:p w14:paraId="3D25C4B1" w14:textId="77777777" w:rsidR="0080580F" w:rsidRPr="00233727" w:rsidRDefault="0080580F" w:rsidP="0080580F">
      <w:pPr>
        <w:spacing w:after="0" w:line="276" w:lineRule="auto"/>
        <w:ind w:left="705" w:right="644"/>
        <w:jc w:val="both"/>
        <w:textAlignment w:val="baseline"/>
        <w:rPr>
          <w:rFonts w:ascii="Verdana" w:hAnsi="Verdana" w:cs="Arial"/>
          <w:lang w:eastAsia="es-CO"/>
        </w:rPr>
      </w:pPr>
    </w:p>
    <w:p w14:paraId="6CF79124" w14:textId="77777777" w:rsidR="0080580F" w:rsidRPr="00364005" w:rsidRDefault="0080580F" w:rsidP="0080580F">
      <w:pPr>
        <w:spacing w:after="0"/>
        <w:ind w:firstLine="705"/>
        <w:jc w:val="both"/>
        <w:textAlignment w:val="baseline"/>
        <w:rPr>
          <w:rFonts w:ascii="Verdana" w:hAnsi="Verdana" w:cs="Arial"/>
          <w:lang w:val="es-ES" w:eastAsia="es-CO"/>
        </w:rPr>
      </w:pPr>
      <w:r w:rsidRPr="00364005">
        <w:rPr>
          <w:rFonts w:ascii="Verdana" w:hAnsi="Verdana" w:cs="Arial"/>
          <w:lang w:val="es-ES" w:eastAsia="es-CO"/>
        </w:rPr>
        <w:t>Por su parte, el Decreto 1082 de 2015 reiteró, en los siguientes términos, la obligación que tienen las entidades estatales de tipificar, estimar y asignar los riesgos previsibles que surjan durante la ejecución contractual dentro del pliego de condiciones</w:t>
      </w:r>
      <w:r w:rsidRPr="00364005">
        <w:rPr>
          <w:rStyle w:val="Refdenotaalpie"/>
          <w:rFonts w:ascii="Verdana" w:hAnsi="Verdana" w:cs="Arial"/>
          <w:lang w:val="es-ES" w:eastAsia="es-CO"/>
        </w:rPr>
        <w:footnoteReference w:id="3"/>
      </w:r>
      <w:r w:rsidRPr="00364005">
        <w:rPr>
          <w:rFonts w:ascii="Verdana" w:hAnsi="Verdana" w:cs="Arial"/>
          <w:lang w:val="es-ES" w:eastAsia="es-CO"/>
        </w:rPr>
        <w:t>:</w:t>
      </w:r>
    </w:p>
    <w:p w14:paraId="7087FFEC" w14:textId="77777777" w:rsidR="0080580F" w:rsidRPr="00364005" w:rsidRDefault="0080580F" w:rsidP="0080580F">
      <w:pPr>
        <w:spacing w:after="0"/>
        <w:ind w:firstLine="705"/>
        <w:jc w:val="both"/>
        <w:textAlignment w:val="baseline"/>
        <w:rPr>
          <w:rFonts w:ascii="Verdana" w:hAnsi="Verdana" w:cs="Arial"/>
          <w:lang w:val="es-ES" w:eastAsia="es-CO"/>
        </w:rPr>
      </w:pPr>
    </w:p>
    <w:p w14:paraId="2C71E584" w14:textId="77777777" w:rsidR="0080580F" w:rsidRPr="006A03FC" w:rsidRDefault="0080580F" w:rsidP="0080580F">
      <w:pPr>
        <w:spacing w:after="0" w:line="240" w:lineRule="auto"/>
        <w:ind w:left="709" w:right="709"/>
        <w:jc w:val="both"/>
        <w:textAlignment w:val="baseline"/>
        <w:rPr>
          <w:rFonts w:ascii="Verdana" w:hAnsi="Verdana" w:cs="Arial"/>
          <w:sz w:val="20"/>
          <w:szCs w:val="20"/>
          <w:lang w:eastAsia="es-CO"/>
        </w:rPr>
      </w:pPr>
      <w:r w:rsidRPr="006A03FC">
        <w:rPr>
          <w:rFonts w:ascii="Verdana" w:hAnsi="Verdana" w:cs="Arial"/>
          <w:sz w:val="20"/>
          <w:szCs w:val="20"/>
          <w:lang w:eastAsia="es-CO"/>
        </w:rPr>
        <w:t>“Artículo 2.2.1.1.2.1.3. Pliegos de condiciones. Los pliegos de condiciones deben contener por lo menos la siguiente información: </w:t>
      </w:r>
    </w:p>
    <w:p w14:paraId="287EB845" w14:textId="77777777" w:rsidR="0080580F" w:rsidRPr="006A03FC" w:rsidRDefault="0080580F" w:rsidP="0080580F">
      <w:pPr>
        <w:spacing w:after="120" w:line="240" w:lineRule="auto"/>
        <w:ind w:left="709" w:right="709"/>
        <w:jc w:val="both"/>
        <w:textAlignment w:val="baseline"/>
        <w:rPr>
          <w:rFonts w:ascii="Verdana" w:hAnsi="Verdana" w:cs="Arial"/>
          <w:sz w:val="20"/>
          <w:szCs w:val="20"/>
          <w:lang w:eastAsia="es-CO"/>
        </w:rPr>
      </w:pPr>
      <w:r>
        <w:rPr>
          <w:rFonts w:ascii="Verdana" w:hAnsi="Verdana" w:cs="Arial"/>
          <w:sz w:val="20"/>
          <w:szCs w:val="20"/>
          <w:lang w:eastAsia="es-CO"/>
        </w:rPr>
        <w:t>[</w:t>
      </w:r>
      <w:r w:rsidRPr="006A03FC">
        <w:rPr>
          <w:rFonts w:ascii="Verdana" w:hAnsi="Verdana" w:cs="Arial"/>
          <w:sz w:val="20"/>
          <w:szCs w:val="20"/>
          <w:lang w:eastAsia="es-CO"/>
        </w:rPr>
        <w:t>…</w:t>
      </w:r>
      <w:r>
        <w:rPr>
          <w:rFonts w:ascii="Verdana" w:hAnsi="Verdana" w:cs="Arial"/>
          <w:sz w:val="20"/>
          <w:szCs w:val="20"/>
          <w:lang w:eastAsia="es-CO"/>
        </w:rPr>
        <w:t>]</w:t>
      </w:r>
      <w:r w:rsidRPr="006A03FC">
        <w:rPr>
          <w:rFonts w:ascii="Verdana" w:hAnsi="Verdana" w:cs="Arial"/>
          <w:sz w:val="20"/>
          <w:szCs w:val="20"/>
          <w:lang w:eastAsia="es-CO"/>
        </w:rPr>
        <w:t> </w:t>
      </w:r>
    </w:p>
    <w:p w14:paraId="206FF534" w14:textId="77777777" w:rsidR="0080580F" w:rsidRPr="006A03FC" w:rsidRDefault="0080580F" w:rsidP="0080580F">
      <w:pPr>
        <w:spacing w:after="0" w:line="240" w:lineRule="auto"/>
        <w:ind w:left="709" w:right="709"/>
        <w:jc w:val="both"/>
        <w:textAlignment w:val="baseline"/>
        <w:rPr>
          <w:rFonts w:ascii="Verdana" w:hAnsi="Verdana" w:cs="Arial"/>
          <w:sz w:val="20"/>
          <w:szCs w:val="20"/>
          <w:lang w:eastAsia="es-CO"/>
        </w:rPr>
      </w:pPr>
      <w:r w:rsidRPr="006A03FC">
        <w:rPr>
          <w:rFonts w:ascii="Verdana" w:hAnsi="Verdana" w:cs="Arial"/>
          <w:sz w:val="20"/>
          <w:szCs w:val="20"/>
          <w:lang w:eastAsia="es-CO"/>
        </w:rPr>
        <w:t>8. Los Riesgos asociados al contrato, la forma de mitigarlos y la asignación del Riesgo entre las partes contratantes”</w:t>
      </w:r>
      <w:r>
        <w:rPr>
          <w:rFonts w:ascii="Verdana" w:hAnsi="Verdana" w:cs="Arial"/>
          <w:sz w:val="20"/>
          <w:szCs w:val="20"/>
          <w:lang w:eastAsia="es-CO"/>
        </w:rPr>
        <w:t>.</w:t>
      </w:r>
    </w:p>
    <w:p w14:paraId="021E7FF8" w14:textId="77777777" w:rsidR="0080580F" w:rsidRPr="00364005" w:rsidRDefault="0080580F" w:rsidP="0080580F">
      <w:pPr>
        <w:spacing w:after="0"/>
        <w:ind w:left="709" w:right="709"/>
        <w:jc w:val="both"/>
        <w:textAlignment w:val="baseline"/>
        <w:rPr>
          <w:rFonts w:ascii="Verdana" w:hAnsi="Verdana" w:cs="Arial"/>
          <w:sz w:val="21"/>
          <w:szCs w:val="21"/>
          <w:lang w:eastAsia="es-CO"/>
        </w:rPr>
      </w:pPr>
      <w:r w:rsidRPr="00364005">
        <w:rPr>
          <w:rFonts w:ascii="Verdana" w:hAnsi="Verdana"/>
          <w:lang w:eastAsia="es-CO"/>
        </w:rPr>
        <w:t> </w:t>
      </w:r>
    </w:p>
    <w:p w14:paraId="672009C9" w14:textId="77777777" w:rsidR="0080580F" w:rsidRPr="00364005" w:rsidRDefault="0080580F" w:rsidP="0080580F">
      <w:pPr>
        <w:spacing w:line="276" w:lineRule="auto"/>
        <w:ind w:firstLine="705"/>
        <w:jc w:val="both"/>
        <w:textAlignment w:val="baseline"/>
        <w:rPr>
          <w:rFonts w:ascii="Verdana" w:hAnsi="Verdana" w:cs="Arial"/>
          <w:lang w:val="es-ES" w:eastAsia="es-CO"/>
        </w:rPr>
      </w:pPr>
      <w:r w:rsidRPr="00364005">
        <w:rPr>
          <w:rFonts w:ascii="Verdana" w:hAnsi="Verdana" w:cs="Arial"/>
          <w:lang w:val="es-ES" w:eastAsia="es-CO"/>
        </w:rPr>
        <w:t>En suma, desde la Ley 1150 de 2007 y conforme los decretos reglamentarios de la contratación estatal, se establecieron obligaciones de estimación de riesgos durante la etapa de planeación. Por un lado, por parte de las entidades estatales quienes deben tipificarlos, estimarlos y asignarlos en los pliegos de condiciones, y por otro, los participantes del proceso de selección quienes deberán valorarlos y complementarlos en virtud del deber de colaboración con la administración pública en la construcción de los documentos definitivos, dada su experticia, especialidad y conocimientos. En tal sentido, ellos podrán pronunciarse frente a este contenido de los pliegos de condiciones mediante la presentación de observaciones a los proyectos de pliegos de condiciones y a los pliegos de condiciones definitivos, sin perjuicio de que en los procesos de licitación pública sea obligatoria realizar una audiencia de asignación de riesgos –art. 4 de la Ley 1150 de 2007, artículo 30, numeral 4, de la Ley 80 de 1993 y artículo 2.2.1.2.1.1.2. del Decreto 1082 de 2015–.</w:t>
      </w:r>
    </w:p>
    <w:p w14:paraId="532442CE" w14:textId="77777777" w:rsidR="0080580F" w:rsidRPr="00364005" w:rsidRDefault="0080580F" w:rsidP="0080580F">
      <w:pPr>
        <w:spacing w:after="0" w:line="276" w:lineRule="auto"/>
        <w:ind w:firstLine="705"/>
        <w:jc w:val="both"/>
        <w:textAlignment w:val="baseline"/>
        <w:rPr>
          <w:rFonts w:ascii="Verdana" w:hAnsi="Verdana" w:cs="Arial"/>
          <w:lang w:val="es-ES" w:eastAsia="es-CO"/>
        </w:rPr>
      </w:pPr>
      <w:r w:rsidRPr="00364005">
        <w:rPr>
          <w:rFonts w:ascii="Verdana" w:hAnsi="Verdana" w:cs="Arial"/>
          <w:lang w:val="es-ES"/>
        </w:rPr>
        <w:t>La Agencia Nacional de Contratación Pública – Colombia Compra Eficiente expidió el “Manual para la identificación y cobertura del Riesgo en los Procesos de Contratación”</w:t>
      </w:r>
      <w:r w:rsidRPr="00364005">
        <w:rPr>
          <w:rStyle w:val="Refdenotaalpie"/>
          <w:rFonts w:ascii="Verdana" w:hAnsi="Verdana" w:cs="Arial"/>
          <w:lang w:val="es-ES"/>
        </w:rPr>
        <w:footnoteReference w:id="4"/>
      </w:r>
      <w:r w:rsidRPr="00364005">
        <w:rPr>
          <w:rFonts w:ascii="Verdana" w:hAnsi="Verdana" w:cs="Arial"/>
          <w:lang w:val="es-ES"/>
        </w:rPr>
        <w:t xml:space="preserve">, y </w:t>
      </w:r>
      <w:r w:rsidRPr="00364005">
        <w:rPr>
          <w:rFonts w:ascii="Verdana" w:hAnsi="Verdana" w:cs="Arial"/>
          <w:lang w:val="es-ES" w:eastAsia="es-CO"/>
        </w:rPr>
        <w:t xml:space="preserve">establece que, para administrar los riesgos en los procesos </w:t>
      </w:r>
      <w:r w:rsidRPr="00364005">
        <w:rPr>
          <w:rFonts w:ascii="Verdana" w:hAnsi="Verdana" w:cs="Arial"/>
          <w:lang w:val="es-ES" w:eastAsia="es-CO"/>
        </w:rPr>
        <w:lastRenderedPageBreak/>
        <w:t xml:space="preserve">de contratación del Estado, deben seguirse los siguientes pasos, los cuales coinciden con la organización y/o estructuración del manual en comento: </w:t>
      </w:r>
    </w:p>
    <w:p w14:paraId="3123C110" w14:textId="77777777" w:rsidR="0080580F" w:rsidRPr="00364005" w:rsidRDefault="0080580F" w:rsidP="0080580F">
      <w:pPr>
        <w:spacing w:after="0" w:line="276" w:lineRule="auto"/>
        <w:ind w:firstLine="705"/>
        <w:jc w:val="both"/>
        <w:textAlignment w:val="baseline"/>
        <w:rPr>
          <w:rFonts w:ascii="Verdana" w:hAnsi="Verdana" w:cs="Arial"/>
          <w:lang w:val="es-ES" w:eastAsia="es-CO"/>
        </w:rPr>
      </w:pPr>
    </w:p>
    <w:p w14:paraId="43B24FB0" w14:textId="77777777" w:rsidR="0080580F" w:rsidRPr="006A03FC" w:rsidRDefault="0080580F" w:rsidP="0080580F">
      <w:pPr>
        <w:pStyle w:val="Prrafodelista"/>
        <w:numPr>
          <w:ilvl w:val="0"/>
          <w:numId w:val="18"/>
        </w:numPr>
        <w:spacing w:after="0" w:line="240" w:lineRule="auto"/>
        <w:ind w:left="1134" w:right="709" w:hanging="425"/>
        <w:jc w:val="both"/>
        <w:textAlignment w:val="baseline"/>
        <w:rPr>
          <w:rFonts w:ascii="Verdana" w:hAnsi="Verdana" w:cs="Arial"/>
          <w:sz w:val="20"/>
          <w:szCs w:val="20"/>
          <w:lang w:eastAsia="es-CO"/>
        </w:rPr>
      </w:pPr>
      <w:r w:rsidRPr="006A03FC">
        <w:rPr>
          <w:rFonts w:ascii="Verdana" w:hAnsi="Verdana" w:cs="Arial"/>
          <w:sz w:val="20"/>
          <w:szCs w:val="20"/>
          <w:lang w:eastAsia="es-CO"/>
        </w:rPr>
        <w:t>Establecer el contexto en el cual se adelanta el Proceso de Contratación.  </w:t>
      </w:r>
    </w:p>
    <w:p w14:paraId="2AA7FAB7" w14:textId="77777777" w:rsidR="0080580F" w:rsidRPr="006A03FC" w:rsidRDefault="0080580F" w:rsidP="0080580F">
      <w:pPr>
        <w:pStyle w:val="Prrafodelista"/>
        <w:numPr>
          <w:ilvl w:val="0"/>
          <w:numId w:val="18"/>
        </w:numPr>
        <w:spacing w:after="0" w:line="240" w:lineRule="auto"/>
        <w:ind w:left="1134" w:right="709" w:hanging="425"/>
        <w:jc w:val="both"/>
        <w:textAlignment w:val="baseline"/>
        <w:rPr>
          <w:rFonts w:ascii="Verdana" w:hAnsi="Verdana" w:cs="Arial"/>
          <w:sz w:val="20"/>
          <w:szCs w:val="20"/>
          <w:lang w:eastAsia="es-CO"/>
        </w:rPr>
      </w:pPr>
      <w:r w:rsidRPr="006A03FC">
        <w:rPr>
          <w:rFonts w:ascii="Verdana" w:hAnsi="Verdana" w:cs="Arial"/>
          <w:sz w:val="20"/>
          <w:szCs w:val="20"/>
          <w:lang w:eastAsia="es-CO"/>
        </w:rPr>
        <w:t>Identificar y clasificar los Riesgos del Proceso de Contratación.  </w:t>
      </w:r>
    </w:p>
    <w:p w14:paraId="094A07EA" w14:textId="77777777" w:rsidR="0080580F" w:rsidRPr="006A03FC" w:rsidRDefault="0080580F" w:rsidP="0080580F">
      <w:pPr>
        <w:pStyle w:val="Prrafodelista"/>
        <w:numPr>
          <w:ilvl w:val="0"/>
          <w:numId w:val="18"/>
        </w:numPr>
        <w:spacing w:after="0" w:line="240" w:lineRule="auto"/>
        <w:ind w:left="1134" w:right="709" w:hanging="425"/>
        <w:jc w:val="both"/>
        <w:textAlignment w:val="baseline"/>
        <w:rPr>
          <w:rFonts w:ascii="Verdana" w:hAnsi="Verdana" w:cs="Arial"/>
          <w:sz w:val="20"/>
          <w:szCs w:val="20"/>
          <w:lang w:eastAsia="es-CO"/>
        </w:rPr>
      </w:pPr>
      <w:r w:rsidRPr="006A03FC">
        <w:rPr>
          <w:rFonts w:ascii="Verdana" w:hAnsi="Verdana" w:cs="Arial"/>
          <w:sz w:val="20"/>
          <w:szCs w:val="20"/>
          <w:lang w:eastAsia="es-CO"/>
        </w:rPr>
        <w:t>Evaluar, calificar y estimar los riesgos  </w:t>
      </w:r>
    </w:p>
    <w:p w14:paraId="781E4FC8" w14:textId="77777777" w:rsidR="0080580F" w:rsidRPr="006A03FC" w:rsidRDefault="0080580F" w:rsidP="0080580F">
      <w:pPr>
        <w:pStyle w:val="Prrafodelista"/>
        <w:numPr>
          <w:ilvl w:val="0"/>
          <w:numId w:val="18"/>
        </w:numPr>
        <w:spacing w:after="0" w:line="240" w:lineRule="auto"/>
        <w:ind w:left="1134" w:right="709" w:hanging="425"/>
        <w:jc w:val="both"/>
        <w:textAlignment w:val="baseline"/>
        <w:rPr>
          <w:rFonts w:ascii="Verdana" w:hAnsi="Verdana" w:cs="Arial"/>
          <w:sz w:val="20"/>
          <w:szCs w:val="20"/>
          <w:lang w:eastAsia="es-CO"/>
        </w:rPr>
      </w:pPr>
      <w:r w:rsidRPr="006A03FC">
        <w:rPr>
          <w:rFonts w:ascii="Verdana" w:hAnsi="Verdana" w:cs="Arial"/>
          <w:sz w:val="20"/>
          <w:szCs w:val="20"/>
          <w:lang w:eastAsia="es-CO"/>
        </w:rPr>
        <w:t>Asignar y tratar los Riesgos.  </w:t>
      </w:r>
    </w:p>
    <w:p w14:paraId="3DE79934" w14:textId="77777777" w:rsidR="0080580F" w:rsidRPr="006A03FC" w:rsidRDefault="0080580F" w:rsidP="0080580F">
      <w:pPr>
        <w:pStyle w:val="Prrafodelista"/>
        <w:numPr>
          <w:ilvl w:val="0"/>
          <w:numId w:val="18"/>
        </w:numPr>
        <w:spacing w:after="0" w:line="240" w:lineRule="auto"/>
        <w:ind w:left="1134" w:right="709" w:hanging="425"/>
        <w:jc w:val="both"/>
        <w:textAlignment w:val="baseline"/>
        <w:rPr>
          <w:rFonts w:ascii="Verdana" w:hAnsi="Verdana" w:cs="Arial"/>
          <w:sz w:val="20"/>
          <w:szCs w:val="20"/>
          <w:lang w:eastAsia="es-CO"/>
        </w:rPr>
      </w:pPr>
      <w:r w:rsidRPr="006A03FC">
        <w:rPr>
          <w:rFonts w:ascii="Verdana" w:hAnsi="Verdana" w:cs="Arial"/>
          <w:sz w:val="20"/>
          <w:szCs w:val="20"/>
          <w:lang w:eastAsia="es-CO"/>
        </w:rPr>
        <w:t>Monitorear y revisar la gestión de los Riesgos. </w:t>
      </w:r>
    </w:p>
    <w:p w14:paraId="78ED28CB" w14:textId="77777777" w:rsidR="0080580F" w:rsidRPr="00364005" w:rsidRDefault="0080580F" w:rsidP="0080580F">
      <w:pPr>
        <w:pStyle w:val="Prrafodelista"/>
        <w:spacing w:after="0" w:line="276" w:lineRule="auto"/>
        <w:ind w:left="1065"/>
        <w:jc w:val="both"/>
        <w:textAlignment w:val="baseline"/>
        <w:rPr>
          <w:rFonts w:ascii="Verdana" w:hAnsi="Verdana" w:cs="Arial"/>
          <w:lang w:eastAsia="es-CO"/>
        </w:rPr>
      </w:pPr>
    </w:p>
    <w:p w14:paraId="3D42E9D5" w14:textId="77777777" w:rsidR="0080580F" w:rsidRPr="00364005" w:rsidRDefault="0080580F" w:rsidP="0080580F">
      <w:pPr>
        <w:spacing w:after="120" w:line="276" w:lineRule="auto"/>
        <w:ind w:firstLine="705"/>
        <w:jc w:val="both"/>
        <w:textAlignment w:val="baseline"/>
        <w:rPr>
          <w:rFonts w:ascii="Verdana" w:hAnsi="Verdana" w:cs="Arial"/>
          <w:lang w:val="es-ES" w:eastAsia="es-CO"/>
        </w:rPr>
      </w:pPr>
      <w:r w:rsidRPr="00364005">
        <w:rPr>
          <w:rFonts w:ascii="Verdana" w:hAnsi="Verdana" w:cs="Arial"/>
          <w:lang w:val="es-ES" w:eastAsia="es-CO"/>
        </w:rPr>
        <w:t>Así las cosas, para establecer el contexto del Proceso de Contratación, se debe tener en cuenta el objeto, las experiencias pasadas, las condiciones sociales y económicas, el sector, entre otras. Posteriormente se deben identificar y clasificar los riesgos comúnmente asociados y los propios del proceso de contratación. Una vez identificados los riesgos, se recomienda establecer acciones o actividades específicas para responder a cada uno ellos, para lo cual, se sugiere en el Manual, “preparar un plan de tratamiento para documentar cómo se enfrenta cada uno de los Riesgos (ver matriz), incluyendo acciones, cronogramas, recursos (personal, información) y presupuesto, responsabilidades, necesidades de informes y reportes y de monitoreo”. Por último, cuando el manual establece que las entidades estatales deben realizar un monitoreo constante en la medida que los riesgos no son estáticos, hace referencia a que deben monitorear y hacer seguimiento el plan de tratamiento con el fin de identificar los posibles impactos generados por cambios en las circunstancias internas y externas</w:t>
      </w:r>
      <w:r w:rsidRPr="00364005">
        <w:rPr>
          <w:rStyle w:val="Refdenotaalpie"/>
          <w:rFonts w:ascii="Verdana" w:hAnsi="Verdana" w:cs="Arial"/>
          <w:lang w:val="es-ES" w:eastAsia="es-CO"/>
        </w:rPr>
        <w:footnoteReference w:id="5"/>
      </w:r>
      <w:r w:rsidRPr="00364005">
        <w:rPr>
          <w:rFonts w:ascii="Verdana" w:hAnsi="Verdana" w:cs="Arial"/>
          <w:lang w:val="es-ES" w:eastAsia="es-CO"/>
        </w:rPr>
        <w:t>.</w:t>
      </w:r>
    </w:p>
    <w:p w14:paraId="4B117468" w14:textId="77777777" w:rsidR="0080580F" w:rsidRDefault="0080580F" w:rsidP="0080580F">
      <w:pPr>
        <w:spacing w:after="0" w:line="276" w:lineRule="auto"/>
        <w:ind w:firstLine="705"/>
        <w:jc w:val="both"/>
        <w:textAlignment w:val="baseline"/>
        <w:rPr>
          <w:rFonts w:ascii="Verdana" w:hAnsi="Verdana" w:cs="Arial"/>
          <w:lang w:val="es-ES" w:eastAsia="es-CO"/>
        </w:rPr>
      </w:pPr>
      <w:r w:rsidRPr="00364005">
        <w:rPr>
          <w:rFonts w:ascii="Verdana" w:hAnsi="Verdana" w:cs="Arial"/>
          <w:lang w:val="es-ES" w:eastAsia="es-CO"/>
        </w:rPr>
        <w:t xml:space="preserve">En dicho manual, la Agencia de Contratación </w:t>
      </w:r>
      <w:r w:rsidRPr="00364005">
        <w:rPr>
          <w:rFonts w:ascii="Verdana" w:hAnsi="Verdana" w:cs="Arial"/>
          <w:lang w:val="es-ES"/>
        </w:rPr>
        <w:t xml:space="preserve">Pública – Colombia Compra Eficiente, recomendó a las entidades incluir una matriz de riesgos en los que se incluya todos los riesgos identificados en el proceso contractual y con ello reducir la </w:t>
      </w:r>
      <w:r w:rsidRPr="00364005">
        <w:rPr>
          <w:rFonts w:ascii="Verdana" w:hAnsi="Verdana" w:cs="Arial"/>
          <w:lang w:val="es-ES" w:eastAsia="es-CO"/>
        </w:rPr>
        <w:t>exposición del proceso de contratación frente a los diferentes riesgos que se puedan presentar, por ejemplo, la identificación de:</w:t>
      </w:r>
    </w:p>
    <w:p w14:paraId="77ABA66D" w14:textId="77777777" w:rsidR="0080580F" w:rsidRPr="006A03FC" w:rsidRDefault="0080580F" w:rsidP="0080580F">
      <w:pPr>
        <w:spacing w:after="0" w:line="276" w:lineRule="auto"/>
        <w:ind w:firstLine="705"/>
        <w:jc w:val="both"/>
        <w:textAlignment w:val="baseline"/>
        <w:rPr>
          <w:rFonts w:ascii="Verdana" w:hAnsi="Verdana" w:cs="Arial"/>
          <w:lang w:val="es-ES" w:eastAsia="es-CO"/>
        </w:rPr>
      </w:pPr>
    </w:p>
    <w:p w14:paraId="0F1C8BFA" w14:textId="77777777" w:rsidR="0080580F" w:rsidRPr="00DE15E9" w:rsidRDefault="0080580F" w:rsidP="0080580F">
      <w:pPr>
        <w:autoSpaceDE w:val="0"/>
        <w:autoSpaceDN w:val="0"/>
        <w:adjustRightInd w:val="0"/>
        <w:spacing w:after="0" w:line="240" w:lineRule="auto"/>
        <w:ind w:left="709" w:right="709"/>
        <w:jc w:val="both"/>
        <w:rPr>
          <w:rFonts w:ascii="Verdana" w:hAnsi="Verdana" w:cs="Arial"/>
          <w:sz w:val="20"/>
          <w:szCs w:val="20"/>
        </w:rPr>
      </w:pPr>
      <w:r w:rsidRPr="00DE15E9">
        <w:rPr>
          <w:rFonts w:ascii="Verdana" w:hAnsi="Verdana" w:cs="Arial"/>
          <w:sz w:val="20"/>
          <w:szCs w:val="20"/>
        </w:rPr>
        <w:lastRenderedPageBreak/>
        <w:t>“(a) los eventos que impidan la adjudicación y firma del contrato como resultado del Proceso de Contratación; (b) los eventos que alteren la ejecución del contrato; (c) el equilibrio económico del contrato; (d) la eficacia del Proceso de Contratación, es decir, que la Entidad Estatal pueda satisfacer la necesidad que motivó el Proceso de Contratación; y (e) la reputación y legitimidad de la Entidad Estatal encargada de prestar el bien o servicio</w:t>
      </w:r>
      <w:r w:rsidRPr="00DE15E9">
        <w:rPr>
          <w:rStyle w:val="Refdenotaalpie"/>
          <w:rFonts w:ascii="Verdana" w:hAnsi="Verdana" w:cs="Arial"/>
          <w:sz w:val="20"/>
          <w:szCs w:val="20"/>
        </w:rPr>
        <w:footnoteReference w:id="6"/>
      </w:r>
      <w:r w:rsidRPr="00DE15E9">
        <w:rPr>
          <w:rFonts w:ascii="Verdana" w:hAnsi="Verdana" w:cs="Arial"/>
          <w:sz w:val="20"/>
          <w:szCs w:val="20"/>
        </w:rPr>
        <w:t>”.</w:t>
      </w:r>
    </w:p>
    <w:p w14:paraId="5532AA58" w14:textId="77777777" w:rsidR="0080580F" w:rsidRPr="006A03FC" w:rsidRDefault="0080580F" w:rsidP="0080580F">
      <w:pPr>
        <w:autoSpaceDE w:val="0"/>
        <w:autoSpaceDN w:val="0"/>
        <w:adjustRightInd w:val="0"/>
        <w:spacing w:after="0" w:line="276" w:lineRule="auto"/>
        <w:ind w:left="705"/>
        <w:jc w:val="both"/>
        <w:rPr>
          <w:rFonts w:ascii="Verdana" w:hAnsi="Verdana" w:cs="Arial"/>
        </w:rPr>
      </w:pPr>
    </w:p>
    <w:p w14:paraId="13BDD879" w14:textId="77777777" w:rsidR="0080580F" w:rsidRPr="00364005" w:rsidRDefault="0080580F" w:rsidP="0080580F">
      <w:pPr>
        <w:spacing w:after="120" w:line="276" w:lineRule="auto"/>
        <w:jc w:val="both"/>
        <w:textAlignment w:val="baseline"/>
        <w:rPr>
          <w:rFonts w:ascii="Verdana" w:hAnsi="Verdana" w:cs="Arial"/>
        </w:rPr>
      </w:pPr>
      <w:r w:rsidRPr="00364005">
        <w:rPr>
          <w:rFonts w:ascii="Verdana" w:hAnsi="Verdana" w:cs="Arial"/>
          <w:lang w:val="es-ES" w:eastAsia="es-CO"/>
        </w:rPr>
        <w:tab/>
        <w:t xml:space="preserve">Finalmente, una adecuada administración de riesgos permite: </w:t>
      </w:r>
      <w:r w:rsidRPr="00364005">
        <w:rPr>
          <w:rFonts w:ascii="Verdana" w:hAnsi="Verdana" w:cs="Arial"/>
        </w:rPr>
        <w:t>“</w:t>
      </w:r>
      <w:r w:rsidRPr="00364005">
        <w:rPr>
          <w:rFonts w:ascii="Verdana" w:hAnsi="Verdana" w:cs="Arial"/>
          <w:lang w:eastAsia="es-CO"/>
        </w:rPr>
        <w:t>(i) proporcionar un mayor nivel de certeza y conocimiento para la toma de decisiones relacionadas con el Proceso de Contratación; (</w:t>
      </w:r>
      <w:proofErr w:type="spellStart"/>
      <w:r w:rsidRPr="00364005">
        <w:rPr>
          <w:rFonts w:ascii="Verdana" w:hAnsi="Verdana" w:cs="Arial"/>
          <w:lang w:eastAsia="es-CO"/>
        </w:rPr>
        <w:t>ii</w:t>
      </w:r>
      <w:proofErr w:type="spellEnd"/>
      <w:r w:rsidRPr="00364005">
        <w:rPr>
          <w:rFonts w:ascii="Verdana" w:hAnsi="Verdana" w:cs="Arial"/>
          <w:lang w:eastAsia="es-CO"/>
        </w:rPr>
        <w:t>) mejorar la planeación de contingencias del Proceso de Contratación; (</w:t>
      </w:r>
      <w:proofErr w:type="spellStart"/>
      <w:r w:rsidRPr="00364005">
        <w:rPr>
          <w:rFonts w:ascii="Verdana" w:hAnsi="Verdana" w:cs="Arial"/>
          <w:lang w:eastAsia="es-CO"/>
        </w:rPr>
        <w:t>iii</w:t>
      </w:r>
      <w:proofErr w:type="spellEnd"/>
      <w:r w:rsidRPr="00364005">
        <w:rPr>
          <w:rFonts w:ascii="Verdana" w:hAnsi="Verdana" w:cs="Arial"/>
          <w:lang w:eastAsia="es-CO"/>
        </w:rPr>
        <w:t>) incrementar el grado de confianza entre la</w:t>
      </w:r>
      <w:r>
        <w:rPr>
          <w:rFonts w:ascii="Verdana" w:hAnsi="Verdana" w:cs="Arial"/>
          <w:lang w:eastAsia="es-CO"/>
        </w:rPr>
        <w:t>s</w:t>
      </w:r>
      <w:r w:rsidRPr="00364005">
        <w:rPr>
          <w:rFonts w:ascii="Verdana" w:hAnsi="Verdana" w:cs="Arial"/>
          <w:lang w:eastAsia="es-CO"/>
        </w:rPr>
        <w:t xml:space="preserve"> partes del Proceso de Contratación; y (</w:t>
      </w:r>
      <w:proofErr w:type="spellStart"/>
      <w:r w:rsidRPr="00364005">
        <w:rPr>
          <w:rFonts w:ascii="Verdana" w:hAnsi="Verdana" w:cs="Arial"/>
          <w:lang w:eastAsia="es-CO"/>
        </w:rPr>
        <w:t>iv</w:t>
      </w:r>
      <w:proofErr w:type="spellEnd"/>
      <w:r w:rsidRPr="00364005">
        <w:rPr>
          <w:rFonts w:ascii="Verdana" w:hAnsi="Verdana" w:cs="Arial"/>
          <w:lang w:eastAsia="es-CO"/>
        </w:rPr>
        <w:t>) reducir la posibilidad de litigios; entre otro</w:t>
      </w:r>
      <w:r>
        <w:rPr>
          <w:rFonts w:ascii="Verdana" w:hAnsi="Verdana" w:cs="Arial"/>
          <w:lang w:eastAsia="es-CO"/>
        </w:rPr>
        <w:t>s</w:t>
      </w:r>
      <w:r w:rsidRPr="00364005">
        <w:rPr>
          <w:rFonts w:ascii="Verdana" w:hAnsi="Verdana" w:cs="Arial"/>
        </w:rPr>
        <w:t>”</w:t>
      </w:r>
      <w:r w:rsidRPr="00364005">
        <w:rPr>
          <w:rStyle w:val="Refdenotaalpie"/>
          <w:rFonts w:ascii="Verdana" w:hAnsi="Verdana" w:cs="Arial"/>
        </w:rPr>
        <w:footnoteReference w:id="7"/>
      </w:r>
      <w:r w:rsidRPr="00364005">
        <w:rPr>
          <w:rFonts w:ascii="Verdana" w:hAnsi="Verdana" w:cs="Arial"/>
        </w:rPr>
        <w:t>.</w:t>
      </w:r>
    </w:p>
    <w:p w14:paraId="75266003" w14:textId="77777777" w:rsidR="0080580F" w:rsidRPr="002E2A65" w:rsidRDefault="0080580F" w:rsidP="0080580F">
      <w:pPr>
        <w:spacing w:after="0" w:line="276" w:lineRule="auto"/>
        <w:jc w:val="both"/>
        <w:textAlignment w:val="baseline"/>
        <w:rPr>
          <w:rFonts w:ascii="Verdana" w:hAnsi="Verdana" w:cs="Arial"/>
          <w:lang w:eastAsia="es-CO"/>
        </w:rPr>
      </w:pPr>
      <w:r w:rsidRPr="00364005">
        <w:rPr>
          <w:rFonts w:ascii="Verdana" w:hAnsi="Verdana" w:cs="Arial"/>
        </w:rPr>
        <w:tab/>
      </w:r>
      <w:r w:rsidRPr="00364005">
        <w:rPr>
          <w:rFonts w:ascii="Verdana" w:hAnsi="Verdana" w:cs="Arial"/>
          <w:lang w:eastAsia="es-CO"/>
        </w:rPr>
        <w:t>Ahora bien, a las entidades estatales les corresponde, en cada procedimiento de selección, establecer en el pliego de condiciones o documento equivalente la tipificación, estimación y asignación definitiva de los riesgos previsibles involucrados en el proceso de contratación. En este sentido, si bien deben tener en consideración las observaciones formuladas por los interesados al proyecto de pliego de condiciones, al pliego de condiciones definitivo y lo debatido en la audiencia de asignación de riesgos –en los procesos de licitación pública–, corresponde a cada entidad analizar y pronunciarse motivadamente frente a dichas observaciones, correspondiendo a la entidad tomar la decisión final sobre el contenido de los riesgos</w:t>
      </w:r>
      <w:r w:rsidRPr="00364005">
        <w:rPr>
          <w:rStyle w:val="Refdenotaalpie"/>
          <w:rFonts w:ascii="Verdana" w:hAnsi="Verdana" w:cs="Arial"/>
          <w:lang w:eastAsia="es-CO"/>
        </w:rPr>
        <w:footnoteReference w:id="8"/>
      </w:r>
      <w:r w:rsidRPr="00364005">
        <w:rPr>
          <w:rFonts w:ascii="Verdana" w:hAnsi="Verdana" w:cs="Arial"/>
          <w:lang w:eastAsia="es-CO"/>
        </w:rPr>
        <w:t>.</w:t>
      </w:r>
      <w:r>
        <w:rPr>
          <w:rFonts w:ascii="Verdana" w:hAnsi="Verdana" w:cs="Arial"/>
          <w:lang w:eastAsia="es-CO"/>
        </w:rPr>
        <w:t xml:space="preserve"> </w:t>
      </w:r>
      <w:r w:rsidRPr="00364005">
        <w:rPr>
          <w:rFonts w:ascii="Verdana" w:hAnsi="Verdana" w:cs="Arial"/>
          <w:lang w:val="es-ES" w:eastAsia="es-CO"/>
        </w:rPr>
        <w:t>Con fundamento en lo anterior, corresponde a cada entidad efectuar en la fase de planeación el análisis inicial de los riesgos previsibles asociados al procedimiento de selección</w:t>
      </w:r>
      <w:r>
        <w:rPr>
          <w:rFonts w:ascii="Verdana" w:hAnsi="Verdana" w:cs="Arial"/>
          <w:lang w:val="es-ES" w:eastAsia="es-CO"/>
        </w:rPr>
        <w:t>, así como la asignación de los mismo y la forma de mitigarlos</w:t>
      </w:r>
      <w:r w:rsidRPr="00364005">
        <w:rPr>
          <w:rFonts w:ascii="Verdana" w:hAnsi="Verdana" w:cs="Arial"/>
          <w:lang w:val="es-ES" w:eastAsia="es-CO"/>
        </w:rPr>
        <w:t xml:space="preserve">. </w:t>
      </w:r>
    </w:p>
    <w:p w14:paraId="5C3E4CEC" w14:textId="77777777" w:rsidR="0080580F" w:rsidRDefault="0080580F" w:rsidP="0080580F">
      <w:pPr>
        <w:spacing w:after="0" w:line="276" w:lineRule="auto"/>
        <w:jc w:val="both"/>
        <w:rPr>
          <w:rFonts w:ascii="Verdana" w:hAnsi="Verdana" w:cs="Arial"/>
          <w:lang w:val="es-ES" w:eastAsia="es-ES"/>
        </w:rPr>
      </w:pPr>
    </w:p>
    <w:p w14:paraId="5D19E0E9" w14:textId="77777777" w:rsidR="0080580F" w:rsidRPr="00104C20" w:rsidRDefault="0080580F" w:rsidP="0080580F">
      <w:pPr>
        <w:spacing w:after="0" w:line="276" w:lineRule="auto"/>
        <w:jc w:val="both"/>
        <w:rPr>
          <w:rFonts w:ascii="Verdana" w:hAnsi="Verdana" w:cs="Arial"/>
          <w:lang w:val="es-ES" w:eastAsia="es-ES"/>
        </w:rPr>
      </w:pPr>
      <w:proofErr w:type="spellStart"/>
      <w:r>
        <w:rPr>
          <w:rFonts w:ascii="Verdana" w:hAnsi="Verdana" w:cs="Arial"/>
          <w:lang w:val="es-ES" w:eastAsia="es-ES"/>
        </w:rPr>
        <w:t>ii</w:t>
      </w:r>
      <w:proofErr w:type="spellEnd"/>
      <w:r>
        <w:rPr>
          <w:rFonts w:ascii="Verdana" w:hAnsi="Verdana" w:cs="Arial"/>
          <w:lang w:val="es-ES" w:eastAsia="es-ES"/>
        </w:rPr>
        <w:t>. Por otra parte</w:t>
      </w:r>
      <w:r w:rsidRPr="2858887B">
        <w:rPr>
          <w:rFonts w:ascii="Verdana" w:hAnsi="Verdana" w:cs="Arial"/>
          <w:lang w:val="es-ES" w:eastAsia="es-ES"/>
        </w:rPr>
        <w:t xml:space="preserve">, uno de los elementos más comunes en los contratos estatales es el precio, también conocido como valor. Aunque no todo contrato lo incluye –pues también existen negocios gratuitos– lo usual es que los contratos </w:t>
      </w:r>
      <w:r w:rsidRPr="2858887B">
        <w:rPr>
          <w:rFonts w:ascii="Verdana" w:hAnsi="Verdana" w:cs="Arial"/>
          <w:lang w:val="es-ES" w:eastAsia="es-ES"/>
        </w:rPr>
        <w:lastRenderedPageBreak/>
        <w:t>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44D6290E" w14:textId="77777777" w:rsidR="0080580F" w:rsidRPr="00104C20" w:rsidRDefault="0080580F" w:rsidP="0080580F">
      <w:pPr>
        <w:spacing w:before="120" w:after="0" w:line="276" w:lineRule="auto"/>
        <w:ind w:firstLine="709"/>
        <w:jc w:val="both"/>
        <w:rPr>
          <w:rFonts w:ascii="Verdana" w:hAnsi="Verdana" w:cs="Arial"/>
          <w:lang w:val="es-ES" w:eastAsia="es-ES"/>
        </w:rPr>
      </w:pPr>
      <w:r w:rsidRPr="00104C20">
        <w:rPr>
          <w:rFonts w:ascii="Verdana" w:hAnsi="Verdana" w:cs="Arial"/>
          <w:lang w:val="es-ES" w:eastAsia="es-ES"/>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104C20">
        <w:rPr>
          <w:rFonts w:ascii="Verdana" w:hAnsi="Verdana" w:cs="Arial"/>
          <w:vertAlign w:val="superscript"/>
          <w:lang w:val="es-ES" w:eastAsia="es-ES"/>
        </w:rPr>
        <w:footnoteReference w:id="9"/>
      </w:r>
      <w:r w:rsidRPr="00104C20">
        <w:rPr>
          <w:rFonts w:ascii="Verdana" w:hAnsi="Verdana" w:cs="Arial"/>
          <w:lang w:val="es-ES" w:eastAsia="es-ES"/>
        </w:rPr>
        <w:t xml:space="preserve">.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104C20">
        <w:rPr>
          <w:rFonts w:ascii="Verdana" w:hAnsi="Verdana" w:cs="Arial"/>
          <w:lang w:val="es-ES" w:eastAsia="es-ES"/>
        </w:rPr>
        <w:t>ii</w:t>
      </w:r>
      <w:proofErr w:type="spellEnd"/>
      <w:r w:rsidRPr="00104C20">
        <w:rPr>
          <w:rFonts w:ascii="Verdana" w:hAnsi="Verdana" w:cs="Arial"/>
          <w:lang w:val="es-ES" w:eastAsia="es-ES"/>
        </w:rPr>
        <w:t xml:space="preserve">) el precio global –que equivale al monto total, sin discriminar unidades–, y </w:t>
      </w:r>
      <w:proofErr w:type="spellStart"/>
      <w:r w:rsidRPr="00104C20">
        <w:rPr>
          <w:rFonts w:ascii="Verdana" w:hAnsi="Verdana" w:cs="Arial"/>
          <w:lang w:val="es-ES" w:eastAsia="es-ES"/>
        </w:rPr>
        <w:t>iii</w:t>
      </w:r>
      <w:proofErr w:type="spellEnd"/>
      <w:r w:rsidRPr="00104C20">
        <w:rPr>
          <w:rFonts w:ascii="Verdana" w:hAnsi="Verdana" w:cs="Arial"/>
          <w:lang w:val="es-ES" w:eastAsia="es-ES"/>
        </w:rPr>
        <w:t>) la administración delegada de recursos –en la que se distinguen los costos de inversión de los honorarios del administrador–.</w:t>
      </w:r>
    </w:p>
    <w:p w14:paraId="66F1D2D4" w14:textId="77777777" w:rsidR="0080580F" w:rsidRPr="00104C20" w:rsidRDefault="0080580F" w:rsidP="0080580F">
      <w:pPr>
        <w:spacing w:before="120" w:after="0" w:line="276" w:lineRule="auto"/>
        <w:ind w:firstLine="709"/>
        <w:jc w:val="both"/>
        <w:rPr>
          <w:rFonts w:ascii="Verdana" w:hAnsi="Verdana" w:cs="Arial"/>
          <w:lang w:val="es-ES" w:eastAsia="es-ES"/>
        </w:rPr>
      </w:pPr>
      <w:r w:rsidRPr="00104C20">
        <w:rPr>
          <w:rFonts w:ascii="Verdana" w:hAnsi="Verdana" w:cs="Arial"/>
          <w:lang w:val="es-ES" w:eastAsia="es-ES"/>
        </w:rPr>
        <w:t xml:space="preserve">Pues bien, en los contratos cuyo precio se estructura a partir del sistema de precios unitarios, ha hecho parte de la práctica de los negocios que el </w:t>
      </w:r>
      <w:r w:rsidRPr="00104C20">
        <w:rPr>
          <w:rFonts w:ascii="Verdana" w:hAnsi="Verdana" w:cs="Arial"/>
          <w:lang w:val="es-ES" w:eastAsia="es-ES"/>
        </w:rPr>
        <w:lastRenderedPageBreak/>
        <w:t xml:space="preserve">contratante le solicite al potencial contratista que separe en su propuesta los </w:t>
      </w:r>
      <w:r w:rsidRPr="008335E8">
        <w:rPr>
          <w:rFonts w:ascii="Verdana" w:hAnsi="Verdana" w:cs="Arial"/>
          <w:i/>
          <w:iCs/>
          <w:lang w:val="es-ES" w:eastAsia="es-ES"/>
        </w:rPr>
        <w:t>costos directos</w:t>
      </w:r>
      <w:r w:rsidRPr="00104C20">
        <w:rPr>
          <w:rFonts w:ascii="Verdana" w:hAnsi="Verdana" w:cs="Arial"/>
          <w:lang w:val="es-ES" w:eastAsia="es-ES"/>
        </w:rPr>
        <w:t xml:space="preserve"> –es decir, los que están directamente implicados en la ejecución del objeto–, de los </w:t>
      </w:r>
      <w:r w:rsidRPr="008335E8">
        <w:rPr>
          <w:rFonts w:ascii="Verdana" w:hAnsi="Verdana" w:cs="Arial"/>
          <w:i/>
          <w:iCs/>
          <w:lang w:val="es-ES" w:eastAsia="es-ES"/>
        </w:rPr>
        <w:t>costos indirectos</w:t>
      </w:r>
      <w:r w:rsidRPr="00104C20">
        <w:rPr>
          <w:rFonts w:ascii="Verdana"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8335E8">
        <w:rPr>
          <w:rFonts w:ascii="Verdana" w:hAnsi="Verdana" w:cs="Arial"/>
          <w:i/>
          <w:iCs/>
          <w:lang w:val="es-ES" w:eastAsia="es-ES"/>
        </w:rPr>
        <w:t>costos directos</w:t>
      </w:r>
      <w:r w:rsidRPr="00104C20">
        <w:rPr>
          <w:rFonts w:ascii="Verdana" w:hAnsi="Verdana" w:cs="Arial"/>
          <w:lang w:val="es-ES" w:eastAsia="es-ES"/>
        </w:rPr>
        <w:t xml:space="preserve"> se evidencian en el análisis de precios unitarios –APU–, como la sumatoria de los valores de los </w:t>
      </w:r>
      <w:r w:rsidRPr="00104C20">
        <w:rPr>
          <w:rFonts w:ascii="Verdana" w:hAnsi="Verdana" w:cs="Arial"/>
          <w:i/>
          <w:iCs/>
          <w:lang w:val="es-ES" w:eastAsia="es-ES"/>
        </w:rPr>
        <w:t>ítems</w:t>
      </w:r>
      <w:r w:rsidRPr="00104C20">
        <w:rPr>
          <w:rFonts w:ascii="Verdana" w:hAnsi="Verdana" w:cs="Arial"/>
          <w:lang w:val="es-ES" w:eastAsia="es-ES"/>
        </w:rPr>
        <w:t xml:space="preserve"> según su unidad de medida, los </w:t>
      </w:r>
      <w:r w:rsidRPr="008335E8">
        <w:rPr>
          <w:rFonts w:ascii="Verdana" w:hAnsi="Verdana" w:cs="Arial"/>
          <w:i/>
          <w:iCs/>
          <w:lang w:val="es-ES" w:eastAsia="es-ES"/>
        </w:rPr>
        <w:t>costos indirectos</w:t>
      </w:r>
      <w:r w:rsidRPr="00104C20">
        <w:rPr>
          <w:rFonts w:ascii="Verdana" w:hAnsi="Verdana" w:cs="Arial"/>
          <w:lang w:val="es-ES" w:eastAsia="es-ES"/>
        </w:rPr>
        <w:t xml:space="preserve"> se suelen abreviar en las variables que integran el acrónimo AIU –Administración, Imprevistos y Utilidad–. </w:t>
      </w:r>
    </w:p>
    <w:p w14:paraId="6631F990" w14:textId="77777777" w:rsidR="0080580F" w:rsidRPr="00104C20" w:rsidRDefault="0080580F" w:rsidP="0080580F">
      <w:pPr>
        <w:spacing w:before="120" w:after="0" w:line="276" w:lineRule="auto"/>
        <w:ind w:firstLine="709"/>
        <w:jc w:val="both"/>
        <w:rPr>
          <w:rFonts w:ascii="Verdana" w:hAnsi="Verdana" w:cs="Arial"/>
          <w:bCs/>
          <w:szCs w:val="24"/>
          <w:lang w:eastAsia="es-ES_tradnl"/>
        </w:rPr>
      </w:pPr>
      <w:r>
        <w:rPr>
          <w:rFonts w:ascii="Verdana" w:hAnsi="Verdana" w:cs="Arial"/>
          <w:bCs/>
          <w:szCs w:val="24"/>
          <w:lang w:val="es-ES" w:eastAsia="es-ES_tradnl"/>
        </w:rPr>
        <w:t>L</w:t>
      </w:r>
      <w:r w:rsidRPr="00104C20">
        <w:rPr>
          <w:rFonts w:ascii="Verdana" w:hAnsi="Verdana" w:cs="Arial"/>
          <w:bCs/>
          <w:szCs w:val="24"/>
          <w:lang w:val="es-ES_tradnl" w:eastAsia="es-ES_tradnl"/>
        </w:rPr>
        <w:t>a jurisprudencia ha señalado que “</w:t>
      </w:r>
      <w:r>
        <w:rPr>
          <w:rFonts w:ascii="Verdana" w:hAnsi="Verdana" w:cs="Arial"/>
          <w:bCs/>
          <w:szCs w:val="24"/>
          <w:lang w:val="es-ES_tradnl" w:eastAsia="es-ES_tradnl"/>
        </w:rPr>
        <w:t xml:space="preserve">[…] </w:t>
      </w:r>
      <w:r w:rsidRPr="00104C20">
        <w:rPr>
          <w:rFonts w:ascii="Verdana" w:hAnsi="Verdana" w:cs="Arial"/>
          <w:bCs/>
          <w:szCs w:val="24"/>
          <w:lang w:eastAsia="es-ES_tradnl"/>
        </w:rPr>
        <w:t>en la conformación de dichos precios unitarios, se tienen en cuenta todos los gastos que se requieren para realizar la unidad de medida respectiva –el metro lineal, el metro cúbico, el metro cuadrado, etc.-. Y lo que comúnmente se denomina análisis de precios unitarios, corresponde a la descomposición de los mismos para determinar los costos que los conforman: la maquinaria que se utilizará, calculando el valor por el tiempo que se requiera; la mano de obra, teniendo en cuenta el costo hora-hombre, y cuántas personas se requieren para la ejecución de esa unidad de medida; la cantidad de los materiales necesarios, etc.</w:t>
      </w:r>
      <w:r w:rsidRPr="00104C20">
        <w:rPr>
          <w:rFonts w:ascii="Verdana" w:hAnsi="Verdana" w:cs="Arial"/>
          <w:bCs/>
          <w:szCs w:val="24"/>
          <w:lang w:val="es-ES_tradnl" w:eastAsia="es-ES_tradnl"/>
        </w:rPr>
        <w:t>”</w:t>
      </w:r>
      <w:r w:rsidRPr="00104C20">
        <w:rPr>
          <w:rStyle w:val="Refdenotaalpie"/>
          <w:rFonts w:ascii="Verdana" w:hAnsi="Verdana" w:cs="Arial"/>
          <w:bCs/>
          <w:szCs w:val="24"/>
          <w:lang w:val="es-ES_tradnl" w:eastAsia="es-ES_tradnl"/>
        </w:rPr>
        <w:footnoteReference w:id="10"/>
      </w:r>
      <w:r w:rsidRPr="00104C20">
        <w:rPr>
          <w:rFonts w:ascii="Verdana" w:hAnsi="Verdana" w:cs="Arial"/>
          <w:bCs/>
          <w:szCs w:val="24"/>
          <w:lang w:eastAsia="es-ES_tradnl"/>
        </w:rPr>
        <w:t>. En concordancia, la doctrina explica que en la estructuración de los precios unitarios se tendrán en cuenta todos los co</w:t>
      </w:r>
      <w:r>
        <w:rPr>
          <w:rFonts w:ascii="Verdana" w:hAnsi="Verdana" w:cs="Arial"/>
          <w:bCs/>
          <w:szCs w:val="24"/>
          <w:lang w:eastAsia="es-ES_tradnl"/>
        </w:rPr>
        <w:t>st</w:t>
      </w:r>
      <w:r w:rsidRPr="00104C20">
        <w:rPr>
          <w:rFonts w:ascii="Verdana" w:hAnsi="Verdana" w:cs="Arial"/>
          <w:bCs/>
          <w:szCs w:val="24"/>
          <w:lang w:eastAsia="es-ES_tradnl"/>
        </w:rPr>
        <w:t>os directos necesarios para la ejecución del objeto contractual que se multiplicará por al AIU, lo que determina el valor unitario:</w:t>
      </w:r>
    </w:p>
    <w:p w14:paraId="263FEE65" w14:textId="77777777" w:rsidR="0080580F" w:rsidRPr="00104C20" w:rsidRDefault="0080580F" w:rsidP="0080580F">
      <w:pPr>
        <w:spacing w:after="0" w:line="276" w:lineRule="auto"/>
        <w:ind w:firstLine="709"/>
        <w:jc w:val="both"/>
        <w:rPr>
          <w:rFonts w:ascii="Verdana" w:hAnsi="Verdana" w:cs="Arial"/>
          <w:bCs/>
          <w:szCs w:val="24"/>
          <w:lang w:eastAsia="es-ES_tradnl"/>
        </w:rPr>
      </w:pPr>
    </w:p>
    <w:p w14:paraId="7DA94D70" w14:textId="77777777" w:rsidR="0080580F" w:rsidRPr="00BC4483" w:rsidRDefault="0080580F" w:rsidP="0080580F">
      <w:pPr>
        <w:tabs>
          <w:tab w:val="left" w:pos="709"/>
        </w:tabs>
        <w:spacing w:after="120" w:line="240" w:lineRule="auto"/>
        <w:ind w:left="709" w:right="709"/>
        <w:jc w:val="both"/>
        <w:rPr>
          <w:rFonts w:ascii="Verdana" w:hAnsi="Verdana" w:cs="Arial"/>
          <w:sz w:val="20"/>
          <w:szCs w:val="20"/>
          <w:lang w:val="es-ES" w:eastAsia="es-ES"/>
        </w:rPr>
      </w:pPr>
      <w:r w:rsidRPr="00BC4483">
        <w:rPr>
          <w:rFonts w:ascii="Verdana" w:hAnsi="Verdana" w:cs="Arial"/>
          <w:sz w:val="20"/>
          <w:szCs w:val="20"/>
          <w:lang w:val="es-ES" w:eastAsia="es-ES"/>
        </w:rPr>
        <w:t>“Cada uno de los valores unitarios resultan de un análisis de los componentes requeridos para su elaboración, estudio que se denomina comúnmente ‘análisis de precios unitarios’. Así, se examinará, por ejemplo, que para la construcción de un metro cuadrado de muro se requieren 50 ladrillos, que tienen un valor de $50.000; 15 kilos de cemento, que tienen un valor de $5.000; 30 kilos de arena, que tienen un valor de $500; 5 litros de agua, que tienen un valor de 100, y la mano de obra que tiene un valor de $5.000. La sumatoria de cada uno de estos insumos básicos arroja el costo directo que debe cancelar el contratista para la construcción de un metro de muro.</w:t>
      </w:r>
    </w:p>
    <w:p w14:paraId="630CBD18" w14:textId="77777777" w:rsidR="0080580F" w:rsidRPr="00104C20" w:rsidRDefault="0080580F" w:rsidP="0080580F">
      <w:pPr>
        <w:tabs>
          <w:tab w:val="left" w:pos="709"/>
        </w:tabs>
        <w:spacing w:after="0" w:line="240" w:lineRule="auto"/>
        <w:ind w:left="709" w:right="709"/>
        <w:jc w:val="both"/>
        <w:rPr>
          <w:rFonts w:ascii="Verdana" w:hAnsi="Verdana" w:cs="Arial"/>
          <w:sz w:val="21"/>
          <w:szCs w:val="21"/>
          <w:lang w:val="es-ES_tradnl" w:eastAsia="es-ES_tradnl"/>
        </w:rPr>
      </w:pPr>
      <w:r w:rsidRPr="00BC4483">
        <w:rPr>
          <w:rFonts w:ascii="Verdana" w:hAnsi="Verdana" w:cs="Arial"/>
          <w:sz w:val="20"/>
          <w:szCs w:val="20"/>
          <w:lang w:val="es-ES_tradnl" w:eastAsia="es-ES_tradnl"/>
        </w:rPr>
        <w:t xml:space="preserve">El costo directo se multiplica por el AIU, es decir, por los gastos de administración, que incluye los gastos de personal que dirige la obra; los </w:t>
      </w:r>
      <w:r w:rsidRPr="00BC4483">
        <w:rPr>
          <w:rFonts w:ascii="Verdana" w:hAnsi="Verdana" w:cs="Arial"/>
          <w:sz w:val="20"/>
          <w:szCs w:val="20"/>
          <w:lang w:val="es-ES_tradnl" w:eastAsia="es-ES_tradnl"/>
        </w:rPr>
        <w:lastRenderedPageBreak/>
        <w:t>gastos de imprevistos, que pretende cubrir imprevistos y la utilidad. El resultado de la multiplicación anterior determina el valor unitario que deberá cancelar la entidad estatal. Dentro del valor unitario, entonces, están incorporados la totalidad de los gastos en los que incurre el contratista y la utilidad que espera recibir”</w:t>
      </w:r>
      <w:r w:rsidRPr="00BC4483">
        <w:rPr>
          <w:rStyle w:val="Refdenotaalpie"/>
          <w:rFonts w:ascii="Verdana" w:hAnsi="Verdana" w:cs="Arial"/>
          <w:sz w:val="20"/>
          <w:szCs w:val="20"/>
          <w:lang w:val="es-ES_tradnl" w:eastAsia="es-ES_tradnl"/>
        </w:rPr>
        <w:footnoteReference w:id="11"/>
      </w:r>
      <w:r w:rsidRPr="00BC4483">
        <w:rPr>
          <w:rFonts w:ascii="Verdana" w:hAnsi="Verdana" w:cs="Arial"/>
          <w:sz w:val="20"/>
          <w:szCs w:val="20"/>
          <w:lang w:val="es-ES_tradnl" w:eastAsia="es-ES_tradnl"/>
        </w:rPr>
        <w:t xml:space="preserve">. </w:t>
      </w:r>
    </w:p>
    <w:p w14:paraId="7ABF21D9" w14:textId="77777777" w:rsidR="0080580F" w:rsidRPr="00104C20" w:rsidRDefault="0080580F" w:rsidP="0080580F">
      <w:pPr>
        <w:tabs>
          <w:tab w:val="left" w:pos="709"/>
        </w:tabs>
        <w:spacing w:after="0" w:line="276" w:lineRule="auto"/>
        <w:ind w:left="709" w:right="760"/>
        <w:jc w:val="both"/>
        <w:rPr>
          <w:rFonts w:ascii="Verdana" w:hAnsi="Verdana" w:cs="Arial"/>
          <w:szCs w:val="24"/>
          <w:lang w:val="es-ES_tradnl" w:eastAsia="es-ES_tradnl"/>
        </w:rPr>
      </w:pPr>
    </w:p>
    <w:p w14:paraId="118283C3" w14:textId="77777777" w:rsidR="0080580F" w:rsidRPr="00104C20" w:rsidRDefault="0080580F" w:rsidP="0080580F">
      <w:pPr>
        <w:spacing w:after="0" w:line="276" w:lineRule="auto"/>
        <w:ind w:firstLine="709"/>
        <w:jc w:val="both"/>
        <w:rPr>
          <w:rFonts w:ascii="Verdana" w:hAnsi="Verdana" w:cs="Arial"/>
          <w:szCs w:val="24"/>
          <w:lang w:val="es-ES_tradnl" w:eastAsia="es-ES_tradnl"/>
        </w:rPr>
      </w:pPr>
      <w:r w:rsidRPr="00104C20">
        <w:rPr>
          <w:rFonts w:ascii="Verdana" w:hAnsi="Verdana" w:cs="Arial"/>
          <w:szCs w:val="24"/>
          <w:lang w:val="es-ES_tradnl" w:eastAsia="es-ES_tradnl"/>
        </w:rPr>
        <w:t xml:space="preserve">Por su parte, de acuerdo con la Sección Tercera del Consejo de Estado, el AIU, concepto de común utilización en los contratos de tracto sucesivo –entre ellos, los contratos de obra– no cuenta con una definición normativa, pero hay elementos que permiten precisar su alcance, así: </w:t>
      </w:r>
    </w:p>
    <w:p w14:paraId="570581F7" w14:textId="77777777" w:rsidR="0080580F" w:rsidRPr="00104C20" w:rsidRDefault="0080580F" w:rsidP="0080580F">
      <w:pPr>
        <w:spacing w:after="0" w:line="276" w:lineRule="auto"/>
        <w:ind w:firstLine="709"/>
        <w:jc w:val="both"/>
        <w:rPr>
          <w:rFonts w:ascii="Verdana" w:hAnsi="Verdana" w:cs="Arial"/>
          <w:szCs w:val="24"/>
          <w:lang w:val="es-ES_tradnl" w:eastAsia="es-ES_tradnl"/>
        </w:rPr>
      </w:pPr>
    </w:p>
    <w:p w14:paraId="0957CE6E" w14:textId="77777777" w:rsidR="0080580F" w:rsidRPr="00BC4483" w:rsidRDefault="0080580F" w:rsidP="0080580F">
      <w:pPr>
        <w:tabs>
          <w:tab w:val="left" w:pos="709"/>
        </w:tabs>
        <w:spacing w:after="120" w:line="240" w:lineRule="auto"/>
        <w:ind w:left="709" w:right="709"/>
        <w:jc w:val="both"/>
        <w:rPr>
          <w:rFonts w:ascii="Verdana" w:hAnsi="Verdana" w:cs="Arial"/>
          <w:sz w:val="20"/>
          <w:szCs w:val="20"/>
          <w:lang w:val="es-ES_tradnl" w:eastAsia="es-ES_tradnl"/>
        </w:rPr>
      </w:pPr>
      <w:r w:rsidRPr="00BC4483">
        <w:rPr>
          <w:rFonts w:ascii="Verdana" w:hAnsi="Verdana" w:cs="Arial"/>
          <w:sz w:val="20"/>
          <w:szCs w:val="20"/>
          <w:lang w:val="es-ES_tradnl" w:eastAsia="es-ES_tradnl"/>
        </w:rPr>
        <w:t xml:space="preserve">“[…] el AIU propuesto para el contrato, corresponde a: </w:t>
      </w:r>
    </w:p>
    <w:p w14:paraId="08970271" w14:textId="77777777" w:rsidR="0080580F" w:rsidRPr="00BC4483" w:rsidRDefault="0080580F" w:rsidP="0080580F">
      <w:pPr>
        <w:tabs>
          <w:tab w:val="left" w:pos="709"/>
        </w:tabs>
        <w:spacing w:after="120" w:line="240" w:lineRule="auto"/>
        <w:ind w:left="709" w:right="709"/>
        <w:jc w:val="both"/>
        <w:rPr>
          <w:rFonts w:ascii="Verdana" w:hAnsi="Verdana" w:cs="Arial"/>
          <w:sz w:val="20"/>
          <w:szCs w:val="20"/>
          <w:lang w:val="es-ES_tradnl" w:eastAsia="es-ES_tradnl"/>
        </w:rPr>
      </w:pPr>
      <w:r w:rsidRPr="00BC4483">
        <w:rPr>
          <w:rFonts w:ascii="Verdana" w:hAnsi="Verdana" w:cs="Arial"/>
          <w:sz w:val="20"/>
          <w:szCs w:val="20"/>
          <w:lang w:val="es-ES_tradnl" w:eastAsia="es-ES_tradnl"/>
        </w:rPr>
        <w:t xml:space="preserve">i) los costos de administración o costos indirectos para la operación del contrato, tales como los gastos de disponibilidad de la organización del contratista, esto es: A; </w:t>
      </w:r>
    </w:p>
    <w:p w14:paraId="24457089" w14:textId="77777777" w:rsidR="0080580F" w:rsidRPr="00BC4483" w:rsidRDefault="0080580F" w:rsidP="0080580F">
      <w:pPr>
        <w:tabs>
          <w:tab w:val="left" w:pos="709"/>
        </w:tabs>
        <w:spacing w:after="120" w:line="240" w:lineRule="auto"/>
        <w:ind w:left="709" w:right="709"/>
        <w:jc w:val="both"/>
        <w:rPr>
          <w:rFonts w:ascii="Verdana" w:hAnsi="Verdana" w:cs="Arial"/>
          <w:sz w:val="20"/>
          <w:szCs w:val="20"/>
          <w:lang w:val="es-ES" w:eastAsia="es-ES"/>
        </w:rPr>
      </w:pPr>
      <w:proofErr w:type="spellStart"/>
      <w:r w:rsidRPr="00BC4483">
        <w:rPr>
          <w:rFonts w:ascii="Verdana" w:hAnsi="Verdana" w:cs="Arial"/>
          <w:sz w:val="20"/>
          <w:szCs w:val="20"/>
          <w:lang w:val="es-ES" w:eastAsia="es-ES"/>
        </w:rPr>
        <w:t>ii</w:t>
      </w:r>
      <w:proofErr w:type="spellEnd"/>
      <w:r w:rsidRPr="00BC4483">
        <w:rPr>
          <w:rFonts w:ascii="Verdana" w:hAnsi="Verdana" w:cs="Arial"/>
          <w:sz w:val="20"/>
          <w:szCs w:val="20"/>
          <w:lang w:val="es-ES" w:eastAsia="es-ES"/>
        </w:rPr>
        <w:t xml:space="preserve">) los imprevistos, que es el porcentaje destinado a cubrir los gastos con los que no se contaba y que se presenten durante la ejecución del contrato, esto es, el </w:t>
      </w:r>
      <w:proofErr w:type="spellStart"/>
      <w:r w:rsidRPr="00BC4483">
        <w:rPr>
          <w:rFonts w:ascii="Verdana" w:hAnsi="Verdana" w:cs="Arial"/>
          <w:sz w:val="20"/>
          <w:szCs w:val="20"/>
          <w:lang w:val="es-ES" w:eastAsia="es-ES"/>
        </w:rPr>
        <w:t>álea</w:t>
      </w:r>
      <w:proofErr w:type="spellEnd"/>
      <w:r w:rsidRPr="00BC4483">
        <w:rPr>
          <w:rFonts w:ascii="Verdana" w:hAnsi="Verdana" w:cs="Arial"/>
          <w:sz w:val="20"/>
          <w:szCs w:val="20"/>
          <w:lang w:val="es-ES" w:eastAsia="es-ES"/>
        </w:rPr>
        <w:t xml:space="preserve"> normal del contrato: I; </w:t>
      </w:r>
    </w:p>
    <w:p w14:paraId="16FAF630" w14:textId="77777777" w:rsidR="0080580F" w:rsidRPr="00BC4483" w:rsidRDefault="0080580F" w:rsidP="0080580F">
      <w:pPr>
        <w:tabs>
          <w:tab w:val="left" w:pos="709"/>
        </w:tabs>
        <w:spacing w:after="120" w:line="240" w:lineRule="auto"/>
        <w:ind w:left="709" w:right="709"/>
        <w:jc w:val="both"/>
        <w:rPr>
          <w:rFonts w:ascii="Verdana" w:hAnsi="Verdana" w:cs="Arial"/>
          <w:sz w:val="20"/>
          <w:szCs w:val="20"/>
          <w:lang w:val="es-ES" w:eastAsia="es-ES"/>
        </w:rPr>
      </w:pPr>
      <w:proofErr w:type="spellStart"/>
      <w:r w:rsidRPr="00BC4483">
        <w:rPr>
          <w:rFonts w:ascii="Verdana" w:hAnsi="Verdana" w:cs="Arial"/>
          <w:sz w:val="20"/>
          <w:szCs w:val="20"/>
          <w:lang w:val="es-ES" w:eastAsia="es-ES"/>
        </w:rPr>
        <w:t>iii</w:t>
      </w:r>
      <w:proofErr w:type="spellEnd"/>
      <w:r w:rsidRPr="00BC4483">
        <w:rPr>
          <w:rFonts w:ascii="Verdana" w:hAnsi="Verdana" w:cs="Arial"/>
          <w:sz w:val="20"/>
          <w:szCs w:val="20"/>
          <w:lang w:val="es-ES" w:eastAsia="es-ES"/>
        </w:rPr>
        <w:t xml:space="preserve">) la utilidad o el beneficio económico que pretende percibir el contratista por la ejecución del contrato, esto es: U. </w:t>
      </w:r>
    </w:p>
    <w:p w14:paraId="34C34EAE" w14:textId="77777777" w:rsidR="0080580F" w:rsidRPr="00104C20" w:rsidRDefault="0080580F" w:rsidP="0080580F">
      <w:pPr>
        <w:tabs>
          <w:tab w:val="left" w:pos="709"/>
        </w:tabs>
        <w:spacing w:after="0" w:line="240" w:lineRule="auto"/>
        <w:ind w:left="709" w:right="709"/>
        <w:jc w:val="both"/>
        <w:rPr>
          <w:rFonts w:ascii="Verdana" w:hAnsi="Verdana" w:cs="Arial"/>
          <w:sz w:val="21"/>
          <w:szCs w:val="21"/>
          <w:lang w:val="es-ES_tradnl" w:eastAsia="es-ES_tradnl"/>
        </w:rPr>
      </w:pPr>
      <w:r w:rsidRPr="00BC4483">
        <w:rPr>
          <w:rFonts w:ascii="Verdana" w:hAnsi="Verdana" w:cs="Arial"/>
          <w:sz w:val="20"/>
          <w:szCs w:val="20"/>
          <w:lang w:val="es-ES_tradnl" w:eastAsia="es-ES_tradnl"/>
        </w:rPr>
        <w:t>Ahora, teniendo en cuenta que no existe ninguna reglamentación que establezca porcentajes mínimos o máximos para determinar el A.I.U., cada empresa o comerciante de acuerdo con su infraestructura, experiencia, las condiciones del mercado, la naturaleza del contrato a celebrar, entre otros factores, establece su estructura de costos conforme a la cual se compromete a ejecutar cabalmente un contrato en el caso de que le sea adjudicado”</w:t>
      </w:r>
      <w:r w:rsidRPr="00BC4483">
        <w:rPr>
          <w:rFonts w:ascii="Verdana" w:hAnsi="Verdana" w:cs="Arial"/>
          <w:sz w:val="20"/>
          <w:szCs w:val="20"/>
          <w:vertAlign w:val="superscript"/>
          <w:lang w:val="es-ES_tradnl" w:eastAsia="es-ES_tradnl"/>
        </w:rPr>
        <w:footnoteReference w:id="12"/>
      </w:r>
      <w:r w:rsidRPr="00BC4483">
        <w:rPr>
          <w:rFonts w:ascii="Verdana" w:hAnsi="Verdana" w:cs="Arial"/>
          <w:sz w:val="20"/>
          <w:szCs w:val="20"/>
          <w:lang w:val="es-ES_tradnl" w:eastAsia="es-ES_tradnl"/>
        </w:rPr>
        <w:t>.</w:t>
      </w:r>
    </w:p>
    <w:p w14:paraId="43AE2860" w14:textId="77777777" w:rsidR="0080580F" w:rsidRPr="00104C20" w:rsidRDefault="0080580F" w:rsidP="0080580F">
      <w:pPr>
        <w:tabs>
          <w:tab w:val="left" w:pos="709"/>
        </w:tabs>
        <w:spacing w:after="0" w:line="276" w:lineRule="auto"/>
        <w:ind w:left="709" w:right="760"/>
        <w:jc w:val="both"/>
        <w:rPr>
          <w:rFonts w:ascii="Verdana" w:hAnsi="Verdana" w:cs="Arial"/>
          <w:szCs w:val="24"/>
          <w:lang w:val="es-ES_tradnl" w:eastAsia="es-ES_tradnl"/>
        </w:rPr>
      </w:pPr>
    </w:p>
    <w:p w14:paraId="0B4FC970" w14:textId="77777777" w:rsidR="0080580F" w:rsidRPr="00104C20" w:rsidRDefault="0080580F" w:rsidP="0080580F">
      <w:pPr>
        <w:spacing w:after="0" w:line="276" w:lineRule="auto"/>
        <w:ind w:firstLine="709"/>
        <w:jc w:val="both"/>
        <w:rPr>
          <w:rFonts w:ascii="Verdana" w:hAnsi="Verdana" w:cs="Arial"/>
          <w:lang w:val="es-ES" w:eastAsia="es-ES"/>
        </w:rPr>
      </w:pPr>
      <w:r w:rsidRPr="00104C20">
        <w:rPr>
          <w:rFonts w:ascii="Verdana" w:hAnsi="Verdana" w:cs="Arial"/>
          <w:lang w:val="es-ES" w:eastAsia="es-ES"/>
        </w:rPr>
        <w:t>A su turno, la Sala de Consulta y Servicio Civil del Consejo de Estado sostuvo en concepto del 5 de septiembre de 2018</w:t>
      </w:r>
      <w:r w:rsidRPr="00104C20">
        <w:rPr>
          <w:rFonts w:ascii="Verdana" w:hAnsi="Verdana" w:cs="Arial"/>
          <w:vertAlign w:val="superscript"/>
          <w:lang w:val="es-ES" w:eastAsia="es-ES"/>
        </w:rPr>
        <w:footnoteReference w:id="13"/>
      </w:r>
      <w:r w:rsidRPr="00104C20">
        <w:rPr>
          <w:rFonts w:ascii="Verdana" w:hAnsi="Verdana" w:cs="Arial"/>
          <w:lang w:val="es-ES" w:eastAsia="es-ES"/>
        </w:rPr>
        <w:t xml:space="preserve"> que “el concepto del A.I.U. comprende la Administración (costos indirectos) imprevistos y utilidades, y en algunos contratos este valor aparece cuantificado en forma independiente al valor de la obra y como un porcentaje de </w:t>
      </w:r>
      <w:proofErr w:type="gramStart"/>
      <w:r w:rsidRPr="00104C20">
        <w:rPr>
          <w:rFonts w:ascii="Verdana" w:hAnsi="Verdana" w:cs="Arial"/>
          <w:lang w:val="es-ES" w:eastAsia="es-ES"/>
        </w:rPr>
        <w:t>la misma</w:t>
      </w:r>
      <w:proofErr w:type="gramEnd"/>
      <w:r w:rsidRPr="00104C20">
        <w:rPr>
          <w:rFonts w:ascii="Verdana" w:hAnsi="Verdana" w:cs="Arial"/>
          <w:vertAlign w:val="superscript"/>
          <w:lang w:val="es-ES" w:eastAsia="es-ES"/>
        </w:rPr>
        <w:footnoteReference w:id="14"/>
      </w:r>
      <w:r w:rsidRPr="00104C20">
        <w:rPr>
          <w:rFonts w:ascii="Verdana" w:hAnsi="Verdana" w:cs="Arial"/>
          <w:lang w:val="es-ES" w:eastAsia="es-ES"/>
        </w:rPr>
        <w:t xml:space="preserve">, sin perjuicio que en otros </w:t>
      </w:r>
      <w:r w:rsidRPr="00104C20">
        <w:rPr>
          <w:rFonts w:ascii="Verdana" w:hAnsi="Verdana" w:cs="Arial"/>
          <w:lang w:val="es-ES" w:eastAsia="es-ES"/>
        </w:rPr>
        <w:lastRenderedPageBreak/>
        <w:t>contratos este valor no aparezca discriminado y se incorpore en el valor de los precios unitarios”</w:t>
      </w:r>
      <w:r w:rsidRPr="00104C20">
        <w:rPr>
          <w:rFonts w:ascii="Verdana" w:hAnsi="Verdana" w:cs="Arial"/>
          <w:vertAlign w:val="superscript"/>
          <w:lang w:val="es-ES" w:eastAsia="es-ES"/>
        </w:rPr>
        <w:footnoteReference w:id="15"/>
      </w:r>
      <w:r w:rsidRPr="00104C20">
        <w:rPr>
          <w:rFonts w:ascii="Verdana" w:hAnsi="Verdana" w:cs="Arial"/>
          <w:lang w:val="es-ES" w:eastAsia="es-ES"/>
        </w:rPr>
        <w:t xml:space="preserve">. </w:t>
      </w:r>
    </w:p>
    <w:p w14:paraId="0EEF8A02" w14:textId="77777777" w:rsidR="0080580F" w:rsidRPr="00104C20" w:rsidRDefault="0080580F" w:rsidP="0080580F">
      <w:pPr>
        <w:spacing w:before="120" w:after="0" w:line="276" w:lineRule="auto"/>
        <w:ind w:firstLine="709"/>
        <w:jc w:val="both"/>
        <w:rPr>
          <w:rFonts w:ascii="Verdana" w:hAnsi="Verdana" w:cs="Arial"/>
          <w:bCs/>
          <w:szCs w:val="24"/>
          <w:lang w:val="es-ES_tradnl" w:eastAsia="es-ES_tradnl"/>
        </w:rPr>
      </w:pPr>
      <w:r w:rsidRPr="00104C20">
        <w:rPr>
          <w:rFonts w:ascii="Verdana" w:hAnsi="Verdana" w:cs="Arial"/>
          <w:bCs/>
          <w:szCs w:val="24"/>
          <w:lang w:val="es-ES_tradnl" w:eastAsia="es-ES_tradnl"/>
        </w:rPr>
        <w:t>Así pues, ni el sistema de precios unitarios –como metodología de estipulación del valor contractual–, ni el concepto de AIU, ni mucho menos la forma de calcularlo –es decir, su porcentaje–, son aspectos regulados en el conjunto de las disposiciones legales y reglamentarias que integran la normativa contractual del Estado</w:t>
      </w:r>
      <w:r>
        <w:rPr>
          <w:rFonts w:ascii="Verdana" w:hAnsi="Verdana" w:cs="Arial"/>
          <w:bCs/>
          <w:szCs w:val="24"/>
          <w:lang w:val="es-ES_tradnl" w:eastAsia="es-ES_tradnl"/>
        </w:rPr>
        <w:t>:</w:t>
      </w:r>
      <w:r w:rsidRPr="00104C20">
        <w:rPr>
          <w:rFonts w:ascii="Verdana" w:hAnsi="Verdana" w:cs="Arial"/>
          <w:bCs/>
          <w:szCs w:val="24"/>
          <w:lang w:val="es-ES_tradnl" w:eastAsia="es-ES_tradnl"/>
        </w:rPr>
        <w:t xml:space="preserve">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w:t>
      </w:r>
      <w:r w:rsidRPr="00104C20">
        <w:rPr>
          <w:rFonts w:ascii="Verdana" w:hAnsi="Verdana" w:cs="Arial"/>
          <w:bCs/>
          <w:szCs w:val="24"/>
          <w:vertAlign w:val="superscript"/>
          <w:lang w:val="es-ES_tradnl" w:eastAsia="es-ES_tradnl"/>
        </w:rPr>
        <w:footnoteReference w:id="16"/>
      </w:r>
      <w:r w:rsidRPr="00104C20">
        <w:rPr>
          <w:rFonts w:ascii="Verdana" w:hAnsi="Verdana" w:cs="Arial"/>
          <w:bCs/>
          <w:szCs w:val="24"/>
          <w:lang w:val="es-ES_tradnl" w:eastAsia="es-ES_tradnl"/>
        </w:rPr>
        <w:t xml:space="preserve">. De otro lado, quien define el valor de cada </w:t>
      </w:r>
      <w:r w:rsidRPr="00104C20">
        <w:rPr>
          <w:rFonts w:ascii="Verdana" w:hAnsi="Verdana" w:cs="Arial"/>
          <w:bCs/>
          <w:i/>
          <w:iCs/>
          <w:szCs w:val="24"/>
          <w:lang w:val="es-ES_tradnl" w:eastAsia="es-ES_tradnl"/>
        </w:rPr>
        <w:t>letra</w:t>
      </w:r>
      <w:r w:rsidRPr="00104C20">
        <w:rPr>
          <w:rFonts w:ascii="Verdana" w:hAnsi="Verdana" w:cs="Arial"/>
          <w:bCs/>
          <w:szCs w:val="24"/>
          <w:lang w:val="es-ES_tradnl" w:eastAsia="es-ES_tradnl"/>
        </w:rPr>
        <w:t xml:space="preserve"> –AIU– es el proponente, pues goza de libertad empresarial para hacerlo en la elaboración de su oferta</w:t>
      </w:r>
      <w:r w:rsidRPr="00104C20">
        <w:rPr>
          <w:rFonts w:ascii="Verdana" w:hAnsi="Verdana" w:cs="Arial"/>
          <w:bCs/>
          <w:szCs w:val="24"/>
          <w:vertAlign w:val="superscript"/>
          <w:lang w:val="es-ES_tradnl" w:eastAsia="es-ES_tradnl"/>
        </w:rPr>
        <w:footnoteReference w:id="17"/>
      </w:r>
      <w:r w:rsidRPr="00104C20">
        <w:rPr>
          <w:rFonts w:ascii="Verdana" w:hAnsi="Verdana" w:cs="Arial"/>
          <w:bCs/>
          <w:szCs w:val="24"/>
          <w:lang w:val="es-ES_tradnl" w:eastAsia="es-ES_tradnl"/>
        </w:rPr>
        <w:t>.</w:t>
      </w:r>
    </w:p>
    <w:p w14:paraId="168E2AAC" w14:textId="77777777" w:rsidR="0080580F" w:rsidRPr="00415D51" w:rsidRDefault="0080580F" w:rsidP="0080580F">
      <w:pPr>
        <w:spacing w:before="120" w:after="0" w:line="276" w:lineRule="auto"/>
        <w:ind w:firstLine="709"/>
        <w:jc w:val="both"/>
        <w:rPr>
          <w:rFonts w:ascii="Verdana" w:hAnsi="Verdana" w:cs="Arial"/>
          <w:lang w:val="es-ES" w:eastAsia="es-ES"/>
        </w:rPr>
      </w:pPr>
      <w:r>
        <w:rPr>
          <w:rFonts w:ascii="Verdana" w:hAnsi="Verdana" w:cs="Arial"/>
          <w:lang w:val="es-ES" w:eastAsia="es-ES"/>
        </w:rPr>
        <w:t>De esta manera</w:t>
      </w:r>
      <w:r w:rsidRPr="00104C20">
        <w:rPr>
          <w:rFonts w:ascii="Verdana" w:hAnsi="Verdana" w:cs="Arial"/>
          <w:lang w:val="es-ES" w:eastAsia="es-ES"/>
        </w:rPr>
        <w:t>, usualmente en los contratos cuyo valor se estructura bajo el sistema de precios unitarios y con el desglose del AIU, el precio se paga con base en el valor de los costos directos incrementados por el porcentaje del AIU, forma de pago que pueden incluir las entidades estatales en virtud de la autonomía de la voluntad a que remiten los artículos 13, 32 y 40 del EGCAP.</w:t>
      </w:r>
      <w:r>
        <w:rPr>
          <w:rFonts w:ascii="Verdana" w:hAnsi="Verdana" w:cs="Arial"/>
          <w:lang w:val="es-ES" w:eastAsia="es-ES"/>
        </w:rPr>
        <w:t xml:space="preserve"> </w:t>
      </w:r>
      <w:r w:rsidRPr="00104C20">
        <w:rPr>
          <w:rFonts w:ascii="Verdana" w:hAnsi="Verdana" w:cs="Arial"/>
          <w:bCs/>
          <w:szCs w:val="24"/>
          <w:lang w:val="es-ES_tradnl" w:eastAsia="es-ES_tradnl"/>
        </w:rPr>
        <w:t xml:space="preserve">Ahora bien, nada obstaría para que las partes le dieran otros efectos particulares a la forma en que pagan el precio estructurado con AIU. Por ejemplo, podrían incluir cláusulas o reglas bajo las cuales se estableciera que el valor de alguno o de todos los componentes de la </w:t>
      </w:r>
      <w:r w:rsidRPr="008335E8">
        <w:rPr>
          <w:rFonts w:ascii="Verdana" w:hAnsi="Verdana" w:cs="Arial"/>
          <w:bCs/>
          <w:i/>
          <w:iCs/>
          <w:szCs w:val="24"/>
          <w:lang w:val="es-ES_tradnl" w:eastAsia="es-ES_tradnl"/>
        </w:rPr>
        <w:t>Administración</w:t>
      </w:r>
      <w:r w:rsidRPr="00104C20">
        <w:rPr>
          <w:rFonts w:ascii="Verdana" w:hAnsi="Verdana" w:cs="Arial"/>
          <w:bCs/>
          <w:szCs w:val="24"/>
          <w:lang w:val="es-ES_tradnl" w:eastAsia="es-ES_tradnl"/>
        </w:rPr>
        <w:t xml:space="preserve"> o los </w:t>
      </w:r>
      <w:r w:rsidRPr="008335E8">
        <w:rPr>
          <w:rFonts w:ascii="Verdana" w:hAnsi="Verdana" w:cs="Arial"/>
          <w:bCs/>
          <w:i/>
          <w:iCs/>
          <w:szCs w:val="24"/>
          <w:lang w:val="es-ES_tradnl" w:eastAsia="es-ES_tradnl"/>
        </w:rPr>
        <w:t>Imprevistos</w:t>
      </w:r>
      <w:r w:rsidRPr="00104C20">
        <w:rPr>
          <w:rFonts w:ascii="Verdana" w:hAnsi="Verdana" w:cs="Arial"/>
          <w:bCs/>
          <w:szCs w:val="24"/>
          <w:lang w:val="es-ES_tradnl" w:eastAsia="es-ES_tradnl"/>
        </w:rPr>
        <w:t xml:space="preserve"> s</w:t>
      </w:r>
      <w:r>
        <w:rPr>
          <w:rFonts w:ascii="Verdana" w:hAnsi="Verdana" w:cs="Arial"/>
          <w:bCs/>
          <w:szCs w:val="24"/>
          <w:lang w:val="es-ES_tradnl" w:eastAsia="es-ES_tradnl"/>
        </w:rPr>
        <w:t>ó</w:t>
      </w:r>
      <w:r w:rsidRPr="00104C20">
        <w:rPr>
          <w:rFonts w:ascii="Verdana" w:hAnsi="Verdana" w:cs="Arial"/>
          <w:bCs/>
          <w:szCs w:val="24"/>
          <w:lang w:val="es-ES_tradnl" w:eastAsia="es-ES_tradnl"/>
        </w:rPr>
        <w:t>lo se pagan si el contratista demuestra que incurrió en algun</w:t>
      </w:r>
      <w:r>
        <w:rPr>
          <w:rFonts w:ascii="Verdana" w:hAnsi="Verdana" w:cs="Arial"/>
          <w:bCs/>
          <w:szCs w:val="24"/>
          <w:lang w:val="es-ES_tradnl" w:eastAsia="es-ES_tradnl"/>
        </w:rPr>
        <w:t>a</w:t>
      </w:r>
      <w:r w:rsidRPr="00104C20">
        <w:rPr>
          <w:rFonts w:ascii="Verdana" w:hAnsi="Verdana" w:cs="Arial"/>
          <w:bCs/>
          <w:szCs w:val="24"/>
          <w:lang w:val="es-ES_tradnl" w:eastAsia="es-ES_tradnl"/>
        </w:rPr>
        <w:t xml:space="preserve">s </w:t>
      </w:r>
      <w:r>
        <w:rPr>
          <w:rFonts w:ascii="Verdana" w:hAnsi="Verdana" w:cs="Arial"/>
          <w:bCs/>
          <w:szCs w:val="24"/>
          <w:lang w:val="es-ES_tradnl" w:eastAsia="es-ES_tradnl"/>
        </w:rPr>
        <w:t>situaciones</w:t>
      </w:r>
      <w:r w:rsidRPr="00104C20">
        <w:rPr>
          <w:rFonts w:ascii="Verdana" w:hAnsi="Verdana" w:cs="Arial"/>
          <w:bCs/>
          <w:szCs w:val="24"/>
          <w:lang w:val="es-ES_tradnl" w:eastAsia="es-ES_tradnl"/>
        </w:rPr>
        <w:t xml:space="preserve"> específic</w:t>
      </w:r>
      <w:r>
        <w:rPr>
          <w:rFonts w:ascii="Verdana" w:hAnsi="Verdana" w:cs="Arial"/>
          <w:bCs/>
          <w:szCs w:val="24"/>
          <w:lang w:val="es-ES_tradnl" w:eastAsia="es-ES_tradnl"/>
        </w:rPr>
        <w:t xml:space="preserve">as </w:t>
      </w:r>
      <w:r w:rsidRPr="00104C20">
        <w:rPr>
          <w:rFonts w:ascii="Verdana" w:hAnsi="Verdana" w:cs="Arial"/>
          <w:bCs/>
          <w:szCs w:val="24"/>
          <w:lang w:val="es-ES_tradnl" w:eastAsia="es-ES_tradnl"/>
        </w:rPr>
        <w:t xml:space="preserve">y bajo el monto que este logre demostrar. </w:t>
      </w:r>
    </w:p>
    <w:p w14:paraId="6707C7F2" w14:textId="77777777" w:rsidR="0080580F" w:rsidRPr="00104C20" w:rsidRDefault="0080580F" w:rsidP="0080580F">
      <w:pPr>
        <w:spacing w:before="120" w:after="0" w:line="276" w:lineRule="auto"/>
        <w:jc w:val="both"/>
        <w:rPr>
          <w:rFonts w:ascii="Verdana" w:hAnsi="Verdana" w:cs="Arial"/>
          <w:lang w:val="es-ES" w:eastAsia="es-ES"/>
        </w:rPr>
      </w:pPr>
      <w:r w:rsidRPr="00104C20">
        <w:rPr>
          <w:rFonts w:ascii="Verdana" w:hAnsi="Verdana" w:cs="Arial"/>
          <w:bCs/>
          <w:szCs w:val="24"/>
          <w:lang w:val="es-ES_tradnl" w:eastAsia="es-ES_tradnl"/>
        </w:rPr>
        <w:tab/>
      </w:r>
      <w:r w:rsidRPr="00104C20">
        <w:rPr>
          <w:rFonts w:ascii="Verdana" w:hAnsi="Verdana" w:cs="Arial"/>
          <w:lang w:val="es-ES" w:eastAsia="es-ES"/>
        </w:rPr>
        <w:t xml:space="preserve">Sin embargo, una regulación como la anterior no es la que suele emplearse en los contratos estatales. Lo usual, que se advierte en la práctica de las entidades estatales, es que acuden al AIU con la finalidad de establecer un </w:t>
      </w:r>
      <w:r w:rsidRPr="00104C20">
        <w:rPr>
          <w:rFonts w:ascii="Verdana" w:hAnsi="Verdana" w:cs="Arial"/>
          <w:lang w:val="es-ES" w:eastAsia="es-ES"/>
        </w:rPr>
        <w:lastRenderedPageBreak/>
        <w:t xml:space="preserve">precio más estable, de manera que el valor del contrato consistirá en lo que resulte de afectar los costos directos por el porcentaje, en principio, invariable del AIU, de manera que al valor de los costos directos se le sume el AIU. Así las cosas, las partes asumen los riesgos inherentes a esta forma de pactar el precio, entendiendo aceptados los </w:t>
      </w:r>
      <w:proofErr w:type="spellStart"/>
      <w:r>
        <w:rPr>
          <w:rFonts w:ascii="Verdana" w:hAnsi="Verdana" w:cs="Arial"/>
          <w:lang w:val="es-ES" w:eastAsia="es-ES"/>
        </w:rPr>
        <w:t>á</w:t>
      </w:r>
      <w:r w:rsidRPr="00104C20">
        <w:rPr>
          <w:rFonts w:ascii="Verdana" w:hAnsi="Verdana" w:cs="Arial"/>
          <w:lang w:val="es-ES" w:eastAsia="es-ES"/>
        </w:rPr>
        <w:t>leas</w:t>
      </w:r>
      <w:proofErr w:type="spellEnd"/>
      <w:r w:rsidRPr="00104C20">
        <w:rPr>
          <w:rFonts w:ascii="Verdana" w:hAnsi="Verdana" w:cs="Arial"/>
          <w:lang w:val="es-ES" w:eastAsia="es-ES"/>
        </w:rPr>
        <w:t xml:space="preserve"> normales que se presenten en la ejecución del contrato, de manera que</w:t>
      </w:r>
      <w:r>
        <w:rPr>
          <w:rFonts w:ascii="Verdana" w:hAnsi="Verdana" w:cs="Arial"/>
          <w:lang w:val="es-ES" w:eastAsia="es-ES"/>
        </w:rPr>
        <w:t>,</w:t>
      </w:r>
      <w:r w:rsidRPr="00104C20">
        <w:rPr>
          <w:rFonts w:ascii="Verdana" w:hAnsi="Verdana" w:cs="Arial"/>
          <w:lang w:val="es-ES" w:eastAsia="es-ES"/>
        </w:rPr>
        <w:t xml:space="preserve"> aunque el contratista incurra en mayores costos de los ítems incluidos en la </w:t>
      </w:r>
      <w:r w:rsidRPr="00104C20">
        <w:rPr>
          <w:rFonts w:ascii="Verdana" w:hAnsi="Verdana" w:cs="Arial"/>
          <w:i/>
          <w:iCs/>
          <w:lang w:val="es-ES" w:eastAsia="es-ES"/>
        </w:rPr>
        <w:t>Administración</w:t>
      </w:r>
      <w:r w:rsidRPr="00104C20">
        <w:rPr>
          <w:rFonts w:ascii="Verdana" w:hAnsi="Verdana" w:cs="Arial"/>
          <w:lang w:val="es-ES" w:eastAsia="es-ES"/>
        </w:rPr>
        <w:t xml:space="preserve"> </w:t>
      </w:r>
      <w:r>
        <w:rPr>
          <w:rFonts w:ascii="Verdana" w:hAnsi="Verdana" w:cs="Arial"/>
          <w:lang w:val="es-ES" w:eastAsia="es-ES"/>
        </w:rPr>
        <w:t xml:space="preserve">o en más gastos de </w:t>
      </w:r>
      <w:r w:rsidRPr="00415D51">
        <w:rPr>
          <w:rFonts w:ascii="Verdana" w:hAnsi="Verdana" w:cs="Arial"/>
          <w:i/>
          <w:iCs/>
          <w:lang w:val="es-ES" w:eastAsia="es-ES"/>
        </w:rPr>
        <w:t>Imprevistos</w:t>
      </w:r>
      <w:r>
        <w:rPr>
          <w:rFonts w:ascii="Verdana" w:hAnsi="Verdana" w:cs="Arial"/>
          <w:lang w:val="es-ES" w:eastAsia="es-ES"/>
        </w:rPr>
        <w:t xml:space="preserve"> </w:t>
      </w:r>
      <w:r w:rsidRPr="00104C20">
        <w:rPr>
          <w:rFonts w:ascii="Verdana" w:hAnsi="Verdana" w:cs="Arial"/>
          <w:lang w:val="es-ES" w:eastAsia="es-ES"/>
        </w:rPr>
        <w:t xml:space="preserve">al presentar su oferta, o que estos disminuyan, aparezcan algunos nuevos o desaparezcan algunos de ellos, el valor se mantenga invariable. De este modo, las partes optan por darle estabilidad al negocio, asumiendo cada una de ellas lo que le favorezca o desfavorezca, lo que evita, además, incurrir en costos de transacción relacionados con la necesidad de acreditar y verificar cada costo </w:t>
      </w:r>
      <w:r>
        <w:rPr>
          <w:rFonts w:ascii="Verdana" w:hAnsi="Verdana" w:cs="Arial"/>
          <w:lang w:val="es-ES" w:eastAsia="es-ES"/>
        </w:rPr>
        <w:t xml:space="preserve">o gasto </w:t>
      </w:r>
      <w:r w:rsidRPr="00104C20">
        <w:rPr>
          <w:rFonts w:ascii="Verdana" w:hAnsi="Verdana" w:cs="Arial"/>
          <w:lang w:val="es-ES" w:eastAsia="es-ES"/>
        </w:rPr>
        <w:t xml:space="preserve">específico asociado a la </w:t>
      </w:r>
      <w:r w:rsidRPr="00104C20">
        <w:rPr>
          <w:rFonts w:ascii="Verdana" w:hAnsi="Verdana" w:cs="Arial"/>
          <w:i/>
          <w:iCs/>
          <w:lang w:val="es-ES" w:eastAsia="es-ES"/>
        </w:rPr>
        <w:t>Administración</w:t>
      </w:r>
      <w:r>
        <w:rPr>
          <w:rFonts w:ascii="Verdana" w:hAnsi="Verdana" w:cs="Arial"/>
          <w:i/>
          <w:iCs/>
          <w:lang w:val="es-ES" w:eastAsia="es-ES"/>
        </w:rPr>
        <w:t xml:space="preserve"> </w:t>
      </w:r>
      <w:r w:rsidRPr="00415D51">
        <w:rPr>
          <w:rFonts w:ascii="Verdana" w:hAnsi="Verdana" w:cs="Arial"/>
          <w:lang w:val="es-ES" w:eastAsia="es-ES"/>
        </w:rPr>
        <w:t>o lo</w:t>
      </w:r>
      <w:r>
        <w:rPr>
          <w:rFonts w:ascii="Verdana" w:hAnsi="Verdana" w:cs="Arial"/>
          <w:i/>
          <w:iCs/>
          <w:lang w:val="es-ES" w:eastAsia="es-ES"/>
        </w:rPr>
        <w:t>s Imprevistos</w:t>
      </w:r>
      <w:r w:rsidRPr="00104C20">
        <w:rPr>
          <w:rFonts w:ascii="Verdana" w:hAnsi="Verdana" w:cs="Arial"/>
          <w:lang w:val="es-ES" w:eastAsia="es-ES"/>
        </w:rPr>
        <w:t>, lo que generaría más gastos tanto para la entidad como para el contratista.</w:t>
      </w:r>
    </w:p>
    <w:p w14:paraId="308E8959" w14:textId="77777777" w:rsidR="0080580F" w:rsidRPr="00104C20" w:rsidRDefault="0080580F" w:rsidP="0080580F">
      <w:pPr>
        <w:spacing w:before="120" w:after="0" w:line="276" w:lineRule="auto"/>
        <w:jc w:val="both"/>
        <w:rPr>
          <w:rFonts w:ascii="Verdana" w:hAnsi="Verdana" w:cs="Arial"/>
          <w:bCs/>
          <w:szCs w:val="24"/>
          <w:lang w:val="es-ES_tradnl" w:eastAsia="es-ES_tradnl"/>
        </w:rPr>
      </w:pPr>
      <w:r w:rsidRPr="00104C20">
        <w:rPr>
          <w:rFonts w:ascii="Verdana" w:hAnsi="Verdana" w:cs="Arial"/>
          <w:bCs/>
          <w:szCs w:val="24"/>
          <w:lang w:val="es-ES_tradnl" w:eastAsia="es-ES_tradnl"/>
        </w:rPr>
        <w:tab/>
        <w:t>En este sentido, cuando las entidades estatales incluyen esta forma de desglosar el precio, en los últimos términos indicados, al realizar el estudio de mercado elaboran un presupuesto estimado del valor de la ejecución del contrato</w:t>
      </w:r>
      <w:r>
        <w:rPr>
          <w:rFonts w:ascii="Verdana" w:hAnsi="Verdana" w:cs="Arial"/>
          <w:bCs/>
          <w:szCs w:val="24"/>
          <w:lang w:val="es-ES_tradnl" w:eastAsia="es-ES_tradnl"/>
        </w:rPr>
        <w:t>, el cual supone un análisis técnico de los costos</w:t>
      </w:r>
      <w:r w:rsidRPr="00104C20">
        <w:rPr>
          <w:rFonts w:ascii="Verdana" w:hAnsi="Verdana" w:cs="Arial"/>
          <w:bCs/>
          <w:szCs w:val="24"/>
          <w:lang w:val="es-ES_tradnl" w:eastAsia="es-ES_tradnl"/>
        </w:rPr>
        <w:t xml:space="preserve">. Dicho presupuesto estimado incluye los costos genéricos </w:t>
      </w:r>
      <w:r w:rsidRPr="00104C20">
        <w:rPr>
          <w:rFonts w:ascii="Verdana" w:hAnsi="Verdana" w:cs="Arial"/>
          <w:bCs/>
          <w:i/>
          <w:iCs/>
          <w:szCs w:val="24"/>
          <w:lang w:val="es-ES_tradnl" w:eastAsia="es-ES_tradnl"/>
        </w:rPr>
        <w:t xml:space="preserve">indirectos </w:t>
      </w:r>
      <w:r w:rsidRPr="00104C20">
        <w:rPr>
          <w:rFonts w:ascii="Verdana" w:hAnsi="Verdana" w:cs="Arial"/>
          <w:bCs/>
          <w:szCs w:val="24"/>
          <w:lang w:val="es-ES_tradnl" w:eastAsia="es-ES_tradnl"/>
        </w:rPr>
        <w:t xml:space="preserve">en que incurren los contratistas, entre ellos, los de la </w:t>
      </w:r>
      <w:r w:rsidRPr="00104C20">
        <w:rPr>
          <w:rFonts w:ascii="Verdana" w:hAnsi="Verdana" w:cs="Arial"/>
          <w:bCs/>
          <w:i/>
          <w:iCs/>
          <w:szCs w:val="24"/>
          <w:lang w:val="es-ES_tradnl" w:eastAsia="es-ES_tradnl"/>
        </w:rPr>
        <w:t>Administración</w:t>
      </w:r>
      <w:r>
        <w:rPr>
          <w:rFonts w:ascii="Verdana" w:hAnsi="Verdana" w:cs="Arial"/>
          <w:bCs/>
          <w:i/>
          <w:iCs/>
          <w:szCs w:val="24"/>
          <w:lang w:val="es-ES_tradnl" w:eastAsia="es-ES_tradnl"/>
        </w:rPr>
        <w:t xml:space="preserve"> </w:t>
      </w:r>
      <w:r>
        <w:rPr>
          <w:rFonts w:ascii="Verdana" w:hAnsi="Verdana" w:cs="Arial"/>
          <w:lang w:val="es-ES_tradnl" w:eastAsia="es-ES"/>
        </w:rPr>
        <w:t>y</w:t>
      </w:r>
      <w:r w:rsidRPr="00415D51">
        <w:rPr>
          <w:rFonts w:ascii="Verdana" w:hAnsi="Verdana" w:cs="Arial"/>
          <w:lang w:val="es-ES" w:eastAsia="es-ES"/>
        </w:rPr>
        <w:t xml:space="preserve"> lo</w:t>
      </w:r>
      <w:r>
        <w:rPr>
          <w:rFonts w:ascii="Verdana" w:hAnsi="Verdana" w:cs="Arial"/>
          <w:i/>
          <w:iCs/>
          <w:lang w:val="es-ES" w:eastAsia="es-ES"/>
        </w:rPr>
        <w:t>s Imprevistos</w:t>
      </w:r>
      <w:r w:rsidRPr="00104C20">
        <w:rPr>
          <w:rFonts w:ascii="Verdana" w:hAnsi="Verdana" w:cs="Arial"/>
          <w:bCs/>
          <w:szCs w:val="24"/>
          <w:lang w:val="es-ES_tradnl" w:eastAsia="es-ES_tradnl"/>
        </w:rPr>
        <w:t>, para efectos de definir el porcentaje con el que calculan el presupuesto, pese a que el monto de est</w:t>
      </w:r>
      <w:r>
        <w:rPr>
          <w:rFonts w:ascii="Verdana" w:hAnsi="Verdana" w:cs="Arial"/>
          <w:bCs/>
          <w:szCs w:val="24"/>
          <w:lang w:val="es-ES_tradnl" w:eastAsia="es-ES_tradnl"/>
        </w:rPr>
        <w:t>os</w:t>
      </w:r>
      <w:r w:rsidRPr="00104C20">
        <w:rPr>
          <w:rFonts w:ascii="Verdana" w:hAnsi="Verdana" w:cs="Arial"/>
          <w:bCs/>
          <w:szCs w:val="24"/>
          <w:lang w:val="es-ES_tradnl" w:eastAsia="es-ES_tradnl"/>
        </w:rPr>
        <w:t xml:space="preserve"> componente</w:t>
      </w:r>
      <w:r>
        <w:rPr>
          <w:rFonts w:ascii="Verdana" w:hAnsi="Verdana" w:cs="Arial"/>
          <w:bCs/>
          <w:szCs w:val="24"/>
          <w:lang w:val="es-ES_tradnl" w:eastAsia="es-ES_tradnl"/>
        </w:rPr>
        <w:t>s</w:t>
      </w:r>
      <w:r w:rsidRPr="00104C20">
        <w:rPr>
          <w:rFonts w:ascii="Verdana" w:hAnsi="Verdana" w:cs="Arial"/>
          <w:bCs/>
          <w:szCs w:val="24"/>
          <w:lang w:val="es-ES_tradnl" w:eastAsia="es-ES_tradnl"/>
        </w:rPr>
        <w:t xml:space="preserve"> varía ostensiblemente de un proponente a otro, pues </w:t>
      </w:r>
      <w:r>
        <w:rPr>
          <w:rFonts w:ascii="Verdana" w:hAnsi="Verdana" w:cs="Arial"/>
          <w:bCs/>
          <w:szCs w:val="24"/>
          <w:lang w:val="es-ES_tradnl" w:eastAsia="es-ES_tradnl"/>
        </w:rPr>
        <w:t>su</w:t>
      </w:r>
      <w:r w:rsidRPr="00104C20">
        <w:rPr>
          <w:rFonts w:ascii="Verdana" w:hAnsi="Verdana" w:cs="Arial"/>
          <w:bCs/>
          <w:szCs w:val="24"/>
          <w:lang w:val="es-ES_tradnl" w:eastAsia="es-ES_tradnl"/>
        </w:rPr>
        <w:t xml:space="preserve"> valor real depende de circunstancias particulares de los </w:t>
      </w:r>
      <w:r>
        <w:rPr>
          <w:rFonts w:ascii="Verdana" w:hAnsi="Verdana" w:cs="Arial"/>
          <w:bCs/>
          <w:szCs w:val="24"/>
          <w:lang w:val="es-ES_tradnl" w:eastAsia="es-ES_tradnl"/>
        </w:rPr>
        <w:t>oferentes</w:t>
      </w:r>
      <w:r w:rsidRPr="00104C20">
        <w:rPr>
          <w:rFonts w:ascii="Verdana" w:hAnsi="Verdana" w:cs="Arial"/>
          <w:bCs/>
          <w:szCs w:val="24"/>
          <w:vertAlign w:val="superscript"/>
          <w:lang w:val="es-ES_tradnl" w:eastAsia="es-ES_tradnl"/>
        </w:rPr>
        <w:footnoteReference w:id="18"/>
      </w:r>
      <w:r w:rsidRPr="00104C20">
        <w:rPr>
          <w:rFonts w:ascii="Verdana" w:hAnsi="Verdana" w:cs="Arial"/>
          <w:bCs/>
          <w:szCs w:val="24"/>
          <w:lang w:val="es-ES_tradnl" w:eastAsia="es-ES_tradnl"/>
        </w:rPr>
        <w:t xml:space="preserve">. </w:t>
      </w:r>
      <w:r>
        <w:rPr>
          <w:rFonts w:ascii="Verdana" w:hAnsi="Verdana" w:cs="Arial"/>
          <w:bCs/>
          <w:szCs w:val="24"/>
          <w:lang w:val="es-ES_tradnl" w:eastAsia="es-ES_tradnl"/>
        </w:rPr>
        <w:t>Por tanto, en abstracto, no existe un límite mínimo ni máximo respecto al porcentaje.</w:t>
      </w:r>
    </w:p>
    <w:p w14:paraId="6737ED87" w14:textId="77777777" w:rsidR="0080580F" w:rsidRDefault="0080580F" w:rsidP="0080580F">
      <w:pPr>
        <w:spacing w:before="120" w:after="0" w:line="276" w:lineRule="auto"/>
        <w:ind w:firstLine="709"/>
        <w:jc w:val="both"/>
        <w:rPr>
          <w:rFonts w:ascii="Verdana" w:hAnsi="Verdana" w:cs="Arial"/>
          <w:lang w:val="es-ES" w:eastAsia="es-ES"/>
        </w:rPr>
      </w:pPr>
      <w:r w:rsidRPr="00104C20">
        <w:rPr>
          <w:rFonts w:ascii="Verdana" w:hAnsi="Verdana" w:cs="Arial"/>
          <w:lang w:val="es-ES" w:eastAsia="es-ES"/>
        </w:rPr>
        <w:t xml:space="preserve">De manera que las entidades calculan un valor estimado que, a su vez, sirve de guía para que los proponentes formulen sus ofertas, pero bajo la premisa de que pagarán un porcentaje fijo incluido por los interesados en sus propuestas, dado lo variable que resulta este valor, y lo complejo y gravoso de realizar un seguimiento minucioso a los costos en que incurren los contratistas por este componente en particular. Además, que estos podrían ser mayores a </w:t>
      </w:r>
      <w:r w:rsidRPr="00104C20">
        <w:rPr>
          <w:rFonts w:ascii="Verdana" w:hAnsi="Verdana" w:cs="Arial"/>
          <w:lang w:val="es-ES" w:eastAsia="es-ES"/>
        </w:rPr>
        <w:lastRenderedPageBreak/>
        <w:t xml:space="preserve">los inicialmente pactados con el contratista, de manera que la fijación de un porcentaje fijo y estable también puede resultar favorable a la entidad estatal, pues su contraparte no le podrá exigir un monto superior, bajo el argumento de que incurrió en costos </w:t>
      </w:r>
      <w:r>
        <w:rPr>
          <w:rFonts w:ascii="Verdana" w:hAnsi="Verdana" w:cs="Arial"/>
          <w:lang w:val="es-ES" w:eastAsia="es-ES"/>
        </w:rPr>
        <w:t xml:space="preserve">o gastos </w:t>
      </w:r>
      <w:r w:rsidRPr="00104C20">
        <w:rPr>
          <w:rFonts w:ascii="Verdana" w:hAnsi="Verdana" w:cs="Arial"/>
          <w:lang w:val="es-ES" w:eastAsia="es-ES"/>
        </w:rPr>
        <w:t xml:space="preserve">adicionales asociados al componente </w:t>
      </w:r>
      <w:r w:rsidRPr="008335E8">
        <w:rPr>
          <w:rFonts w:ascii="Verdana" w:hAnsi="Verdana" w:cs="Arial"/>
          <w:i/>
          <w:iCs/>
          <w:lang w:val="es-ES" w:eastAsia="es-ES"/>
        </w:rPr>
        <w:t>Administración</w:t>
      </w:r>
      <w:r>
        <w:rPr>
          <w:rFonts w:ascii="Verdana" w:hAnsi="Verdana" w:cs="Arial"/>
          <w:lang w:val="es-ES" w:eastAsia="es-ES"/>
        </w:rPr>
        <w:t xml:space="preserve"> o de </w:t>
      </w:r>
      <w:r w:rsidRPr="008335E8">
        <w:rPr>
          <w:rFonts w:ascii="Verdana" w:hAnsi="Verdana" w:cs="Arial"/>
          <w:i/>
          <w:iCs/>
          <w:lang w:val="es-ES" w:eastAsia="es-ES"/>
        </w:rPr>
        <w:t>Imprevistos</w:t>
      </w:r>
      <w:r w:rsidRPr="00104C20">
        <w:rPr>
          <w:rFonts w:ascii="Verdana" w:hAnsi="Verdana" w:cs="Arial"/>
          <w:lang w:val="es-ES" w:eastAsia="es-ES"/>
        </w:rPr>
        <w:t>.</w:t>
      </w:r>
    </w:p>
    <w:p w14:paraId="67A037D8" w14:textId="77777777" w:rsidR="0080580F" w:rsidRDefault="0080580F" w:rsidP="0080580F">
      <w:pPr>
        <w:spacing w:before="120" w:after="0" w:line="276" w:lineRule="auto"/>
        <w:ind w:firstLine="708"/>
        <w:jc w:val="both"/>
        <w:rPr>
          <w:rFonts w:ascii="Verdana" w:hAnsi="Verdana" w:cs="Arial"/>
          <w:lang w:val="es-ES" w:eastAsia="es-ES"/>
        </w:rPr>
      </w:pPr>
      <w:r w:rsidRPr="00371A1F">
        <w:rPr>
          <w:rFonts w:ascii="Verdana" w:hAnsi="Verdana" w:cs="Arial"/>
          <w:lang w:val="es-ES" w:eastAsia="es-ES"/>
        </w:rPr>
        <w:t xml:space="preserve">Tratándose de los </w:t>
      </w:r>
      <w:r w:rsidRPr="00371A1F">
        <w:rPr>
          <w:rFonts w:ascii="Verdana" w:hAnsi="Verdana" w:cs="Arial"/>
          <w:i/>
          <w:iCs/>
          <w:lang w:val="es-ES" w:eastAsia="es-ES"/>
        </w:rPr>
        <w:t>imprevistos</w:t>
      </w:r>
      <w:r w:rsidRPr="00371A1F">
        <w:rPr>
          <w:rFonts w:ascii="Verdana" w:hAnsi="Verdana" w:cs="Arial"/>
          <w:lang w:val="es-ES" w:eastAsia="es-ES"/>
        </w:rPr>
        <w:t xml:space="preserve">, </w:t>
      </w:r>
      <w:r>
        <w:rPr>
          <w:rFonts w:ascii="Verdana" w:hAnsi="Verdana" w:cs="Arial"/>
          <w:lang w:val="es-ES" w:eastAsia="es-ES"/>
        </w:rPr>
        <w:t>éstos constituyen</w:t>
      </w:r>
      <w:r w:rsidRPr="00494109">
        <w:rPr>
          <w:rFonts w:ascii="Verdana" w:hAnsi="Verdana" w:cs="Arial"/>
          <w:lang w:val="es-ES" w:eastAsia="es-ES"/>
        </w:rPr>
        <w:t xml:space="preserve"> una partida destinada a cubrir gastos no contemplados expresamente en la oferta, pero que suelen presentarse durante la ejecución normal del proyecto</w:t>
      </w:r>
      <w:r>
        <w:rPr>
          <w:rFonts w:ascii="Verdana" w:hAnsi="Verdana" w:cs="Arial"/>
          <w:lang w:val="es-ES" w:eastAsia="es-ES"/>
        </w:rPr>
        <w:t xml:space="preserve">. </w:t>
      </w:r>
      <w:r w:rsidRPr="00494109">
        <w:rPr>
          <w:rFonts w:ascii="Verdana" w:hAnsi="Verdana" w:cs="Arial"/>
          <w:lang w:val="es-ES" w:eastAsia="es-ES"/>
        </w:rPr>
        <w:t xml:space="preserve">Se trata de costos adicionales inherentes al desarrollo ordinario </w:t>
      </w:r>
      <w:r>
        <w:rPr>
          <w:rFonts w:ascii="Verdana" w:hAnsi="Verdana" w:cs="Arial"/>
          <w:lang w:val="es-ES" w:eastAsia="es-ES"/>
        </w:rPr>
        <w:t>de la actividad contratada,</w:t>
      </w:r>
      <w:r w:rsidRPr="00494109">
        <w:rPr>
          <w:rFonts w:ascii="Verdana" w:hAnsi="Verdana" w:cs="Arial"/>
          <w:lang w:val="es-ES" w:eastAsia="es-ES"/>
        </w:rPr>
        <w:t xml:space="preserve"> cuya ocurrencia </w:t>
      </w:r>
      <w:r>
        <w:rPr>
          <w:rFonts w:ascii="Verdana" w:hAnsi="Verdana" w:cs="Arial"/>
          <w:lang w:val="es-ES" w:eastAsia="es-ES"/>
        </w:rPr>
        <w:t xml:space="preserve">–por ser parte del alea normal del negocio– </w:t>
      </w:r>
      <w:r w:rsidRPr="00494109">
        <w:rPr>
          <w:rFonts w:ascii="Verdana" w:hAnsi="Verdana" w:cs="Arial"/>
          <w:lang w:val="es-ES" w:eastAsia="es-ES"/>
        </w:rPr>
        <w:t xml:space="preserve">es posible y esperada, aunque </w:t>
      </w:r>
      <w:r>
        <w:rPr>
          <w:rFonts w:ascii="Verdana" w:hAnsi="Verdana" w:cs="Arial"/>
          <w:lang w:val="es-ES" w:eastAsia="es-ES"/>
        </w:rPr>
        <w:t>sea incierto tanto el momento en que se causa</w:t>
      </w:r>
      <w:r w:rsidRPr="00494109">
        <w:rPr>
          <w:rFonts w:ascii="Verdana" w:hAnsi="Verdana" w:cs="Arial"/>
          <w:lang w:val="es-ES" w:eastAsia="es-ES"/>
        </w:rPr>
        <w:t xml:space="preserve"> </w:t>
      </w:r>
      <w:r>
        <w:rPr>
          <w:rFonts w:ascii="Verdana" w:hAnsi="Verdana" w:cs="Arial"/>
          <w:lang w:val="es-ES" w:eastAsia="es-ES"/>
        </w:rPr>
        <w:t>como su</w:t>
      </w:r>
      <w:r w:rsidRPr="00494109">
        <w:rPr>
          <w:rFonts w:ascii="Verdana" w:hAnsi="Verdana" w:cs="Arial"/>
          <w:lang w:val="es-ES" w:eastAsia="es-ES"/>
        </w:rPr>
        <w:t xml:space="preserve"> cuantía</w:t>
      </w:r>
      <w:r>
        <w:rPr>
          <w:rFonts w:ascii="Verdana" w:hAnsi="Verdana" w:cs="Arial"/>
          <w:lang w:val="es-ES" w:eastAsia="es-ES"/>
        </w:rPr>
        <w:t xml:space="preserve">. Para la doctrina, “[…] </w:t>
      </w:r>
      <w:r w:rsidRPr="00BB09DB">
        <w:rPr>
          <w:rFonts w:ascii="Verdana" w:hAnsi="Verdana" w:cs="Arial"/>
          <w:lang w:val="es-ES" w:eastAsia="es-ES"/>
        </w:rPr>
        <w:t xml:space="preserve">es el caso de la sobre remuneración que se paga al personal; la adquisición de materiales a un precio mayor al calculado; el pago de conceptos o </w:t>
      </w:r>
      <w:proofErr w:type="spellStart"/>
      <w:r w:rsidRPr="00BB09DB">
        <w:rPr>
          <w:rFonts w:ascii="Verdana" w:hAnsi="Verdana" w:cs="Arial"/>
          <w:lang w:val="es-ES" w:eastAsia="es-ES"/>
        </w:rPr>
        <w:t>experticios</w:t>
      </w:r>
      <w:proofErr w:type="spellEnd"/>
      <w:r w:rsidRPr="00BB09DB">
        <w:rPr>
          <w:rFonts w:ascii="Verdana" w:hAnsi="Verdana" w:cs="Arial"/>
          <w:lang w:val="es-ES" w:eastAsia="es-ES"/>
        </w:rPr>
        <w:t xml:space="preserve"> técnicos necesarios para evaluar una tarea o trabajo no previsto; la reparación de maquinaria; el alquiler de equipos que no se habían contemplado</w:t>
      </w:r>
      <w:r>
        <w:rPr>
          <w:rFonts w:ascii="Verdana" w:hAnsi="Verdana" w:cs="Arial"/>
          <w:lang w:val="es-ES" w:eastAsia="es-ES"/>
        </w:rPr>
        <w:t>, entre otros […]”</w:t>
      </w:r>
      <w:r>
        <w:rPr>
          <w:rStyle w:val="Refdenotaalpie"/>
          <w:rFonts w:ascii="Verdana" w:hAnsi="Verdana" w:cs="Arial"/>
          <w:lang w:val="es-ES" w:eastAsia="es-ES"/>
        </w:rPr>
        <w:footnoteReference w:id="19"/>
      </w:r>
      <w:r>
        <w:rPr>
          <w:rFonts w:ascii="Verdana" w:hAnsi="Verdana" w:cs="Arial"/>
          <w:lang w:val="es-ES" w:eastAsia="es-ES"/>
        </w:rPr>
        <w:t>.</w:t>
      </w:r>
    </w:p>
    <w:p w14:paraId="088B5794" w14:textId="77777777" w:rsidR="0080580F" w:rsidRDefault="0080580F" w:rsidP="4F3DA362">
      <w:pPr>
        <w:spacing w:before="120" w:after="0" w:line="276" w:lineRule="auto"/>
        <w:ind w:firstLine="708"/>
        <w:jc w:val="both"/>
        <w:rPr>
          <w:rFonts w:ascii="Verdana" w:hAnsi="Verdana" w:cs="Arial"/>
          <w:lang w:eastAsia="es-ES"/>
        </w:rPr>
      </w:pPr>
      <w:r w:rsidRPr="4F3DA362">
        <w:rPr>
          <w:rFonts w:ascii="Verdana" w:hAnsi="Verdana" w:cs="Arial"/>
          <w:lang w:eastAsia="es-ES"/>
        </w:rPr>
        <w:t>Estos imprevistos son diferentes a las situaciones que corresponden a contingencias extraordinarias, imprevisibles y no controlables por las partes –como los desastres naturales, por ejemplo– que generan un impacto grave y exceden la ejecución ordinaria del contrato. Es decir, “[…] la I como parte del precio no debe confundirse con los riesgos del contrato que conducen al desequilibrio financiero, porque mientras aquélla se refiere a la parte de los gastos extraordinarios que se presentan en el día a día de una obra, pero que son ‘normales’ en su desarrollo; éstos aluden a las contingencias que exceden la ejecución ordinaria del contrato y la capacidad de soportarlas […]”</w:t>
      </w:r>
      <w:r w:rsidRPr="4F3DA362">
        <w:rPr>
          <w:rStyle w:val="Refdenotaalpie"/>
          <w:rFonts w:ascii="Verdana" w:hAnsi="Verdana" w:cs="Arial"/>
          <w:lang w:eastAsia="es-ES"/>
        </w:rPr>
        <w:footnoteReference w:id="20"/>
      </w:r>
      <w:r w:rsidRPr="4F3DA362">
        <w:rPr>
          <w:rFonts w:ascii="Verdana" w:hAnsi="Verdana" w:cs="Arial"/>
          <w:lang w:eastAsia="es-ES"/>
        </w:rPr>
        <w:t>. Mientras los primeros integran el precio y forman parte del riesgo normal asumido por el contratista, los segundos pueden dar lugar restablecimiento de la ecuación económica, ya que su asignación no siempre es clara y puede requerir decisión judicial para determinar quién debe asumir su costo</w:t>
      </w:r>
      <w:r w:rsidRPr="4F3DA362">
        <w:rPr>
          <w:rStyle w:val="Refdenotaalpie"/>
          <w:rFonts w:ascii="Verdana" w:hAnsi="Verdana" w:cs="Arial"/>
          <w:lang w:eastAsia="es-ES"/>
        </w:rPr>
        <w:footnoteReference w:id="21"/>
      </w:r>
      <w:r w:rsidRPr="4F3DA362">
        <w:rPr>
          <w:rFonts w:ascii="Verdana" w:hAnsi="Verdana" w:cs="Arial"/>
          <w:lang w:eastAsia="es-ES"/>
        </w:rPr>
        <w:t xml:space="preserve">. </w:t>
      </w:r>
    </w:p>
    <w:p w14:paraId="64AB70C7" w14:textId="77777777" w:rsidR="0080580F" w:rsidRPr="00371A1F" w:rsidRDefault="0080580F" w:rsidP="0080580F">
      <w:pPr>
        <w:spacing w:before="120" w:after="0" w:line="276" w:lineRule="auto"/>
        <w:ind w:firstLine="708"/>
        <w:jc w:val="both"/>
        <w:rPr>
          <w:rFonts w:ascii="Verdana" w:hAnsi="Verdana" w:cs="Arial"/>
          <w:lang w:val="es-ES" w:eastAsia="es-ES"/>
        </w:rPr>
      </w:pPr>
      <w:r>
        <w:rPr>
          <w:rFonts w:ascii="Verdana" w:hAnsi="Verdana" w:cs="Arial"/>
          <w:lang w:val="es-ES" w:eastAsia="es-ES"/>
        </w:rPr>
        <w:t xml:space="preserve">Asimismo, </w:t>
      </w:r>
      <w:r w:rsidRPr="00371A1F">
        <w:rPr>
          <w:rFonts w:ascii="Verdana" w:hAnsi="Verdana" w:cs="Arial"/>
          <w:lang w:val="es-ES" w:eastAsia="es-ES"/>
        </w:rPr>
        <w:t xml:space="preserve">es necesario tener en cuenta que la Contraloría General de la República replanteó las conclusiones de los Conceptos OJ-0043 y 0J-0075 de 2019, así como del Concepto OJ-130 de 2020. Si bien en ellos sostenía que “[…] </w:t>
      </w:r>
      <w:r w:rsidRPr="00371A1F">
        <w:rPr>
          <w:rFonts w:ascii="Verdana" w:hAnsi="Verdana" w:cs="Arial"/>
          <w:lang w:val="es-ES" w:eastAsia="es-ES"/>
        </w:rPr>
        <w:lastRenderedPageBreak/>
        <w:t>los imprevistos no forman parte de la utilidad del contratista, razón por la cual las entidades públicas, al momento de liquidar los contratos deberán analizar las condiciones de ejecución de los mismos y con base en éstas, determinar si se concretaron o no los riesgos imprevisibles a los que estaba destinado dicho rubro y de ser así en qué proporción fue afectado”, dicha tesis cambió a partir del Concepto OJ-083 de 2022 reiterado en el Concepto OJ 093 de la misma anualidad. Así, la Contraloría General de la República estima que:</w:t>
      </w:r>
    </w:p>
    <w:p w14:paraId="20125BFC" w14:textId="77777777" w:rsidR="0080580F" w:rsidRPr="00371A1F" w:rsidRDefault="0080580F" w:rsidP="0080580F">
      <w:pPr>
        <w:spacing w:after="0" w:line="276" w:lineRule="auto"/>
        <w:ind w:firstLine="708"/>
        <w:jc w:val="both"/>
        <w:rPr>
          <w:rFonts w:ascii="Verdana" w:hAnsi="Verdana" w:cs="Arial"/>
          <w:lang w:val="es-ES" w:eastAsia="es-ES"/>
        </w:rPr>
      </w:pPr>
    </w:p>
    <w:p w14:paraId="7B5F9647" w14:textId="77777777" w:rsidR="0080580F" w:rsidRPr="00BC4483" w:rsidRDefault="0080580F" w:rsidP="0080580F">
      <w:pPr>
        <w:spacing w:after="0" w:line="240" w:lineRule="auto"/>
        <w:ind w:left="709" w:right="709"/>
        <w:jc w:val="both"/>
        <w:rPr>
          <w:rFonts w:ascii="Verdana" w:hAnsi="Verdana" w:cs="Arial"/>
          <w:sz w:val="20"/>
          <w:szCs w:val="20"/>
          <w:lang w:val="es-ES" w:eastAsia="es-ES"/>
        </w:rPr>
      </w:pPr>
      <w:r w:rsidRPr="00BC4483">
        <w:rPr>
          <w:rFonts w:ascii="Verdana" w:hAnsi="Verdana" w:cs="Arial"/>
          <w:sz w:val="20"/>
          <w:szCs w:val="20"/>
          <w:lang w:val="es-ES" w:eastAsia="es-ES"/>
        </w:rPr>
        <w:t>“Cuando las entidades públicas deciden incluir en el valor de los contratos los costos de administración imprevistos y utilidad, A.I.U. tienen autonomía para pactar las condiciones para su reconocimiento y pago. En ejercicio de dicha autonomía, las entidades pueden decidir que no se exigirá al contratista que rinda cuentas sobre la partida de imprevistos o que lo haga, en determinadas condiciones.</w:t>
      </w:r>
    </w:p>
    <w:p w14:paraId="1D1529CA" w14:textId="77777777" w:rsidR="0080580F" w:rsidRPr="00BC4483" w:rsidRDefault="0080580F" w:rsidP="0080580F">
      <w:pPr>
        <w:spacing w:after="0" w:line="240" w:lineRule="auto"/>
        <w:ind w:left="709" w:right="709"/>
        <w:jc w:val="both"/>
        <w:rPr>
          <w:rFonts w:ascii="Verdana" w:hAnsi="Verdana" w:cs="Arial"/>
          <w:sz w:val="20"/>
          <w:szCs w:val="20"/>
          <w:lang w:val="es-ES" w:eastAsia="es-ES"/>
        </w:rPr>
      </w:pPr>
      <w:r w:rsidRPr="00BC4483">
        <w:rPr>
          <w:rFonts w:ascii="Verdana" w:hAnsi="Verdana" w:cs="Arial"/>
          <w:sz w:val="20"/>
          <w:szCs w:val="20"/>
          <w:lang w:val="es-ES" w:eastAsia="es-ES"/>
        </w:rPr>
        <w:t>[…]</w:t>
      </w:r>
    </w:p>
    <w:p w14:paraId="4FF0F7EF" w14:textId="77777777" w:rsidR="0080580F" w:rsidRPr="00BC4483" w:rsidRDefault="0080580F" w:rsidP="0080580F">
      <w:pPr>
        <w:spacing w:before="120" w:after="0" w:line="240" w:lineRule="auto"/>
        <w:ind w:left="709" w:right="709"/>
        <w:jc w:val="both"/>
        <w:rPr>
          <w:rFonts w:ascii="Verdana" w:hAnsi="Verdana" w:cs="Arial"/>
          <w:sz w:val="20"/>
          <w:szCs w:val="20"/>
          <w:lang w:val="es-ES" w:eastAsia="es-ES"/>
        </w:rPr>
      </w:pPr>
      <w:r w:rsidRPr="00BC4483">
        <w:rPr>
          <w:rFonts w:ascii="Verdana" w:hAnsi="Verdana" w:cs="Arial"/>
          <w:sz w:val="20"/>
          <w:szCs w:val="20"/>
          <w:lang w:val="es-ES" w:eastAsia="es-ES"/>
        </w:rPr>
        <w:t xml:space="preserve">La obligación del contratista de demostrar si ocurrieron hechos que impacta la partida de imprevistos, dependerá de las condiciones que fueron fijadas en cada caso en el respectivo pliego de condiciones y en el contrato. </w:t>
      </w:r>
    </w:p>
    <w:p w14:paraId="6A646596" w14:textId="77777777" w:rsidR="0080580F" w:rsidRPr="00315F83" w:rsidRDefault="0080580F" w:rsidP="0080580F">
      <w:pPr>
        <w:spacing w:before="120" w:after="0" w:line="240" w:lineRule="auto"/>
        <w:ind w:left="709" w:right="709"/>
        <w:jc w:val="both"/>
        <w:rPr>
          <w:rFonts w:ascii="Verdana" w:hAnsi="Verdana" w:cs="Arial"/>
          <w:sz w:val="21"/>
          <w:szCs w:val="21"/>
          <w:lang w:val="es-ES" w:eastAsia="es-ES"/>
        </w:rPr>
      </w:pPr>
      <w:r w:rsidRPr="00BC4483">
        <w:rPr>
          <w:rFonts w:ascii="Verdana" w:hAnsi="Verdana" w:cs="Arial"/>
          <w:sz w:val="20"/>
          <w:szCs w:val="20"/>
          <w:lang w:val="es-ES" w:eastAsia="es-ES"/>
        </w:rPr>
        <w:t>Las entidades contratantes deben determinar, en cada caso, según las condiciones que fueron definida para el reconocimiento y pago del A.I.U. si el pago de la partida de imprevistos debe corresponder al porcentaje fijado en la oferta económica para ello”.</w:t>
      </w:r>
    </w:p>
    <w:p w14:paraId="289A1C90" w14:textId="77777777" w:rsidR="0080580F" w:rsidRDefault="0080580F" w:rsidP="0080580F">
      <w:pPr>
        <w:spacing w:after="0" w:line="276" w:lineRule="auto"/>
        <w:jc w:val="both"/>
        <w:rPr>
          <w:rFonts w:ascii="Verdana" w:hAnsi="Verdana" w:cs="Arial"/>
          <w:lang w:val="es-ES" w:eastAsia="es-ES"/>
        </w:rPr>
      </w:pPr>
    </w:p>
    <w:p w14:paraId="3B467776" w14:textId="77777777" w:rsidR="0080580F" w:rsidRDefault="0080580F" w:rsidP="0080580F">
      <w:pPr>
        <w:spacing w:after="120" w:line="276" w:lineRule="auto"/>
        <w:ind w:firstLine="709"/>
        <w:jc w:val="both"/>
        <w:rPr>
          <w:rFonts w:ascii="Verdana" w:hAnsi="Verdana" w:cs="Arial"/>
          <w:lang w:val="es-ES" w:eastAsia="es-ES"/>
        </w:rPr>
      </w:pPr>
      <w:r>
        <w:rPr>
          <w:rFonts w:ascii="Verdana" w:hAnsi="Verdana" w:cs="Arial"/>
          <w:lang w:val="es-ES" w:eastAsia="es-ES"/>
        </w:rPr>
        <w:t>Sin embargo, la Contraloría</w:t>
      </w:r>
      <w:r w:rsidRPr="00722538">
        <w:rPr>
          <w:rFonts w:ascii="Verdana" w:hAnsi="Verdana" w:cs="Arial"/>
          <w:lang w:val="es-ES" w:eastAsia="es-ES"/>
        </w:rPr>
        <w:t xml:space="preserve"> </w:t>
      </w:r>
      <w:r>
        <w:rPr>
          <w:rFonts w:ascii="Verdana" w:hAnsi="Verdana" w:cs="Arial"/>
          <w:lang w:val="es-ES" w:eastAsia="es-ES"/>
        </w:rPr>
        <w:t>retoma la línea inicial</w:t>
      </w:r>
      <w:r w:rsidRPr="006474CD">
        <w:rPr>
          <w:rFonts w:ascii="Verdana" w:hAnsi="Verdana" w:cs="Arial"/>
          <w:lang w:val="es-ES" w:eastAsia="es-ES"/>
        </w:rPr>
        <w:t xml:space="preserve"> </w:t>
      </w:r>
      <w:r>
        <w:rPr>
          <w:rFonts w:ascii="Verdana" w:hAnsi="Verdana" w:cs="Arial"/>
          <w:lang w:val="es-ES" w:eastAsia="es-ES"/>
        </w:rPr>
        <w:t>en e</w:t>
      </w:r>
      <w:r w:rsidRPr="00722538">
        <w:rPr>
          <w:rFonts w:ascii="Verdana" w:hAnsi="Verdana" w:cs="Arial"/>
          <w:lang w:val="es-ES" w:eastAsia="es-ES"/>
        </w:rPr>
        <w:t xml:space="preserve">l </w:t>
      </w:r>
      <w:r>
        <w:rPr>
          <w:rFonts w:ascii="Verdana" w:hAnsi="Verdana" w:cs="Arial"/>
          <w:lang w:val="es-ES" w:eastAsia="es-ES"/>
        </w:rPr>
        <w:t>C</w:t>
      </w:r>
      <w:r w:rsidRPr="00722538">
        <w:rPr>
          <w:rFonts w:ascii="Verdana" w:hAnsi="Verdana" w:cs="Arial"/>
          <w:lang w:val="es-ES" w:eastAsia="es-ES"/>
        </w:rPr>
        <w:t>oncepto CGR-OJ-139 de 2025</w:t>
      </w:r>
      <w:r>
        <w:rPr>
          <w:rFonts w:ascii="Verdana" w:hAnsi="Verdana" w:cs="Arial"/>
          <w:lang w:val="es-ES" w:eastAsia="es-ES"/>
        </w:rPr>
        <w:t xml:space="preserve">, por lo que </w:t>
      </w:r>
      <w:r w:rsidRPr="006474CD">
        <w:rPr>
          <w:rFonts w:ascii="Verdana" w:hAnsi="Verdana" w:cs="Arial"/>
          <w:lang w:val="es-ES" w:eastAsia="es-ES"/>
        </w:rPr>
        <w:t>privilegia la demostración de</w:t>
      </w:r>
      <w:r>
        <w:rPr>
          <w:rFonts w:ascii="Verdana" w:hAnsi="Verdana" w:cs="Arial"/>
          <w:lang w:val="es-ES" w:eastAsia="es-ES"/>
        </w:rPr>
        <w:t xml:space="preserve"> </w:t>
      </w:r>
      <w:r w:rsidRPr="006474CD">
        <w:rPr>
          <w:rFonts w:ascii="Verdana" w:hAnsi="Verdana" w:cs="Arial"/>
          <w:lang w:val="es-ES" w:eastAsia="es-ES"/>
        </w:rPr>
        <w:t>l</w:t>
      </w:r>
      <w:r>
        <w:rPr>
          <w:rFonts w:ascii="Verdana" w:hAnsi="Verdana" w:cs="Arial"/>
          <w:lang w:val="es-ES" w:eastAsia="es-ES"/>
        </w:rPr>
        <w:t>os</w:t>
      </w:r>
      <w:r w:rsidRPr="006474CD">
        <w:rPr>
          <w:rFonts w:ascii="Verdana" w:hAnsi="Verdana" w:cs="Arial"/>
          <w:lang w:val="es-ES" w:eastAsia="es-ES"/>
        </w:rPr>
        <w:t xml:space="preserve"> imprevisto</w:t>
      </w:r>
      <w:r>
        <w:rPr>
          <w:rFonts w:ascii="Verdana" w:hAnsi="Verdana" w:cs="Arial"/>
          <w:lang w:val="es-ES" w:eastAsia="es-ES"/>
        </w:rPr>
        <w:t>s</w:t>
      </w:r>
      <w:r w:rsidRPr="006474CD">
        <w:rPr>
          <w:rFonts w:ascii="Verdana" w:hAnsi="Verdana" w:cs="Arial"/>
          <w:lang w:val="es-ES" w:eastAsia="es-ES"/>
        </w:rPr>
        <w:t xml:space="preserve"> como condición para su pago.</w:t>
      </w:r>
      <w:r>
        <w:rPr>
          <w:rFonts w:ascii="Verdana" w:hAnsi="Verdana" w:cs="Arial"/>
          <w:lang w:val="es-ES" w:eastAsia="es-ES"/>
        </w:rPr>
        <w:t xml:space="preserve"> Para estos efectos, estima que “[…] </w:t>
      </w:r>
      <w:r w:rsidRPr="005E5163">
        <w:rPr>
          <w:rFonts w:ascii="Verdana" w:hAnsi="Verdana" w:cs="Arial"/>
          <w:lang w:val="es-ES" w:eastAsia="es-ES"/>
        </w:rPr>
        <w:t>al ser</w:t>
      </w:r>
      <w:r>
        <w:rPr>
          <w:rFonts w:ascii="Verdana" w:hAnsi="Verdana" w:cs="Arial"/>
          <w:lang w:val="es-ES" w:eastAsia="es-ES"/>
        </w:rPr>
        <w:t xml:space="preserve"> </w:t>
      </w:r>
      <w:r w:rsidRPr="005E5163">
        <w:rPr>
          <w:rFonts w:ascii="Verdana" w:hAnsi="Verdana" w:cs="Arial"/>
          <w:lang w:val="es-ES" w:eastAsia="es-ES"/>
        </w:rPr>
        <w:t>independiente y cumplir una función diferente, el componente de Imprevistos, s</w:t>
      </w:r>
      <w:r>
        <w:rPr>
          <w:rFonts w:ascii="Verdana" w:hAnsi="Verdana" w:cs="Arial"/>
          <w:lang w:val="es-ES" w:eastAsia="es-ES"/>
        </w:rPr>
        <w:t>í</w:t>
      </w:r>
      <w:r w:rsidRPr="005E5163">
        <w:rPr>
          <w:rFonts w:ascii="Verdana" w:hAnsi="Verdana" w:cs="Arial"/>
          <w:lang w:val="es-ES" w:eastAsia="es-ES"/>
        </w:rPr>
        <w:t xml:space="preserve"> debe</w:t>
      </w:r>
      <w:r>
        <w:rPr>
          <w:rFonts w:ascii="Verdana" w:hAnsi="Verdana" w:cs="Arial"/>
          <w:lang w:val="es-ES" w:eastAsia="es-ES"/>
        </w:rPr>
        <w:t xml:space="preserve"> </w:t>
      </w:r>
      <w:r w:rsidRPr="005E5163">
        <w:rPr>
          <w:rFonts w:ascii="Verdana" w:hAnsi="Verdana" w:cs="Arial"/>
          <w:lang w:val="es-ES" w:eastAsia="es-ES"/>
        </w:rPr>
        <w:t xml:space="preserve">ser demostrado, puesto que, la apropiación </w:t>
      </w:r>
      <w:proofErr w:type="gramStart"/>
      <w:r w:rsidRPr="005E5163">
        <w:rPr>
          <w:rFonts w:ascii="Verdana" w:hAnsi="Verdana" w:cs="Arial"/>
          <w:lang w:val="es-ES" w:eastAsia="es-ES"/>
        </w:rPr>
        <w:t>del mismo</w:t>
      </w:r>
      <w:proofErr w:type="gramEnd"/>
      <w:r w:rsidRPr="005E5163">
        <w:rPr>
          <w:rFonts w:ascii="Verdana" w:hAnsi="Verdana" w:cs="Arial"/>
          <w:lang w:val="es-ES" w:eastAsia="es-ES"/>
        </w:rPr>
        <w:t>, sin justificación técnica, fáctica</w:t>
      </w:r>
      <w:r>
        <w:rPr>
          <w:rFonts w:ascii="Verdana" w:hAnsi="Verdana" w:cs="Arial"/>
          <w:lang w:val="es-ES" w:eastAsia="es-ES"/>
        </w:rPr>
        <w:t xml:space="preserve"> </w:t>
      </w:r>
      <w:r w:rsidRPr="005E5163">
        <w:rPr>
          <w:rFonts w:ascii="Verdana" w:hAnsi="Verdana" w:cs="Arial"/>
          <w:lang w:val="es-ES" w:eastAsia="es-ES"/>
        </w:rPr>
        <w:t>o contractual, iría en contra de los principios de buena fe y equidad en la contratación</w:t>
      </w:r>
      <w:r>
        <w:rPr>
          <w:rFonts w:ascii="Verdana" w:hAnsi="Verdana" w:cs="Arial"/>
          <w:lang w:val="es-ES" w:eastAsia="es-ES"/>
        </w:rPr>
        <w:t xml:space="preserve"> </w:t>
      </w:r>
      <w:r w:rsidRPr="005E5163">
        <w:rPr>
          <w:rFonts w:ascii="Verdana" w:hAnsi="Verdana" w:cs="Arial"/>
          <w:lang w:val="es-ES" w:eastAsia="es-ES"/>
        </w:rPr>
        <w:t>estatal</w:t>
      </w:r>
      <w:r>
        <w:rPr>
          <w:rFonts w:ascii="Verdana" w:hAnsi="Verdana" w:cs="Arial"/>
          <w:lang w:val="es-ES" w:eastAsia="es-ES"/>
        </w:rPr>
        <w:t xml:space="preserve"> […]”</w:t>
      </w:r>
      <w:r w:rsidRPr="005E5163">
        <w:rPr>
          <w:rFonts w:ascii="Verdana" w:hAnsi="Verdana" w:cs="Arial"/>
          <w:lang w:val="es-ES" w:eastAsia="es-ES"/>
        </w:rPr>
        <w:t>.</w:t>
      </w:r>
      <w:r>
        <w:rPr>
          <w:rFonts w:ascii="Verdana" w:hAnsi="Verdana" w:cs="Arial"/>
          <w:lang w:val="es-ES" w:eastAsia="es-ES"/>
        </w:rPr>
        <w:t xml:space="preserve"> </w:t>
      </w:r>
    </w:p>
    <w:p w14:paraId="1961B7B8" w14:textId="77777777" w:rsidR="0080580F" w:rsidRDefault="0080580F" w:rsidP="0080580F">
      <w:pPr>
        <w:spacing w:after="0" w:line="276" w:lineRule="auto"/>
        <w:ind w:firstLine="709"/>
        <w:jc w:val="both"/>
        <w:rPr>
          <w:rFonts w:ascii="Verdana" w:hAnsi="Verdana" w:cs="Arial"/>
          <w:lang w:val="es-ES" w:eastAsia="es-ES"/>
        </w:rPr>
      </w:pPr>
      <w:r>
        <w:rPr>
          <w:rFonts w:ascii="Verdana" w:hAnsi="Verdana" w:cs="Arial"/>
          <w:lang w:val="es-ES" w:eastAsia="es-ES"/>
        </w:rPr>
        <w:t>Pese a que la postura del órgano de control ha sido cambiante y no se encuentra unificada</w:t>
      </w:r>
      <w:r w:rsidRPr="008335E8">
        <w:rPr>
          <w:rFonts w:ascii="Verdana" w:hAnsi="Verdana" w:cs="Arial"/>
          <w:lang w:val="es-ES" w:eastAsia="es-ES"/>
        </w:rPr>
        <w:t xml:space="preserve">, </w:t>
      </w:r>
      <w:r>
        <w:rPr>
          <w:rFonts w:ascii="Verdana" w:hAnsi="Verdana" w:cs="Arial"/>
          <w:lang w:val="es-ES" w:eastAsia="es-ES"/>
        </w:rPr>
        <w:t xml:space="preserve">Colombia Compra Eficiente considera que </w:t>
      </w:r>
      <w:r w:rsidRPr="008335E8">
        <w:rPr>
          <w:rFonts w:ascii="Verdana" w:hAnsi="Verdana" w:cs="Arial"/>
          <w:lang w:val="es-ES" w:eastAsia="es-ES"/>
        </w:rPr>
        <w:t xml:space="preserve">las entidades cuentan con discrecionalidad para establecer en el pliego de condiciones o en su documento equivalente, así como en el contrato, el sistema de precios unitarios y la figura del AIU. De este modo, teniendo en cuenta el concepto de AIU, ni la forma de calcularlo son aspectos que cuenten con una regulación normativa en materia contractual del Estado, la determinación de los componentes del AIU </w:t>
      </w:r>
      <w:r w:rsidRPr="008335E8">
        <w:rPr>
          <w:rFonts w:ascii="Verdana" w:hAnsi="Verdana" w:cs="Arial"/>
          <w:lang w:val="es-ES" w:eastAsia="es-ES"/>
        </w:rPr>
        <w:lastRenderedPageBreak/>
        <w:t>dependerá del análisis particular que realice la entidad en relación con el presupuesto estimado del valor de la ejecución del contrato que, a su vez, sirve de guía para que los proponentes formulen sus ofertas.</w:t>
      </w:r>
    </w:p>
    <w:p w14:paraId="54D1DD1E" w14:textId="77777777" w:rsidR="0080580F" w:rsidRDefault="0080580F" w:rsidP="0080580F">
      <w:pPr>
        <w:spacing w:before="120" w:after="0" w:line="276" w:lineRule="auto"/>
        <w:ind w:firstLine="709"/>
        <w:jc w:val="both"/>
        <w:rPr>
          <w:rFonts w:ascii="Verdana" w:hAnsi="Verdana" w:cs="Arial"/>
          <w:lang w:val="es-ES" w:eastAsia="es-ES"/>
        </w:rPr>
      </w:pPr>
      <w:r w:rsidRPr="00104C20">
        <w:rPr>
          <w:rFonts w:ascii="Verdana" w:hAnsi="Verdana" w:cs="Arial"/>
          <w:lang w:val="es-ES" w:eastAsia="es-ES"/>
        </w:rPr>
        <w:t xml:space="preserve">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unitarios y la figura del AIU; modelo que, como se indicó, es más pertinente para los contratos de tracto sucesivo, como el de obra. </w:t>
      </w:r>
    </w:p>
    <w:p w14:paraId="121CA87C" w14:textId="77777777" w:rsidR="0080580F" w:rsidRDefault="0080580F" w:rsidP="0080580F">
      <w:pPr>
        <w:spacing w:before="120" w:after="0" w:line="276" w:lineRule="auto"/>
        <w:ind w:firstLine="709"/>
        <w:jc w:val="both"/>
        <w:rPr>
          <w:rFonts w:ascii="Verdana" w:hAnsi="Verdana" w:cs="Arial"/>
          <w:lang w:val="es-ES" w:eastAsia="es-ES"/>
        </w:rPr>
      </w:pPr>
      <w:r>
        <w:rPr>
          <w:rFonts w:ascii="Verdana" w:hAnsi="Verdana" w:cs="Arial"/>
          <w:lang w:val="es-ES" w:eastAsia="es-ES"/>
        </w:rPr>
        <w:t xml:space="preserve">Al no existir valores fijos de referencia regulados en la ley o el reglamento, </w:t>
      </w:r>
      <w:r w:rsidRPr="00104C20">
        <w:rPr>
          <w:rFonts w:ascii="Verdana" w:hAnsi="Verdana" w:cs="Arial"/>
          <w:lang w:val="es-ES" w:eastAsia="es-ES"/>
        </w:rPr>
        <w:t>la decisión de incluir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707855B1" w14:textId="77777777" w:rsidR="0080580F" w:rsidRDefault="0080580F" w:rsidP="0080580F">
      <w:pPr>
        <w:spacing w:after="0" w:line="276" w:lineRule="auto"/>
        <w:ind w:firstLine="709"/>
        <w:jc w:val="both"/>
        <w:rPr>
          <w:rFonts w:ascii="Verdana" w:hAnsi="Verdana" w:cs="Arial"/>
          <w:lang w:val="es-ES" w:eastAsia="es-ES"/>
        </w:rPr>
      </w:pPr>
    </w:p>
    <w:p w14:paraId="537C4D6D" w14:textId="77777777" w:rsidR="0080580F" w:rsidRPr="00E97A27" w:rsidRDefault="0080580F" w:rsidP="0080580F">
      <w:pPr>
        <w:widowControl w:val="0"/>
        <w:autoSpaceDE w:val="0"/>
        <w:autoSpaceDN w:val="0"/>
        <w:spacing w:after="0" w:line="276" w:lineRule="auto"/>
        <w:jc w:val="both"/>
        <w:rPr>
          <w:rFonts w:ascii="Verdana" w:eastAsia="Arial" w:hAnsi="Verdana" w:cs="Arial"/>
          <w:color w:val="000000" w:themeColor="text1"/>
          <w:lang w:eastAsia="es-ES" w:bidi="es-ES"/>
        </w:rPr>
      </w:pPr>
      <w:proofErr w:type="spellStart"/>
      <w:r>
        <w:rPr>
          <w:rFonts w:ascii="Verdana" w:hAnsi="Verdana" w:cs="Arial"/>
          <w:lang w:val="es-ES" w:eastAsia="es-ES"/>
        </w:rPr>
        <w:t>iii</w:t>
      </w:r>
      <w:proofErr w:type="spellEnd"/>
      <w:r>
        <w:rPr>
          <w:rFonts w:ascii="Verdana" w:hAnsi="Verdana" w:cs="Arial"/>
          <w:lang w:val="es-ES" w:eastAsia="es-ES"/>
        </w:rPr>
        <w:t xml:space="preserve">. </w:t>
      </w:r>
      <w:r>
        <w:rPr>
          <w:rFonts w:ascii="Verdana" w:eastAsia="Arial" w:hAnsi="Verdana" w:cs="Arial"/>
          <w:color w:val="000000" w:themeColor="text1"/>
          <w:lang w:val="es-ES" w:eastAsia="es-ES" w:bidi="es-ES"/>
        </w:rPr>
        <w:t>Finalmente, d</w:t>
      </w:r>
      <w:r w:rsidRPr="00E97A27">
        <w:rPr>
          <w:rFonts w:ascii="Verdana" w:eastAsia="Arial" w:hAnsi="Verdana" w:cs="Arial"/>
          <w:color w:val="000000" w:themeColor="text1"/>
          <w:lang w:val="es-ES" w:eastAsia="es-ES" w:bidi="es-ES"/>
        </w:rPr>
        <w:t>e conformidad con el artículo 3 de la Ley 80 de 1993</w:t>
      </w:r>
      <w:r>
        <w:rPr>
          <w:rFonts w:ascii="Verdana" w:eastAsia="Arial" w:hAnsi="Verdana" w:cs="Arial"/>
          <w:color w:val="000000" w:themeColor="text1"/>
          <w:lang w:val="es-ES" w:eastAsia="es-ES" w:bidi="es-ES"/>
        </w:rPr>
        <w:t>,</w:t>
      </w:r>
      <w:r w:rsidRPr="00E97A27">
        <w:rPr>
          <w:rFonts w:ascii="Verdana" w:eastAsia="Arial" w:hAnsi="Verdana" w:cs="Arial"/>
          <w:color w:val="000000" w:themeColor="text1"/>
          <w:lang w:val="es-ES" w:eastAsia="es-ES" w:bidi="es-ES"/>
        </w:rPr>
        <w:t xml:space="preserve"> la celebración y ejecución de los contratos estatales </w:t>
      </w:r>
      <w:r w:rsidRPr="00E97A27">
        <w:rPr>
          <w:rFonts w:ascii="Verdana" w:eastAsia="Arial" w:hAnsi="Verdana" w:cs="Arial"/>
          <w:color w:val="000000" w:themeColor="text1"/>
          <w:lang w:eastAsia="es-ES" w:bidi="es-ES"/>
        </w:rPr>
        <w:t>tiene como fin el cumplimiento de los fines estatales, la continua y eficiente prestación de los servicios públicos y la efectividad de los derechos e intereses de los administrados que colaboran con ellas en la consecución de dichos fines. Por su parte, los particulares que celebran y ejecutan contratos con las entidades estatales tendrán en cuenta que</w:t>
      </w:r>
      <w:r w:rsidRPr="00E97A27">
        <w:rPr>
          <w:rFonts w:ascii="Verdana" w:hAnsi="Verdana" w:cs="Arial"/>
          <w:color w:val="4B4949"/>
          <w:sz w:val="18"/>
          <w:szCs w:val="18"/>
        </w:rPr>
        <w:t xml:space="preserve"> </w:t>
      </w:r>
      <w:r w:rsidRPr="00E97A27">
        <w:rPr>
          <w:rFonts w:ascii="Verdana" w:eastAsia="Arial" w:hAnsi="Verdana" w:cs="Arial"/>
          <w:color w:val="000000" w:themeColor="text1"/>
          <w:lang w:eastAsia="es-ES" w:bidi="es-ES"/>
        </w:rPr>
        <w:t xml:space="preserve">colaboran con ellas en el logro de sus fines y cumplen una función social que, como tal, implica obligaciones. Así, con la celebración del contrato estatal surgen derechos y obligaciones para cada una de las partes que tienen como propósito, por un lado, la continua y eficiente prestación de los servicios públicos y la satisfacción del interés general y por otro lado, generar un beneficio económico para el particular que colabora en su ejecución. </w:t>
      </w:r>
    </w:p>
    <w:p w14:paraId="62B33E9D" w14:textId="77777777" w:rsidR="0080580F" w:rsidRPr="00E97A27" w:rsidRDefault="0080580F" w:rsidP="0080580F">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Pr>
          <w:rFonts w:ascii="Verdana" w:eastAsia="Arial" w:hAnsi="Verdana" w:cs="Arial"/>
          <w:color w:val="000000" w:themeColor="text1"/>
          <w:lang w:eastAsia="es-ES" w:bidi="es-ES"/>
        </w:rPr>
        <w:t xml:space="preserve">Por remisión de los artículos 13, 32 y 40 del EGCAP al derecho privado, el contrato es ley para las partes conforme al artículo 1602 del Código Civil. Sin </w:t>
      </w:r>
      <w:r>
        <w:rPr>
          <w:rFonts w:ascii="Verdana" w:eastAsia="Arial" w:hAnsi="Verdana" w:cs="Arial"/>
          <w:color w:val="000000" w:themeColor="text1"/>
          <w:lang w:eastAsia="es-ES" w:bidi="es-ES"/>
        </w:rPr>
        <w:lastRenderedPageBreak/>
        <w:t xml:space="preserve">embargo, aunque la </w:t>
      </w:r>
      <w:r w:rsidRPr="00752476">
        <w:rPr>
          <w:rFonts w:ascii="Verdana" w:eastAsia="Arial" w:hAnsi="Verdana" w:cs="Arial"/>
          <w:i/>
          <w:iCs/>
          <w:color w:val="000000" w:themeColor="text1"/>
          <w:lang w:eastAsia="es-ES" w:bidi="es-ES"/>
        </w:rPr>
        <w:t>regla general</w:t>
      </w:r>
      <w:r>
        <w:rPr>
          <w:rFonts w:ascii="Verdana" w:eastAsia="Arial" w:hAnsi="Verdana" w:cs="Arial"/>
          <w:color w:val="000000" w:themeColor="text1"/>
          <w:lang w:eastAsia="es-ES" w:bidi="es-ES"/>
        </w:rPr>
        <w:t xml:space="preserve"> es el cumplimiento de los precios pactados, </w:t>
      </w:r>
      <w:r>
        <w:rPr>
          <w:rFonts w:ascii="Verdana" w:eastAsia="Arial" w:hAnsi="Verdana" w:cs="Arial"/>
          <w:i/>
          <w:iCs/>
          <w:color w:val="000000" w:themeColor="text1"/>
          <w:lang w:eastAsia="es-ES" w:bidi="es-ES"/>
        </w:rPr>
        <w:t>de forma excepcional</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pueden surgir circunstancias imprevistas que</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hagan</w:t>
      </w:r>
      <w:r>
        <w:rPr>
          <w:rFonts w:ascii="Verdana" w:eastAsia="Arial" w:hAnsi="Verdana" w:cs="Arial"/>
          <w:color w:val="000000" w:themeColor="text1"/>
          <w:lang w:eastAsia="es-ES" w:bidi="es-ES"/>
        </w:rPr>
        <w:t xml:space="preserve"> la ejecución</w:t>
      </w:r>
      <w:r w:rsidRPr="00752476">
        <w:rPr>
          <w:rFonts w:ascii="Verdana" w:eastAsia="Arial" w:hAnsi="Verdana" w:cs="Arial"/>
          <w:color w:val="000000" w:themeColor="text1"/>
          <w:lang w:eastAsia="es-ES" w:bidi="es-ES"/>
        </w:rPr>
        <w:t xml:space="preserve"> excesivamente gravos</w:t>
      </w:r>
      <w:r>
        <w:rPr>
          <w:rFonts w:ascii="Verdana" w:eastAsia="Arial" w:hAnsi="Verdana" w:cs="Arial"/>
          <w:color w:val="000000" w:themeColor="text1"/>
          <w:lang w:eastAsia="es-ES" w:bidi="es-ES"/>
        </w:rPr>
        <w:t>a</w:t>
      </w:r>
      <w:r w:rsidRPr="00752476">
        <w:rPr>
          <w:rFonts w:ascii="Verdana" w:eastAsia="Arial" w:hAnsi="Verdana" w:cs="Arial"/>
          <w:color w:val="000000" w:themeColor="text1"/>
          <w:lang w:eastAsia="es-ES" w:bidi="es-ES"/>
        </w:rPr>
        <w:t xml:space="preserve">, por lo que se han creado mecanismos para mantener la equidad y el equilibrio entre las </w:t>
      </w:r>
      <w:r>
        <w:rPr>
          <w:rFonts w:ascii="Verdana" w:eastAsia="Arial" w:hAnsi="Verdana" w:cs="Arial"/>
          <w:color w:val="000000" w:themeColor="text1"/>
          <w:lang w:eastAsia="es-ES" w:bidi="es-ES"/>
        </w:rPr>
        <w:t>obligaciones</w:t>
      </w:r>
      <w:r w:rsidRPr="00752476">
        <w:rPr>
          <w:rFonts w:ascii="Verdana" w:eastAsia="Arial" w:hAnsi="Verdana" w:cs="Arial"/>
          <w:color w:val="000000" w:themeColor="text1"/>
          <w:lang w:eastAsia="es-ES" w:bidi="es-ES"/>
        </w:rPr>
        <w:t>.</w:t>
      </w:r>
      <w:r>
        <w:rPr>
          <w:rFonts w:ascii="Verdana" w:eastAsia="Arial" w:hAnsi="Verdana" w:cs="Arial"/>
          <w:color w:val="000000" w:themeColor="text1"/>
          <w:lang w:eastAsia="es-ES" w:bidi="es-ES"/>
        </w:rPr>
        <w:t xml:space="preserve"> </w:t>
      </w:r>
      <w:r w:rsidRPr="00E97A27">
        <w:rPr>
          <w:rFonts w:ascii="Verdana" w:eastAsia="Arial" w:hAnsi="Verdana" w:cs="Arial"/>
          <w:color w:val="000000" w:themeColor="text1"/>
          <w:lang w:eastAsia="es-ES" w:bidi="es-ES"/>
        </w:rPr>
        <w:t>De esta manera, los contratos estatales deben pactar</w:t>
      </w:r>
      <w:r>
        <w:rPr>
          <w:rFonts w:ascii="Verdana" w:eastAsia="Arial" w:hAnsi="Verdana" w:cs="Arial"/>
          <w:color w:val="000000" w:themeColor="text1"/>
          <w:lang w:eastAsia="es-ES" w:bidi="es-ES"/>
        </w:rPr>
        <w:t>se</w:t>
      </w:r>
      <w:r w:rsidRPr="00E97A27">
        <w:rPr>
          <w:rFonts w:ascii="Verdana" w:eastAsia="Arial" w:hAnsi="Verdana" w:cs="Arial"/>
          <w:color w:val="000000" w:themeColor="text1"/>
          <w:lang w:eastAsia="es-ES" w:bidi="es-ES"/>
        </w:rPr>
        <w:t xml:space="preserve"> sobre la base de la interdependencia entre las prestaciones, esto es, que exista reciprocidad entre los derechos y las obligaciones de las entidades y los particulares, de tal forma que estas sean equivalentes y se mantengan durante la ejecución contractual. Esto se fundamenta en el principio del equilibrio financiero del contrato previsto en el artículo 27 de la Ley 80 de 1993 que prescribe lo siguiente: </w:t>
      </w:r>
    </w:p>
    <w:p w14:paraId="1175FC15" w14:textId="77777777" w:rsidR="0080580F" w:rsidRPr="00E97A27" w:rsidRDefault="0080580F" w:rsidP="0080580F">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76546C72" w14:textId="77777777" w:rsidR="0080580F" w:rsidRPr="00AA6517" w:rsidRDefault="0080580F" w:rsidP="0080580F">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“En los contratos estatales se mantendrá la igualdad o equivalencia entre derechos y obligaciones surgidos al momento de proponer o de contratar, según el caso. Si dicha igualdad o equivalencia se rompe por causas no imputables a quien resulte afectado, las partes adoptarán en el menor tiempo posible las medidas necesarias para su restablecimiento. Para tales efectos, las partes suscribirán los acuerdos y pactos necesarios sobre cuantía, condiciones y forma de pago de gastos adicionales, reconocimiento de costos financieros e intereses, si a ello hubiere lugar, ajustando la cancelación a las disponibilidades de la apropiación de que trata el numeral 14 del artículo </w:t>
      </w:r>
      <w:hyperlink r:id="rId12" w:anchor="25" w:history="1">
        <w:r w:rsidRPr="00AA6517">
          <w:rPr>
            <w:rFonts w:ascii="Verdana" w:hAnsi="Verdana" w:cs="Arial"/>
            <w:sz w:val="20"/>
            <w:szCs w:val="20"/>
            <w:lang w:val="es-ES" w:eastAsia="es-ES" w:bidi="es-ES"/>
          </w:rPr>
          <w:t>25</w:t>
        </w:r>
      </w:hyperlink>
      <w:r w:rsidRPr="00AA6517">
        <w:rPr>
          <w:rFonts w:ascii="Verdana" w:eastAsia="Arial" w:hAnsi="Verdana" w:cs="Arial"/>
          <w:color w:val="000000" w:themeColor="text1"/>
          <w:sz w:val="20"/>
          <w:szCs w:val="20"/>
          <w:lang w:val="es-ES" w:eastAsia="es-ES" w:bidi="es-ES"/>
        </w:rPr>
        <w:t>. En todo caso, las entidades deberán adoptar las medidas necesarias que aseguren la efectividad de estos pagos y reconocimientos al contratista en la misma o en la siguiente vigencia de que se trate”.</w:t>
      </w:r>
    </w:p>
    <w:p w14:paraId="1FD141CF" w14:textId="77777777" w:rsidR="0080580F" w:rsidRPr="00E97A27" w:rsidRDefault="0080580F" w:rsidP="0080580F">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39D6675C" w14:textId="77777777" w:rsidR="0080580F" w:rsidRPr="00E97A27" w:rsidRDefault="0080580F" w:rsidP="0080580F">
      <w:pPr>
        <w:autoSpaceDE w:val="0"/>
        <w:autoSpaceDN w:val="0"/>
        <w:adjustRightInd w:val="0"/>
        <w:spacing w:after="0" w:line="276" w:lineRule="auto"/>
        <w:ind w:firstLine="709"/>
        <w:jc w:val="both"/>
        <w:rPr>
          <w:rFonts w:ascii="Verdana" w:hAnsi="Verdana" w:cs="Arial"/>
        </w:rPr>
      </w:pPr>
      <w:r w:rsidRPr="00E97A27">
        <w:rPr>
          <w:rFonts w:ascii="Verdana" w:eastAsia="Arial" w:hAnsi="Verdana" w:cs="Arial"/>
          <w:color w:val="000000" w:themeColor="text1"/>
          <w:lang w:val="es-ES" w:eastAsia="es-ES" w:bidi="es-ES"/>
        </w:rPr>
        <w:t xml:space="preserve">Sobre el principio del equilibrio financiero del contrato, el Consejo de Estado ha señalado que </w:t>
      </w:r>
      <w:r w:rsidRPr="00E97A27">
        <w:rPr>
          <w:rFonts w:ascii="Verdana" w:eastAsia="Arial" w:hAnsi="Verdana" w:cs="Arial"/>
          <w:color w:val="000000" w:themeColor="text1"/>
          <w:lang w:eastAsia="es-ES" w:bidi="es-ES"/>
        </w:rPr>
        <w:t xml:space="preserve">consiste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en garantizar el mantenimiento de la igualdad o equivalencia entre derechos y obligaciones surgidos al momento de proponer o de contratar, según el caso, de manera que si se rompe por causas sobrevinientes, imprevisibles y no imputables a quien resulte afectado, las partes adoptarán las medidas necesarias para su restablecimiento, so pena de incurrir en una responsabilidad contractual tendiente a restituir tal equilibrio</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22"/>
      </w:r>
      <w:r w:rsidRPr="00E97A27">
        <w:rPr>
          <w:rFonts w:ascii="Verdana" w:eastAsia="Arial" w:hAnsi="Verdana" w:cs="Arial"/>
          <w:color w:val="000000" w:themeColor="text1"/>
          <w:lang w:val="es-MX" w:eastAsia="es-ES" w:bidi="es-ES"/>
        </w:rPr>
        <w:t>. En concordancia, la doctrina ha indicado que con este</w:t>
      </w:r>
      <w:r w:rsidRPr="00E97A27">
        <w:rPr>
          <w:rFonts w:ascii="Verdana" w:hAnsi="Verdana" w:cs="Arial"/>
        </w:rPr>
        <w:t xml:space="preserve"> principio, también denominado </w:t>
      </w:r>
      <w:r>
        <w:rPr>
          <w:rFonts w:ascii="Verdana" w:eastAsia="Arial" w:hAnsi="Verdana" w:cs="Arial"/>
          <w:color w:val="000000" w:themeColor="text1"/>
          <w:lang w:val="es-MX" w:eastAsia="es-ES" w:bidi="es-ES"/>
        </w:rPr>
        <w:t>“</w:t>
      </w:r>
      <w:r w:rsidRPr="00E97A27">
        <w:rPr>
          <w:rFonts w:ascii="Verdana" w:hAnsi="Verdana" w:cs="Arial"/>
        </w:rPr>
        <w:t>el de la honesta equivalencia de prestaciones</w:t>
      </w:r>
      <w:r>
        <w:rPr>
          <w:rFonts w:ascii="Verdana" w:eastAsia="Arial" w:hAnsi="Verdana" w:cs="Arial"/>
          <w:color w:val="000000" w:themeColor="text1"/>
          <w:lang w:val="es-MX" w:eastAsia="es-ES" w:bidi="es-ES"/>
        </w:rPr>
        <w:t>”</w:t>
      </w:r>
      <w:r w:rsidRPr="00E97A27">
        <w:rPr>
          <w:rFonts w:ascii="Verdana" w:hAnsi="Verdana" w:cs="Arial"/>
        </w:rPr>
        <w:t xml:space="preserve">, se privilegia el carácter conmutativo o sinalagmático que, por regla general, tiene el contrato estatal, </w:t>
      </w:r>
      <w:r>
        <w:rPr>
          <w:rFonts w:ascii="Verdana" w:eastAsia="Arial" w:hAnsi="Verdana" w:cs="Arial"/>
          <w:color w:val="000000" w:themeColor="text1"/>
          <w:lang w:val="es-MX" w:eastAsia="es-ES" w:bidi="es-ES"/>
        </w:rPr>
        <w:t>“</w:t>
      </w:r>
      <w:r w:rsidRPr="00E97A27">
        <w:rPr>
          <w:rFonts w:ascii="Verdana" w:hAnsi="Verdana" w:cs="Arial"/>
        </w:rPr>
        <w:t xml:space="preserve">lo que significa que las prestaciones (derechos y obligaciones) asumidas por una parte contractual se entienden como equivalentes a las de la otra parte </w:t>
      </w:r>
      <w:r w:rsidRPr="00E97A27">
        <w:rPr>
          <w:rFonts w:ascii="Verdana" w:hAnsi="Verdana" w:cs="Arial"/>
        </w:rPr>
        <w:lastRenderedPageBreak/>
        <w:t>y obliga a la adopción de medidas tendientes a garantizar que esa igualdad existente en términos económicos al tiempo de su celebración se conserve y permanezca intacta durante su ejecución, y a que se restablezca esa equivalencia en caso de su ruptura por circunstancias o causas sobrevinientes, imprevisibles e imputables o no a ellas</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23"/>
      </w:r>
      <w:r w:rsidRPr="00E97A27">
        <w:rPr>
          <w:rFonts w:ascii="Verdana" w:hAnsi="Verdana" w:cs="Arial"/>
        </w:rPr>
        <w:t xml:space="preserve">.  </w:t>
      </w:r>
    </w:p>
    <w:p w14:paraId="714800FF" w14:textId="77777777" w:rsidR="0080580F" w:rsidRPr="00E97A27" w:rsidRDefault="0080580F" w:rsidP="0080580F">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MX" w:eastAsia="es-ES" w:bidi="es-ES"/>
        </w:rPr>
        <w:t xml:space="preserve">Conforme a lo anterior el equilibrio financiero del contrato se constituye en un principio medular de la contratación estatal que </w:t>
      </w:r>
      <w:r w:rsidRPr="00E97A27">
        <w:rPr>
          <w:rFonts w:ascii="Verdana" w:eastAsia="Arial" w:hAnsi="Verdana" w:cs="Arial"/>
          <w:color w:val="000000" w:themeColor="text1"/>
          <w:lang w:eastAsia="es-ES" w:bidi="es-ES"/>
        </w:rPr>
        <w:t xml:space="preserve">busca, precisamente, mantener las mismas condiciones </w:t>
      </w:r>
      <w:r w:rsidRPr="00E97A27">
        <w:rPr>
          <w:rFonts w:ascii="Verdana" w:eastAsia="Arial" w:hAnsi="Verdana" w:cs="Arial"/>
          <w:color w:val="000000" w:themeColor="text1"/>
          <w:lang w:val="es-ES" w:eastAsia="es-ES" w:bidi="es-ES"/>
        </w:rPr>
        <w:t>existente al tiempo de su celebración, de tal suerte que las prestaciones de las partes permanezcan hasta su terminación. De este modo, si la equivalencia entre las prestaciones se quebranta por causas no imputables a quien resulte afectado es necesario adoptar las medidas correspondientes para restablecer la ecuación contractual.</w:t>
      </w:r>
    </w:p>
    <w:p w14:paraId="725B28E6" w14:textId="77777777" w:rsidR="0080580F" w:rsidRDefault="0080580F" w:rsidP="0080580F">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Además de lo previsto en el artículo 27 de la Ley 80 de 1993, la obligación de mantener el equilibrio económico del contrato se encuentra establecida en diferentes disposiciones de dicha Ley. En efecto, el numeral 3 del artículo 4 </w:t>
      </w:r>
      <w:r w:rsidRPr="00E97A27">
        <w:rPr>
          <w:rFonts w:ascii="Verdana" w:eastAsia="Arial" w:hAnsi="Verdana" w:cs="Arial"/>
          <w:i/>
          <w:iCs/>
          <w:color w:val="000000" w:themeColor="text1"/>
          <w:lang w:val="es-ES" w:eastAsia="es-ES" w:bidi="es-ES"/>
        </w:rPr>
        <w:t>ibidem</w:t>
      </w:r>
      <w:r w:rsidRPr="00E97A27">
        <w:rPr>
          <w:rFonts w:ascii="Verdana" w:eastAsia="Arial" w:hAnsi="Verdana" w:cs="Arial"/>
          <w:color w:val="000000" w:themeColor="text1"/>
          <w:lang w:val="es-ES" w:eastAsia="es-ES" w:bidi="es-ES"/>
        </w:rPr>
        <w:t xml:space="preserve"> señala que las entidades estatales solicitarán la actualización o la revisión de los precios cuando se produzcan fenómenos que alteren en su contra </w:t>
      </w:r>
      <w:r w:rsidRPr="00E97A27">
        <w:rPr>
          <w:rFonts w:ascii="Verdana" w:eastAsia="Arial" w:hAnsi="Verdana" w:cs="Arial"/>
          <w:i/>
          <w:iCs/>
          <w:color w:val="000000" w:themeColor="text1"/>
          <w:lang w:val="es-ES" w:eastAsia="es-ES" w:bidi="es-ES"/>
        </w:rPr>
        <w:t>el equilibrio económico o financiero</w:t>
      </w:r>
      <w:r w:rsidRPr="00E97A27">
        <w:rPr>
          <w:rFonts w:ascii="Verdana" w:eastAsia="Arial" w:hAnsi="Verdana" w:cs="Arial"/>
          <w:color w:val="000000" w:themeColor="text1"/>
          <w:lang w:val="es-ES" w:eastAsia="es-ES" w:bidi="es-ES"/>
        </w:rPr>
        <w:t xml:space="preserve"> del contrato. Asimismo, el numeral 8 del artículo en comento señala que las entidades deberán adoptar las medidas necesarias para mantener durante el desarrollo y ejecución del contrato las condiciones técnicas, económicas y financieras existentes al momento de proponer en los casos en que se hubiere realizado licitación o concurso, o de contratar en los casos de contratación directa, para lo cual se emplearán los mecanismos de revisión y reajuste de precios. </w:t>
      </w:r>
      <w:r>
        <w:rPr>
          <w:rFonts w:ascii="Verdana" w:eastAsia="Arial" w:hAnsi="Verdana" w:cs="Arial"/>
          <w:color w:val="000000" w:themeColor="text1"/>
          <w:lang w:val="es-ES" w:eastAsia="es-ES" w:bidi="es-ES"/>
        </w:rPr>
        <w:t>De acuerdo con la jurisprudencia:</w:t>
      </w:r>
    </w:p>
    <w:p w14:paraId="2E3CFFE9" w14:textId="77777777" w:rsidR="0080580F" w:rsidRDefault="0080580F" w:rsidP="0080580F">
      <w:pPr>
        <w:widowControl w:val="0"/>
        <w:autoSpaceDE w:val="0"/>
        <w:autoSpaceDN w:val="0"/>
        <w:spacing w:after="0" w:line="276" w:lineRule="auto"/>
        <w:ind w:firstLine="709"/>
        <w:jc w:val="both"/>
        <w:rPr>
          <w:rFonts w:ascii="Verdana" w:eastAsia="Arial" w:hAnsi="Verdana" w:cs="Arial"/>
          <w:color w:val="000000" w:themeColor="text1"/>
          <w:lang w:val="es-ES" w:eastAsia="es-ES" w:bidi="es-ES"/>
        </w:rPr>
      </w:pPr>
    </w:p>
    <w:p w14:paraId="753246F6" w14:textId="77777777" w:rsidR="0080580F" w:rsidRPr="000E4887" w:rsidRDefault="0080580F" w:rsidP="0080580F">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0E4887">
        <w:rPr>
          <w:rFonts w:ascii="Verdana" w:eastAsia="Arial" w:hAnsi="Verdana" w:cs="Arial"/>
          <w:color w:val="000000" w:themeColor="text1"/>
          <w:sz w:val="20"/>
          <w:szCs w:val="20"/>
          <w:lang w:val="es-ES" w:eastAsia="es-ES" w:bidi="es-ES"/>
        </w:rPr>
        <w:t xml:space="preserve">“[…] la cláusula de estabilización o ajuste de precios resulta ser una medida preventiva frente a una situación previsible que puede afectar el resultado económico final del contrato en contra de cualquiera de las partes, y que se resuelve mediante la inclusión de la respectiva estipulación, normalmente expresada en una fórmula matemática concebida en función de los factores que inciden en los costos de ejecución del contrato. Por tanto, es un mecanismo que tiende a preservar la naturaleza conmutativa de los contratos y a garantizar que la equivalencia inicialmente acordada entre las prestaciones recíprocas se mantenga a lo </w:t>
      </w:r>
      <w:r w:rsidRPr="000E4887">
        <w:rPr>
          <w:rFonts w:ascii="Verdana" w:eastAsia="Arial" w:hAnsi="Verdana" w:cs="Arial"/>
          <w:color w:val="000000" w:themeColor="text1"/>
          <w:sz w:val="20"/>
          <w:szCs w:val="20"/>
          <w:lang w:val="es-ES" w:eastAsia="es-ES" w:bidi="es-ES"/>
        </w:rPr>
        <w:lastRenderedPageBreak/>
        <w:t>largo de la ejecución del negocio jurídico, en tal forma que la remuneración recibida finalmente por el contratista corresponda a la que contempló al momento de presentar su propuesta y celebrar el contrato.</w:t>
      </w:r>
    </w:p>
    <w:p w14:paraId="24D949D9" w14:textId="77777777" w:rsidR="0080580F" w:rsidRDefault="0080580F" w:rsidP="0080580F">
      <w:pPr>
        <w:widowControl w:val="0"/>
        <w:autoSpaceDE w:val="0"/>
        <w:autoSpaceDN w:val="0"/>
        <w:spacing w:before="120" w:after="0" w:line="240" w:lineRule="auto"/>
        <w:ind w:left="709" w:right="709"/>
        <w:jc w:val="both"/>
        <w:rPr>
          <w:rFonts w:ascii="Verdana" w:eastAsia="Arial" w:hAnsi="Verdana" w:cs="Arial"/>
          <w:color w:val="000000" w:themeColor="text1"/>
          <w:lang w:val="es-ES" w:eastAsia="es-ES" w:bidi="es-ES"/>
        </w:rPr>
      </w:pPr>
      <w:r w:rsidRPr="000E4887">
        <w:rPr>
          <w:rFonts w:ascii="Verdana" w:eastAsia="Arial" w:hAnsi="Verdana" w:cs="Arial"/>
          <w:color w:val="000000" w:themeColor="text1"/>
          <w:sz w:val="20"/>
          <w:szCs w:val="20"/>
          <w:lang w:val="es-ES" w:eastAsia="es-ES" w:bidi="es-ES"/>
        </w:rPr>
        <w:t>De igual modo, paralelamente con la actualización de precios la Ley 80 de 1993 también contempla la figura de la revisión de precios, la cual opera cuando sobrevengan hechos económicos que hagan ineficaz o insuficiente la fórmula de reajuste o cuando las partes no han pactado un sistema de ajuste o actualización de los precios y estos sufren alteración como resultado de los fenómenos económicos mencionados, como la inflación o el alza de precios, eventos estos en los cuales puede solicitarse al juez la corrección de la cláusula de ajuste pactada y la revisión de los precios”</w:t>
      </w:r>
      <w:r>
        <w:rPr>
          <w:rStyle w:val="Refdenotaalpie"/>
          <w:rFonts w:ascii="Verdana" w:eastAsia="Arial" w:hAnsi="Verdana" w:cs="Arial"/>
          <w:color w:val="000000" w:themeColor="text1"/>
          <w:sz w:val="20"/>
          <w:szCs w:val="20"/>
          <w:lang w:val="es-ES" w:eastAsia="es-ES" w:bidi="es-ES"/>
        </w:rPr>
        <w:footnoteReference w:id="24"/>
      </w:r>
      <w:r w:rsidRPr="000E4887">
        <w:rPr>
          <w:rFonts w:ascii="Verdana" w:eastAsia="Arial" w:hAnsi="Verdana" w:cs="Arial"/>
          <w:color w:val="000000" w:themeColor="text1"/>
          <w:sz w:val="20"/>
          <w:szCs w:val="20"/>
          <w:lang w:val="es-ES" w:eastAsia="es-ES" w:bidi="es-ES"/>
        </w:rPr>
        <w:t>.</w:t>
      </w:r>
    </w:p>
    <w:p w14:paraId="3EF2D4B0" w14:textId="77777777" w:rsidR="0080580F" w:rsidRPr="000E4887" w:rsidRDefault="0080580F" w:rsidP="0080580F">
      <w:pPr>
        <w:widowControl w:val="0"/>
        <w:autoSpaceDE w:val="0"/>
        <w:autoSpaceDN w:val="0"/>
        <w:spacing w:after="0" w:line="276" w:lineRule="auto"/>
        <w:jc w:val="both"/>
        <w:rPr>
          <w:rFonts w:ascii="Verdana" w:eastAsia="Arial" w:hAnsi="Verdana" w:cs="Arial"/>
          <w:color w:val="000000" w:themeColor="text1"/>
          <w:lang w:val="es-ES" w:eastAsia="es-ES" w:bidi="es-ES"/>
        </w:rPr>
      </w:pPr>
    </w:p>
    <w:p w14:paraId="04D62906" w14:textId="77777777" w:rsidR="0080580F" w:rsidRPr="00E97A27" w:rsidRDefault="0080580F" w:rsidP="0080580F">
      <w:pPr>
        <w:widowControl w:val="0"/>
        <w:autoSpaceDE w:val="0"/>
        <w:autoSpaceDN w:val="0"/>
        <w:spacing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Por su parte, el numeral 1 del artículo 5 de la Ley 80 de 1993 indica que el contratista tiene derecho a recibir oportunamente la remuneración pactada y a que el valor intrínseco de la misma no se altere o modifique durante la vigencia del contrato. En consecuencia, tendrán derecho, previa solicitud, a que la administración les restablezca </w:t>
      </w:r>
      <w:r w:rsidRPr="00E97A27">
        <w:rPr>
          <w:rFonts w:ascii="Verdana" w:eastAsia="Arial" w:hAnsi="Verdana" w:cs="Arial"/>
          <w:i/>
          <w:iCs/>
          <w:color w:val="000000" w:themeColor="text1"/>
          <w:lang w:val="es-ES" w:eastAsia="es-ES" w:bidi="es-ES"/>
        </w:rPr>
        <w:t>el equilibrio de la ecuación económica</w:t>
      </w:r>
      <w:r w:rsidRPr="00E97A27">
        <w:rPr>
          <w:rFonts w:ascii="Verdana" w:eastAsia="Arial" w:hAnsi="Verdana" w:cs="Arial"/>
          <w:color w:val="000000" w:themeColor="text1"/>
          <w:lang w:val="es-ES" w:eastAsia="es-ES" w:bidi="es-ES"/>
        </w:rPr>
        <w:t xml:space="preserve"> del contrato por la ocurrencia de situaciones imprevistas que no sean imputables a los contratistas. Si dicho equilibrio se rompe por incumplimiento de la entidad estatal contratante, tendrá que restablecerse la ecuación surgida al momento del nacimiento del contrato.</w:t>
      </w:r>
    </w:p>
    <w:p w14:paraId="26F090CA" w14:textId="77777777" w:rsidR="0080580F" w:rsidRPr="00E97A27" w:rsidRDefault="0080580F" w:rsidP="0080580F">
      <w:pPr>
        <w:widowControl w:val="0"/>
        <w:autoSpaceDE w:val="0"/>
        <w:autoSpaceDN w:val="0"/>
        <w:spacing w:before="120" w:after="12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Adicionalmente, el numeral 1 del artículo 14 establece que en los actos en que se ejerciten algunas de estas potestades excepcionales deberá procederse al reconocimiento y orden de pago de las compensaciones e indemnizaciones a que tengan derecho las personas objeto de tales medidas y se aplicarán los mecanismos de ajuste de las condiciones y términos contractuales a que haya lugar, todo ello con el fin de mantener </w:t>
      </w:r>
      <w:r w:rsidRPr="00E97A27">
        <w:rPr>
          <w:rFonts w:ascii="Verdana" w:eastAsia="Arial" w:hAnsi="Verdana" w:cs="Arial"/>
          <w:i/>
          <w:iCs/>
          <w:color w:val="000000" w:themeColor="text1"/>
          <w:lang w:val="es-ES" w:eastAsia="es-ES" w:bidi="es-ES"/>
        </w:rPr>
        <w:t>la ecuación o equilibrio inicial.</w:t>
      </w:r>
    </w:p>
    <w:p w14:paraId="75EF6567" w14:textId="77777777" w:rsidR="0080580F" w:rsidRDefault="0080580F" w:rsidP="0080580F">
      <w:pPr>
        <w:widowControl w:val="0"/>
        <w:autoSpaceDE w:val="0"/>
        <w:autoSpaceDN w:val="0"/>
        <w:spacing w:after="12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Según se advierte, el Estatuto General de Contratación de la Administración Pública establece la necesidad de mantener durante la ejecución del contrato el equilibrio o equivalencia de las prestaciones de las partes surgidas al momento de contratar, para lo cual determina deberes y derechos para las entidades estatales y los contratistas en pro de su conservación. Dentro de estas obligaciones se prevé el deber de la entidad de adoptar las medidas correspondientes de manera que se pueda precaver las diferencias que se lleguen a presentar como consecuencia de la vulneración del principio del </w:t>
      </w:r>
      <w:r w:rsidRPr="00E97A27">
        <w:rPr>
          <w:rFonts w:ascii="Verdana" w:eastAsia="Arial" w:hAnsi="Verdana" w:cs="Arial"/>
          <w:color w:val="000000" w:themeColor="text1"/>
          <w:lang w:val="es-ES" w:eastAsia="es-ES" w:bidi="es-ES"/>
        </w:rPr>
        <w:lastRenderedPageBreak/>
        <w:t>equilibrio económico del contrato y evitar una mayor onerosidad.</w:t>
      </w:r>
    </w:p>
    <w:p w14:paraId="7C122051" w14:textId="77777777" w:rsidR="0080580F" w:rsidRPr="00E97A27" w:rsidRDefault="0080580F" w:rsidP="0080580F">
      <w:pPr>
        <w:widowControl w:val="0"/>
        <w:autoSpaceDE w:val="0"/>
        <w:autoSpaceDN w:val="0"/>
        <w:spacing w:after="0" w:line="276" w:lineRule="auto"/>
        <w:ind w:firstLine="708"/>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En relación con las causas por las cuales puede verse afectado el equilibrio económico del contrato y su procedencia el Consejo de Estado ha desarrollado ampliamente la materia. En tal sentido, ha manifestado reiteradamente que el desequilibrio económico del contrato se puede presentar por diferentes situaciones: </w:t>
      </w:r>
    </w:p>
    <w:p w14:paraId="5E6EC606" w14:textId="77777777" w:rsidR="0080580F" w:rsidRPr="00E97A27" w:rsidRDefault="0080580F" w:rsidP="0080580F">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5AAFC518" w14:textId="77777777" w:rsidR="0080580F" w:rsidRPr="00AA6517" w:rsidRDefault="0080580F" w:rsidP="0080580F">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 xml:space="preserve">“a) Actos o hechos de la entidad administrativa contratante, como cuando no cumple con las obligaciones derivadas del contrato o introduce modificaciones al mismo -ius variandi-, sean éstas abusivas o no. </w:t>
      </w:r>
    </w:p>
    <w:p w14:paraId="24291FA8" w14:textId="77777777" w:rsidR="0080580F" w:rsidRPr="00AA6517" w:rsidRDefault="0080580F" w:rsidP="0080580F">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 xml:space="preserve">b) Actos generales de la administración como Estado, o ‘teoría del hecho del príncipe’, como cuando en ejercicio de sus potestades constitucionales y legales, cuya voluntad se manifiesta mediante leyes o actos administrativos de carácter general, afecta negativamente el contrato. </w:t>
      </w:r>
    </w:p>
    <w:p w14:paraId="58B0461F" w14:textId="77777777" w:rsidR="0080580F" w:rsidRPr="00AA6517" w:rsidRDefault="0080580F" w:rsidP="0080580F">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c) Factores exógenos a las partes del negocio, o ‘teoría de la imprevisión’, o ‘sujeciones materiales imprevistas’, que involucran circunstancias no imputables al Estado y externas al contrato pero con incidencia en él.</w:t>
      </w:r>
    </w:p>
    <w:p w14:paraId="7D7F0825" w14:textId="77777777" w:rsidR="0080580F" w:rsidRPr="00E97A27" w:rsidRDefault="0080580F" w:rsidP="0080580F">
      <w:pPr>
        <w:widowControl w:val="0"/>
        <w:autoSpaceDE w:val="0"/>
        <w:autoSpaceDN w:val="0"/>
        <w:spacing w:after="0" w:line="240" w:lineRule="auto"/>
        <w:ind w:left="709" w:right="709"/>
        <w:jc w:val="both"/>
        <w:rPr>
          <w:rFonts w:ascii="Verdana" w:eastAsia="Arial" w:hAnsi="Verdana" w:cs="Arial"/>
          <w:color w:val="000000" w:themeColor="text1"/>
          <w:sz w:val="21"/>
          <w:szCs w:val="21"/>
          <w:lang w:val="es-ES" w:eastAsia="es-ES" w:bidi="es-ES"/>
        </w:rPr>
      </w:pPr>
      <w:r w:rsidRPr="00AA6517">
        <w:rPr>
          <w:rFonts w:ascii="Verdana" w:eastAsia="Arial" w:hAnsi="Verdana" w:cs="Arial"/>
          <w:color w:val="000000" w:themeColor="text1"/>
          <w:sz w:val="20"/>
          <w:szCs w:val="20"/>
          <w:lang w:val="es-ES" w:eastAsia="es-ES" w:bidi="es-ES"/>
        </w:rPr>
        <w:t>En todos estos eventos surge la obligación de la administración contratante de auxiliar al contratista colaborador asumiendo mediante una compensación -llevarlo hasta el punto de no pérdida- o nace el deber de indemnizarlo integralmente, según el caso y si se cumplen los requisitos señalados para cada figura”</w:t>
      </w:r>
      <w:r w:rsidRPr="00AA6517">
        <w:rPr>
          <w:rStyle w:val="Refdenotaalpie"/>
          <w:rFonts w:ascii="Verdana" w:eastAsia="Arial" w:hAnsi="Verdana" w:cs="Arial"/>
          <w:color w:val="000000" w:themeColor="text1"/>
          <w:sz w:val="20"/>
          <w:szCs w:val="20"/>
          <w:lang w:val="es-ES" w:eastAsia="es-ES" w:bidi="es-ES"/>
        </w:rPr>
        <w:footnoteReference w:id="25"/>
      </w:r>
      <w:r w:rsidRPr="00AA6517">
        <w:rPr>
          <w:rFonts w:ascii="Verdana" w:eastAsia="Arial" w:hAnsi="Verdana" w:cs="Arial"/>
          <w:color w:val="000000" w:themeColor="text1"/>
          <w:sz w:val="20"/>
          <w:szCs w:val="20"/>
          <w:lang w:val="es-ES" w:eastAsia="es-ES" w:bidi="es-ES"/>
        </w:rPr>
        <w:t>.</w:t>
      </w:r>
    </w:p>
    <w:p w14:paraId="0D68816F" w14:textId="77777777" w:rsidR="0080580F" w:rsidRPr="00E97A27" w:rsidRDefault="0080580F" w:rsidP="0080580F">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7D3A3AE4" w14:textId="77777777" w:rsidR="0080580F" w:rsidRPr="00E97A27" w:rsidRDefault="0080580F" w:rsidP="0080580F">
      <w:pPr>
        <w:widowControl w:val="0"/>
        <w:autoSpaceDE w:val="0"/>
        <w:autoSpaceDN w:val="0"/>
        <w:spacing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En lo que atañe a la procedencia del restablecimiento del equilibrio financiero del contrato cuando este se vulnera, la jurisprudencia ha señalado que para estos efectos es imperativo la prueba del menoscabo, demostrar que este es grave y que además no corresponde a un riesgo propio de la actividad que deba ser asumido por una de las partes contractuales</w:t>
      </w:r>
      <w:r w:rsidRPr="00E97A27">
        <w:rPr>
          <w:rStyle w:val="Refdenotaalpie"/>
          <w:rFonts w:ascii="Verdana" w:eastAsia="Arial" w:hAnsi="Verdana" w:cs="Arial"/>
          <w:color w:val="000000" w:themeColor="text1"/>
          <w:lang w:val="es-ES" w:eastAsia="es-ES" w:bidi="es-ES"/>
        </w:rPr>
        <w:footnoteReference w:id="26"/>
      </w:r>
      <w:r w:rsidRPr="00E97A27">
        <w:rPr>
          <w:rFonts w:ascii="Verdana" w:eastAsia="Arial" w:hAnsi="Verdana" w:cs="Arial"/>
          <w:color w:val="000000" w:themeColor="text1"/>
          <w:lang w:val="es-ES" w:eastAsia="es-ES" w:bidi="es-ES"/>
        </w:rPr>
        <w:t xml:space="preserve">. Además, es necesario que las reclamaciones para el restablecimiento se realicen en la oportunidad debida, de manera que </w:t>
      </w:r>
      <w:r w:rsidRPr="00E97A27">
        <w:rPr>
          <w:rFonts w:ascii="Verdana" w:eastAsia="Arial" w:hAnsi="Verdana" w:cs="Arial"/>
          <w:color w:val="000000" w:themeColor="text1"/>
          <w:lang w:eastAsia="es-ES" w:bidi="es-ES"/>
        </w:rPr>
        <w:t xml:space="preserve">si las solicitudes, o salvedades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 xml:space="preserve">no se hacen al momento de suscribir las suspensiones, adiciones o prórrogas del plazo contractual, contratos adicionales, otrosíes, etc., que por tal motivo se convinieren, cualquier solicitud, reclamación o pretensión ulterior es </w:t>
      </w:r>
      <w:r w:rsidRPr="00E97A27">
        <w:rPr>
          <w:rFonts w:ascii="Verdana" w:eastAsia="Arial" w:hAnsi="Verdana" w:cs="Arial"/>
          <w:color w:val="000000" w:themeColor="text1"/>
          <w:lang w:eastAsia="es-ES" w:bidi="es-ES"/>
        </w:rPr>
        <w:lastRenderedPageBreak/>
        <w:t>extemporánea, improcedente e impróspera por vulnerar el principio de la buena fe contractual</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27"/>
      </w:r>
      <w:r w:rsidRPr="00E97A27">
        <w:rPr>
          <w:rFonts w:ascii="Verdana" w:eastAsia="Arial" w:hAnsi="Verdana" w:cs="Arial"/>
          <w:color w:val="000000" w:themeColor="text1"/>
          <w:lang w:val="es-MX" w:eastAsia="es-ES" w:bidi="es-ES"/>
        </w:rPr>
        <w:t xml:space="preserve">. </w:t>
      </w:r>
    </w:p>
    <w:p w14:paraId="3DF2262E" w14:textId="77777777" w:rsidR="0080580F" w:rsidRPr="00E97A27" w:rsidRDefault="0080580F" w:rsidP="0080580F">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De este modo, conforme a esta postura del Consejo de Estado no basta con la alegación del rompimiento del equilibrio del contrato puesto que resulta indispensable demostrar la afectación grave de las condiciones del contrato y, además, que la reclamación o solicitud en que se fundamenta el desequilibrio económico del contrato se realice en el momento oportuno, esto es, cuando se celebren las modificaciones, prórrogas, suspensiones, entre otros y no con posterioridad a ella. </w:t>
      </w:r>
    </w:p>
    <w:p w14:paraId="0DAF7507" w14:textId="77777777" w:rsidR="0080580F" w:rsidRPr="00E97A27" w:rsidRDefault="0080580F" w:rsidP="0080580F">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En sentencias recientes el Consejo de Estado ha morigerado la postura anterior en relación con la oportunidad de la reclamación, en la medida en que, si bien es importante considerar el principio de buena fe al momento de suscribir los acuerdos entre las partes, se resalta la necesidad de analizar</w:t>
      </w:r>
      <w:r w:rsidRPr="00E97A27">
        <w:rPr>
          <w:rFonts w:ascii="Verdana" w:eastAsia="Arial" w:hAnsi="Verdana" w:cs="Arial"/>
          <w:color w:val="000000" w:themeColor="text1"/>
          <w:lang w:eastAsia="es-ES" w:bidi="es-ES"/>
        </w:rPr>
        <w:t xml:space="preserve"> cada caso el contenido del respectivo acuerdo y de sus antecedentes, para determinar el alcance de los otrosíes o de las actas de suspensión correspondientes</w:t>
      </w:r>
      <w:r w:rsidRPr="00E97A27">
        <w:rPr>
          <w:rStyle w:val="Refdenotaalpie"/>
          <w:rFonts w:ascii="Verdana" w:eastAsia="Arial" w:hAnsi="Verdana" w:cs="Arial"/>
          <w:color w:val="000000" w:themeColor="text1"/>
          <w:lang w:eastAsia="es-ES" w:bidi="es-ES"/>
        </w:rPr>
        <w:footnoteReference w:id="28"/>
      </w:r>
      <w:r w:rsidRPr="00E97A27">
        <w:rPr>
          <w:rFonts w:ascii="Verdana" w:eastAsia="Arial" w:hAnsi="Verdana" w:cs="Arial"/>
          <w:color w:val="000000" w:themeColor="text1"/>
          <w:lang w:eastAsia="es-ES" w:bidi="es-ES"/>
        </w:rPr>
        <w:t xml:space="preserve">. En tal sentido, con base en esta posición se considera que la inexistencia de una salvedad en la prórroga o suspensión o cualquier acuerdo de voluntades que se efectúe por las partes no es suficiente para determinar la improcedencia de la reclamación, ya que es necesario revisar los antecedentes y los hechos que justificaron dicho acuerdo. Esto se fundamente en que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la denegatoria de tales pretensiones, es el hecho de que el acuerdo suscrito haya servido, precisamente, para solventar situaciones que se hayan presentado durante la ejecución del contrato, por lo que no se entendería que, de considerar que subsistía un perjuicio para el contratista derivado</w:t>
      </w:r>
      <w:r w:rsidRPr="00E97A27">
        <w:rPr>
          <w:rFonts w:ascii="Verdana" w:hAnsi="Verdana" w:cs="Arial"/>
        </w:rPr>
        <w:t xml:space="preserve"> </w:t>
      </w:r>
      <w:r w:rsidRPr="00E97A27">
        <w:rPr>
          <w:rFonts w:ascii="Verdana" w:eastAsia="Arial" w:hAnsi="Verdana" w:cs="Arial"/>
          <w:color w:val="000000" w:themeColor="text1"/>
          <w:lang w:eastAsia="es-ES" w:bidi="es-ES"/>
        </w:rPr>
        <w:t>de tales situaciones, haya concurrido a suscribirlo, sin dejar alguna manifestación sobre la insuficiencia de ese acuerdo para satisfacer sus reclamaciones</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w:t>
      </w:r>
    </w:p>
    <w:p w14:paraId="1F293781" w14:textId="77777777" w:rsidR="0080580F" w:rsidRPr="00E97A27" w:rsidRDefault="0080580F" w:rsidP="0080580F">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Bajo estas consideraciones y más allá de las distintas posturas que se han generado al interior del Consejo de Estado en torno a la oportunidad de la reclamación del restablecimiento del equilibrio económico del contrato, lo relevante de lo expuesto, para efectos de la consulta, es que este restablecimiento podrá realizarlo directamente la Administración durante la ejecución del contrato adoptando las medidas necesarias que aseguren la </w:t>
      </w:r>
      <w:r w:rsidRPr="00E97A27">
        <w:rPr>
          <w:rFonts w:ascii="Verdana" w:eastAsia="Arial" w:hAnsi="Verdana" w:cs="Arial"/>
          <w:color w:val="000000" w:themeColor="text1"/>
          <w:lang w:val="es-ES" w:eastAsia="es-ES" w:bidi="es-ES"/>
        </w:rPr>
        <w:lastRenderedPageBreak/>
        <w:t xml:space="preserve">efectividad de los pagos y reconocimientos al contratista que haya lugar. Estas medidas podrán materializarse a través de los distintos acuerdos que suscriban las partes como prórrogas, adiciones, otrosíes o cualquier acuerdo modificatorio que se considere necesarios para solventar el desequilibrio del contrato de acuerdo con las particularidades de cada caso. Igualmente, podrá efectuarse dicho reconocimiento por parte del juez mediante el ejercicio de la acción judicial correspondiente. </w:t>
      </w:r>
    </w:p>
    <w:p w14:paraId="0B431EEB" w14:textId="77777777" w:rsidR="0080580F" w:rsidRPr="00E97A27" w:rsidRDefault="0080580F" w:rsidP="0080580F">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Ello encuentra sustento legal en los artículos 4.8, 5.1 y 27 de la Ley 80 de 1993, que, como se explicó, imponen el deber a la entidad de adoptar las medidas necesarias para mantener durante el desarrollo y ejecución del contrato las condiciones técnicas, económicas y financieras existentes al momento de su celebración y restablecer la ecuación financiera del contrato cuando a ello haya lugar. Para estos efectos, le corresponde a la entidad realizar un análisis detallado del asunto, revisar su procedencia, verificar las circunstancias fácticas y jurídicas que fundamente dicho restablecimiento y las limitaciones legales sobre el particular, de manera que mediante los acuerdos que se celebren se autorregulen los intereses de las partes.</w:t>
      </w:r>
    </w:p>
    <w:p w14:paraId="2905C2B0" w14:textId="77777777" w:rsidR="0080580F" w:rsidRPr="00E97A27" w:rsidRDefault="0080580F" w:rsidP="0080580F">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Aunado a lo expuesto, la jurisprudencia resalta que la posibilidad de modificar los contratos estatales es una especial forma de hacer prevalecer la finalidad de este, en particular en aquellos contratos de largo plazo, como el de obra, en los que es difícil prever todas las contingencias que puedan afectar su ejecución. De esta manera, la Administración podrá variar, dadas ciertas condiciones, algunos aspectos del contrato cuando sea necesario para el cumplimiento del objeto y de los fines generales del Estado, por lo que</w:t>
      </w:r>
      <w:r w:rsidRPr="00E97A27">
        <w:rPr>
          <w:rFonts w:ascii="Verdana" w:eastAsia="Arial" w:hAnsi="Verdana" w:cs="Arial"/>
          <w:lang w:val="es-ES" w:eastAsia="es-ES" w:bidi="es-ES"/>
        </w:rPr>
        <w:t xml:space="preserve"> es </w:t>
      </w:r>
      <w:r>
        <w:rPr>
          <w:rFonts w:ascii="Verdana" w:eastAsia="Arial" w:hAnsi="Verdana" w:cs="Arial"/>
          <w:color w:val="000000" w:themeColor="text1"/>
          <w:lang w:val="es-MX" w:eastAsia="es-ES" w:bidi="es-ES"/>
        </w:rPr>
        <w:t>“</w:t>
      </w:r>
      <w:r w:rsidRPr="00E97A27">
        <w:rPr>
          <w:rFonts w:ascii="Verdana" w:eastAsia="Arial" w:hAnsi="Verdana" w:cs="Arial"/>
          <w:lang w:val="es-ES" w:eastAsia="es-ES" w:bidi="es-ES"/>
        </w:rPr>
        <w:t>preciso entonces el diseño de reglas que permitan la adaptación y la resolución pacífica de las controversias para evitar el fracaso</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29"/>
      </w:r>
      <w:r w:rsidRPr="00E97A27">
        <w:rPr>
          <w:rFonts w:ascii="Verdana" w:eastAsia="Arial" w:hAnsi="Verdana" w:cs="Arial"/>
          <w:lang w:val="es-ES" w:eastAsia="es-ES" w:bidi="es-ES"/>
        </w:rPr>
        <w:t>.</w:t>
      </w:r>
      <w:r w:rsidRPr="00E97A27">
        <w:rPr>
          <w:rFonts w:ascii="Verdana" w:eastAsia="Arial" w:hAnsi="Verdana" w:cs="Arial"/>
          <w:sz w:val="21"/>
          <w:szCs w:val="21"/>
          <w:lang w:val="es-ES" w:eastAsia="es-ES" w:bidi="es-ES"/>
        </w:rPr>
        <w:t xml:space="preserve"> </w:t>
      </w:r>
    </w:p>
    <w:p w14:paraId="5D0A9EF2" w14:textId="77777777" w:rsidR="0080580F" w:rsidRPr="00E97A27" w:rsidRDefault="0080580F" w:rsidP="0080580F">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En armonía con lo anterior, la doctrina ha señalado que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val="es-ES" w:eastAsia="es-ES" w:bidi="es-ES"/>
        </w:rPr>
        <w:t xml:space="preserve">durante la vigencia del contrato, esto es, el periodo que comprende el interregno que va desde el perfeccionamiento del contrato (acuerdo sobre el objeto y la contraprestación elevado a escrito al tenor del art. 41 </w:t>
      </w:r>
      <w:proofErr w:type="spellStart"/>
      <w:r w:rsidRPr="00E97A27">
        <w:rPr>
          <w:rFonts w:ascii="Verdana" w:eastAsia="Arial" w:hAnsi="Verdana" w:cs="Arial"/>
          <w:color w:val="000000" w:themeColor="text1"/>
          <w:lang w:val="es-ES" w:eastAsia="es-ES" w:bidi="es-ES"/>
        </w:rPr>
        <w:t>inc</w:t>
      </w:r>
      <w:proofErr w:type="spellEnd"/>
      <w:r w:rsidRPr="00E97A27">
        <w:rPr>
          <w:rFonts w:ascii="Verdana" w:eastAsia="Arial" w:hAnsi="Verdana" w:cs="Arial"/>
          <w:color w:val="000000" w:themeColor="text1"/>
          <w:lang w:val="es-ES" w:eastAsia="es-ES" w:bidi="es-ES"/>
        </w:rPr>
        <w:t xml:space="preserve"> 1° de la Ley 80 de 1993) hasta su liquidación, los contratantes tienen la potestad de pactar lo que consideren necesario a efectos de reequilibrar la ecuación contractual, por ejemplo, pueden ajustar la cuantía, las condiciones de ejecución, las formas de </w:t>
      </w:r>
      <w:r w:rsidRPr="00E97A27">
        <w:rPr>
          <w:rFonts w:ascii="Verdana" w:eastAsia="Arial" w:hAnsi="Verdana" w:cs="Arial"/>
          <w:color w:val="000000" w:themeColor="text1"/>
          <w:lang w:val="es-ES" w:eastAsia="es-ES" w:bidi="es-ES"/>
        </w:rPr>
        <w:lastRenderedPageBreak/>
        <w:t>pago, los costos financieros y los interés, en el evento en que los haya</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ES" w:eastAsia="es-ES" w:bidi="es-ES"/>
        </w:rPr>
        <w:footnoteReference w:id="30"/>
      </w:r>
      <w:r w:rsidRPr="00E97A27">
        <w:rPr>
          <w:rFonts w:ascii="Verdana" w:eastAsia="Arial" w:hAnsi="Verdana" w:cs="Arial"/>
          <w:color w:val="000000" w:themeColor="text1"/>
          <w:lang w:val="es-ES" w:eastAsia="es-ES" w:bidi="es-ES"/>
        </w:rPr>
        <w:t xml:space="preserve">. </w:t>
      </w:r>
    </w:p>
    <w:p w14:paraId="7B808EEA" w14:textId="77777777" w:rsidR="0080580F" w:rsidRDefault="0080580F" w:rsidP="0080580F">
      <w:pPr>
        <w:widowControl w:val="0"/>
        <w:autoSpaceDE w:val="0"/>
        <w:autoSpaceDN w:val="0"/>
        <w:spacing w:before="120" w:after="12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Así la cosas, con fundamento en el EGCAP, en la jurisprudencia y en la doctrina puede concluir</w:t>
      </w:r>
      <w:r>
        <w:rPr>
          <w:rFonts w:ascii="Verdana" w:eastAsia="Arial" w:hAnsi="Verdana" w:cs="Arial"/>
          <w:color w:val="000000" w:themeColor="text1"/>
          <w:lang w:val="es-ES" w:eastAsia="es-ES" w:bidi="es-ES"/>
        </w:rPr>
        <w:t>se</w:t>
      </w:r>
      <w:r w:rsidRPr="00E97A27">
        <w:rPr>
          <w:rFonts w:ascii="Verdana" w:eastAsia="Arial" w:hAnsi="Verdana" w:cs="Arial"/>
          <w:color w:val="000000" w:themeColor="text1"/>
          <w:lang w:val="es-ES" w:eastAsia="es-ES" w:bidi="es-ES"/>
        </w:rPr>
        <w:t xml:space="preserve"> que cuando se presenten situaciones que generen el desequilibrio económico del contrato, previa revisión de su procedencia, conforme el análisis del caso concreto, la entidad deberá adoptar las medidas correspondientes para su restablecimiento, si a ello hay lugar, para lo cual tiene la potestad de suscribir los acuerdos necesarios sobre cuantía, condiciones, forma de pago, etc. </w:t>
      </w:r>
    </w:p>
    <w:p w14:paraId="0DF7A185" w14:textId="77777777" w:rsidR="0080580F" w:rsidRPr="00B8765E" w:rsidRDefault="0080580F" w:rsidP="0080580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ab/>
        <w:t>R</w:t>
      </w:r>
      <w:r w:rsidRPr="004474BA">
        <w:rPr>
          <w:rFonts w:ascii="Verdana" w:eastAsia="Times New Roman" w:hAnsi="Verdana" w:cs="Arial"/>
          <w:color w:val="000000"/>
          <w:bdr w:val="none" w:sz="0" w:space="0" w:color="auto" w:frame="1"/>
          <w:shd w:val="clear" w:color="auto" w:fill="FFFFFF"/>
          <w:lang w:eastAsia="es-ES_tradnl"/>
        </w:rPr>
        <w:t>especto al contenido de la liquidación</w:t>
      </w:r>
      <w:r>
        <w:rPr>
          <w:rFonts w:ascii="Verdana" w:eastAsia="Times New Roman" w:hAnsi="Verdana" w:cs="Arial"/>
          <w:color w:val="000000"/>
          <w:bdr w:val="none" w:sz="0" w:space="0" w:color="auto" w:frame="1"/>
          <w:shd w:val="clear" w:color="auto" w:fill="FFFFFF"/>
          <w:lang w:eastAsia="es-ES_tradnl"/>
        </w:rPr>
        <w:t xml:space="preserve">, conforme a los incisos segundo y tercero del artículo 60 del EGCAP, “[…] </w:t>
      </w:r>
      <w:r w:rsidRPr="00D118AB">
        <w:rPr>
          <w:rFonts w:ascii="Verdana" w:eastAsia="Times New Roman" w:hAnsi="Verdana" w:cs="Arial"/>
          <w:color w:val="000000"/>
          <w:bdr w:val="none" w:sz="0" w:space="0" w:color="auto" w:frame="1"/>
          <w:shd w:val="clear" w:color="auto" w:fill="FFFFFF"/>
          <w:lang w:eastAsia="es-ES_tradnl"/>
        </w:rPr>
        <w:t>las partes acordarán los ajustes, revisiones y reconocimientos a que haya lugar</w:t>
      </w:r>
      <w:r>
        <w:rPr>
          <w:rFonts w:ascii="Verdana" w:eastAsia="Times New Roman" w:hAnsi="Verdana" w:cs="Arial"/>
          <w:color w:val="000000"/>
          <w:bdr w:val="none" w:sz="0" w:space="0" w:color="auto" w:frame="1"/>
          <w:shd w:val="clear" w:color="auto" w:fill="FFFFFF"/>
          <w:lang w:eastAsia="es-ES_tradnl"/>
        </w:rPr>
        <w:t xml:space="preserve">” y en ella “[…] </w:t>
      </w:r>
      <w:r w:rsidRPr="00D118AB">
        <w:rPr>
          <w:rFonts w:ascii="Verdana" w:eastAsia="Times New Roman" w:hAnsi="Verdana" w:cs="Arial"/>
          <w:color w:val="000000"/>
          <w:bdr w:val="none" w:sz="0" w:space="0" w:color="auto" w:frame="1"/>
          <w:shd w:val="clear" w:color="auto" w:fill="FFFFFF"/>
          <w:lang w:eastAsia="es-ES_tradnl"/>
        </w:rPr>
        <w:t>constarán los acuerdos, conciliaciones y transacciones a que llegaren las partes para poner fin a las divergencias presentadas y poder declararse a paz y salvo</w:t>
      </w:r>
      <w:r>
        <w:rPr>
          <w:rFonts w:ascii="Verdana" w:eastAsia="Times New Roman" w:hAnsi="Verdana" w:cs="Arial"/>
          <w:color w:val="000000"/>
          <w:bdr w:val="none" w:sz="0" w:space="0" w:color="auto" w:frame="1"/>
          <w:shd w:val="clear" w:color="auto" w:fill="FFFFFF"/>
          <w:lang w:eastAsia="es-ES_tradnl"/>
        </w:rPr>
        <w:t>”</w:t>
      </w:r>
      <w:r w:rsidRPr="00D118AB">
        <w:rPr>
          <w:rFonts w:ascii="Verdana" w:eastAsia="Times New Roman" w:hAnsi="Verdana" w:cs="Arial"/>
          <w:color w:val="000000"/>
          <w:bdr w:val="none" w:sz="0" w:space="0" w:color="auto" w:frame="1"/>
          <w:shd w:val="clear" w:color="auto" w:fill="FFFFFF"/>
          <w:lang w:eastAsia="es-ES_tradnl"/>
        </w:rPr>
        <w:t>.</w:t>
      </w:r>
      <w:r>
        <w:rPr>
          <w:rFonts w:ascii="Verdana" w:eastAsia="Times New Roman" w:hAnsi="Verdana" w:cs="Arial"/>
          <w:color w:val="000000"/>
          <w:bdr w:val="none" w:sz="0" w:space="0" w:color="auto" w:frame="1"/>
          <w:shd w:val="clear" w:color="auto" w:fill="FFFFFF"/>
          <w:lang w:eastAsia="es-ES_tradnl"/>
        </w:rPr>
        <w:t xml:space="preserve"> Esto hace que la liquidación no sólo sea un mecanismo alternativo de solución de conflictos, sino también un medio para resolver asuntos relacionados con el desequilibrio económico del contrato. </w:t>
      </w:r>
      <w:r w:rsidRPr="00B8765E">
        <w:rPr>
          <w:rFonts w:ascii="Verdana" w:eastAsia="Times New Roman" w:hAnsi="Verdana" w:cs="Arial"/>
          <w:color w:val="000000"/>
          <w:bdr w:val="none" w:sz="0" w:space="0" w:color="auto" w:frame="1"/>
          <w:shd w:val="clear" w:color="auto" w:fill="FFFFFF"/>
          <w:lang w:eastAsia="es-ES_tradnl"/>
        </w:rPr>
        <w:t>Sobre esta última faceta, la norma en comento consagra una posibilidad para que las entidades públicas garanticen el equilibrio económico si éste resultó afectado en la ejecución del negocio jurídico, así que la liquidación es el momento oportuno para resolver las diferencias existentes</w:t>
      </w:r>
      <w:r w:rsidRPr="00B8765E">
        <w:rPr>
          <w:rStyle w:val="Refdenotaalpie"/>
          <w:rFonts w:ascii="Verdana" w:eastAsia="Times New Roman" w:hAnsi="Verdana" w:cs="Arial"/>
          <w:color w:val="000000"/>
          <w:bdr w:val="none" w:sz="0" w:space="0" w:color="auto" w:frame="1"/>
          <w:shd w:val="clear" w:color="auto" w:fill="FFFFFF"/>
          <w:lang w:eastAsia="es-ES_tradnl"/>
        </w:rPr>
        <w:footnoteReference w:id="31"/>
      </w:r>
      <w:r w:rsidRPr="00B8765E">
        <w:rPr>
          <w:rFonts w:ascii="Verdana" w:eastAsia="Times New Roman" w:hAnsi="Verdana" w:cs="Arial"/>
          <w:color w:val="000000"/>
          <w:bdr w:val="none" w:sz="0" w:space="0" w:color="auto" w:frame="1"/>
          <w:shd w:val="clear" w:color="auto" w:fill="FFFFFF"/>
          <w:lang w:eastAsia="es-ES_tradnl"/>
        </w:rPr>
        <w:t>.</w:t>
      </w:r>
      <w:r w:rsidRPr="00AA6517">
        <w:rPr>
          <w:rFonts w:ascii="Verdana" w:eastAsia="Times New Roman" w:hAnsi="Verdana" w:cs="Arial"/>
          <w:color w:val="000000"/>
          <w:sz w:val="20"/>
          <w:szCs w:val="20"/>
          <w:bdr w:val="none" w:sz="0" w:space="0" w:color="auto" w:frame="1"/>
          <w:shd w:val="clear" w:color="auto" w:fill="FFFFFF"/>
          <w:lang w:eastAsia="es-ES_tradnl"/>
        </w:rPr>
        <w:t xml:space="preserve"> </w:t>
      </w:r>
    </w:p>
    <w:p w14:paraId="6FFC1E31" w14:textId="77777777" w:rsidR="0080580F" w:rsidRDefault="0080580F" w:rsidP="0080580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361F2474" w14:textId="77777777" w:rsidR="0080580F" w:rsidRPr="004144DE" w:rsidRDefault="0080580F" w:rsidP="0080580F">
      <w:pPr>
        <w:tabs>
          <w:tab w:val="left" w:pos="709"/>
        </w:tabs>
        <w:spacing w:after="180" w:line="276" w:lineRule="auto"/>
        <w:jc w:val="both"/>
        <w:rPr>
          <w:rFonts w:ascii="Verdana" w:eastAsia="Calibri" w:hAnsi="Verdana" w:cs="Arial"/>
          <w:bCs/>
          <w:color w:val="000000" w:themeColor="text1"/>
        </w:rPr>
      </w:pPr>
      <w:proofErr w:type="spellStart"/>
      <w:r>
        <w:rPr>
          <w:rFonts w:ascii="Verdana" w:eastAsia="Times New Roman" w:hAnsi="Verdana" w:cs="Arial"/>
          <w:color w:val="000000"/>
          <w:bdr w:val="none" w:sz="0" w:space="0" w:color="auto" w:frame="1"/>
          <w:shd w:val="clear" w:color="auto" w:fill="FFFFFF"/>
          <w:lang w:eastAsia="es-ES_tradnl"/>
        </w:rPr>
        <w:t>iv</w:t>
      </w:r>
      <w:proofErr w:type="spellEnd"/>
      <w:r>
        <w:rPr>
          <w:rFonts w:ascii="Verdana" w:eastAsia="Times New Roman" w:hAnsi="Verdana" w:cs="Arial"/>
          <w:color w:val="000000"/>
          <w:bdr w:val="none" w:sz="0" w:space="0" w:color="auto" w:frame="1"/>
          <w:shd w:val="clear" w:color="auto" w:fill="FFFFFF"/>
          <w:lang w:eastAsia="es-ES_tradnl"/>
        </w:rPr>
        <w:t xml:space="preserve">. </w:t>
      </w:r>
      <w:r w:rsidRPr="0005409E">
        <w:rPr>
          <w:rFonts w:ascii="Verdana" w:eastAsia="Calibri" w:hAnsi="Verdana" w:cs="Arial"/>
          <w:bCs/>
          <w:color w:val="000000" w:themeColor="text1"/>
        </w:rPr>
        <w:t>Al margen de la explicación precedente</w:t>
      </w:r>
      <w:r>
        <w:rPr>
          <w:rFonts w:ascii="Verdana" w:eastAsia="Calibri" w:hAnsi="Verdana" w:cs="Arial"/>
          <w:bCs/>
          <w:color w:val="000000" w:themeColor="text1"/>
        </w:rPr>
        <w:t>,</w:t>
      </w:r>
      <w:r w:rsidRPr="0005409E">
        <w:rPr>
          <w:rFonts w:ascii="Verdana" w:eastAsia="Calibri" w:hAnsi="Verdana" w:cs="Arial"/>
          <w:bCs/>
          <w:color w:val="000000" w:themeColor="text1"/>
        </w:rPr>
        <w:t xml:space="preserve"> debe advertirse que el análisis requerido para resolver problemas específicos en torno a los reconocimientos económicos derivados del desequilibrio en el contrato debe ser realizado por quienes tengan interés en ello, de acuerdo con lo explicado la aclaración preliminar del presente oficio</w:t>
      </w:r>
      <w:r w:rsidRPr="003A380F">
        <w:rPr>
          <w:rFonts w:ascii="Verdana" w:eastAsia="Calibri" w:hAnsi="Verdana" w:cs="Arial"/>
          <w:bCs/>
          <w:color w:val="000000" w:themeColor="text1"/>
        </w:rPr>
        <w:t xml:space="preserve">. De esta manera, las afirmaciones aquí realizadas no pueden ser interpretadas como juicios de valor sobre circunstancias concretas relacionadas con los hechos que motivan la consulta. </w:t>
      </w:r>
      <w:r w:rsidRPr="001A39AD">
        <w:rPr>
          <w:rFonts w:ascii="Verdana" w:hAnsi="Verdana"/>
          <w:bCs/>
          <w:color w:val="000000"/>
        </w:rPr>
        <w:t xml:space="preserve">Por lo anterior, previo concepto de sus asesores, corresponde a las partes del contrato definir tanto la </w:t>
      </w:r>
      <w:r w:rsidRPr="001A39AD">
        <w:rPr>
          <w:rFonts w:ascii="Verdana" w:hAnsi="Verdana"/>
          <w:bCs/>
          <w:color w:val="000000"/>
        </w:rPr>
        <w:lastRenderedPageBreak/>
        <w:t>procedencia de los ajustes contractuales frente a la actualización del</w:t>
      </w:r>
      <w:r>
        <w:rPr>
          <w:rFonts w:ascii="Verdana" w:hAnsi="Verdana"/>
          <w:bCs/>
          <w:color w:val="000000"/>
        </w:rPr>
        <w:t xml:space="preserve"> IPC y/o el</w:t>
      </w:r>
      <w:r w:rsidRPr="001A39AD">
        <w:rPr>
          <w:rFonts w:ascii="Verdana" w:hAnsi="Verdana"/>
          <w:bCs/>
          <w:color w:val="000000"/>
        </w:rPr>
        <w:t xml:space="preserve"> salario mínimo legal mensual vigente como la forma de </w:t>
      </w:r>
      <w:proofErr w:type="spellStart"/>
      <w:r w:rsidRPr="001A39AD">
        <w:rPr>
          <w:rFonts w:ascii="Verdana" w:hAnsi="Verdana"/>
          <w:bCs/>
          <w:color w:val="000000"/>
        </w:rPr>
        <w:t>viabilizarlo</w:t>
      </w:r>
      <w:proofErr w:type="spellEnd"/>
      <w:r w:rsidRPr="001A39AD">
        <w:rPr>
          <w:rFonts w:ascii="Verdana" w:hAnsi="Verdana"/>
          <w:bCs/>
          <w:color w:val="000000"/>
        </w:rPr>
        <w:t xml:space="preserve"> jurídicamente; motivo por el cual, en caso de conflicto, intervendrán las autoridades judiciales, fiscales y disciplinarias</w:t>
      </w:r>
      <w:r w:rsidRPr="004144DE">
        <w:rPr>
          <w:rFonts w:ascii="Verdana" w:eastAsia="Calibri" w:hAnsi="Verdana" w:cs="Arial"/>
          <w:bCs/>
          <w:color w:val="000000" w:themeColor="text1"/>
        </w:rPr>
        <w:t>.</w:t>
      </w:r>
    </w:p>
    <w:p w14:paraId="63C64A22" w14:textId="77777777" w:rsidR="0080580F" w:rsidRPr="00185EE9" w:rsidRDefault="0080580F" w:rsidP="0080580F">
      <w:pPr>
        <w:spacing w:after="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4916EBF1" w14:textId="77777777" w:rsidR="0080580F" w:rsidRPr="00182C89" w:rsidRDefault="0080580F" w:rsidP="0080580F">
      <w:pPr>
        <w:tabs>
          <w:tab w:val="left" w:pos="709"/>
        </w:tabs>
        <w:spacing w:after="0" w:line="276" w:lineRule="auto"/>
        <w:jc w:val="both"/>
        <w:rPr>
          <w:rFonts w:ascii="Verdana" w:eastAsia="Calibri" w:hAnsi="Verdana" w:cs="Arial"/>
          <w:color w:val="000000" w:themeColor="text1"/>
        </w:rPr>
      </w:pPr>
    </w:p>
    <w:p w14:paraId="0F66647B" w14:textId="77777777" w:rsidR="0080580F" w:rsidRPr="00593A5F" w:rsidRDefault="0080580F" w:rsidP="0080580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662973AF" w14:textId="77777777" w:rsidR="0080580F" w:rsidRPr="00593A5F" w:rsidRDefault="0080580F" w:rsidP="0080580F">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0580F" w:rsidRPr="002407CE" w14:paraId="07811D28" w14:textId="77777777">
        <w:trPr>
          <w:trHeight w:val="56"/>
          <w:jc w:val="center"/>
        </w:trPr>
        <w:tc>
          <w:tcPr>
            <w:tcW w:w="8647" w:type="dxa"/>
          </w:tcPr>
          <w:p w14:paraId="5F47F8D5" w14:textId="77777777" w:rsidR="0080580F" w:rsidRDefault="0080580F" w:rsidP="0080580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B87E7A">
              <w:rPr>
                <w:rFonts w:ascii="Verdana" w:hAnsi="Verdana" w:cs="Arial"/>
              </w:rPr>
              <w:t xml:space="preserve">Ley 80 de 1993, artículos </w:t>
            </w:r>
            <w:r w:rsidRPr="00AE09C3">
              <w:rPr>
                <w:rFonts w:ascii="Verdana" w:hAnsi="Verdana" w:cs="Arial"/>
              </w:rPr>
              <w:t xml:space="preserve">3, 4, 5, 13, 14, 27, </w:t>
            </w:r>
            <w:r>
              <w:rPr>
                <w:rFonts w:ascii="Verdana" w:hAnsi="Verdana" w:cs="Arial"/>
              </w:rPr>
              <w:t xml:space="preserve">30, </w:t>
            </w:r>
            <w:r w:rsidRPr="00AE09C3">
              <w:rPr>
                <w:rFonts w:ascii="Verdana" w:hAnsi="Verdana" w:cs="Arial"/>
              </w:rPr>
              <w:t>32</w:t>
            </w:r>
            <w:r>
              <w:rPr>
                <w:rFonts w:ascii="Verdana" w:hAnsi="Verdana" w:cs="Arial"/>
              </w:rPr>
              <w:t>,</w:t>
            </w:r>
            <w:r w:rsidRPr="00AE09C3">
              <w:rPr>
                <w:rFonts w:ascii="Verdana" w:hAnsi="Verdana" w:cs="Arial"/>
              </w:rPr>
              <w:t xml:space="preserve"> 40 y 60</w:t>
            </w:r>
            <w:r>
              <w:rPr>
                <w:rFonts w:ascii="Verdana" w:hAnsi="Verdana" w:cs="Arial"/>
              </w:rPr>
              <w:t>.</w:t>
            </w:r>
          </w:p>
          <w:p w14:paraId="6721F1AC" w14:textId="77777777" w:rsidR="0080580F" w:rsidRDefault="0080580F" w:rsidP="0080580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4.</w:t>
            </w:r>
          </w:p>
          <w:p w14:paraId="1C413BB6" w14:textId="77777777" w:rsidR="0080580F" w:rsidRDefault="0080580F" w:rsidP="0080580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1068 de 2015, artículos </w:t>
            </w:r>
            <w:r w:rsidRPr="00E82089">
              <w:rPr>
                <w:rFonts w:ascii="Verdana" w:hAnsi="Verdana" w:cs="Arial"/>
              </w:rPr>
              <w:t>2.4.1.10</w:t>
            </w:r>
            <w:r>
              <w:rPr>
                <w:rFonts w:ascii="Verdana" w:hAnsi="Verdana" w:cs="Arial"/>
              </w:rPr>
              <w:t xml:space="preserve"> y </w:t>
            </w:r>
            <w:r w:rsidRPr="00E82089">
              <w:rPr>
                <w:rFonts w:ascii="Verdana" w:hAnsi="Verdana" w:cs="Arial"/>
              </w:rPr>
              <w:t>2.4.1.1</w:t>
            </w:r>
            <w:r>
              <w:rPr>
                <w:rFonts w:ascii="Verdana" w:hAnsi="Verdana" w:cs="Arial"/>
              </w:rPr>
              <w:t>1.</w:t>
            </w:r>
          </w:p>
          <w:p w14:paraId="0D9C81FF" w14:textId="77777777" w:rsidR="0080580F" w:rsidRDefault="0080580F" w:rsidP="0080580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1082 de 2015, artículos </w:t>
            </w:r>
            <w:r w:rsidRPr="00265FF6">
              <w:rPr>
                <w:rFonts w:ascii="Verdana" w:hAnsi="Verdana" w:cs="Arial"/>
              </w:rPr>
              <w:t>2.2.1.1.1.3.1</w:t>
            </w:r>
            <w:r>
              <w:rPr>
                <w:rFonts w:ascii="Verdana" w:hAnsi="Verdana" w:cs="Arial"/>
              </w:rPr>
              <w:t xml:space="preserve">, </w:t>
            </w:r>
            <w:r w:rsidRPr="00265FF6">
              <w:rPr>
                <w:rFonts w:ascii="Verdana" w:hAnsi="Verdana" w:cs="Arial"/>
              </w:rPr>
              <w:t>2.2.1.1.2.1.3</w:t>
            </w:r>
            <w:r>
              <w:rPr>
                <w:rFonts w:ascii="Verdana" w:hAnsi="Verdana" w:cs="Arial"/>
              </w:rPr>
              <w:t xml:space="preserve"> y </w:t>
            </w:r>
            <w:r w:rsidRPr="00A3218F">
              <w:rPr>
                <w:rFonts w:ascii="Verdana" w:hAnsi="Verdana" w:cs="Arial"/>
              </w:rPr>
              <w:t>2.2.1.2.1.1.2</w:t>
            </w:r>
            <w:r>
              <w:rPr>
                <w:rFonts w:ascii="Verdana" w:hAnsi="Verdana" w:cs="Arial"/>
              </w:rPr>
              <w:t xml:space="preserve">. </w:t>
            </w:r>
          </w:p>
          <w:p w14:paraId="4833D50D" w14:textId="77777777" w:rsidR="0080580F" w:rsidRPr="00B87E7A" w:rsidRDefault="0080580F" w:rsidP="0080580F">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754D53">
              <w:rPr>
                <w:rFonts w:ascii="Verdana" w:hAnsi="Verdana" w:cs="Arial"/>
              </w:rPr>
              <w:t>Código Civil, artículo 1602.</w:t>
            </w:r>
          </w:p>
        </w:tc>
      </w:tr>
    </w:tbl>
    <w:p w14:paraId="7F483B4E" w14:textId="77777777" w:rsidR="0080580F" w:rsidRPr="002407CE" w:rsidRDefault="0080580F" w:rsidP="0080580F">
      <w:pPr>
        <w:widowControl w:val="0"/>
        <w:autoSpaceDE w:val="0"/>
        <w:autoSpaceDN w:val="0"/>
        <w:spacing w:after="0" w:line="276" w:lineRule="auto"/>
        <w:jc w:val="both"/>
        <w:rPr>
          <w:rFonts w:ascii="Verdana" w:hAnsi="Verdana" w:cs="Arial"/>
        </w:rPr>
      </w:pPr>
    </w:p>
    <w:p w14:paraId="11180CE2" w14:textId="77777777" w:rsidR="0080580F" w:rsidRPr="00593A5F" w:rsidRDefault="0080580F" w:rsidP="0080580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2B30301" w14:textId="77777777" w:rsidR="0080580F" w:rsidRPr="00593A5F" w:rsidRDefault="0080580F" w:rsidP="0080580F">
      <w:pPr>
        <w:widowControl w:val="0"/>
        <w:autoSpaceDE w:val="0"/>
        <w:autoSpaceDN w:val="0"/>
        <w:spacing w:after="0" w:line="276" w:lineRule="auto"/>
        <w:jc w:val="both"/>
        <w:rPr>
          <w:rFonts w:ascii="Verdana" w:hAnsi="Verdana" w:cs="Arial"/>
        </w:rPr>
      </w:pPr>
    </w:p>
    <w:p w14:paraId="08873374" w14:textId="77777777" w:rsidR="0080580F" w:rsidRPr="00ED0098" w:rsidRDefault="0080580F" w:rsidP="0080580F">
      <w:pPr>
        <w:widowControl w:val="0"/>
        <w:autoSpaceDE w:val="0"/>
        <w:autoSpaceDN w:val="0"/>
        <w:spacing w:after="0" w:line="276" w:lineRule="auto"/>
        <w:jc w:val="both"/>
        <w:rPr>
          <w:rStyle w:val="normaltextrun"/>
          <w:rFonts w:ascii="Verdana" w:hAnsi="Verdana" w:cs="Arial"/>
          <w:shd w:val="clear" w:color="auto" w:fill="FFFFFF"/>
        </w:rPr>
      </w:pPr>
      <w:r>
        <w:rPr>
          <w:rFonts w:ascii="Verdana" w:hAnsi="Verdana" w:cs="Arial"/>
          <w:shd w:val="clear" w:color="auto" w:fill="FFFFFF"/>
        </w:rPr>
        <w:t xml:space="preserve">Esta Subdirección </w:t>
      </w:r>
      <w:r w:rsidRPr="00683260">
        <w:rPr>
          <w:rStyle w:val="normaltextrun"/>
          <w:rFonts w:ascii="Verdana" w:hAnsi="Verdana" w:cs="Arial"/>
          <w:shd w:val="clear" w:color="auto" w:fill="FFFFFF"/>
        </w:rPr>
        <w:t xml:space="preserve">se ha pronunciado en varias ocasiones sobre el AIU en los </w:t>
      </w:r>
      <w:r>
        <w:rPr>
          <w:rStyle w:val="normaltextrun"/>
          <w:rFonts w:ascii="Verdana" w:hAnsi="Verdana" w:cs="Arial"/>
          <w:shd w:val="clear" w:color="auto" w:fill="FFFFFF"/>
        </w:rPr>
        <w:t xml:space="preserve">Conceptos </w:t>
      </w:r>
      <w:r w:rsidRPr="00E278D2">
        <w:rPr>
          <w:rStyle w:val="normaltextrun"/>
          <w:rFonts w:ascii="Verdana" w:hAnsi="Verdana" w:cs="Arial"/>
          <w:shd w:val="clear" w:color="auto" w:fill="FFFFFF"/>
        </w:rPr>
        <w:t>4201714000005136 del 14 de noviembre de 2017; 4201714000006401 del 23 de noviembre de 2017;</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4201813000004155 del 9 de mayo de 2018; 4201814000008069 del 27 de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septiembre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4201814000007383</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del</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18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octubre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4201814000008069 del 13 de noviembre de 2018; 4201912000004214 del 26</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junio de 2019; 4201912000006455 y 4201912000006463 del 19 de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septiembre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2019;</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4201912000007375</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del</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28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octubre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2019;</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4201912000007092 del 29 de noviembre de 2019; 4202012000000093, C–037</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 xml:space="preserve">del 28 de enero de 2020, </w:t>
      </w:r>
      <w:r w:rsidRPr="00E278D2">
        <w:rPr>
          <w:rStyle w:val="normaltextrun"/>
          <w:rFonts w:ascii="Verdana" w:hAnsi="Verdana" w:cs="Arial"/>
          <w:shd w:val="clear" w:color="auto" w:fill="FFFFFF"/>
        </w:rPr>
        <w:lastRenderedPageBreak/>
        <w:t>4202012000000664 del 30 de enero de 2020, C-191 del 16 de marzo de 2020,</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C-211 del 8 de abril de 2020, C-714 del 9 de diciembre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2020, C-059 del 10 de marzo de 2021, C-613 del 6 de octubre de 2022, C-716 de 15 de noviembre de 2022, C-802 de 23 de noviembre de 2022, C-854 del 9 de diciembre de 2022, C-914 del 27 de diciembre de 2022</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C</w:t>
      </w:r>
      <w:r>
        <w:rPr>
          <w:rStyle w:val="normaltextrun"/>
          <w:rFonts w:ascii="Verdana" w:hAnsi="Verdana" w:cs="Arial"/>
          <w:shd w:val="clear" w:color="auto" w:fill="FFFFFF"/>
        </w:rPr>
        <w:t>-</w:t>
      </w:r>
      <w:r w:rsidRPr="00E278D2">
        <w:rPr>
          <w:rStyle w:val="normaltextrun"/>
          <w:rFonts w:ascii="Verdana" w:hAnsi="Verdana" w:cs="Arial"/>
          <w:shd w:val="clear" w:color="auto" w:fill="FFFFFF"/>
        </w:rPr>
        <w:t>361 de septiembre de 2023</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C-401 del 27 de septiembre de 202</w:t>
      </w:r>
      <w:r>
        <w:rPr>
          <w:rStyle w:val="normaltextrun"/>
          <w:rFonts w:ascii="Verdana" w:hAnsi="Verdana" w:cs="Arial"/>
          <w:shd w:val="clear" w:color="auto" w:fill="FFFFFF"/>
        </w:rPr>
        <w:t xml:space="preserve">3 y C-455 del 18 de septiembre de 2024, C-248 del 3 de abril de 2025 y C-460 del 18 de junio de 2025. Asimismo, </w:t>
      </w:r>
      <w:r w:rsidRPr="00DA1FE4">
        <w:rPr>
          <w:rFonts w:ascii="Verdana" w:eastAsia="Calibri" w:hAnsi="Verdana" w:cs="Arial"/>
          <w:shd w:val="clear" w:color="auto" w:fill="FFFFFF"/>
        </w:rPr>
        <w:t xml:space="preserve">se pronunció sobre </w:t>
      </w:r>
      <w:r>
        <w:rPr>
          <w:rFonts w:ascii="Verdana" w:eastAsia="Calibri" w:hAnsi="Verdana" w:cs="Arial"/>
          <w:shd w:val="clear" w:color="auto" w:fill="FFFFFF"/>
        </w:rPr>
        <w:t>el equilibrio económico del contrato estatal en los Conceptos C-938 del 27 de diciembre de 2022, C-774 del 20 de noviembre de 2024, C-565 del 10 de junio de 2025, C-1029 del 31 de julio de 2025, C-1035 del 8 de septiembre de 2025 y C-1429 del 21 de octubre de 2025.</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3"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5CDA6CE" w14:textId="77777777" w:rsidR="0080580F" w:rsidRPr="00096788" w:rsidRDefault="0080580F" w:rsidP="0080580F">
      <w:pPr>
        <w:widowControl w:val="0"/>
        <w:autoSpaceDE w:val="0"/>
        <w:autoSpaceDN w:val="0"/>
        <w:spacing w:after="0" w:line="276" w:lineRule="auto"/>
        <w:jc w:val="both"/>
        <w:rPr>
          <w:rFonts w:ascii="Verdana" w:hAnsi="Verdana" w:cs="Arial"/>
          <w:color w:val="000000" w:themeColor="text1"/>
          <w:shd w:val="clear" w:color="auto" w:fill="FFFFFF"/>
        </w:rPr>
      </w:pPr>
    </w:p>
    <w:p w14:paraId="7D85197B" w14:textId="77777777" w:rsidR="0080580F" w:rsidRDefault="0080580F" w:rsidP="0080580F">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762F6C0E" w14:textId="77777777" w:rsidR="0080580F" w:rsidRPr="009A385A" w:rsidRDefault="0080580F" w:rsidP="0080580F">
      <w:pPr>
        <w:spacing w:after="0"/>
        <w:jc w:val="both"/>
        <w:rPr>
          <w:rFonts w:ascii="Verdana" w:hAnsi="Verdana"/>
        </w:rPr>
      </w:pPr>
    </w:p>
    <w:p w14:paraId="14515657" w14:textId="77777777" w:rsidR="0080580F" w:rsidRDefault="0080580F" w:rsidP="0080580F">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0F6A07D3" w14:textId="77777777" w:rsidR="0080580F" w:rsidRDefault="0080580F" w:rsidP="0080580F">
      <w:pPr>
        <w:spacing w:after="0"/>
        <w:jc w:val="both"/>
        <w:rPr>
          <w:rFonts w:ascii="Verdana" w:hAnsi="Verdana"/>
        </w:rPr>
      </w:pPr>
    </w:p>
    <w:p w14:paraId="71BAD050" w14:textId="77777777" w:rsidR="0080580F" w:rsidRPr="008E1CD7" w:rsidRDefault="0080580F" w:rsidP="0080580F">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lastRenderedPageBreak/>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6D682C7" w14:textId="77777777" w:rsidR="0080580F" w:rsidRDefault="0080580F" w:rsidP="0080580F">
      <w:pPr>
        <w:shd w:val="clear" w:color="auto" w:fill="FFFFFF"/>
        <w:spacing w:after="0" w:line="276" w:lineRule="auto"/>
        <w:jc w:val="both"/>
        <w:rPr>
          <w:rFonts w:ascii="Verdana" w:hAnsi="Verdana"/>
          <w:color w:val="000000"/>
          <w:u w:val="single"/>
        </w:rPr>
      </w:pPr>
    </w:p>
    <w:p w14:paraId="0E63CD8F" w14:textId="77777777" w:rsidR="0080580F" w:rsidRPr="00116940" w:rsidRDefault="0080580F" w:rsidP="0080580F">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25D1A272" w14:textId="77777777" w:rsidR="0080580F" w:rsidRPr="00116940" w:rsidRDefault="0080580F" w:rsidP="0080580F">
      <w:pPr>
        <w:spacing w:after="0"/>
        <w:jc w:val="both"/>
        <w:rPr>
          <w:rFonts w:ascii="Verdana" w:hAnsi="Verdana"/>
        </w:rPr>
      </w:pPr>
    </w:p>
    <w:p w14:paraId="7651AB6E" w14:textId="77777777" w:rsidR="0080580F" w:rsidRPr="00116940" w:rsidRDefault="0080580F" w:rsidP="0080580F">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362A87C2" w14:textId="77777777" w:rsidR="0080580F" w:rsidRPr="00116940" w:rsidRDefault="0080580F" w:rsidP="0080580F">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18A6ED6E" w14:textId="77777777" w:rsidR="0080580F" w:rsidRPr="00116940" w:rsidRDefault="0080580F" w:rsidP="0080580F">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56EF412B" w14:textId="77777777" w:rsidR="0080580F" w:rsidRPr="00116940" w:rsidRDefault="0080580F" w:rsidP="0080580F">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33A3EEE8" w14:textId="77777777" w:rsidR="0080580F" w:rsidRPr="00116940" w:rsidRDefault="0080580F" w:rsidP="0080580F">
      <w:pPr>
        <w:spacing w:after="0" w:line="240" w:lineRule="auto"/>
        <w:ind w:left="720"/>
        <w:jc w:val="both"/>
        <w:rPr>
          <w:rFonts w:ascii="Verdana" w:hAnsi="Verdana"/>
        </w:rPr>
      </w:pPr>
    </w:p>
    <w:p w14:paraId="3310FD6B" w14:textId="77777777" w:rsidR="0080580F" w:rsidRPr="00116940" w:rsidRDefault="0080580F" w:rsidP="0080580F">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9"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2DD6C21F" w14:textId="77777777" w:rsidR="0080580F" w:rsidRPr="00116940" w:rsidRDefault="0080580F" w:rsidP="0080580F">
      <w:pPr>
        <w:spacing w:after="0" w:line="240" w:lineRule="auto"/>
        <w:rPr>
          <w:rFonts w:ascii="Verdana" w:hAnsi="Verdana"/>
        </w:rPr>
      </w:pPr>
    </w:p>
    <w:p w14:paraId="22E1E758" w14:textId="77777777" w:rsidR="0080580F" w:rsidRPr="00116940" w:rsidRDefault="0080580F" w:rsidP="0080580F">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4F74EAC4" w14:textId="77777777" w:rsidR="0080580F" w:rsidRPr="00116940" w:rsidRDefault="0080580F" w:rsidP="0080580F">
      <w:pPr>
        <w:spacing w:after="0" w:line="240" w:lineRule="auto"/>
        <w:jc w:val="both"/>
        <w:rPr>
          <w:rFonts w:ascii="Verdana" w:hAnsi="Verdana"/>
        </w:rPr>
      </w:pPr>
    </w:p>
    <w:p w14:paraId="535F4C33" w14:textId="77777777" w:rsidR="0080580F" w:rsidRPr="00116940" w:rsidRDefault="0080580F" w:rsidP="0080580F">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9FB290E" w14:textId="77777777" w:rsidR="0080580F" w:rsidRPr="00116940" w:rsidRDefault="0080580F" w:rsidP="0080580F">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0362C07A" w14:textId="77777777" w:rsidR="0080580F" w:rsidRPr="00116940" w:rsidRDefault="0080580F" w:rsidP="0080580F">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7E7EB93F" w14:textId="77777777" w:rsidR="0080580F" w:rsidRPr="009C4035" w:rsidRDefault="0080580F" w:rsidP="0080580F">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5E95972D" w14:textId="77777777" w:rsidR="0080580F" w:rsidRPr="00593A5F" w:rsidRDefault="0080580F" w:rsidP="0080580F">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w:t>
      </w:r>
      <w:r w:rsidRPr="00593A5F">
        <w:rPr>
          <w:rFonts w:ascii="Verdana" w:hAnsi="Verdana" w:cs="Arial"/>
        </w:rPr>
        <w:lastRenderedPageBreak/>
        <w:t xml:space="preserve">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2BD58BC4" w14:textId="77777777" w:rsidR="0080580F" w:rsidRPr="00593A5F" w:rsidRDefault="0080580F" w:rsidP="0080580F">
      <w:pPr>
        <w:widowControl w:val="0"/>
        <w:autoSpaceDE w:val="0"/>
        <w:autoSpaceDN w:val="0"/>
        <w:spacing w:after="0" w:line="276" w:lineRule="auto"/>
        <w:jc w:val="both"/>
        <w:rPr>
          <w:rFonts w:ascii="Verdana" w:hAnsi="Verdana" w:cs="Arial"/>
        </w:rPr>
      </w:pPr>
    </w:p>
    <w:p w14:paraId="3A5F9FB1" w14:textId="77777777" w:rsidR="0080580F" w:rsidRPr="00593A5F" w:rsidRDefault="0080580F" w:rsidP="0080580F">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017E19B4" w14:textId="6926E74A" w:rsidR="0080580F" w:rsidRPr="00593A5F" w:rsidRDefault="00582236" w:rsidP="0080580F">
      <w:pPr>
        <w:spacing w:line="276" w:lineRule="auto"/>
        <w:jc w:val="center"/>
        <w:rPr>
          <w:rFonts w:ascii="Verdana" w:hAnsi="Verdana" w:cs="Arial"/>
          <w:color w:val="000000"/>
          <w:lang w:val="es-ES_tradnl" w:eastAsia="es-CO"/>
        </w:rPr>
      </w:pPr>
      <w:r>
        <w:rPr>
          <w:noProof/>
        </w:rPr>
        <w:drawing>
          <wp:inline distT="0" distB="0" distL="0" distR="0" wp14:anchorId="1484016A" wp14:editId="2736F8D4">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20"/>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0580F" w:rsidRPr="00593A5F" w14:paraId="2D8046CF" w14:textId="77777777">
        <w:trPr>
          <w:trHeight w:val="315"/>
        </w:trPr>
        <w:tc>
          <w:tcPr>
            <w:tcW w:w="893" w:type="dxa"/>
            <w:vAlign w:val="center"/>
            <w:hideMark/>
          </w:tcPr>
          <w:p w14:paraId="5DACBE0B" w14:textId="77777777" w:rsidR="0080580F" w:rsidRPr="003751C7" w:rsidRDefault="0080580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70399EB" w14:textId="77777777" w:rsidR="0080580F" w:rsidRPr="00254A7A" w:rsidRDefault="0080580F">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70349D37" w14:textId="77777777" w:rsidR="0080580F" w:rsidRPr="00254A7A" w:rsidRDefault="0080580F">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80580F" w:rsidRPr="00593A5F" w14:paraId="26EE203A" w14:textId="77777777">
        <w:trPr>
          <w:trHeight w:val="330"/>
        </w:trPr>
        <w:tc>
          <w:tcPr>
            <w:tcW w:w="893" w:type="dxa"/>
            <w:vAlign w:val="center"/>
            <w:hideMark/>
          </w:tcPr>
          <w:p w14:paraId="2D294865" w14:textId="77777777" w:rsidR="0080580F" w:rsidRPr="003751C7" w:rsidRDefault="0080580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3CB1253" w14:textId="77777777" w:rsidR="0080580F" w:rsidRPr="00A40FD0" w:rsidRDefault="0080580F">
            <w:pPr>
              <w:pStyle w:val="paragraph"/>
              <w:spacing w:after="0"/>
              <w:contextualSpacing/>
              <w:textAlignment w:val="baseline"/>
              <w:rPr>
                <w:rStyle w:val="normaltextrun"/>
                <w:rFonts w:ascii="Verdana" w:hAnsi="Verdana" w:cs="Arial"/>
                <w:sz w:val="16"/>
                <w:szCs w:val="16"/>
                <w:lang w:val="es-ES_tradnl"/>
              </w:rPr>
            </w:pPr>
            <w:r w:rsidRPr="00A40FD0">
              <w:rPr>
                <w:rStyle w:val="normaltextrun"/>
                <w:rFonts w:ascii="Verdana" w:hAnsi="Verdana" w:cs="Arial"/>
                <w:sz w:val="16"/>
                <w:szCs w:val="16"/>
                <w:lang w:val="es-ES_tradnl"/>
              </w:rPr>
              <w:t>Diana Lucia Saavedra Castañeda</w:t>
            </w:r>
          </w:p>
          <w:p w14:paraId="408AC681" w14:textId="77777777" w:rsidR="0080580F" w:rsidRPr="00A40FD0" w:rsidRDefault="0080580F">
            <w:pPr>
              <w:pStyle w:val="paragraph"/>
              <w:spacing w:before="0" w:beforeAutospacing="0" w:after="0" w:afterAutospacing="0"/>
              <w:contextualSpacing/>
              <w:textAlignment w:val="baseline"/>
              <w:rPr>
                <w:rFonts w:ascii="Verdana" w:hAnsi="Verdana" w:cs="Segoe UI"/>
                <w:sz w:val="16"/>
                <w:szCs w:val="16"/>
              </w:rPr>
            </w:pPr>
            <w:r w:rsidRPr="00A40FD0">
              <w:rPr>
                <w:rStyle w:val="normaltextrun"/>
                <w:rFonts w:ascii="Verdana" w:hAnsi="Verdana" w:cs="Arial"/>
                <w:sz w:val="16"/>
                <w:szCs w:val="16"/>
                <w:lang w:val="es-ES_tradnl"/>
              </w:rPr>
              <w:t>Contratista de la Subdirección de Gestión Contractual</w:t>
            </w:r>
          </w:p>
        </w:tc>
      </w:tr>
      <w:tr w:rsidR="0080580F" w:rsidRPr="00593A5F" w14:paraId="3E4DB3FF" w14:textId="77777777">
        <w:trPr>
          <w:trHeight w:val="300"/>
        </w:trPr>
        <w:tc>
          <w:tcPr>
            <w:tcW w:w="893" w:type="dxa"/>
            <w:vAlign w:val="center"/>
          </w:tcPr>
          <w:p w14:paraId="185710FD" w14:textId="77777777" w:rsidR="0080580F" w:rsidRPr="003751C7" w:rsidRDefault="0080580F">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F336B10" w14:textId="77777777" w:rsidR="0080580F" w:rsidRPr="00FE00BE" w:rsidRDefault="0080580F">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Carolina Quintero Gacharná</w:t>
            </w:r>
          </w:p>
          <w:p w14:paraId="529F24A5" w14:textId="77777777" w:rsidR="0080580F" w:rsidRPr="00FE00BE" w:rsidRDefault="0080580F">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62B95D15" w14:textId="1613F8B2" w:rsidR="0080580F" w:rsidRPr="00543BFE" w:rsidRDefault="0080580F" w:rsidP="0080580F"/>
    <w:p w14:paraId="0F293BF4" w14:textId="25A44211" w:rsidR="00127233" w:rsidRPr="00420CF8" w:rsidRDefault="00127233" w:rsidP="00420CF8"/>
    <w:sectPr w:rsidR="00127233" w:rsidRPr="00420CF8"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D5AB89" w14:textId="77777777" w:rsidR="00DD7854" w:rsidRDefault="00DD7854" w:rsidP="004A1847">
      <w:pPr>
        <w:spacing w:after="0" w:line="240" w:lineRule="auto"/>
      </w:pPr>
      <w:r>
        <w:separator/>
      </w:r>
    </w:p>
  </w:endnote>
  <w:endnote w:type="continuationSeparator" w:id="0">
    <w:p w14:paraId="4DA7CC27" w14:textId="77777777" w:rsidR="00DD7854" w:rsidRDefault="00DD785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Historic">
    <w:panose1 w:val="020B0502040204020203"/>
    <w:charset w:val="00"/>
    <w:family w:val="swiss"/>
    <w:pitch w:val="variable"/>
    <w:sig w:usb0="800001EF" w:usb1="02000002" w:usb2="0060C08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755139"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755139">
      <w:rPr>
        <w:rFonts w:ascii="Verdana" w:eastAsia="Verdana" w:hAnsi="Verdana" w:cs="Verdana"/>
        <w:b/>
        <w:bCs/>
        <w:color w:val="000000" w:themeColor="text1"/>
        <w:sz w:val="18"/>
        <w:szCs w:val="18"/>
        <w:lang w:val="pt-BR" w:eastAsia="es-CO"/>
      </w:rPr>
      <w:t xml:space="preserve">Código: </w:t>
    </w:r>
    <w:r w:rsidRPr="00755139">
      <w:rPr>
        <w:rFonts w:ascii="Verdana" w:eastAsia="Verdana" w:hAnsi="Verdana" w:cs="Verdana"/>
        <w:color w:val="000000" w:themeColor="text1"/>
        <w:sz w:val="18"/>
        <w:szCs w:val="18"/>
        <w:lang w:val="pt-BR" w:eastAsia="es-CO"/>
      </w:rPr>
      <w:t xml:space="preserve">CCE-REC-FM-17 </w:t>
    </w:r>
    <w:r w:rsidRPr="00755139">
      <w:rPr>
        <w:rFonts w:ascii="Verdana" w:eastAsia="Verdana" w:hAnsi="Verdana" w:cs="Verdana"/>
        <w:b/>
        <w:bCs/>
        <w:color w:val="000000" w:themeColor="text1"/>
        <w:sz w:val="18"/>
        <w:szCs w:val="18"/>
        <w:lang w:val="pt-BR" w:eastAsia="es-CO"/>
      </w:rPr>
      <w:t xml:space="preserve">V: </w:t>
    </w:r>
    <w:r w:rsidRPr="00755139">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F5D77A" w14:textId="77777777" w:rsidR="00DD7854" w:rsidRDefault="00DD7854" w:rsidP="004A1847">
      <w:pPr>
        <w:spacing w:after="0" w:line="240" w:lineRule="auto"/>
      </w:pPr>
      <w:r>
        <w:separator/>
      </w:r>
    </w:p>
  </w:footnote>
  <w:footnote w:type="continuationSeparator" w:id="0">
    <w:p w14:paraId="3267EF04" w14:textId="77777777" w:rsidR="00DD7854" w:rsidRDefault="00DD7854" w:rsidP="004A1847">
      <w:pPr>
        <w:spacing w:after="0" w:line="240" w:lineRule="auto"/>
      </w:pPr>
      <w:r>
        <w:continuationSeparator/>
      </w:r>
    </w:p>
  </w:footnote>
  <w:footnote w:id="1">
    <w:p w14:paraId="2410C348" w14:textId="77777777" w:rsidR="0080580F" w:rsidRPr="00364005" w:rsidRDefault="0080580F" w:rsidP="0080580F">
      <w:pPr>
        <w:pStyle w:val="Textonotapie"/>
        <w:ind w:firstLine="708"/>
        <w:jc w:val="both"/>
        <w:rPr>
          <w:rFonts w:ascii="Verdana" w:hAnsi="Verdana" w:cs="Arial"/>
          <w:sz w:val="16"/>
          <w:szCs w:val="16"/>
          <w:lang w:val="en-US"/>
        </w:rPr>
      </w:pPr>
      <w:r w:rsidRPr="00364005">
        <w:rPr>
          <w:rStyle w:val="Refdenotaalpie"/>
          <w:rFonts w:ascii="Verdana" w:hAnsi="Verdana" w:cs="Arial"/>
          <w:sz w:val="16"/>
          <w:szCs w:val="16"/>
        </w:rPr>
        <w:footnoteRef/>
      </w:r>
      <w:r w:rsidRPr="00755139">
        <w:rPr>
          <w:rFonts w:ascii="Verdana" w:hAnsi="Verdana" w:cs="Arial"/>
          <w:sz w:val="16"/>
          <w:szCs w:val="16"/>
          <w:lang w:val="it-IT"/>
        </w:rPr>
        <w:t xml:space="preserve"> DIMITRI N., PIGA, G., SPAGNOLO G., Handbook of Procurement. </w:t>
      </w:r>
      <w:r w:rsidRPr="00364005">
        <w:rPr>
          <w:rFonts w:ascii="Verdana" w:hAnsi="Verdana" w:cs="Arial"/>
          <w:sz w:val="16"/>
          <w:szCs w:val="16"/>
          <w:lang w:val="en-US"/>
        </w:rPr>
        <w:t>New York: Cambridge University Press, 2006</w:t>
      </w:r>
      <w:r>
        <w:rPr>
          <w:rFonts w:ascii="Verdana" w:hAnsi="Verdana" w:cs="Arial"/>
          <w:sz w:val="16"/>
          <w:szCs w:val="16"/>
          <w:lang w:val="en-US"/>
        </w:rPr>
        <w:t>.</w:t>
      </w:r>
    </w:p>
  </w:footnote>
  <w:footnote w:id="2">
    <w:p w14:paraId="32205A41" w14:textId="77777777" w:rsidR="0080580F" w:rsidRPr="00364005" w:rsidRDefault="0080580F" w:rsidP="0080580F">
      <w:pPr>
        <w:pStyle w:val="Textonotapie"/>
        <w:ind w:firstLine="708"/>
        <w:jc w:val="both"/>
        <w:rPr>
          <w:rFonts w:ascii="Verdana" w:hAnsi="Verdana" w:cs="Arial"/>
          <w:sz w:val="16"/>
          <w:szCs w:val="16"/>
          <w:lang w:val="es-ES"/>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hAnsi="Verdana" w:cs="Arial"/>
          <w:sz w:val="16"/>
          <w:szCs w:val="16"/>
          <w:lang w:val="es-ES"/>
        </w:rPr>
        <w:t>Gaceta del Congreso No. 458 del 1 de agosto de 2005.</w:t>
      </w:r>
    </w:p>
  </w:footnote>
  <w:footnote w:id="3">
    <w:p w14:paraId="1E3332D4" w14:textId="77777777" w:rsidR="0080580F" w:rsidRPr="00364005" w:rsidRDefault="0080580F" w:rsidP="0080580F">
      <w:pPr>
        <w:pStyle w:val="Textonotapie"/>
        <w:ind w:firstLine="708"/>
        <w:jc w:val="both"/>
        <w:rPr>
          <w:rFonts w:ascii="Verdana" w:hAnsi="Verdana" w:cs="Arial"/>
          <w:sz w:val="16"/>
          <w:szCs w:val="16"/>
          <w:lang w:val="es-ES"/>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hAnsi="Verdana" w:cs="Arial"/>
          <w:sz w:val="16"/>
          <w:szCs w:val="16"/>
          <w:lang w:val="es-ES"/>
        </w:rPr>
        <w:t>Además de lo anterior, el artículo 2.2.1.1.1.3.1. del Decreto 1082 de 2015, estableció la siguiente definición del concepto riesgo: “Riesgo: Evento que puede generar efectos adversos y de distinta magnitud en el logro de los objetivos del Proceso de Contratación o en la ejecución de un Contrato”.</w:t>
      </w:r>
    </w:p>
  </w:footnote>
  <w:footnote w:id="4">
    <w:p w14:paraId="2D319FDF" w14:textId="77777777" w:rsidR="0080580F" w:rsidRPr="00364005" w:rsidRDefault="0080580F" w:rsidP="0080580F">
      <w:pPr>
        <w:pStyle w:val="Textoindependiente"/>
        <w:spacing w:after="0" w:line="240" w:lineRule="auto"/>
        <w:ind w:right="49" w:firstLine="708"/>
        <w:jc w:val="both"/>
        <w:rPr>
          <w:rFonts w:ascii="Verdana" w:hAnsi="Verdana"/>
          <w:sz w:val="16"/>
          <w:szCs w:val="16"/>
        </w:rPr>
      </w:pPr>
      <w:r w:rsidRPr="00364005">
        <w:rPr>
          <w:rStyle w:val="Refdenotaalpie"/>
          <w:rFonts w:ascii="Verdana" w:hAnsi="Verdana"/>
          <w:sz w:val="16"/>
          <w:szCs w:val="16"/>
        </w:rPr>
        <w:footnoteRef/>
      </w:r>
      <w:r w:rsidRPr="00364005">
        <w:rPr>
          <w:rFonts w:ascii="Verdana" w:hAnsi="Verdana"/>
          <w:sz w:val="16"/>
          <w:szCs w:val="16"/>
        </w:rPr>
        <w:t xml:space="preserve"> Cabe precisar que el Consejo de Estado en la Sentencia del 11 de abril de 2019. Rad. 2014-00135-00 (52055). Sección Tercera. C.P. María Adriana Marín, determinó que las guías o manuales que expida Colombia Compra Eficiente, en relación con la identificación y cobertura de riesgos, no son vinculantes para las entidades, quienes podrán, de manera facultativa, acudir a ellas como una guía para llevar a cabo la estimación, tipificación, asignación y cobertura de riesgos en cada proceso de contratación particular.</w:t>
      </w:r>
    </w:p>
    <w:p w14:paraId="63CEF1F8" w14:textId="77777777" w:rsidR="0080580F" w:rsidRPr="00364005" w:rsidRDefault="0080580F" w:rsidP="0080580F">
      <w:pPr>
        <w:pStyle w:val="Textonotapie"/>
        <w:jc w:val="both"/>
        <w:rPr>
          <w:rFonts w:ascii="Verdana" w:hAnsi="Verdana" w:cs="Arial"/>
          <w:sz w:val="16"/>
          <w:szCs w:val="16"/>
          <w:lang w:val="es-ES"/>
        </w:rPr>
      </w:pPr>
    </w:p>
  </w:footnote>
  <w:footnote w:id="5">
    <w:p w14:paraId="1525ADA2" w14:textId="77777777" w:rsidR="0080580F" w:rsidRPr="00364005" w:rsidRDefault="0080580F" w:rsidP="0080580F">
      <w:pPr>
        <w:pStyle w:val="Textonotapie"/>
        <w:ind w:firstLine="708"/>
        <w:jc w:val="both"/>
        <w:rPr>
          <w:rFonts w:ascii="Verdana" w:hAnsi="Verdana" w:cs="Arial"/>
          <w:sz w:val="16"/>
          <w:szCs w:val="16"/>
        </w:rPr>
      </w:pPr>
      <w:r w:rsidRPr="00364005">
        <w:rPr>
          <w:rStyle w:val="Refdenotaalpie"/>
          <w:rFonts w:ascii="Verdana" w:hAnsi="Verdana" w:cs="Arial"/>
          <w:sz w:val="16"/>
          <w:szCs w:val="16"/>
        </w:rPr>
        <w:footnoteRef/>
      </w:r>
      <w:r w:rsidRPr="00364005">
        <w:rPr>
          <w:rFonts w:ascii="Verdana" w:hAnsi="Verdana" w:cs="Arial"/>
          <w:sz w:val="16"/>
          <w:szCs w:val="16"/>
        </w:rPr>
        <w:t xml:space="preserve"> Así se establece en el “</w:t>
      </w:r>
      <w:r w:rsidRPr="00364005">
        <w:rPr>
          <w:rFonts w:ascii="Verdana" w:eastAsia="Calibri" w:hAnsi="Verdana" w:cs="Arial"/>
          <w:color w:val="000000" w:themeColor="text1"/>
          <w:sz w:val="16"/>
          <w:szCs w:val="16"/>
        </w:rPr>
        <w:t>Manual para la Identificación y Cobertura del Riesgo en los Procesos de Contratación</w:t>
      </w:r>
      <w:r w:rsidRPr="00364005">
        <w:rPr>
          <w:rFonts w:ascii="Verdana" w:hAnsi="Verdana" w:cs="Arial"/>
          <w:sz w:val="16"/>
          <w:szCs w:val="16"/>
        </w:rPr>
        <w:t>”: “5. Monitorear los Riesgos.</w:t>
      </w:r>
      <w:r>
        <w:rPr>
          <w:rFonts w:ascii="Verdana" w:hAnsi="Verdana" w:cs="Arial"/>
          <w:sz w:val="16"/>
          <w:szCs w:val="16"/>
        </w:rPr>
        <w:t xml:space="preserve"> </w:t>
      </w:r>
      <w:r w:rsidRPr="00364005">
        <w:rPr>
          <w:rFonts w:ascii="Verdana" w:hAnsi="Verdana" w:cs="Arial"/>
          <w:sz w:val="16"/>
          <w:szCs w:val="16"/>
        </w:rPr>
        <w:t xml:space="preserve">La Entidad Estatal debe realizar un monitoreo constante a los Riesgos del Proceso de Contratación pues las circunstancias cambian rápidamente y los Riesgos no son estáticos. La matriz y el plan de tratamiento deben ser revisadas constantemente y </w:t>
      </w:r>
      <w:r w:rsidRPr="00364005">
        <w:rPr>
          <w:rFonts w:ascii="Verdana" w:hAnsi="Verdana" w:cs="Arial"/>
          <w:i/>
          <w:iCs/>
          <w:sz w:val="16"/>
          <w:szCs w:val="16"/>
        </w:rPr>
        <w:t>revisar si es necesario hacer ajustes al plan de tratamiento de acuerdo con las circunstancias</w:t>
      </w:r>
      <w:r w:rsidRPr="00364005">
        <w:rPr>
          <w:rFonts w:ascii="Verdana" w:hAnsi="Verdana" w:cs="Arial"/>
          <w:sz w:val="16"/>
          <w:szCs w:val="16"/>
        </w:rPr>
        <w:t>” (Cursiva fuera del original).</w:t>
      </w:r>
    </w:p>
  </w:footnote>
  <w:footnote w:id="6">
    <w:p w14:paraId="6182E0F6" w14:textId="77777777" w:rsidR="0080580F" w:rsidRPr="00364005" w:rsidRDefault="0080580F" w:rsidP="0080580F">
      <w:pPr>
        <w:pStyle w:val="Textonotapie"/>
        <w:ind w:firstLine="708"/>
        <w:jc w:val="both"/>
        <w:rPr>
          <w:rFonts w:ascii="Verdana" w:hAnsi="Verdana" w:cs="Arial"/>
          <w:sz w:val="16"/>
          <w:szCs w:val="16"/>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hAnsi="Verdana" w:cs="Arial"/>
          <w:sz w:val="16"/>
          <w:szCs w:val="16"/>
          <w:lang w:val="es-ES"/>
        </w:rPr>
        <w:t xml:space="preserve">Manual para la identificación y cobertura del Riesgo en los Procesos de Contratación. </w:t>
      </w:r>
    </w:p>
  </w:footnote>
  <w:footnote w:id="7">
    <w:p w14:paraId="74FD37A6" w14:textId="77777777" w:rsidR="0080580F" w:rsidRPr="00364005" w:rsidRDefault="0080580F" w:rsidP="0080580F">
      <w:pPr>
        <w:pStyle w:val="Textonotapie"/>
        <w:ind w:firstLine="708"/>
        <w:jc w:val="both"/>
        <w:rPr>
          <w:rFonts w:ascii="Verdana" w:hAnsi="Verdana" w:cs="Arial"/>
          <w:sz w:val="16"/>
          <w:szCs w:val="16"/>
          <w:lang w:val="es-CO"/>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2E2A65">
        <w:rPr>
          <w:rFonts w:ascii="Verdana" w:hAnsi="Verdana" w:cs="Arial"/>
          <w:i/>
          <w:iCs/>
          <w:sz w:val="16"/>
          <w:szCs w:val="16"/>
          <w:lang w:val="es-ES"/>
        </w:rPr>
        <w:t>Ibidem</w:t>
      </w:r>
      <w:r>
        <w:rPr>
          <w:rFonts w:ascii="Verdana" w:hAnsi="Verdana" w:cs="Arial"/>
          <w:sz w:val="16"/>
          <w:szCs w:val="16"/>
          <w:lang w:val="es-ES"/>
        </w:rPr>
        <w:t>.</w:t>
      </w:r>
      <w:r w:rsidRPr="00364005">
        <w:rPr>
          <w:rFonts w:ascii="Verdana" w:hAnsi="Verdana" w:cs="Arial"/>
          <w:sz w:val="16"/>
          <w:szCs w:val="16"/>
          <w:lang w:val="es-ES"/>
        </w:rPr>
        <w:t xml:space="preserve"> </w:t>
      </w:r>
    </w:p>
  </w:footnote>
  <w:footnote w:id="8">
    <w:p w14:paraId="314CC5EE" w14:textId="77777777" w:rsidR="0080580F" w:rsidRPr="00364005" w:rsidRDefault="0080580F" w:rsidP="0080580F">
      <w:pPr>
        <w:pStyle w:val="Textonotapie"/>
        <w:ind w:firstLine="708"/>
        <w:jc w:val="both"/>
        <w:rPr>
          <w:rFonts w:ascii="Verdana" w:hAnsi="Verdana"/>
          <w:sz w:val="16"/>
          <w:szCs w:val="16"/>
          <w:lang w:val="es-CO"/>
        </w:rPr>
      </w:pPr>
      <w:r w:rsidRPr="00364005">
        <w:rPr>
          <w:rStyle w:val="Refdenotaalpie"/>
          <w:rFonts w:ascii="Verdana" w:hAnsi="Verdana"/>
          <w:sz w:val="16"/>
          <w:szCs w:val="16"/>
        </w:rPr>
        <w:footnoteRef/>
      </w:r>
      <w:r w:rsidRPr="00364005">
        <w:rPr>
          <w:rFonts w:ascii="Verdana" w:hAnsi="Verdana"/>
          <w:sz w:val="16"/>
          <w:szCs w:val="16"/>
        </w:rPr>
        <w:t xml:space="preserve"> </w:t>
      </w:r>
      <w:r w:rsidRPr="00364005">
        <w:rPr>
          <w:rFonts w:ascii="Verdana" w:hAnsi="Verdana" w:cs="Arial"/>
          <w:sz w:val="16"/>
          <w:szCs w:val="16"/>
          <w:lang w:val="es-ES"/>
        </w:rPr>
        <w:t>“[…] resulta que son las entidades públicas sujetas al Estatuto General de Contratación Pública, en cada caso concreto, las encargadas de definir en sus pliegos de condiciones los riesgos relacionados con su actividad contractual, y sólo estarán obligadas a ajustarse a lo que se defina en la ley sobre el particular y a las políticas generales que defina el presidente de la República, en ejercicio de su función reglamentaria” (Consejo de Estado. Sección Tercera Subsección A. Sentencia del 11 de abril de 2019. Exp. 52.055. C.P. María Adriana Marín).</w:t>
      </w:r>
    </w:p>
  </w:footnote>
  <w:footnote w:id="9">
    <w:p w14:paraId="69520138" w14:textId="77777777" w:rsidR="0080580F" w:rsidRPr="00364005" w:rsidRDefault="0080580F" w:rsidP="0080580F">
      <w:pPr>
        <w:pStyle w:val="Textonotapie"/>
        <w:ind w:firstLine="709"/>
        <w:jc w:val="both"/>
        <w:rPr>
          <w:rFonts w:ascii="Verdana" w:eastAsia="Calibri" w:hAnsi="Verdana" w:cs="Arial"/>
          <w:sz w:val="16"/>
          <w:szCs w:val="16"/>
          <w:lang w:val="es-ES_tradnl" w:eastAsia="es-ES_tradnl"/>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eastAsia="Calibri" w:hAnsi="Verdana" w:cs="Arial"/>
          <w:sz w:val="16"/>
          <w:szCs w:val="16"/>
          <w:lang w:val="es-ES_tradnl" w:eastAsia="es-ES_tradnl"/>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0A059F4F" w14:textId="77777777" w:rsidR="0080580F" w:rsidRPr="00364005" w:rsidRDefault="0080580F" w:rsidP="0080580F">
      <w:pPr>
        <w:pStyle w:val="Textonotapie"/>
        <w:ind w:firstLine="709"/>
        <w:jc w:val="both"/>
        <w:rPr>
          <w:rFonts w:ascii="Verdana" w:hAnsi="Verdana" w:cs="Arial"/>
          <w:sz w:val="16"/>
          <w:szCs w:val="16"/>
          <w:lang w:val="es-ES"/>
        </w:rPr>
      </w:pPr>
      <w:r w:rsidRPr="00364005">
        <w:rPr>
          <w:rFonts w:ascii="Verdana" w:eastAsia="Calibri" w:hAnsi="Verdana" w:cs="Arial"/>
          <w:sz w:val="16"/>
          <w:szCs w:val="16"/>
          <w:lang w:val="es-ES_tradnl" w:eastAsia="es-ES_tradnl"/>
        </w:rPr>
        <w:t>Sin embargo, en otros negocios, como la obra pública, la concesión y la consultoría,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10">
    <w:p w14:paraId="14BD44A3" w14:textId="77777777" w:rsidR="0080580F" w:rsidRPr="00364005" w:rsidRDefault="0080580F" w:rsidP="0080580F">
      <w:pPr>
        <w:pStyle w:val="Textonotapie"/>
        <w:ind w:firstLine="708"/>
        <w:jc w:val="both"/>
        <w:rPr>
          <w:rFonts w:ascii="Verdana" w:hAnsi="Verdana" w:cs="Arial"/>
          <w:sz w:val="16"/>
          <w:szCs w:val="16"/>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eastAsia="Calibri" w:hAnsi="Verdana" w:cs="Arial"/>
          <w:sz w:val="16"/>
          <w:szCs w:val="16"/>
          <w:lang w:val="es-ES_tradnl" w:eastAsia="es-ES_tradnl"/>
        </w:rPr>
        <w:t>CONSEJO DE ESTADO. Sección Tercera. Subsección B. Sentencia del 29 de febrero de 2012. Exp. 16371, C.P. Danilo Rojas Betancourth.</w:t>
      </w:r>
    </w:p>
  </w:footnote>
  <w:footnote w:id="11">
    <w:p w14:paraId="3BFED7C3" w14:textId="77777777" w:rsidR="0080580F" w:rsidRPr="00364005" w:rsidRDefault="0080580F" w:rsidP="0080580F">
      <w:pPr>
        <w:pStyle w:val="Textonotapie"/>
        <w:ind w:firstLine="709"/>
        <w:jc w:val="both"/>
        <w:rPr>
          <w:rFonts w:ascii="Verdana" w:hAnsi="Verdana" w:cs="Arial"/>
          <w:sz w:val="16"/>
          <w:szCs w:val="16"/>
          <w:lang w:val="es-CO"/>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eastAsia="Calibri" w:hAnsi="Verdana" w:cs="Arial"/>
          <w:sz w:val="16"/>
          <w:szCs w:val="16"/>
          <w:lang w:val="es-ES_tradnl" w:eastAsia="es-ES_tradnl"/>
        </w:rPr>
        <w:t>PINO RICCI, Jorge. El régimen jurídico de los contratos estatales. Universidad Externado de Colombia. Bogotá, 2005. pp. 416.</w:t>
      </w:r>
    </w:p>
  </w:footnote>
  <w:footnote w:id="12">
    <w:p w14:paraId="3AA836AC" w14:textId="77777777" w:rsidR="0080580F" w:rsidRPr="00364005" w:rsidRDefault="0080580F" w:rsidP="0080580F">
      <w:pPr>
        <w:pStyle w:val="Textonotapie"/>
        <w:ind w:firstLine="708"/>
        <w:jc w:val="both"/>
        <w:rPr>
          <w:rFonts w:ascii="Verdana" w:hAnsi="Verdana" w:cs="Arial"/>
          <w:sz w:val="16"/>
          <w:szCs w:val="16"/>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eastAsia="Calibri" w:hAnsi="Verdana" w:cs="Arial"/>
          <w:sz w:val="16"/>
          <w:szCs w:val="16"/>
          <w:lang w:val="es-ES_tradnl" w:eastAsia="es-ES_tradnl"/>
        </w:rPr>
        <w:t>CONSEJO DE ESTADO. Sección Tercera. Subsección B. Sentencia del 14 de octubre de 2011. Exp. 20811, C.P. Ruth Stella Correa Palacio.</w:t>
      </w:r>
    </w:p>
  </w:footnote>
  <w:footnote w:id="13">
    <w:p w14:paraId="62462E5D" w14:textId="77777777" w:rsidR="0080580F" w:rsidRPr="00364005" w:rsidRDefault="0080580F" w:rsidP="0080580F">
      <w:pPr>
        <w:pStyle w:val="Textonotapie"/>
        <w:ind w:firstLine="708"/>
        <w:jc w:val="both"/>
        <w:rPr>
          <w:rFonts w:ascii="Verdana" w:hAnsi="Verdana" w:cs="Arial"/>
          <w:sz w:val="16"/>
          <w:szCs w:val="16"/>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eastAsia="Calibri" w:hAnsi="Verdana" w:cs="Arial"/>
          <w:sz w:val="16"/>
          <w:szCs w:val="16"/>
          <w:lang w:val="es-ES_tradnl" w:eastAsia="es-ES_tradnl"/>
        </w:rPr>
        <w:t>CONSEJO DE ESTADO. Sala de Consulta y Servicio Civil. Concepto del 5 de septiembre de 2018, radicado No. 11001-03-06-000-2018-00124-00 C.P. Édgar González López.</w:t>
      </w:r>
    </w:p>
  </w:footnote>
  <w:footnote w:id="14">
    <w:p w14:paraId="396D835F" w14:textId="77777777" w:rsidR="0080580F" w:rsidRPr="00364005" w:rsidRDefault="0080580F" w:rsidP="0080580F">
      <w:pPr>
        <w:pStyle w:val="Textonotapie"/>
        <w:ind w:firstLine="708"/>
        <w:jc w:val="both"/>
        <w:rPr>
          <w:rFonts w:ascii="Verdana" w:hAnsi="Verdana" w:cs="Arial"/>
          <w:sz w:val="16"/>
          <w:szCs w:val="16"/>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eastAsia="Calibri" w:hAnsi="Verdana" w:cs="Arial"/>
          <w:sz w:val="16"/>
          <w:szCs w:val="16"/>
          <w:lang w:val="es-ES_tradnl" w:eastAsia="es-ES_tradnl"/>
        </w:rPr>
        <w:t>“Los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p>
  </w:footnote>
  <w:footnote w:id="15">
    <w:p w14:paraId="3955A855" w14:textId="77777777" w:rsidR="0080580F" w:rsidRPr="00364005" w:rsidRDefault="0080580F" w:rsidP="0080580F">
      <w:pPr>
        <w:pStyle w:val="Textonotapie"/>
        <w:ind w:firstLine="708"/>
        <w:jc w:val="both"/>
        <w:rPr>
          <w:rFonts w:ascii="Verdana" w:hAnsi="Verdana" w:cs="Arial"/>
          <w:sz w:val="16"/>
          <w:szCs w:val="16"/>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eastAsia="Calibri" w:hAnsi="Verdana" w:cs="Arial"/>
          <w:sz w:val="16"/>
          <w:szCs w:val="16"/>
          <w:lang w:val="es-ES_tradnl" w:eastAsia="es-ES_tradnl"/>
        </w:rPr>
        <w:t>“[…] la utilidad es el beneficio económico que pretende percibir el contratista por la ejecución del contrato y por costos de administración se han tenido como tales los que constituyen costos indirectos para la operación del contrato, tales como los gastos de disponibilidad de la organización del contratista; el porcentaje para imprevistos, como su nombre lo indica, está destinado a cubrir los gastos con los que no se contaba y que se presenten durante la ejecución del contrato” (Consejo de Estado. Sección Tercera. Consejero Ponente: Ramiro Saavedra Becerra. Sentencia del 28 de agosto de 2003. Radicado: 17.554).</w:t>
      </w:r>
      <w:r w:rsidRPr="00364005">
        <w:rPr>
          <w:rFonts w:ascii="Verdana" w:hAnsi="Verdana" w:cs="Arial"/>
          <w:sz w:val="16"/>
          <w:szCs w:val="16"/>
        </w:rPr>
        <w:t xml:space="preserve"> </w:t>
      </w:r>
    </w:p>
  </w:footnote>
  <w:footnote w:id="16">
    <w:p w14:paraId="26279009" w14:textId="77777777" w:rsidR="0080580F" w:rsidRPr="00364005" w:rsidRDefault="0080580F" w:rsidP="0080580F">
      <w:pPr>
        <w:pStyle w:val="Textonotapie"/>
        <w:ind w:firstLine="709"/>
        <w:jc w:val="both"/>
        <w:rPr>
          <w:rFonts w:ascii="Verdana" w:eastAsia="Calibri" w:hAnsi="Verdana" w:cs="Arial"/>
          <w:sz w:val="16"/>
          <w:szCs w:val="16"/>
          <w:lang w:val="es-ES_tradnl" w:eastAsia="es-ES_tradnl"/>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eastAsia="Calibri" w:hAnsi="Verdana" w:cs="Arial"/>
          <w:sz w:val="16"/>
          <w:szCs w:val="16"/>
          <w:lang w:val="es-ES_tradnl" w:eastAsia="es-ES_tradnl"/>
        </w:rPr>
        <w:t>MARÍN, Op. Cit., pp. 64-65.</w:t>
      </w:r>
    </w:p>
  </w:footnote>
  <w:footnote w:id="17">
    <w:p w14:paraId="56CD63DD" w14:textId="77777777" w:rsidR="0080580F" w:rsidRPr="00364005" w:rsidRDefault="0080580F" w:rsidP="0080580F">
      <w:pPr>
        <w:pStyle w:val="Textonotapie"/>
        <w:ind w:firstLine="709"/>
        <w:jc w:val="both"/>
        <w:rPr>
          <w:rFonts w:ascii="Verdana" w:hAnsi="Verdana" w:cs="Arial"/>
          <w:sz w:val="16"/>
          <w:szCs w:val="16"/>
          <w:lang w:val="es-ES"/>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eastAsia="Calibri" w:hAnsi="Verdana" w:cs="Arial"/>
          <w:sz w:val="16"/>
          <w:szCs w:val="16"/>
          <w:lang w:val="es-ES_tradnl" w:eastAsia="es-ES_tradnl"/>
        </w:rPr>
        <w:t>Ibíd., p. 66.</w:t>
      </w:r>
    </w:p>
  </w:footnote>
  <w:footnote w:id="18">
    <w:p w14:paraId="207CF0C6" w14:textId="77777777" w:rsidR="0080580F" w:rsidRPr="00364005" w:rsidRDefault="0080580F" w:rsidP="0080580F">
      <w:pPr>
        <w:pStyle w:val="Textonotapie"/>
        <w:ind w:firstLine="708"/>
        <w:jc w:val="both"/>
        <w:rPr>
          <w:rFonts w:ascii="Verdana" w:hAnsi="Verdana" w:cs="Arial"/>
          <w:bCs/>
          <w:sz w:val="16"/>
          <w:szCs w:val="16"/>
          <w:lang w:val="es-ES_tradnl"/>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eastAsia="Calibri" w:hAnsi="Verdana" w:cs="Arial"/>
          <w:sz w:val="16"/>
          <w:szCs w:val="16"/>
          <w:lang w:val="es-ES_tradnl" w:eastAsia="es-ES_tradnl"/>
        </w:rPr>
        <w:t>“Que el porcentaje sea superior o inferior, o que para una empresa sea mayor o menor que para otra, depende de muchas razones, por ejemplo: del personal que se requiera en la obra –unas empresas emplean más o menos que otras–; de la magnitud del trabajo; de las cargas administrativas que cada empresa tienen –pensionados, convenciones colectivas y otros; del tamaño de la misma –mientras más grande es la A tiende a ser mayor; del costo de los campamentos; del transporte del personal; del sitio de las obras –si la empresa tiene un domicilio en el lugar del trabajo su A tiende a ser menor, y si se encuentra en otra ciudad tiende a subir, por ejemplo porque el salario de los ingenieros se incrementa por los viáticos–”. (Ibíd, p. 76).</w:t>
      </w:r>
    </w:p>
  </w:footnote>
  <w:footnote w:id="19">
    <w:p w14:paraId="742DAD73" w14:textId="77777777" w:rsidR="0080580F" w:rsidRPr="00364005" w:rsidRDefault="0080580F" w:rsidP="0080580F">
      <w:pPr>
        <w:pStyle w:val="Textonotapie"/>
        <w:ind w:firstLine="708"/>
        <w:rPr>
          <w:rFonts w:ascii="Verdana" w:hAnsi="Verdana"/>
          <w:sz w:val="16"/>
          <w:szCs w:val="16"/>
          <w:lang w:val="es-CO"/>
        </w:rPr>
      </w:pPr>
      <w:r w:rsidRPr="00364005">
        <w:rPr>
          <w:rStyle w:val="Refdenotaalpie"/>
          <w:rFonts w:ascii="Verdana" w:hAnsi="Verdana"/>
          <w:sz w:val="16"/>
          <w:szCs w:val="16"/>
        </w:rPr>
        <w:footnoteRef/>
      </w:r>
      <w:r w:rsidRPr="00364005">
        <w:rPr>
          <w:rFonts w:ascii="Verdana" w:hAnsi="Verdana"/>
          <w:sz w:val="16"/>
          <w:szCs w:val="16"/>
        </w:rPr>
        <w:t xml:space="preserve"> MARÍN, Op. Cit., p. 70.</w:t>
      </w:r>
    </w:p>
  </w:footnote>
  <w:footnote w:id="20">
    <w:p w14:paraId="17640699" w14:textId="77777777" w:rsidR="0080580F" w:rsidRPr="00364005" w:rsidRDefault="0080580F" w:rsidP="0080580F">
      <w:pPr>
        <w:pStyle w:val="Textonotapie"/>
        <w:ind w:firstLine="708"/>
        <w:jc w:val="both"/>
        <w:rPr>
          <w:rFonts w:ascii="Verdana" w:hAnsi="Verdana"/>
          <w:sz w:val="16"/>
          <w:szCs w:val="16"/>
          <w:lang w:val="es-CO"/>
        </w:rPr>
      </w:pPr>
      <w:r w:rsidRPr="00364005">
        <w:rPr>
          <w:rStyle w:val="Refdenotaalpie"/>
          <w:rFonts w:ascii="Verdana" w:hAnsi="Verdana"/>
          <w:sz w:val="16"/>
          <w:szCs w:val="16"/>
        </w:rPr>
        <w:footnoteRef/>
      </w:r>
      <w:r w:rsidRPr="00364005">
        <w:rPr>
          <w:rFonts w:ascii="Verdana" w:hAnsi="Verdana"/>
          <w:sz w:val="16"/>
          <w:szCs w:val="16"/>
        </w:rPr>
        <w:t xml:space="preserve"> </w:t>
      </w:r>
      <w:r w:rsidRPr="00364005">
        <w:rPr>
          <w:rFonts w:ascii="Verdana" w:eastAsia="Calibri" w:hAnsi="Verdana" w:cs="Arial"/>
          <w:sz w:val="16"/>
          <w:szCs w:val="16"/>
          <w:lang w:val="es-ES_tradnl" w:eastAsia="es-ES_tradnl"/>
        </w:rPr>
        <w:t>Ibíd., p. 68.</w:t>
      </w:r>
    </w:p>
  </w:footnote>
  <w:footnote w:id="21">
    <w:p w14:paraId="735DCBC2" w14:textId="77777777" w:rsidR="0080580F" w:rsidRPr="00364005" w:rsidRDefault="0080580F" w:rsidP="0080580F">
      <w:pPr>
        <w:pStyle w:val="Textonotapie"/>
        <w:ind w:firstLine="708"/>
        <w:jc w:val="both"/>
        <w:rPr>
          <w:rFonts w:ascii="Verdana" w:hAnsi="Verdana"/>
          <w:sz w:val="16"/>
          <w:szCs w:val="16"/>
        </w:rPr>
      </w:pPr>
      <w:r w:rsidRPr="00364005">
        <w:rPr>
          <w:rStyle w:val="Refdenotaalpie"/>
          <w:rFonts w:ascii="Verdana" w:hAnsi="Verdana"/>
          <w:sz w:val="16"/>
          <w:szCs w:val="16"/>
        </w:rPr>
        <w:footnoteRef/>
      </w:r>
      <w:r w:rsidRPr="00364005">
        <w:rPr>
          <w:rFonts w:ascii="Verdana" w:hAnsi="Verdana"/>
          <w:sz w:val="16"/>
          <w:szCs w:val="16"/>
        </w:rPr>
        <w:t xml:space="preserve"> </w:t>
      </w:r>
      <w:r w:rsidRPr="00364005">
        <w:rPr>
          <w:rFonts w:ascii="Verdana" w:eastAsia="Calibri" w:hAnsi="Verdana" w:cs="Arial"/>
          <w:sz w:val="16"/>
          <w:szCs w:val="16"/>
          <w:lang w:val="es-ES_tradnl" w:eastAsia="es-ES_tradnl"/>
        </w:rPr>
        <w:t>Ibíd., p. 71.</w:t>
      </w:r>
    </w:p>
  </w:footnote>
  <w:footnote w:id="22">
    <w:p w14:paraId="705EC9CF" w14:textId="77777777" w:rsidR="0080580F" w:rsidRPr="00755139" w:rsidRDefault="0080580F" w:rsidP="0080580F">
      <w:pPr>
        <w:pStyle w:val="Textonotapie"/>
        <w:ind w:firstLine="709"/>
        <w:jc w:val="both"/>
        <w:rPr>
          <w:rFonts w:ascii="Verdana" w:hAnsi="Verdana" w:cs="Arial"/>
          <w:color w:val="000000" w:themeColor="text1"/>
          <w:sz w:val="16"/>
          <w:szCs w:val="16"/>
          <w:lang w:val="it-IT"/>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hAnsi="Verdana" w:cs="Arial"/>
          <w:color w:val="000000" w:themeColor="text1"/>
          <w:sz w:val="16"/>
          <w:szCs w:val="16"/>
        </w:rPr>
        <w:t xml:space="preserve">Consejo de Estado. Sentencia del 28 de junio de 2012. </w:t>
      </w:r>
      <w:r w:rsidRPr="00755139">
        <w:rPr>
          <w:rFonts w:ascii="Verdana" w:hAnsi="Verdana" w:cs="Arial"/>
          <w:color w:val="000000" w:themeColor="text1"/>
          <w:sz w:val="16"/>
          <w:szCs w:val="16"/>
          <w:lang w:val="it-IT"/>
        </w:rPr>
        <w:t xml:space="preserve">Rad. Nro. 21990. C.P: Ruth Stella Correa Palacio. </w:t>
      </w:r>
    </w:p>
  </w:footnote>
  <w:footnote w:id="23">
    <w:p w14:paraId="7F70FF75" w14:textId="77777777" w:rsidR="0080580F" w:rsidRPr="00364005" w:rsidRDefault="0080580F" w:rsidP="0080580F">
      <w:pPr>
        <w:pStyle w:val="Textonotapie"/>
        <w:ind w:firstLine="709"/>
        <w:jc w:val="both"/>
        <w:rPr>
          <w:rFonts w:ascii="Verdana" w:hAnsi="Verdana" w:cs="Arial"/>
          <w:iCs/>
          <w:sz w:val="16"/>
          <w:szCs w:val="16"/>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hAnsi="Verdana" w:cs="Arial"/>
          <w:iCs/>
          <w:sz w:val="16"/>
          <w:szCs w:val="16"/>
          <w:lang w:val="es-CO"/>
        </w:rPr>
        <w:t xml:space="preserve">IBAÑEZ NAJAR, Jorge Enrique. </w:t>
      </w:r>
      <w:r w:rsidRPr="00364005">
        <w:rPr>
          <w:rFonts w:ascii="Verdana" w:hAnsi="Verdana" w:cs="Arial"/>
          <w:iCs/>
          <w:sz w:val="16"/>
          <w:szCs w:val="16"/>
        </w:rPr>
        <w:t xml:space="preserve">La conmutatividad del contrato estatal y su equilibrio económico y financiero. La obligación de conservarlo, su ruptura y la obligación de restablecerlo según la ley </w:t>
      </w:r>
      <w:r w:rsidRPr="00364005">
        <w:rPr>
          <w:rFonts w:ascii="Verdana" w:hAnsi="Verdana" w:cs="Arial"/>
          <w:iCs/>
          <w:sz w:val="16"/>
          <w:szCs w:val="16"/>
          <w:lang w:val="es-CO"/>
        </w:rPr>
        <w:t>y la jurisprudencia. En: PALACIO JARAMILLO, María Teresa (editora académica). Contratos Estatales. Tomo II. 2022. Bogotá: Universidad del Rosario. P. 630</w:t>
      </w:r>
    </w:p>
  </w:footnote>
  <w:footnote w:id="24">
    <w:p w14:paraId="2D05360C" w14:textId="77777777" w:rsidR="0080580F" w:rsidRPr="00364005" w:rsidRDefault="0080580F" w:rsidP="0080580F">
      <w:pPr>
        <w:pStyle w:val="Textonotapie"/>
        <w:ind w:firstLine="708"/>
        <w:jc w:val="both"/>
        <w:rPr>
          <w:rFonts w:ascii="Verdana" w:hAnsi="Verdana"/>
          <w:sz w:val="16"/>
          <w:szCs w:val="16"/>
          <w:lang w:val="es-CO"/>
        </w:rPr>
      </w:pPr>
      <w:r w:rsidRPr="00364005">
        <w:rPr>
          <w:rStyle w:val="Refdenotaalpie"/>
          <w:rFonts w:ascii="Verdana" w:hAnsi="Verdana"/>
          <w:sz w:val="16"/>
          <w:szCs w:val="16"/>
        </w:rPr>
        <w:footnoteRef/>
      </w:r>
      <w:r w:rsidRPr="00364005">
        <w:rPr>
          <w:rFonts w:ascii="Verdana" w:hAnsi="Verdana"/>
          <w:sz w:val="16"/>
          <w:szCs w:val="16"/>
        </w:rPr>
        <w:t xml:space="preserve"> CONSEJO DE ESTADO. Sección Tercera. Subsección C. Sentencia del 20 de abril de 2022. Exp. 56508. C.P. Nicolás Yepes Corrales.</w:t>
      </w:r>
    </w:p>
  </w:footnote>
  <w:footnote w:id="25">
    <w:p w14:paraId="3BF73EA7" w14:textId="77777777" w:rsidR="0080580F" w:rsidRPr="00364005" w:rsidRDefault="0080580F" w:rsidP="0080580F">
      <w:pPr>
        <w:pStyle w:val="Textonotapie"/>
        <w:ind w:firstLine="709"/>
        <w:jc w:val="both"/>
        <w:rPr>
          <w:rFonts w:ascii="Verdana" w:hAnsi="Verdana" w:cs="Arial"/>
          <w:sz w:val="16"/>
          <w:szCs w:val="16"/>
          <w:lang w:val="es-CO"/>
        </w:rPr>
      </w:pPr>
      <w:r w:rsidRPr="00364005">
        <w:rPr>
          <w:rStyle w:val="Refdenotaalpie"/>
          <w:rFonts w:ascii="Verdana" w:hAnsi="Verdana" w:cs="Arial"/>
          <w:sz w:val="16"/>
          <w:szCs w:val="16"/>
        </w:rPr>
        <w:footnoteRef/>
      </w:r>
      <w:r w:rsidRPr="00364005">
        <w:rPr>
          <w:rFonts w:ascii="Verdana" w:hAnsi="Verdana" w:cs="Arial"/>
          <w:sz w:val="16"/>
          <w:szCs w:val="16"/>
        </w:rPr>
        <w:t xml:space="preserve">  Consejo de Estado. Sección Tercera. Sentencia del 31 de agosto de 2011. Exp. 18.080. CP.: Ruth Stella Correa Palacio. Reiterada en </w:t>
      </w:r>
      <w:r w:rsidRPr="00364005">
        <w:rPr>
          <w:rFonts w:ascii="Verdana" w:hAnsi="Verdana" w:cs="Arial"/>
          <w:sz w:val="16"/>
          <w:szCs w:val="16"/>
          <w:lang w:val="es-CO"/>
        </w:rPr>
        <w:t xml:space="preserve">Sentencia del 8 de febrero de 2012. Exp. 20344. </w:t>
      </w:r>
      <w:r w:rsidRPr="00364005">
        <w:rPr>
          <w:rFonts w:ascii="Verdana" w:hAnsi="Verdana" w:cs="Arial"/>
          <w:sz w:val="16"/>
          <w:szCs w:val="16"/>
        </w:rPr>
        <w:t>También ver: Consejo de Estado, Sección Tercera, sentencia de 9 de mayo de 1996, exp. 10.151, reiterada en sentencias de 29 de abril y 21 de julio de 1999, exp. 14.885 y exp. 14.943, C.P. Daniel Suárez Hernández.</w:t>
      </w:r>
    </w:p>
  </w:footnote>
  <w:footnote w:id="26">
    <w:p w14:paraId="172B73C6" w14:textId="77777777" w:rsidR="0080580F" w:rsidRPr="00755139" w:rsidRDefault="0080580F" w:rsidP="0080580F">
      <w:pPr>
        <w:pStyle w:val="Textonotapie"/>
        <w:ind w:firstLine="708"/>
        <w:jc w:val="both"/>
        <w:rPr>
          <w:rFonts w:ascii="Verdana" w:hAnsi="Verdana" w:cs="Arial"/>
          <w:sz w:val="16"/>
          <w:szCs w:val="16"/>
          <w:lang w:val="pt-BR"/>
        </w:rPr>
      </w:pPr>
      <w:r w:rsidRPr="00364005">
        <w:rPr>
          <w:rStyle w:val="Refdenotaalpie"/>
          <w:rFonts w:ascii="Verdana" w:hAnsi="Verdana" w:cs="Arial"/>
          <w:sz w:val="16"/>
          <w:szCs w:val="16"/>
        </w:rPr>
        <w:footnoteRef/>
      </w:r>
      <w:r w:rsidRPr="00364005">
        <w:rPr>
          <w:rFonts w:ascii="Verdana" w:hAnsi="Verdana" w:cs="Arial"/>
          <w:sz w:val="16"/>
          <w:szCs w:val="16"/>
        </w:rPr>
        <w:t xml:space="preserve"> Consejo de Estado. Sección Tercera. Sentencia del 29 de enero de 2018. </w:t>
      </w:r>
      <w:r w:rsidRPr="00755139">
        <w:rPr>
          <w:rFonts w:ascii="Verdana" w:hAnsi="Verdana" w:cs="Arial"/>
          <w:sz w:val="16"/>
          <w:szCs w:val="16"/>
          <w:lang w:val="pt-BR"/>
        </w:rPr>
        <w:t>Exp. 52.666 CP.: Jaime Orlando Santofimio Gamboa.</w:t>
      </w:r>
    </w:p>
  </w:footnote>
  <w:footnote w:id="27">
    <w:p w14:paraId="79052401" w14:textId="77777777" w:rsidR="0080580F" w:rsidRPr="00755139" w:rsidRDefault="0080580F" w:rsidP="0080580F">
      <w:pPr>
        <w:pStyle w:val="Textonotapie"/>
        <w:ind w:firstLine="708"/>
        <w:jc w:val="both"/>
        <w:rPr>
          <w:rFonts w:ascii="Verdana" w:hAnsi="Verdana" w:cs="Arial"/>
          <w:sz w:val="16"/>
          <w:szCs w:val="16"/>
          <w:lang w:val="pt-BR"/>
        </w:rPr>
      </w:pPr>
      <w:r w:rsidRPr="00364005">
        <w:rPr>
          <w:rStyle w:val="Refdenotaalpie"/>
          <w:rFonts w:ascii="Verdana" w:hAnsi="Verdana" w:cs="Arial"/>
          <w:sz w:val="16"/>
          <w:szCs w:val="16"/>
        </w:rPr>
        <w:footnoteRef/>
      </w:r>
      <w:r w:rsidRPr="00755139">
        <w:rPr>
          <w:rFonts w:ascii="Verdana" w:hAnsi="Verdana" w:cs="Arial"/>
          <w:sz w:val="16"/>
          <w:szCs w:val="16"/>
          <w:lang w:val="pt-BR"/>
        </w:rPr>
        <w:t xml:space="preserve"> Ibidem </w:t>
      </w:r>
    </w:p>
  </w:footnote>
  <w:footnote w:id="28">
    <w:p w14:paraId="55433997" w14:textId="77777777" w:rsidR="0080580F" w:rsidRPr="00755139" w:rsidRDefault="0080580F" w:rsidP="0080580F">
      <w:pPr>
        <w:pStyle w:val="Textonotapie"/>
        <w:ind w:firstLine="708"/>
        <w:jc w:val="both"/>
        <w:rPr>
          <w:rFonts w:ascii="Verdana" w:hAnsi="Verdana" w:cs="Arial"/>
          <w:sz w:val="16"/>
          <w:szCs w:val="16"/>
          <w:lang w:val="pt-BR"/>
        </w:rPr>
      </w:pPr>
      <w:r w:rsidRPr="00364005">
        <w:rPr>
          <w:rStyle w:val="Refdenotaalpie"/>
          <w:rFonts w:ascii="Verdana" w:hAnsi="Verdana" w:cs="Arial"/>
          <w:sz w:val="16"/>
          <w:szCs w:val="16"/>
        </w:rPr>
        <w:footnoteRef/>
      </w:r>
      <w:r w:rsidRPr="00755139">
        <w:rPr>
          <w:rFonts w:ascii="Verdana" w:hAnsi="Verdana" w:cs="Arial"/>
          <w:sz w:val="16"/>
          <w:szCs w:val="16"/>
          <w:lang w:val="pt-BR"/>
        </w:rPr>
        <w:t xml:space="preserve"> Consejo de Estado. </w:t>
      </w:r>
      <w:r w:rsidRPr="00364005">
        <w:rPr>
          <w:rFonts w:ascii="Verdana" w:hAnsi="Verdana" w:cs="Arial"/>
          <w:sz w:val="16"/>
          <w:szCs w:val="16"/>
        </w:rPr>
        <w:t>Sección Tercera.</w:t>
      </w:r>
      <w:r w:rsidRPr="00364005">
        <w:rPr>
          <w:rFonts w:ascii="Verdana" w:hAnsi="Verdana" w:cs="Arial"/>
          <w:sz w:val="16"/>
          <w:szCs w:val="16"/>
          <w:lang w:val="es-CO"/>
        </w:rPr>
        <w:t xml:space="preserve"> Subsección A.</w:t>
      </w:r>
      <w:r w:rsidRPr="00364005">
        <w:rPr>
          <w:rFonts w:ascii="Verdana" w:hAnsi="Verdana" w:cs="Arial"/>
          <w:sz w:val="16"/>
          <w:szCs w:val="16"/>
        </w:rPr>
        <w:t xml:space="preserve"> Sentencia del 6 de julio de 2022. Exp. 54.319 CP.: María Adriana Marín. Ver también: </w:t>
      </w:r>
      <w:r w:rsidRPr="00364005">
        <w:rPr>
          <w:rFonts w:ascii="Verdana" w:hAnsi="Verdana" w:cs="Arial"/>
          <w:sz w:val="16"/>
          <w:szCs w:val="16"/>
          <w:lang w:val="es-CO"/>
        </w:rPr>
        <w:t xml:space="preserve">Consejo de Estado. Sección Tercera. Subsección A. Sentencia del 3 de junio de 2022. Exp. 53299. </w:t>
      </w:r>
      <w:r w:rsidRPr="00755139">
        <w:rPr>
          <w:rFonts w:ascii="Verdana" w:hAnsi="Verdana" w:cs="Arial"/>
          <w:sz w:val="16"/>
          <w:szCs w:val="16"/>
          <w:lang w:val="pt-BR"/>
        </w:rPr>
        <w:t>C.P.: José Roberto Sáchica Méndez</w:t>
      </w:r>
    </w:p>
  </w:footnote>
  <w:footnote w:id="29">
    <w:p w14:paraId="0F054008" w14:textId="77777777" w:rsidR="0080580F" w:rsidRPr="00755139" w:rsidRDefault="0080580F" w:rsidP="0080580F">
      <w:pPr>
        <w:pStyle w:val="Textonotapie"/>
        <w:ind w:firstLine="709"/>
        <w:jc w:val="both"/>
        <w:rPr>
          <w:rFonts w:ascii="Verdana" w:hAnsi="Verdana" w:cs="Arial"/>
          <w:sz w:val="16"/>
          <w:szCs w:val="16"/>
          <w:lang w:val="pt-BR" w:bidi="es-ES"/>
        </w:rPr>
      </w:pPr>
      <w:r w:rsidRPr="00364005">
        <w:rPr>
          <w:rStyle w:val="Refdenotaalpie"/>
          <w:rFonts w:ascii="Verdana" w:hAnsi="Verdana" w:cs="Arial"/>
          <w:sz w:val="16"/>
          <w:szCs w:val="16"/>
        </w:rPr>
        <w:footnoteRef/>
      </w:r>
      <w:r w:rsidRPr="00755139">
        <w:rPr>
          <w:rFonts w:ascii="Verdana" w:hAnsi="Verdana" w:cs="Arial"/>
          <w:sz w:val="16"/>
          <w:szCs w:val="16"/>
          <w:lang w:val="pt-BR"/>
        </w:rPr>
        <w:t xml:space="preserve"> </w:t>
      </w:r>
      <w:r w:rsidRPr="00755139">
        <w:rPr>
          <w:rFonts w:ascii="Verdana" w:hAnsi="Verdana" w:cs="Arial"/>
          <w:sz w:val="16"/>
          <w:szCs w:val="16"/>
          <w:lang w:val="pt-BR" w:bidi="es-ES"/>
        </w:rPr>
        <w:t xml:space="preserve">Corte Constitucional. Sentencia C-416 de 2012. </w:t>
      </w:r>
    </w:p>
  </w:footnote>
  <w:footnote w:id="30">
    <w:p w14:paraId="57763524" w14:textId="77777777" w:rsidR="0080580F" w:rsidRPr="00364005" w:rsidRDefault="0080580F" w:rsidP="0080580F">
      <w:pPr>
        <w:pStyle w:val="Textonotapie"/>
        <w:ind w:firstLine="709"/>
        <w:jc w:val="both"/>
        <w:rPr>
          <w:rFonts w:ascii="Verdana" w:hAnsi="Verdana" w:cs="Arial"/>
          <w:sz w:val="16"/>
          <w:szCs w:val="16"/>
          <w:lang w:val="es-CO"/>
        </w:rPr>
      </w:pPr>
      <w:r w:rsidRPr="00364005">
        <w:rPr>
          <w:rStyle w:val="Refdenotaalpie"/>
          <w:rFonts w:ascii="Verdana" w:hAnsi="Verdana" w:cs="Arial"/>
          <w:sz w:val="16"/>
          <w:szCs w:val="16"/>
        </w:rPr>
        <w:footnoteRef/>
      </w:r>
      <w:r w:rsidRPr="00364005">
        <w:rPr>
          <w:rFonts w:ascii="Verdana" w:hAnsi="Verdana" w:cs="Arial"/>
          <w:sz w:val="16"/>
          <w:szCs w:val="16"/>
        </w:rPr>
        <w:t xml:space="preserve"> EXPÓSITO VÉLEZ, Juan Carlos. </w:t>
      </w:r>
      <w:r w:rsidRPr="00364005">
        <w:rPr>
          <w:rFonts w:ascii="Verdana" w:hAnsi="Verdana" w:cs="Arial"/>
          <w:sz w:val="16"/>
          <w:szCs w:val="16"/>
          <w:lang w:val="es-CO"/>
        </w:rPr>
        <w:t xml:space="preserve">Formas, formalidades y contenido del contrato estatal. Serie de derecho administrativo Nro. 34. Universidad Externado de Colombia. 2020. </w:t>
      </w:r>
    </w:p>
  </w:footnote>
  <w:footnote w:id="31">
    <w:p w14:paraId="6CE195CB" w14:textId="77777777" w:rsidR="0080580F" w:rsidRPr="00364005" w:rsidRDefault="0080580F" w:rsidP="0080580F">
      <w:pPr>
        <w:pStyle w:val="Textonotapie"/>
        <w:ind w:firstLine="708"/>
        <w:jc w:val="both"/>
        <w:rPr>
          <w:rFonts w:ascii="Verdana" w:hAnsi="Verdana"/>
          <w:sz w:val="16"/>
          <w:szCs w:val="16"/>
          <w:lang w:val="es-CO"/>
        </w:rPr>
      </w:pPr>
      <w:r w:rsidRPr="00364005">
        <w:rPr>
          <w:rStyle w:val="Refdenotaalpie"/>
          <w:rFonts w:ascii="Verdana" w:hAnsi="Verdana"/>
          <w:sz w:val="16"/>
          <w:szCs w:val="16"/>
        </w:rPr>
        <w:footnoteRef/>
      </w:r>
      <w:r w:rsidRPr="00364005">
        <w:rPr>
          <w:rFonts w:ascii="Verdana" w:hAnsi="Verdana"/>
          <w:sz w:val="16"/>
          <w:szCs w:val="16"/>
        </w:rPr>
        <w:t xml:space="preserve"> Para la doctrina, “A través de la liquidación de los contratos se busca en especial establecer el equilibrio final en las relaciones suscitadas entre la entidad estatal y el contratista, con el objeto de dejar niveladas las prestaciones y derechos surgidos del negocio jurídico. En este sentido, el principio de la conmutatividad, entendido como la equivalencia obvia que debe existir entre lo que se da o hace por una parte y lo que se recibe por la otra, se torna en regla vinculante e imperativa, que debe ser restablecida al final de la relación jurídica, con el propósito de que el negocio finalmente sea equivalente entre las partes” (Cfr. SANTOFIMIO GAMBOA, Jaime Orlando. Tratado de derecho administrativo: contratación indebida. Tomo IV. Bogotá: Universidad Externado de Colombia, 2004. pp. 388-389).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E353CA8"/>
    <w:multiLevelType w:val="hybridMultilevel"/>
    <w:tmpl w:val="8556CC82"/>
    <w:lvl w:ilvl="0" w:tplc="147AD612">
      <w:start w:val="1"/>
      <w:numFmt w:val="decimal"/>
      <w:lvlText w:val="%1."/>
      <w:lvlJc w:val="left"/>
      <w:pPr>
        <w:ind w:left="1065" w:hanging="360"/>
      </w:pPr>
      <w:rPr>
        <w:rFonts w:ascii="Arial" w:hAnsi="Arial" w:cs="Arial" w:hint="default"/>
        <w:b w:val="0"/>
        <w:bCs/>
        <w:sz w:val="22"/>
        <w:szCs w:val="22"/>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0"/>
  </w:num>
  <w:num w:numId="16" w16cid:durableId="1330140246">
    <w:abstractNumId w:val="0"/>
  </w:num>
  <w:num w:numId="17" w16cid:durableId="679089576">
    <w:abstractNumId w:val="9"/>
  </w:num>
  <w:num w:numId="18" w16cid:durableId="116906233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431FC"/>
    <w:rsid w:val="0015699B"/>
    <w:rsid w:val="001A33BF"/>
    <w:rsid w:val="001B7AAA"/>
    <w:rsid w:val="001E4177"/>
    <w:rsid w:val="001F0B24"/>
    <w:rsid w:val="001F7DC6"/>
    <w:rsid w:val="0022400B"/>
    <w:rsid w:val="002421BB"/>
    <w:rsid w:val="0025796E"/>
    <w:rsid w:val="0026376A"/>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B7613"/>
    <w:rsid w:val="003C6D69"/>
    <w:rsid w:val="003D0F4D"/>
    <w:rsid w:val="003D5B0D"/>
    <w:rsid w:val="003E0499"/>
    <w:rsid w:val="003E4F80"/>
    <w:rsid w:val="003E6439"/>
    <w:rsid w:val="003F24DC"/>
    <w:rsid w:val="003F3941"/>
    <w:rsid w:val="00406575"/>
    <w:rsid w:val="00414C74"/>
    <w:rsid w:val="00420CF8"/>
    <w:rsid w:val="0042722E"/>
    <w:rsid w:val="0044528D"/>
    <w:rsid w:val="00452C77"/>
    <w:rsid w:val="00466E39"/>
    <w:rsid w:val="00491969"/>
    <w:rsid w:val="00492726"/>
    <w:rsid w:val="004A1847"/>
    <w:rsid w:val="004A305D"/>
    <w:rsid w:val="004D21B7"/>
    <w:rsid w:val="004F21C4"/>
    <w:rsid w:val="004F685F"/>
    <w:rsid w:val="005566E8"/>
    <w:rsid w:val="00574867"/>
    <w:rsid w:val="00582236"/>
    <w:rsid w:val="00591460"/>
    <w:rsid w:val="005A65E0"/>
    <w:rsid w:val="005C3777"/>
    <w:rsid w:val="005C5CDC"/>
    <w:rsid w:val="005D071C"/>
    <w:rsid w:val="005D476C"/>
    <w:rsid w:val="006200BF"/>
    <w:rsid w:val="006219F8"/>
    <w:rsid w:val="006302F7"/>
    <w:rsid w:val="0063518A"/>
    <w:rsid w:val="00646B9F"/>
    <w:rsid w:val="00665D70"/>
    <w:rsid w:val="006900D9"/>
    <w:rsid w:val="00706C16"/>
    <w:rsid w:val="007340C3"/>
    <w:rsid w:val="0075235A"/>
    <w:rsid w:val="00755139"/>
    <w:rsid w:val="00756841"/>
    <w:rsid w:val="007649AB"/>
    <w:rsid w:val="00771D0C"/>
    <w:rsid w:val="007833AC"/>
    <w:rsid w:val="007B268C"/>
    <w:rsid w:val="007B7171"/>
    <w:rsid w:val="007C0C0F"/>
    <w:rsid w:val="007C3DC2"/>
    <w:rsid w:val="007E5497"/>
    <w:rsid w:val="0080580F"/>
    <w:rsid w:val="00806F5F"/>
    <w:rsid w:val="00820278"/>
    <w:rsid w:val="00824243"/>
    <w:rsid w:val="008258C9"/>
    <w:rsid w:val="008443DD"/>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045"/>
    <w:rsid w:val="009A1C6F"/>
    <w:rsid w:val="009B2D26"/>
    <w:rsid w:val="009B52F9"/>
    <w:rsid w:val="009C71FA"/>
    <w:rsid w:val="009C72E7"/>
    <w:rsid w:val="009C7F7E"/>
    <w:rsid w:val="009D3058"/>
    <w:rsid w:val="009F3A13"/>
    <w:rsid w:val="00A122D3"/>
    <w:rsid w:val="00A14468"/>
    <w:rsid w:val="00A17F13"/>
    <w:rsid w:val="00A20739"/>
    <w:rsid w:val="00A23AF9"/>
    <w:rsid w:val="00A33C78"/>
    <w:rsid w:val="00A75BFF"/>
    <w:rsid w:val="00AA34D0"/>
    <w:rsid w:val="00AB0ADB"/>
    <w:rsid w:val="00AC1E78"/>
    <w:rsid w:val="00B00C0E"/>
    <w:rsid w:val="00B01B1A"/>
    <w:rsid w:val="00B032DF"/>
    <w:rsid w:val="00B0381D"/>
    <w:rsid w:val="00B3683D"/>
    <w:rsid w:val="00B42C5B"/>
    <w:rsid w:val="00B44A47"/>
    <w:rsid w:val="00B72CD3"/>
    <w:rsid w:val="00B72FFF"/>
    <w:rsid w:val="00B7779E"/>
    <w:rsid w:val="00B9462E"/>
    <w:rsid w:val="00BB114C"/>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25067"/>
    <w:rsid w:val="00D361FD"/>
    <w:rsid w:val="00D423A2"/>
    <w:rsid w:val="00D44E26"/>
    <w:rsid w:val="00D520D8"/>
    <w:rsid w:val="00D63AC2"/>
    <w:rsid w:val="00D7383B"/>
    <w:rsid w:val="00D7788A"/>
    <w:rsid w:val="00DA231B"/>
    <w:rsid w:val="00DC39FC"/>
    <w:rsid w:val="00DD7854"/>
    <w:rsid w:val="00DF5254"/>
    <w:rsid w:val="00E02524"/>
    <w:rsid w:val="00E16408"/>
    <w:rsid w:val="00E20894"/>
    <w:rsid w:val="00E225A9"/>
    <w:rsid w:val="00E245AB"/>
    <w:rsid w:val="00E2764C"/>
    <w:rsid w:val="00E27F2E"/>
    <w:rsid w:val="00E50AFE"/>
    <w:rsid w:val="00E53769"/>
    <w:rsid w:val="00E75C92"/>
    <w:rsid w:val="00E771DC"/>
    <w:rsid w:val="00E8772A"/>
    <w:rsid w:val="00E90F6B"/>
    <w:rsid w:val="00E92C27"/>
    <w:rsid w:val="00EA0E3D"/>
    <w:rsid w:val="00EC38A7"/>
    <w:rsid w:val="00EE011E"/>
    <w:rsid w:val="00EE1AA8"/>
    <w:rsid w:val="00EF446B"/>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4F3DA362"/>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6809529B-9253-48C4-9E2F-BD019A773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0580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0580F"/>
    <w:rPr>
      <w:rFonts w:ascii="Geomanist Light" w:hAnsi="Geomanist Light"/>
      <w:lang w:val="es-ES"/>
    </w:rPr>
  </w:style>
  <w:style w:type="paragraph" w:styleId="Textoindependiente">
    <w:name w:val="Body Text"/>
    <w:basedOn w:val="Normal"/>
    <w:link w:val="TextoindependienteCar"/>
    <w:uiPriority w:val="99"/>
    <w:unhideWhenUsed/>
    <w:rsid w:val="0080580F"/>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80580F"/>
    <w:rPr>
      <w:rFonts w:eastAsiaTheme="minorEastAsia"/>
      <w:lang w:eastAsia="es-CO"/>
    </w:rPr>
  </w:style>
  <w:style w:type="character" w:customStyle="1" w:styleId="s15">
    <w:name w:val="s15"/>
    <w:basedOn w:val="Fuentedeprrafopredeter"/>
    <w:rsid w:val="0080580F"/>
  </w:style>
  <w:style w:type="character" w:customStyle="1" w:styleId="NormalWebCar">
    <w:name w:val="Normal (Web) Car"/>
    <w:link w:val="NormalWeb"/>
    <w:uiPriority w:val="99"/>
    <w:rsid w:val="0080580F"/>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www.secretariasenado.gov.co/senado/basedoc/ley_0080_1993.html"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unser.consorcio@gmail.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E4756FD-CE4B-4B5D-92E3-220AA99E6A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36</Pages>
  <Words>12605</Words>
  <Characters>69329</Characters>
  <Application>Microsoft Office Word</Application>
  <DocSecurity>0</DocSecurity>
  <Lines>577</Lines>
  <Paragraphs>163</Paragraphs>
  <ScaleCrop>false</ScaleCrop>
  <Company/>
  <LinksUpToDate>false</LinksUpToDate>
  <CharactersWithSpaces>81771</CharactersWithSpaces>
  <SharedDoc>false</SharedDoc>
  <HLinks>
    <vt:vector size="54" baseType="variant">
      <vt:variant>
        <vt:i4>4456513</vt:i4>
      </vt:variant>
      <vt:variant>
        <vt:i4>24</vt:i4>
      </vt:variant>
      <vt:variant>
        <vt:i4>0</vt:i4>
      </vt:variant>
      <vt:variant>
        <vt:i4>5</vt:i4>
      </vt:variant>
      <vt:variant>
        <vt:lpwstr>https://forms.office.com/r/pPHyWVs2SZ</vt:lpwstr>
      </vt:variant>
      <vt:variant>
        <vt:lpwstr/>
      </vt:variant>
      <vt:variant>
        <vt:i4>3407926</vt:i4>
      </vt:variant>
      <vt:variant>
        <vt:i4>21</vt:i4>
      </vt:variant>
      <vt:variant>
        <vt:i4>0</vt:i4>
      </vt:variant>
      <vt:variant>
        <vt:i4>5</vt:i4>
      </vt:variant>
      <vt:variant>
        <vt:lpwstr>https://www.colombiacompra.gov.co/pqrsd/informacion-importante-antes-de-formular-una-pqrsd</vt:lpwstr>
      </vt:variant>
      <vt:variant>
        <vt:lpwstr/>
      </vt:variant>
      <vt:variant>
        <vt:i4>4980779</vt:i4>
      </vt:variant>
      <vt:variant>
        <vt:i4>18</vt:i4>
      </vt:variant>
      <vt:variant>
        <vt:i4>0</vt:i4>
      </vt:variant>
      <vt:variant>
        <vt:i4>5</vt:i4>
      </vt:variant>
      <vt:variant>
        <vt:lpwstr>mailto:ventanilladeradicacion@colombiacompra.gov.co</vt:lpwstr>
      </vt:variant>
      <vt:variant>
        <vt:lpwstr/>
      </vt:variant>
      <vt:variant>
        <vt:i4>5505101</vt:i4>
      </vt:variant>
      <vt:variant>
        <vt:i4>15</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12</vt:i4>
      </vt:variant>
      <vt:variant>
        <vt:i4>0</vt:i4>
      </vt:variant>
      <vt:variant>
        <vt:i4>5</vt:i4>
      </vt:variant>
      <vt:variant>
        <vt:lpwstr>https://www.colombiacompra.gov.co/normativa-y-relatoria/documentos-tipo</vt:lpwstr>
      </vt:variant>
      <vt:variant>
        <vt:lpwstr/>
      </vt:variant>
      <vt:variant>
        <vt:i4>65544</vt:i4>
      </vt:variant>
      <vt:variant>
        <vt:i4>9</vt:i4>
      </vt:variant>
      <vt:variant>
        <vt:i4>0</vt:i4>
      </vt:variant>
      <vt:variant>
        <vt:i4>5</vt:i4>
      </vt:variant>
      <vt:variant>
        <vt:lpwstr>https://formacionvirtual.colombiacompra.gov.co/mod/page/view.php?id=3718</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786452</vt:i4>
      </vt:variant>
      <vt:variant>
        <vt:i4>3</vt:i4>
      </vt:variant>
      <vt:variant>
        <vt:i4>0</vt:i4>
      </vt:variant>
      <vt:variant>
        <vt:i4>5</vt:i4>
      </vt:variant>
      <vt:variant>
        <vt:lpwstr>http://www.secretariasenado.gov.co/senado/basedoc/ley_0080_1993.html</vt:lpwstr>
      </vt:variant>
      <vt:variant>
        <vt:lpwstr>25</vt:lpwstr>
      </vt:variant>
      <vt:variant>
        <vt:i4>2293849</vt:i4>
      </vt:variant>
      <vt:variant>
        <vt:i4>0</vt:i4>
      </vt:variant>
      <vt:variant>
        <vt:i4>0</vt:i4>
      </vt:variant>
      <vt:variant>
        <vt:i4>5</vt:i4>
      </vt:variant>
      <vt:variant>
        <vt:lpwstr>mailto:funser.consorcio@gmail.com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2023-01-11T00:18:00Z</cp:lastPrinted>
  <dcterms:created xsi:type="dcterms:W3CDTF">2026-05-08T19:37:00Z</dcterms:created>
  <dcterms:modified xsi:type="dcterms:W3CDTF">2026-05-12T13:33:00Z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