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B8030" w14:textId="77777777" w:rsidR="00194DEE" w:rsidRPr="00D17B0D" w:rsidRDefault="00194DEE" w:rsidP="00194DEE">
      <w:pPr>
        <w:spacing w:after="0" w:line="240" w:lineRule="auto"/>
        <w:jc w:val="both"/>
        <w:rPr>
          <w:rFonts w:ascii="Verdana" w:eastAsia="Calibri" w:hAnsi="Verdana" w:cs="Arial"/>
          <w:b/>
          <w:bCs/>
          <w:lang w:val="es-MX"/>
        </w:rPr>
      </w:pPr>
      <w:bookmarkStart w:id="0" w:name="_Hlk143780582"/>
      <w:r w:rsidRPr="00D17B0D">
        <w:rPr>
          <w:rFonts w:ascii="Verdana" w:eastAsia="Calibri" w:hAnsi="Verdana" w:cs="Arial"/>
          <w:b/>
          <w:bCs/>
          <w:lang w:val="es-MX"/>
        </w:rPr>
        <w:t xml:space="preserve">PRECIOS ARTIFICIALMENTE BAJOS </w:t>
      </w:r>
      <w:r w:rsidRPr="00D17B0D">
        <w:rPr>
          <w:rFonts w:ascii="Verdana" w:eastAsia="Calibri" w:hAnsi="Verdana" w:cs="Arial"/>
          <w:b/>
          <w:lang w:val="es-MX"/>
        </w:rPr>
        <w:t>–</w:t>
      </w:r>
      <w:r w:rsidRPr="00D17B0D">
        <w:rPr>
          <w:rFonts w:ascii="Verdana" w:eastAsia="Calibri" w:hAnsi="Verdana" w:cs="Arial"/>
          <w:b/>
          <w:bCs/>
          <w:lang w:val="es-MX"/>
        </w:rPr>
        <w:t xml:space="preserve"> Noción</w:t>
      </w:r>
    </w:p>
    <w:p w14:paraId="25119E03" w14:textId="77777777" w:rsidR="00194DEE" w:rsidRPr="00D17B0D" w:rsidRDefault="00194DEE" w:rsidP="00194DEE">
      <w:pPr>
        <w:spacing w:after="0" w:line="240" w:lineRule="auto"/>
        <w:jc w:val="both"/>
        <w:rPr>
          <w:rFonts w:ascii="Verdana" w:eastAsia="Calibri" w:hAnsi="Verdana" w:cs="Arial"/>
          <w:sz w:val="20"/>
          <w:szCs w:val="20"/>
          <w:highlight w:val="yellow"/>
          <w:lang w:val="es-ES"/>
        </w:rPr>
      </w:pPr>
    </w:p>
    <w:p w14:paraId="2FE79422" w14:textId="77777777" w:rsidR="00194DEE" w:rsidRDefault="00194DEE" w:rsidP="00194DEE">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Es importante definir el concepto de </w:t>
      </w:r>
      <w:r>
        <w:rPr>
          <w:rFonts w:ascii="Verdana" w:eastAsia="Calibri" w:hAnsi="Verdana" w:cs="Arial"/>
          <w:sz w:val="20"/>
          <w:szCs w:val="20"/>
          <w:lang w:val="es-ES"/>
        </w:rPr>
        <w:t>“</w:t>
      </w:r>
      <w:r w:rsidRPr="00D17B0D">
        <w:rPr>
          <w:rFonts w:ascii="Verdana" w:eastAsia="Calibri" w:hAnsi="Verdana" w:cs="Arial"/>
          <w:sz w:val="20"/>
          <w:szCs w:val="20"/>
          <w:lang w:val="es-ES"/>
        </w:rPr>
        <w:t>precio artificialmente bajo</w:t>
      </w:r>
      <w:r>
        <w:rPr>
          <w:rFonts w:ascii="Verdana" w:eastAsia="Calibri" w:hAnsi="Verdana" w:cs="Arial"/>
          <w:sz w:val="20"/>
          <w:szCs w:val="20"/>
          <w:lang w:val="es-ES"/>
        </w:rPr>
        <w:t>”</w:t>
      </w:r>
      <w:r w:rsidRPr="00D17B0D">
        <w:rPr>
          <w:rFonts w:ascii="Verdana" w:eastAsia="Calibri" w:hAnsi="Verdana" w:cs="Arial"/>
          <w:sz w:val="20"/>
          <w:szCs w:val="20"/>
          <w:lang w:val="es-ES"/>
        </w:rPr>
        <w:t>, por lo cual la jurisprudencia de la Sección Tercera del Consejo de Estado señala que es aquel que, por un lado, resulta artificioso, disimulado o falso y, por el otro, no tiene sustento o fundamento en relación con su estructuración dentro del tráfico comercial:</w:t>
      </w:r>
    </w:p>
    <w:p w14:paraId="622ABB49" w14:textId="77777777" w:rsidR="00194DEE" w:rsidRPr="00D17B0D" w:rsidRDefault="00194DEE" w:rsidP="00194DEE">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ab/>
      </w:r>
    </w:p>
    <w:p w14:paraId="1C5FBEAE" w14:textId="77777777" w:rsidR="00194DEE" w:rsidRPr="00D17B0D" w:rsidRDefault="00194DEE" w:rsidP="00194DEE">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El denominado </w:t>
      </w:r>
      <w:r>
        <w:rPr>
          <w:rFonts w:ascii="Verdana" w:eastAsia="Calibri" w:hAnsi="Verdana" w:cs="Arial"/>
          <w:sz w:val="20"/>
          <w:szCs w:val="20"/>
          <w:lang w:val="es-ES"/>
        </w:rPr>
        <w:t>“</w:t>
      </w:r>
      <w:r w:rsidRPr="00D17B0D">
        <w:rPr>
          <w:rFonts w:ascii="Verdana" w:eastAsia="Calibri" w:hAnsi="Verdana" w:cs="Arial"/>
          <w:sz w:val="20"/>
          <w:szCs w:val="20"/>
          <w:lang w:val="es-ES"/>
        </w:rPr>
        <w:t>precio artificialmente bajo</w:t>
      </w:r>
      <w:r>
        <w:rPr>
          <w:rFonts w:ascii="Verdana" w:eastAsia="Calibri" w:hAnsi="Verdana" w:cs="Arial"/>
          <w:sz w:val="20"/>
          <w:szCs w:val="20"/>
          <w:lang w:val="es-ES"/>
        </w:rPr>
        <w:t>”</w:t>
      </w:r>
      <w:r w:rsidRPr="00D17B0D">
        <w:rPr>
          <w:rFonts w:ascii="Verdana" w:eastAsia="Calibri" w:hAnsi="Verdana" w:cs="Arial"/>
          <w:sz w:val="20"/>
          <w:szCs w:val="20"/>
          <w:lang w:val="es-ES"/>
        </w:rPr>
        <w:t xml:space="preserve">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p>
    <w:p w14:paraId="2022E6EA" w14:textId="77777777" w:rsidR="00194DEE" w:rsidRPr="00D17B0D" w:rsidRDefault="00194DEE" w:rsidP="00194DEE">
      <w:pPr>
        <w:spacing w:after="0" w:line="240" w:lineRule="auto"/>
        <w:jc w:val="both"/>
        <w:rPr>
          <w:rFonts w:ascii="Verdana" w:eastAsia="Calibri" w:hAnsi="Verdana" w:cs="Arial"/>
          <w:sz w:val="20"/>
          <w:szCs w:val="20"/>
          <w:lang w:val="es-ES"/>
        </w:rPr>
      </w:pPr>
    </w:p>
    <w:p w14:paraId="76016058" w14:textId="77777777" w:rsidR="00194DEE" w:rsidRPr="00D17B0D" w:rsidRDefault="00194DEE" w:rsidP="00194DEE">
      <w:pPr>
        <w:spacing w:after="0" w:line="240" w:lineRule="auto"/>
        <w:jc w:val="both"/>
        <w:rPr>
          <w:rFonts w:ascii="Verdana" w:eastAsia="Calibri" w:hAnsi="Verdana" w:cs="Arial"/>
          <w:b/>
          <w:lang w:val="es-MX"/>
        </w:rPr>
      </w:pPr>
      <w:r w:rsidRPr="00D17B0D">
        <w:rPr>
          <w:rFonts w:ascii="Verdana" w:eastAsia="Calibri" w:hAnsi="Verdana" w:cs="Arial"/>
          <w:b/>
          <w:bCs/>
          <w:lang w:val="es-MX"/>
        </w:rPr>
        <w:t xml:space="preserve">PRECIOS ARTIFICIALMENTE BAJOS </w:t>
      </w:r>
      <w:r w:rsidRPr="00D17B0D">
        <w:rPr>
          <w:rFonts w:ascii="Verdana" w:eastAsia="Calibri" w:hAnsi="Verdana" w:cs="Arial"/>
          <w:b/>
          <w:lang w:val="es-MX"/>
        </w:rPr>
        <w:t>–</w:t>
      </w:r>
      <w:r w:rsidRPr="00D17B0D">
        <w:rPr>
          <w:rFonts w:ascii="Verdana" w:eastAsia="Calibri" w:hAnsi="Verdana" w:cs="Arial"/>
          <w:b/>
          <w:bCs/>
          <w:lang w:val="es-MX"/>
        </w:rPr>
        <w:t xml:space="preserve"> Noción </w:t>
      </w:r>
      <w:r w:rsidRPr="00D17B0D">
        <w:rPr>
          <w:rFonts w:ascii="Verdana" w:eastAsia="Calibri" w:hAnsi="Verdana" w:cs="Arial"/>
          <w:b/>
          <w:lang w:val="es-MX"/>
        </w:rPr>
        <w:t>– Colombia Compra Eficiente</w:t>
      </w:r>
    </w:p>
    <w:p w14:paraId="2DD9F8CB" w14:textId="77777777" w:rsidR="00194DEE" w:rsidRPr="00D17B0D" w:rsidRDefault="00194DEE" w:rsidP="00194DEE">
      <w:pPr>
        <w:spacing w:after="0" w:line="240" w:lineRule="auto"/>
        <w:jc w:val="both"/>
        <w:rPr>
          <w:rFonts w:ascii="Verdana" w:eastAsia="Calibri" w:hAnsi="Verdana" w:cs="Arial"/>
          <w:sz w:val="20"/>
          <w:szCs w:val="20"/>
          <w:highlight w:val="yellow"/>
          <w:lang w:val="es-ES"/>
        </w:rPr>
      </w:pPr>
    </w:p>
    <w:p w14:paraId="1E2A6215" w14:textId="77777777" w:rsidR="00194DEE" w:rsidRPr="00D17B0D" w:rsidRDefault="00194DEE" w:rsidP="00194DEE">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Con la precisión anterior, y para comenzar el análisis de la Guía, allí se establece que una oferta es artificialmente baja cuando </w:t>
      </w:r>
      <w:r>
        <w:rPr>
          <w:rFonts w:ascii="Verdana" w:eastAsia="Calibri" w:hAnsi="Verdana" w:cs="Arial"/>
          <w:sz w:val="20"/>
          <w:szCs w:val="20"/>
          <w:lang w:val="es-ES"/>
        </w:rPr>
        <w:t>“</w:t>
      </w:r>
      <w:r w:rsidRPr="00D17B0D">
        <w:rPr>
          <w:rFonts w:ascii="Verdana" w:eastAsia="Calibri" w:hAnsi="Verdana" w:cs="Arial"/>
          <w:sz w:val="20"/>
          <w:szCs w:val="20"/>
          <w:lang w:val="es-ES"/>
        </w:rPr>
        <w:t>[…] a criterio de la Entidad Estatal, el precio no parece suficiente para garantizar una correcta ejecución del contrato, de acuerdo con la información recogida durante la etapa de planeación y particularmente durante el Estudio del Sector</w:t>
      </w:r>
      <w:r>
        <w:rPr>
          <w:rFonts w:ascii="Verdana" w:eastAsia="Calibri" w:hAnsi="Verdana" w:cs="Arial"/>
          <w:sz w:val="20"/>
          <w:szCs w:val="20"/>
          <w:lang w:val="es-ES"/>
        </w:rPr>
        <w:t xml:space="preserve"> </w:t>
      </w:r>
      <w:r w:rsidRPr="00D17B0D">
        <w:rPr>
          <w:rFonts w:ascii="Verdana" w:eastAsia="Calibri" w:hAnsi="Verdana" w:cs="Arial"/>
          <w:sz w:val="20"/>
          <w:szCs w:val="20"/>
          <w:lang w:val="es-ES"/>
        </w:rPr>
        <w:t>[…]</w:t>
      </w:r>
      <w:r>
        <w:rPr>
          <w:rFonts w:ascii="Verdana" w:eastAsia="Calibri" w:hAnsi="Verdana" w:cs="Arial"/>
          <w:sz w:val="20"/>
          <w:szCs w:val="20"/>
          <w:lang w:val="es-ES"/>
        </w:rPr>
        <w:t>”</w:t>
      </w:r>
      <w:r w:rsidRPr="00D17B0D">
        <w:rPr>
          <w:rFonts w:ascii="Verdana" w:eastAsia="Calibri" w:hAnsi="Verdana" w:cs="Arial"/>
          <w:sz w:val="20"/>
          <w:szCs w:val="20"/>
          <w:lang w:val="es-ES"/>
        </w:rPr>
        <w:t xml:space="preserve">. En este punto, es importante diferenciar las </w:t>
      </w:r>
      <w:r>
        <w:rPr>
          <w:rFonts w:ascii="Verdana" w:eastAsia="Calibri" w:hAnsi="Verdana" w:cs="Arial"/>
          <w:sz w:val="20"/>
          <w:szCs w:val="20"/>
          <w:lang w:val="es-ES"/>
        </w:rPr>
        <w:t>“</w:t>
      </w:r>
      <w:r w:rsidRPr="00D17B0D">
        <w:rPr>
          <w:rFonts w:ascii="Verdana" w:eastAsia="Calibri" w:hAnsi="Verdana" w:cs="Arial"/>
          <w:sz w:val="20"/>
          <w:szCs w:val="20"/>
          <w:lang w:val="es-ES"/>
        </w:rPr>
        <w:t>ofertas artificialmente bajas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y las </w:t>
      </w:r>
      <w:r>
        <w:rPr>
          <w:rFonts w:ascii="Verdana" w:eastAsia="Calibri" w:hAnsi="Verdana" w:cs="Arial"/>
          <w:sz w:val="20"/>
          <w:szCs w:val="20"/>
          <w:lang w:val="es-ES"/>
        </w:rPr>
        <w:t>“</w:t>
      </w:r>
      <w:r w:rsidRPr="00D17B0D">
        <w:rPr>
          <w:rFonts w:ascii="Verdana" w:eastAsia="Calibri" w:hAnsi="Verdana" w:cs="Arial"/>
          <w:sz w:val="20"/>
          <w:szCs w:val="20"/>
          <w:lang w:val="es-ES"/>
        </w:rPr>
        <w:t>ofertas competitivas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entendiendo por estas últimas aquellas </w:t>
      </w:r>
      <w:r>
        <w:rPr>
          <w:rFonts w:ascii="Verdana" w:eastAsia="Calibri" w:hAnsi="Verdana" w:cs="Arial"/>
          <w:sz w:val="20"/>
          <w:szCs w:val="20"/>
          <w:lang w:val="es-ES"/>
        </w:rPr>
        <w:t>“</w:t>
      </w:r>
      <w:r w:rsidRPr="00D17B0D">
        <w:rPr>
          <w:rFonts w:ascii="Verdana" w:eastAsia="Calibri" w:hAnsi="Verdana" w:cs="Arial"/>
          <w:sz w:val="20"/>
          <w:szCs w:val="20"/>
          <w:lang w:val="es-ES"/>
        </w:rPr>
        <w:t>que tienen en su estructura de costos economías de escala o economías de alcance, que permiten generar un bien o un servicio a menor costo que el [del] resto de proveedores en el mercado</w:t>
      </w:r>
      <w:r>
        <w:rPr>
          <w:rFonts w:ascii="Verdana" w:eastAsia="Calibri" w:hAnsi="Verdana" w:cs="Arial"/>
          <w:sz w:val="20"/>
          <w:szCs w:val="20"/>
          <w:lang w:val="es-ES"/>
        </w:rPr>
        <w:t>”</w:t>
      </w:r>
      <w:r w:rsidRPr="00D17B0D">
        <w:rPr>
          <w:rFonts w:ascii="Verdana" w:eastAsia="Calibri" w:hAnsi="Verdana" w:cs="Arial"/>
          <w:sz w:val="20"/>
          <w:szCs w:val="20"/>
          <w:lang w:val="es-ES"/>
        </w:rPr>
        <w:t xml:space="preserve">, según lo establece la Guía mencionada.  </w:t>
      </w:r>
    </w:p>
    <w:p w14:paraId="5B018D67" w14:textId="77777777" w:rsidR="00194DEE" w:rsidRPr="00D17B0D" w:rsidRDefault="00194DEE" w:rsidP="00194DEE">
      <w:pPr>
        <w:spacing w:after="0" w:line="240" w:lineRule="auto"/>
        <w:jc w:val="both"/>
        <w:rPr>
          <w:rFonts w:ascii="Verdana" w:eastAsia="Calibri" w:hAnsi="Verdana" w:cs="Arial"/>
          <w:sz w:val="20"/>
          <w:szCs w:val="20"/>
          <w:highlight w:val="yellow"/>
          <w:lang w:val="es-ES"/>
        </w:rPr>
      </w:pPr>
    </w:p>
    <w:p w14:paraId="659A9716" w14:textId="77777777" w:rsidR="00194DEE" w:rsidRPr="00D17B0D" w:rsidRDefault="00194DEE" w:rsidP="00194DEE">
      <w:pPr>
        <w:spacing w:after="0" w:line="240" w:lineRule="auto"/>
        <w:jc w:val="both"/>
        <w:rPr>
          <w:rFonts w:ascii="Verdana" w:eastAsia="Calibri" w:hAnsi="Verdana" w:cs="Arial"/>
          <w:b/>
          <w:lang w:val="es-MX"/>
        </w:rPr>
      </w:pPr>
      <w:r w:rsidRPr="00D17B0D">
        <w:rPr>
          <w:rFonts w:ascii="Verdana" w:eastAsia="Calibri" w:hAnsi="Verdana" w:cs="Arial"/>
          <w:b/>
          <w:bCs/>
          <w:lang w:val="es-MX"/>
        </w:rPr>
        <w:t xml:space="preserve">GUÍA PARA EL MANEJO DE OFERTAS ARTIFICIALMENTE BAJAS </w:t>
      </w:r>
      <w:r w:rsidRPr="00D17B0D">
        <w:rPr>
          <w:rFonts w:ascii="Verdana" w:eastAsia="Calibri" w:hAnsi="Verdana" w:cs="Arial"/>
          <w:b/>
          <w:lang w:val="es-MX"/>
        </w:rPr>
        <w:t>– Identificación</w:t>
      </w:r>
    </w:p>
    <w:p w14:paraId="76A30BB1" w14:textId="77777777" w:rsidR="00194DEE" w:rsidRPr="00D17B0D" w:rsidRDefault="00194DEE" w:rsidP="00194DEE">
      <w:pPr>
        <w:spacing w:after="0" w:line="240" w:lineRule="auto"/>
        <w:jc w:val="both"/>
        <w:rPr>
          <w:rFonts w:ascii="Verdana" w:eastAsia="Calibri" w:hAnsi="Verdana" w:cs="Arial"/>
          <w:sz w:val="20"/>
          <w:szCs w:val="20"/>
          <w:highlight w:val="yellow"/>
          <w:lang w:val="es-ES"/>
        </w:rPr>
      </w:pPr>
    </w:p>
    <w:p w14:paraId="68048A4C" w14:textId="77777777" w:rsidR="00194DEE" w:rsidRPr="00D17B0D" w:rsidRDefault="00194DEE" w:rsidP="00194DEE">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t xml:space="preserve">Con esta información, la Guía propone dos (2) </w:t>
      </w:r>
      <w:r>
        <w:rPr>
          <w:rFonts w:ascii="Verdana" w:eastAsia="Calibri" w:hAnsi="Verdana" w:cs="Arial"/>
          <w:sz w:val="20"/>
          <w:szCs w:val="20"/>
          <w:lang w:val="es-ES"/>
        </w:rPr>
        <w:t>“</w:t>
      </w:r>
      <w:r w:rsidRPr="00D17B0D">
        <w:rPr>
          <w:rFonts w:ascii="Verdana" w:eastAsia="Calibri" w:hAnsi="Verdana" w:cs="Arial"/>
          <w:sz w:val="20"/>
          <w:szCs w:val="20"/>
          <w:lang w:val="es-ES"/>
        </w:rPr>
        <w:t>herramientas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y una (1) </w:t>
      </w:r>
      <w:r>
        <w:rPr>
          <w:rFonts w:ascii="Verdana" w:eastAsia="Calibri" w:hAnsi="Verdana" w:cs="Arial"/>
          <w:sz w:val="20"/>
          <w:szCs w:val="20"/>
          <w:lang w:val="es-ES"/>
        </w:rPr>
        <w:t>“</w:t>
      </w:r>
      <w:r w:rsidRPr="00D17B0D">
        <w:rPr>
          <w:rFonts w:ascii="Verdana" w:eastAsia="Calibri" w:hAnsi="Verdana" w:cs="Arial"/>
          <w:sz w:val="20"/>
          <w:szCs w:val="20"/>
          <w:lang w:val="es-ES"/>
        </w:rPr>
        <w:t>metodología</w:t>
      </w:r>
      <w:r>
        <w:rPr>
          <w:rFonts w:ascii="Verdana" w:eastAsia="Calibri" w:hAnsi="Verdana" w:cs="Arial"/>
          <w:sz w:val="20"/>
          <w:szCs w:val="20"/>
          <w:lang w:val="es-ES"/>
        </w:rPr>
        <w:t>”</w:t>
      </w:r>
      <w:r w:rsidRPr="00D17B0D">
        <w:rPr>
          <w:rFonts w:ascii="Verdana" w:eastAsia="Calibri" w:hAnsi="Verdana" w:cs="Arial"/>
          <w:sz w:val="20"/>
          <w:szCs w:val="20"/>
          <w:lang w:val="es-ES"/>
        </w:rPr>
        <w:t xml:space="preserve">, y su aplicación depende de la cantidad de ofertas que se presentaron al procedimiento. Para la primera herramienta, la entidad puede acudir a la comparación absoluta, para contrastar el valor de cada oferta con el costo estimado de la provisión del bien o servicio, de acuerdo con el estudio del sector, siempre y cuando haya recibido menos de cinco (5) ofertas. La regla es que si después de la comparación se encuentran ofertas menores en un 20% o un mayor porcentaje respecto del costo estimado por la entidad, se considerará que ofrecen precios artificialmente bajos. Por consiguiente, esta herramienta no se puede aplicar cuando se reciben cinco (5) o más ofertas, y no todas las ofertas deben ser tratadas por posibles </w:t>
      </w:r>
      <w:r>
        <w:rPr>
          <w:rFonts w:ascii="Verdana" w:eastAsia="Calibri" w:hAnsi="Verdana" w:cs="Arial"/>
          <w:sz w:val="20"/>
          <w:szCs w:val="20"/>
          <w:lang w:val="es-ES"/>
        </w:rPr>
        <w:t>“</w:t>
      </w:r>
      <w:r w:rsidRPr="00D17B0D">
        <w:rPr>
          <w:rFonts w:ascii="Verdana" w:eastAsia="Calibri" w:hAnsi="Verdana" w:cs="Arial"/>
          <w:sz w:val="20"/>
          <w:szCs w:val="20"/>
          <w:lang w:val="es-ES"/>
        </w:rPr>
        <w:t>precios artificialmente bajos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sino aquellas con un valor por debajo del 20% o un porcentaje superior, respecto del valor que la entidad definió como precio del bien, obra o servicio.</w:t>
      </w:r>
    </w:p>
    <w:p w14:paraId="113A6F56" w14:textId="77777777" w:rsidR="00194DEE" w:rsidRDefault="00194DEE" w:rsidP="00194DEE">
      <w:pPr>
        <w:spacing w:after="0" w:line="240" w:lineRule="auto"/>
        <w:jc w:val="both"/>
        <w:rPr>
          <w:rFonts w:ascii="Verdana" w:eastAsia="Calibri" w:hAnsi="Verdana" w:cs="Arial"/>
          <w:sz w:val="20"/>
          <w:szCs w:val="20"/>
          <w:lang w:val="es-ES"/>
        </w:rPr>
      </w:pPr>
      <w:r w:rsidRPr="00D17B0D">
        <w:rPr>
          <w:rFonts w:ascii="Verdana" w:eastAsia="Calibri" w:hAnsi="Verdana" w:cs="Arial"/>
          <w:sz w:val="20"/>
          <w:szCs w:val="20"/>
          <w:lang w:val="es-ES"/>
        </w:rPr>
        <w:lastRenderedPageBreak/>
        <w:t xml:space="preserve">La segunda herramienta, denominada comparación relativa, corresponde a la </w:t>
      </w:r>
      <w:r>
        <w:rPr>
          <w:rFonts w:ascii="Verdana" w:eastAsia="Calibri" w:hAnsi="Verdana" w:cs="Arial"/>
          <w:sz w:val="20"/>
          <w:szCs w:val="20"/>
          <w:lang w:val="es-ES"/>
        </w:rPr>
        <w:t>“</w:t>
      </w:r>
      <w:r w:rsidRPr="00D17B0D">
        <w:rPr>
          <w:rFonts w:ascii="Verdana" w:eastAsia="Calibri" w:hAnsi="Verdana" w:cs="Arial"/>
          <w:sz w:val="20"/>
          <w:szCs w:val="20"/>
          <w:lang w:val="es-ES"/>
        </w:rPr>
        <w:t>comparación de cada oferta con las demás presentadas</w:t>
      </w:r>
      <w:r>
        <w:rPr>
          <w:rFonts w:ascii="Verdana" w:eastAsia="Calibri" w:hAnsi="Verdana" w:cs="Arial"/>
          <w:sz w:val="20"/>
          <w:szCs w:val="20"/>
          <w:lang w:val="es-ES"/>
        </w:rPr>
        <w:t>”</w:t>
      </w:r>
      <w:r w:rsidRPr="00D17B0D">
        <w:rPr>
          <w:rFonts w:ascii="Verdana" w:eastAsia="Calibri" w:hAnsi="Verdana" w:cs="Arial"/>
          <w:sz w:val="20"/>
          <w:szCs w:val="20"/>
          <w:lang w:val="es-ES"/>
        </w:rPr>
        <w:t xml:space="preserve">, sin que se indique la cantidad de ofertas que debió recibir la entidad, por lo cual nada obsta para aplicarla, independientemente del número de ofertas presentadas al procedimiento. […] Por otra parte, Colombia Compra Eficiente ha sugerido aplicar la siguiente metodología con pasos sucesivos, para identificar ofertas que pueden tener </w:t>
      </w:r>
      <w:r>
        <w:rPr>
          <w:rFonts w:ascii="Verdana" w:eastAsia="Calibri" w:hAnsi="Verdana" w:cs="Arial"/>
          <w:sz w:val="20"/>
          <w:szCs w:val="20"/>
          <w:lang w:val="es-ES"/>
        </w:rPr>
        <w:t>“</w:t>
      </w:r>
      <w:r w:rsidRPr="00D17B0D">
        <w:rPr>
          <w:rFonts w:ascii="Verdana" w:eastAsia="Calibri" w:hAnsi="Verdana" w:cs="Arial"/>
          <w:sz w:val="20"/>
          <w:szCs w:val="20"/>
          <w:lang w:val="es-ES"/>
        </w:rPr>
        <w:t>precios artificialmente bajos</w:t>
      </w:r>
      <w:r>
        <w:rPr>
          <w:rFonts w:ascii="Verdana" w:eastAsia="Calibri" w:hAnsi="Verdana" w:cs="Arial"/>
          <w:sz w:val="20"/>
          <w:szCs w:val="20"/>
          <w:lang w:val="es-ES"/>
        </w:rPr>
        <w:t>”</w:t>
      </w:r>
      <w:r w:rsidRPr="00D17B0D">
        <w:rPr>
          <w:rFonts w:ascii="Verdana" w:eastAsia="Calibri" w:hAnsi="Verdana" w:cs="Arial"/>
          <w:sz w:val="20"/>
          <w:szCs w:val="20"/>
          <w:lang w:val="es-ES"/>
        </w:rPr>
        <w:t>, en los procedimientos donde hay cinco (5) o más ofertas, es decir, no es posible aplicarla cuando se reciben menos de cinco (5) ofertas: i) tomar el conjunto de ofertas a evaluar, ii) calcular la mediana, o dependiendo de la dispersión de los datos el promedio, del valor de cada oferta o de cada ítem dentro de la oferta, iii) calcular la desviación estándar del conjunto y iv) determinar el valor mínimo aceptable.</w:t>
      </w:r>
    </w:p>
    <w:p w14:paraId="09CDF509" w14:textId="77777777" w:rsidR="00194DEE" w:rsidRPr="00D17B0D" w:rsidRDefault="00194DEE" w:rsidP="00194DEE">
      <w:pPr>
        <w:spacing w:after="0" w:line="240" w:lineRule="auto"/>
        <w:jc w:val="both"/>
        <w:rPr>
          <w:rFonts w:ascii="Verdana" w:eastAsia="Calibri" w:hAnsi="Verdana" w:cs="Arial"/>
          <w:sz w:val="20"/>
          <w:szCs w:val="20"/>
          <w:lang w:val="es-ES"/>
        </w:rPr>
      </w:pPr>
    </w:p>
    <w:p w14:paraId="3D3E15FD" w14:textId="77777777" w:rsidR="00194DEE" w:rsidRPr="00D17B0D" w:rsidRDefault="00194DEE" w:rsidP="00194DEE">
      <w:pPr>
        <w:spacing w:after="0" w:line="240" w:lineRule="auto"/>
        <w:jc w:val="both"/>
        <w:rPr>
          <w:rFonts w:ascii="Verdana" w:eastAsia="Calibri" w:hAnsi="Verdana" w:cs="Arial"/>
          <w:b/>
          <w:lang w:val="es-MX"/>
        </w:rPr>
      </w:pPr>
      <w:r w:rsidRPr="00D17B0D">
        <w:rPr>
          <w:rFonts w:ascii="Verdana" w:eastAsia="Calibri" w:hAnsi="Verdana" w:cs="Arial"/>
          <w:b/>
          <w:bCs/>
          <w:lang w:val="es-MX"/>
        </w:rPr>
        <w:t xml:space="preserve">GUÍA PARA EL MANEJO DE OFERTAS ARTIFICIALMENTE BAJAS </w:t>
      </w:r>
      <w:r w:rsidRPr="00D17B0D">
        <w:rPr>
          <w:rFonts w:ascii="Verdana" w:eastAsia="Calibri" w:hAnsi="Verdana" w:cs="Arial"/>
          <w:b/>
          <w:lang w:val="es-MX"/>
        </w:rPr>
        <w:t>– Manejo</w:t>
      </w:r>
    </w:p>
    <w:p w14:paraId="11DE5BD6" w14:textId="77777777" w:rsidR="00194DEE" w:rsidRPr="00D17B0D" w:rsidRDefault="00194DEE" w:rsidP="00194DEE">
      <w:pPr>
        <w:spacing w:after="0" w:line="240" w:lineRule="auto"/>
        <w:jc w:val="both"/>
        <w:rPr>
          <w:rFonts w:ascii="Verdana" w:eastAsia="Calibri" w:hAnsi="Verdana" w:cs="Arial"/>
          <w:sz w:val="20"/>
          <w:szCs w:val="20"/>
          <w:highlight w:val="yellow"/>
          <w:lang w:val="es-ES"/>
        </w:rPr>
      </w:pPr>
    </w:p>
    <w:p w14:paraId="1A75DAD0" w14:textId="77777777" w:rsidR="00194DEE" w:rsidRPr="00D17B0D" w:rsidRDefault="00194DEE" w:rsidP="00194DEE">
      <w:pPr>
        <w:spacing w:after="0" w:line="240" w:lineRule="auto"/>
        <w:jc w:val="both"/>
        <w:rPr>
          <w:rFonts w:ascii="Verdana" w:eastAsia="Geomanist Light" w:hAnsi="Verdana" w:cs="Arial"/>
          <w:color w:val="000000" w:themeColor="text1"/>
          <w:lang w:val="es-MX"/>
        </w:rPr>
      </w:pPr>
      <w:r w:rsidRPr="00D17B0D">
        <w:rPr>
          <w:rFonts w:ascii="Verdana" w:eastAsia="Calibri" w:hAnsi="Verdana" w:cs="Arial"/>
          <w:sz w:val="20"/>
          <w:szCs w:val="20"/>
          <w:lang w:val="es-ES"/>
        </w:rPr>
        <w:t xml:space="preserve">Identificadas estas ofertas, la Guía sugiere realizar las siguientes actuaciones, observando lo dispuesto en el artículo 2.2.1.1.2.2.4. del Decreto 1082 de 2015: i) solicitar aclaración a los proponentes que hayan ofertado precios que parecen bajos injustificadamente, ii) analizar las explicaciones y iii) decidir </w:t>
      </w:r>
      <w:r>
        <w:rPr>
          <w:rFonts w:ascii="Verdana" w:eastAsia="Calibri" w:hAnsi="Verdana" w:cs="Arial"/>
          <w:sz w:val="20"/>
          <w:szCs w:val="20"/>
          <w:lang w:val="es-ES"/>
        </w:rPr>
        <w:t>“</w:t>
      </w:r>
      <w:r w:rsidRPr="00D17B0D">
        <w:rPr>
          <w:rFonts w:ascii="Verdana" w:eastAsia="Calibri" w:hAnsi="Verdana" w:cs="Arial"/>
          <w:sz w:val="20"/>
          <w:szCs w:val="20"/>
          <w:lang w:val="es-ES"/>
        </w:rPr>
        <w:t>si continúa con la evaluación de la oferta porque la explicación demuestra la habilidad del proponente para cumplir adecuadamente con el contrato con los precios ofrecidos, o rechazar la oferta si la explicación no sustenta los valores ofrecidos</w:t>
      </w:r>
      <w:r>
        <w:rPr>
          <w:rFonts w:ascii="Verdana" w:eastAsia="Calibri" w:hAnsi="Verdana" w:cs="Arial"/>
          <w:sz w:val="20"/>
          <w:szCs w:val="20"/>
          <w:lang w:val="es-ES"/>
        </w:rPr>
        <w:t>”</w:t>
      </w:r>
      <w:r w:rsidRPr="00D17B0D">
        <w:rPr>
          <w:rFonts w:ascii="Verdana" w:eastAsia="Calibri" w:hAnsi="Verdana" w:cs="Arial"/>
          <w:sz w:val="20"/>
          <w:szCs w:val="20"/>
          <w:lang w:val="es-ES"/>
        </w:rPr>
        <w:t>.</w:t>
      </w:r>
    </w:p>
    <w:p w14:paraId="36582EA3" w14:textId="77777777" w:rsidR="00194DEE" w:rsidRDefault="00194DEE" w:rsidP="00194DEE">
      <w:pPr>
        <w:spacing w:after="0"/>
        <w:rPr>
          <w:rFonts w:ascii="Verdana" w:hAnsi="Verdana"/>
        </w:rPr>
      </w:pPr>
    </w:p>
    <w:p w14:paraId="7001EB38" w14:textId="77777777" w:rsidR="00194DEE" w:rsidRDefault="00194DEE" w:rsidP="00194DEE">
      <w:pPr>
        <w:spacing w:after="0"/>
        <w:rPr>
          <w:rFonts w:ascii="Verdana" w:hAnsi="Verdana"/>
        </w:rPr>
      </w:pPr>
    </w:p>
    <w:p w14:paraId="14A9B28A" w14:textId="77777777" w:rsidR="00194DEE" w:rsidRDefault="00194DEE" w:rsidP="00194DEE">
      <w:pPr>
        <w:spacing w:after="0"/>
        <w:rPr>
          <w:rFonts w:ascii="Verdana" w:hAnsi="Verdana"/>
        </w:rPr>
      </w:pPr>
    </w:p>
    <w:p w14:paraId="4D3320E3" w14:textId="77777777" w:rsidR="00194DEE" w:rsidRDefault="00194DEE" w:rsidP="00194DEE">
      <w:pPr>
        <w:spacing w:after="0"/>
        <w:rPr>
          <w:rFonts w:ascii="Verdana" w:hAnsi="Verdana"/>
        </w:rPr>
      </w:pPr>
    </w:p>
    <w:p w14:paraId="3D818C9E" w14:textId="77777777" w:rsidR="00194DEE" w:rsidRDefault="00194DEE" w:rsidP="00194DEE">
      <w:pPr>
        <w:spacing w:after="0"/>
        <w:rPr>
          <w:rFonts w:ascii="Verdana" w:hAnsi="Verdana"/>
        </w:rPr>
      </w:pPr>
    </w:p>
    <w:p w14:paraId="2DFC4F4F" w14:textId="77777777" w:rsidR="00194DEE" w:rsidRDefault="00194DEE" w:rsidP="00194DEE">
      <w:pPr>
        <w:spacing w:after="0" w:line="240" w:lineRule="auto"/>
        <w:rPr>
          <w:rFonts w:ascii="Verdana" w:eastAsia="Calibri" w:hAnsi="Verdana" w:cs="Arial"/>
          <w:color w:val="000000" w:themeColor="text1"/>
        </w:rPr>
      </w:pPr>
    </w:p>
    <w:p w14:paraId="437B4F3C" w14:textId="77777777" w:rsidR="00194DEE" w:rsidRDefault="00194DEE" w:rsidP="00194DEE">
      <w:pPr>
        <w:spacing w:after="0" w:line="240" w:lineRule="auto"/>
        <w:rPr>
          <w:rFonts w:ascii="Verdana" w:eastAsia="Calibri" w:hAnsi="Verdana" w:cs="Arial"/>
          <w:color w:val="000000" w:themeColor="text1"/>
        </w:rPr>
      </w:pPr>
    </w:p>
    <w:p w14:paraId="6C9B79D9" w14:textId="77777777" w:rsidR="00194DEE" w:rsidRDefault="00194DEE" w:rsidP="00194DEE">
      <w:pPr>
        <w:spacing w:after="0" w:line="240" w:lineRule="auto"/>
        <w:rPr>
          <w:rFonts w:ascii="Verdana" w:eastAsia="Calibri" w:hAnsi="Verdana" w:cs="Arial"/>
          <w:color w:val="000000" w:themeColor="text1"/>
        </w:rPr>
      </w:pPr>
    </w:p>
    <w:p w14:paraId="239E7DDC" w14:textId="77777777" w:rsidR="00194DEE" w:rsidRDefault="00194DEE" w:rsidP="00194DEE">
      <w:pPr>
        <w:spacing w:after="0" w:line="240" w:lineRule="auto"/>
        <w:rPr>
          <w:rFonts w:ascii="Verdana" w:eastAsia="Calibri" w:hAnsi="Verdana" w:cs="Arial"/>
          <w:color w:val="000000" w:themeColor="text1"/>
        </w:rPr>
      </w:pPr>
    </w:p>
    <w:p w14:paraId="124F1680" w14:textId="77777777" w:rsidR="00194DEE" w:rsidRDefault="00194DEE" w:rsidP="00194DEE">
      <w:pPr>
        <w:spacing w:after="0" w:line="240" w:lineRule="auto"/>
        <w:rPr>
          <w:rFonts w:ascii="Verdana" w:eastAsia="Calibri" w:hAnsi="Verdana" w:cs="Arial"/>
          <w:color w:val="000000" w:themeColor="text1"/>
        </w:rPr>
      </w:pPr>
    </w:p>
    <w:p w14:paraId="7F1EDB1A" w14:textId="77777777" w:rsidR="00194DEE" w:rsidRDefault="00194DEE" w:rsidP="00194DEE">
      <w:pPr>
        <w:spacing w:after="0" w:line="240" w:lineRule="auto"/>
        <w:rPr>
          <w:rFonts w:ascii="Verdana" w:eastAsia="Calibri" w:hAnsi="Verdana" w:cs="Arial"/>
          <w:color w:val="000000" w:themeColor="text1"/>
        </w:rPr>
      </w:pPr>
    </w:p>
    <w:p w14:paraId="5DC873E6" w14:textId="77777777" w:rsidR="00194DEE" w:rsidRDefault="00194DEE" w:rsidP="00194DEE">
      <w:pPr>
        <w:spacing w:after="0" w:line="240" w:lineRule="auto"/>
        <w:rPr>
          <w:rFonts w:ascii="Verdana" w:eastAsia="Calibri" w:hAnsi="Verdana" w:cs="Arial"/>
          <w:color w:val="000000" w:themeColor="text1"/>
        </w:rPr>
      </w:pPr>
    </w:p>
    <w:p w14:paraId="6E131758" w14:textId="77777777" w:rsidR="00194DEE" w:rsidRDefault="00194DEE" w:rsidP="00194DEE">
      <w:pPr>
        <w:spacing w:after="0" w:line="240" w:lineRule="auto"/>
        <w:rPr>
          <w:rFonts w:ascii="Verdana" w:eastAsia="Calibri" w:hAnsi="Verdana" w:cs="Arial"/>
          <w:color w:val="000000" w:themeColor="text1"/>
        </w:rPr>
      </w:pPr>
    </w:p>
    <w:p w14:paraId="6D736E2C" w14:textId="77777777" w:rsidR="00194DEE" w:rsidRDefault="00194DEE" w:rsidP="00194DEE">
      <w:pPr>
        <w:spacing w:after="0" w:line="240" w:lineRule="auto"/>
        <w:rPr>
          <w:rFonts w:ascii="Verdana" w:eastAsia="Calibri" w:hAnsi="Verdana" w:cs="Arial"/>
          <w:color w:val="000000" w:themeColor="text1"/>
        </w:rPr>
      </w:pPr>
    </w:p>
    <w:p w14:paraId="00567AB6" w14:textId="77777777" w:rsidR="00194DEE" w:rsidRDefault="00194DEE" w:rsidP="00194DEE">
      <w:pPr>
        <w:spacing w:after="0" w:line="240" w:lineRule="auto"/>
        <w:rPr>
          <w:rFonts w:ascii="Verdana" w:eastAsia="Calibri" w:hAnsi="Verdana" w:cs="Arial"/>
          <w:color w:val="000000" w:themeColor="text1"/>
        </w:rPr>
      </w:pPr>
    </w:p>
    <w:p w14:paraId="10AE3AD0" w14:textId="77777777" w:rsidR="00194DEE" w:rsidRDefault="00194DEE" w:rsidP="00194DEE">
      <w:pPr>
        <w:spacing w:after="0" w:line="240" w:lineRule="auto"/>
        <w:rPr>
          <w:rFonts w:ascii="Verdana" w:eastAsia="Calibri" w:hAnsi="Verdana" w:cs="Arial"/>
          <w:color w:val="000000" w:themeColor="text1"/>
        </w:rPr>
      </w:pPr>
    </w:p>
    <w:p w14:paraId="0712F4DD" w14:textId="77777777" w:rsidR="00194DEE" w:rsidRDefault="00194DEE" w:rsidP="00194DEE">
      <w:pPr>
        <w:spacing w:after="0" w:line="240" w:lineRule="auto"/>
        <w:rPr>
          <w:rFonts w:ascii="Verdana" w:eastAsia="Calibri" w:hAnsi="Verdana" w:cs="Arial"/>
          <w:color w:val="000000" w:themeColor="text1"/>
        </w:rPr>
      </w:pPr>
    </w:p>
    <w:p w14:paraId="7D488613" w14:textId="77777777" w:rsidR="00194DEE" w:rsidRDefault="00194DEE" w:rsidP="00194DEE">
      <w:pPr>
        <w:spacing w:after="0" w:line="240" w:lineRule="auto"/>
        <w:rPr>
          <w:rFonts w:ascii="Verdana" w:eastAsia="Calibri" w:hAnsi="Verdana" w:cs="Arial"/>
          <w:color w:val="000000" w:themeColor="text1"/>
        </w:rPr>
      </w:pPr>
    </w:p>
    <w:p w14:paraId="624C7759" w14:textId="77777777" w:rsidR="00194DEE" w:rsidRDefault="00194DEE" w:rsidP="00194DEE">
      <w:pPr>
        <w:spacing w:after="0" w:line="240" w:lineRule="auto"/>
        <w:rPr>
          <w:rFonts w:ascii="Verdana" w:eastAsia="Calibri" w:hAnsi="Verdana" w:cs="Arial"/>
          <w:color w:val="000000" w:themeColor="text1"/>
        </w:rPr>
      </w:pPr>
    </w:p>
    <w:p w14:paraId="2A8B8BB1" w14:textId="77777777" w:rsidR="00194DEE" w:rsidRDefault="00194DEE" w:rsidP="00194DEE">
      <w:pPr>
        <w:spacing w:after="0" w:line="240" w:lineRule="auto"/>
        <w:rPr>
          <w:rFonts w:ascii="Verdana" w:eastAsia="Calibri" w:hAnsi="Verdana" w:cs="Arial"/>
          <w:color w:val="000000" w:themeColor="text1"/>
        </w:rPr>
      </w:pPr>
    </w:p>
    <w:p w14:paraId="467AD087" w14:textId="77777777" w:rsidR="00194DEE" w:rsidRDefault="00194DEE" w:rsidP="00194DEE">
      <w:pPr>
        <w:spacing w:after="0" w:line="240" w:lineRule="auto"/>
        <w:rPr>
          <w:rFonts w:ascii="Verdana" w:eastAsia="Calibri" w:hAnsi="Verdana" w:cs="Arial"/>
          <w:color w:val="000000" w:themeColor="text1"/>
        </w:rPr>
      </w:pPr>
    </w:p>
    <w:p w14:paraId="709EB2F7" w14:textId="77777777" w:rsidR="00194DEE" w:rsidRDefault="00194DEE" w:rsidP="00194DEE">
      <w:pPr>
        <w:spacing w:after="0" w:line="240" w:lineRule="auto"/>
        <w:rPr>
          <w:rFonts w:ascii="Verdana" w:eastAsia="Calibri" w:hAnsi="Verdana" w:cs="Arial"/>
          <w:color w:val="000000" w:themeColor="text1"/>
        </w:rPr>
      </w:pPr>
    </w:p>
    <w:p w14:paraId="5E1AD65B" w14:textId="098D0889" w:rsidR="00194DEE" w:rsidRPr="00E31648" w:rsidRDefault="00194DEE" w:rsidP="00194DEE">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0</w:t>
      </w:r>
      <w:r w:rsidR="00E6379E">
        <w:rPr>
          <w:rFonts w:ascii="Verdana" w:eastAsia="Calibri" w:hAnsi="Verdana" w:cs="Arial"/>
          <w:color w:val="000000" w:themeColor="text1"/>
        </w:rPr>
        <w:t>8</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469E550C" w14:textId="77777777" w:rsidR="00194DEE" w:rsidRDefault="00194DEE" w:rsidP="00194DEE">
      <w:pPr>
        <w:spacing w:after="0" w:line="240" w:lineRule="auto"/>
        <w:jc w:val="both"/>
        <w:rPr>
          <w:rFonts w:ascii="Verdana" w:eastAsia="Calibri" w:hAnsi="Verdana" w:cs="Arial"/>
          <w:color w:val="000000" w:themeColor="text1"/>
          <w:lang w:val="es-ES"/>
        </w:rPr>
      </w:pPr>
    </w:p>
    <w:p w14:paraId="43318E18" w14:textId="6A169B23" w:rsidR="00194DEE" w:rsidRDefault="004971AD" w:rsidP="004971AD">
      <w:pPr>
        <w:spacing w:after="0" w:line="240" w:lineRule="auto"/>
        <w:jc w:val="right"/>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inline distT="0" distB="0" distL="0" distR="0" wp14:anchorId="644B3982" wp14:editId="51209590">
            <wp:extent cx="2057400" cy="647700"/>
            <wp:effectExtent l="0" t="0" r="0" b="0"/>
            <wp:docPr id="63275163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7400" cy="647700"/>
                    </a:xfrm>
                    <a:prstGeom prst="rect">
                      <a:avLst/>
                    </a:prstGeom>
                    <a:noFill/>
                    <a:ln>
                      <a:noFill/>
                    </a:ln>
                  </pic:spPr>
                </pic:pic>
              </a:graphicData>
            </a:graphic>
          </wp:inline>
        </w:drawing>
      </w:r>
    </w:p>
    <w:p w14:paraId="5F24F54D" w14:textId="77777777" w:rsidR="00194DEE" w:rsidRPr="0046108F" w:rsidRDefault="00194DEE" w:rsidP="00194DEE">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27E368DC" w14:textId="77777777" w:rsidR="00194DEE" w:rsidRPr="00434C7E" w:rsidRDefault="00194DEE" w:rsidP="00194DEE">
      <w:pPr>
        <w:spacing w:after="0" w:line="240" w:lineRule="auto"/>
        <w:rPr>
          <w:rFonts w:ascii="Verdana" w:eastAsia="Calibri" w:hAnsi="Verdana" w:cs="Arial"/>
          <w:b/>
          <w:bCs/>
          <w:lang w:val="es-ES" w:eastAsia="es-ES"/>
        </w:rPr>
      </w:pPr>
      <w:r w:rsidRPr="00434C7E">
        <w:rPr>
          <w:rFonts w:ascii="Verdana" w:eastAsia="Calibri" w:hAnsi="Verdana" w:cs="Arial"/>
          <w:b/>
          <w:bCs/>
          <w:lang w:val="es-ES" w:eastAsia="es-ES"/>
        </w:rPr>
        <w:t>JAVIER FERNANDO NIETO BELLO</w:t>
      </w:r>
    </w:p>
    <w:p w14:paraId="5A3A8A40" w14:textId="77777777" w:rsidR="00194DEE" w:rsidRDefault="00194DEE" w:rsidP="00194DEE">
      <w:pPr>
        <w:spacing w:after="0" w:line="240" w:lineRule="auto"/>
        <w:rPr>
          <w:rFonts w:ascii="Verdana" w:eastAsia="Calibri" w:hAnsi="Verdana" w:cs="Arial"/>
          <w:lang w:val="es-ES" w:eastAsia="es-ES"/>
        </w:rPr>
      </w:pPr>
      <w:r>
        <w:rPr>
          <w:rFonts w:ascii="Verdana" w:eastAsia="Calibri" w:hAnsi="Verdana" w:cs="Arial"/>
          <w:lang w:val="es-ES" w:eastAsia="es-ES"/>
        </w:rPr>
        <w:t>globallife@glambulancias.com</w:t>
      </w:r>
    </w:p>
    <w:p w14:paraId="12D69A49" w14:textId="77777777" w:rsidR="00194DEE" w:rsidRPr="006B17A7" w:rsidRDefault="00194DEE" w:rsidP="00194DEE">
      <w:pPr>
        <w:spacing w:after="0" w:line="240" w:lineRule="auto"/>
        <w:rPr>
          <w:rFonts w:ascii="Verdana" w:eastAsia="Calibri" w:hAnsi="Verdana" w:cs="Arial"/>
          <w:b/>
          <w:bCs/>
          <w:lang w:val="es-ES" w:eastAsia="es-ES"/>
        </w:rPr>
      </w:pPr>
      <w:r>
        <w:rPr>
          <w:rFonts w:ascii="Verdana" w:eastAsia="Calibri" w:hAnsi="Verdana" w:cs="Arial"/>
          <w:lang w:val="es-ES" w:eastAsia="es-ES"/>
        </w:rPr>
        <w:t>Ciudad</w:t>
      </w:r>
    </w:p>
    <w:p w14:paraId="4DE99E9D" w14:textId="77777777" w:rsidR="00194DEE" w:rsidRPr="00CB7ABE" w:rsidRDefault="00194DEE" w:rsidP="00194DEE">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194DEE" w:rsidRPr="00115E3D" w14:paraId="696168E6" w14:textId="77777777" w:rsidTr="00617CE6">
        <w:trPr>
          <w:trHeight w:val="615"/>
        </w:trPr>
        <w:tc>
          <w:tcPr>
            <w:tcW w:w="2270" w:type="dxa"/>
          </w:tcPr>
          <w:p w14:paraId="1676BA70" w14:textId="77777777" w:rsidR="00194DEE" w:rsidRPr="00CB7ABE" w:rsidRDefault="00194DEE" w:rsidP="00617CE6">
            <w:pPr>
              <w:jc w:val="both"/>
              <w:rPr>
                <w:rFonts w:ascii="Verdana" w:eastAsia="Calibri" w:hAnsi="Verdana" w:cs="Arial"/>
                <w:b/>
                <w:bCs/>
                <w:color w:val="000000" w:themeColor="text1"/>
                <w:lang w:eastAsia="es-ES_tradnl"/>
              </w:rPr>
            </w:pPr>
          </w:p>
        </w:tc>
        <w:tc>
          <w:tcPr>
            <w:tcW w:w="6547" w:type="dxa"/>
          </w:tcPr>
          <w:p w14:paraId="63DB2683" w14:textId="77777777" w:rsidR="00194DEE" w:rsidRPr="008A209A" w:rsidRDefault="00194DEE" w:rsidP="00617CE6">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495</w:t>
            </w:r>
            <w:r w:rsidRPr="008A209A">
              <w:rPr>
                <w:rFonts w:ascii="Verdana" w:eastAsia="Calibri" w:hAnsi="Verdana" w:cs="Arial"/>
                <w:b/>
                <w:bCs/>
                <w:color w:val="000000" w:themeColor="text1"/>
                <w:lang w:val="es-ES" w:eastAsia="es-ES"/>
              </w:rPr>
              <w:t xml:space="preserve"> de 2026</w:t>
            </w:r>
          </w:p>
        </w:tc>
      </w:tr>
      <w:tr w:rsidR="00194DEE" w:rsidRPr="007E403E" w14:paraId="61EDDA7B" w14:textId="77777777" w:rsidTr="00617CE6">
        <w:trPr>
          <w:trHeight w:val="1071"/>
        </w:trPr>
        <w:tc>
          <w:tcPr>
            <w:tcW w:w="2270" w:type="dxa"/>
          </w:tcPr>
          <w:p w14:paraId="59021C51" w14:textId="77777777" w:rsidR="00194DEE" w:rsidRPr="001B36DA" w:rsidRDefault="00194DEE" w:rsidP="00617CE6">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41052452" w14:textId="77777777" w:rsidR="00194DEE" w:rsidRDefault="00194DEE" w:rsidP="00617CE6">
            <w:pPr>
              <w:spacing w:line="276" w:lineRule="auto"/>
              <w:jc w:val="both"/>
              <w:rPr>
                <w:rFonts w:ascii="Verdana" w:eastAsia="Arial" w:hAnsi="Verdana" w:cs="Arial"/>
                <w:lang w:val="es-MX"/>
              </w:rPr>
            </w:pPr>
            <w:r w:rsidRPr="00A7428E">
              <w:rPr>
                <w:rFonts w:ascii="Verdana" w:eastAsia="Arial" w:hAnsi="Verdana" w:cs="Arial"/>
                <w:lang w:val="es-MX"/>
              </w:rPr>
              <w:t>PRECIOS ARTIFICIALMENTE BAJOS – Noción / PRECIOS ARTIFICIALMENTE BAJOS – Noción – Colombia Compra Eficiente / GUÍA PARA EL MANEJO DE OFERTAS ARTIFICIALMENTE BAJAS – Identificación / GUÍA PARA EL MANEJO DE OFERTAS ARTIFICIALMENTE BAJAS – Manejo</w:t>
            </w:r>
            <w:r>
              <w:rPr>
                <w:rFonts w:ascii="Verdana" w:eastAsia="Arial" w:hAnsi="Verdana" w:cs="Arial"/>
                <w:lang w:val="es-MX"/>
              </w:rPr>
              <w:t>.</w:t>
            </w:r>
          </w:p>
          <w:p w14:paraId="7D4F2FE8" w14:textId="77777777" w:rsidR="00194DEE" w:rsidRPr="005E256F" w:rsidRDefault="00194DEE" w:rsidP="00617CE6">
            <w:pPr>
              <w:spacing w:line="276" w:lineRule="auto"/>
              <w:jc w:val="both"/>
              <w:rPr>
                <w:rFonts w:ascii="Verdana" w:eastAsia="Calibri" w:hAnsi="Verdana" w:cs="Arial"/>
                <w:color w:val="000000" w:themeColor="text1"/>
                <w:highlight w:val="yellow"/>
                <w:lang w:val="es-ES" w:eastAsia="es-ES"/>
              </w:rPr>
            </w:pPr>
          </w:p>
        </w:tc>
      </w:tr>
      <w:tr w:rsidR="00194DEE" w:rsidRPr="00115E3D" w14:paraId="6D92432C" w14:textId="77777777" w:rsidTr="00617CE6">
        <w:trPr>
          <w:trHeight w:val="653"/>
        </w:trPr>
        <w:tc>
          <w:tcPr>
            <w:tcW w:w="2270" w:type="dxa"/>
          </w:tcPr>
          <w:p w14:paraId="7CE37C9E" w14:textId="77777777" w:rsidR="00194DEE" w:rsidRPr="00CB7ABE" w:rsidRDefault="00194DEE" w:rsidP="00617CE6">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3E30B4BB" w14:textId="77777777" w:rsidR="00194DEE" w:rsidRPr="00CB7ABE" w:rsidRDefault="00194DEE" w:rsidP="00617CE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434C7E">
              <w:rPr>
                <w:rFonts w:ascii="Verdana" w:hAnsi="Verdana"/>
                <w:color w:val="2B2B2B"/>
              </w:rPr>
              <w:t>1_2026_03_25_004149</w:t>
            </w:r>
            <w:r>
              <w:rPr>
                <w:rFonts w:ascii="Verdana" w:hAnsi="Verdana"/>
                <w:color w:val="2B2B2B"/>
              </w:rPr>
              <w:t>.</w:t>
            </w:r>
          </w:p>
        </w:tc>
      </w:tr>
      <w:tr w:rsidR="00194DEE" w:rsidRPr="00115E3D" w14:paraId="48D07C96" w14:textId="77777777" w:rsidTr="00617CE6">
        <w:trPr>
          <w:trHeight w:val="653"/>
        </w:trPr>
        <w:tc>
          <w:tcPr>
            <w:tcW w:w="2270" w:type="dxa"/>
          </w:tcPr>
          <w:p w14:paraId="1F27D5A3" w14:textId="77777777" w:rsidR="00194DEE" w:rsidRPr="00CB7ABE" w:rsidRDefault="00194DEE" w:rsidP="00617CE6">
            <w:pPr>
              <w:jc w:val="both"/>
              <w:rPr>
                <w:rFonts w:ascii="Verdana" w:eastAsia="Calibri" w:hAnsi="Verdana" w:cs="Arial"/>
                <w:b/>
                <w:color w:val="000000" w:themeColor="text1"/>
                <w:lang w:val="es-ES_tradnl" w:eastAsia="es-ES_tradnl"/>
              </w:rPr>
            </w:pPr>
          </w:p>
        </w:tc>
        <w:tc>
          <w:tcPr>
            <w:tcW w:w="6547" w:type="dxa"/>
          </w:tcPr>
          <w:p w14:paraId="563BA25C" w14:textId="77777777" w:rsidR="00194DEE" w:rsidRPr="00CB7ABE" w:rsidRDefault="00194DEE" w:rsidP="00617CE6">
            <w:pPr>
              <w:ind w:right="1"/>
              <w:jc w:val="both"/>
              <w:rPr>
                <w:rFonts w:ascii="Verdana" w:eastAsia="Calibri" w:hAnsi="Verdana" w:cs="Arial"/>
                <w:color w:val="000000" w:themeColor="text1"/>
                <w:lang w:val="es-ES_tradnl" w:eastAsia="es-ES_tradnl"/>
              </w:rPr>
            </w:pPr>
          </w:p>
        </w:tc>
      </w:tr>
    </w:tbl>
    <w:p w14:paraId="0148662E" w14:textId="77777777" w:rsidR="00194DEE" w:rsidRPr="00115E3D" w:rsidRDefault="00194DEE" w:rsidP="00194DEE">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Nieto;</w:t>
      </w:r>
    </w:p>
    <w:p w14:paraId="5184A476" w14:textId="77777777" w:rsidR="00194DEE" w:rsidRPr="00115E3D" w:rsidRDefault="00194DEE" w:rsidP="00194DEE">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8A63415" w14:textId="77777777" w:rsidR="00194DEE" w:rsidRPr="00115E3D" w:rsidRDefault="00194DEE" w:rsidP="00194DEE">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26 de marzo de 2026 </w:t>
      </w:r>
      <w:r w:rsidRPr="00115E3D">
        <w:rPr>
          <w:rFonts w:ascii="Verdana" w:eastAsia="Calibri" w:hAnsi="Verdana" w:cs="Arial"/>
          <w:color w:val="000000" w:themeColor="text1"/>
          <w:lang w:val="es-ES" w:eastAsia="es-ES"/>
        </w:rPr>
        <w:t xml:space="preserve">en la cual manifiesta lo siguiente: </w:t>
      </w:r>
    </w:p>
    <w:p w14:paraId="4B29008A"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F069215"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MX"/>
        </w:rPr>
      </w:pPr>
      <w:r w:rsidRPr="00104557">
        <w:rPr>
          <w:rFonts w:ascii="Verdana" w:eastAsia="Century Gothic" w:hAnsi="Verdana" w:cs="Century Gothic"/>
          <w:i/>
          <w:iCs/>
          <w:color w:val="000000" w:themeColor="text1"/>
          <w:sz w:val="20"/>
          <w:szCs w:val="20"/>
          <w:lang w:val="es-ES"/>
        </w:rPr>
        <w:t>“</w:t>
      </w:r>
      <w:r w:rsidRPr="00434C7E">
        <w:rPr>
          <w:rFonts w:ascii="Verdana" w:eastAsia="Century Gothic" w:hAnsi="Verdana" w:cs="Century Gothic"/>
          <w:i/>
          <w:iCs/>
          <w:color w:val="000000" w:themeColor="text1"/>
          <w:sz w:val="20"/>
          <w:szCs w:val="20"/>
          <w:lang w:val="es-MX"/>
        </w:rPr>
        <w:t>Se emita un pronunciamiento específico claro y actualizado que no se limite a reiterar disposiciones generales, sino que precise de manera expresa los criterios que deben aplicar las entidades contratantes</w:t>
      </w:r>
      <w:r w:rsidRPr="00D21B16">
        <w:rPr>
          <w:rFonts w:ascii="Verdana" w:eastAsia="Century Gothic" w:hAnsi="Verdana" w:cs="Century Gothic"/>
          <w:i/>
          <w:iCs/>
          <w:color w:val="000000" w:themeColor="text1"/>
          <w:sz w:val="20"/>
          <w:szCs w:val="20"/>
          <w:lang w:val="es-MX"/>
        </w:rPr>
        <w:t xml:space="preserve"> en la estructuración de estudios del sector para servicios intensivos en talento humano</w:t>
      </w:r>
      <w:r>
        <w:rPr>
          <w:rFonts w:ascii="Verdana" w:eastAsia="Century Gothic" w:hAnsi="Verdana" w:cs="Century Gothic"/>
          <w:i/>
          <w:iCs/>
          <w:color w:val="000000" w:themeColor="text1"/>
          <w:sz w:val="20"/>
          <w:szCs w:val="20"/>
          <w:lang w:val="es-MX"/>
        </w:rPr>
        <w:t>,</w:t>
      </w:r>
      <w:r w:rsidRPr="00D21B16">
        <w:rPr>
          <w:rFonts w:ascii="Verdana" w:eastAsia="Century Gothic" w:hAnsi="Verdana" w:cs="Century Gothic"/>
          <w:i/>
          <w:iCs/>
          <w:color w:val="000000" w:themeColor="text1"/>
          <w:sz w:val="20"/>
          <w:szCs w:val="20"/>
          <w:lang w:val="es-MX"/>
        </w:rPr>
        <w:t xml:space="preserve"> así como los mecanismos concretos de verificación y eventual rechazo de ofertas que por su configuración económica impliquen el desconocimiento de obligaciones laborales de orden público</w:t>
      </w:r>
      <w:r>
        <w:rPr>
          <w:rFonts w:ascii="Verdana" w:eastAsia="Century Gothic" w:hAnsi="Verdana" w:cs="Century Gothic"/>
          <w:i/>
          <w:iCs/>
          <w:color w:val="000000" w:themeColor="text1"/>
          <w:sz w:val="20"/>
          <w:szCs w:val="20"/>
          <w:lang w:val="es-MX"/>
        </w:rPr>
        <w:t>.</w:t>
      </w:r>
    </w:p>
    <w:p w14:paraId="3A1F3BAC"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MX"/>
        </w:rPr>
      </w:pPr>
    </w:p>
    <w:p w14:paraId="5B40FBB1"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MX"/>
        </w:rPr>
      </w:pPr>
    </w:p>
    <w:p w14:paraId="670496B5"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MX"/>
        </w:rPr>
      </w:pPr>
    </w:p>
    <w:p w14:paraId="36167CB0"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MX"/>
        </w:rPr>
      </w:pPr>
      <w:r>
        <w:rPr>
          <w:rFonts w:ascii="Verdana" w:eastAsia="Century Gothic" w:hAnsi="Verdana" w:cs="Century Gothic"/>
          <w:i/>
          <w:iCs/>
          <w:color w:val="000000" w:themeColor="text1"/>
          <w:sz w:val="20"/>
          <w:szCs w:val="20"/>
          <w:lang w:val="es-MX"/>
        </w:rPr>
        <w:t xml:space="preserve">Con </w:t>
      </w:r>
      <w:r w:rsidRPr="00D21B16">
        <w:rPr>
          <w:rFonts w:ascii="Verdana" w:eastAsia="Century Gothic" w:hAnsi="Verdana" w:cs="Century Gothic"/>
          <w:i/>
          <w:iCs/>
          <w:color w:val="000000" w:themeColor="text1"/>
          <w:sz w:val="20"/>
          <w:szCs w:val="20"/>
          <w:lang w:val="es-MX"/>
        </w:rPr>
        <w:t xml:space="preserve">fundamento en lo expuesto y en el marco de las competencias de esa </w:t>
      </w:r>
      <w:r>
        <w:rPr>
          <w:rFonts w:ascii="Verdana" w:eastAsia="Century Gothic" w:hAnsi="Verdana" w:cs="Century Gothic"/>
          <w:i/>
          <w:iCs/>
          <w:color w:val="000000" w:themeColor="text1"/>
          <w:sz w:val="20"/>
          <w:szCs w:val="20"/>
          <w:lang w:val="es-MX"/>
        </w:rPr>
        <w:t>A</w:t>
      </w:r>
      <w:r w:rsidRPr="00D21B16">
        <w:rPr>
          <w:rFonts w:ascii="Verdana" w:eastAsia="Century Gothic" w:hAnsi="Verdana" w:cs="Century Gothic"/>
          <w:i/>
          <w:iCs/>
          <w:color w:val="000000" w:themeColor="text1"/>
          <w:sz w:val="20"/>
          <w:szCs w:val="20"/>
          <w:lang w:val="es-MX"/>
        </w:rPr>
        <w:t xml:space="preserve">gencia como ente rector del </w:t>
      </w:r>
      <w:r>
        <w:rPr>
          <w:rFonts w:ascii="Verdana" w:eastAsia="Century Gothic" w:hAnsi="Verdana" w:cs="Century Gothic"/>
          <w:i/>
          <w:iCs/>
          <w:color w:val="000000" w:themeColor="text1"/>
          <w:sz w:val="20"/>
          <w:szCs w:val="20"/>
          <w:lang w:val="es-MX"/>
        </w:rPr>
        <w:t>S</w:t>
      </w:r>
      <w:r w:rsidRPr="00D21B16">
        <w:rPr>
          <w:rFonts w:ascii="Verdana" w:eastAsia="Century Gothic" w:hAnsi="Verdana" w:cs="Century Gothic"/>
          <w:i/>
          <w:iCs/>
          <w:color w:val="000000" w:themeColor="text1"/>
          <w:sz w:val="20"/>
          <w:szCs w:val="20"/>
          <w:lang w:val="es-MX"/>
        </w:rPr>
        <w:t xml:space="preserve">istema de </w:t>
      </w:r>
      <w:r>
        <w:rPr>
          <w:rFonts w:ascii="Verdana" w:eastAsia="Century Gothic" w:hAnsi="Verdana" w:cs="Century Gothic"/>
          <w:i/>
          <w:iCs/>
          <w:color w:val="000000" w:themeColor="text1"/>
          <w:sz w:val="20"/>
          <w:szCs w:val="20"/>
          <w:lang w:val="es-MX"/>
        </w:rPr>
        <w:t>C</w:t>
      </w:r>
      <w:r w:rsidRPr="00D21B16">
        <w:rPr>
          <w:rFonts w:ascii="Verdana" w:eastAsia="Century Gothic" w:hAnsi="Verdana" w:cs="Century Gothic"/>
          <w:i/>
          <w:iCs/>
          <w:color w:val="000000" w:themeColor="text1"/>
          <w:sz w:val="20"/>
          <w:szCs w:val="20"/>
          <w:lang w:val="es-MX"/>
        </w:rPr>
        <w:t xml:space="preserve">ompra </w:t>
      </w:r>
      <w:r>
        <w:rPr>
          <w:rFonts w:ascii="Verdana" w:eastAsia="Century Gothic" w:hAnsi="Verdana" w:cs="Century Gothic"/>
          <w:i/>
          <w:iCs/>
          <w:color w:val="000000" w:themeColor="text1"/>
          <w:sz w:val="20"/>
          <w:szCs w:val="20"/>
          <w:lang w:val="es-MX"/>
        </w:rPr>
        <w:t>P</w:t>
      </w:r>
      <w:r w:rsidRPr="00D21B16">
        <w:rPr>
          <w:rFonts w:ascii="Verdana" w:eastAsia="Century Gothic" w:hAnsi="Verdana" w:cs="Century Gothic"/>
          <w:i/>
          <w:iCs/>
          <w:color w:val="000000" w:themeColor="text1"/>
          <w:sz w:val="20"/>
          <w:szCs w:val="20"/>
          <w:lang w:val="es-MX"/>
        </w:rPr>
        <w:t>ública respetuosamente me permito solicitar</w:t>
      </w:r>
      <w:r>
        <w:rPr>
          <w:rFonts w:ascii="Verdana" w:eastAsia="Century Gothic" w:hAnsi="Verdana" w:cs="Century Gothic"/>
          <w:i/>
          <w:iCs/>
          <w:color w:val="000000" w:themeColor="text1"/>
          <w:sz w:val="20"/>
          <w:szCs w:val="20"/>
          <w:lang w:val="es-MX"/>
        </w:rPr>
        <w:t>:</w:t>
      </w:r>
    </w:p>
    <w:p w14:paraId="17BA4B19" w14:textId="77777777" w:rsidR="00194DEE" w:rsidRDefault="00194DEE" w:rsidP="00194DEE">
      <w:pPr>
        <w:spacing w:after="0" w:line="240" w:lineRule="auto"/>
        <w:ind w:left="709" w:right="709"/>
        <w:jc w:val="both"/>
        <w:rPr>
          <w:rFonts w:ascii="Verdana" w:eastAsia="Century Gothic" w:hAnsi="Verdana" w:cs="Century Gothic"/>
          <w:b/>
          <w:bCs/>
          <w:i/>
          <w:iCs/>
          <w:color w:val="000000" w:themeColor="text1"/>
          <w:sz w:val="20"/>
          <w:szCs w:val="20"/>
        </w:rPr>
      </w:pPr>
    </w:p>
    <w:p w14:paraId="60DFCBC8"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Primero.</w:t>
      </w:r>
      <w:r w:rsidRPr="00D21B16">
        <w:rPr>
          <w:rFonts w:ascii="Verdana" w:eastAsia="Century Gothic" w:hAnsi="Verdana" w:cs="Century Gothic"/>
          <w:i/>
          <w:iCs/>
          <w:color w:val="000000" w:themeColor="text1"/>
          <w:sz w:val="20"/>
          <w:szCs w:val="20"/>
        </w:rPr>
        <w:t xml:space="preserve"> Emitir pronunciamiento técnico y jurídico expreso en el que se precise si, en la estructuración de estudios del sector para servicios intensivos en talento humano, como los servicios de atención domiciliaria en salud y transporte asistencial, las entidades estatales están obligadas a incorporar de manera expresa y verificable los costos laborales mínimos legales, incluyendo salario mínimo, prestaciones sociales, aportes al sistema de seguridad social, recargos, tiempos de disponibilidad y demás cargas derivadas del régimen laboral.</w:t>
      </w:r>
    </w:p>
    <w:p w14:paraId="04999F5C"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14834EE3"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Segundo.</w:t>
      </w:r>
      <w:r w:rsidRPr="00D21B16">
        <w:rPr>
          <w:rFonts w:ascii="Verdana" w:eastAsia="Century Gothic" w:hAnsi="Verdana" w:cs="Century Gothic"/>
          <w:i/>
          <w:iCs/>
          <w:color w:val="000000" w:themeColor="text1"/>
          <w:sz w:val="20"/>
          <w:szCs w:val="20"/>
        </w:rPr>
        <w:t xml:space="preserve"> Indicar si la omisión de dichos costos laborales en los estudios previos y en la definición del presupuesto oficial puede configurar una inadecuada estructuración del proceso contractual y, en consecuencia, una vulneración del principio de planeación en los términos de la normativa de contratación estatal.</w:t>
      </w:r>
    </w:p>
    <w:p w14:paraId="0C76125D"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28AB4098"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Tercero.</w:t>
      </w:r>
      <w:r w:rsidRPr="00D21B16">
        <w:rPr>
          <w:rFonts w:ascii="Verdana" w:eastAsia="Century Gothic" w:hAnsi="Verdana" w:cs="Century Gothic"/>
          <w:i/>
          <w:iCs/>
          <w:color w:val="000000" w:themeColor="text1"/>
          <w:sz w:val="20"/>
          <w:szCs w:val="20"/>
        </w:rPr>
        <w:t xml:space="preserve"> Precisar, a la luz de las guías y lineamientos vigentes expedidos por esa Agencia, cuáles son los criterios objetivos y verificables que deben aplicar las entidades contratantes para identificar y evaluar ofertas con precios artificialmente bajos en servicios intensivos en mano de obra, particularmente cuando dichas ofertas no permiten cubrir los costos laborales mínimos.</w:t>
      </w:r>
    </w:p>
    <w:p w14:paraId="4CD9D3A5"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5B994545"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Cuarto.</w:t>
      </w:r>
      <w:r w:rsidRPr="00D21B16">
        <w:rPr>
          <w:rFonts w:ascii="Verdana" w:eastAsia="Century Gothic" w:hAnsi="Verdana" w:cs="Century Gothic"/>
          <w:i/>
          <w:iCs/>
          <w:color w:val="000000" w:themeColor="text1"/>
          <w:sz w:val="20"/>
          <w:szCs w:val="20"/>
        </w:rPr>
        <w:t xml:space="preserve"> Emitir un pronunciamiento específico sobre si las entidades contratantes deben rechazar aquellas ofertas cuya estructura económica implique, directa o indirectamente, el desconocimiento de normas laborales de orden público como condición para su ejecución.</w:t>
      </w:r>
    </w:p>
    <w:p w14:paraId="22034A3A"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73434498"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Quinto.</w:t>
      </w:r>
      <w:r w:rsidRPr="00D21B16">
        <w:rPr>
          <w:rFonts w:ascii="Verdana" w:eastAsia="Century Gothic" w:hAnsi="Verdana" w:cs="Century Gothic"/>
          <w:i/>
          <w:iCs/>
          <w:color w:val="000000" w:themeColor="text1"/>
          <w:sz w:val="20"/>
          <w:szCs w:val="20"/>
        </w:rPr>
        <w:t xml:space="preserve"> Señalar si la aplicación práctica de las guías existentes en materia de análisis del sector y evaluación de ofertas artificialmente bajas requiere ser precisada o complementada para los servicios intensivos en talento humano, indicando en tal caso los ajustes o criterios adicionales que deban adoptarse por parte de las entidades públicas.</w:t>
      </w:r>
    </w:p>
    <w:p w14:paraId="76AB7DE4"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2C098BA4"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Sexto.</w:t>
      </w:r>
      <w:r w:rsidRPr="00D21B16">
        <w:rPr>
          <w:rFonts w:ascii="Verdana" w:eastAsia="Century Gothic" w:hAnsi="Verdana" w:cs="Century Gothic"/>
          <w:i/>
          <w:iCs/>
          <w:color w:val="000000" w:themeColor="text1"/>
          <w:sz w:val="20"/>
          <w:szCs w:val="20"/>
        </w:rPr>
        <w:t xml:space="preserve"> Indicar cuáles son los mecanismos concretos que deben implementar las entidades contratantes para verificar la sostenibilidad económica de las ofertas, más allá del análisis formal de precios, especialmente en aquellos casos en los que el componente principal del costo corresponde al talento humano.</w:t>
      </w:r>
    </w:p>
    <w:p w14:paraId="053ED724"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56D03B45"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lastRenderedPageBreak/>
        <w:t>Séptimo.</w:t>
      </w:r>
      <w:r w:rsidRPr="00D21B16">
        <w:rPr>
          <w:rFonts w:ascii="Verdana" w:eastAsia="Century Gothic" w:hAnsi="Verdana" w:cs="Century Gothic"/>
          <w:i/>
          <w:iCs/>
          <w:color w:val="000000" w:themeColor="text1"/>
          <w:sz w:val="20"/>
          <w:szCs w:val="20"/>
        </w:rPr>
        <w:t xml:space="preserve"> Emitir lineamientos o directrices dirigidas a las entidades estatales en los que se establezca que el criterio del menor precio no puede aplicarse de manera aislada en la evaluación de ofertas, cuando ello comprometa la viabilidad jurídica y económica del contrato, particularmente en servicios regulados por normas laborales de orden público.</w:t>
      </w:r>
    </w:p>
    <w:p w14:paraId="0D7EB2F1"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50A3781B"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Octavo.</w:t>
      </w:r>
      <w:r w:rsidRPr="00D21B16">
        <w:rPr>
          <w:rFonts w:ascii="Verdana" w:eastAsia="Century Gothic" w:hAnsi="Verdana" w:cs="Century Gothic"/>
          <w:i/>
          <w:iCs/>
          <w:color w:val="000000" w:themeColor="text1"/>
          <w:sz w:val="20"/>
          <w:szCs w:val="20"/>
        </w:rPr>
        <w:t xml:space="preserve"> Informar si esa Agencia tiene previsto actualizar, complementar o expedir nuevas guías o documentos orientadores en relación con la estructuración de procesos contractuales en servicios intensivos en talento humano, teniendo en cuenta la problemática expuesta.</w:t>
      </w:r>
    </w:p>
    <w:p w14:paraId="2A437243"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78832EA2"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Noveno.</w:t>
      </w:r>
      <w:r w:rsidRPr="00D21B16">
        <w:rPr>
          <w:rFonts w:ascii="Verdana" w:eastAsia="Century Gothic" w:hAnsi="Verdana" w:cs="Century Gothic"/>
          <w:i/>
          <w:iCs/>
          <w:color w:val="000000" w:themeColor="text1"/>
          <w:sz w:val="20"/>
          <w:szCs w:val="20"/>
        </w:rPr>
        <w:t xml:space="preserve"> En caso de considerar que las guías actualmente vigentes ya abordan la problemática descrita, se sirva indicar de manera expresa y concreta los apartes específicos en los que se establecen criterios suficientes para prevenir las situaciones aquí expuestas, explicando su alcance y forma de aplicación en los casos analizados.</w:t>
      </w:r>
    </w:p>
    <w:p w14:paraId="5BA0E2D4"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462AC119"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b/>
          <w:bCs/>
          <w:i/>
          <w:iCs/>
          <w:color w:val="000000" w:themeColor="text1"/>
          <w:sz w:val="20"/>
          <w:szCs w:val="20"/>
        </w:rPr>
        <w:t>Décimo.</w:t>
      </w:r>
      <w:r w:rsidRPr="00D21B16">
        <w:rPr>
          <w:rFonts w:ascii="Verdana" w:eastAsia="Century Gothic" w:hAnsi="Verdana" w:cs="Century Gothic"/>
          <w:i/>
          <w:iCs/>
          <w:color w:val="000000" w:themeColor="text1"/>
          <w:sz w:val="20"/>
          <w:szCs w:val="20"/>
        </w:rPr>
        <w:t xml:space="preserve"> Solicitud de expedición de concepto sobre modelos de verificación (compliance) y garantía de condiciones mínimas laborales en la prestación de los servicios.</w:t>
      </w:r>
    </w:p>
    <w:p w14:paraId="713EAD00"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Se solicita a esa Agencia emitir concepto técnico y jurídico expreso en el que se determine si, en el marco de la contratación estatal para servicios intensivos en talento humano, las entidades públicas están obligadas a implementar, en la etapa precontractual, modelos de verificación y debida diligencia (compliance) que aseguren que el presupuesto oficial y las ofertas económicas:</w:t>
      </w:r>
    </w:p>
    <w:p w14:paraId="0C7FDFCD" w14:textId="77777777" w:rsidR="00194DEE" w:rsidRPr="00D21B16" w:rsidRDefault="00194DEE" w:rsidP="00194DEE">
      <w:pPr>
        <w:spacing w:after="0" w:line="240" w:lineRule="auto"/>
        <w:ind w:left="720"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Garanticen el reconocimiento y pago del salario mínimo legal vigente,</w:t>
      </w:r>
    </w:p>
    <w:p w14:paraId="20B96642" w14:textId="77777777" w:rsidR="00194DEE" w:rsidRPr="00D21B16" w:rsidRDefault="00194DEE" w:rsidP="00194DEE">
      <w:pPr>
        <w:spacing w:after="0" w:line="240" w:lineRule="auto"/>
        <w:ind w:left="720"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Incluyan de manera obligatoria prestaciones sociales, aportes al sistema de seguridad social, recargos legales y demás costos laborales,</w:t>
      </w:r>
    </w:p>
    <w:p w14:paraId="0394C0F4" w14:textId="77777777" w:rsidR="00194DEE" w:rsidRPr="00D21B16" w:rsidRDefault="00194DEE" w:rsidP="00194DEE">
      <w:pPr>
        <w:spacing w:after="0" w:line="240" w:lineRule="auto"/>
        <w:ind w:left="720"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Sean estructuradas sobre bases que permitan la ejecución del contrato en condiciones legales.</w:t>
      </w:r>
    </w:p>
    <w:p w14:paraId="7CBB1559"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En particular, se solicita que el concepto precise:</w:t>
      </w:r>
    </w:p>
    <w:p w14:paraId="302EE6D4"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a) Si la ausencia de modelos de verificación de costos laborales mínimos permite la estructuración de procesos contractuales en los que no se garantiza el salario mínimo legal, configurando una vulneración de normas laborales de orden público.</w:t>
      </w:r>
    </w:p>
    <w:p w14:paraId="125A1149" w14:textId="77777777" w:rsidR="00194DEE" w:rsidRPr="00D21B16"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D21B16">
        <w:rPr>
          <w:rFonts w:ascii="Verdana" w:eastAsia="Century Gothic" w:hAnsi="Verdana" w:cs="Century Gothic"/>
          <w:i/>
          <w:iCs/>
          <w:color w:val="000000" w:themeColor="text1"/>
          <w:sz w:val="20"/>
          <w:szCs w:val="20"/>
        </w:rPr>
        <w:t>b) Si las entidades están obligadas a realizar análisis de sostenibilidad económica de las ofertas, con el fin de verificar que estas cubran efectivamente el salario mínimo y demás costos laborales, y no dependan de su desconocimiento para su ejecución.</w:t>
      </w:r>
    </w:p>
    <w:p w14:paraId="2455CED3"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FD7C3C">
        <w:rPr>
          <w:rFonts w:ascii="Verdana" w:eastAsia="Century Gothic" w:hAnsi="Verdana" w:cs="Century Gothic"/>
          <w:i/>
          <w:iCs/>
          <w:color w:val="000000" w:themeColor="text1"/>
          <w:sz w:val="20"/>
          <w:szCs w:val="20"/>
        </w:rPr>
        <w:t>c) Si deben rechazarse las ofertas que, por su valor, no permitan cubrir el salario mínimo legal vigente, por constituir ofertas artificialmente bajas e inviables jurídicamente.</w:t>
      </w:r>
    </w:p>
    <w:p w14:paraId="0AEC3C10"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FD7C3C">
        <w:rPr>
          <w:rFonts w:ascii="Verdana" w:eastAsia="Century Gothic" w:hAnsi="Verdana" w:cs="Century Gothic"/>
          <w:i/>
          <w:iCs/>
          <w:color w:val="000000" w:themeColor="text1"/>
          <w:sz w:val="20"/>
          <w:szCs w:val="20"/>
        </w:rPr>
        <w:t xml:space="preserve"> d) Si el estudio del sector debe incorporar de manera obligatoria el impacto del salario mínimo y las cargas laborales, y si su omisión genera </w:t>
      </w:r>
      <w:r w:rsidRPr="00FD7C3C">
        <w:rPr>
          <w:rFonts w:ascii="Verdana" w:eastAsia="Century Gothic" w:hAnsi="Verdana" w:cs="Century Gothic"/>
          <w:i/>
          <w:iCs/>
          <w:color w:val="000000" w:themeColor="text1"/>
          <w:sz w:val="20"/>
          <w:szCs w:val="20"/>
        </w:rPr>
        <w:lastRenderedPageBreak/>
        <w:t xml:space="preserve">presupuestos oficiales que no garantizan el cumplimiento de obligaciones laborales. </w:t>
      </w:r>
    </w:p>
    <w:p w14:paraId="23C8E943"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FD7C3C">
        <w:rPr>
          <w:rFonts w:ascii="Verdana" w:eastAsia="Century Gothic" w:hAnsi="Verdana" w:cs="Century Gothic"/>
          <w:i/>
          <w:iCs/>
          <w:color w:val="000000" w:themeColor="text1"/>
          <w:sz w:val="20"/>
          <w:szCs w:val="20"/>
        </w:rPr>
        <w:t>e) Si existe un deber de verificar la coherencia entre el presupuesto y el personal exigido, de manera que no se estructuren procesos en los que, desde su origen, resulte imposible garantizar el pago del salario mínimo.</w:t>
      </w:r>
    </w:p>
    <w:p w14:paraId="6DA972B3" w14:textId="77777777" w:rsidR="00194DEE" w:rsidRPr="00FD7C3C"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p>
    <w:p w14:paraId="18A2222F" w14:textId="77777777" w:rsidR="00194DEE" w:rsidRPr="00104557" w:rsidRDefault="00194DEE" w:rsidP="00194DEE">
      <w:pPr>
        <w:spacing w:after="0" w:line="240" w:lineRule="auto"/>
        <w:ind w:left="709" w:right="709"/>
        <w:jc w:val="both"/>
        <w:rPr>
          <w:rFonts w:ascii="Verdana" w:eastAsia="Century Gothic" w:hAnsi="Verdana" w:cs="Century Gothic"/>
          <w:i/>
          <w:iCs/>
          <w:color w:val="000000" w:themeColor="text1"/>
          <w:sz w:val="20"/>
          <w:szCs w:val="20"/>
        </w:rPr>
      </w:pPr>
      <w:r w:rsidRPr="00FD7C3C">
        <w:rPr>
          <w:rFonts w:ascii="Verdana" w:eastAsia="Century Gothic" w:hAnsi="Verdana" w:cs="Century Gothic"/>
          <w:b/>
          <w:bCs/>
          <w:i/>
          <w:iCs/>
          <w:color w:val="000000" w:themeColor="text1"/>
          <w:sz w:val="20"/>
          <w:szCs w:val="20"/>
        </w:rPr>
        <w:t>Décimo Primero.</w:t>
      </w:r>
      <w:r w:rsidRPr="00FD7C3C">
        <w:rPr>
          <w:rFonts w:ascii="Verdana" w:eastAsia="Century Gothic" w:hAnsi="Verdana" w:cs="Century Gothic"/>
          <w:i/>
          <w:iCs/>
          <w:color w:val="000000" w:themeColor="text1"/>
          <w:sz w:val="20"/>
          <w:szCs w:val="20"/>
        </w:rPr>
        <w:t xml:space="preserve"> Solicitud de expedición de concepto sobre filtros institucionales para garantizar la legalidad económica del proceso contractual</w:t>
      </w:r>
      <w:r>
        <w:rPr>
          <w:rFonts w:ascii="Verdana" w:eastAsia="Century Gothic" w:hAnsi="Verdana" w:cs="Century Gothic"/>
          <w:i/>
          <w:iCs/>
          <w:color w:val="000000" w:themeColor="text1"/>
          <w:sz w:val="20"/>
          <w:szCs w:val="20"/>
          <w:lang w:val="es-MX"/>
        </w:rPr>
        <w:t>“</w:t>
      </w:r>
    </w:p>
    <w:p w14:paraId="1F0620F2" w14:textId="77777777" w:rsidR="00194DEE" w:rsidRDefault="00194DEE" w:rsidP="00194DEE">
      <w:pPr>
        <w:spacing w:after="0" w:line="240" w:lineRule="auto"/>
        <w:ind w:left="709" w:right="709"/>
        <w:jc w:val="both"/>
        <w:rPr>
          <w:rFonts w:ascii="Verdana" w:eastAsia="Century Gothic" w:hAnsi="Verdana" w:cs="Century Gothic"/>
          <w:i/>
          <w:iCs/>
          <w:color w:val="000000" w:themeColor="text1"/>
          <w:sz w:val="20"/>
          <w:szCs w:val="20"/>
          <w:lang w:val="es-ES"/>
        </w:rPr>
      </w:pPr>
    </w:p>
    <w:p w14:paraId="492A9C69" w14:textId="77777777" w:rsidR="00194DEE" w:rsidRDefault="00194DEE" w:rsidP="00194DEE">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2BF4057" w14:textId="77777777" w:rsidR="00194DEE" w:rsidRPr="00115E3D" w:rsidRDefault="00194DEE" w:rsidP="00194DEE">
      <w:pPr>
        <w:spacing w:after="0" w:line="240" w:lineRule="auto"/>
        <w:ind w:right="49"/>
        <w:jc w:val="both"/>
        <w:rPr>
          <w:rFonts w:ascii="Verdana" w:eastAsia="Calibri" w:hAnsi="Verdana" w:cs="Arial"/>
          <w:color w:val="000000" w:themeColor="text1"/>
          <w:szCs w:val="24"/>
          <w:lang w:val="es-ES_tradnl" w:eastAsia="es-ES_tradnl"/>
        </w:rPr>
      </w:pPr>
    </w:p>
    <w:p w14:paraId="7E13F50F" w14:textId="77777777" w:rsidR="00194DEE" w:rsidRPr="00115E3D" w:rsidRDefault="00194DEE" w:rsidP="00194DEE">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5EAD4E24" w14:textId="77777777" w:rsidR="00194DEE" w:rsidRPr="00115E3D" w:rsidRDefault="00194DEE" w:rsidP="00194DEE">
      <w:pPr>
        <w:spacing w:after="0" w:line="276" w:lineRule="auto"/>
        <w:ind w:firstLine="709"/>
        <w:jc w:val="both"/>
        <w:rPr>
          <w:rFonts w:ascii="Verdana" w:eastAsia="Calibri" w:hAnsi="Verdana" w:cs="Arial"/>
          <w:color w:val="000000" w:themeColor="text1"/>
          <w:lang w:val="es-ES" w:eastAsia="es-ES"/>
        </w:rPr>
      </w:pPr>
    </w:p>
    <w:p w14:paraId="399B9811" w14:textId="77777777" w:rsidR="00194DEE" w:rsidRPr="00115E3D" w:rsidRDefault="00194DEE" w:rsidP="00194DE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2125879D" w14:textId="77777777" w:rsidR="00194DEE" w:rsidRPr="00115E3D" w:rsidRDefault="00194DEE" w:rsidP="00194DEE">
      <w:pPr>
        <w:tabs>
          <w:tab w:val="left" w:pos="426"/>
        </w:tabs>
        <w:spacing w:after="0" w:line="276" w:lineRule="auto"/>
        <w:jc w:val="both"/>
        <w:rPr>
          <w:rFonts w:ascii="Verdana" w:eastAsia="Century Gothic" w:hAnsi="Verdana" w:cs="Century Gothic"/>
          <w:color w:val="000000" w:themeColor="text1"/>
          <w:lang w:val="es-ES"/>
        </w:rPr>
      </w:pPr>
    </w:p>
    <w:p w14:paraId="37D057CB" w14:textId="77777777" w:rsidR="00194DEE" w:rsidRDefault="00194DEE" w:rsidP="00194DEE">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4B1A01">
        <w:rPr>
          <w:rFonts w:ascii="Verdana" w:hAnsi="Verdana"/>
        </w:rPr>
        <w:t>¿Cuál es el alcance del deber de las entidades estatales para verificar la sostenibilidad económica de las ofertas y bajo qué criterios objetivos deben rechazarse aquellas que, por ser "artificialmente bajas", comprometan el cumplimiento de obligaciones laborales mínimas?</w:t>
      </w:r>
    </w:p>
    <w:p w14:paraId="4EC4E4B5" w14:textId="77777777" w:rsidR="00194DEE" w:rsidRPr="004B1A01" w:rsidRDefault="00194DEE" w:rsidP="00194DEE">
      <w:pPr>
        <w:spacing w:after="0" w:line="276" w:lineRule="auto"/>
        <w:jc w:val="both"/>
      </w:pPr>
    </w:p>
    <w:p w14:paraId="7286C50C" w14:textId="77777777" w:rsidR="00194DEE" w:rsidRPr="00115E3D" w:rsidRDefault="00194DEE" w:rsidP="00194D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74260A2" w14:textId="77777777" w:rsidR="00194DEE" w:rsidRPr="00115E3D" w:rsidRDefault="00194DEE" w:rsidP="00194DE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4DEE" w:rsidRPr="00115E3D" w14:paraId="53A77A8C" w14:textId="77777777" w:rsidTr="00617CE6">
        <w:trPr>
          <w:trHeight w:val="774"/>
        </w:trPr>
        <w:tc>
          <w:tcPr>
            <w:tcW w:w="8828" w:type="dxa"/>
          </w:tcPr>
          <w:p w14:paraId="088209B0" w14:textId="77777777" w:rsidR="00194DEE" w:rsidRDefault="00194DEE" w:rsidP="00617CE6">
            <w:pPr>
              <w:spacing w:before="120" w:after="120" w:line="276" w:lineRule="auto"/>
              <w:jc w:val="both"/>
              <w:rPr>
                <w:rFonts w:ascii="Verdana" w:eastAsia="Calibri" w:hAnsi="Verdana"/>
              </w:rPr>
            </w:pPr>
            <w:r>
              <w:rPr>
                <w:rFonts w:ascii="Verdana" w:eastAsia="Calibri" w:hAnsi="Verdana" w:cs="Times New Roman"/>
              </w:rPr>
              <w:t xml:space="preserve">        </w:t>
            </w:r>
            <w:r w:rsidRPr="00B643B2">
              <w:rPr>
                <w:rFonts w:ascii="Verdana" w:eastAsia="Calibri" w:hAnsi="Verdana"/>
              </w:rPr>
              <w:t>De manera preliminar es pertinente indicar que, en desarrollo del principio de selección objetiva previsto en el artículo 5 de la Ley 1150 de 2007, las entidades estatales tienen el deber de seleccionar la oferta más favorable a sus necesidades, comparando lo ofrecido con los precios de mercado y demás estudios que realice la entidad.</w:t>
            </w:r>
          </w:p>
          <w:p w14:paraId="7FBA4873"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Por su parte, el concepto de precio artificialmente bajo debe examinarse desde la perspectiva de lo que conviene a las entidades estatales como parte compradora de bienes y servicios, en su interacción con el mercado, debiendo hacer las verificaciones que procedan de acuerdo con lo establecido en el artículo 2.2.1.1.2.2.4 del Decreto 1082 de 2015, lo que implica partir de un análisis del sector económico serio y real de cara al mercado estudiado.</w:t>
            </w:r>
          </w:p>
          <w:p w14:paraId="287A67BA"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De esta manera y en atención a lo anteriormente indicado, cuando el precio de una oferta parece artificialmente bajo, la entidad debe: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7AEA1F76"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Sin embargo, debe precisarse que el análisis de los precios de una oferta se hace en la fase de evaluación del procedimiento de selección, que es la oportunidad para verificar, a través del comité evaluador, si se cumplen o no las reglas de los pliegos de condiciones. 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se pretende contratar. En ese caso, la entidad podrá identificar las ofertas con precios que parecen artificialmente bajos y seguir el procedimiento del Decreto 1082 de 2015.</w:t>
            </w:r>
          </w:p>
          <w:p w14:paraId="02C5EA5B"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 xml:space="preserve">Ahora bien, </w:t>
            </w:r>
            <w:r>
              <w:rPr>
                <w:rFonts w:ascii="Verdana" w:eastAsia="Calibri" w:hAnsi="Verdana"/>
              </w:rPr>
              <w:t>en atención al problema jurídico planteado</w:t>
            </w:r>
            <w:r w:rsidRPr="00B643B2">
              <w:rPr>
                <w:rFonts w:ascii="Verdana" w:eastAsia="Calibri" w:hAnsi="Verdana"/>
              </w:rPr>
              <w:t xml:space="preserve">, el análisis de sostenibilidad económica de la oferta debe considerar que el valor ofertado permita cubrir razonablemente las obligaciones laborales mínimas derivadas del ordenamiento jurídico, tales como salario mínimo legal vigente, </w:t>
            </w:r>
            <w:r w:rsidRPr="00B643B2">
              <w:rPr>
                <w:rFonts w:ascii="Verdana" w:eastAsia="Calibri" w:hAnsi="Verdana"/>
              </w:rPr>
              <w:lastRenderedPageBreak/>
              <w:t>prestaciones sociales, aportes al sistema de seguridad social, recargos y demás cargas laborales aplicables. Lo anterior, por cuanto las normas laborales tienen carácter de orden público y constituyen costos inherentes a la adecuada ejecución del contrato.</w:t>
            </w:r>
          </w:p>
          <w:p w14:paraId="7DBC5B87"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En este sentido, la “Guía para el manejo de ofertas artificialmente bajas en Procesos de Contratación”, en el numeral 2 denominado “¿Cómo pueden identificarse ofertas artificialmente bajas?”, prevé como mecanismos de identificación los métodos de comparación y la información histórica de ofertas y contratos con relación al objeto del proceso de contratación. En consecuencia, la entidad estatal puede acudir al análisis comparativo de precios de mercado, al comportamiento histórico del sector y a la información derivada de procesos anteriores para determinar si una oferta presenta componentes atípicos o insuficientes frente a los costos normales de ejecución.</w:t>
            </w:r>
          </w:p>
          <w:p w14:paraId="3E104C45"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En ese sentido, el numeral 2 del guía referido a los “métodos de comparación” y a la “información histórica de ofertas y contratos” debe interpretarse sistemáticamente con el deber de planeación y con la obligación de verificar la viabilidad económica de las ofertas, especialmente cuando el objeto contractual involucra costos laborales relevantes y regulados por normas de orden público.</w:t>
            </w:r>
          </w:p>
          <w:p w14:paraId="124AD826"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De esta manera, la entidad estatal debe calcular el valor mínimo aceptable considerando únicamente las ofertas habilitadas, es decir, aquellas que cumplen con los requisitos establecidos en el pliego de condiciones y no se encuentran incursas en causales de rechazo o inhabilidad, por lo que se recomienda consultar la “Guía para el manejo de ofertas artificialmente bajas en procesos de contratación”, disponible en:</w:t>
            </w:r>
            <w:r>
              <w:rPr>
                <w:rFonts w:ascii="Verdana" w:eastAsia="Calibri" w:hAnsi="Verdana"/>
              </w:rPr>
              <w:t xml:space="preserve"> </w:t>
            </w:r>
            <w:hyperlink r:id="rId11" w:history="1">
              <w:r w:rsidRPr="00020742">
                <w:rPr>
                  <w:rStyle w:val="Hipervnculo"/>
                  <w:rFonts w:ascii="Verdana" w:hAnsi="Verdana"/>
                </w:rPr>
                <w:t xml:space="preserve">//www.colombiacompra.gov.co/wp-content/uploads/2025/04/guia_para_el_ manejo_de_ofertas_artifialmente_bajas.pdf     </w:t>
              </w:r>
            </w:hyperlink>
            <w:r>
              <w:rPr>
                <w:rFonts w:ascii="Verdana" w:hAnsi="Verdana"/>
              </w:rPr>
              <w:t xml:space="preserve"> </w:t>
            </w:r>
          </w:p>
          <w:p w14:paraId="5C52DE8E" w14:textId="77777777" w:rsidR="00194DEE" w:rsidRPr="00B643B2" w:rsidRDefault="00194DEE" w:rsidP="00617CE6">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 xml:space="preserve">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w:t>
            </w:r>
            <w:r w:rsidRPr="00B643B2">
              <w:rPr>
                <w:rFonts w:ascii="Verdana" w:eastAsia="Calibri" w:hAnsi="Verdana"/>
              </w:rPr>
              <w:lastRenderedPageBreak/>
              <w:t>corresponderá a los interesados adoptar la decisión y, en caso de conflicto, a las autoridades judiciales, fiscales y disciplinarias.</w:t>
            </w:r>
          </w:p>
          <w:p w14:paraId="7230C2A0" w14:textId="77777777" w:rsidR="00194DEE" w:rsidRPr="0029110A" w:rsidRDefault="00194DEE" w:rsidP="00617CE6">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194DEE" w:rsidRPr="00115E3D" w14:paraId="54B6FB7E" w14:textId="77777777" w:rsidTr="00617CE6">
        <w:trPr>
          <w:trHeight w:val="162"/>
        </w:trPr>
        <w:tc>
          <w:tcPr>
            <w:tcW w:w="8828" w:type="dxa"/>
          </w:tcPr>
          <w:p w14:paraId="5B15219A" w14:textId="77777777" w:rsidR="00194DEE" w:rsidRDefault="00194DEE" w:rsidP="00617CE6">
            <w:pPr>
              <w:spacing w:line="276" w:lineRule="auto"/>
              <w:jc w:val="both"/>
              <w:rPr>
                <w:rFonts w:ascii="Verdana" w:eastAsia="Calibri" w:hAnsi="Verdana" w:cs="Arial"/>
              </w:rPr>
            </w:pPr>
          </w:p>
        </w:tc>
      </w:tr>
    </w:tbl>
    <w:p w14:paraId="0ADAF5DB" w14:textId="77777777" w:rsidR="00194DEE" w:rsidRDefault="00194DEE" w:rsidP="00194DEE">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D168750" w14:textId="77777777" w:rsidR="00194DEE" w:rsidRDefault="00194DEE" w:rsidP="00194D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3451B6BE" w14:textId="77777777" w:rsidR="00194DEE" w:rsidRPr="00115E3D" w:rsidRDefault="00194DEE" w:rsidP="00194DEE">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3DDC7715" w14:textId="77777777" w:rsidR="00194DEE" w:rsidRPr="0048565C" w:rsidRDefault="00194DEE" w:rsidP="00194DEE">
      <w:pPr>
        <w:spacing w:after="0" w:line="276" w:lineRule="auto"/>
        <w:jc w:val="both"/>
        <w:rPr>
          <w:rFonts w:ascii="Verdana" w:eastAsia="Calibri" w:hAnsi="Verdana" w:cs="Arial"/>
          <w:lang w:val="es-ES"/>
        </w:rPr>
      </w:pPr>
      <w:r w:rsidRPr="0048565C">
        <w:rPr>
          <w:rFonts w:ascii="Verdana" w:eastAsia="Calibri" w:hAnsi="Verdana" w:cs="Arial"/>
          <w:lang w:val="es-ES"/>
        </w:rPr>
        <w:t>Lo anterior se sustenta en las siguientes consideraciones:</w:t>
      </w:r>
    </w:p>
    <w:p w14:paraId="4DD13539" w14:textId="77777777" w:rsidR="00194DEE" w:rsidRPr="0048565C" w:rsidRDefault="00194DEE" w:rsidP="00194DEE">
      <w:pPr>
        <w:spacing w:after="0" w:line="276" w:lineRule="auto"/>
        <w:jc w:val="both"/>
        <w:rPr>
          <w:rFonts w:ascii="Verdana" w:eastAsia="Calibri" w:hAnsi="Verdana" w:cs="Arial"/>
          <w:lang w:val="es-ES"/>
        </w:rPr>
      </w:pPr>
    </w:p>
    <w:p w14:paraId="6DF3A851" w14:textId="77777777" w:rsidR="00194DEE" w:rsidRPr="0048565C" w:rsidRDefault="00194DEE" w:rsidP="00194DEE">
      <w:pPr>
        <w:tabs>
          <w:tab w:val="left" w:pos="0"/>
        </w:tabs>
        <w:spacing w:after="0" w:line="276" w:lineRule="auto"/>
        <w:jc w:val="both"/>
        <w:rPr>
          <w:rFonts w:ascii="Verdana" w:hAnsi="Verdana" w:cs="Arial"/>
          <w:color w:val="000000" w:themeColor="text1"/>
        </w:rPr>
      </w:pPr>
      <w:r>
        <w:rPr>
          <w:rFonts w:ascii="Verdana" w:hAnsi="Verdana" w:cs="Arial"/>
          <w:color w:val="000000" w:themeColor="text1"/>
        </w:rPr>
        <w:t>De manera preliminar es pertinente indicar que</w:t>
      </w:r>
      <w:r w:rsidRPr="0048565C">
        <w:rPr>
          <w:rFonts w:ascii="Verdana" w:hAnsi="Verdana" w:cs="Arial"/>
          <w:color w:val="000000" w:themeColor="text1"/>
        </w:rPr>
        <w:t xml:space="preserve"> artículo 26.6 de la Ley 80 de 1993, </w:t>
      </w:r>
      <w:r>
        <w:rPr>
          <w:rFonts w:ascii="Verdana" w:hAnsi="Verdana" w:cs="Arial"/>
          <w:color w:val="000000" w:themeColor="text1"/>
        </w:rPr>
        <w:t xml:space="preserve">establece que </w:t>
      </w:r>
      <w:r w:rsidRPr="0048565C">
        <w:rPr>
          <w:rFonts w:ascii="Verdana" w:hAnsi="Verdana" w:cs="Arial"/>
          <w:color w:val="000000" w:themeColor="text1"/>
        </w:rPr>
        <w:t>los contratistas responderán cuando presenten ofertas que resulten artificialmente bajas con el propósito de obtener la adjudicación del contrato.</w:t>
      </w:r>
      <w:r w:rsidRPr="0048565C">
        <w:rPr>
          <w:rFonts w:ascii="Verdana" w:hAnsi="Verdana" w:cs="Arial"/>
          <w:color w:val="000000" w:themeColor="text1"/>
          <w:lang w:val="es-ES"/>
        </w:rPr>
        <w:t xml:space="preserve"> El precio artificialmente bajo es definido como aquel que, además de ser muy reducido, no encuentra fundamento en el tráfico comercial. En este sentido, la entidad estaría imposibilitada para aceptar la propuesta artificialmente baja, so pena de la infracción de los principios de la contratación pública</w:t>
      </w:r>
      <w:r w:rsidRPr="0048565C">
        <w:rPr>
          <w:rFonts w:ascii="Verdana" w:hAnsi="Verdana" w:cs="Arial"/>
          <w:color w:val="000000" w:themeColor="text1"/>
        </w:rPr>
        <w:t>. Así lo señaló el Consejo de Estado en sentencia del 4 de junio de 2008, en los siguientes términos:</w:t>
      </w:r>
    </w:p>
    <w:p w14:paraId="378D18BF" w14:textId="77777777" w:rsidR="00194DEE" w:rsidRPr="0048565C" w:rsidRDefault="00194DEE" w:rsidP="00194DEE">
      <w:pPr>
        <w:spacing w:after="0" w:line="276" w:lineRule="auto"/>
        <w:jc w:val="both"/>
        <w:rPr>
          <w:rFonts w:ascii="Verdana" w:hAnsi="Verdana" w:cs="Arial"/>
          <w:color w:val="000000" w:themeColor="text1"/>
        </w:rPr>
      </w:pPr>
    </w:p>
    <w:p w14:paraId="3AFB31D3" w14:textId="77777777" w:rsidR="00194DEE" w:rsidRPr="0048565C" w:rsidRDefault="00194DEE" w:rsidP="00194DEE">
      <w:pPr>
        <w:spacing w:after="0" w:line="240" w:lineRule="auto"/>
        <w:ind w:left="708" w:right="709"/>
        <w:jc w:val="both"/>
        <w:rPr>
          <w:rFonts w:ascii="Verdana" w:hAnsi="Verdana" w:cs="Arial"/>
          <w:color w:val="000000" w:themeColor="text1"/>
          <w:sz w:val="21"/>
          <w:szCs w:val="21"/>
        </w:rPr>
      </w:pPr>
      <w:r w:rsidRPr="0048565C">
        <w:rPr>
          <w:rFonts w:ascii="Verdana" w:hAnsi="Verdana" w:cs="Arial"/>
          <w:color w:val="000000" w:themeColor="text1"/>
          <w:sz w:val="21"/>
          <w:szCs w:val="21"/>
        </w:rPr>
        <w:t xml:space="preserve">“El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w:t>
      </w:r>
      <w:r w:rsidRPr="0048565C">
        <w:rPr>
          <w:rFonts w:ascii="Verdana" w:hAnsi="Verdana" w:cs="Arial"/>
          <w:color w:val="000000" w:themeColor="text1"/>
          <w:sz w:val="21"/>
          <w:szCs w:val="21"/>
        </w:rPr>
        <w:lastRenderedPageBreak/>
        <w:t>transparencia, equilibrio e imparcialidad que gobiernan la actividad contractual y como parte de ella, el procedimiento de la licitación […]”</w:t>
      </w:r>
      <w:r w:rsidRPr="0048565C">
        <w:rPr>
          <w:rStyle w:val="Refdenotaalpie"/>
          <w:rFonts w:ascii="Verdana" w:hAnsi="Verdana" w:cs="Arial"/>
          <w:color w:val="000000" w:themeColor="text1"/>
        </w:rPr>
        <w:footnoteReference w:id="1"/>
      </w:r>
      <w:r w:rsidRPr="0048565C">
        <w:rPr>
          <w:rFonts w:ascii="Verdana" w:hAnsi="Verdana" w:cs="Arial"/>
          <w:color w:val="000000" w:themeColor="text1"/>
          <w:sz w:val="21"/>
          <w:szCs w:val="21"/>
        </w:rPr>
        <w:t>.</w:t>
      </w:r>
    </w:p>
    <w:p w14:paraId="51B34EB5" w14:textId="77777777" w:rsidR="00194DEE" w:rsidRDefault="00194DEE" w:rsidP="00194DEE">
      <w:pPr>
        <w:spacing w:line="276" w:lineRule="auto"/>
        <w:ind w:firstLine="709"/>
        <w:jc w:val="both"/>
        <w:rPr>
          <w:rFonts w:ascii="Verdana" w:hAnsi="Verdana" w:cs="Arial"/>
          <w:color w:val="000000" w:themeColor="text1"/>
        </w:rPr>
      </w:pPr>
    </w:p>
    <w:p w14:paraId="66DF5489" w14:textId="77777777" w:rsidR="00194DEE" w:rsidRPr="0048565C" w:rsidRDefault="00194DEE" w:rsidP="00194DEE">
      <w:pPr>
        <w:spacing w:line="276" w:lineRule="auto"/>
        <w:ind w:firstLine="709"/>
        <w:jc w:val="both"/>
        <w:rPr>
          <w:rFonts w:ascii="Verdana" w:hAnsi="Verdana" w:cs="Arial"/>
          <w:color w:val="000000" w:themeColor="text1"/>
        </w:rPr>
      </w:pPr>
      <w:r w:rsidRPr="0048565C">
        <w:rPr>
          <w:rFonts w:ascii="Verdana" w:hAnsi="Verdana" w:cs="Arial"/>
          <w:color w:val="000000" w:themeColor="text1"/>
        </w:rPr>
        <w:t>Por su parte, la “Guía para el manejo de ofertas artificialmente bajas en Procesos de Contratación”</w:t>
      </w:r>
      <w:r w:rsidRPr="0048565C">
        <w:rPr>
          <w:rStyle w:val="Refdenotaalpie"/>
          <w:rFonts w:ascii="Verdana" w:hAnsi="Verdana" w:cs="Arial"/>
          <w:color w:val="000000" w:themeColor="text1"/>
        </w:rPr>
        <w:footnoteReference w:id="2"/>
      </w:r>
      <w:r w:rsidRPr="0048565C">
        <w:rPr>
          <w:rFonts w:ascii="Verdana" w:hAnsi="Verdana" w:cs="Arial"/>
          <w:color w:val="000000" w:themeColor="text1"/>
        </w:rPr>
        <w:t>, establece que una oferta es artificialmente baja cuando, “a criterio de la Entidad Estatal, el precio ofertado no parece suficiente para garantizar la correcta ejecución del contrato. Esto, de acuerdo con la información recogida durante la etapa de planeación y particularmente durante el Estudio del Sector”. En este punto, es importante diferenciar las “ofertas artificialmente bajas” y las “ofertas competitivas”, entendiendo por estas últimas aquellas “que tienen en su estructura de costos economías de escala o de alcance, que permiten generar un bien o un servicio a menor costo que el resto de proveedores en el mercado”, según lo establece la guía antes mencionada.</w:t>
      </w:r>
    </w:p>
    <w:p w14:paraId="20BB035B" w14:textId="77777777" w:rsidR="00194DEE" w:rsidRPr="0048565C" w:rsidRDefault="00194DEE" w:rsidP="00194DEE">
      <w:pPr>
        <w:spacing w:before="120" w:after="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De otro lado, el artículo 2.2.1.1.2.2.4 del Decreto 1082 de 2015 regula el procedimiento a seguir en los eventos en que se presenten propuestas con valor artificialmente bajo: </w:t>
      </w:r>
    </w:p>
    <w:p w14:paraId="417C9000" w14:textId="77777777" w:rsidR="00194DEE" w:rsidRPr="0048565C" w:rsidRDefault="00194DEE" w:rsidP="00194DEE">
      <w:pPr>
        <w:spacing w:after="0" w:line="276" w:lineRule="auto"/>
        <w:ind w:firstLine="709"/>
        <w:jc w:val="both"/>
        <w:rPr>
          <w:rFonts w:ascii="Verdana" w:hAnsi="Verdana" w:cs="Arial"/>
          <w:color w:val="000000" w:themeColor="text1"/>
        </w:rPr>
      </w:pPr>
    </w:p>
    <w:p w14:paraId="62AD36F3" w14:textId="77777777" w:rsidR="00194DEE" w:rsidRPr="0048565C" w:rsidRDefault="00194DEE" w:rsidP="00194DEE">
      <w:pPr>
        <w:tabs>
          <w:tab w:val="left" w:pos="7230"/>
          <w:tab w:val="left" w:pos="7797"/>
          <w:tab w:val="left" w:pos="8080"/>
        </w:tabs>
        <w:spacing w:after="120" w:line="240" w:lineRule="auto"/>
        <w:ind w:left="709" w:right="709"/>
        <w:jc w:val="both"/>
        <w:rPr>
          <w:rFonts w:ascii="Verdana" w:hAnsi="Verdana" w:cs="Arial"/>
          <w:color w:val="000000" w:themeColor="text1"/>
          <w:sz w:val="21"/>
          <w:szCs w:val="21"/>
        </w:rPr>
      </w:pPr>
      <w:r w:rsidRPr="0048565C">
        <w:rPr>
          <w:rFonts w:ascii="Verdana" w:hAnsi="Verdana" w:cs="Arial"/>
          <w:color w:val="000000" w:themeColor="text1"/>
          <w:sz w:val="21"/>
          <w:szCs w:val="21"/>
        </w:rPr>
        <w:t xml:space="preserve">“Si de acuerdo con la información obtenida por la Entidad Estatal en su deber de análisis de que trata el artículo 2.2.1.1.1.6.1 del presente decreto, el valor de una oferta parece artificialmente bajo, la Entidad Estatal debe requerir al oferente para que explique las razones que </w:t>
      </w:r>
      <w:r w:rsidRPr="0048565C">
        <w:rPr>
          <w:rFonts w:ascii="Verdana" w:hAnsi="Verdana" w:cs="Arial"/>
          <w:color w:val="000000" w:themeColor="text1"/>
          <w:sz w:val="21"/>
          <w:szCs w:val="21"/>
        </w:rPr>
        <w:lastRenderedPageBreak/>
        <w:t>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2A21F826" w14:textId="77777777" w:rsidR="00194DEE" w:rsidRPr="0048565C" w:rsidRDefault="00194DEE" w:rsidP="00194DEE">
      <w:pPr>
        <w:tabs>
          <w:tab w:val="left" w:pos="7230"/>
          <w:tab w:val="left" w:pos="7797"/>
          <w:tab w:val="left" w:pos="8080"/>
        </w:tabs>
        <w:spacing w:after="120" w:line="240" w:lineRule="auto"/>
        <w:ind w:left="709" w:right="709"/>
        <w:jc w:val="both"/>
        <w:rPr>
          <w:rFonts w:ascii="Verdana" w:hAnsi="Verdana" w:cs="Arial"/>
          <w:color w:val="000000" w:themeColor="text1"/>
          <w:sz w:val="21"/>
          <w:szCs w:val="21"/>
        </w:rPr>
      </w:pPr>
      <w:r w:rsidRPr="0048565C">
        <w:rPr>
          <w:rFonts w:ascii="Verdana" w:hAnsi="Verdana" w:cs="Arial"/>
          <w:color w:val="000000" w:themeColor="text1"/>
          <w:sz w:val="21"/>
          <w:szCs w:val="21"/>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7439848C" w14:textId="77777777" w:rsidR="00194DEE" w:rsidRPr="0048565C" w:rsidRDefault="00194DEE" w:rsidP="00194DEE">
      <w:pPr>
        <w:tabs>
          <w:tab w:val="left" w:pos="7230"/>
          <w:tab w:val="left" w:pos="7797"/>
          <w:tab w:val="left" w:pos="8080"/>
        </w:tabs>
        <w:spacing w:after="0" w:line="240" w:lineRule="auto"/>
        <w:ind w:left="709" w:right="709"/>
        <w:jc w:val="both"/>
        <w:rPr>
          <w:rFonts w:ascii="Verdana" w:hAnsi="Verdana" w:cs="Arial"/>
          <w:color w:val="000000" w:themeColor="text1"/>
          <w:sz w:val="21"/>
          <w:szCs w:val="21"/>
        </w:rPr>
      </w:pPr>
      <w:r w:rsidRPr="0048565C">
        <w:rPr>
          <w:rFonts w:ascii="Verdana" w:hAnsi="Verdana" w:cs="Arial"/>
          <w:color w:val="000000" w:themeColor="text1"/>
          <w:sz w:val="21"/>
          <w:szCs w:val="21"/>
        </w:rPr>
        <w:t>En la subasta inversa esta disposición es aplicable sobre el precio obtenido al final de la misma”.</w:t>
      </w:r>
    </w:p>
    <w:p w14:paraId="5D9ED848" w14:textId="77777777" w:rsidR="00194DEE" w:rsidRPr="0048565C" w:rsidRDefault="00194DEE" w:rsidP="00194DEE">
      <w:pPr>
        <w:spacing w:after="0" w:line="276" w:lineRule="auto"/>
        <w:ind w:left="709" w:right="709"/>
        <w:jc w:val="both"/>
        <w:rPr>
          <w:rFonts w:ascii="Verdana" w:hAnsi="Verdana" w:cs="Arial"/>
          <w:color w:val="000000" w:themeColor="text1"/>
        </w:rPr>
      </w:pPr>
    </w:p>
    <w:p w14:paraId="31DC31E0" w14:textId="77777777" w:rsidR="00194DEE" w:rsidRPr="0048565C" w:rsidRDefault="00194DEE" w:rsidP="00194DEE">
      <w:pPr>
        <w:spacing w:after="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De lo expuesto se desprende que, ante una propuesta artificialmente baja, la entidad estatal está obligada a: i) requerir al oferente para que explique las razones que sustentan el valor ofrecido; ii) analizar las explicaciones; y iii) con base en lo anterior, rechazar la oferta o continuar con su análisis en la fase de evaluación. Así, la entidad deberá, inicialmente, determinar si la propuesta es considerada artificialmente baja, de acuerdo con la información del análisis del sector y, posteriormente, agotar el procedimiento indicado. </w:t>
      </w:r>
    </w:p>
    <w:p w14:paraId="6772318B" w14:textId="77777777" w:rsidR="00194DEE" w:rsidRPr="0048565C" w:rsidRDefault="00194DEE" w:rsidP="00194DEE">
      <w:pPr>
        <w:spacing w:before="120"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Por su parte, la “Guía para el manejo de ofertas artificialmente bajas en Procesos de Contratación” recomienda a las entidades estatales tener en cuenta la siguiente información para determinar si una oferta es artificialmente baja: i) promedio del valor de las ofertas, ii) mediana del valor las ofertas, iii) desviación estándar del valor de las ofertas, iv)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vii) la información histórica de ofertas y contratos del objeto del proceso de contratación. </w:t>
      </w:r>
    </w:p>
    <w:p w14:paraId="22E3932A" w14:textId="77777777" w:rsidR="00194DEE" w:rsidRPr="0048565C" w:rsidRDefault="00194DEE" w:rsidP="00194DEE">
      <w:pPr>
        <w:spacing w:before="120"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Con estos datos, la entidad puede emplear herramientas para identificar ofertas que pueden ser artíficamente bajas, tales como la comparación absoluta o la comparación relativa. La </w:t>
      </w:r>
      <w:r w:rsidRPr="0048565C">
        <w:rPr>
          <w:rFonts w:ascii="Verdana" w:hAnsi="Verdana" w:cs="Arial"/>
          <w:i/>
          <w:iCs/>
          <w:color w:val="000000" w:themeColor="text1"/>
        </w:rPr>
        <w:t>comparación absoluta</w:t>
      </w:r>
      <w:r w:rsidRPr="0048565C">
        <w:rPr>
          <w:rFonts w:ascii="Verdana" w:hAnsi="Verdana" w:cs="Arial"/>
          <w:color w:val="000000" w:themeColor="text1"/>
        </w:rPr>
        <w:t xml:space="preserve">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w:t>
      </w:r>
      <w:r w:rsidRPr="0048565C">
        <w:rPr>
          <w:rFonts w:ascii="Verdana" w:hAnsi="Verdana" w:cs="Arial"/>
          <w:i/>
          <w:iCs/>
          <w:color w:val="000000" w:themeColor="text1"/>
        </w:rPr>
        <w:t>comparación relativa</w:t>
      </w:r>
      <w:r w:rsidRPr="0048565C">
        <w:rPr>
          <w:rFonts w:ascii="Verdana" w:hAnsi="Verdana" w:cs="Arial"/>
          <w:color w:val="000000" w:themeColor="text1"/>
        </w:rPr>
        <w:t xml:space="preserve"> consiste en que la entidad contrasta la información que </w:t>
      </w:r>
      <w:r w:rsidRPr="0048565C">
        <w:rPr>
          <w:rFonts w:ascii="Verdana" w:hAnsi="Verdana" w:cs="Arial"/>
          <w:color w:val="000000" w:themeColor="text1"/>
        </w:rPr>
        <w:lastRenderedPageBreak/>
        <w:t xml:space="preserve">obtiene a partir del universo de ofertas que presentan los proponentes en el proceso de selección. </w:t>
      </w:r>
    </w:p>
    <w:p w14:paraId="0F917ACB" w14:textId="77777777" w:rsidR="00194DEE" w:rsidRPr="0048565C" w:rsidRDefault="00194DEE" w:rsidP="00194DEE">
      <w:pPr>
        <w:spacing w:before="120" w:after="0" w:line="276" w:lineRule="auto"/>
        <w:ind w:firstLine="708"/>
        <w:jc w:val="both"/>
        <w:rPr>
          <w:rFonts w:ascii="Verdana" w:hAnsi="Verdana" w:cs="Arial"/>
          <w:color w:val="000000" w:themeColor="text1"/>
        </w:rPr>
      </w:pPr>
      <w:r w:rsidRPr="0048565C">
        <w:rPr>
          <w:rFonts w:ascii="Verdana" w:hAnsi="Verdana" w:cs="Arial"/>
          <w:color w:val="000000"/>
          <w:shd w:val="clear" w:color="auto" w:fill="FFFFFF"/>
        </w:rPr>
        <w:t>Colombia Compra Eficiente ha sugerido a las entidades aplicar la siguiente metodología para identificar ofertas con “precios artificialmente bajos”, en aquellos procesos en los que hay cinco (5) o más ofertas</w:t>
      </w:r>
      <w:r w:rsidRPr="0048565C">
        <w:rPr>
          <w:rFonts w:ascii="Verdana" w:hAnsi="Verdana" w:cs="Arial"/>
          <w:color w:val="000000" w:themeColor="text1"/>
        </w:rPr>
        <w:t>:</w:t>
      </w:r>
    </w:p>
    <w:p w14:paraId="5B206AA0" w14:textId="77777777" w:rsidR="00194DEE" w:rsidRPr="0048565C" w:rsidRDefault="00194DEE" w:rsidP="00194DEE">
      <w:pPr>
        <w:spacing w:after="0" w:line="276" w:lineRule="auto"/>
        <w:jc w:val="both"/>
        <w:rPr>
          <w:rFonts w:ascii="Verdana" w:hAnsi="Verdana" w:cs="Arial"/>
          <w:color w:val="000000" w:themeColor="text1"/>
        </w:rPr>
      </w:pPr>
    </w:p>
    <w:p w14:paraId="05A774C3" w14:textId="77777777" w:rsidR="00194DEE" w:rsidRPr="0048565C" w:rsidRDefault="00194DEE" w:rsidP="00194DEE">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 xml:space="preserve">1. Primero deberá tomar el conjunto de ofertas a evaluar. </w:t>
      </w:r>
    </w:p>
    <w:p w14:paraId="04372141" w14:textId="77777777" w:rsidR="00194DEE" w:rsidRPr="0048565C" w:rsidRDefault="00194DEE" w:rsidP="00194DEE">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2. Calcular la mediana, dependiendo de la dispersión de los datos el promedio del valor de cada oferta o de cada ítem dentro de la oferta.</w:t>
      </w:r>
    </w:p>
    <w:p w14:paraId="520367DF" w14:textId="77777777" w:rsidR="00194DEE" w:rsidRPr="0048565C" w:rsidRDefault="00194DEE" w:rsidP="00194DEE">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 xml:space="preserve">3. Calcular la desviación estándar del conjunto. </w:t>
      </w:r>
    </w:p>
    <w:p w14:paraId="67B4A4C2" w14:textId="77777777" w:rsidR="00194DEE" w:rsidRPr="0048565C" w:rsidRDefault="00194DEE" w:rsidP="00194DEE">
      <w:pPr>
        <w:spacing w:after="0"/>
        <w:ind w:left="709" w:right="709" w:hanging="2"/>
        <w:jc w:val="both"/>
        <w:rPr>
          <w:rFonts w:ascii="Verdana" w:hAnsi="Verdana" w:cs="Arial"/>
          <w:color w:val="000000" w:themeColor="text1"/>
          <w:sz w:val="21"/>
          <w:szCs w:val="21"/>
        </w:rPr>
      </w:pPr>
      <w:r w:rsidRPr="0048565C">
        <w:rPr>
          <w:rFonts w:ascii="Verdana" w:hAnsi="Verdana" w:cs="Arial"/>
          <w:color w:val="000000" w:themeColor="text1"/>
          <w:sz w:val="21"/>
          <w:szCs w:val="21"/>
        </w:rPr>
        <w:t>4. Determinar el valor mínimo aceptable para la Entidad Estatal.</w:t>
      </w:r>
      <w:r w:rsidRPr="0048565C">
        <w:rPr>
          <w:rStyle w:val="Refdenotaalpie"/>
          <w:rFonts w:ascii="Verdana" w:hAnsi="Verdana" w:cs="Arial"/>
          <w:color w:val="000000" w:themeColor="text1"/>
          <w:sz w:val="21"/>
          <w:szCs w:val="21"/>
        </w:rPr>
        <w:footnoteReference w:id="3"/>
      </w:r>
    </w:p>
    <w:p w14:paraId="1821A303" w14:textId="77777777" w:rsidR="00194DEE" w:rsidRPr="0048565C" w:rsidRDefault="00194DEE" w:rsidP="00194DEE">
      <w:pPr>
        <w:spacing w:after="0" w:line="276" w:lineRule="auto"/>
        <w:jc w:val="both"/>
        <w:rPr>
          <w:rFonts w:ascii="Verdana" w:hAnsi="Verdana" w:cs="Arial"/>
          <w:color w:val="000000" w:themeColor="text1"/>
        </w:rPr>
      </w:pPr>
    </w:p>
    <w:p w14:paraId="5D775938" w14:textId="77777777" w:rsidR="00194DEE" w:rsidRPr="0048565C" w:rsidRDefault="00194DEE" w:rsidP="00194DEE">
      <w:pPr>
        <w:spacing w:after="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La </w:t>
      </w:r>
      <w:r w:rsidRPr="0048565C">
        <w:rPr>
          <w:rFonts w:ascii="Verdana" w:hAnsi="Verdana" w:cs="Arial"/>
          <w:i/>
          <w:iCs/>
          <w:color w:val="000000" w:themeColor="text1"/>
        </w:rPr>
        <w:t>mediana</w:t>
      </w:r>
      <w:r w:rsidRPr="0048565C">
        <w:rPr>
          <w:rFonts w:ascii="Verdana" w:hAnsi="Verdana" w:cs="Arial"/>
          <w:color w:val="000000" w:themeColor="text1"/>
        </w:rPr>
        <w:t xml:space="preserve"> debe calcularse ordenando los valores de mayor a menor y tomando el valor de la oferta en la mitad de la lista. Si el número de ofertas es par, caso en el cual no habrá una oferta “en la mitad”, debe tomarse los dos valores del medio, se suman y dividen en dos. Posteriormente, es necesario calcular la </w:t>
      </w:r>
      <w:r w:rsidRPr="0048565C">
        <w:rPr>
          <w:rFonts w:ascii="Verdana" w:hAnsi="Verdana" w:cs="Arial"/>
          <w:i/>
          <w:iCs/>
          <w:color w:val="000000" w:themeColor="text1"/>
        </w:rPr>
        <w:t>desviación estándar</w:t>
      </w:r>
      <w:r w:rsidRPr="0048565C">
        <w:rPr>
          <w:rFonts w:ascii="Verdana" w:hAnsi="Verdana" w:cs="Arial"/>
          <w:color w:val="000000" w:themeColor="text1"/>
        </w:rPr>
        <w:t xml:space="preserve">, utilizando la siguiente fórmula, en la que el </w:t>
      </w:r>
      <w:r w:rsidRPr="0048565C">
        <w:rPr>
          <w:rFonts w:ascii="Verdana" w:eastAsia="Calibri" w:hAnsi="Verdana" w:cs="Arial"/>
          <w:color w:val="000000" w:themeColor="text1"/>
          <w:lang w:val="es-ES"/>
        </w:rPr>
        <w:t xml:space="preserve">valor </w:t>
      </w:r>
      <w:r w:rsidRPr="0048565C">
        <w:rPr>
          <w:rFonts w:ascii="Verdana" w:eastAsia="Calibri" w:hAnsi="Verdana" w:cs="Arial"/>
          <w:i/>
          <w:color w:val="000000" w:themeColor="text1"/>
          <w:lang w:val="es-ES"/>
        </w:rPr>
        <w:t>n</w:t>
      </w:r>
      <w:r w:rsidRPr="0048565C">
        <w:rPr>
          <w:rFonts w:ascii="Verdana" w:eastAsia="Calibri" w:hAnsi="Verdana" w:cs="Arial"/>
          <w:color w:val="000000" w:themeColor="text1"/>
          <w:lang w:val="es-ES"/>
        </w:rPr>
        <w:t xml:space="preserve"> es el número de ofertas</w:t>
      </w:r>
      <w:r w:rsidRPr="0048565C">
        <w:rPr>
          <w:rFonts w:ascii="Verdana" w:hAnsi="Verdana" w:cs="Arial"/>
          <w:color w:val="000000" w:themeColor="text1"/>
        </w:rPr>
        <w:t xml:space="preserve">: </w:t>
      </w:r>
    </w:p>
    <w:p w14:paraId="46A69CD9" w14:textId="77777777" w:rsidR="00194DEE" w:rsidRPr="0048565C" w:rsidRDefault="00194DEE" w:rsidP="00194DEE">
      <w:pPr>
        <w:spacing w:after="0" w:line="276" w:lineRule="auto"/>
        <w:ind w:firstLine="708"/>
        <w:jc w:val="both"/>
        <w:rPr>
          <w:rFonts w:ascii="Verdana" w:hAnsi="Verdana" w:cs="Arial"/>
          <w:color w:val="000000" w:themeColor="text1"/>
        </w:rPr>
      </w:pPr>
    </w:p>
    <w:p w14:paraId="00DC1311" w14:textId="77777777" w:rsidR="00194DEE" w:rsidRPr="0048565C" w:rsidRDefault="00194DEE" w:rsidP="00194DEE">
      <w:pPr>
        <w:spacing w:after="0" w:line="276" w:lineRule="auto"/>
        <w:jc w:val="center"/>
        <w:rPr>
          <w:rFonts w:ascii="Verdana" w:hAnsi="Verdana" w:cs="Arial"/>
          <w:color w:val="000000" w:themeColor="text1"/>
        </w:rPr>
      </w:pPr>
      <w:r w:rsidRPr="0048565C">
        <w:rPr>
          <w:rFonts w:ascii="Verdana" w:hAnsi="Verdana" w:cs="Arial"/>
          <w:noProof/>
          <w:color w:val="000000" w:themeColor="text1"/>
        </w:rPr>
        <w:drawing>
          <wp:inline distT="0" distB="0" distL="0" distR="0" wp14:anchorId="6893465B" wp14:editId="74FEFC47">
            <wp:extent cx="4113920" cy="614435"/>
            <wp:effectExtent l="0" t="0" r="1270" b="0"/>
            <wp:docPr id="9028588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58878" name=""/>
                    <pic:cNvPicPr/>
                  </pic:nvPicPr>
                  <pic:blipFill>
                    <a:blip r:embed="rId12"/>
                    <a:stretch>
                      <a:fillRect/>
                    </a:stretch>
                  </pic:blipFill>
                  <pic:spPr>
                    <a:xfrm>
                      <a:off x="0" y="0"/>
                      <a:ext cx="4385526" cy="655001"/>
                    </a:xfrm>
                    <a:prstGeom prst="rect">
                      <a:avLst/>
                    </a:prstGeom>
                  </pic:spPr>
                </pic:pic>
              </a:graphicData>
            </a:graphic>
          </wp:inline>
        </w:drawing>
      </w:r>
    </w:p>
    <w:p w14:paraId="15D42BAD" w14:textId="77777777" w:rsidR="00194DEE" w:rsidRPr="0048565C" w:rsidRDefault="00194DEE" w:rsidP="00194DEE">
      <w:pPr>
        <w:spacing w:after="0" w:line="276" w:lineRule="auto"/>
        <w:jc w:val="both"/>
        <w:rPr>
          <w:rFonts w:ascii="Verdana" w:hAnsi="Verdana" w:cs="Arial"/>
          <w:color w:val="000000" w:themeColor="text1"/>
        </w:rPr>
      </w:pPr>
    </w:p>
    <w:p w14:paraId="079C3DAE" w14:textId="77777777" w:rsidR="00194DEE" w:rsidRPr="0048565C" w:rsidRDefault="00194DEE" w:rsidP="00194DEE">
      <w:pPr>
        <w:spacing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Por último, el </w:t>
      </w:r>
      <w:r w:rsidRPr="0048565C">
        <w:rPr>
          <w:rFonts w:ascii="Verdana" w:hAnsi="Verdana" w:cs="Arial"/>
          <w:i/>
          <w:iCs/>
          <w:color w:val="000000" w:themeColor="text1"/>
        </w:rPr>
        <w:t>valor mínimo aceptable</w:t>
      </w:r>
      <w:r w:rsidRPr="0048565C">
        <w:rPr>
          <w:rFonts w:ascii="Verdana" w:hAnsi="Verdana" w:cs="Arial"/>
          <w:color w:val="000000" w:themeColor="text1"/>
        </w:rPr>
        <w:t xml:space="preserve">, será igual a la </w:t>
      </w:r>
      <w:r w:rsidRPr="0048565C">
        <w:rPr>
          <w:rFonts w:ascii="Verdana" w:hAnsi="Verdana" w:cs="Arial"/>
          <w:i/>
          <w:iCs/>
          <w:color w:val="000000" w:themeColor="text1"/>
        </w:rPr>
        <w:t>mediana</w:t>
      </w:r>
      <w:r w:rsidRPr="0048565C">
        <w:rPr>
          <w:rFonts w:ascii="Verdana" w:hAnsi="Verdana" w:cs="Arial"/>
          <w:color w:val="000000" w:themeColor="text1"/>
        </w:rPr>
        <w:t xml:space="preserve"> menos la </w:t>
      </w:r>
      <w:r w:rsidRPr="0048565C">
        <w:rPr>
          <w:rFonts w:ascii="Verdana" w:hAnsi="Verdana" w:cs="Arial"/>
          <w:i/>
          <w:iCs/>
          <w:color w:val="000000" w:themeColor="text1"/>
        </w:rPr>
        <w:t>desviación estándar</w:t>
      </w:r>
      <w:r w:rsidRPr="0048565C">
        <w:rPr>
          <w:rFonts w:ascii="Verdana" w:hAnsi="Verdana" w:cs="Arial"/>
          <w:color w:val="000000" w:themeColor="text1"/>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w:t>
      </w:r>
      <w:r w:rsidRPr="0048565C">
        <w:rPr>
          <w:rStyle w:val="normaltextrun"/>
          <w:rFonts w:ascii="Verdana" w:hAnsi="Verdana" w:cs="Arial"/>
          <w:color w:val="000000"/>
          <w:shd w:val="clear" w:color="auto" w:fill="FFFFFF"/>
        </w:rPr>
        <w:t>Esto es así porque l</w:t>
      </w:r>
      <w:r w:rsidRPr="0048565C">
        <w:rPr>
          <w:rStyle w:val="normaltextrun"/>
          <w:rFonts w:ascii="Verdana" w:hAnsi="Verdana" w:cs="Arial"/>
          <w:color w:val="000000"/>
          <w:shd w:val="clear" w:color="auto" w:fill="FFFFFF"/>
          <w:lang w:val="es-ES"/>
        </w:rPr>
        <w:t>as entidades pueden o no acoger la metodología explicada, toda vez que la Guía no es de obligatorio cumplimiento para las entidades, pues sólo constituye una orientación o lineamiento para sus procesos de contratación</w:t>
      </w:r>
      <w:r w:rsidRPr="0048565C">
        <w:rPr>
          <w:rFonts w:ascii="Verdana" w:eastAsia="Calibri" w:hAnsi="Verdana" w:cs="Arial"/>
          <w:color w:val="000000" w:themeColor="text1"/>
          <w:lang w:val="es-ES"/>
        </w:rPr>
        <w:t>.</w:t>
      </w:r>
    </w:p>
    <w:p w14:paraId="0FF6F32D" w14:textId="77777777" w:rsidR="00194DEE" w:rsidRPr="0048565C" w:rsidRDefault="00194DEE" w:rsidP="00194DEE">
      <w:pPr>
        <w:spacing w:before="120" w:after="120" w:line="276" w:lineRule="auto"/>
        <w:ind w:firstLine="708"/>
        <w:jc w:val="both"/>
        <w:rPr>
          <w:rFonts w:ascii="Verdana" w:eastAsia="Calibri" w:hAnsi="Verdana" w:cs="Arial"/>
          <w:color w:val="000000" w:themeColor="text1"/>
          <w:lang w:val="es-ES"/>
        </w:rPr>
      </w:pPr>
      <w:r w:rsidRPr="0048565C">
        <w:rPr>
          <w:rFonts w:ascii="Verdana" w:eastAsia="Calibri" w:hAnsi="Verdana" w:cs="Arial"/>
          <w:color w:val="000000" w:themeColor="text1"/>
          <w:lang w:val="es-ES"/>
        </w:rPr>
        <w:t xml:space="preserve">La Guía también contempla los casos en los que el contratista se selecciona a través de </w:t>
      </w:r>
      <w:r w:rsidRPr="0048565C">
        <w:rPr>
          <w:rFonts w:ascii="Verdana" w:eastAsia="Calibri" w:hAnsi="Verdana" w:cs="Arial"/>
          <w:i/>
          <w:iCs/>
          <w:color w:val="000000" w:themeColor="text1"/>
          <w:lang w:val="es-ES"/>
        </w:rPr>
        <w:t>subasta inversa</w:t>
      </w:r>
      <w:r w:rsidRPr="0048565C">
        <w:rPr>
          <w:rFonts w:ascii="Verdana" w:eastAsia="Calibri" w:hAnsi="Verdana" w:cs="Arial"/>
          <w:color w:val="000000" w:themeColor="text1"/>
          <w:lang w:val="es-ES"/>
        </w:rPr>
        <w:t xml:space="preserve">, en los cuales el criterio de evaluación es el precio. En este evento, la Agencia recomienda tener especial cuidado, ya que </w:t>
      </w:r>
      <w:r w:rsidRPr="0048565C">
        <w:rPr>
          <w:rFonts w:ascii="Verdana" w:eastAsia="Calibri" w:hAnsi="Verdana" w:cs="Arial"/>
          <w:color w:val="000000" w:themeColor="text1"/>
          <w:lang w:val="es-ES"/>
        </w:rPr>
        <w:lastRenderedPageBreak/>
        <w:t xml:space="preserve">es común que ofertas competitivas puedan parecer artificialmente bajas en el desarrollo de la subasta inversa. Sin embargo, dichas ofertas no siempre deben ser interpretadas como artificialmente bajas. En este sentido, en caso de presentarse dudas, la Guía sugiere llevar a cabo las siguientes actuaciones: </w:t>
      </w:r>
    </w:p>
    <w:p w14:paraId="0FDBAE99" w14:textId="77777777" w:rsidR="00194DEE" w:rsidRPr="0048565C" w:rsidRDefault="00194DEE" w:rsidP="00194DEE">
      <w:pPr>
        <w:spacing w:before="120" w:after="120" w:line="276" w:lineRule="auto"/>
        <w:ind w:firstLine="708"/>
        <w:jc w:val="both"/>
        <w:rPr>
          <w:rFonts w:ascii="Verdana" w:eastAsia="Calibri" w:hAnsi="Verdana" w:cs="Arial"/>
          <w:color w:val="000000" w:themeColor="text1"/>
          <w:lang w:val="es-ES"/>
        </w:rPr>
      </w:pPr>
      <w:r w:rsidRPr="0048565C">
        <w:rPr>
          <w:rFonts w:ascii="Verdana" w:eastAsia="Calibri" w:hAnsi="Verdana" w:cs="Arial"/>
          <w:color w:val="000000" w:themeColor="text1"/>
          <w:lang w:val="es-ES"/>
        </w:rPr>
        <w:t xml:space="preserve">i) Verificar la oferta y su componente económico, para así determinar si los precios tienen un componente extraño que no fue posible determinar al momento de realizar el Estudio del sector, en relación con los proveedores del bien, obra o servicio que se pretende contratar; ii) 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iii) Solicitar explicaciones a los proponentes cuyas ofertas sean menores en un 20%, o un mayor porcentaje, al costo total estimado por la Entidad Estatal (comparación absoluta, ver numeral 2.1.1); y iv) Analizar la información remitida por el proponente y considerar el rechazo de las ofertas que cumplan con alguna de las condiciones establecidas en el numeral 4.2 de la presente Guía. </w:t>
      </w:r>
      <w:r w:rsidRPr="0048565C">
        <w:rPr>
          <w:rStyle w:val="normaltextrun"/>
          <w:rFonts w:ascii="Verdana" w:hAnsi="Verdana"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48565C">
        <w:rPr>
          <w:rStyle w:val="eop"/>
          <w:rFonts w:ascii="Verdana" w:hAnsi="Verdana" w:cs="Arial"/>
          <w:color w:val="000000"/>
          <w:shd w:val="clear" w:color="auto" w:fill="FFFFFF"/>
        </w:rPr>
        <w:t> </w:t>
      </w:r>
      <w:r w:rsidRPr="0048565C">
        <w:rPr>
          <w:rFonts w:ascii="Verdana" w:eastAsia="Calibri" w:hAnsi="Verdana" w:cs="Arial"/>
          <w:color w:val="000000" w:themeColor="text1"/>
          <w:lang w:val="es-ES"/>
        </w:rPr>
        <w:t xml:space="preserve"> </w:t>
      </w:r>
    </w:p>
    <w:p w14:paraId="79C5E9F9" w14:textId="77777777" w:rsidR="00194DEE" w:rsidRPr="0048565C" w:rsidRDefault="00194DEE" w:rsidP="00194DEE">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Una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38ADFB78" w14:textId="77777777" w:rsidR="00194DEE" w:rsidRPr="0048565C" w:rsidRDefault="00194DEE" w:rsidP="00194DEE">
      <w:pPr>
        <w:spacing w:before="120" w:line="276" w:lineRule="auto"/>
        <w:ind w:firstLine="709"/>
        <w:jc w:val="both"/>
        <w:rPr>
          <w:rFonts w:ascii="Verdana" w:hAnsi="Verdana" w:cs="Arial"/>
          <w:color w:val="000000" w:themeColor="text1"/>
        </w:rPr>
      </w:pPr>
      <w:r w:rsidRPr="0048565C">
        <w:rPr>
          <w:rFonts w:ascii="Verdana" w:hAnsi="Verdana" w:cs="Arial"/>
          <w:color w:val="000000" w:themeColor="text1"/>
        </w:rPr>
        <w:t>La ley y el reglamento no determinan la forma ni el momento para requerir a los proponentes para que justifiquen el precio ofertado. Por tanto, la determinación de tales asuntos es facultativa para cada entidad pública, para lo cual debe tener presentes las particularidades de cada modalidad de selección de contratistas, partiendo de la base de que la entidad solo podrá pedir explicaciones al proponente cuando conozca su oferta económica.</w:t>
      </w:r>
    </w:p>
    <w:p w14:paraId="0594EC29" w14:textId="77777777" w:rsidR="00194DEE" w:rsidRPr="0048565C" w:rsidRDefault="00194DEE" w:rsidP="00194DEE">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lastRenderedPageBreak/>
        <w:t xml:space="preserve">En el evento en que el proponente no allegue información una vez se haya requerido, se tratará de una omisión que el comité evaluador deberá analizar. De ser el caso, podrá rechazar la oferta si la duda que tiene es de tal magnitud que no tomar la decisión podría eventualmente comprometer la legalidad del proceso.   </w:t>
      </w:r>
    </w:p>
    <w:p w14:paraId="3D3491E6" w14:textId="77777777" w:rsidR="00194DEE" w:rsidRPr="0048565C" w:rsidRDefault="00194DEE" w:rsidP="00194DEE">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w:t>
      </w:r>
    </w:p>
    <w:p w14:paraId="24CDF674" w14:textId="77777777" w:rsidR="00194DEE" w:rsidRPr="0048565C" w:rsidRDefault="00194DEE" w:rsidP="00194DEE">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 En relación con este aspecto, en el concepto del 7 de noviembre de 2019 –radicado No. 2201913000008288–, esta Agencia avaló en abstracto la idoneidad de una llamada telefónica para comunicar el requerimiento al oferente. La entidad estatal, entonces, no tiene la obligación de notificar dicho requerimiento al proponente, pues el mismo es un acto de trámite y no uno definitivo</w:t>
      </w:r>
      <w:r w:rsidRPr="0048565C">
        <w:rPr>
          <w:rFonts w:ascii="Verdana" w:hAnsi="Verdana"/>
          <w:vertAlign w:val="superscript"/>
        </w:rPr>
        <w:footnoteReference w:id="4"/>
      </w:r>
      <w:r w:rsidRPr="0048565C">
        <w:rPr>
          <w:rFonts w:ascii="Verdana" w:hAnsi="Verdana" w:cs="Arial"/>
          <w:color w:val="000000" w:themeColor="text1"/>
        </w:rPr>
        <w:t>.</w:t>
      </w:r>
    </w:p>
    <w:p w14:paraId="0C748813" w14:textId="77777777" w:rsidR="00194DEE" w:rsidRPr="0048565C" w:rsidRDefault="00194DEE" w:rsidP="00194DEE">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En cuanto al término que se debe otorgar a los proponentes para que expliquen el precio ofertado, es preciso indicar que es un asunto que también queda a la discrecionalidad de la entidad. Sin embargo, la discrecionalidad debe ejercerse de manera sensata, con buen criterio y de forma prudente. Así lo explicó la Sección Quinta del Consejo de Estado en la sentencia del 10 de junio de 1992, en la que resaltó que “los (actos) denominados discrecionales […] se emiten por la autoridad administrativa en virtud de que la ley ha creído conveniente dejar a la sensatez, a la oportunidad, al buen criterio y al suficiente tacto que ha de presidir la gestión pública y enmarcar en la prudencia la toma </w:t>
      </w:r>
      <w:r w:rsidRPr="0048565C">
        <w:rPr>
          <w:rFonts w:ascii="Verdana" w:hAnsi="Verdana" w:cs="Arial"/>
          <w:color w:val="000000" w:themeColor="text1"/>
        </w:rPr>
        <w:lastRenderedPageBreak/>
        <w:t>de decisiones, con orden del buen servicio que ha de regir y de guiar sus tareas”</w:t>
      </w:r>
      <w:r w:rsidRPr="0048565C">
        <w:rPr>
          <w:rStyle w:val="Refdenotaalpie"/>
          <w:rFonts w:ascii="Verdana" w:hAnsi="Verdana" w:cs="Arial"/>
          <w:color w:val="000000" w:themeColor="text1"/>
        </w:rPr>
        <w:footnoteReference w:id="5"/>
      </w:r>
      <w:r w:rsidRPr="0048565C">
        <w:rPr>
          <w:rFonts w:ascii="Verdana" w:hAnsi="Verdana" w:cs="Arial"/>
          <w:color w:val="000000" w:themeColor="text1"/>
        </w:rPr>
        <w:t xml:space="preserve">. </w:t>
      </w:r>
    </w:p>
    <w:p w14:paraId="6D9502C3" w14:textId="77777777" w:rsidR="00194DEE" w:rsidRPr="0048565C" w:rsidRDefault="00194DEE" w:rsidP="00194DEE">
      <w:pPr>
        <w:spacing w:before="120" w:line="276" w:lineRule="auto"/>
        <w:ind w:firstLine="708"/>
        <w:jc w:val="both"/>
        <w:rPr>
          <w:rFonts w:ascii="Verdana" w:hAnsi="Verdana" w:cs="Arial"/>
          <w:color w:val="000000" w:themeColor="text1"/>
        </w:rPr>
      </w:pPr>
      <w:r w:rsidRPr="0048565C">
        <w:rPr>
          <w:rFonts w:ascii="Verdana" w:hAnsi="Verdana" w:cs="Arial"/>
          <w:color w:val="000000" w:themeColor="text1"/>
        </w:rPr>
        <w:t>La doctrina foránea se ha pronunciado en similar sentido, al argumentar que la discrecionalidad administrativa tiene dos (2) limitantes: una, el respeto a la finalidad jurídica que justifica, que no es nada distinto a satisfacer el interés general; y otra, que el uso de la discrecionalidad sea necesario para cumplir el interés jurídico que se tutela. En estos términos, la entidad deberá adoptar una medida que esté acorde con el interés general</w:t>
      </w:r>
      <w:r w:rsidRPr="0048565C">
        <w:rPr>
          <w:rStyle w:val="Refdenotaalpie"/>
          <w:rFonts w:ascii="Verdana" w:hAnsi="Verdana" w:cs="Arial"/>
          <w:color w:val="000000" w:themeColor="text1"/>
        </w:rPr>
        <w:footnoteReference w:id="6"/>
      </w:r>
      <w:r w:rsidRPr="0048565C">
        <w:rPr>
          <w:rFonts w:ascii="Verdana" w:hAnsi="Verdana" w:cs="Arial"/>
          <w:color w:val="000000" w:themeColor="text1"/>
        </w:rPr>
        <w:t>.</w:t>
      </w:r>
    </w:p>
    <w:p w14:paraId="0897E615" w14:textId="77777777" w:rsidR="00194DEE" w:rsidRPr="0048565C" w:rsidRDefault="00194DEE" w:rsidP="00194DEE">
      <w:pPr>
        <w:spacing w:before="120"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La entidad tiene entonces la facultad de definir el término mínimo que otorgará a los proponentes para aclarar el precio artificialmente bajo. No obstante, dicho término debe estar acorde, por un lado, con el interés general y, por el otro, con los principios de proporcionalidad y razonabilidad, así como también con los principios del Estatuto General de Contratación de la Administración Pública. </w:t>
      </w:r>
    </w:p>
    <w:p w14:paraId="46627531" w14:textId="77777777" w:rsidR="00194DEE" w:rsidRPr="0048565C" w:rsidRDefault="00194DEE" w:rsidP="00194DEE">
      <w:pPr>
        <w:pStyle w:val="NormalWeb"/>
        <w:spacing w:before="12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Finalmente, verificada la información remitida por el proponente, la entidad debe definir si rechaza o no la oferta. En la “Guía para el manejo de ofertas artificialmente bajas en Procesos de Contratación”, la </w:t>
      </w:r>
      <w:r w:rsidRPr="0048565C">
        <w:rPr>
          <w:rFonts w:ascii="Verdana" w:hAnsi="Verdana" w:cs="Arial"/>
          <w:color w:val="000000" w:themeColor="text1"/>
          <w:sz w:val="22"/>
        </w:rPr>
        <w:t xml:space="preserve">Agencia Nacional de Contratación Pública </w:t>
      </w:r>
      <w:r w:rsidRPr="0048565C">
        <w:rPr>
          <w:rFonts w:ascii="Verdana" w:hAnsi="Verdana" w:cs="Arial"/>
          <w:color w:val="000000" w:themeColor="text1"/>
          <w:sz w:val="22"/>
          <w:szCs w:val="22"/>
          <w:lang w:val="es-ES"/>
        </w:rPr>
        <w:t xml:space="preserve">precisó que se debe rechazar la propuesta en los siguientes eventos: i) “el proponente no presenta por escrito a la entidad estatal la aclaración de la oferta”, ii) “el proponente no envía parte o la totalidad de la información solicitada por la entidad estatal”, iii) “las aclaraciones del proponente no son satisfactorias para garantizar la sostenibilidad de la oferta durante la ejecución del contrato” y iv) “las aclaraciones del proponente no desvirtúan la teoría de que está utilizando su oferta como parte de una estrategia colusoria o anticompetitiva durante el proceso de selección”. Lo anterior, sin perjuicio de los eventos señalados en el numeral 4.2 de la “Guía para el manejo </w:t>
      </w:r>
      <w:r w:rsidRPr="0048565C">
        <w:rPr>
          <w:rFonts w:ascii="Verdana" w:hAnsi="Verdana" w:cs="Arial"/>
          <w:color w:val="000000" w:themeColor="text1"/>
          <w:sz w:val="22"/>
          <w:szCs w:val="22"/>
          <w:lang w:val="es-ES"/>
        </w:rPr>
        <w:lastRenderedPageBreak/>
        <w:t>de ofertas artificialmente bajas en Procesos de Contratación de Colombia Compra Eficiente”, los cuales, debe advertirse, son criterios orientadores para las entidades públicas y no causales de rechazo en estricto sentido.</w:t>
      </w:r>
    </w:p>
    <w:p w14:paraId="4A36B02B"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todo caso, debe advertirse que las aclaraciones que están obligados a dar los proponentes según lo dispuesto en el artículo 2.2.1.1.2.2.4 del Decreto 1082 de 2015, deben cumplir con la carga de claridad suficiente para desvirtuar las razones por las que la Entidad Estatal ha estimado que la oferta es artificialmente baja. Esto implica dar cuenta de las circunstancias objetivas debido a las cuales la oferta es sustentable y competitiva. De acuerdo con lo señalado en la mencionada guía estas circunstancias pueden estar relacionadas con </w:t>
      </w:r>
      <w:r w:rsidRPr="0048565C">
        <w:rPr>
          <w:rFonts w:ascii="Verdana" w:hAnsi="Verdana" w:cs="Arial"/>
          <w:color w:val="000000" w:themeColor="text1"/>
          <w:sz w:val="22"/>
          <w:szCs w:val="22"/>
        </w:rPr>
        <w:t>i) técnicas diferenciadas de producción del bien o provisión del servicio; ii) cercanía al lugar de provisión o al lugar de abastecimiento de materias primas; iii) mejores condiciones contractuales con los proveedores de insumos; y iv) mayor diversificación de productos o servicios relacionados.</w:t>
      </w:r>
      <w:r w:rsidRPr="0048565C">
        <w:rPr>
          <w:rFonts w:ascii="Verdana" w:hAnsi="Verdana" w:cs="Arial"/>
          <w:color w:val="000000" w:themeColor="text1"/>
          <w:sz w:val="22"/>
          <w:szCs w:val="22"/>
          <w:lang w:val="es-ES"/>
        </w:rPr>
        <w:t xml:space="preserve"> Lo anterior sin perjuicio de que el contratista indique alguna otra razón distinta por la que la oferta es competitiva, incluyendo aquellas relacionadas con implementación de economías de escala o alcance, esto, en razón a que en la mencionada guía se indica que “la Entidad Estatal debe tenerlo en cuenta en el análisis de las aclaraciones”. </w:t>
      </w:r>
    </w:p>
    <w:p w14:paraId="2F113385" w14:textId="77777777" w:rsidR="00194DEE"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relación con el párrafo precedente y </w:t>
      </w:r>
      <w:r>
        <w:rPr>
          <w:rFonts w:ascii="Verdana" w:hAnsi="Verdana" w:cs="Arial"/>
          <w:color w:val="000000" w:themeColor="text1"/>
          <w:sz w:val="22"/>
          <w:szCs w:val="22"/>
          <w:lang w:val="es-ES"/>
        </w:rPr>
        <w:t>en atención al</w:t>
      </w:r>
      <w:r w:rsidRPr="0048565C">
        <w:rPr>
          <w:rFonts w:ascii="Verdana" w:hAnsi="Verdana" w:cs="Arial"/>
          <w:color w:val="000000" w:themeColor="text1"/>
          <w:sz w:val="22"/>
          <w:szCs w:val="22"/>
          <w:lang w:val="es-ES"/>
        </w:rPr>
        <w:t xml:space="preserve"> problema jurídico planteado en este concepto, debe precisarse que la guía a la que allí se hace referencia se limita a enunciar las circunstancias que podrían influir en el valor de una oferta, sin desarrollar ni definir de manera expresa el contenido o alcance de los cuatro (4) elementos mencionados, a saber: (i) técnicas diferenciadas de producción del bien o provisión del servicio; (ii) cercanía al lugar de provisión o al lugar de abastecimiento de materias primas; (iii) mejores condiciones contractuales con los proveedores de insumos; y (iv) mayor diversificación de productos o servicios relacionados. </w:t>
      </w:r>
    </w:p>
    <w:p w14:paraId="41F23D3F" w14:textId="77777777" w:rsidR="00194DEE" w:rsidRPr="00B643B2" w:rsidRDefault="00194DEE" w:rsidP="00194DEE">
      <w:pPr>
        <w:spacing w:before="120" w:after="120" w:line="276" w:lineRule="auto"/>
        <w:jc w:val="both"/>
        <w:rPr>
          <w:rFonts w:ascii="Verdana" w:eastAsia="Calibri" w:hAnsi="Verdana"/>
        </w:rPr>
      </w:pPr>
      <w:r>
        <w:rPr>
          <w:rFonts w:ascii="Verdana" w:hAnsi="Verdana" w:cs="Arial"/>
          <w:color w:val="000000" w:themeColor="text1"/>
          <w:lang w:val="es-ES"/>
        </w:rPr>
        <w:t xml:space="preserve">        De igual manera, </w:t>
      </w:r>
      <w:r w:rsidRPr="00B643B2">
        <w:rPr>
          <w:rFonts w:ascii="Verdana" w:eastAsia="Calibri" w:hAnsi="Verdana"/>
        </w:rPr>
        <w:t xml:space="preserve">la “Guía para el manejo de ofertas artificialmente bajas en Procesos de Contratación”, en el numeral 2 denominado “¿Cómo pueden identificarse ofertas artificialmente bajas?”, prevé como mecanismos de identificación los métodos de comparación y la información histórica de ofertas y contratos con relación al objeto del proceso de contratación. En consecuencia, la entidad estatal puede acudir al análisis comparativo de precios de mercado, al comportamiento histórico del sector y a la información derivada de procesos </w:t>
      </w:r>
      <w:r w:rsidRPr="00B643B2">
        <w:rPr>
          <w:rFonts w:ascii="Verdana" w:eastAsia="Calibri" w:hAnsi="Verdana"/>
        </w:rPr>
        <w:lastRenderedPageBreak/>
        <w:t>anteriores para determinar si una oferta presenta componentes atípicos o insuficientes frente a los costos normales de ejecución.</w:t>
      </w:r>
    </w:p>
    <w:p w14:paraId="0524821E" w14:textId="77777777" w:rsidR="00194DEE" w:rsidRPr="00B643B2" w:rsidRDefault="00194DEE" w:rsidP="00194DEE">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En ese sentido, el numeral 2 del guía referido a los “métodos de comparación” y a la “información histórica de ofertas y contratos” debe interpretarse sistemáticamente con el deber de planeación y con la obligación de verificar la viabilidad económica de las ofertas, especialmente cuando el objeto contractual involucra costos laborales relevantes y regulados por normas de orden público.</w:t>
      </w:r>
    </w:p>
    <w:p w14:paraId="64A05F69" w14:textId="77777777" w:rsidR="00194DEE"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Pr>
          <w:rFonts w:ascii="Verdana" w:hAnsi="Verdana" w:cs="Arial"/>
          <w:color w:val="000000" w:themeColor="text1"/>
          <w:sz w:val="22"/>
          <w:szCs w:val="22"/>
          <w:lang w:val="es-ES"/>
        </w:rPr>
        <w:t xml:space="preserve"> </w:t>
      </w:r>
    </w:p>
    <w:p w14:paraId="777926EB"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Dado que la mencionada guía tiene un carácter meramente orientador y no vinculante, sus enunciados no pueden entenderse como definiciones cerradas ni como limitaciones normativas al ejercicio interpretativo de la Entidad Estatal o de los proponentes. En ese sentido, los elementos previamente indicados pueden ser comprendidos con un determinado alcance, de conformidad con los principios que rigen la contratación estatal y con el análisis del caso concreto, sin que ello implique apartarse de la guía ni desconocer su finalidad orientadora, ni tampoco exceder el marco previsto en el artículo 2.2.1.1.2.2.4 del Decreto 1082 de 2015.</w:t>
      </w:r>
    </w:p>
    <w:p w14:paraId="7DD6F529" w14:textId="77777777" w:rsidR="00194DEE" w:rsidRPr="0048565C" w:rsidRDefault="00194DEE" w:rsidP="00194DEE">
      <w:pPr>
        <w:spacing w:after="120" w:line="276" w:lineRule="auto"/>
        <w:ind w:firstLine="708"/>
        <w:jc w:val="both"/>
        <w:rPr>
          <w:rFonts w:ascii="Verdana" w:eastAsia="Calibri" w:hAnsi="Verdana" w:cs="Arial"/>
        </w:rPr>
      </w:pPr>
      <w:r w:rsidRPr="0048565C">
        <w:rPr>
          <w:rFonts w:ascii="Verdana" w:hAnsi="Verdana" w:cs="Arial"/>
          <w:color w:val="000000" w:themeColor="text1"/>
        </w:rPr>
        <w:t xml:space="preserve">Sobre el alcance de los cuatro elementos que pueden incidir en el valor de la oferta, </w:t>
      </w:r>
      <w:r w:rsidRPr="0048565C">
        <w:rPr>
          <w:rFonts w:ascii="Verdana" w:eastAsia="Calibri" w:hAnsi="Verdana" w:cs="Arial"/>
        </w:rPr>
        <w:t>es posible acercarse a su definición a través de las pautas hermenéuticas del artículo 28 del Código Civil, pues “</w:t>
      </w:r>
      <w:r w:rsidRPr="0048565C">
        <w:rPr>
          <w:rFonts w:ascii="Verdana" w:eastAsia="Calibri" w:hAnsi="Verdana" w:cs="Arial"/>
          <w:i/>
          <w:iCs/>
        </w:rPr>
        <w:t>Las palabras de la ley se entenderán en su sentido natural y obvio, según el uso general de las mismas palabras</w:t>
      </w:r>
      <w:r w:rsidRPr="0048565C">
        <w:rPr>
          <w:rFonts w:ascii="Verdana" w:eastAsia="Calibri" w:hAnsi="Verdana" w:cs="Arial"/>
        </w:rPr>
        <w:t xml:space="preserve">; pero cuando el legislador las haya definido expresamente para ciertas materias, se les dará en éstas su significado legal” (Énfasis fuera de texto). De esta manera, </w:t>
      </w:r>
      <w:r w:rsidRPr="0048565C">
        <w:rPr>
          <w:rFonts w:ascii="Verdana" w:hAnsi="Verdana" w:cs="Arial"/>
          <w:color w:val="000000" w:themeColor="text1"/>
        </w:rPr>
        <w:t xml:space="preserve">esta Agencia considera que los mismos pueden entenderse </w:t>
      </w:r>
      <w:r w:rsidRPr="0048565C">
        <w:rPr>
          <w:rFonts w:ascii="Verdana" w:eastAsia="Calibri" w:hAnsi="Verdana" w:cs="Arial"/>
        </w:rPr>
        <w:t>con el siguiente alcance, como criterio orientador:</w:t>
      </w:r>
    </w:p>
    <w:p w14:paraId="3A882666" w14:textId="77777777" w:rsidR="00194DEE" w:rsidRPr="0048565C" w:rsidRDefault="00194DEE" w:rsidP="00194DEE">
      <w:pPr>
        <w:spacing w:after="120" w:line="276" w:lineRule="auto"/>
        <w:ind w:firstLine="708"/>
        <w:jc w:val="both"/>
        <w:rPr>
          <w:rFonts w:ascii="Verdana" w:hAnsi="Verdana" w:cs="Arial"/>
          <w:color w:val="000000" w:themeColor="text1"/>
        </w:rPr>
      </w:pPr>
      <w:r w:rsidRPr="0048565C">
        <w:rPr>
          <w:rFonts w:ascii="Verdana" w:hAnsi="Verdana" w:cs="Arial"/>
          <w:color w:val="000000" w:themeColor="text1"/>
        </w:rPr>
        <w:t xml:space="preserve">i) Técnicas diferenciales de producción del bien o provisión del servicio. Son los métodos o procedimientos específicos empleados para transformar recursos -insumos- en bienes o servicios, cuya elección depende de factores como la eficiencia, los costos, la calidad, la tecnología disponible y la escala de producción. La palabra diferencial indica que existen alternativas de producción o prestación, y que cada una puede generar distintos niveles de costo, eficiencia, calidad y productividad. </w:t>
      </w:r>
    </w:p>
    <w:p w14:paraId="1435DE51"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lastRenderedPageBreak/>
        <w:t xml:space="preserve">ii) Cercanía al lugar de provisión o al lugar de abastecimiento de materias primas. Consiste en la proximidad geográfica entre el sitio en donde se obtienen los insumos básicos necesarios para la producción de materias primas y el lugar donde se realiza la transformación o provisión del bien o servicios. En administración y logística, esta proximidad se considera un factor estratégico, porque reduce costos de transporte, disminuye tiempos de abastecimiento, aumente la eficiencia operativa y mejorar la continuidad del suministro. </w:t>
      </w:r>
    </w:p>
    <w:p w14:paraId="719E72EF"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iii) Mejores condiciones contractuales con los proveedores de insumos. Corresponde a aquellos términos, cláusulas o contratos, entre otros, que se negocian entre las empresas y sus proveedores que maximizan el valor para la primera. Esto, asegura costos con precios más competitivos, plazos de entrega favorables, condiciones de pago convenientes, niveles de calidad acordados, entre otros. Estas condiciones surgen de un proceso de abastecimiento y negociación, y permite reducir costos, mitigar riesgos y mejorar la eficiencia y estabilidad de la cadena de suministros. </w:t>
      </w:r>
    </w:p>
    <w:p w14:paraId="66AC2CCA"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iv) Mayor diversificación de productos o servicios relacionados. Consiste en una estrategia empresarial para ampliar la gama de productos o servicios ofrecidos por la empresa, manteniendo una conexión o complementariedad con la línea principal del negocio. El objetivo de esta es reducir riesgos, aprovechar sinergias de recursos, tecnologías, o canales de distribución, y aumentar la competitividad en el mercado. </w:t>
      </w:r>
    </w:p>
    <w:p w14:paraId="763F25DC"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rPr>
      </w:pPr>
      <w:r w:rsidRPr="0048565C">
        <w:rPr>
          <w:rFonts w:ascii="Verdana" w:hAnsi="Verdana" w:cs="Arial"/>
          <w:color w:val="000000" w:themeColor="text1"/>
          <w:sz w:val="22"/>
          <w:szCs w:val="22"/>
        </w:rPr>
        <w:t xml:space="preserve">Conforme con el alcance de los cuatro elementos señalados, estos influyen significativamente en el valor de la oferta porque afectan tanto la eficiencia operativa como la capacidad de competencia de la empresa. De esta forma, las técnicas diferenciales de producción, determinan el nivel de costos, calidad y productividad, impactando de forma directa en la relación costo-beneficio del bien o servicio ofrecido. Por su parte, la cercanía al lugar de provisión o abastecimiento reduce gastos logísticos y tiempos de suministro, mejorando la continuidad operativa y la rapidez de respuesta del mercado. Por su parte, las mejores condiciones contractuales con proveedores permiten asegurar insumos a precios competitivos y con garantías de calidad y entrega, disminuyendo riesgos y optimizando el flujo financiero. Finalmente, la mayor diversificación de productos o servicios relacionados amplía la oferta comercial, reduciendo la dependencia de un solo mercado y generando sinergias que potencian la innovación y eficacia, aumentando de esta forma, el atractivo del valor percibido </w:t>
      </w:r>
      <w:r w:rsidRPr="0048565C">
        <w:rPr>
          <w:rFonts w:ascii="Verdana" w:hAnsi="Verdana" w:cs="Arial"/>
          <w:color w:val="000000" w:themeColor="text1"/>
          <w:sz w:val="22"/>
          <w:szCs w:val="22"/>
        </w:rPr>
        <w:lastRenderedPageBreak/>
        <w:t xml:space="preserve">de la oferta. En resumen, estos cuatro factores, contribuyen a maximizar la propuesta de valor, equilibrando costos, calidad, riesgo y competitividad. </w:t>
      </w:r>
    </w:p>
    <w:p w14:paraId="6F9C5903"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En contraste, la misma guía sí incorpora una definición o referencia conceptual más precisa respecto de las economías de escala y de alcance, las cuales son expresamente reconocidas como factores que la Entidad Estatal debe considerar al momento de analizar las aclaraciones presentadas por los proponentes. Sobre la primera, esto es, economías de escala la guía indica que se entiende por estas, </w:t>
      </w:r>
      <w:r w:rsidRPr="0048565C">
        <w:rPr>
          <w:rFonts w:ascii="Verdana" w:hAnsi="Verdana" w:cs="Arial"/>
          <w:i/>
          <w:iCs/>
          <w:color w:val="000000" w:themeColor="text1"/>
          <w:sz w:val="22"/>
          <w:szCs w:val="22"/>
          <w:lang w:val="es-ES"/>
        </w:rPr>
        <w:t>“la capacidad que posee una empresa en producir mayor cantidad de productos a un menor coste de producción debido a que a medida que la producción en una empresa crece, sus costos se reducen”</w:t>
      </w:r>
      <w:r w:rsidRPr="0048565C">
        <w:rPr>
          <w:rStyle w:val="Refdenotaalpie"/>
          <w:rFonts w:ascii="Verdana" w:hAnsi="Verdana" w:cs="Arial"/>
          <w:color w:val="000000" w:themeColor="text1"/>
          <w:sz w:val="22"/>
          <w:szCs w:val="22"/>
          <w:lang w:val="es-ES"/>
        </w:rPr>
        <w:footnoteReference w:id="7"/>
      </w:r>
      <w:r w:rsidRPr="0048565C">
        <w:rPr>
          <w:rFonts w:ascii="Verdana" w:hAnsi="Verdana" w:cs="Arial"/>
          <w:color w:val="000000" w:themeColor="text1"/>
          <w:sz w:val="22"/>
          <w:szCs w:val="22"/>
          <w:lang w:val="es-ES"/>
        </w:rPr>
        <w:t xml:space="preserve">. Sobre la segunda, el documento establece que </w:t>
      </w:r>
      <w:r w:rsidRPr="0048565C">
        <w:rPr>
          <w:rFonts w:ascii="Verdana" w:hAnsi="Verdana" w:cs="Arial"/>
          <w:i/>
          <w:iCs/>
          <w:color w:val="000000" w:themeColor="text1"/>
          <w:sz w:val="22"/>
          <w:szCs w:val="22"/>
          <w:lang w:val="es-ES"/>
        </w:rPr>
        <w:t>“(u)na empresa alcanza economías de alcance cuando la diversificación de bienes o servicios en su portafolio reduce los costos asociados a los producción o generación de los bienes o servicios”.</w:t>
      </w:r>
    </w:p>
    <w:p w14:paraId="5C0FBE1A"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En consecuencia, tanto las economías de escala como las economías de alcance pueden influir en la presentación de ofertas más económicas, al permitir a las empresas reducir sus costos de producción o de prestación de servicios. El aumento de la producción y la diversificación del portafolio de bienes o servicios favorecen un uso más eficiente de los recursos, la distribución de los costos fijos entre un mayor número de unidades y el aprovechamiento de sinergias operativas, lo que se traduce en una disminución de los costos totales. Estas eficiencias pueden reflejarse en el precio ofertado, posibilitando la presentación de propuestas más competitivas sin afectar la calidad o la viabilidad de la oferta.</w:t>
      </w:r>
    </w:p>
    <w:p w14:paraId="62FCC894"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rPr>
        <w:t>Ahora bien, si alguna oferta resulta estar muy por debajo de las demás en el análisis de subtotales, quiere decir que el proponente subestimó todos los costos asociados, o estableció un margen de utilidad excepcionalmente reducido. En este caso, la Entidad Estatal puede solicitar nuevamente aclaraciones, haciendo énfasis en el margen de utilidad estimado por el proponente.</w:t>
      </w:r>
    </w:p>
    <w:p w14:paraId="16A7CD81"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themeColor="text1"/>
          <w:sz w:val="22"/>
          <w:szCs w:val="22"/>
          <w:lang w:val="es-ES"/>
        </w:rPr>
        <w:t xml:space="preserve">Con todo, si las razones indicadas por el proponente en respuesta a la solicitud de aclaración no cumplen con la referida carga de claridad y objetividad, la entidad estatal deberá rechazar la oferta. En ese sentido, es importante tener en cuenta que </w:t>
      </w:r>
      <w:r w:rsidRPr="0048565C">
        <w:rPr>
          <w:rFonts w:ascii="Verdana" w:hAnsi="Verdana" w:cs="Arial"/>
          <w:color w:val="000000" w:themeColor="text1"/>
          <w:sz w:val="22"/>
          <w:szCs w:val="22"/>
        </w:rPr>
        <w:t xml:space="preserve">la respuesta a la solicitud de aclaración no es una oportunidad para que los proponentes modifiquen parcial ni totalmente sus ofertas, ni para </w:t>
      </w:r>
      <w:r w:rsidRPr="0048565C">
        <w:rPr>
          <w:rFonts w:ascii="Verdana" w:hAnsi="Verdana" w:cs="Arial"/>
          <w:color w:val="000000" w:themeColor="text1"/>
          <w:sz w:val="22"/>
          <w:szCs w:val="22"/>
        </w:rPr>
        <w:lastRenderedPageBreak/>
        <w:t>que estos transgredan la conmutatividad del contrato estatal ofreciendo una contraprestación excesivamente reducida</w:t>
      </w:r>
      <w:r w:rsidRPr="0048565C">
        <w:rPr>
          <w:rStyle w:val="Refdenotaalpie"/>
          <w:rFonts w:ascii="Verdana" w:hAnsi="Verdana" w:cs="Arial"/>
          <w:color w:val="000000" w:themeColor="text1"/>
          <w:sz w:val="22"/>
          <w:szCs w:val="22"/>
        </w:rPr>
        <w:footnoteReference w:id="8"/>
      </w:r>
      <w:r w:rsidRPr="0048565C">
        <w:rPr>
          <w:rFonts w:ascii="Verdana" w:hAnsi="Verdana" w:cs="Arial"/>
          <w:color w:val="000000" w:themeColor="text1"/>
          <w:sz w:val="22"/>
          <w:szCs w:val="22"/>
        </w:rPr>
        <w:t xml:space="preserve"> alejada de la realidad del mercado expresada en el análisis del sector, considerando que ello no solo podría afectar la ejecución del contrato, sino que podría dar cuenta de prácticas restrictivas a la competencia. </w:t>
      </w:r>
    </w:p>
    <w:p w14:paraId="3E838B61" w14:textId="77777777" w:rsidR="00194DEE" w:rsidRPr="0048565C" w:rsidRDefault="00194DEE" w:rsidP="00194DEE">
      <w:pPr>
        <w:pStyle w:val="NormalWeb"/>
        <w:spacing w:before="0" w:beforeAutospacing="0" w:after="120" w:afterAutospacing="0" w:line="276" w:lineRule="auto"/>
        <w:ind w:firstLine="709"/>
        <w:jc w:val="both"/>
        <w:rPr>
          <w:rFonts w:ascii="Verdana" w:hAnsi="Verdana" w:cs="Arial"/>
          <w:color w:val="000000" w:themeColor="text1"/>
          <w:sz w:val="22"/>
          <w:szCs w:val="22"/>
          <w:lang w:val="es-ES"/>
        </w:rPr>
      </w:pPr>
      <w:r w:rsidRPr="0048565C">
        <w:rPr>
          <w:rFonts w:ascii="Verdana" w:hAnsi="Verdana" w:cs="Arial"/>
          <w:color w:val="000000"/>
          <w:sz w:val="22"/>
          <w:szCs w:val="22"/>
          <w:shd w:val="clear" w:color="auto" w:fill="FFFFFF"/>
        </w:rPr>
        <w:t>Todo lo anterior, teniendo en cuenta que la referida Guía contiene criterios orientadores para las entidades públicas, los cuales, en consecuencia, no son vinculantes ni de obligatorio acatamiento. En otras palabras, las entidades están facultadas para aplicar los criterios contenidos en la Guía o acudir, si bien lo tienen, a otro tipo de criterios que consideren más apropiados para cada proceso de contratación</w:t>
      </w:r>
      <w:r w:rsidRPr="0048565C">
        <w:rPr>
          <w:rFonts w:ascii="Verdana" w:hAnsi="Verdana" w:cs="Arial"/>
          <w:color w:val="000000" w:themeColor="text1"/>
          <w:sz w:val="22"/>
          <w:szCs w:val="22"/>
          <w:lang w:val="es-ES"/>
        </w:rPr>
        <w:t>.</w:t>
      </w:r>
    </w:p>
    <w:p w14:paraId="5786E6F2" w14:textId="77777777" w:rsidR="00194DEE" w:rsidRPr="006B17A7" w:rsidRDefault="00194DEE" w:rsidP="00194DEE">
      <w:pPr>
        <w:spacing w:before="120" w:after="0" w:line="276" w:lineRule="auto"/>
        <w:ind w:firstLine="708"/>
        <w:jc w:val="both"/>
        <w:rPr>
          <w:rFonts w:ascii="Verdana" w:eastAsia="Calibri" w:hAnsi="Verdana" w:cs="Arial"/>
        </w:rPr>
      </w:pP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6D56C287" w14:textId="77777777" w:rsidR="00194DEE" w:rsidRPr="006B17A7" w:rsidRDefault="00194DEE" w:rsidP="00194DEE">
      <w:pPr>
        <w:spacing w:before="120" w:after="0" w:line="276" w:lineRule="auto"/>
        <w:ind w:firstLine="708"/>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471B579" w14:textId="77777777" w:rsidR="00194DEE" w:rsidRPr="006B17A7" w:rsidRDefault="00194DEE" w:rsidP="00194DEE">
      <w:pPr>
        <w:spacing w:after="0" w:line="276" w:lineRule="auto"/>
        <w:ind w:firstLine="708"/>
        <w:jc w:val="both"/>
        <w:rPr>
          <w:rFonts w:ascii="Verdana" w:eastAsia="Calibri" w:hAnsi="Verdana" w:cs="Arial"/>
        </w:rPr>
      </w:pPr>
    </w:p>
    <w:p w14:paraId="094BA353" w14:textId="77777777" w:rsidR="00194DEE" w:rsidRPr="006B17A7" w:rsidRDefault="00194DEE" w:rsidP="00194DEE">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35C55BC1" w14:textId="77777777" w:rsidR="00194DEE" w:rsidRPr="006B17A7" w:rsidRDefault="00194DEE" w:rsidP="00194DEE">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4DEE" w:rsidRPr="006B17A7" w14:paraId="304235F6" w14:textId="77777777" w:rsidTr="00617CE6">
        <w:trPr>
          <w:trHeight w:val="870"/>
        </w:trPr>
        <w:tc>
          <w:tcPr>
            <w:tcW w:w="8647" w:type="dxa"/>
          </w:tcPr>
          <w:p w14:paraId="6F5DC238" w14:textId="77777777" w:rsidR="00194DEE" w:rsidRPr="00B36A7B" w:rsidRDefault="00194DEE" w:rsidP="00194DE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6A7B">
              <w:rPr>
                <w:rFonts w:ascii="Verdana" w:hAnsi="Verdana" w:cs="Arial"/>
              </w:rPr>
              <w:t>Ley 80 de 1993, artículos 5, 26 y 41.</w:t>
            </w:r>
          </w:p>
          <w:p w14:paraId="7AF0C6A4" w14:textId="77777777" w:rsidR="00194DEE" w:rsidRDefault="00194DEE" w:rsidP="00194DE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94552">
              <w:rPr>
                <w:rFonts w:ascii="Verdana" w:hAnsi="Verdana" w:cs="Arial"/>
              </w:rPr>
              <w:t xml:space="preserve">Decreto 1082 de 2015, artículo </w:t>
            </w:r>
            <w:r w:rsidRPr="00994552">
              <w:rPr>
                <w:rFonts w:ascii="Verdana" w:hAnsi="Verdana" w:cs="Arial"/>
                <w:lang w:val="es-CO"/>
              </w:rPr>
              <w:t>2.2.1.1.1.6.1 y 2.2.1.1.2.2.4.</w:t>
            </w:r>
            <w:r w:rsidRPr="00994552">
              <w:rPr>
                <w:rFonts w:ascii="Verdana" w:hAnsi="Verdana" w:cs="Arial"/>
              </w:rPr>
              <w:t xml:space="preserve"> </w:t>
            </w:r>
          </w:p>
          <w:p w14:paraId="02017BCA" w14:textId="77777777" w:rsidR="00194DEE" w:rsidRPr="00994552" w:rsidRDefault="00194DEE" w:rsidP="00194DE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94552">
              <w:rPr>
                <w:rFonts w:ascii="Verdana" w:hAnsi="Verdana" w:cs="Arial"/>
              </w:rPr>
              <w:t>Ley 1150 de 2007. Artículo 5</w:t>
            </w:r>
          </w:p>
          <w:p w14:paraId="0DF6B1C1" w14:textId="77777777" w:rsidR="00194DEE" w:rsidRDefault="00194DEE" w:rsidP="00194DEE">
            <w:pPr>
              <w:pStyle w:val="Prrafodelista"/>
              <w:widowControl w:val="0"/>
              <w:numPr>
                <w:ilvl w:val="0"/>
                <w:numId w:val="17"/>
              </w:numPr>
              <w:autoSpaceDE w:val="0"/>
              <w:autoSpaceDN w:val="0"/>
              <w:spacing w:after="120" w:line="276" w:lineRule="auto"/>
              <w:jc w:val="both"/>
              <w:rPr>
                <w:rFonts w:ascii="Verdana" w:hAnsi="Verdana" w:cs="Arial"/>
              </w:rPr>
            </w:pPr>
            <w:r w:rsidRPr="00994552">
              <w:rPr>
                <w:rFonts w:ascii="Verdana" w:hAnsi="Verdana" w:cs="Arial"/>
              </w:rPr>
              <w:t>Consejo de Estado. Sección Tercera. Sentencia del 4 de junio de 2008. Exp. No. 17.783. C.P. Myriam Guerrero de Escobar.</w:t>
            </w:r>
          </w:p>
          <w:p w14:paraId="4C0DE386" w14:textId="77777777" w:rsidR="00194DEE" w:rsidRDefault="00194DEE" w:rsidP="00194DEE">
            <w:pPr>
              <w:pStyle w:val="Prrafodelista"/>
              <w:widowControl w:val="0"/>
              <w:numPr>
                <w:ilvl w:val="0"/>
                <w:numId w:val="17"/>
              </w:numPr>
              <w:autoSpaceDE w:val="0"/>
              <w:autoSpaceDN w:val="0"/>
              <w:spacing w:after="120" w:line="276" w:lineRule="auto"/>
              <w:jc w:val="both"/>
              <w:rPr>
                <w:rFonts w:ascii="Verdana" w:hAnsi="Verdana" w:cs="Arial"/>
              </w:rPr>
            </w:pPr>
            <w:r w:rsidRPr="00994552">
              <w:rPr>
                <w:rFonts w:ascii="Verdana" w:hAnsi="Verdana" w:cs="Arial"/>
              </w:rPr>
              <w:t>Decreto 1860 de 2021. Artículo 5</w:t>
            </w:r>
          </w:p>
          <w:p w14:paraId="4BDE752E" w14:textId="77777777" w:rsidR="00194DEE" w:rsidRPr="006B17A7" w:rsidRDefault="00194DEE" w:rsidP="00194DEE">
            <w:pPr>
              <w:widowControl w:val="0"/>
              <w:numPr>
                <w:ilvl w:val="0"/>
                <w:numId w:val="17"/>
              </w:numPr>
              <w:autoSpaceDE w:val="0"/>
              <w:autoSpaceDN w:val="0"/>
              <w:spacing w:line="276" w:lineRule="auto"/>
              <w:contextualSpacing/>
              <w:jc w:val="both"/>
              <w:rPr>
                <w:rFonts w:ascii="Verdana" w:eastAsia="Aptos" w:hAnsi="Verdana" w:cs="Arial"/>
              </w:rPr>
            </w:pPr>
            <w:r w:rsidRPr="00B36A7B">
              <w:rPr>
                <w:rFonts w:ascii="Verdana" w:hAnsi="Verdana" w:cs="Arial"/>
              </w:rPr>
              <w:t xml:space="preserve">Guía para el manejo de ofertas artificialmente bajas en Procesos de Contratación de la Agencia Nacional de Contratación Pública – Colombia Compra Eficiente. Disponible en: </w:t>
            </w:r>
            <w:hyperlink r:id="rId13" w:history="1">
              <w:r w:rsidRPr="00B36A7B">
                <w:rPr>
                  <w:rStyle w:val="Hipervnculo"/>
                  <w:rFonts w:ascii="Verdana" w:hAnsi="Verdana" w:cs="Arial"/>
                </w:rPr>
                <w:t>https://colombiacompra.gov.co/sites/cce_public/files/cce_documents/cce_guia_artificialmente_bajas.pdf</w:t>
              </w:r>
            </w:hyperlink>
            <w:r w:rsidRPr="00B36A7B">
              <w:rPr>
                <w:rFonts w:ascii="Verdana" w:hAnsi="Verdana" w:cs="Arial"/>
              </w:rPr>
              <w:t>.</w:t>
            </w:r>
          </w:p>
        </w:tc>
      </w:tr>
    </w:tbl>
    <w:p w14:paraId="771CE672" w14:textId="77777777" w:rsidR="00194DEE" w:rsidRPr="006B17A7" w:rsidRDefault="00194DEE" w:rsidP="00194DEE">
      <w:pPr>
        <w:widowControl w:val="0"/>
        <w:autoSpaceDE w:val="0"/>
        <w:autoSpaceDN w:val="0"/>
        <w:spacing w:after="0" w:line="276" w:lineRule="auto"/>
        <w:jc w:val="both"/>
        <w:rPr>
          <w:rFonts w:ascii="Verdana" w:eastAsia="Aptos" w:hAnsi="Verdana" w:cs="Arial"/>
        </w:rPr>
      </w:pPr>
    </w:p>
    <w:p w14:paraId="2AC19994" w14:textId="77777777" w:rsidR="00194DEE" w:rsidRPr="006B17A7" w:rsidRDefault="00194DEE" w:rsidP="00194DEE">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602D8779" w14:textId="77777777" w:rsidR="00194DEE" w:rsidRPr="006B17A7" w:rsidRDefault="00194DEE" w:rsidP="00194DEE">
      <w:pPr>
        <w:widowControl w:val="0"/>
        <w:autoSpaceDE w:val="0"/>
        <w:autoSpaceDN w:val="0"/>
        <w:spacing w:after="0" w:line="276" w:lineRule="auto"/>
        <w:jc w:val="both"/>
        <w:rPr>
          <w:rFonts w:ascii="Verdana" w:eastAsia="Aptos" w:hAnsi="Verdana" w:cs="Arial"/>
        </w:rPr>
      </w:pPr>
    </w:p>
    <w:p w14:paraId="4DB31C73" w14:textId="77777777" w:rsidR="00194DEE" w:rsidRPr="006B17A7" w:rsidRDefault="00194DEE" w:rsidP="00194DEE">
      <w:pPr>
        <w:widowControl w:val="0"/>
        <w:autoSpaceDE w:val="0"/>
        <w:autoSpaceDN w:val="0"/>
        <w:spacing w:after="0" w:line="276" w:lineRule="auto"/>
        <w:jc w:val="both"/>
        <w:rPr>
          <w:rFonts w:ascii="Verdana" w:eastAsia="Aptos" w:hAnsi="Verdana" w:cs="Arial"/>
          <w:shd w:val="clear" w:color="auto" w:fill="FFFFFF"/>
          <w:lang w:val="es-ES"/>
        </w:rPr>
      </w:pPr>
      <w:r w:rsidRPr="00DD781E">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 xml:space="preserve">los precios artificialmente bajos en </w:t>
      </w:r>
      <w:r w:rsidRPr="00C572AA">
        <w:rPr>
          <w:rFonts w:ascii="Verdana" w:hAnsi="Verdana" w:cs="Arial"/>
          <w:shd w:val="clear" w:color="auto" w:fill="FFFFFF"/>
        </w:rPr>
        <w:t>los Conceptos 2201913000007853 del 21 de octubre de 2019, 2201913000008058 del 28 de octubre de 2019, 2201913000008288 del 7 de noviembre de 2019, 2201913000009110 del 11 de diciembre de 2019, 2201913000009489 del 20 de diciembre de 2019, 2202013000000038 del 7 de enero de 2020, C-012 del 28 de enero de 2020, C-163 del 31 de marzo de 2020, C-191 del 16 de marzo de 2020, C-200 del 14 de abril de 2020, C-299 del 16 de julio de 2020, C-429 del 24 de julio de 2020, C-473 del 13 de julio de 2020, C-496 del 24 de julio de 2020, C-506 del 22 de julio de 2020, C-767 del 7 de enero de 2021, C-011 del 16 de febrero de 2021, C-112 del 7 de abril de 2021, C-205 del 7 de mayo de 2021, C-737 del 27 de enero de 2022, C-287 del 11 de mayo de 2022, C-299 del 14 de mayo de 2022, C-304 del 16 de mayo de 2022, C-403 del 22 de junio de 2022, C-484 del 28 de julio de 2022, C-487 del 26 de julio de 2022, C-512 del 10 de agosto de 2022, C-546 del 30 de agosto de 2022, C-751 del 17 de noviembre de 2022, C-756 del 17 de noviembre de 2022, C-798 del 23 de noviembre de 2022, C-022 del 16 de febrero de 2023</w:t>
      </w:r>
      <w:r>
        <w:rPr>
          <w:rFonts w:ascii="Verdana" w:hAnsi="Verdana" w:cs="Arial"/>
          <w:shd w:val="clear" w:color="auto" w:fill="FFFFFF"/>
        </w:rPr>
        <w:t xml:space="preserve">, </w:t>
      </w:r>
      <w:r w:rsidRPr="00C572AA">
        <w:rPr>
          <w:rFonts w:ascii="Verdana" w:hAnsi="Verdana" w:cs="Arial"/>
          <w:shd w:val="clear" w:color="auto" w:fill="FFFFFF"/>
        </w:rPr>
        <w:t>C-165 del 2 de junio de 2023</w:t>
      </w:r>
      <w:r>
        <w:rPr>
          <w:rFonts w:ascii="Verdana" w:hAnsi="Verdana" w:cs="Arial"/>
          <w:shd w:val="clear" w:color="auto" w:fill="FFFFFF"/>
        </w:rPr>
        <w:t>, C-507 del 23 de agosto de 2024, C-408 del 13 de mayo de 2025</w:t>
      </w:r>
      <w:r>
        <w:rPr>
          <w:rFonts w:ascii="Verdana" w:eastAsia="Calibri" w:hAnsi="Verdana" w:cs="Arial"/>
          <w:lang w:val="es-ES_tradnl" w:eastAsia="es-ES"/>
        </w:rPr>
        <w:t xml:space="preserve">, y C-069 de 19 de febrero de 2006, </w:t>
      </w:r>
      <w:r w:rsidRPr="00E87EA6">
        <w:rPr>
          <w:rFonts w:ascii="Verdana" w:eastAsia="Calibri" w:hAnsi="Verdana" w:cs="Arial"/>
          <w:shd w:val="clear" w:color="auto" w:fill="FFFFFF"/>
          <w:lang w:val="es-ES"/>
        </w:rPr>
        <w:t>entre otros</w:t>
      </w:r>
      <w:r w:rsidRPr="006B17A7">
        <w:rPr>
          <w:rFonts w:ascii="Verdana" w:eastAsia="Aptos" w:hAnsi="Verdana" w:cs="Arial"/>
          <w:shd w:val="clear" w:color="auto" w:fill="FFFFFF"/>
          <w:lang w:val="es-ES"/>
        </w:rPr>
        <w:t xml:space="preserve">. Estos y otros conceptos se encuentran disponibles para consulta en el Sistema de Relatoría de la Agencia, en el cual también podrás encontrar jurisprudencia del Consejo de Estado, </w:t>
      </w:r>
      <w:r w:rsidRPr="006B17A7">
        <w:rPr>
          <w:rFonts w:ascii="Verdana" w:eastAsia="Aptos" w:hAnsi="Verdana" w:cs="Arial"/>
          <w:shd w:val="clear" w:color="auto" w:fill="FFFFFF"/>
          <w:lang w:val="es-ES"/>
        </w:rPr>
        <w:lastRenderedPageBreak/>
        <w:t xml:space="preserve">laudos arbitrales y la normativa de la contratación concordada con la doctrina de la Subdirección de Gestión Contractual. Accede a través del siguiente enlace: </w:t>
      </w:r>
      <w:hyperlink r:id="rId14" w:history="1">
        <w:r w:rsidRPr="006B17A7">
          <w:rPr>
            <w:rFonts w:ascii="Verdana" w:eastAsia="Aptos" w:hAnsi="Verdana" w:cs="Arial"/>
            <w:color w:val="467886"/>
            <w:u w:val="single"/>
            <w:shd w:val="clear" w:color="auto" w:fill="FFFFFF"/>
            <w:lang w:val="es-ES"/>
          </w:rPr>
          <w:t>https://relatoria.colombiacompra.gov.co/</w:t>
        </w:r>
      </w:hyperlink>
      <w:r w:rsidRPr="006B17A7">
        <w:rPr>
          <w:rFonts w:ascii="Verdana" w:eastAsia="Aptos" w:hAnsi="Verdana" w:cs="Arial"/>
          <w:shd w:val="clear" w:color="auto" w:fill="FFFFFF"/>
          <w:lang w:val="es-ES"/>
        </w:rPr>
        <w:t xml:space="preserve">. </w:t>
      </w:r>
    </w:p>
    <w:p w14:paraId="6B574C67" w14:textId="77777777" w:rsidR="00194DEE" w:rsidRPr="00115E3D" w:rsidRDefault="00194DEE" w:rsidP="00194DEE">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0F1B0973" w14:textId="77777777" w:rsidR="00194DEE" w:rsidRPr="009A385A" w:rsidRDefault="00194DEE" w:rsidP="00194DEE">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1B464856" w14:textId="77777777" w:rsidR="00194DEE" w:rsidRDefault="00194DEE" w:rsidP="00194DEE">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7251D09F" w14:textId="77777777" w:rsidR="00194DEE" w:rsidRPr="009A385A" w:rsidRDefault="00194DEE" w:rsidP="00194DEE">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7BD6B9B" w14:textId="77777777" w:rsidR="00194DEE" w:rsidRPr="00115E3D" w:rsidRDefault="00194DEE" w:rsidP="00194DEE">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48D5FF49" w14:textId="77777777" w:rsidR="00194DEE" w:rsidRPr="00115E3D" w:rsidRDefault="00194DEE" w:rsidP="00194DEE">
      <w:pPr>
        <w:spacing w:after="0" w:line="240" w:lineRule="auto"/>
        <w:jc w:val="both"/>
        <w:rPr>
          <w:rFonts w:ascii="Verdana" w:hAnsi="Verdana"/>
          <w:color w:val="000000" w:themeColor="text1"/>
        </w:rPr>
      </w:pPr>
    </w:p>
    <w:p w14:paraId="54AF7586" w14:textId="77777777" w:rsidR="00194DEE" w:rsidRPr="00115E3D" w:rsidRDefault="00194DEE" w:rsidP="00194DEE">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6A3C85FF" w14:textId="77777777" w:rsidR="00194DEE" w:rsidRPr="00115E3D" w:rsidRDefault="00194DEE" w:rsidP="00194DEE">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2EED6C31" w14:textId="77777777" w:rsidR="00194DEE" w:rsidRPr="00115E3D" w:rsidRDefault="00194DEE" w:rsidP="00194DEE">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55C647F" w14:textId="77777777" w:rsidR="00194DEE" w:rsidRPr="00115E3D" w:rsidRDefault="00194DEE" w:rsidP="00194DEE">
      <w:pPr>
        <w:widowControl w:val="0"/>
        <w:autoSpaceDE w:val="0"/>
        <w:autoSpaceDN w:val="0"/>
        <w:spacing w:after="0" w:line="276" w:lineRule="auto"/>
        <w:jc w:val="both"/>
        <w:rPr>
          <w:rFonts w:ascii="Verdana" w:hAnsi="Verdana" w:cs="Arial"/>
          <w:color w:val="000000" w:themeColor="text1"/>
        </w:rPr>
      </w:pPr>
    </w:p>
    <w:p w14:paraId="24884E08" w14:textId="77777777" w:rsidR="00194DEE" w:rsidRPr="00115E3D" w:rsidRDefault="00194DEE" w:rsidP="00194DEE">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C263FFB" w14:textId="77777777" w:rsidR="00194DEE" w:rsidRDefault="00194DEE" w:rsidP="00194DEE">
      <w:pPr>
        <w:spacing w:after="0" w:line="240" w:lineRule="auto"/>
        <w:rPr>
          <w:rFonts w:ascii="Verdana" w:eastAsia="Times New Roman" w:hAnsi="Verdana" w:cs="Arial"/>
          <w:color w:val="000000" w:themeColor="text1"/>
          <w:lang w:eastAsia="es-CO"/>
        </w:rPr>
      </w:pPr>
    </w:p>
    <w:p w14:paraId="02714712" w14:textId="77777777" w:rsidR="00194DEE" w:rsidRDefault="00194DEE" w:rsidP="00194DEE">
      <w:pPr>
        <w:spacing w:after="0" w:line="240" w:lineRule="auto"/>
        <w:rPr>
          <w:rFonts w:ascii="Verdana" w:eastAsia="Times New Roman" w:hAnsi="Verdana" w:cs="Arial"/>
          <w:color w:val="000000" w:themeColor="text1"/>
          <w:lang w:eastAsia="es-CO"/>
        </w:rPr>
      </w:pPr>
    </w:p>
    <w:p w14:paraId="4EC02A92" w14:textId="77777777" w:rsidR="00194DEE" w:rsidRPr="00115E3D" w:rsidRDefault="00194DEE" w:rsidP="00194DEE">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37D3658D" w14:textId="77777777" w:rsidR="00904893" w:rsidRDefault="00904893" w:rsidP="00194DEE">
      <w:pPr>
        <w:spacing w:line="276" w:lineRule="auto"/>
        <w:jc w:val="center"/>
        <w:rPr>
          <w:noProof/>
        </w:rPr>
      </w:pPr>
    </w:p>
    <w:p w14:paraId="4276FC05" w14:textId="77777777" w:rsidR="00904893" w:rsidRDefault="00904893" w:rsidP="00194DEE">
      <w:pPr>
        <w:spacing w:line="276" w:lineRule="auto"/>
        <w:jc w:val="center"/>
        <w:rPr>
          <w:noProof/>
        </w:rPr>
      </w:pPr>
    </w:p>
    <w:p w14:paraId="7FB76A87" w14:textId="54433748" w:rsidR="00904893" w:rsidRDefault="00904893" w:rsidP="00194DEE">
      <w:pPr>
        <w:spacing w:line="276" w:lineRule="auto"/>
        <w:jc w:val="center"/>
        <w:rPr>
          <w:noProof/>
        </w:rPr>
      </w:pPr>
      <w:r>
        <w:rPr>
          <w:noProof/>
        </w:rPr>
        <w:drawing>
          <wp:inline distT="0" distB="0" distL="0" distR="0" wp14:anchorId="7B588C08" wp14:editId="00E98530">
            <wp:extent cx="3516630" cy="1509628"/>
            <wp:effectExtent l="0" t="0" r="7620" b="0"/>
            <wp:docPr id="1524104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33270" cy="151677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94DEE" w:rsidRPr="00115E3D" w14:paraId="4568CAA2" w14:textId="77777777" w:rsidTr="00617CE6">
        <w:trPr>
          <w:trHeight w:val="315"/>
        </w:trPr>
        <w:tc>
          <w:tcPr>
            <w:tcW w:w="893" w:type="dxa"/>
            <w:vAlign w:val="center"/>
            <w:hideMark/>
          </w:tcPr>
          <w:p w14:paraId="0454D78B" w14:textId="77777777" w:rsidR="00194DEE" w:rsidRPr="00115E3D" w:rsidRDefault="00194DEE" w:rsidP="00617CE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5DD91AA" w14:textId="77777777" w:rsidR="00194DEE" w:rsidRPr="00115E3D" w:rsidRDefault="00194DEE" w:rsidP="00617CE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6029FA00" w14:textId="77777777" w:rsidR="00194DEE" w:rsidRPr="00115E3D" w:rsidRDefault="00194DEE" w:rsidP="00617CE6">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194DEE" w:rsidRPr="00115E3D" w14:paraId="1A85DEE3" w14:textId="77777777" w:rsidTr="00617CE6">
        <w:trPr>
          <w:trHeight w:val="330"/>
        </w:trPr>
        <w:tc>
          <w:tcPr>
            <w:tcW w:w="893" w:type="dxa"/>
            <w:vAlign w:val="center"/>
            <w:hideMark/>
          </w:tcPr>
          <w:p w14:paraId="6032939F" w14:textId="77777777" w:rsidR="00194DEE" w:rsidRPr="00115E3D" w:rsidRDefault="00194DEE" w:rsidP="00617CE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5634C0" w14:textId="77777777" w:rsidR="00194DEE" w:rsidRDefault="00194DEE" w:rsidP="00617CE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79325222" w14:textId="77777777" w:rsidR="00194DEE" w:rsidRPr="00115E3D" w:rsidRDefault="00194DEE" w:rsidP="00617CE6">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194DEE" w:rsidRPr="00115E3D" w14:paraId="5058CDF4" w14:textId="77777777" w:rsidTr="00617CE6">
        <w:trPr>
          <w:trHeight w:val="300"/>
        </w:trPr>
        <w:tc>
          <w:tcPr>
            <w:tcW w:w="893" w:type="dxa"/>
            <w:vAlign w:val="center"/>
          </w:tcPr>
          <w:p w14:paraId="1CC459BF" w14:textId="77777777" w:rsidR="00194DEE" w:rsidRPr="00115E3D" w:rsidRDefault="00194DEE" w:rsidP="00617CE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B3BF77" w14:textId="77777777" w:rsidR="00194DEE" w:rsidRPr="00115E3D" w:rsidRDefault="00194DEE" w:rsidP="00617CE6">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1C51239" w14:textId="77777777" w:rsidR="00194DEE" w:rsidRPr="00115E3D" w:rsidRDefault="00194DEE" w:rsidP="00617CE6">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3D89F1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D1DF1" w14:textId="77777777" w:rsidR="00F92D50" w:rsidRDefault="00F92D50" w:rsidP="004A1847">
      <w:pPr>
        <w:spacing w:after="0" w:line="240" w:lineRule="auto"/>
      </w:pPr>
      <w:r>
        <w:separator/>
      </w:r>
    </w:p>
  </w:endnote>
  <w:endnote w:type="continuationSeparator" w:id="0">
    <w:p w14:paraId="0EC55751" w14:textId="77777777" w:rsidR="00F92D50" w:rsidRDefault="00F92D5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5F8A0" w14:textId="77777777" w:rsidR="00F92D50" w:rsidRDefault="00F92D50" w:rsidP="004A1847">
      <w:pPr>
        <w:spacing w:after="0" w:line="240" w:lineRule="auto"/>
      </w:pPr>
      <w:r>
        <w:separator/>
      </w:r>
    </w:p>
  </w:footnote>
  <w:footnote w:type="continuationSeparator" w:id="0">
    <w:p w14:paraId="57C91A5E" w14:textId="77777777" w:rsidR="00F92D50" w:rsidRDefault="00F92D50" w:rsidP="004A1847">
      <w:pPr>
        <w:spacing w:after="0" w:line="240" w:lineRule="auto"/>
      </w:pPr>
      <w:r>
        <w:continuationSeparator/>
      </w:r>
    </w:p>
  </w:footnote>
  <w:footnote w:id="1">
    <w:p w14:paraId="276BF0F4" w14:textId="77777777" w:rsidR="00194DEE" w:rsidRPr="00537AC4" w:rsidRDefault="00194DEE" w:rsidP="00194DEE">
      <w:pPr>
        <w:pStyle w:val="Textonotapie"/>
        <w:snapToGrid w:val="0"/>
        <w:spacing w:after="120"/>
        <w:ind w:firstLine="709"/>
        <w:jc w:val="both"/>
        <w:rPr>
          <w:rFonts w:ascii="Verdana" w:hAnsi="Verdana" w:cs="Arial"/>
          <w:color w:val="000000" w:themeColor="text1"/>
          <w:sz w:val="18"/>
          <w:szCs w:val="18"/>
          <w:lang w:val="es-ES"/>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Consejo de Estado. Sección Tercera. Sentencia del 4 de junio de 2008. Exp. No. 17.783. C.P. Myriam Guerrero de Escobar.</w:t>
      </w:r>
    </w:p>
  </w:footnote>
  <w:footnote w:id="2">
    <w:p w14:paraId="73077FBA" w14:textId="77777777" w:rsidR="00194DEE" w:rsidRPr="00537AC4" w:rsidRDefault="00194DEE" w:rsidP="00194DEE">
      <w:pPr>
        <w:snapToGrid w:val="0"/>
        <w:spacing w:before="120" w:after="120" w:line="240" w:lineRule="auto"/>
        <w:ind w:firstLine="708"/>
        <w:jc w:val="both"/>
        <w:rPr>
          <w:rFonts w:ascii="Verdana" w:hAnsi="Verdana" w:cs="Arial"/>
          <w:color w:val="000000" w:themeColor="text1"/>
          <w:sz w:val="18"/>
          <w:szCs w:val="18"/>
        </w:rPr>
      </w:pPr>
      <w:r w:rsidRPr="00537AC4">
        <w:rPr>
          <w:rStyle w:val="Refdenotaalpie"/>
          <w:rFonts w:ascii="Verdana" w:hAnsi="Verdana"/>
          <w:sz w:val="18"/>
          <w:szCs w:val="18"/>
        </w:rPr>
        <w:footnoteRef/>
      </w:r>
      <w:r w:rsidRPr="00537AC4">
        <w:rPr>
          <w:rFonts w:ascii="Verdana" w:hAnsi="Verdana"/>
          <w:sz w:val="18"/>
          <w:szCs w:val="18"/>
        </w:rPr>
        <w:t xml:space="preserve"> </w:t>
      </w:r>
      <w:r w:rsidRPr="00537AC4">
        <w:rPr>
          <w:rFonts w:ascii="Verdana" w:hAnsi="Verdana" w:cs="Arial"/>
          <w:color w:val="000000" w:themeColor="text1"/>
          <w:sz w:val="18"/>
          <w:szCs w:val="18"/>
        </w:rPr>
        <w:t xml:space="preserve">La Agencia Nacional de Contratación Pública – Colombia Compra Eficiente expidió la “Guía para el manejo de ofertas artificialmente bajas en Procesos de Contratación”, en la cual se señalan las causas y consecuencias de que en los procedimientos contractuales existan este tipo de ofertas, y las herramientas y pasos para identificarlas y manejarlas; además de estrategias para reducir la posibilidad de recibir ofertas con “precios artificialmente bajos”. De acuerdo con la parte introductoria de la Guía, esta brinda pautas a los participantes de la contratación pública, en cumplimiento del objetivo y funciones de esta Agencia que, de acuerdo con el artículo 3 Decreto Ley 4170 de 2011, desarrolla implementar y difunde políticas, planes, programas, normas instrumentos y herramientas que facilitan la contratación pública. </w:t>
      </w:r>
    </w:p>
    <w:p w14:paraId="01BC0087" w14:textId="77777777" w:rsidR="00194DEE" w:rsidRPr="00537AC4" w:rsidRDefault="00194DEE" w:rsidP="00194DEE">
      <w:pPr>
        <w:snapToGrid w:val="0"/>
        <w:spacing w:before="120" w:after="120" w:line="240" w:lineRule="auto"/>
        <w:ind w:firstLine="708"/>
        <w:jc w:val="both"/>
        <w:rPr>
          <w:rFonts w:ascii="Verdana" w:hAnsi="Verdana" w:cs="Arial"/>
          <w:color w:val="000000" w:themeColor="text1"/>
          <w:sz w:val="18"/>
          <w:szCs w:val="18"/>
        </w:rPr>
      </w:pPr>
      <w:r w:rsidRPr="00537AC4">
        <w:rPr>
          <w:rFonts w:ascii="Verdana" w:hAnsi="Verdana" w:cs="Arial"/>
          <w:color w:val="000000" w:themeColor="text1"/>
          <w:sz w:val="18"/>
          <w:szCs w:val="18"/>
        </w:rPr>
        <w:t xml:space="preserve">Entre las funciones asignadas se contempla el desarrollo y publicación de instrumentos y herramientas que ayuden a los participantes de la contratación pública, los cuales fueron denominados por la Agencia como manuales y guías. Los lineamientos y orientaciones que esta entidad propone tienen en cuenta la aplicación de normas de carácter general en materia de compras y contratación pública, y por ende se dirigen a facilitar la actividad contractual de las entidades públicas en general. </w:t>
      </w:r>
    </w:p>
    <w:p w14:paraId="246CFB8F" w14:textId="77777777" w:rsidR="00194DEE" w:rsidRPr="00537AC4" w:rsidRDefault="00194DEE" w:rsidP="00194DEE">
      <w:pPr>
        <w:pStyle w:val="Textonotapie"/>
        <w:snapToGrid w:val="0"/>
        <w:spacing w:after="120"/>
        <w:rPr>
          <w:rFonts w:ascii="Verdana" w:hAnsi="Verdana"/>
          <w:sz w:val="18"/>
          <w:szCs w:val="18"/>
          <w:lang w:val="es-CO"/>
        </w:rPr>
      </w:pPr>
    </w:p>
  </w:footnote>
  <w:footnote w:id="3">
    <w:p w14:paraId="03FB5F7E" w14:textId="77777777" w:rsidR="00194DEE" w:rsidRPr="00537AC4" w:rsidRDefault="00194DEE" w:rsidP="00194DEE">
      <w:pPr>
        <w:pStyle w:val="Textonotapie"/>
        <w:snapToGrid w:val="0"/>
        <w:spacing w:after="120"/>
        <w:ind w:firstLine="709"/>
        <w:jc w:val="both"/>
        <w:rPr>
          <w:rFonts w:ascii="Verdana" w:hAnsi="Verdana" w:cs="Arial"/>
          <w:color w:val="000000" w:themeColor="text1"/>
          <w:sz w:val="18"/>
          <w:szCs w:val="18"/>
          <w:lang w:val="es-ES"/>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Guía para el manejo de ofertas artificialmente bajas en Procesos de Contratación. p. 10.</w:t>
      </w:r>
    </w:p>
  </w:footnote>
  <w:footnote w:id="4">
    <w:p w14:paraId="5D8B1447" w14:textId="77777777" w:rsidR="00194DEE" w:rsidRPr="00537AC4" w:rsidRDefault="00194DEE" w:rsidP="00194DEE">
      <w:pPr>
        <w:pStyle w:val="Textonotapie"/>
        <w:snapToGrid w:val="0"/>
        <w:spacing w:after="120"/>
        <w:ind w:firstLine="709"/>
        <w:jc w:val="both"/>
        <w:rPr>
          <w:rFonts w:ascii="Verdana" w:hAnsi="Verdana" w:cs="Arial"/>
          <w:color w:val="000000" w:themeColor="text1"/>
          <w:sz w:val="18"/>
          <w:szCs w:val="18"/>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De acuerdo con el Consejo de Estado, Sección Quinta, sentencia del 22 de octubre de 2009. C.P.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footnote>
  <w:footnote w:id="5">
    <w:p w14:paraId="3B95C7C7" w14:textId="77777777" w:rsidR="00194DEE" w:rsidRPr="00537AC4" w:rsidRDefault="00194DEE" w:rsidP="00194DEE">
      <w:pPr>
        <w:pStyle w:val="Textonotapie"/>
        <w:snapToGrid w:val="0"/>
        <w:spacing w:after="120"/>
        <w:ind w:firstLine="709"/>
        <w:jc w:val="both"/>
        <w:rPr>
          <w:rFonts w:ascii="Verdana" w:hAnsi="Verdana" w:cs="Arial"/>
          <w:color w:val="000000" w:themeColor="text1"/>
          <w:sz w:val="18"/>
          <w:szCs w:val="18"/>
          <w:lang w:val="es-ES"/>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w:t>
      </w:r>
      <w:r w:rsidRPr="00537AC4">
        <w:rPr>
          <w:rFonts w:ascii="Verdana" w:hAnsi="Verdana" w:cs="Arial"/>
          <w:color w:val="000000" w:themeColor="text1"/>
          <w:sz w:val="18"/>
          <w:szCs w:val="18"/>
          <w:lang w:val="es-ES"/>
        </w:rPr>
        <w:t>Consejo de Estado. Sección Segunda. Sentencia del 10 de junio de 1992. Exp. No. 4.249. C.P. Álvaro Lecompte Luna.</w:t>
      </w:r>
    </w:p>
  </w:footnote>
  <w:footnote w:id="6">
    <w:p w14:paraId="7C1DEAEA" w14:textId="77777777" w:rsidR="00194DEE" w:rsidRPr="00537AC4" w:rsidRDefault="00194DEE" w:rsidP="00194DEE">
      <w:pPr>
        <w:pStyle w:val="Textonotapie"/>
        <w:snapToGrid w:val="0"/>
        <w:spacing w:after="120"/>
        <w:ind w:firstLine="709"/>
        <w:jc w:val="both"/>
        <w:rPr>
          <w:rFonts w:ascii="Verdana" w:hAnsi="Verdana" w:cs="Arial"/>
          <w:color w:val="000000" w:themeColor="text1"/>
          <w:sz w:val="18"/>
          <w:szCs w:val="18"/>
        </w:rPr>
      </w:pPr>
      <w:r w:rsidRPr="00537AC4">
        <w:rPr>
          <w:rStyle w:val="Refdenotaalpie"/>
          <w:rFonts w:ascii="Verdana" w:hAnsi="Verdana" w:cs="Arial"/>
          <w:color w:val="000000" w:themeColor="text1"/>
          <w:sz w:val="18"/>
          <w:szCs w:val="18"/>
        </w:rPr>
        <w:footnoteRef/>
      </w:r>
      <w:r w:rsidRPr="00537AC4">
        <w:rPr>
          <w:rFonts w:ascii="Verdana" w:hAnsi="Verdana" w:cs="Arial"/>
          <w:color w:val="000000" w:themeColor="text1"/>
          <w:sz w:val="18"/>
          <w:szCs w:val="18"/>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De ahí que si la finalidad que justifica cierta decisión discrecional es la de satisfacer adecuadamente el interés público, sólo él puede servir como criterio para la adopción de la medida”.</w:t>
      </w:r>
    </w:p>
  </w:footnote>
  <w:footnote w:id="7">
    <w:p w14:paraId="22CA1A1B" w14:textId="77777777" w:rsidR="00194DEE" w:rsidRPr="00537AC4" w:rsidRDefault="00194DEE" w:rsidP="00194DEE">
      <w:pPr>
        <w:pStyle w:val="Textonotapie"/>
        <w:snapToGrid w:val="0"/>
        <w:spacing w:after="120"/>
        <w:ind w:left="708" w:firstLine="1"/>
        <w:jc w:val="both"/>
        <w:rPr>
          <w:rFonts w:ascii="Verdana" w:hAnsi="Verdana"/>
          <w:sz w:val="18"/>
          <w:szCs w:val="18"/>
          <w:lang w:val="es-CO"/>
        </w:rPr>
      </w:pPr>
      <w:r w:rsidRPr="00537AC4">
        <w:rPr>
          <w:rStyle w:val="Refdenotaalpie"/>
          <w:rFonts w:ascii="Verdana" w:hAnsi="Verdana"/>
          <w:sz w:val="18"/>
          <w:szCs w:val="18"/>
        </w:rPr>
        <w:footnoteRef/>
      </w:r>
      <w:r w:rsidRPr="00537AC4">
        <w:rPr>
          <w:rFonts w:ascii="Verdana" w:hAnsi="Verdana"/>
          <w:sz w:val="18"/>
          <w:szCs w:val="18"/>
          <w:lang w:val="en-US"/>
        </w:rPr>
        <w:t xml:space="preserve">    Ibidem. Tomado de Sullivan, Arthur; Steven M. Sheffrin (2003). Economics: Principles in action. </w:t>
      </w:r>
      <w:r w:rsidRPr="00537AC4">
        <w:rPr>
          <w:rFonts w:ascii="Verdana" w:hAnsi="Verdana"/>
          <w:sz w:val="18"/>
          <w:szCs w:val="18"/>
          <w:lang w:val="es-CO"/>
        </w:rPr>
        <w:t xml:space="preserve">Upper Saddle River, New Jersey 07458: Prentice Hall. </w:t>
      </w:r>
    </w:p>
  </w:footnote>
  <w:footnote w:id="8">
    <w:p w14:paraId="3E584477" w14:textId="77777777" w:rsidR="00194DEE" w:rsidRPr="00537AC4" w:rsidRDefault="00194DEE" w:rsidP="00194DEE">
      <w:pPr>
        <w:pStyle w:val="Textonotapie"/>
        <w:snapToGrid w:val="0"/>
        <w:spacing w:after="120"/>
        <w:ind w:firstLine="708"/>
        <w:jc w:val="both"/>
        <w:rPr>
          <w:rFonts w:ascii="Verdana" w:hAnsi="Verdana"/>
          <w:sz w:val="18"/>
          <w:szCs w:val="18"/>
        </w:rPr>
      </w:pPr>
      <w:r w:rsidRPr="00537AC4">
        <w:rPr>
          <w:rStyle w:val="Refdenotaalpie"/>
          <w:rFonts w:ascii="Verdana" w:hAnsi="Verdana"/>
          <w:sz w:val="18"/>
          <w:szCs w:val="18"/>
        </w:rPr>
        <w:footnoteRef/>
      </w:r>
      <w:r w:rsidRPr="00537AC4">
        <w:rPr>
          <w:rFonts w:ascii="Verdana" w:hAnsi="Verdana"/>
          <w:sz w:val="18"/>
          <w:szCs w:val="18"/>
        </w:rPr>
        <w:t xml:space="preserve"> Es importante tener en cuenta que, dado que los contratos estatales regulados por el Estatuto General de Contratación de la Administración Pública son principalmente negocios jurídicos conmutativos, la contraprestación no solo es un derecho del contratista–Ley 80 de 1993, art. 5, num. 1–, sino que también es un elemento relevante para su perfeccionamiento–Ley 80 de 1993, art. 41, inciso primero–.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59050776">
    <w:abstractNumId w:val="0"/>
  </w:num>
  <w:num w:numId="17" w16cid:durableId="2808405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4DEE"/>
    <w:rsid w:val="001A33BF"/>
    <w:rsid w:val="001E4177"/>
    <w:rsid w:val="001F0B24"/>
    <w:rsid w:val="001F7DC6"/>
    <w:rsid w:val="0022400B"/>
    <w:rsid w:val="002269ED"/>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71AD"/>
    <w:rsid w:val="004A1847"/>
    <w:rsid w:val="004A305D"/>
    <w:rsid w:val="004D6061"/>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4893"/>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234E"/>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2D48"/>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379E"/>
    <w:rsid w:val="00E75C92"/>
    <w:rsid w:val="00E771DC"/>
    <w:rsid w:val="00E8772A"/>
    <w:rsid w:val="00E90F6B"/>
    <w:rsid w:val="00E92C27"/>
    <w:rsid w:val="00EA0E3D"/>
    <w:rsid w:val="00EC38A7"/>
    <w:rsid w:val="00EE1AA8"/>
    <w:rsid w:val="00F23FEA"/>
    <w:rsid w:val="00F31EDC"/>
    <w:rsid w:val="00F36EA2"/>
    <w:rsid w:val="00F462B3"/>
    <w:rsid w:val="00F5664F"/>
    <w:rsid w:val="00F666C4"/>
    <w:rsid w:val="00F76AFC"/>
    <w:rsid w:val="00F92D50"/>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94DE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4DEE"/>
    <w:rPr>
      <w:rFonts w:ascii="Geomanist Light" w:hAnsi="Geomanist Light"/>
      <w:lang w:val="es-ES"/>
    </w:rPr>
  </w:style>
  <w:style w:type="character" w:customStyle="1" w:styleId="NormalWebCar">
    <w:name w:val="Normal (Web) Car"/>
    <w:link w:val="NormalWeb"/>
    <w:uiPriority w:val="99"/>
    <w:locked/>
    <w:rsid w:val="00194DE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lombiacompra.gov.co/sites/cce_public/files/cce_documents/cce_guia_artificialmente_bajas.pdf"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manual/guia-para-el-manejo-de-ofertas-artificialmente-bajas-en-procesos-de-contratacion-2"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4DBFFD4-E195-4DEB-A18A-AEFC2F9CDA5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23</Pages>
  <Words>7722</Words>
  <Characters>42472</Characters>
  <Application>Microsoft Office Word</Application>
  <DocSecurity>0</DocSecurity>
  <Lines>353</Lines>
  <Paragraphs>100</Paragraphs>
  <ScaleCrop>false</ScaleCrop>
  <Company/>
  <LinksUpToDate>false</LinksUpToDate>
  <CharactersWithSpaces>50094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2026-05-09T11:28:00Z</dcterms:created>
  <dcterms:modified xsi:type="dcterms:W3CDTF">2026-05-09T11:51:00Z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