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259EF1" w14:textId="06A3DA75" w:rsidR="001B671C" w:rsidRPr="001B671C" w:rsidRDefault="001B671C" w:rsidP="001B671C">
      <w:pPr>
        <w:spacing w:after="0" w:line="240" w:lineRule="auto"/>
        <w:jc w:val="both"/>
        <w:rPr>
          <w:rFonts w:ascii="Verdana" w:eastAsia="Times New Roman" w:hAnsi="Verdana" w:cs="Arial"/>
          <w:b/>
          <w:bCs/>
          <w:lang w:val="es-ES_tradnl" w:eastAsia="es-MX"/>
        </w:rPr>
      </w:pPr>
      <w:bookmarkStart w:id="0" w:name="_Hlk143780582"/>
      <w:bookmarkStart w:id="1" w:name="_Hlk186494164"/>
      <w:r w:rsidRPr="001B671C">
        <w:rPr>
          <w:rFonts w:ascii="Verdana" w:eastAsia="Times New Roman" w:hAnsi="Verdana" w:cs="Arial"/>
          <w:b/>
          <w:bCs/>
          <w:lang w:val="es-ES_tradnl" w:eastAsia="es-MX"/>
        </w:rPr>
        <w:t xml:space="preserve">REQUISITOS HABILITANTES – Concepto </w:t>
      </w:r>
      <w:r w:rsidR="007B3CD0" w:rsidRPr="007B3CD0">
        <w:rPr>
          <w:rFonts w:ascii="Verdana" w:eastAsia="Times New Roman" w:hAnsi="Verdana" w:cs="Arial"/>
          <w:b/>
          <w:bCs/>
          <w:lang w:val="es-ES" w:eastAsia="es-MX"/>
        </w:rPr>
        <w:t>–</w:t>
      </w:r>
      <w:r w:rsidRPr="001B671C">
        <w:rPr>
          <w:rFonts w:ascii="Verdana" w:eastAsia="Times New Roman" w:hAnsi="Verdana" w:cs="Arial"/>
          <w:b/>
          <w:bCs/>
          <w:lang w:val="es-ES_tradnl" w:eastAsia="es-MX"/>
        </w:rPr>
        <w:t xml:space="preserve"> EXPERIENCIA </w:t>
      </w:r>
      <w:r w:rsidR="007B3CD0" w:rsidRPr="007B3CD0">
        <w:rPr>
          <w:rFonts w:ascii="Verdana" w:eastAsia="Times New Roman" w:hAnsi="Verdana" w:cs="Arial"/>
          <w:b/>
          <w:bCs/>
          <w:lang w:val="es-ES" w:eastAsia="es-MX"/>
        </w:rPr>
        <w:t>–</w:t>
      </w:r>
      <w:r w:rsidRPr="001B671C">
        <w:rPr>
          <w:rFonts w:ascii="Verdana" w:eastAsia="Times New Roman" w:hAnsi="Verdana" w:cs="Arial"/>
          <w:b/>
          <w:bCs/>
          <w:lang w:val="es-ES_tradnl" w:eastAsia="es-MX"/>
        </w:rPr>
        <w:t xml:space="preserve"> Forma de acreditación</w:t>
      </w:r>
    </w:p>
    <w:p w14:paraId="0145BD16" w14:textId="77777777" w:rsidR="001B671C" w:rsidRDefault="001B671C" w:rsidP="001B671C">
      <w:pPr>
        <w:spacing w:after="0" w:line="240" w:lineRule="auto"/>
        <w:jc w:val="both"/>
        <w:rPr>
          <w:rFonts w:ascii="Verdana" w:eastAsia="Times New Roman" w:hAnsi="Verdana" w:cs="Arial"/>
          <w:lang w:val="es-ES_tradnl" w:eastAsia="es-MX"/>
        </w:rPr>
      </w:pPr>
    </w:p>
    <w:p w14:paraId="24531F42" w14:textId="7D30D064" w:rsidR="001B671C" w:rsidRDefault="001B671C" w:rsidP="001B671C">
      <w:pPr>
        <w:spacing w:after="0" w:line="240" w:lineRule="auto"/>
        <w:jc w:val="both"/>
        <w:rPr>
          <w:rFonts w:ascii="Verdana" w:eastAsia="Calibri" w:hAnsi="Verdana" w:cs="Arial"/>
          <w:color w:val="000000" w:themeColor="text1"/>
          <w:sz w:val="21"/>
          <w:szCs w:val="21"/>
          <w:lang w:val="es-ES_tradnl"/>
        </w:rPr>
      </w:pPr>
      <w:r w:rsidRPr="001B671C">
        <w:rPr>
          <w:rFonts w:ascii="Verdana" w:eastAsia="Times New Roman" w:hAnsi="Verdana" w:cs="Arial"/>
          <w:sz w:val="21"/>
          <w:szCs w:val="21"/>
          <w:lang w:val="es-ES_tradnl" w:eastAsia="es-MX"/>
        </w:rPr>
        <w:t xml:space="preserve">[…] </w:t>
      </w:r>
      <w:r w:rsidRPr="001B671C">
        <w:rPr>
          <w:rFonts w:ascii="Verdana" w:hAnsi="Verdana" w:cs="Arial"/>
          <w:sz w:val="21"/>
          <w:szCs w:val="21"/>
        </w:rPr>
        <w:t xml:space="preserve">se tiene que </w:t>
      </w:r>
      <w:r w:rsidRPr="001B671C">
        <w:rPr>
          <w:rFonts w:ascii="Verdana" w:hAnsi="Verdana" w:cs="Arial"/>
          <w:sz w:val="21"/>
          <w:szCs w:val="21"/>
          <w:lang w:val="es-ES"/>
        </w:rPr>
        <w:t>l</w:t>
      </w:r>
      <w:r w:rsidRPr="001B671C">
        <w:rPr>
          <w:rFonts w:ascii="Verdana" w:eastAsia="Calibri" w:hAnsi="Verdana" w:cs="Arial"/>
          <w:color w:val="000000" w:themeColor="text1"/>
          <w:sz w:val="21"/>
          <w:szCs w:val="21"/>
          <w:lang w:val="es-ES_tradnl"/>
        </w:rPr>
        <w:t xml:space="preserve">os </w:t>
      </w:r>
      <w:r w:rsidRPr="001B671C">
        <w:rPr>
          <w:rFonts w:ascii="Verdana" w:eastAsia="Calibri" w:hAnsi="Verdana" w:cs="Arial"/>
          <w:i/>
          <w:iCs/>
          <w:color w:val="000000" w:themeColor="text1"/>
          <w:sz w:val="21"/>
          <w:szCs w:val="21"/>
          <w:lang w:val="es-ES_tradnl"/>
        </w:rPr>
        <w:t>requisitos habilitantes</w:t>
      </w:r>
      <w:r w:rsidRPr="001B671C">
        <w:rPr>
          <w:rFonts w:ascii="Verdana" w:eastAsia="Calibri" w:hAnsi="Verdana" w:cs="Arial"/>
          <w:color w:val="000000" w:themeColor="text1"/>
          <w:sz w:val="21"/>
          <w:szCs w:val="21"/>
          <w:lang w:val="es-ES_tradnl"/>
        </w:rPr>
        <w:t xml:space="preserve"> se definen como exigencias de participación en los procedimientos de selección, establecidas en disposiciones normativas, de carácter legal o reglamentario, o contenidas en el acto administrativo que regula las reglas de la convocatoria, es decir, en el Pliego de Condiciones o el documento equivalente a este. Se diferencian de los </w:t>
      </w:r>
      <w:r w:rsidRPr="001B671C">
        <w:rPr>
          <w:rFonts w:ascii="Verdana" w:eastAsia="Calibri" w:hAnsi="Verdana" w:cs="Arial"/>
          <w:i/>
          <w:iCs/>
          <w:color w:val="000000" w:themeColor="text1"/>
          <w:sz w:val="21"/>
          <w:szCs w:val="21"/>
          <w:lang w:val="es-ES_tradnl"/>
        </w:rPr>
        <w:t>criterios de evaluación</w:t>
      </w:r>
      <w:r w:rsidRPr="001B671C">
        <w:rPr>
          <w:rFonts w:ascii="Verdana" w:eastAsia="Calibri" w:hAnsi="Verdana" w:cs="Arial"/>
          <w:color w:val="000000" w:themeColor="text1"/>
          <w:sz w:val="21"/>
          <w:szCs w:val="21"/>
          <w:lang w:val="es-ES_tradnl"/>
        </w:rPr>
        <w:t xml:space="preserve"> –también conocidos como </w:t>
      </w:r>
      <w:r w:rsidRPr="001B671C">
        <w:rPr>
          <w:rFonts w:ascii="Verdana" w:eastAsia="Calibri" w:hAnsi="Verdana" w:cs="Arial"/>
          <w:i/>
          <w:iCs/>
          <w:color w:val="000000" w:themeColor="text1"/>
          <w:sz w:val="21"/>
          <w:szCs w:val="21"/>
          <w:lang w:val="es-ES_tradnl"/>
        </w:rPr>
        <w:t>criterios de calificación</w:t>
      </w:r>
      <w:r w:rsidRPr="001B671C">
        <w:rPr>
          <w:rFonts w:ascii="Verdana" w:eastAsia="Calibri" w:hAnsi="Verdana" w:cs="Arial"/>
          <w:color w:val="000000" w:themeColor="text1"/>
          <w:sz w:val="21"/>
          <w:szCs w:val="21"/>
          <w:lang w:val="es-ES_tradnl"/>
        </w:rPr>
        <w:t>– en que estos son los factores definidos por la Entidad Estatal para la asignación de puntaje en el momento de la comparación de las ofertas, y que, a partir de su ponderación, permiten establecer el orden de elegibilidad y, por ende, la propuesta ganadora</w:t>
      </w:r>
      <w:r>
        <w:rPr>
          <w:rFonts w:ascii="Verdana" w:eastAsia="Calibri" w:hAnsi="Verdana" w:cs="Arial"/>
          <w:color w:val="000000" w:themeColor="text1"/>
          <w:sz w:val="21"/>
          <w:szCs w:val="21"/>
          <w:lang w:val="es-ES_tradnl"/>
        </w:rPr>
        <w:t xml:space="preserve">. </w:t>
      </w:r>
    </w:p>
    <w:p w14:paraId="1FE4D72C" w14:textId="77777777" w:rsidR="001B671C" w:rsidRDefault="001B671C" w:rsidP="001B671C">
      <w:pPr>
        <w:spacing w:after="0" w:line="240" w:lineRule="auto"/>
        <w:jc w:val="both"/>
        <w:rPr>
          <w:rFonts w:ascii="Verdana" w:eastAsia="Calibri" w:hAnsi="Verdana" w:cs="Arial"/>
          <w:color w:val="000000" w:themeColor="text1"/>
          <w:sz w:val="21"/>
          <w:szCs w:val="21"/>
          <w:lang w:val="es-ES_tradnl"/>
        </w:rPr>
      </w:pPr>
    </w:p>
    <w:p w14:paraId="39703794" w14:textId="780E328B" w:rsidR="001B671C" w:rsidRDefault="001B671C" w:rsidP="001B671C">
      <w:pPr>
        <w:spacing w:after="0" w:line="240" w:lineRule="auto"/>
        <w:jc w:val="both"/>
        <w:rPr>
          <w:rFonts w:ascii="Verdana" w:eastAsia="Calibri" w:hAnsi="Verdana" w:cs="Arial"/>
          <w:color w:val="000000" w:themeColor="text1"/>
          <w:sz w:val="21"/>
          <w:szCs w:val="21"/>
          <w:lang w:val="es-ES_tradnl"/>
        </w:rPr>
      </w:pPr>
      <w:r>
        <w:rPr>
          <w:rFonts w:ascii="Verdana" w:eastAsia="Calibri" w:hAnsi="Verdana" w:cs="Arial"/>
          <w:color w:val="000000" w:themeColor="text1"/>
          <w:sz w:val="21"/>
          <w:szCs w:val="21"/>
          <w:lang w:val="es-ES_tradnl"/>
        </w:rPr>
        <w:t xml:space="preserve">[…] </w:t>
      </w:r>
    </w:p>
    <w:p w14:paraId="0580873B" w14:textId="77777777" w:rsidR="001B671C" w:rsidRDefault="001B671C" w:rsidP="001B671C">
      <w:pPr>
        <w:spacing w:after="0" w:line="240" w:lineRule="auto"/>
        <w:jc w:val="both"/>
        <w:rPr>
          <w:rFonts w:ascii="Verdana" w:eastAsia="Calibri" w:hAnsi="Verdana" w:cs="Arial"/>
          <w:color w:val="000000" w:themeColor="text1"/>
          <w:sz w:val="21"/>
          <w:szCs w:val="21"/>
          <w:lang w:val="es-ES_tradnl"/>
        </w:rPr>
      </w:pPr>
    </w:p>
    <w:p w14:paraId="7A567EDB" w14:textId="77777777" w:rsidR="001B671C" w:rsidRPr="001B671C" w:rsidRDefault="001B671C" w:rsidP="001B671C">
      <w:pPr>
        <w:widowControl w:val="0"/>
        <w:autoSpaceDE w:val="0"/>
        <w:autoSpaceDN w:val="0"/>
        <w:spacing w:after="120" w:line="240" w:lineRule="auto"/>
        <w:jc w:val="both"/>
        <w:rPr>
          <w:rFonts w:ascii="Verdana" w:eastAsia="Calibri" w:hAnsi="Verdana" w:cs="Arial"/>
          <w:color w:val="000000" w:themeColor="text1"/>
          <w:sz w:val="21"/>
          <w:szCs w:val="21"/>
        </w:rPr>
      </w:pPr>
      <w:r w:rsidRPr="001B671C">
        <w:rPr>
          <w:rFonts w:ascii="Verdana" w:eastAsia="Calibri" w:hAnsi="Verdana" w:cs="Arial"/>
          <w:color w:val="000000" w:themeColor="text1"/>
          <w:sz w:val="21"/>
          <w:szCs w:val="21"/>
        </w:rPr>
        <w:t>Al respecto, en la Sentencia C-004 de 2017, la Corte Constitucional señaló que: “[l]a determinación de dichas condiciones habilitantes para participar, es competencia de la entidad que planee la celebración del contrato, a través de la valoración en concreto de las características mínimas de idoneidad, experiencia, capacidad jurídica y financiera para que la realización del objeto contractual resulte eficiente y eficaz frente a la necesidad identificada”.</w:t>
      </w:r>
    </w:p>
    <w:p w14:paraId="634D8CAB" w14:textId="77777777" w:rsidR="001B671C" w:rsidRPr="001B671C" w:rsidRDefault="001B671C" w:rsidP="001B671C">
      <w:pPr>
        <w:widowControl w:val="0"/>
        <w:autoSpaceDE w:val="0"/>
        <w:autoSpaceDN w:val="0"/>
        <w:spacing w:after="120" w:line="240" w:lineRule="auto"/>
        <w:jc w:val="both"/>
        <w:rPr>
          <w:rFonts w:ascii="Verdana" w:eastAsia="Calibri" w:hAnsi="Verdana" w:cs="Arial"/>
          <w:color w:val="000000" w:themeColor="text1"/>
          <w:sz w:val="21"/>
          <w:szCs w:val="21"/>
        </w:rPr>
      </w:pPr>
      <w:r w:rsidRPr="001B671C">
        <w:rPr>
          <w:rFonts w:ascii="Verdana" w:eastAsia="Calibri" w:hAnsi="Verdana" w:cs="Arial"/>
          <w:color w:val="000000" w:themeColor="text1"/>
          <w:sz w:val="21"/>
          <w:szCs w:val="21"/>
        </w:rPr>
        <w:t>Adicionalmente, considerando la discrecionalidad para establecer requisitos habilitantes, es necesario tener en cuenta que el artículo 44 de la Ley 1437 de 2011 –aplicable en los procedimientos contractuales en virtud del artículo 77 de la Ley 80 de 1993– dispone que “En la medida en que el contenido de una decisión de carácter general o particular sea discrecional, debe ser adecuada a los fines de la norma que la autoriza, y proporcional a los hechos que le sirven de causa”. Dado lo anterior, para efectos de configurar requisitos habilitantes, la Entidad Estatal tiene la carga de justificar en los estudios previos y análisis del sector del proceso de selección su procedencia, de conformidad con el artículo 2.2.1.1.1.6.2 del Decreto 1082 de 2015.</w:t>
      </w:r>
    </w:p>
    <w:p w14:paraId="4423D6A8" w14:textId="77777777" w:rsidR="00874FBF" w:rsidRPr="00874FBF" w:rsidRDefault="00874FBF" w:rsidP="00874FBF">
      <w:pPr>
        <w:spacing w:line="276" w:lineRule="auto"/>
        <w:contextualSpacing/>
        <w:jc w:val="both"/>
        <w:rPr>
          <w:rFonts w:ascii="Verdana" w:hAnsi="Verdana" w:cs="Arial"/>
          <w:b/>
          <w:bCs/>
        </w:rPr>
      </w:pPr>
      <w:r w:rsidRPr="00874FBF">
        <w:rPr>
          <w:rFonts w:ascii="Verdana" w:eastAsia="Calibri" w:hAnsi="Verdana" w:cs="Arial"/>
          <w:b/>
          <w:bCs/>
          <w:lang w:val="es-ES" w:eastAsia="es-ES"/>
        </w:rPr>
        <w:t>MINIMA CUANTIA – Requisitos Habilitantes – Experiencia – Discrecionalidad – Proporcionalidad – Proponentes Plurales</w:t>
      </w:r>
    </w:p>
    <w:p w14:paraId="6B3A368B" w14:textId="77777777" w:rsidR="001B671C" w:rsidRDefault="001B671C" w:rsidP="001B671C">
      <w:pPr>
        <w:spacing w:after="0" w:line="240" w:lineRule="auto"/>
        <w:jc w:val="both"/>
        <w:rPr>
          <w:rFonts w:ascii="Verdana" w:eastAsia="Geomanist Light" w:hAnsi="Verdana" w:cs="Arial"/>
          <w:color w:val="000000" w:themeColor="text1"/>
          <w:lang w:val="es-MX"/>
        </w:rPr>
      </w:pPr>
    </w:p>
    <w:p w14:paraId="6CC587E4" w14:textId="17F410C4" w:rsidR="00874FBF" w:rsidRPr="00874FBF" w:rsidRDefault="00874FBF" w:rsidP="00874FBF">
      <w:pPr>
        <w:spacing w:after="120" w:line="240" w:lineRule="auto"/>
        <w:jc w:val="both"/>
        <w:rPr>
          <w:rFonts w:ascii="Verdana" w:hAnsi="Verdana" w:cs="Arial"/>
          <w:sz w:val="21"/>
          <w:szCs w:val="21"/>
          <w:lang w:val="es-ES"/>
        </w:rPr>
      </w:pPr>
      <w:r w:rsidRPr="00874FBF">
        <w:rPr>
          <w:rFonts w:ascii="Verdana" w:hAnsi="Verdana" w:cs="Arial"/>
          <w:sz w:val="21"/>
          <w:szCs w:val="21"/>
          <w:lang w:val="es-ES"/>
        </w:rPr>
        <w:t xml:space="preserve">[…] Adicionalmente, es importante resaltar que el </w:t>
      </w:r>
      <w:r w:rsidR="007B3CD0" w:rsidRPr="00874FBF">
        <w:rPr>
          <w:rFonts w:ascii="Verdana" w:hAnsi="Verdana" w:cs="Arial"/>
          <w:sz w:val="21"/>
          <w:szCs w:val="21"/>
          <w:lang w:val="es-ES"/>
        </w:rPr>
        <w:t>artículo 2.2.1.1.1.6.2.</w:t>
      </w:r>
      <w:r w:rsidRPr="00874FBF">
        <w:rPr>
          <w:rFonts w:ascii="Verdana" w:hAnsi="Verdana" w:cs="Arial"/>
          <w:sz w:val="21"/>
          <w:szCs w:val="21"/>
          <w:lang w:val="es-ES"/>
        </w:rPr>
        <w:t xml:space="preserve"> del Decreto 1082 de 2015 señala que la Entidad Estatal “debe establecer los requisitos habilitantes en los pliegos de condiciones o en la invitación” en la mínima cuantía, teniendo en cuenta el riesgo del proceso de contratación, el valor del contrato, el análisis del sector económico y el conocimiento de los posibles oferentes. </w:t>
      </w:r>
    </w:p>
    <w:p w14:paraId="70FB22F5" w14:textId="77777777" w:rsidR="00874FBF" w:rsidRPr="00874FBF" w:rsidRDefault="00874FBF" w:rsidP="00874FBF">
      <w:pPr>
        <w:spacing w:after="120" w:line="240" w:lineRule="auto"/>
        <w:jc w:val="both"/>
        <w:rPr>
          <w:rFonts w:ascii="Verdana" w:hAnsi="Verdana" w:cs="Arial"/>
          <w:sz w:val="21"/>
          <w:szCs w:val="21"/>
          <w:lang w:val="es-ES"/>
        </w:rPr>
      </w:pPr>
      <w:r w:rsidRPr="00874FBF">
        <w:rPr>
          <w:rFonts w:ascii="Verdana" w:hAnsi="Verdana" w:cs="Arial"/>
          <w:sz w:val="21"/>
          <w:szCs w:val="21"/>
          <w:lang w:val="es-ES"/>
        </w:rPr>
        <w:t xml:space="preserve">Ahora bien, tratándose del procedimiento de selección de mínima cuantía, debe tenerse en cuenta que este se caracteriza por su naturaleza ágil, simplificada y de naturaleza expedita, lo que implica que las Entidades Estatales deben propender por </w:t>
      </w:r>
      <w:r w:rsidRPr="00874FBF">
        <w:rPr>
          <w:rFonts w:ascii="Verdana" w:hAnsi="Verdana" w:cs="Arial"/>
          <w:sz w:val="21"/>
          <w:szCs w:val="21"/>
          <w:lang w:val="es-ES"/>
        </w:rPr>
        <w:lastRenderedPageBreak/>
        <w:t>la definición de requisitos habilitantes mínimos, objetivos y estrictamente necesarios, evitando cargas excesivas que limiten la participación de oferentes.</w:t>
      </w:r>
    </w:p>
    <w:p w14:paraId="6D79139A" w14:textId="77777777" w:rsidR="00874FBF" w:rsidRPr="00874FBF" w:rsidRDefault="00874FBF" w:rsidP="00874FBF">
      <w:pPr>
        <w:spacing w:after="120" w:line="240" w:lineRule="auto"/>
        <w:jc w:val="both"/>
        <w:rPr>
          <w:rFonts w:ascii="Verdana" w:eastAsia="Calibri" w:hAnsi="Verdana" w:cs="Arial"/>
          <w:sz w:val="21"/>
          <w:szCs w:val="21"/>
          <w:lang w:val="es-ES" w:eastAsia="es-MX"/>
        </w:rPr>
      </w:pPr>
      <w:r w:rsidRPr="00874FBF">
        <w:rPr>
          <w:rFonts w:ascii="Verdana" w:hAnsi="Verdana" w:cs="Arial"/>
          <w:sz w:val="21"/>
          <w:szCs w:val="21"/>
        </w:rPr>
        <w:t xml:space="preserve">Ahora bien, dicho lo anterior, se tiene que </w:t>
      </w:r>
      <w:r w:rsidRPr="00874FBF">
        <w:rPr>
          <w:rFonts w:ascii="Verdana" w:hAnsi="Verdana" w:cs="Arial"/>
          <w:sz w:val="21"/>
          <w:szCs w:val="21"/>
          <w:lang w:val="es-ES"/>
        </w:rPr>
        <w:t>l</w:t>
      </w:r>
      <w:r w:rsidRPr="00874FBF">
        <w:rPr>
          <w:rFonts w:ascii="Verdana" w:eastAsia="Calibri" w:hAnsi="Verdana" w:cs="Arial"/>
          <w:color w:val="000000" w:themeColor="text1"/>
          <w:sz w:val="21"/>
          <w:szCs w:val="21"/>
          <w:lang w:val="es-ES_tradnl"/>
        </w:rPr>
        <w:t xml:space="preserve">os </w:t>
      </w:r>
      <w:r w:rsidRPr="00874FBF">
        <w:rPr>
          <w:rFonts w:ascii="Verdana" w:eastAsia="Calibri" w:hAnsi="Verdana" w:cs="Arial"/>
          <w:i/>
          <w:iCs/>
          <w:color w:val="000000" w:themeColor="text1"/>
          <w:sz w:val="21"/>
          <w:szCs w:val="21"/>
          <w:lang w:val="es-ES_tradnl"/>
        </w:rPr>
        <w:t>requisitos habilitantes</w:t>
      </w:r>
      <w:r w:rsidRPr="00874FBF">
        <w:rPr>
          <w:rFonts w:ascii="Verdana" w:eastAsia="Calibri" w:hAnsi="Verdana" w:cs="Arial"/>
          <w:color w:val="000000" w:themeColor="text1"/>
          <w:sz w:val="21"/>
          <w:szCs w:val="21"/>
          <w:lang w:val="es-ES_tradnl"/>
        </w:rPr>
        <w:t xml:space="preserve"> se definen como exigencias de participación en los procedimientos de selección, establecidas en disposiciones normativas, de carácter legal o reglamentario, o contenidas en el acto administrativo que regula las reglas de la convocatoria, es decir, en el Pliego de Condiciones o el documento equivalente a este. Se diferencian de los </w:t>
      </w:r>
      <w:r w:rsidRPr="00874FBF">
        <w:rPr>
          <w:rFonts w:ascii="Verdana" w:eastAsia="Calibri" w:hAnsi="Verdana" w:cs="Arial"/>
          <w:i/>
          <w:iCs/>
          <w:color w:val="000000" w:themeColor="text1"/>
          <w:sz w:val="21"/>
          <w:szCs w:val="21"/>
          <w:lang w:val="es-ES_tradnl"/>
        </w:rPr>
        <w:t>criterios de evaluación</w:t>
      </w:r>
      <w:r w:rsidRPr="00874FBF">
        <w:rPr>
          <w:rFonts w:ascii="Verdana" w:eastAsia="Calibri" w:hAnsi="Verdana" w:cs="Arial"/>
          <w:color w:val="000000" w:themeColor="text1"/>
          <w:sz w:val="21"/>
          <w:szCs w:val="21"/>
          <w:lang w:val="es-ES_tradnl"/>
        </w:rPr>
        <w:t xml:space="preserve"> –también conocidos como </w:t>
      </w:r>
      <w:r w:rsidRPr="00874FBF">
        <w:rPr>
          <w:rFonts w:ascii="Verdana" w:eastAsia="Calibri" w:hAnsi="Verdana" w:cs="Arial"/>
          <w:i/>
          <w:iCs/>
          <w:color w:val="000000" w:themeColor="text1"/>
          <w:sz w:val="21"/>
          <w:szCs w:val="21"/>
          <w:lang w:val="es-ES_tradnl"/>
        </w:rPr>
        <w:t>criterios de calificación</w:t>
      </w:r>
      <w:r w:rsidRPr="00874FBF">
        <w:rPr>
          <w:rFonts w:ascii="Verdana" w:eastAsia="Calibri" w:hAnsi="Verdana" w:cs="Arial"/>
          <w:color w:val="000000" w:themeColor="text1"/>
          <w:sz w:val="21"/>
          <w:szCs w:val="21"/>
          <w:lang w:val="es-ES_tradnl"/>
        </w:rPr>
        <w:t xml:space="preserve">– en que estos son los factores definidos por la Entidad Estatal para la asignación de puntaje en el momento de la comparación de las ofertas, y que, a partir de su ponderación, permiten establecer el orden de elegibilidad y, por ende, la propuesta ganadora. </w:t>
      </w:r>
    </w:p>
    <w:p w14:paraId="58F1EBDC" w14:textId="77777777" w:rsidR="00874FBF" w:rsidRPr="00874FBF" w:rsidRDefault="00874FBF" w:rsidP="00874FBF">
      <w:pPr>
        <w:spacing w:after="120" w:line="240" w:lineRule="auto"/>
        <w:jc w:val="both"/>
        <w:rPr>
          <w:rFonts w:ascii="Verdana" w:eastAsia="Calibri" w:hAnsi="Verdana" w:cs="Arial"/>
          <w:color w:val="000000" w:themeColor="text1"/>
          <w:sz w:val="21"/>
          <w:szCs w:val="21"/>
          <w:lang w:val="es-ES"/>
        </w:rPr>
      </w:pPr>
      <w:r w:rsidRPr="00874FBF">
        <w:rPr>
          <w:rFonts w:ascii="Verdana" w:eastAsia="Calibri" w:hAnsi="Verdana" w:cs="Arial"/>
          <w:color w:val="000000" w:themeColor="text1"/>
          <w:sz w:val="21"/>
          <w:szCs w:val="21"/>
          <w:lang w:val="es-ES"/>
        </w:rPr>
        <w:t>A partir de lo dicho se deduce entonces que los requisitos habilitantes, si bien constituyen obligaciones que los proponentes deben cumplir y acreditar para participar en el procedimiento de selección, no se valoran con un puntaje que determine el orden de escogencia, sino que se analizan como criterios previos a la evaluación en sentido estricto, de manera que quienes no los reúnan no pueden continuar en el procedimiento de selección, o sea, incurren en causal de rechazo. Esto, sin perjuicio del derecho que tienen los oferentes de subsanar los defectos que se presenten en la prueba de tales requisitos, de conformidad con el artículo 5, parágrafos 1º al 4º, de la Ley 1150 de 2007.</w:t>
      </w:r>
    </w:p>
    <w:p w14:paraId="5F965408" w14:textId="4F1610CD" w:rsidR="001B671C" w:rsidRDefault="00874FBF" w:rsidP="00A639CE">
      <w:pPr>
        <w:spacing w:after="0" w:line="240" w:lineRule="auto"/>
        <w:rPr>
          <w:rFonts w:ascii="Verdana" w:eastAsia="Geomanist Light" w:hAnsi="Verdana" w:cs="Arial"/>
          <w:color w:val="000000" w:themeColor="text1"/>
          <w:sz w:val="21"/>
          <w:szCs w:val="21"/>
          <w:lang w:val="es-MX"/>
        </w:rPr>
      </w:pPr>
      <w:r>
        <w:rPr>
          <w:rFonts w:ascii="Verdana" w:eastAsia="Geomanist Light" w:hAnsi="Verdana" w:cs="Arial"/>
          <w:color w:val="000000" w:themeColor="text1"/>
          <w:sz w:val="21"/>
          <w:szCs w:val="21"/>
          <w:lang w:val="es-MX"/>
        </w:rPr>
        <w:t xml:space="preserve">[…] </w:t>
      </w:r>
    </w:p>
    <w:p w14:paraId="471F81AE" w14:textId="77777777" w:rsidR="00874FBF" w:rsidRDefault="00874FBF" w:rsidP="00A639CE">
      <w:pPr>
        <w:spacing w:after="0" w:line="240" w:lineRule="auto"/>
        <w:rPr>
          <w:rFonts w:ascii="Verdana" w:eastAsia="Geomanist Light" w:hAnsi="Verdana" w:cs="Arial"/>
          <w:color w:val="000000" w:themeColor="text1"/>
          <w:sz w:val="21"/>
          <w:szCs w:val="21"/>
          <w:lang w:val="es-MX"/>
        </w:rPr>
      </w:pPr>
    </w:p>
    <w:p w14:paraId="65AFD372" w14:textId="2AF5AC0F" w:rsidR="00874FBF" w:rsidRPr="00874FBF" w:rsidRDefault="00874FBF" w:rsidP="00874FBF">
      <w:pPr>
        <w:spacing w:after="120" w:line="240" w:lineRule="auto"/>
        <w:jc w:val="both"/>
        <w:rPr>
          <w:rFonts w:ascii="Verdana" w:eastAsia="Calibri" w:hAnsi="Verdana" w:cs="Arial"/>
          <w:color w:val="000000" w:themeColor="text1"/>
          <w:sz w:val="21"/>
          <w:szCs w:val="21"/>
        </w:rPr>
      </w:pPr>
      <w:r w:rsidRPr="00874FBF">
        <w:rPr>
          <w:rFonts w:ascii="Verdana" w:eastAsia="Calibri" w:hAnsi="Verdana" w:cs="Arial"/>
          <w:color w:val="000000" w:themeColor="text1"/>
          <w:sz w:val="21"/>
          <w:szCs w:val="21"/>
        </w:rPr>
        <w:t>En ese orden de ideas, la exigencia consistente en que el integrante del proponente plural que aporta la experiencia habilitante deba acreditar, a su vez, un porcentaje mínimo de participación, como el cincuenta por ciento (50%</w:t>
      </w:r>
      <w:r w:rsidR="007B3CD0" w:rsidRPr="00874FBF">
        <w:rPr>
          <w:rFonts w:ascii="Verdana" w:eastAsia="Calibri" w:hAnsi="Verdana" w:cs="Arial"/>
          <w:color w:val="000000" w:themeColor="text1"/>
          <w:sz w:val="21"/>
          <w:szCs w:val="21"/>
        </w:rPr>
        <w:t>), dentro</w:t>
      </w:r>
      <w:r w:rsidRPr="00874FBF">
        <w:rPr>
          <w:rFonts w:ascii="Verdana" w:eastAsia="Calibri" w:hAnsi="Verdana" w:cs="Arial"/>
          <w:color w:val="000000" w:themeColor="text1"/>
          <w:sz w:val="21"/>
          <w:szCs w:val="21"/>
        </w:rPr>
        <w:t xml:space="preserve"> de la estructura asociativa, podría resultar contraria a los principios de selección objetiva, pluralidad de oferentes y libre concurrencia que orientan la contratación estatal.</w:t>
      </w:r>
    </w:p>
    <w:p w14:paraId="254FA6D0" w14:textId="1AD9B8B0" w:rsidR="00874FBF" w:rsidRPr="00874FBF" w:rsidRDefault="00874FBF" w:rsidP="00874FBF">
      <w:pPr>
        <w:spacing w:after="120" w:line="240" w:lineRule="auto"/>
        <w:jc w:val="both"/>
        <w:rPr>
          <w:rFonts w:ascii="Verdana" w:eastAsia="Calibri" w:hAnsi="Verdana" w:cs="Arial"/>
          <w:color w:val="000000" w:themeColor="text1"/>
          <w:sz w:val="21"/>
          <w:szCs w:val="21"/>
        </w:rPr>
      </w:pPr>
      <w:r w:rsidRPr="00874FBF">
        <w:rPr>
          <w:rFonts w:ascii="Verdana" w:eastAsia="Calibri" w:hAnsi="Verdana" w:cs="Arial"/>
          <w:color w:val="000000" w:themeColor="text1"/>
          <w:sz w:val="21"/>
          <w:szCs w:val="21"/>
        </w:rPr>
        <w:t xml:space="preserve">Lo anterior, en la medida en que la imposición de este tipo de condiciones puede constituir una restricción injustificada a la conformación de proponentes plurales, figura asociativa plenamente reconocida en el ordenamiento jurídico colombiano, cuya finalidad en el ámbito de la contratación pública radica en permitir este tipo de asociación en aras de unir capacidades técnicas, financieras y organizacionales entre distintos interesados, facilitando así el acceso al mercado y promoviendo una mayor concurrencia de oferentes, salvaguardado como se mencionó, principios de la </w:t>
      </w:r>
      <w:r w:rsidR="007B3CD0" w:rsidRPr="00874FBF">
        <w:rPr>
          <w:rFonts w:ascii="Verdana" w:eastAsia="Calibri" w:hAnsi="Verdana" w:cs="Arial"/>
          <w:color w:val="000000" w:themeColor="text1"/>
          <w:sz w:val="21"/>
          <w:szCs w:val="21"/>
        </w:rPr>
        <w:t>contratación</w:t>
      </w:r>
      <w:r w:rsidRPr="00874FBF">
        <w:rPr>
          <w:rFonts w:ascii="Verdana" w:eastAsia="Calibri" w:hAnsi="Verdana" w:cs="Arial"/>
          <w:color w:val="000000" w:themeColor="text1"/>
          <w:sz w:val="21"/>
          <w:szCs w:val="21"/>
        </w:rPr>
        <w:t xml:space="preserve"> estatal.</w:t>
      </w:r>
    </w:p>
    <w:p w14:paraId="15BF4467" w14:textId="77777777" w:rsidR="00874FBF" w:rsidRPr="00874FBF" w:rsidRDefault="00874FBF" w:rsidP="00A639CE">
      <w:pPr>
        <w:spacing w:after="0" w:line="240" w:lineRule="auto"/>
        <w:rPr>
          <w:rFonts w:ascii="Verdana" w:eastAsia="Geomanist Light" w:hAnsi="Verdana" w:cs="Arial"/>
          <w:color w:val="000000" w:themeColor="text1"/>
          <w:sz w:val="21"/>
          <w:szCs w:val="21"/>
        </w:rPr>
      </w:pPr>
    </w:p>
    <w:p w14:paraId="3AEC777D" w14:textId="77777777" w:rsidR="001B671C" w:rsidRDefault="001B671C" w:rsidP="00A639CE">
      <w:pPr>
        <w:spacing w:after="0" w:line="240" w:lineRule="auto"/>
        <w:rPr>
          <w:rFonts w:ascii="Verdana" w:eastAsia="Geomanist Light" w:hAnsi="Verdana" w:cs="Arial"/>
          <w:color w:val="000000" w:themeColor="text1"/>
          <w:lang w:val="es-MX"/>
        </w:rPr>
      </w:pPr>
    </w:p>
    <w:p w14:paraId="466B7656" w14:textId="77777777" w:rsidR="001B671C" w:rsidRDefault="001B671C" w:rsidP="00A639CE">
      <w:pPr>
        <w:spacing w:after="0" w:line="240" w:lineRule="auto"/>
        <w:rPr>
          <w:rFonts w:ascii="Verdana" w:eastAsia="Geomanist Light" w:hAnsi="Verdana" w:cs="Arial"/>
          <w:color w:val="000000" w:themeColor="text1"/>
          <w:lang w:val="es-MX"/>
        </w:rPr>
      </w:pPr>
    </w:p>
    <w:p w14:paraId="6F0990E7" w14:textId="77777777" w:rsidR="001B671C" w:rsidRDefault="001B671C" w:rsidP="00A639CE">
      <w:pPr>
        <w:spacing w:after="0" w:line="240" w:lineRule="auto"/>
        <w:rPr>
          <w:rFonts w:ascii="Verdana" w:eastAsia="Geomanist Light" w:hAnsi="Verdana" w:cs="Arial"/>
          <w:color w:val="000000" w:themeColor="text1"/>
          <w:lang w:val="es-MX"/>
        </w:rPr>
      </w:pPr>
    </w:p>
    <w:p w14:paraId="3978FA76" w14:textId="77777777" w:rsidR="001B671C" w:rsidRDefault="001B671C" w:rsidP="00A639CE">
      <w:pPr>
        <w:spacing w:after="0" w:line="240" w:lineRule="auto"/>
        <w:rPr>
          <w:rFonts w:ascii="Verdana" w:eastAsia="Geomanist Light" w:hAnsi="Verdana" w:cs="Arial"/>
          <w:color w:val="000000" w:themeColor="text1"/>
          <w:lang w:val="es-MX"/>
        </w:rPr>
      </w:pPr>
    </w:p>
    <w:p w14:paraId="7034EF02" w14:textId="77777777" w:rsidR="001B671C" w:rsidRDefault="001B671C" w:rsidP="00A639CE">
      <w:pPr>
        <w:spacing w:after="0" w:line="240" w:lineRule="auto"/>
        <w:rPr>
          <w:rFonts w:ascii="Verdana" w:eastAsia="Geomanist Light" w:hAnsi="Verdana" w:cs="Arial"/>
          <w:color w:val="000000" w:themeColor="text1"/>
          <w:lang w:val="es-MX"/>
        </w:rPr>
      </w:pPr>
    </w:p>
    <w:p w14:paraId="6BBE3C30" w14:textId="168AC3AC" w:rsidR="00A639CE" w:rsidRPr="0050687B" w:rsidRDefault="00A639CE" w:rsidP="00A639CE">
      <w:pPr>
        <w:spacing w:after="0" w:line="240" w:lineRule="auto"/>
        <w:rPr>
          <w:rFonts w:ascii="Verdana" w:eastAsia="Times New Roman" w:hAnsi="Verdana" w:cs="Arial"/>
          <w:lang w:eastAsia="es-ES_tradnl"/>
        </w:rPr>
      </w:pPr>
      <w:r w:rsidRPr="00CF64C0">
        <w:rPr>
          <w:rFonts w:ascii="Verdana" w:eastAsia="Geomanist Light" w:hAnsi="Verdana" w:cs="Arial"/>
          <w:color w:val="000000" w:themeColor="text1"/>
          <w:lang w:val="es-MX"/>
        </w:rPr>
        <w:lastRenderedPageBreak/>
        <w:t>Bogotá D.C., </w:t>
      </w:r>
      <w:r w:rsidR="001B671C">
        <w:rPr>
          <w:rFonts w:ascii="Verdana" w:eastAsia="Geomanist Light" w:hAnsi="Verdana" w:cs="Arial"/>
          <w:color w:val="201F1E"/>
          <w:lang w:val="es-MX"/>
        </w:rPr>
        <w:t>29</w:t>
      </w:r>
      <w:r w:rsidRPr="00CF64C0">
        <w:rPr>
          <w:rFonts w:ascii="Verdana" w:eastAsia="Geomanist Light" w:hAnsi="Verdana" w:cs="Arial"/>
          <w:color w:val="201F1E"/>
          <w:lang w:val="es-MX"/>
        </w:rPr>
        <w:t xml:space="preserve"> de </w:t>
      </w:r>
      <w:r w:rsidR="001B671C">
        <w:rPr>
          <w:rFonts w:ascii="Verdana" w:eastAsia="Geomanist Light" w:hAnsi="Verdana" w:cs="Arial"/>
          <w:color w:val="201F1E"/>
          <w:lang w:val="es-MX"/>
        </w:rPr>
        <w:t>abril</w:t>
      </w:r>
      <w:r w:rsidRPr="00CF64C0">
        <w:rPr>
          <w:rFonts w:ascii="Verdana" w:eastAsia="Geomanist Light" w:hAnsi="Verdana" w:cs="Arial"/>
          <w:color w:val="201F1E"/>
          <w:lang w:val="es-MX"/>
        </w:rPr>
        <w:t xml:space="preserve"> de </w:t>
      </w:r>
      <w:r w:rsidR="001B671C">
        <w:rPr>
          <w:rFonts w:ascii="Verdana" w:eastAsia="Geomanist Light" w:hAnsi="Verdana" w:cs="Arial"/>
          <w:color w:val="201F1E"/>
          <w:lang w:val="es-MX"/>
        </w:rPr>
        <w:t>2026</w:t>
      </w:r>
    </w:p>
    <w:p w14:paraId="7C17FDA3" w14:textId="22FA3034" w:rsidR="00A639CE" w:rsidRPr="00C76F48" w:rsidRDefault="00A639CE" w:rsidP="00A639CE">
      <w:pPr>
        <w:spacing w:after="0" w:line="240" w:lineRule="auto"/>
        <w:jc w:val="both"/>
        <w:rPr>
          <w:rFonts w:ascii="Verdana" w:eastAsia="Calibri" w:hAnsi="Verdana" w:cs="Arial"/>
          <w:color w:val="000000"/>
        </w:rPr>
      </w:pPr>
    </w:p>
    <w:p w14:paraId="2CEB84F7" w14:textId="18369877" w:rsidR="001B671C" w:rsidRDefault="001B671C" w:rsidP="001B671C">
      <w:pPr>
        <w:spacing w:after="0" w:line="240" w:lineRule="auto"/>
        <w:ind w:left="4956"/>
        <w:jc w:val="both"/>
        <w:rPr>
          <w:rFonts w:ascii="Verdana" w:eastAsia="Calibri" w:hAnsi="Verdana" w:cs="Arial"/>
          <w:lang w:eastAsia="es-ES"/>
        </w:rPr>
      </w:pPr>
    </w:p>
    <w:p w14:paraId="3F6A4E53" w14:textId="0183D8FD" w:rsidR="00A639CE" w:rsidRPr="00C76F48" w:rsidRDefault="007B3CD0" w:rsidP="00A639CE">
      <w:pPr>
        <w:spacing w:after="0" w:line="240" w:lineRule="auto"/>
        <w:jc w:val="both"/>
        <w:rPr>
          <w:rFonts w:ascii="Verdana" w:eastAsia="Calibri" w:hAnsi="Verdana" w:cs="Arial"/>
          <w:lang w:eastAsia="es-ES"/>
        </w:rPr>
      </w:pPr>
      <w:r w:rsidRPr="001B671C">
        <w:rPr>
          <w:rFonts w:ascii="Verdana" w:eastAsia="Calibri" w:hAnsi="Verdana" w:cs="Arial"/>
          <w:noProof/>
          <w:lang w:eastAsia="es-ES"/>
        </w:rPr>
        <w:drawing>
          <wp:anchor distT="0" distB="0" distL="114300" distR="114300" simplePos="0" relativeHeight="251658240" behindDoc="0" locked="0" layoutInCell="1" allowOverlap="1" wp14:anchorId="1880FE49" wp14:editId="34F26E35">
            <wp:simplePos x="0" y="0"/>
            <wp:positionH relativeFrom="margin">
              <wp:posOffset>3101975</wp:posOffset>
            </wp:positionH>
            <wp:positionV relativeFrom="paragraph">
              <wp:posOffset>8890</wp:posOffset>
            </wp:positionV>
            <wp:extent cx="2499360" cy="795020"/>
            <wp:effectExtent l="0" t="0" r="0" b="5080"/>
            <wp:wrapSquare wrapText="bothSides"/>
            <wp:docPr id="47645193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451930" name=""/>
                    <pic:cNvPicPr/>
                  </pic:nvPicPr>
                  <pic:blipFill>
                    <a:blip r:embed="rId10">
                      <a:extLst>
                        <a:ext uri="{28A0092B-C50C-407E-A947-70E740481C1C}">
                          <a14:useLocalDpi xmlns:a14="http://schemas.microsoft.com/office/drawing/2010/main" val="0"/>
                        </a:ext>
                      </a:extLst>
                    </a:blip>
                    <a:stretch>
                      <a:fillRect/>
                    </a:stretch>
                  </pic:blipFill>
                  <pic:spPr>
                    <a:xfrm>
                      <a:off x="0" y="0"/>
                      <a:ext cx="2499360" cy="795020"/>
                    </a:xfrm>
                    <a:prstGeom prst="rect">
                      <a:avLst/>
                    </a:prstGeom>
                  </pic:spPr>
                </pic:pic>
              </a:graphicData>
            </a:graphic>
            <wp14:sizeRelH relativeFrom="margin">
              <wp14:pctWidth>0</wp14:pctWidth>
            </wp14:sizeRelH>
            <wp14:sizeRelV relativeFrom="margin">
              <wp14:pctHeight>0</wp14:pctHeight>
            </wp14:sizeRelV>
          </wp:anchor>
        </w:drawing>
      </w:r>
      <w:r w:rsidR="00A639CE" w:rsidRPr="00C76F48">
        <w:rPr>
          <w:rFonts w:ascii="Verdana" w:eastAsia="Calibri" w:hAnsi="Verdana" w:cs="Arial"/>
          <w:lang w:eastAsia="es-ES"/>
        </w:rPr>
        <w:t>Señor</w:t>
      </w:r>
    </w:p>
    <w:p w14:paraId="6C4BA695" w14:textId="77777777" w:rsidR="00A639CE" w:rsidRPr="00C76F48" w:rsidRDefault="00A639CE" w:rsidP="00A639CE">
      <w:pPr>
        <w:spacing w:after="0" w:line="240" w:lineRule="auto"/>
        <w:rPr>
          <w:rFonts w:ascii="Verdana" w:eastAsia="Calibri" w:hAnsi="Verdana" w:cs="Arial"/>
          <w:b/>
          <w:lang w:eastAsia="es-ES"/>
        </w:rPr>
      </w:pPr>
      <w:r>
        <w:rPr>
          <w:rFonts w:ascii="Verdana" w:eastAsia="Calibri" w:hAnsi="Verdana" w:cs="Arial"/>
          <w:b/>
          <w:lang w:eastAsia="es-ES"/>
        </w:rPr>
        <w:t>José Ángel López Martínez</w:t>
      </w:r>
      <w:r w:rsidRPr="00C76F48">
        <w:rPr>
          <w:rFonts w:ascii="Verdana" w:eastAsia="Calibri" w:hAnsi="Verdana" w:cs="Arial"/>
          <w:b/>
          <w:lang w:eastAsia="es-ES"/>
        </w:rPr>
        <w:t xml:space="preserve"> </w:t>
      </w:r>
    </w:p>
    <w:p w14:paraId="2D429991" w14:textId="77777777" w:rsidR="00A639CE" w:rsidRPr="00C76F48" w:rsidRDefault="00A639CE" w:rsidP="00A639CE">
      <w:pPr>
        <w:spacing w:after="0" w:line="240" w:lineRule="auto"/>
        <w:rPr>
          <w:rFonts w:ascii="Verdana" w:hAnsi="Verdana" w:cs="Arial"/>
        </w:rPr>
      </w:pPr>
      <w:hyperlink r:id="rId11" w:history="1">
        <w:r w:rsidRPr="00D21D35">
          <w:rPr>
            <w:rStyle w:val="Hipervnculo"/>
            <w:rFonts w:ascii="Verdana" w:hAnsi="Verdana" w:cs="Arial"/>
          </w:rPr>
          <w:t>lopezmjose23@gmail.com;</w:t>
        </w:r>
      </w:hyperlink>
      <w:r>
        <w:t xml:space="preserve"> </w:t>
      </w:r>
      <w:r w:rsidRPr="00C76F48">
        <w:rPr>
          <w:rFonts w:ascii="Verdana" w:hAnsi="Verdana" w:cs="Arial"/>
        </w:rPr>
        <w:t xml:space="preserve">   </w:t>
      </w:r>
    </w:p>
    <w:p w14:paraId="6F0A17D4" w14:textId="77777777" w:rsidR="00A639CE" w:rsidRPr="00C76F48" w:rsidRDefault="00A639CE" w:rsidP="00A639CE">
      <w:pPr>
        <w:spacing w:after="0" w:line="240" w:lineRule="auto"/>
        <w:rPr>
          <w:rFonts w:ascii="Verdana" w:hAnsi="Verdana"/>
        </w:rPr>
      </w:pPr>
      <w:r>
        <w:rPr>
          <w:rFonts w:ascii="Verdana" w:hAnsi="Verdana"/>
        </w:rPr>
        <w:t>Villanueva, La Guajira</w:t>
      </w:r>
    </w:p>
    <w:p w14:paraId="71411D25" w14:textId="77777777" w:rsidR="00A639CE" w:rsidRPr="00C76F48" w:rsidRDefault="00A639CE" w:rsidP="00A639CE">
      <w:pPr>
        <w:spacing w:after="0" w:line="240" w:lineRule="auto"/>
        <w:rPr>
          <w:rFonts w:ascii="Verdana" w:eastAsia="Calibri" w:hAnsi="Verdana" w:cs="Arial"/>
          <w:b/>
          <w:bCs/>
          <w:color w:val="000000"/>
          <w:lang w:eastAsia="es-ES_tradnl"/>
        </w:rPr>
      </w:pPr>
    </w:p>
    <w:p w14:paraId="6A07FB77" w14:textId="77777777" w:rsidR="00A639CE" w:rsidRPr="00C76F48" w:rsidRDefault="00A639CE" w:rsidP="00A639CE">
      <w:pPr>
        <w:spacing w:after="0" w:line="240" w:lineRule="auto"/>
        <w:jc w:val="center"/>
        <w:rPr>
          <w:rFonts w:ascii="Verdana" w:eastAsia="Calibri" w:hAnsi="Verdana" w:cs="Arial"/>
          <w:b/>
          <w:bCs/>
          <w:lang w:eastAsia="es-ES"/>
        </w:rPr>
      </w:pPr>
      <w:r w:rsidRPr="00C76F48">
        <w:rPr>
          <w:rFonts w:ascii="Verdana" w:eastAsia="Calibri" w:hAnsi="Verdana" w:cs="Arial"/>
          <w:b/>
          <w:bCs/>
          <w:lang w:eastAsia="es-ES"/>
        </w:rPr>
        <w:t>Concepto C –</w:t>
      </w:r>
      <w:r>
        <w:rPr>
          <w:rFonts w:ascii="Verdana" w:eastAsia="Calibri" w:hAnsi="Verdana" w:cs="Arial"/>
          <w:b/>
          <w:bCs/>
          <w:lang w:eastAsia="es-ES"/>
        </w:rPr>
        <w:t xml:space="preserve"> </w:t>
      </w:r>
      <w:r w:rsidRPr="008B5A4F">
        <w:rPr>
          <w:rFonts w:ascii="Verdana" w:eastAsia="Calibri" w:hAnsi="Verdana" w:cs="Arial"/>
          <w:b/>
          <w:bCs/>
          <w:lang w:eastAsia="es-ES"/>
        </w:rPr>
        <w:t>496</w:t>
      </w:r>
      <w:r w:rsidRPr="00C76F48">
        <w:rPr>
          <w:rFonts w:ascii="Verdana" w:eastAsia="Calibri" w:hAnsi="Verdana" w:cs="Arial"/>
          <w:b/>
          <w:bCs/>
          <w:lang w:eastAsia="es-ES"/>
        </w:rPr>
        <w:t xml:space="preserve"> de 2026</w:t>
      </w:r>
    </w:p>
    <w:p w14:paraId="4F46FB24" w14:textId="77777777" w:rsidR="00A639CE" w:rsidRPr="00C76F48" w:rsidRDefault="00A639CE" w:rsidP="00A639CE">
      <w:pPr>
        <w:spacing w:after="0" w:line="240" w:lineRule="auto"/>
        <w:rPr>
          <w:rFonts w:ascii="Verdana" w:eastAsia="Calibri" w:hAnsi="Verdana" w:cs="Arial"/>
          <w:b/>
          <w:bCs/>
          <w:color w:val="000000"/>
          <w:lang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639CE" w:rsidRPr="00C76F48" w14:paraId="6392246F" w14:textId="77777777" w:rsidTr="00A05D8D">
        <w:trPr>
          <w:trHeight w:val="884"/>
        </w:trPr>
        <w:tc>
          <w:tcPr>
            <w:tcW w:w="2689" w:type="dxa"/>
          </w:tcPr>
          <w:p w14:paraId="711D7808" w14:textId="77777777" w:rsidR="00A639CE" w:rsidRPr="00C76F48" w:rsidRDefault="00A639CE" w:rsidP="00A05D8D">
            <w:pPr>
              <w:jc w:val="both"/>
              <w:rPr>
                <w:rFonts w:ascii="Verdana" w:eastAsia="Calibri" w:hAnsi="Verdana" w:cs="Arial"/>
                <w:color w:val="000000"/>
                <w:lang w:eastAsia="es-ES_tradnl"/>
              </w:rPr>
            </w:pPr>
            <w:r w:rsidRPr="00C76F48">
              <w:rPr>
                <w:rFonts w:ascii="Verdana" w:eastAsia="Calibri" w:hAnsi="Verdana" w:cs="Arial"/>
                <w:b/>
                <w:color w:val="000000"/>
                <w:lang w:eastAsia="es-ES_tradnl"/>
              </w:rPr>
              <w:t>Temas:</w:t>
            </w:r>
            <w:r w:rsidRPr="00C76F48">
              <w:rPr>
                <w:rFonts w:ascii="Verdana" w:eastAsia="Calibri" w:hAnsi="Verdana" w:cs="Arial"/>
                <w:color w:val="000000"/>
                <w:lang w:eastAsia="es-ES_tradnl"/>
              </w:rPr>
              <w:t xml:space="preserve">                   </w:t>
            </w:r>
          </w:p>
        </w:tc>
        <w:tc>
          <w:tcPr>
            <w:tcW w:w="6100" w:type="dxa"/>
          </w:tcPr>
          <w:p w14:paraId="1292B096" w14:textId="77777777" w:rsidR="00A639CE" w:rsidRPr="00C76F48" w:rsidRDefault="00A639CE" w:rsidP="00A05D8D">
            <w:pPr>
              <w:spacing w:line="276" w:lineRule="auto"/>
              <w:contextualSpacing/>
              <w:jc w:val="both"/>
              <w:rPr>
                <w:rFonts w:ascii="Verdana" w:hAnsi="Verdana" w:cs="Arial"/>
                <w:b/>
              </w:rPr>
            </w:pPr>
            <w:r w:rsidRPr="00C76F48">
              <w:rPr>
                <w:rFonts w:ascii="Verdana" w:eastAsia="Times New Roman" w:hAnsi="Verdana" w:cs="Arial"/>
                <w:lang w:val="es-ES_tradnl" w:eastAsia="es-MX"/>
              </w:rPr>
              <w:t>REQUISITOS HABILITANTES – Concepto / EXPERIENCIA - Forma de acreditación</w:t>
            </w:r>
            <w:r w:rsidRPr="00C76F48">
              <w:rPr>
                <w:rFonts w:ascii="Verdana" w:eastAsia="Calibri" w:hAnsi="Verdana" w:cs="Arial"/>
                <w:lang w:val="es-ES" w:eastAsia="es-ES"/>
              </w:rPr>
              <w:t xml:space="preserve"> </w:t>
            </w:r>
            <w:r>
              <w:rPr>
                <w:rFonts w:ascii="Verdana" w:eastAsia="Calibri" w:hAnsi="Verdana" w:cs="Arial"/>
                <w:lang w:val="es-ES" w:eastAsia="es-ES"/>
              </w:rPr>
              <w:t>/ MINIMA CUANTIA – Requisitos Habilitantes – Experiencia – Discrecionalidad – Proporcionalidad – Proponentes Plurales</w:t>
            </w:r>
          </w:p>
          <w:p w14:paraId="208D30B4" w14:textId="77777777" w:rsidR="00A639CE" w:rsidRPr="00C76F48" w:rsidRDefault="00A639CE" w:rsidP="00A05D8D">
            <w:pPr>
              <w:jc w:val="both"/>
              <w:rPr>
                <w:rFonts w:ascii="Verdana" w:eastAsia="Calibri" w:hAnsi="Verdana" w:cs="Arial"/>
                <w:lang w:eastAsia="es-ES"/>
              </w:rPr>
            </w:pPr>
          </w:p>
        </w:tc>
      </w:tr>
      <w:tr w:rsidR="00A639CE" w:rsidRPr="00C76F48" w14:paraId="6EAAE090" w14:textId="77777777" w:rsidTr="00A05D8D">
        <w:tc>
          <w:tcPr>
            <w:tcW w:w="2689" w:type="dxa"/>
          </w:tcPr>
          <w:p w14:paraId="788C9541" w14:textId="77777777" w:rsidR="00A639CE" w:rsidRPr="00C76F48" w:rsidRDefault="00A639CE" w:rsidP="00A05D8D">
            <w:pPr>
              <w:jc w:val="both"/>
              <w:rPr>
                <w:rFonts w:ascii="Verdana" w:eastAsia="Calibri" w:hAnsi="Verdana" w:cs="Arial"/>
                <w:b/>
                <w:lang w:eastAsia="es-ES_tradnl"/>
              </w:rPr>
            </w:pPr>
            <w:r w:rsidRPr="00C76F48">
              <w:rPr>
                <w:rFonts w:ascii="Verdana" w:eastAsia="Calibri" w:hAnsi="Verdana" w:cs="Arial"/>
                <w:b/>
                <w:lang w:eastAsia="es-ES_tradnl"/>
              </w:rPr>
              <w:t>Radicación:</w:t>
            </w:r>
            <w:r w:rsidRPr="00C76F48">
              <w:rPr>
                <w:rFonts w:ascii="Verdana" w:eastAsia="Calibri" w:hAnsi="Verdana" w:cs="Arial"/>
                <w:lang w:eastAsia="es-ES_tradnl"/>
              </w:rPr>
              <w:t xml:space="preserve">               </w:t>
            </w:r>
          </w:p>
        </w:tc>
        <w:tc>
          <w:tcPr>
            <w:tcW w:w="6100" w:type="dxa"/>
          </w:tcPr>
          <w:p w14:paraId="4446E423" w14:textId="77777777" w:rsidR="00A639CE" w:rsidRPr="00C76F48" w:rsidRDefault="00A639CE" w:rsidP="00A05D8D">
            <w:pPr>
              <w:jc w:val="both"/>
              <w:rPr>
                <w:rFonts w:ascii="Verdana" w:eastAsia="Calibri" w:hAnsi="Verdana" w:cs="Arial"/>
                <w:lang w:eastAsia="es-ES_tradnl"/>
              </w:rPr>
            </w:pPr>
            <w:r w:rsidRPr="00C76F48">
              <w:rPr>
                <w:rFonts w:ascii="Verdana" w:eastAsia="Calibri" w:hAnsi="Verdana" w:cs="Arial"/>
                <w:lang w:eastAsia="es-ES_tradnl"/>
              </w:rPr>
              <w:t>Respuesta a la consulta</w:t>
            </w:r>
            <w:r>
              <w:rPr>
                <w:rFonts w:ascii="Verdana" w:eastAsia="Calibri" w:hAnsi="Verdana" w:cs="Arial"/>
                <w:lang w:eastAsia="es-ES_tradnl"/>
              </w:rPr>
              <w:t xml:space="preserve"> acumulada</w:t>
            </w:r>
            <w:r w:rsidRPr="00C76F48">
              <w:rPr>
                <w:rFonts w:ascii="Verdana" w:eastAsia="Calibri" w:hAnsi="Verdana" w:cs="Arial"/>
                <w:lang w:eastAsia="es-ES_tradnl"/>
              </w:rPr>
              <w:t xml:space="preserve"> con radicado</w:t>
            </w:r>
            <w:r>
              <w:rPr>
                <w:rFonts w:ascii="Verdana" w:eastAsia="Calibri" w:hAnsi="Verdana" w:cs="Arial"/>
                <w:lang w:eastAsia="es-ES_tradnl"/>
              </w:rPr>
              <w:t>s</w:t>
            </w:r>
            <w:r w:rsidRPr="00C76F48">
              <w:rPr>
                <w:rFonts w:ascii="Verdana" w:eastAsia="Calibri" w:hAnsi="Verdana" w:cs="Arial"/>
                <w:lang w:eastAsia="es-ES_tradnl"/>
              </w:rPr>
              <w:t xml:space="preserve"> No. </w:t>
            </w:r>
            <w:r w:rsidRPr="008B5A4F">
              <w:rPr>
                <w:rFonts w:ascii="Verdana" w:eastAsia="Calibri" w:hAnsi="Verdana" w:cs="Arial"/>
                <w:lang w:eastAsia="es-ES_tradnl"/>
              </w:rPr>
              <w:t>1_2026_03_26_004157</w:t>
            </w:r>
            <w:r>
              <w:rPr>
                <w:rFonts w:ascii="Verdana" w:eastAsia="Calibri" w:hAnsi="Verdana" w:cs="Arial"/>
                <w:lang w:eastAsia="es-ES_tradnl"/>
              </w:rPr>
              <w:t xml:space="preserve"> y </w:t>
            </w:r>
            <w:r w:rsidRPr="00C76F48">
              <w:rPr>
                <w:rFonts w:ascii="Verdana" w:eastAsia="Calibri" w:hAnsi="Verdana" w:cs="Arial"/>
                <w:lang w:eastAsia="es-ES_tradnl"/>
              </w:rPr>
              <w:t>1</w:t>
            </w:r>
            <w:r w:rsidRPr="008B5A4F">
              <w:rPr>
                <w:rFonts w:ascii="Verdana" w:eastAsia="Calibri" w:hAnsi="Verdana" w:cs="Arial"/>
                <w:lang w:eastAsia="es-ES_tradnl"/>
              </w:rPr>
              <w:t>_2026_03_26_004158</w:t>
            </w:r>
          </w:p>
        </w:tc>
      </w:tr>
    </w:tbl>
    <w:p w14:paraId="2C75E9F4" w14:textId="77777777" w:rsidR="00A639CE" w:rsidRPr="00C76F48" w:rsidRDefault="00A639CE" w:rsidP="00A639CE">
      <w:pPr>
        <w:spacing w:after="0" w:line="240" w:lineRule="auto"/>
        <w:jc w:val="both"/>
        <w:rPr>
          <w:rFonts w:ascii="Verdana" w:eastAsia="Calibri" w:hAnsi="Verdana" w:cs="Arial"/>
          <w:color w:val="000000"/>
          <w:lang w:eastAsia="es-ES_tradnl"/>
        </w:rPr>
      </w:pPr>
      <w:r>
        <w:rPr>
          <w:rFonts w:ascii="Verdana" w:eastAsia="Calibri" w:hAnsi="Verdana" w:cs="Arial"/>
          <w:color w:val="000000"/>
          <w:lang w:eastAsia="es-ES_tradnl"/>
        </w:rPr>
        <w:t xml:space="preserve"> </w:t>
      </w:r>
    </w:p>
    <w:p w14:paraId="429CF003" w14:textId="77777777" w:rsidR="00A639CE" w:rsidRPr="00C76F48" w:rsidRDefault="00A639CE" w:rsidP="00A639CE">
      <w:pPr>
        <w:spacing w:after="0" w:line="240" w:lineRule="auto"/>
        <w:jc w:val="both"/>
        <w:rPr>
          <w:rFonts w:ascii="Verdana" w:eastAsia="Calibri" w:hAnsi="Verdana" w:cs="Arial"/>
          <w:color w:val="000000"/>
          <w:lang w:eastAsia="es-ES_tradnl"/>
        </w:rPr>
      </w:pPr>
    </w:p>
    <w:p w14:paraId="19B069AD" w14:textId="77777777" w:rsidR="00A639CE" w:rsidRPr="00C76F48" w:rsidRDefault="00A639CE" w:rsidP="00A639CE">
      <w:pPr>
        <w:spacing w:after="0" w:line="276" w:lineRule="auto"/>
        <w:jc w:val="both"/>
        <w:rPr>
          <w:rFonts w:ascii="Verdana" w:eastAsia="Calibri" w:hAnsi="Verdana" w:cs="Arial"/>
          <w:lang w:eastAsia="es-ES"/>
        </w:rPr>
      </w:pPr>
      <w:r w:rsidRPr="00C76F48">
        <w:rPr>
          <w:rFonts w:ascii="Verdana" w:eastAsia="Calibri" w:hAnsi="Verdana" w:cs="Arial"/>
          <w:lang w:eastAsia="es-ES"/>
        </w:rPr>
        <w:t>Estimado señor</w:t>
      </w:r>
      <w:r>
        <w:rPr>
          <w:rFonts w:ascii="Verdana" w:eastAsia="Calibri" w:hAnsi="Verdana" w:cs="Arial"/>
          <w:lang w:eastAsia="es-ES"/>
        </w:rPr>
        <w:t xml:space="preserve"> López Martínez</w:t>
      </w:r>
      <w:r w:rsidRPr="00C76F48">
        <w:rPr>
          <w:rFonts w:ascii="Verdana" w:eastAsia="Calibri" w:hAnsi="Verdana" w:cs="Arial"/>
          <w:lang w:eastAsia="es-ES"/>
        </w:rPr>
        <w:t xml:space="preserve">: </w:t>
      </w:r>
    </w:p>
    <w:p w14:paraId="1FD2C95F" w14:textId="77777777" w:rsidR="00A639CE" w:rsidRPr="00C76F48" w:rsidRDefault="00A639CE" w:rsidP="00A639CE">
      <w:pPr>
        <w:tabs>
          <w:tab w:val="left" w:pos="3768"/>
        </w:tabs>
        <w:spacing w:after="0" w:line="276" w:lineRule="auto"/>
        <w:jc w:val="both"/>
        <w:rPr>
          <w:rFonts w:ascii="Verdana" w:eastAsia="Calibri" w:hAnsi="Verdana" w:cs="Arial"/>
          <w:color w:val="000000" w:themeColor="text1"/>
          <w:lang w:eastAsia="es-ES"/>
        </w:rPr>
      </w:pPr>
      <w:r w:rsidRPr="00C76F48">
        <w:rPr>
          <w:rFonts w:ascii="Verdana" w:eastAsia="Calibri" w:hAnsi="Verdana" w:cs="Arial"/>
          <w:color w:val="000000" w:themeColor="text1"/>
          <w:lang w:eastAsia="es-ES"/>
        </w:rPr>
        <w:tab/>
      </w:r>
    </w:p>
    <w:p w14:paraId="74840BD6" w14:textId="77777777" w:rsidR="00A639CE" w:rsidRPr="00C76F48" w:rsidRDefault="00A639CE" w:rsidP="00A639CE">
      <w:pPr>
        <w:spacing w:after="0" w:line="276" w:lineRule="auto"/>
        <w:jc w:val="both"/>
        <w:rPr>
          <w:rFonts w:ascii="Verdana" w:eastAsia="Calibri" w:hAnsi="Verdana" w:cs="Arial"/>
          <w:i/>
          <w:iCs/>
          <w:lang w:eastAsia="es-ES"/>
        </w:rPr>
      </w:pPr>
      <w:r w:rsidRPr="00C76F48">
        <w:rPr>
          <w:rFonts w:ascii="Verdana" w:eastAsia="Calibri" w:hAnsi="Verdana" w:cs="Arial"/>
          <w:color w:val="000000" w:themeColor="text1"/>
          <w:lang w:eastAsia="es-ES"/>
        </w:rPr>
        <w:t>En ejercicio de la competencia otorgada por los artículos 3, numeral 5º, y 11, numeral 8º, del Decreto Ley 4170 de 2011,</w:t>
      </w:r>
      <w:r w:rsidRPr="00C76F48">
        <w:rPr>
          <w:rFonts w:ascii="Verdana" w:eastAsia="Arial MT" w:hAnsi="Verdana" w:cs="Arial MT"/>
          <w:lang w:eastAsia="es-ES"/>
        </w:rPr>
        <w:t xml:space="preserve"> </w:t>
      </w:r>
      <w:r w:rsidRPr="00C76F48">
        <w:rPr>
          <w:rFonts w:ascii="Verdana" w:hAnsi="Verdana" w:cs="Arial"/>
          <w:lang w:val="es-ES_tradnl"/>
        </w:rPr>
        <w:t>así como lo establecido en</w:t>
      </w:r>
      <w:r w:rsidRPr="00C76F48">
        <w:rPr>
          <w:rFonts w:ascii="Verdana" w:hAnsi="Verdana" w:cs="Arial"/>
        </w:rPr>
        <w:t xml:space="preserve"> la Resolución 469 de 2025 expedida por esta Entidad, </w:t>
      </w:r>
      <w:r w:rsidRPr="00C76F48">
        <w:rPr>
          <w:rFonts w:ascii="Verdana" w:eastAsia="Calibri" w:hAnsi="Verdana" w:cs="Arial"/>
          <w:color w:val="000000" w:themeColor="text1"/>
          <w:lang w:eastAsia="es-ES"/>
        </w:rPr>
        <w:t>la Agencia Nacional de Contratación Pública – Colombia Compra Eficiente responde su</w:t>
      </w:r>
      <w:r>
        <w:rPr>
          <w:rFonts w:ascii="Verdana" w:eastAsia="Calibri" w:hAnsi="Verdana" w:cs="Arial"/>
          <w:color w:val="000000" w:themeColor="text1"/>
          <w:lang w:eastAsia="es-ES"/>
        </w:rPr>
        <w:t>s</w:t>
      </w:r>
      <w:r w:rsidRPr="00C76F48">
        <w:rPr>
          <w:rFonts w:ascii="Verdana" w:eastAsia="Calibri" w:hAnsi="Verdana" w:cs="Arial"/>
          <w:color w:val="000000" w:themeColor="text1"/>
          <w:lang w:eastAsia="es-ES"/>
        </w:rPr>
        <w:t xml:space="preserve"> solicitud</w:t>
      </w:r>
      <w:r>
        <w:rPr>
          <w:rFonts w:ascii="Verdana" w:eastAsia="Calibri" w:hAnsi="Verdana" w:cs="Arial"/>
          <w:color w:val="000000" w:themeColor="text1"/>
          <w:lang w:eastAsia="es-ES"/>
        </w:rPr>
        <w:t>es</w:t>
      </w:r>
      <w:r w:rsidRPr="00C76F48">
        <w:rPr>
          <w:rFonts w:ascii="Verdana" w:eastAsia="Calibri" w:hAnsi="Verdana" w:cs="Arial"/>
          <w:color w:val="000000" w:themeColor="text1"/>
          <w:lang w:eastAsia="es-ES"/>
        </w:rPr>
        <w:t xml:space="preserve"> de concepto del </w:t>
      </w:r>
      <w:r>
        <w:rPr>
          <w:rFonts w:ascii="Verdana" w:eastAsia="Calibri" w:hAnsi="Verdana" w:cs="Arial"/>
          <w:color w:val="000000" w:themeColor="text1"/>
          <w:lang w:eastAsia="es-ES"/>
        </w:rPr>
        <w:t>26</w:t>
      </w:r>
      <w:r w:rsidRPr="00C76F48">
        <w:rPr>
          <w:rFonts w:ascii="Verdana" w:eastAsia="Calibri" w:hAnsi="Verdana" w:cs="Arial"/>
          <w:color w:val="000000" w:themeColor="text1"/>
          <w:lang w:eastAsia="es-ES"/>
        </w:rPr>
        <w:t xml:space="preserve"> de </w:t>
      </w:r>
      <w:r>
        <w:rPr>
          <w:rFonts w:ascii="Verdana" w:eastAsia="Calibri" w:hAnsi="Verdana" w:cs="Arial"/>
          <w:color w:val="000000" w:themeColor="text1"/>
          <w:lang w:eastAsia="es-ES"/>
        </w:rPr>
        <w:t>marzo</w:t>
      </w:r>
      <w:r w:rsidRPr="00C76F48">
        <w:rPr>
          <w:rFonts w:ascii="Verdana" w:eastAsia="Calibri" w:hAnsi="Verdana" w:cs="Arial"/>
          <w:color w:val="000000" w:themeColor="text1"/>
          <w:lang w:eastAsia="es-ES"/>
        </w:rPr>
        <w:t xml:space="preserve"> de 2026,</w:t>
      </w:r>
      <w:r w:rsidRPr="00C76F48">
        <w:rPr>
          <w:rFonts w:ascii="Verdana" w:eastAsia="Calibri" w:hAnsi="Verdana" w:cs="Arial"/>
          <w:lang w:eastAsia="es-ES"/>
        </w:rPr>
        <w:t xml:space="preserve"> en la cual consulta sobre lo siguiente:</w:t>
      </w:r>
      <w:r w:rsidRPr="00C76F48">
        <w:rPr>
          <w:rFonts w:ascii="Verdana" w:eastAsia="Calibri" w:hAnsi="Verdana" w:cs="Arial"/>
          <w:i/>
          <w:iCs/>
          <w:lang w:eastAsia="es-ES"/>
        </w:rPr>
        <w:t xml:space="preserve"> </w:t>
      </w:r>
      <w:bookmarkStart w:id="2" w:name="_Hlk95313578"/>
    </w:p>
    <w:p w14:paraId="08C71824" w14:textId="77777777" w:rsidR="00A639CE" w:rsidRPr="00C76F48" w:rsidRDefault="00A639CE" w:rsidP="00A639CE">
      <w:pPr>
        <w:spacing w:after="0" w:line="276" w:lineRule="auto"/>
        <w:jc w:val="both"/>
        <w:rPr>
          <w:rFonts w:ascii="Verdana" w:eastAsia="Calibri" w:hAnsi="Verdana" w:cs="Arial"/>
          <w:i/>
          <w:iCs/>
          <w:lang w:eastAsia="es-ES"/>
        </w:rPr>
      </w:pPr>
    </w:p>
    <w:bookmarkEnd w:id="2"/>
    <w:p w14:paraId="58F5D93F" w14:textId="77777777" w:rsidR="00A639CE" w:rsidRPr="008B5A4F" w:rsidRDefault="00A639CE" w:rsidP="00A639CE">
      <w:pPr>
        <w:spacing w:after="0" w:line="240" w:lineRule="auto"/>
        <w:ind w:right="709"/>
        <w:jc w:val="both"/>
        <w:rPr>
          <w:rFonts w:ascii="Verdana" w:eastAsia="Arial" w:hAnsi="Verdana" w:cs="Arial"/>
          <w:iCs/>
          <w:color w:val="000000"/>
          <w:sz w:val="20"/>
          <w:szCs w:val="20"/>
        </w:rPr>
      </w:pPr>
      <w:r>
        <w:rPr>
          <w:rFonts w:ascii="Verdana" w:eastAsia="Arial" w:hAnsi="Verdana" w:cs="Arial"/>
          <w:iCs/>
          <w:color w:val="000000"/>
          <w:sz w:val="20"/>
          <w:szCs w:val="20"/>
        </w:rPr>
        <w:t>“[…]</w:t>
      </w:r>
    </w:p>
    <w:p w14:paraId="6A9C1A41" w14:textId="77777777" w:rsidR="00A639CE" w:rsidRDefault="00A639CE" w:rsidP="00A639CE">
      <w:pPr>
        <w:pStyle w:val="Prrafodelista"/>
        <w:numPr>
          <w:ilvl w:val="0"/>
          <w:numId w:val="19"/>
        </w:numPr>
        <w:spacing w:after="0" w:line="240" w:lineRule="auto"/>
        <w:ind w:right="709"/>
        <w:jc w:val="both"/>
        <w:rPr>
          <w:rFonts w:ascii="Verdana" w:eastAsia="Arial" w:hAnsi="Verdana" w:cs="Arial"/>
          <w:iCs/>
          <w:color w:val="000000"/>
          <w:sz w:val="20"/>
          <w:szCs w:val="20"/>
        </w:rPr>
      </w:pPr>
      <w:r w:rsidRPr="008B5A4F">
        <w:rPr>
          <w:rFonts w:ascii="Verdana" w:eastAsia="Arial" w:hAnsi="Verdana" w:cs="Arial"/>
          <w:iCs/>
          <w:color w:val="000000"/>
          <w:sz w:val="20"/>
          <w:szCs w:val="20"/>
        </w:rPr>
        <w:t>¿Es jurídicamente procedente que una entidad estatal, en un proceso de Mínima Cuantía, exija que el integrante de un proponente plural que aporte la experiencia habilitante tenga una participación mínima del 50% dentro del consorcio o unión temporal?</w:t>
      </w:r>
    </w:p>
    <w:p w14:paraId="01A81DB0" w14:textId="77777777" w:rsidR="00A639CE" w:rsidRPr="007615AE" w:rsidRDefault="00A639CE" w:rsidP="00A639CE">
      <w:pPr>
        <w:pStyle w:val="Default"/>
        <w:numPr>
          <w:ilvl w:val="0"/>
          <w:numId w:val="19"/>
        </w:numPr>
        <w:rPr>
          <w:rFonts w:ascii="Verdana" w:eastAsia="Arial" w:hAnsi="Verdana"/>
          <w:sz w:val="20"/>
          <w:szCs w:val="20"/>
          <w:lang w:val="es-ES"/>
        </w:rPr>
      </w:pPr>
      <w:r w:rsidRPr="008B5A4F">
        <w:rPr>
          <w:sz w:val="22"/>
          <w:szCs w:val="22"/>
        </w:rPr>
        <w:t>¿</w:t>
      </w:r>
      <w:r w:rsidRPr="007615AE">
        <w:rPr>
          <w:rFonts w:ascii="Verdana" w:eastAsia="Arial" w:hAnsi="Verdana"/>
          <w:sz w:val="20"/>
          <w:szCs w:val="20"/>
          <w:lang w:val="es-ES"/>
        </w:rPr>
        <w:t xml:space="preserve">Dicha exigencia podría constituir una vulneración de los principios de libre concurrencia y proporcionalidad previstos en la Ley 80 de 1993? </w:t>
      </w:r>
    </w:p>
    <w:p w14:paraId="298795E5" w14:textId="77777777" w:rsidR="00A639CE" w:rsidRPr="007615AE" w:rsidRDefault="00A639CE" w:rsidP="00A639CE">
      <w:pPr>
        <w:pStyle w:val="Prrafodelista"/>
        <w:numPr>
          <w:ilvl w:val="0"/>
          <w:numId w:val="19"/>
        </w:numPr>
        <w:spacing w:after="0" w:line="240" w:lineRule="auto"/>
        <w:ind w:right="709"/>
        <w:jc w:val="both"/>
        <w:rPr>
          <w:rFonts w:ascii="Verdana" w:eastAsia="Arial" w:hAnsi="Verdana" w:cs="Arial"/>
          <w:color w:val="000000"/>
          <w:sz w:val="20"/>
          <w:szCs w:val="20"/>
        </w:rPr>
      </w:pPr>
      <w:r w:rsidRPr="008B5A4F">
        <w:rPr>
          <w:rFonts w:ascii="Verdana" w:eastAsia="Arial" w:hAnsi="Verdana" w:cs="Arial"/>
          <w:iCs/>
          <w:color w:val="000000"/>
          <w:sz w:val="20"/>
          <w:szCs w:val="20"/>
        </w:rPr>
        <w:t xml:space="preserve"> ¿Cuenta la entidad estatal con facultad normativa suficiente para limitar la autonomía de la voluntad de los particulares en la definición de los porcentajes de participación dentro de una estructura plural, considerando que la responsabilidad de sus miembros es solidaria por disposición legal? </w:t>
      </w:r>
    </w:p>
    <w:p w14:paraId="518E4B6E" w14:textId="77777777" w:rsidR="00A639CE" w:rsidRPr="008B5A4F" w:rsidRDefault="00A639CE" w:rsidP="00A639CE">
      <w:pPr>
        <w:pStyle w:val="Default"/>
        <w:numPr>
          <w:ilvl w:val="0"/>
          <w:numId w:val="19"/>
        </w:numPr>
      </w:pPr>
      <w:r w:rsidRPr="007615AE">
        <w:rPr>
          <w:rFonts w:ascii="Verdana" w:eastAsia="Arial" w:hAnsi="Verdana"/>
          <w:sz w:val="20"/>
          <w:szCs w:val="20"/>
          <w:lang w:val="es-ES"/>
        </w:rPr>
        <w:lastRenderedPageBreak/>
        <w:t>¿Podría interpretarse esta condición como una barrera de acceso injustificada, especialmente para las micro, pequeñas y medianas empresas (MiPymes) que buscan asociarse con empresas de mayor experiencia para cumplir requisitos</w:t>
      </w:r>
      <w:r w:rsidRPr="008B5A4F">
        <w:rPr>
          <w:sz w:val="22"/>
          <w:szCs w:val="22"/>
        </w:rPr>
        <w:t xml:space="preserve"> habilitantes? </w:t>
      </w:r>
    </w:p>
    <w:p w14:paraId="5AF0AD1D" w14:textId="77777777" w:rsidR="00A639CE" w:rsidRPr="007615AE" w:rsidRDefault="00A639CE" w:rsidP="00A639CE">
      <w:pPr>
        <w:pStyle w:val="Default"/>
        <w:numPr>
          <w:ilvl w:val="0"/>
          <w:numId w:val="19"/>
        </w:numPr>
        <w:rPr>
          <w:rFonts w:ascii="Verdana" w:eastAsia="Arial" w:hAnsi="Verdana"/>
          <w:sz w:val="20"/>
          <w:szCs w:val="20"/>
          <w:lang w:val="es-ES"/>
        </w:rPr>
      </w:pPr>
      <w:r w:rsidRPr="007615AE">
        <w:rPr>
          <w:rFonts w:ascii="Verdana" w:eastAsia="Arial" w:hAnsi="Verdana"/>
          <w:sz w:val="20"/>
          <w:szCs w:val="20"/>
          <w:lang w:val="es-ES"/>
        </w:rPr>
        <w:t>En caso de considerarse válida la exigencia, ¿cuáles serían los criterios de razonabilidad y proporcionalidad que deberían observar las entidades estatales para su incorporación en los documentos del proceso?”:</w:t>
      </w:r>
    </w:p>
    <w:p w14:paraId="5E2E1424" w14:textId="77777777" w:rsidR="00A639CE" w:rsidRPr="007615AE" w:rsidRDefault="00A639CE" w:rsidP="00A639CE">
      <w:pPr>
        <w:spacing w:after="0" w:line="240" w:lineRule="auto"/>
        <w:ind w:right="709"/>
        <w:jc w:val="both"/>
        <w:rPr>
          <w:rFonts w:ascii="Verdana" w:eastAsia="Arial" w:hAnsi="Verdana" w:cs="Arial"/>
          <w:color w:val="000000"/>
          <w:sz w:val="20"/>
          <w:szCs w:val="20"/>
          <w:lang w:val="es-ES"/>
        </w:rPr>
      </w:pPr>
    </w:p>
    <w:p w14:paraId="28C7846B" w14:textId="77777777" w:rsidR="00A639CE" w:rsidRPr="00C76F48" w:rsidRDefault="00A639CE" w:rsidP="00A639CE">
      <w:pPr>
        <w:spacing w:after="120" w:line="276" w:lineRule="auto"/>
        <w:ind w:firstLine="709"/>
        <w:jc w:val="both"/>
        <w:rPr>
          <w:rFonts w:ascii="Verdana" w:eastAsia="Calibri" w:hAnsi="Verdana" w:cs="Arial"/>
          <w:color w:val="000000"/>
          <w:lang w:eastAsia="es-ES"/>
        </w:rPr>
      </w:pPr>
      <w:r w:rsidRPr="00C76F48">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76F48">
        <w:rPr>
          <w:rFonts w:ascii="Verdana" w:eastAsia="Calibri" w:hAnsi="Verdana" w:cs="Arial"/>
          <w:color w:val="000000"/>
          <w:szCs w:val="24"/>
          <w:lang w:eastAsia="es-ES_tradnl"/>
        </w:rPr>
        <w:tab/>
      </w:r>
    </w:p>
    <w:p w14:paraId="092FC076" w14:textId="77777777" w:rsidR="00A639CE" w:rsidRPr="00C76F48" w:rsidRDefault="00A639CE" w:rsidP="00A639CE">
      <w:pPr>
        <w:spacing w:after="0" w:line="276" w:lineRule="auto"/>
        <w:ind w:firstLine="709"/>
        <w:jc w:val="both"/>
        <w:rPr>
          <w:rFonts w:ascii="Verdana" w:eastAsia="Calibri" w:hAnsi="Verdana" w:cs="Arial"/>
          <w:color w:val="000000"/>
          <w:lang w:eastAsia="es-ES"/>
        </w:rPr>
      </w:pPr>
      <w:r w:rsidRPr="00C76F48">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los</w:t>
      </w:r>
      <w:r w:rsidRPr="00C76F48">
        <w:rPr>
          <w:rFonts w:ascii="Verdana" w:eastAsia="Calibri" w:hAnsi="Verdana" w:cs="Arial"/>
          <w:color w:val="7030A0"/>
          <w:lang w:eastAsia="es-ES"/>
        </w:rPr>
        <w:t xml:space="preserve"> </w:t>
      </w:r>
      <w:r w:rsidRPr="00C76F48">
        <w:rPr>
          <w:rFonts w:ascii="Verdana" w:eastAsia="Calibri" w:hAnsi="Verdana" w:cs="Arial"/>
          <w:color w:val="000000"/>
          <w:lang w:eastAsia="es-ES"/>
        </w:rPr>
        <w:t>problemas</w:t>
      </w:r>
      <w:r w:rsidRPr="00C76F48">
        <w:rPr>
          <w:rFonts w:ascii="Verdana" w:eastAsia="Calibri" w:hAnsi="Verdana" w:cs="Arial"/>
          <w:color w:val="7030A0"/>
          <w:lang w:eastAsia="es-ES"/>
        </w:rPr>
        <w:t xml:space="preserve"> </w:t>
      </w:r>
      <w:r w:rsidRPr="00C76F48">
        <w:rPr>
          <w:rFonts w:ascii="Verdana" w:eastAsia="Calibri" w:hAnsi="Verdana" w:cs="Arial"/>
          <w:color w:val="000000"/>
          <w:lang w:eastAsia="es-ES"/>
        </w:rPr>
        <w:t>jurídicos</w:t>
      </w:r>
      <w:r w:rsidRPr="00C76F48">
        <w:rPr>
          <w:rFonts w:ascii="Verdana" w:eastAsia="Calibri" w:hAnsi="Verdana" w:cs="Arial"/>
          <w:color w:val="7030A0"/>
          <w:lang w:eastAsia="es-ES"/>
        </w:rPr>
        <w:t xml:space="preserve"> </w:t>
      </w:r>
      <w:r w:rsidRPr="00C76F48">
        <w:rPr>
          <w:rFonts w:ascii="Verdana" w:eastAsia="Calibri" w:hAnsi="Verdana" w:cs="Arial"/>
          <w:color w:val="000000"/>
          <w:lang w:eastAsia="es-ES"/>
        </w:rPr>
        <w:t xml:space="preserve">de su consulta. </w:t>
      </w:r>
    </w:p>
    <w:p w14:paraId="07F71C34" w14:textId="77777777" w:rsidR="00A639CE" w:rsidRPr="00C76F48" w:rsidRDefault="00A639CE" w:rsidP="00A639CE">
      <w:pPr>
        <w:spacing w:after="0" w:line="276" w:lineRule="auto"/>
        <w:ind w:firstLine="709"/>
        <w:jc w:val="both"/>
        <w:rPr>
          <w:rFonts w:ascii="Verdana" w:eastAsia="Calibri" w:hAnsi="Verdana" w:cs="Arial"/>
          <w:color w:val="000000"/>
          <w:lang w:eastAsia="es-ES"/>
        </w:rPr>
      </w:pPr>
    </w:p>
    <w:p w14:paraId="2E01A63F" w14:textId="77777777" w:rsidR="00A639CE" w:rsidRPr="00C76F48" w:rsidRDefault="00A639CE" w:rsidP="00A639CE">
      <w:pPr>
        <w:numPr>
          <w:ilvl w:val="0"/>
          <w:numId w:val="16"/>
        </w:numPr>
        <w:tabs>
          <w:tab w:val="left" w:pos="142"/>
          <w:tab w:val="left" w:pos="284"/>
        </w:tabs>
        <w:spacing w:after="0" w:line="276" w:lineRule="auto"/>
        <w:jc w:val="both"/>
        <w:rPr>
          <w:rFonts w:ascii="Verdana" w:eastAsia="Century Gothic" w:hAnsi="Verdana" w:cs="Century Gothic"/>
          <w:b/>
          <w:bCs/>
        </w:rPr>
      </w:pPr>
      <w:r w:rsidRPr="00C76F48">
        <w:rPr>
          <w:rFonts w:ascii="Verdana" w:eastAsia="Century Gothic" w:hAnsi="Verdana" w:cs="Century Gothic"/>
          <w:b/>
          <w:bCs/>
        </w:rPr>
        <w:t>Problemas planteados:</w:t>
      </w:r>
    </w:p>
    <w:p w14:paraId="105390F0" w14:textId="77777777" w:rsidR="00A639CE" w:rsidRPr="00C76F48" w:rsidRDefault="00A639CE" w:rsidP="00A639CE">
      <w:pPr>
        <w:tabs>
          <w:tab w:val="left" w:pos="426"/>
        </w:tabs>
        <w:spacing w:after="0" w:line="276" w:lineRule="auto"/>
        <w:jc w:val="both"/>
        <w:rPr>
          <w:rFonts w:ascii="Verdana" w:eastAsia="Century Gothic" w:hAnsi="Verdana" w:cs="Century Gothic"/>
        </w:rPr>
      </w:pPr>
    </w:p>
    <w:p w14:paraId="70EBF6B0" w14:textId="77777777" w:rsidR="00A639CE" w:rsidRPr="00C76F48" w:rsidRDefault="00A639CE" w:rsidP="00A639CE">
      <w:pPr>
        <w:spacing w:after="0" w:line="276" w:lineRule="auto"/>
        <w:jc w:val="both"/>
        <w:rPr>
          <w:rFonts w:ascii="Verdana" w:eastAsia="Century Gothic" w:hAnsi="Verdana" w:cs="Century Gothic"/>
        </w:rPr>
      </w:pPr>
      <w:r w:rsidRPr="00C76F48">
        <w:rPr>
          <w:rFonts w:ascii="Verdana" w:eastAsia="Century Gothic" w:hAnsi="Verdana" w:cs="Century Gothic"/>
        </w:rPr>
        <w:t xml:space="preserve">De acuerdo con el contenido de su solicitud, esta Agencia resolverá el siguiente problema jurídico: </w:t>
      </w:r>
      <w:r w:rsidRPr="004C06E2">
        <w:rPr>
          <w:rFonts w:ascii="Verdana" w:eastAsia="Century Gothic" w:hAnsi="Verdana" w:cs="Century Gothic"/>
        </w:rPr>
        <w:t>¿Puede la entidad estatal exigir, en procesos de mínima cuantía, que el integrante de un proponente plural que acredita la experiencia</w:t>
      </w:r>
      <w:r>
        <w:rPr>
          <w:rFonts w:ascii="Verdana" w:eastAsia="Century Gothic" w:hAnsi="Verdana" w:cs="Century Gothic"/>
        </w:rPr>
        <w:t xml:space="preserve"> habilitante</w:t>
      </w:r>
      <w:r w:rsidRPr="004C06E2">
        <w:rPr>
          <w:rFonts w:ascii="Verdana" w:eastAsia="Century Gothic" w:hAnsi="Verdana" w:cs="Century Gothic"/>
        </w:rPr>
        <w:t xml:space="preserve"> tenga al menos el 50% de participación, o dicha condición vulnera los principios de pluralidad</w:t>
      </w:r>
      <w:r>
        <w:rPr>
          <w:rFonts w:ascii="Verdana" w:eastAsia="Century Gothic" w:hAnsi="Verdana" w:cs="Century Gothic"/>
        </w:rPr>
        <w:t xml:space="preserve"> de oferentes, selección objetiva y </w:t>
      </w:r>
      <w:r w:rsidRPr="004C06E2">
        <w:rPr>
          <w:rFonts w:ascii="Verdana" w:eastAsia="Century Gothic" w:hAnsi="Verdana" w:cs="Century Gothic"/>
        </w:rPr>
        <w:t>proporcionalidad en la contratación estatal?</w:t>
      </w:r>
    </w:p>
    <w:p w14:paraId="2763C449" w14:textId="77777777" w:rsidR="00A639CE" w:rsidRPr="00C76F48" w:rsidRDefault="00A639CE" w:rsidP="00A639CE">
      <w:pPr>
        <w:spacing w:after="0" w:line="276" w:lineRule="auto"/>
        <w:jc w:val="both"/>
        <w:rPr>
          <w:rFonts w:ascii="Verdana" w:eastAsia="Calibri" w:hAnsi="Verdana" w:cs="Arial"/>
          <w:color w:val="7030A0"/>
        </w:rPr>
      </w:pPr>
    </w:p>
    <w:p w14:paraId="396DF239" w14:textId="77777777" w:rsidR="00A639CE" w:rsidRPr="00C76F48" w:rsidRDefault="00A639CE" w:rsidP="00A639CE">
      <w:pPr>
        <w:numPr>
          <w:ilvl w:val="0"/>
          <w:numId w:val="16"/>
        </w:numPr>
        <w:tabs>
          <w:tab w:val="left" w:pos="142"/>
          <w:tab w:val="left" w:pos="284"/>
        </w:tabs>
        <w:spacing w:after="0" w:line="276" w:lineRule="auto"/>
        <w:jc w:val="both"/>
        <w:rPr>
          <w:rFonts w:ascii="Verdana" w:eastAsia="Century Gothic" w:hAnsi="Verdana" w:cs="Century Gothic"/>
          <w:b/>
          <w:bCs/>
        </w:rPr>
      </w:pPr>
      <w:r w:rsidRPr="00C76F48">
        <w:rPr>
          <w:rFonts w:ascii="Verdana" w:eastAsia="Century Gothic" w:hAnsi="Verdana" w:cs="Century Gothic"/>
          <w:b/>
          <w:bCs/>
        </w:rPr>
        <w:t>Respuestas:</w:t>
      </w:r>
    </w:p>
    <w:p w14:paraId="49F2360B" w14:textId="77777777" w:rsidR="00A639CE" w:rsidRPr="00C76F48" w:rsidRDefault="00A639CE" w:rsidP="00A639CE">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639CE" w:rsidRPr="00C76F48" w14:paraId="7221A1D0" w14:textId="77777777" w:rsidTr="00A05D8D">
        <w:trPr>
          <w:jc w:val="center"/>
        </w:trPr>
        <w:tc>
          <w:tcPr>
            <w:tcW w:w="8828" w:type="dxa"/>
          </w:tcPr>
          <w:p w14:paraId="6C102CD2" w14:textId="77777777" w:rsidR="00A639CE" w:rsidRPr="00CD530A" w:rsidRDefault="00A639CE" w:rsidP="00A05D8D">
            <w:pPr>
              <w:spacing w:after="120" w:line="276" w:lineRule="auto"/>
              <w:ind w:right="102"/>
              <w:jc w:val="both"/>
              <w:rPr>
                <w:rFonts w:ascii="Verdana" w:eastAsia="Arial" w:hAnsi="Verdana" w:cs="Arial"/>
              </w:rPr>
            </w:pPr>
            <w:bookmarkStart w:id="3" w:name="_Hlk171694685"/>
            <w:r w:rsidRPr="009D4247">
              <w:rPr>
                <w:rFonts w:ascii="Verdana" w:eastAsia="Arial" w:hAnsi="Verdana" w:cs="Arial"/>
              </w:rPr>
              <w:t xml:space="preserve">A juicio de esta Agencia, la exigencia de </w:t>
            </w:r>
            <w:r>
              <w:rPr>
                <w:rFonts w:ascii="Verdana" w:eastAsia="Arial" w:hAnsi="Verdana" w:cs="Arial"/>
              </w:rPr>
              <w:t>que el integrante del proponente plural que este aportando la experiencia habilitante se le exija el 50% de participación dentro de ese esquema de participación plural podría</w:t>
            </w:r>
            <w:r w:rsidRPr="009D4247">
              <w:rPr>
                <w:rFonts w:ascii="Verdana" w:eastAsia="Arial" w:hAnsi="Verdana" w:cs="Arial"/>
              </w:rPr>
              <w:t xml:space="preserve"> resultar contraria a los principios de selección objetiva, pluralidad de oferentes y libre concurrencia, que orientan la contratación pública en Colombia.</w:t>
            </w:r>
            <w:r>
              <w:rPr>
                <w:rFonts w:ascii="Verdana" w:eastAsia="Arial" w:hAnsi="Verdana" w:cs="Arial"/>
              </w:rPr>
              <w:t xml:space="preserve"> </w:t>
            </w:r>
            <w:r w:rsidRPr="00CD530A">
              <w:rPr>
                <w:rFonts w:ascii="Verdana" w:eastAsia="Arial" w:hAnsi="Verdana" w:cs="Arial"/>
              </w:rPr>
              <w:t>Imponer condiciones que desincentiven o limiten injustificadamente la conformación de proponentes plurales iría en menoscabo de una figura asociativa plenamente válida en el ordenamiento jurídico colombiano, cuya finalidad en el ámbito de la contratación estatal es, precisamente, facilitar la participación de los interesados, permitir la suma de capacidades técnicas, financieras y organizacionales, y materializar los principios de pluralidad de oferentes y libre concurrencia</w:t>
            </w:r>
            <w:r w:rsidRPr="00CD530A">
              <w:rPr>
                <w:rFonts w:ascii="Verdana" w:eastAsia="Arial" w:hAnsi="Verdana" w:cs="Arial"/>
                <w:b/>
                <w:bCs/>
              </w:rPr>
              <w:t>.</w:t>
            </w:r>
            <w:r>
              <w:rPr>
                <w:rFonts w:ascii="Verdana" w:eastAsia="Arial" w:hAnsi="Verdana" w:cs="Arial"/>
                <w:b/>
                <w:bCs/>
              </w:rPr>
              <w:t xml:space="preserve"> </w:t>
            </w:r>
            <w:r w:rsidRPr="00CD530A">
              <w:rPr>
                <w:rFonts w:ascii="Verdana" w:eastAsia="Arial" w:hAnsi="Verdana" w:cs="Arial"/>
              </w:rPr>
              <w:t>Lo anterior, salvo que exista una justificación técnica sólida</w:t>
            </w:r>
          </w:p>
          <w:p w14:paraId="4394528D" w14:textId="77777777" w:rsidR="00A639CE" w:rsidRPr="009D4247" w:rsidRDefault="00A639CE" w:rsidP="00A05D8D">
            <w:pPr>
              <w:spacing w:after="120" w:line="276" w:lineRule="auto"/>
              <w:ind w:right="102" w:firstLine="709"/>
              <w:jc w:val="both"/>
              <w:rPr>
                <w:rFonts w:ascii="Verdana" w:eastAsia="Arial" w:hAnsi="Verdana" w:cs="Arial"/>
              </w:rPr>
            </w:pPr>
            <w:r>
              <w:rPr>
                <w:rFonts w:ascii="Verdana" w:eastAsia="Arial" w:hAnsi="Verdana" w:cs="Arial"/>
              </w:rPr>
              <w:t>Ahora bien, en refuerzo de lo anterior, t</w:t>
            </w:r>
            <w:r w:rsidRPr="009D4247">
              <w:rPr>
                <w:rFonts w:ascii="Verdana" w:eastAsia="Arial" w:hAnsi="Verdana" w:cs="Arial"/>
              </w:rPr>
              <w:t xml:space="preserve">anto el Estatuto General de Contratación de la Administración Pública </w:t>
            </w:r>
            <w:r>
              <w:rPr>
                <w:rFonts w:ascii="Verdana" w:eastAsia="Arial" w:hAnsi="Verdana" w:cs="Arial"/>
              </w:rPr>
              <w:t xml:space="preserve">– integrado por la </w:t>
            </w:r>
            <w:r w:rsidRPr="009D4247">
              <w:rPr>
                <w:rFonts w:ascii="Verdana" w:eastAsia="Arial" w:hAnsi="Verdana" w:cs="Arial"/>
              </w:rPr>
              <w:t xml:space="preserve">Ley 80 de 1993 </w:t>
            </w:r>
            <w:r>
              <w:rPr>
                <w:rFonts w:ascii="Verdana" w:eastAsia="Arial" w:hAnsi="Verdana" w:cs="Arial"/>
              </w:rPr>
              <w:t>y la Ley 1150 de 2007, entre otros –</w:t>
            </w:r>
            <w:r w:rsidRPr="009D4247">
              <w:rPr>
                <w:rFonts w:ascii="Verdana" w:eastAsia="Arial" w:hAnsi="Verdana" w:cs="Arial"/>
              </w:rPr>
              <w:t xml:space="preserve"> como su reglamentación —especialmente el Decreto 1082 de 2015— reconocen a las Entidades Estatales una discrecionalidad reglada para definir los requisitos habilitantes, bajo el entendido de que dicha discrecionalidad debe ejercerse de forma razonable, objetiva y proporcional al objeto contractual.</w:t>
            </w:r>
          </w:p>
          <w:p w14:paraId="2C2FB22E" w14:textId="77777777" w:rsidR="00A639CE" w:rsidRDefault="00A639CE" w:rsidP="00A05D8D">
            <w:pPr>
              <w:spacing w:after="120" w:line="276" w:lineRule="auto"/>
              <w:ind w:firstLine="601"/>
              <w:jc w:val="both"/>
              <w:rPr>
                <w:rFonts w:ascii="Verdana" w:eastAsia="Calibri" w:hAnsi="Verdana" w:cs="Arial"/>
                <w:lang w:eastAsia="es-CO"/>
              </w:rPr>
            </w:pPr>
            <w:r w:rsidRPr="009D4247">
              <w:rPr>
                <w:rFonts w:ascii="Verdana" w:eastAsia="Arial" w:hAnsi="Verdana" w:cs="Arial"/>
              </w:rPr>
              <w:t>El artículo 5° de la Ley 1150 de 2007 establece que la selección objetiva implica la escogencia de la oferta más favorable, sin atender a intereses particulares, factores de afecto o cualquier motivación subjetiva. Este principio se articula con el de igualdad de oportunidades y libre concurrencia, que prohíbe imponer barreras injustificadas que impidan o restrinjan la participación de potenciales oferentes.</w:t>
            </w:r>
          </w:p>
          <w:p w14:paraId="3CD36913" w14:textId="77777777" w:rsidR="00A639CE" w:rsidRDefault="00A639CE" w:rsidP="00A05D8D">
            <w:pPr>
              <w:spacing w:after="120" w:line="276" w:lineRule="auto"/>
              <w:ind w:firstLine="601"/>
              <w:jc w:val="both"/>
              <w:rPr>
                <w:rFonts w:ascii="Verdana" w:eastAsia="Calibri" w:hAnsi="Verdana" w:cs="Arial"/>
                <w:lang w:eastAsia="es-CO"/>
              </w:rPr>
            </w:pPr>
            <w:r w:rsidRPr="00C76F48">
              <w:rPr>
                <w:rFonts w:ascii="Verdana" w:eastAsia="Calibri" w:hAnsi="Verdana" w:cs="Arial"/>
                <w:lang w:eastAsia="es-CO"/>
              </w:rPr>
              <w:t xml:space="preserve">En este contexto, la entidad estatal, en el marco de la autonomía y la potestad de dirección que le asiste en los procesos de contratación que adelanta debe establecer en los Documentos del Proceso –particularmente en el pliego de condiciones o la invitación– </w:t>
            </w:r>
            <w:r>
              <w:rPr>
                <w:rFonts w:ascii="Verdana" w:eastAsia="Calibri" w:hAnsi="Verdana" w:cs="Arial"/>
                <w:lang w:eastAsia="es-CO"/>
              </w:rPr>
              <w:t xml:space="preserve">los requisitos, </w:t>
            </w:r>
            <w:r w:rsidRPr="00C76F48">
              <w:rPr>
                <w:rFonts w:ascii="Verdana" w:eastAsia="Calibri" w:hAnsi="Verdana" w:cs="Arial"/>
                <w:lang w:eastAsia="es-CO"/>
              </w:rPr>
              <w:t>documentos</w:t>
            </w:r>
            <w:r>
              <w:rPr>
                <w:rFonts w:ascii="Verdana" w:eastAsia="Calibri" w:hAnsi="Verdana" w:cs="Arial"/>
                <w:lang w:eastAsia="es-CO"/>
              </w:rPr>
              <w:t xml:space="preserve"> e </w:t>
            </w:r>
            <w:r w:rsidRPr="00C76F48">
              <w:rPr>
                <w:rFonts w:ascii="Verdana" w:eastAsia="Calibri" w:hAnsi="Verdana" w:cs="Arial"/>
                <w:lang w:eastAsia="es-CO"/>
              </w:rPr>
              <w:t xml:space="preserve">instrumentos que exigirá a los proponentes para acreditar dicha experiencia, contando con cierta discrecionalidad para establecer cuáles </w:t>
            </w:r>
            <w:r>
              <w:rPr>
                <w:rFonts w:ascii="Verdana" w:eastAsia="Calibri" w:hAnsi="Verdana" w:cs="Arial"/>
                <w:lang w:eastAsia="es-CO"/>
              </w:rPr>
              <w:t>requisitos</w:t>
            </w:r>
            <w:r w:rsidRPr="00C76F48">
              <w:rPr>
                <w:rFonts w:ascii="Verdana" w:eastAsia="Calibri" w:hAnsi="Verdana" w:cs="Arial"/>
                <w:lang w:eastAsia="es-CO"/>
              </w:rPr>
              <w:t xml:space="preserve"> resultan ser adecuados y proporcionales para verificar el requisito de experiencia </w:t>
            </w:r>
            <w:r w:rsidRPr="00C76F48">
              <w:rPr>
                <w:rFonts w:ascii="Verdana" w:eastAsia="Calibri" w:hAnsi="Verdana" w:cs="Arial"/>
                <w:lang w:eastAsia="es-CO"/>
              </w:rPr>
              <w:lastRenderedPageBreak/>
              <w:t>establecido</w:t>
            </w:r>
            <w:r>
              <w:rPr>
                <w:rFonts w:ascii="Verdana" w:eastAsia="Calibri" w:hAnsi="Verdana" w:cs="Arial"/>
                <w:lang w:eastAsia="es-CO"/>
              </w:rPr>
              <w:t xml:space="preserve"> salvaguardando como se ha mencionado, los principios de la contratación estatal</w:t>
            </w:r>
            <w:r w:rsidRPr="00C76F48">
              <w:rPr>
                <w:rFonts w:ascii="Verdana" w:eastAsia="Calibri" w:hAnsi="Verdana" w:cs="Arial"/>
                <w:lang w:eastAsia="es-CO"/>
              </w:rPr>
              <w:t xml:space="preserve">. </w:t>
            </w:r>
          </w:p>
          <w:p w14:paraId="1572D9FE" w14:textId="77777777" w:rsidR="00A639CE" w:rsidRPr="00C76F48" w:rsidRDefault="00A639CE" w:rsidP="00A05D8D">
            <w:pPr>
              <w:spacing w:after="120" w:line="276" w:lineRule="auto"/>
              <w:ind w:firstLine="601"/>
              <w:jc w:val="both"/>
              <w:rPr>
                <w:rFonts w:ascii="Verdana" w:eastAsia="Calibri" w:hAnsi="Verdana" w:cs="Arial"/>
                <w:lang w:eastAsia="es-CO"/>
              </w:rPr>
            </w:pPr>
            <w:r w:rsidRPr="007E0B3F">
              <w:rPr>
                <w:rFonts w:ascii="Verdana" w:eastAsia="Calibri" w:hAnsi="Verdana" w:cs="Arial"/>
                <w:lang w:eastAsia="es-CO"/>
              </w:rPr>
              <w:t xml:space="preserve">Ahora bien, tratándose del procedimiento de selección de mínima cuantía, debe tenerse en cuenta que este se caracteriza por su naturaleza ágil, simplificada y </w:t>
            </w:r>
            <w:r>
              <w:rPr>
                <w:rFonts w:ascii="Verdana" w:eastAsia="Calibri" w:hAnsi="Verdana" w:cs="Arial"/>
                <w:lang w:eastAsia="es-CO"/>
              </w:rPr>
              <w:t>de naturaleza expedita</w:t>
            </w:r>
            <w:r w:rsidRPr="007E0B3F">
              <w:rPr>
                <w:rFonts w:ascii="Verdana" w:eastAsia="Calibri" w:hAnsi="Verdana" w:cs="Arial"/>
                <w:lang w:eastAsia="es-CO"/>
              </w:rPr>
              <w:t>, lo que implica que las Entidades Estatales deben propender por la definición de requisitos habilitantes mínimos, objetivos y estrictamente necesarios, evitando cargas excesivas que limiten la participación de oferentes.</w:t>
            </w:r>
          </w:p>
        </w:tc>
      </w:tr>
    </w:tbl>
    <w:p w14:paraId="0F499FC7" w14:textId="77777777" w:rsidR="00A639CE" w:rsidRPr="00C76F48" w:rsidRDefault="00A639CE" w:rsidP="00A639CE">
      <w:pPr>
        <w:tabs>
          <w:tab w:val="left" w:pos="142"/>
          <w:tab w:val="left" w:pos="284"/>
        </w:tabs>
        <w:spacing w:after="0" w:line="276" w:lineRule="auto"/>
        <w:jc w:val="both"/>
        <w:rPr>
          <w:rFonts w:ascii="Verdana" w:eastAsia="Century Gothic" w:hAnsi="Verdana" w:cs="Century Gothic"/>
          <w:b/>
          <w:bCs/>
        </w:rPr>
      </w:pPr>
    </w:p>
    <w:bookmarkEnd w:id="3"/>
    <w:p w14:paraId="16834879" w14:textId="77777777" w:rsidR="00A639CE" w:rsidRPr="00C76F48" w:rsidRDefault="00A639CE" w:rsidP="00A639CE">
      <w:pPr>
        <w:numPr>
          <w:ilvl w:val="0"/>
          <w:numId w:val="16"/>
        </w:numPr>
        <w:tabs>
          <w:tab w:val="left" w:pos="142"/>
          <w:tab w:val="left" w:pos="284"/>
        </w:tabs>
        <w:spacing w:after="0" w:line="276" w:lineRule="auto"/>
        <w:jc w:val="both"/>
        <w:rPr>
          <w:rFonts w:ascii="Verdana" w:eastAsia="Century Gothic" w:hAnsi="Verdana" w:cs="Century Gothic"/>
          <w:b/>
          <w:bCs/>
        </w:rPr>
      </w:pPr>
      <w:r w:rsidRPr="00C76F48">
        <w:rPr>
          <w:rFonts w:ascii="Verdana" w:eastAsia="Century Gothic" w:hAnsi="Verdana" w:cs="Century Gothic"/>
          <w:b/>
          <w:bCs/>
        </w:rPr>
        <w:t>Razones de las respuestas:</w:t>
      </w:r>
    </w:p>
    <w:p w14:paraId="457FFFC1" w14:textId="77777777" w:rsidR="00A639CE" w:rsidRPr="00C76F48" w:rsidRDefault="00A639CE" w:rsidP="00A639CE">
      <w:pPr>
        <w:spacing w:after="0" w:line="276" w:lineRule="auto"/>
        <w:jc w:val="both"/>
        <w:rPr>
          <w:rFonts w:ascii="Verdana" w:eastAsia="Calibri" w:hAnsi="Verdana" w:cs="Arial"/>
          <w:color w:val="7030A0"/>
        </w:rPr>
      </w:pPr>
    </w:p>
    <w:p w14:paraId="5A8378FC" w14:textId="77777777" w:rsidR="00A639CE" w:rsidRPr="00C76F48" w:rsidRDefault="00A639CE" w:rsidP="00A639CE">
      <w:pPr>
        <w:spacing w:after="0" w:line="276" w:lineRule="auto"/>
        <w:jc w:val="both"/>
        <w:rPr>
          <w:rFonts w:ascii="Verdana" w:eastAsia="Calibri" w:hAnsi="Verdana" w:cs="Arial"/>
        </w:rPr>
      </w:pPr>
      <w:r w:rsidRPr="00C76F48">
        <w:rPr>
          <w:rFonts w:ascii="Verdana" w:eastAsia="Calibri" w:hAnsi="Verdana" w:cs="Arial"/>
        </w:rPr>
        <w:t>Lo anterior se sustenta en las siguientes consideraciones:</w:t>
      </w:r>
    </w:p>
    <w:p w14:paraId="00C54EA4" w14:textId="77777777" w:rsidR="00A639CE" w:rsidRPr="00C76F48" w:rsidRDefault="00A639CE" w:rsidP="00A639CE">
      <w:pPr>
        <w:spacing w:after="0" w:line="276" w:lineRule="auto"/>
        <w:jc w:val="both"/>
        <w:rPr>
          <w:rFonts w:ascii="Verdana" w:eastAsia="Calibri" w:hAnsi="Verdana" w:cs="Arial"/>
        </w:rPr>
      </w:pPr>
    </w:p>
    <w:p w14:paraId="2C669D0E" w14:textId="77777777" w:rsidR="00A639CE" w:rsidRPr="0084514D" w:rsidRDefault="00A639CE" w:rsidP="00A639CE">
      <w:pPr>
        <w:spacing w:after="120" w:line="276" w:lineRule="auto"/>
        <w:ind w:firstLine="708"/>
        <w:jc w:val="both"/>
        <w:rPr>
          <w:rFonts w:ascii="Verdana" w:hAnsi="Verdana" w:cs="Arial"/>
          <w:lang w:val="es-ES"/>
        </w:rPr>
      </w:pPr>
      <w:r w:rsidRPr="0084514D">
        <w:rPr>
          <w:rFonts w:ascii="Verdana" w:hAnsi="Verdana" w:cs="Arial"/>
          <w:lang w:val="es-ES"/>
        </w:rPr>
        <w:t xml:space="preserve">La </w:t>
      </w:r>
      <w:r w:rsidRPr="0084514D">
        <w:rPr>
          <w:rFonts w:ascii="Verdana" w:hAnsi="Verdana" w:cs="Arial"/>
          <w:i/>
          <w:iCs/>
          <w:lang w:val="es-ES"/>
        </w:rPr>
        <w:t>mínima cuantía</w:t>
      </w:r>
      <w:r w:rsidRPr="0084514D">
        <w:rPr>
          <w:rFonts w:ascii="Verdana" w:hAnsi="Verdana" w:cs="Arial"/>
          <w:lang w:val="es-ES"/>
        </w:rPr>
        <w:t xml:space="preserve"> es una modalidad de selección en virtud de la cual la entidad realiza una convocatoria pública para recibir oferta de bienes, obras o servicios, cuyo valor no exceda el diez por ciento (10%) de la menor cuantía de la Entidad Estatal. Es decir, que será procedente cuando se cumpla este requisito, independientemente del objeto a contratar. Esta modalidad establece un procedimiento expedito y competitivo que se rige por lo dispuesto en los artículos 2.2.1.2.1.5.1. a 2.2.1.2.1.5.6. del Decreto 1082 de 2015. En términos generales, se caracteriza porque la entidad podrá exigir una capacidad financiera mínima, la publicación de la invitación se realiza por término no inferior a un (1) día hábil para la formulación de observaciones o comentarios, y porque el único criterio de evaluación para determinar la oferta más favorable es el menor precio. </w:t>
      </w:r>
    </w:p>
    <w:p w14:paraId="77A3F3C2" w14:textId="77777777" w:rsidR="00A639CE" w:rsidRPr="0084514D" w:rsidRDefault="00A639CE" w:rsidP="00A639CE">
      <w:pPr>
        <w:spacing w:after="120" w:line="276" w:lineRule="auto"/>
        <w:ind w:firstLine="709"/>
        <w:jc w:val="both"/>
        <w:rPr>
          <w:rFonts w:ascii="Verdana" w:eastAsia="Century Gothic" w:hAnsi="Verdana" w:cs="Century Gothic"/>
          <w:bCs/>
          <w:color w:val="000000" w:themeColor="text1"/>
          <w:lang w:val="es-ES"/>
        </w:rPr>
      </w:pPr>
      <w:r w:rsidRPr="0084514D">
        <w:rPr>
          <w:rFonts w:ascii="Verdana" w:hAnsi="Verdana" w:cs="Arial"/>
          <w:lang w:val="es-ES"/>
        </w:rPr>
        <w:t xml:space="preserve">El contenido de los estudios previos y de la invitación de esta modalidad está definido en los artículos 2.2.1.2.1.5.1 y 2.2.1.2.1.5.2 del Decreto 1082 de 2015. El primero, señala que los estudios previos para la contratación de mínima cuantía deberán contener como mínimo: </w:t>
      </w:r>
      <w:bookmarkStart w:id="4" w:name="2.2.1.2.1.5.1.1"/>
      <w:bookmarkEnd w:id="4"/>
      <w:r w:rsidRPr="0084514D">
        <w:rPr>
          <w:rFonts w:ascii="Verdana" w:hAnsi="Verdana" w:cs="Arial"/>
          <w:lang w:val="es-ES"/>
        </w:rPr>
        <w:t xml:space="preserve">1) </w:t>
      </w:r>
      <w:r w:rsidRPr="0084514D">
        <w:rPr>
          <w:rFonts w:ascii="Verdana" w:eastAsia="Century Gothic" w:hAnsi="Verdana" w:cs="Century Gothic"/>
          <w:bCs/>
          <w:color w:val="000000" w:themeColor="text1"/>
          <w:lang w:val="es-ES"/>
        </w:rPr>
        <w:t>la descripción de la necesidad que pretende satisfacer con la contratación</w:t>
      </w:r>
      <w:bookmarkStart w:id="5" w:name="2.2.1.2.1.5.1.2"/>
      <w:bookmarkEnd w:id="5"/>
      <w:r w:rsidRPr="0084514D">
        <w:rPr>
          <w:rFonts w:ascii="Verdana" w:eastAsia="Century Gothic" w:hAnsi="Verdana" w:cs="Century Gothic"/>
          <w:bCs/>
          <w:color w:val="000000" w:themeColor="text1"/>
          <w:lang w:val="es-ES"/>
        </w:rPr>
        <w:t>; 2) la descripción del objeto a contratar</w:t>
      </w:r>
      <w:bookmarkStart w:id="6" w:name="2.2.1.2.1.5.1.3"/>
      <w:bookmarkEnd w:id="6"/>
      <w:r w:rsidRPr="0084514D">
        <w:rPr>
          <w:rFonts w:ascii="Verdana" w:eastAsia="Century Gothic" w:hAnsi="Verdana" w:cs="Century Gothic"/>
          <w:bCs/>
          <w:color w:val="000000" w:themeColor="text1"/>
          <w:lang w:val="es-ES"/>
        </w:rPr>
        <w:t>; 3) las condiciones técnicas exigidas</w:t>
      </w:r>
      <w:bookmarkStart w:id="7" w:name="2.2.1.2.1.5.1.4"/>
      <w:bookmarkEnd w:id="7"/>
      <w:r w:rsidRPr="0084514D">
        <w:rPr>
          <w:rFonts w:ascii="Verdana" w:eastAsia="Century Gothic" w:hAnsi="Verdana" w:cs="Century Gothic"/>
          <w:bCs/>
          <w:color w:val="000000" w:themeColor="text1"/>
          <w:lang w:val="es-ES"/>
        </w:rPr>
        <w:t>; 4) el valor estimado del contrato y su justificación</w:t>
      </w:r>
      <w:bookmarkStart w:id="8" w:name="2.2.1.2.1.5.1.5"/>
      <w:bookmarkEnd w:id="8"/>
      <w:r w:rsidRPr="0084514D">
        <w:rPr>
          <w:rFonts w:ascii="Verdana" w:eastAsia="Century Gothic" w:hAnsi="Verdana" w:cs="Century Gothic"/>
          <w:bCs/>
          <w:color w:val="000000" w:themeColor="text1"/>
          <w:lang w:val="es-ES"/>
        </w:rPr>
        <w:t>; 5) el plazo de ejecución del contrato</w:t>
      </w:r>
      <w:bookmarkStart w:id="9" w:name="2.2.1.2.1.5.1.6"/>
      <w:bookmarkEnd w:id="9"/>
      <w:r w:rsidRPr="0084514D">
        <w:rPr>
          <w:rFonts w:ascii="Verdana" w:eastAsia="Century Gothic" w:hAnsi="Verdana" w:cs="Century Gothic"/>
          <w:bCs/>
          <w:color w:val="000000" w:themeColor="text1"/>
          <w:lang w:val="es-ES"/>
        </w:rPr>
        <w:t xml:space="preserve">; y 6) el certificado de disponibilidad presupuesta que respalda la contratación. </w:t>
      </w:r>
    </w:p>
    <w:p w14:paraId="67CB3E5E" w14:textId="77777777" w:rsidR="00A639CE" w:rsidRPr="0084514D" w:rsidRDefault="00A639CE" w:rsidP="00A639CE">
      <w:pPr>
        <w:spacing w:after="120" w:line="276" w:lineRule="auto"/>
        <w:ind w:firstLine="709"/>
        <w:jc w:val="both"/>
        <w:rPr>
          <w:rFonts w:ascii="Verdana" w:eastAsia="Century Gothic" w:hAnsi="Verdana" w:cs="Century Gothic"/>
          <w:bCs/>
          <w:color w:val="000000" w:themeColor="text1"/>
          <w:lang w:val="es-ES"/>
        </w:rPr>
      </w:pPr>
      <w:r w:rsidRPr="0084514D">
        <w:rPr>
          <w:rFonts w:ascii="Verdana" w:eastAsia="Century Gothic" w:hAnsi="Verdana" w:cs="Century Gothic"/>
          <w:bCs/>
          <w:color w:val="000000" w:themeColor="text1"/>
          <w:lang w:val="es-ES"/>
        </w:rPr>
        <w:t xml:space="preserve">Por su parte, el segundo artículo establece de manera expresa que la entidad tiene el </w:t>
      </w:r>
      <w:r w:rsidRPr="0084514D">
        <w:rPr>
          <w:rFonts w:ascii="Verdana" w:eastAsia="Century Gothic" w:hAnsi="Verdana" w:cs="Century Gothic"/>
          <w:bCs/>
          <w:i/>
          <w:iCs/>
          <w:color w:val="000000" w:themeColor="text1"/>
          <w:u w:val="single"/>
          <w:lang w:val="es-ES"/>
        </w:rPr>
        <w:t>deber</w:t>
      </w:r>
      <w:r w:rsidRPr="0084514D">
        <w:rPr>
          <w:rFonts w:ascii="Verdana" w:eastAsia="Century Gothic" w:hAnsi="Verdana" w:cs="Century Gothic"/>
          <w:bCs/>
          <w:color w:val="000000" w:themeColor="text1"/>
          <w:lang w:val="es-ES"/>
        </w:rPr>
        <w:t xml:space="preserve"> de señalar </w:t>
      </w:r>
      <w:r w:rsidRPr="0084514D">
        <w:rPr>
          <w:rFonts w:ascii="Verdana" w:eastAsia="Century Gothic" w:hAnsi="Verdana" w:cs="Century Gothic"/>
          <w:bCs/>
          <w:i/>
          <w:iCs/>
          <w:color w:val="000000" w:themeColor="text1"/>
          <w:u w:val="single"/>
          <w:lang w:val="es-ES"/>
        </w:rPr>
        <w:t>en la invitación</w:t>
      </w:r>
      <w:r w:rsidRPr="0084514D">
        <w:rPr>
          <w:rFonts w:ascii="Verdana" w:eastAsia="Century Gothic" w:hAnsi="Verdana" w:cs="Century Gothic"/>
          <w:bCs/>
          <w:color w:val="000000" w:themeColor="text1"/>
          <w:lang w:val="es-ES"/>
        </w:rPr>
        <w:t xml:space="preserve"> el objeto, las condiciones </w:t>
      </w:r>
      <w:r w:rsidRPr="0084514D">
        <w:rPr>
          <w:rFonts w:ascii="Verdana" w:eastAsia="Century Gothic" w:hAnsi="Verdana" w:cs="Century Gothic"/>
          <w:bCs/>
          <w:color w:val="000000" w:themeColor="text1"/>
          <w:lang w:val="es-ES"/>
        </w:rPr>
        <w:lastRenderedPageBreak/>
        <w:t xml:space="preserve">técnicas y el valor del contrato, junto con la forma en que el interesado deberá acreditar la capacidad jurídica y la experiencia mínima, cuando se exija, el cumplimiento de las condiciones técnicas, incluyendo las obligaciones de las partes del futuro contrato. Igualmente, deberá incluir en la invitación la forma en que verificará la capacidad financiera mínima, cuando decida exigirla. La invitación, se publicará por un término no inferior a un (1) día hábil para que los interesados se informen de su contenido y formulen observaciones o comentarios. Con respecto a la evaluación, el artículo también señala expresamente que la entidad debe verificar que la oferta de menor precio “cumple con las condiciones </w:t>
      </w:r>
      <w:r w:rsidRPr="0084514D">
        <w:rPr>
          <w:rFonts w:ascii="Verdana" w:eastAsia="Century Gothic" w:hAnsi="Verdana" w:cs="Century Gothic"/>
          <w:bCs/>
          <w:i/>
          <w:iCs/>
          <w:color w:val="000000" w:themeColor="text1"/>
          <w:u w:val="single"/>
          <w:lang w:val="es-ES"/>
        </w:rPr>
        <w:t>de la invitación</w:t>
      </w:r>
      <w:r w:rsidRPr="0084514D">
        <w:rPr>
          <w:rFonts w:ascii="Verdana" w:eastAsia="Century Gothic" w:hAnsi="Verdana" w:cs="Century Gothic"/>
          <w:bCs/>
          <w:i/>
          <w:iCs/>
          <w:color w:val="000000" w:themeColor="text1"/>
          <w:lang w:val="es-ES"/>
        </w:rPr>
        <w:t>”</w:t>
      </w:r>
      <w:r w:rsidRPr="0084514D">
        <w:rPr>
          <w:rFonts w:ascii="Verdana" w:eastAsia="Century Gothic" w:hAnsi="Verdana" w:cs="Century Gothic"/>
          <w:bCs/>
          <w:color w:val="000000" w:themeColor="text1"/>
          <w:lang w:val="es-ES"/>
        </w:rPr>
        <w:t xml:space="preserve">. Si esta no cumple, la Entidad Estatal </w:t>
      </w:r>
      <w:r w:rsidRPr="0084514D">
        <w:rPr>
          <w:rFonts w:ascii="Verdana" w:eastAsia="Century Gothic" w:hAnsi="Verdana" w:cs="Century Gothic"/>
          <w:bCs/>
          <w:i/>
          <w:iCs/>
          <w:color w:val="000000" w:themeColor="text1"/>
          <w:lang w:val="es-ES"/>
        </w:rPr>
        <w:t>debe</w:t>
      </w:r>
      <w:r w:rsidRPr="0084514D">
        <w:rPr>
          <w:rFonts w:ascii="Verdana" w:eastAsia="Century Gothic" w:hAnsi="Verdana" w:cs="Century Gothic"/>
          <w:bCs/>
          <w:color w:val="000000" w:themeColor="text1"/>
          <w:lang w:val="es-ES"/>
        </w:rPr>
        <w:t xml:space="preserve"> verificar el cumplimento “de los requisitos </w:t>
      </w:r>
      <w:r w:rsidRPr="0084514D">
        <w:rPr>
          <w:rFonts w:ascii="Verdana" w:eastAsia="Century Gothic" w:hAnsi="Verdana" w:cs="Century Gothic"/>
          <w:bCs/>
          <w:i/>
          <w:iCs/>
          <w:color w:val="000000" w:themeColor="text1"/>
          <w:u w:val="single"/>
          <w:lang w:val="es-ES"/>
        </w:rPr>
        <w:t>de la invitación</w:t>
      </w:r>
      <w:r w:rsidRPr="0084514D">
        <w:rPr>
          <w:rFonts w:ascii="Verdana" w:eastAsia="Century Gothic" w:hAnsi="Verdana" w:cs="Century Gothic"/>
          <w:bCs/>
          <w:color w:val="000000" w:themeColor="text1"/>
          <w:lang w:val="es-ES"/>
        </w:rPr>
        <w:t xml:space="preserve">” de la oferta con el segundo mejor precio, y así sucesivamente. </w:t>
      </w:r>
    </w:p>
    <w:p w14:paraId="7B247922" w14:textId="77777777" w:rsidR="00A639CE" w:rsidRPr="003C649B" w:rsidRDefault="00A639CE" w:rsidP="00A639CE">
      <w:pPr>
        <w:spacing w:after="120" w:line="276" w:lineRule="auto"/>
        <w:ind w:firstLine="709"/>
        <w:jc w:val="both"/>
        <w:rPr>
          <w:rFonts w:ascii="Verdana" w:hAnsi="Verdana" w:cs="Arial"/>
          <w:lang w:val="es-ES"/>
        </w:rPr>
      </w:pPr>
      <w:r w:rsidRPr="003C649B">
        <w:rPr>
          <w:rFonts w:ascii="Verdana" w:hAnsi="Verdana" w:cs="Arial"/>
          <w:lang w:val="es-ES"/>
        </w:rPr>
        <w:t xml:space="preserve">Adicionalmente, es importante resaltar que el </w:t>
      </w:r>
      <w:proofErr w:type="gramStart"/>
      <w:r w:rsidRPr="003C649B">
        <w:rPr>
          <w:rFonts w:ascii="Verdana" w:hAnsi="Verdana" w:cs="Arial"/>
          <w:lang w:val="es-ES"/>
        </w:rPr>
        <w:t>artículo  </w:t>
      </w:r>
      <w:bookmarkStart w:id="10" w:name="2.2.1.1.1.6.2"/>
      <w:bookmarkEnd w:id="10"/>
      <w:r w:rsidRPr="003C649B">
        <w:rPr>
          <w:rFonts w:ascii="Verdana" w:hAnsi="Verdana" w:cs="Arial"/>
          <w:lang w:val="es-ES"/>
        </w:rPr>
        <w:t>2.2.1.1.1.6.2.</w:t>
      </w:r>
      <w:proofErr w:type="gramEnd"/>
      <w:r w:rsidRPr="003C649B">
        <w:rPr>
          <w:rFonts w:ascii="Verdana" w:hAnsi="Verdana" w:cs="Arial"/>
          <w:lang w:val="es-ES"/>
        </w:rPr>
        <w:t xml:space="preserve"> del Decreto 1082 de 2015 señala que la Entidad Estatal “debe establecer los requisitos habilitantes en los pliegos de condiciones o en la invitación” en la mínima cuantía, teniendo en cuenta el riesgo del proceso de contratación, el valor del contrato, el análisis del sector económico y el conocimiento de los posibles oferentes. </w:t>
      </w:r>
    </w:p>
    <w:p w14:paraId="4147F727" w14:textId="77777777" w:rsidR="00A639CE" w:rsidRDefault="00A639CE" w:rsidP="00A639CE">
      <w:pPr>
        <w:spacing w:after="120" w:line="276" w:lineRule="auto"/>
        <w:ind w:firstLine="709"/>
        <w:jc w:val="both"/>
        <w:rPr>
          <w:rFonts w:ascii="Verdana" w:hAnsi="Verdana" w:cs="Arial"/>
          <w:lang w:val="es-ES"/>
        </w:rPr>
      </w:pPr>
      <w:r w:rsidRPr="003C649B">
        <w:rPr>
          <w:rFonts w:ascii="Verdana" w:hAnsi="Verdana" w:cs="Arial"/>
          <w:lang w:val="es-ES"/>
        </w:rPr>
        <w:t>Ahora bien, tratándose del procedimiento de selección de mínima cuantía, debe tenerse en cuenta que este se caracteriza por su naturaleza ágil, simplificada y de naturaleza expedita, lo que implica que las Entidades Estatales deben propender por la definición de requisitos habilitantes mínimos, objetivos y estrictamente necesarios, evitando cargas excesivas que limiten la participación de oferentes.</w:t>
      </w:r>
    </w:p>
    <w:p w14:paraId="00E158EE" w14:textId="77777777" w:rsidR="00A639CE" w:rsidRPr="003C649B" w:rsidRDefault="00A639CE" w:rsidP="00A639CE">
      <w:pPr>
        <w:spacing w:after="120" w:line="276" w:lineRule="auto"/>
        <w:ind w:firstLine="708"/>
        <w:jc w:val="both"/>
        <w:rPr>
          <w:rFonts w:ascii="Verdana" w:eastAsia="Calibri" w:hAnsi="Verdana" w:cs="Arial"/>
          <w:lang w:val="es-ES" w:eastAsia="es-MX"/>
        </w:rPr>
      </w:pPr>
      <w:r w:rsidRPr="003C649B">
        <w:rPr>
          <w:rFonts w:ascii="Verdana" w:hAnsi="Verdana" w:cs="Arial"/>
        </w:rPr>
        <w:t>Ahora bien, dicho lo anterior, se tiene que</w:t>
      </w:r>
      <w:r>
        <w:rPr>
          <w:rFonts w:ascii="Verdana" w:hAnsi="Verdana" w:cs="Arial"/>
        </w:rPr>
        <w:t xml:space="preserve"> </w:t>
      </w:r>
      <w:r>
        <w:rPr>
          <w:rFonts w:ascii="Verdana" w:hAnsi="Verdana" w:cs="Arial"/>
          <w:lang w:val="es-ES"/>
        </w:rPr>
        <w:t>l</w:t>
      </w:r>
      <w:r w:rsidRPr="009859FE">
        <w:rPr>
          <w:rFonts w:ascii="Verdana" w:eastAsia="Calibri" w:hAnsi="Verdana" w:cs="Arial"/>
          <w:color w:val="000000" w:themeColor="text1"/>
          <w:lang w:val="es-ES_tradnl"/>
        </w:rPr>
        <w:t xml:space="preserve">os </w:t>
      </w:r>
      <w:r w:rsidRPr="009859FE">
        <w:rPr>
          <w:rFonts w:ascii="Verdana" w:eastAsia="Calibri" w:hAnsi="Verdana" w:cs="Arial"/>
          <w:i/>
          <w:iCs/>
          <w:color w:val="000000" w:themeColor="text1"/>
          <w:lang w:val="es-ES_tradnl"/>
        </w:rPr>
        <w:t>requisitos habilitantes</w:t>
      </w:r>
      <w:r w:rsidRPr="009859FE">
        <w:rPr>
          <w:rFonts w:ascii="Verdana" w:eastAsia="Calibri" w:hAnsi="Verdana" w:cs="Arial"/>
          <w:color w:val="000000" w:themeColor="text1"/>
          <w:lang w:val="es-ES_tradnl"/>
        </w:rPr>
        <w:t xml:space="preserve"> se definen como exigencias de participación en los procedimientos de selección, establecidas en disposiciones normativas, de carácter legal o reglamentario, o contenidas en el acto administrativo que regula las reglas de la convocatoria, es decir, en el Pliego de Condiciones o el documento equivalente a este. Se diferencian de los </w:t>
      </w:r>
      <w:r w:rsidRPr="009859FE">
        <w:rPr>
          <w:rFonts w:ascii="Verdana" w:eastAsia="Calibri" w:hAnsi="Verdana" w:cs="Arial"/>
          <w:i/>
          <w:iCs/>
          <w:color w:val="000000" w:themeColor="text1"/>
          <w:lang w:val="es-ES_tradnl"/>
        </w:rPr>
        <w:t>criterios de evaluación</w:t>
      </w:r>
      <w:r w:rsidRPr="009859FE">
        <w:rPr>
          <w:rFonts w:ascii="Verdana" w:eastAsia="Calibri" w:hAnsi="Verdana" w:cs="Arial"/>
          <w:color w:val="000000" w:themeColor="text1"/>
          <w:lang w:val="es-ES_tradnl"/>
        </w:rPr>
        <w:t xml:space="preserve"> –también conocidos como </w:t>
      </w:r>
      <w:r w:rsidRPr="009859FE">
        <w:rPr>
          <w:rFonts w:ascii="Verdana" w:eastAsia="Calibri" w:hAnsi="Verdana" w:cs="Arial"/>
          <w:i/>
          <w:iCs/>
          <w:color w:val="000000" w:themeColor="text1"/>
          <w:lang w:val="es-ES_tradnl"/>
        </w:rPr>
        <w:t>criterios de calificación</w:t>
      </w:r>
      <w:r w:rsidRPr="009859FE">
        <w:rPr>
          <w:rFonts w:ascii="Verdana" w:eastAsia="Calibri" w:hAnsi="Verdana" w:cs="Arial"/>
          <w:color w:val="000000" w:themeColor="text1"/>
          <w:lang w:val="es-ES_tradnl"/>
        </w:rPr>
        <w:t xml:space="preserve">– en que estos son los factores definidos por la Entidad Estatal para la asignación de puntaje en el momento de la comparación de las ofertas, y que, a partir de su ponderación, permiten establecer el orden de elegibilidad y, por ende, la propuesta ganadora. </w:t>
      </w:r>
    </w:p>
    <w:p w14:paraId="601D5A0E" w14:textId="77777777" w:rsidR="00A639CE" w:rsidRPr="009859FE" w:rsidRDefault="00A639CE" w:rsidP="00A639CE">
      <w:pPr>
        <w:spacing w:after="120" w:line="276" w:lineRule="auto"/>
        <w:ind w:firstLine="708"/>
        <w:jc w:val="both"/>
        <w:rPr>
          <w:rFonts w:ascii="Verdana" w:eastAsia="Calibri" w:hAnsi="Verdana" w:cs="Arial"/>
          <w:color w:val="000000" w:themeColor="text1"/>
          <w:lang w:val="es-ES"/>
        </w:rPr>
      </w:pPr>
      <w:r w:rsidRPr="009859FE">
        <w:rPr>
          <w:rFonts w:ascii="Verdana" w:eastAsia="Calibri" w:hAnsi="Verdana" w:cs="Arial"/>
          <w:color w:val="000000" w:themeColor="text1"/>
          <w:lang w:val="es-ES"/>
        </w:rPr>
        <w:lastRenderedPageBreak/>
        <w:t>A partir de lo dicho se deduce entonces que los requisitos habilitantes, si bien constituyen obligaciones que los proponentes deben cumplir y acreditar para participar en el procedimiento de selección, no se valoran con un puntaje que determine el orden de escogencia, sino que se analizan como criterios previos a la evaluación en sentido estricto, de manera que quienes no los reúnan no pueden continuar en el procedimiento de selección, o sea, incurren en causal de rechazo. Esto, sin perjuicio del derecho que tienen los oferentes de subsanar los defectos que se presenten en la prueba de tales requisitos, de conformidad con el artículo 5, parágrafos 1º al 4º, de la Ley 1150 de 2007.</w:t>
      </w:r>
    </w:p>
    <w:p w14:paraId="6114C2BF" w14:textId="77777777" w:rsidR="00A639CE" w:rsidRDefault="00A639CE" w:rsidP="00A639CE">
      <w:pPr>
        <w:spacing w:before="120" w:after="0" w:line="276" w:lineRule="auto"/>
        <w:ind w:firstLine="709"/>
        <w:jc w:val="both"/>
        <w:rPr>
          <w:rFonts w:ascii="Verdana" w:eastAsia="Calibri" w:hAnsi="Verdana" w:cs="Arial"/>
          <w:color w:val="000000" w:themeColor="text1"/>
          <w:lang w:val="es-ES"/>
        </w:rPr>
      </w:pPr>
      <w:r w:rsidRPr="009859FE">
        <w:rPr>
          <w:rFonts w:ascii="Verdana" w:eastAsia="Calibri" w:hAnsi="Verdana" w:cs="Arial"/>
          <w:color w:val="000000" w:themeColor="text1"/>
          <w:lang w:val="es-ES"/>
        </w:rPr>
        <w:t xml:space="preserve">Precisamente, el mencionado artículo 5° dispone que se considera </w:t>
      </w:r>
      <w:r w:rsidRPr="009859FE">
        <w:rPr>
          <w:rFonts w:ascii="Verdana" w:eastAsia="Calibri" w:hAnsi="Verdana" w:cs="Arial"/>
          <w:i/>
          <w:iCs/>
          <w:color w:val="000000" w:themeColor="text1"/>
          <w:lang w:val="es-ES"/>
        </w:rPr>
        <w:t>“</w:t>
      </w:r>
      <w:r w:rsidRPr="009859FE">
        <w:rPr>
          <w:rFonts w:ascii="Verdana" w:eastAsia="Calibri" w:hAnsi="Verdana" w:cs="Arial"/>
          <w:color w:val="000000" w:themeColor="text1"/>
          <w:lang w:val="es-ES"/>
        </w:rPr>
        <w:t>objetiva la selección en la cual la escogencia se haga al ofrecimiento más favorable a la entidad y a los fines que ella busca, sin tener en consideración factores de afecto o de interés y, en general, cualquier clase de motivación subjetiva</w:t>
      </w:r>
      <w:r w:rsidRPr="009859FE">
        <w:rPr>
          <w:rFonts w:ascii="Verdana" w:eastAsia="Calibri" w:hAnsi="Verdana" w:cs="Arial"/>
          <w:i/>
          <w:iCs/>
          <w:color w:val="000000" w:themeColor="text1"/>
          <w:lang w:val="es-ES"/>
        </w:rPr>
        <w:t>”</w:t>
      </w:r>
      <w:r w:rsidRPr="009859FE">
        <w:rPr>
          <w:rFonts w:ascii="Verdana" w:eastAsia="Calibri" w:hAnsi="Verdana" w:cs="Arial"/>
          <w:color w:val="000000" w:themeColor="text1"/>
          <w:lang w:val="es-ES"/>
        </w:rPr>
        <w:t xml:space="preserve">. De este modo, los factores de escogencia y calificación que establezcan las entidades en los Pliegos de Condiciones o sus documentos equivalentes deberán tener en cuenta, entre otras cuestiones, los criterios establecidos en dicha disposición. </w:t>
      </w:r>
    </w:p>
    <w:p w14:paraId="748001C2" w14:textId="77777777" w:rsidR="00A639CE" w:rsidRPr="009859FE" w:rsidRDefault="00A639CE" w:rsidP="00A639CE">
      <w:pPr>
        <w:spacing w:before="120" w:after="0" w:line="276" w:lineRule="auto"/>
        <w:ind w:firstLine="709"/>
        <w:jc w:val="both"/>
        <w:rPr>
          <w:rFonts w:ascii="Verdana" w:eastAsia="Calibri" w:hAnsi="Verdana" w:cs="Arial"/>
          <w:color w:val="000000" w:themeColor="text1"/>
          <w:lang w:val="es-ES"/>
        </w:rPr>
      </w:pPr>
      <w:r w:rsidRPr="009859FE">
        <w:rPr>
          <w:rFonts w:ascii="Verdana" w:eastAsia="Calibri" w:hAnsi="Verdana" w:cs="Arial"/>
          <w:color w:val="000000" w:themeColor="text1"/>
          <w:lang w:val="es-ES"/>
        </w:rPr>
        <w:t xml:space="preserve">Específicamente, el numeral 1º del artículo referido establece que en los procesos de selección de contratistas serán objeto de verificación, como requisitos habilitantes, </w:t>
      </w:r>
      <w:r w:rsidRPr="009859FE">
        <w:rPr>
          <w:rFonts w:ascii="Verdana" w:eastAsia="Calibri" w:hAnsi="Verdana" w:cs="Arial"/>
          <w:i/>
          <w:iCs/>
          <w:color w:val="000000" w:themeColor="text1"/>
          <w:lang w:val="es-ES"/>
        </w:rPr>
        <w:t>entre otros</w:t>
      </w:r>
      <w:r w:rsidRPr="009859FE">
        <w:rPr>
          <w:rFonts w:ascii="Verdana" w:eastAsia="Calibri" w:hAnsi="Verdana" w:cs="Arial"/>
          <w:color w:val="000000" w:themeColor="text1"/>
          <w:lang w:val="es-ES"/>
        </w:rPr>
        <w:t xml:space="preserve">, los siguientes: i) la capacidad jurídica; </w:t>
      </w:r>
      <w:proofErr w:type="spellStart"/>
      <w:r w:rsidRPr="009859FE">
        <w:rPr>
          <w:rFonts w:ascii="Verdana" w:eastAsia="Calibri" w:hAnsi="Verdana" w:cs="Arial"/>
          <w:color w:val="000000" w:themeColor="text1"/>
          <w:lang w:val="es-ES"/>
        </w:rPr>
        <w:t>ii</w:t>
      </w:r>
      <w:proofErr w:type="spellEnd"/>
      <w:r w:rsidRPr="009859FE">
        <w:rPr>
          <w:rFonts w:ascii="Verdana" w:eastAsia="Calibri" w:hAnsi="Verdana" w:cs="Arial"/>
          <w:color w:val="000000" w:themeColor="text1"/>
          <w:lang w:val="es-ES"/>
        </w:rPr>
        <w:t xml:space="preserve">) la experiencia; </w:t>
      </w:r>
      <w:proofErr w:type="spellStart"/>
      <w:r w:rsidRPr="009859FE">
        <w:rPr>
          <w:rFonts w:ascii="Verdana" w:eastAsia="Calibri" w:hAnsi="Verdana" w:cs="Arial"/>
          <w:color w:val="000000" w:themeColor="text1"/>
          <w:lang w:val="es-ES"/>
        </w:rPr>
        <w:t>iii</w:t>
      </w:r>
      <w:proofErr w:type="spellEnd"/>
      <w:r w:rsidRPr="009859FE">
        <w:rPr>
          <w:rFonts w:ascii="Verdana" w:eastAsia="Calibri" w:hAnsi="Verdana" w:cs="Arial"/>
          <w:color w:val="000000" w:themeColor="text1"/>
          <w:lang w:val="es-ES"/>
        </w:rPr>
        <w:t xml:space="preserve">) la capacidad financiera y; </w:t>
      </w:r>
      <w:proofErr w:type="spellStart"/>
      <w:r w:rsidRPr="009859FE">
        <w:rPr>
          <w:rFonts w:ascii="Verdana" w:eastAsia="Calibri" w:hAnsi="Verdana" w:cs="Arial"/>
          <w:color w:val="000000" w:themeColor="text1"/>
          <w:lang w:val="es-ES"/>
        </w:rPr>
        <w:t>iv</w:t>
      </w:r>
      <w:proofErr w:type="spellEnd"/>
      <w:r w:rsidRPr="009859FE">
        <w:rPr>
          <w:rFonts w:ascii="Verdana" w:eastAsia="Calibri" w:hAnsi="Verdana" w:cs="Arial"/>
          <w:color w:val="000000" w:themeColor="text1"/>
          <w:lang w:val="es-ES"/>
        </w:rPr>
        <w:t xml:space="preserve">) la capacidad de organización. En efecto, la normativa citada dispone: </w:t>
      </w:r>
    </w:p>
    <w:p w14:paraId="6DD070A7" w14:textId="77777777" w:rsidR="00A639CE" w:rsidRPr="009859FE" w:rsidRDefault="00A639CE" w:rsidP="00A639CE">
      <w:pPr>
        <w:spacing w:after="0" w:line="276" w:lineRule="auto"/>
        <w:ind w:firstLine="709"/>
        <w:jc w:val="both"/>
        <w:rPr>
          <w:rFonts w:ascii="Verdana" w:eastAsia="Calibri" w:hAnsi="Verdana" w:cs="Arial"/>
          <w:color w:val="000000" w:themeColor="text1"/>
          <w:lang w:val="es-ES"/>
        </w:rPr>
      </w:pPr>
    </w:p>
    <w:p w14:paraId="707E9633" w14:textId="77777777" w:rsidR="00A639CE" w:rsidRPr="009859FE" w:rsidRDefault="00A639CE" w:rsidP="00A639CE">
      <w:pPr>
        <w:spacing w:after="0" w:line="240" w:lineRule="auto"/>
        <w:ind w:left="709" w:right="709"/>
        <w:jc w:val="both"/>
        <w:rPr>
          <w:rFonts w:ascii="Verdana" w:eastAsia="Calibri" w:hAnsi="Verdana" w:cs="Arial"/>
          <w:color w:val="000000" w:themeColor="text1"/>
          <w:sz w:val="20"/>
          <w:szCs w:val="20"/>
          <w:lang w:val="es-ES_tradnl"/>
        </w:rPr>
      </w:pPr>
      <w:r w:rsidRPr="009859FE">
        <w:rPr>
          <w:rFonts w:ascii="Verdana" w:eastAsia="Calibri" w:hAnsi="Verdana" w:cs="Arial"/>
          <w:color w:val="000000" w:themeColor="text1"/>
          <w:sz w:val="20"/>
          <w:szCs w:val="20"/>
          <w:lang w:val="es-ES_tradnl"/>
        </w:rPr>
        <w:t xml:space="preserve">“Artículo 5. De la Selección Objetiva. </w:t>
      </w:r>
    </w:p>
    <w:p w14:paraId="43551325" w14:textId="77777777" w:rsidR="00A639CE" w:rsidRPr="009859FE" w:rsidRDefault="00A639CE" w:rsidP="00A639CE">
      <w:pPr>
        <w:spacing w:after="0" w:line="240" w:lineRule="auto"/>
        <w:ind w:left="709" w:right="709"/>
        <w:jc w:val="both"/>
        <w:rPr>
          <w:rFonts w:ascii="Verdana" w:eastAsia="Calibri" w:hAnsi="Verdana" w:cs="Arial"/>
          <w:color w:val="000000" w:themeColor="text1"/>
          <w:sz w:val="20"/>
          <w:szCs w:val="20"/>
          <w:lang w:val="es-ES_tradnl"/>
        </w:rPr>
      </w:pPr>
    </w:p>
    <w:p w14:paraId="31CC4C95" w14:textId="77777777" w:rsidR="00A639CE" w:rsidRPr="009859FE" w:rsidRDefault="00A639CE" w:rsidP="00A639CE">
      <w:pPr>
        <w:spacing w:after="0" w:line="240" w:lineRule="auto"/>
        <w:ind w:left="709" w:right="709"/>
        <w:jc w:val="both"/>
        <w:rPr>
          <w:rFonts w:ascii="Verdana" w:eastAsia="Calibri" w:hAnsi="Verdana" w:cs="Arial"/>
          <w:color w:val="000000" w:themeColor="text1"/>
          <w:sz w:val="20"/>
          <w:szCs w:val="20"/>
          <w:lang w:val="es-ES_tradnl"/>
        </w:rPr>
      </w:pPr>
      <w:r w:rsidRPr="009859FE">
        <w:rPr>
          <w:rFonts w:ascii="Verdana" w:eastAsia="Calibri" w:hAnsi="Verdana" w:cs="Arial"/>
          <w:color w:val="000000" w:themeColor="text1"/>
          <w:sz w:val="20"/>
          <w:szCs w:val="20"/>
          <w:lang w:val="es-ES_tradnl"/>
        </w:rPr>
        <w:t>[…]</w:t>
      </w:r>
    </w:p>
    <w:p w14:paraId="05A2B751" w14:textId="77777777" w:rsidR="00A639CE" w:rsidRPr="009859FE" w:rsidRDefault="00A639CE" w:rsidP="00A639CE">
      <w:pPr>
        <w:spacing w:after="0" w:line="240" w:lineRule="auto"/>
        <w:ind w:left="709" w:right="709"/>
        <w:jc w:val="both"/>
        <w:rPr>
          <w:rFonts w:ascii="Verdana" w:eastAsia="Calibri" w:hAnsi="Verdana" w:cs="Arial"/>
          <w:color w:val="000000" w:themeColor="text1"/>
          <w:sz w:val="20"/>
          <w:szCs w:val="20"/>
          <w:lang w:val="es-ES"/>
        </w:rPr>
      </w:pPr>
    </w:p>
    <w:p w14:paraId="4E5F40F8" w14:textId="77777777" w:rsidR="00A639CE" w:rsidRPr="009859FE" w:rsidRDefault="00A639CE" w:rsidP="00A639CE">
      <w:pPr>
        <w:spacing w:after="0" w:line="240" w:lineRule="auto"/>
        <w:ind w:left="709" w:right="709"/>
        <w:jc w:val="both"/>
        <w:rPr>
          <w:rFonts w:ascii="Verdana" w:eastAsia="Calibri" w:hAnsi="Verdana" w:cs="Arial"/>
          <w:color w:val="000000" w:themeColor="text1"/>
          <w:sz w:val="20"/>
          <w:szCs w:val="20"/>
          <w:lang w:val="es-ES"/>
        </w:rPr>
      </w:pPr>
      <w:r w:rsidRPr="009859FE">
        <w:rPr>
          <w:rFonts w:ascii="Verdana" w:eastAsia="Calibri" w:hAnsi="Verdana" w:cs="Arial"/>
          <w:color w:val="000000" w:themeColor="text1"/>
          <w:sz w:val="20"/>
          <w:szCs w:val="20"/>
          <w:lang w:val="es-ES"/>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 de la presente ley, de acuerdo con lo cual se expedirá la respectiva certificación. […]”.</w:t>
      </w:r>
    </w:p>
    <w:p w14:paraId="374C39D1" w14:textId="77777777" w:rsidR="00A639CE" w:rsidRPr="009859FE" w:rsidRDefault="00A639CE" w:rsidP="00A639CE">
      <w:pPr>
        <w:spacing w:after="0" w:line="276" w:lineRule="auto"/>
        <w:ind w:left="709" w:right="709"/>
        <w:jc w:val="both"/>
        <w:rPr>
          <w:rFonts w:ascii="Verdana" w:eastAsia="Calibri" w:hAnsi="Verdana" w:cs="Arial"/>
          <w:color w:val="000000" w:themeColor="text1"/>
          <w:lang w:val="es-ES"/>
        </w:rPr>
      </w:pPr>
    </w:p>
    <w:p w14:paraId="0252EAF6" w14:textId="77777777" w:rsidR="00A639CE" w:rsidRPr="009859FE" w:rsidRDefault="00A639CE" w:rsidP="00A639CE">
      <w:pPr>
        <w:spacing w:after="120" w:line="276" w:lineRule="auto"/>
        <w:ind w:firstLine="708"/>
        <w:jc w:val="both"/>
        <w:rPr>
          <w:rFonts w:ascii="Verdana" w:eastAsia="Calibri" w:hAnsi="Verdana" w:cs="Arial"/>
          <w:color w:val="000000" w:themeColor="text1"/>
          <w:lang w:val="es-ES_tradnl"/>
        </w:rPr>
      </w:pPr>
      <w:r w:rsidRPr="009859FE">
        <w:rPr>
          <w:rFonts w:ascii="Verdana" w:eastAsia="Calibri" w:hAnsi="Verdana" w:cs="Arial"/>
          <w:color w:val="000000" w:themeColor="text1"/>
          <w:lang w:val="es-ES_tradnl"/>
        </w:rPr>
        <w:lastRenderedPageBreak/>
        <w:t>Conforme lo ha sostenido esta Agencia en distintos conceptos, los requisitos habilitantes, establecidos en el numeral 1° del artículo 5 de la Ley 1150 de 2007, son de carácter enunciativos y no taxativos. Esta interpretación legal se resume en los siguientes argumentos: Esta norma no contiene una expresión como “únicamente” o “solo”, al referirse a los requisitos habilitantes y, además, debido a que la lectura integral de las normas que regulan la contratación estatal permite concluir que existen otras condiciones que deben cumplirse para la contratación con una Entidad Pública, como pasa, por ejemplo, con la capacidad residual a la que se refiere el artículo 6º, parágrafo 1, de la Ley 1150 de 2007</w:t>
      </w:r>
      <w:r w:rsidRPr="009859FE">
        <w:rPr>
          <w:rStyle w:val="Refdenotaalpie"/>
          <w:rFonts w:ascii="Verdana" w:eastAsia="Calibri" w:hAnsi="Verdana" w:cs="Arial"/>
          <w:color w:val="000000" w:themeColor="text1"/>
          <w:lang w:val="es-ES_tradnl"/>
        </w:rPr>
        <w:footnoteReference w:id="1"/>
      </w:r>
      <w:r w:rsidRPr="009859FE">
        <w:rPr>
          <w:rFonts w:ascii="Verdana" w:eastAsia="Calibri" w:hAnsi="Verdana" w:cs="Arial"/>
          <w:color w:val="000000" w:themeColor="text1"/>
          <w:lang w:val="es-ES_tradnl"/>
        </w:rPr>
        <w:t>.</w:t>
      </w:r>
    </w:p>
    <w:p w14:paraId="420C7F49" w14:textId="77777777" w:rsidR="00A639CE" w:rsidRPr="009859FE" w:rsidRDefault="00A639CE" w:rsidP="00A639CE">
      <w:pPr>
        <w:spacing w:after="120" w:line="276" w:lineRule="auto"/>
        <w:ind w:firstLine="708"/>
        <w:jc w:val="both"/>
        <w:rPr>
          <w:rFonts w:ascii="Verdana" w:eastAsia="Calibri" w:hAnsi="Verdana" w:cs="Arial"/>
          <w:color w:val="000000" w:themeColor="text1"/>
          <w:lang w:val="es-ES_tradnl"/>
        </w:rPr>
      </w:pPr>
      <w:r w:rsidRPr="009859FE">
        <w:rPr>
          <w:rFonts w:ascii="Verdana" w:eastAsia="Calibri" w:hAnsi="Verdana" w:cs="Arial"/>
          <w:color w:val="000000" w:themeColor="text1"/>
          <w:lang w:val="es-ES_tradnl"/>
        </w:rPr>
        <w:t>Además, la intención del legislador, de la cual dan cuenta los antecedentes legislativos de la norma sub examine</w:t>
      </w:r>
      <w:r w:rsidRPr="009859FE">
        <w:rPr>
          <w:rStyle w:val="Refdenotaalpie"/>
          <w:rFonts w:ascii="Verdana" w:eastAsia="Calibri" w:hAnsi="Verdana" w:cs="Arial"/>
          <w:color w:val="000000" w:themeColor="text1"/>
          <w:lang w:val="es-ES_tradnl"/>
        </w:rPr>
        <w:footnoteReference w:id="2"/>
      </w:r>
      <w:r w:rsidRPr="009859FE">
        <w:rPr>
          <w:rFonts w:ascii="Verdana" w:eastAsia="Calibri" w:hAnsi="Verdana" w:cs="Arial"/>
          <w:color w:val="000000" w:themeColor="text1"/>
          <w:lang w:val="es-ES_tradnl"/>
        </w:rPr>
        <w:t>, también justifica la interpretación propuesta por esta Agencia, ya que fue hasta el cuarto debate legislativo en donde se incluyó parágrafo 2 del mismo artículo 5 de la Ley 1150 de 2007</w:t>
      </w:r>
      <w:r w:rsidRPr="009859FE">
        <w:rPr>
          <w:rStyle w:val="Refdenotaalpie"/>
          <w:rFonts w:ascii="Verdana" w:eastAsia="Calibri" w:hAnsi="Verdana" w:cs="Arial"/>
          <w:color w:val="000000" w:themeColor="text1"/>
          <w:lang w:val="es-ES_tradnl"/>
        </w:rPr>
        <w:footnoteReference w:id="3"/>
      </w:r>
      <w:r w:rsidRPr="009859FE">
        <w:rPr>
          <w:rFonts w:ascii="Verdana" w:eastAsia="Calibri" w:hAnsi="Verdana" w:cs="Arial"/>
          <w:color w:val="000000" w:themeColor="text1"/>
          <w:lang w:val="es-ES_tradnl"/>
        </w:rPr>
        <w:t>, lo que deja ver la necesidad que tenía el Congreso de aclarar que unos documentos no podrían ser tenidos como requisitos habilitantes, lo que asimismo evidencia el reconocimiento tácito de la existencia de otros requisitos habilitantes, distintos a los cuatro que establece el artículo 5, numeral 1, de la Ley 1150 de 2007</w:t>
      </w:r>
      <w:r w:rsidRPr="009859FE">
        <w:rPr>
          <w:rStyle w:val="Refdenotaalpie"/>
          <w:rFonts w:ascii="Verdana" w:eastAsia="Calibri" w:hAnsi="Verdana" w:cs="Arial"/>
          <w:color w:val="000000" w:themeColor="text1"/>
          <w:lang w:val="es-ES_tradnl"/>
        </w:rPr>
        <w:footnoteReference w:id="4"/>
      </w:r>
      <w:r w:rsidRPr="009859FE">
        <w:rPr>
          <w:rFonts w:ascii="Verdana" w:eastAsia="Calibri" w:hAnsi="Verdana" w:cs="Arial"/>
          <w:color w:val="000000" w:themeColor="text1"/>
          <w:lang w:val="es-ES_tradnl"/>
        </w:rPr>
        <w:t xml:space="preserve">. </w:t>
      </w:r>
    </w:p>
    <w:p w14:paraId="747BFBE5" w14:textId="77777777" w:rsidR="00A639CE" w:rsidRPr="009859FE" w:rsidRDefault="00A639CE" w:rsidP="00A639CE">
      <w:pPr>
        <w:spacing w:after="120" w:line="276" w:lineRule="auto"/>
        <w:ind w:firstLine="708"/>
        <w:jc w:val="both"/>
        <w:rPr>
          <w:rFonts w:ascii="Verdana" w:eastAsia="Calibri" w:hAnsi="Verdana" w:cs="Arial"/>
          <w:color w:val="000000" w:themeColor="text1"/>
          <w:lang w:val="es-ES_tradnl"/>
        </w:rPr>
      </w:pPr>
      <w:r w:rsidRPr="009859FE">
        <w:rPr>
          <w:rFonts w:ascii="Verdana" w:eastAsia="Calibri" w:hAnsi="Verdana" w:cs="Arial"/>
          <w:color w:val="000000" w:themeColor="text1"/>
          <w:lang w:val="es-ES_tradnl"/>
        </w:rPr>
        <w:lastRenderedPageBreak/>
        <w:t>En el “Manual para determinar y verificar los requisitos habilitantes en los Procesos de Contratación” expedido por esta Agencia, en el cual se determinaron los parámetros para establecer, acreditar y subsanar los requisitos habilitantes estudiados en los párrafos precedentes, se indica que su propósito consiste en “establecer unas condiciones mínimas para los proponentes de tal manera que la Entidad Estatal sólo evalúe las ofertas de aquellos que están en condiciones de cumplir con el objeto del Proceso de Contratación”. En otras palabras, al tratarse de condiciones mínimas, significa que las entidades podrían establecer otras, según su autonomía de la voluntad, y teniendo en cuenta el objeto del contrato, los riesgos detectados en los estudios previos, el presupuesto oficial, entre otros factores.</w:t>
      </w:r>
    </w:p>
    <w:p w14:paraId="537B7202" w14:textId="77777777" w:rsidR="00A639CE" w:rsidRPr="009859FE" w:rsidRDefault="00A639CE" w:rsidP="00A639CE">
      <w:pPr>
        <w:widowControl w:val="0"/>
        <w:autoSpaceDE w:val="0"/>
        <w:autoSpaceDN w:val="0"/>
        <w:spacing w:after="120" w:line="276" w:lineRule="auto"/>
        <w:ind w:firstLine="709"/>
        <w:jc w:val="both"/>
        <w:rPr>
          <w:rFonts w:ascii="Verdana" w:eastAsia="Calibri" w:hAnsi="Verdana" w:cs="Arial"/>
          <w:color w:val="000000" w:themeColor="text1"/>
        </w:rPr>
      </w:pPr>
      <w:r w:rsidRPr="009859FE">
        <w:rPr>
          <w:rFonts w:ascii="Verdana" w:eastAsia="Calibri" w:hAnsi="Verdana" w:cs="Arial"/>
          <w:color w:val="000000" w:themeColor="text1"/>
        </w:rPr>
        <w:t xml:space="preserve">En consecuencia, corresponde a las Entidades Estatales, durante la etapa de planeación del contrato estatal, estudiar y determinar los requisitos habilitantes que establecerán en los Pliegos de Condiciones, los cuales deben fijarse de forma </w:t>
      </w:r>
      <w:r w:rsidRPr="00153848">
        <w:rPr>
          <w:rFonts w:ascii="Verdana" w:eastAsia="Calibri" w:hAnsi="Verdana" w:cs="Arial"/>
          <w:i/>
          <w:color w:val="000000" w:themeColor="text1"/>
        </w:rPr>
        <w:t>adecuada y proporcional</w:t>
      </w:r>
      <w:r w:rsidRPr="009859FE">
        <w:rPr>
          <w:rFonts w:ascii="Verdana" w:eastAsia="Calibri" w:hAnsi="Verdana" w:cs="Arial"/>
          <w:color w:val="000000" w:themeColor="text1"/>
        </w:rPr>
        <w:t xml:space="preserve">. Esto último, según se deriva de la lectura del artículo 2.2.1.1.1.6.2 del Decreto 1082 de 2015, debe hacerse de acuerdo </w:t>
      </w:r>
      <w:bookmarkStart w:id="11" w:name="_Hlk182863897"/>
      <w:r w:rsidRPr="009859FE">
        <w:rPr>
          <w:rFonts w:ascii="Verdana" w:eastAsia="Calibri" w:hAnsi="Verdana" w:cs="Arial"/>
          <w:color w:val="000000" w:themeColor="text1"/>
        </w:rPr>
        <w:t>con la naturaleza, el valor del contrato, la forma de pago, los riesgos asociados al contrato, el plazo y la complejidad de ejecución del objeto</w:t>
      </w:r>
      <w:r w:rsidRPr="009859FE">
        <w:rPr>
          <w:rStyle w:val="Refdenotaalpie"/>
          <w:rFonts w:ascii="Verdana" w:eastAsia="Calibri" w:hAnsi="Verdana" w:cs="Arial"/>
          <w:color w:val="000000" w:themeColor="text1"/>
        </w:rPr>
        <w:footnoteReference w:id="5"/>
      </w:r>
      <w:r w:rsidRPr="009859FE">
        <w:rPr>
          <w:rFonts w:ascii="Verdana" w:eastAsia="Calibri" w:hAnsi="Verdana" w:cs="Arial"/>
          <w:color w:val="000000" w:themeColor="text1"/>
        </w:rPr>
        <w:t>.</w:t>
      </w:r>
      <w:bookmarkEnd w:id="11"/>
    </w:p>
    <w:p w14:paraId="41D18D45" w14:textId="77777777" w:rsidR="00A639CE" w:rsidRPr="00C94107" w:rsidRDefault="00A639CE" w:rsidP="00A639CE">
      <w:pPr>
        <w:tabs>
          <w:tab w:val="left" w:pos="426"/>
        </w:tabs>
        <w:spacing w:before="120" w:after="120" w:line="276" w:lineRule="auto"/>
        <w:ind w:firstLine="709"/>
        <w:jc w:val="both"/>
        <w:rPr>
          <w:rFonts w:ascii="Verdana" w:eastAsia="Times New Roman" w:hAnsi="Verdana" w:cs="Arial"/>
          <w:lang w:val="es-ES" w:eastAsia="es-MX"/>
        </w:rPr>
      </w:pPr>
      <w:r w:rsidRPr="00C94107">
        <w:rPr>
          <w:rFonts w:ascii="Verdana" w:eastAsia="Times New Roman" w:hAnsi="Verdana" w:cs="Arial"/>
          <w:lang w:val="es-ES" w:eastAsia="es-MX"/>
        </w:rPr>
        <w:t xml:space="preserve">En este punto, debe señalarse que, si bien la determinación de los requisitos habilitantes exigidos para participar en un proceso de contratación es </w:t>
      </w:r>
      <w:r w:rsidRPr="00C94107">
        <w:rPr>
          <w:rFonts w:ascii="Verdana" w:eastAsia="Times New Roman" w:hAnsi="Verdana" w:cs="Arial"/>
          <w:lang w:val="es-ES" w:eastAsia="es-MX"/>
        </w:rPr>
        <w:lastRenderedPageBreak/>
        <w:t xml:space="preserve">una facultad discrecional de la Entidad Estatal, que obedece a la autonomía que le asiste para estructurar sus Procesos de Contratación, esta debe ejercerse respetando los principios que rigen en materia de contratación pública, como el selección objetiva e igualdad, y las normas de orden legal. Así, los mencionados criterios deben ser establecidos por parte de la Entidad que adelanta el proceso de contratación de manera tal que, de la ponderación de </w:t>
      </w:r>
      <w:proofErr w:type="gramStart"/>
      <w:r w:rsidRPr="00C94107">
        <w:rPr>
          <w:rFonts w:ascii="Verdana" w:eastAsia="Times New Roman" w:hAnsi="Verdana" w:cs="Arial"/>
          <w:lang w:val="es-ES" w:eastAsia="es-MX"/>
        </w:rPr>
        <w:t>los mismos</w:t>
      </w:r>
      <w:proofErr w:type="gramEnd"/>
      <w:r w:rsidRPr="00C94107">
        <w:rPr>
          <w:rFonts w:ascii="Verdana" w:eastAsia="Times New Roman" w:hAnsi="Verdana" w:cs="Arial"/>
          <w:lang w:val="es-ES" w:eastAsia="es-MX"/>
        </w:rPr>
        <w:t xml:space="preserve"> resulten requisitos que permitan medir la aptitud de los oferentes para cumplir con el contrato, y que, además de ser proporcionales y adecuados a su objeto, no limiten la participación en el proceso de selección</w:t>
      </w:r>
      <w:r w:rsidRPr="00C94107">
        <w:rPr>
          <w:rStyle w:val="Refdenotaalpie"/>
          <w:rFonts w:ascii="Verdana" w:eastAsia="Times New Roman" w:hAnsi="Verdana" w:cs="Arial"/>
          <w:lang w:val="es-ES" w:eastAsia="es-MX"/>
        </w:rPr>
        <w:footnoteReference w:id="6"/>
      </w:r>
      <w:r w:rsidRPr="00C94107">
        <w:rPr>
          <w:rFonts w:ascii="Verdana" w:eastAsia="Times New Roman" w:hAnsi="Verdana" w:cs="Arial"/>
          <w:lang w:val="es-ES" w:eastAsia="es-MX"/>
        </w:rPr>
        <w:t xml:space="preserve">. </w:t>
      </w:r>
    </w:p>
    <w:p w14:paraId="1F25620A" w14:textId="77777777" w:rsidR="00A639CE" w:rsidRPr="00C94107" w:rsidRDefault="00A639CE" w:rsidP="00A639CE">
      <w:pPr>
        <w:tabs>
          <w:tab w:val="left" w:pos="426"/>
        </w:tabs>
        <w:spacing w:before="120" w:after="120" w:line="276" w:lineRule="auto"/>
        <w:ind w:firstLine="709"/>
        <w:jc w:val="both"/>
        <w:rPr>
          <w:rFonts w:ascii="Verdana" w:eastAsia="Times New Roman" w:hAnsi="Verdana" w:cs="Arial"/>
          <w:lang w:val="es-ES" w:eastAsia="es-MX"/>
        </w:rPr>
      </w:pPr>
      <w:r w:rsidRPr="00C94107">
        <w:rPr>
          <w:rFonts w:ascii="Verdana" w:eastAsia="Times New Roman" w:hAnsi="Verdana" w:cs="Arial"/>
          <w:lang w:eastAsia="es-MX"/>
        </w:rPr>
        <w:t xml:space="preserve">Que deban ser </w:t>
      </w:r>
      <w:r w:rsidRPr="00C94107">
        <w:rPr>
          <w:rFonts w:ascii="Verdana" w:eastAsia="Times New Roman" w:hAnsi="Verdana" w:cs="Arial"/>
          <w:i/>
          <w:iCs/>
          <w:lang w:eastAsia="es-MX"/>
        </w:rPr>
        <w:t>adecuados</w:t>
      </w:r>
      <w:r w:rsidRPr="00C94107">
        <w:rPr>
          <w:rFonts w:ascii="Verdana" w:eastAsia="Times New Roman" w:hAnsi="Verdana" w:cs="Arial"/>
          <w:lang w:eastAsia="es-MX"/>
        </w:rPr>
        <w:t xml:space="preserve">, significa que los requisitos habilitantes que se contemplen deben tener una relación directa con el objeto del contrato, de suerte que su acreditación sea efectiva para demostrar que el proponente es idóneo para ejecutar el contrato. A su vez, los requisitos que se establezcan deben ser </w:t>
      </w:r>
      <w:r w:rsidRPr="00C94107">
        <w:rPr>
          <w:rFonts w:ascii="Verdana" w:eastAsia="Times New Roman" w:hAnsi="Verdana" w:cs="Arial"/>
          <w:i/>
          <w:iCs/>
          <w:lang w:eastAsia="es-MX"/>
        </w:rPr>
        <w:t>proporcionales</w:t>
      </w:r>
      <w:r w:rsidRPr="00C94107">
        <w:rPr>
          <w:rFonts w:ascii="Verdana" w:eastAsia="Times New Roman" w:hAnsi="Verdana" w:cs="Arial"/>
          <w:lang w:eastAsia="es-MX"/>
        </w:rPr>
        <w:t xml:space="preserve"> a las condiciones del contrato, de tal manera que los mismos no establezcan condiciones más allá de las necesarias para verificar la idoneidad requerida de los proponentes respecto del objeto ofertado, ya que lo contrario limita la libre concurrencia. Que </w:t>
      </w:r>
      <w:r w:rsidRPr="00415F4C">
        <w:rPr>
          <w:rFonts w:ascii="Verdana" w:eastAsia="Times New Roman" w:hAnsi="Verdana" w:cs="Arial"/>
          <w:i/>
          <w:iCs/>
          <w:lang w:eastAsia="es-MX"/>
        </w:rPr>
        <w:t>no limiten la participación</w:t>
      </w:r>
      <w:r>
        <w:rPr>
          <w:rFonts w:ascii="Verdana" w:eastAsia="Times New Roman" w:hAnsi="Verdana" w:cs="Arial"/>
          <w:i/>
          <w:iCs/>
          <w:lang w:eastAsia="es-MX"/>
        </w:rPr>
        <w:t xml:space="preserve"> o la libre concurrencia</w:t>
      </w:r>
      <w:r w:rsidRPr="00C94107">
        <w:rPr>
          <w:rFonts w:ascii="Verdana" w:eastAsia="Times New Roman" w:hAnsi="Verdana" w:cs="Arial"/>
          <w:lang w:eastAsia="es-MX"/>
        </w:rPr>
        <w:t xml:space="preserve"> en el proceso de selección significa que los requisitos establecidos no deben crear barreras injustificadas para el </w:t>
      </w:r>
      <w:r w:rsidRPr="00415F4C">
        <w:rPr>
          <w:rFonts w:ascii="Verdana" w:hAnsi="Verdana"/>
        </w:rPr>
        <w:t>acceso a la contratación pública de los oferentes</w:t>
      </w:r>
      <w:r w:rsidRPr="00C94107">
        <w:rPr>
          <w:rFonts w:ascii="Verdana" w:eastAsia="Times New Roman" w:hAnsi="Verdana" w:cs="Arial"/>
          <w:lang w:val="es-ES" w:eastAsia="es-MX"/>
        </w:rPr>
        <w:t xml:space="preserve"> interesados, promoviendo una mayor competencia. </w:t>
      </w:r>
    </w:p>
    <w:p w14:paraId="782EE887" w14:textId="77777777" w:rsidR="00A639CE" w:rsidRDefault="00A639CE" w:rsidP="00A639CE">
      <w:pPr>
        <w:spacing w:after="120" w:line="276" w:lineRule="auto"/>
        <w:ind w:firstLine="708"/>
        <w:jc w:val="both"/>
        <w:rPr>
          <w:rFonts w:ascii="Verdana" w:eastAsia="Calibri" w:hAnsi="Verdana" w:cs="Arial"/>
          <w:color w:val="000000" w:themeColor="text1"/>
        </w:rPr>
      </w:pPr>
      <w:r w:rsidRPr="00C94107">
        <w:rPr>
          <w:rFonts w:ascii="Verdana" w:eastAsia="Times New Roman" w:hAnsi="Verdana" w:cs="Arial"/>
          <w:lang w:val="es-ES" w:eastAsia="es-MX"/>
        </w:rPr>
        <w:t>En ese sentido, las Entidades</w:t>
      </w:r>
      <w:r>
        <w:rPr>
          <w:rFonts w:ascii="Verdana" w:eastAsia="Times New Roman" w:hAnsi="Verdana" w:cs="Arial"/>
          <w:lang w:val="es-ES" w:eastAsia="es-MX"/>
        </w:rPr>
        <w:t xml:space="preserve"> Estatales</w:t>
      </w:r>
      <w:r w:rsidRPr="00C94107">
        <w:rPr>
          <w:rFonts w:ascii="Verdana" w:eastAsia="Times New Roman" w:hAnsi="Verdana" w:cs="Arial"/>
          <w:lang w:val="es-ES" w:eastAsia="es-MX"/>
        </w:rPr>
        <w:t xml:space="preserve"> tienen autonomía para estructurar los requisitos habilitantes en los procesos que adelantan</w:t>
      </w:r>
      <w:r>
        <w:rPr>
          <w:rFonts w:ascii="Verdana" w:eastAsia="Times New Roman" w:hAnsi="Verdana" w:cs="Arial"/>
          <w:lang w:val="es-ES" w:eastAsia="es-MX"/>
        </w:rPr>
        <w:t>. Pero</w:t>
      </w:r>
      <w:r w:rsidRPr="009859FE">
        <w:rPr>
          <w:rFonts w:ascii="Verdana" w:eastAsia="Calibri" w:hAnsi="Verdana" w:cs="Arial"/>
          <w:color w:val="000000" w:themeColor="text1"/>
        </w:rPr>
        <w:t>, la facultad de establecer los requisitos habilitantes no puede ejercerse de forma arbitraria, caprichosa y, mucho menos, con el ánimo de direccionar el Proceso de Contratación o favorecer a alguno de los proponentes, así como tampoco puede ejercerse desconociendo límites legales</w:t>
      </w:r>
      <w:r w:rsidRPr="00C94107">
        <w:rPr>
          <w:rFonts w:ascii="Verdana" w:eastAsia="Times New Roman" w:hAnsi="Verdana" w:cs="Arial"/>
          <w:lang w:val="es-ES" w:eastAsia="es-MX"/>
        </w:rPr>
        <w:t>, como, por ejemplo, el parágrafo 2 del artículo 5 de la Ley 1150 de 2007, que prohíbe exigir certificaciones de sistemas de gestión de calidad como requisito habilitante.</w:t>
      </w:r>
    </w:p>
    <w:p w14:paraId="3A9B8D83" w14:textId="77777777" w:rsidR="00A639CE" w:rsidRPr="009859FE" w:rsidRDefault="00A639CE" w:rsidP="00A639CE">
      <w:pPr>
        <w:widowControl w:val="0"/>
        <w:autoSpaceDE w:val="0"/>
        <w:autoSpaceDN w:val="0"/>
        <w:spacing w:after="120" w:line="276" w:lineRule="auto"/>
        <w:ind w:firstLine="709"/>
        <w:jc w:val="both"/>
        <w:rPr>
          <w:rFonts w:ascii="Verdana" w:eastAsia="Calibri" w:hAnsi="Verdana" w:cs="Arial"/>
          <w:color w:val="000000" w:themeColor="text1"/>
        </w:rPr>
      </w:pPr>
      <w:r w:rsidRPr="009859FE">
        <w:rPr>
          <w:rFonts w:ascii="Verdana" w:eastAsia="Calibri" w:hAnsi="Verdana" w:cs="Arial"/>
          <w:color w:val="000000" w:themeColor="text1"/>
        </w:rPr>
        <w:t xml:space="preserve">Al respecto, en la Sentencia C-004 de 2017, la Corte Constitucional señaló que: “[l]a determinación de dichas condiciones habilitantes para participar, es competencia de la entidad que planee la celebración del contrato, a través de la valoración en concreto de las características mínimas de idoneidad, experiencia, </w:t>
      </w:r>
      <w:r w:rsidRPr="009859FE">
        <w:rPr>
          <w:rFonts w:ascii="Verdana" w:eastAsia="Calibri" w:hAnsi="Verdana" w:cs="Arial"/>
          <w:color w:val="000000" w:themeColor="text1"/>
        </w:rPr>
        <w:lastRenderedPageBreak/>
        <w:t>capacidad jurídica y financiera para que la realización del objeto contractual resulte eficiente y eficaz frente a la necesidad identificada”.</w:t>
      </w:r>
    </w:p>
    <w:p w14:paraId="7C90A7D6" w14:textId="77777777" w:rsidR="00A639CE" w:rsidRPr="009859FE" w:rsidRDefault="00A639CE" w:rsidP="00A639CE">
      <w:pPr>
        <w:widowControl w:val="0"/>
        <w:autoSpaceDE w:val="0"/>
        <w:autoSpaceDN w:val="0"/>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Adicionalmente, c</w:t>
      </w:r>
      <w:r w:rsidRPr="009859FE">
        <w:rPr>
          <w:rFonts w:ascii="Verdana" w:eastAsia="Calibri" w:hAnsi="Verdana" w:cs="Arial"/>
          <w:color w:val="000000" w:themeColor="text1"/>
        </w:rPr>
        <w:t>onsiderando la discrecionalidad para establecer requisitos habilitantes, es necesario tener en cuenta que el artículo 44 de la Ley 1437 de 2011 –aplicable en los procedimientos contractuales en virtud del artículo 77 de la Ley 80 de 1993– dispone que “En la medida en que el contenido de una decisión de carácter general o particular sea discrecional, debe ser adecuada a los fines de la norma que la autoriza, y proporcional a los hechos que le sirven de causa”. Dado lo anterior, para efectos de configurar requisitos habilitantes, la Entidad Estatal tiene la carga de justificar en los estudios previos y análisis del sector del proceso de selección su procedencia, de conformidad con el artículo 2.2.1.1.1.6.2 del Decreto 1082 de 2015.</w:t>
      </w:r>
    </w:p>
    <w:p w14:paraId="5483C75C" w14:textId="77777777" w:rsidR="00A639CE" w:rsidRDefault="00A639CE" w:rsidP="00A639CE">
      <w:pPr>
        <w:spacing w:after="120" w:line="276" w:lineRule="auto"/>
        <w:ind w:firstLine="708"/>
        <w:jc w:val="both"/>
        <w:rPr>
          <w:rFonts w:ascii="Verdana" w:eastAsia="Calibri" w:hAnsi="Verdana" w:cs="Arial"/>
          <w:color w:val="000000" w:themeColor="text1"/>
        </w:rPr>
      </w:pPr>
      <w:r w:rsidRPr="009859FE">
        <w:rPr>
          <w:rFonts w:ascii="Verdana" w:eastAsia="Calibri" w:hAnsi="Verdana" w:cs="Arial"/>
          <w:color w:val="000000" w:themeColor="text1"/>
        </w:rPr>
        <w:t xml:space="preserve">Así las cosas, se concluye </w:t>
      </w:r>
      <w:proofErr w:type="gramStart"/>
      <w:r w:rsidRPr="009859FE">
        <w:rPr>
          <w:rFonts w:ascii="Verdana" w:eastAsia="Calibri" w:hAnsi="Verdana" w:cs="Arial"/>
          <w:color w:val="000000" w:themeColor="text1"/>
        </w:rPr>
        <w:t>que</w:t>
      </w:r>
      <w:proofErr w:type="gramEnd"/>
      <w:r w:rsidRPr="009859FE">
        <w:rPr>
          <w:rFonts w:ascii="Verdana" w:eastAsia="Calibri" w:hAnsi="Verdana" w:cs="Arial"/>
          <w:color w:val="000000" w:themeColor="text1"/>
        </w:rPr>
        <w:t xml:space="preserve"> aunque la Ley 1150 de 2007 estableció unos requisitos habilitantes para los proponentes: la capacidad jurídica, las condiciones de experiencia, la capacidad financiera y la capacidad de organización, lo cierto es que los mismos no son taxativos. Así las cosas, los requisitos habilitantes deben ser establecidos por la Entidad Estatal en cada proceso contractual, debidamente justificados y de acuerdo con los parámetros fijados en el Decreto 1082 de 2015. Y una vez establecidos los requisitos habilitantes, quienes presenten ofertas deben acreditar que cumplen con ellos, so pena de que sus propuestas sean rechazadas. Esto sin perjuicio de la posibilidad de subsanarlas, cuando a ello haya lugar.</w:t>
      </w:r>
    </w:p>
    <w:p w14:paraId="5E83EFC2" w14:textId="77777777" w:rsidR="00A639CE" w:rsidRPr="003C649B" w:rsidRDefault="00A639CE" w:rsidP="00A639CE">
      <w:pPr>
        <w:spacing w:after="120" w:line="276" w:lineRule="auto"/>
        <w:ind w:firstLine="708"/>
        <w:jc w:val="both"/>
        <w:rPr>
          <w:rFonts w:ascii="Verdana" w:eastAsia="Calibri" w:hAnsi="Verdana" w:cs="Arial"/>
          <w:color w:val="000000" w:themeColor="text1"/>
        </w:rPr>
      </w:pPr>
      <w:r w:rsidRPr="003C649B">
        <w:rPr>
          <w:rFonts w:ascii="Verdana" w:eastAsia="Calibri" w:hAnsi="Verdana" w:cs="Arial"/>
          <w:color w:val="000000" w:themeColor="text1"/>
        </w:rPr>
        <w:t>En ese orden de ideas, la exigencia consistente en que el integrante del proponente plural que aporta la experiencia habilitante deba acreditar, a su vez, un porcentaje mínimo de participación</w:t>
      </w:r>
      <w:r>
        <w:rPr>
          <w:rFonts w:ascii="Verdana" w:eastAsia="Calibri" w:hAnsi="Verdana" w:cs="Arial"/>
          <w:color w:val="000000" w:themeColor="text1"/>
        </w:rPr>
        <w:t xml:space="preserve">, </w:t>
      </w:r>
      <w:r w:rsidRPr="003C649B">
        <w:rPr>
          <w:rFonts w:ascii="Verdana" w:eastAsia="Calibri" w:hAnsi="Verdana" w:cs="Arial"/>
          <w:color w:val="000000" w:themeColor="text1"/>
        </w:rPr>
        <w:t>como el cincuenta por ciento (50%</w:t>
      </w:r>
      <w:proofErr w:type="gramStart"/>
      <w:r w:rsidRPr="003C649B">
        <w:rPr>
          <w:rFonts w:ascii="Verdana" w:eastAsia="Calibri" w:hAnsi="Verdana" w:cs="Arial"/>
          <w:color w:val="000000" w:themeColor="text1"/>
        </w:rPr>
        <w:t>)</w:t>
      </w:r>
      <w:r>
        <w:rPr>
          <w:rFonts w:ascii="Verdana" w:eastAsia="Calibri" w:hAnsi="Verdana" w:cs="Arial"/>
          <w:color w:val="000000" w:themeColor="text1"/>
        </w:rPr>
        <w:t xml:space="preserve">, </w:t>
      </w:r>
      <w:r w:rsidRPr="003C649B">
        <w:rPr>
          <w:rFonts w:ascii="Verdana" w:eastAsia="Calibri" w:hAnsi="Verdana" w:cs="Arial"/>
          <w:color w:val="000000" w:themeColor="text1"/>
        </w:rPr>
        <w:t xml:space="preserve"> dentro</w:t>
      </w:r>
      <w:proofErr w:type="gramEnd"/>
      <w:r w:rsidRPr="003C649B">
        <w:rPr>
          <w:rFonts w:ascii="Verdana" w:eastAsia="Calibri" w:hAnsi="Verdana" w:cs="Arial"/>
          <w:color w:val="000000" w:themeColor="text1"/>
        </w:rPr>
        <w:t xml:space="preserve"> de la estructura asociativa, podría resultar contraria a los principios de selección objetiva, pluralidad de oferentes y libre concurrencia que orientan la contratación estatal.</w:t>
      </w:r>
    </w:p>
    <w:p w14:paraId="0691CF6E" w14:textId="77777777" w:rsidR="00A639CE" w:rsidRPr="003C649B" w:rsidRDefault="00A639CE" w:rsidP="00A639CE">
      <w:pPr>
        <w:spacing w:after="120" w:line="276" w:lineRule="auto"/>
        <w:ind w:firstLine="708"/>
        <w:jc w:val="both"/>
        <w:rPr>
          <w:rFonts w:ascii="Verdana" w:eastAsia="Calibri" w:hAnsi="Verdana" w:cs="Arial"/>
          <w:color w:val="000000" w:themeColor="text1"/>
        </w:rPr>
      </w:pPr>
      <w:r w:rsidRPr="003C649B">
        <w:rPr>
          <w:rFonts w:ascii="Verdana" w:eastAsia="Calibri" w:hAnsi="Verdana" w:cs="Arial"/>
          <w:color w:val="000000" w:themeColor="text1"/>
        </w:rPr>
        <w:t xml:space="preserve">Lo anterior, en la medida en que la imposición de este tipo de condiciones puede constituir una restricción injustificada a la conformación de proponentes plurales, figura asociativa plenamente reconocida en el ordenamiento jurídico colombiano, cuya finalidad en el ámbito de la contratación pública radica en permitir </w:t>
      </w:r>
      <w:r>
        <w:rPr>
          <w:rFonts w:ascii="Verdana" w:eastAsia="Calibri" w:hAnsi="Verdana" w:cs="Arial"/>
          <w:color w:val="000000" w:themeColor="text1"/>
        </w:rPr>
        <w:t xml:space="preserve">este tipo de asociación en aras de unir </w:t>
      </w:r>
      <w:r w:rsidRPr="003C649B">
        <w:rPr>
          <w:rFonts w:ascii="Verdana" w:eastAsia="Calibri" w:hAnsi="Verdana" w:cs="Arial"/>
          <w:color w:val="000000" w:themeColor="text1"/>
        </w:rPr>
        <w:t xml:space="preserve">capacidades técnicas, financieras y organizacionales entre distintos interesados, facilitando así el acceso al </w:t>
      </w:r>
      <w:r w:rsidRPr="003C649B">
        <w:rPr>
          <w:rFonts w:ascii="Verdana" w:eastAsia="Calibri" w:hAnsi="Verdana" w:cs="Arial"/>
          <w:color w:val="000000" w:themeColor="text1"/>
        </w:rPr>
        <w:lastRenderedPageBreak/>
        <w:t>mercado y promoviendo una mayor concurrencia de oferentes</w:t>
      </w:r>
      <w:r>
        <w:rPr>
          <w:rFonts w:ascii="Verdana" w:eastAsia="Calibri" w:hAnsi="Verdana" w:cs="Arial"/>
          <w:color w:val="000000" w:themeColor="text1"/>
        </w:rPr>
        <w:t xml:space="preserve">, salvaguardado como se mencionó, principios de la </w:t>
      </w:r>
      <w:proofErr w:type="spellStart"/>
      <w:r>
        <w:rPr>
          <w:rFonts w:ascii="Verdana" w:eastAsia="Calibri" w:hAnsi="Verdana" w:cs="Arial"/>
          <w:color w:val="000000" w:themeColor="text1"/>
        </w:rPr>
        <w:t>contratacion</w:t>
      </w:r>
      <w:proofErr w:type="spellEnd"/>
      <w:r>
        <w:rPr>
          <w:rFonts w:ascii="Verdana" w:eastAsia="Calibri" w:hAnsi="Verdana" w:cs="Arial"/>
          <w:color w:val="000000" w:themeColor="text1"/>
        </w:rPr>
        <w:t xml:space="preserve"> estatal</w:t>
      </w:r>
      <w:r w:rsidRPr="003C649B">
        <w:rPr>
          <w:rFonts w:ascii="Verdana" w:eastAsia="Calibri" w:hAnsi="Verdana" w:cs="Arial"/>
          <w:color w:val="000000" w:themeColor="text1"/>
        </w:rPr>
        <w:t>.</w:t>
      </w:r>
    </w:p>
    <w:p w14:paraId="22CF5C4B" w14:textId="77777777" w:rsidR="00A639CE" w:rsidRPr="00C76F48" w:rsidRDefault="00A639CE" w:rsidP="00A639CE">
      <w:pPr>
        <w:spacing w:after="120" w:line="276" w:lineRule="auto"/>
        <w:jc w:val="both"/>
        <w:rPr>
          <w:rFonts w:ascii="Verdana" w:eastAsia="Calibri" w:hAnsi="Verdana" w:cs="Arial"/>
          <w:lang w:val="es-ES" w:eastAsia="es-MX"/>
        </w:rPr>
      </w:pPr>
    </w:p>
    <w:p w14:paraId="08147EF8" w14:textId="77777777" w:rsidR="00A639CE" w:rsidRPr="00C76F48" w:rsidRDefault="00A639CE" w:rsidP="00A639CE">
      <w:pPr>
        <w:spacing w:after="120" w:line="276" w:lineRule="auto"/>
        <w:ind w:firstLine="709"/>
        <w:jc w:val="both"/>
        <w:rPr>
          <w:rFonts w:ascii="Verdana" w:eastAsia="Calibri" w:hAnsi="Verdana" w:cs="Arial"/>
          <w:lang w:eastAsia="es-CO"/>
        </w:rPr>
      </w:pPr>
      <w:r w:rsidRPr="00C76F48">
        <w:rPr>
          <w:rFonts w:ascii="Verdana" w:eastAsia="Times New Roman" w:hAnsi="Verdana" w:cs="Arial"/>
          <w:lang w:eastAsia="es-ES_tradnl"/>
        </w:rPr>
        <w:t xml:space="preserve">En todo caso, debe advertirse que es la entidad contratante, al momento de adelantar su actividad contractual, quien debe determinar lo correspondiente a la forma de acreditar la experiencia del proponente y será esta la que verifique el cumplimiento de los requisitos exigidos en el marco del proceso de contratación. </w:t>
      </w:r>
    </w:p>
    <w:p w14:paraId="15579BC8" w14:textId="77777777" w:rsidR="00A639CE" w:rsidRPr="00C76F48" w:rsidRDefault="00A639CE" w:rsidP="00A639CE">
      <w:pPr>
        <w:widowControl w:val="0"/>
        <w:autoSpaceDE w:val="0"/>
        <w:autoSpaceDN w:val="0"/>
        <w:spacing w:after="0" w:line="276" w:lineRule="auto"/>
        <w:ind w:firstLine="709"/>
        <w:jc w:val="both"/>
        <w:rPr>
          <w:rFonts w:ascii="Verdana" w:eastAsia="Arial" w:hAnsi="Verdana" w:cs="Arial"/>
          <w:lang w:val="es-ES"/>
        </w:rPr>
      </w:pPr>
    </w:p>
    <w:p w14:paraId="5CFFF729" w14:textId="77777777" w:rsidR="00A639CE" w:rsidRPr="00C76F48" w:rsidRDefault="00A639CE" w:rsidP="00A639CE">
      <w:pPr>
        <w:numPr>
          <w:ilvl w:val="0"/>
          <w:numId w:val="16"/>
        </w:numPr>
        <w:tabs>
          <w:tab w:val="left" w:pos="142"/>
          <w:tab w:val="left" w:pos="284"/>
        </w:tabs>
        <w:spacing w:after="0" w:line="276" w:lineRule="auto"/>
        <w:jc w:val="both"/>
        <w:rPr>
          <w:rFonts w:ascii="Verdana" w:eastAsia="Century Gothic" w:hAnsi="Verdana" w:cs="Century Gothic"/>
          <w:b/>
          <w:bCs/>
        </w:rPr>
      </w:pPr>
      <w:r w:rsidRPr="00C76F48">
        <w:rPr>
          <w:rFonts w:ascii="Verdana" w:eastAsia="Century Gothic" w:hAnsi="Verdana" w:cs="Century Gothic"/>
          <w:b/>
          <w:bCs/>
        </w:rPr>
        <w:t>Referencias normativas y jurisprudenciales:</w:t>
      </w:r>
    </w:p>
    <w:p w14:paraId="62B9BFE0" w14:textId="77777777" w:rsidR="00A639CE" w:rsidRPr="00C76F48" w:rsidRDefault="00A639CE" w:rsidP="00A639CE">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639CE" w:rsidRPr="00C76F48" w14:paraId="48B49171" w14:textId="77777777" w:rsidTr="00A05D8D">
        <w:trPr>
          <w:trHeight w:val="410"/>
          <w:jc w:val="center"/>
        </w:trPr>
        <w:tc>
          <w:tcPr>
            <w:tcW w:w="8647" w:type="dxa"/>
          </w:tcPr>
          <w:p w14:paraId="0B02E85E" w14:textId="77777777" w:rsidR="00A639CE" w:rsidRPr="00C76F48" w:rsidRDefault="00A639CE" w:rsidP="00A639CE">
            <w:pPr>
              <w:widowControl w:val="0"/>
              <w:numPr>
                <w:ilvl w:val="0"/>
                <w:numId w:val="17"/>
              </w:numPr>
              <w:autoSpaceDE w:val="0"/>
              <w:autoSpaceDN w:val="0"/>
              <w:spacing w:after="120" w:line="276" w:lineRule="auto"/>
              <w:ind w:left="318" w:hanging="284"/>
              <w:contextualSpacing/>
              <w:jc w:val="both"/>
              <w:rPr>
                <w:rFonts w:ascii="Verdana" w:hAnsi="Verdana" w:cs="Arial"/>
              </w:rPr>
            </w:pPr>
            <w:r w:rsidRPr="00C76F48">
              <w:rPr>
                <w:rFonts w:ascii="Verdana" w:eastAsia="Calibri" w:hAnsi="Verdana" w:cs="Arial"/>
              </w:rPr>
              <w:t xml:space="preserve">Ley </w:t>
            </w:r>
            <w:r w:rsidRPr="00C76F48">
              <w:rPr>
                <w:rFonts w:ascii="Verdana" w:eastAsia="Calibri" w:hAnsi="Verdana" w:cs="Arial"/>
                <w:lang w:val="es-ES"/>
              </w:rPr>
              <w:t xml:space="preserve">1150 de 2007. Artículo 5 y 6.  </w:t>
            </w:r>
          </w:p>
          <w:p w14:paraId="09991885" w14:textId="77777777" w:rsidR="00A639CE" w:rsidRPr="00C76F48" w:rsidRDefault="00A639CE" w:rsidP="00A639CE">
            <w:pPr>
              <w:widowControl w:val="0"/>
              <w:numPr>
                <w:ilvl w:val="0"/>
                <w:numId w:val="17"/>
              </w:numPr>
              <w:autoSpaceDE w:val="0"/>
              <w:autoSpaceDN w:val="0"/>
              <w:spacing w:after="120" w:line="276" w:lineRule="auto"/>
              <w:ind w:left="318" w:hanging="284"/>
              <w:contextualSpacing/>
              <w:jc w:val="both"/>
              <w:rPr>
                <w:rFonts w:ascii="Verdana" w:hAnsi="Verdana" w:cs="Arial"/>
              </w:rPr>
            </w:pPr>
            <w:r w:rsidRPr="00C76F48">
              <w:rPr>
                <w:rFonts w:ascii="Verdana" w:eastAsia="Calibri" w:hAnsi="Verdana" w:cs="Arial"/>
                <w:lang w:val="es-ES"/>
              </w:rPr>
              <w:t>Manual para determinar y verificar los requisitos habilitantes en los Procesos de Contratación</w:t>
            </w:r>
            <w:r w:rsidRPr="00C76F48">
              <w:rPr>
                <w:rFonts w:ascii="Verdana" w:hAnsi="Verdana" w:cs="Arial"/>
              </w:rPr>
              <w:t xml:space="preserve">. Disponible en: </w:t>
            </w:r>
            <w:hyperlink r:id="rId12" w:history="1">
              <w:r w:rsidRPr="00C76F48">
                <w:rPr>
                  <w:rFonts w:ascii="Verdana" w:hAnsi="Verdana" w:cs="Arial"/>
                  <w:color w:val="0563C1" w:themeColor="hyperlink"/>
                  <w:u w:val="single"/>
                </w:rPr>
                <w:t>https://www.colombiacompra.gov.co/wp-content/uploads/2024/08/cce-eicp-ma-04._manual_requisitos_habilitantes_v3_29-09-2023.pdf</w:t>
              </w:r>
            </w:hyperlink>
            <w:r w:rsidRPr="00C76F48">
              <w:rPr>
                <w:rFonts w:ascii="Verdana" w:hAnsi="Verdana" w:cs="Arial"/>
              </w:rPr>
              <w:t xml:space="preserve"> </w:t>
            </w:r>
          </w:p>
          <w:p w14:paraId="514E6CE6" w14:textId="77777777" w:rsidR="00A639CE" w:rsidRPr="00C76F48" w:rsidRDefault="00A639CE" w:rsidP="00A639CE">
            <w:pPr>
              <w:numPr>
                <w:ilvl w:val="0"/>
                <w:numId w:val="18"/>
              </w:numPr>
              <w:spacing w:after="120" w:line="276" w:lineRule="auto"/>
              <w:ind w:left="318" w:hanging="284"/>
              <w:contextualSpacing/>
              <w:jc w:val="both"/>
              <w:rPr>
                <w:rFonts w:ascii="Verdana" w:hAnsi="Verdana" w:cs="Arial"/>
                <w:sz w:val="24"/>
                <w:lang w:val="es-ES"/>
              </w:rPr>
            </w:pPr>
            <w:r w:rsidRPr="00C76F48">
              <w:rPr>
                <w:rFonts w:ascii="Verdana" w:hAnsi="Verdana" w:cs="Arial"/>
              </w:rPr>
              <w:t xml:space="preserve">Consejo de Estado. Sección Tercera. Subsección A. Sentencia del 12 de febrero de 2014. </w:t>
            </w:r>
            <w:proofErr w:type="spellStart"/>
            <w:r w:rsidRPr="00C76F48">
              <w:rPr>
                <w:rFonts w:ascii="Verdana" w:hAnsi="Verdana" w:cs="Arial"/>
              </w:rPr>
              <w:t>Exp</w:t>
            </w:r>
            <w:proofErr w:type="spellEnd"/>
            <w:r w:rsidRPr="00C76F48">
              <w:rPr>
                <w:rFonts w:ascii="Verdana" w:hAnsi="Verdana" w:cs="Arial"/>
              </w:rPr>
              <w:t>. 31.753. C.P. Mauricio Fajardo Gómez:</w:t>
            </w:r>
          </w:p>
        </w:tc>
      </w:tr>
    </w:tbl>
    <w:p w14:paraId="523C6661" w14:textId="77777777" w:rsidR="00A639CE" w:rsidRPr="00C76F48" w:rsidRDefault="00A639CE" w:rsidP="00A639CE">
      <w:pPr>
        <w:widowControl w:val="0"/>
        <w:autoSpaceDE w:val="0"/>
        <w:autoSpaceDN w:val="0"/>
        <w:spacing w:after="0" w:line="276" w:lineRule="auto"/>
        <w:jc w:val="both"/>
        <w:rPr>
          <w:rFonts w:ascii="Verdana" w:hAnsi="Verdana" w:cs="Arial"/>
        </w:rPr>
      </w:pPr>
    </w:p>
    <w:p w14:paraId="72307845" w14:textId="77777777" w:rsidR="00A639CE" w:rsidRPr="00C76F48" w:rsidRDefault="00A639CE" w:rsidP="00A639CE">
      <w:pPr>
        <w:numPr>
          <w:ilvl w:val="0"/>
          <w:numId w:val="16"/>
        </w:numPr>
        <w:tabs>
          <w:tab w:val="left" w:pos="142"/>
          <w:tab w:val="left" w:pos="284"/>
        </w:tabs>
        <w:spacing w:after="0" w:line="276" w:lineRule="auto"/>
        <w:jc w:val="both"/>
        <w:rPr>
          <w:rFonts w:ascii="Verdana" w:eastAsia="Century Gothic" w:hAnsi="Verdana" w:cs="Century Gothic"/>
          <w:b/>
          <w:bCs/>
        </w:rPr>
      </w:pPr>
      <w:r w:rsidRPr="00C76F48">
        <w:rPr>
          <w:rFonts w:ascii="Verdana" w:eastAsia="Century Gothic" w:hAnsi="Verdana" w:cs="Century Gothic"/>
          <w:b/>
          <w:bCs/>
        </w:rPr>
        <w:t>Doctrina de la Agencia Nacional de Contratación Pública:</w:t>
      </w:r>
    </w:p>
    <w:p w14:paraId="4882D186" w14:textId="77777777" w:rsidR="00A639CE" w:rsidRPr="00C76F48" w:rsidRDefault="00A639CE" w:rsidP="00A639CE">
      <w:pPr>
        <w:widowControl w:val="0"/>
        <w:autoSpaceDE w:val="0"/>
        <w:autoSpaceDN w:val="0"/>
        <w:spacing w:after="0" w:line="276" w:lineRule="auto"/>
        <w:jc w:val="both"/>
        <w:rPr>
          <w:rFonts w:ascii="Verdana" w:hAnsi="Verdana" w:cs="Arial"/>
        </w:rPr>
      </w:pPr>
    </w:p>
    <w:p w14:paraId="5DACCF3B" w14:textId="77777777" w:rsidR="00A639CE" w:rsidRPr="00C76F48" w:rsidRDefault="00A639CE" w:rsidP="00A639CE">
      <w:pPr>
        <w:widowControl w:val="0"/>
        <w:autoSpaceDE w:val="0"/>
        <w:autoSpaceDN w:val="0"/>
        <w:spacing w:after="0" w:line="276" w:lineRule="auto"/>
        <w:jc w:val="both"/>
        <w:rPr>
          <w:rFonts w:ascii="Verdana" w:eastAsia="Aptos" w:hAnsi="Verdana" w:cs="Segoe UI"/>
          <w:kern w:val="2"/>
          <w14:ligatures w14:val="standardContextual"/>
        </w:rPr>
      </w:pPr>
      <w:r w:rsidRPr="00C76F48">
        <w:rPr>
          <w:rFonts w:ascii="Verdana" w:hAnsi="Verdana" w:cs="Arial"/>
          <w:lang w:val="es-ES"/>
        </w:rPr>
        <w:t>Sobre la experiencia como requisito habilitante en la contratación pública, se pronunció  esta Subdirección en los Conceptos, C-007 del 13 de febrero de 2025, C- 1002 del 30 de enero de 2025, C-662 del 29 de enero de 2025, C-1013 del 31 de diciembre de 2024, C-879 del 29 de diciembre de 2024, C-732 del 12 de noviembre de 2024, C-204 del 29 de julio de 2024, C-223 del 29 de julio de 2024,C- 277 del 16 de julio, C-246 del 16 de julio de 2024, C-278 de 31 de julio de 2024 ,</w:t>
      </w:r>
      <w:r w:rsidRPr="00C76F48">
        <w:rPr>
          <w:rFonts w:ascii="Verdana" w:eastAsia="Aptos" w:hAnsi="Verdana" w:cs="Segoe UI"/>
          <w:kern w:val="2"/>
          <w14:ligatures w14:val="standardContextual"/>
        </w:rPr>
        <w:t xml:space="preserve">C-088 del 13 de julio de 2024 </w:t>
      </w:r>
      <w:r w:rsidRPr="00C76F48">
        <w:rPr>
          <w:rFonts w:ascii="Verdana" w:hAnsi="Verdana" w:cs="Arial"/>
          <w:lang w:val="es-ES"/>
        </w:rPr>
        <w:t xml:space="preserve"> del 2024, C-120 de 11 del junio de 2024, C-139 de 31 mayo del  2024, C-032 de abril de 2024, C- 450 del 3 de noviembre de 2023, C-432 del 23 de octubre de 2023, C-167 del 5 de junio de 2023, C- 124 del 12 de mayo de 2023, C-779 del 16 de noviembre de 2022, C 447 del 19 de julio de 2022</w:t>
      </w:r>
      <w:r w:rsidRPr="00C76F48">
        <w:rPr>
          <w:rFonts w:ascii="Verdana" w:eastAsia="Aptos" w:hAnsi="Verdana" w:cs="Segoe UI"/>
          <w:kern w:val="2"/>
          <w14:ligatures w14:val="standardContextual"/>
        </w:rPr>
        <w:t>, C-456 del 15 de julio de 2022,</w:t>
      </w:r>
      <w:r w:rsidRPr="00C76F48">
        <w:rPr>
          <w:rFonts w:ascii="Verdana" w:hAnsi="Verdana" w:cs="Arial"/>
          <w:lang w:val="es-ES"/>
        </w:rPr>
        <w:t xml:space="preserve"> C-374 del 8 de junio de 2022, </w:t>
      </w:r>
      <w:r w:rsidRPr="00C76F48">
        <w:rPr>
          <w:rFonts w:ascii="Verdana" w:eastAsia="Aptos" w:hAnsi="Verdana" w:cs="Segoe UI"/>
          <w:kern w:val="2"/>
          <w14:ligatures w14:val="standardContextual"/>
        </w:rPr>
        <w:t xml:space="preserve">C-324 del 20 mayo de 2022, C-239 del 26 de abril de 2022, </w:t>
      </w:r>
      <w:r w:rsidRPr="00C76F48">
        <w:rPr>
          <w:rFonts w:ascii="Verdana" w:hAnsi="Verdana" w:cs="Arial"/>
          <w:lang w:val="es-ES"/>
        </w:rPr>
        <w:t xml:space="preserve">C-142 del 30 de marzo de 2022, </w:t>
      </w:r>
      <w:r w:rsidRPr="00C76F48">
        <w:rPr>
          <w:rFonts w:ascii="Verdana" w:eastAsia="Aptos" w:hAnsi="Verdana" w:cs="Segoe UI"/>
          <w:kern w:val="2"/>
          <w14:ligatures w14:val="standardContextual"/>
        </w:rPr>
        <w:t>C-144 del 28 de marzo de 2022, C-034 del 2 de marzo de 2022,</w:t>
      </w:r>
      <w:r w:rsidRPr="00C76F48">
        <w:rPr>
          <w:rFonts w:ascii="Verdana" w:hAnsi="Verdana" w:cs="Arial"/>
          <w:lang w:val="es-ES"/>
        </w:rPr>
        <w:t xml:space="preserve"> </w:t>
      </w:r>
      <w:r w:rsidRPr="00C76F48">
        <w:rPr>
          <w:rFonts w:ascii="Verdana" w:eastAsia="Aptos" w:hAnsi="Verdana" w:cs="Segoe UI"/>
          <w:kern w:val="2"/>
          <w14:ligatures w14:val="standardContextual"/>
        </w:rPr>
        <w:t xml:space="preserve">C-539 del 27 de septiembre de 2021, C-429 del 17 de agosto de 2021, </w:t>
      </w:r>
      <w:r w:rsidRPr="00C76F48">
        <w:rPr>
          <w:rFonts w:ascii="Verdana" w:eastAsia="Aptos" w:hAnsi="Verdana" w:cs="Segoe UI"/>
          <w:kern w:val="2"/>
          <w14:ligatures w14:val="standardContextual"/>
        </w:rPr>
        <w:lastRenderedPageBreak/>
        <w:t>C-415 del 10 de agosto de 2021, C-493 de 2025 entre otros.</w:t>
      </w:r>
      <w:r w:rsidRPr="00C76F48">
        <w:rPr>
          <w:rFonts w:ascii="Verdana" w:eastAsia="Aptos" w:hAnsi="Verdana" w:cs="Arial"/>
          <w:shd w:val="clear" w:color="auto" w:fill="FFFFFF"/>
        </w:rPr>
        <w:t xml:space="preserve"> </w:t>
      </w:r>
      <w:r w:rsidRPr="00C76F48">
        <w:rPr>
          <w:rFonts w:ascii="Verdana" w:hAnsi="Verdana" w:cs="Arial"/>
          <w:shd w:val="clear" w:color="auto" w:fill="FFFFFF"/>
        </w:rPr>
        <w:t>Es</w:t>
      </w:r>
      <w:r w:rsidRPr="00C76F48">
        <w:rPr>
          <w:rFonts w:ascii="Verdana" w:hAnsi="Verdana"/>
        </w:rPr>
        <w:t>te y otros conceptos se encuentran disponibles para consulta en el Sistema de relatoría de la Agencia, al cual se puede acceder a través del siguiente enlace:</w:t>
      </w:r>
      <w:r w:rsidRPr="00C76F48">
        <w:rPr>
          <w:rFonts w:ascii="Verdana" w:hAnsi="Verdana" w:cs="Arial"/>
          <w:shd w:val="clear" w:color="auto" w:fill="FFFFFF"/>
        </w:rPr>
        <w:t xml:space="preserve"> </w:t>
      </w:r>
      <w:hyperlink r:id="rId13" w:history="1">
        <w:r w:rsidRPr="00C76F48">
          <w:rPr>
            <w:rFonts w:ascii="Verdana" w:hAnsi="Verdana" w:cs="Arial"/>
            <w:color w:val="0000FF"/>
            <w:u w:val="single"/>
            <w:shd w:val="clear" w:color="auto" w:fill="FFFFFF"/>
          </w:rPr>
          <w:t>https://relatoria.colombiacompra.gov.co/</w:t>
        </w:r>
      </w:hyperlink>
      <w:r w:rsidRPr="00C76F48">
        <w:rPr>
          <w:rFonts w:ascii="Verdana" w:hAnsi="Verdana" w:cs="Arial"/>
          <w:shd w:val="clear" w:color="auto" w:fill="FFFFFF"/>
        </w:rPr>
        <w:t xml:space="preserve"> </w:t>
      </w:r>
    </w:p>
    <w:p w14:paraId="4996E433" w14:textId="77777777" w:rsidR="00A639CE" w:rsidRPr="00C76F48" w:rsidRDefault="00A639CE" w:rsidP="00A639CE">
      <w:pPr>
        <w:widowControl w:val="0"/>
        <w:autoSpaceDE w:val="0"/>
        <w:autoSpaceDN w:val="0"/>
        <w:spacing w:after="0" w:line="276" w:lineRule="auto"/>
        <w:jc w:val="both"/>
        <w:rPr>
          <w:rFonts w:ascii="Verdana" w:hAnsi="Verdana" w:cs="Arial"/>
          <w:shd w:val="clear" w:color="auto" w:fill="FFFFFF"/>
        </w:rPr>
      </w:pPr>
    </w:p>
    <w:p w14:paraId="3CBD433B" w14:textId="77777777" w:rsidR="00A639CE" w:rsidRPr="009A385A" w:rsidRDefault="00A639CE" w:rsidP="00A639CE">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4" w:tgtFrame="_new" w:history="1">
        <w:r w:rsidRPr="009A385A">
          <w:rPr>
            <w:rStyle w:val="Hipervnculo"/>
            <w:rFonts w:ascii="Verdana" w:hAnsi="Verdana"/>
          </w:rPr>
          <w:t>https://formacionvirtual.colombiacompra.gov.co/mod/page/view.php?id=3718</w:t>
        </w:r>
      </w:hyperlink>
    </w:p>
    <w:p w14:paraId="43C90BF2" w14:textId="77777777" w:rsidR="00A639CE" w:rsidRDefault="00A639CE" w:rsidP="00A639CE">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5" w:tgtFrame="_new" w:history="1">
        <w:r w:rsidRPr="00635F16">
          <w:rPr>
            <w:rStyle w:val="Hipervnculo"/>
            <w:rFonts w:ascii="Verdana" w:hAnsi="Verdana"/>
          </w:rPr>
          <w:t>https://www.colombiacompra.gov.co/normativa-y-relatoria/documentos-tipo</w:t>
        </w:r>
      </w:hyperlink>
    </w:p>
    <w:p w14:paraId="12DC10C5" w14:textId="77777777" w:rsidR="00A639CE" w:rsidRPr="009A385A" w:rsidRDefault="00A639CE" w:rsidP="00A639CE">
      <w:pPr>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6"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1F7BFE7B" w14:textId="77777777" w:rsidR="00A639CE" w:rsidRPr="00C76F48" w:rsidRDefault="00A639CE" w:rsidP="00A639CE">
      <w:pPr>
        <w:shd w:val="clear" w:color="auto" w:fill="FFFFFF"/>
        <w:spacing w:after="0" w:line="276" w:lineRule="auto"/>
        <w:jc w:val="both"/>
        <w:rPr>
          <w:rFonts w:ascii="Verdana" w:hAnsi="Verdana"/>
          <w:color w:val="467886"/>
          <w:u w:val="single"/>
        </w:rPr>
      </w:pPr>
      <w:r w:rsidRPr="00C76F48">
        <w:rPr>
          <w:rFonts w:ascii="Verdana" w:hAnsi="Verdana"/>
        </w:rPr>
        <w:lastRenderedPageBreak/>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72DE6EE6" w14:textId="77777777" w:rsidR="00A639CE" w:rsidRPr="00C76F48" w:rsidRDefault="00A639CE" w:rsidP="00A639CE">
      <w:pPr>
        <w:spacing w:after="0"/>
        <w:jc w:val="both"/>
        <w:rPr>
          <w:rFonts w:ascii="Verdana" w:hAnsi="Verdana"/>
        </w:rPr>
      </w:pPr>
    </w:p>
    <w:p w14:paraId="5A5172ED" w14:textId="77777777" w:rsidR="00A639CE" w:rsidRPr="00C76F48" w:rsidRDefault="00A639CE" w:rsidP="00A639CE">
      <w:pPr>
        <w:numPr>
          <w:ilvl w:val="0"/>
          <w:numId w:val="15"/>
        </w:numPr>
        <w:spacing w:after="0" w:line="240" w:lineRule="auto"/>
        <w:contextualSpacing/>
        <w:jc w:val="both"/>
        <w:rPr>
          <w:rFonts w:ascii="Verdana" w:eastAsia="Verdana" w:hAnsi="Verdana" w:cs="Verdana"/>
          <w:color w:val="4472C4" w:themeColor="accent1"/>
          <w:u w:val="single"/>
          <w:lang w:val="es-MX"/>
        </w:rPr>
      </w:pPr>
      <w:r w:rsidRPr="00C76F48">
        <w:rPr>
          <w:rFonts w:ascii="Verdana" w:eastAsia="Verdana" w:hAnsi="Verdana" w:cs="Verdana"/>
          <w:lang w:val="es-MX"/>
        </w:rPr>
        <w:t xml:space="preserve">Línea nacional gratuita o servicio a la ciudadanía (Mesa de servicio): </w:t>
      </w:r>
      <w:r w:rsidRPr="00C76F48">
        <w:rPr>
          <w:rFonts w:ascii="Verdana" w:hAnsi="Verdana"/>
          <w:color w:val="0000FF"/>
          <w:u w:val="single"/>
          <w:lang w:val="es-ES"/>
        </w:rPr>
        <w:t>01800 0520808</w:t>
      </w:r>
    </w:p>
    <w:p w14:paraId="01B2D43B" w14:textId="77777777" w:rsidR="00A639CE" w:rsidRPr="00C76F48" w:rsidRDefault="00A639CE" w:rsidP="00A639CE">
      <w:pPr>
        <w:numPr>
          <w:ilvl w:val="0"/>
          <w:numId w:val="15"/>
        </w:numPr>
        <w:spacing w:after="0"/>
        <w:contextualSpacing/>
        <w:rPr>
          <w:rFonts w:ascii="Verdana" w:eastAsia="Verdana" w:hAnsi="Verdana" w:cs="Verdana"/>
          <w:color w:val="4472C4" w:themeColor="accent1"/>
          <w:u w:val="single"/>
          <w:lang w:val="es-MX"/>
        </w:rPr>
      </w:pPr>
      <w:r w:rsidRPr="00C76F48">
        <w:rPr>
          <w:rFonts w:ascii="Verdana" w:eastAsia="Verdana" w:hAnsi="Verdana" w:cs="Verdana"/>
          <w:lang w:val="es-MX"/>
        </w:rPr>
        <w:t>Línea en Bogotá (Mesa de servicio</w:t>
      </w:r>
      <w:proofErr w:type="gramStart"/>
      <w:r w:rsidRPr="00C76F48">
        <w:rPr>
          <w:rFonts w:ascii="Verdana" w:eastAsia="Verdana" w:hAnsi="Verdana" w:cs="Verdana"/>
          <w:lang w:val="es-MX"/>
        </w:rPr>
        <w:t>):</w:t>
      </w:r>
      <w:r w:rsidRPr="00C76F48">
        <w:rPr>
          <w:rFonts w:ascii="Verdana" w:hAnsi="Verdana"/>
          <w:color w:val="0000FF"/>
          <w:u w:val="single"/>
          <w:lang w:val="es-ES"/>
        </w:rPr>
        <w:t>+</w:t>
      </w:r>
      <w:proofErr w:type="gramEnd"/>
      <w:r w:rsidRPr="00C76F48">
        <w:rPr>
          <w:rFonts w:ascii="Verdana" w:hAnsi="Verdana"/>
          <w:color w:val="0000FF"/>
          <w:u w:val="single"/>
          <w:lang w:val="es-ES"/>
        </w:rPr>
        <w:t>57 601 7456788</w:t>
      </w:r>
    </w:p>
    <w:p w14:paraId="44847EA6" w14:textId="77777777" w:rsidR="00A639CE" w:rsidRPr="00C76F48" w:rsidRDefault="00A639CE" w:rsidP="00A639CE">
      <w:pPr>
        <w:numPr>
          <w:ilvl w:val="0"/>
          <w:numId w:val="15"/>
        </w:numPr>
        <w:spacing w:after="0"/>
        <w:contextualSpacing/>
        <w:rPr>
          <w:rFonts w:ascii="Verdana" w:eastAsia="Verdana" w:hAnsi="Verdana" w:cs="Verdana"/>
          <w:color w:val="0000FF"/>
          <w:u w:val="single"/>
          <w:lang w:val="es-MX"/>
        </w:rPr>
      </w:pPr>
      <w:r w:rsidRPr="00C76F48">
        <w:rPr>
          <w:rFonts w:ascii="Verdana" w:eastAsia="Verdana" w:hAnsi="Verdana" w:cs="Verdana"/>
          <w:lang w:val="es-MX"/>
        </w:rPr>
        <w:t xml:space="preserve">Correo de radicación de correspondencia: </w:t>
      </w:r>
      <w:hyperlink r:id="rId17" w:history="1">
        <w:r w:rsidRPr="00C76F48">
          <w:rPr>
            <w:rFonts w:ascii="Verdana" w:eastAsia="Verdana" w:hAnsi="Verdana" w:cs="Verdana"/>
            <w:color w:val="0000FF"/>
            <w:u w:val="single"/>
            <w:lang w:val="es-MX"/>
          </w:rPr>
          <w:t>ventanilladeradicacion@colombiacompra.gov.co</w:t>
        </w:r>
      </w:hyperlink>
    </w:p>
    <w:p w14:paraId="29FB8E62" w14:textId="77777777" w:rsidR="00A639CE" w:rsidRPr="00C76F48" w:rsidRDefault="00A639CE" w:rsidP="00A639CE">
      <w:pPr>
        <w:numPr>
          <w:ilvl w:val="0"/>
          <w:numId w:val="15"/>
        </w:numPr>
        <w:spacing w:after="0"/>
        <w:contextualSpacing/>
        <w:rPr>
          <w:rFonts w:ascii="Verdana" w:eastAsia="Verdana" w:hAnsi="Verdana" w:cs="Verdana"/>
          <w:color w:val="0000FF"/>
          <w:u w:val="single"/>
          <w:lang w:val="es-MX"/>
        </w:rPr>
      </w:pPr>
      <w:r w:rsidRPr="00C76F48">
        <w:rPr>
          <w:rFonts w:ascii="Verdana" w:eastAsia="Verdana" w:hAnsi="Verdana" w:cs="Verdana"/>
          <w:lang w:val="es-ES"/>
        </w:rPr>
        <w:t xml:space="preserve">Formulario web para PQRSD: </w:t>
      </w:r>
      <w:hyperlink r:id="rId18" w:history="1">
        <w:r w:rsidRPr="00C76F48">
          <w:rPr>
            <w:rFonts w:ascii="Verdana" w:eastAsia="Verdana" w:hAnsi="Verdana" w:cs="Verdana"/>
            <w:color w:val="0000FF"/>
            <w:u w:val="single"/>
            <w:lang w:val="es-MX"/>
          </w:rPr>
          <w:t>https://www.colombiacompra.gov.co/pqrsd/informacion-importante-antes-de-formular-una-pqrsd</w:t>
        </w:r>
      </w:hyperlink>
    </w:p>
    <w:p w14:paraId="32921B8C" w14:textId="77777777" w:rsidR="00A639CE" w:rsidRPr="00C76F48" w:rsidRDefault="00A639CE" w:rsidP="00A639CE">
      <w:pPr>
        <w:spacing w:after="0" w:line="240" w:lineRule="auto"/>
        <w:ind w:left="720"/>
        <w:jc w:val="both"/>
        <w:rPr>
          <w:rFonts w:ascii="Verdana" w:hAnsi="Verdana"/>
        </w:rPr>
      </w:pPr>
    </w:p>
    <w:p w14:paraId="2A378A73" w14:textId="77777777" w:rsidR="00A639CE" w:rsidRPr="00455282" w:rsidRDefault="00A639CE" w:rsidP="00A639CE">
      <w:pPr>
        <w:spacing w:after="0" w:line="240" w:lineRule="auto"/>
        <w:jc w:val="both"/>
        <w:rPr>
          <w:rFonts w:ascii="Verdana" w:hAnsi="Verdana"/>
          <w:sz w:val="20"/>
          <w:szCs w:val="20"/>
        </w:rPr>
      </w:pPr>
      <w:r w:rsidRPr="00455282">
        <w:rPr>
          <w:rFonts w:ascii="Verdana" w:hAnsi="Verdana"/>
          <w:sz w:val="20"/>
          <w:szCs w:val="20"/>
        </w:rPr>
        <w:t xml:space="preserve">Por último, lo invitamos a seguirnos en las redes sociales en las cuales se difunde información institucional: </w:t>
      </w:r>
    </w:p>
    <w:p w14:paraId="2FC72749" w14:textId="77777777" w:rsidR="00A639CE" w:rsidRPr="00455282" w:rsidRDefault="00A639CE" w:rsidP="00A639CE">
      <w:pPr>
        <w:spacing w:after="0" w:line="240" w:lineRule="auto"/>
        <w:jc w:val="both"/>
        <w:rPr>
          <w:rFonts w:ascii="Verdana" w:hAnsi="Verdana"/>
          <w:sz w:val="20"/>
          <w:szCs w:val="20"/>
        </w:rPr>
      </w:pPr>
    </w:p>
    <w:p w14:paraId="063AD644" w14:textId="77777777" w:rsidR="00A639CE" w:rsidRPr="00455282" w:rsidRDefault="00A639CE" w:rsidP="00A639CE">
      <w:pPr>
        <w:spacing w:after="0" w:line="240" w:lineRule="auto"/>
        <w:jc w:val="both"/>
        <w:rPr>
          <w:rFonts w:ascii="Verdana" w:hAnsi="Verdana"/>
          <w:sz w:val="20"/>
          <w:szCs w:val="20"/>
        </w:rPr>
      </w:pPr>
      <w:r w:rsidRPr="00455282">
        <w:rPr>
          <w:rFonts w:ascii="Verdana" w:hAnsi="Verdana"/>
          <w:sz w:val="20"/>
          <w:szCs w:val="20"/>
        </w:rPr>
        <w:t xml:space="preserve">Twitter: </w:t>
      </w:r>
      <w:r w:rsidRPr="00455282">
        <w:rPr>
          <w:rFonts w:ascii="Verdana" w:hAnsi="Verdana"/>
          <w:color w:val="0000FF"/>
          <w:sz w:val="20"/>
          <w:szCs w:val="20"/>
          <w:u w:val="single"/>
        </w:rPr>
        <w:t>@colombiacompra</w:t>
      </w:r>
      <w:r w:rsidRPr="00455282">
        <w:rPr>
          <w:rFonts w:ascii="Verdana" w:hAnsi="Verdana"/>
          <w:sz w:val="20"/>
          <w:szCs w:val="20"/>
        </w:rPr>
        <w:t xml:space="preserve"> </w:t>
      </w:r>
    </w:p>
    <w:p w14:paraId="1A3AB1C4" w14:textId="77777777" w:rsidR="00A639CE" w:rsidRPr="00455282" w:rsidRDefault="00A639CE" w:rsidP="00A639CE">
      <w:pPr>
        <w:spacing w:after="0" w:line="240" w:lineRule="auto"/>
        <w:jc w:val="both"/>
        <w:rPr>
          <w:rFonts w:ascii="Verdana" w:hAnsi="Verdana"/>
          <w:sz w:val="20"/>
          <w:szCs w:val="20"/>
        </w:rPr>
      </w:pPr>
      <w:r w:rsidRPr="00455282">
        <w:rPr>
          <w:rFonts w:ascii="Verdana" w:hAnsi="Verdana"/>
          <w:sz w:val="20"/>
          <w:szCs w:val="20"/>
        </w:rPr>
        <w:t xml:space="preserve">Facebook: </w:t>
      </w:r>
      <w:proofErr w:type="spellStart"/>
      <w:r w:rsidRPr="00455282">
        <w:rPr>
          <w:rFonts w:ascii="Verdana" w:hAnsi="Verdana"/>
          <w:color w:val="0000FF"/>
          <w:sz w:val="20"/>
          <w:szCs w:val="20"/>
          <w:u w:val="single"/>
        </w:rPr>
        <w:t>ColombiaCompraEficiente</w:t>
      </w:r>
      <w:proofErr w:type="spellEnd"/>
    </w:p>
    <w:p w14:paraId="58C2757B" w14:textId="77777777" w:rsidR="00A639CE" w:rsidRPr="00455282" w:rsidRDefault="00A639CE" w:rsidP="00A639CE">
      <w:pPr>
        <w:spacing w:after="0" w:line="240" w:lineRule="auto"/>
        <w:jc w:val="both"/>
        <w:rPr>
          <w:rFonts w:ascii="Verdana" w:hAnsi="Verdana"/>
          <w:sz w:val="20"/>
          <w:szCs w:val="20"/>
        </w:rPr>
      </w:pPr>
      <w:r w:rsidRPr="00455282">
        <w:rPr>
          <w:rFonts w:ascii="Verdana" w:hAnsi="Verdana"/>
          <w:sz w:val="20"/>
          <w:szCs w:val="20"/>
        </w:rPr>
        <w:t xml:space="preserve">LinkedIn: </w:t>
      </w:r>
      <w:r w:rsidRPr="00455282">
        <w:rPr>
          <w:rFonts w:ascii="Verdana" w:hAnsi="Verdana"/>
          <w:color w:val="0000FF"/>
          <w:sz w:val="20"/>
          <w:szCs w:val="20"/>
          <w:u w:val="single"/>
        </w:rPr>
        <w:t>Agencia Nacional de Contratación Pública - Colombia Compra Eficiente</w:t>
      </w:r>
      <w:r w:rsidRPr="00455282">
        <w:rPr>
          <w:rFonts w:ascii="Verdana" w:hAnsi="Verdana"/>
          <w:sz w:val="20"/>
          <w:szCs w:val="20"/>
        </w:rPr>
        <w:t xml:space="preserve"> Instagram: </w:t>
      </w:r>
      <w:r w:rsidRPr="00455282">
        <w:rPr>
          <w:rFonts w:ascii="Verdana" w:hAnsi="Verdana"/>
          <w:color w:val="0000FF"/>
          <w:sz w:val="20"/>
          <w:szCs w:val="20"/>
          <w:u w:val="single"/>
        </w:rPr>
        <w:t>@colombiacompraeficiente_cce</w:t>
      </w:r>
    </w:p>
    <w:p w14:paraId="3721E240" w14:textId="77777777" w:rsidR="00A639CE" w:rsidRPr="00455282" w:rsidRDefault="00A639CE" w:rsidP="00A639CE">
      <w:pPr>
        <w:spacing w:after="0" w:line="240" w:lineRule="auto"/>
        <w:jc w:val="both"/>
        <w:rPr>
          <w:rFonts w:ascii="Verdana" w:hAnsi="Verdana"/>
          <w:sz w:val="20"/>
          <w:szCs w:val="20"/>
        </w:rPr>
      </w:pPr>
    </w:p>
    <w:p w14:paraId="29F180AD" w14:textId="77777777" w:rsidR="00A639CE" w:rsidRPr="00455282" w:rsidRDefault="00A639CE" w:rsidP="00A639CE">
      <w:pPr>
        <w:widowControl w:val="0"/>
        <w:autoSpaceDE w:val="0"/>
        <w:autoSpaceDN w:val="0"/>
        <w:spacing w:after="0" w:line="276" w:lineRule="auto"/>
        <w:jc w:val="both"/>
        <w:rPr>
          <w:rFonts w:ascii="Verdana" w:hAnsi="Verdana" w:cs="Arial"/>
          <w:sz w:val="20"/>
          <w:szCs w:val="20"/>
        </w:rPr>
      </w:pPr>
      <w:r w:rsidRPr="00455282">
        <w:rPr>
          <w:rFonts w:ascii="Verdana" w:hAnsi="Verdana" w:cs="Arial"/>
          <w:sz w:val="20"/>
          <w:szCs w:val="20"/>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30E23501" w14:textId="77777777" w:rsidR="00A639CE" w:rsidRPr="00C76F48" w:rsidRDefault="00A639CE" w:rsidP="00A639CE">
      <w:pPr>
        <w:widowControl w:val="0"/>
        <w:autoSpaceDE w:val="0"/>
        <w:autoSpaceDN w:val="0"/>
        <w:spacing w:after="0" w:line="276" w:lineRule="auto"/>
        <w:jc w:val="both"/>
        <w:rPr>
          <w:rFonts w:ascii="Verdana" w:hAnsi="Verdana" w:cs="Arial"/>
        </w:rPr>
      </w:pPr>
    </w:p>
    <w:p w14:paraId="71183E21" w14:textId="77777777" w:rsidR="00A639CE" w:rsidRPr="00304838" w:rsidRDefault="00A639CE" w:rsidP="00A639CE">
      <w:pPr>
        <w:spacing w:after="0" w:line="276" w:lineRule="auto"/>
        <w:rPr>
          <w:rFonts w:ascii="Verdana" w:hAnsi="Verdana" w:cs="Arial"/>
          <w:lang w:eastAsia="es-CO"/>
        </w:rPr>
      </w:pPr>
      <w:r w:rsidRPr="00C76F48">
        <w:rPr>
          <w:rFonts w:ascii="Verdana" w:eastAsia="Times New Roman" w:hAnsi="Verdana" w:cs="Arial"/>
          <w:lang w:eastAsia="es-CO"/>
        </w:rPr>
        <w:t>Atentamente,</w:t>
      </w:r>
      <w:r w:rsidRPr="00C76F48">
        <w:rPr>
          <w:rFonts w:ascii="Verdana" w:hAnsi="Verdana" w:cs="Arial"/>
          <w:lang w:eastAsia="es-CO"/>
        </w:rPr>
        <w:t xml:space="preserve"> </w:t>
      </w:r>
    </w:p>
    <w:p w14:paraId="4A145EDD" w14:textId="63BF040A" w:rsidR="00A639CE" w:rsidRPr="00F21F0B" w:rsidRDefault="00455282" w:rsidP="00A639CE">
      <w:pPr>
        <w:spacing w:line="276" w:lineRule="auto"/>
        <w:jc w:val="center"/>
        <w:rPr>
          <w:rFonts w:ascii="Verdana" w:eastAsia="Calibri" w:hAnsi="Verdana" w:cs="Arial"/>
          <w:color w:val="000000"/>
          <w:lang w:val="es-ES_tradnl" w:eastAsia="es-CO"/>
        </w:rPr>
      </w:pPr>
      <w:r w:rsidRPr="002C3AD6">
        <w:rPr>
          <w:rFonts w:ascii="Century Gothic" w:hAnsi="Century Gothic"/>
          <w:noProof/>
        </w:rPr>
        <w:drawing>
          <wp:inline distT="0" distB="0" distL="0" distR="0" wp14:anchorId="320AEC6B" wp14:editId="681C9737">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9"/>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639CE" w:rsidRPr="00E76CD6" w14:paraId="50F61B2F" w14:textId="77777777" w:rsidTr="00A05D8D">
        <w:trPr>
          <w:trHeight w:val="315"/>
        </w:trPr>
        <w:tc>
          <w:tcPr>
            <w:tcW w:w="893" w:type="dxa"/>
            <w:vAlign w:val="center"/>
            <w:hideMark/>
          </w:tcPr>
          <w:p w14:paraId="0A882D43" w14:textId="77777777" w:rsidR="00A639CE" w:rsidRPr="00E76CD6" w:rsidRDefault="00A639CE" w:rsidP="00A05D8D">
            <w:pPr>
              <w:contextualSpacing/>
              <w:rPr>
                <w:rFonts w:ascii="Verdana" w:hAnsi="Verdana" w:cs="Arial"/>
                <w:sz w:val="16"/>
                <w:szCs w:val="16"/>
                <w:lang w:eastAsia="es-ES"/>
              </w:rPr>
            </w:pPr>
            <w:r w:rsidRPr="00E76CD6">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253D292D" w14:textId="77777777" w:rsidR="00A639CE" w:rsidRPr="00E76CD6" w:rsidRDefault="00A639CE" w:rsidP="00A05D8D">
            <w:pPr>
              <w:contextualSpacing/>
              <w:rPr>
                <w:rFonts w:ascii="Verdana" w:hAnsi="Verdana"/>
                <w:sz w:val="16"/>
                <w:szCs w:val="16"/>
              </w:rPr>
            </w:pPr>
            <w:r>
              <w:rPr>
                <w:rFonts w:ascii="Verdana" w:hAnsi="Verdana"/>
                <w:sz w:val="16"/>
                <w:szCs w:val="16"/>
              </w:rPr>
              <w:t>Richard Andrés Montenegro Siefken</w:t>
            </w:r>
          </w:p>
          <w:p w14:paraId="366161EA" w14:textId="77777777" w:rsidR="00A639CE" w:rsidRPr="00E76CD6" w:rsidRDefault="00A639CE" w:rsidP="00A05D8D">
            <w:pPr>
              <w:contextualSpacing/>
              <w:rPr>
                <w:rFonts w:ascii="Verdana" w:eastAsia="Arial" w:hAnsi="Verdana" w:cs="Arial"/>
                <w:sz w:val="16"/>
                <w:szCs w:val="16"/>
              </w:rPr>
            </w:pPr>
            <w:r>
              <w:rPr>
                <w:rFonts w:ascii="Verdana" w:hAnsi="Verdana"/>
                <w:sz w:val="16"/>
                <w:szCs w:val="16"/>
              </w:rPr>
              <w:t>Contratista</w:t>
            </w:r>
            <w:r w:rsidRPr="00E76CD6">
              <w:rPr>
                <w:rFonts w:ascii="Verdana" w:hAnsi="Verdana"/>
                <w:sz w:val="16"/>
                <w:szCs w:val="16"/>
              </w:rPr>
              <w:t xml:space="preserve"> de la Subdirección de Gestión Contractual</w:t>
            </w:r>
          </w:p>
        </w:tc>
      </w:tr>
      <w:tr w:rsidR="00A639CE" w:rsidRPr="00E76CD6" w14:paraId="22C4F880" w14:textId="77777777" w:rsidTr="00A05D8D">
        <w:trPr>
          <w:trHeight w:val="330"/>
        </w:trPr>
        <w:tc>
          <w:tcPr>
            <w:tcW w:w="893" w:type="dxa"/>
            <w:vAlign w:val="center"/>
            <w:hideMark/>
          </w:tcPr>
          <w:p w14:paraId="0C7DB75D" w14:textId="77777777" w:rsidR="00A639CE" w:rsidRPr="00E76CD6" w:rsidRDefault="00A639CE" w:rsidP="00A05D8D">
            <w:pPr>
              <w:contextualSpacing/>
              <w:rPr>
                <w:rFonts w:ascii="Verdana" w:hAnsi="Verdana" w:cs="Arial"/>
                <w:sz w:val="16"/>
                <w:szCs w:val="16"/>
                <w:lang w:eastAsia="es-ES"/>
              </w:rPr>
            </w:pPr>
            <w:r w:rsidRPr="00E76CD6">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DF023BB" w14:textId="77777777" w:rsidR="00A639CE" w:rsidRPr="00E76CD6" w:rsidRDefault="00A639CE" w:rsidP="00A05D8D">
            <w:pPr>
              <w:contextualSpacing/>
              <w:rPr>
                <w:rFonts w:ascii="Verdana" w:hAnsi="Verdana"/>
                <w:sz w:val="16"/>
                <w:szCs w:val="16"/>
              </w:rPr>
            </w:pPr>
            <w:r>
              <w:rPr>
                <w:rFonts w:ascii="Verdana" w:hAnsi="Verdana"/>
                <w:sz w:val="16"/>
                <w:szCs w:val="16"/>
              </w:rPr>
              <w:t>Adriana Katherine López Rodríguez</w:t>
            </w:r>
          </w:p>
          <w:p w14:paraId="10979893" w14:textId="77777777" w:rsidR="00A639CE" w:rsidRPr="00E76CD6" w:rsidRDefault="00A639CE" w:rsidP="00A05D8D">
            <w:pPr>
              <w:pStyle w:val="paragraph"/>
              <w:spacing w:before="0" w:beforeAutospacing="0" w:after="0" w:afterAutospacing="0"/>
              <w:contextualSpacing/>
              <w:textAlignment w:val="baseline"/>
              <w:rPr>
                <w:rFonts w:ascii="Verdana" w:hAnsi="Verdana" w:cs="Segoe UI"/>
                <w:sz w:val="16"/>
                <w:szCs w:val="16"/>
              </w:rPr>
            </w:pPr>
            <w:r w:rsidRPr="00E76CD6">
              <w:rPr>
                <w:rStyle w:val="normaltextrun"/>
                <w:rFonts w:ascii="Verdana" w:hAnsi="Verdana" w:cs="Arial"/>
                <w:sz w:val="16"/>
                <w:szCs w:val="16"/>
              </w:rPr>
              <w:t>Contratista de la Subdirección de Gestión Contractual</w:t>
            </w:r>
            <w:r w:rsidRPr="00E76CD6">
              <w:rPr>
                <w:rStyle w:val="eop"/>
                <w:rFonts w:ascii="Verdana" w:eastAsiaTheme="majorEastAsia" w:hAnsi="Verdana" w:cs="Arial"/>
                <w:sz w:val="16"/>
                <w:szCs w:val="16"/>
              </w:rPr>
              <w:t> </w:t>
            </w:r>
          </w:p>
        </w:tc>
      </w:tr>
      <w:tr w:rsidR="00A639CE" w:rsidRPr="00E76CD6" w14:paraId="16963824" w14:textId="77777777" w:rsidTr="00A05D8D">
        <w:trPr>
          <w:trHeight w:val="300"/>
        </w:trPr>
        <w:tc>
          <w:tcPr>
            <w:tcW w:w="893" w:type="dxa"/>
            <w:vAlign w:val="center"/>
          </w:tcPr>
          <w:p w14:paraId="797E09B5" w14:textId="77777777" w:rsidR="00A639CE" w:rsidRPr="00E76CD6" w:rsidRDefault="00A639CE" w:rsidP="00A05D8D">
            <w:pPr>
              <w:contextualSpacing/>
              <w:rPr>
                <w:rFonts w:ascii="Verdana" w:hAnsi="Verdana" w:cs="Arial"/>
                <w:sz w:val="16"/>
                <w:szCs w:val="16"/>
                <w:lang w:eastAsia="es-ES"/>
              </w:rPr>
            </w:pPr>
            <w:r w:rsidRPr="00E76CD6">
              <w:rPr>
                <w:rFonts w:ascii="Verdana" w:hAnsi="Verdana" w:cs="Arial"/>
                <w:sz w:val="16"/>
                <w:szCs w:val="16"/>
                <w:lang w:eastAsia="es-ES"/>
              </w:rPr>
              <w:lastRenderedPageBreak/>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3476255" w14:textId="77777777" w:rsidR="00A639CE" w:rsidRPr="00E76CD6" w:rsidRDefault="00A639CE" w:rsidP="00A05D8D">
            <w:r w:rsidRPr="00E76CD6">
              <w:rPr>
                <w:rFonts w:ascii="Verdana" w:eastAsia="Calibri" w:hAnsi="Verdana" w:cs="Arial"/>
                <w:sz w:val="16"/>
                <w:szCs w:val="16"/>
                <w:lang w:eastAsia="es-ES"/>
              </w:rPr>
              <w:t>Carolina Quintero Gacharná</w:t>
            </w:r>
          </w:p>
          <w:p w14:paraId="14944135" w14:textId="77777777" w:rsidR="00A639CE" w:rsidRPr="00E76CD6" w:rsidRDefault="00A639CE" w:rsidP="00A05D8D">
            <w:pPr>
              <w:contextualSpacing/>
              <w:rPr>
                <w:rFonts w:ascii="Verdana" w:eastAsia="Calibri" w:hAnsi="Verdana" w:cs="Arial"/>
                <w:sz w:val="16"/>
                <w:szCs w:val="16"/>
                <w:lang w:eastAsia="es-ES"/>
              </w:rPr>
            </w:pPr>
            <w:r w:rsidRPr="00E76CD6">
              <w:rPr>
                <w:rFonts w:ascii="Verdana" w:eastAsia="Calibri" w:hAnsi="Verdana" w:cs="Arial"/>
                <w:sz w:val="16"/>
                <w:szCs w:val="16"/>
                <w:lang w:eastAsia="es-ES"/>
              </w:rPr>
              <w:t xml:space="preserve">Subdirectora de Gestión Contractual ANCP – CCE </w:t>
            </w:r>
          </w:p>
        </w:tc>
      </w:tr>
    </w:tbl>
    <w:p w14:paraId="1BF48529" w14:textId="77777777" w:rsidR="00A639CE" w:rsidRPr="00F21F0B" w:rsidRDefault="00A639CE" w:rsidP="00A639CE"/>
    <w:p w14:paraId="0EA545B2" w14:textId="77777777" w:rsidR="00A639CE" w:rsidRPr="000E2B93" w:rsidRDefault="00A639CE" w:rsidP="00A639CE">
      <w:pPr>
        <w:spacing w:after="0" w:line="240" w:lineRule="auto"/>
        <w:jc w:val="both"/>
        <w:textAlignment w:val="baseline"/>
        <w:rPr>
          <w:rFonts w:ascii="Verdana" w:eastAsia="Verdana" w:hAnsi="Verdana" w:cs="Verdana"/>
          <w:lang w:eastAsia="es-CO"/>
        </w:rPr>
      </w:pPr>
    </w:p>
    <w:bookmarkEnd w:id="0"/>
    <w:p w14:paraId="756F824C" w14:textId="77777777" w:rsidR="00A639CE" w:rsidRPr="000E2B93" w:rsidRDefault="00A639CE" w:rsidP="00A639CE">
      <w:pPr>
        <w:spacing w:after="0" w:line="240" w:lineRule="auto"/>
        <w:textAlignment w:val="baseline"/>
        <w:rPr>
          <w:rFonts w:ascii="Verdana" w:eastAsia="Verdana" w:hAnsi="Verdana" w:cs="Verdana"/>
          <w:lang w:eastAsia="es-CO"/>
        </w:rPr>
      </w:pPr>
    </w:p>
    <w:p w14:paraId="51E68622" w14:textId="77777777" w:rsidR="00A639CE" w:rsidRDefault="00A639CE" w:rsidP="00A639CE">
      <w:pPr>
        <w:spacing w:after="0" w:line="240" w:lineRule="auto"/>
        <w:rPr>
          <w:rFonts w:ascii="Verdana" w:eastAsia="Times New Roman" w:hAnsi="Verdana" w:cs="Times New Roman"/>
          <w:b/>
          <w:bCs/>
          <w:color w:val="000000"/>
          <w:lang w:val="es-ES_tradnl" w:eastAsia="es-ES_tradnl"/>
        </w:rPr>
      </w:pPr>
    </w:p>
    <w:bookmarkEnd w:id="1"/>
    <w:p w14:paraId="0F293BF4" w14:textId="738A7FBA" w:rsidR="00127233" w:rsidRPr="00B6344F" w:rsidRDefault="00127233" w:rsidP="00B6344F"/>
    <w:sectPr w:rsidR="00127233" w:rsidRPr="00B6344F"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721A4A" w14:textId="77777777" w:rsidR="00F970A8" w:rsidRDefault="00F970A8" w:rsidP="004A1847">
      <w:pPr>
        <w:spacing w:after="0" w:line="240" w:lineRule="auto"/>
      </w:pPr>
      <w:r>
        <w:separator/>
      </w:r>
    </w:p>
  </w:endnote>
  <w:endnote w:type="continuationSeparator" w:id="0">
    <w:p w14:paraId="4D3AB0C7" w14:textId="77777777" w:rsidR="00F970A8" w:rsidRDefault="00F970A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B6344F"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PT" w:eastAsia="es-CO"/>
      </w:rPr>
    </w:pPr>
    <w:r w:rsidRPr="00B6344F">
      <w:rPr>
        <w:rFonts w:ascii="Verdana" w:eastAsia="Verdana" w:hAnsi="Verdana" w:cs="Verdana"/>
        <w:b/>
        <w:bCs/>
        <w:color w:val="000000" w:themeColor="text1"/>
        <w:sz w:val="18"/>
        <w:szCs w:val="18"/>
        <w:lang w:val="pt-PT" w:eastAsia="es-CO"/>
      </w:rPr>
      <w:t xml:space="preserve">Código: </w:t>
    </w:r>
    <w:r w:rsidRPr="00B6344F">
      <w:rPr>
        <w:rFonts w:ascii="Verdana" w:eastAsia="Verdana" w:hAnsi="Verdana" w:cs="Verdana"/>
        <w:color w:val="000000" w:themeColor="text1"/>
        <w:sz w:val="18"/>
        <w:szCs w:val="18"/>
        <w:lang w:val="pt-PT" w:eastAsia="es-CO"/>
      </w:rPr>
      <w:t xml:space="preserve">CCE-REC-FM-17 </w:t>
    </w:r>
    <w:r w:rsidRPr="00B6344F">
      <w:rPr>
        <w:rFonts w:ascii="Verdana" w:eastAsia="Verdana" w:hAnsi="Verdana" w:cs="Verdana"/>
        <w:b/>
        <w:bCs/>
        <w:color w:val="000000" w:themeColor="text1"/>
        <w:sz w:val="18"/>
        <w:szCs w:val="18"/>
        <w:lang w:val="pt-PT" w:eastAsia="es-CO"/>
      </w:rPr>
      <w:t xml:space="preserve">V: </w:t>
    </w:r>
    <w:r w:rsidRPr="00B6344F">
      <w:rPr>
        <w:rFonts w:ascii="Verdana" w:eastAsia="Verdana" w:hAnsi="Verdana" w:cs="Verdana"/>
        <w:sz w:val="18"/>
        <w:szCs w:val="18"/>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92D927" w14:textId="77777777" w:rsidR="00F970A8" w:rsidRDefault="00F970A8" w:rsidP="004A1847">
      <w:pPr>
        <w:spacing w:after="0" w:line="240" w:lineRule="auto"/>
      </w:pPr>
      <w:r>
        <w:separator/>
      </w:r>
    </w:p>
  </w:footnote>
  <w:footnote w:type="continuationSeparator" w:id="0">
    <w:p w14:paraId="27195F33" w14:textId="77777777" w:rsidR="00F970A8" w:rsidRDefault="00F970A8" w:rsidP="004A1847">
      <w:pPr>
        <w:spacing w:after="0" w:line="240" w:lineRule="auto"/>
      </w:pPr>
      <w:r>
        <w:continuationSeparator/>
      </w:r>
    </w:p>
  </w:footnote>
  <w:footnote w:id="1">
    <w:p w14:paraId="3DDC4D1C" w14:textId="77777777" w:rsidR="00A639CE" w:rsidRPr="00A82D0F" w:rsidRDefault="00A639CE" w:rsidP="00A639CE">
      <w:pPr>
        <w:pStyle w:val="Textonotapie"/>
        <w:ind w:firstLine="709"/>
        <w:jc w:val="both"/>
        <w:rPr>
          <w:rFonts w:ascii="Verdana" w:hAnsi="Verdana"/>
          <w:sz w:val="16"/>
          <w:szCs w:val="16"/>
          <w:lang w:val="es-CO"/>
        </w:rPr>
      </w:pPr>
      <w:r w:rsidRPr="00A82D0F">
        <w:rPr>
          <w:rStyle w:val="Refdenotaalpie"/>
          <w:rFonts w:ascii="Verdana" w:hAnsi="Verdana"/>
          <w:sz w:val="16"/>
          <w:szCs w:val="16"/>
        </w:rPr>
        <w:footnoteRef/>
      </w:r>
      <w:r w:rsidRPr="00A82D0F">
        <w:rPr>
          <w:rFonts w:ascii="Verdana" w:hAnsi="Verdana"/>
          <w:sz w:val="16"/>
          <w:szCs w:val="16"/>
        </w:rPr>
        <w:t xml:space="preserve"> </w:t>
      </w:r>
      <w:r w:rsidRPr="00A82D0F">
        <w:rPr>
          <w:rFonts w:ascii="Verdana" w:hAnsi="Verdana"/>
          <w:sz w:val="16"/>
          <w:szCs w:val="16"/>
          <w:lang w:val="es-ES"/>
        </w:rPr>
        <w:t>“</w:t>
      </w:r>
      <w:r w:rsidRPr="00A82D0F">
        <w:rPr>
          <w:rFonts w:ascii="Verdana" w:hAnsi="Verdana"/>
          <w:sz w:val="16"/>
          <w:szCs w:val="16"/>
          <w:lang w:val="es-CO"/>
        </w:rPr>
        <w:t>Para poder participar en los procesos de selección de los contratos de obra, la capacidad residual del proponente o K de contratación deberá ser igual o superior al que la entidad haya establecido para el efecto en los pliegos de condiciones.</w:t>
      </w:r>
    </w:p>
    <w:p w14:paraId="47870F80" w14:textId="77777777" w:rsidR="00A639CE" w:rsidRPr="00A82D0F" w:rsidRDefault="00A639CE" w:rsidP="00A639CE">
      <w:pPr>
        <w:pStyle w:val="Textonotapie"/>
        <w:ind w:firstLine="709"/>
        <w:jc w:val="both"/>
        <w:rPr>
          <w:rFonts w:ascii="Verdana" w:hAnsi="Verdana"/>
          <w:sz w:val="16"/>
          <w:szCs w:val="16"/>
          <w:lang w:val="es-CO"/>
        </w:rPr>
      </w:pPr>
      <w:r w:rsidRPr="00A82D0F">
        <w:rPr>
          <w:rFonts w:ascii="Verdana" w:hAnsi="Verdana"/>
          <w:sz w:val="16"/>
          <w:szCs w:val="16"/>
          <w:lang w:val="es-CO"/>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footnote>
  <w:footnote w:id="2">
    <w:p w14:paraId="236A83A8" w14:textId="77777777" w:rsidR="00A639CE" w:rsidRPr="00A82D0F" w:rsidRDefault="00A639CE" w:rsidP="00A639CE">
      <w:pPr>
        <w:spacing w:after="0" w:line="240" w:lineRule="auto"/>
        <w:ind w:firstLine="709"/>
        <w:jc w:val="both"/>
        <w:rPr>
          <w:rFonts w:ascii="Verdana" w:hAnsi="Verdana"/>
          <w:sz w:val="16"/>
          <w:szCs w:val="16"/>
        </w:rPr>
      </w:pPr>
    </w:p>
    <w:p w14:paraId="48499BEC" w14:textId="77777777" w:rsidR="00A639CE" w:rsidRPr="00A82D0F" w:rsidRDefault="00A639CE" w:rsidP="00A639CE">
      <w:pPr>
        <w:spacing w:after="0" w:line="240" w:lineRule="auto"/>
        <w:ind w:firstLine="709"/>
        <w:jc w:val="both"/>
        <w:rPr>
          <w:rFonts w:ascii="Verdana" w:hAnsi="Verdana"/>
          <w:sz w:val="16"/>
          <w:szCs w:val="16"/>
          <w:lang w:val="es-MX"/>
        </w:rPr>
      </w:pPr>
      <w:r w:rsidRPr="00A82D0F">
        <w:rPr>
          <w:rStyle w:val="Refdenotaalpie"/>
          <w:rFonts w:ascii="Verdana" w:hAnsi="Verdana"/>
          <w:sz w:val="16"/>
          <w:szCs w:val="16"/>
        </w:rPr>
        <w:footnoteRef/>
      </w:r>
      <w:r w:rsidRPr="00A82D0F">
        <w:rPr>
          <w:rFonts w:ascii="Verdana" w:hAnsi="Verdana"/>
          <w:sz w:val="16"/>
          <w:szCs w:val="16"/>
        </w:rPr>
        <w:t xml:space="preserve"> </w:t>
      </w:r>
      <w:r w:rsidRPr="00A82D0F">
        <w:rPr>
          <w:rFonts w:ascii="Verdana" w:hAnsi="Verdana"/>
          <w:sz w:val="16"/>
          <w:szCs w:val="16"/>
          <w:lang w:val="es-MX"/>
        </w:rPr>
        <w:t xml:space="preserve">Gaceta 096 de 2007. Pág. 9. Allí se lee: “Parágrafo 2°. Nuevo. Se adiciona un parágrafo nuevo para establecer de manera concreta que las certificaciones de sistemas de gestión de calidad no serán objeto de calificación, ni podrán establecerse como documento habilitante para participar en licitaciones o concursos, con el fin de evitar la exclusión de aquellas personas o empresas principalmente en regiones apartadas que carecen de tal requisito. Dejando sin embargo a la administración la posibilidad de fijar la implementación de planes de calidad” (Cursivas propias). </w:t>
      </w:r>
    </w:p>
  </w:footnote>
  <w:footnote w:id="3">
    <w:p w14:paraId="4AEF890C" w14:textId="77777777" w:rsidR="00A639CE" w:rsidRPr="00A82D0F" w:rsidRDefault="00A639CE" w:rsidP="00A639CE">
      <w:pPr>
        <w:pStyle w:val="Textonotapie"/>
        <w:ind w:firstLine="709"/>
        <w:jc w:val="both"/>
        <w:rPr>
          <w:rFonts w:ascii="Verdana" w:hAnsi="Verdana"/>
          <w:sz w:val="16"/>
          <w:szCs w:val="16"/>
        </w:rPr>
      </w:pPr>
    </w:p>
    <w:p w14:paraId="626962CE" w14:textId="77777777" w:rsidR="00A639CE" w:rsidRPr="00A82D0F" w:rsidRDefault="00A639CE" w:rsidP="00A639CE">
      <w:pPr>
        <w:pStyle w:val="Textonotapie"/>
        <w:ind w:firstLine="709"/>
        <w:jc w:val="both"/>
        <w:rPr>
          <w:rFonts w:ascii="Verdana" w:hAnsi="Verdana"/>
          <w:sz w:val="16"/>
          <w:szCs w:val="16"/>
          <w:lang w:val="es-CO"/>
        </w:rPr>
      </w:pPr>
      <w:r w:rsidRPr="00A82D0F">
        <w:rPr>
          <w:rStyle w:val="Refdenotaalpie"/>
          <w:rFonts w:ascii="Verdana" w:hAnsi="Verdana"/>
          <w:sz w:val="16"/>
          <w:szCs w:val="16"/>
        </w:rPr>
        <w:footnoteRef/>
      </w:r>
      <w:r w:rsidRPr="00A82D0F">
        <w:rPr>
          <w:rFonts w:ascii="Verdana" w:hAnsi="Verdana"/>
          <w:sz w:val="16"/>
          <w:szCs w:val="16"/>
        </w:rPr>
        <w:t xml:space="preserve"> Según este parágrafo</w:t>
      </w:r>
      <w:r w:rsidRPr="00A82D0F">
        <w:rPr>
          <w:rFonts w:ascii="Verdana" w:hAnsi="Verdana" w:cs="Arial"/>
          <w:color w:val="000000" w:themeColor="text1"/>
          <w:sz w:val="16"/>
          <w:szCs w:val="16"/>
          <w:lang w:val="es-ES_tradnl"/>
        </w:rPr>
        <w:t xml:space="preserve"> </w:t>
      </w:r>
      <w:r w:rsidRPr="00A82D0F">
        <w:rPr>
          <w:rFonts w:ascii="Verdana" w:hAnsi="Verdana"/>
          <w:sz w:val="16"/>
          <w:szCs w:val="16"/>
          <w:lang w:val="es-ES_tradnl"/>
        </w:rPr>
        <w:t>las certificaciones de sistemas de gestión de calidad no serán objeto de calificación, ni podrán establecerse como documento habilitante para participar en licitaciones o concursos.</w:t>
      </w:r>
      <w:r w:rsidRPr="00A82D0F">
        <w:rPr>
          <w:rFonts w:ascii="Verdana" w:hAnsi="Verdana"/>
          <w:sz w:val="16"/>
          <w:szCs w:val="16"/>
        </w:rPr>
        <w:t xml:space="preserve"> </w:t>
      </w:r>
    </w:p>
  </w:footnote>
  <w:footnote w:id="4">
    <w:p w14:paraId="000063B0" w14:textId="77777777" w:rsidR="00A639CE" w:rsidRPr="00A82D0F" w:rsidRDefault="00A639CE" w:rsidP="00A639CE">
      <w:pPr>
        <w:pStyle w:val="Textonotapie"/>
        <w:ind w:firstLine="709"/>
        <w:jc w:val="both"/>
        <w:rPr>
          <w:rFonts w:ascii="Verdana" w:hAnsi="Verdana"/>
          <w:sz w:val="16"/>
          <w:szCs w:val="16"/>
        </w:rPr>
      </w:pPr>
    </w:p>
    <w:p w14:paraId="29FD0B2A" w14:textId="77777777" w:rsidR="00A639CE" w:rsidRPr="00A82D0F" w:rsidRDefault="00A639CE" w:rsidP="00A639CE">
      <w:pPr>
        <w:pStyle w:val="Textonotapie"/>
        <w:ind w:firstLine="709"/>
        <w:jc w:val="both"/>
        <w:rPr>
          <w:rFonts w:ascii="Verdana" w:hAnsi="Verdana"/>
          <w:sz w:val="16"/>
          <w:szCs w:val="16"/>
        </w:rPr>
      </w:pPr>
      <w:r w:rsidRPr="00A82D0F">
        <w:rPr>
          <w:rStyle w:val="Refdenotaalpie"/>
          <w:rFonts w:ascii="Verdana" w:hAnsi="Verdana"/>
          <w:sz w:val="16"/>
          <w:szCs w:val="16"/>
        </w:rPr>
        <w:footnoteRef/>
      </w:r>
      <w:r w:rsidRPr="00A82D0F">
        <w:rPr>
          <w:rFonts w:ascii="Verdana" w:hAnsi="Verdana"/>
          <w:sz w:val="16"/>
          <w:szCs w:val="16"/>
        </w:rPr>
        <w:t xml:space="preserve"> Artículo 2.2.1.1.1.5.3. Requisitos habilitantes contenidos en el RUP. “Las cámaras de comercio, con base en la información a la que hace referencia el artículo anterior, deben verificar y certificar los siguientes requisitos habilitantes:</w:t>
      </w:r>
    </w:p>
    <w:p w14:paraId="6BA214E3" w14:textId="77777777" w:rsidR="00A639CE" w:rsidRPr="00A82D0F" w:rsidRDefault="00A639CE" w:rsidP="00A639CE">
      <w:pPr>
        <w:pStyle w:val="Textonotapie"/>
        <w:ind w:firstLine="709"/>
        <w:jc w:val="both"/>
        <w:rPr>
          <w:rFonts w:ascii="Verdana" w:hAnsi="Verdana"/>
          <w:sz w:val="16"/>
          <w:szCs w:val="16"/>
        </w:rPr>
      </w:pPr>
      <w:r w:rsidRPr="00A82D0F">
        <w:rPr>
          <w:rFonts w:ascii="Verdana" w:hAnsi="Verdana"/>
          <w:sz w:val="16"/>
          <w:szCs w:val="16"/>
        </w:rPr>
        <w:t>1. Experiencia – Los contratos celebrados por el interesado para cada uno de los bienes, obras y servicios que ofrecerá a las Entidades Estatales, identificados con el Clasificador de Bienes y Servicios en el tercer nivel y su valor expresado en smmlv.</w:t>
      </w:r>
    </w:p>
    <w:p w14:paraId="44082CCB" w14:textId="77777777" w:rsidR="00A639CE" w:rsidRPr="00A82D0F" w:rsidRDefault="00A639CE" w:rsidP="00A639CE">
      <w:pPr>
        <w:pStyle w:val="Textonotapie"/>
        <w:ind w:firstLine="709"/>
        <w:jc w:val="both"/>
        <w:rPr>
          <w:rFonts w:ascii="Verdana" w:hAnsi="Verdana"/>
          <w:sz w:val="16"/>
          <w:szCs w:val="16"/>
        </w:rPr>
      </w:pPr>
      <w:r w:rsidRPr="00A82D0F">
        <w:rPr>
          <w:rFonts w:ascii="Verdana" w:hAnsi="Verdana"/>
          <w:sz w:val="16"/>
          <w:szCs w:val="16"/>
        </w:rPr>
        <w:t>Los contratos celebrados por consorcios, uniones temporales y sociedades en las cuales el interesado tenga o haya tenido participación, para cada uno de los bienes, obras y servicios que ofrecerá a las Entidades Estatales, identificados con el Clasificador de Bienes y Servicios en el tercer nivel y su valor expresado en smmlv.</w:t>
      </w:r>
    </w:p>
    <w:p w14:paraId="08AB49FB" w14:textId="77777777" w:rsidR="00A639CE" w:rsidRPr="00A82D0F" w:rsidRDefault="00A639CE" w:rsidP="00A639CE">
      <w:pPr>
        <w:pStyle w:val="Textonotapie"/>
        <w:ind w:firstLine="709"/>
        <w:jc w:val="both"/>
        <w:rPr>
          <w:rFonts w:ascii="Verdana" w:hAnsi="Verdana"/>
          <w:sz w:val="16"/>
          <w:szCs w:val="16"/>
        </w:rPr>
      </w:pPr>
      <w:r w:rsidRPr="00A82D0F">
        <w:rPr>
          <w:rFonts w:ascii="Verdana" w:hAnsi="Verdana"/>
          <w:sz w:val="16"/>
          <w:szCs w:val="16"/>
        </w:rPr>
        <w:t>2. Capacidad Jurídica – La capacidad jurídica del proponente para prestar los bienes, obras, o servicios que ofrecerá a las Entidades Estatales y la capacidad del representante legal de las personas jurídicas para celebrar contratos y si requiere, autorizaciones para el efecto con ocasión de los límites a la capacidad del representante legal del interesado en relación con el monto y el tipo de las obligaciones que puede adquirir a nombre del interesado.</w:t>
      </w:r>
    </w:p>
    <w:p w14:paraId="2E41DAAE" w14:textId="77777777" w:rsidR="00A639CE" w:rsidRPr="00A82D0F" w:rsidRDefault="00A639CE" w:rsidP="00A639CE">
      <w:pPr>
        <w:pStyle w:val="Textonotapie"/>
        <w:ind w:firstLine="709"/>
        <w:jc w:val="both"/>
        <w:rPr>
          <w:rFonts w:ascii="Verdana" w:hAnsi="Verdana"/>
          <w:sz w:val="16"/>
          <w:szCs w:val="16"/>
        </w:rPr>
      </w:pPr>
      <w:r w:rsidRPr="00A82D0F">
        <w:rPr>
          <w:rFonts w:ascii="Verdana" w:hAnsi="Verdana"/>
          <w:sz w:val="16"/>
          <w:szCs w:val="16"/>
        </w:rPr>
        <w:t>3. Capacidad Financiera – los siguientes indicadores miden la fortaleza financiera del interesado:</w:t>
      </w:r>
    </w:p>
    <w:p w14:paraId="2F6F1D67" w14:textId="77777777" w:rsidR="00A639CE" w:rsidRPr="00A82D0F" w:rsidRDefault="00A639CE" w:rsidP="00A639CE">
      <w:pPr>
        <w:pStyle w:val="Textonotapie"/>
        <w:ind w:firstLine="709"/>
        <w:jc w:val="both"/>
        <w:rPr>
          <w:rFonts w:ascii="Verdana" w:hAnsi="Verdana"/>
          <w:sz w:val="16"/>
          <w:szCs w:val="16"/>
        </w:rPr>
      </w:pPr>
      <w:r w:rsidRPr="00A82D0F">
        <w:rPr>
          <w:rFonts w:ascii="Verdana" w:hAnsi="Verdana"/>
          <w:sz w:val="16"/>
          <w:szCs w:val="16"/>
        </w:rPr>
        <w:t>3.1. Índice de liquidez: activo corriente dividido por el pasivo corriente.</w:t>
      </w:r>
    </w:p>
    <w:p w14:paraId="54C7CA3D" w14:textId="77777777" w:rsidR="00A639CE" w:rsidRPr="00A82D0F" w:rsidRDefault="00A639CE" w:rsidP="00A639CE">
      <w:pPr>
        <w:pStyle w:val="Textonotapie"/>
        <w:ind w:firstLine="709"/>
        <w:jc w:val="both"/>
        <w:rPr>
          <w:rFonts w:ascii="Verdana" w:hAnsi="Verdana"/>
          <w:sz w:val="16"/>
          <w:szCs w:val="16"/>
        </w:rPr>
      </w:pPr>
      <w:r w:rsidRPr="00A82D0F">
        <w:rPr>
          <w:rFonts w:ascii="Verdana" w:hAnsi="Verdana"/>
          <w:sz w:val="16"/>
          <w:szCs w:val="16"/>
        </w:rPr>
        <w:t>3.2. Índice de endeudamiento: pasivo total dividido por el activo total.</w:t>
      </w:r>
    </w:p>
    <w:p w14:paraId="0FA66D7D" w14:textId="77777777" w:rsidR="00A639CE" w:rsidRPr="00A82D0F" w:rsidRDefault="00A639CE" w:rsidP="00A639CE">
      <w:pPr>
        <w:pStyle w:val="Textonotapie"/>
        <w:ind w:firstLine="709"/>
        <w:jc w:val="both"/>
        <w:rPr>
          <w:rFonts w:ascii="Verdana" w:hAnsi="Verdana"/>
          <w:sz w:val="16"/>
          <w:szCs w:val="16"/>
        </w:rPr>
      </w:pPr>
      <w:r w:rsidRPr="00A82D0F">
        <w:rPr>
          <w:rFonts w:ascii="Verdana" w:hAnsi="Verdana"/>
          <w:sz w:val="16"/>
          <w:szCs w:val="16"/>
        </w:rPr>
        <w:t>3.3. Razón de cobertura de intereses: utilidad operacional dividida por los gastos de intereses.</w:t>
      </w:r>
    </w:p>
    <w:p w14:paraId="7EC31A64" w14:textId="77777777" w:rsidR="00A639CE" w:rsidRPr="00A82D0F" w:rsidRDefault="00A639CE" w:rsidP="00A639CE">
      <w:pPr>
        <w:pStyle w:val="Textonotapie"/>
        <w:ind w:firstLine="709"/>
        <w:jc w:val="both"/>
        <w:rPr>
          <w:rFonts w:ascii="Verdana" w:hAnsi="Verdana"/>
          <w:sz w:val="16"/>
          <w:szCs w:val="16"/>
        </w:rPr>
      </w:pPr>
      <w:r w:rsidRPr="00A82D0F">
        <w:rPr>
          <w:rFonts w:ascii="Verdana" w:hAnsi="Verdana"/>
          <w:sz w:val="16"/>
          <w:szCs w:val="16"/>
        </w:rPr>
        <w:t>4. Capacidad Organizacional – los siguientes indicadores miden el rendimiento de las inversiones y la eficiencia en el uso de activos del interesado:</w:t>
      </w:r>
    </w:p>
    <w:p w14:paraId="1DD86132" w14:textId="77777777" w:rsidR="00A639CE" w:rsidRPr="00A82D0F" w:rsidRDefault="00A639CE" w:rsidP="00A639CE">
      <w:pPr>
        <w:pStyle w:val="Textonotapie"/>
        <w:ind w:firstLine="709"/>
        <w:jc w:val="both"/>
        <w:rPr>
          <w:rFonts w:ascii="Verdana" w:hAnsi="Verdana"/>
          <w:sz w:val="16"/>
          <w:szCs w:val="16"/>
        </w:rPr>
      </w:pPr>
      <w:r w:rsidRPr="00A82D0F">
        <w:rPr>
          <w:rFonts w:ascii="Verdana" w:hAnsi="Verdana"/>
          <w:sz w:val="16"/>
          <w:szCs w:val="16"/>
        </w:rPr>
        <w:t>4.1. Rentabilidad del patrimonio: utilidad operacional dividida por el patrimonio.</w:t>
      </w:r>
    </w:p>
    <w:p w14:paraId="1115802D" w14:textId="77777777" w:rsidR="00A639CE" w:rsidRPr="00A82D0F" w:rsidRDefault="00A639CE" w:rsidP="00A639CE">
      <w:pPr>
        <w:pStyle w:val="Textonotapie"/>
        <w:ind w:firstLine="709"/>
        <w:jc w:val="both"/>
        <w:rPr>
          <w:rFonts w:ascii="Verdana" w:hAnsi="Verdana"/>
          <w:sz w:val="16"/>
          <w:szCs w:val="16"/>
        </w:rPr>
      </w:pPr>
      <w:r w:rsidRPr="00A82D0F">
        <w:rPr>
          <w:rFonts w:ascii="Verdana" w:hAnsi="Verdana"/>
          <w:sz w:val="16"/>
          <w:szCs w:val="16"/>
        </w:rPr>
        <w:t>4.2. Rentabilidad del activo: utilidad operacional dividida por el activo total”.</w:t>
      </w:r>
    </w:p>
    <w:p w14:paraId="00E2FCFE" w14:textId="77777777" w:rsidR="00A639CE" w:rsidRPr="00A82D0F" w:rsidRDefault="00A639CE" w:rsidP="00A639CE">
      <w:pPr>
        <w:pStyle w:val="Textonotapie"/>
        <w:ind w:firstLine="709"/>
        <w:jc w:val="both"/>
        <w:rPr>
          <w:rFonts w:ascii="Verdana" w:hAnsi="Verdana"/>
          <w:sz w:val="16"/>
          <w:szCs w:val="16"/>
          <w:lang w:val="es-CO"/>
        </w:rPr>
      </w:pPr>
    </w:p>
  </w:footnote>
  <w:footnote w:id="5">
    <w:p w14:paraId="1F104A0F" w14:textId="77777777" w:rsidR="00A639CE" w:rsidRPr="00A82D0F" w:rsidRDefault="00A639CE" w:rsidP="00A639CE">
      <w:pPr>
        <w:pStyle w:val="Textonotapie"/>
        <w:ind w:firstLine="709"/>
        <w:jc w:val="both"/>
        <w:rPr>
          <w:rFonts w:ascii="Verdana" w:hAnsi="Verdana"/>
          <w:sz w:val="16"/>
          <w:szCs w:val="16"/>
        </w:rPr>
      </w:pPr>
      <w:r w:rsidRPr="00A82D0F">
        <w:rPr>
          <w:rStyle w:val="Refdenotaalpie"/>
          <w:rFonts w:ascii="Verdana" w:hAnsi="Verdana"/>
          <w:sz w:val="16"/>
          <w:szCs w:val="16"/>
        </w:rPr>
        <w:footnoteRef/>
      </w:r>
      <w:r w:rsidRPr="00A82D0F">
        <w:rPr>
          <w:rFonts w:ascii="Verdana" w:hAnsi="Verdana"/>
          <w:sz w:val="16"/>
          <w:szCs w:val="16"/>
        </w:rPr>
        <w:t xml:space="preserve"> “Artículo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p w14:paraId="4EF5D440" w14:textId="77777777" w:rsidR="00A639CE" w:rsidRPr="00A82D0F" w:rsidRDefault="00A639CE" w:rsidP="00A639CE">
      <w:pPr>
        <w:pStyle w:val="Textonotapie"/>
        <w:ind w:firstLine="709"/>
        <w:jc w:val="both"/>
        <w:rPr>
          <w:rFonts w:ascii="Verdana" w:hAnsi="Verdana"/>
          <w:sz w:val="16"/>
          <w:szCs w:val="16"/>
          <w:lang w:val="es-CO"/>
        </w:rPr>
      </w:pPr>
    </w:p>
  </w:footnote>
  <w:footnote w:id="6">
    <w:p w14:paraId="47DC866F" w14:textId="77777777" w:rsidR="00A639CE" w:rsidRPr="00415F4C" w:rsidRDefault="00A639CE" w:rsidP="00A639CE">
      <w:pPr>
        <w:pStyle w:val="Textonotapie"/>
        <w:ind w:firstLine="709"/>
        <w:jc w:val="both"/>
        <w:rPr>
          <w:rFonts w:ascii="Verdana" w:hAnsi="Verdana"/>
          <w:sz w:val="16"/>
          <w:szCs w:val="16"/>
        </w:rPr>
      </w:pPr>
      <w:r w:rsidRPr="00415F4C">
        <w:rPr>
          <w:rStyle w:val="Refdenotaalpie"/>
          <w:rFonts w:ascii="Verdana" w:hAnsi="Verdana"/>
          <w:sz w:val="16"/>
          <w:szCs w:val="16"/>
        </w:rPr>
        <w:footnoteRef/>
      </w:r>
      <w:r w:rsidRPr="00415F4C">
        <w:rPr>
          <w:rFonts w:ascii="Verdana" w:hAnsi="Verdana"/>
          <w:sz w:val="16"/>
          <w:szCs w:val="16"/>
        </w:rPr>
        <w:t xml:space="preserve"> </w:t>
      </w:r>
      <w:bookmarkStart w:id="12" w:name="44"/>
      <w:r w:rsidRPr="00415F4C">
        <w:rPr>
          <w:rFonts w:ascii="Verdana" w:hAnsi="Verdana"/>
          <w:sz w:val="16"/>
          <w:szCs w:val="16"/>
        </w:rPr>
        <w:t xml:space="preserve">Sobre el particular el </w:t>
      </w:r>
      <w:r w:rsidRPr="00415F4C">
        <w:rPr>
          <w:rFonts w:ascii="Verdana" w:hAnsi="Verdana"/>
          <w:sz w:val="16"/>
          <w:szCs w:val="16"/>
          <w:lang w:val="es-CO"/>
        </w:rPr>
        <w:t>artículo 44 de la Ley 1437 de 2011, dispone: “</w:t>
      </w:r>
      <w:r w:rsidRPr="00407F3F">
        <w:rPr>
          <w:rFonts w:ascii="Verdana" w:hAnsi="Verdana"/>
          <w:sz w:val="16"/>
          <w:szCs w:val="16"/>
          <w:lang w:val="es-CO"/>
        </w:rPr>
        <w:t>Decisiones Discrecionales</w:t>
      </w:r>
      <w:r w:rsidRPr="00415F4C">
        <w:rPr>
          <w:rFonts w:ascii="Verdana" w:hAnsi="Verdana"/>
          <w:sz w:val="16"/>
          <w:szCs w:val="16"/>
          <w:lang w:val="es-CO"/>
        </w:rPr>
        <w:t>.</w:t>
      </w:r>
      <w:bookmarkEnd w:id="12"/>
      <w:r w:rsidRPr="00B076AE">
        <w:rPr>
          <w:rFonts w:ascii="Verdana" w:hAnsi="Verdana"/>
          <w:sz w:val="16"/>
          <w:szCs w:val="16"/>
          <w:lang w:val="es-CO"/>
        </w:rPr>
        <w:t xml:space="preserve"> </w:t>
      </w:r>
      <w:r w:rsidRPr="00415F4C">
        <w:rPr>
          <w:rFonts w:ascii="Verdana" w:hAnsi="Verdana"/>
          <w:sz w:val="16"/>
          <w:szCs w:val="16"/>
          <w:lang w:val="es-CO"/>
        </w:rPr>
        <w:t>En la medida en que el contenido de una decisión de carácter general o particular sea discrecional, debe ser adecuada a los fines de la norma que la autoriza, y proporcional a los hechos que le sirven de causa”.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672A35"/>
    <w:multiLevelType w:val="hybridMultilevel"/>
    <w:tmpl w:val="5EFAF852"/>
    <w:lvl w:ilvl="0" w:tplc="25A6DA96">
      <w:start w:val="1"/>
      <w:numFmt w:val="decimal"/>
      <w:lvlText w:val="%1."/>
      <w:lvlJc w:val="left"/>
      <w:pPr>
        <w:ind w:left="1069" w:hanging="360"/>
      </w:pPr>
      <w:rPr>
        <w:rFonts w:hint="default"/>
        <w:lang w:val="es-CO"/>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1C23291E"/>
    <w:multiLevelType w:val="hybridMultilevel"/>
    <w:tmpl w:val="352C3E0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3"/>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15"/>
  </w:num>
  <w:num w:numId="7" w16cid:durableId="1946422806">
    <w:abstractNumId w:val="7"/>
  </w:num>
  <w:num w:numId="8" w16cid:durableId="152644682">
    <w:abstractNumId w:val="14"/>
  </w:num>
  <w:num w:numId="9" w16cid:durableId="1317221377">
    <w:abstractNumId w:val="9"/>
  </w:num>
  <w:num w:numId="10" w16cid:durableId="1471245386">
    <w:abstractNumId w:val="13"/>
  </w:num>
  <w:num w:numId="11" w16cid:durableId="289172385">
    <w:abstractNumId w:val="10"/>
  </w:num>
  <w:num w:numId="12" w16cid:durableId="1470781324">
    <w:abstractNumId w:val="1"/>
  </w:num>
  <w:num w:numId="13" w16cid:durableId="1512908409">
    <w:abstractNumId w:val="5"/>
  </w:num>
  <w:num w:numId="14" w16cid:durableId="895897244">
    <w:abstractNumId w:val="16"/>
  </w:num>
  <w:num w:numId="15" w16cid:durableId="390349800">
    <w:abstractNumId w:val="12"/>
  </w:num>
  <w:num w:numId="16" w16cid:durableId="1330140246">
    <w:abstractNumId w:val="0"/>
  </w:num>
  <w:num w:numId="17" w16cid:durableId="679089576">
    <w:abstractNumId w:val="11"/>
  </w:num>
  <w:num w:numId="18" w16cid:durableId="1601723362">
    <w:abstractNumId w:val="4"/>
  </w:num>
  <w:num w:numId="19" w16cid:durableId="142425776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9068F"/>
    <w:rsid w:val="000A683E"/>
    <w:rsid w:val="000B19B9"/>
    <w:rsid w:val="000D0334"/>
    <w:rsid w:val="000D288F"/>
    <w:rsid w:val="000D5DA7"/>
    <w:rsid w:val="000F6486"/>
    <w:rsid w:val="00116940"/>
    <w:rsid w:val="00125105"/>
    <w:rsid w:val="00127233"/>
    <w:rsid w:val="0015699B"/>
    <w:rsid w:val="001A33BF"/>
    <w:rsid w:val="001B4DF5"/>
    <w:rsid w:val="001B671C"/>
    <w:rsid w:val="001C4EE3"/>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2F5C1A"/>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3ADB"/>
    <w:rsid w:val="0042722E"/>
    <w:rsid w:val="0044528D"/>
    <w:rsid w:val="00455282"/>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15AE"/>
    <w:rsid w:val="007649AB"/>
    <w:rsid w:val="00771D0C"/>
    <w:rsid w:val="007833AC"/>
    <w:rsid w:val="007B268C"/>
    <w:rsid w:val="007B3CD0"/>
    <w:rsid w:val="007B7171"/>
    <w:rsid w:val="007C0C0F"/>
    <w:rsid w:val="007C3DC2"/>
    <w:rsid w:val="007E5497"/>
    <w:rsid w:val="00806F5F"/>
    <w:rsid w:val="00820278"/>
    <w:rsid w:val="008258C9"/>
    <w:rsid w:val="00840DA6"/>
    <w:rsid w:val="00844AE9"/>
    <w:rsid w:val="00854518"/>
    <w:rsid w:val="00867F95"/>
    <w:rsid w:val="00874FBF"/>
    <w:rsid w:val="008843B6"/>
    <w:rsid w:val="00891928"/>
    <w:rsid w:val="008A446D"/>
    <w:rsid w:val="008B25F1"/>
    <w:rsid w:val="008D180B"/>
    <w:rsid w:val="008D65B8"/>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639CE"/>
    <w:rsid w:val="00AB0ADB"/>
    <w:rsid w:val="00AD34B1"/>
    <w:rsid w:val="00B00C0E"/>
    <w:rsid w:val="00B01B1A"/>
    <w:rsid w:val="00B0381D"/>
    <w:rsid w:val="00B0645D"/>
    <w:rsid w:val="00B44A47"/>
    <w:rsid w:val="00B6344F"/>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53EB"/>
    <w:rsid w:val="00CB6357"/>
    <w:rsid w:val="00CC1B26"/>
    <w:rsid w:val="00D361FD"/>
    <w:rsid w:val="00D423A2"/>
    <w:rsid w:val="00D44E26"/>
    <w:rsid w:val="00D520D8"/>
    <w:rsid w:val="00D63AC2"/>
    <w:rsid w:val="00D7383B"/>
    <w:rsid w:val="00D7788A"/>
    <w:rsid w:val="00DA231B"/>
    <w:rsid w:val="00DA4C76"/>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C5237"/>
    <w:rsid w:val="00EE12D2"/>
    <w:rsid w:val="00EE1AA8"/>
    <w:rsid w:val="00F23FEA"/>
    <w:rsid w:val="00F31EDC"/>
    <w:rsid w:val="00F462B3"/>
    <w:rsid w:val="00F5664F"/>
    <w:rsid w:val="00F666C4"/>
    <w:rsid w:val="00F76AFC"/>
    <w:rsid w:val="00F970A8"/>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A639CE"/>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639CE"/>
    <w:rPr>
      <w:rFonts w:ascii="Geomanist Light" w:hAnsi="Geomanist Light"/>
      <w:lang w:val="es-ES"/>
    </w:rPr>
  </w:style>
  <w:style w:type="character" w:styleId="Refdecomentario">
    <w:name w:val="annotation reference"/>
    <w:basedOn w:val="Fuentedeprrafopredeter"/>
    <w:uiPriority w:val="99"/>
    <w:semiHidden/>
    <w:unhideWhenUsed/>
    <w:rsid w:val="00EE12D2"/>
    <w:rPr>
      <w:sz w:val="16"/>
      <w:szCs w:val="16"/>
    </w:rPr>
  </w:style>
  <w:style w:type="paragraph" w:styleId="Textocomentario">
    <w:name w:val="annotation text"/>
    <w:basedOn w:val="Normal"/>
    <w:link w:val="TextocomentarioCar"/>
    <w:uiPriority w:val="99"/>
    <w:semiHidden/>
    <w:unhideWhenUsed/>
    <w:rsid w:val="00EE12D2"/>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EE12D2"/>
    <w:rPr>
      <w:sz w:val="20"/>
      <w:szCs w:val="20"/>
    </w:rPr>
  </w:style>
  <w:style w:type="paragraph" w:styleId="Asuntodelcomentario">
    <w:name w:val="annotation subject"/>
    <w:basedOn w:val="Textocomentario"/>
    <w:next w:val="Textocomentario"/>
    <w:link w:val="AsuntodelcomentarioCar"/>
    <w:uiPriority w:val="99"/>
    <w:semiHidden/>
    <w:unhideWhenUsed/>
    <w:rsid w:val="00EE12D2"/>
    <w:rPr>
      <w:b/>
      <w:bCs/>
    </w:rPr>
  </w:style>
  <w:style w:type="character" w:customStyle="1" w:styleId="AsuntodelcomentarioCar">
    <w:name w:val="Asunto del comentario Car"/>
    <w:basedOn w:val="TextocomentarioCar"/>
    <w:link w:val="Asuntodelcomentario"/>
    <w:uiPriority w:val="99"/>
    <w:semiHidden/>
    <w:rsid w:val="00EE12D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www.colombiacompra.gov.co/wp-content/uploads/2024/08/cce-eicp-ma-04._manual_requisitos_habilitantes_v3_29-09-2023.pdf"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opezmjose23@gmail.com;"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8BF4666-935D-4C68-8A9C-EC0591EE95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11</TotalTime>
  <Pages>16</Pages>
  <Words>5107</Words>
  <Characters>28090</Characters>
  <Application>Microsoft Office Word</Application>
  <DocSecurity>0</DocSecurity>
  <Lines>234</Lines>
  <Paragraphs>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2026-05-20T15:20:00Z</dcterms:created>
  <dcterms:modified xsi:type="dcterms:W3CDTF">2026-05-28T20:39:00Z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