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32556" w14:textId="77777777" w:rsidR="005262CA" w:rsidRDefault="005262CA" w:rsidP="005262CA">
      <w:pPr>
        <w:spacing w:after="0" w:line="240" w:lineRule="auto"/>
        <w:jc w:val="both"/>
        <w:rPr>
          <w:rFonts w:ascii="Verdana" w:eastAsia="Calibri" w:hAnsi="Verdana" w:cs="Arial"/>
          <w:b/>
          <w:bCs/>
          <w:lang w:eastAsia="es-ES"/>
        </w:rPr>
      </w:pPr>
      <w:bookmarkStart w:id="0" w:name="_Hlk143780582"/>
      <w:r w:rsidRPr="00422D50">
        <w:rPr>
          <w:rFonts w:ascii="Verdana" w:eastAsia="Calibri" w:hAnsi="Verdana" w:cs="Arial"/>
          <w:b/>
          <w:bCs/>
          <w:lang w:eastAsia="es-ES"/>
        </w:rPr>
        <w:t xml:space="preserve">PERSONERÍAS MUNICIPALES – Autonomía financiera y administrativa </w:t>
      </w:r>
      <w:r w:rsidRPr="00422D50">
        <w:rPr>
          <w:rFonts w:ascii="Verdana" w:eastAsia="Calibri" w:hAnsi="Verdana" w:cs="Arial"/>
          <w:b/>
          <w:bCs/>
          <w:color w:val="000000"/>
          <w:szCs w:val="24"/>
          <w:lang w:val="es-ES_tradnl" w:eastAsia="es-ES_tradnl"/>
        </w:rPr>
        <w:t>–</w:t>
      </w:r>
      <w:r w:rsidRPr="00422D50">
        <w:rPr>
          <w:rFonts w:ascii="Verdana" w:eastAsia="Calibri" w:hAnsi="Verdana" w:cs="Arial"/>
          <w:b/>
          <w:bCs/>
          <w:lang w:eastAsia="es-ES"/>
        </w:rPr>
        <w:t xml:space="preserve"> Capacidad contractual</w:t>
      </w:r>
    </w:p>
    <w:p w14:paraId="727C4DEC" w14:textId="77777777" w:rsidR="005262CA" w:rsidRDefault="005262CA" w:rsidP="005262CA">
      <w:pPr>
        <w:spacing w:after="0" w:line="240" w:lineRule="auto"/>
        <w:jc w:val="both"/>
        <w:rPr>
          <w:rFonts w:ascii="Verdana" w:eastAsia="Calibri" w:hAnsi="Verdana" w:cs="Arial"/>
          <w:b/>
          <w:bCs/>
          <w:lang w:eastAsia="es-ES"/>
        </w:rPr>
      </w:pPr>
    </w:p>
    <w:p w14:paraId="25C65657" w14:textId="77777777" w:rsidR="005262CA" w:rsidRDefault="005262CA" w:rsidP="005262CA">
      <w:pPr>
        <w:spacing w:after="0" w:line="240" w:lineRule="auto"/>
        <w:jc w:val="both"/>
        <w:rPr>
          <w:rFonts w:ascii="Verdana" w:eastAsia="Geomanist Light" w:hAnsi="Verdana" w:cs="Arial"/>
          <w:color w:val="000000" w:themeColor="text1"/>
          <w:sz w:val="20"/>
          <w:szCs w:val="20"/>
        </w:rPr>
      </w:pPr>
      <w:r w:rsidRPr="00422D50">
        <w:rPr>
          <w:rFonts w:ascii="Verdana" w:eastAsia="Geomanist Light" w:hAnsi="Verdana" w:cs="Arial"/>
          <w:color w:val="000000" w:themeColor="text1"/>
          <w:sz w:val="20"/>
          <w:szCs w:val="20"/>
        </w:rPr>
        <w:t xml:space="preserve">Las Personerías Municipales y Distritales están dotadas de autonomía administrativa y presupuestal conforme lo dispone el artículo 108 del Estatuto Orgánico del Presupuesto. Esta autonomía implica que cuentan con capacidad y competencia para ordenar sus propios gastos dentro de los límites que impone la Ley y la Constitución, con la finalidad de cumplir, de manera independiente a la administración local, el ejercicio de su labor de control. </w:t>
      </w:r>
    </w:p>
    <w:p w14:paraId="44EB07F8" w14:textId="77777777" w:rsidR="005262CA" w:rsidRDefault="005262CA" w:rsidP="005262CA">
      <w:pPr>
        <w:spacing w:after="0" w:line="240" w:lineRule="auto"/>
        <w:jc w:val="both"/>
        <w:rPr>
          <w:rFonts w:ascii="Verdana" w:eastAsia="Geomanist Light" w:hAnsi="Verdana" w:cs="Arial"/>
          <w:color w:val="000000" w:themeColor="text1"/>
          <w:sz w:val="20"/>
          <w:szCs w:val="20"/>
        </w:rPr>
      </w:pPr>
    </w:p>
    <w:p w14:paraId="079D900F" w14:textId="77777777" w:rsidR="005262CA" w:rsidRPr="00422D50" w:rsidRDefault="005262CA" w:rsidP="005262CA">
      <w:pPr>
        <w:spacing w:after="0" w:line="240" w:lineRule="auto"/>
        <w:jc w:val="both"/>
        <w:rPr>
          <w:rFonts w:ascii="Verdana" w:eastAsia="Geomanist Light" w:hAnsi="Verdana" w:cs="Arial"/>
          <w:color w:val="000000" w:themeColor="text1"/>
          <w:sz w:val="20"/>
          <w:szCs w:val="20"/>
        </w:rPr>
      </w:pPr>
      <w:r w:rsidRPr="003E5C0C">
        <w:rPr>
          <w:rStyle w:val="normaltextrun"/>
          <w:rFonts w:ascii="Verdana" w:hAnsi="Verdana" w:cs="Arial"/>
          <w:sz w:val="20"/>
          <w:szCs w:val="20"/>
          <w:shd w:val="clear" w:color="auto" w:fill="FFFFFF"/>
          <w:lang w:val="es-ES"/>
        </w:rPr>
        <w:t>[…]</w:t>
      </w:r>
    </w:p>
    <w:p w14:paraId="42AC568E" w14:textId="77777777" w:rsidR="005262CA" w:rsidRPr="00422D50" w:rsidRDefault="005262CA" w:rsidP="005262CA">
      <w:pPr>
        <w:spacing w:after="0" w:line="240" w:lineRule="auto"/>
        <w:jc w:val="both"/>
        <w:rPr>
          <w:rFonts w:ascii="Verdana" w:eastAsia="Geomanist Light" w:hAnsi="Verdana" w:cs="Arial"/>
          <w:color w:val="000000" w:themeColor="text1"/>
          <w:sz w:val="20"/>
          <w:szCs w:val="20"/>
        </w:rPr>
      </w:pPr>
    </w:p>
    <w:p w14:paraId="68816DE2" w14:textId="77777777" w:rsidR="005262CA" w:rsidRPr="00422D50" w:rsidRDefault="005262CA" w:rsidP="005262CA">
      <w:pPr>
        <w:spacing w:after="0" w:line="240" w:lineRule="auto"/>
        <w:jc w:val="both"/>
        <w:rPr>
          <w:rFonts w:ascii="Verdana" w:eastAsia="Geomanist Light" w:hAnsi="Verdana" w:cs="Arial"/>
          <w:color w:val="000000" w:themeColor="text1"/>
          <w:sz w:val="20"/>
          <w:szCs w:val="20"/>
        </w:rPr>
      </w:pPr>
      <w:r w:rsidRPr="00422D50">
        <w:rPr>
          <w:rFonts w:ascii="Verdana" w:eastAsia="Geomanist Light" w:hAnsi="Verdana" w:cs="Arial"/>
          <w:color w:val="000000" w:themeColor="text1"/>
          <w:sz w:val="20"/>
          <w:szCs w:val="20"/>
        </w:rPr>
        <w:t>En armonía con lo anterior, el artículo 110 del Estatuto Orgánico del presupuesto le otorga a las personerías municipales y distritales la competencia para celebrar contratos y “les confiere la categoría de ser una sección del presupuesto del respectivo distrito o municipio, con lo cual, además de la potestad de contratar y comprometer a nombre de la persona jurídica de la cual hacen parte (el distrito o el municipio), pueden válidamente ordenar el gasto respecto de las apropiaciones que han sido incorporadas en la Sección que les corresponde”</w:t>
      </w:r>
      <w:r>
        <w:rPr>
          <w:rFonts w:ascii="Verdana" w:eastAsia="Geomanist Light" w:hAnsi="Verdana" w:cs="Arial"/>
          <w:color w:val="000000" w:themeColor="text1"/>
          <w:sz w:val="20"/>
          <w:szCs w:val="20"/>
        </w:rPr>
        <w:t>.</w:t>
      </w:r>
    </w:p>
    <w:p w14:paraId="4861714F" w14:textId="77777777" w:rsidR="005262CA" w:rsidRDefault="005262CA" w:rsidP="005262CA">
      <w:pPr>
        <w:spacing w:after="0" w:line="240" w:lineRule="auto"/>
        <w:rPr>
          <w:rFonts w:ascii="Verdana" w:eastAsia="Geomanist Light" w:hAnsi="Verdana" w:cs="Arial"/>
          <w:color w:val="000000" w:themeColor="text1"/>
          <w:lang w:val="es-MX"/>
        </w:rPr>
      </w:pPr>
    </w:p>
    <w:p w14:paraId="5D44C75A" w14:textId="77777777" w:rsidR="005262CA" w:rsidRDefault="005262CA" w:rsidP="005262CA">
      <w:pPr>
        <w:rPr>
          <w:rFonts w:ascii="Verdana" w:eastAsia="Calibri" w:hAnsi="Verdana" w:cs="Arial"/>
          <w:b/>
          <w:bCs/>
          <w:lang w:val="es-ES" w:eastAsia="es-ES"/>
        </w:rPr>
      </w:pPr>
      <w:r w:rsidRPr="00314685">
        <w:rPr>
          <w:rFonts w:ascii="Verdana" w:eastAsia="Times New Roman" w:hAnsi="Verdana"/>
          <w:b/>
          <w:bCs/>
          <w:lang w:val="es-ES_tradnl" w:eastAsia="es-ES_tradnl"/>
        </w:rPr>
        <w:t>CONVENIOS INTERADMINISTRATIVOS</w:t>
      </w:r>
      <w:r w:rsidRPr="00314685">
        <w:rPr>
          <w:rFonts w:ascii="Verdana" w:eastAsia="Calibri" w:hAnsi="Verdana" w:cs="Arial"/>
          <w:b/>
          <w:bCs/>
          <w:lang w:val="es-ES" w:eastAsia="es-ES"/>
        </w:rPr>
        <w:t xml:space="preserve"> – Régimen jurídico</w:t>
      </w:r>
    </w:p>
    <w:p w14:paraId="32A0B7DD" w14:textId="77777777" w:rsidR="005262CA" w:rsidRPr="00314685" w:rsidRDefault="005262CA" w:rsidP="005262CA">
      <w:pPr>
        <w:spacing w:after="0" w:line="240" w:lineRule="auto"/>
        <w:jc w:val="both"/>
        <w:rPr>
          <w:rFonts w:ascii="Verdana" w:eastAsia="Geomanist Light" w:hAnsi="Verdana" w:cs="Arial"/>
          <w:b/>
          <w:bCs/>
          <w:color w:val="000000" w:themeColor="text1"/>
          <w:lang w:val="es-MX"/>
        </w:rPr>
      </w:pPr>
      <w:r w:rsidRPr="00314685">
        <w:rPr>
          <w:rFonts w:ascii="Verdana" w:eastAsia="Geomanist Light" w:hAnsi="Verdana" w:cs="Arial"/>
          <w:color w:val="000000" w:themeColor="text1"/>
          <w:sz w:val="20"/>
          <w:szCs w:val="20"/>
        </w:rPr>
        <w:t xml:space="preserve">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(i) se celebra entre dos entidades públicas que se encuentran en pie de igualdad con el objeto de cumplir competencias de ambas entidades dirigidas a un propósito común; (</w:t>
      </w:r>
      <w:proofErr w:type="spellStart"/>
      <w:r w:rsidRPr="00314685">
        <w:rPr>
          <w:rFonts w:ascii="Verdana" w:eastAsia="Geomanist Light" w:hAnsi="Verdana" w:cs="Arial"/>
          <w:color w:val="000000" w:themeColor="text1"/>
          <w:sz w:val="20"/>
          <w:szCs w:val="20"/>
        </w:rPr>
        <w:t>ii</w:t>
      </w:r>
      <w:proofErr w:type="spellEnd"/>
      <w:r w:rsidRPr="00314685">
        <w:rPr>
          <w:rFonts w:ascii="Verdana" w:eastAsia="Geomanist Light" w:hAnsi="Verdana" w:cs="Arial"/>
          <w:color w:val="000000" w:themeColor="text1"/>
          <w:sz w:val="20"/>
          <w:szCs w:val="20"/>
        </w:rPr>
        <w:t>) la modalidad para su celebración es la contratación directa; (</w:t>
      </w:r>
      <w:proofErr w:type="spellStart"/>
      <w:r w:rsidRPr="00314685">
        <w:rPr>
          <w:rFonts w:ascii="Verdana" w:eastAsia="Geomanist Light" w:hAnsi="Verdana" w:cs="Arial"/>
          <w:color w:val="000000" w:themeColor="text1"/>
          <w:sz w:val="20"/>
          <w:szCs w:val="20"/>
        </w:rPr>
        <w:t>iii</w:t>
      </w:r>
      <w:proofErr w:type="spellEnd"/>
      <w:r w:rsidRPr="00314685">
        <w:rPr>
          <w:rFonts w:ascii="Verdana" w:eastAsia="Geomanist Light" w:hAnsi="Verdana" w:cs="Arial"/>
          <w:color w:val="000000" w:themeColor="text1"/>
          <w:sz w:val="20"/>
          <w:szCs w:val="20"/>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314685">
        <w:rPr>
          <w:rFonts w:ascii="Verdana" w:eastAsia="Geomanist Light" w:hAnsi="Verdana" w:cs="Arial"/>
          <w:color w:val="000000" w:themeColor="text1"/>
          <w:sz w:val="20"/>
          <w:szCs w:val="20"/>
        </w:rPr>
        <w:t>co-contratantes</w:t>
      </w:r>
      <w:proofErr w:type="spellEnd"/>
      <w:r w:rsidRPr="00314685">
        <w:rPr>
          <w:rFonts w:ascii="Verdana" w:eastAsia="Geomanist Light" w:hAnsi="Verdana" w:cs="Arial"/>
          <w:color w:val="000000" w:themeColor="text1"/>
          <w:sz w:val="20"/>
          <w:szCs w:val="20"/>
        </w:rPr>
        <w:t xml:space="preserve"> y a cargo de otro u otros.</w:t>
      </w:r>
      <w:r w:rsidRPr="00314685">
        <w:rPr>
          <w:rFonts w:ascii="Verdana" w:eastAsia="Geomanist Light" w:hAnsi="Verdana" w:cs="Arial"/>
          <w:b/>
          <w:bCs/>
          <w:color w:val="000000" w:themeColor="text1"/>
          <w:lang w:val="es-MX"/>
        </w:rPr>
        <w:br w:type="page"/>
      </w:r>
    </w:p>
    <w:p w14:paraId="5ABA6FE7" w14:textId="7B3EDBD4" w:rsidR="005262CA" w:rsidRPr="00593A5F" w:rsidRDefault="005262CA" w:rsidP="005262C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92D39">
        <w:rPr>
          <w:rFonts w:ascii="Verdana" w:eastAsia="Geomanist Light" w:hAnsi="Verdana" w:cs="Arial"/>
          <w:color w:val="201F1E"/>
        </w:rPr>
        <w:t>7 de mayo de 2026</w:t>
      </w:r>
    </w:p>
    <w:p w14:paraId="3D63C9DC" w14:textId="05350A16" w:rsidR="005262CA" w:rsidRDefault="008A2B5E" w:rsidP="005262CA">
      <w:pPr>
        <w:spacing w:after="0" w:line="240" w:lineRule="auto"/>
        <w:jc w:val="both"/>
        <w:rPr>
          <w:rFonts w:ascii="Verdana" w:eastAsia="Calibri" w:hAnsi="Verdana" w:cs="Arial"/>
          <w:color w:val="000000"/>
          <w:lang w:val="es-ES"/>
        </w:rPr>
      </w:pPr>
      <w:r w:rsidRPr="00E76DE6">
        <w:rPr>
          <w:rFonts w:ascii="Verdana" w:eastAsia="Calibri" w:hAnsi="Verdana" w:cs="Arial"/>
          <w:noProof/>
          <w:color w:val="000000"/>
          <w:lang w:val="es-ES"/>
        </w:rPr>
        <w:drawing>
          <wp:anchor distT="0" distB="0" distL="114300" distR="114300" simplePos="0" relativeHeight="251658240" behindDoc="0" locked="0" layoutInCell="1" allowOverlap="1" wp14:anchorId="471F8E97" wp14:editId="5ED0A344">
            <wp:simplePos x="0" y="0"/>
            <wp:positionH relativeFrom="margin">
              <wp:align>right</wp:align>
            </wp:positionH>
            <wp:positionV relativeFrom="paragraph">
              <wp:posOffset>170815</wp:posOffset>
            </wp:positionV>
            <wp:extent cx="2708275" cy="1013460"/>
            <wp:effectExtent l="0" t="0" r="0" b="0"/>
            <wp:wrapSquare wrapText="bothSides"/>
            <wp:docPr id="5579800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08275" cy="1013460"/>
                    </a:xfrm>
                    <a:prstGeom prst="rect">
                      <a:avLst/>
                    </a:prstGeom>
                    <a:noFill/>
                    <a:ln>
                      <a:noFill/>
                    </a:ln>
                  </pic:spPr>
                </pic:pic>
              </a:graphicData>
            </a:graphic>
            <wp14:sizeRelH relativeFrom="margin">
              <wp14:pctWidth>0</wp14:pctWidth>
            </wp14:sizeRelH>
          </wp:anchor>
        </w:drawing>
      </w:r>
    </w:p>
    <w:p w14:paraId="3843C7B3" w14:textId="6C39EC8F" w:rsidR="005262CA" w:rsidRPr="00593A5F" w:rsidRDefault="005262CA" w:rsidP="00E76DE6">
      <w:pPr>
        <w:spacing w:after="0" w:line="240" w:lineRule="auto"/>
        <w:jc w:val="right"/>
        <w:rPr>
          <w:rFonts w:ascii="Verdana" w:eastAsia="Calibri" w:hAnsi="Verdana" w:cs="Arial"/>
          <w:color w:val="000000"/>
          <w:lang w:val="es-ES"/>
        </w:rPr>
      </w:pPr>
    </w:p>
    <w:p w14:paraId="1B510282" w14:textId="77777777" w:rsidR="005262CA" w:rsidRDefault="005262CA" w:rsidP="005262CA">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0DD9FEF6" w14:textId="77777777" w:rsidR="005262CA" w:rsidRPr="00171760" w:rsidRDefault="005262CA" w:rsidP="005262CA">
      <w:pPr>
        <w:spacing w:after="0" w:line="240" w:lineRule="auto"/>
        <w:jc w:val="both"/>
        <w:rPr>
          <w:rFonts w:ascii="Verdana" w:eastAsia="Calibri" w:hAnsi="Verdana" w:cs="Arial"/>
          <w:b/>
          <w:bCs/>
          <w:lang w:eastAsia="es-ES"/>
        </w:rPr>
      </w:pPr>
      <w:r w:rsidRPr="00171760">
        <w:rPr>
          <w:rFonts w:ascii="Verdana" w:eastAsia="Calibri" w:hAnsi="Verdana" w:cs="Arial"/>
          <w:b/>
          <w:bCs/>
          <w:lang w:eastAsia="es-ES"/>
        </w:rPr>
        <w:t xml:space="preserve">Manuel Alejandro Castro Gutiérrez </w:t>
      </w:r>
    </w:p>
    <w:p w14:paraId="7F16CCA6" w14:textId="77777777" w:rsidR="005262CA" w:rsidRDefault="005262CA" w:rsidP="005262CA">
      <w:pPr>
        <w:spacing w:after="0" w:line="240" w:lineRule="auto"/>
        <w:jc w:val="both"/>
        <w:rPr>
          <w:rFonts w:ascii="Verdana" w:eastAsia="Calibri" w:hAnsi="Verdana" w:cs="Arial"/>
          <w:b/>
          <w:bCs/>
          <w:lang w:eastAsia="es-ES"/>
        </w:rPr>
      </w:pPr>
      <w:r w:rsidRPr="00171760">
        <w:rPr>
          <w:rFonts w:ascii="Verdana" w:eastAsia="Calibri" w:hAnsi="Verdana" w:cs="Arial"/>
          <w:b/>
          <w:bCs/>
          <w:lang w:eastAsia="es-ES"/>
        </w:rPr>
        <w:t xml:space="preserve">Personero Municipal </w:t>
      </w:r>
    </w:p>
    <w:p w14:paraId="28B5FFBB" w14:textId="77777777" w:rsidR="005262CA" w:rsidRPr="00D37E6B" w:rsidRDefault="005262CA" w:rsidP="005262CA">
      <w:pPr>
        <w:spacing w:after="0" w:line="240" w:lineRule="auto"/>
        <w:jc w:val="both"/>
        <w:rPr>
          <w:rFonts w:ascii="Verdana" w:eastAsia="Calibri" w:hAnsi="Verdana" w:cs="Arial"/>
          <w:lang w:eastAsia="es-ES"/>
        </w:rPr>
      </w:pPr>
      <w:r w:rsidRPr="00D37E6B">
        <w:rPr>
          <w:rFonts w:ascii="Verdana" w:eastAsia="Calibri" w:hAnsi="Verdana" w:cs="Arial"/>
          <w:lang w:eastAsia="es-ES"/>
        </w:rPr>
        <w:t>personeria@paez-cauca.gov.co</w:t>
      </w:r>
    </w:p>
    <w:p w14:paraId="6920737C" w14:textId="77777777" w:rsidR="005262CA" w:rsidRPr="00B96799" w:rsidRDefault="005262CA" w:rsidP="005262CA">
      <w:pPr>
        <w:spacing w:after="0" w:line="240" w:lineRule="auto"/>
        <w:jc w:val="both"/>
        <w:rPr>
          <w:rFonts w:ascii="Verdana" w:eastAsia="Calibri" w:hAnsi="Verdana" w:cs="Arial"/>
          <w:lang w:val="es-ES" w:eastAsia="es-ES"/>
        </w:rPr>
      </w:pPr>
      <w:r w:rsidRPr="00171760">
        <w:rPr>
          <w:rFonts w:ascii="Verdana" w:eastAsia="Calibri" w:hAnsi="Verdana" w:cs="Arial"/>
          <w:lang w:eastAsia="es-ES"/>
        </w:rPr>
        <w:t>Páez – Cauca</w:t>
      </w:r>
    </w:p>
    <w:p w14:paraId="1CFB51FD" w14:textId="77777777" w:rsidR="005262CA" w:rsidRPr="00593A5F" w:rsidRDefault="005262CA" w:rsidP="005262CA">
      <w:pPr>
        <w:spacing w:after="0" w:line="240" w:lineRule="auto"/>
        <w:rPr>
          <w:rFonts w:ascii="Verdana" w:eastAsia="Calibri" w:hAnsi="Verdana" w:cs="Arial"/>
          <w:b/>
          <w:bCs/>
          <w:color w:val="000000"/>
          <w:lang w:val="es-ES_tradnl" w:eastAsia="es-ES_tradnl"/>
        </w:rPr>
      </w:pPr>
    </w:p>
    <w:p w14:paraId="708506A3" w14:textId="77777777" w:rsidR="005262CA" w:rsidRPr="00593A5F" w:rsidRDefault="005262CA" w:rsidP="005262C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262CA" w:rsidRPr="00593A5F" w14:paraId="07951D66" w14:textId="77777777" w:rsidTr="009A17C6">
        <w:trPr>
          <w:trHeight w:val="884"/>
        </w:trPr>
        <w:tc>
          <w:tcPr>
            <w:tcW w:w="2689" w:type="dxa"/>
          </w:tcPr>
          <w:p w14:paraId="3A5C901B" w14:textId="77777777" w:rsidR="005262CA" w:rsidRPr="00C00976" w:rsidRDefault="005262CA" w:rsidP="009A17C6">
            <w:pPr>
              <w:jc w:val="both"/>
              <w:rPr>
                <w:rFonts w:ascii="Verdana" w:eastAsia="Calibri" w:hAnsi="Verdana" w:cs="Arial"/>
                <w:b/>
                <w:bCs/>
                <w:color w:val="7030A0"/>
                <w:lang w:val="es-ES_tradnl" w:eastAsia="es-ES_tradnl"/>
              </w:rPr>
            </w:pPr>
          </w:p>
        </w:tc>
        <w:tc>
          <w:tcPr>
            <w:tcW w:w="6100" w:type="dxa"/>
          </w:tcPr>
          <w:p w14:paraId="0C111D13" w14:textId="77777777" w:rsidR="005262CA" w:rsidRPr="00C00976" w:rsidRDefault="005262CA" w:rsidP="009A17C6">
            <w:pPr>
              <w:jc w:val="both"/>
              <w:rPr>
                <w:rFonts w:ascii="Verdana" w:eastAsia="Calibri" w:hAnsi="Verdana" w:cs="Arial"/>
                <w:b/>
                <w:bCs/>
                <w:color w:val="7030A0"/>
                <w:lang w:val="es-ES" w:eastAsia="es-ES"/>
              </w:rPr>
            </w:pPr>
            <w:r w:rsidRPr="00CE3475">
              <w:rPr>
                <w:rFonts w:ascii="Verdana" w:eastAsia="Calibri" w:hAnsi="Verdana" w:cs="Arial"/>
                <w:b/>
                <w:bCs/>
                <w:lang w:val="es-ES" w:eastAsia="es-ES"/>
              </w:rPr>
              <w:t>Concepto C-</w:t>
            </w:r>
            <w:r>
              <w:rPr>
                <w:rFonts w:ascii="Verdana" w:eastAsia="Calibri" w:hAnsi="Verdana" w:cs="Arial"/>
                <w:b/>
                <w:bCs/>
                <w:lang w:val="es-ES" w:eastAsia="es-ES"/>
              </w:rPr>
              <w:t>497</w:t>
            </w:r>
            <w:r w:rsidRPr="00CE3475">
              <w:rPr>
                <w:rFonts w:ascii="Verdana" w:eastAsia="Calibri" w:hAnsi="Verdana" w:cs="Arial"/>
                <w:b/>
                <w:bCs/>
                <w:lang w:val="es-ES" w:eastAsia="es-ES"/>
              </w:rPr>
              <w:t xml:space="preserve"> de 202</w:t>
            </w:r>
            <w:r>
              <w:rPr>
                <w:rFonts w:ascii="Verdana" w:eastAsia="Calibri" w:hAnsi="Verdana" w:cs="Arial"/>
                <w:b/>
                <w:bCs/>
                <w:lang w:val="es-ES" w:eastAsia="es-ES"/>
              </w:rPr>
              <w:t>6</w:t>
            </w:r>
          </w:p>
        </w:tc>
      </w:tr>
      <w:tr w:rsidR="005262CA" w:rsidRPr="003E5C0C" w14:paraId="067ECE60" w14:textId="77777777" w:rsidTr="009A17C6">
        <w:trPr>
          <w:trHeight w:val="884"/>
        </w:trPr>
        <w:tc>
          <w:tcPr>
            <w:tcW w:w="2689" w:type="dxa"/>
          </w:tcPr>
          <w:p w14:paraId="7E958E12" w14:textId="77777777" w:rsidR="005262CA" w:rsidRPr="00593A5F" w:rsidRDefault="005262CA" w:rsidP="009A17C6">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4A783556" w14:textId="77777777" w:rsidR="005262CA" w:rsidRPr="003E5C0C" w:rsidRDefault="005262CA" w:rsidP="009A17C6">
            <w:pPr>
              <w:spacing w:line="276" w:lineRule="auto"/>
              <w:jc w:val="both"/>
              <w:rPr>
                <w:rFonts w:ascii="Verdana" w:eastAsia="Calibri" w:hAnsi="Verdana" w:cs="Arial"/>
                <w:lang w:val="es-ES" w:eastAsia="es-ES"/>
              </w:rPr>
            </w:pPr>
            <w:r w:rsidRPr="0022716E">
              <w:rPr>
                <w:rFonts w:ascii="Verdana" w:eastAsia="Calibri" w:hAnsi="Verdana" w:cs="Arial"/>
                <w:lang w:eastAsia="es-ES"/>
              </w:rPr>
              <w:t xml:space="preserve">PERSONERÍAS MUNICIPALES – </w:t>
            </w:r>
            <w:r>
              <w:rPr>
                <w:rFonts w:ascii="Verdana" w:eastAsia="Calibri" w:hAnsi="Verdana" w:cs="Arial"/>
                <w:lang w:eastAsia="es-ES"/>
              </w:rPr>
              <w:t xml:space="preserve">Autonomía financiera y administrativa </w:t>
            </w:r>
            <w:r w:rsidRPr="005749EE">
              <w:rPr>
                <w:rFonts w:ascii="Verdana" w:eastAsia="Calibri" w:hAnsi="Verdana" w:cs="Arial"/>
                <w:color w:val="000000"/>
                <w:szCs w:val="24"/>
                <w:lang w:val="es-ES_tradnl" w:eastAsia="es-ES_tradnl"/>
              </w:rPr>
              <w:t>–</w:t>
            </w:r>
            <w:r w:rsidRPr="005749EE">
              <w:rPr>
                <w:rFonts w:ascii="Verdana" w:eastAsia="Calibri" w:hAnsi="Verdana" w:cs="Arial"/>
                <w:lang w:eastAsia="es-ES"/>
              </w:rPr>
              <w:t xml:space="preserve"> Capacidad contractual</w:t>
            </w:r>
            <w:r w:rsidRPr="0022716E">
              <w:rPr>
                <w:rFonts w:ascii="Verdana" w:eastAsia="Calibri" w:hAnsi="Verdana" w:cs="Arial"/>
                <w:lang w:eastAsia="es-ES"/>
              </w:rPr>
              <w:t xml:space="preserve"> </w:t>
            </w:r>
            <w:r>
              <w:rPr>
                <w:rFonts w:ascii="Verdana" w:eastAsia="Times New Roman" w:hAnsi="Verdana"/>
                <w:lang w:val="es-ES_tradnl" w:eastAsia="es-ES_tradnl"/>
              </w:rPr>
              <w:t xml:space="preserve">/ </w:t>
            </w:r>
            <w:r w:rsidRPr="002C675F">
              <w:rPr>
                <w:rFonts w:ascii="Verdana" w:eastAsia="Times New Roman" w:hAnsi="Verdana"/>
                <w:lang w:val="es-ES_tradnl" w:eastAsia="es-ES_tradnl"/>
              </w:rPr>
              <w:t>CONVENIOS INTERADMINISTRATIVOS</w:t>
            </w:r>
            <w:r>
              <w:rPr>
                <w:rFonts w:ascii="Verdana" w:eastAsia="Calibri" w:hAnsi="Verdana" w:cs="Arial"/>
                <w:lang w:val="es-ES" w:eastAsia="es-ES"/>
              </w:rPr>
              <w:t xml:space="preserve"> </w:t>
            </w:r>
            <w:r w:rsidRPr="00C60D6E">
              <w:rPr>
                <w:rFonts w:ascii="Verdana" w:eastAsia="Calibri" w:hAnsi="Verdana" w:cs="Arial"/>
                <w:lang w:val="es-ES" w:eastAsia="es-ES"/>
              </w:rPr>
              <w:t>–</w:t>
            </w:r>
            <w:r>
              <w:rPr>
                <w:rFonts w:ascii="Verdana" w:eastAsia="Calibri" w:hAnsi="Verdana" w:cs="Arial"/>
                <w:lang w:val="es-ES" w:eastAsia="es-ES"/>
              </w:rPr>
              <w:t xml:space="preserve"> Régimen jurídico</w:t>
            </w:r>
          </w:p>
          <w:p w14:paraId="00A2F432" w14:textId="77777777" w:rsidR="005262CA" w:rsidRPr="003E5C0C" w:rsidRDefault="005262CA" w:rsidP="009A17C6">
            <w:pPr>
              <w:spacing w:line="276" w:lineRule="auto"/>
              <w:jc w:val="both"/>
              <w:rPr>
                <w:rFonts w:ascii="Verdana" w:eastAsia="Calibri" w:hAnsi="Verdana" w:cs="Arial"/>
                <w:lang w:val="es-ES" w:eastAsia="es-ES"/>
              </w:rPr>
            </w:pPr>
          </w:p>
        </w:tc>
      </w:tr>
      <w:tr w:rsidR="005262CA" w:rsidRPr="003E5C0C" w14:paraId="158A3251" w14:textId="77777777" w:rsidTr="009A17C6">
        <w:tc>
          <w:tcPr>
            <w:tcW w:w="2689" w:type="dxa"/>
          </w:tcPr>
          <w:p w14:paraId="49BFF2CC" w14:textId="77777777" w:rsidR="005262CA" w:rsidRPr="003E5C0C" w:rsidRDefault="005262CA" w:rsidP="009A17C6">
            <w:pPr>
              <w:jc w:val="both"/>
              <w:rPr>
                <w:rFonts w:ascii="Verdana" w:eastAsia="Calibri" w:hAnsi="Verdana" w:cs="Arial"/>
                <w:b/>
                <w:lang w:val="es-ES_tradnl" w:eastAsia="es-ES_tradnl"/>
              </w:rPr>
            </w:pPr>
            <w:r w:rsidRPr="003E5C0C">
              <w:rPr>
                <w:rFonts w:ascii="Verdana" w:eastAsia="Calibri" w:hAnsi="Verdana" w:cs="Arial"/>
                <w:b/>
                <w:lang w:val="es-ES_tradnl" w:eastAsia="es-ES_tradnl"/>
              </w:rPr>
              <w:t>Radicación:</w:t>
            </w:r>
            <w:r w:rsidRPr="003E5C0C">
              <w:rPr>
                <w:rFonts w:ascii="Verdana" w:eastAsia="Calibri" w:hAnsi="Verdana" w:cs="Arial"/>
                <w:lang w:val="es-ES_tradnl" w:eastAsia="es-ES_tradnl"/>
              </w:rPr>
              <w:t xml:space="preserve">               </w:t>
            </w:r>
          </w:p>
        </w:tc>
        <w:tc>
          <w:tcPr>
            <w:tcW w:w="6100" w:type="dxa"/>
          </w:tcPr>
          <w:p w14:paraId="63D24ABD" w14:textId="77777777" w:rsidR="005262CA" w:rsidRPr="003E5C0C" w:rsidRDefault="005262CA" w:rsidP="009A17C6">
            <w:pPr>
              <w:jc w:val="both"/>
              <w:rPr>
                <w:rFonts w:ascii="Verdana" w:eastAsia="Calibri" w:hAnsi="Verdana" w:cs="Arial"/>
                <w:lang w:val="es-ES_tradnl" w:eastAsia="es-ES_tradnl"/>
              </w:rPr>
            </w:pPr>
            <w:r w:rsidRPr="003E5C0C">
              <w:rPr>
                <w:rFonts w:ascii="Verdana" w:eastAsia="Calibri" w:hAnsi="Verdana" w:cs="Arial"/>
                <w:lang w:val="es-ES_tradnl" w:eastAsia="es-ES_tradnl"/>
              </w:rPr>
              <w:t xml:space="preserve">Respuesta a consulta con radicado No. </w:t>
            </w:r>
            <w:r w:rsidRPr="00B30AE1">
              <w:rPr>
                <w:rFonts w:ascii="Verdana" w:eastAsia="Calibri" w:hAnsi="Verdana" w:cs="Arial"/>
                <w:lang w:val="es-ES_tradnl" w:eastAsia="es-ES_tradnl"/>
              </w:rPr>
              <w:t>1_2026_03_26_004159</w:t>
            </w:r>
          </w:p>
        </w:tc>
      </w:tr>
    </w:tbl>
    <w:p w14:paraId="71B9185A" w14:textId="77777777" w:rsidR="005262CA" w:rsidRPr="003E5C0C" w:rsidRDefault="005262CA" w:rsidP="005262CA">
      <w:pPr>
        <w:spacing w:after="0" w:line="240" w:lineRule="auto"/>
        <w:jc w:val="both"/>
        <w:rPr>
          <w:rFonts w:ascii="Verdana" w:eastAsia="Calibri" w:hAnsi="Verdana" w:cs="Arial"/>
          <w:lang w:val="es-ES_tradnl" w:eastAsia="es-ES_tradnl"/>
        </w:rPr>
      </w:pPr>
    </w:p>
    <w:p w14:paraId="64E8271C" w14:textId="77777777" w:rsidR="005262CA" w:rsidRPr="003E5C0C" w:rsidRDefault="005262CA" w:rsidP="005262CA">
      <w:pPr>
        <w:spacing w:after="0" w:line="240" w:lineRule="auto"/>
        <w:jc w:val="both"/>
        <w:rPr>
          <w:rFonts w:ascii="Verdana" w:eastAsia="Calibri" w:hAnsi="Verdana" w:cs="Arial"/>
          <w:lang w:val="es-ES_tradnl" w:eastAsia="es-ES_tradnl"/>
        </w:rPr>
      </w:pPr>
    </w:p>
    <w:p w14:paraId="39314519" w14:textId="77777777" w:rsidR="005262CA" w:rsidRPr="003E5C0C" w:rsidRDefault="005262CA" w:rsidP="005262CA">
      <w:pPr>
        <w:spacing w:after="0" w:line="276" w:lineRule="auto"/>
        <w:jc w:val="both"/>
        <w:rPr>
          <w:rFonts w:ascii="Verdana" w:eastAsia="Calibri" w:hAnsi="Verdana" w:cs="Arial"/>
          <w:lang w:val="es-ES" w:eastAsia="es-ES"/>
        </w:rPr>
      </w:pPr>
      <w:r w:rsidRPr="003E5C0C">
        <w:rPr>
          <w:rFonts w:ascii="Verdana" w:eastAsia="Calibri" w:hAnsi="Verdana" w:cs="Arial"/>
          <w:lang w:val="es-ES" w:eastAsia="es-ES"/>
        </w:rPr>
        <w:t>Estimad</w:t>
      </w:r>
      <w:r>
        <w:rPr>
          <w:rFonts w:ascii="Verdana" w:eastAsia="Calibri" w:hAnsi="Verdana" w:cs="Arial"/>
          <w:lang w:val="es-ES" w:eastAsia="es-ES"/>
        </w:rPr>
        <w:t>o</w:t>
      </w:r>
      <w:r w:rsidRPr="003E5C0C">
        <w:rPr>
          <w:rFonts w:ascii="Verdana" w:eastAsia="Calibri" w:hAnsi="Verdana" w:cs="Arial"/>
          <w:lang w:val="es-ES" w:eastAsia="es-ES"/>
        </w:rPr>
        <w:t xml:space="preserve"> señor </w:t>
      </w:r>
      <w:r>
        <w:rPr>
          <w:rFonts w:ascii="Verdana" w:eastAsia="Calibri" w:hAnsi="Verdana" w:cs="Arial"/>
          <w:lang w:val="es-ES" w:eastAsia="es-ES"/>
        </w:rPr>
        <w:t>Castro</w:t>
      </w:r>
      <w:r w:rsidRPr="003E5C0C">
        <w:rPr>
          <w:rFonts w:ascii="Verdana" w:eastAsia="Calibri" w:hAnsi="Verdana" w:cs="Arial"/>
          <w:lang w:val="es-ES" w:eastAsia="es-ES"/>
        </w:rPr>
        <w:t xml:space="preserve">: </w:t>
      </w:r>
    </w:p>
    <w:p w14:paraId="3234A773" w14:textId="77777777" w:rsidR="005262CA" w:rsidRPr="003E5C0C" w:rsidRDefault="005262CA" w:rsidP="005262CA">
      <w:pPr>
        <w:tabs>
          <w:tab w:val="left" w:pos="3768"/>
        </w:tabs>
        <w:spacing w:after="0" w:line="276" w:lineRule="auto"/>
        <w:jc w:val="both"/>
        <w:rPr>
          <w:rFonts w:ascii="Verdana" w:eastAsia="Calibri" w:hAnsi="Verdana" w:cs="Arial"/>
          <w:lang w:val="es-ES" w:eastAsia="es-ES"/>
        </w:rPr>
      </w:pPr>
      <w:r w:rsidRPr="003E5C0C">
        <w:rPr>
          <w:rFonts w:ascii="Verdana" w:eastAsia="Calibri" w:hAnsi="Verdana" w:cs="Arial"/>
          <w:lang w:val="es-ES" w:eastAsia="es-ES"/>
        </w:rPr>
        <w:tab/>
      </w:r>
    </w:p>
    <w:p w14:paraId="2908B8AD" w14:textId="77777777" w:rsidR="005262CA" w:rsidRPr="003E5C0C" w:rsidRDefault="005262CA" w:rsidP="005262CA">
      <w:pPr>
        <w:spacing w:after="0" w:line="276" w:lineRule="auto"/>
        <w:jc w:val="both"/>
        <w:rPr>
          <w:rFonts w:ascii="Verdana" w:eastAsia="Calibri" w:hAnsi="Verdana" w:cs="Arial"/>
          <w:lang w:val="es-ES" w:eastAsia="es-ES"/>
        </w:rPr>
      </w:pPr>
      <w:r w:rsidRPr="003E5C0C">
        <w:rPr>
          <w:rFonts w:ascii="Verdana" w:eastAsia="Calibri" w:hAnsi="Verdana" w:cs="Arial"/>
          <w:lang w:val="es-ES" w:eastAsia="es-ES"/>
        </w:rPr>
        <w:t>En ejercicio de la competencia otorgada por los artículos 3, numeral 5º, y 11, numeral 8º, del Decreto Ley 4170 de 2011,</w:t>
      </w:r>
      <w:r w:rsidRPr="003E5C0C">
        <w:rPr>
          <w:rFonts w:ascii="Verdana" w:eastAsia="Arial MT" w:hAnsi="Verdana" w:cs="Arial MT"/>
          <w:lang w:val="es-ES" w:eastAsia="es-ES"/>
        </w:rPr>
        <w:t xml:space="preserve"> </w:t>
      </w:r>
      <w:r w:rsidRPr="003E5C0C">
        <w:rPr>
          <w:rFonts w:ascii="Verdana" w:hAnsi="Verdana" w:cs="Arial"/>
        </w:rPr>
        <w:t xml:space="preserve">así como lo establecido en el artículo 4 de la Resolución 1707 de 2018 expedida por esta Entidad, </w:t>
      </w:r>
      <w:r w:rsidRPr="003E5C0C">
        <w:rPr>
          <w:rFonts w:ascii="Verdana" w:eastAsia="Calibri" w:hAnsi="Verdana" w:cs="Arial"/>
          <w:lang w:val="es-ES" w:eastAsia="es-ES"/>
        </w:rPr>
        <w:t>la Agencia Nacional de Contratación Pública – Colombia Compra Eficiente– responde su solicitud de consulta</w:t>
      </w:r>
      <w:r>
        <w:rPr>
          <w:rFonts w:ascii="Verdana" w:eastAsia="Calibri" w:hAnsi="Verdana" w:cs="Arial"/>
          <w:lang w:val="es-ES" w:eastAsia="es-ES"/>
        </w:rPr>
        <w:t xml:space="preserve"> remitida por el Departamento Administrativo de la Función Pública el</w:t>
      </w:r>
      <w:r w:rsidRPr="003E5C0C">
        <w:rPr>
          <w:rFonts w:ascii="Verdana" w:eastAsia="Calibri" w:hAnsi="Verdana" w:cs="Arial"/>
          <w:lang w:val="es-ES" w:eastAsia="es-ES"/>
        </w:rPr>
        <w:t xml:space="preserve"> </w:t>
      </w:r>
      <w:r>
        <w:rPr>
          <w:rFonts w:ascii="Verdana" w:eastAsia="Calibri" w:hAnsi="Verdana" w:cs="Arial"/>
          <w:lang w:val="es-ES" w:eastAsia="es-ES"/>
        </w:rPr>
        <w:t>26</w:t>
      </w:r>
      <w:r w:rsidRPr="003E5C0C">
        <w:rPr>
          <w:rFonts w:ascii="Verdana" w:eastAsia="Calibri" w:hAnsi="Verdana" w:cs="Arial"/>
          <w:lang w:val="es-ES" w:eastAsia="es-ES"/>
        </w:rPr>
        <w:t xml:space="preserve"> de </w:t>
      </w:r>
      <w:r>
        <w:rPr>
          <w:rFonts w:ascii="Verdana" w:eastAsia="Calibri" w:hAnsi="Verdana" w:cs="Arial"/>
          <w:lang w:val="es-ES" w:eastAsia="es-ES"/>
        </w:rPr>
        <w:t>marzo</w:t>
      </w:r>
      <w:r w:rsidRPr="003E5C0C">
        <w:rPr>
          <w:rFonts w:ascii="Verdana" w:eastAsia="Calibri" w:hAnsi="Verdana" w:cs="Arial"/>
          <w:lang w:val="es-ES" w:eastAsia="es-ES"/>
        </w:rPr>
        <w:t xml:space="preserve"> de 202</w:t>
      </w:r>
      <w:r>
        <w:rPr>
          <w:rFonts w:ascii="Verdana" w:eastAsia="Calibri" w:hAnsi="Verdana" w:cs="Arial"/>
          <w:lang w:val="es-ES" w:eastAsia="es-ES"/>
        </w:rPr>
        <w:t>6</w:t>
      </w:r>
      <w:r w:rsidRPr="003E5C0C">
        <w:rPr>
          <w:rFonts w:ascii="Verdana" w:eastAsia="Calibri" w:hAnsi="Verdana" w:cs="Arial"/>
          <w:lang w:val="es-ES" w:eastAsia="es-ES"/>
        </w:rPr>
        <w:t xml:space="preserve">, en la cual manifiesta lo siguiente: </w:t>
      </w:r>
    </w:p>
    <w:p w14:paraId="4EA18CC7" w14:textId="77777777" w:rsidR="005262CA" w:rsidRPr="003E5C0C" w:rsidRDefault="005262CA" w:rsidP="005262CA">
      <w:pPr>
        <w:pStyle w:val="Prrafodelista"/>
        <w:tabs>
          <w:tab w:val="left" w:pos="142"/>
          <w:tab w:val="left" w:pos="284"/>
        </w:tabs>
        <w:spacing w:line="276" w:lineRule="auto"/>
        <w:ind w:left="0"/>
        <w:jc w:val="both"/>
        <w:rPr>
          <w:rFonts w:ascii="Verdana" w:eastAsia="Century Gothic" w:hAnsi="Verdana" w:cs="Century Gothic"/>
          <w:b/>
          <w:bCs/>
        </w:rPr>
      </w:pPr>
    </w:p>
    <w:p w14:paraId="26A29685" w14:textId="77777777" w:rsidR="005262CA" w:rsidRDefault="005262CA" w:rsidP="005262CA">
      <w:pPr>
        <w:spacing w:after="0" w:line="240" w:lineRule="auto"/>
        <w:ind w:left="709" w:right="709"/>
        <w:jc w:val="both"/>
        <w:rPr>
          <w:rFonts w:ascii="Verdana" w:hAnsi="Verdana" w:cs="Arial"/>
          <w:sz w:val="20"/>
          <w:szCs w:val="20"/>
          <w:shd w:val="clear" w:color="auto" w:fill="FFFFFF"/>
        </w:rPr>
      </w:pPr>
      <w:bookmarkStart w:id="1" w:name="_Hlk95313578"/>
      <w:r w:rsidRPr="003E5C0C">
        <w:rPr>
          <w:rFonts w:ascii="Verdana" w:eastAsia="Century Gothic" w:hAnsi="Verdana" w:cs="Century Gothic"/>
          <w:sz w:val="20"/>
          <w:szCs w:val="20"/>
          <w:lang w:val="es-ES"/>
        </w:rPr>
        <w:t>“</w:t>
      </w:r>
      <w:r w:rsidRPr="003E5C0C">
        <w:rPr>
          <w:rStyle w:val="normaltextrun"/>
          <w:rFonts w:ascii="Verdana" w:hAnsi="Verdana" w:cs="Arial"/>
          <w:sz w:val="20"/>
          <w:szCs w:val="20"/>
          <w:shd w:val="clear" w:color="auto" w:fill="FFFFFF"/>
          <w:lang w:val="es-ES"/>
        </w:rPr>
        <w:t xml:space="preserve">[…] </w:t>
      </w:r>
      <w:r w:rsidRPr="00280776">
        <w:rPr>
          <w:rFonts w:ascii="Verdana" w:hAnsi="Verdana" w:cs="Arial"/>
          <w:sz w:val="20"/>
          <w:szCs w:val="20"/>
          <w:shd w:val="clear" w:color="auto" w:fill="FFFFFF"/>
        </w:rPr>
        <w:t xml:space="preserve">La Personería Municipal de Páez no contaba con usuario institucional propio en el Sistema Electrónico para la Contratación Pública – SECOP. </w:t>
      </w:r>
      <w:proofErr w:type="gramStart"/>
      <w:r w:rsidRPr="00280776">
        <w:rPr>
          <w:rFonts w:ascii="Verdana" w:hAnsi="Verdana" w:cs="Arial"/>
          <w:sz w:val="20"/>
          <w:szCs w:val="20"/>
          <w:shd w:val="clear" w:color="auto" w:fill="FFFFFF"/>
        </w:rPr>
        <w:t>En razón de</w:t>
      </w:r>
      <w:proofErr w:type="gramEnd"/>
      <w:r w:rsidRPr="00280776">
        <w:rPr>
          <w:rFonts w:ascii="Verdana" w:hAnsi="Verdana" w:cs="Arial"/>
          <w:sz w:val="20"/>
          <w:szCs w:val="20"/>
          <w:shd w:val="clear" w:color="auto" w:fill="FFFFFF"/>
        </w:rPr>
        <w:t xml:space="preserve"> esta circunstancia, durante el mes de enero de 2026 se adelantaron dos (2) procesos contractuales correspondientes a esta entidad, los cuales fueron publicados en la plataforma SECOP utilizando el usuario institucional de la Alcaldía Municipal de Páez, con el fin de garantizar el cumplimiento de las obligaciones de publicidad y transparencia en materia contractual. Actualmente dichos contratos se encuentran en ejecución. Posteriormente, la Alcaldía Municipal informó a esta Personería la necesidad de adelantar el trámite para la creación de un usuario institucional propio en SECOP, trámite que ya fue solicitado </w:t>
      </w:r>
      <w:r w:rsidRPr="00280776">
        <w:rPr>
          <w:rFonts w:ascii="Verdana" w:hAnsi="Verdana" w:cs="Arial"/>
          <w:sz w:val="20"/>
          <w:szCs w:val="20"/>
          <w:shd w:val="clear" w:color="auto" w:fill="FFFFFF"/>
        </w:rPr>
        <w:lastRenderedPageBreak/>
        <w:t>ante la Agencia Nacional de Contratación Pública</w:t>
      </w:r>
      <w:r>
        <w:rPr>
          <w:rFonts w:ascii="Verdana" w:hAnsi="Verdana" w:cs="Arial"/>
          <w:sz w:val="20"/>
          <w:szCs w:val="20"/>
          <w:shd w:val="clear" w:color="auto" w:fill="FFFFFF"/>
        </w:rPr>
        <w:t xml:space="preserve"> </w:t>
      </w:r>
      <w:r w:rsidRPr="00BF6EF5">
        <w:rPr>
          <w:rFonts w:ascii="Verdana" w:hAnsi="Verdana" w:cs="Arial"/>
          <w:sz w:val="20"/>
          <w:szCs w:val="20"/>
          <w:shd w:val="clear" w:color="auto" w:fill="FFFFFF"/>
        </w:rPr>
        <w:t xml:space="preserve">Colombia Compra Eficiente y que se encuentra actualmente en proceso de habilitación. </w:t>
      </w:r>
      <w:r>
        <w:rPr>
          <w:rFonts w:ascii="Verdana" w:hAnsi="Verdana" w:cs="Arial"/>
          <w:sz w:val="20"/>
          <w:szCs w:val="20"/>
          <w:shd w:val="clear" w:color="auto" w:fill="FFFFFF"/>
        </w:rPr>
        <w:t xml:space="preserve">  </w:t>
      </w:r>
    </w:p>
    <w:p w14:paraId="46753931" w14:textId="77777777" w:rsidR="005262CA" w:rsidRDefault="005262CA" w:rsidP="005262CA">
      <w:pPr>
        <w:spacing w:after="0" w:line="240" w:lineRule="auto"/>
        <w:ind w:left="709" w:right="709"/>
        <w:jc w:val="both"/>
        <w:rPr>
          <w:rFonts w:ascii="Verdana" w:hAnsi="Verdana" w:cs="Arial"/>
          <w:sz w:val="20"/>
          <w:szCs w:val="20"/>
          <w:shd w:val="clear" w:color="auto" w:fill="FFFFFF"/>
        </w:rPr>
      </w:pPr>
    </w:p>
    <w:p w14:paraId="1A1FF494" w14:textId="77777777" w:rsidR="005262CA" w:rsidRDefault="005262CA" w:rsidP="005262CA">
      <w:pPr>
        <w:spacing w:after="0" w:line="240" w:lineRule="auto"/>
        <w:ind w:left="709" w:right="709"/>
        <w:jc w:val="both"/>
        <w:rPr>
          <w:rFonts w:ascii="Verdana" w:hAnsi="Verdana" w:cs="Arial"/>
          <w:sz w:val="20"/>
          <w:szCs w:val="20"/>
          <w:shd w:val="clear" w:color="auto" w:fill="FFFFFF"/>
        </w:rPr>
      </w:pPr>
      <w:r w:rsidRPr="00BF6EF5">
        <w:rPr>
          <w:rFonts w:ascii="Verdana" w:hAnsi="Verdana" w:cs="Arial"/>
          <w:sz w:val="20"/>
          <w:szCs w:val="20"/>
          <w:shd w:val="clear" w:color="auto" w:fill="FFFFFF"/>
        </w:rPr>
        <w:t xml:space="preserve">Sin embargo, ha surgido una inquietud institucional respecto a la continuidad de las actuaciones administrativas asociadas a los contratos actualmente en ejecución, teniendo en cuenta que estos fueron publicados en la plataforma SECOP mediante el usuario institucional de la Alcaldía Municipal, aunque corresponden a procesos contractuales de la Personería Municipal. </w:t>
      </w:r>
    </w:p>
    <w:p w14:paraId="56F69B32" w14:textId="77777777" w:rsidR="005262CA" w:rsidRDefault="005262CA" w:rsidP="005262CA">
      <w:pPr>
        <w:spacing w:after="0" w:line="240" w:lineRule="auto"/>
        <w:ind w:left="709" w:right="709"/>
        <w:jc w:val="both"/>
        <w:rPr>
          <w:rFonts w:ascii="Verdana" w:hAnsi="Verdana" w:cs="Arial"/>
          <w:sz w:val="20"/>
          <w:szCs w:val="20"/>
          <w:shd w:val="clear" w:color="auto" w:fill="FFFFFF"/>
        </w:rPr>
      </w:pPr>
    </w:p>
    <w:p w14:paraId="4DACA74D" w14:textId="77777777" w:rsidR="005262CA" w:rsidRDefault="005262CA" w:rsidP="005262CA">
      <w:pPr>
        <w:spacing w:after="0" w:line="240" w:lineRule="auto"/>
        <w:ind w:left="709" w:right="709"/>
        <w:jc w:val="both"/>
        <w:rPr>
          <w:rFonts w:ascii="Verdana" w:hAnsi="Verdana" w:cs="Arial"/>
          <w:sz w:val="20"/>
          <w:szCs w:val="20"/>
          <w:shd w:val="clear" w:color="auto" w:fill="FFFFFF"/>
        </w:rPr>
      </w:pPr>
      <w:r w:rsidRPr="00BF6EF5">
        <w:rPr>
          <w:rFonts w:ascii="Verdana" w:hAnsi="Verdana" w:cs="Arial"/>
          <w:sz w:val="20"/>
          <w:szCs w:val="20"/>
          <w:shd w:val="clear" w:color="auto" w:fill="FFFFFF"/>
        </w:rPr>
        <w:t xml:space="preserve">En este contexto, y considerando que el artículo 209 de la Constitución Política establece que la función administrativa debe desarrollarse con fundamento en los principios de eficacia, economía y continuidad, así como que el artículo 113 de la Constitución dispone que los diferentes órganos del Estado tienen funciones separadas pero deben colaborar armónicamente para la realización de los fines del Estado, respetuosamente solicitamos orientación frente a los siguientes aspectos: </w:t>
      </w:r>
    </w:p>
    <w:p w14:paraId="739B2284" w14:textId="77777777" w:rsidR="005262CA" w:rsidRDefault="005262CA" w:rsidP="005262CA">
      <w:pPr>
        <w:spacing w:after="0" w:line="240" w:lineRule="auto"/>
        <w:ind w:left="709" w:right="709"/>
        <w:jc w:val="both"/>
        <w:rPr>
          <w:rFonts w:ascii="Verdana" w:hAnsi="Verdana" w:cs="Arial"/>
          <w:sz w:val="20"/>
          <w:szCs w:val="20"/>
          <w:shd w:val="clear" w:color="auto" w:fill="FFFFFF"/>
        </w:rPr>
      </w:pPr>
    </w:p>
    <w:p w14:paraId="21881139" w14:textId="77777777" w:rsidR="005262CA" w:rsidRDefault="005262CA" w:rsidP="005262CA">
      <w:pPr>
        <w:spacing w:after="0" w:line="240" w:lineRule="auto"/>
        <w:ind w:left="709" w:right="709"/>
        <w:jc w:val="both"/>
        <w:rPr>
          <w:rFonts w:ascii="Verdana" w:hAnsi="Verdana" w:cs="Arial"/>
          <w:sz w:val="20"/>
          <w:szCs w:val="20"/>
          <w:shd w:val="clear" w:color="auto" w:fill="FFFFFF"/>
        </w:rPr>
      </w:pPr>
      <w:r w:rsidRPr="00BF6EF5">
        <w:rPr>
          <w:rFonts w:ascii="Verdana" w:hAnsi="Verdana" w:cs="Arial"/>
          <w:sz w:val="20"/>
          <w:szCs w:val="20"/>
          <w:shd w:val="clear" w:color="auto" w:fill="FFFFFF"/>
        </w:rPr>
        <w:t xml:space="preserve">1. Desde la perspectiva de los principios de la función administrativa, particularmente los principios de coordinación y colaboración armónica entre entidades públicas, ¿cómo debe garantizarse la continuidad de las actuaciones administrativas relacionadas con contratos que se encuentran en ejecución cuando estos han sido gestionados administrativamente con el apoyo de otra entidad pública? </w:t>
      </w:r>
    </w:p>
    <w:p w14:paraId="7C098781" w14:textId="77777777" w:rsidR="005262CA" w:rsidRDefault="005262CA" w:rsidP="005262CA">
      <w:pPr>
        <w:spacing w:after="0" w:line="240" w:lineRule="auto"/>
        <w:ind w:left="709" w:right="709"/>
        <w:jc w:val="both"/>
        <w:rPr>
          <w:rFonts w:ascii="Verdana" w:hAnsi="Verdana" w:cs="Arial"/>
          <w:sz w:val="20"/>
          <w:szCs w:val="20"/>
          <w:shd w:val="clear" w:color="auto" w:fill="FFFFFF"/>
        </w:rPr>
      </w:pPr>
    </w:p>
    <w:p w14:paraId="14A04ADD" w14:textId="77777777" w:rsidR="005262CA" w:rsidRDefault="005262CA" w:rsidP="005262CA">
      <w:pPr>
        <w:spacing w:after="0" w:line="240" w:lineRule="auto"/>
        <w:ind w:left="709" w:right="709"/>
        <w:jc w:val="both"/>
        <w:rPr>
          <w:rFonts w:ascii="Verdana" w:hAnsi="Verdana" w:cs="Arial"/>
          <w:sz w:val="20"/>
          <w:szCs w:val="20"/>
          <w:shd w:val="clear" w:color="auto" w:fill="FFFFFF"/>
        </w:rPr>
      </w:pPr>
      <w:r w:rsidRPr="00BF6EF5">
        <w:rPr>
          <w:rFonts w:ascii="Verdana" w:hAnsi="Verdana" w:cs="Arial"/>
          <w:sz w:val="20"/>
          <w:szCs w:val="20"/>
          <w:shd w:val="clear" w:color="auto" w:fill="FFFFFF"/>
        </w:rPr>
        <w:t xml:space="preserve">2. En el marco de la colaboración armónica entre entidades estatales, ¿cuáles son las responsabilidades administrativas que deben asumir las entidades cuando, por razones operativas o administrativas, una de ellas ha apoyado a otra en la gestión de actuaciones contractuales necesarias para garantizar el cumplimiento de las obligaciones legales de publicidad y transparencia? </w:t>
      </w:r>
    </w:p>
    <w:p w14:paraId="6464C272" w14:textId="77777777" w:rsidR="005262CA" w:rsidRDefault="005262CA" w:rsidP="005262CA">
      <w:pPr>
        <w:spacing w:after="0" w:line="240" w:lineRule="auto"/>
        <w:ind w:left="709" w:right="709"/>
        <w:jc w:val="both"/>
        <w:rPr>
          <w:rFonts w:ascii="Verdana" w:hAnsi="Verdana" w:cs="Arial"/>
          <w:sz w:val="20"/>
          <w:szCs w:val="20"/>
          <w:shd w:val="clear" w:color="auto" w:fill="FFFFFF"/>
        </w:rPr>
      </w:pPr>
    </w:p>
    <w:p w14:paraId="0884782B" w14:textId="77777777" w:rsidR="005262CA" w:rsidRDefault="005262CA" w:rsidP="005262CA">
      <w:pPr>
        <w:spacing w:after="0" w:line="240" w:lineRule="auto"/>
        <w:ind w:left="709" w:right="709"/>
        <w:jc w:val="both"/>
        <w:rPr>
          <w:rFonts w:ascii="Verdana" w:hAnsi="Verdana" w:cs="Arial"/>
          <w:sz w:val="20"/>
          <w:szCs w:val="20"/>
          <w:shd w:val="clear" w:color="auto" w:fill="FFFFFF"/>
        </w:rPr>
      </w:pPr>
      <w:r w:rsidRPr="00BF6EF5">
        <w:rPr>
          <w:rFonts w:ascii="Verdana" w:hAnsi="Verdana" w:cs="Arial"/>
          <w:sz w:val="20"/>
          <w:szCs w:val="20"/>
          <w:shd w:val="clear" w:color="auto" w:fill="FFFFFF"/>
        </w:rPr>
        <w:t>3. ¿Qué mecanismos administrativos o de coordinación institucional resultan adecuados para garantizar la continuidad de la gestión contractual y evitar afectaciones en la ejecución de contratos estatales en situaciones como la descrita?</w:t>
      </w:r>
      <w:r>
        <w:rPr>
          <w:rFonts w:ascii="Verdana" w:hAnsi="Verdana" w:cs="Arial"/>
          <w:sz w:val="20"/>
          <w:szCs w:val="20"/>
          <w:shd w:val="clear" w:color="auto" w:fill="FFFFFF"/>
        </w:rPr>
        <w:t xml:space="preserve"> </w:t>
      </w:r>
    </w:p>
    <w:p w14:paraId="5D02BA8C" w14:textId="77777777" w:rsidR="005262CA" w:rsidRDefault="005262CA" w:rsidP="005262CA">
      <w:pPr>
        <w:spacing w:after="0" w:line="240" w:lineRule="auto"/>
        <w:ind w:left="709" w:right="709"/>
        <w:jc w:val="both"/>
        <w:rPr>
          <w:rStyle w:val="normaltextrun"/>
          <w:rFonts w:ascii="Verdana" w:hAnsi="Verdana" w:cs="Arial"/>
          <w:sz w:val="20"/>
          <w:szCs w:val="20"/>
          <w:shd w:val="clear" w:color="auto" w:fill="FFFFFF"/>
          <w:lang w:val="es-ES"/>
        </w:rPr>
      </w:pPr>
    </w:p>
    <w:p w14:paraId="4CBB7E27" w14:textId="77777777" w:rsidR="005262CA" w:rsidRPr="003E5C0C" w:rsidRDefault="005262CA" w:rsidP="005262CA">
      <w:pPr>
        <w:spacing w:after="0" w:line="240" w:lineRule="auto"/>
        <w:ind w:left="709" w:right="709"/>
        <w:jc w:val="both"/>
        <w:rPr>
          <w:rFonts w:ascii="Verdana" w:eastAsia="Century Gothic" w:hAnsi="Verdana" w:cs="Century Gothic"/>
          <w:sz w:val="20"/>
          <w:szCs w:val="20"/>
          <w:lang w:val="es-ES"/>
        </w:rPr>
      </w:pPr>
      <w:r w:rsidRPr="003E5C0C">
        <w:rPr>
          <w:rStyle w:val="normaltextrun"/>
          <w:rFonts w:ascii="Verdana" w:hAnsi="Verdana" w:cs="Arial"/>
          <w:sz w:val="20"/>
          <w:szCs w:val="20"/>
          <w:shd w:val="clear" w:color="auto" w:fill="FFFFFF"/>
          <w:lang w:val="es-ES"/>
        </w:rPr>
        <w:t>[…]</w:t>
      </w:r>
      <w:r w:rsidRPr="003E5C0C">
        <w:rPr>
          <w:rFonts w:ascii="Verdana" w:eastAsia="Century Gothic" w:hAnsi="Verdana" w:cs="Century Gothic"/>
          <w:sz w:val="20"/>
          <w:szCs w:val="20"/>
          <w:lang w:val="es-ES"/>
        </w:rPr>
        <w:t>”</w:t>
      </w:r>
      <w:bookmarkEnd w:id="1"/>
      <w:r w:rsidRPr="003E5C0C">
        <w:rPr>
          <w:rFonts w:ascii="Verdana" w:eastAsia="Century Gothic" w:hAnsi="Verdana" w:cs="Century Gothic"/>
          <w:sz w:val="20"/>
          <w:szCs w:val="20"/>
          <w:lang w:val="es-ES"/>
        </w:rPr>
        <w:t>.</w:t>
      </w:r>
    </w:p>
    <w:p w14:paraId="4FE36A38" w14:textId="77777777" w:rsidR="005262CA" w:rsidRPr="00593A5F" w:rsidRDefault="005262CA" w:rsidP="005262CA">
      <w:pPr>
        <w:pStyle w:val="Prrafodelista"/>
        <w:tabs>
          <w:tab w:val="left" w:pos="142"/>
          <w:tab w:val="left" w:pos="284"/>
        </w:tabs>
        <w:spacing w:line="276" w:lineRule="auto"/>
        <w:ind w:left="0"/>
        <w:jc w:val="both"/>
        <w:rPr>
          <w:rFonts w:ascii="Verdana" w:eastAsia="Century Gothic" w:hAnsi="Verdana" w:cs="Century Gothic"/>
          <w:b/>
          <w:bCs/>
        </w:rPr>
      </w:pPr>
    </w:p>
    <w:p w14:paraId="626ECE31" w14:textId="77777777" w:rsidR="005262CA" w:rsidRPr="004505A6" w:rsidRDefault="005262CA" w:rsidP="005262CA">
      <w:pPr>
        <w:spacing w:after="120" w:line="276" w:lineRule="auto"/>
        <w:ind w:firstLine="709"/>
        <w:jc w:val="both"/>
        <w:rPr>
          <w:rFonts w:ascii="Verdana" w:eastAsia="Calibri" w:hAnsi="Verdana" w:cs="Arial"/>
          <w:color w:val="000000"/>
          <w:lang w:eastAsia="es-ES"/>
        </w:rPr>
      </w:pPr>
      <w:r w:rsidRPr="004505A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w:t>
      </w:r>
      <w:r w:rsidRPr="004505A6">
        <w:rPr>
          <w:rFonts w:ascii="Verdana" w:eastAsia="Calibri" w:hAnsi="Verdana" w:cs="Arial"/>
          <w:color w:val="000000"/>
          <w:lang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505A6">
        <w:rPr>
          <w:rFonts w:ascii="Verdana" w:eastAsia="Calibri" w:hAnsi="Verdana" w:cs="Arial"/>
          <w:color w:val="000000"/>
          <w:szCs w:val="24"/>
          <w:lang w:eastAsia="es-ES_tradnl"/>
        </w:rPr>
        <w:tab/>
      </w:r>
    </w:p>
    <w:p w14:paraId="4FE92490" w14:textId="77777777" w:rsidR="005262CA" w:rsidRPr="009353A6" w:rsidRDefault="005262CA" w:rsidP="005262CA">
      <w:pPr>
        <w:spacing w:after="120" w:line="276" w:lineRule="auto"/>
        <w:ind w:firstLine="709"/>
        <w:jc w:val="both"/>
        <w:rPr>
          <w:rFonts w:ascii="Verdana" w:eastAsia="Calibri" w:hAnsi="Verdana" w:cs="Arial"/>
          <w:color w:val="000000"/>
          <w:lang w:eastAsia="es-ES"/>
        </w:rPr>
      </w:pPr>
      <w:r w:rsidRPr="004505A6">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señalando algunas consideraciones sobre las normas generales relacionadas con el</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problema</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jurídico</w:t>
      </w:r>
      <w:r w:rsidRPr="004505A6">
        <w:rPr>
          <w:rFonts w:ascii="Verdana" w:eastAsia="Calibri" w:hAnsi="Verdana" w:cs="Arial"/>
          <w:color w:val="7030A0"/>
          <w:lang w:eastAsia="es-ES"/>
        </w:rPr>
        <w:t xml:space="preserve"> </w:t>
      </w:r>
      <w:r w:rsidRPr="004505A6">
        <w:rPr>
          <w:rFonts w:ascii="Verdana" w:eastAsia="Calibri" w:hAnsi="Verdana" w:cs="Arial"/>
          <w:color w:val="000000"/>
          <w:lang w:eastAsia="es-ES"/>
        </w:rPr>
        <w:t xml:space="preserve">de su consulta. </w:t>
      </w:r>
    </w:p>
    <w:p w14:paraId="3E2C7E55" w14:textId="77777777" w:rsidR="005262CA" w:rsidRDefault="005262CA" w:rsidP="005262C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 xml:space="preserve">En relación con los aspectos técnicos de la consulta relacionados con el SECOP, se anexa respuesta de la Subdirección de Información y Desarrollo Tecnológico sobre el trámite respectivo en dicha plataforma. </w:t>
      </w:r>
    </w:p>
    <w:p w14:paraId="4BF74A6F" w14:textId="77777777" w:rsidR="005262CA" w:rsidRPr="00593A5F" w:rsidRDefault="005262CA" w:rsidP="005262CA">
      <w:pPr>
        <w:spacing w:after="0" w:line="276" w:lineRule="auto"/>
        <w:ind w:firstLine="709"/>
        <w:jc w:val="both"/>
        <w:rPr>
          <w:rFonts w:ascii="Verdana" w:eastAsia="Calibri" w:hAnsi="Verdana" w:cs="Arial"/>
          <w:color w:val="000000"/>
          <w:lang w:val="es-ES" w:eastAsia="es-ES"/>
        </w:rPr>
      </w:pPr>
    </w:p>
    <w:p w14:paraId="68EF7012" w14:textId="77777777" w:rsidR="005262CA" w:rsidRPr="00593A5F" w:rsidRDefault="005262CA" w:rsidP="005262C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44AB4405" w14:textId="77777777" w:rsidR="005262CA" w:rsidRPr="00593A5F" w:rsidRDefault="005262CA" w:rsidP="005262CA">
      <w:pPr>
        <w:tabs>
          <w:tab w:val="left" w:pos="426"/>
        </w:tabs>
        <w:spacing w:after="0" w:line="276" w:lineRule="auto"/>
        <w:jc w:val="both"/>
        <w:rPr>
          <w:rFonts w:ascii="Verdana" w:eastAsia="Century Gothic" w:hAnsi="Verdana" w:cs="Century Gothic"/>
          <w:lang w:val="es-ES"/>
        </w:rPr>
      </w:pPr>
    </w:p>
    <w:p w14:paraId="795D59B7" w14:textId="77777777" w:rsidR="005262CA" w:rsidRPr="003E5C0C" w:rsidRDefault="005262CA" w:rsidP="005262CA">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3E5C0C">
        <w:rPr>
          <w:rFonts w:ascii="Verdana" w:eastAsia="Century Gothic" w:hAnsi="Verdana" w:cs="Century Gothic"/>
        </w:rPr>
        <w:t xml:space="preserve">su solicitud, esta Agencia resolverá </w:t>
      </w:r>
      <w:r>
        <w:rPr>
          <w:rFonts w:ascii="Verdana" w:eastAsia="Century Gothic" w:hAnsi="Verdana" w:cs="Century Gothic"/>
        </w:rPr>
        <w:t>el</w:t>
      </w:r>
      <w:r w:rsidRPr="003E5C0C">
        <w:rPr>
          <w:rFonts w:ascii="Verdana" w:eastAsia="Century Gothic" w:hAnsi="Verdana" w:cs="Century Gothic"/>
        </w:rPr>
        <w:t xml:space="preserve"> siguiente problema jurídico:</w:t>
      </w:r>
      <w:r>
        <w:rPr>
          <w:rFonts w:ascii="Verdana" w:eastAsia="Century Gothic" w:hAnsi="Verdana" w:cs="Century Gothic"/>
        </w:rPr>
        <w:t xml:space="preserve"> </w:t>
      </w:r>
      <w:r>
        <w:rPr>
          <w:rFonts w:ascii="Verdana" w:hAnsi="Verdana"/>
        </w:rPr>
        <w:t>¿Puede una Personería Municipal celebrar un convenio interadministrativo para la coordinación y articulación de su gestión administrativa?</w:t>
      </w:r>
    </w:p>
    <w:p w14:paraId="0D47C2E3" w14:textId="77777777" w:rsidR="005262CA" w:rsidRPr="00593A5F" w:rsidRDefault="005262CA" w:rsidP="005262CA">
      <w:pPr>
        <w:spacing w:after="0" w:line="276" w:lineRule="auto"/>
        <w:jc w:val="both"/>
        <w:rPr>
          <w:rFonts w:ascii="Verdana" w:eastAsia="Calibri" w:hAnsi="Verdana" w:cs="Arial"/>
          <w:color w:val="7030A0"/>
          <w:lang w:val="es-ES"/>
        </w:rPr>
      </w:pPr>
    </w:p>
    <w:p w14:paraId="150C2641" w14:textId="77777777" w:rsidR="005262CA" w:rsidRPr="00593A5F" w:rsidRDefault="005262CA" w:rsidP="005262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E245067" w14:textId="77777777" w:rsidR="005262CA" w:rsidRPr="00593A5F" w:rsidRDefault="005262CA" w:rsidP="005262C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262CA" w:rsidRPr="00593A5F" w14:paraId="227CD598" w14:textId="77777777" w:rsidTr="009A17C6">
        <w:tc>
          <w:tcPr>
            <w:tcW w:w="8828" w:type="dxa"/>
          </w:tcPr>
          <w:p w14:paraId="222D2928" w14:textId="77777777" w:rsidR="005262CA" w:rsidRPr="00EF52DE" w:rsidRDefault="005262CA" w:rsidP="009A17C6">
            <w:pPr>
              <w:tabs>
                <w:tab w:val="left" w:pos="709"/>
              </w:tabs>
              <w:spacing w:before="120" w:after="120" w:line="276" w:lineRule="auto"/>
              <w:jc w:val="both"/>
              <w:rPr>
                <w:rFonts w:ascii="Verdana" w:hAnsi="Verdana" w:cs="Arial"/>
                <w:shd w:val="clear" w:color="auto" w:fill="FFFFFF"/>
              </w:rPr>
            </w:pPr>
            <w:r>
              <w:rPr>
                <w:rFonts w:ascii="Verdana" w:hAnsi="Verdana" w:cs="Arial"/>
              </w:rPr>
              <w:t xml:space="preserve">Las Personerías Municipales y Distritales están dotadas de autonomía administrativa y presupuestal conforme lo dispone el artículo 108 del Estatuto Orgánico del Presupuesto. Esta autonomía implica que cuentan con capacidad y competencia para ordenar sus propios gastos dentro de los límites que impone la Ley y la Constitución, con la finalidad de cumplir, de manera independiente a la administración local, el ejercicio de su labor de control. </w:t>
            </w:r>
            <w:r w:rsidRPr="0039692F">
              <w:rPr>
                <w:rFonts w:ascii="Verdana" w:hAnsi="Verdana" w:cs="Arial"/>
              </w:rPr>
              <w:t>En armonía con lo anterior, el artículo 110 del Estatuto Orgánico del presupuesto</w:t>
            </w:r>
            <w:r>
              <w:rPr>
                <w:rFonts w:ascii="Verdana" w:hAnsi="Verdana" w:cs="Arial"/>
              </w:rPr>
              <w:t xml:space="preserve"> le otorga a las personerías municipales y distritales la competencia para celebrar contratos y “</w:t>
            </w:r>
            <w:r w:rsidRPr="00E06657">
              <w:rPr>
                <w:rFonts w:ascii="Verdana" w:hAnsi="Verdana" w:cs="Arial"/>
              </w:rPr>
              <w:t xml:space="preserve">les confiere la categoría de ser una sección del </w:t>
            </w:r>
            <w:r w:rsidRPr="00E06657">
              <w:rPr>
                <w:rFonts w:ascii="Verdana" w:hAnsi="Verdana" w:cs="Arial"/>
              </w:rPr>
              <w:lastRenderedPageBreak/>
              <w:t>presupuesto del respectivo distrito o municipio, con lo cual, además de la potestad de contratar y comprometer a nombre de la persona jurídica de la cual hacen parte (el distrito o el municipio), pueden válidamente ordenar el gasto respecto de las apropiaciones que han sido incorporadas en la Sección que les corresponde</w:t>
            </w:r>
            <w:r>
              <w:rPr>
                <w:rFonts w:ascii="Verdana" w:hAnsi="Verdana" w:cs="Arial"/>
              </w:rPr>
              <w:t>”.</w:t>
            </w:r>
          </w:p>
          <w:p w14:paraId="39909DAD" w14:textId="77777777" w:rsidR="005262CA" w:rsidRPr="00CA2671" w:rsidRDefault="005262CA" w:rsidP="009A17C6">
            <w:pPr>
              <w:widowControl w:val="0"/>
              <w:autoSpaceDE w:val="0"/>
              <w:autoSpaceDN w:val="0"/>
              <w:spacing w:before="120" w:after="120" w:line="276" w:lineRule="auto"/>
              <w:ind w:firstLine="708"/>
              <w:jc w:val="both"/>
              <w:rPr>
                <w:rFonts w:ascii="Verdana" w:hAnsi="Verdana" w:cs="Arial"/>
              </w:rPr>
            </w:pPr>
            <w:r>
              <w:rPr>
                <w:rFonts w:ascii="Verdana" w:hAnsi="Verdana" w:cs="Arial"/>
              </w:rPr>
              <w:t xml:space="preserve">En este sentido, </w:t>
            </w:r>
            <w:r w:rsidRPr="003B3201">
              <w:rPr>
                <w:rFonts w:ascii="Verdana" w:hAnsi="Verdana" w:cs="Arial"/>
              </w:rPr>
              <w:t xml:space="preserve">resulta evidente que la Ley reconoce la autonomía presupuestal de las personerías municipales y distritales, lo cual </w:t>
            </w:r>
            <w:r>
              <w:rPr>
                <w:rFonts w:ascii="Verdana" w:hAnsi="Verdana" w:cs="Arial"/>
              </w:rPr>
              <w:t>significa</w:t>
            </w:r>
            <w:r w:rsidRPr="003B3201">
              <w:rPr>
                <w:rFonts w:ascii="Verdana" w:hAnsi="Verdana" w:cs="Arial"/>
              </w:rPr>
              <w:t xml:space="preserve"> no solo la capacidad jurídica para celebrar contratos</w:t>
            </w:r>
            <w:r>
              <w:rPr>
                <w:rFonts w:ascii="Verdana" w:hAnsi="Verdana" w:cs="Arial"/>
              </w:rPr>
              <w:t xml:space="preserve"> en el marco del Estatuto General de Contratación de la Administración Pública, sino también </w:t>
            </w:r>
            <w:r w:rsidRPr="003B3201">
              <w:rPr>
                <w:rFonts w:ascii="Verdana" w:hAnsi="Verdana" w:cs="Arial"/>
              </w:rPr>
              <w:t>comprometer válidamente el gasto</w:t>
            </w:r>
            <w:r>
              <w:rPr>
                <w:rFonts w:ascii="Verdana" w:hAnsi="Verdana" w:cs="Arial"/>
              </w:rPr>
              <w:t xml:space="preserve"> en desarrollo de las apropiaciones designadas en la sección presupuestal correspondiente</w:t>
            </w:r>
            <w:r w:rsidRPr="003B3201">
              <w:rPr>
                <w:rFonts w:ascii="Verdana" w:hAnsi="Verdana" w:cs="Arial"/>
              </w:rPr>
              <w:t xml:space="preserve">. Esta independencia es fundamental para garantizar el cumplimiento de sus funciones constitucionales y legales de manera efectiva y sin interferencias indebidas, permitiendo que actúen con objetividad e imparcialidad en </w:t>
            </w:r>
            <w:r>
              <w:rPr>
                <w:rFonts w:ascii="Verdana" w:hAnsi="Verdana" w:cs="Arial"/>
              </w:rPr>
              <w:t xml:space="preserve">cumplimiento de sus funciones como Ministerio Público. </w:t>
            </w:r>
          </w:p>
          <w:p w14:paraId="7BFDCDE3" w14:textId="77777777" w:rsidR="005262CA" w:rsidRPr="000301B6" w:rsidRDefault="005262CA" w:rsidP="009A17C6">
            <w:pPr>
              <w:tabs>
                <w:tab w:val="left" w:pos="709"/>
              </w:tabs>
              <w:spacing w:before="120" w:after="120" w:line="276" w:lineRule="auto"/>
              <w:ind w:firstLine="709"/>
              <w:jc w:val="both"/>
              <w:rPr>
                <w:rFonts w:ascii="Verdana" w:hAnsi="Verdana" w:cs="Arial"/>
                <w:shd w:val="clear" w:color="auto" w:fill="FFFFFF"/>
              </w:rPr>
            </w:pPr>
            <w:r>
              <w:rPr>
                <w:rFonts w:ascii="Verdana" w:hAnsi="Verdana" w:cs="Arial"/>
              </w:rPr>
              <w:t>Ahora bien, e</w:t>
            </w:r>
            <w:r w:rsidRPr="002C675F">
              <w:rPr>
                <w:rFonts w:ascii="Verdana" w:eastAsia="Times New Roman" w:hAnsi="Verdana" w:cs="Arial"/>
                <w:lang w:val="es-ES" w:eastAsia="es-ES_tradnl"/>
              </w:rPr>
              <w:t>n consonancia con el artículo 209 de la Constitución Política, del que se desprenden los deberes de coordinación y colaboración a cargo de todas las autoridades administrativas,</w:t>
            </w:r>
            <w:r w:rsidRPr="002C675F">
              <w:rPr>
                <w:rFonts w:ascii="Verdana" w:eastAsia="Calibri" w:hAnsi="Verdana" w:cs="Arial"/>
              </w:rPr>
              <w:t xml:space="preserv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52D067B6" w14:textId="77777777" w:rsidR="005262CA" w:rsidRDefault="005262CA" w:rsidP="009A17C6">
            <w:pPr>
              <w:spacing w:after="120" w:line="276" w:lineRule="auto"/>
              <w:ind w:firstLine="743"/>
              <w:jc w:val="both"/>
              <w:rPr>
                <w:rFonts w:ascii="Verdana" w:eastAsia="Times New Roman" w:hAnsi="Verdana" w:cs="Arial"/>
                <w:lang w:val="es-ES" w:eastAsia="es-ES_tradnl"/>
              </w:rPr>
            </w:pPr>
            <w:r>
              <w:rPr>
                <w:rFonts w:ascii="Verdana" w:eastAsia="Times New Roman" w:hAnsi="Verdana" w:cs="Arial"/>
                <w:lang w:val="es-ES" w:eastAsia="es-ES_tradnl"/>
              </w:rPr>
              <w:t>D</w:t>
            </w:r>
            <w:r w:rsidRPr="002C675F">
              <w:rPr>
                <w:rFonts w:ascii="Verdana" w:eastAsia="Times New Roman" w:hAnsi="Verdana" w:cs="Arial"/>
                <w:lang w:val="es-ES" w:eastAsia="es-ES_tradnl"/>
              </w:rPr>
              <w:t xml:space="preserve">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F02718">
              <w:rPr>
                <w:rFonts w:ascii="Verdana" w:eastAsia="Times New Roman" w:hAnsi="Verdana" w:cs="Arial"/>
                <w:lang w:val="es-ES" w:eastAsia="es-ES_tradnl"/>
              </w:rPr>
              <w:t>(i)</w:t>
            </w:r>
            <w:r w:rsidRPr="002C675F">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F02718">
              <w:rPr>
                <w:rFonts w:ascii="Verdana" w:eastAsia="Times New Roman" w:hAnsi="Verdana" w:cs="Arial"/>
                <w:lang w:val="es-ES" w:eastAsia="es-ES_tradnl"/>
              </w:rPr>
              <w:t>(</w:t>
            </w:r>
            <w:proofErr w:type="spellStart"/>
            <w:r w:rsidRPr="00F02718">
              <w:rPr>
                <w:rFonts w:ascii="Verdana" w:eastAsia="Times New Roman" w:hAnsi="Verdana" w:cs="Arial"/>
                <w:lang w:val="es-ES" w:eastAsia="es-ES_tradnl"/>
              </w:rPr>
              <w:t>ii</w:t>
            </w:r>
            <w:proofErr w:type="spellEnd"/>
            <w:r w:rsidRPr="00F02718">
              <w:rPr>
                <w:rFonts w:ascii="Verdana" w:eastAsia="Times New Roman" w:hAnsi="Verdana" w:cs="Arial"/>
                <w:lang w:val="es-ES" w:eastAsia="es-ES_tradnl"/>
              </w:rPr>
              <w:t>)</w:t>
            </w:r>
            <w:r w:rsidRPr="002C675F">
              <w:rPr>
                <w:rFonts w:ascii="Verdana" w:eastAsia="Times New Roman" w:hAnsi="Verdana" w:cs="Arial"/>
                <w:lang w:val="es-ES" w:eastAsia="es-ES_tradnl"/>
              </w:rPr>
              <w:t xml:space="preserve"> la modalidad para su celebración es la contratación directa; </w:t>
            </w:r>
            <w:r w:rsidRPr="00F02718">
              <w:rPr>
                <w:rFonts w:ascii="Verdana" w:eastAsia="Times New Roman" w:hAnsi="Verdana" w:cs="Arial"/>
                <w:lang w:val="es-ES" w:eastAsia="es-ES_tradnl"/>
              </w:rPr>
              <w:t>(</w:t>
            </w:r>
            <w:proofErr w:type="spellStart"/>
            <w:r w:rsidRPr="00F02718">
              <w:rPr>
                <w:rFonts w:ascii="Verdana" w:eastAsia="Times New Roman" w:hAnsi="Verdana" w:cs="Arial"/>
                <w:lang w:val="es-ES" w:eastAsia="es-ES_tradnl"/>
              </w:rPr>
              <w:t>iii</w:t>
            </w:r>
            <w:proofErr w:type="spellEnd"/>
            <w:r w:rsidRPr="00F02718">
              <w:rPr>
                <w:rFonts w:ascii="Verdana" w:eastAsia="Times New Roman" w:hAnsi="Verdana" w:cs="Arial"/>
                <w:lang w:val="es-ES" w:eastAsia="es-ES_tradnl"/>
              </w:rPr>
              <w:t>)</w:t>
            </w:r>
            <w:r w:rsidRPr="002C675F">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w:t>
            </w:r>
            <w:r w:rsidRPr="002C675F">
              <w:rPr>
                <w:rFonts w:ascii="Verdana" w:eastAsia="Times New Roman" w:hAnsi="Verdana" w:cs="Arial"/>
                <w:lang w:val="es-ES" w:eastAsia="es-ES_tradnl"/>
              </w:rPr>
              <w:lastRenderedPageBreak/>
              <w:t xml:space="preserve">tipo de relaciones jurídicas exista una remuneración en favor de uno de los </w:t>
            </w:r>
            <w:proofErr w:type="spellStart"/>
            <w:r w:rsidRPr="002C675F">
              <w:rPr>
                <w:rFonts w:ascii="Verdana" w:eastAsia="Times New Roman" w:hAnsi="Verdana" w:cs="Arial"/>
                <w:lang w:val="es-ES" w:eastAsia="es-ES_tradnl"/>
              </w:rPr>
              <w:t>co-contratantes</w:t>
            </w:r>
            <w:proofErr w:type="spellEnd"/>
            <w:r w:rsidRPr="002C675F">
              <w:rPr>
                <w:rFonts w:ascii="Verdana" w:eastAsia="Times New Roman" w:hAnsi="Verdana" w:cs="Arial"/>
                <w:lang w:val="es-ES" w:eastAsia="es-ES_tradnl"/>
              </w:rPr>
              <w:t xml:space="preserve"> y a cargo de otro u otros</w:t>
            </w:r>
            <w:r>
              <w:rPr>
                <w:rFonts w:ascii="Verdana" w:eastAsia="Times New Roman" w:hAnsi="Verdana" w:cs="Arial"/>
                <w:lang w:val="es-ES" w:eastAsia="es-ES_tradnl"/>
              </w:rPr>
              <w:t>.</w:t>
            </w:r>
          </w:p>
          <w:p w14:paraId="2027A0D6" w14:textId="77777777" w:rsidR="005262CA" w:rsidRPr="00DE423E" w:rsidRDefault="005262CA" w:rsidP="009A17C6">
            <w:pPr>
              <w:spacing w:after="120" w:line="276" w:lineRule="auto"/>
              <w:ind w:firstLine="709"/>
              <w:jc w:val="both"/>
              <w:rPr>
                <w:rFonts w:ascii="Verdana" w:eastAsia="Calibri" w:hAnsi="Verdana" w:cs="Arial"/>
                <w:bCs/>
                <w:color w:val="000000" w:themeColor="text1"/>
                <w:lang w:eastAsia="es-ES_tradnl" w:bidi="es-ES"/>
              </w:rPr>
            </w:pPr>
            <w:r>
              <w:rPr>
                <w:rFonts w:ascii="Verdana" w:eastAsia="Calibri" w:hAnsi="Verdana" w:cs="Arial"/>
                <w:bCs/>
                <w:color w:val="000000" w:themeColor="text1"/>
                <w:lang w:eastAsia="es-ES_tradnl" w:bidi="es-ES"/>
              </w:rPr>
              <w:t>Bajo estas consideraciones, l</w:t>
            </w:r>
            <w:r w:rsidRPr="00DE423E">
              <w:rPr>
                <w:rFonts w:ascii="Verdana" w:eastAsia="Calibri" w:hAnsi="Verdana" w:cs="Arial"/>
                <w:bCs/>
                <w:color w:val="000000" w:themeColor="text1"/>
                <w:lang w:eastAsia="es-ES_tradnl" w:bidi="es-ES"/>
              </w:rPr>
              <w:t xml:space="preserve">as entidades públicas </w:t>
            </w:r>
            <w:r>
              <w:rPr>
                <w:rFonts w:ascii="Verdana" w:eastAsia="Calibri" w:hAnsi="Verdana" w:cs="Arial"/>
                <w:bCs/>
                <w:color w:val="000000" w:themeColor="text1"/>
                <w:lang w:eastAsia="es-ES_tradnl" w:bidi="es-ES"/>
              </w:rPr>
              <w:t xml:space="preserve">pueden celebrar </w:t>
            </w:r>
            <w:r w:rsidRPr="00DE423E">
              <w:rPr>
                <w:rFonts w:ascii="Verdana" w:eastAsia="Calibri" w:hAnsi="Verdana" w:cs="Arial"/>
                <w:bCs/>
                <w:color w:val="000000" w:themeColor="text1"/>
                <w:lang w:eastAsia="es-ES_tradnl" w:bidi="es-ES"/>
              </w:rPr>
              <w:t xml:space="preserve">se convenios interadministrativos con el propósito de articular esfuerzos en el cumplimiento de funciones administrativas o en la prestación conjunta de servicios a su cargo. En este marco, y atendiendo a la naturaleza y competencias de cada entidad, </w:t>
            </w:r>
            <w:r>
              <w:rPr>
                <w:rFonts w:ascii="Verdana" w:eastAsia="Calibri" w:hAnsi="Verdana" w:cs="Arial"/>
                <w:bCs/>
                <w:color w:val="000000" w:themeColor="text1"/>
                <w:lang w:eastAsia="es-ES_tradnl" w:bidi="es-ES"/>
              </w:rPr>
              <w:t>una P</w:t>
            </w:r>
            <w:r w:rsidRPr="00DE423E">
              <w:rPr>
                <w:rFonts w:ascii="Verdana" w:eastAsia="Calibri" w:hAnsi="Verdana" w:cs="Arial"/>
                <w:bCs/>
                <w:color w:val="000000" w:themeColor="text1"/>
                <w:lang w:eastAsia="es-ES_tradnl" w:bidi="es-ES"/>
              </w:rPr>
              <w:t xml:space="preserve">ersonería </w:t>
            </w:r>
            <w:r>
              <w:rPr>
                <w:rFonts w:ascii="Verdana" w:eastAsia="Calibri" w:hAnsi="Verdana" w:cs="Arial"/>
                <w:bCs/>
                <w:color w:val="000000" w:themeColor="text1"/>
                <w:lang w:eastAsia="es-ES_tradnl" w:bidi="es-ES"/>
              </w:rPr>
              <w:t xml:space="preserve">Municipal o Distrital puede válidamente </w:t>
            </w:r>
            <w:r w:rsidRPr="00DE423E">
              <w:rPr>
                <w:rFonts w:ascii="Verdana" w:eastAsia="Calibri" w:hAnsi="Verdana" w:cs="Arial"/>
                <w:bCs/>
                <w:color w:val="000000" w:themeColor="text1"/>
                <w:lang w:eastAsia="es-ES_tradnl" w:bidi="es-ES"/>
              </w:rPr>
              <w:t>suscrib</w:t>
            </w:r>
            <w:r>
              <w:rPr>
                <w:rFonts w:ascii="Verdana" w:eastAsia="Calibri" w:hAnsi="Verdana" w:cs="Arial"/>
                <w:bCs/>
                <w:color w:val="000000" w:themeColor="text1"/>
                <w:lang w:eastAsia="es-ES_tradnl" w:bidi="es-ES"/>
              </w:rPr>
              <w:t>ir</w:t>
            </w:r>
            <w:r w:rsidRPr="00DE423E">
              <w:rPr>
                <w:rFonts w:ascii="Verdana" w:eastAsia="Calibri" w:hAnsi="Verdana" w:cs="Arial"/>
                <w:bCs/>
                <w:color w:val="000000" w:themeColor="text1"/>
                <w:lang w:eastAsia="es-ES_tradnl" w:bidi="es-ES"/>
              </w:rPr>
              <w:t xml:space="preserve"> un convenio con </w:t>
            </w:r>
            <w:r>
              <w:rPr>
                <w:rFonts w:ascii="Verdana" w:eastAsia="Calibri" w:hAnsi="Verdana" w:cs="Arial"/>
                <w:bCs/>
                <w:color w:val="000000" w:themeColor="text1"/>
                <w:lang w:eastAsia="es-ES_tradnl" w:bidi="es-ES"/>
              </w:rPr>
              <w:t xml:space="preserve">otra entidad </w:t>
            </w:r>
            <w:r w:rsidRPr="00DE423E">
              <w:rPr>
                <w:rFonts w:ascii="Verdana" w:eastAsia="Calibri" w:hAnsi="Verdana" w:cs="Arial"/>
                <w:bCs/>
                <w:color w:val="000000" w:themeColor="text1"/>
                <w:lang w:eastAsia="es-ES_tradnl" w:bidi="es-ES"/>
              </w:rPr>
              <w:t>orientado a fortalecer la gestión institucional y garantizar una actuación administrativa más eficiente, coordinada y acorde con los principios que rigen la función pública.</w:t>
            </w:r>
          </w:p>
          <w:p w14:paraId="2B5204EA" w14:textId="77777777" w:rsidR="005262CA" w:rsidRDefault="005262CA" w:rsidP="009A17C6">
            <w:pPr>
              <w:spacing w:after="120" w:line="276" w:lineRule="auto"/>
              <w:ind w:firstLine="709"/>
              <w:jc w:val="both"/>
              <w:rPr>
                <w:rFonts w:ascii="Verdana" w:eastAsia="Calibri" w:hAnsi="Verdana" w:cs="Arial"/>
                <w:bCs/>
                <w:color w:val="000000" w:themeColor="text1"/>
                <w:lang w:eastAsia="es-ES_tradnl" w:bidi="es-ES"/>
              </w:rPr>
            </w:pPr>
            <w:r>
              <w:rPr>
                <w:rFonts w:ascii="Verdana" w:eastAsia="Calibri" w:hAnsi="Verdana" w:cs="Arial"/>
                <w:bCs/>
                <w:color w:val="000000" w:themeColor="text1"/>
                <w:lang w:eastAsia="es-ES_tradnl" w:bidi="es-ES"/>
              </w:rPr>
              <w:t xml:space="preserve">En este contexto, teniendo en cuenta que los contratos </w:t>
            </w:r>
            <w:r w:rsidRPr="00DE423E">
              <w:rPr>
                <w:rFonts w:ascii="Verdana" w:eastAsia="Calibri" w:hAnsi="Verdana" w:cs="Arial"/>
                <w:bCs/>
                <w:color w:val="000000" w:themeColor="text1"/>
                <w:lang w:eastAsia="es-ES_tradnl" w:bidi="es-ES"/>
              </w:rPr>
              <w:t>se fundamenta</w:t>
            </w:r>
            <w:r>
              <w:rPr>
                <w:rFonts w:ascii="Verdana" w:eastAsia="Calibri" w:hAnsi="Verdana" w:cs="Arial"/>
                <w:bCs/>
                <w:color w:val="000000" w:themeColor="text1"/>
                <w:lang w:eastAsia="es-ES_tradnl" w:bidi="es-ES"/>
              </w:rPr>
              <w:t>n</w:t>
            </w:r>
            <w:r w:rsidRPr="00DE423E">
              <w:rPr>
                <w:rFonts w:ascii="Verdana" w:eastAsia="Calibri" w:hAnsi="Verdana" w:cs="Arial"/>
                <w:bCs/>
                <w:color w:val="000000" w:themeColor="text1"/>
                <w:lang w:eastAsia="es-ES_tradnl" w:bidi="es-ES"/>
              </w:rPr>
              <w:t xml:space="preserve"> en el principio de autonomía de la voluntad, lo que permite a las entidades definir, de manera concertada, las condiciones que regirán su relación de cooperación</w:t>
            </w:r>
            <w:r>
              <w:rPr>
                <w:rFonts w:ascii="Verdana" w:eastAsia="Calibri" w:hAnsi="Verdana" w:cs="Arial"/>
                <w:bCs/>
                <w:color w:val="000000" w:themeColor="text1"/>
                <w:lang w:eastAsia="es-ES_tradnl" w:bidi="es-ES"/>
              </w:rPr>
              <w:t xml:space="preserve">, en </w:t>
            </w:r>
            <w:r w:rsidRPr="00DE423E">
              <w:rPr>
                <w:rFonts w:ascii="Verdana" w:eastAsia="Calibri" w:hAnsi="Verdana" w:cs="Arial"/>
                <w:bCs/>
                <w:color w:val="000000" w:themeColor="text1"/>
                <w:lang w:eastAsia="es-ES_tradnl" w:bidi="es-ES"/>
              </w:rPr>
              <w:t>el convenio debe establecer con precisión los compromisos asumidos por cada parte, las actividades específicas que desarrollarán para alcanzar los objetivos propuestos, así como la delimitación clara de responsabilidades</w:t>
            </w:r>
            <w:r>
              <w:rPr>
                <w:rFonts w:ascii="Verdana" w:eastAsia="Calibri" w:hAnsi="Verdana" w:cs="Arial"/>
                <w:bCs/>
                <w:color w:val="000000" w:themeColor="text1"/>
                <w:lang w:eastAsia="es-ES_tradnl" w:bidi="es-ES"/>
              </w:rPr>
              <w:t xml:space="preserve">. </w:t>
            </w:r>
            <w:r w:rsidRPr="00DE423E">
              <w:rPr>
                <w:rFonts w:ascii="Verdana" w:eastAsia="Calibri" w:hAnsi="Verdana" w:cs="Arial"/>
                <w:bCs/>
                <w:color w:val="000000" w:themeColor="text1"/>
                <w:lang w:eastAsia="es-ES_tradnl" w:bidi="es-ES"/>
              </w:rPr>
              <w:t xml:space="preserve">De igual forma, es esencial que en el convenio se incorporen mecanismos administrativos y de coordinación que faciliten la articulación interinstitucional, </w:t>
            </w:r>
            <w:r>
              <w:rPr>
                <w:rFonts w:ascii="Verdana" w:eastAsia="Calibri" w:hAnsi="Verdana" w:cs="Arial"/>
                <w:bCs/>
                <w:color w:val="000000" w:themeColor="text1"/>
                <w:lang w:eastAsia="es-ES_tradnl" w:bidi="es-ES"/>
              </w:rPr>
              <w:t xml:space="preserve">que </w:t>
            </w:r>
            <w:r w:rsidRPr="00DE423E">
              <w:rPr>
                <w:rFonts w:ascii="Verdana" w:eastAsia="Calibri" w:hAnsi="Verdana" w:cs="Arial"/>
                <w:bCs/>
                <w:color w:val="000000" w:themeColor="text1"/>
                <w:lang w:eastAsia="es-ES_tradnl" w:bidi="es-ES"/>
              </w:rPr>
              <w:t>permit</w:t>
            </w:r>
            <w:r>
              <w:rPr>
                <w:rFonts w:ascii="Verdana" w:eastAsia="Calibri" w:hAnsi="Verdana" w:cs="Arial"/>
                <w:bCs/>
                <w:color w:val="000000" w:themeColor="text1"/>
                <w:lang w:eastAsia="es-ES_tradnl" w:bidi="es-ES"/>
              </w:rPr>
              <w:t>a</w:t>
            </w:r>
            <w:r w:rsidRPr="00DE423E">
              <w:rPr>
                <w:rFonts w:ascii="Verdana" w:eastAsia="Calibri" w:hAnsi="Verdana" w:cs="Arial"/>
                <w:bCs/>
                <w:color w:val="000000" w:themeColor="text1"/>
                <w:lang w:eastAsia="es-ES_tradnl" w:bidi="es-ES"/>
              </w:rPr>
              <w:t xml:space="preserve">n garantizar el cumplimiento efectivo del objeto convenido, </w:t>
            </w:r>
            <w:r>
              <w:rPr>
                <w:rFonts w:ascii="Verdana" w:eastAsia="Calibri" w:hAnsi="Verdana" w:cs="Arial"/>
                <w:bCs/>
                <w:color w:val="000000" w:themeColor="text1"/>
                <w:lang w:eastAsia="es-ES_tradnl" w:bidi="es-ES"/>
              </w:rPr>
              <w:t xml:space="preserve">así como </w:t>
            </w:r>
            <w:r w:rsidRPr="00DE423E">
              <w:rPr>
                <w:rFonts w:ascii="Verdana" w:eastAsia="Calibri" w:hAnsi="Verdana" w:cs="Arial"/>
                <w:bCs/>
                <w:color w:val="000000" w:themeColor="text1"/>
                <w:lang w:eastAsia="es-ES_tradnl" w:bidi="es-ES"/>
              </w:rPr>
              <w:t>también asegura</w:t>
            </w:r>
            <w:r>
              <w:rPr>
                <w:rFonts w:ascii="Verdana" w:eastAsia="Calibri" w:hAnsi="Verdana" w:cs="Arial"/>
                <w:bCs/>
                <w:color w:val="000000" w:themeColor="text1"/>
                <w:lang w:eastAsia="es-ES_tradnl" w:bidi="es-ES"/>
              </w:rPr>
              <w:t>r</w:t>
            </w:r>
            <w:r w:rsidRPr="00DE423E">
              <w:rPr>
                <w:rFonts w:ascii="Verdana" w:eastAsia="Calibri" w:hAnsi="Verdana" w:cs="Arial"/>
                <w:bCs/>
                <w:color w:val="000000" w:themeColor="text1"/>
                <w:lang w:eastAsia="es-ES_tradnl" w:bidi="es-ES"/>
              </w:rPr>
              <w:t xml:space="preserve"> la continuidad de las actuaciones administrativas, la transparencia en la gestión y la adecuada distribución de cargas y responsabilidades entre las entidades</w:t>
            </w:r>
            <w:r>
              <w:rPr>
                <w:rFonts w:ascii="Verdana" w:eastAsia="Calibri" w:hAnsi="Verdana" w:cs="Arial"/>
                <w:bCs/>
                <w:color w:val="000000" w:themeColor="text1"/>
                <w:lang w:eastAsia="es-ES_tradnl" w:bidi="es-ES"/>
              </w:rPr>
              <w:t xml:space="preserve">. </w:t>
            </w:r>
          </w:p>
          <w:p w14:paraId="04935051" w14:textId="77777777" w:rsidR="005262CA" w:rsidRPr="00605C63" w:rsidRDefault="005262CA" w:rsidP="009A17C6">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 xml:space="preserve">En todo caso, </w:t>
            </w:r>
            <w:r>
              <w:rPr>
                <w:rFonts w:ascii="Verdana" w:hAnsi="Verdana" w:cs="Arial"/>
                <w:lang w:val="es-ES_tradnl" w:eastAsia="es-ES"/>
              </w:rPr>
              <w:t>debe advertirse que el análisis requerido para resolver problemas específicos debe realizarse por quienes tengan interés en ello, de acuerdo con lo explicado la aclaración preliminar del presente oficio, por lo que corresponde a cada entidad verificar el mecanismo jurídico adecuado para resolver su problema particular.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2A1AFB77" w14:textId="77777777" w:rsidR="005262CA" w:rsidRPr="00593A5F" w:rsidRDefault="005262CA" w:rsidP="005262CA">
      <w:pPr>
        <w:tabs>
          <w:tab w:val="left" w:pos="142"/>
          <w:tab w:val="left" w:pos="284"/>
        </w:tabs>
        <w:spacing w:after="0" w:line="276" w:lineRule="auto"/>
        <w:jc w:val="both"/>
        <w:rPr>
          <w:rFonts w:ascii="Verdana" w:eastAsia="Century Gothic" w:hAnsi="Verdana" w:cs="Century Gothic"/>
          <w:b/>
          <w:bCs/>
          <w:lang w:val="es-ES"/>
        </w:rPr>
      </w:pPr>
    </w:p>
    <w:p w14:paraId="682DD680" w14:textId="77777777" w:rsidR="005262CA" w:rsidRPr="00593A5F" w:rsidRDefault="005262CA" w:rsidP="005262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18AD746" w14:textId="77777777" w:rsidR="005262CA" w:rsidRPr="00593A5F" w:rsidRDefault="005262CA" w:rsidP="005262CA">
      <w:pPr>
        <w:spacing w:after="0" w:line="276" w:lineRule="auto"/>
        <w:jc w:val="both"/>
        <w:rPr>
          <w:rFonts w:ascii="Verdana" w:eastAsia="Calibri" w:hAnsi="Verdana" w:cs="Arial"/>
          <w:color w:val="7030A0"/>
          <w:lang w:val="es-ES"/>
        </w:rPr>
      </w:pPr>
    </w:p>
    <w:p w14:paraId="06716C0E" w14:textId="77777777" w:rsidR="005262CA" w:rsidRDefault="005262CA" w:rsidP="005262CA">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84AFD79" w14:textId="77777777" w:rsidR="005262CA" w:rsidRPr="00CA2671" w:rsidRDefault="005262CA" w:rsidP="005262CA">
      <w:pPr>
        <w:spacing w:after="0" w:line="276" w:lineRule="auto"/>
        <w:jc w:val="both"/>
        <w:rPr>
          <w:rFonts w:ascii="Verdana" w:eastAsia="Calibri" w:hAnsi="Verdana" w:cs="Arial"/>
          <w:lang w:val="es-ES"/>
        </w:rPr>
      </w:pPr>
    </w:p>
    <w:p w14:paraId="7FEAE11F" w14:textId="77777777" w:rsidR="005262CA" w:rsidRDefault="005262CA" w:rsidP="005262CA">
      <w:pPr>
        <w:widowControl w:val="0"/>
        <w:autoSpaceDE w:val="0"/>
        <w:autoSpaceDN w:val="0"/>
        <w:spacing w:before="120" w:after="120" w:line="276" w:lineRule="auto"/>
        <w:jc w:val="both"/>
        <w:rPr>
          <w:rFonts w:ascii="Verdana" w:hAnsi="Verdana" w:cs="Arial"/>
        </w:rPr>
      </w:pPr>
      <w:r>
        <w:rPr>
          <w:rFonts w:ascii="Verdana" w:hAnsi="Verdana" w:cs="Arial"/>
          <w:shd w:val="clear" w:color="auto" w:fill="FFFFFF"/>
        </w:rPr>
        <w:t xml:space="preserve">i. </w:t>
      </w:r>
      <w:r>
        <w:rPr>
          <w:rFonts w:ascii="Verdana" w:hAnsi="Verdana" w:cs="Arial"/>
        </w:rPr>
        <w:t xml:space="preserve">Las Personerías Municipales y Distritales están dotadas de autonomía administrativa y presupuestal conforme lo dispone el artículo 108 del Estatuto Orgánico del Presupuesto. Esta autonomía implica que cuentan con capacidad y competencia para ordenar sus propios gastos dentro de los límites que impone la Ley y la Constitución, con la finalidad de cumplir, de manera independiente a la administración local, el ejercicio de su labor de control. Al respecto, la Corte Constitucional señaló lo siguiente: </w:t>
      </w:r>
    </w:p>
    <w:p w14:paraId="70CB5E1E" w14:textId="77777777" w:rsidR="005262CA" w:rsidRDefault="005262CA" w:rsidP="005262CA">
      <w:pPr>
        <w:widowControl w:val="0"/>
        <w:autoSpaceDE w:val="0"/>
        <w:autoSpaceDN w:val="0"/>
        <w:spacing w:after="0" w:line="276" w:lineRule="auto"/>
        <w:ind w:firstLine="709"/>
        <w:jc w:val="both"/>
        <w:rPr>
          <w:rFonts w:ascii="Verdana" w:hAnsi="Verdana" w:cs="Arial"/>
        </w:rPr>
      </w:pPr>
      <w:r>
        <w:rPr>
          <w:rFonts w:ascii="Verdana" w:hAnsi="Verdana" w:cs="Arial"/>
        </w:rPr>
        <w:t xml:space="preserve"> </w:t>
      </w:r>
    </w:p>
    <w:p w14:paraId="44E6887A"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r w:rsidRPr="008B0029">
        <w:rPr>
          <w:rFonts w:ascii="Verdana" w:hAnsi="Verdana" w:cs="Arial"/>
          <w:sz w:val="20"/>
          <w:szCs w:val="20"/>
        </w:rPr>
        <w:t>La imposibilidad del alcalde para oficiar como ordenador del gasto de las contralorías y personerías municipales, asumiendo directamente la capacidad para contratar y comprometer las partidas presupuestales asignadas a nombre de estos órganos de control, constituye prenda de garantía de la efectividad del principio basilar del Estado Social de Derecho, que consagra el artículo 113 Fundamental y que corrobora el artículo 121, en virtud del cual los diferentes órganos estatales tienen funciones separadas pero colaboran armónicamente para la realización de sus fines, estándoles vedado el ejercicio de funciones distintas de las que le atribuyen la Constitución y la ley.</w:t>
      </w:r>
    </w:p>
    <w:p w14:paraId="5B0E9998" w14:textId="77777777" w:rsidR="005262CA" w:rsidRPr="008B0029" w:rsidRDefault="005262CA" w:rsidP="005262CA">
      <w:pPr>
        <w:widowControl w:val="0"/>
        <w:autoSpaceDE w:val="0"/>
        <w:autoSpaceDN w:val="0"/>
        <w:spacing w:after="0" w:line="240" w:lineRule="auto"/>
        <w:ind w:left="709" w:right="709"/>
        <w:jc w:val="both"/>
        <w:rPr>
          <w:rFonts w:ascii="Verdana" w:hAnsi="Verdana" w:cs="Arial"/>
          <w:sz w:val="20"/>
          <w:szCs w:val="20"/>
        </w:rPr>
      </w:pPr>
    </w:p>
    <w:p w14:paraId="5A273DED"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r w:rsidRPr="008B0029">
        <w:rPr>
          <w:rFonts w:ascii="Verdana" w:hAnsi="Verdana" w:cs="Arial"/>
          <w:sz w:val="20"/>
          <w:szCs w:val="20"/>
        </w:rPr>
        <w:t xml:space="preserve">Suponer que la Carta autoriza a los alcaldes para ordenar el gasto de las contralorías y personerías municipales es desconocer el sentido y alcance de las disposiciones constitucionales que, en general, </w:t>
      </w:r>
      <w:proofErr w:type="gramStart"/>
      <w:r w:rsidRPr="008B0029">
        <w:rPr>
          <w:rFonts w:ascii="Verdana" w:hAnsi="Verdana" w:cs="Arial"/>
          <w:sz w:val="20"/>
          <w:szCs w:val="20"/>
        </w:rPr>
        <w:t>le</w:t>
      </w:r>
      <w:proofErr w:type="gramEnd"/>
      <w:r w:rsidRPr="008B0029">
        <w:rPr>
          <w:rFonts w:ascii="Verdana" w:hAnsi="Verdana" w:cs="Arial"/>
          <w:sz w:val="20"/>
          <w:szCs w:val="20"/>
        </w:rPr>
        <w:t xml:space="preserve"> aseguran a los órganos de control la autonomía necesaria para el ejercicio de su labor fiscalizadora, atributo que deriva diáfanamente de lo señalado en los artículos 113, 117, 118, 119, 268, 272, 277 y 313-8 del Ordenamiento Superior.</w:t>
      </w:r>
    </w:p>
    <w:p w14:paraId="2E7F818B"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p>
    <w:p w14:paraId="6C99802B"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r>
        <w:rPr>
          <w:rFonts w:ascii="Verdana" w:hAnsi="Verdana" w:cs="Arial"/>
          <w:sz w:val="20"/>
          <w:szCs w:val="20"/>
        </w:rPr>
        <w:t>(…)</w:t>
      </w:r>
    </w:p>
    <w:p w14:paraId="57D6E72F"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p>
    <w:p w14:paraId="6A6FCFC3" w14:textId="77777777" w:rsidR="005262CA" w:rsidRPr="0039692F" w:rsidRDefault="005262CA" w:rsidP="005262CA">
      <w:pPr>
        <w:widowControl w:val="0"/>
        <w:autoSpaceDE w:val="0"/>
        <w:autoSpaceDN w:val="0"/>
        <w:spacing w:after="0" w:line="240" w:lineRule="auto"/>
        <w:ind w:left="709" w:right="709"/>
        <w:jc w:val="both"/>
        <w:rPr>
          <w:rFonts w:ascii="Verdana" w:hAnsi="Verdana" w:cs="Arial"/>
          <w:sz w:val="20"/>
          <w:szCs w:val="20"/>
        </w:rPr>
      </w:pPr>
      <w:r w:rsidRPr="001B2079">
        <w:rPr>
          <w:rFonts w:ascii="Verdana" w:hAnsi="Verdana" w:cs="Arial"/>
          <w:sz w:val="20"/>
          <w:szCs w:val="20"/>
        </w:rPr>
        <w:t xml:space="preserve">Es incuestionable, pues, que las contralorías y </w:t>
      </w:r>
      <w:r w:rsidRPr="000C5CD0">
        <w:rPr>
          <w:rFonts w:ascii="Verdana" w:hAnsi="Verdana" w:cs="Arial"/>
          <w:i/>
          <w:iCs/>
          <w:sz w:val="20"/>
          <w:szCs w:val="20"/>
        </w:rPr>
        <w:t>personerías</w:t>
      </w:r>
      <w:r w:rsidRPr="001B2079">
        <w:rPr>
          <w:rFonts w:ascii="Verdana" w:hAnsi="Verdana" w:cs="Arial"/>
          <w:sz w:val="20"/>
          <w:szCs w:val="20"/>
        </w:rPr>
        <w:t xml:space="preserve"> tienen competencia para ordenar sus gastos con independencia de lo decidido por el alcalde para la administración local, lo cual constituye, incuestionablemente, una expresión de la autonomía presupuestal que les reconoce la Carta Política para la consecución de </w:t>
      </w:r>
      <w:proofErr w:type="gramStart"/>
      <w:r w:rsidRPr="001B2079">
        <w:rPr>
          <w:rFonts w:ascii="Verdana" w:hAnsi="Verdana" w:cs="Arial"/>
          <w:sz w:val="20"/>
          <w:szCs w:val="20"/>
        </w:rPr>
        <w:t>las altos propósitos</w:t>
      </w:r>
      <w:proofErr w:type="gramEnd"/>
      <w:r w:rsidRPr="001B2079">
        <w:rPr>
          <w:rFonts w:ascii="Verdana" w:hAnsi="Verdana" w:cs="Arial"/>
          <w:sz w:val="20"/>
          <w:szCs w:val="20"/>
        </w:rPr>
        <w:t xml:space="preserve"> que les ha trazado el Estatuto Superior</w:t>
      </w:r>
      <w:r>
        <w:rPr>
          <w:rStyle w:val="Refdenotaalpie"/>
          <w:rFonts w:ascii="Verdana" w:hAnsi="Verdana" w:cs="Arial"/>
          <w:sz w:val="20"/>
          <w:szCs w:val="20"/>
        </w:rPr>
        <w:footnoteReference w:id="2"/>
      </w:r>
      <w:r w:rsidRPr="001B2079">
        <w:rPr>
          <w:rFonts w:ascii="Verdana" w:hAnsi="Verdana" w:cs="Arial"/>
          <w:sz w:val="20"/>
          <w:szCs w:val="20"/>
        </w:rPr>
        <w:t>.</w:t>
      </w:r>
    </w:p>
    <w:p w14:paraId="5E8255F0" w14:textId="77777777" w:rsidR="005262CA" w:rsidRDefault="005262CA" w:rsidP="005262CA">
      <w:pPr>
        <w:widowControl w:val="0"/>
        <w:autoSpaceDE w:val="0"/>
        <w:autoSpaceDN w:val="0"/>
        <w:spacing w:before="120" w:after="120" w:line="276" w:lineRule="auto"/>
        <w:ind w:firstLine="708"/>
        <w:jc w:val="both"/>
        <w:rPr>
          <w:rFonts w:ascii="Verdana" w:hAnsi="Verdana" w:cs="Arial"/>
        </w:rPr>
      </w:pPr>
      <w:r w:rsidRPr="0039692F">
        <w:rPr>
          <w:rFonts w:ascii="Verdana" w:hAnsi="Verdana" w:cs="Arial"/>
        </w:rPr>
        <w:t>En armonía con lo anterior, el artículo 110 del Estatuto Orgánico del presupuesto</w:t>
      </w:r>
      <w:r>
        <w:rPr>
          <w:rFonts w:ascii="Verdana" w:hAnsi="Verdana" w:cs="Arial"/>
        </w:rPr>
        <w:t xml:space="preserve"> le otorga a las personerías municipales y distritales la competencia para celebrar contratos y “</w:t>
      </w:r>
      <w:r w:rsidRPr="00E06657">
        <w:rPr>
          <w:rFonts w:ascii="Verdana" w:hAnsi="Verdana" w:cs="Arial"/>
        </w:rPr>
        <w:t xml:space="preserve">les confiere la categoría de ser una sección del presupuesto del respectivo distrito o municipio, con lo cual, además de la </w:t>
      </w:r>
      <w:r w:rsidRPr="00E06657">
        <w:rPr>
          <w:rFonts w:ascii="Verdana" w:hAnsi="Verdana" w:cs="Arial"/>
        </w:rPr>
        <w:lastRenderedPageBreak/>
        <w:t>potestad de contratar y comprometer a nombre de la persona jurídica de la cual hacen parte (el distrito o el municipio), pueden válidamente ordenar el gasto respecto de las apropiaciones que han sido incorporadas en la Sección que les corresponde</w:t>
      </w:r>
      <w:r>
        <w:rPr>
          <w:rStyle w:val="Refdenotaalpie"/>
          <w:rFonts w:ascii="Verdana" w:hAnsi="Verdana" w:cs="Arial"/>
        </w:rPr>
        <w:footnoteReference w:id="3"/>
      </w:r>
      <w:r>
        <w:rPr>
          <w:rFonts w:ascii="Verdana" w:hAnsi="Verdana" w:cs="Arial"/>
        </w:rPr>
        <w:t xml:space="preserve">”. Este artículo dispone lo siguiente:  </w:t>
      </w:r>
    </w:p>
    <w:p w14:paraId="4927B9D2" w14:textId="77777777" w:rsidR="005262CA" w:rsidRPr="0039692F" w:rsidRDefault="005262CA" w:rsidP="005262CA">
      <w:pPr>
        <w:widowControl w:val="0"/>
        <w:autoSpaceDE w:val="0"/>
        <w:autoSpaceDN w:val="0"/>
        <w:spacing w:after="0" w:line="276" w:lineRule="auto"/>
        <w:ind w:firstLine="709"/>
        <w:jc w:val="both"/>
        <w:rPr>
          <w:rFonts w:ascii="Verdana" w:hAnsi="Verdana" w:cs="Arial"/>
        </w:rPr>
      </w:pPr>
    </w:p>
    <w:p w14:paraId="14107AC5"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r w:rsidRPr="0096727D">
        <w:rPr>
          <w:rFonts w:ascii="Verdana" w:hAnsi="Verdana" w:cs="Arial"/>
          <w:sz w:val="20"/>
          <w:szCs w:val="20"/>
        </w:rPr>
        <w:t xml:space="preserve"> “ARTÍCULO 110. </w:t>
      </w:r>
      <w:r w:rsidRPr="00B45C80">
        <w:rPr>
          <w:rFonts w:ascii="Verdana" w:hAnsi="Verdana" w:cs="Arial"/>
          <w:sz w:val="20"/>
          <w:szCs w:val="20"/>
        </w:rPr>
        <w:t>&lt;Artículo modificado por el artículo </w:t>
      </w:r>
      <w:hyperlink r:id="rId12" w:anchor="337" w:history="1">
        <w:r w:rsidRPr="00B45C80">
          <w:rPr>
            <w:rStyle w:val="Hipervnculo"/>
            <w:rFonts w:ascii="Verdana" w:hAnsi="Verdana" w:cs="Arial"/>
            <w:color w:val="000000" w:themeColor="text1"/>
            <w:sz w:val="20"/>
            <w:szCs w:val="20"/>
            <w:u w:val="none"/>
          </w:rPr>
          <w:t>337</w:t>
        </w:r>
      </w:hyperlink>
      <w:r w:rsidRPr="00B45C80">
        <w:rPr>
          <w:rFonts w:ascii="Verdana" w:hAnsi="Verdana" w:cs="Arial"/>
          <w:color w:val="000000" w:themeColor="text1"/>
          <w:sz w:val="20"/>
          <w:szCs w:val="20"/>
        </w:rPr>
        <w:t xml:space="preserve"> de la </w:t>
      </w:r>
      <w:r w:rsidRPr="00B45C80">
        <w:rPr>
          <w:rFonts w:ascii="Verdana" w:hAnsi="Verdana" w:cs="Arial"/>
          <w:sz w:val="20"/>
          <w:szCs w:val="20"/>
        </w:rPr>
        <w:t xml:space="preserve">Ley 2294 de 2023. El nuevo texto es el siguiente:&gt; </w:t>
      </w:r>
      <w:r w:rsidRPr="00816454">
        <w:rPr>
          <w:rFonts w:ascii="Verdana" w:hAnsi="Verdana" w:cs="Arial"/>
          <w:i/>
          <w:iCs/>
          <w:sz w:val="20"/>
          <w:szCs w:val="20"/>
        </w:rPr>
        <w:t>Los órganos que son una sección en el Presupuesto General de la Nación, tendrán la capacidad de contratar y comprometer a nombre de la persona jurídica de la cual hagan parte,</w:t>
      </w:r>
      <w:r w:rsidRPr="00B45C80">
        <w:rPr>
          <w:rFonts w:ascii="Verdana" w:hAnsi="Verdana" w:cs="Arial"/>
          <w:sz w:val="20"/>
          <w:szCs w:val="20"/>
        </w:rPr>
        <w:t xml:space="preserv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574283FF" w14:textId="77777777" w:rsidR="005262CA" w:rsidRPr="00B45C80" w:rsidRDefault="005262CA" w:rsidP="005262CA">
      <w:pPr>
        <w:widowControl w:val="0"/>
        <w:autoSpaceDE w:val="0"/>
        <w:autoSpaceDN w:val="0"/>
        <w:spacing w:after="0" w:line="240" w:lineRule="auto"/>
        <w:ind w:left="709" w:right="709"/>
        <w:jc w:val="both"/>
        <w:rPr>
          <w:rFonts w:ascii="Verdana" w:hAnsi="Verdana" w:cs="Arial"/>
          <w:sz w:val="20"/>
          <w:szCs w:val="20"/>
        </w:rPr>
      </w:pPr>
    </w:p>
    <w:p w14:paraId="2DCEC2D3" w14:textId="77777777" w:rsidR="005262CA" w:rsidRDefault="005262CA" w:rsidP="005262CA">
      <w:pPr>
        <w:widowControl w:val="0"/>
        <w:autoSpaceDE w:val="0"/>
        <w:autoSpaceDN w:val="0"/>
        <w:spacing w:after="0" w:line="240" w:lineRule="auto"/>
        <w:ind w:left="709" w:right="709"/>
        <w:jc w:val="both"/>
        <w:rPr>
          <w:rFonts w:ascii="Verdana" w:hAnsi="Verdana" w:cs="Arial"/>
          <w:sz w:val="20"/>
          <w:szCs w:val="20"/>
        </w:rPr>
      </w:pPr>
      <w:r w:rsidRPr="00B45C80">
        <w:rPr>
          <w:rFonts w:ascii="Verdana" w:hAnsi="Verdana" w:cs="Arial"/>
          <w:sz w:val="20"/>
          <w:szCs w:val="20"/>
        </w:rPr>
        <w:t>En la sección correspondiente a la Rama Legislativa estas capacidades ejercerán en la forma arriba indicada y de manera independiente por el Senado y la Cámara de Representantes; igualmente, en la sección correspondiente a la Rama Judicial serán ejercidas por la Sala Administrativa del Consejo Superior de la Judicatura igualmente en el caso de Jurisdicción Especial para la Paz serán ejercidas por la Secretaría Ejecutiva de la misma, y en el Consejo Nacional Electoral por el Presidente de este órgano.</w:t>
      </w:r>
    </w:p>
    <w:p w14:paraId="7014F5C9" w14:textId="77777777" w:rsidR="005262CA" w:rsidRPr="00B45C80" w:rsidRDefault="005262CA" w:rsidP="005262CA">
      <w:pPr>
        <w:widowControl w:val="0"/>
        <w:autoSpaceDE w:val="0"/>
        <w:autoSpaceDN w:val="0"/>
        <w:spacing w:after="0" w:line="240" w:lineRule="auto"/>
        <w:ind w:left="709" w:right="709"/>
        <w:jc w:val="both"/>
        <w:rPr>
          <w:rFonts w:ascii="Verdana" w:hAnsi="Verdana" w:cs="Arial"/>
          <w:sz w:val="20"/>
          <w:szCs w:val="20"/>
        </w:rPr>
      </w:pPr>
    </w:p>
    <w:p w14:paraId="6F2617C1" w14:textId="77777777" w:rsidR="005262CA" w:rsidRDefault="005262CA" w:rsidP="005262CA">
      <w:pPr>
        <w:widowControl w:val="0"/>
        <w:autoSpaceDE w:val="0"/>
        <w:autoSpaceDN w:val="0"/>
        <w:spacing w:after="0" w:line="240" w:lineRule="auto"/>
        <w:ind w:left="709" w:right="709"/>
        <w:jc w:val="both"/>
        <w:rPr>
          <w:rFonts w:ascii="Verdana" w:hAnsi="Verdana" w:cs="Arial"/>
          <w:i/>
          <w:iCs/>
          <w:sz w:val="20"/>
          <w:szCs w:val="20"/>
        </w:rPr>
      </w:pPr>
      <w:r w:rsidRPr="00B45C80">
        <w:rPr>
          <w:rFonts w:ascii="Verdana" w:hAnsi="Verdana" w:cs="Arial"/>
          <w:i/>
          <w:iCs/>
          <w:sz w:val="20"/>
          <w:szCs w:val="20"/>
        </w:rPr>
        <w:t>En los mismos términos y condiciones tendrán estas capacidades la Superintendencias, Unidades Administrativas Especiales, las entidades territoriales, asambleas y </w:t>
      </w:r>
      <w:r w:rsidRPr="00B45C80">
        <w:rPr>
          <w:rFonts w:ascii="Verdana" w:hAnsi="Verdana" w:cs="Arial"/>
          <w:i/>
          <w:iCs/>
          <w:sz w:val="20"/>
          <w:szCs w:val="20"/>
          <w:u w:val="single"/>
        </w:rPr>
        <w:t>consejos, las contralorías y personerías territoriales</w:t>
      </w:r>
      <w:r w:rsidRPr="00B45C80">
        <w:rPr>
          <w:rFonts w:ascii="Verdana" w:hAnsi="Verdana" w:cs="Arial"/>
          <w:i/>
          <w:iCs/>
          <w:sz w:val="20"/>
          <w:szCs w:val="20"/>
        </w:rPr>
        <w:t> y todos los demás órganos estatales de cualquier nivel que tengan personería jurídica</w:t>
      </w:r>
      <w:r>
        <w:rPr>
          <w:rFonts w:ascii="Verdana" w:hAnsi="Verdana" w:cs="Arial"/>
          <w:i/>
          <w:iCs/>
          <w:sz w:val="20"/>
          <w:szCs w:val="20"/>
        </w:rPr>
        <w:t>”</w:t>
      </w:r>
      <w:r w:rsidRPr="00B45C80">
        <w:rPr>
          <w:rFonts w:ascii="Verdana" w:hAnsi="Verdana" w:cs="Arial"/>
          <w:i/>
          <w:iCs/>
          <w:sz w:val="20"/>
          <w:szCs w:val="20"/>
        </w:rPr>
        <w:t>.</w:t>
      </w:r>
    </w:p>
    <w:p w14:paraId="236A2B25" w14:textId="77777777" w:rsidR="005262CA" w:rsidRPr="00B45C80" w:rsidRDefault="005262CA" w:rsidP="005262CA">
      <w:pPr>
        <w:widowControl w:val="0"/>
        <w:autoSpaceDE w:val="0"/>
        <w:autoSpaceDN w:val="0"/>
        <w:spacing w:after="0" w:line="240" w:lineRule="auto"/>
        <w:ind w:left="709" w:right="709"/>
        <w:jc w:val="both"/>
        <w:rPr>
          <w:rFonts w:ascii="Verdana" w:hAnsi="Verdana" w:cs="Arial"/>
          <w:i/>
          <w:iCs/>
          <w:sz w:val="20"/>
          <w:szCs w:val="20"/>
        </w:rPr>
      </w:pPr>
    </w:p>
    <w:p w14:paraId="3B05F0CD" w14:textId="77777777" w:rsidR="005262CA" w:rsidRDefault="005262CA" w:rsidP="005262CA">
      <w:pPr>
        <w:widowControl w:val="0"/>
        <w:autoSpaceDE w:val="0"/>
        <w:autoSpaceDN w:val="0"/>
        <w:spacing w:before="120" w:after="120" w:line="276" w:lineRule="auto"/>
        <w:ind w:firstLine="708"/>
        <w:jc w:val="both"/>
        <w:rPr>
          <w:rFonts w:ascii="Verdana" w:hAnsi="Verdana" w:cs="Arial"/>
        </w:rPr>
      </w:pPr>
      <w:r>
        <w:rPr>
          <w:rFonts w:ascii="Verdana" w:hAnsi="Verdana" w:cs="Arial"/>
        </w:rPr>
        <w:t xml:space="preserve">Sobre este punto, el Consejo de Estado destaca que </w:t>
      </w:r>
      <w:r w:rsidRPr="00BB5A63">
        <w:rPr>
          <w:rFonts w:ascii="Verdana" w:hAnsi="Verdana" w:cs="Arial"/>
        </w:rPr>
        <w:t>el artículo 110</w:t>
      </w:r>
      <w:r>
        <w:rPr>
          <w:rFonts w:ascii="Verdana" w:hAnsi="Verdana" w:cs="Arial"/>
        </w:rPr>
        <w:t xml:space="preserve"> del Estatuto Orgánico del Presupuesto</w:t>
      </w:r>
      <w:r w:rsidRPr="00BB5A63">
        <w:rPr>
          <w:rFonts w:ascii="Verdana" w:hAnsi="Verdana" w:cs="Arial"/>
        </w:rPr>
        <w:t xml:space="preserve"> se suma y armoniza al artículo 2 de la Ley 80</w:t>
      </w:r>
      <w:r>
        <w:rPr>
          <w:rFonts w:ascii="Verdana" w:hAnsi="Verdana" w:cs="Arial"/>
        </w:rPr>
        <w:t xml:space="preserve"> de 1993</w:t>
      </w:r>
      <w:r w:rsidRPr="00BB5A63">
        <w:rPr>
          <w:rFonts w:ascii="Verdana" w:hAnsi="Verdana" w:cs="Arial"/>
        </w:rPr>
        <w:t>, ampliando el listado de entidades públicas que tienen competencia para celebrar contratos</w:t>
      </w:r>
      <w:r>
        <w:rPr>
          <w:rFonts w:ascii="Verdana" w:hAnsi="Verdana" w:cs="Arial"/>
        </w:rPr>
        <w:t>,</w:t>
      </w:r>
      <w:r w:rsidRPr="00BB5A63">
        <w:rPr>
          <w:rFonts w:ascii="Verdana" w:hAnsi="Verdana" w:cs="Arial"/>
        </w:rPr>
        <w:t xml:space="preserve"> “De allí que, partir de 1996 las entidades relacionadas en el art. 110 citado –entre ellas las asambleas departamentales, los concejos municipales, </w:t>
      </w:r>
      <w:r w:rsidRPr="00A24514">
        <w:rPr>
          <w:rFonts w:ascii="Verdana" w:hAnsi="Verdana" w:cs="Arial"/>
          <w:i/>
          <w:iCs/>
        </w:rPr>
        <w:t>las personerías</w:t>
      </w:r>
      <w:r w:rsidRPr="00BB5A63">
        <w:rPr>
          <w:rFonts w:ascii="Verdana" w:hAnsi="Verdana" w:cs="Arial"/>
        </w:rPr>
        <w:t xml:space="preserve">, entre otros- adquirieron la competencia de la que carecían, y el efecto práctico de esta atribución fue que, en adelante, ellas celebraron los contratos relacionados con el cumplimiento de sus </w:t>
      </w:r>
      <w:r w:rsidRPr="00BB5A63">
        <w:rPr>
          <w:rFonts w:ascii="Verdana" w:hAnsi="Verdana" w:cs="Arial"/>
        </w:rPr>
        <w:lastRenderedPageBreak/>
        <w:t>competencias</w:t>
      </w:r>
      <w:r>
        <w:rPr>
          <w:rStyle w:val="Refdenotaalpie"/>
          <w:rFonts w:ascii="Verdana" w:hAnsi="Verdana" w:cs="Arial"/>
        </w:rPr>
        <w:footnoteReference w:id="4"/>
      </w:r>
      <w:r w:rsidRPr="00BB5A63">
        <w:rPr>
          <w:rFonts w:ascii="Verdana" w:hAnsi="Verdana" w:cs="Arial"/>
        </w:rPr>
        <w:t>”.</w:t>
      </w:r>
      <w:r>
        <w:rPr>
          <w:rFonts w:ascii="Verdana" w:hAnsi="Verdana" w:cs="Arial"/>
        </w:rPr>
        <w:t xml:space="preserve">, </w:t>
      </w:r>
    </w:p>
    <w:p w14:paraId="6DF3B173" w14:textId="77777777" w:rsidR="005262CA" w:rsidRPr="00CA2671" w:rsidRDefault="005262CA" w:rsidP="005262CA">
      <w:pPr>
        <w:widowControl w:val="0"/>
        <w:autoSpaceDE w:val="0"/>
        <w:autoSpaceDN w:val="0"/>
        <w:spacing w:before="120" w:after="120" w:line="276" w:lineRule="auto"/>
        <w:ind w:firstLine="708"/>
        <w:jc w:val="both"/>
        <w:rPr>
          <w:rFonts w:ascii="Verdana" w:hAnsi="Verdana" w:cs="Arial"/>
        </w:rPr>
      </w:pPr>
      <w:r>
        <w:rPr>
          <w:rFonts w:ascii="Verdana" w:hAnsi="Verdana" w:cs="Arial"/>
        </w:rPr>
        <w:t xml:space="preserve">En este sentido, </w:t>
      </w:r>
      <w:r w:rsidRPr="003B3201">
        <w:rPr>
          <w:rFonts w:ascii="Verdana" w:hAnsi="Verdana" w:cs="Arial"/>
        </w:rPr>
        <w:t xml:space="preserve">resulta evidente que la Ley reconoce la autonomía presupuestal de las personerías municipales y distritales, lo cual </w:t>
      </w:r>
      <w:r>
        <w:rPr>
          <w:rFonts w:ascii="Verdana" w:hAnsi="Verdana" w:cs="Arial"/>
        </w:rPr>
        <w:t>significa</w:t>
      </w:r>
      <w:r w:rsidRPr="003B3201">
        <w:rPr>
          <w:rFonts w:ascii="Verdana" w:hAnsi="Verdana" w:cs="Arial"/>
        </w:rPr>
        <w:t xml:space="preserve"> no solo la capacidad jurídica para celebrar contratos</w:t>
      </w:r>
      <w:r>
        <w:rPr>
          <w:rFonts w:ascii="Verdana" w:hAnsi="Verdana" w:cs="Arial"/>
        </w:rPr>
        <w:t xml:space="preserve"> en el marco del Estatuto General de Contratación de la Administración Pública, sino también </w:t>
      </w:r>
      <w:r w:rsidRPr="003B3201">
        <w:rPr>
          <w:rFonts w:ascii="Verdana" w:hAnsi="Verdana" w:cs="Arial"/>
        </w:rPr>
        <w:t>comprometer válidamente el gasto</w:t>
      </w:r>
      <w:r>
        <w:rPr>
          <w:rFonts w:ascii="Verdana" w:hAnsi="Verdana" w:cs="Arial"/>
        </w:rPr>
        <w:t xml:space="preserve"> en desarrollo de las apropiaciones designadas en la sección presupuestal correspondiente</w:t>
      </w:r>
      <w:r w:rsidRPr="003B3201">
        <w:rPr>
          <w:rFonts w:ascii="Verdana" w:hAnsi="Verdana" w:cs="Arial"/>
        </w:rPr>
        <w:t xml:space="preserve">. Esta independencia es fundamental para garantizar el cumplimiento de sus funciones constitucionales y legales de manera efectiva y sin interferencias indebidas, permitiendo que actúen con objetividad e imparcialidad en </w:t>
      </w:r>
      <w:r>
        <w:rPr>
          <w:rFonts w:ascii="Verdana" w:hAnsi="Verdana" w:cs="Arial"/>
        </w:rPr>
        <w:t xml:space="preserve">cumplimiento de sus funciones como Ministerio Público. </w:t>
      </w:r>
    </w:p>
    <w:p w14:paraId="38EB85D5" w14:textId="77777777" w:rsidR="005262CA" w:rsidRPr="00ED62DE" w:rsidRDefault="005262CA" w:rsidP="005262CA">
      <w:pPr>
        <w:spacing w:after="120" w:line="276" w:lineRule="auto"/>
        <w:jc w:val="both"/>
        <w:rPr>
          <w:rFonts w:ascii="Verdana" w:hAnsi="Verdana" w:cs="Arial"/>
          <w:shd w:val="clear" w:color="auto" w:fill="FFFFFF"/>
        </w:rPr>
      </w:pPr>
      <w:proofErr w:type="spellStart"/>
      <w:r>
        <w:rPr>
          <w:rFonts w:ascii="Verdana" w:hAnsi="Verdana" w:cs="Arial"/>
          <w:shd w:val="clear" w:color="auto" w:fill="FFFFFF"/>
        </w:rPr>
        <w:t>ii</w:t>
      </w:r>
      <w:proofErr w:type="spellEnd"/>
      <w:r>
        <w:rPr>
          <w:rFonts w:ascii="Verdana" w:hAnsi="Verdana" w:cs="Arial"/>
          <w:shd w:val="clear" w:color="auto" w:fill="FFFFFF"/>
        </w:rPr>
        <w:t>. Ahora bien, respecto de la consultas relacionada con las actividades de coordinación entre las entidades estatales, es pertinente señalar que e</w:t>
      </w:r>
      <w:r w:rsidRPr="002C675F">
        <w:rPr>
          <w:rFonts w:ascii="Verdana" w:eastAsia="Times New Roman" w:hAnsi="Verdana" w:cs="Arial"/>
          <w:lang w:val="es-ES" w:eastAsia="es-ES_tradnl"/>
        </w:rPr>
        <w:t>n consonancia con el artículo 209 de la Constitución Política</w:t>
      </w:r>
      <w:r w:rsidRPr="002C675F">
        <w:rPr>
          <w:rFonts w:ascii="Verdana" w:eastAsia="Times New Roman" w:hAnsi="Verdana" w:cs="Arial"/>
          <w:vertAlign w:val="superscript"/>
          <w:lang w:val="es-ES" w:eastAsia="es-ES_tradnl"/>
        </w:rPr>
        <w:footnoteReference w:id="5"/>
      </w:r>
      <w:r w:rsidRPr="002C675F">
        <w:rPr>
          <w:rFonts w:ascii="Verdana" w:eastAsia="Times New Roman" w:hAnsi="Verdana" w:cs="Arial"/>
          <w:lang w:val="es-ES" w:eastAsia="es-ES_tradnl"/>
        </w:rPr>
        <w:t>, del que se desprenden los deberes de coordinación y colaboración a cargo de todas las autoridades administrativas,</w:t>
      </w:r>
      <w:r w:rsidRPr="002C675F">
        <w:rPr>
          <w:rFonts w:ascii="Verdana" w:eastAsia="Calibri" w:hAnsi="Verdana" w:cs="Arial"/>
        </w:rPr>
        <w:t xml:space="preserve"> el artículo 95 de la Ley 489 de 1998</w:t>
      </w:r>
      <w:r w:rsidRPr="002C675F">
        <w:rPr>
          <w:rFonts w:ascii="Verdana" w:eastAsia="Calibri" w:hAnsi="Verdana" w:cs="Arial"/>
          <w:vertAlign w:val="superscript"/>
        </w:rPr>
        <w:footnoteReference w:id="6"/>
      </w:r>
      <w:r w:rsidRPr="002C675F">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2C675F">
        <w:rPr>
          <w:rFonts w:ascii="Verdana" w:eastAsia="Calibri" w:hAnsi="Verdana" w:cs="Arial"/>
          <w:vertAlign w:val="superscript"/>
        </w:rPr>
        <w:footnoteReference w:id="7"/>
      </w:r>
      <w:r w:rsidRPr="002C675F">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3E7A1C5D" w14:textId="77777777" w:rsidR="005262CA" w:rsidRDefault="005262CA" w:rsidP="005262CA">
      <w:pPr>
        <w:spacing w:after="120" w:line="276" w:lineRule="auto"/>
        <w:ind w:firstLine="708"/>
        <w:jc w:val="both"/>
        <w:rPr>
          <w:rFonts w:ascii="Verdana" w:eastAsia="Calibri" w:hAnsi="Verdana" w:cs="Arial"/>
        </w:rPr>
      </w:pPr>
      <w:r w:rsidRPr="002C675F">
        <w:rPr>
          <w:rFonts w:ascii="Verdana" w:eastAsia="Calibri" w:hAnsi="Verdana" w:cs="Arial"/>
        </w:rPr>
        <w:t>Sobre el alcance de los convenios interadministrativos, el Consejo de Estado ha dejado en claro lo siguiente:</w:t>
      </w:r>
    </w:p>
    <w:p w14:paraId="6D9EE969" w14:textId="77777777" w:rsidR="005262CA" w:rsidRPr="002C675F" w:rsidRDefault="005262CA" w:rsidP="005262CA">
      <w:pPr>
        <w:spacing w:after="0" w:line="276" w:lineRule="auto"/>
        <w:ind w:firstLine="709"/>
        <w:jc w:val="both"/>
        <w:rPr>
          <w:rFonts w:ascii="Verdana" w:eastAsia="Calibri" w:hAnsi="Verdana" w:cs="Arial"/>
        </w:rPr>
      </w:pPr>
    </w:p>
    <w:p w14:paraId="046D41E2" w14:textId="77777777" w:rsidR="005262CA" w:rsidRPr="002C675F" w:rsidRDefault="005262CA" w:rsidP="005262CA">
      <w:pPr>
        <w:spacing w:after="0" w:line="240" w:lineRule="auto"/>
        <w:ind w:left="709" w:right="714"/>
        <w:jc w:val="both"/>
        <w:rPr>
          <w:rFonts w:ascii="Verdana" w:eastAsia="Calibri" w:hAnsi="Verdana" w:cs="Arial"/>
          <w:bCs/>
          <w:sz w:val="20"/>
          <w:szCs w:val="20"/>
          <w:lang w:val="es-ES_tradnl"/>
        </w:rPr>
      </w:pPr>
      <w:r w:rsidRPr="002C675F">
        <w:rPr>
          <w:rFonts w:ascii="Verdana" w:eastAsia="Calibri" w:hAnsi="Verdana" w:cs="Arial"/>
          <w:bCs/>
          <w:sz w:val="20"/>
          <w:szCs w:val="20"/>
          <w:lang w:eastAsia="es-ES_tradnl"/>
        </w:rPr>
        <w:t xml:space="preserve">“(…) </w:t>
      </w:r>
      <w:r w:rsidRPr="002C675F">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2C675F">
        <w:rPr>
          <w:rFonts w:ascii="Verdana" w:eastAsia="Calibri" w:hAnsi="Verdana" w:cs="Arial"/>
          <w:bCs/>
          <w:sz w:val="20"/>
          <w:szCs w:val="20"/>
          <w:lang w:val="es-ES_tradnl"/>
        </w:rPr>
        <w:t>ii</w:t>
      </w:r>
      <w:proofErr w:type="spellEnd"/>
      <w:r w:rsidRPr="002C675F">
        <w:rPr>
          <w:rFonts w:ascii="Verdana" w:eastAsia="Calibri" w:hAnsi="Verdana" w:cs="Arial"/>
          <w:bCs/>
          <w:sz w:val="20"/>
          <w:szCs w:val="20"/>
          <w:lang w:val="es-ES_tradnl"/>
        </w:rPr>
        <w:t xml:space="preserve">) Tienen como fuente la autonomía contractual. </w:t>
      </w:r>
      <w:proofErr w:type="spellStart"/>
      <w:r w:rsidRPr="002C675F">
        <w:rPr>
          <w:rFonts w:ascii="Verdana" w:eastAsia="Calibri" w:hAnsi="Verdana" w:cs="Arial"/>
          <w:bCs/>
          <w:sz w:val="20"/>
          <w:szCs w:val="20"/>
          <w:lang w:val="es-ES_tradnl"/>
        </w:rPr>
        <w:t>iii</w:t>
      </w:r>
      <w:proofErr w:type="spellEnd"/>
      <w:r w:rsidRPr="002C675F">
        <w:rPr>
          <w:rFonts w:ascii="Verdana" w:eastAsia="Calibri" w:hAnsi="Verdana" w:cs="Arial"/>
          <w:bCs/>
          <w:sz w:val="20"/>
          <w:szCs w:val="20"/>
          <w:lang w:val="es-ES_tradnl"/>
        </w:rPr>
        <w:t xml:space="preserve">) Son contratos nominados, puesto que están mencionados por la ley. </w:t>
      </w:r>
      <w:proofErr w:type="spellStart"/>
      <w:r w:rsidRPr="002C675F">
        <w:rPr>
          <w:rFonts w:ascii="Verdana" w:eastAsia="Calibri" w:hAnsi="Verdana" w:cs="Arial"/>
          <w:bCs/>
          <w:sz w:val="20"/>
          <w:szCs w:val="20"/>
          <w:lang w:val="es-ES_tradnl"/>
        </w:rPr>
        <w:t>iv</w:t>
      </w:r>
      <w:proofErr w:type="spellEnd"/>
      <w:r w:rsidRPr="002C675F">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2C675F">
        <w:rPr>
          <w:rFonts w:ascii="Verdana" w:eastAsia="Calibri" w:hAnsi="Verdana" w:cs="Arial"/>
          <w:bCs/>
          <w:sz w:val="20"/>
          <w:szCs w:val="20"/>
          <w:lang w:val="es-ES_tradnl"/>
        </w:rPr>
        <w:t>vii</w:t>
      </w:r>
      <w:proofErr w:type="spellEnd"/>
      <w:r w:rsidRPr="002C675F">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2C675F">
        <w:rPr>
          <w:rFonts w:ascii="Verdana" w:eastAsia="Calibri" w:hAnsi="Verdana" w:cs="Arial"/>
          <w:bCs/>
          <w:sz w:val="20"/>
          <w:szCs w:val="20"/>
          <w:lang w:val="es-ES_tradnl"/>
        </w:rPr>
        <w:t>viii</w:t>
      </w:r>
      <w:proofErr w:type="spellEnd"/>
      <w:r w:rsidRPr="002C675F">
        <w:rPr>
          <w:rFonts w:ascii="Verdana" w:eastAsia="Calibri" w:hAnsi="Verdana" w:cs="Arial"/>
          <w:bCs/>
          <w:sz w:val="20"/>
          <w:szCs w:val="20"/>
          <w:lang w:val="es-ES_tradnl"/>
        </w:rPr>
        <w:t>) La acción mediante la cual se deben ventilar las diferencias que sobre el particular surjan es la de controversias contractuales”</w:t>
      </w:r>
      <w:r w:rsidRPr="002C675F">
        <w:rPr>
          <w:rFonts w:ascii="Verdana" w:eastAsia="Times New Roman" w:hAnsi="Verdana" w:cs="Arial"/>
          <w:sz w:val="20"/>
          <w:szCs w:val="20"/>
          <w:vertAlign w:val="superscript"/>
          <w:lang w:val="es-ES" w:eastAsia="es-ES_tradnl"/>
        </w:rPr>
        <w:footnoteReference w:id="8"/>
      </w:r>
      <w:r w:rsidRPr="002C675F">
        <w:rPr>
          <w:rFonts w:ascii="Verdana" w:eastAsia="Calibri" w:hAnsi="Verdana" w:cs="Arial"/>
          <w:bCs/>
          <w:sz w:val="20"/>
          <w:szCs w:val="20"/>
          <w:lang w:val="es-ES_tradnl"/>
        </w:rPr>
        <w:t>.</w:t>
      </w:r>
    </w:p>
    <w:p w14:paraId="6E851B65" w14:textId="77777777" w:rsidR="005262CA" w:rsidRPr="002C675F" w:rsidRDefault="005262CA" w:rsidP="005262CA">
      <w:pPr>
        <w:spacing w:after="0" w:line="276" w:lineRule="auto"/>
        <w:ind w:right="713"/>
        <w:jc w:val="both"/>
        <w:rPr>
          <w:rFonts w:ascii="Verdana" w:eastAsia="Times New Roman" w:hAnsi="Verdana" w:cs="Arial"/>
          <w:lang w:val="es-ES" w:eastAsia="es-ES_tradnl"/>
        </w:rPr>
      </w:pPr>
    </w:p>
    <w:p w14:paraId="0378D68D" w14:textId="77777777" w:rsidR="005262CA" w:rsidRDefault="005262CA" w:rsidP="005262CA">
      <w:pPr>
        <w:spacing w:after="120" w:line="276" w:lineRule="auto"/>
        <w:ind w:firstLine="709"/>
        <w:jc w:val="both"/>
        <w:rPr>
          <w:rFonts w:ascii="Verdana" w:eastAsia="Times New Roman" w:hAnsi="Verdana" w:cs="Arial"/>
          <w:lang w:val="es-ES" w:eastAsia="es-ES_tradnl"/>
        </w:rPr>
      </w:pPr>
      <w:r w:rsidRPr="002C675F">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2C675F">
        <w:rPr>
          <w:rFonts w:ascii="Verdana" w:eastAsia="Times New Roman" w:hAnsi="Verdana" w:cs="Arial"/>
          <w:vertAlign w:val="superscript"/>
          <w:lang w:val="es-ES" w:eastAsia="es-ES_tradnl"/>
        </w:rPr>
        <w:footnoteReference w:id="9"/>
      </w:r>
      <w:r w:rsidRPr="002C675F">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2C675F">
        <w:rPr>
          <w:rFonts w:ascii="Verdana" w:eastAsia="Times New Roman" w:hAnsi="Verdana" w:cs="Arial"/>
          <w:vertAlign w:val="superscript"/>
          <w:lang w:val="es-ES" w:eastAsia="es-ES_tradnl"/>
        </w:rPr>
        <w:footnoteReference w:id="10"/>
      </w:r>
      <w:r w:rsidRPr="002C675F">
        <w:rPr>
          <w:rFonts w:ascii="Verdana" w:eastAsia="Times New Roman" w:hAnsi="Verdana" w:cs="Arial"/>
          <w:lang w:val="es-ES" w:eastAsia="es-ES_tradnl"/>
        </w:rPr>
        <w:t xml:space="preserve">.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w:t>
      </w:r>
      <w:r w:rsidRPr="002C675F">
        <w:rPr>
          <w:rFonts w:ascii="Verdana" w:eastAsia="Times New Roman" w:hAnsi="Verdana" w:cs="Arial"/>
          <w:lang w:val="es-ES" w:eastAsia="es-ES_tradnl"/>
        </w:rPr>
        <w:lastRenderedPageBreak/>
        <w:t>participantes pretende satisfacer necesidades o finalidades opuestas, donde necesariamente una de las partes tiene que ser una administración pública”</w:t>
      </w:r>
      <w:r w:rsidRPr="002C675F">
        <w:rPr>
          <w:rFonts w:ascii="Verdana" w:eastAsia="Times New Roman" w:hAnsi="Verdana" w:cs="Arial"/>
          <w:vertAlign w:val="superscript"/>
          <w:lang w:val="es-ES" w:eastAsia="es-ES_tradnl"/>
        </w:rPr>
        <w:footnoteReference w:id="11"/>
      </w:r>
      <w:r w:rsidRPr="002C675F">
        <w:rPr>
          <w:rFonts w:ascii="Verdana" w:eastAsia="Times New Roman" w:hAnsi="Verdana" w:cs="Arial"/>
          <w:lang w:val="es-ES" w:eastAsia="es-ES_tradnl"/>
        </w:rPr>
        <w:t>.</w:t>
      </w:r>
    </w:p>
    <w:p w14:paraId="4DCB7F37" w14:textId="77777777" w:rsidR="005262CA" w:rsidRPr="00F02718" w:rsidRDefault="005262CA" w:rsidP="005262CA">
      <w:pPr>
        <w:spacing w:after="120" w:line="276" w:lineRule="auto"/>
        <w:ind w:firstLine="709"/>
        <w:jc w:val="both"/>
        <w:rPr>
          <w:rFonts w:ascii="Verdana" w:eastAsia="Times New Roman" w:hAnsi="Verdana" w:cs="Arial"/>
          <w:lang w:val="es-ES" w:eastAsia="es-ES_tradnl"/>
        </w:rPr>
      </w:pPr>
      <w:r>
        <w:rPr>
          <w:rFonts w:ascii="Verdana" w:eastAsia="Times New Roman" w:hAnsi="Verdana" w:cs="Arial"/>
          <w:lang w:val="es-ES" w:eastAsia="es-ES_tradnl"/>
        </w:rPr>
        <w:t xml:space="preserve">En este punto, debe precisar que </w:t>
      </w:r>
      <w:r w:rsidRPr="00823F19">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w:t>
      </w:r>
      <w:r>
        <w:rPr>
          <w:rFonts w:ascii="Verdana" w:eastAsia="Times New Roman" w:hAnsi="Verdana" w:cs="Arial"/>
          <w:color w:val="000000" w:themeColor="text1"/>
          <w:lang w:val="es-ES" w:eastAsia="es-CO"/>
        </w:rPr>
        <w:t>entidades públicas</w:t>
      </w:r>
      <w:r w:rsidRPr="00823F19">
        <w:rPr>
          <w:rFonts w:ascii="Verdana" w:eastAsia="Times New Roman" w:hAnsi="Verdana" w:cs="Arial"/>
          <w:color w:val="000000" w:themeColor="text1"/>
          <w:lang w:val="es-ES" w:eastAsia="es-CO"/>
        </w:rPr>
        <w:t xml:space="preserve">, </w:t>
      </w:r>
      <w:r>
        <w:rPr>
          <w:rFonts w:ascii="Verdana" w:eastAsia="Calibri" w:hAnsi="Verdana" w:cs="Arial"/>
          <w:lang w:eastAsia="es-ES"/>
        </w:rPr>
        <w:t xml:space="preserve">independientemente de </w:t>
      </w:r>
      <w:r w:rsidRPr="00823F19">
        <w:rPr>
          <w:rFonts w:ascii="Verdana" w:eastAsia="Calibri" w:hAnsi="Verdana" w:cs="Arial"/>
          <w:lang w:eastAsia="es-ES"/>
        </w:rPr>
        <w:t xml:space="preserve">las normas que regulan la relación contractual. </w:t>
      </w:r>
      <w:r>
        <w:rPr>
          <w:rFonts w:ascii="Verdana" w:eastAsia="Calibri" w:hAnsi="Verdana" w:cs="Arial"/>
          <w:lang w:eastAsia="es-ES"/>
        </w:rPr>
        <w:t>En este sentido, l</w:t>
      </w:r>
      <w:r w:rsidRPr="00917939">
        <w:rPr>
          <w:rFonts w:ascii="Verdana" w:eastAsia="Calibri" w:hAnsi="Verdana" w:cs="Arial"/>
          <w:lang w:eastAsia="es-ES"/>
        </w:rPr>
        <w:t>os convenios interadministrativos solo pueden ser celebrados entre entidades públicas, pues a éstas corresponde la realización de los fines y tareas que el legislador les ha asignado</w:t>
      </w:r>
      <w:r>
        <w:rPr>
          <w:rStyle w:val="Refdenotaalpie"/>
          <w:rFonts w:ascii="Verdana" w:eastAsia="Calibri" w:hAnsi="Verdana" w:cs="Arial"/>
          <w:lang w:eastAsia="es-ES"/>
        </w:rPr>
        <w:footnoteReference w:id="12"/>
      </w:r>
      <w:r w:rsidRPr="00917939">
        <w:rPr>
          <w:rFonts w:ascii="Verdana" w:eastAsia="Calibri" w:hAnsi="Verdana" w:cs="Arial"/>
          <w:lang w:eastAsia="es-ES"/>
        </w:rPr>
        <w:t>.</w:t>
      </w:r>
      <w:r>
        <w:rPr>
          <w:rFonts w:ascii="Verdana" w:eastAsia="Calibri" w:hAnsi="Verdana" w:cs="Arial"/>
          <w:lang w:eastAsia="es-ES"/>
        </w:rPr>
        <w:t xml:space="preserve"> Por ello, b</w:t>
      </w:r>
      <w:r w:rsidRPr="00823F19">
        <w:rPr>
          <w:rFonts w:ascii="Verdana" w:eastAsia="Calibri" w:hAnsi="Verdana" w:cs="Arial"/>
          <w:lang w:eastAsia="es-ES"/>
        </w:rPr>
        <w:t xml:space="preserve">ajo el criterio orgánico descrito, </w:t>
      </w:r>
      <w:r>
        <w:rPr>
          <w:rFonts w:ascii="Verdana" w:eastAsia="Calibri" w:hAnsi="Verdana" w:cs="Arial"/>
          <w:lang w:eastAsia="es-ES"/>
        </w:rPr>
        <w:t>cualquier entidad</w:t>
      </w:r>
      <w:r w:rsidRPr="00823F19">
        <w:rPr>
          <w:rFonts w:ascii="Verdana" w:eastAsia="Calibri" w:hAnsi="Verdana" w:cs="Arial"/>
          <w:lang w:eastAsia="es-ES"/>
        </w:rPr>
        <w:t xml:space="preserve"> puede contratar bajo la figura de un </w:t>
      </w:r>
      <w:r>
        <w:rPr>
          <w:rFonts w:ascii="Verdana" w:eastAsia="Calibri" w:hAnsi="Verdana" w:cs="Arial"/>
          <w:lang w:eastAsia="es-ES"/>
        </w:rPr>
        <w:t>convenio</w:t>
      </w:r>
      <w:r w:rsidRPr="00823F19">
        <w:rPr>
          <w:rFonts w:ascii="Verdana" w:eastAsia="Calibri" w:hAnsi="Verdana" w:cs="Arial"/>
          <w:lang w:eastAsia="es-ES"/>
        </w:rPr>
        <w:t xml:space="preserve"> interadministrativo, pues se trata de un acuerdo entre </w:t>
      </w:r>
      <w:r>
        <w:rPr>
          <w:rFonts w:ascii="Verdana" w:eastAsia="Calibri" w:hAnsi="Verdana" w:cs="Arial"/>
          <w:lang w:eastAsia="es-ES"/>
        </w:rPr>
        <w:t>e</w:t>
      </w:r>
      <w:r w:rsidRPr="00823F19">
        <w:rPr>
          <w:rFonts w:ascii="Verdana" w:eastAsia="Calibri" w:hAnsi="Verdana" w:cs="Arial"/>
          <w:lang w:eastAsia="es-ES"/>
        </w:rPr>
        <w:t>ntidades</w:t>
      </w:r>
      <w:r>
        <w:rPr>
          <w:rFonts w:ascii="Verdana" w:eastAsia="Calibri" w:hAnsi="Verdana" w:cs="Arial"/>
          <w:lang w:eastAsia="es-ES"/>
        </w:rPr>
        <w:t xml:space="preserve"> estatales</w:t>
      </w:r>
      <w:r w:rsidRPr="00823F19">
        <w:rPr>
          <w:rFonts w:ascii="Verdana" w:eastAsia="Calibri" w:hAnsi="Verdana" w:cs="Arial"/>
          <w:lang w:eastAsia="es-ES"/>
        </w:rPr>
        <w:t xml:space="preserve">, según la definición que al respecto estableció el artículo 2 de la </w:t>
      </w:r>
      <w:r w:rsidRPr="00823F19">
        <w:rPr>
          <w:rFonts w:ascii="Verdana" w:eastAsia="Calibri" w:hAnsi="Verdana" w:cs="Arial"/>
          <w:lang w:val="es-ES"/>
        </w:rPr>
        <w:t>Ley 80 de 1993</w:t>
      </w:r>
      <w:r>
        <w:rPr>
          <w:rStyle w:val="Refdenotaalpie"/>
          <w:rFonts w:ascii="Verdana" w:eastAsia="Calibri" w:hAnsi="Verdana" w:cs="Arial"/>
          <w:lang w:val="es-ES"/>
        </w:rPr>
        <w:footnoteReference w:id="13"/>
      </w:r>
      <w:r>
        <w:rPr>
          <w:rFonts w:ascii="Verdana" w:eastAsia="Calibri" w:hAnsi="Verdana" w:cs="Arial"/>
          <w:lang w:val="es-ES"/>
        </w:rPr>
        <w:t xml:space="preserve">. Frente a lo anterior, resulta necesario que la entidad estatal con la cual se suscribe el contrato o convenio interadministrativo </w:t>
      </w:r>
      <w:r w:rsidRPr="00823F19">
        <w:rPr>
          <w:rFonts w:ascii="Verdana" w:eastAsia="Calibri" w:hAnsi="Verdana" w:cs="Arial"/>
          <w:color w:val="000000" w:themeColor="text1"/>
          <w:lang w:val="es-ES_tradnl"/>
        </w:rPr>
        <w:t xml:space="preserve">cuenten con la capacidad jurídica para ejecutar lo pactado en el </w:t>
      </w:r>
      <w:r>
        <w:rPr>
          <w:rFonts w:ascii="Verdana" w:eastAsia="Calibri" w:hAnsi="Verdana" w:cs="Arial"/>
          <w:color w:val="000000" w:themeColor="text1"/>
          <w:lang w:val="es-ES_tradnl"/>
        </w:rPr>
        <w:t xml:space="preserve">mismo en los términos del </w:t>
      </w:r>
      <w:r w:rsidRPr="00823F19">
        <w:rPr>
          <w:rFonts w:ascii="Verdana" w:eastAsia="Calibri" w:hAnsi="Verdana" w:cs="Arial"/>
          <w:color w:val="000000" w:themeColor="text1"/>
        </w:rPr>
        <w:t xml:space="preserve">el literal c) del numeral 4 del artículo 2 </w:t>
      </w:r>
      <w:r w:rsidRPr="00F02718">
        <w:rPr>
          <w:rFonts w:ascii="Verdana" w:eastAsia="Times New Roman" w:hAnsi="Verdana" w:cs="Arial"/>
          <w:lang w:val="es-ES" w:eastAsia="es-ES_tradnl"/>
        </w:rPr>
        <w:t>de la Ley 1150 de 2007, modificado por el artículo 92 de la Ley 1474 de 2011, de manera que su objeto social les permita la ejecución de las actividades acordadas.</w:t>
      </w:r>
    </w:p>
    <w:p w14:paraId="12DC5054" w14:textId="77777777" w:rsidR="005262CA" w:rsidRPr="00F02718" w:rsidRDefault="005262CA" w:rsidP="005262CA">
      <w:pPr>
        <w:spacing w:after="120" w:line="276" w:lineRule="auto"/>
        <w:ind w:firstLine="709"/>
        <w:jc w:val="both"/>
        <w:rPr>
          <w:rFonts w:ascii="Verdana" w:eastAsia="Times New Roman" w:hAnsi="Verdana" w:cs="Arial"/>
          <w:lang w:val="es-ES" w:eastAsia="es-ES_tradnl"/>
        </w:rPr>
      </w:pPr>
      <w:r w:rsidRPr="002C675F">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w:t>
      </w:r>
      <w:r w:rsidRPr="00F02718">
        <w:rPr>
          <w:rFonts w:ascii="Verdana" w:eastAsia="Times New Roman" w:hAnsi="Verdana" w:cs="Arial"/>
          <w:lang w:val="es-ES" w:eastAsia="es-ES_tradnl"/>
        </w:rPr>
        <w:t>(i)</w:t>
      </w:r>
      <w:r w:rsidRPr="002C675F">
        <w:rPr>
          <w:rFonts w:ascii="Verdana" w:eastAsia="Times New Roman" w:hAnsi="Verdana" w:cs="Arial"/>
          <w:lang w:val="es-ES" w:eastAsia="es-ES_tradnl"/>
        </w:rPr>
        <w:t xml:space="preserve"> se celebra entre dos entidades públicas que se encuentran en pie de igualdad con el objeto de cumplir competencias de ambas entidades dirigidas a un propósito común; </w:t>
      </w:r>
      <w:r w:rsidRPr="00F02718">
        <w:rPr>
          <w:rFonts w:ascii="Verdana" w:eastAsia="Times New Roman" w:hAnsi="Verdana" w:cs="Arial"/>
          <w:lang w:val="es-ES" w:eastAsia="es-ES_tradnl"/>
        </w:rPr>
        <w:t>(</w:t>
      </w:r>
      <w:proofErr w:type="spellStart"/>
      <w:r w:rsidRPr="00F02718">
        <w:rPr>
          <w:rFonts w:ascii="Verdana" w:eastAsia="Times New Roman" w:hAnsi="Verdana" w:cs="Arial"/>
          <w:lang w:val="es-ES" w:eastAsia="es-ES_tradnl"/>
        </w:rPr>
        <w:t>ii</w:t>
      </w:r>
      <w:proofErr w:type="spellEnd"/>
      <w:r w:rsidRPr="00F02718">
        <w:rPr>
          <w:rFonts w:ascii="Verdana" w:eastAsia="Times New Roman" w:hAnsi="Verdana" w:cs="Arial"/>
          <w:lang w:val="es-ES" w:eastAsia="es-ES_tradnl"/>
        </w:rPr>
        <w:t>)</w:t>
      </w:r>
      <w:r w:rsidRPr="002C675F">
        <w:rPr>
          <w:rFonts w:ascii="Verdana" w:eastAsia="Times New Roman" w:hAnsi="Verdana" w:cs="Arial"/>
          <w:lang w:val="es-ES" w:eastAsia="es-ES_tradnl"/>
        </w:rPr>
        <w:t xml:space="preserve"> la modalidad para su celebración es la contratación directa; </w:t>
      </w:r>
      <w:r w:rsidRPr="00F02718">
        <w:rPr>
          <w:rFonts w:ascii="Verdana" w:eastAsia="Times New Roman" w:hAnsi="Verdana" w:cs="Arial"/>
          <w:lang w:val="es-ES" w:eastAsia="es-ES_tradnl"/>
        </w:rPr>
        <w:t>(</w:t>
      </w:r>
      <w:proofErr w:type="spellStart"/>
      <w:r w:rsidRPr="00F02718">
        <w:rPr>
          <w:rFonts w:ascii="Verdana" w:eastAsia="Times New Roman" w:hAnsi="Verdana" w:cs="Arial"/>
          <w:lang w:val="es-ES" w:eastAsia="es-ES_tradnl"/>
        </w:rPr>
        <w:t>iii</w:t>
      </w:r>
      <w:proofErr w:type="spellEnd"/>
      <w:r w:rsidRPr="00F02718">
        <w:rPr>
          <w:rFonts w:ascii="Verdana" w:eastAsia="Times New Roman" w:hAnsi="Verdana" w:cs="Arial"/>
          <w:lang w:val="es-ES" w:eastAsia="es-ES_tradnl"/>
        </w:rPr>
        <w:t>)</w:t>
      </w:r>
      <w:r w:rsidRPr="002C675F">
        <w:rPr>
          <w:rFonts w:ascii="Verdana" w:eastAsia="Times New Roman" w:hAnsi="Verdana" w:cs="Arial"/>
          <w:lang w:val="es-ES" w:eastAsia="es-ES_tradnl"/>
        </w:rPr>
        <w:t xml:space="preserve"> los convenios interadministrativos pueden suponer el compromiso de recursos públicos y, por consiguiente, la realización de aportes financieros. Ello, sin embargo, no supone la posibilidad de que en este tipo de </w:t>
      </w:r>
      <w:r w:rsidRPr="002C675F">
        <w:rPr>
          <w:rFonts w:ascii="Verdana" w:eastAsia="Times New Roman" w:hAnsi="Verdana" w:cs="Arial"/>
          <w:lang w:val="es-ES" w:eastAsia="es-ES_tradnl"/>
        </w:rPr>
        <w:lastRenderedPageBreak/>
        <w:t xml:space="preserve">relaciones jurídicas exista una remuneración en favor de uno de los </w:t>
      </w:r>
      <w:proofErr w:type="spellStart"/>
      <w:r w:rsidRPr="002C675F">
        <w:rPr>
          <w:rFonts w:ascii="Verdana" w:eastAsia="Times New Roman" w:hAnsi="Verdana" w:cs="Arial"/>
          <w:lang w:val="es-ES" w:eastAsia="es-ES_tradnl"/>
        </w:rPr>
        <w:t>co-contratantes</w:t>
      </w:r>
      <w:proofErr w:type="spellEnd"/>
      <w:r w:rsidRPr="002C675F">
        <w:rPr>
          <w:rFonts w:ascii="Verdana" w:eastAsia="Times New Roman" w:hAnsi="Verdana" w:cs="Arial"/>
          <w:lang w:val="es-ES" w:eastAsia="es-ES_tradnl"/>
        </w:rPr>
        <w:t xml:space="preserve"> y a cargo de otro u otros.</w:t>
      </w:r>
    </w:p>
    <w:p w14:paraId="290256D9" w14:textId="77777777" w:rsidR="005262CA" w:rsidRDefault="005262CA" w:rsidP="005262CA">
      <w:pPr>
        <w:spacing w:after="120" w:line="276" w:lineRule="auto"/>
        <w:ind w:firstLine="709"/>
        <w:jc w:val="both"/>
        <w:rPr>
          <w:rFonts w:ascii="Verdana" w:eastAsia="Calibri" w:hAnsi="Verdana" w:cs="Arial"/>
          <w:bCs/>
          <w:color w:val="000000" w:themeColor="text1"/>
          <w:lang w:eastAsia="es-ES_tradnl" w:bidi="es-ES"/>
        </w:rPr>
      </w:pPr>
      <w:r w:rsidRPr="00F02718">
        <w:rPr>
          <w:rFonts w:ascii="Verdana" w:eastAsia="Times New Roman" w:hAnsi="Verdana" w:cs="Arial"/>
          <w:lang w:val="es-ES" w:eastAsia="es-ES_tradnl"/>
        </w:rPr>
        <w:t>En suma, el convenio interadministrativo</w:t>
      </w:r>
      <w:r w:rsidRPr="002C675F">
        <w:rPr>
          <w:rFonts w:ascii="Verdana" w:eastAsia="Calibri" w:hAnsi="Verdana" w:cs="Arial"/>
          <w:bCs/>
          <w:color w:val="000000" w:themeColor="text1"/>
          <w:lang w:eastAsia="es-ES_tradnl" w:bidi="es-ES"/>
        </w:rPr>
        <w:t xml:space="preserve">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59CA7C60" w14:textId="77777777" w:rsidR="005262CA" w:rsidRPr="00DE423E" w:rsidRDefault="005262CA" w:rsidP="005262CA">
      <w:pPr>
        <w:spacing w:after="120" w:line="276" w:lineRule="auto"/>
        <w:ind w:firstLine="709"/>
        <w:jc w:val="both"/>
        <w:rPr>
          <w:rFonts w:ascii="Verdana" w:eastAsia="Calibri" w:hAnsi="Verdana" w:cs="Arial"/>
          <w:bCs/>
          <w:color w:val="000000" w:themeColor="text1"/>
          <w:lang w:eastAsia="es-ES_tradnl" w:bidi="es-ES"/>
        </w:rPr>
      </w:pPr>
      <w:r>
        <w:rPr>
          <w:rFonts w:ascii="Verdana" w:eastAsia="Calibri" w:hAnsi="Verdana" w:cs="Arial"/>
          <w:bCs/>
          <w:color w:val="000000" w:themeColor="text1"/>
          <w:lang w:eastAsia="es-ES_tradnl" w:bidi="es-ES"/>
        </w:rPr>
        <w:t>Bajo estas consideraciones, l</w:t>
      </w:r>
      <w:r w:rsidRPr="00DE423E">
        <w:rPr>
          <w:rFonts w:ascii="Verdana" w:eastAsia="Calibri" w:hAnsi="Verdana" w:cs="Arial"/>
          <w:bCs/>
          <w:color w:val="000000" w:themeColor="text1"/>
          <w:lang w:eastAsia="es-ES_tradnl" w:bidi="es-ES"/>
        </w:rPr>
        <w:t xml:space="preserve">as entidades públicas </w:t>
      </w:r>
      <w:r>
        <w:rPr>
          <w:rFonts w:ascii="Verdana" w:eastAsia="Calibri" w:hAnsi="Verdana" w:cs="Arial"/>
          <w:bCs/>
          <w:color w:val="000000" w:themeColor="text1"/>
          <w:lang w:eastAsia="es-ES_tradnl" w:bidi="es-ES"/>
        </w:rPr>
        <w:t xml:space="preserve">pueden celebrar </w:t>
      </w:r>
      <w:r w:rsidRPr="00DE423E">
        <w:rPr>
          <w:rFonts w:ascii="Verdana" w:eastAsia="Calibri" w:hAnsi="Verdana" w:cs="Arial"/>
          <w:bCs/>
          <w:color w:val="000000" w:themeColor="text1"/>
          <w:lang w:eastAsia="es-ES_tradnl" w:bidi="es-ES"/>
        </w:rPr>
        <w:t xml:space="preserve">se convenios interadministrativos con el propósito de articular esfuerzos en el cumplimiento de funciones administrativas o en la prestación conjunta de servicios a su cargo. En este marco, y atendiendo a la naturaleza y competencias de cada entidad, </w:t>
      </w:r>
      <w:r>
        <w:rPr>
          <w:rFonts w:ascii="Verdana" w:eastAsia="Calibri" w:hAnsi="Verdana" w:cs="Arial"/>
          <w:bCs/>
          <w:color w:val="000000" w:themeColor="text1"/>
          <w:lang w:eastAsia="es-ES_tradnl" w:bidi="es-ES"/>
        </w:rPr>
        <w:t>una P</w:t>
      </w:r>
      <w:r w:rsidRPr="00DE423E">
        <w:rPr>
          <w:rFonts w:ascii="Verdana" w:eastAsia="Calibri" w:hAnsi="Verdana" w:cs="Arial"/>
          <w:bCs/>
          <w:color w:val="000000" w:themeColor="text1"/>
          <w:lang w:eastAsia="es-ES_tradnl" w:bidi="es-ES"/>
        </w:rPr>
        <w:t xml:space="preserve">ersonería </w:t>
      </w:r>
      <w:r>
        <w:rPr>
          <w:rFonts w:ascii="Verdana" w:eastAsia="Calibri" w:hAnsi="Verdana" w:cs="Arial"/>
          <w:bCs/>
          <w:color w:val="000000" w:themeColor="text1"/>
          <w:lang w:eastAsia="es-ES_tradnl" w:bidi="es-ES"/>
        </w:rPr>
        <w:t xml:space="preserve">Municipal o Distrital puede válidamente </w:t>
      </w:r>
      <w:r w:rsidRPr="00DE423E">
        <w:rPr>
          <w:rFonts w:ascii="Verdana" w:eastAsia="Calibri" w:hAnsi="Verdana" w:cs="Arial"/>
          <w:bCs/>
          <w:color w:val="000000" w:themeColor="text1"/>
          <w:lang w:eastAsia="es-ES_tradnl" w:bidi="es-ES"/>
        </w:rPr>
        <w:t>suscrib</w:t>
      </w:r>
      <w:r>
        <w:rPr>
          <w:rFonts w:ascii="Verdana" w:eastAsia="Calibri" w:hAnsi="Verdana" w:cs="Arial"/>
          <w:bCs/>
          <w:color w:val="000000" w:themeColor="text1"/>
          <w:lang w:eastAsia="es-ES_tradnl" w:bidi="es-ES"/>
        </w:rPr>
        <w:t>ir</w:t>
      </w:r>
      <w:r w:rsidRPr="00DE423E">
        <w:rPr>
          <w:rFonts w:ascii="Verdana" w:eastAsia="Calibri" w:hAnsi="Verdana" w:cs="Arial"/>
          <w:bCs/>
          <w:color w:val="000000" w:themeColor="text1"/>
          <w:lang w:eastAsia="es-ES_tradnl" w:bidi="es-ES"/>
        </w:rPr>
        <w:t xml:space="preserve"> un convenio con </w:t>
      </w:r>
      <w:r>
        <w:rPr>
          <w:rFonts w:ascii="Verdana" w:eastAsia="Calibri" w:hAnsi="Verdana" w:cs="Arial"/>
          <w:bCs/>
          <w:color w:val="000000" w:themeColor="text1"/>
          <w:lang w:eastAsia="es-ES_tradnl" w:bidi="es-ES"/>
        </w:rPr>
        <w:t xml:space="preserve">otra entidad </w:t>
      </w:r>
      <w:r w:rsidRPr="00DE423E">
        <w:rPr>
          <w:rFonts w:ascii="Verdana" w:eastAsia="Calibri" w:hAnsi="Verdana" w:cs="Arial"/>
          <w:bCs/>
          <w:color w:val="000000" w:themeColor="text1"/>
          <w:lang w:eastAsia="es-ES_tradnl" w:bidi="es-ES"/>
        </w:rPr>
        <w:t>orientado a fortalecer la gestión institucional y garantizar una actuación administrativa más eficiente, coordinada y acorde con los principios que rigen la función pública.</w:t>
      </w:r>
    </w:p>
    <w:p w14:paraId="48125BE5" w14:textId="77777777" w:rsidR="005262CA" w:rsidRPr="00DE423E" w:rsidRDefault="005262CA" w:rsidP="005262CA">
      <w:pPr>
        <w:spacing w:after="120" w:line="276" w:lineRule="auto"/>
        <w:ind w:firstLine="709"/>
        <w:jc w:val="both"/>
        <w:rPr>
          <w:rFonts w:ascii="Verdana" w:eastAsia="Calibri" w:hAnsi="Verdana" w:cs="Arial"/>
          <w:bCs/>
          <w:color w:val="000000" w:themeColor="text1"/>
          <w:lang w:eastAsia="es-ES_tradnl" w:bidi="es-ES"/>
        </w:rPr>
      </w:pPr>
      <w:r>
        <w:rPr>
          <w:rFonts w:ascii="Verdana" w:eastAsia="Calibri" w:hAnsi="Verdana" w:cs="Arial"/>
          <w:bCs/>
          <w:color w:val="000000" w:themeColor="text1"/>
          <w:lang w:eastAsia="es-ES_tradnl" w:bidi="es-ES"/>
        </w:rPr>
        <w:t xml:space="preserve">En este contexto, teniendo en cuenta que los contratos </w:t>
      </w:r>
      <w:r w:rsidRPr="00DE423E">
        <w:rPr>
          <w:rFonts w:ascii="Verdana" w:eastAsia="Calibri" w:hAnsi="Verdana" w:cs="Arial"/>
          <w:bCs/>
          <w:color w:val="000000" w:themeColor="text1"/>
          <w:lang w:eastAsia="es-ES_tradnl" w:bidi="es-ES"/>
        </w:rPr>
        <w:t>se fundamenta</w:t>
      </w:r>
      <w:r>
        <w:rPr>
          <w:rFonts w:ascii="Verdana" w:eastAsia="Calibri" w:hAnsi="Verdana" w:cs="Arial"/>
          <w:bCs/>
          <w:color w:val="000000" w:themeColor="text1"/>
          <w:lang w:eastAsia="es-ES_tradnl" w:bidi="es-ES"/>
        </w:rPr>
        <w:t>n</w:t>
      </w:r>
      <w:r w:rsidRPr="00DE423E">
        <w:rPr>
          <w:rFonts w:ascii="Verdana" w:eastAsia="Calibri" w:hAnsi="Verdana" w:cs="Arial"/>
          <w:bCs/>
          <w:color w:val="000000" w:themeColor="text1"/>
          <w:lang w:eastAsia="es-ES_tradnl" w:bidi="es-ES"/>
        </w:rPr>
        <w:t xml:space="preserve"> en el principio de autonomía de la voluntad</w:t>
      </w:r>
      <w:r>
        <w:rPr>
          <w:rStyle w:val="Refdenotaalpie"/>
          <w:rFonts w:ascii="Verdana" w:eastAsia="Calibri" w:hAnsi="Verdana" w:cs="Arial"/>
          <w:bCs/>
          <w:color w:val="000000" w:themeColor="text1"/>
          <w:lang w:eastAsia="es-ES_tradnl" w:bidi="es-ES"/>
        </w:rPr>
        <w:footnoteReference w:id="14"/>
      </w:r>
      <w:r w:rsidRPr="00DE423E">
        <w:rPr>
          <w:rFonts w:ascii="Verdana" w:eastAsia="Calibri" w:hAnsi="Verdana" w:cs="Arial"/>
          <w:bCs/>
          <w:color w:val="000000" w:themeColor="text1"/>
          <w:lang w:eastAsia="es-ES_tradnl" w:bidi="es-ES"/>
        </w:rPr>
        <w:t>, lo que permite a las entidades definir, de manera concertada, las condiciones que regirán su relación de cooperación</w:t>
      </w:r>
      <w:r>
        <w:rPr>
          <w:rFonts w:ascii="Verdana" w:eastAsia="Calibri" w:hAnsi="Verdana" w:cs="Arial"/>
          <w:bCs/>
          <w:color w:val="000000" w:themeColor="text1"/>
          <w:lang w:eastAsia="es-ES_tradnl" w:bidi="es-ES"/>
        </w:rPr>
        <w:t xml:space="preserve">, en </w:t>
      </w:r>
      <w:r w:rsidRPr="00DE423E">
        <w:rPr>
          <w:rFonts w:ascii="Verdana" w:eastAsia="Calibri" w:hAnsi="Verdana" w:cs="Arial"/>
          <w:bCs/>
          <w:color w:val="000000" w:themeColor="text1"/>
          <w:lang w:eastAsia="es-ES_tradnl" w:bidi="es-ES"/>
        </w:rPr>
        <w:t>el convenio debe establecer con precisión los compromisos asumidos por cada parte, las actividades específicas que desarrollarán para alcanzar los objetivos propuestos, así como la delimitación clara de responsabilidades</w:t>
      </w:r>
      <w:r>
        <w:rPr>
          <w:rFonts w:ascii="Verdana" w:eastAsia="Calibri" w:hAnsi="Verdana" w:cs="Arial"/>
          <w:bCs/>
          <w:color w:val="000000" w:themeColor="text1"/>
          <w:lang w:eastAsia="es-ES_tradnl" w:bidi="es-ES"/>
        </w:rPr>
        <w:t xml:space="preserve">. </w:t>
      </w:r>
    </w:p>
    <w:p w14:paraId="035C450D" w14:textId="77777777" w:rsidR="005262CA" w:rsidRDefault="005262CA" w:rsidP="005262CA">
      <w:pPr>
        <w:spacing w:after="120" w:line="276" w:lineRule="auto"/>
        <w:ind w:firstLine="709"/>
        <w:jc w:val="both"/>
        <w:rPr>
          <w:rFonts w:ascii="Verdana" w:eastAsia="Calibri" w:hAnsi="Verdana" w:cs="Arial"/>
          <w:bCs/>
          <w:color w:val="000000" w:themeColor="text1"/>
          <w:lang w:eastAsia="es-ES_tradnl" w:bidi="es-ES"/>
        </w:rPr>
      </w:pPr>
      <w:r w:rsidRPr="00DE423E">
        <w:rPr>
          <w:rFonts w:ascii="Verdana" w:eastAsia="Calibri" w:hAnsi="Verdana" w:cs="Arial"/>
          <w:bCs/>
          <w:color w:val="000000" w:themeColor="text1"/>
          <w:lang w:eastAsia="es-ES_tradnl" w:bidi="es-ES"/>
        </w:rPr>
        <w:t xml:space="preserve">De igual forma, es esencial que en el convenio se incorporen mecanismos administrativos y de coordinación que faciliten la articulación interinstitucional, </w:t>
      </w:r>
      <w:r>
        <w:rPr>
          <w:rFonts w:ascii="Verdana" w:eastAsia="Calibri" w:hAnsi="Verdana" w:cs="Arial"/>
          <w:bCs/>
          <w:color w:val="000000" w:themeColor="text1"/>
          <w:lang w:eastAsia="es-ES_tradnl" w:bidi="es-ES"/>
        </w:rPr>
        <w:t xml:space="preserve">que </w:t>
      </w:r>
      <w:r w:rsidRPr="00DE423E">
        <w:rPr>
          <w:rFonts w:ascii="Verdana" w:eastAsia="Calibri" w:hAnsi="Verdana" w:cs="Arial"/>
          <w:bCs/>
          <w:color w:val="000000" w:themeColor="text1"/>
          <w:lang w:eastAsia="es-ES_tradnl" w:bidi="es-ES"/>
        </w:rPr>
        <w:t>permit</w:t>
      </w:r>
      <w:r>
        <w:rPr>
          <w:rFonts w:ascii="Verdana" w:eastAsia="Calibri" w:hAnsi="Verdana" w:cs="Arial"/>
          <w:bCs/>
          <w:color w:val="000000" w:themeColor="text1"/>
          <w:lang w:eastAsia="es-ES_tradnl" w:bidi="es-ES"/>
        </w:rPr>
        <w:t>a</w:t>
      </w:r>
      <w:r w:rsidRPr="00DE423E">
        <w:rPr>
          <w:rFonts w:ascii="Verdana" w:eastAsia="Calibri" w:hAnsi="Verdana" w:cs="Arial"/>
          <w:bCs/>
          <w:color w:val="000000" w:themeColor="text1"/>
          <w:lang w:eastAsia="es-ES_tradnl" w:bidi="es-ES"/>
        </w:rPr>
        <w:t xml:space="preserve">n garantizar el cumplimiento efectivo del objeto convenido, </w:t>
      </w:r>
      <w:r>
        <w:rPr>
          <w:rFonts w:ascii="Verdana" w:eastAsia="Calibri" w:hAnsi="Verdana" w:cs="Arial"/>
          <w:bCs/>
          <w:color w:val="000000" w:themeColor="text1"/>
          <w:lang w:eastAsia="es-ES_tradnl" w:bidi="es-ES"/>
        </w:rPr>
        <w:t xml:space="preserve">así como </w:t>
      </w:r>
      <w:r w:rsidRPr="00DE423E">
        <w:rPr>
          <w:rFonts w:ascii="Verdana" w:eastAsia="Calibri" w:hAnsi="Verdana" w:cs="Arial"/>
          <w:bCs/>
          <w:color w:val="000000" w:themeColor="text1"/>
          <w:lang w:eastAsia="es-ES_tradnl" w:bidi="es-ES"/>
        </w:rPr>
        <w:t>también asegura</w:t>
      </w:r>
      <w:r>
        <w:rPr>
          <w:rFonts w:ascii="Verdana" w:eastAsia="Calibri" w:hAnsi="Verdana" w:cs="Arial"/>
          <w:bCs/>
          <w:color w:val="000000" w:themeColor="text1"/>
          <w:lang w:eastAsia="es-ES_tradnl" w:bidi="es-ES"/>
        </w:rPr>
        <w:t>r</w:t>
      </w:r>
      <w:r w:rsidRPr="00DE423E">
        <w:rPr>
          <w:rFonts w:ascii="Verdana" w:eastAsia="Calibri" w:hAnsi="Verdana" w:cs="Arial"/>
          <w:bCs/>
          <w:color w:val="000000" w:themeColor="text1"/>
          <w:lang w:eastAsia="es-ES_tradnl" w:bidi="es-ES"/>
        </w:rPr>
        <w:t xml:space="preserve"> la continuidad de las actuaciones administrativas, la transparencia en la gestión y la adecuada distribución de cargas y responsabilidades entre las entidades</w:t>
      </w:r>
      <w:r>
        <w:rPr>
          <w:rFonts w:ascii="Verdana" w:eastAsia="Calibri" w:hAnsi="Verdana" w:cs="Arial"/>
          <w:bCs/>
          <w:color w:val="000000" w:themeColor="text1"/>
          <w:lang w:eastAsia="es-ES_tradnl" w:bidi="es-ES"/>
        </w:rPr>
        <w:t xml:space="preserve">. </w:t>
      </w:r>
    </w:p>
    <w:p w14:paraId="05D1A392" w14:textId="77777777" w:rsidR="005262CA" w:rsidRDefault="005262CA" w:rsidP="005262CA">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lastRenderedPageBreak/>
        <w:t xml:space="preserve">En todo caso, </w:t>
      </w:r>
      <w:r>
        <w:rPr>
          <w:rFonts w:ascii="Verdana" w:hAnsi="Verdana" w:cs="Arial"/>
          <w:lang w:val="es-ES_tradnl" w:eastAsia="es-ES"/>
        </w:rPr>
        <w:t>debe advertirse que el análisis requerido para resolver problemas específicos debe realizarse por quienes tengan interés en ello, de acuerdo con lo explicado la aclaración preliminar del presente oficio, por lo que corresponde a cada entidad verificar el mecanismo jurídico adecuado para resolver su problema particular.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67CD315" w14:textId="77777777" w:rsidR="005262CA" w:rsidRPr="003B338E" w:rsidRDefault="005262CA" w:rsidP="005262CA">
      <w:pPr>
        <w:spacing w:after="0" w:line="276" w:lineRule="auto"/>
        <w:ind w:firstLine="709"/>
        <w:jc w:val="both"/>
        <w:rPr>
          <w:rFonts w:ascii="Verdana" w:hAnsi="Verdana" w:cs="Arial"/>
          <w:lang w:val="es-ES" w:eastAsia="es-ES"/>
        </w:rPr>
      </w:pPr>
      <w:r>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DBAAB91" w14:textId="77777777" w:rsidR="005262CA" w:rsidRPr="006801EE" w:rsidRDefault="005262CA" w:rsidP="005262CA">
      <w:pPr>
        <w:snapToGrid w:val="0"/>
        <w:spacing w:after="120" w:line="276" w:lineRule="auto"/>
        <w:ind w:firstLine="709"/>
        <w:jc w:val="both"/>
        <w:rPr>
          <w:rFonts w:ascii="Verdana" w:hAnsi="Verdana" w:cs="Arial"/>
          <w:shd w:val="clear" w:color="auto" w:fill="FFFFFF"/>
        </w:rPr>
      </w:pPr>
    </w:p>
    <w:p w14:paraId="4D549279" w14:textId="77777777" w:rsidR="005262CA" w:rsidRPr="00F70797" w:rsidRDefault="005262CA" w:rsidP="005262CA">
      <w:pPr>
        <w:pStyle w:val="Prrafodelista"/>
        <w:widowControl w:val="0"/>
        <w:numPr>
          <w:ilvl w:val="0"/>
          <w:numId w:val="16"/>
        </w:numPr>
        <w:tabs>
          <w:tab w:val="left" w:pos="142"/>
          <w:tab w:val="left" w:pos="284"/>
        </w:tabs>
        <w:autoSpaceDE w:val="0"/>
        <w:autoSpaceDN w:val="0"/>
        <w:spacing w:after="0" w:line="276" w:lineRule="auto"/>
        <w:ind w:left="0" w:firstLine="0"/>
        <w:contextualSpacing w:val="0"/>
        <w:jc w:val="both"/>
        <w:rPr>
          <w:rFonts w:ascii="Verdana" w:hAnsi="Verdana" w:cs="Arial"/>
        </w:rPr>
      </w:pPr>
      <w:r w:rsidRPr="00F70797">
        <w:rPr>
          <w:rFonts w:ascii="Verdana" w:eastAsia="Century Gothic" w:hAnsi="Verdana" w:cs="Century Gothic"/>
          <w:b/>
          <w:bCs/>
        </w:rPr>
        <w:t>Referencias normativas</w:t>
      </w:r>
      <w:r>
        <w:rPr>
          <w:rFonts w:ascii="Verdana" w:eastAsia="Century Gothic" w:hAnsi="Verdana" w:cs="Century Gothic"/>
          <w:b/>
          <w:bCs/>
        </w:rPr>
        <w:t xml:space="preserve"> y </w:t>
      </w:r>
      <w:r w:rsidRPr="00F70797">
        <w:rPr>
          <w:rFonts w:ascii="Verdana" w:eastAsia="Century Gothic" w:hAnsi="Verdana" w:cs="Century Gothic"/>
          <w:b/>
          <w:bCs/>
        </w:rPr>
        <w:t>jurisprudenciales</w:t>
      </w:r>
      <w:r>
        <w:rPr>
          <w:rFonts w:ascii="Verdana" w:eastAsia="Century Gothic" w:hAnsi="Verdana" w:cs="Century Gothic"/>
          <w:b/>
          <w:bCs/>
        </w:rPr>
        <w:t>:</w:t>
      </w:r>
    </w:p>
    <w:p w14:paraId="4083F9A8" w14:textId="77777777" w:rsidR="005262CA" w:rsidRPr="00F70797" w:rsidRDefault="005262CA" w:rsidP="005262CA">
      <w:pPr>
        <w:pStyle w:val="Prrafodelista"/>
        <w:widowControl w:val="0"/>
        <w:tabs>
          <w:tab w:val="left" w:pos="142"/>
          <w:tab w:val="left" w:pos="284"/>
        </w:tabs>
        <w:autoSpaceDE w:val="0"/>
        <w:autoSpaceDN w:val="0"/>
        <w:spacing w:after="0" w:line="276" w:lineRule="auto"/>
        <w:ind w:left="0"/>
        <w:contextualSpacing w:val="0"/>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262CA" w:rsidRPr="00593A5F" w14:paraId="698517D6" w14:textId="77777777" w:rsidTr="009A17C6">
        <w:trPr>
          <w:trHeight w:val="870"/>
        </w:trPr>
        <w:tc>
          <w:tcPr>
            <w:tcW w:w="8647" w:type="dxa"/>
          </w:tcPr>
          <w:p w14:paraId="220D89BC" w14:textId="77777777" w:rsidR="005262CA" w:rsidRDefault="005262CA" w:rsidP="009A17C6">
            <w:pPr>
              <w:widowControl w:val="0"/>
              <w:numPr>
                <w:ilvl w:val="0"/>
                <w:numId w:val="17"/>
              </w:numPr>
              <w:autoSpaceDE w:val="0"/>
              <w:autoSpaceDN w:val="0"/>
              <w:spacing w:after="160" w:line="276" w:lineRule="auto"/>
              <w:contextualSpacing/>
              <w:jc w:val="both"/>
              <w:rPr>
                <w:rFonts w:ascii="Verdana" w:eastAsia="Calibri" w:hAnsi="Verdana" w:cs="Arial"/>
                <w:lang w:val="es-ES"/>
              </w:rPr>
            </w:pPr>
            <w:r w:rsidRPr="0075100A">
              <w:rPr>
                <w:rFonts w:ascii="Verdana" w:eastAsia="Calibri" w:hAnsi="Verdana" w:cs="Arial"/>
                <w:lang w:val="es-ES"/>
              </w:rPr>
              <w:t>Constitución Política. Artículos 74 y 209</w:t>
            </w:r>
          </w:p>
          <w:p w14:paraId="7C69B3C1" w14:textId="77777777" w:rsidR="005262CA" w:rsidRPr="00DF7CF8" w:rsidRDefault="005262CA" w:rsidP="009A17C6">
            <w:pPr>
              <w:widowControl w:val="0"/>
              <w:numPr>
                <w:ilvl w:val="0"/>
                <w:numId w:val="17"/>
              </w:numPr>
              <w:autoSpaceDE w:val="0"/>
              <w:autoSpaceDN w:val="0"/>
              <w:spacing w:line="276" w:lineRule="auto"/>
              <w:contextualSpacing/>
              <w:jc w:val="both"/>
              <w:rPr>
                <w:rFonts w:ascii="Verdana" w:eastAsia="Calibri" w:hAnsi="Verdana" w:cs="Arial"/>
                <w:lang w:val="es-ES"/>
              </w:rPr>
            </w:pPr>
            <w:r w:rsidRPr="00DF7CF8">
              <w:rPr>
                <w:rFonts w:ascii="Verdana" w:eastAsia="Calibri" w:hAnsi="Verdana" w:cs="Arial"/>
                <w:lang w:val="es-ES"/>
              </w:rPr>
              <w:t>Ley 80 de 1993</w:t>
            </w:r>
            <w:r>
              <w:rPr>
                <w:rFonts w:ascii="Verdana" w:eastAsia="Calibri" w:hAnsi="Verdana" w:cs="Arial"/>
                <w:lang w:val="es-ES"/>
              </w:rPr>
              <w:t xml:space="preserve">, artículos 2 y </w:t>
            </w:r>
            <w:r w:rsidRPr="00DF7CF8">
              <w:rPr>
                <w:rFonts w:ascii="Verdana" w:eastAsia="Calibri" w:hAnsi="Verdana" w:cs="Arial"/>
                <w:lang w:val="es-ES"/>
              </w:rPr>
              <w:t xml:space="preserve">32 </w:t>
            </w:r>
          </w:p>
          <w:p w14:paraId="7E21F7BC" w14:textId="77777777" w:rsidR="005262CA" w:rsidRPr="00083868" w:rsidRDefault="005262CA" w:rsidP="009A17C6">
            <w:pPr>
              <w:widowControl w:val="0"/>
              <w:numPr>
                <w:ilvl w:val="0"/>
                <w:numId w:val="17"/>
              </w:numPr>
              <w:autoSpaceDE w:val="0"/>
              <w:autoSpaceDN w:val="0"/>
              <w:spacing w:line="276" w:lineRule="auto"/>
              <w:jc w:val="both"/>
              <w:rPr>
                <w:rStyle w:val="eop"/>
                <w:rFonts w:ascii="Verdana" w:eastAsia="Calibri" w:hAnsi="Verdana" w:cs="Arial"/>
              </w:rPr>
            </w:pPr>
            <w:r w:rsidRPr="006D61AA">
              <w:rPr>
                <w:rFonts w:ascii="Verdana" w:eastAsia="Calibri" w:hAnsi="Verdana" w:cs="Arial"/>
              </w:rPr>
              <w:t xml:space="preserve">Estatuto Orgánico del Presupuesto, artículos 107 y 110 </w:t>
            </w:r>
          </w:p>
          <w:p w14:paraId="7829D49D" w14:textId="77777777" w:rsidR="005262CA" w:rsidRDefault="005262CA" w:rsidP="009A17C6">
            <w:pPr>
              <w:widowControl w:val="0"/>
              <w:numPr>
                <w:ilvl w:val="0"/>
                <w:numId w:val="17"/>
              </w:numPr>
              <w:autoSpaceDE w:val="0"/>
              <w:autoSpaceDN w:val="0"/>
              <w:spacing w:after="160" w:line="276" w:lineRule="auto"/>
              <w:contextualSpacing/>
              <w:jc w:val="both"/>
              <w:rPr>
                <w:rFonts w:ascii="Verdana" w:eastAsia="Calibri" w:hAnsi="Verdana" w:cs="Arial"/>
                <w:lang w:val="es-ES"/>
              </w:rPr>
            </w:pPr>
            <w:r w:rsidRPr="009123A5">
              <w:rPr>
                <w:rFonts w:ascii="Verdana" w:eastAsia="Calibri" w:hAnsi="Verdana" w:cs="Arial"/>
                <w:lang w:val="es-ES"/>
              </w:rPr>
              <w:t>Consejo de Estado -Sección Tercera-. Sentencia del 21 de febrero de 2025. Radicación Número: 68.280. CP: José Roberto Sáchica Méndez.</w:t>
            </w:r>
          </w:p>
          <w:p w14:paraId="77CE8BD5" w14:textId="77777777" w:rsidR="005262CA" w:rsidRDefault="005262CA" w:rsidP="009A17C6">
            <w:pPr>
              <w:widowControl w:val="0"/>
              <w:numPr>
                <w:ilvl w:val="0"/>
                <w:numId w:val="17"/>
              </w:numPr>
              <w:autoSpaceDE w:val="0"/>
              <w:autoSpaceDN w:val="0"/>
              <w:spacing w:after="160" w:line="276" w:lineRule="auto"/>
              <w:contextualSpacing/>
              <w:jc w:val="both"/>
              <w:rPr>
                <w:rFonts w:ascii="Verdana" w:eastAsia="Calibri" w:hAnsi="Verdana" w:cs="Arial"/>
                <w:lang w:val="es-ES"/>
              </w:rPr>
            </w:pPr>
            <w:r w:rsidRPr="009123A5">
              <w:rPr>
                <w:rFonts w:ascii="Verdana" w:eastAsia="Calibri" w:hAnsi="Verdana" w:cs="Arial"/>
                <w:lang w:val="es-ES"/>
              </w:rPr>
              <w:t>Consejo de Estado, Sala de lo Contencioso Administrativo, Sección Tercera, sentencia de 23 de junio de 2010, exp.17860.</w:t>
            </w:r>
          </w:p>
          <w:p w14:paraId="49D773DF" w14:textId="77777777" w:rsidR="005262CA" w:rsidRPr="00AD7F8D" w:rsidRDefault="005262CA" w:rsidP="009A17C6">
            <w:pPr>
              <w:widowControl w:val="0"/>
              <w:numPr>
                <w:ilvl w:val="0"/>
                <w:numId w:val="17"/>
              </w:numPr>
              <w:autoSpaceDE w:val="0"/>
              <w:autoSpaceDN w:val="0"/>
              <w:spacing w:after="160" w:line="276" w:lineRule="auto"/>
              <w:contextualSpacing/>
              <w:jc w:val="both"/>
              <w:rPr>
                <w:rFonts w:ascii="Verdana" w:eastAsia="Calibri" w:hAnsi="Verdana" w:cs="Arial"/>
                <w:lang w:val="es-ES"/>
              </w:rPr>
            </w:pPr>
            <w:r w:rsidRPr="009123A5">
              <w:rPr>
                <w:rFonts w:ascii="Verdana" w:eastAsia="Calibri" w:hAnsi="Verdana" w:cs="Arial"/>
                <w:lang w:val="es-ES"/>
              </w:rPr>
              <w:t>Corte Constitucional mediante la Sentencia C-671 de 1999, M.P. Alfredo Beltrán Sierra.</w:t>
            </w:r>
          </w:p>
        </w:tc>
      </w:tr>
    </w:tbl>
    <w:p w14:paraId="31F0672D" w14:textId="77777777" w:rsidR="005262CA" w:rsidRPr="00593A5F" w:rsidRDefault="005262CA" w:rsidP="005262CA">
      <w:pPr>
        <w:widowControl w:val="0"/>
        <w:autoSpaceDE w:val="0"/>
        <w:autoSpaceDN w:val="0"/>
        <w:spacing w:after="0" w:line="276" w:lineRule="auto"/>
        <w:jc w:val="both"/>
        <w:rPr>
          <w:rFonts w:ascii="Verdana" w:hAnsi="Verdana" w:cs="Arial"/>
        </w:rPr>
      </w:pPr>
    </w:p>
    <w:p w14:paraId="6EB2FB8B" w14:textId="77777777" w:rsidR="005262CA" w:rsidRPr="00593A5F" w:rsidRDefault="005262CA" w:rsidP="005262C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368E74C" w14:textId="77777777" w:rsidR="005262CA" w:rsidRPr="00593A5F" w:rsidRDefault="005262CA" w:rsidP="005262CA">
      <w:pPr>
        <w:widowControl w:val="0"/>
        <w:autoSpaceDE w:val="0"/>
        <w:autoSpaceDN w:val="0"/>
        <w:spacing w:after="0" w:line="276" w:lineRule="auto"/>
        <w:jc w:val="both"/>
        <w:rPr>
          <w:rFonts w:ascii="Verdana" w:hAnsi="Verdana" w:cs="Arial"/>
        </w:rPr>
      </w:pPr>
    </w:p>
    <w:p w14:paraId="4A7E4CB7" w14:textId="77777777" w:rsidR="005262CA" w:rsidRDefault="005262CA" w:rsidP="005262CA">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214793">
        <w:rPr>
          <w:rFonts w:ascii="Verdana" w:hAnsi="Verdana" w:cs="Arial"/>
          <w:lang w:eastAsia="es-ES_tradnl"/>
        </w:rPr>
        <w:t xml:space="preserve">La Agencia Nacional de Contratación Pública -Colombia Compra Eficiente- se ha referido previamente a la noción y características de los convenios y contratos </w:t>
      </w:r>
      <w:r w:rsidRPr="00214793">
        <w:rPr>
          <w:rFonts w:ascii="Verdana" w:hAnsi="Verdana" w:cs="Arial"/>
          <w:lang w:eastAsia="es-ES_tradnl"/>
        </w:rPr>
        <w:lastRenderedPageBreak/>
        <w:t xml:space="preserve">interadministrativos en los conceptos </w:t>
      </w:r>
      <w:r w:rsidRPr="00214793">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14793">
        <w:rPr>
          <w:rFonts w:ascii="Verdana" w:eastAsia="Calibri" w:hAnsi="Verdana" w:cs="Arial"/>
          <w:bCs/>
          <w:color w:val="000000"/>
          <w:lang w:eastAsia="es-ES_tradnl"/>
        </w:rPr>
        <w:t>, C-114 del 4 de mayo de 2023, C-771 del 29 de diciembre de 2022</w:t>
      </w:r>
      <w:r>
        <w:rPr>
          <w:rFonts w:ascii="Verdana" w:eastAsia="Calibri" w:hAnsi="Verdana" w:cs="Arial"/>
          <w:bCs/>
          <w:color w:val="000000"/>
          <w:lang w:eastAsia="es-ES_tradnl"/>
        </w:rPr>
        <w:t>,</w:t>
      </w:r>
      <w:r w:rsidRPr="00214793">
        <w:rPr>
          <w:rFonts w:ascii="Verdana" w:eastAsia="Calibri" w:hAnsi="Verdana" w:cs="Arial"/>
          <w:bCs/>
          <w:color w:val="000000"/>
          <w:lang w:eastAsia="es-ES_tradnl"/>
        </w:rPr>
        <w:t xml:space="preserve"> C-490 del 23 de mayo de 2025</w:t>
      </w:r>
      <w:r>
        <w:rPr>
          <w:rFonts w:ascii="Verdana" w:eastAsia="Calibri" w:hAnsi="Verdana" w:cs="Arial"/>
          <w:bCs/>
          <w:color w:val="000000"/>
          <w:lang w:eastAsia="es-ES_tradnl"/>
        </w:rPr>
        <w:t xml:space="preserve"> y C-1729 del 22 de diciembre de 2025</w:t>
      </w:r>
      <w:r w:rsidRPr="00A1554D">
        <w:rPr>
          <w:rStyle w:val="normaltextrun"/>
          <w:rFonts w:ascii="Verdana" w:hAnsi="Verdana" w:cs="Arial"/>
          <w:color w:val="7030A0"/>
          <w:shd w:val="clear" w:color="auto" w:fill="FFFFFF"/>
          <w:lang w:val="es-ES"/>
        </w:rPr>
        <w:t xml:space="preserve">.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r w:rsidRPr="00A1554D">
        <w:rPr>
          <w:rStyle w:val="normaltextrun"/>
          <w:rFonts w:ascii="Verdana" w:hAnsi="Verdana" w:cs="Arial"/>
          <w:shd w:val="clear" w:color="auto" w:fill="FFFFFF"/>
          <w:lang w:val="es-ES"/>
        </w:rPr>
        <w:t xml:space="preserve"> </w:t>
      </w:r>
      <w:hyperlink r:id="rId13" w:history="1">
        <w:r w:rsidRPr="002E6BA5">
          <w:rPr>
            <w:rStyle w:val="Hipervnculo"/>
            <w:rFonts w:ascii="Verdana" w:hAnsi="Verdana" w:cs="Arial"/>
            <w:color w:val="4472C4" w:themeColor="accent1"/>
            <w:shd w:val="clear" w:color="auto" w:fill="FFFFFF"/>
            <w:lang w:val="es-ES"/>
          </w:rPr>
          <w:t>https://relatoria.colombiacompra.gov.co/busqueda/conceptos</w:t>
        </w:r>
      </w:hyperlink>
      <w:r w:rsidRPr="002E6BA5">
        <w:rPr>
          <w:rStyle w:val="normaltextrun"/>
          <w:rFonts w:ascii="Verdana" w:hAnsi="Verdana" w:cs="Arial"/>
          <w:color w:val="4472C4" w:themeColor="accent1"/>
          <w:shd w:val="clear" w:color="auto" w:fill="FFFFFF"/>
          <w:lang w:val="es-ES"/>
        </w:rPr>
        <w:t xml:space="preserve">. </w:t>
      </w:r>
    </w:p>
    <w:p w14:paraId="6A51D6DA" w14:textId="77777777" w:rsidR="005262CA" w:rsidRDefault="005262CA" w:rsidP="005262CA">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0AC693F" w14:textId="77777777" w:rsidR="005262CA" w:rsidRPr="007B743D" w:rsidRDefault="005262CA" w:rsidP="005262CA">
      <w:pPr>
        <w:jc w:val="both"/>
        <w:rPr>
          <w:rFonts w:ascii="Verdana" w:hAnsi="Verdana"/>
        </w:rPr>
      </w:pPr>
      <w:r w:rsidRPr="007B743D">
        <w:rPr>
          <w:rFonts w:ascii="Verdana" w:hAnsi="Verdana"/>
        </w:rPr>
        <w:t xml:space="preserve">La sostenibilidad no es una opción, es una obligación. Por ello, la Agencia Nacional de Contratación Pública –Colombia Compra Eficiente– te invita a realizar el </w:t>
      </w:r>
      <w:r w:rsidRPr="007B743D">
        <w:rPr>
          <w:rFonts w:ascii="Verdana" w:hAnsi="Verdana"/>
          <w:b/>
          <w:bCs/>
        </w:rPr>
        <w:t>Curso de Contratación Pública Sostenible y Socialmente Responsable</w:t>
      </w:r>
      <w:r w:rsidRPr="007B743D">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7B743D">
        <w:rPr>
          <w:rFonts w:ascii="Verdana" w:hAnsi="Verdana"/>
        </w:rPr>
        <w:br/>
      </w:r>
      <w:hyperlink r:id="rId14" w:tgtFrame="_new" w:history="1">
        <w:r w:rsidRPr="007B743D">
          <w:rPr>
            <w:rFonts w:ascii="Verdana" w:hAnsi="Verdana"/>
            <w:color w:val="0000FF"/>
            <w:u w:val="single"/>
          </w:rPr>
          <w:t>https://formacionvirtual.colombiacompra.gov.co/mod/page/view.php?id=3718</w:t>
        </w:r>
      </w:hyperlink>
    </w:p>
    <w:p w14:paraId="514E7FFC" w14:textId="77777777" w:rsidR="005262CA" w:rsidRPr="007B743D" w:rsidRDefault="005262CA" w:rsidP="005262CA">
      <w:pPr>
        <w:jc w:val="both"/>
        <w:rPr>
          <w:rFonts w:ascii="Verdana" w:hAnsi="Verdana"/>
        </w:rPr>
      </w:pPr>
      <w:r w:rsidRPr="007B743D">
        <w:rPr>
          <w:rFonts w:ascii="Verdana" w:hAnsi="Verdana"/>
        </w:rPr>
        <w:t xml:space="preserve">De otro lado, te contamos que esta Agencia ha da un paso decisivo en la estandarización y modernización del </w:t>
      </w:r>
      <w:r w:rsidRPr="007B743D">
        <w:rPr>
          <w:rFonts w:ascii="Verdana" w:hAnsi="Verdana"/>
          <w:b/>
          <w:bCs/>
        </w:rPr>
        <w:t>sector  social</w:t>
      </w:r>
      <w:r w:rsidRPr="007B743D">
        <w:rPr>
          <w:rFonts w:ascii="Verdana" w:hAnsi="Verdana"/>
        </w:rPr>
        <w:t xml:space="preserve"> con la expedición de las </w:t>
      </w:r>
      <w:r w:rsidRPr="007B743D">
        <w:rPr>
          <w:rFonts w:ascii="Verdana" w:hAnsi="Verdana"/>
          <w:b/>
          <w:bCs/>
        </w:rPr>
        <w:t>Resoluciones 539, 540, 541, 952 y 953 de 2025</w:t>
      </w:r>
      <w:r w:rsidRPr="007B743D">
        <w:rPr>
          <w:rFonts w:ascii="Verdana" w:hAnsi="Verdana"/>
        </w:rPr>
        <w:t xml:space="preserve">, </w:t>
      </w:r>
      <w:r w:rsidRPr="007B743D">
        <w:rPr>
          <w:rFonts w:ascii="Verdana" w:hAnsi="Verdana"/>
          <w:b/>
          <w:bCs/>
        </w:rPr>
        <w:t>mediante las cuales adoptó Documentos Tipo</w:t>
      </w:r>
      <w:r w:rsidRPr="007B743D">
        <w:rPr>
          <w:rFonts w:ascii="Verdana" w:hAnsi="Verdana"/>
        </w:rPr>
        <w:t xml:space="preserve"> para las modalidades de selección de</w:t>
      </w:r>
      <w:r w:rsidRPr="007B743D">
        <w:rPr>
          <w:rFonts w:ascii="Verdana" w:hAnsi="Verdana"/>
          <w:b/>
          <w:bCs/>
        </w:rPr>
        <w:t xml:space="preserve"> licitación pública (versión 2), selección abreviada de menor cuantía, mínima cuantía, consultoría e interventoría</w:t>
      </w:r>
      <w:r w:rsidRPr="007B743D">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B743D">
          <w:rPr>
            <w:rFonts w:ascii="Verdana" w:hAnsi="Verdana"/>
            <w:color w:val="0000FF"/>
            <w:u w:val="single"/>
          </w:rPr>
          <w:t>https://www.colombiacompra.gov.co/normativa-y-relatoria/documentos-tipo</w:t>
        </w:r>
      </w:hyperlink>
    </w:p>
    <w:p w14:paraId="4B90C82E" w14:textId="77777777" w:rsidR="005262CA" w:rsidRDefault="005262CA" w:rsidP="005262CA">
      <w:pPr>
        <w:widowControl w:val="0"/>
        <w:autoSpaceDE w:val="0"/>
        <w:autoSpaceDN w:val="0"/>
        <w:spacing w:after="0" w:line="276" w:lineRule="auto"/>
        <w:jc w:val="both"/>
      </w:pPr>
      <w:r w:rsidRPr="007B743D">
        <w:rPr>
          <w:rFonts w:ascii="Verdana" w:hAnsi="Verdana"/>
        </w:rPr>
        <w:t xml:space="preserve">Si quieres conocer más sobre la aplicación de Documentos Tipo puedes consultar la última versión de la </w:t>
      </w:r>
      <w:r w:rsidRPr="007B743D">
        <w:rPr>
          <w:rFonts w:ascii="Verdana" w:hAnsi="Verdana"/>
          <w:b/>
          <w:bCs/>
        </w:rPr>
        <w:t>Guía para la comprensión e implementación de los Documentos Tipo de obra pública de infraestructura de transporte</w:t>
      </w:r>
      <w:r w:rsidRPr="007B743D">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B743D">
        <w:rPr>
          <w:rFonts w:ascii="Verdana" w:hAnsi="Verdana"/>
        </w:rPr>
        <w:br/>
      </w:r>
      <w:hyperlink r:id="rId16" w:tgtFrame="_new" w:history="1">
        <w:r w:rsidRPr="007B743D">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0C5C5A31" w14:textId="77777777" w:rsidR="005262CA" w:rsidRDefault="005262CA" w:rsidP="005262CA">
      <w:pPr>
        <w:widowControl w:val="0"/>
        <w:autoSpaceDE w:val="0"/>
        <w:autoSpaceDN w:val="0"/>
        <w:spacing w:after="0" w:line="276" w:lineRule="auto"/>
        <w:jc w:val="both"/>
      </w:pPr>
    </w:p>
    <w:p w14:paraId="4DFCB63C" w14:textId="77777777" w:rsidR="005262CA" w:rsidRPr="004505A6" w:rsidRDefault="005262CA" w:rsidP="005262CA">
      <w:pPr>
        <w:spacing w:after="0" w:line="276" w:lineRule="auto"/>
        <w:jc w:val="both"/>
        <w:rPr>
          <w:rFonts w:ascii="Verdana" w:hAnsi="Verdana"/>
        </w:rPr>
      </w:pPr>
      <w:r w:rsidRPr="004505A6">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2E7EA9E" w14:textId="77777777" w:rsidR="005262CA" w:rsidRPr="004505A6" w:rsidRDefault="005262CA" w:rsidP="005262CA">
      <w:pPr>
        <w:spacing w:after="0" w:line="276" w:lineRule="auto"/>
        <w:jc w:val="both"/>
        <w:rPr>
          <w:rFonts w:ascii="Verdana" w:hAnsi="Verdana"/>
        </w:rPr>
      </w:pPr>
    </w:p>
    <w:p w14:paraId="4620B2E6" w14:textId="77777777" w:rsidR="005262CA" w:rsidRPr="004505A6" w:rsidRDefault="005262CA" w:rsidP="005262CA">
      <w:pPr>
        <w:numPr>
          <w:ilvl w:val="0"/>
          <w:numId w:val="15"/>
        </w:numPr>
        <w:spacing w:after="0" w:line="276" w:lineRule="auto"/>
        <w:contextualSpacing/>
        <w:jc w:val="both"/>
        <w:rPr>
          <w:rFonts w:ascii="Verdana" w:eastAsia="Verdana" w:hAnsi="Verdana" w:cs="Verdana"/>
          <w:color w:val="4472C4" w:themeColor="accent1"/>
          <w:u w:val="single"/>
          <w:lang w:val="es-MX"/>
        </w:rPr>
      </w:pPr>
      <w:r w:rsidRPr="004505A6">
        <w:rPr>
          <w:rFonts w:ascii="Verdana" w:eastAsia="Verdana" w:hAnsi="Verdana" w:cs="Verdana"/>
          <w:lang w:val="es-MX"/>
        </w:rPr>
        <w:t xml:space="preserve">Línea nacional gratuita o servicio a la ciudadanía (Mesa de servicio): </w:t>
      </w:r>
      <w:r w:rsidRPr="004505A6">
        <w:rPr>
          <w:rFonts w:ascii="Verdana" w:hAnsi="Verdana"/>
          <w:color w:val="0000FF"/>
          <w:u w:val="single"/>
          <w:lang w:val="es-ES"/>
        </w:rPr>
        <w:t>01800 0520808</w:t>
      </w:r>
    </w:p>
    <w:p w14:paraId="6F7BF300" w14:textId="77777777" w:rsidR="005262CA" w:rsidRPr="004505A6" w:rsidRDefault="005262CA" w:rsidP="005262CA">
      <w:pPr>
        <w:numPr>
          <w:ilvl w:val="0"/>
          <w:numId w:val="15"/>
        </w:numPr>
        <w:spacing w:after="0" w:line="276" w:lineRule="auto"/>
        <w:contextualSpacing/>
        <w:rPr>
          <w:rFonts w:ascii="Verdana" w:eastAsia="Verdana" w:hAnsi="Verdana" w:cs="Verdana"/>
          <w:color w:val="4472C4" w:themeColor="accent1"/>
          <w:u w:val="single"/>
          <w:lang w:val="es-MX"/>
        </w:rPr>
      </w:pPr>
      <w:r w:rsidRPr="004505A6">
        <w:rPr>
          <w:rFonts w:ascii="Verdana" w:eastAsia="Verdana" w:hAnsi="Verdana" w:cs="Verdana"/>
          <w:lang w:val="es-MX"/>
        </w:rPr>
        <w:t>Línea en Bogotá (Mesa de servicio</w:t>
      </w:r>
      <w:proofErr w:type="gramStart"/>
      <w:r w:rsidRPr="004505A6">
        <w:rPr>
          <w:rFonts w:ascii="Verdana" w:eastAsia="Verdana" w:hAnsi="Verdana" w:cs="Verdana"/>
          <w:lang w:val="es-MX"/>
        </w:rPr>
        <w:t>):</w:t>
      </w:r>
      <w:r w:rsidRPr="004505A6">
        <w:rPr>
          <w:rFonts w:ascii="Verdana" w:hAnsi="Verdana"/>
          <w:color w:val="0000FF"/>
          <w:u w:val="single"/>
          <w:lang w:val="es-ES"/>
        </w:rPr>
        <w:t>+</w:t>
      </w:r>
      <w:proofErr w:type="gramEnd"/>
      <w:r w:rsidRPr="004505A6">
        <w:rPr>
          <w:rFonts w:ascii="Verdana" w:hAnsi="Verdana"/>
          <w:color w:val="0000FF"/>
          <w:u w:val="single"/>
          <w:lang w:val="es-ES"/>
        </w:rPr>
        <w:t>57 601 7456788</w:t>
      </w:r>
    </w:p>
    <w:p w14:paraId="012631DA" w14:textId="77777777" w:rsidR="005262CA" w:rsidRPr="004505A6" w:rsidRDefault="005262CA" w:rsidP="005262CA">
      <w:pPr>
        <w:numPr>
          <w:ilvl w:val="0"/>
          <w:numId w:val="15"/>
        </w:numPr>
        <w:spacing w:after="0" w:line="276" w:lineRule="auto"/>
        <w:contextualSpacing/>
        <w:rPr>
          <w:rFonts w:ascii="Verdana" w:eastAsia="Verdana" w:hAnsi="Verdana" w:cs="Verdana"/>
          <w:color w:val="0000FF"/>
          <w:u w:val="single"/>
          <w:lang w:val="es-MX"/>
        </w:rPr>
      </w:pPr>
      <w:r w:rsidRPr="004505A6">
        <w:rPr>
          <w:rFonts w:ascii="Verdana" w:eastAsia="Verdana" w:hAnsi="Verdana" w:cs="Verdana"/>
          <w:lang w:val="es-MX"/>
        </w:rPr>
        <w:t xml:space="preserve">Correo de radicación de correspondencia: </w:t>
      </w:r>
      <w:hyperlink r:id="rId17" w:history="1">
        <w:r w:rsidRPr="004505A6">
          <w:rPr>
            <w:rFonts w:ascii="Verdana" w:eastAsia="Verdana" w:hAnsi="Verdana" w:cs="Verdana"/>
            <w:color w:val="0000FF"/>
            <w:u w:val="single"/>
            <w:lang w:val="es-MX"/>
          </w:rPr>
          <w:t>ventanilladeradicacion@colombiacompra.gov.co</w:t>
        </w:r>
      </w:hyperlink>
    </w:p>
    <w:p w14:paraId="31532C92" w14:textId="77777777" w:rsidR="005262CA" w:rsidRPr="004505A6" w:rsidRDefault="005262CA" w:rsidP="005262CA">
      <w:pPr>
        <w:numPr>
          <w:ilvl w:val="0"/>
          <w:numId w:val="15"/>
        </w:numPr>
        <w:spacing w:after="0" w:line="276" w:lineRule="auto"/>
        <w:contextualSpacing/>
        <w:rPr>
          <w:rFonts w:ascii="Verdana" w:eastAsia="Verdana" w:hAnsi="Verdana" w:cs="Verdana"/>
          <w:color w:val="0000FF"/>
          <w:u w:val="single"/>
          <w:lang w:val="es-MX"/>
        </w:rPr>
      </w:pPr>
      <w:r w:rsidRPr="004505A6">
        <w:rPr>
          <w:rFonts w:ascii="Verdana" w:eastAsia="Verdana" w:hAnsi="Verdana" w:cs="Verdana"/>
          <w:lang w:val="es-ES"/>
        </w:rPr>
        <w:t xml:space="preserve">Formulario web para PQRSD: </w:t>
      </w:r>
      <w:hyperlink r:id="rId18" w:history="1">
        <w:r w:rsidRPr="004505A6">
          <w:rPr>
            <w:rFonts w:ascii="Verdana" w:eastAsia="Verdana" w:hAnsi="Verdana" w:cs="Verdana"/>
            <w:color w:val="0000FF"/>
            <w:u w:val="single"/>
            <w:lang w:val="es-MX"/>
          </w:rPr>
          <w:t>https://www.colombiacompra.gov.co/pqrsd/informacion-importante-antes-de-formular-una-pqrsd</w:t>
        </w:r>
      </w:hyperlink>
    </w:p>
    <w:p w14:paraId="5EE1B59B" w14:textId="77777777" w:rsidR="005262CA" w:rsidRPr="004505A6" w:rsidRDefault="005262CA" w:rsidP="005262CA">
      <w:pPr>
        <w:spacing w:after="0" w:line="276" w:lineRule="auto"/>
        <w:ind w:left="720"/>
        <w:jc w:val="both"/>
        <w:rPr>
          <w:rFonts w:ascii="Verdana" w:hAnsi="Verdana"/>
        </w:rPr>
      </w:pPr>
    </w:p>
    <w:p w14:paraId="1400D51D" w14:textId="77777777" w:rsidR="005262CA" w:rsidRPr="004505A6" w:rsidRDefault="005262CA" w:rsidP="005262CA">
      <w:pPr>
        <w:spacing w:after="0" w:line="276" w:lineRule="auto"/>
        <w:jc w:val="both"/>
        <w:rPr>
          <w:rFonts w:ascii="Verdana" w:hAnsi="Verdana"/>
        </w:rPr>
      </w:pPr>
      <w:r w:rsidRPr="004505A6">
        <w:rPr>
          <w:rFonts w:ascii="Verdana" w:hAnsi="Verdana"/>
        </w:rPr>
        <w:t>Evalúa el servicio que ofrece la Agencia por el canal de atención de PQRSD en el siguiente enlace:</w:t>
      </w:r>
      <w:r>
        <w:rPr>
          <w:rFonts w:ascii="Verdana" w:hAnsi="Verdana"/>
        </w:rPr>
        <w:t xml:space="preserve"> </w:t>
      </w:r>
      <w:hyperlink r:id="rId19" w:history="1">
        <w:r w:rsidRPr="00F81DDE">
          <w:rPr>
            <w:rStyle w:val="Hipervnculo"/>
            <w:rFonts w:ascii="Verdana" w:hAnsi="Verdana"/>
          </w:rPr>
          <w:t>https://forms.office.com/r/pPHyWVs2SZ</w:t>
        </w:r>
      </w:hyperlink>
      <w:r w:rsidRPr="004505A6">
        <w:rPr>
          <w:rFonts w:ascii="Verdana" w:hAnsi="Verdana"/>
        </w:rPr>
        <w:t xml:space="preserve"> .¡Ayúdanos a mejorar porque el compromiso es de todos!</w:t>
      </w:r>
    </w:p>
    <w:p w14:paraId="7EFC7493" w14:textId="77777777" w:rsidR="005262CA" w:rsidRPr="004505A6" w:rsidRDefault="005262CA" w:rsidP="005262CA">
      <w:pPr>
        <w:spacing w:after="0" w:line="276" w:lineRule="auto"/>
        <w:rPr>
          <w:rFonts w:ascii="Verdana" w:hAnsi="Verdana"/>
        </w:rPr>
      </w:pPr>
    </w:p>
    <w:p w14:paraId="361130B3" w14:textId="77777777" w:rsidR="005262CA" w:rsidRPr="004505A6" w:rsidRDefault="005262CA" w:rsidP="005262CA">
      <w:pPr>
        <w:spacing w:after="0" w:line="276" w:lineRule="auto"/>
        <w:jc w:val="both"/>
        <w:rPr>
          <w:rFonts w:ascii="Verdana" w:hAnsi="Verdana"/>
        </w:rPr>
      </w:pPr>
      <w:r w:rsidRPr="004505A6">
        <w:rPr>
          <w:rFonts w:ascii="Verdana" w:hAnsi="Verdana"/>
        </w:rPr>
        <w:t xml:space="preserve">Por último, lo invitamos a seguirnos en las redes sociales en las cuales se difunde información institucional: </w:t>
      </w:r>
    </w:p>
    <w:p w14:paraId="4C862243" w14:textId="77777777" w:rsidR="005262CA" w:rsidRPr="004505A6" w:rsidRDefault="005262CA" w:rsidP="005262CA">
      <w:pPr>
        <w:spacing w:after="0" w:line="276" w:lineRule="auto"/>
        <w:jc w:val="both"/>
        <w:rPr>
          <w:rFonts w:ascii="Verdana" w:hAnsi="Verdana"/>
        </w:rPr>
      </w:pPr>
    </w:p>
    <w:p w14:paraId="50DD3902" w14:textId="77777777" w:rsidR="005262CA" w:rsidRPr="004505A6" w:rsidRDefault="005262CA" w:rsidP="005262CA">
      <w:pPr>
        <w:spacing w:after="0" w:line="276" w:lineRule="auto"/>
        <w:jc w:val="both"/>
        <w:rPr>
          <w:rFonts w:ascii="Verdana" w:hAnsi="Verdana"/>
        </w:rPr>
      </w:pPr>
      <w:r w:rsidRPr="004505A6">
        <w:rPr>
          <w:rFonts w:ascii="Verdana" w:hAnsi="Verdana"/>
        </w:rPr>
        <w:t xml:space="preserve">Twitter: </w:t>
      </w:r>
      <w:r w:rsidRPr="004505A6">
        <w:rPr>
          <w:rFonts w:ascii="Verdana" w:hAnsi="Verdana"/>
          <w:color w:val="0000FF"/>
          <w:u w:val="single"/>
        </w:rPr>
        <w:t>@colombiacompra</w:t>
      </w:r>
      <w:r w:rsidRPr="004505A6">
        <w:rPr>
          <w:rFonts w:ascii="Verdana" w:hAnsi="Verdana"/>
        </w:rPr>
        <w:t xml:space="preserve"> </w:t>
      </w:r>
    </w:p>
    <w:p w14:paraId="51E0E54E" w14:textId="77777777" w:rsidR="005262CA" w:rsidRPr="004505A6" w:rsidRDefault="005262CA" w:rsidP="005262CA">
      <w:pPr>
        <w:spacing w:after="0" w:line="276" w:lineRule="auto"/>
        <w:jc w:val="both"/>
        <w:rPr>
          <w:rFonts w:ascii="Verdana" w:hAnsi="Verdana"/>
        </w:rPr>
      </w:pPr>
      <w:r w:rsidRPr="004505A6">
        <w:rPr>
          <w:rFonts w:ascii="Verdana" w:hAnsi="Verdana"/>
        </w:rPr>
        <w:t xml:space="preserve">Facebook: </w:t>
      </w:r>
      <w:proofErr w:type="spellStart"/>
      <w:r w:rsidRPr="004505A6">
        <w:rPr>
          <w:rFonts w:ascii="Verdana" w:hAnsi="Verdana"/>
          <w:color w:val="0000FF"/>
          <w:u w:val="single"/>
        </w:rPr>
        <w:t>ColombiaCompraEficiente</w:t>
      </w:r>
      <w:proofErr w:type="spellEnd"/>
    </w:p>
    <w:p w14:paraId="3BC9CA89" w14:textId="77777777" w:rsidR="005262CA" w:rsidRPr="00D441DE" w:rsidRDefault="005262CA" w:rsidP="005262CA">
      <w:pPr>
        <w:spacing w:after="0" w:line="276" w:lineRule="auto"/>
        <w:jc w:val="both"/>
        <w:rPr>
          <w:rFonts w:ascii="Verdana" w:hAnsi="Verdana"/>
        </w:rPr>
      </w:pPr>
      <w:r w:rsidRPr="004505A6">
        <w:rPr>
          <w:rFonts w:ascii="Verdana" w:hAnsi="Verdana"/>
        </w:rPr>
        <w:t xml:space="preserve">LinkedIn: </w:t>
      </w:r>
      <w:r w:rsidRPr="004505A6">
        <w:rPr>
          <w:rFonts w:ascii="Verdana" w:hAnsi="Verdana"/>
          <w:color w:val="0000FF"/>
          <w:u w:val="single"/>
        </w:rPr>
        <w:t>Agencia Nacional de Contratación Pública - Colombia Compra Eficiente</w:t>
      </w:r>
      <w:r w:rsidRPr="004505A6">
        <w:rPr>
          <w:rFonts w:ascii="Verdana" w:hAnsi="Verdana"/>
        </w:rPr>
        <w:t xml:space="preserve"> Instagram: </w:t>
      </w:r>
      <w:r w:rsidRPr="004505A6">
        <w:rPr>
          <w:rFonts w:ascii="Verdana" w:hAnsi="Verdana"/>
          <w:color w:val="0000FF"/>
          <w:u w:val="single"/>
        </w:rPr>
        <w:t>@colombiacompraeficiente_cce</w:t>
      </w:r>
    </w:p>
    <w:p w14:paraId="476BC482" w14:textId="77777777" w:rsidR="005262CA" w:rsidRDefault="005262CA" w:rsidP="005262CA">
      <w:pPr>
        <w:widowControl w:val="0"/>
        <w:autoSpaceDE w:val="0"/>
        <w:autoSpaceDN w:val="0"/>
        <w:spacing w:after="0" w:line="276" w:lineRule="auto"/>
        <w:jc w:val="both"/>
        <w:rPr>
          <w:rFonts w:ascii="Verdana" w:eastAsia="Times New Roman" w:hAnsi="Verdana" w:cs="Times New Roman"/>
          <w:color w:val="000000"/>
          <w:bdr w:val="none" w:sz="0" w:space="0" w:color="auto" w:frame="1"/>
          <w:lang w:eastAsia="es-CO"/>
        </w:rPr>
      </w:pPr>
    </w:p>
    <w:p w14:paraId="0C5E87CC" w14:textId="77777777" w:rsidR="005262CA" w:rsidRPr="00915417" w:rsidRDefault="005262CA" w:rsidP="005262CA">
      <w:pPr>
        <w:widowControl w:val="0"/>
        <w:autoSpaceDE w:val="0"/>
        <w:autoSpaceDN w:val="0"/>
        <w:spacing w:after="0" w:line="276" w:lineRule="auto"/>
        <w:jc w:val="both"/>
        <w:rPr>
          <w:rFonts w:ascii="Verdana" w:hAnsi="Verdana" w:cs="Arial"/>
        </w:rPr>
      </w:pPr>
      <w:r w:rsidRPr="00915417">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18C450C" w14:textId="77777777" w:rsidR="005262CA" w:rsidRPr="00915417" w:rsidRDefault="005262CA" w:rsidP="005262CA">
      <w:pPr>
        <w:widowControl w:val="0"/>
        <w:autoSpaceDE w:val="0"/>
        <w:autoSpaceDN w:val="0"/>
        <w:spacing w:after="0" w:line="276" w:lineRule="auto"/>
        <w:jc w:val="both"/>
        <w:rPr>
          <w:rFonts w:ascii="Verdana" w:hAnsi="Verdana" w:cs="Arial"/>
        </w:rPr>
      </w:pPr>
    </w:p>
    <w:p w14:paraId="1D41B015" w14:textId="77777777" w:rsidR="005262CA" w:rsidRPr="00915417" w:rsidRDefault="005262CA" w:rsidP="005262CA">
      <w:pPr>
        <w:spacing w:after="0" w:line="276" w:lineRule="auto"/>
        <w:rPr>
          <w:rFonts w:ascii="Verdana" w:hAnsi="Verdana" w:cs="Arial"/>
          <w:lang w:eastAsia="es-CO"/>
        </w:rPr>
      </w:pPr>
      <w:r w:rsidRPr="00915417">
        <w:rPr>
          <w:rFonts w:ascii="Verdana" w:eastAsia="Times New Roman" w:hAnsi="Verdana" w:cs="Arial"/>
          <w:lang w:eastAsia="es-CO"/>
        </w:rPr>
        <w:lastRenderedPageBreak/>
        <w:t>Atentamente,</w:t>
      </w:r>
      <w:r w:rsidRPr="00915417">
        <w:rPr>
          <w:rFonts w:ascii="Verdana" w:hAnsi="Verdana" w:cs="Arial"/>
          <w:lang w:eastAsia="es-CO"/>
        </w:rPr>
        <w:t xml:space="preserve"> </w:t>
      </w:r>
    </w:p>
    <w:p w14:paraId="7C0CDD7B" w14:textId="66677BAB" w:rsidR="005262CA" w:rsidRPr="00915417" w:rsidRDefault="005D2AFD" w:rsidP="005262CA">
      <w:pPr>
        <w:spacing w:line="276" w:lineRule="auto"/>
        <w:jc w:val="center"/>
        <w:rPr>
          <w:rFonts w:ascii="Verdana" w:hAnsi="Verdana" w:cs="Arial"/>
          <w:color w:val="000000"/>
          <w:lang w:eastAsia="es-CO"/>
        </w:rPr>
      </w:pPr>
      <w:r>
        <w:rPr>
          <w:noProof/>
        </w:rPr>
        <w:drawing>
          <wp:inline distT="0" distB="0" distL="0" distR="0" wp14:anchorId="2B003E2B" wp14:editId="435DB271">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p w14:paraId="1499BF4F" w14:textId="77777777" w:rsidR="005262CA" w:rsidRPr="00915417" w:rsidRDefault="005262CA" w:rsidP="005262CA"/>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262CA" w:rsidRPr="009B7987" w14:paraId="177BADF6" w14:textId="77777777" w:rsidTr="009A17C6">
        <w:trPr>
          <w:trHeight w:val="315"/>
        </w:trPr>
        <w:tc>
          <w:tcPr>
            <w:tcW w:w="893" w:type="dxa"/>
            <w:vAlign w:val="center"/>
            <w:hideMark/>
          </w:tcPr>
          <w:p w14:paraId="694CE47B" w14:textId="77777777" w:rsidR="005262CA" w:rsidRPr="009B7987" w:rsidRDefault="005262CA" w:rsidP="009A17C6">
            <w:pPr>
              <w:contextualSpacing/>
              <w:rPr>
                <w:rFonts w:ascii="Verdana" w:hAnsi="Verdana" w:cs="Arial"/>
                <w:sz w:val="16"/>
                <w:szCs w:val="16"/>
                <w:lang w:eastAsia="es-ES"/>
              </w:rPr>
            </w:pPr>
            <w:r w:rsidRPr="009B798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5E63805" w14:textId="77777777" w:rsidR="005262CA" w:rsidRPr="009B7987" w:rsidRDefault="005262CA" w:rsidP="009A17C6">
            <w:pPr>
              <w:contextualSpacing/>
              <w:rPr>
                <w:rFonts w:ascii="Verdana" w:hAnsi="Verdana"/>
                <w:sz w:val="16"/>
                <w:szCs w:val="16"/>
              </w:rPr>
            </w:pPr>
            <w:r w:rsidRPr="009B7987">
              <w:rPr>
                <w:rFonts w:ascii="Verdana" w:hAnsi="Verdana"/>
                <w:sz w:val="16"/>
                <w:szCs w:val="16"/>
              </w:rPr>
              <w:t>Tatiana Baquero Iguarán</w:t>
            </w:r>
          </w:p>
          <w:p w14:paraId="2C0002E4" w14:textId="77777777" w:rsidR="005262CA" w:rsidRPr="009B7987" w:rsidRDefault="005262CA" w:rsidP="009A17C6">
            <w:pPr>
              <w:contextualSpacing/>
              <w:rPr>
                <w:rFonts w:ascii="Verdana" w:eastAsia="Arial" w:hAnsi="Verdana" w:cs="Arial"/>
                <w:sz w:val="16"/>
                <w:szCs w:val="16"/>
              </w:rPr>
            </w:pPr>
            <w:r w:rsidRPr="009B7987">
              <w:rPr>
                <w:rFonts w:ascii="Verdana" w:hAnsi="Verdana"/>
                <w:sz w:val="16"/>
                <w:szCs w:val="16"/>
              </w:rPr>
              <w:t>Contratista de la Subdirección de Gestión Contractual</w:t>
            </w:r>
          </w:p>
        </w:tc>
      </w:tr>
      <w:tr w:rsidR="005262CA" w:rsidRPr="009B7987" w14:paraId="02DBE9C3" w14:textId="77777777" w:rsidTr="009A17C6">
        <w:trPr>
          <w:trHeight w:val="330"/>
        </w:trPr>
        <w:tc>
          <w:tcPr>
            <w:tcW w:w="893" w:type="dxa"/>
            <w:vAlign w:val="center"/>
            <w:hideMark/>
          </w:tcPr>
          <w:p w14:paraId="7ECD74A1" w14:textId="77777777" w:rsidR="005262CA" w:rsidRPr="009B7987" w:rsidRDefault="005262CA" w:rsidP="009A17C6">
            <w:pPr>
              <w:contextualSpacing/>
              <w:rPr>
                <w:rFonts w:ascii="Verdana" w:hAnsi="Verdana" w:cs="Arial"/>
                <w:sz w:val="16"/>
                <w:szCs w:val="16"/>
                <w:lang w:eastAsia="es-ES"/>
              </w:rPr>
            </w:pPr>
            <w:r w:rsidRPr="009B798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B004285" w14:textId="77777777" w:rsidR="005262CA" w:rsidRPr="002D273E" w:rsidRDefault="005262CA" w:rsidP="009A17C6">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Diana Lucía Saavedra Castañeda</w:t>
            </w:r>
          </w:p>
          <w:p w14:paraId="4404AFDF" w14:textId="77777777" w:rsidR="005262CA" w:rsidRPr="008B52DA" w:rsidRDefault="005262CA" w:rsidP="009A17C6">
            <w:pPr>
              <w:spacing w:before="100" w:beforeAutospacing="1" w:afterAutospacing="1"/>
              <w:contextualSpacing/>
              <w:textAlignment w:val="baseline"/>
              <w:rPr>
                <w:rFonts w:ascii="Verdana" w:eastAsia="Times New Roman" w:hAnsi="Verdana" w:cs="Arial"/>
                <w:sz w:val="16"/>
                <w:szCs w:val="16"/>
                <w:lang w:eastAsia="es-ES_tradnl"/>
              </w:rPr>
            </w:pPr>
            <w:r w:rsidRPr="002D273E">
              <w:rPr>
                <w:rFonts w:ascii="Verdana" w:eastAsia="Times New Roman" w:hAnsi="Verdana" w:cs="Arial"/>
                <w:sz w:val="16"/>
                <w:szCs w:val="16"/>
                <w:lang w:val="es-ES" w:eastAsia="es-ES_tradnl"/>
              </w:rPr>
              <w:t>Contratista de la Subdirección de Gestión Contractual</w:t>
            </w:r>
            <w:r w:rsidRPr="009B7987">
              <w:rPr>
                <w:rFonts w:ascii="Verdana" w:eastAsia="Times New Roman" w:hAnsi="Verdana" w:cs="Arial"/>
                <w:sz w:val="16"/>
                <w:szCs w:val="16"/>
                <w:lang w:eastAsia="es-ES_tradnl"/>
              </w:rPr>
              <w:t xml:space="preserve"> </w:t>
            </w:r>
          </w:p>
        </w:tc>
      </w:tr>
      <w:tr w:rsidR="005262CA" w:rsidRPr="009B7987" w14:paraId="7583C729" w14:textId="77777777" w:rsidTr="009A17C6">
        <w:trPr>
          <w:trHeight w:val="300"/>
        </w:trPr>
        <w:tc>
          <w:tcPr>
            <w:tcW w:w="893" w:type="dxa"/>
            <w:vAlign w:val="center"/>
          </w:tcPr>
          <w:p w14:paraId="49A398F5" w14:textId="77777777" w:rsidR="005262CA" w:rsidRPr="009B7987" w:rsidRDefault="005262CA" w:rsidP="009A17C6">
            <w:pPr>
              <w:contextualSpacing/>
              <w:rPr>
                <w:rFonts w:ascii="Verdana" w:hAnsi="Verdana" w:cs="Arial"/>
                <w:sz w:val="16"/>
                <w:szCs w:val="16"/>
                <w:lang w:eastAsia="es-ES"/>
              </w:rPr>
            </w:pPr>
            <w:r w:rsidRPr="009B798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2FD4E9" w14:textId="77777777" w:rsidR="005262CA" w:rsidRPr="009B7987" w:rsidRDefault="005262CA" w:rsidP="009A17C6">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Carolina Quintero Gacharná</w:t>
            </w:r>
          </w:p>
          <w:p w14:paraId="5A07BA52" w14:textId="77777777" w:rsidR="005262CA" w:rsidRPr="009B7987" w:rsidRDefault="005262CA" w:rsidP="009A17C6">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Subdirectora de Gestión Contractual ANCP – CCE</w:t>
            </w:r>
          </w:p>
        </w:tc>
      </w:tr>
      <w:tr w:rsidR="005262CA" w:rsidRPr="009B7987" w14:paraId="4B19DF31" w14:textId="77777777" w:rsidTr="009A17C6">
        <w:trPr>
          <w:trHeight w:val="300"/>
        </w:trPr>
        <w:tc>
          <w:tcPr>
            <w:tcW w:w="893" w:type="dxa"/>
            <w:vAlign w:val="center"/>
          </w:tcPr>
          <w:p w14:paraId="5B7C54E6" w14:textId="77777777" w:rsidR="005262CA" w:rsidRPr="009B7987" w:rsidRDefault="005262CA" w:rsidP="009A17C6">
            <w:pPr>
              <w:contextualSpacing/>
              <w:rPr>
                <w:rFonts w:ascii="Verdana" w:hAnsi="Verdana" w:cs="Arial"/>
                <w:sz w:val="16"/>
                <w:szCs w:val="16"/>
                <w:lang w:eastAsia="es-ES"/>
              </w:rPr>
            </w:pPr>
            <w:r>
              <w:rPr>
                <w:rFonts w:ascii="Verdana" w:hAnsi="Verdana" w:cs="Arial"/>
                <w:sz w:val="16"/>
                <w:szCs w:val="16"/>
                <w:lang w:eastAsia="es-ES"/>
              </w:rPr>
              <w:t xml:space="preserve">Anexo:     </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BD1CFB3" w14:textId="77777777" w:rsidR="005262CA" w:rsidRPr="009B7987" w:rsidRDefault="005262CA" w:rsidP="009A17C6">
            <w:pPr>
              <w:contextualSpacing/>
              <w:rPr>
                <w:rFonts w:ascii="Verdana" w:eastAsia="Calibri" w:hAnsi="Verdana" w:cs="Arial"/>
                <w:sz w:val="16"/>
                <w:szCs w:val="16"/>
                <w:lang w:eastAsia="es-ES"/>
              </w:rPr>
            </w:pPr>
            <w:r w:rsidRPr="004E3028">
              <w:rPr>
                <w:rFonts w:ascii="Verdana" w:eastAsia="Calibri" w:hAnsi="Verdana" w:cs="Arial"/>
                <w:sz w:val="16"/>
                <w:szCs w:val="16"/>
                <w:lang w:eastAsia="es-ES"/>
              </w:rPr>
              <w:t>Respuesta Subdirección de Información y Desarrollo Tecnológico</w:t>
            </w:r>
          </w:p>
        </w:tc>
      </w:tr>
    </w:tbl>
    <w:p w14:paraId="3A943A7C" w14:textId="77777777" w:rsidR="005262CA" w:rsidRPr="009B7987" w:rsidRDefault="005262CA" w:rsidP="005262CA">
      <w:pPr>
        <w:spacing w:after="0" w:line="240" w:lineRule="auto"/>
        <w:rPr>
          <w:rFonts w:ascii="Verdana" w:eastAsia="Times New Roman" w:hAnsi="Verdana" w:cs="Arial"/>
          <w:sz w:val="24"/>
          <w:szCs w:val="24"/>
          <w:lang w:eastAsia="es-ES"/>
        </w:rPr>
      </w:pPr>
    </w:p>
    <w:p w14:paraId="63947F29" w14:textId="77777777" w:rsidR="005262CA" w:rsidRPr="009B7987" w:rsidRDefault="005262CA" w:rsidP="005262CA"/>
    <w:p w14:paraId="52DF391C" w14:textId="77777777" w:rsidR="005262CA" w:rsidRPr="000E2B93" w:rsidRDefault="005262CA" w:rsidP="005262CA">
      <w:pPr>
        <w:spacing w:after="0" w:line="240" w:lineRule="auto"/>
        <w:jc w:val="both"/>
        <w:textAlignment w:val="baseline"/>
        <w:rPr>
          <w:rFonts w:ascii="Verdana" w:eastAsia="Verdana" w:hAnsi="Verdana" w:cs="Verdana"/>
          <w:lang w:eastAsia="es-CO"/>
        </w:rPr>
      </w:pPr>
    </w:p>
    <w:p w14:paraId="589ED29E" w14:textId="77777777" w:rsidR="005262CA" w:rsidRPr="000E2B93" w:rsidRDefault="005262CA" w:rsidP="005262CA">
      <w:pPr>
        <w:spacing w:after="0" w:line="240" w:lineRule="auto"/>
        <w:textAlignment w:val="baseline"/>
        <w:rPr>
          <w:rFonts w:ascii="Verdana" w:eastAsia="Verdana" w:hAnsi="Verdana" w:cs="Verdana"/>
          <w:lang w:eastAsia="es-CO"/>
        </w:rPr>
      </w:pPr>
      <w:r>
        <w:rPr>
          <w:noProof/>
        </w:rPr>
        <w:drawing>
          <wp:inline distT="0" distB="0" distL="0" distR="0" wp14:anchorId="591DCADC" wp14:editId="66FC43CB">
            <wp:extent cx="2171700" cy="266700"/>
            <wp:effectExtent l="0" t="0" r="0" b="0"/>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71700" cy="266700"/>
                    </a:xfrm>
                    <a:prstGeom prst="rect">
                      <a:avLst/>
                    </a:prstGeom>
                    <a:noFill/>
                    <a:ln>
                      <a:noFill/>
                    </a:ln>
                  </pic:spPr>
                </pic:pic>
              </a:graphicData>
            </a:graphic>
          </wp:inline>
        </w:drawing>
      </w:r>
      <w:r w:rsidRPr="30821638">
        <w:rPr>
          <w:rFonts w:ascii="Verdana" w:eastAsia="Verdana" w:hAnsi="Verdana" w:cs="Verdana"/>
          <w:lang w:eastAsia="es-CO"/>
        </w:rPr>
        <w:t> </w:t>
      </w:r>
    </w:p>
    <w:bookmarkEnd w:id="0"/>
    <w:p w14:paraId="6002E35E" w14:textId="77777777" w:rsidR="005262CA" w:rsidRDefault="005262CA" w:rsidP="005262CA">
      <w:pPr>
        <w:spacing w:after="0" w:line="240" w:lineRule="auto"/>
        <w:textAlignment w:val="baseline"/>
        <w:rPr>
          <w:rFonts w:ascii="Verdana" w:eastAsia="Verdana" w:hAnsi="Verdana" w:cs="Verdana"/>
          <w:b/>
          <w:bCs/>
          <w:lang w:val="es-MX" w:eastAsia="es-CO"/>
        </w:rPr>
      </w:pPr>
    </w:p>
    <w:p w14:paraId="3900974D" w14:textId="1FB1DD29" w:rsidR="003D5B0D" w:rsidRPr="005262CA" w:rsidRDefault="003D5B0D" w:rsidP="005262CA"/>
    <w:sectPr w:rsidR="003D5B0D" w:rsidRPr="005262CA"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C2DE4" w14:textId="77777777" w:rsidR="00697723" w:rsidRDefault="00697723" w:rsidP="004A1847">
      <w:pPr>
        <w:spacing w:after="0" w:line="240" w:lineRule="auto"/>
      </w:pPr>
      <w:r>
        <w:separator/>
      </w:r>
    </w:p>
  </w:endnote>
  <w:endnote w:type="continuationSeparator" w:id="0">
    <w:p w14:paraId="1483B50D" w14:textId="77777777" w:rsidR="00697723" w:rsidRDefault="00697723" w:rsidP="004A1847">
      <w:pPr>
        <w:spacing w:after="0" w:line="240" w:lineRule="auto"/>
      </w:pPr>
      <w:r>
        <w:continuationSeparator/>
      </w:r>
    </w:p>
  </w:endnote>
  <w:endnote w:type="continuationNotice" w:id="1">
    <w:p w14:paraId="7DE70EC6" w14:textId="77777777" w:rsidR="00697723" w:rsidRDefault="006977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DB3668" w14:textId="77777777" w:rsidR="00697723" w:rsidRDefault="00697723" w:rsidP="004A1847">
      <w:pPr>
        <w:spacing w:after="0" w:line="240" w:lineRule="auto"/>
      </w:pPr>
      <w:r>
        <w:separator/>
      </w:r>
    </w:p>
  </w:footnote>
  <w:footnote w:type="continuationSeparator" w:id="0">
    <w:p w14:paraId="70E02A96" w14:textId="77777777" w:rsidR="00697723" w:rsidRDefault="00697723" w:rsidP="004A1847">
      <w:pPr>
        <w:spacing w:after="0" w:line="240" w:lineRule="auto"/>
      </w:pPr>
      <w:r>
        <w:continuationSeparator/>
      </w:r>
    </w:p>
  </w:footnote>
  <w:footnote w:type="continuationNotice" w:id="1">
    <w:p w14:paraId="30A844B9" w14:textId="77777777" w:rsidR="00697723" w:rsidRDefault="00697723">
      <w:pPr>
        <w:spacing w:after="0" w:line="240" w:lineRule="auto"/>
      </w:pPr>
    </w:p>
  </w:footnote>
  <w:footnote w:id="2">
    <w:p w14:paraId="76C1B5D5" w14:textId="77777777" w:rsidR="005262CA" w:rsidRPr="0058729B" w:rsidRDefault="005262CA" w:rsidP="005262CA">
      <w:pPr>
        <w:pStyle w:val="Textonotapie"/>
        <w:ind w:firstLine="709"/>
        <w:jc w:val="both"/>
        <w:rPr>
          <w:rFonts w:ascii="Verdana" w:hAnsi="Verdana"/>
          <w:sz w:val="16"/>
          <w:szCs w:val="16"/>
          <w:lang w:val="es-CO"/>
        </w:rPr>
      </w:pPr>
      <w:r w:rsidRPr="0058729B">
        <w:rPr>
          <w:rStyle w:val="Refdenotaalpie"/>
          <w:rFonts w:ascii="Verdana" w:hAnsi="Verdana"/>
          <w:sz w:val="16"/>
          <w:szCs w:val="16"/>
        </w:rPr>
        <w:footnoteRef/>
      </w:r>
      <w:r w:rsidRPr="0058729B">
        <w:rPr>
          <w:rFonts w:ascii="Verdana" w:hAnsi="Verdana"/>
          <w:sz w:val="16"/>
          <w:szCs w:val="16"/>
        </w:rPr>
        <w:t xml:space="preserve"> </w:t>
      </w:r>
      <w:r w:rsidRPr="0058729B">
        <w:rPr>
          <w:rFonts w:ascii="Verdana" w:hAnsi="Verdana"/>
          <w:sz w:val="16"/>
          <w:szCs w:val="16"/>
          <w:lang w:val="es-CO"/>
        </w:rPr>
        <w:t>Corte Constitucional. Sentencia C-365 del 2001. M.P.: Clara Inés Vargas Hernández</w:t>
      </w:r>
    </w:p>
  </w:footnote>
  <w:footnote w:id="3">
    <w:p w14:paraId="0069AC96" w14:textId="77777777" w:rsidR="005262CA" w:rsidRPr="0058729B" w:rsidRDefault="005262CA" w:rsidP="005262CA">
      <w:pPr>
        <w:pStyle w:val="Textonotapie"/>
        <w:ind w:firstLine="709"/>
        <w:jc w:val="both"/>
        <w:rPr>
          <w:rFonts w:ascii="Verdana" w:hAnsi="Verdana"/>
          <w:sz w:val="16"/>
          <w:szCs w:val="16"/>
          <w:lang w:val="es-CO"/>
        </w:rPr>
      </w:pPr>
      <w:r w:rsidRPr="0058729B">
        <w:rPr>
          <w:rStyle w:val="Refdenotaalpie"/>
          <w:rFonts w:ascii="Verdana" w:hAnsi="Verdana"/>
          <w:sz w:val="16"/>
          <w:szCs w:val="16"/>
        </w:rPr>
        <w:footnoteRef/>
      </w:r>
      <w:r w:rsidRPr="0058729B">
        <w:rPr>
          <w:rFonts w:ascii="Verdana" w:hAnsi="Verdana"/>
          <w:sz w:val="16"/>
          <w:szCs w:val="16"/>
        </w:rPr>
        <w:t xml:space="preserve"> Consejo de Estado, Sala de Consulta y Servicio Civil, concepto del 28 de junio de 2007. Radicado No. 1828. C.P: Gustavo Aponte Santos. </w:t>
      </w:r>
    </w:p>
  </w:footnote>
  <w:footnote w:id="4">
    <w:p w14:paraId="710EA1DF" w14:textId="77777777" w:rsidR="005262CA" w:rsidRPr="0058729B" w:rsidRDefault="005262CA" w:rsidP="005262CA">
      <w:pPr>
        <w:pStyle w:val="Textonotapie"/>
        <w:ind w:firstLine="709"/>
        <w:jc w:val="both"/>
        <w:rPr>
          <w:rFonts w:ascii="Verdana" w:hAnsi="Verdana"/>
          <w:sz w:val="16"/>
          <w:szCs w:val="16"/>
          <w:lang w:val="es-CO"/>
        </w:rPr>
      </w:pPr>
      <w:r w:rsidRPr="0058729B">
        <w:rPr>
          <w:rStyle w:val="Refdenotaalpie"/>
          <w:rFonts w:ascii="Verdana" w:hAnsi="Verdana"/>
          <w:sz w:val="16"/>
          <w:szCs w:val="16"/>
        </w:rPr>
        <w:footnoteRef/>
      </w:r>
      <w:r w:rsidRPr="0058729B">
        <w:rPr>
          <w:rFonts w:ascii="Verdana" w:hAnsi="Verdana"/>
          <w:sz w:val="16"/>
          <w:szCs w:val="16"/>
        </w:rPr>
        <w:t xml:space="preserve"> </w:t>
      </w:r>
      <w:r w:rsidRPr="0058729B">
        <w:rPr>
          <w:rFonts w:ascii="Verdana" w:hAnsi="Verdana"/>
          <w:sz w:val="16"/>
          <w:szCs w:val="16"/>
          <w:lang w:val="es-CO"/>
        </w:rPr>
        <w:t>Consejo de Estado, Sección Tercera, Sentencia del 10 de septiembre del 2014. Radicación No. 28.079. C.P.: Enrique Gil Botero</w:t>
      </w:r>
    </w:p>
  </w:footnote>
  <w:footnote w:id="5">
    <w:p w14:paraId="5964EEBC"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i/>
          <w:iCs/>
          <w:sz w:val="16"/>
          <w:szCs w:val="16"/>
          <w:lang w:val="es-ES"/>
        </w:rPr>
        <w:t>“</w:t>
      </w:r>
      <w:r w:rsidRPr="00B95CFD">
        <w:rPr>
          <w:rFonts w:ascii="Verdana" w:hAnsi="Verdana" w:cs="Arial"/>
          <w:bCs/>
          <w:i/>
          <w:iCs/>
          <w:sz w:val="16"/>
          <w:szCs w:val="16"/>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6">
    <w:p w14:paraId="10277ACA"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sidRPr="00B95CFD">
        <w:rPr>
          <w:rFonts w:ascii="Verdana" w:hAnsi="Verdana" w:cs="Arial"/>
          <w:color w:val="000000" w:themeColor="text1"/>
          <w:sz w:val="16"/>
          <w:szCs w:val="16"/>
        </w:rPr>
        <w:t>“</w:t>
      </w:r>
      <w:r w:rsidRPr="00B95CFD">
        <w:rPr>
          <w:rStyle w:val="nfasis"/>
          <w:rFonts w:ascii="Verdana" w:hAnsi="Verdana" w:cs="Arial"/>
          <w:color w:val="000000" w:themeColor="text1"/>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7">
    <w:p w14:paraId="559E5EB7" w14:textId="77777777" w:rsidR="005262CA" w:rsidRPr="00B95CFD" w:rsidRDefault="005262CA" w:rsidP="005262CA">
      <w:pPr>
        <w:pStyle w:val="Textonotapie"/>
        <w:ind w:firstLine="709"/>
        <w:jc w:val="both"/>
        <w:rPr>
          <w:rFonts w:ascii="Verdana" w:hAnsi="Verdana"/>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Este artículo fue declarado exequible por la Corte Constitucional mediante la Sentencia C-671 de 1999, M.P. Alfredo Beltrán Sierra.</w:t>
      </w:r>
    </w:p>
  </w:footnote>
  <w:footnote w:id="8">
    <w:p w14:paraId="37A46953"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w:t>
      </w:r>
      <w:r>
        <w:rPr>
          <w:rFonts w:ascii="Verdana" w:hAnsi="Verdana" w:cs="Arial"/>
          <w:sz w:val="16"/>
          <w:szCs w:val="16"/>
        </w:rPr>
        <w:t>Consejo de Estado</w:t>
      </w:r>
      <w:r w:rsidRPr="00B95CFD">
        <w:rPr>
          <w:rFonts w:ascii="Verdana" w:hAnsi="Verdana" w:cs="Arial"/>
          <w:sz w:val="16"/>
          <w:szCs w:val="16"/>
        </w:rPr>
        <w:t>, Sala de lo Contencioso Administrativo, Sección Tercera, sentencia de 23 de junio de 2010, exp.17860.</w:t>
      </w:r>
    </w:p>
  </w:footnote>
  <w:footnote w:id="9">
    <w:p w14:paraId="39695CA2"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Santos Rodríguez, Jorge Enrique. </w:t>
      </w:r>
      <w:r w:rsidRPr="00B95CFD">
        <w:rPr>
          <w:rFonts w:ascii="Verdana" w:hAnsi="Verdana" w:cs="Arial"/>
          <w:i/>
          <w:iCs/>
          <w:sz w:val="16"/>
          <w:szCs w:val="16"/>
        </w:rPr>
        <w:t>“Consideraciones sobre los convenios y contratos interadministrativos”</w:t>
      </w:r>
      <w:r w:rsidRPr="00B95CFD">
        <w:rPr>
          <w:rFonts w:ascii="Verdana" w:hAnsi="Verdana" w:cs="Arial"/>
          <w:sz w:val="16"/>
          <w:szCs w:val="16"/>
        </w:rPr>
        <w:t>. Universidad Externado de Colombia, Revista Digital de Derecho Administrativo, Bogotá 2009.</w:t>
      </w:r>
    </w:p>
  </w:footnote>
  <w:footnote w:id="10">
    <w:p w14:paraId="1A1397A2"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11">
    <w:p w14:paraId="7CACE116" w14:textId="77777777" w:rsidR="005262CA" w:rsidRPr="00B95CFD" w:rsidRDefault="005262CA" w:rsidP="005262CA">
      <w:pPr>
        <w:pStyle w:val="Textonotapie"/>
        <w:ind w:firstLine="709"/>
        <w:jc w:val="both"/>
        <w:rPr>
          <w:rFonts w:ascii="Verdana" w:hAnsi="Verdana" w:cs="Arial"/>
          <w:sz w:val="16"/>
          <w:szCs w:val="16"/>
        </w:rPr>
      </w:pPr>
      <w:r w:rsidRPr="00B95CFD">
        <w:rPr>
          <w:rStyle w:val="Refdenotaalpie"/>
          <w:rFonts w:ascii="Verdana" w:hAnsi="Verdana" w:cs="Arial"/>
          <w:sz w:val="16"/>
          <w:szCs w:val="16"/>
        </w:rPr>
        <w:footnoteRef/>
      </w:r>
      <w:r w:rsidRPr="00B95CFD">
        <w:rPr>
          <w:rFonts w:ascii="Verdana" w:hAnsi="Verdana" w:cs="Arial"/>
          <w:sz w:val="16"/>
          <w:szCs w:val="16"/>
        </w:rPr>
        <w:t xml:space="preserve"> Expósito Vélez, Juan Carlos. </w:t>
      </w:r>
      <w:r w:rsidRPr="00B95CFD">
        <w:rPr>
          <w:rFonts w:ascii="Verdana" w:hAnsi="Verdana" w:cs="Arial"/>
          <w:i/>
          <w:iCs/>
          <w:sz w:val="16"/>
          <w:szCs w:val="16"/>
        </w:rPr>
        <w:t>“La configuración del contrato de la administración pública en derecho colombiano y español”</w:t>
      </w:r>
      <w:r w:rsidRPr="00B95CFD">
        <w:rPr>
          <w:rFonts w:ascii="Verdana" w:hAnsi="Verdana" w:cs="Arial"/>
          <w:sz w:val="16"/>
          <w:szCs w:val="16"/>
        </w:rPr>
        <w:t>. Bogotá, universidad Externado de Colombia, 2003, p. 25.</w:t>
      </w:r>
    </w:p>
  </w:footnote>
  <w:footnote w:id="12">
    <w:p w14:paraId="0F4414E3" w14:textId="77777777" w:rsidR="005262CA" w:rsidRPr="00917939" w:rsidRDefault="005262CA" w:rsidP="005262CA">
      <w:pPr>
        <w:pStyle w:val="Textonotapie"/>
        <w:ind w:firstLine="709"/>
        <w:rPr>
          <w:lang w:val="es-CO"/>
        </w:rPr>
      </w:pPr>
      <w:r>
        <w:rPr>
          <w:rStyle w:val="Refdenotaalpie"/>
        </w:rPr>
        <w:footnoteRef/>
      </w:r>
      <w:r>
        <w:t xml:space="preserve"> </w:t>
      </w:r>
      <w:r w:rsidRPr="00B95CFD">
        <w:rPr>
          <w:rFonts w:ascii="Verdana" w:hAnsi="Verdana" w:cs="Arial"/>
          <w:sz w:val="16"/>
          <w:szCs w:val="16"/>
        </w:rPr>
        <w:t xml:space="preserve">Consejo de Estado -Sección Tercera-. Sentencia del </w:t>
      </w:r>
      <w:r w:rsidRPr="00B95CFD">
        <w:rPr>
          <w:rFonts w:ascii="Verdana" w:hAnsi="Verdana" w:cs="Arial"/>
          <w:bCs/>
          <w:iCs/>
          <w:sz w:val="16"/>
          <w:szCs w:val="16"/>
        </w:rPr>
        <w:t>21 de febrero de 2025. Radicación Número: 68.280. CP: José Roberto Sáchica Méndez.</w:t>
      </w:r>
    </w:p>
  </w:footnote>
  <w:footnote w:id="13">
    <w:p w14:paraId="41E200BC" w14:textId="77777777" w:rsidR="005262CA" w:rsidRPr="0068667B" w:rsidRDefault="005262CA" w:rsidP="005262CA">
      <w:pPr>
        <w:pStyle w:val="Textonotapie"/>
        <w:ind w:firstLine="567"/>
        <w:jc w:val="both"/>
        <w:rPr>
          <w:rFonts w:ascii="Verdana" w:hAnsi="Verdana"/>
          <w:sz w:val="16"/>
          <w:szCs w:val="16"/>
          <w:lang w:val="es-CO"/>
        </w:rPr>
      </w:pPr>
      <w:r w:rsidRPr="00ED0F1D">
        <w:rPr>
          <w:rStyle w:val="Refdenotaalpie"/>
          <w:rFonts w:ascii="Verdana" w:hAnsi="Verdana"/>
          <w:sz w:val="16"/>
          <w:szCs w:val="16"/>
        </w:rPr>
        <w:footnoteRef/>
      </w:r>
      <w:r w:rsidRPr="00ED0F1D">
        <w:rPr>
          <w:rFonts w:ascii="Verdana" w:hAnsi="Verdana"/>
          <w:sz w:val="16"/>
          <w:szCs w:val="16"/>
        </w:rPr>
        <w:t xml:space="preserve"> </w:t>
      </w:r>
      <w:r w:rsidRPr="00ED0F1D">
        <w:rPr>
          <w:rFonts w:ascii="Verdana" w:hAnsi="Verdana"/>
          <w:sz w:val="16"/>
          <w:szCs w:val="16"/>
          <w:lang w:val="es-CO"/>
        </w:rPr>
        <w:t xml:space="preserve"> </w:t>
      </w:r>
      <w:r w:rsidRPr="0068667B">
        <w:rPr>
          <w:rFonts w:ascii="Verdana" w:hAnsi="Verdana"/>
          <w:sz w:val="16"/>
          <w:szCs w:val="16"/>
          <w:lang w:val="es-CO"/>
        </w:rPr>
        <w:t>“1o. Se denominan entidades estatales: </w:t>
      </w:r>
    </w:p>
    <w:p w14:paraId="164315F3" w14:textId="77777777" w:rsidR="005262CA" w:rsidRPr="00ED0F1D" w:rsidRDefault="005262CA" w:rsidP="005262CA">
      <w:pPr>
        <w:pStyle w:val="Textonotapie"/>
        <w:ind w:firstLine="567"/>
        <w:jc w:val="both"/>
        <w:rPr>
          <w:rFonts w:ascii="Verdana" w:hAnsi="Verdana"/>
          <w:sz w:val="16"/>
          <w:szCs w:val="16"/>
          <w:lang w:val="es-CO"/>
        </w:rPr>
      </w:pPr>
      <w:r w:rsidRPr="0068667B">
        <w:rPr>
          <w:rFonts w:ascii="Verdana" w:hAnsi="Verdana"/>
          <w:sz w:val="16"/>
          <w:szCs w:val="16"/>
          <w:lang w:val="es-CO"/>
        </w:rPr>
        <w:t xml:space="preserve">a) La Nación, las regiones, los departamentos, las provincias, el distrito capital y los distritos especiales, las áreas metropolitanas, las asociaciones de municipios, los territorios indígenas y los municipios; los establecimientos públicos, </w:t>
      </w:r>
      <w:r w:rsidRPr="0068667B">
        <w:rPr>
          <w:rFonts w:ascii="Verdana" w:hAnsi="Verdana"/>
          <w:i/>
          <w:sz w:val="16"/>
          <w:szCs w:val="16"/>
          <w:u w:val="single"/>
          <w:lang w:val="es-CO"/>
        </w:rPr>
        <w:t>las empresas industriales y comerciales del Estado</w:t>
      </w:r>
      <w:r w:rsidRPr="0068667B">
        <w:rPr>
          <w:rFonts w:ascii="Verdana" w:hAnsi="Verdana"/>
          <w:sz w:val="16"/>
          <w:szCs w:val="16"/>
          <w:lang w:val="es-CO"/>
        </w:rPr>
        <w:t>,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[Énfasis fuera del texto original]</w:t>
      </w:r>
    </w:p>
  </w:footnote>
  <w:footnote w:id="14">
    <w:p w14:paraId="26ADC31A" w14:textId="77777777" w:rsidR="005262CA" w:rsidRPr="0063006D" w:rsidRDefault="005262CA" w:rsidP="005262CA">
      <w:pPr>
        <w:pStyle w:val="Textonotapie"/>
        <w:ind w:firstLine="709"/>
        <w:rPr>
          <w:lang w:val="es-CO"/>
        </w:rPr>
      </w:pPr>
      <w:r>
        <w:rPr>
          <w:rStyle w:val="Refdenotaalpie"/>
        </w:rPr>
        <w:footnoteRef/>
      </w:r>
      <w:r>
        <w:t xml:space="preserve"> </w:t>
      </w:r>
      <w:r w:rsidRPr="0063006D">
        <w:rPr>
          <w:rFonts w:ascii="Verdana" w:hAnsi="Verdana"/>
          <w:sz w:val="16"/>
          <w:szCs w:val="16"/>
          <w:lang w:val="es-CO"/>
        </w:rPr>
        <w:t>Artículo 32 de la Ley 80 de 1993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929BB"/>
    <w:multiLevelType w:val="hybridMultilevel"/>
    <w:tmpl w:val="AACCE868"/>
    <w:lvl w:ilvl="0" w:tplc="2A9E3BE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40844D8"/>
    <w:multiLevelType w:val="hybridMultilevel"/>
    <w:tmpl w:val="A5C4E1CA"/>
    <w:lvl w:ilvl="0" w:tplc="240A000F">
      <w:start w:val="1"/>
      <w:numFmt w:val="decimal"/>
      <w:lvlText w:val="%1."/>
      <w:lvlJc w:val="lef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13" w15:restartNumberingAfterBreak="0">
    <w:nsid w:val="66EF3708"/>
    <w:multiLevelType w:val="multilevel"/>
    <w:tmpl w:val="E46CB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4"/>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3"/>
  </w:num>
  <w:num w:numId="14" w16cid:durableId="895897244">
    <w:abstractNumId w:val="17"/>
  </w:num>
  <w:num w:numId="15" w16cid:durableId="390349800">
    <w:abstractNumId w:val="11"/>
  </w:num>
  <w:num w:numId="16" w16cid:durableId="341274352">
    <w:abstractNumId w:val="0"/>
  </w:num>
  <w:num w:numId="17" w16cid:durableId="679089576">
    <w:abstractNumId w:val="10"/>
  </w:num>
  <w:num w:numId="18" w16cid:durableId="919097288">
    <w:abstractNumId w:val="13"/>
  </w:num>
  <w:num w:numId="19" w16cid:durableId="1251937242">
    <w:abstractNumId w:val="12"/>
  </w:num>
  <w:num w:numId="20" w16cid:durableId="5891264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99D"/>
    <w:rsid w:val="000301B6"/>
    <w:rsid w:val="000314F9"/>
    <w:rsid w:val="00032D59"/>
    <w:rsid w:val="00046945"/>
    <w:rsid w:val="00056D0E"/>
    <w:rsid w:val="00061B2A"/>
    <w:rsid w:val="00082362"/>
    <w:rsid w:val="000825B6"/>
    <w:rsid w:val="00083868"/>
    <w:rsid w:val="000872A6"/>
    <w:rsid w:val="00087DE4"/>
    <w:rsid w:val="00091080"/>
    <w:rsid w:val="000948CB"/>
    <w:rsid w:val="000A52E2"/>
    <w:rsid w:val="000A5C53"/>
    <w:rsid w:val="000A683E"/>
    <w:rsid w:val="000B19B9"/>
    <w:rsid w:val="000B22E1"/>
    <w:rsid w:val="000B69B0"/>
    <w:rsid w:val="000C35AE"/>
    <w:rsid w:val="000C63C8"/>
    <w:rsid w:val="000D0334"/>
    <w:rsid w:val="000D346C"/>
    <w:rsid w:val="000E374F"/>
    <w:rsid w:val="000F3056"/>
    <w:rsid w:val="000F6486"/>
    <w:rsid w:val="00111E19"/>
    <w:rsid w:val="00112010"/>
    <w:rsid w:val="00113C3E"/>
    <w:rsid w:val="00114BAD"/>
    <w:rsid w:val="00121BC3"/>
    <w:rsid w:val="00125105"/>
    <w:rsid w:val="00127233"/>
    <w:rsid w:val="001511A0"/>
    <w:rsid w:val="00171760"/>
    <w:rsid w:val="001807BC"/>
    <w:rsid w:val="00181312"/>
    <w:rsid w:val="001A5ED6"/>
    <w:rsid w:val="001C5660"/>
    <w:rsid w:val="001C5915"/>
    <w:rsid w:val="001C5FAD"/>
    <w:rsid w:val="001C6269"/>
    <w:rsid w:val="001D6CE9"/>
    <w:rsid w:val="001E0538"/>
    <w:rsid w:val="001E4177"/>
    <w:rsid w:val="001F7743"/>
    <w:rsid w:val="001F7DC6"/>
    <w:rsid w:val="00200FAE"/>
    <w:rsid w:val="00215332"/>
    <w:rsid w:val="00216FE3"/>
    <w:rsid w:val="0021715D"/>
    <w:rsid w:val="00236661"/>
    <w:rsid w:val="002377CE"/>
    <w:rsid w:val="002421BB"/>
    <w:rsid w:val="0024680F"/>
    <w:rsid w:val="002515D7"/>
    <w:rsid w:val="0025796E"/>
    <w:rsid w:val="0026752B"/>
    <w:rsid w:val="0027034A"/>
    <w:rsid w:val="002707A2"/>
    <w:rsid w:val="002752C3"/>
    <w:rsid w:val="00280776"/>
    <w:rsid w:val="002827E5"/>
    <w:rsid w:val="0029049D"/>
    <w:rsid w:val="002907FA"/>
    <w:rsid w:val="00294A95"/>
    <w:rsid w:val="002951A0"/>
    <w:rsid w:val="002962BC"/>
    <w:rsid w:val="002A093D"/>
    <w:rsid w:val="002A0DD0"/>
    <w:rsid w:val="002A1436"/>
    <w:rsid w:val="002A1ABC"/>
    <w:rsid w:val="002A414A"/>
    <w:rsid w:val="002A49AC"/>
    <w:rsid w:val="002A5A99"/>
    <w:rsid w:val="002A64FD"/>
    <w:rsid w:val="002B20FE"/>
    <w:rsid w:val="002B3666"/>
    <w:rsid w:val="002C5211"/>
    <w:rsid w:val="002C7A84"/>
    <w:rsid w:val="002D531F"/>
    <w:rsid w:val="002E4FD9"/>
    <w:rsid w:val="002E6BA5"/>
    <w:rsid w:val="002F0D75"/>
    <w:rsid w:val="00301D7E"/>
    <w:rsid w:val="00314685"/>
    <w:rsid w:val="00322A85"/>
    <w:rsid w:val="00324168"/>
    <w:rsid w:val="00324734"/>
    <w:rsid w:val="003325B3"/>
    <w:rsid w:val="00334751"/>
    <w:rsid w:val="003448F4"/>
    <w:rsid w:val="00344E90"/>
    <w:rsid w:val="00344EE9"/>
    <w:rsid w:val="0035230C"/>
    <w:rsid w:val="003537DC"/>
    <w:rsid w:val="00356EBE"/>
    <w:rsid w:val="00356EF5"/>
    <w:rsid w:val="00372506"/>
    <w:rsid w:val="00374773"/>
    <w:rsid w:val="00374F5E"/>
    <w:rsid w:val="00377E3E"/>
    <w:rsid w:val="00382A9B"/>
    <w:rsid w:val="00387C82"/>
    <w:rsid w:val="003A4FEE"/>
    <w:rsid w:val="003A779E"/>
    <w:rsid w:val="003B0119"/>
    <w:rsid w:val="003B338E"/>
    <w:rsid w:val="003B4035"/>
    <w:rsid w:val="003C641E"/>
    <w:rsid w:val="003D0F4D"/>
    <w:rsid w:val="003D5B0D"/>
    <w:rsid w:val="003E0499"/>
    <w:rsid w:val="003E6054"/>
    <w:rsid w:val="003F3232"/>
    <w:rsid w:val="003F3941"/>
    <w:rsid w:val="00406575"/>
    <w:rsid w:val="00414C74"/>
    <w:rsid w:val="004178BA"/>
    <w:rsid w:val="0042273B"/>
    <w:rsid w:val="00422D50"/>
    <w:rsid w:val="0042722E"/>
    <w:rsid w:val="00441B27"/>
    <w:rsid w:val="00441F4B"/>
    <w:rsid w:val="0044528D"/>
    <w:rsid w:val="00445DFB"/>
    <w:rsid w:val="00454524"/>
    <w:rsid w:val="00454C73"/>
    <w:rsid w:val="00460008"/>
    <w:rsid w:val="00467781"/>
    <w:rsid w:val="004A1847"/>
    <w:rsid w:val="004A305D"/>
    <w:rsid w:val="004B0E5C"/>
    <w:rsid w:val="004B1441"/>
    <w:rsid w:val="004B2826"/>
    <w:rsid w:val="004B3A80"/>
    <w:rsid w:val="004B4539"/>
    <w:rsid w:val="004B75AE"/>
    <w:rsid w:val="004C0A7F"/>
    <w:rsid w:val="004C1D73"/>
    <w:rsid w:val="004C3CBA"/>
    <w:rsid w:val="004D28BC"/>
    <w:rsid w:val="004E0719"/>
    <w:rsid w:val="004E3028"/>
    <w:rsid w:val="004E367E"/>
    <w:rsid w:val="004F16CF"/>
    <w:rsid w:val="004F21C4"/>
    <w:rsid w:val="004F538A"/>
    <w:rsid w:val="004F685F"/>
    <w:rsid w:val="00504561"/>
    <w:rsid w:val="00511F13"/>
    <w:rsid w:val="0052559A"/>
    <w:rsid w:val="005262CA"/>
    <w:rsid w:val="005274E0"/>
    <w:rsid w:val="005354D7"/>
    <w:rsid w:val="00540F84"/>
    <w:rsid w:val="00545718"/>
    <w:rsid w:val="0055061D"/>
    <w:rsid w:val="00552834"/>
    <w:rsid w:val="00554B83"/>
    <w:rsid w:val="005566E8"/>
    <w:rsid w:val="00564072"/>
    <w:rsid w:val="005674E2"/>
    <w:rsid w:val="00570BCE"/>
    <w:rsid w:val="00574867"/>
    <w:rsid w:val="00581849"/>
    <w:rsid w:val="00591460"/>
    <w:rsid w:val="005B3816"/>
    <w:rsid w:val="005C363E"/>
    <w:rsid w:val="005C3777"/>
    <w:rsid w:val="005C3E40"/>
    <w:rsid w:val="005C5CDC"/>
    <w:rsid w:val="005D2AFD"/>
    <w:rsid w:val="005D476C"/>
    <w:rsid w:val="005E5B40"/>
    <w:rsid w:val="005E6B2B"/>
    <w:rsid w:val="005F254D"/>
    <w:rsid w:val="00605B34"/>
    <w:rsid w:val="00605C63"/>
    <w:rsid w:val="00617403"/>
    <w:rsid w:val="006219F8"/>
    <w:rsid w:val="00624967"/>
    <w:rsid w:val="0063006D"/>
    <w:rsid w:val="00632EAD"/>
    <w:rsid w:val="0064012E"/>
    <w:rsid w:val="0064164F"/>
    <w:rsid w:val="00642C41"/>
    <w:rsid w:val="006502E5"/>
    <w:rsid w:val="00665D70"/>
    <w:rsid w:val="00671E68"/>
    <w:rsid w:val="0067489F"/>
    <w:rsid w:val="006801EE"/>
    <w:rsid w:val="006900D9"/>
    <w:rsid w:val="006930EE"/>
    <w:rsid w:val="00693D2B"/>
    <w:rsid w:val="00697723"/>
    <w:rsid w:val="006A5F25"/>
    <w:rsid w:val="006C1711"/>
    <w:rsid w:val="006C3377"/>
    <w:rsid w:val="006C3450"/>
    <w:rsid w:val="006D7CA0"/>
    <w:rsid w:val="006E49BE"/>
    <w:rsid w:val="006F60F9"/>
    <w:rsid w:val="00706C16"/>
    <w:rsid w:val="00722624"/>
    <w:rsid w:val="00744313"/>
    <w:rsid w:val="00756841"/>
    <w:rsid w:val="0075737A"/>
    <w:rsid w:val="00762077"/>
    <w:rsid w:val="007649AB"/>
    <w:rsid w:val="00765E32"/>
    <w:rsid w:val="00771D0C"/>
    <w:rsid w:val="00780B7D"/>
    <w:rsid w:val="007833AC"/>
    <w:rsid w:val="00785960"/>
    <w:rsid w:val="00792D39"/>
    <w:rsid w:val="00795810"/>
    <w:rsid w:val="00795E35"/>
    <w:rsid w:val="007A0983"/>
    <w:rsid w:val="007B24C9"/>
    <w:rsid w:val="007B268C"/>
    <w:rsid w:val="007B5049"/>
    <w:rsid w:val="007B7171"/>
    <w:rsid w:val="007C0C0F"/>
    <w:rsid w:val="007C3DC2"/>
    <w:rsid w:val="007D0E3D"/>
    <w:rsid w:val="007E5497"/>
    <w:rsid w:val="00806F5F"/>
    <w:rsid w:val="008102B8"/>
    <w:rsid w:val="008126FE"/>
    <w:rsid w:val="008159CF"/>
    <w:rsid w:val="0081798D"/>
    <w:rsid w:val="00817CDA"/>
    <w:rsid w:val="00820278"/>
    <w:rsid w:val="00822AE5"/>
    <w:rsid w:val="00837066"/>
    <w:rsid w:val="00840499"/>
    <w:rsid w:val="00854E10"/>
    <w:rsid w:val="008561FD"/>
    <w:rsid w:val="00867F95"/>
    <w:rsid w:val="00877FF2"/>
    <w:rsid w:val="00882B24"/>
    <w:rsid w:val="00883514"/>
    <w:rsid w:val="008843B6"/>
    <w:rsid w:val="00891928"/>
    <w:rsid w:val="008A2B5E"/>
    <w:rsid w:val="008A446D"/>
    <w:rsid w:val="008B307E"/>
    <w:rsid w:val="008B3418"/>
    <w:rsid w:val="008C6656"/>
    <w:rsid w:val="008D180B"/>
    <w:rsid w:val="008F0EA7"/>
    <w:rsid w:val="008F1DED"/>
    <w:rsid w:val="009047A6"/>
    <w:rsid w:val="009123A5"/>
    <w:rsid w:val="0091708F"/>
    <w:rsid w:val="00923CB9"/>
    <w:rsid w:val="00923EEF"/>
    <w:rsid w:val="009316F7"/>
    <w:rsid w:val="009353A6"/>
    <w:rsid w:val="009419F9"/>
    <w:rsid w:val="00947370"/>
    <w:rsid w:val="009528CF"/>
    <w:rsid w:val="0095685E"/>
    <w:rsid w:val="00956FA8"/>
    <w:rsid w:val="00961B09"/>
    <w:rsid w:val="00965334"/>
    <w:rsid w:val="0097093E"/>
    <w:rsid w:val="009844FA"/>
    <w:rsid w:val="00984E64"/>
    <w:rsid w:val="00986AC5"/>
    <w:rsid w:val="00992CFA"/>
    <w:rsid w:val="009A0DFA"/>
    <w:rsid w:val="009A5F94"/>
    <w:rsid w:val="009A6981"/>
    <w:rsid w:val="009B1307"/>
    <w:rsid w:val="009B283B"/>
    <w:rsid w:val="009B2D26"/>
    <w:rsid w:val="009B2E39"/>
    <w:rsid w:val="009C0C1D"/>
    <w:rsid w:val="009C4335"/>
    <w:rsid w:val="009C654E"/>
    <w:rsid w:val="009C71FA"/>
    <w:rsid w:val="009C72E7"/>
    <w:rsid w:val="009D13F7"/>
    <w:rsid w:val="009D3058"/>
    <w:rsid w:val="009D4F39"/>
    <w:rsid w:val="009D5833"/>
    <w:rsid w:val="009E716D"/>
    <w:rsid w:val="009F3A13"/>
    <w:rsid w:val="00A07864"/>
    <w:rsid w:val="00A07BDB"/>
    <w:rsid w:val="00A111EC"/>
    <w:rsid w:val="00A122D3"/>
    <w:rsid w:val="00A1457C"/>
    <w:rsid w:val="00A17F13"/>
    <w:rsid w:val="00A17FC4"/>
    <w:rsid w:val="00A20739"/>
    <w:rsid w:val="00A21AB6"/>
    <w:rsid w:val="00A21C85"/>
    <w:rsid w:val="00A2772C"/>
    <w:rsid w:val="00A33C78"/>
    <w:rsid w:val="00A37394"/>
    <w:rsid w:val="00A53030"/>
    <w:rsid w:val="00A54330"/>
    <w:rsid w:val="00A85F42"/>
    <w:rsid w:val="00A869F2"/>
    <w:rsid w:val="00A92BC2"/>
    <w:rsid w:val="00A94815"/>
    <w:rsid w:val="00A94B5C"/>
    <w:rsid w:val="00AA10C6"/>
    <w:rsid w:val="00AA3AD3"/>
    <w:rsid w:val="00AB0ADB"/>
    <w:rsid w:val="00AB5724"/>
    <w:rsid w:val="00AC4201"/>
    <w:rsid w:val="00AD7F8D"/>
    <w:rsid w:val="00AE0749"/>
    <w:rsid w:val="00AE5D9D"/>
    <w:rsid w:val="00AE63DA"/>
    <w:rsid w:val="00AE6B62"/>
    <w:rsid w:val="00AE7009"/>
    <w:rsid w:val="00AF29CC"/>
    <w:rsid w:val="00B01B1A"/>
    <w:rsid w:val="00B21962"/>
    <w:rsid w:val="00B21D53"/>
    <w:rsid w:val="00B233A6"/>
    <w:rsid w:val="00B30AE1"/>
    <w:rsid w:val="00B3274E"/>
    <w:rsid w:val="00B420A7"/>
    <w:rsid w:val="00B45D8F"/>
    <w:rsid w:val="00B52CF3"/>
    <w:rsid w:val="00B635CA"/>
    <w:rsid w:val="00B66319"/>
    <w:rsid w:val="00B72CD3"/>
    <w:rsid w:val="00B72FFF"/>
    <w:rsid w:val="00B92345"/>
    <w:rsid w:val="00B9251B"/>
    <w:rsid w:val="00BA05C2"/>
    <w:rsid w:val="00BA23E8"/>
    <w:rsid w:val="00BB0503"/>
    <w:rsid w:val="00BB0D75"/>
    <w:rsid w:val="00BC03F7"/>
    <w:rsid w:val="00BC10F4"/>
    <w:rsid w:val="00BC3D36"/>
    <w:rsid w:val="00BD768B"/>
    <w:rsid w:val="00BD7F72"/>
    <w:rsid w:val="00BF6EF5"/>
    <w:rsid w:val="00C03BA8"/>
    <w:rsid w:val="00C04FB3"/>
    <w:rsid w:val="00C330EB"/>
    <w:rsid w:val="00C3382E"/>
    <w:rsid w:val="00C3564C"/>
    <w:rsid w:val="00C366DC"/>
    <w:rsid w:val="00C41061"/>
    <w:rsid w:val="00C41B7F"/>
    <w:rsid w:val="00C52149"/>
    <w:rsid w:val="00C54892"/>
    <w:rsid w:val="00C5611D"/>
    <w:rsid w:val="00C641E8"/>
    <w:rsid w:val="00C66DBB"/>
    <w:rsid w:val="00C71446"/>
    <w:rsid w:val="00C745B2"/>
    <w:rsid w:val="00C754BE"/>
    <w:rsid w:val="00C76B1C"/>
    <w:rsid w:val="00C80D6C"/>
    <w:rsid w:val="00C8746A"/>
    <w:rsid w:val="00C91584"/>
    <w:rsid w:val="00C97AA4"/>
    <w:rsid w:val="00CA2671"/>
    <w:rsid w:val="00CB6357"/>
    <w:rsid w:val="00CC1B26"/>
    <w:rsid w:val="00CC2B2A"/>
    <w:rsid w:val="00CE04C2"/>
    <w:rsid w:val="00D03450"/>
    <w:rsid w:val="00D03FBC"/>
    <w:rsid w:val="00D20D85"/>
    <w:rsid w:val="00D220AC"/>
    <w:rsid w:val="00D35020"/>
    <w:rsid w:val="00D35C31"/>
    <w:rsid w:val="00D37E6B"/>
    <w:rsid w:val="00D423A2"/>
    <w:rsid w:val="00D42ED2"/>
    <w:rsid w:val="00D441DE"/>
    <w:rsid w:val="00D520D8"/>
    <w:rsid w:val="00D559DE"/>
    <w:rsid w:val="00D5608C"/>
    <w:rsid w:val="00D60DDD"/>
    <w:rsid w:val="00D63AC2"/>
    <w:rsid w:val="00D7383B"/>
    <w:rsid w:val="00D85632"/>
    <w:rsid w:val="00DA231B"/>
    <w:rsid w:val="00DA2525"/>
    <w:rsid w:val="00DA3330"/>
    <w:rsid w:val="00DA36AE"/>
    <w:rsid w:val="00DA5A2D"/>
    <w:rsid w:val="00DA7F0F"/>
    <w:rsid w:val="00DB6629"/>
    <w:rsid w:val="00DC39FC"/>
    <w:rsid w:val="00DD22F5"/>
    <w:rsid w:val="00DD68FE"/>
    <w:rsid w:val="00DE423E"/>
    <w:rsid w:val="00DE538B"/>
    <w:rsid w:val="00DE67C9"/>
    <w:rsid w:val="00DF5254"/>
    <w:rsid w:val="00DF7CF8"/>
    <w:rsid w:val="00E008A6"/>
    <w:rsid w:val="00E00F91"/>
    <w:rsid w:val="00E06CC3"/>
    <w:rsid w:val="00E10B23"/>
    <w:rsid w:val="00E16408"/>
    <w:rsid w:val="00E20894"/>
    <w:rsid w:val="00E245AB"/>
    <w:rsid w:val="00E24A5F"/>
    <w:rsid w:val="00E2764C"/>
    <w:rsid w:val="00E27F2E"/>
    <w:rsid w:val="00E46984"/>
    <w:rsid w:val="00E50AFE"/>
    <w:rsid w:val="00E75C92"/>
    <w:rsid w:val="00E76DE6"/>
    <w:rsid w:val="00E771DC"/>
    <w:rsid w:val="00E77E41"/>
    <w:rsid w:val="00E844CF"/>
    <w:rsid w:val="00E8772A"/>
    <w:rsid w:val="00E90F6B"/>
    <w:rsid w:val="00E91B78"/>
    <w:rsid w:val="00E92C27"/>
    <w:rsid w:val="00E92CA2"/>
    <w:rsid w:val="00EA0E3D"/>
    <w:rsid w:val="00EB1C5D"/>
    <w:rsid w:val="00EB7354"/>
    <w:rsid w:val="00EC206D"/>
    <w:rsid w:val="00EC38A7"/>
    <w:rsid w:val="00EC7FD1"/>
    <w:rsid w:val="00ED62DE"/>
    <w:rsid w:val="00ED7384"/>
    <w:rsid w:val="00EE0CF6"/>
    <w:rsid w:val="00EE1AA8"/>
    <w:rsid w:val="00EF0D74"/>
    <w:rsid w:val="00EF323B"/>
    <w:rsid w:val="00EF52DE"/>
    <w:rsid w:val="00EF68EA"/>
    <w:rsid w:val="00F02718"/>
    <w:rsid w:val="00F0464E"/>
    <w:rsid w:val="00F04A0F"/>
    <w:rsid w:val="00F24460"/>
    <w:rsid w:val="00F31ECB"/>
    <w:rsid w:val="00F31EDC"/>
    <w:rsid w:val="00F33544"/>
    <w:rsid w:val="00F462B3"/>
    <w:rsid w:val="00F54E07"/>
    <w:rsid w:val="00F5664F"/>
    <w:rsid w:val="00F56EEC"/>
    <w:rsid w:val="00F60206"/>
    <w:rsid w:val="00F64AF0"/>
    <w:rsid w:val="00F666C4"/>
    <w:rsid w:val="00F70797"/>
    <w:rsid w:val="00F76AFC"/>
    <w:rsid w:val="00F8074B"/>
    <w:rsid w:val="00F93299"/>
    <w:rsid w:val="00FA47C0"/>
    <w:rsid w:val="00FB17F8"/>
    <w:rsid w:val="00FB5DD1"/>
    <w:rsid w:val="00FC2B5D"/>
    <w:rsid w:val="00FD2AC0"/>
    <w:rsid w:val="00FF0DE3"/>
    <w:rsid w:val="00FF1449"/>
    <w:rsid w:val="00FF600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94A9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94A95"/>
    <w:rPr>
      <w:rFonts w:ascii="Geomanist Light" w:hAnsi="Geomanist Light"/>
      <w:lang w:val="es-ES"/>
    </w:rPr>
  </w:style>
  <w:style w:type="character" w:styleId="Refdecomentario">
    <w:name w:val="annotation reference"/>
    <w:basedOn w:val="Fuentedeprrafopredeter"/>
    <w:uiPriority w:val="99"/>
    <w:semiHidden/>
    <w:unhideWhenUsed/>
    <w:rsid w:val="00F04A0F"/>
    <w:rPr>
      <w:sz w:val="16"/>
      <w:szCs w:val="16"/>
    </w:rPr>
  </w:style>
  <w:style w:type="paragraph" w:styleId="Textocomentario">
    <w:name w:val="annotation text"/>
    <w:basedOn w:val="Normal"/>
    <w:link w:val="TextocomentarioCar"/>
    <w:uiPriority w:val="99"/>
    <w:unhideWhenUsed/>
    <w:rsid w:val="00F04A0F"/>
    <w:pPr>
      <w:spacing w:line="240" w:lineRule="auto"/>
    </w:pPr>
    <w:rPr>
      <w:sz w:val="20"/>
      <w:szCs w:val="20"/>
    </w:rPr>
  </w:style>
  <w:style w:type="character" w:customStyle="1" w:styleId="TextocomentarioCar">
    <w:name w:val="Texto comentario Car"/>
    <w:basedOn w:val="Fuentedeprrafopredeter"/>
    <w:link w:val="Textocomentario"/>
    <w:uiPriority w:val="99"/>
    <w:rsid w:val="00F04A0F"/>
    <w:rPr>
      <w:sz w:val="20"/>
      <w:szCs w:val="20"/>
    </w:rPr>
  </w:style>
  <w:style w:type="paragraph" w:styleId="Asuntodelcomentario">
    <w:name w:val="annotation subject"/>
    <w:basedOn w:val="Textocomentario"/>
    <w:next w:val="Textocomentario"/>
    <w:link w:val="AsuntodelcomentarioCar"/>
    <w:uiPriority w:val="99"/>
    <w:semiHidden/>
    <w:unhideWhenUsed/>
    <w:rsid w:val="00F04A0F"/>
    <w:rPr>
      <w:b/>
      <w:bCs/>
    </w:rPr>
  </w:style>
  <w:style w:type="character" w:customStyle="1" w:styleId="AsuntodelcomentarioCar">
    <w:name w:val="Asunto del comentario Car"/>
    <w:basedOn w:val="TextocomentarioCar"/>
    <w:link w:val="Asuntodelcomentario"/>
    <w:uiPriority w:val="99"/>
    <w:semiHidden/>
    <w:rsid w:val="00F04A0F"/>
    <w:rPr>
      <w:b/>
      <w:bCs/>
      <w:sz w:val="20"/>
      <w:szCs w:val="20"/>
    </w:rPr>
  </w:style>
  <w:style w:type="character" w:styleId="nfasis">
    <w:name w:val="Emphasis"/>
    <w:basedOn w:val="Fuentedeprrafopredeter"/>
    <w:uiPriority w:val="20"/>
    <w:qFormat/>
    <w:rsid w:val="00356E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yperlink" Target="http://www.secretariasenado.gov.co/senado/basedoc/ley_2294_2023_pr008.html" TargetMode="External"/><Relationship Id="rId17" Type="http://schemas.openxmlformats.org/officeDocument/2006/relationships/hyperlink" Target="mailto:ventanilladeradicacion@colombiacompra.gov.c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FE6236A-C9A5-4A42-8DCC-3BF547F618CA}">
  <ds:schemaRefs>
    <ds:schemaRef ds:uri="http://schemas.openxmlformats.org/officeDocument/2006/bibliography"/>
  </ds:schemaRefs>
</ds:datastoreItem>
</file>

<file path=customXml/itemProps4.xml><?xml version="1.0" encoding="utf-8"?>
<ds:datastoreItem xmlns:ds="http://schemas.openxmlformats.org/officeDocument/2006/customXml" ds:itemID="{A115488A-3B36-4D30-ADC2-A424458FA0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5248</Words>
  <Characters>28867</Characters>
  <Application>Microsoft Office Word</Application>
  <DocSecurity>0</DocSecurity>
  <Lines>240</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34047</CharactersWithSpaces>
  <SharedDoc>false</SharedDoc>
  <HLinks>
    <vt:vector size="60" baseType="variant">
      <vt:variant>
        <vt:i4>2162805</vt:i4>
      </vt:variant>
      <vt:variant>
        <vt:i4>15</vt:i4>
      </vt:variant>
      <vt:variant>
        <vt:i4>0</vt:i4>
      </vt:variant>
      <vt:variant>
        <vt:i4>5</vt:i4>
      </vt:variant>
      <vt:variant>
        <vt:lpwstr>https://nam02.safelinks.protection.outlook.com/?url=https%3A%2F%2Fwww.colombiacompra.gov.co%2Fmanuales-guias-y-pliegos-tipo%2Fmanuales-y-guias%2Fguia-de-contratacion-publica-sostenible-y-socialmente&amp;data=05%7C02%7Csantiago.herrera%40colombiacompra.gov.co%7Cb18b651bca3a4eb8eab008dd269b400d%7C7b09041e245149d08cb179d5e3d8c1be%7C0%7C0%7C638709170414849914%7CUnknown%7CTWFpbGZsb3d8eyJFbXB0eU1hcGkiOnRydWUsIlYiOiIwLjAuMDAwMCIsIlAiOiJXaW4zMiIsIkFOIjoiTWFpbCIsIldUIjoyfQ%3D%3D%7C0%7C%7C%7C&amp;sdata=DZcOamOFLr5%2FMvTaEwyrmGH46p0E2EeVRK9EI0%2Fzyss%3D&amp;reserved=0</vt:lpwstr>
      </vt:variant>
      <vt:variant>
        <vt:lpwstr/>
      </vt:variant>
      <vt:variant>
        <vt:i4>2752616</vt:i4>
      </vt:variant>
      <vt:variant>
        <vt:i4>12</vt:i4>
      </vt:variant>
      <vt:variant>
        <vt:i4>0</vt:i4>
      </vt:variant>
      <vt:variant>
        <vt:i4>5</vt:i4>
      </vt:variant>
      <vt:variant>
        <vt:lpwstr>https://nam02.safelinks.protection.outlook.com/?url=https%3A%2F%2Fwww.colombiacompra.gov.co%2Fcontent%2F02-documentos-tipo-para-los-procesos-de-seleccion-de-consultoria-de-obra-publica-de&amp;data=05%7C02%7Csantiago.herrera%40colombiacompra.gov.co%7Cb18b651bca3a4eb8eab008dd269b400d%7C7b09041e245149d08cb179d5e3d8c1be%7C0%7C0%7C638709170414832391%7CUnknown%7CTWFpbGZsb3d8eyJFbXB0eU1hcGkiOnRydWUsIlYiOiIwLjAuMDAwMCIsIlAiOiJXaW4zMiIsIkFOIjoiTWFpbCIsIldUIjoyfQ%3D%3D%7C0%7C%7C%7C&amp;sdata=QVD3sz0azJZZvNSHi5xF%2FpgT1wYL%2BVLBpdZyrSAKCNU%3D&amp;reserved=0</vt:lpwstr>
      </vt:variant>
      <vt:variant>
        <vt:lpwstr/>
      </vt:variant>
      <vt:variant>
        <vt:i4>3866682</vt:i4>
      </vt:variant>
      <vt:variant>
        <vt:i4>9</vt:i4>
      </vt:variant>
      <vt:variant>
        <vt:i4>0</vt:i4>
      </vt:variant>
      <vt:variant>
        <vt:i4>5</vt:i4>
      </vt:variant>
      <vt:variant>
        <vt:lpwstr>https://nam02.safelinks.protection.outlook.com/?url=https%3A%2F%2Fwww.colombiacompra.gov.co%2Fcontent%2F03-documentos-tipo-para-los-procesos-de-seleccion-de-interventoria-de-obra-publica-de&amp;data=05%7C02%7Csantiago.herrera%40colombiacompra.gov.co%7Cb18b651bca3a4eb8eab008dd269b400d%7C7b09041e245149d08cb179d5e3d8c1be%7C0%7C0%7C638709170414808332%7CUnknown%7CTWFpbGZsb3d8eyJFbXB0eU1hcGkiOnRydWUsIlYiOiIwLjAuMDAwMCIsIlAiOiJXaW4zMiIsIkFOIjoiTWFpbCIsIldUIjoyfQ%3D%3D%7C0%7C%7C%7C&amp;sdata=K7MA4S7M7cwwIPsP6WrY42WST6d89ZSAhI2oxiyLwXg%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8257561</vt:i4>
      </vt:variant>
      <vt:variant>
        <vt:i4>3</vt:i4>
      </vt:variant>
      <vt:variant>
        <vt:i4>0</vt:i4>
      </vt:variant>
      <vt:variant>
        <vt:i4>5</vt:i4>
      </vt:variant>
      <vt:variant>
        <vt:lpwstr>https://www.colombiacompra.gov.co/sites/cce_public/files/cce_circulares/circular-externa_no._003_-_obligatoriedad_secop_ii_2024-2025.pdf</vt:lpwstr>
      </vt:variant>
      <vt:variant>
        <vt:lpwstr/>
      </vt:variant>
      <vt:variant>
        <vt:i4>3080280</vt:i4>
      </vt:variant>
      <vt:variant>
        <vt:i4>0</vt:i4>
      </vt:variant>
      <vt:variant>
        <vt:i4>0</vt:i4>
      </vt:variant>
      <vt:variant>
        <vt:i4>5</vt:i4>
      </vt:variant>
      <vt:variant>
        <vt:lpwstr>mailto:marigraciano7@gmail.com</vt:lpwstr>
      </vt:variant>
      <vt:variant>
        <vt:lpwstr/>
      </vt:variant>
      <vt:variant>
        <vt:i4>1114205</vt:i4>
      </vt:variant>
      <vt:variant>
        <vt:i4>9</vt:i4>
      </vt:variant>
      <vt:variant>
        <vt:i4>0</vt:i4>
      </vt:variant>
      <vt:variant>
        <vt:i4>5</vt:i4>
      </vt:variant>
      <vt:variant>
        <vt:lpwstr>https://pqrs.colombiacompra.gov.co/index.html</vt:lpwstr>
      </vt:variant>
      <vt:variant>
        <vt:lpwstr>/home</vt:lpwstr>
      </vt:variant>
      <vt:variant>
        <vt:i4>6553623</vt:i4>
      </vt:variant>
      <vt:variant>
        <vt:i4>6</vt:i4>
      </vt:variant>
      <vt:variant>
        <vt:i4>0</vt:i4>
      </vt:variant>
      <vt:variant>
        <vt:i4>5</vt:i4>
      </vt:variant>
      <vt:variant>
        <vt:lpwstr>https://www.colombiacompra.gov.co/sites/cce_public/files/cce_circulares/anexo_no._1_circular_externa_de_obligatoriedad_2024-2025.pdf</vt:lpwstr>
      </vt:variant>
      <vt:variant>
        <vt:lpwstr/>
      </vt:variant>
      <vt:variant>
        <vt:i4>5767258</vt:i4>
      </vt:variant>
      <vt:variant>
        <vt:i4>3</vt:i4>
      </vt:variant>
      <vt:variant>
        <vt:i4>0</vt:i4>
      </vt:variant>
      <vt:variant>
        <vt:i4>5</vt:i4>
      </vt:variant>
      <vt:variant>
        <vt:lpwstr>https://colombiatic.mintic.gov.co/679/w3-channel.html</vt:lpwstr>
      </vt:variant>
      <vt:variant>
        <vt:lpwstr/>
      </vt:variant>
      <vt:variant>
        <vt:i4>8257561</vt:i4>
      </vt:variant>
      <vt:variant>
        <vt:i4>0</vt:i4>
      </vt:variant>
      <vt:variant>
        <vt:i4>0</vt:i4>
      </vt:variant>
      <vt:variant>
        <vt:i4>5</vt:i4>
      </vt:variant>
      <vt:variant>
        <vt:lpwstr>https://www.colombiacompra.gov.co/sites/cce_public/files/cce_circulares/circular-externa_no._003_-_obligatoriedad_secop_ii_2024-2025.pdf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2026-05-08T15:41:00Z</dcterms:created>
  <dcterms:modified xsi:type="dcterms:W3CDTF">2026-05-09T00:05:00Z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