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876D3"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167361F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381BDA8" w14:textId="77777777" w:rsidR="004C63A3" w:rsidRDefault="004C63A3" w:rsidP="004C63A3">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0355C514"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0C764B16"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312B5506"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66698C56"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A39B22E"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27580FB"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40E1D0CF"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321474CF"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sidRPr="00FA1AEB">
        <w:rPr>
          <w:rFonts w:ascii="Verdana" w:eastAsia="Calibri" w:hAnsi="Verdana" w:cs="Arial"/>
          <w:sz w:val="20"/>
          <w:szCs w:val="20"/>
          <w:lang w:eastAsia="es-ES"/>
        </w:rPr>
        <w:t>Estos sujetos no tienen en cuenta el género, es decir si son PcD hombres o mujeres, por lo que la definición es aplicable independientemente del género de la PcD y no afecta las medidas afirmativas a aplicar. Por otra parte,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5D1FA58"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37DF74E"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Vinculación de personas con discapacidad ‒ Planillas de seguridad social ‒ Período de tres meses ‒ Vinculaciones recientes</w:t>
      </w:r>
    </w:p>
    <w:p w14:paraId="42855669" w14:textId="77777777" w:rsidR="004C63A3" w:rsidRPr="00206556" w:rsidRDefault="004C63A3" w:rsidP="004C63A3">
      <w:pPr>
        <w:spacing w:after="0" w:line="240" w:lineRule="auto"/>
        <w:contextualSpacing/>
        <w:jc w:val="both"/>
        <w:rPr>
          <w:rFonts w:ascii="Verdana" w:eastAsia="Calibri" w:hAnsi="Verdana" w:cs="Arial"/>
          <w:sz w:val="20"/>
          <w:szCs w:val="20"/>
          <w:lang w:eastAsia="es-ES"/>
        </w:rPr>
      </w:pPr>
    </w:p>
    <w:p w14:paraId="1050C35A"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t xml:space="preserve">Ahora bien, la documentación para la acreditación de las condiciones bajo las cuales se otorga el puntaje depende del sujeto de que se trate, en la condición de empleador de PcD, los documentos están dispuestos en el artículo 2.2.1.2.4.2.7.4, el cual 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 El término de tres (3) </w:t>
      </w:r>
      <w:proofErr w:type="gramStart"/>
      <w:r w:rsidRPr="00C820EF">
        <w:rPr>
          <w:rFonts w:ascii="Verdana" w:eastAsia="Calibri" w:hAnsi="Verdana" w:cs="Arial"/>
          <w:sz w:val="20"/>
          <w:szCs w:val="20"/>
          <w:lang w:eastAsia="es-ES"/>
        </w:rPr>
        <w:t>meses aquí mencionado</w:t>
      </w:r>
      <w:proofErr w:type="gramEnd"/>
      <w:r w:rsidRPr="00C820EF">
        <w:rPr>
          <w:rFonts w:ascii="Verdana" w:eastAsia="Calibri" w:hAnsi="Verdana" w:cs="Arial"/>
          <w:sz w:val="20"/>
          <w:szCs w:val="20"/>
          <w:lang w:eastAsia="es-ES"/>
        </w:rPr>
        <w:t xml:space="preserve"> es diferente al término de un (1) año mencionado en el artículo 2.2.1.2.4.2.6 respecto de los emprendimientos y empresas de PcD.</w:t>
      </w:r>
    </w:p>
    <w:p w14:paraId="056318EF" w14:textId="77777777" w:rsidR="004C63A3" w:rsidRPr="00C820EF" w:rsidRDefault="004C63A3" w:rsidP="004C63A3">
      <w:pPr>
        <w:spacing w:after="0" w:line="240" w:lineRule="auto"/>
        <w:contextualSpacing/>
        <w:jc w:val="both"/>
        <w:rPr>
          <w:rFonts w:ascii="Verdana" w:eastAsia="Calibri" w:hAnsi="Verdana" w:cs="Arial"/>
          <w:sz w:val="20"/>
          <w:szCs w:val="20"/>
          <w:lang w:eastAsia="es-ES"/>
        </w:rPr>
      </w:pPr>
    </w:p>
    <w:p w14:paraId="45C03602" w14:textId="77777777" w:rsidR="004C63A3" w:rsidRPr="003C64A5" w:rsidRDefault="004C63A3" w:rsidP="004C63A3">
      <w:pPr>
        <w:spacing w:after="0" w:line="240" w:lineRule="auto"/>
        <w:contextualSpacing/>
        <w:jc w:val="both"/>
        <w:rPr>
          <w:rFonts w:ascii="Verdana" w:eastAsia="Calibri" w:hAnsi="Verdana" w:cs="Arial"/>
          <w:sz w:val="20"/>
          <w:szCs w:val="20"/>
          <w:lang w:eastAsia="es-ES"/>
        </w:rPr>
      </w:pPr>
      <w:r w:rsidRPr="00C820EF">
        <w:rPr>
          <w:rFonts w:ascii="Verdana" w:eastAsia="Calibri" w:hAnsi="Verdana" w:cs="Arial"/>
          <w:sz w:val="20"/>
          <w:szCs w:val="20"/>
          <w:lang w:eastAsia="es-ES"/>
        </w:rPr>
        <w:t>Para efectos de determinar el número mínimo de PcD que el proponente debe tener vinculadas en su planta de personal para acceder al puntaje, el artículo 2.2.1.2.4.2.7.4. del Decreto 0287 de 2026 establece una tabla, que ya incorpora los mínimos exigidos por la Ley 2466 de 2025 (Reforma Laboral), de modo que el puntaje solo se otorga a quien cumpla lo indicado en la tabla. La vinculación de PcD a las plantas de personal de posibles proveedores, debe ser a través de contrato laboral con dedicación exclusiva, cuya definición le corresponde al Ministerio del Trabajo. Por otra parte, los documentos para acreditar la otra condición que es ser emprendimiento o empresa de PcD son los indicados en el artículo 2.2.1.2.4.2.6 y no los del artículo 2.2.1.2.4.2.7.4</w:t>
      </w:r>
      <w:r w:rsidRPr="003C64A5">
        <w:rPr>
          <w:rFonts w:ascii="Verdana" w:eastAsia="Calibri" w:hAnsi="Verdana" w:cs="Arial"/>
          <w:sz w:val="20"/>
          <w:szCs w:val="20"/>
          <w:lang w:eastAsia="es-ES"/>
        </w:rPr>
        <w:t>.</w:t>
      </w:r>
    </w:p>
    <w:p w14:paraId="79E4B281"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55A0FF84"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lastRenderedPageBreak/>
        <w:t>DECRETO 0287 DE 2026 ‒ Documentos tipo ‒ Principio de inalterabilidad ‒ Régimen de transición ‒ Actualización ‒ Colombia Compra Eficiente</w:t>
      </w:r>
    </w:p>
    <w:p w14:paraId="1C774026"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25E4B970" w14:textId="77777777" w:rsidR="004C63A3" w:rsidRPr="00206556" w:rsidRDefault="004C63A3" w:rsidP="004C63A3">
      <w:pPr>
        <w:spacing w:after="0" w:line="240" w:lineRule="auto"/>
        <w:contextualSpacing/>
        <w:jc w:val="both"/>
        <w:rPr>
          <w:rFonts w:ascii="Verdana" w:eastAsia="Calibri" w:hAnsi="Verdana" w:cs="Arial"/>
          <w:sz w:val="20"/>
          <w:szCs w:val="20"/>
          <w:lang w:eastAsia="es-ES"/>
        </w:rPr>
      </w:pPr>
      <w:r w:rsidRPr="00015670">
        <w:rPr>
          <w:rFonts w:ascii="Verdana" w:eastAsia="Calibri" w:hAnsi="Verdana" w:cs="Arial"/>
          <w:sz w:val="20"/>
          <w:szCs w:val="20"/>
          <w:lang w:eastAsia="es-ES"/>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sidRPr="007B5AD4">
        <w:rPr>
          <w:rFonts w:ascii="Verdana" w:eastAsia="Calibri" w:hAnsi="Verdana" w:cs="Arial"/>
          <w:sz w:val="20"/>
          <w:szCs w:val="20"/>
          <w:lang w:eastAsia="es-ES"/>
        </w:rPr>
        <w:t xml:space="preserve">. </w:t>
      </w:r>
    </w:p>
    <w:p w14:paraId="52AACA0A"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D15BEFD"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Puntaje adicional del 2% ‒ Compatibilidad ‒ Incentivos MiPymes ‒ Empresas de mujeres ‒ Criterio de desempate ‒ Ley 2069 de 2020</w:t>
      </w:r>
    </w:p>
    <w:p w14:paraId="464CFC8D" w14:textId="77777777" w:rsidR="004C63A3" w:rsidRPr="007B5AD4" w:rsidRDefault="004C63A3" w:rsidP="004C63A3">
      <w:pPr>
        <w:spacing w:after="0" w:line="240" w:lineRule="auto"/>
        <w:contextualSpacing/>
        <w:jc w:val="both"/>
        <w:rPr>
          <w:rFonts w:ascii="Verdana" w:eastAsia="Calibri" w:hAnsi="Verdana" w:cs="Arial"/>
          <w:b/>
          <w:bCs/>
          <w:sz w:val="20"/>
          <w:szCs w:val="20"/>
          <w:lang w:eastAsia="es-ES"/>
        </w:rPr>
      </w:pPr>
    </w:p>
    <w:p w14:paraId="128184D1" w14:textId="77777777" w:rsidR="004C63A3" w:rsidRPr="00206556" w:rsidRDefault="004C63A3" w:rsidP="004C63A3">
      <w:pPr>
        <w:spacing w:after="0" w:line="240" w:lineRule="auto"/>
        <w:contextualSpacing/>
        <w:jc w:val="both"/>
        <w:rPr>
          <w:rFonts w:ascii="Verdana" w:eastAsia="Calibri" w:hAnsi="Verdana" w:cs="Arial"/>
          <w:sz w:val="20"/>
          <w:szCs w:val="20"/>
          <w:lang w:eastAsia="es-ES"/>
        </w:rPr>
      </w:pPr>
      <w:r w:rsidRPr="000542B4">
        <w:rPr>
          <w:rFonts w:ascii="Verdana" w:eastAsia="Calibri" w:hAnsi="Verdana" w:cs="Arial"/>
          <w:sz w:val="20"/>
          <w:szCs w:val="20"/>
          <w:lang w:eastAsia="es-ES"/>
        </w:rPr>
        <w:t>El puntaje adicional del 2% es plenamente compatible con los incentivos para MiPymes y para empresas y emprendimientos de mujeres, pudiendo todos estos instrumentos aplicarse simultáneamente en el mismo 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PcD, no a los emprendimientos y empresas de PcD, dicha norma exige que al menos el 10% de la nómina esté en condición de discapacidad y opera únicamente cuando hay empate entre dos o más ofertas</w:t>
      </w:r>
      <w:r w:rsidRPr="007B5AD4">
        <w:rPr>
          <w:rFonts w:ascii="Verdana" w:eastAsia="Calibri" w:hAnsi="Verdana" w:cs="Arial"/>
          <w:sz w:val="20"/>
          <w:szCs w:val="20"/>
          <w:lang w:eastAsia="es-ES"/>
        </w:rPr>
        <w:t>.</w:t>
      </w:r>
    </w:p>
    <w:p w14:paraId="0DD1065E" w14:textId="77777777" w:rsidR="004C63A3" w:rsidRPr="007B5AD4" w:rsidRDefault="004C63A3" w:rsidP="004C63A3">
      <w:pPr>
        <w:spacing w:after="0" w:line="240" w:lineRule="auto"/>
        <w:contextualSpacing/>
        <w:jc w:val="both"/>
        <w:rPr>
          <w:rFonts w:ascii="Verdana" w:eastAsia="Calibri" w:hAnsi="Verdana" w:cs="Arial"/>
          <w:sz w:val="20"/>
          <w:szCs w:val="20"/>
          <w:lang w:eastAsia="es-ES"/>
        </w:rPr>
      </w:pPr>
    </w:p>
    <w:p w14:paraId="26EDFFB8" w14:textId="77777777" w:rsidR="004C63A3" w:rsidRPr="004C046B" w:rsidRDefault="004C63A3" w:rsidP="004C63A3">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1377F8D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C91C5B0"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7F59E79F" w14:textId="77777777" w:rsidR="004C63A3" w:rsidRPr="004C046B" w:rsidRDefault="004C63A3" w:rsidP="004C63A3">
      <w:pPr>
        <w:spacing w:after="0" w:line="240" w:lineRule="auto"/>
        <w:contextualSpacing/>
        <w:jc w:val="both"/>
        <w:rPr>
          <w:rFonts w:ascii="Verdana" w:eastAsia="Calibri" w:hAnsi="Verdana" w:cs="Arial"/>
          <w:sz w:val="20"/>
          <w:szCs w:val="20"/>
          <w:lang w:eastAsia="es-ES"/>
        </w:rPr>
      </w:pPr>
    </w:p>
    <w:p w14:paraId="3717B42D"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xml:space="preserve">) La resolución de apertura no existe, o fue expedida el 20 </w:t>
      </w:r>
      <w:r w:rsidRPr="004C046B">
        <w:rPr>
          <w:rFonts w:ascii="Verdana" w:eastAsia="Calibri" w:hAnsi="Verdana" w:cs="Arial"/>
          <w:sz w:val="20"/>
          <w:szCs w:val="20"/>
          <w:lang w:eastAsia="es-ES"/>
        </w:rPr>
        <w:lastRenderedPageBreak/>
        <w:t>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2367EE1A" w14:textId="77777777" w:rsidR="004C63A3" w:rsidRPr="004C046B" w:rsidRDefault="004C63A3" w:rsidP="004C63A3">
      <w:pPr>
        <w:spacing w:after="0" w:line="240" w:lineRule="auto"/>
        <w:contextualSpacing/>
        <w:jc w:val="both"/>
        <w:rPr>
          <w:rFonts w:ascii="Verdana" w:eastAsia="Calibri" w:hAnsi="Verdana" w:cs="Arial"/>
          <w:sz w:val="20"/>
          <w:szCs w:val="20"/>
          <w:lang w:eastAsia="es-ES"/>
        </w:rPr>
      </w:pPr>
    </w:p>
    <w:p w14:paraId="6526276C" w14:textId="77777777" w:rsidR="004C63A3" w:rsidRDefault="004C63A3" w:rsidP="004C63A3">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p>
    <w:p w14:paraId="03C33B1F"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3BFC26A"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E925884"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F5A8B1B"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F976BC3"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F0E19D6"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0B022CA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D7759D4"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6BE1A72"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60947C8"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D137841"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EF9431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B8F6500"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722B240"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091D27D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3E8DBD1E"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5E9CFE37"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47D16769"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47790268"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085E32C4"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20CE3AA8"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22AD1460"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4F37C71"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BF9E586"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CE723CA"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A54DB9D"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247A112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79F07CB3"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19ECCB14"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2C376F0C"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5ABDC59"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0D313CFE"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34FD9D03"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007D5389"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62FA6145"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3A727E3E"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5561DE39" w14:textId="77777777" w:rsidR="004C63A3" w:rsidRDefault="004C63A3" w:rsidP="004C63A3">
      <w:pPr>
        <w:spacing w:after="0" w:line="240" w:lineRule="auto"/>
        <w:contextualSpacing/>
        <w:jc w:val="both"/>
        <w:rPr>
          <w:rFonts w:ascii="Verdana" w:eastAsia="Calibri" w:hAnsi="Verdana" w:cs="Arial"/>
          <w:sz w:val="20"/>
          <w:szCs w:val="20"/>
          <w:lang w:eastAsia="es-ES"/>
        </w:rPr>
      </w:pPr>
    </w:p>
    <w:p w14:paraId="0C00C22E" w14:textId="4B010F54" w:rsidR="004C63A3" w:rsidRDefault="004C63A3" w:rsidP="004C63A3">
      <w:pPr>
        <w:spacing w:after="0"/>
        <w:rPr>
          <w:rFonts w:ascii="Verdana" w:hAnsi="Verdana"/>
          <w:lang w:val="es-ES"/>
        </w:rPr>
      </w:pPr>
      <w:r w:rsidRPr="51EE397B">
        <w:rPr>
          <w:rFonts w:ascii="Verdana" w:hAnsi="Verdana"/>
          <w:lang w:val="es-ES"/>
        </w:rPr>
        <w:lastRenderedPageBreak/>
        <w:t xml:space="preserve">Bogotá D.C., </w:t>
      </w:r>
      <w:r w:rsidR="00B418FD">
        <w:rPr>
          <w:rFonts w:ascii="Verdana" w:hAnsi="Verdana"/>
          <w:lang w:val="es-ES"/>
        </w:rPr>
        <w:t>8 de mayo de 2026</w:t>
      </w:r>
    </w:p>
    <w:p w14:paraId="18559AEC" w14:textId="77777777" w:rsidR="00B418FD" w:rsidRDefault="00B418FD" w:rsidP="004C63A3">
      <w:pPr>
        <w:spacing w:after="0"/>
        <w:rPr>
          <w:rFonts w:ascii="Verdana" w:hAnsi="Verdana"/>
          <w:lang w:val="es-ES"/>
        </w:rPr>
      </w:pPr>
    </w:p>
    <w:p w14:paraId="521B95BD" w14:textId="16F47E5B" w:rsidR="00B418FD" w:rsidRPr="00777292" w:rsidRDefault="00B418FD" w:rsidP="00B418FD">
      <w:pPr>
        <w:spacing w:after="0"/>
        <w:jc w:val="right"/>
        <w:rPr>
          <w:rFonts w:ascii="Verdana" w:hAnsi="Verdana"/>
          <w:lang w:val="es-ES"/>
        </w:rPr>
      </w:pPr>
      <w:r w:rsidRPr="00B418FD">
        <w:rPr>
          <w:rFonts w:ascii="Verdana" w:hAnsi="Verdana"/>
          <w:lang w:val="es-ES"/>
        </w:rPr>
        <w:drawing>
          <wp:inline distT="0" distB="0" distL="0" distR="0" wp14:anchorId="3CA01FAF" wp14:editId="65EC4002">
            <wp:extent cx="3639058" cy="952633"/>
            <wp:effectExtent l="0" t="0" r="0" b="0"/>
            <wp:docPr id="9227548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754852" name=""/>
                    <pic:cNvPicPr/>
                  </pic:nvPicPr>
                  <pic:blipFill>
                    <a:blip r:embed="rId10"/>
                    <a:stretch>
                      <a:fillRect/>
                    </a:stretch>
                  </pic:blipFill>
                  <pic:spPr>
                    <a:xfrm>
                      <a:off x="0" y="0"/>
                      <a:ext cx="3639058" cy="952633"/>
                    </a:xfrm>
                    <a:prstGeom prst="rect">
                      <a:avLst/>
                    </a:prstGeom>
                  </pic:spPr>
                </pic:pic>
              </a:graphicData>
            </a:graphic>
          </wp:inline>
        </w:drawing>
      </w:r>
    </w:p>
    <w:p w14:paraId="14261663" w14:textId="77777777" w:rsidR="004C63A3" w:rsidRPr="00777292" w:rsidRDefault="004C63A3" w:rsidP="004C63A3">
      <w:pPr>
        <w:spacing w:after="0"/>
        <w:rPr>
          <w:rFonts w:ascii="Verdana" w:hAnsi="Verdana"/>
          <w:lang w:val="es-ES_tradnl"/>
        </w:rPr>
      </w:pPr>
    </w:p>
    <w:p w14:paraId="143585DF" w14:textId="77777777" w:rsidR="004C63A3" w:rsidRPr="006A7B59" w:rsidRDefault="004C63A3" w:rsidP="004C63A3">
      <w:pPr>
        <w:spacing w:after="0" w:line="240" w:lineRule="auto"/>
        <w:rPr>
          <w:rFonts w:ascii="Verdana" w:hAnsi="Verdana"/>
          <w:lang w:val="es-ES"/>
        </w:rPr>
      </w:pPr>
      <w:bookmarkStart w:id="0" w:name="_Hlk143780582"/>
      <w:r w:rsidRPr="006A7B59">
        <w:rPr>
          <w:rFonts w:ascii="Verdana" w:eastAsia="Calibri" w:hAnsi="Verdana" w:cs="Arial"/>
          <w:lang w:val="es-ES" w:eastAsia="es-ES"/>
        </w:rPr>
        <w:t>Señor</w:t>
      </w:r>
    </w:p>
    <w:p w14:paraId="645D6E70" w14:textId="77777777" w:rsidR="004C63A3" w:rsidRPr="006A7B59" w:rsidRDefault="004C63A3" w:rsidP="004C63A3">
      <w:pPr>
        <w:spacing w:after="0"/>
        <w:rPr>
          <w:rFonts w:ascii="Verdana" w:eastAsia="Calibri" w:hAnsi="Verdana" w:cs="Arial"/>
          <w:b/>
          <w:bCs/>
          <w:lang w:val="es-ES" w:eastAsia="es-ES"/>
        </w:rPr>
      </w:pPr>
      <w:r>
        <w:rPr>
          <w:rFonts w:ascii="Verdana" w:eastAsia="Calibri" w:hAnsi="Verdana" w:cs="Arial"/>
          <w:b/>
          <w:bCs/>
          <w:lang w:val="es-ES" w:eastAsia="es-ES"/>
        </w:rPr>
        <w:t>Hernando Daza Berrío</w:t>
      </w:r>
    </w:p>
    <w:p w14:paraId="6F62A1E4" w14:textId="77777777" w:rsidR="004C63A3" w:rsidRPr="006A7B59" w:rsidRDefault="004C63A3" w:rsidP="004C63A3">
      <w:pPr>
        <w:spacing w:after="0"/>
        <w:rPr>
          <w:rFonts w:ascii="Verdana" w:hAnsi="Verdana"/>
        </w:rPr>
      </w:pPr>
      <w:r>
        <w:rPr>
          <w:rFonts w:ascii="Verdana" w:hAnsi="Verdana"/>
        </w:rPr>
        <w:t>a</w:t>
      </w:r>
      <w:r w:rsidRPr="00BB432D">
        <w:rPr>
          <w:rFonts w:ascii="Verdana" w:hAnsi="Verdana"/>
        </w:rPr>
        <w:t>r</w:t>
      </w:r>
      <w:r>
        <w:rPr>
          <w:rFonts w:ascii="Verdana" w:hAnsi="Verdana"/>
        </w:rPr>
        <w:t>quitecturaurbana277@hotmail.com</w:t>
      </w:r>
    </w:p>
    <w:p w14:paraId="35E9948D" w14:textId="77777777" w:rsidR="004C63A3" w:rsidRPr="00777292" w:rsidRDefault="004C63A3" w:rsidP="004C63A3">
      <w:pPr>
        <w:spacing w:after="0"/>
        <w:rPr>
          <w:rFonts w:ascii="Verdana" w:eastAsia="Calibri" w:hAnsi="Verdana" w:cs="Arial"/>
          <w:lang w:eastAsia="es-ES"/>
        </w:rPr>
      </w:pPr>
      <w:r w:rsidRPr="006A7B59">
        <w:rPr>
          <w:rFonts w:ascii="Verdana" w:eastAsia="Calibri" w:hAnsi="Verdana" w:cs="Arial"/>
          <w:lang w:eastAsia="es-ES"/>
        </w:rPr>
        <w:t>Ciudad</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C63A3" w:rsidRPr="00777292" w14:paraId="33A3497E" w14:textId="77777777" w:rsidTr="000A6384">
        <w:trPr>
          <w:trHeight w:val="190"/>
        </w:trPr>
        <w:tc>
          <w:tcPr>
            <w:tcW w:w="2689" w:type="dxa"/>
          </w:tcPr>
          <w:p w14:paraId="5CF4AE47" w14:textId="77777777" w:rsidR="004C63A3" w:rsidRPr="00777292" w:rsidRDefault="004C63A3" w:rsidP="000A6384">
            <w:pPr>
              <w:jc w:val="both"/>
              <w:rPr>
                <w:rFonts w:ascii="Verdana" w:eastAsia="Calibri" w:hAnsi="Verdana" w:cs="Arial"/>
                <w:b/>
                <w:bCs/>
                <w:lang w:eastAsia="es-ES_tradnl"/>
              </w:rPr>
            </w:pPr>
          </w:p>
        </w:tc>
        <w:tc>
          <w:tcPr>
            <w:tcW w:w="6100" w:type="dxa"/>
          </w:tcPr>
          <w:p w14:paraId="31CEB774" w14:textId="77777777" w:rsidR="004C63A3" w:rsidRPr="00777292" w:rsidRDefault="004C63A3" w:rsidP="000A6384">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Pr>
                <w:rFonts w:ascii="Verdana" w:eastAsia="Calibri" w:hAnsi="Verdana" w:cs="Arial"/>
                <w:b/>
                <w:bCs/>
                <w:lang w:eastAsia="es-ES"/>
              </w:rPr>
              <w:t>498</w:t>
            </w:r>
            <w:r w:rsidRPr="00777292">
              <w:rPr>
                <w:rFonts w:ascii="Verdana" w:eastAsia="Calibri" w:hAnsi="Verdana" w:cs="Arial"/>
                <w:b/>
                <w:bCs/>
                <w:lang w:eastAsia="es-ES"/>
              </w:rPr>
              <w:t xml:space="preserve"> de 2026</w:t>
            </w:r>
          </w:p>
          <w:p w14:paraId="6260B8ED" w14:textId="77777777" w:rsidR="004C63A3" w:rsidRPr="00777292" w:rsidRDefault="004C63A3" w:rsidP="000A6384">
            <w:pPr>
              <w:jc w:val="both"/>
              <w:rPr>
                <w:rFonts w:ascii="Verdana" w:eastAsia="Calibri" w:hAnsi="Verdana" w:cs="Arial"/>
                <w:b/>
                <w:bCs/>
                <w:lang w:eastAsia="es-ES"/>
              </w:rPr>
            </w:pPr>
          </w:p>
        </w:tc>
      </w:tr>
      <w:tr w:rsidR="004C63A3" w:rsidRPr="00777292" w14:paraId="6C1E8E35" w14:textId="77777777" w:rsidTr="000A6384">
        <w:trPr>
          <w:trHeight w:val="884"/>
        </w:trPr>
        <w:tc>
          <w:tcPr>
            <w:tcW w:w="2689" w:type="dxa"/>
          </w:tcPr>
          <w:p w14:paraId="1A47481C" w14:textId="77777777"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3BA60BC6" w14:textId="77777777" w:rsidR="004C63A3" w:rsidRPr="00777292" w:rsidRDefault="004C63A3" w:rsidP="000A6384">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2902D0">
              <w:rPr>
                <w:rFonts w:ascii="Verdana" w:eastAsia="Calibri" w:hAnsi="Verdana" w:cs="Arial"/>
                <w:lang w:eastAsia="es-ES"/>
              </w:rPr>
              <w:t>DECRETO 0287 DE 2026 ‒ Puntaje adicional del 2% ‒ Vinculación de personas con discapacidad ‒ Planillas de seguridad social ‒ Período de tres meses ‒ Vinculaciones recientes</w:t>
            </w:r>
            <w:r>
              <w:rPr>
                <w:rFonts w:ascii="Verdana" w:eastAsia="Calibri" w:hAnsi="Verdana" w:cs="Arial"/>
                <w:lang w:eastAsia="es-ES"/>
              </w:rPr>
              <w:t xml:space="preserve"> / </w:t>
            </w:r>
            <w:r w:rsidRPr="00777292">
              <w:rPr>
                <w:rFonts w:ascii="Verdana" w:eastAsia="Calibri" w:hAnsi="Verdana" w:cs="Arial"/>
                <w:lang w:eastAsia="es-ES"/>
              </w:rPr>
              <w:t>DECRETO 0287 DE 2026 ‒ Documentos tipo ‒ Principio de inalterabilidad ‒ Régimen de transición ‒ Actualización ‒ Colombia Compra Eficiente</w:t>
            </w:r>
            <w:r>
              <w:rPr>
                <w:rFonts w:ascii="Verdana" w:eastAsia="Calibri" w:hAnsi="Verdana" w:cs="Arial"/>
                <w:lang w:eastAsia="es-ES"/>
              </w:rPr>
              <w:t xml:space="preserve"> / </w:t>
            </w:r>
            <w:r w:rsidRPr="00046A2C">
              <w:rPr>
                <w:rFonts w:ascii="Verdana" w:eastAsia="Calibri" w:hAnsi="Verdana" w:cs="Arial"/>
                <w:lang w:eastAsia="es-ES"/>
              </w:rPr>
              <w:t>DECRETO 0287 DE 2026 ‒ Puntaje adicional del 2% ‒ Compatibilidad ‒ Incentivos MiPymes ‒ Empresas de mujeres ‒ Criterio de desempate ‒ Ley 2069 de 2020</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tc>
      </w:tr>
      <w:tr w:rsidR="004C63A3" w:rsidRPr="00777292" w14:paraId="146E3513" w14:textId="77777777" w:rsidTr="000A6384">
        <w:tc>
          <w:tcPr>
            <w:tcW w:w="2689" w:type="dxa"/>
          </w:tcPr>
          <w:p w14:paraId="6B427AF1" w14:textId="77777777" w:rsidR="004C63A3" w:rsidRPr="00777292" w:rsidRDefault="004C63A3" w:rsidP="000A6384">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70735AC5" w14:textId="77777777" w:rsidR="004C63A3" w:rsidRPr="00777292" w:rsidRDefault="004C63A3" w:rsidP="000A6384">
            <w:pPr>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Pr="00552E3B">
              <w:rPr>
                <w:rFonts w:ascii="Verdana" w:hAnsi="Verdana" w:cs="Segoe UI"/>
                <w:color w:val="2B2B2B"/>
                <w:shd w:val="clear" w:color="auto" w:fill="FFFFFF"/>
              </w:rPr>
              <w:t>1_2026_03_26_004185</w:t>
            </w:r>
          </w:p>
        </w:tc>
      </w:tr>
    </w:tbl>
    <w:p w14:paraId="62F6D6F8" w14:textId="77777777" w:rsidR="004C63A3" w:rsidRPr="00206556" w:rsidRDefault="004C63A3" w:rsidP="004C63A3">
      <w:pPr>
        <w:tabs>
          <w:tab w:val="left" w:pos="1520"/>
        </w:tabs>
        <w:spacing w:after="0" w:line="276" w:lineRule="auto"/>
        <w:jc w:val="both"/>
        <w:rPr>
          <w:rFonts w:ascii="Verdana" w:eastAsia="Calibri" w:hAnsi="Verdana" w:cs="Arial"/>
          <w:color w:val="ED7D31" w:themeColor="accent2"/>
          <w:sz w:val="20"/>
          <w:szCs w:val="20"/>
          <w:lang w:val="es-ES" w:eastAsia="es-ES"/>
        </w:rPr>
      </w:pPr>
    </w:p>
    <w:p w14:paraId="32A1C35C" w14:textId="77777777" w:rsidR="004C63A3" w:rsidRPr="00206556" w:rsidRDefault="004C63A3" w:rsidP="004C63A3">
      <w:pPr>
        <w:spacing w:after="0" w:line="276" w:lineRule="auto"/>
        <w:jc w:val="both"/>
        <w:rPr>
          <w:rFonts w:ascii="Verdana" w:eastAsia="Calibri" w:hAnsi="Verdana" w:cs="Arial"/>
          <w:color w:val="ED7D31" w:themeColor="accent2"/>
          <w:lang w:val="es-ES" w:eastAsia="es-ES"/>
        </w:rPr>
      </w:pPr>
    </w:p>
    <w:p w14:paraId="02D05D0B" w14:textId="77777777" w:rsidR="004C63A3" w:rsidRPr="00206556" w:rsidRDefault="004C63A3" w:rsidP="004C63A3">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Pr>
          <w:rFonts w:ascii="Verdana" w:eastAsia="Calibri" w:hAnsi="Verdana" w:cs="Arial"/>
          <w:lang w:val="es-ES" w:eastAsia="es-ES"/>
        </w:rPr>
        <w:t>o</w:t>
      </w:r>
      <w:r w:rsidRPr="006A7B59">
        <w:rPr>
          <w:rFonts w:ascii="Verdana" w:eastAsia="Calibri" w:hAnsi="Verdana" w:cs="Arial"/>
          <w:lang w:val="es-ES" w:eastAsia="es-ES"/>
        </w:rPr>
        <w:t xml:space="preserve"> Señor </w:t>
      </w:r>
      <w:r>
        <w:rPr>
          <w:rFonts w:ascii="Verdana" w:eastAsia="Calibri" w:hAnsi="Verdana" w:cs="Arial"/>
          <w:lang w:val="es-ES" w:eastAsia="es-ES"/>
        </w:rPr>
        <w:t>D</w:t>
      </w:r>
      <w:r w:rsidRPr="006A7B59">
        <w:rPr>
          <w:rFonts w:ascii="Verdana" w:eastAsia="Calibri" w:hAnsi="Verdana" w:cs="Arial"/>
          <w:lang w:val="es-ES" w:eastAsia="es-ES"/>
        </w:rPr>
        <w:t>az</w:t>
      </w:r>
      <w:r>
        <w:rPr>
          <w:rFonts w:ascii="Verdana" w:eastAsia="Calibri" w:hAnsi="Verdana" w:cs="Arial"/>
          <w:lang w:val="es-ES" w:eastAsia="es-ES"/>
        </w:rPr>
        <w:t>a</w:t>
      </w:r>
      <w:r w:rsidRPr="006A7B59">
        <w:rPr>
          <w:rFonts w:ascii="Verdana" w:eastAsia="Calibri" w:hAnsi="Verdana" w:cs="Arial"/>
          <w:lang w:val="es-ES" w:eastAsia="es-ES"/>
        </w:rPr>
        <w:t>,</w:t>
      </w:r>
    </w:p>
    <w:p w14:paraId="0E8E2074" w14:textId="77777777" w:rsidR="004C63A3" w:rsidRPr="00206556" w:rsidRDefault="004C63A3" w:rsidP="004C63A3">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lastRenderedPageBreak/>
        <w:tab/>
      </w:r>
    </w:p>
    <w:p w14:paraId="7D7FB11F" w14:textId="77777777" w:rsidR="004C63A3" w:rsidRPr="00206556" w:rsidRDefault="004C63A3" w:rsidP="004C63A3">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consulta de fecha 2</w:t>
      </w:r>
      <w:r>
        <w:rPr>
          <w:rFonts w:ascii="Verdana" w:eastAsia="Calibri" w:hAnsi="Verdana" w:cs="Arial"/>
          <w:lang w:val="es-ES" w:eastAsia="es-ES"/>
        </w:rPr>
        <w:t>6</w:t>
      </w:r>
      <w:r w:rsidRPr="00FB46F9">
        <w:rPr>
          <w:rFonts w:ascii="Verdana" w:eastAsia="Calibri" w:hAnsi="Verdana" w:cs="Arial"/>
          <w:lang w:val="es-ES" w:eastAsia="es-ES"/>
        </w:rPr>
        <w:t xml:space="preserve"> de marzo de 2026, en</w:t>
      </w:r>
      <w:r w:rsidRPr="00206556">
        <w:rPr>
          <w:rFonts w:ascii="Verdana" w:eastAsia="Calibri" w:hAnsi="Verdana" w:cs="Arial"/>
          <w:lang w:val="es-ES" w:eastAsia="es-ES"/>
        </w:rPr>
        <w:t xml:space="preserve"> la cual manifiesta lo siguiente: </w:t>
      </w:r>
    </w:p>
    <w:p w14:paraId="26BADED6" w14:textId="77777777" w:rsidR="004C63A3" w:rsidRDefault="004C63A3" w:rsidP="004C63A3">
      <w:pPr>
        <w:spacing w:before="120" w:after="120" w:line="240" w:lineRule="auto"/>
        <w:ind w:right="709"/>
        <w:contextualSpacing/>
        <w:jc w:val="both"/>
        <w:rPr>
          <w:rFonts w:ascii="Verdana" w:eastAsia="Century Gothic" w:hAnsi="Verdana" w:cs="Century Gothic"/>
          <w:i/>
          <w:iCs/>
          <w:sz w:val="20"/>
          <w:szCs w:val="20"/>
          <w:lang w:val="es-ES"/>
        </w:rPr>
      </w:pPr>
    </w:p>
    <w:p w14:paraId="6A0372DC" w14:textId="77777777" w:rsidR="004C63A3" w:rsidRPr="005A72BA" w:rsidRDefault="004C63A3" w:rsidP="004C63A3">
      <w:pPr>
        <w:spacing w:before="120" w:after="120" w:line="240" w:lineRule="auto"/>
        <w:ind w:left="709" w:right="709"/>
        <w:contextualSpacing/>
        <w:jc w:val="both"/>
        <w:rPr>
          <w:rFonts w:ascii="Verdana" w:eastAsia="Century Gothic" w:hAnsi="Verdana" w:cs="Century Gothic"/>
          <w:i/>
          <w:sz w:val="20"/>
          <w:szCs w:val="20"/>
          <w:lang w:val="es-ES"/>
        </w:rPr>
      </w:pPr>
      <w:r w:rsidRPr="005A72BA">
        <w:rPr>
          <w:rFonts w:ascii="Verdana" w:eastAsia="Century Gothic" w:hAnsi="Verdana" w:cs="Century Gothic"/>
          <w:i/>
          <w:sz w:val="20"/>
          <w:szCs w:val="20"/>
          <w:lang w:val="es-ES"/>
        </w:rPr>
        <w:t xml:space="preserve">1. Se emita concepto o circular unificadora que precise el tiempo mínimo de vinculación exigido, el alcance del requisito de un (1) año y la forma de acreditar la vinculación laboral. </w:t>
      </w:r>
    </w:p>
    <w:p w14:paraId="215A47D4" w14:textId="77777777" w:rsidR="004C63A3" w:rsidRPr="005A72BA" w:rsidRDefault="004C63A3" w:rsidP="004C63A3">
      <w:pPr>
        <w:spacing w:before="120" w:after="120" w:line="240" w:lineRule="auto"/>
        <w:ind w:left="709" w:right="709"/>
        <w:contextualSpacing/>
        <w:jc w:val="both"/>
        <w:rPr>
          <w:rFonts w:ascii="Verdana" w:eastAsia="Century Gothic" w:hAnsi="Verdana" w:cs="Century Gothic"/>
          <w:i/>
          <w:sz w:val="20"/>
          <w:szCs w:val="20"/>
          <w:lang w:val="es-ES"/>
        </w:rPr>
      </w:pPr>
      <w:r w:rsidRPr="005A72BA">
        <w:rPr>
          <w:rFonts w:ascii="Verdana" w:eastAsia="Century Gothic" w:hAnsi="Verdana" w:cs="Century Gothic"/>
          <w:i/>
          <w:sz w:val="20"/>
          <w:szCs w:val="20"/>
          <w:lang w:val="es-ES"/>
        </w:rPr>
        <w:t xml:space="preserve">2. Se establezca un régimen de transición que determine la aplicación a procesos en curso y el alcance temporal de las nuevas disposiciones. </w:t>
      </w:r>
    </w:p>
    <w:p w14:paraId="1F8244B1" w14:textId="77777777" w:rsidR="004C63A3" w:rsidRPr="005A72BA" w:rsidRDefault="004C63A3" w:rsidP="004C63A3">
      <w:pPr>
        <w:spacing w:before="120" w:after="120" w:line="240" w:lineRule="auto"/>
        <w:ind w:left="709" w:right="709"/>
        <w:contextualSpacing/>
        <w:jc w:val="both"/>
        <w:rPr>
          <w:rFonts w:ascii="Verdana" w:eastAsia="Century Gothic" w:hAnsi="Verdana" w:cs="Century Gothic"/>
          <w:i/>
          <w:sz w:val="20"/>
          <w:szCs w:val="20"/>
          <w:lang w:val="es-ES"/>
        </w:rPr>
      </w:pPr>
      <w:r w:rsidRPr="005A72BA">
        <w:rPr>
          <w:rFonts w:ascii="Verdana" w:eastAsia="Century Gothic" w:hAnsi="Verdana" w:cs="Century Gothic"/>
          <w:i/>
          <w:sz w:val="20"/>
          <w:szCs w:val="20"/>
          <w:lang w:val="es-ES"/>
        </w:rPr>
        <w:t>3. Se informe si Colombia Compra Eficiente: procederá a modificar los pliegos tipo y/o expedirá lineamientos obligatorios para entidades estatales.</w:t>
      </w:r>
    </w:p>
    <w:p w14:paraId="63920860" w14:textId="77777777" w:rsidR="004C63A3" w:rsidRPr="005A72BA" w:rsidRDefault="004C63A3" w:rsidP="004C63A3">
      <w:pPr>
        <w:spacing w:before="120" w:after="120" w:line="240" w:lineRule="auto"/>
        <w:ind w:left="709" w:right="709"/>
        <w:contextualSpacing/>
        <w:jc w:val="both"/>
        <w:rPr>
          <w:rFonts w:ascii="Verdana" w:eastAsia="Century Gothic" w:hAnsi="Verdana" w:cs="Century Gothic"/>
          <w:i/>
          <w:sz w:val="20"/>
          <w:szCs w:val="20"/>
          <w:lang w:val="es-ES"/>
        </w:rPr>
      </w:pPr>
      <w:r w:rsidRPr="005A72BA">
        <w:rPr>
          <w:rFonts w:ascii="Verdana" w:eastAsia="Century Gothic" w:hAnsi="Verdana" w:cs="Century Gothic"/>
          <w:i/>
          <w:sz w:val="20"/>
          <w:szCs w:val="20"/>
          <w:lang w:val="es-ES"/>
        </w:rPr>
        <w:t xml:space="preserve">4. Se adopten criterios que garanticen: Seguridad jurídica, uniformidad en la evaluación y protección del principio de selección objetiva. </w:t>
      </w:r>
    </w:p>
    <w:p w14:paraId="74582F0D" w14:textId="77777777" w:rsidR="004C63A3" w:rsidRPr="005A72BA" w:rsidRDefault="004C63A3" w:rsidP="004C63A3">
      <w:pPr>
        <w:spacing w:before="120" w:after="120" w:line="240" w:lineRule="auto"/>
        <w:ind w:left="709" w:right="709"/>
        <w:contextualSpacing/>
        <w:jc w:val="both"/>
        <w:rPr>
          <w:rFonts w:ascii="Verdana" w:eastAsia="Century Gothic" w:hAnsi="Verdana" w:cs="Century Gothic"/>
          <w:i/>
          <w:sz w:val="20"/>
          <w:szCs w:val="20"/>
          <w:lang w:val="es-ES"/>
        </w:rPr>
      </w:pPr>
      <w:r w:rsidRPr="005A72BA">
        <w:rPr>
          <w:rFonts w:ascii="Verdana" w:eastAsia="Century Gothic" w:hAnsi="Verdana" w:cs="Century Gothic"/>
          <w:i/>
          <w:sz w:val="20"/>
          <w:szCs w:val="20"/>
          <w:lang w:val="es-ES"/>
        </w:rPr>
        <w:t xml:space="preserve">5. El Decreto 0287 de 2026, al establecer criterios asociados a emprendimientos de mujeres, no define expresamente si tales beneficios se circunscriben a estructuras empresariales de composición exclusivamente femenina o si admiten participación mixta con presencia masculina. Esta omisión genera un vacío interpretativo relevante, en tanto podría dar lugar a aplicaciones restrictivas que excluyan injustificadamente a proponentes con participación de hombres, contrariando los principios de libre concurrencia y selección objetiva previstos en la Ley 80 de 1993. En tal sentido, y considerando que las acciones afirmativas deben ser proporcionales y no excluyentes de manera absoluta, la interpretación constitucionalmente válida es aquella que permite la participación de estructuras mixtas, siempre que se garantice una participación significativa de mujeres en la propiedad o dirección de la empresa. </w:t>
      </w:r>
    </w:p>
    <w:p w14:paraId="7612004D" w14:textId="77777777" w:rsidR="004C63A3" w:rsidRDefault="004C63A3" w:rsidP="004C63A3">
      <w:pPr>
        <w:spacing w:before="120" w:after="120" w:line="240" w:lineRule="auto"/>
        <w:ind w:left="709" w:right="709"/>
        <w:contextualSpacing/>
        <w:jc w:val="both"/>
        <w:rPr>
          <w:rFonts w:ascii="Verdana" w:eastAsia="Century Gothic" w:hAnsi="Verdana" w:cs="Century Gothic"/>
          <w:i/>
          <w:iCs/>
          <w:sz w:val="20"/>
          <w:szCs w:val="20"/>
          <w:lang w:val="es-ES"/>
        </w:rPr>
      </w:pPr>
      <w:r w:rsidRPr="005A72BA">
        <w:rPr>
          <w:rFonts w:ascii="Verdana" w:eastAsia="Century Gothic" w:hAnsi="Verdana" w:cs="Century Gothic"/>
          <w:i/>
          <w:sz w:val="20"/>
          <w:szCs w:val="20"/>
          <w:lang w:val="es-ES"/>
        </w:rPr>
        <w:t>6. Aunado a lo anterior no indica si este factor de puntaje de emprendimiento de mujeres en cargos directivos podría ser reemplazado</w:t>
      </w:r>
      <w:r w:rsidRPr="000B1DC3">
        <w:rPr>
          <w:rFonts w:ascii="Verdana" w:eastAsia="Century Gothic" w:hAnsi="Verdana" w:cs="Century Gothic"/>
          <w:i/>
          <w:iCs/>
          <w:sz w:val="20"/>
          <w:szCs w:val="20"/>
          <w:lang w:val="es-ES"/>
        </w:rPr>
        <w:t>.</w:t>
      </w:r>
    </w:p>
    <w:p w14:paraId="2BA29078" w14:textId="77777777" w:rsidR="004C63A3" w:rsidRPr="00206556" w:rsidRDefault="004C63A3" w:rsidP="004C63A3">
      <w:pPr>
        <w:spacing w:before="120" w:after="120" w:line="240" w:lineRule="auto"/>
        <w:ind w:left="709" w:right="709"/>
        <w:contextualSpacing/>
        <w:jc w:val="both"/>
        <w:rPr>
          <w:rFonts w:ascii="Verdana" w:eastAsia="Century Gothic" w:hAnsi="Verdana" w:cs="Century Gothic"/>
          <w:i/>
          <w:iCs/>
          <w:sz w:val="20"/>
          <w:szCs w:val="20"/>
          <w:lang w:val="es-ES"/>
        </w:rPr>
      </w:pPr>
    </w:p>
    <w:p w14:paraId="168D273C" w14:textId="6BA2920E" w:rsidR="004C63A3" w:rsidRPr="00206556" w:rsidRDefault="004C63A3" w:rsidP="004C63A3">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CD661D">
        <w:rPr>
          <w:rFonts w:ascii="Verdana" w:eastAsia="Calibri" w:hAnsi="Verdana" w:cs="Arial"/>
          <w:lang w:val="es-ES" w:eastAsia="es-ES"/>
        </w:rPr>
        <w:t xml:space="preserve">la Agencia Nacional de Contratación Pública - </w:t>
      </w:r>
      <w:r w:rsidRPr="00206556">
        <w:rPr>
          <w:rFonts w:ascii="Verdana" w:eastAsia="Calibri" w:hAnsi="Verdana" w:cs="Arial"/>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w:t>
      </w:r>
      <w:r w:rsidRPr="00206556">
        <w:rPr>
          <w:rFonts w:ascii="Verdana" w:eastAsia="Calibri" w:hAnsi="Verdana" w:cs="Arial"/>
          <w:lang w:val="es-ES" w:eastAsia="es-ES"/>
        </w:rPr>
        <w:lastRenderedPageBreak/>
        <w:t>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4026E1E4" w14:textId="77777777" w:rsidR="004C63A3" w:rsidRPr="00206556" w:rsidRDefault="004C63A3" w:rsidP="004C63A3">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 xml:space="preserve">los </w:t>
      </w:r>
      <w:r w:rsidRPr="00206556">
        <w:rPr>
          <w:rFonts w:ascii="Verdana" w:eastAsia="Calibri" w:hAnsi="Verdana" w:cs="Arial"/>
          <w:lang w:val="es-ES" w:eastAsia="es-ES"/>
        </w:rPr>
        <w:t>problema</w:t>
      </w:r>
      <w:r>
        <w:rPr>
          <w:rFonts w:ascii="Verdana" w:eastAsia="Calibri" w:hAnsi="Verdana" w:cs="Arial"/>
          <w:lang w:val="es-ES" w:eastAsia="es-ES"/>
        </w:rPr>
        <w:t>s</w:t>
      </w:r>
      <w:r w:rsidRPr="00206556">
        <w:rPr>
          <w:rFonts w:ascii="Verdana" w:eastAsia="Calibri" w:hAnsi="Verdana" w:cs="Arial"/>
          <w:lang w:val="es-ES" w:eastAsia="es-ES"/>
        </w:rPr>
        <w:t xml:space="preserve"> jurídico</w:t>
      </w:r>
      <w:r>
        <w:rPr>
          <w:rFonts w:ascii="Verdana" w:eastAsia="Calibri" w:hAnsi="Verdana" w:cs="Arial"/>
          <w:lang w:val="es-ES" w:eastAsia="es-ES"/>
        </w:rPr>
        <w:t>s</w:t>
      </w:r>
      <w:r w:rsidRPr="00206556">
        <w:rPr>
          <w:rFonts w:ascii="Verdana" w:eastAsia="Calibri" w:hAnsi="Verdana" w:cs="Arial"/>
          <w:lang w:val="es-ES" w:eastAsia="es-ES"/>
        </w:rPr>
        <w:t xml:space="preserve"> de su consulta. </w:t>
      </w:r>
    </w:p>
    <w:p w14:paraId="2EB4D167" w14:textId="77777777" w:rsidR="004C63A3" w:rsidRPr="00206556" w:rsidRDefault="004C63A3" w:rsidP="004C63A3">
      <w:pPr>
        <w:spacing w:after="0" w:line="276" w:lineRule="auto"/>
        <w:ind w:firstLine="709"/>
        <w:jc w:val="both"/>
        <w:rPr>
          <w:rFonts w:ascii="Verdana" w:eastAsia="Calibri" w:hAnsi="Verdana" w:cs="Arial"/>
          <w:lang w:val="es-ES" w:eastAsia="es-ES"/>
        </w:rPr>
      </w:pPr>
    </w:p>
    <w:p w14:paraId="69D233A2" w14:textId="77777777" w:rsidR="004C63A3" w:rsidRPr="00206556" w:rsidRDefault="004C63A3" w:rsidP="004C63A3">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w:t>
      </w:r>
      <w:r>
        <w:rPr>
          <w:rFonts w:ascii="Verdana" w:eastAsia="Century Gothic" w:hAnsi="Verdana" w:cs="Century Gothic"/>
          <w:b/>
          <w:lang w:val="es-ES"/>
        </w:rPr>
        <w:t>s</w:t>
      </w:r>
      <w:r w:rsidRPr="00206556">
        <w:rPr>
          <w:rFonts w:ascii="Verdana" w:eastAsia="Century Gothic" w:hAnsi="Verdana" w:cs="Century Gothic"/>
          <w:b/>
          <w:lang w:val="es-ES"/>
        </w:rPr>
        <w:t xml:space="preserve"> planteado</w:t>
      </w:r>
      <w:r>
        <w:rPr>
          <w:rFonts w:ascii="Verdana" w:eastAsia="Century Gothic" w:hAnsi="Verdana" w:cs="Century Gothic"/>
          <w:b/>
          <w:lang w:val="es-ES"/>
        </w:rPr>
        <w:t>s</w:t>
      </w:r>
      <w:r w:rsidRPr="00206556">
        <w:rPr>
          <w:rFonts w:ascii="Verdana" w:eastAsia="Century Gothic" w:hAnsi="Verdana" w:cs="Century Gothic"/>
          <w:b/>
          <w:lang w:val="es-ES"/>
        </w:rPr>
        <w:t>:</w:t>
      </w:r>
    </w:p>
    <w:p w14:paraId="4013B82D" w14:textId="77777777" w:rsidR="004C63A3" w:rsidRPr="00206556" w:rsidRDefault="004C63A3" w:rsidP="004C63A3">
      <w:pPr>
        <w:tabs>
          <w:tab w:val="left" w:pos="426"/>
        </w:tabs>
        <w:spacing w:after="0" w:line="276" w:lineRule="auto"/>
        <w:jc w:val="both"/>
        <w:rPr>
          <w:rFonts w:ascii="Verdana" w:eastAsia="Century Gothic" w:hAnsi="Verdana" w:cs="Century Gothic"/>
          <w:color w:val="ED7D31" w:themeColor="accent2"/>
          <w:lang w:val="es-ES"/>
        </w:rPr>
      </w:pPr>
    </w:p>
    <w:p w14:paraId="4F8D6685" w14:textId="40CB78DE" w:rsidR="004C63A3" w:rsidRDefault="004C63A3" w:rsidP="004C63A3">
      <w:pPr>
        <w:spacing w:after="0" w:line="276" w:lineRule="auto"/>
        <w:jc w:val="both"/>
        <w:rPr>
          <w:rFonts w:ascii="Verdana" w:eastAsia="Century Gothic" w:hAnsi="Verdana" w:cs="Century Gothic"/>
        </w:rPr>
      </w:pPr>
      <w:r w:rsidRPr="00206556">
        <w:rPr>
          <w:rFonts w:ascii="Verdana" w:eastAsia="Century Gothic" w:hAnsi="Verdana" w:cs="Century Gothic"/>
          <w:lang w:val="es-ES"/>
        </w:rPr>
        <w:t>De acuerdo con el contenido de su solicitud, esta Agencia resolverá l</w:t>
      </w:r>
      <w:r w:rsidR="00FC6937">
        <w:rPr>
          <w:rFonts w:ascii="Verdana" w:eastAsia="Century Gothic" w:hAnsi="Verdana" w:cs="Century Gothic"/>
          <w:lang w:val="es-ES"/>
        </w:rPr>
        <w:t>os</w:t>
      </w:r>
      <w:r w:rsidRPr="00206556">
        <w:rPr>
          <w:rFonts w:ascii="Verdana" w:eastAsia="Century Gothic" w:hAnsi="Verdana" w:cs="Century Gothic"/>
          <w:lang w:val="es-ES"/>
        </w:rPr>
        <w:t xml:space="preserve"> siguiente</w:t>
      </w:r>
      <w:r w:rsidR="00FC6937">
        <w:rPr>
          <w:rFonts w:ascii="Verdana" w:eastAsia="Century Gothic" w:hAnsi="Verdana" w:cs="Century Gothic"/>
          <w:lang w:val="es-ES"/>
        </w:rPr>
        <w:t>s</w:t>
      </w:r>
      <w:r w:rsidRPr="00206556">
        <w:rPr>
          <w:rFonts w:ascii="Verdana" w:eastAsia="Century Gothic" w:hAnsi="Verdana" w:cs="Century Gothic"/>
          <w:lang w:val="es-ES"/>
        </w:rPr>
        <w:t xml:space="preserve"> problema</w:t>
      </w:r>
      <w:r w:rsidR="00FC6937">
        <w:rPr>
          <w:rFonts w:ascii="Verdana" w:eastAsia="Century Gothic" w:hAnsi="Verdana" w:cs="Century Gothic"/>
          <w:lang w:val="es-ES"/>
        </w:rPr>
        <w:t>s</w:t>
      </w:r>
      <w:r w:rsidRPr="00206556">
        <w:rPr>
          <w:rFonts w:ascii="Verdana" w:eastAsia="Century Gothic" w:hAnsi="Verdana" w:cs="Century Gothic"/>
          <w:lang w:val="es-ES"/>
        </w:rPr>
        <w:t xml:space="preserve"> jurídico</w:t>
      </w:r>
      <w:r w:rsidR="00FC6937">
        <w:rPr>
          <w:rFonts w:ascii="Verdana" w:eastAsia="Century Gothic" w:hAnsi="Verdana" w:cs="Century Gothic"/>
          <w:lang w:val="es-ES"/>
        </w:rPr>
        <w:t>s</w:t>
      </w:r>
      <w:r w:rsidRPr="00206556">
        <w:rPr>
          <w:rFonts w:ascii="Verdana" w:eastAsia="Century Gothic" w:hAnsi="Verdana" w:cs="Century Gothic"/>
          <w:lang w:val="es-ES"/>
        </w:rPr>
        <w:t xml:space="preserve">: </w:t>
      </w:r>
      <w:r>
        <w:rPr>
          <w:rFonts w:ascii="Verdana" w:eastAsia="Century Gothic" w:hAnsi="Verdana" w:cs="Century Gothic"/>
          <w:lang w:val="es-ES"/>
        </w:rPr>
        <w:t xml:space="preserve">i) </w:t>
      </w:r>
      <w:r w:rsidRPr="00206556">
        <w:rPr>
          <w:rFonts w:ascii="Verdana" w:eastAsia="Century Gothic" w:hAnsi="Verdana" w:cs="Century Gothic"/>
        </w:rPr>
        <w:t>¿</w:t>
      </w:r>
      <w:r>
        <w:rPr>
          <w:rFonts w:ascii="Verdana" w:eastAsia="Century Gothic" w:hAnsi="Verdana" w:cs="Century Gothic"/>
        </w:rPr>
        <w:t>Desde cuándo empieza a regir el Decreto 287 de 2026</w:t>
      </w:r>
      <w:r w:rsidRPr="00206556">
        <w:rPr>
          <w:rFonts w:ascii="Verdana" w:eastAsia="Century Gothic" w:hAnsi="Verdana" w:cs="Century Gothic"/>
        </w:rPr>
        <w:t>?</w:t>
      </w:r>
      <w:r>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206556">
        <w:rPr>
          <w:rFonts w:ascii="Verdana" w:eastAsia="Century Gothic" w:hAnsi="Verdana" w:cs="Century Gothic"/>
        </w:rPr>
        <w:t>¿</w:t>
      </w:r>
      <w:r>
        <w:rPr>
          <w:rFonts w:ascii="Verdana" w:eastAsia="Century Gothic" w:hAnsi="Verdana" w:cs="Century Gothic"/>
        </w:rPr>
        <w:t>Cómo se aplica el puntaje para empleadores de personas con discapacidad respecto del tiempo mínimo de vinculación</w:t>
      </w:r>
      <w:r w:rsidRPr="00206556">
        <w:rPr>
          <w:rFonts w:ascii="Verdana" w:eastAsia="Century Gothic" w:hAnsi="Verdana" w:cs="Century Gothic"/>
        </w:rPr>
        <w:t>?</w:t>
      </w:r>
      <w:r>
        <w:rPr>
          <w:rFonts w:ascii="Verdana" w:eastAsia="Century Gothic" w:hAnsi="Verdana" w:cs="Century Gothic"/>
        </w:rPr>
        <w:t xml:space="preserve"> y </w:t>
      </w:r>
      <w:proofErr w:type="spellStart"/>
      <w:r>
        <w:rPr>
          <w:rFonts w:ascii="Verdana" w:eastAsia="Century Gothic" w:hAnsi="Verdana" w:cs="Century Gothic"/>
        </w:rPr>
        <w:t>iii</w:t>
      </w:r>
      <w:proofErr w:type="spellEnd"/>
      <w:r>
        <w:rPr>
          <w:rFonts w:ascii="Verdana" w:eastAsia="Century Gothic" w:hAnsi="Verdana" w:cs="Century Gothic"/>
        </w:rPr>
        <w:t xml:space="preserve">) ¿Lo establecido por el Decreto 287 de 2026 es compatible con los incentivos </w:t>
      </w:r>
      <w:r w:rsidR="00B70A56">
        <w:rPr>
          <w:rFonts w:ascii="Verdana" w:eastAsia="Century Gothic" w:hAnsi="Verdana" w:cs="Century Gothic"/>
        </w:rPr>
        <w:t xml:space="preserve">a favor de </w:t>
      </w:r>
      <w:r>
        <w:rPr>
          <w:rFonts w:ascii="Verdana" w:eastAsia="Century Gothic" w:hAnsi="Verdana" w:cs="Century Gothic"/>
        </w:rPr>
        <w:t xml:space="preserve">emprendimientos </w:t>
      </w:r>
      <w:r w:rsidR="00B70A56">
        <w:rPr>
          <w:rFonts w:ascii="Verdana" w:eastAsia="Century Gothic" w:hAnsi="Verdana" w:cs="Century Gothic"/>
        </w:rPr>
        <w:t xml:space="preserve">y empresas </w:t>
      </w:r>
      <w:r>
        <w:rPr>
          <w:rFonts w:ascii="Verdana" w:eastAsia="Century Gothic" w:hAnsi="Verdana" w:cs="Century Gothic"/>
        </w:rPr>
        <w:t>de mujeres?</w:t>
      </w:r>
    </w:p>
    <w:p w14:paraId="7EA2E3CA" w14:textId="77777777" w:rsidR="004C63A3" w:rsidRPr="00206556" w:rsidRDefault="004C63A3" w:rsidP="004C63A3">
      <w:pPr>
        <w:spacing w:after="0" w:line="276" w:lineRule="auto"/>
        <w:jc w:val="both"/>
        <w:rPr>
          <w:rFonts w:ascii="Verdana" w:eastAsia="Century Gothic" w:hAnsi="Verdana" w:cs="Century Gothic"/>
          <w:color w:val="ED7D31" w:themeColor="accent2"/>
        </w:rPr>
      </w:pPr>
    </w:p>
    <w:p w14:paraId="4A09B6AA"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71B18261"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C63A3" w:rsidRPr="00206556" w14:paraId="466A1F71" w14:textId="77777777" w:rsidTr="000A6384">
        <w:tc>
          <w:tcPr>
            <w:tcW w:w="8828" w:type="dxa"/>
          </w:tcPr>
          <w:p w14:paraId="321BAB19" w14:textId="77777777" w:rsidR="00E16E74" w:rsidRDefault="004C63A3" w:rsidP="00E16E74">
            <w:pPr>
              <w:spacing w:after="120" w:line="276" w:lineRule="auto"/>
              <w:jc w:val="both"/>
              <w:rPr>
                <w:rFonts w:ascii="Verdana" w:eastAsia="Calibri" w:hAnsi="Verdana" w:cs="Arial"/>
              </w:rPr>
            </w:pPr>
            <w:r>
              <w:rPr>
                <w:rFonts w:ascii="Verdana" w:eastAsia="Calibri" w:hAnsi="Verdana" w:cs="Arial"/>
              </w:rPr>
              <w:t>i) En atención al problema jurídico planteado y respecto a la vigencia de</w:t>
            </w:r>
            <w:r w:rsidRPr="00E54F30">
              <w:rPr>
                <w:rFonts w:ascii="Verdana" w:eastAsia="Calibri" w:hAnsi="Verdana" w:cs="Arial"/>
              </w:rPr>
              <w:t>l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w:t>
            </w:r>
          </w:p>
          <w:p w14:paraId="41E3AF49" w14:textId="48E00D56" w:rsidR="004C63A3" w:rsidRDefault="004C63A3" w:rsidP="005A72BA">
            <w:pPr>
              <w:spacing w:after="120" w:line="276" w:lineRule="auto"/>
              <w:ind w:firstLine="709"/>
              <w:jc w:val="both"/>
              <w:rPr>
                <w:rFonts w:ascii="Verdana" w:eastAsia="Calibri" w:hAnsi="Verdana" w:cs="Arial"/>
              </w:rPr>
            </w:pPr>
            <w:r w:rsidRPr="00073658">
              <w:rPr>
                <w:rFonts w:ascii="Verdana" w:eastAsia="Calibri" w:hAnsi="Verdana" w:cs="Arial"/>
              </w:rPr>
              <w:lastRenderedPageBreak/>
              <w:t xml:space="preserve">Este sistema está compuesto por cinco medidas: herramientas de planeación para procesos inclusivos, criterios habilitantes diferenciales, puntaje adicional del </w:t>
            </w:r>
            <w:r w:rsidR="002B5A42">
              <w:rPr>
                <w:rFonts w:ascii="Verdana" w:eastAsia="Calibri" w:hAnsi="Verdana" w:cs="Arial"/>
              </w:rPr>
              <w:t>dos por ciento (</w:t>
            </w:r>
            <w:r w:rsidRPr="00073658">
              <w:rPr>
                <w:rFonts w:ascii="Verdana" w:eastAsia="Calibri" w:hAnsi="Verdana" w:cs="Arial"/>
              </w:rPr>
              <w:t>2%</w:t>
            </w:r>
            <w:r w:rsidR="002B5A42">
              <w:rPr>
                <w:rFonts w:ascii="Verdana" w:eastAsia="Calibri" w:hAnsi="Verdana" w:cs="Arial"/>
              </w:rPr>
              <w:t>)</w:t>
            </w:r>
            <w:r w:rsidRPr="00073658">
              <w:rPr>
                <w:rFonts w:ascii="Verdana" w:eastAsia="Calibri" w:hAnsi="Verdana" w:cs="Arial"/>
              </w:rPr>
              <w:t>, condiciones especiales de ejecución e inclusión de personas con discapacidad (en adelante, PcD)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56C85AA9" w14:textId="77777777" w:rsidR="004C63A3" w:rsidRDefault="004C63A3" w:rsidP="000A6384">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PcD,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PcD por al menos un año; y personas jurídicas con al menos una PcD vinculada laboralmente en un cargo de nivel directivo por al menos un año. El segundo sujeto son los empleadores de PcD, esto es, cualquier empresa que tenga en su planta de personal trabajadores con discapacidad contratados laboralmente con dedicación exclusiva, superando los mínimos que exige la Ley 2466 de 2025 (Reforma Laboral). </w:t>
            </w:r>
            <w:r>
              <w:rPr>
                <w:rFonts w:ascii="Verdana" w:eastAsia="Calibri" w:hAnsi="Verdana" w:cs="Arial"/>
              </w:rPr>
              <w:t>Estos sujetos no tienen en cuenta el género, es decir si son PcD hombres o mujeres, por lo que la definición es aplicable independientemente del género de la PcD y no afecta las medidas afirmativas a aplicar. Por otra parte, c</w:t>
            </w:r>
            <w:r w:rsidRPr="00073658">
              <w:rPr>
                <w:rFonts w:ascii="Verdana" w:eastAsia="Calibri" w:hAnsi="Verdana" w:cs="Arial"/>
              </w:rPr>
              <w:t>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5F4AE8BF" w14:textId="77777777" w:rsidR="004C63A3" w:rsidRPr="00D851ED" w:rsidRDefault="004C63A3" w:rsidP="000A6384">
            <w:pPr>
              <w:spacing w:before="120" w:after="120" w:line="276" w:lineRule="auto"/>
              <w:ind w:firstLine="709"/>
              <w:jc w:val="both"/>
              <w:rPr>
                <w:rFonts w:ascii="Verdana" w:eastAsia="Calibri" w:hAnsi="Verdana" w:cs="Arial"/>
              </w:rPr>
            </w:pPr>
            <w:r>
              <w:rPr>
                <w:rFonts w:ascii="Verdana" w:eastAsia="Calibri" w:hAnsi="Verdana" w:cs="Arial"/>
              </w:rPr>
              <w:t xml:space="preserve">Respecto del régimen de transición para la aplicación del Decreto 287 de 2026, se debe tener en cuenta que </w:t>
            </w:r>
            <w:r w:rsidRPr="00D851ED">
              <w:rPr>
                <w:rFonts w:ascii="Verdana" w:eastAsia="Calibri" w:hAnsi="Verdana" w:cs="Arial"/>
              </w:rPr>
              <w:t xml:space="preserve">se expidió el 19 de marzo de 2026, y rige a partir del día siguiente a su publicación en el Diario Oficial, derogando todas las disposiciones contrarias, incluidas las versiones anteriores de los artículos 2.2.1.2.4.2.6., 2.2.1.2.4.2.7. y 2.2.1.2.4.2.8. del Decreto 1082 de </w:t>
            </w:r>
            <w:r w:rsidRPr="00D851ED">
              <w:rPr>
                <w:rFonts w:ascii="Verdana" w:eastAsia="Calibri" w:hAnsi="Verdana" w:cs="Arial"/>
              </w:rPr>
              <w:lastRenderedPageBreak/>
              <w:t>2015. Se aclara que la numeración del Decreto 392 de 2018 se mantuvo, pero su contenido fue modificado en su integridad, por lo que no hubo derogatoria sino modificación total para conservar la numeración del mencionado decreto</w:t>
            </w:r>
            <w:r>
              <w:rPr>
                <w:rFonts w:ascii="Verdana" w:eastAsia="Calibri" w:hAnsi="Verdana" w:cs="Arial"/>
              </w:rPr>
              <w:t>, pero lo señalado en este concepto debe entenderse de acuerdo con la nueva redacción de los artículos enlistados, y no recurrir a la antigua redacción</w:t>
            </w:r>
            <w:r w:rsidRPr="00D851ED">
              <w:rPr>
                <w:rFonts w:ascii="Verdana" w:eastAsia="Calibri" w:hAnsi="Verdana" w:cs="Arial"/>
              </w:rPr>
              <w:t>.</w:t>
            </w:r>
          </w:p>
          <w:p w14:paraId="57CFE20B" w14:textId="77777777" w:rsidR="004C63A3" w:rsidRPr="00D851ED" w:rsidRDefault="004C63A3" w:rsidP="000A6384">
            <w:pPr>
              <w:spacing w:before="120" w:after="120" w:line="276" w:lineRule="auto"/>
              <w:ind w:firstLine="709"/>
              <w:jc w:val="both"/>
              <w:rPr>
                <w:rFonts w:ascii="Verdana" w:eastAsia="Calibri" w:hAnsi="Verdana" w:cs="Arial"/>
              </w:rPr>
            </w:pPr>
            <w:r w:rsidRPr="00D851ED">
              <w:rPr>
                <w:rFonts w:ascii="Verdana" w:eastAsia="Calibri" w:hAnsi="Verdana" w:cs="Arial"/>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D851ED">
              <w:rPr>
                <w:rFonts w:ascii="Verdana" w:eastAsia="Calibri" w:hAnsi="Verdana" w:cs="Arial"/>
              </w:rPr>
              <w:t>ii</w:t>
            </w:r>
            <w:proofErr w:type="spellEnd"/>
            <w:r w:rsidRPr="00D851ED">
              <w:rPr>
                <w:rFonts w:ascii="Verdana" w:eastAsia="Calibri" w:hAnsi="Verdana" w:cs="Arial"/>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5D1FA719" w14:textId="77777777" w:rsidR="004C63A3" w:rsidRPr="00073658" w:rsidRDefault="004C63A3" w:rsidP="000A6384">
            <w:pPr>
              <w:spacing w:before="120" w:after="120" w:line="276" w:lineRule="auto"/>
              <w:ind w:firstLine="709"/>
              <w:jc w:val="both"/>
              <w:rPr>
                <w:rFonts w:ascii="Verdana" w:eastAsia="Calibri" w:hAnsi="Verdana" w:cs="Arial"/>
              </w:rPr>
            </w:pPr>
            <w:r w:rsidRPr="00D851ED">
              <w:rPr>
                <w:rFonts w:ascii="Verdana" w:eastAsia="Calibri" w:hAnsi="Verdana" w:cs="Arial"/>
              </w:rPr>
              <w:t>Para los procesos de contratación con proyecto de pliego publicado pero sin apertura al 19 de marzo de 2026, se recomienda que se incorporen las medidas del Decreto 287 de 2026 antes de publicar los pliegos definitivos. En esa etapa aún es posible realizar ajustes sin afectar derechos adquiridos de los proponentes</w:t>
            </w:r>
            <w:r>
              <w:rPr>
                <w:rFonts w:ascii="Verdana" w:eastAsia="Calibri" w:hAnsi="Verdana" w:cs="Arial"/>
              </w:rPr>
              <w:t>.</w:t>
            </w:r>
          </w:p>
          <w:p w14:paraId="225A4187" w14:textId="77777777" w:rsidR="004C63A3" w:rsidRDefault="004C63A3" w:rsidP="005A72BA">
            <w:pPr>
              <w:spacing w:line="276" w:lineRule="auto"/>
              <w:ind w:firstLine="709"/>
              <w:jc w:val="both"/>
              <w:rPr>
                <w:rFonts w:ascii="Verdana" w:eastAsia="Calibri" w:hAnsi="Verdana" w:cs="Arial"/>
              </w:rPr>
            </w:pPr>
            <w:r w:rsidRPr="00E55CFA">
              <w:rPr>
                <w:rFonts w:ascii="Verdana" w:eastAsia="Calibri" w:hAnsi="Verdana" w:cs="Arial"/>
              </w:rPr>
              <w:t>En cuanto a los documentos tipo, el artículo 2.2.1.2.4.2.7.8. del Decreto 0287 de 2026 dispone que Colombia Compra Eficiente garantizará la incorporación permanente de las medidas del sistema en los documentos tipo que genera. Mientras esa actualización no se produzca, el principio de inalterabilidad impide que las entidades los modifiquen unilateralmente para incorporar las medidas del decreto, incluida la obligación de compras públicas accesibles, dado que los estudios previos, el pliego de condiciones y el contrato deben guardar coherencia entre sí.</w:t>
            </w:r>
            <w:r>
              <w:rPr>
                <w:rFonts w:ascii="Verdana" w:eastAsia="Calibri" w:hAnsi="Verdana" w:cs="Arial"/>
              </w:rPr>
              <w:t xml:space="preserve"> </w:t>
            </w:r>
          </w:p>
          <w:p w14:paraId="53B92786" w14:textId="77777777" w:rsidR="00DB1A42" w:rsidRDefault="00DB1A42" w:rsidP="005A72BA">
            <w:pPr>
              <w:spacing w:line="276" w:lineRule="auto"/>
              <w:jc w:val="both"/>
              <w:rPr>
                <w:rFonts w:ascii="Verdana" w:eastAsia="Calibri" w:hAnsi="Verdana" w:cs="Arial"/>
              </w:rPr>
            </w:pPr>
          </w:p>
          <w:p w14:paraId="7B908A8B" w14:textId="0C3E791E" w:rsidR="004C63A3" w:rsidRDefault="004C63A3" w:rsidP="005A72BA">
            <w:pPr>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xml:space="preserve">. El artículo 2.2.1.2.4.2.7.4. del Decreto 0287 de 2026 es explícito al disponer que, aunque el proponente acredite simultáneamente ser emprendimiento o empresa de PcD y ser empleador de PcD, el puntaje máximo a otorgar por este criterio es siempre el 2% del total de los puntos del pliego, sin que las condiciones </w:t>
            </w:r>
            <w:r w:rsidRPr="00073658">
              <w:rPr>
                <w:rFonts w:ascii="Verdana" w:eastAsia="Calibri" w:hAnsi="Verdana" w:cs="Arial"/>
              </w:rPr>
              <w:lastRenderedPageBreak/>
              <w:t>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731FE0AB" w14:textId="77777777" w:rsidR="004C63A3" w:rsidRDefault="004C63A3" w:rsidP="000A6384">
            <w:pPr>
              <w:spacing w:before="120" w:after="120" w:line="276" w:lineRule="auto"/>
              <w:ind w:firstLine="709"/>
              <w:jc w:val="both"/>
              <w:rPr>
                <w:rFonts w:ascii="Verdana" w:eastAsia="Calibri" w:hAnsi="Verdana" w:cs="Arial"/>
              </w:rPr>
            </w:pPr>
            <w:r>
              <w:rPr>
                <w:rFonts w:ascii="Verdana" w:eastAsia="Calibri" w:hAnsi="Verdana" w:cs="Arial"/>
              </w:rPr>
              <w:t xml:space="preserve">Ahora bien, la documentación para la acreditación de las condiciones bajo las cuales se otorga </w:t>
            </w:r>
            <w:r w:rsidRPr="00073658">
              <w:rPr>
                <w:rFonts w:ascii="Verdana" w:eastAsia="Calibri" w:hAnsi="Verdana" w:cs="Arial"/>
              </w:rPr>
              <w:t>el puntaje</w:t>
            </w:r>
            <w:r>
              <w:rPr>
                <w:rFonts w:ascii="Verdana" w:eastAsia="Calibri" w:hAnsi="Verdana" w:cs="Arial"/>
              </w:rPr>
              <w:t xml:space="preserve"> depende del sujeto de que se trate,</w:t>
            </w:r>
            <w:r w:rsidRPr="00073658">
              <w:rPr>
                <w:rFonts w:ascii="Verdana" w:eastAsia="Calibri" w:hAnsi="Verdana" w:cs="Arial"/>
              </w:rPr>
              <w:t xml:space="preserve"> en la condición de empleador de PcD</w:t>
            </w:r>
            <w:r>
              <w:rPr>
                <w:rFonts w:ascii="Verdana" w:eastAsia="Calibri" w:hAnsi="Verdana" w:cs="Arial"/>
              </w:rPr>
              <w:t>, los documentos están dispuestos en el artículo 2.2.1.2.4.2.7.4, el cual</w:t>
            </w:r>
            <w:r w:rsidRPr="00073658">
              <w:rPr>
                <w:rFonts w:ascii="Verdana" w:eastAsia="Calibri" w:hAnsi="Verdana" w:cs="Arial"/>
              </w:rPr>
              <w:t xml:space="preserve"> exige, entre otros documentos, los certificados de aportes a seguridad social de los tres (3) meses anteriores a la presentación de la oferta respecto de cada PcD incluida en el cómputo, sin distinción entre vinculaciones iniciales e incrementos posteriores. No existe mecanismo alternativo que permita suplir este requisito. No obstante, su incumplimiento parcial no impide la participación del proponente en el proceso de contratación; simplemente limita el acceso al puntaje adicional respecto de las PcD cuyas planillas no alcancen ese período, pudiendo el proponente acreditar el puntaje con base en las PcD que sí cumplen el requisito temporal y participar en el proceso sin el puntaje en caso de no alcanzar ninguna.</w:t>
            </w:r>
            <w:r>
              <w:rPr>
                <w:rFonts w:ascii="Verdana" w:eastAsia="Calibri" w:hAnsi="Verdana" w:cs="Arial"/>
              </w:rPr>
              <w:t xml:space="preserve"> El término de tres (3) </w:t>
            </w:r>
            <w:proofErr w:type="gramStart"/>
            <w:r>
              <w:rPr>
                <w:rFonts w:ascii="Verdana" w:eastAsia="Calibri" w:hAnsi="Verdana" w:cs="Arial"/>
              </w:rPr>
              <w:t>meses aquí mencionado</w:t>
            </w:r>
            <w:proofErr w:type="gramEnd"/>
            <w:r>
              <w:rPr>
                <w:rFonts w:ascii="Verdana" w:eastAsia="Calibri" w:hAnsi="Verdana" w:cs="Arial"/>
              </w:rPr>
              <w:t xml:space="preserve"> es diferente al término de un (1) año mencionado en el artículo 2.2.1.2.4.2.6 respecto de los emprendimientos y empresas de PcD.</w:t>
            </w:r>
          </w:p>
          <w:p w14:paraId="28FAE8CC" w14:textId="77777777" w:rsidR="004C63A3" w:rsidRDefault="004C63A3" w:rsidP="000A6384">
            <w:pPr>
              <w:spacing w:before="120" w:after="120" w:line="276" w:lineRule="auto"/>
              <w:ind w:firstLine="709"/>
              <w:jc w:val="both"/>
              <w:rPr>
                <w:rFonts w:ascii="Verdana" w:eastAsia="Calibri" w:hAnsi="Verdana" w:cs="Arial"/>
              </w:rPr>
            </w:pPr>
            <w:r w:rsidRPr="00502309">
              <w:rPr>
                <w:rFonts w:ascii="Verdana" w:eastAsia="Times New Roman" w:hAnsi="Verdana" w:cs="Times New Roman"/>
              </w:rPr>
              <w:t xml:space="preserve">Para efectos de determinar el número mínimo de PcD que el proponente debe tener vinculadas en su planta de personal para acceder al puntaje, el 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 xml:space="preserve">cumpla lo indicado en la tabla. La vinculación de PcD a las plantas de personal de posibles proveedores, debe ser a través de contrato laboral con dedicación exclusiva, cuya definición le corresponde al Ministerio del Trabajo. Por otra parte, los documentos para acreditar la otra condición que es ser emprendimiento o empresa de PcD son los indicados en el artículo 2.2.1.2.4.2.6 y no los del artículo </w:t>
            </w:r>
            <w:r w:rsidRPr="00502309">
              <w:rPr>
                <w:rFonts w:ascii="Verdana" w:eastAsia="Times New Roman" w:hAnsi="Verdana" w:cs="Times New Roman"/>
              </w:rPr>
              <w:t xml:space="preserve">2.2.1.2.4.2.7.4. </w:t>
            </w:r>
            <w:r>
              <w:rPr>
                <w:rFonts w:ascii="Verdana" w:eastAsia="Times New Roman" w:hAnsi="Verdana" w:cs="Times New Roman"/>
              </w:rPr>
              <w:t xml:space="preserve"> </w:t>
            </w:r>
          </w:p>
          <w:p w14:paraId="3CC1AA82" w14:textId="77777777" w:rsidR="004C63A3" w:rsidRDefault="004C63A3" w:rsidP="000A6384">
            <w:pPr>
              <w:spacing w:after="120" w:line="276" w:lineRule="auto"/>
              <w:ind w:firstLine="709"/>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w:t>
            </w:r>
            <w:r w:rsidRPr="00073658">
              <w:rPr>
                <w:rFonts w:ascii="Verdana" w:eastAsia="Calibri" w:hAnsi="Verdana" w:cs="Arial"/>
              </w:rPr>
              <w:t xml:space="preserve">El puntaje adicional del 2% es plenamente compatible con los incentivos para MiPymes y para empresas y emprendimientos de mujeres, pudiendo todos estos instrumentos aplicarse simultáneamente en el mismo </w:t>
            </w:r>
            <w:r w:rsidRPr="00073658">
              <w:rPr>
                <w:rFonts w:ascii="Verdana" w:eastAsia="Calibri" w:hAnsi="Verdana" w:cs="Arial"/>
              </w:rPr>
              <w:lastRenderedPageBreak/>
              <w:t>proceso de contratación sin exclusión recíproca. Sin perjuicio de lo anterior, es necesario distinguirlo con precisión del criterio de desempate del artículo 35, numeral 3, de la Ley 2069 de 2020, que son instrumentos jurídicamente distintos: el puntaje del 2% beneficia a los dos sujetos del sistema y opera en la evaluación de propuestas antes de la adjudicación; el criterio de desempate beneficia exclusivamente a los empleadores de PcD</w:t>
            </w:r>
            <w:r w:rsidRPr="00206556">
              <w:rPr>
                <w:rFonts w:ascii="Verdana" w:eastAsia="Calibri" w:hAnsi="Verdana" w:cs="Arial"/>
              </w:rPr>
              <w:t xml:space="preserve">, </w:t>
            </w:r>
            <w:r w:rsidRPr="00073658">
              <w:rPr>
                <w:rFonts w:ascii="Verdana" w:eastAsia="Calibri" w:hAnsi="Verdana" w:cs="Arial"/>
              </w:rPr>
              <w:t xml:space="preserve">no a los emprendimientos y empresas de PcD, </w:t>
            </w:r>
            <w:r w:rsidRPr="00206556">
              <w:rPr>
                <w:rFonts w:ascii="Verdana" w:eastAsia="Calibri" w:hAnsi="Verdana" w:cs="Arial"/>
              </w:rPr>
              <w:t xml:space="preserve">dicha norma </w:t>
            </w:r>
            <w:r w:rsidRPr="00073658">
              <w:rPr>
                <w:rFonts w:ascii="Verdana" w:eastAsia="Calibri" w:hAnsi="Verdana" w:cs="Arial"/>
              </w:rPr>
              <w:t>exige que al menos el 10% de la nómina esté en condición de discapacidad y opera únicamente cuando hay empate entre dos o más ofertas. El Decreto 0287 de 2026 no modificó el criterio de desempate de la Ley 2069 de 2020, que por ser norma de rango legal no puede ser alterada por decreto reglamentario, y la diferencia en las exigencias de vinculación entre los dos instrumentos responde precisamente a que son mecanismos distintos que no deben interpretarse extensivamente el uno respecto del otro.</w:t>
            </w:r>
          </w:p>
          <w:p w14:paraId="6CB7133E" w14:textId="77777777" w:rsidR="004C63A3" w:rsidRPr="00670CFB" w:rsidRDefault="004C63A3" w:rsidP="000A6384">
            <w:pPr>
              <w:spacing w:before="120" w:after="120" w:line="276" w:lineRule="auto"/>
              <w:ind w:firstLine="709"/>
              <w:jc w:val="both"/>
              <w:rPr>
                <w:rFonts w:ascii="Verdana" w:eastAsia="Calibri" w:hAnsi="Verdana" w:cs="Arial"/>
              </w:rPr>
            </w:pPr>
            <w:r>
              <w:rPr>
                <w:rFonts w:ascii="Verdana" w:eastAsia="Calibri" w:hAnsi="Verdana" w:cs="Arial"/>
              </w:rPr>
              <w:t xml:space="preserve">Finalmente, </w:t>
            </w:r>
            <w:r w:rsidRPr="00206556">
              <w:rPr>
                <w:rFonts w:ascii="Verdana" w:eastAsia="Calibri" w:hAnsi="Verdana" w:cs="Arial"/>
                <w:lang w:val="es-ES" w:eastAsia="es-ES"/>
              </w:rPr>
              <w:t>la Agencia Nacional de Contratación Pública – Colombia Compra Eficiente–</w:t>
            </w:r>
            <w:r>
              <w:rPr>
                <w:rFonts w:ascii="Verdana" w:eastAsia="Calibri" w:hAnsi="Verdana" w:cs="Arial"/>
                <w:lang w:val="es-ES" w:eastAsia="es-ES"/>
              </w:rPr>
              <w:t xml:space="preserve"> como ente rector y en su función de brindar lineamientos para los partícipes del sistema de compras y contratación pública, ha expedido el ABC del Decreto 287 de 2026 disponible en: </w:t>
            </w:r>
            <w:hyperlink r:id="rId11" w:history="1">
              <w:r w:rsidRPr="00FB7E8D">
                <w:rPr>
                  <w:rStyle w:val="Hipervnculo"/>
                  <w:rFonts w:ascii="Verdana" w:eastAsia="Calibri" w:hAnsi="Verdana" w:cs="Arial"/>
                  <w:lang w:val="es-ES" w:eastAsia="es-ES"/>
                </w:rPr>
                <w:t>https://www.colombiacompra.gov.co/archivos/infografia/abc-del-decreto-0287-de-2026-contratacion-publica-inclusiva-para-personas-con-discapacidad</w:t>
              </w:r>
            </w:hyperlink>
            <w:r>
              <w:rPr>
                <w:rFonts w:ascii="Verdana" w:eastAsia="Calibri" w:hAnsi="Verdana" w:cs="Arial"/>
                <w:lang w:val="es-ES" w:eastAsia="es-ES"/>
              </w:rPr>
              <w:t xml:space="preserve"> con el fin de apoyar su implementación, y de la misma manera próximamente se expedirá un boletín, una circular externa y se trabajará en las directrices para cumplir las funciones que el decreto le asigna a la Agencia. También, el día 30 de abril de 2026 se desarrolló el 2° foro virtual de compra pública inclusiva para personas con discapacidad “hacia un mercado público sin barreras” con el fin de explicar las medidas adoptadas por la nueva regulación, disponible en: </w:t>
            </w:r>
            <w:hyperlink r:id="rId12" w:history="1">
              <w:r w:rsidRPr="00FB7E8D">
                <w:rPr>
                  <w:rStyle w:val="Hipervnculo"/>
                  <w:rFonts w:ascii="Verdana" w:eastAsia="Calibri" w:hAnsi="Verdana" w:cs="Arial"/>
                  <w:lang w:val="es-ES" w:eastAsia="es-ES"/>
                </w:rPr>
                <w:t>https://www.youtube.com/live/vpxD3PlXqPI?si=49f8ghb7Iiit6Ja9</w:t>
              </w:r>
            </w:hyperlink>
            <w:r>
              <w:rPr>
                <w:rFonts w:ascii="Verdana" w:eastAsia="Calibri" w:hAnsi="Verdana" w:cs="Arial"/>
                <w:lang w:val="es-ES" w:eastAsia="es-ES"/>
              </w:rPr>
              <w:t xml:space="preserve"> </w:t>
            </w:r>
          </w:p>
        </w:tc>
      </w:tr>
    </w:tbl>
    <w:p w14:paraId="70451DDF"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2697DC77"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w:t>
      </w:r>
      <w:r>
        <w:rPr>
          <w:rFonts w:ascii="Verdana" w:eastAsia="Century Gothic" w:hAnsi="Verdana" w:cs="Century Gothic"/>
          <w:b/>
          <w:lang w:val="es-ES"/>
        </w:rPr>
        <w:t>s</w:t>
      </w:r>
      <w:r w:rsidRPr="00206556">
        <w:rPr>
          <w:rFonts w:ascii="Verdana" w:eastAsia="Century Gothic" w:hAnsi="Verdana" w:cs="Century Gothic"/>
          <w:b/>
          <w:lang w:val="es-ES"/>
        </w:rPr>
        <w:t xml:space="preserve"> respuesta</w:t>
      </w:r>
      <w:r>
        <w:rPr>
          <w:rFonts w:ascii="Verdana" w:eastAsia="Century Gothic" w:hAnsi="Verdana" w:cs="Century Gothic"/>
          <w:b/>
          <w:lang w:val="es-ES"/>
        </w:rPr>
        <w:t>s</w:t>
      </w:r>
      <w:r w:rsidRPr="00206556">
        <w:rPr>
          <w:rFonts w:ascii="Verdana" w:eastAsia="Century Gothic" w:hAnsi="Verdana" w:cs="Century Gothic"/>
          <w:b/>
          <w:lang w:val="es-ES"/>
        </w:rPr>
        <w:t>:</w:t>
      </w:r>
    </w:p>
    <w:p w14:paraId="2AF17CCD" w14:textId="77777777" w:rsidR="004C63A3" w:rsidRPr="00206556" w:rsidRDefault="004C63A3" w:rsidP="004C63A3">
      <w:pPr>
        <w:tabs>
          <w:tab w:val="left" w:pos="142"/>
          <w:tab w:val="left" w:pos="284"/>
        </w:tabs>
        <w:spacing w:after="0" w:line="276" w:lineRule="auto"/>
        <w:jc w:val="both"/>
        <w:rPr>
          <w:rFonts w:ascii="Verdana" w:eastAsia="Century Gothic" w:hAnsi="Verdana" w:cs="Century Gothic"/>
          <w:b/>
          <w:color w:val="ED7D31" w:themeColor="accent2"/>
          <w:lang w:val="es-ES"/>
        </w:rPr>
      </w:pPr>
    </w:p>
    <w:p w14:paraId="0D4D8776" w14:textId="77777777" w:rsidR="004C63A3" w:rsidRPr="00206556" w:rsidRDefault="004C63A3" w:rsidP="004C63A3">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72527C2D" w14:textId="77777777" w:rsidR="004C63A3" w:rsidRPr="00206556" w:rsidRDefault="004C63A3" w:rsidP="004C63A3">
      <w:pPr>
        <w:spacing w:after="0" w:line="276" w:lineRule="auto"/>
        <w:jc w:val="both"/>
        <w:rPr>
          <w:rFonts w:ascii="Verdana" w:eastAsia="Calibri" w:hAnsi="Verdana" w:cs="Arial"/>
          <w:lang w:val="es-ES"/>
        </w:rPr>
      </w:pPr>
    </w:p>
    <w:p w14:paraId="6172C108" w14:textId="77777777" w:rsidR="004C63A3" w:rsidRPr="00206556" w:rsidRDefault="004C63A3" w:rsidP="004C63A3">
      <w:pPr>
        <w:spacing w:after="120" w:line="276" w:lineRule="auto"/>
        <w:jc w:val="both"/>
        <w:rPr>
          <w:rFonts w:ascii="Verdana" w:hAnsi="Verdana"/>
        </w:rPr>
      </w:pPr>
      <w:r w:rsidRPr="00206556">
        <w:rPr>
          <w:rFonts w:ascii="Verdana" w:eastAsia="Calibri" w:hAnsi="Verdana" w:cs="Arial"/>
          <w:lang w:val="es-ES"/>
        </w:rPr>
        <w:t xml:space="preserve">(i) </w:t>
      </w:r>
      <w:r w:rsidRPr="00206556">
        <w:rPr>
          <w:rFonts w:ascii="Verdana" w:eastAsia="Calibri" w:hAnsi="Verdana" w:cs="Arial"/>
        </w:rPr>
        <w:t xml:space="preserve">Para resolver el problema jurídico planteado, esta Agencia considera necesario partir de los antecedentes normativos que explican el origen, la </w:t>
      </w:r>
      <w:r w:rsidRPr="00206556">
        <w:rPr>
          <w:rFonts w:ascii="Verdana" w:eastAsia="Calibri" w:hAnsi="Verdana" w:cs="Arial"/>
        </w:rPr>
        <w:lastRenderedPageBreak/>
        <w:t xml:space="preserve">finalidad y el alcance del Sistema Integral de Preferencias establecido por el Decreto 0287 de 2026, pues solo a partir de ese contexto es posible comprender las obligaciones concretas que dicho decreto impone a las entidades estatales y a los demás partícipes de la contratación pública. </w:t>
      </w:r>
      <w:r w:rsidRPr="00206556">
        <w:rPr>
          <w:rFonts w:ascii="Verdana" w:eastAsia="Times New Roman" w:hAnsi="Verdana" w:cs="Times New Roman"/>
        </w:rPr>
        <w:t>El fundamento del Sistema de Preferencias para PcD en la contratación pública es el principio de igualdad real y efectiva consagrado en el artículo 13 de la Constitución Política de 1991</w:t>
      </w:r>
      <w:r w:rsidRPr="00206556">
        <w:rPr>
          <w:rStyle w:val="Refdenotaalpie"/>
          <w:rFonts w:ascii="Verdana" w:eastAsia="Times New Roman" w:hAnsi="Verdana" w:cs="Times New Roman"/>
        </w:rPr>
        <w:footnoteReference w:id="1"/>
      </w:r>
      <w:r>
        <w:rPr>
          <w:rFonts w:ascii="Verdana" w:eastAsia="Times New Roman" w:hAnsi="Verdana" w:cs="Times New Roman"/>
        </w:rPr>
        <w:t>,</w:t>
      </w:r>
      <w:r w:rsidRPr="00206556">
        <w:rPr>
          <w:rFonts w:ascii="Verdana" w:eastAsia="Times New Roman" w:hAnsi="Verdana" w:cs="Times New Roman"/>
        </w:rPr>
        <w:t xml:space="preserve"> que impone al Estado el deber positivo de adoptar </w:t>
      </w:r>
      <w:r w:rsidRPr="00206556">
        <w:rPr>
          <w:rFonts w:ascii="Verdana" w:eastAsia="Times New Roman" w:hAnsi="Verdana" w:cs="Times New Roman"/>
          <w:i/>
          <w:iCs/>
        </w:rPr>
        <w:t>acciones afirmativas</w:t>
      </w:r>
      <w:r w:rsidRPr="00206556">
        <w:rPr>
          <w:rFonts w:ascii="Verdana" w:eastAsia="Times New Roman" w:hAnsi="Verdana" w:cs="Times New Roman"/>
        </w:rPr>
        <w:t xml:space="preserve"> en favor de grupos históricamente excluidos. La Corte Constitucional ha sostenido que tales medidas buscan contrarrestar los efectos de la discriminación y que el Estado puede establecer tratamientos diferenciales a favor de estos grupos en aras de lograr una igualdad real y efectiva. Los artículos 47 y 54 de la Carta Política refuerzan este mandato al ordenar políticas de integración social y ubicación laboral para las PcD</w:t>
      </w:r>
      <w:r w:rsidRPr="00206556">
        <w:rPr>
          <w:rStyle w:val="Refdenotaalpie"/>
          <w:rFonts w:ascii="Verdana" w:eastAsia="Times New Roman" w:hAnsi="Verdana" w:cs="Times New Roman"/>
        </w:rPr>
        <w:footnoteReference w:id="2"/>
      </w:r>
      <w:r>
        <w:rPr>
          <w:rFonts w:ascii="Verdana" w:eastAsia="Times New Roman" w:hAnsi="Verdana" w:cs="Times New Roman"/>
        </w:rPr>
        <w:t>.</w:t>
      </w:r>
    </w:p>
    <w:p w14:paraId="0A644553" w14:textId="77777777" w:rsidR="004C63A3" w:rsidRPr="00206556" w:rsidRDefault="004C63A3" w:rsidP="004C63A3">
      <w:pPr>
        <w:spacing w:after="120" w:line="276" w:lineRule="auto"/>
        <w:ind w:firstLine="708"/>
        <w:jc w:val="both"/>
        <w:rPr>
          <w:rFonts w:ascii="Verdana" w:hAnsi="Verdana"/>
        </w:rPr>
      </w:pPr>
      <w:r w:rsidRPr="00206556">
        <w:rPr>
          <w:rFonts w:ascii="Verdana" w:eastAsia="Times New Roman" w:hAnsi="Verdana" w:cs="Times New Roman"/>
        </w:rPr>
        <w:t>En el plano internacional, Colombia es Estado Parte de instrumentos que conforman el Bloque de Constitucionalidad en virtud del artículo 93 superior. La Convención sobre los Derechos de las Personas con Discapacidad de la ONU</w:t>
      </w:r>
      <w:r w:rsidRPr="00206556">
        <w:rPr>
          <w:rStyle w:val="Refdenotaalpie"/>
          <w:rFonts w:ascii="Verdana" w:eastAsia="Times New Roman" w:hAnsi="Verdana" w:cs="Times New Roman"/>
        </w:rPr>
        <w:footnoteReference w:id="3"/>
      </w:r>
      <w:r w:rsidRPr="00206556">
        <w:rPr>
          <w:rFonts w:ascii="Verdana" w:eastAsia="Times New Roman" w:hAnsi="Verdana" w:cs="Times New Roman"/>
        </w:rPr>
        <w:t xml:space="preserve"> reconoce el derecho de las PcD a trabajar en igualdad de condiciones y exige programas de acción afirmativa. La Convención Interamericana para la Eliminación de todas las Formas de Discriminación</w:t>
      </w:r>
      <w:r w:rsidRPr="00206556">
        <w:rPr>
          <w:rStyle w:val="Refdenotaalpie"/>
          <w:rFonts w:ascii="Verdana" w:eastAsia="Times New Roman" w:hAnsi="Verdana" w:cs="Times New Roman"/>
        </w:rPr>
        <w:footnoteReference w:id="4"/>
      </w:r>
      <w:r w:rsidRPr="00206556">
        <w:rPr>
          <w:rFonts w:ascii="Verdana" w:eastAsia="Times New Roman" w:hAnsi="Verdana" w:cs="Times New Roman"/>
        </w:rPr>
        <w:t xml:space="preserve"> ordena eliminar progresivamente la discriminación en la prestación de servicios, incluido el empleo. El Convenio 159 de la OIT</w:t>
      </w:r>
      <w:r w:rsidRPr="00206556">
        <w:rPr>
          <w:rStyle w:val="Refdenotaalpie"/>
          <w:rFonts w:ascii="Verdana" w:eastAsia="Times New Roman" w:hAnsi="Verdana" w:cs="Times New Roman"/>
        </w:rPr>
        <w:footnoteReference w:id="5"/>
      </w:r>
      <w:r w:rsidRPr="00206556">
        <w:rPr>
          <w:rFonts w:ascii="Verdana" w:eastAsia="Times New Roman" w:hAnsi="Verdana" w:cs="Times New Roman"/>
        </w:rPr>
        <w:t xml:space="preserve"> exige medidas orientadas a garantizar la igualdad de oportunidades de todas las categorías de PcD en materia de empleo.</w:t>
      </w:r>
    </w:p>
    <w:p w14:paraId="43C42677"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lastRenderedPageBreak/>
        <w:t xml:space="preserve">        </w:t>
      </w:r>
      <w:r w:rsidRPr="00206556">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para los empleadores que tuvieran al menos el 10% de su nómina compuesta por PcD</w:t>
      </w:r>
      <w:r w:rsidRPr="00206556">
        <w:rPr>
          <w:rStyle w:val="Refdenotaalpie"/>
          <w:rFonts w:ascii="Verdana" w:eastAsia="Times New Roman" w:hAnsi="Verdana" w:cs="Times New Roman"/>
        </w:rPr>
        <w:footnoteReference w:id="6"/>
      </w:r>
      <w:r>
        <w:rPr>
          <w:rFonts w:ascii="Verdana" w:eastAsia="Times New Roman" w:hAnsi="Verdana" w:cs="Times New Roman"/>
        </w:rPr>
        <w:t>.</w:t>
      </w:r>
      <w:r w:rsidRPr="00206556">
        <w:rPr>
          <w:rFonts w:ascii="Verdana" w:eastAsia="Times New Roman" w:hAnsi="Verdana" w:cs="Times New Roman"/>
        </w:rPr>
        <w:t xml:space="preserve"> Esta norma vinculó por primera vez la contratación pública con la inclusión laboral de las PcD, pero su alcance era limitado: una preferencia residual aplicable solo en caso de empate, que beneficiaba únicamente a los empleadores de PcD sin considerar a las propias PcD como proponentes directos.</w:t>
      </w:r>
    </w:p>
    <w:p w14:paraId="57048E9A" w14:textId="77777777" w:rsidR="004C63A3" w:rsidRPr="00206556" w:rsidRDefault="004C63A3" w:rsidP="004C63A3">
      <w:pPr>
        <w:spacing w:after="120" w:line="276" w:lineRule="auto"/>
        <w:jc w:val="both"/>
        <w:rPr>
          <w:rFonts w:ascii="Verdana" w:hAnsi="Verdana"/>
        </w:rPr>
      </w:pPr>
      <w:r w:rsidRPr="00206556">
        <w:rPr>
          <w:rFonts w:ascii="Verdana" w:eastAsia="Times New Roman" w:hAnsi="Verdana" w:cs="Times New Roman"/>
          <w:b/>
          <w:bCs/>
        </w:rPr>
        <w:t xml:space="preserve">       </w:t>
      </w:r>
      <w:r w:rsidRPr="00206556">
        <w:rPr>
          <w:rFonts w:ascii="Verdana" w:eastAsia="Times New Roman" w:hAnsi="Verdana" w:cs="Times New Roman"/>
        </w:rPr>
        <w:t xml:space="preserve">La Ley Estatutaria 1618 de 2013 representó un salto cualitativo en el marco jurídico de protección de las PcD, al definir a estas como </w:t>
      </w:r>
      <w:r w:rsidRPr="00206556">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206556">
        <w:rPr>
          <w:rStyle w:val="Refdenotaalpie"/>
          <w:rFonts w:ascii="Verdana" w:eastAsia="Times New Roman" w:hAnsi="Verdana" w:cs="Times New Roman"/>
          <w:i/>
          <w:iCs/>
        </w:rPr>
        <w:footnoteReference w:id="7"/>
      </w:r>
      <w:r>
        <w:rPr>
          <w:rFonts w:ascii="Verdana" w:eastAsia="Times New Roman" w:hAnsi="Verdana" w:cs="Times New Roman"/>
          <w:i/>
          <w:iCs/>
        </w:rPr>
        <w:t>.</w:t>
      </w:r>
      <w:r w:rsidRPr="00206556">
        <w:rPr>
          <w:rFonts w:ascii="Verdana" w:eastAsia="Times New Roman" w:hAnsi="Verdana" w:cs="Times New Roman"/>
        </w:rPr>
        <w:t xml:space="preserve"> Su artículo 13, en los numerales 1, 7 y 8, ordenó al Gobierno Nacional reglamentar: una puntuación adicional en licitación pública, concurso de méritos y contratación directa para empresas que vinculen PcD y para empresas de PcD; un sistema de preferencias para empleadores de PcD en la adjudicación; y un sistema de preferencias en favor de las propias PcD como contratistas</w:t>
      </w:r>
      <w:r w:rsidRPr="00206556">
        <w:rPr>
          <w:rStyle w:val="Refdenotaalpie"/>
          <w:rFonts w:ascii="Verdana" w:eastAsia="Times New Roman" w:hAnsi="Verdana" w:cs="Times New Roman"/>
        </w:rPr>
        <w:footnoteReference w:id="8"/>
      </w:r>
      <w:r>
        <w:rPr>
          <w:rFonts w:ascii="Verdana" w:eastAsia="Times New Roman" w:hAnsi="Verdana" w:cs="Times New Roman"/>
        </w:rPr>
        <w:t>.</w:t>
      </w:r>
      <w:r w:rsidRPr="00206556">
        <w:rPr>
          <w:rFonts w:ascii="Verdana" w:eastAsia="Times New Roman" w:hAnsi="Verdana" w:cs="Times New Roman"/>
        </w:rPr>
        <w:t xml:space="preserve"> Este último mandato fue especialmente significativo porque introdujo el concepto de </w:t>
      </w:r>
      <w:r w:rsidRPr="00206556">
        <w:rPr>
          <w:rFonts w:ascii="Verdana" w:eastAsia="Times New Roman" w:hAnsi="Verdana" w:cs="Times New Roman"/>
          <w:i/>
          <w:iCs/>
        </w:rPr>
        <w:t>"sistema de preferencias"</w:t>
      </w:r>
      <w:r w:rsidRPr="00206556">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64DF8EF2" w14:textId="77777777" w:rsidR="004C63A3" w:rsidRPr="00E727F0" w:rsidRDefault="004C63A3" w:rsidP="004C63A3">
      <w:pPr>
        <w:spacing w:after="120" w:line="276" w:lineRule="auto"/>
        <w:ind w:firstLine="709"/>
        <w:jc w:val="both"/>
        <w:rPr>
          <w:rFonts w:ascii="Verdana" w:hAnsi="Verdana"/>
        </w:rPr>
      </w:pPr>
      <w:r w:rsidRPr="00E727F0">
        <w:rPr>
          <w:rFonts w:ascii="Verdana" w:hAnsi="Verdana"/>
        </w:rPr>
        <w:t xml:space="preserve">En cumplimiento parcial de los numerales 1 y 8 del artículo 13 de la Ley 1618 de 2013, se expidió el Decreto 392 de 2018. Sin embargo, como se reconoce en los considerandos del Decreto 0287 de 2026, dicha regulación presentó omisiones estructurales que frustraron la finalidad de la ley estatutaria: solo contempló el 1% de puntaje para empleadores de PcD, sin incluir a las empresas de PcD; redujo el "sistema de preferencias" a un único criterio de </w:t>
      </w:r>
      <w:r w:rsidRPr="00E727F0">
        <w:rPr>
          <w:rFonts w:ascii="Verdana" w:hAnsi="Verdana"/>
        </w:rPr>
        <w:lastRenderedPageBreak/>
        <w:t>desempate; y no previó medidas en planeación, criterios habilitantes diferenciales, condiciones especiales de ejecución ni abordó la contratación directa como escenario de inclusión.</w:t>
      </w:r>
      <w:r>
        <w:rPr>
          <w:rFonts w:ascii="Verdana" w:hAnsi="Verdana"/>
        </w:rPr>
        <w:t xml:space="preserve"> </w:t>
      </w:r>
      <w:r w:rsidRPr="00A420A9">
        <w:rPr>
          <w:rFonts w:ascii="Verdana" w:hAnsi="Verdana"/>
        </w:rPr>
        <w:t>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6F7BD46B" w14:textId="77777777" w:rsidR="004C63A3" w:rsidRPr="00A420A9" w:rsidRDefault="004C63A3" w:rsidP="004C63A3">
      <w:pPr>
        <w:spacing w:after="120" w:line="276" w:lineRule="auto"/>
        <w:ind w:firstLine="709"/>
        <w:jc w:val="both"/>
        <w:rPr>
          <w:rFonts w:ascii="Verdana" w:hAnsi="Verdana"/>
        </w:rPr>
      </w:pPr>
      <w:r w:rsidRPr="00A420A9">
        <w:rPr>
          <w:rFonts w:ascii="Verdana" w:hAnsi="Verdana"/>
        </w:rPr>
        <w:t xml:space="preserve">La insuficiencia del Decreto 392 de 2018 fue constatada judicialmente. La Sección Quinta del Consejo de Estado, mediante sentencia de acción de cumplimiento del 12 de diciembre de 2024, radicación </w:t>
      </w:r>
      <w:proofErr w:type="spellStart"/>
      <w:r w:rsidRPr="00A420A9">
        <w:rPr>
          <w:rFonts w:ascii="Verdana" w:hAnsi="Verdana"/>
        </w:rPr>
        <w:t>n.°</w:t>
      </w:r>
      <w:proofErr w:type="spellEnd"/>
      <w:r w:rsidRPr="00A420A9">
        <w:rPr>
          <w:rFonts w:ascii="Verdana" w:hAnsi="Verdana"/>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7C910C65" w14:textId="77777777" w:rsidR="004C63A3" w:rsidRDefault="004C63A3" w:rsidP="004C63A3">
      <w:pPr>
        <w:spacing w:after="120" w:line="276" w:lineRule="auto"/>
        <w:ind w:firstLine="709"/>
        <w:jc w:val="both"/>
        <w:rPr>
          <w:rFonts w:ascii="Verdana" w:hAnsi="Verdana"/>
        </w:rPr>
      </w:pPr>
      <w:r w:rsidRPr="00E727F0">
        <w:rPr>
          <w:rFonts w:ascii="Verdana" w:hAnsi="Verdana"/>
        </w:rPr>
        <w:t>En cumplimiento de esa decisión fue expedido el Decreto 0287 de 2026, el cual, como se indicó en la respuesta, establece un Sistema Integral de Preferencias compuesto por cinco medidas afirmativas que actúan en todas las fases del proceso contractual</w:t>
      </w:r>
      <w:r>
        <w:rPr>
          <w:rFonts w:ascii="Verdana" w:hAnsi="Verdana"/>
        </w:rPr>
        <w:t xml:space="preserve">, </w:t>
      </w:r>
      <w:r w:rsidRPr="00E727F0">
        <w:rPr>
          <w:rFonts w:ascii="Verdana" w:hAnsi="Verdana"/>
        </w:rPr>
        <w:t>planeación, selección, adjudicación y ejecución</w:t>
      </w:r>
      <w:r>
        <w:rPr>
          <w:rFonts w:ascii="Verdana" w:hAnsi="Verdana"/>
        </w:rPr>
        <w:t xml:space="preserve">, </w:t>
      </w:r>
      <w:r w:rsidRPr="00E727F0">
        <w:rPr>
          <w:rFonts w:ascii="Verdana" w:hAnsi="Verdana"/>
        </w:rPr>
        <w:t xml:space="preserve">y que benefician a dos sujetos diferenciados: los emprendimientos y empresas de PcD y los empleadores de PcD. A continuación, se desarrolla el alcance de cada aspecto del sistema planteado en los problemas jurídicos. </w:t>
      </w:r>
    </w:p>
    <w:p w14:paraId="639584E3" w14:textId="77777777" w:rsidR="004C63A3" w:rsidRPr="00E727F0" w:rsidRDefault="004C63A3" w:rsidP="004C63A3">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7A17DE97" w14:textId="77777777" w:rsidR="004C63A3" w:rsidRPr="00E727F0" w:rsidRDefault="004C63A3" w:rsidP="004C63A3">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lastRenderedPageBreak/>
        <w:t>"El proponente podrá acreditar alguna de las situaciones mencionadas, y en todo caso el puntaje adicional total y único a otorgar por este criterio será del dos por ciento (2%), sin que sean acumulables a efecto de la evaluación de la oferta."</w:t>
      </w:r>
    </w:p>
    <w:p w14:paraId="00C336CD" w14:textId="77777777" w:rsidR="004C63A3" w:rsidRPr="00206556" w:rsidRDefault="004C63A3" w:rsidP="004C63A3">
      <w:pPr>
        <w:spacing w:after="120" w:line="276" w:lineRule="auto"/>
        <w:ind w:firstLine="709"/>
        <w:jc w:val="both"/>
        <w:rPr>
          <w:rFonts w:ascii="Verdana" w:hAnsi="Verdana"/>
        </w:rPr>
      </w:pPr>
      <w:r w:rsidRPr="00E727F0">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5C1A1855" w14:textId="77777777" w:rsidR="004C63A3" w:rsidRPr="00D22B7C" w:rsidRDefault="004C63A3" w:rsidP="004C63A3">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En cuanto a la exigencia del número mínimo de PcD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PcD,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7024681E" w14:textId="77777777" w:rsidR="004C63A3" w:rsidRPr="00D22B7C" w:rsidRDefault="004C63A3" w:rsidP="004C63A3">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4C63A3" w:rsidRPr="00D22B7C" w14:paraId="2C33C2F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FBB3A23"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CB238A5" w14:textId="77777777" w:rsidR="004C63A3" w:rsidRPr="00D22B7C" w:rsidRDefault="004C63A3" w:rsidP="000A6384">
            <w:pPr>
              <w:jc w:val="center"/>
              <w:rPr>
                <w:rFonts w:ascii="Verdana" w:hAnsi="Verdana"/>
              </w:rPr>
            </w:pPr>
            <w:r w:rsidRPr="00D22B7C">
              <w:rPr>
                <w:rFonts w:ascii="Verdana" w:eastAsia="Times New Roman" w:hAnsi="Verdana" w:cs="Times New Roman"/>
                <w:b/>
                <w:bCs/>
              </w:rPr>
              <w:t>Número mínimo de trabajadores con discapacidad requerido</w:t>
            </w:r>
          </w:p>
        </w:tc>
      </w:tr>
      <w:tr w:rsidR="004C63A3" w:rsidRPr="00D22B7C" w14:paraId="73C657FF"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8CA8FCF" w14:textId="77777777" w:rsidR="004C63A3" w:rsidRPr="00D22B7C" w:rsidRDefault="004C63A3" w:rsidP="000A6384">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DFBE67E" w14:textId="77777777" w:rsidR="004C63A3" w:rsidRPr="00D22B7C" w:rsidRDefault="004C63A3" w:rsidP="000A6384">
            <w:pPr>
              <w:jc w:val="center"/>
              <w:rPr>
                <w:rFonts w:ascii="Verdana" w:hAnsi="Verdana"/>
              </w:rPr>
            </w:pPr>
            <w:r w:rsidRPr="00D22B7C">
              <w:rPr>
                <w:rFonts w:ascii="Verdana" w:eastAsia="Times New Roman" w:hAnsi="Verdana" w:cs="Times New Roman"/>
              </w:rPr>
              <w:t>2</w:t>
            </w:r>
          </w:p>
        </w:tc>
      </w:tr>
      <w:tr w:rsidR="004C63A3" w:rsidRPr="00D22B7C" w14:paraId="727BC45B"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2AC4F4" w14:textId="77777777" w:rsidR="004C63A3" w:rsidRPr="00D22B7C" w:rsidRDefault="004C63A3" w:rsidP="000A6384">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2D28D18" w14:textId="77777777" w:rsidR="004C63A3" w:rsidRPr="00D22B7C" w:rsidRDefault="004C63A3" w:rsidP="000A6384">
            <w:pPr>
              <w:jc w:val="center"/>
              <w:rPr>
                <w:rFonts w:ascii="Verdana" w:hAnsi="Verdana"/>
              </w:rPr>
            </w:pPr>
            <w:r w:rsidRPr="00D22B7C">
              <w:rPr>
                <w:rFonts w:ascii="Verdana" w:eastAsia="Times New Roman" w:hAnsi="Verdana" w:cs="Times New Roman"/>
              </w:rPr>
              <w:t>3</w:t>
            </w:r>
          </w:p>
        </w:tc>
      </w:tr>
      <w:tr w:rsidR="004C63A3" w:rsidRPr="00D22B7C" w14:paraId="0F2AE062"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128D3D1" w14:textId="77777777" w:rsidR="004C63A3" w:rsidRPr="00D22B7C" w:rsidRDefault="004C63A3" w:rsidP="000A6384">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652BD09" w14:textId="77777777" w:rsidR="004C63A3" w:rsidRPr="00D22B7C" w:rsidRDefault="004C63A3" w:rsidP="000A6384">
            <w:pPr>
              <w:jc w:val="center"/>
              <w:rPr>
                <w:rFonts w:ascii="Verdana" w:hAnsi="Verdana"/>
              </w:rPr>
            </w:pPr>
            <w:r w:rsidRPr="00D22B7C">
              <w:rPr>
                <w:rFonts w:ascii="Verdana" w:eastAsia="Times New Roman" w:hAnsi="Verdana" w:cs="Times New Roman"/>
              </w:rPr>
              <w:t>4</w:t>
            </w:r>
          </w:p>
        </w:tc>
      </w:tr>
      <w:tr w:rsidR="004C63A3" w:rsidRPr="00D22B7C" w14:paraId="150B43DC"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AEEC878" w14:textId="77777777" w:rsidR="004C63A3" w:rsidRPr="00D22B7C" w:rsidRDefault="004C63A3" w:rsidP="000A6384">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58D9EA1" w14:textId="77777777" w:rsidR="004C63A3" w:rsidRPr="00D22B7C" w:rsidRDefault="004C63A3" w:rsidP="000A6384">
            <w:pPr>
              <w:jc w:val="center"/>
              <w:rPr>
                <w:rFonts w:ascii="Verdana" w:hAnsi="Verdana"/>
              </w:rPr>
            </w:pPr>
            <w:r w:rsidRPr="00D22B7C">
              <w:rPr>
                <w:rFonts w:ascii="Verdana" w:eastAsia="Times New Roman" w:hAnsi="Verdana" w:cs="Times New Roman"/>
              </w:rPr>
              <w:t>5</w:t>
            </w:r>
          </w:p>
        </w:tc>
      </w:tr>
      <w:tr w:rsidR="004C63A3" w:rsidRPr="00D22B7C" w14:paraId="129CB04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C36F954" w14:textId="77777777" w:rsidR="004C63A3" w:rsidRPr="00D22B7C" w:rsidRDefault="004C63A3" w:rsidP="000A6384">
            <w:pPr>
              <w:jc w:val="center"/>
              <w:rPr>
                <w:rFonts w:ascii="Verdana" w:hAnsi="Verdana"/>
              </w:rPr>
            </w:pPr>
            <w:r w:rsidRPr="00D22B7C">
              <w:rPr>
                <w:rFonts w:ascii="Verdana" w:eastAsia="Times New Roman" w:hAnsi="Verdana" w:cs="Times New Roman"/>
              </w:rPr>
              <w:lastRenderedPageBreak/>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4080461" w14:textId="77777777" w:rsidR="004C63A3" w:rsidRPr="00D22B7C" w:rsidRDefault="004C63A3" w:rsidP="000A6384">
            <w:pPr>
              <w:jc w:val="center"/>
              <w:rPr>
                <w:rFonts w:ascii="Verdana" w:hAnsi="Verdana"/>
              </w:rPr>
            </w:pPr>
            <w:r w:rsidRPr="00D22B7C">
              <w:rPr>
                <w:rFonts w:ascii="Verdana" w:eastAsia="Times New Roman" w:hAnsi="Verdana" w:cs="Times New Roman"/>
              </w:rPr>
              <w:t>7</w:t>
            </w:r>
          </w:p>
        </w:tc>
      </w:tr>
      <w:tr w:rsidR="004C63A3" w:rsidRPr="00D22B7C" w14:paraId="4456C5F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22EEEE" w14:textId="77777777" w:rsidR="004C63A3" w:rsidRPr="00D22B7C" w:rsidRDefault="004C63A3" w:rsidP="000A6384">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734EC36" w14:textId="77777777" w:rsidR="004C63A3" w:rsidRPr="00D22B7C" w:rsidRDefault="004C63A3" w:rsidP="000A6384">
            <w:pPr>
              <w:jc w:val="center"/>
              <w:rPr>
                <w:rFonts w:ascii="Verdana" w:hAnsi="Verdana"/>
              </w:rPr>
            </w:pPr>
            <w:r w:rsidRPr="00D22B7C">
              <w:rPr>
                <w:rFonts w:ascii="Verdana" w:eastAsia="Times New Roman" w:hAnsi="Verdana" w:cs="Times New Roman"/>
              </w:rPr>
              <w:t>10</w:t>
            </w:r>
          </w:p>
        </w:tc>
      </w:tr>
      <w:tr w:rsidR="004C63A3" w:rsidRPr="00D22B7C" w14:paraId="69D84CF8"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FF52909" w14:textId="77777777" w:rsidR="004C63A3" w:rsidRPr="00D22B7C" w:rsidRDefault="004C63A3" w:rsidP="000A6384">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B3420BB" w14:textId="77777777" w:rsidR="004C63A3" w:rsidRPr="00D22B7C" w:rsidRDefault="004C63A3" w:rsidP="000A6384">
            <w:pPr>
              <w:jc w:val="center"/>
              <w:rPr>
                <w:rFonts w:ascii="Verdana" w:hAnsi="Verdana"/>
              </w:rPr>
            </w:pPr>
            <w:r w:rsidRPr="00D22B7C">
              <w:rPr>
                <w:rFonts w:ascii="Verdana" w:eastAsia="Times New Roman" w:hAnsi="Verdana" w:cs="Times New Roman"/>
              </w:rPr>
              <w:t>12</w:t>
            </w:r>
          </w:p>
        </w:tc>
      </w:tr>
      <w:tr w:rsidR="004C63A3" w:rsidRPr="00D22B7C" w14:paraId="675000FD"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0DB849" w14:textId="77777777" w:rsidR="004C63A3" w:rsidRPr="00D22B7C" w:rsidRDefault="004C63A3" w:rsidP="000A6384">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B639B76" w14:textId="77777777" w:rsidR="004C63A3" w:rsidRPr="00D22B7C" w:rsidRDefault="004C63A3" w:rsidP="000A6384">
            <w:pPr>
              <w:jc w:val="center"/>
              <w:rPr>
                <w:rFonts w:ascii="Verdana" w:hAnsi="Verdana"/>
              </w:rPr>
            </w:pPr>
            <w:r w:rsidRPr="00D22B7C">
              <w:rPr>
                <w:rFonts w:ascii="Verdana" w:eastAsia="Times New Roman" w:hAnsi="Verdana" w:cs="Times New Roman"/>
              </w:rPr>
              <w:t>14</w:t>
            </w:r>
          </w:p>
        </w:tc>
      </w:tr>
      <w:tr w:rsidR="004C63A3" w:rsidRPr="00D22B7C" w14:paraId="773E4DA4"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42E552" w14:textId="77777777" w:rsidR="004C63A3" w:rsidRPr="00D22B7C" w:rsidRDefault="004C63A3" w:rsidP="000A6384">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64347C" w14:textId="77777777" w:rsidR="004C63A3" w:rsidRPr="00D22B7C" w:rsidRDefault="004C63A3" w:rsidP="000A6384">
            <w:pPr>
              <w:jc w:val="center"/>
              <w:rPr>
                <w:rFonts w:ascii="Verdana" w:hAnsi="Verdana"/>
              </w:rPr>
            </w:pPr>
            <w:r w:rsidRPr="00D22B7C">
              <w:rPr>
                <w:rFonts w:ascii="Verdana" w:eastAsia="Times New Roman" w:hAnsi="Verdana" w:cs="Times New Roman"/>
              </w:rPr>
              <w:t>16</w:t>
            </w:r>
          </w:p>
        </w:tc>
      </w:tr>
      <w:tr w:rsidR="004C63A3" w:rsidRPr="00D22B7C" w14:paraId="27D52025" w14:textId="77777777" w:rsidTr="000A6384">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C358032" w14:textId="77777777" w:rsidR="004C63A3" w:rsidRPr="00D22B7C" w:rsidRDefault="004C63A3" w:rsidP="000A6384">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B83BC22" w14:textId="77777777" w:rsidR="004C63A3" w:rsidRPr="00D22B7C" w:rsidRDefault="004C63A3" w:rsidP="000A6384">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363F0355" w14:textId="77777777" w:rsidR="004C63A3" w:rsidRPr="00D22B7C" w:rsidRDefault="004C63A3" w:rsidP="004C63A3">
      <w:pPr>
        <w:spacing w:after="0" w:line="276" w:lineRule="auto"/>
        <w:rPr>
          <w:rFonts w:ascii="Verdana" w:hAnsi="Verdana"/>
        </w:rPr>
      </w:pPr>
    </w:p>
    <w:p w14:paraId="2A6FB031"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19C71940" w14:textId="77777777" w:rsidR="004C63A3" w:rsidRPr="00D22B7C" w:rsidRDefault="004C63A3" w:rsidP="004C63A3">
      <w:pPr>
        <w:spacing w:after="120" w:line="276" w:lineRule="auto"/>
        <w:ind w:firstLine="709"/>
        <w:jc w:val="both"/>
        <w:rPr>
          <w:rFonts w:ascii="Verdana" w:hAnsi="Verdana"/>
        </w:rPr>
      </w:pPr>
      <w:r w:rsidRPr="00D22B7C">
        <w:rPr>
          <w:rFonts w:ascii="Verdana" w:eastAsia="Times New Roman" w:hAnsi="Verdana" w:cs="Times New Roman"/>
        </w:rPr>
        <w:t>Acreditada esa vinculación, el decreto exige adicionalmente los certificados de aportes a seguridad social de los tres (3) meses anteriores a la presentación de la oferta respecto de cada PcD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062070BD" w14:textId="77777777" w:rsidR="004C63A3" w:rsidRPr="003C3B8B" w:rsidRDefault="004C63A3" w:rsidP="004C63A3">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PcD durante un (1) año antes del proceso contractual, ya que el Decreto 392 de 2018 no lo exigía así, y </w:t>
      </w:r>
      <w:r w:rsidRPr="003C3B8B">
        <w:rPr>
          <w:rFonts w:ascii="Verdana" w:eastAsia="Times New Roman" w:hAnsi="Verdana" w:cs="Times New Roman"/>
          <w:i/>
          <w:iCs/>
          <w:sz w:val="21"/>
          <w:szCs w:val="21"/>
        </w:rPr>
        <w:lastRenderedPageBreak/>
        <w:t>la nueva regulación exige solo tres (3) meses anteriores a la celebración del proceso"</w:t>
      </w:r>
      <w:r>
        <w:rPr>
          <w:rFonts w:ascii="Verdana" w:eastAsia="Times New Roman" w:hAnsi="Verdana" w:cs="Times New Roman"/>
          <w:i/>
          <w:iCs/>
          <w:sz w:val="21"/>
          <w:szCs w:val="21"/>
        </w:rPr>
        <w:t>.</w:t>
      </w:r>
    </w:p>
    <w:p w14:paraId="2591B6E3" w14:textId="77777777" w:rsidR="004C63A3" w:rsidRDefault="004C63A3" w:rsidP="004C63A3">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El período de tres meses es el umbral mínimo de estabilidad laboral que diferencia un compromiso genuino con la inclusión de una vinculación oportunista. La norma aplica este requisito para cada PcD incluida en la acreditación, independientemente de si es una vinculación original o una nueva incorporación. Si una empresa ha incrementado recientemente su planta de PcD y alguna de estas vinculaciones no alcanza el período requerido, el proponente puede participar en el proceso utilizando únicamente las PcD que sí cumplan el requisito temporal. La consecuencia de no alcanzar el período no es la exclusión del proceso sino la imposibilidad de obtener el puntaje adicional respecto de esas PcD específicas, lo que es coherente con los principios de participación y pluralidad de oferentes.</w:t>
      </w:r>
    </w:p>
    <w:p w14:paraId="6221ED17" w14:textId="77777777" w:rsidR="004C63A3" w:rsidRDefault="004C63A3" w:rsidP="004C63A3">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Es importante precisar que la vinculación de PcD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PcD,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PcD, los documentos requeridos son los establecidos en el artículo 2.2.1.2.4.2.6., que varían según la categoría que se acredite. En ningún caso los documentos del artículo 2.2.1.2.4.2.7.4. son exigibles a los emprendimientos y empresas de PcD,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PcD, por lo que no deben confundirse.</w:t>
      </w:r>
    </w:p>
    <w:p w14:paraId="4A918843" w14:textId="77777777" w:rsidR="004C63A3" w:rsidRPr="00D22B7C" w:rsidRDefault="004C63A3" w:rsidP="004C63A3">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w:t>
      </w:r>
      <w:r w:rsidRPr="00206556">
        <w:rPr>
          <w:rFonts w:ascii="Verdana" w:hAnsi="Verdana"/>
        </w:rPr>
        <w:lastRenderedPageBreak/>
        <w:t xml:space="preserve">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4C254450" w14:textId="77777777" w:rsidR="004C63A3" w:rsidRPr="00206556" w:rsidRDefault="004C63A3" w:rsidP="004C63A3">
      <w:pPr>
        <w:spacing w:after="120" w:line="276" w:lineRule="auto"/>
        <w:ind w:firstLine="708"/>
        <w:jc w:val="both"/>
        <w:rPr>
          <w:rFonts w:ascii="Verdana" w:hAnsi="Verdana"/>
          <w:sz w:val="20"/>
          <w:szCs w:val="20"/>
        </w:rPr>
      </w:pPr>
      <w:r w:rsidRPr="00206556">
        <w:rPr>
          <w:rFonts w:ascii="Verdana" w:hAnsi="Verdana"/>
        </w:rPr>
        <w:t>(</w:t>
      </w:r>
      <w:r>
        <w:rPr>
          <w:rFonts w:ascii="Verdana" w:hAnsi="Verdana"/>
        </w:rPr>
        <w:t>v</w:t>
      </w:r>
      <w:r w:rsidRPr="00206556">
        <w:rPr>
          <w:rFonts w:ascii="Verdana" w:hAnsi="Verdana"/>
        </w:rPr>
        <w:t xml:space="preserve">) Sobre la aplicación del Decreto 0287 de 2026 en los documentos tipo, el artículo 2.2.1.2.4.2.7.8. del Decreto 0287 de 2026 establece que Colombia Compra Eficiente garantizará la incorporación permanente de las medidas del sistema en los documentos e instrumentos que genera. </w:t>
      </w:r>
    </w:p>
    <w:p w14:paraId="4CBA7FF6" w14:textId="77777777" w:rsidR="004C63A3" w:rsidRDefault="004C63A3" w:rsidP="004C63A3">
      <w:pPr>
        <w:spacing w:after="120" w:line="276" w:lineRule="auto"/>
        <w:ind w:firstLine="708"/>
        <w:jc w:val="both"/>
        <w:rPr>
          <w:rFonts w:ascii="Verdana" w:hAnsi="Verdana"/>
        </w:rPr>
      </w:pPr>
      <w:r w:rsidRPr="007B01BA">
        <w:rPr>
          <w:rFonts w:ascii="Verdana" w:hAnsi="Verdana"/>
        </w:rPr>
        <w:t>El principio de inalterabilidad de los documentos tipo impide modificaciones unilaterales por parte de las entidades, pues ello afectaría la estandarización, la transparencia y la igualdad entre proponentes que dichos documentos buscan garantizar. Colombia Compra Eficiente realizará las actualizaciones necesarias a los documentos tipo en el menor tiempo posible para incorporar las medidas del sistema de preferencias. La aplicación del decreto queda diferenciada según la etapa del proceso: los procesos con resolución de apertura firmada el 19 de marzo de 2026 o antes continúan con las reglas del Decreto 392 de 2018; los procesos con proyecto de pliego publicado pero sin apertura a esa fecha pueden incorporar las nuevas medidas antes de publicar los pliegos definitivos; y los procesos nuevos sujetos a documentos tipo deben esperar las actualizaciones de Colombia Compra Eficiente,</w:t>
      </w:r>
      <w:r>
        <w:rPr>
          <w:rFonts w:ascii="Verdana" w:hAnsi="Verdana"/>
        </w:rPr>
        <w:t xml:space="preserve"> y continuar aplicando el documento tipo vigente sin alterarlo.</w:t>
      </w:r>
    </w:p>
    <w:p w14:paraId="29CBE479" w14:textId="77777777" w:rsidR="004C63A3" w:rsidRPr="00206556" w:rsidRDefault="004C63A3" w:rsidP="004C63A3">
      <w:pPr>
        <w:spacing w:after="120" w:line="276" w:lineRule="auto"/>
        <w:ind w:firstLine="709"/>
        <w:jc w:val="both"/>
        <w:rPr>
          <w:rFonts w:ascii="Verdana" w:hAnsi="Verdana"/>
        </w:rPr>
      </w:pPr>
      <w:r w:rsidRPr="00206556">
        <w:rPr>
          <w:rFonts w:ascii="Verdana" w:hAnsi="Verdana"/>
        </w:rPr>
        <w:t>(</w:t>
      </w:r>
      <w:r>
        <w:rPr>
          <w:rFonts w:ascii="Verdana" w:hAnsi="Verdana"/>
        </w:rPr>
        <w:t>vi</w:t>
      </w:r>
      <w:r w:rsidRPr="00206556">
        <w:rPr>
          <w:rFonts w:ascii="Verdana" w:hAnsi="Verdana"/>
        </w:rPr>
        <w:t>) Sobre la compatibilidad con MiPymes y empresas de mujeres, y la distinción con el criterio de desempate. El parágrafo 2 del artículo 2.2.1.2.4.2.7.4. del Decreto 0287 de 2026 establece que el puntaje adicional "</w:t>
      </w:r>
      <w:r w:rsidRPr="00206556">
        <w:rPr>
          <w:rFonts w:ascii="Verdana" w:hAnsi="Verdana"/>
          <w:i/>
          <w:iCs/>
        </w:rPr>
        <w:t>no excluye la aplicación de incentivos contractuales ni de criterios diferenciales en favor de las MiPymes y/o los emprendimientos y empresas de mujeres".</w:t>
      </w:r>
      <w:r w:rsidRPr="00206556">
        <w:rPr>
          <w:rFonts w:ascii="Verdana" w:hAnsi="Verdana"/>
        </w:rPr>
        <w:t xml:space="preserve"> Del mismo modo, el parágrafo 2 del artículo 2.2.1.2.4.2.7.3</w:t>
      </w:r>
      <w:r>
        <w:rPr>
          <w:rFonts w:ascii="Verdana" w:hAnsi="Verdana"/>
        </w:rPr>
        <w:t>.</w:t>
      </w:r>
      <w:r w:rsidRPr="00206556">
        <w:rPr>
          <w:rFonts w:ascii="Verdana" w:hAnsi="Verdana"/>
        </w:rPr>
        <w:t xml:space="preserve"> establece la compatibilidad de los criterios habilitantes diferenciales con los aplicables a MiPymes y empresas de mujeres. En consecuencia, todos estos instrumentos pueden aplicarse simultáneamente en el mismo proceso de contratación sin exclusión recíproca. En cuanto a la distinción con el criterio de desempate, es indispensable no confundir los dos instrumentos: el puntaje adicional del 2% beneficia a los dos sujetos del sistema y opera en la evaluación de propuestas </w:t>
      </w:r>
      <w:r w:rsidRPr="00206556">
        <w:rPr>
          <w:rFonts w:ascii="Verdana" w:hAnsi="Verdana"/>
        </w:rPr>
        <w:lastRenderedPageBreak/>
        <w:t xml:space="preserve">antes de la adjudicación; el criterio de desempate, regulado por el artículo 35, numeral 3, de la Ley 2069 de 2020 beneficia exclusivamente a los empleadores de PcD, no a los emprendimientos y empresas de PcD, y exige que al menos el 10% de la nómina esté en condición de discapacidad, operando solo cuando hay empate entre dos o más ofertas. </w:t>
      </w:r>
      <w:r>
        <w:rPr>
          <w:rFonts w:ascii="Verdana" w:hAnsi="Verdana"/>
        </w:rPr>
        <w:t>La aplicación del criterio de desempate cuando es un</w:t>
      </w:r>
      <w:r w:rsidRPr="00206556">
        <w:rPr>
          <w:rFonts w:ascii="Verdana" w:hAnsi="Verdana"/>
        </w:rPr>
        <w:t xml:space="preserve"> proponente plural</w:t>
      </w:r>
      <w:r>
        <w:rPr>
          <w:rFonts w:ascii="Verdana" w:hAnsi="Verdana"/>
        </w:rPr>
        <w:t xml:space="preserve"> indica que</w:t>
      </w:r>
      <w:r w:rsidRPr="00206556">
        <w:rPr>
          <w:rFonts w:ascii="Verdana" w:hAnsi="Verdana"/>
        </w:rPr>
        <w:t xml:space="preserve"> el integrante con</w:t>
      </w:r>
      <w:r>
        <w:rPr>
          <w:rFonts w:ascii="Verdana" w:hAnsi="Verdana"/>
        </w:rPr>
        <w:t xml:space="preserve"> su nómina con</w:t>
      </w:r>
      <w:r w:rsidRPr="00206556">
        <w:rPr>
          <w:rFonts w:ascii="Verdana" w:hAnsi="Verdana"/>
        </w:rPr>
        <w:t xml:space="preserve"> PcD debe tener al menos el 25% de participación y aportar mínimo el 25% de la experiencia. El Decreto 0287 de 2026 no modificó el criterio de desempate de la Ley 2069 de 2020, que como norma de rango legal no puede ser alterada por decreto reglamentario, y la diferencia en las exigencias de vinculación entre las dos normas responde precisamente a que son instrumentos diferentes que no deben interpretarse extensivamente el uno respecto del otro. El Consejo de Estado ha precisado que las normas que establecen beneficios y preferencias deben interpretarse según sus propios términos, sin extensión analógica</w:t>
      </w:r>
      <w:r w:rsidRPr="00206556">
        <w:rPr>
          <w:rStyle w:val="Refdenotaalpie"/>
          <w:rFonts w:ascii="Verdana" w:hAnsi="Verdana"/>
        </w:rPr>
        <w:footnoteReference w:id="9"/>
      </w:r>
      <w:r>
        <w:rPr>
          <w:rFonts w:ascii="Verdana" w:hAnsi="Verdana"/>
        </w:rPr>
        <w:t>.</w:t>
      </w:r>
    </w:p>
    <w:p w14:paraId="0E08C336" w14:textId="77777777" w:rsidR="004C63A3" w:rsidRPr="00670CFB" w:rsidRDefault="004C63A3" w:rsidP="004C63A3">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vii</w:t>
      </w:r>
      <w:proofErr w:type="spellEnd"/>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0135AC83"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w:t>
      </w:r>
      <w:r w:rsidRPr="00670CFB">
        <w:rPr>
          <w:rFonts w:ascii="Verdana" w:hAnsi="Verdana"/>
        </w:rPr>
        <w:lastRenderedPageBreak/>
        <w:t xml:space="preserve">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0327D26B"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29C00886"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lastRenderedPageBreak/>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4713BDC1"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w:t>
      </w:r>
      <w:r w:rsidRPr="00670CFB">
        <w:rPr>
          <w:rFonts w:ascii="Verdana" w:hAnsi="Verdana"/>
        </w:rPr>
        <w:lastRenderedPageBreak/>
        <w:t>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5B6361BA"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0EA8FF2E"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w:t>
      </w:r>
      <w:r w:rsidRPr="00670CFB">
        <w:rPr>
          <w:rFonts w:ascii="Verdana" w:hAnsi="Verdana"/>
        </w:rPr>
        <w:lastRenderedPageBreak/>
        <w:t>accesibilidad; la inexistencia de norma técnica no exonera a la entidad de esta obligación sino que la convierte en autora de sus propios estándares de accesibilidad para ese contrato específico.</w:t>
      </w:r>
    </w:p>
    <w:p w14:paraId="04523CB0" w14:textId="77777777" w:rsidR="004C63A3" w:rsidRPr="00670CFB" w:rsidRDefault="004C63A3" w:rsidP="004C63A3">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61EEEF85" w14:textId="77777777" w:rsidR="004C63A3" w:rsidRPr="00206556" w:rsidRDefault="004C63A3" w:rsidP="004C63A3">
      <w:pPr>
        <w:spacing w:after="0" w:line="276" w:lineRule="auto"/>
        <w:jc w:val="both"/>
        <w:rPr>
          <w:rFonts w:ascii="Verdana" w:eastAsia="Calibri" w:hAnsi="Verdana" w:cs="Arial"/>
          <w:lang w:val="es-ES"/>
        </w:rPr>
      </w:pPr>
    </w:p>
    <w:p w14:paraId="2667BB60" w14:textId="77777777" w:rsidR="004C63A3" w:rsidRPr="00206556" w:rsidRDefault="004C63A3" w:rsidP="004C63A3">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C63A3" w:rsidRPr="00206556" w14:paraId="6DD4B878" w14:textId="77777777" w:rsidTr="000A6384">
        <w:trPr>
          <w:trHeight w:val="297"/>
        </w:trPr>
        <w:tc>
          <w:tcPr>
            <w:tcW w:w="8647" w:type="dxa"/>
          </w:tcPr>
          <w:p w14:paraId="748C2797" w14:textId="77777777" w:rsidR="004C63A3" w:rsidRPr="00670CFB"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3FD7C444"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53913AA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0583B2E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872C4B3"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5F0C1C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10468BFE"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7D75588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19D30BC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507813E2"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299F943A"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6A0647B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0DFA1EB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4F79D15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0F5FBAB0"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Decreto 0287 de 2026. Por el cual se modifican los artículos 2.2.1.2.4.2.6., 2.2.1.2.4.2.7. y 2.2.1.2.4.2.8. del Decreto 1082 de 2015.</w:t>
            </w:r>
          </w:p>
          <w:p w14:paraId="6689B67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4C2B07B1"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29D2FE2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1E6DB4E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71C1D05D"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336386C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0C3772F7"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4642374F"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7550B9C6"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34F3C63C"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0708B575" w14:textId="77777777" w:rsidR="004C63A3" w:rsidRPr="00206556" w:rsidRDefault="004C63A3" w:rsidP="004C63A3">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7425EBD1" w14:textId="77777777" w:rsidR="004C63A3" w:rsidRPr="00206556" w:rsidRDefault="004C63A3" w:rsidP="000A6384">
            <w:pPr>
              <w:widowControl w:val="0"/>
              <w:autoSpaceDE w:val="0"/>
              <w:autoSpaceDN w:val="0"/>
              <w:spacing w:line="276" w:lineRule="auto"/>
              <w:jc w:val="both"/>
              <w:rPr>
                <w:rFonts w:ascii="Verdana" w:eastAsia="Arial MT" w:hAnsi="Verdana" w:cs="Arial"/>
                <w:lang w:val="es-ES" w:eastAsia="es-ES" w:bidi="es-ES"/>
              </w:rPr>
            </w:pPr>
          </w:p>
        </w:tc>
      </w:tr>
    </w:tbl>
    <w:p w14:paraId="14B5C410"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C2F6604" w14:textId="77777777" w:rsidR="004C63A3" w:rsidRDefault="004C63A3" w:rsidP="004C63A3">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616976E0" w14:textId="77777777" w:rsidR="004C63A3" w:rsidRPr="00670CFB" w:rsidRDefault="004C63A3" w:rsidP="004C63A3">
      <w:pPr>
        <w:tabs>
          <w:tab w:val="left" w:pos="142"/>
          <w:tab w:val="left" w:pos="284"/>
        </w:tabs>
        <w:spacing w:after="0" w:line="276" w:lineRule="auto"/>
        <w:jc w:val="both"/>
        <w:rPr>
          <w:rFonts w:ascii="Verdana" w:eastAsia="Century Gothic" w:hAnsi="Verdana" w:cs="Century Gothic"/>
          <w:b/>
          <w:lang w:val="es-ES"/>
        </w:rPr>
      </w:pPr>
    </w:p>
    <w:p w14:paraId="26025DE5" w14:textId="77777777" w:rsidR="004C63A3" w:rsidRPr="00206556" w:rsidRDefault="004C63A3" w:rsidP="004C63A3">
      <w:pPr>
        <w:spacing w:after="0" w:line="276" w:lineRule="auto"/>
        <w:jc w:val="both"/>
        <w:rPr>
          <w:rFonts w:ascii="Verdana" w:hAnsi="Verdana"/>
          <w:color w:val="ED7D31"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sobre el alcance del Decreto 0287 de 2026 en este concepto</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w:t>
      </w:r>
      <w:r w:rsidRPr="00206556">
        <w:rPr>
          <w:rFonts w:ascii="Verdana" w:hAnsi="Verdana"/>
          <w:lang w:val="es-ES"/>
        </w:rPr>
        <w:lastRenderedPageBreak/>
        <w:t>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3" w:history="1">
        <w:r w:rsidRPr="00206556">
          <w:rPr>
            <w:rStyle w:val="Hipervnculo"/>
            <w:rFonts w:ascii="Verdana" w:hAnsi="Verdana" w:cs="Arial"/>
            <w:shd w:val="clear" w:color="auto" w:fill="FFFFFF"/>
            <w:lang w:val="es-ES"/>
          </w:rPr>
          <w:t>https://relatoria.colombiacompra.gov.co/busqueda/conceptos</w:t>
        </w:r>
      </w:hyperlink>
    </w:p>
    <w:p w14:paraId="43D8F0F5" w14:textId="77777777" w:rsidR="004C63A3" w:rsidRPr="00206556" w:rsidRDefault="004C63A3" w:rsidP="004C63A3">
      <w:pPr>
        <w:spacing w:after="0" w:line="276" w:lineRule="auto"/>
        <w:jc w:val="both"/>
        <w:rPr>
          <w:rFonts w:ascii="Verdana" w:hAnsi="Verdana" w:cs="Arial"/>
          <w:color w:val="ED7D31" w:themeColor="accent2"/>
          <w:shd w:val="clear" w:color="auto" w:fill="FFFFFF"/>
          <w:lang w:val="es-ES"/>
        </w:rPr>
      </w:pPr>
    </w:p>
    <w:p w14:paraId="74A0CDE1"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4"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580719A3" w14:textId="77777777" w:rsidR="004C63A3" w:rsidRPr="00206556" w:rsidRDefault="004C63A3" w:rsidP="004C63A3">
      <w:pPr>
        <w:spacing w:after="0" w:line="276" w:lineRule="auto"/>
        <w:jc w:val="both"/>
        <w:rPr>
          <w:rFonts w:ascii="Verdana" w:hAnsi="Verdana" w:cs="Arial"/>
          <w:shd w:val="clear" w:color="auto" w:fill="FFFFFF"/>
        </w:rPr>
      </w:pPr>
    </w:p>
    <w:p w14:paraId="236F6772"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5" w:history="1">
        <w:r w:rsidRPr="00206556">
          <w:rPr>
            <w:rStyle w:val="Hipervnculo"/>
            <w:rFonts w:ascii="Verdana" w:hAnsi="Verdana" w:cs="Arial"/>
            <w:shd w:val="clear" w:color="auto" w:fill="FFFFFF"/>
          </w:rPr>
          <w:t>https://www.colombiacompra.gov.co/normativa-y-relatoria/documentos-tipo</w:t>
        </w:r>
      </w:hyperlink>
    </w:p>
    <w:p w14:paraId="03E0431B" w14:textId="77777777" w:rsidR="004C63A3" w:rsidRPr="00206556" w:rsidRDefault="004C63A3" w:rsidP="004C63A3">
      <w:pPr>
        <w:spacing w:after="0" w:line="276" w:lineRule="auto"/>
        <w:jc w:val="both"/>
        <w:rPr>
          <w:rFonts w:ascii="Verdana" w:hAnsi="Verdana" w:cs="Arial"/>
          <w:shd w:val="clear" w:color="auto" w:fill="FFFFFF"/>
        </w:rPr>
      </w:pPr>
    </w:p>
    <w:p w14:paraId="4D7B093F" w14:textId="77777777" w:rsidR="004C63A3" w:rsidRPr="00206556" w:rsidRDefault="004C63A3" w:rsidP="004C63A3">
      <w:pPr>
        <w:spacing w:after="0" w:line="276" w:lineRule="auto"/>
        <w:jc w:val="both"/>
        <w:rPr>
          <w:rFonts w:ascii="Verdana" w:hAnsi="Verdana" w:cs="Arial"/>
          <w:shd w:val="clear" w:color="auto" w:fill="FFFFFF"/>
        </w:rPr>
      </w:pPr>
      <w:r w:rsidRPr="00206556">
        <w:rPr>
          <w:rFonts w:ascii="Verdana" w:hAnsi="Verdana" w:cs="Arial"/>
          <w:shd w:val="clear" w:color="auto" w:fill="FFFFFF"/>
        </w:rPr>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w:t>
      </w:r>
      <w:r w:rsidRPr="00206556">
        <w:rPr>
          <w:rFonts w:ascii="Verdana" w:hAnsi="Verdana" w:cs="Arial"/>
          <w:shd w:val="clear" w:color="auto" w:fill="FFFFFF"/>
        </w:rPr>
        <w:lastRenderedPageBreak/>
        <w:t>infraestructura-de-transporte-bajo-las-diferentes-modalidades-de-contratacion-vigentes</w:t>
      </w:r>
    </w:p>
    <w:p w14:paraId="041E96B3" w14:textId="77777777" w:rsidR="004C63A3" w:rsidRPr="00206556" w:rsidRDefault="004C63A3" w:rsidP="004C63A3">
      <w:pPr>
        <w:spacing w:after="0" w:line="276" w:lineRule="auto"/>
        <w:jc w:val="both"/>
        <w:rPr>
          <w:rFonts w:ascii="Verdana" w:hAnsi="Verdana" w:cs="Arial"/>
          <w:color w:val="ED7D31" w:themeColor="accent2"/>
          <w:shd w:val="clear" w:color="auto" w:fill="FFFFFF"/>
        </w:rPr>
      </w:pPr>
    </w:p>
    <w:p w14:paraId="2487F838"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F4A2FBF" w14:textId="77777777" w:rsidR="004C63A3" w:rsidRPr="00206556" w:rsidRDefault="004C63A3" w:rsidP="004C63A3">
      <w:pPr>
        <w:spacing w:after="0"/>
        <w:jc w:val="both"/>
        <w:rPr>
          <w:rFonts w:ascii="Verdana" w:hAnsi="Verdana" w:cs="Arial"/>
          <w:shd w:val="clear" w:color="auto" w:fill="FFFFFF"/>
        </w:rPr>
      </w:pPr>
    </w:p>
    <w:p w14:paraId="2C167D17"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75C9B8DD"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56C5EA7F"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01C1FFDA" w14:textId="77777777" w:rsidR="004C63A3" w:rsidRPr="00206556" w:rsidRDefault="004C63A3" w:rsidP="004C63A3">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A810F63" w14:textId="77777777" w:rsidR="004C63A3" w:rsidRPr="00206556" w:rsidRDefault="004C63A3" w:rsidP="004C63A3">
      <w:pPr>
        <w:widowControl w:val="0"/>
        <w:autoSpaceDE w:val="0"/>
        <w:autoSpaceDN w:val="0"/>
        <w:spacing w:after="0" w:line="276" w:lineRule="auto"/>
        <w:jc w:val="both"/>
        <w:rPr>
          <w:rFonts w:ascii="Verdana" w:hAnsi="Verdana" w:cs="Arial"/>
          <w:color w:val="ED7D31" w:themeColor="accent2"/>
          <w:lang w:val="es-ES"/>
        </w:rPr>
      </w:pPr>
    </w:p>
    <w:p w14:paraId="1437FD7F"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304A1E8" w14:textId="77777777" w:rsidR="004C63A3" w:rsidRPr="00206556" w:rsidRDefault="004C63A3" w:rsidP="004C63A3">
      <w:pPr>
        <w:widowControl w:val="0"/>
        <w:autoSpaceDE w:val="0"/>
        <w:autoSpaceDN w:val="0"/>
        <w:spacing w:after="0" w:line="276" w:lineRule="auto"/>
        <w:jc w:val="both"/>
        <w:rPr>
          <w:rFonts w:ascii="Verdana" w:hAnsi="Verdana" w:cs="Arial"/>
          <w:lang w:val="es-ES"/>
        </w:rPr>
      </w:pPr>
    </w:p>
    <w:p w14:paraId="23C41564" w14:textId="77777777" w:rsidR="004C63A3" w:rsidRPr="00206556" w:rsidRDefault="004C63A3" w:rsidP="004C63A3">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34755FDE" w14:textId="77777777" w:rsidR="004C63A3" w:rsidRPr="00206556" w:rsidRDefault="004C63A3" w:rsidP="004C63A3">
      <w:pPr>
        <w:autoSpaceDE w:val="0"/>
        <w:autoSpaceDN w:val="0"/>
        <w:adjustRightInd w:val="0"/>
        <w:spacing w:after="0" w:line="276" w:lineRule="auto"/>
        <w:rPr>
          <w:rFonts w:ascii="Verdana" w:eastAsia="Calibri" w:hAnsi="Verdana" w:cs="Arial"/>
          <w:noProof/>
          <w:sz w:val="20"/>
          <w:szCs w:val="20"/>
        </w:rPr>
      </w:pPr>
    </w:p>
    <w:p w14:paraId="15EB8684" w14:textId="459F2D50" w:rsidR="004C63A3" w:rsidRPr="00206556" w:rsidRDefault="009B5C83" w:rsidP="004C63A3">
      <w:pPr>
        <w:spacing w:after="0" w:line="256" w:lineRule="auto"/>
        <w:jc w:val="center"/>
        <w:rPr>
          <w:rFonts w:ascii="Verdana" w:eastAsia="Times New Roman" w:hAnsi="Verdana" w:cs="Arial"/>
          <w:lang w:eastAsia="es-ES"/>
        </w:rPr>
      </w:pPr>
      <w:r>
        <w:rPr>
          <w:noProof/>
        </w:rPr>
        <w:drawing>
          <wp:inline distT="0" distB="0" distL="0" distR="0" wp14:anchorId="069A25F1" wp14:editId="62AE33CA">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p w14:paraId="079438A5" w14:textId="77777777" w:rsidR="004C63A3" w:rsidRPr="00206556" w:rsidRDefault="004C63A3" w:rsidP="004C63A3">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4C63A3" w:rsidRPr="00206556" w14:paraId="63402B68" w14:textId="77777777" w:rsidTr="000A6384">
        <w:trPr>
          <w:trHeight w:val="322"/>
        </w:trPr>
        <w:tc>
          <w:tcPr>
            <w:tcW w:w="733" w:type="dxa"/>
            <w:tcBorders>
              <w:top w:val="nil"/>
              <w:left w:val="nil"/>
              <w:bottom w:val="nil"/>
              <w:right w:val="nil"/>
            </w:tcBorders>
            <w:vAlign w:val="center"/>
            <w:hideMark/>
          </w:tcPr>
          <w:p w14:paraId="5C4DB861"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CA7420C"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279D93E9" w14:textId="77777777" w:rsidR="004C63A3" w:rsidRPr="00A5703A" w:rsidRDefault="004C63A3" w:rsidP="000A6384">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4C63A3" w:rsidRPr="00206556" w14:paraId="4015DB90" w14:textId="77777777" w:rsidTr="000A6384">
        <w:trPr>
          <w:trHeight w:val="322"/>
        </w:trPr>
        <w:tc>
          <w:tcPr>
            <w:tcW w:w="733" w:type="dxa"/>
            <w:tcBorders>
              <w:top w:val="nil"/>
              <w:left w:val="nil"/>
              <w:bottom w:val="nil"/>
              <w:right w:val="nil"/>
            </w:tcBorders>
            <w:vAlign w:val="center"/>
            <w:hideMark/>
          </w:tcPr>
          <w:p w14:paraId="2FCE25D9"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128ED358" w14:textId="77777777" w:rsidR="004C63A3" w:rsidRPr="00206556" w:rsidRDefault="004C63A3" w:rsidP="000A6384">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w:t>
            </w:r>
          </w:p>
          <w:p w14:paraId="0C4EA4D3" w14:textId="77777777" w:rsidR="004C63A3" w:rsidRPr="00A5703A" w:rsidRDefault="004C63A3" w:rsidP="000A6384">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4C63A3" w:rsidRPr="00206556" w14:paraId="07D5D7B1" w14:textId="77777777" w:rsidTr="000A6384">
        <w:trPr>
          <w:trHeight w:val="307"/>
        </w:trPr>
        <w:tc>
          <w:tcPr>
            <w:tcW w:w="733" w:type="dxa"/>
            <w:tcBorders>
              <w:top w:val="nil"/>
              <w:left w:val="nil"/>
              <w:bottom w:val="nil"/>
              <w:right w:val="nil"/>
            </w:tcBorders>
            <w:vAlign w:val="center"/>
            <w:hideMark/>
          </w:tcPr>
          <w:p w14:paraId="219503E6" w14:textId="77777777" w:rsidR="004C63A3" w:rsidRPr="00206556" w:rsidRDefault="004C63A3" w:rsidP="000A6384">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6CC34733"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1A8F55A8" w14:textId="77777777" w:rsidR="004C63A3" w:rsidRPr="00206556" w:rsidRDefault="004C63A3" w:rsidP="000A6384">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31C0439E" w14:textId="77777777" w:rsidR="004C63A3" w:rsidRDefault="004C63A3" w:rsidP="004C63A3">
      <w:pPr>
        <w:autoSpaceDE w:val="0"/>
        <w:autoSpaceDN w:val="0"/>
        <w:adjustRightInd w:val="0"/>
        <w:spacing w:after="0" w:line="276" w:lineRule="auto"/>
        <w:jc w:val="center"/>
        <w:rPr>
          <w:rFonts w:ascii="Verdana" w:eastAsia="Calibri" w:hAnsi="Verdana" w:cs="Arial"/>
        </w:rPr>
      </w:pPr>
    </w:p>
    <w:p w14:paraId="0F293BF4" w14:textId="3ED26EAB" w:rsidR="00127233" w:rsidRPr="004C63A3" w:rsidRDefault="005A72BA" w:rsidP="004C63A3">
      <w:r>
        <w:rPr>
          <w:noProof/>
        </w:rPr>
        <w:drawing>
          <wp:inline distT="0" distB="0" distL="0" distR="0" wp14:anchorId="29EC5A15" wp14:editId="6B48A7CD">
            <wp:extent cx="2171700" cy="266700"/>
            <wp:effectExtent l="0" t="0" r="0" b="0"/>
            <wp:docPr id="39468173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681738" name="Imagen 2"/>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p>
    <w:sectPr w:rsidR="00127233" w:rsidRPr="004C63A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3BE012" w14:textId="77777777" w:rsidR="00590106" w:rsidRDefault="00590106" w:rsidP="004A1847">
      <w:pPr>
        <w:spacing w:after="0" w:line="240" w:lineRule="auto"/>
      </w:pPr>
      <w:r>
        <w:separator/>
      </w:r>
    </w:p>
  </w:endnote>
  <w:endnote w:type="continuationSeparator" w:id="0">
    <w:p w14:paraId="7F7E2DC8" w14:textId="77777777" w:rsidR="00590106" w:rsidRDefault="0059010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084217" w14:textId="77777777" w:rsidR="00590106" w:rsidRDefault="00590106" w:rsidP="004A1847">
      <w:pPr>
        <w:spacing w:after="0" w:line="240" w:lineRule="auto"/>
      </w:pPr>
      <w:r>
        <w:separator/>
      </w:r>
    </w:p>
  </w:footnote>
  <w:footnote w:type="continuationSeparator" w:id="0">
    <w:p w14:paraId="2E293CA2" w14:textId="77777777" w:rsidR="00590106" w:rsidRDefault="00590106" w:rsidP="004A1847">
      <w:pPr>
        <w:spacing w:after="0" w:line="240" w:lineRule="auto"/>
      </w:pPr>
      <w:r>
        <w:continuationSeparator/>
      </w:r>
    </w:p>
  </w:footnote>
  <w:footnote w:id="1">
    <w:p w14:paraId="51EB9D0D"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56F4EEA9" w14:textId="77777777" w:rsidR="004C63A3" w:rsidRPr="00206556" w:rsidRDefault="004C63A3" w:rsidP="004C63A3">
      <w:pPr>
        <w:spacing w:after="80" w:line="240" w:lineRule="auto"/>
        <w:ind w:firstLine="708"/>
        <w:jc w:val="both"/>
        <w:rPr>
          <w:rFonts w:ascii="Verdana" w:hAnsi="Verdana"/>
          <w:sz w:val="16"/>
          <w:szCs w:val="16"/>
        </w:rPr>
      </w:pPr>
    </w:p>
  </w:footnote>
  <w:footnote w:id="2">
    <w:p w14:paraId="0D74BBA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52501C4F" w14:textId="77777777" w:rsidR="004C63A3" w:rsidRPr="00206556" w:rsidRDefault="004C63A3" w:rsidP="004C63A3">
      <w:pPr>
        <w:pStyle w:val="Textonotapie"/>
        <w:ind w:firstLine="708"/>
        <w:jc w:val="both"/>
        <w:rPr>
          <w:rFonts w:ascii="Verdana" w:hAnsi="Verdana"/>
          <w:sz w:val="16"/>
          <w:szCs w:val="16"/>
          <w:lang w:val="es-ES"/>
        </w:rPr>
      </w:pPr>
    </w:p>
  </w:footnote>
  <w:footnote w:id="3">
    <w:p w14:paraId="665ADB56" w14:textId="77777777" w:rsidR="004C63A3" w:rsidRPr="00206556" w:rsidRDefault="004C63A3" w:rsidP="004C63A3">
      <w:pPr>
        <w:spacing w:after="80" w:line="240" w:lineRule="auto"/>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469D6DE0" w14:textId="77777777" w:rsidR="004C63A3" w:rsidRPr="00206556" w:rsidRDefault="004C63A3" w:rsidP="004C63A3">
      <w:pPr>
        <w:spacing w:after="80" w:line="240" w:lineRule="auto"/>
        <w:ind w:firstLine="708"/>
        <w:jc w:val="both"/>
        <w:rPr>
          <w:rFonts w:ascii="Verdana" w:hAnsi="Verdana"/>
          <w:sz w:val="16"/>
          <w:szCs w:val="16"/>
        </w:rPr>
      </w:pPr>
    </w:p>
  </w:footnote>
  <w:footnote w:id="4">
    <w:p w14:paraId="208CF8FA" w14:textId="77777777" w:rsidR="004C63A3" w:rsidRPr="00206556" w:rsidRDefault="004C63A3" w:rsidP="004C63A3">
      <w:pPr>
        <w:pStyle w:val="Textonotapie"/>
        <w:ind w:firstLine="708"/>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5B38570D" w14:textId="77777777" w:rsidR="004C63A3" w:rsidRPr="00206556" w:rsidRDefault="004C63A3" w:rsidP="004C63A3">
      <w:pPr>
        <w:pStyle w:val="Textonotapie"/>
        <w:ind w:firstLine="708"/>
        <w:jc w:val="both"/>
        <w:rPr>
          <w:rFonts w:ascii="Verdana" w:hAnsi="Verdana"/>
          <w:sz w:val="16"/>
          <w:szCs w:val="16"/>
          <w:lang w:val="es-ES"/>
        </w:rPr>
      </w:pPr>
    </w:p>
  </w:footnote>
  <w:footnote w:id="5">
    <w:p w14:paraId="1B706B76" w14:textId="77777777" w:rsidR="004C63A3" w:rsidRPr="00206556" w:rsidRDefault="004C63A3" w:rsidP="004C63A3">
      <w:pPr>
        <w:pStyle w:val="Textonotapie"/>
        <w:ind w:firstLine="708"/>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42D74A42" w14:textId="77777777" w:rsidR="004C63A3" w:rsidRPr="00206556" w:rsidRDefault="004C63A3" w:rsidP="004C63A3">
      <w:pPr>
        <w:pStyle w:val="Textonotapie"/>
        <w:ind w:firstLine="708"/>
        <w:jc w:val="both"/>
        <w:rPr>
          <w:rFonts w:ascii="Verdana" w:hAnsi="Verdana"/>
          <w:sz w:val="16"/>
          <w:szCs w:val="16"/>
          <w:lang w:val="es-ES"/>
        </w:rPr>
      </w:pPr>
    </w:p>
  </w:footnote>
  <w:footnote w:id="6">
    <w:p w14:paraId="5848AF40"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77780BF4" w14:textId="77777777" w:rsidR="004C63A3" w:rsidRPr="00206556" w:rsidRDefault="004C63A3" w:rsidP="004C63A3">
      <w:pPr>
        <w:pStyle w:val="Textonotapie"/>
        <w:ind w:firstLine="708"/>
        <w:rPr>
          <w:rFonts w:ascii="Verdana" w:hAnsi="Verdana"/>
          <w:sz w:val="16"/>
          <w:szCs w:val="16"/>
          <w:lang w:val="es-ES"/>
        </w:rPr>
      </w:pPr>
    </w:p>
  </w:footnote>
  <w:footnote w:id="7">
    <w:p w14:paraId="536F8A72"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791F2C86" w14:textId="77777777" w:rsidR="004C63A3" w:rsidRPr="00206556" w:rsidRDefault="004C63A3" w:rsidP="004C63A3">
      <w:pPr>
        <w:pStyle w:val="Textonotapie"/>
        <w:ind w:firstLine="708"/>
        <w:rPr>
          <w:rFonts w:ascii="Verdana" w:hAnsi="Verdana"/>
          <w:sz w:val="16"/>
          <w:szCs w:val="16"/>
          <w:lang w:val="es-ES"/>
        </w:rPr>
      </w:pPr>
    </w:p>
  </w:footnote>
  <w:footnote w:id="8">
    <w:p w14:paraId="3BFC0D36" w14:textId="77777777" w:rsidR="004C63A3" w:rsidRPr="00206556" w:rsidRDefault="004C63A3" w:rsidP="004C63A3">
      <w:pPr>
        <w:pStyle w:val="Textonotapie"/>
        <w:ind w:firstLine="708"/>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9">
    <w:p w14:paraId="4F93A642" w14:textId="77777777" w:rsidR="004C63A3" w:rsidRPr="00206556" w:rsidRDefault="004C63A3" w:rsidP="004C63A3">
      <w:pPr>
        <w:pStyle w:val="Textonotapie"/>
        <w:ind w:firstLine="708"/>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Consejo de Estado de Colombia. Sala de Consulta y Servicio Civil. (2013, julio 24). Concepto radicación n.° 2166. Consejero Ponente: Álvaro Namén Vargas. Bogotá: Consejo de Estado.</w:t>
      </w:r>
    </w:p>
    <w:p w14:paraId="6E5E236A" w14:textId="77777777" w:rsidR="004C63A3" w:rsidRPr="00206556" w:rsidRDefault="004C63A3" w:rsidP="004C63A3">
      <w:pPr>
        <w:pStyle w:val="Textonotapie"/>
        <w:ind w:firstLine="708"/>
        <w:rPr>
          <w:rFonts w:ascii="Verdana" w:hAnsi="Verdana"/>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pt;height:10.3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18AD"/>
    <w:rsid w:val="000A683E"/>
    <w:rsid w:val="000B19B9"/>
    <w:rsid w:val="000D0334"/>
    <w:rsid w:val="000D5DA7"/>
    <w:rsid w:val="000F6486"/>
    <w:rsid w:val="00116940"/>
    <w:rsid w:val="00125105"/>
    <w:rsid w:val="00127233"/>
    <w:rsid w:val="0015699B"/>
    <w:rsid w:val="001A33BF"/>
    <w:rsid w:val="001E4177"/>
    <w:rsid w:val="001F0B24"/>
    <w:rsid w:val="001F22AB"/>
    <w:rsid w:val="001F7DC6"/>
    <w:rsid w:val="0022400B"/>
    <w:rsid w:val="002421BB"/>
    <w:rsid w:val="0025796E"/>
    <w:rsid w:val="002707A2"/>
    <w:rsid w:val="002951A0"/>
    <w:rsid w:val="002962BC"/>
    <w:rsid w:val="002A093D"/>
    <w:rsid w:val="002A0DD0"/>
    <w:rsid w:val="002A49AC"/>
    <w:rsid w:val="002A64FD"/>
    <w:rsid w:val="002B5A42"/>
    <w:rsid w:val="002C7A84"/>
    <w:rsid w:val="002E2BF8"/>
    <w:rsid w:val="002E4FD9"/>
    <w:rsid w:val="0030657A"/>
    <w:rsid w:val="00322A85"/>
    <w:rsid w:val="00324168"/>
    <w:rsid w:val="00330834"/>
    <w:rsid w:val="00343662"/>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0785"/>
    <w:rsid w:val="004B7084"/>
    <w:rsid w:val="004C63A3"/>
    <w:rsid w:val="004F21C4"/>
    <w:rsid w:val="004F685F"/>
    <w:rsid w:val="004F7B00"/>
    <w:rsid w:val="00505EB3"/>
    <w:rsid w:val="00522E94"/>
    <w:rsid w:val="00551A3D"/>
    <w:rsid w:val="005566E8"/>
    <w:rsid w:val="005640D7"/>
    <w:rsid w:val="00574867"/>
    <w:rsid w:val="00590106"/>
    <w:rsid w:val="00591460"/>
    <w:rsid w:val="005A65E0"/>
    <w:rsid w:val="005A72BA"/>
    <w:rsid w:val="005C3777"/>
    <w:rsid w:val="005C5CDC"/>
    <w:rsid w:val="005D476C"/>
    <w:rsid w:val="005E3211"/>
    <w:rsid w:val="006200BF"/>
    <w:rsid w:val="006219F8"/>
    <w:rsid w:val="006302F7"/>
    <w:rsid w:val="00646B9F"/>
    <w:rsid w:val="00665D70"/>
    <w:rsid w:val="006900D9"/>
    <w:rsid w:val="00706C16"/>
    <w:rsid w:val="007340C3"/>
    <w:rsid w:val="007449A0"/>
    <w:rsid w:val="0075235A"/>
    <w:rsid w:val="00756841"/>
    <w:rsid w:val="007649AB"/>
    <w:rsid w:val="00771D0C"/>
    <w:rsid w:val="007833AC"/>
    <w:rsid w:val="007937F6"/>
    <w:rsid w:val="007B268C"/>
    <w:rsid w:val="007B7171"/>
    <w:rsid w:val="007C0C0F"/>
    <w:rsid w:val="007C3DC2"/>
    <w:rsid w:val="007C40AC"/>
    <w:rsid w:val="007E5497"/>
    <w:rsid w:val="00806F5F"/>
    <w:rsid w:val="00820278"/>
    <w:rsid w:val="008258C9"/>
    <w:rsid w:val="00844AE9"/>
    <w:rsid w:val="00867F95"/>
    <w:rsid w:val="008843B6"/>
    <w:rsid w:val="00891928"/>
    <w:rsid w:val="008A446D"/>
    <w:rsid w:val="008B25F1"/>
    <w:rsid w:val="008D180B"/>
    <w:rsid w:val="008F0EA7"/>
    <w:rsid w:val="00901C09"/>
    <w:rsid w:val="00923EEF"/>
    <w:rsid w:val="009419F9"/>
    <w:rsid w:val="0095685E"/>
    <w:rsid w:val="00961B09"/>
    <w:rsid w:val="00965334"/>
    <w:rsid w:val="0097093E"/>
    <w:rsid w:val="009A0DFA"/>
    <w:rsid w:val="009A1C6F"/>
    <w:rsid w:val="009B2D26"/>
    <w:rsid w:val="009B5C83"/>
    <w:rsid w:val="009B66E5"/>
    <w:rsid w:val="009C71FA"/>
    <w:rsid w:val="009C72E7"/>
    <w:rsid w:val="009C7F7E"/>
    <w:rsid w:val="009D3058"/>
    <w:rsid w:val="009F3A13"/>
    <w:rsid w:val="00A122D3"/>
    <w:rsid w:val="00A14468"/>
    <w:rsid w:val="00A17F13"/>
    <w:rsid w:val="00A20739"/>
    <w:rsid w:val="00A23AF9"/>
    <w:rsid w:val="00A33C78"/>
    <w:rsid w:val="00A47F55"/>
    <w:rsid w:val="00AB0ADB"/>
    <w:rsid w:val="00AD700F"/>
    <w:rsid w:val="00AE5B64"/>
    <w:rsid w:val="00B00C0E"/>
    <w:rsid w:val="00B01B1A"/>
    <w:rsid w:val="00B0381D"/>
    <w:rsid w:val="00B418FD"/>
    <w:rsid w:val="00B44A47"/>
    <w:rsid w:val="00B70A56"/>
    <w:rsid w:val="00B72CD3"/>
    <w:rsid w:val="00B72FFF"/>
    <w:rsid w:val="00BC3D36"/>
    <w:rsid w:val="00BD33DE"/>
    <w:rsid w:val="00BD54A6"/>
    <w:rsid w:val="00BD7F72"/>
    <w:rsid w:val="00BE77BD"/>
    <w:rsid w:val="00BF7425"/>
    <w:rsid w:val="00C04FB3"/>
    <w:rsid w:val="00C05733"/>
    <w:rsid w:val="00C11D8B"/>
    <w:rsid w:val="00C15139"/>
    <w:rsid w:val="00C267E7"/>
    <w:rsid w:val="00C330EB"/>
    <w:rsid w:val="00C50D69"/>
    <w:rsid w:val="00C5365C"/>
    <w:rsid w:val="00C754BE"/>
    <w:rsid w:val="00C76B1C"/>
    <w:rsid w:val="00C925AC"/>
    <w:rsid w:val="00CB6357"/>
    <w:rsid w:val="00CC1B26"/>
    <w:rsid w:val="00CD661D"/>
    <w:rsid w:val="00D361FD"/>
    <w:rsid w:val="00D423A2"/>
    <w:rsid w:val="00D44E26"/>
    <w:rsid w:val="00D45069"/>
    <w:rsid w:val="00D520D8"/>
    <w:rsid w:val="00D63AC2"/>
    <w:rsid w:val="00D7383B"/>
    <w:rsid w:val="00D7788A"/>
    <w:rsid w:val="00DA231B"/>
    <w:rsid w:val="00DB1A42"/>
    <w:rsid w:val="00DC39FC"/>
    <w:rsid w:val="00DF5254"/>
    <w:rsid w:val="00E02524"/>
    <w:rsid w:val="00E16408"/>
    <w:rsid w:val="00E16E74"/>
    <w:rsid w:val="00E20894"/>
    <w:rsid w:val="00E245AB"/>
    <w:rsid w:val="00E2764C"/>
    <w:rsid w:val="00E27F2E"/>
    <w:rsid w:val="00E50AFE"/>
    <w:rsid w:val="00E75C92"/>
    <w:rsid w:val="00E771DC"/>
    <w:rsid w:val="00E8772A"/>
    <w:rsid w:val="00E90F6B"/>
    <w:rsid w:val="00E92C27"/>
    <w:rsid w:val="00EA0E3D"/>
    <w:rsid w:val="00EC38A7"/>
    <w:rsid w:val="00ED7B6B"/>
    <w:rsid w:val="00EE1AA8"/>
    <w:rsid w:val="00EF7B51"/>
    <w:rsid w:val="00F23FEA"/>
    <w:rsid w:val="00F31EDC"/>
    <w:rsid w:val="00F462B3"/>
    <w:rsid w:val="00F5664F"/>
    <w:rsid w:val="00F666C4"/>
    <w:rsid w:val="00F76AFC"/>
    <w:rsid w:val="00FA47C0"/>
    <w:rsid w:val="00FB5DD1"/>
    <w:rsid w:val="00FC2B5D"/>
    <w:rsid w:val="00FC6937"/>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1EE397B"/>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C63A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youtube.com/live/vpxD3PlXqPI?si=49f8ghb7Iiit6Ja9"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archivos/infografia/abc-del-decreto-0287-de-2026-contratacion-publica-inclusiva-para-personas-con-discapacidad"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0B399ED-026B-400A-8D13-F0614D14A5EB}"/>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26</Pages>
  <Words>9003</Words>
  <Characters>49520</Characters>
  <Application>Microsoft Office Word</Application>
  <DocSecurity>0</DocSecurity>
  <Lines>412</Lines>
  <Paragraphs>116</Paragraphs>
  <ScaleCrop>false</ScaleCrop>
  <Company/>
  <LinksUpToDate>false</LinksUpToDate>
  <CharactersWithSpaces>58407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4</cp:revision>
  <cp:lastPrinted>2023-01-10T21:18:00Z</cp:lastPrinted>
  <dcterms:created xsi:type="dcterms:W3CDTF">2026-05-08T21:55:00Z</dcterms:created>
  <dcterms:modified xsi:type="dcterms:W3CDTF">2026-05-11T14:29:00Z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