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67E666" w14:textId="77777777" w:rsidR="004074D3" w:rsidRPr="0030751E" w:rsidRDefault="004074D3" w:rsidP="004074D3">
      <w:pPr>
        <w:spacing w:after="0" w:line="240" w:lineRule="auto"/>
        <w:jc w:val="both"/>
        <w:rPr>
          <w:rFonts w:ascii="Verdana" w:eastAsia="Aptos" w:hAnsi="Verdana" w:cs="Arial"/>
          <w:b/>
          <w:bCs/>
          <w:kern w:val="2"/>
          <w14:ligatures w14:val="standardContextual"/>
        </w:rPr>
      </w:pPr>
      <w:bookmarkStart w:id="0" w:name="_Hlk143780582"/>
      <w:r w:rsidRPr="0030751E">
        <w:rPr>
          <w:rFonts w:ascii="Verdana" w:eastAsia="Aptos" w:hAnsi="Verdana" w:cs="Arial"/>
          <w:b/>
          <w:bCs/>
          <w:kern w:val="2"/>
          <w14:ligatures w14:val="standardContextual"/>
        </w:rPr>
        <w:t xml:space="preserve">PRINCIPIO DE PLANEACIÓN – Noción – Estudios previos – Importancia </w:t>
      </w:r>
    </w:p>
    <w:p w14:paraId="4AFEAE6C" w14:textId="77777777" w:rsidR="004074D3" w:rsidRPr="0030751E" w:rsidRDefault="004074D3" w:rsidP="004074D3">
      <w:pPr>
        <w:spacing w:after="0" w:line="240" w:lineRule="auto"/>
        <w:jc w:val="both"/>
        <w:rPr>
          <w:rFonts w:ascii="Verdana" w:eastAsia="Aptos" w:hAnsi="Verdana" w:cs="Arial"/>
          <w:b/>
          <w:bCs/>
          <w:kern w:val="2"/>
          <w14:ligatures w14:val="standardContextual"/>
        </w:rPr>
      </w:pPr>
    </w:p>
    <w:p w14:paraId="27763722" w14:textId="77777777" w:rsidR="004074D3" w:rsidRPr="0030751E" w:rsidRDefault="004074D3" w:rsidP="004074D3">
      <w:pPr>
        <w:spacing w:after="0" w:line="240" w:lineRule="auto"/>
        <w:jc w:val="both"/>
        <w:rPr>
          <w:rFonts w:ascii="Verdana" w:eastAsia="Aptos" w:hAnsi="Verdana" w:cs="Arial"/>
          <w:kern w:val="2"/>
          <w:sz w:val="20"/>
          <w:szCs w:val="20"/>
          <w14:ligatures w14:val="standardContextual"/>
        </w:rPr>
      </w:pPr>
      <w:r w:rsidRPr="0030751E">
        <w:rPr>
          <w:rFonts w:ascii="Verdana" w:eastAsia="Aptos" w:hAnsi="Verdana" w:cs="Arial"/>
          <w:kern w:val="2"/>
          <w:sz w:val="20"/>
          <w:szCs w:val="20"/>
          <w14:ligatures w14:val="standardContextual"/>
        </w:rPr>
        <w:t xml:space="preserve">La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 disponibilidad, oferentes, etc. Lo anterior con la finalidad de realizar la escogencia diligente de la mejor oferta, para beneficiar los intereses y fines públicos inmersos en la contratación de las entidades públicas.  </w:t>
      </w:r>
    </w:p>
    <w:p w14:paraId="7D2DDB48" w14:textId="77777777" w:rsidR="004074D3" w:rsidRPr="0030751E" w:rsidRDefault="004074D3" w:rsidP="004074D3">
      <w:pPr>
        <w:spacing w:after="0" w:line="240" w:lineRule="auto"/>
        <w:jc w:val="both"/>
        <w:rPr>
          <w:rFonts w:ascii="Verdana" w:eastAsia="Aptos" w:hAnsi="Verdana" w:cs="Arial"/>
          <w:kern w:val="2"/>
          <w:sz w:val="20"/>
          <w:szCs w:val="20"/>
          <w14:ligatures w14:val="standardContextual"/>
        </w:rPr>
      </w:pPr>
    </w:p>
    <w:p w14:paraId="63424161" w14:textId="77777777" w:rsidR="004074D3" w:rsidRPr="0030751E" w:rsidRDefault="004074D3" w:rsidP="004074D3">
      <w:pPr>
        <w:spacing w:after="0" w:line="240" w:lineRule="auto"/>
        <w:jc w:val="both"/>
        <w:rPr>
          <w:rFonts w:ascii="Verdana" w:eastAsia="Aptos" w:hAnsi="Verdana" w:cs="Arial"/>
          <w:kern w:val="2"/>
          <w:sz w:val="20"/>
          <w:szCs w:val="20"/>
          <w14:ligatures w14:val="standardContextual"/>
        </w:rPr>
      </w:pPr>
      <w:r w:rsidRPr="0030751E">
        <w:rPr>
          <w:rFonts w:ascii="Verdana" w:eastAsia="Aptos" w:hAnsi="Verdana" w:cs="Arial"/>
          <w:kern w:val="2"/>
          <w:sz w:val="20"/>
          <w:szCs w:val="20"/>
          <w14:ligatures w14:val="standardContextual"/>
        </w:rPr>
        <w:t>El Estatuto General de Contratación de la Administración Pública contiene disposiciones que exigen a las Entidades Estatales el deber de realizar actividades de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w:t>
      </w:r>
    </w:p>
    <w:p w14:paraId="7FD3198D" w14:textId="77777777" w:rsidR="004074D3" w:rsidRPr="0030751E" w:rsidRDefault="004074D3" w:rsidP="004074D3">
      <w:pPr>
        <w:spacing w:after="0" w:line="240" w:lineRule="auto"/>
        <w:jc w:val="both"/>
        <w:rPr>
          <w:rFonts w:ascii="Verdana" w:eastAsia="Aptos" w:hAnsi="Verdana" w:cs="Arial"/>
          <w:b/>
          <w:bCs/>
          <w:kern w:val="2"/>
          <w14:ligatures w14:val="standardContextual"/>
        </w:rPr>
      </w:pPr>
    </w:p>
    <w:p w14:paraId="608824F7" w14:textId="77777777" w:rsidR="004074D3" w:rsidRPr="0030751E" w:rsidRDefault="004074D3" w:rsidP="004074D3">
      <w:pPr>
        <w:spacing w:after="0" w:line="240" w:lineRule="auto"/>
        <w:jc w:val="both"/>
        <w:rPr>
          <w:rFonts w:ascii="Verdana" w:eastAsia="Aptos" w:hAnsi="Verdana" w:cs="Arial"/>
          <w:b/>
          <w:bCs/>
          <w:kern w:val="2"/>
          <w14:ligatures w14:val="standardContextual"/>
        </w:rPr>
      </w:pPr>
      <w:r w:rsidRPr="0030751E">
        <w:rPr>
          <w:rFonts w:ascii="Verdana" w:eastAsia="Aptos" w:hAnsi="Verdana" w:cs="Arial"/>
          <w:b/>
          <w:bCs/>
          <w:kern w:val="2"/>
          <w14:ligatures w14:val="standardContextual"/>
        </w:rPr>
        <w:t>VIGILANCIA DE LOS CONTRATOS ESTATALES – Marco jurídico – Obligación de la entidad – Objetivo</w:t>
      </w:r>
    </w:p>
    <w:p w14:paraId="61FF038D" w14:textId="77777777" w:rsidR="004074D3" w:rsidRPr="0030751E" w:rsidRDefault="004074D3" w:rsidP="004074D3">
      <w:pPr>
        <w:spacing w:after="0" w:line="240" w:lineRule="auto"/>
        <w:jc w:val="both"/>
        <w:rPr>
          <w:rFonts w:ascii="Verdana" w:eastAsia="Aptos" w:hAnsi="Verdana" w:cs="Arial"/>
          <w:b/>
          <w:bCs/>
          <w:kern w:val="2"/>
          <w14:ligatures w14:val="standardContextual"/>
        </w:rPr>
      </w:pPr>
    </w:p>
    <w:p w14:paraId="0F3820AD" w14:textId="77777777" w:rsidR="004074D3" w:rsidRPr="0030751E" w:rsidRDefault="004074D3" w:rsidP="004074D3">
      <w:pPr>
        <w:spacing w:after="0" w:line="240" w:lineRule="auto"/>
        <w:jc w:val="both"/>
        <w:rPr>
          <w:rFonts w:ascii="Verdana" w:eastAsia="Aptos" w:hAnsi="Verdana" w:cs="Arial"/>
          <w:kern w:val="2"/>
          <w:sz w:val="20"/>
          <w:szCs w:val="20"/>
          <w14:ligatures w14:val="standardContextual"/>
        </w:rPr>
      </w:pPr>
      <w:r w:rsidRPr="0030751E">
        <w:rPr>
          <w:rFonts w:ascii="Verdana" w:eastAsia="Aptos" w:hAnsi="Verdana" w:cs="Arial"/>
          <w:kern w:val="2"/>
          <w:sz w:val="20"/>
          <w:szCs w:val="20"/>
          <w14:ligatures w14:val="standardContextual"/>
        </w:rPr>
        <w:t>La Ley 80 de 1993 establece en sus artículos 4, 5, 12, 14 y 26, entre otros aspectos,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w:t>
      </w:r>
    </w:p>
    <w:p w14:paraId="774A4843" w14:textId="77777777" w:rsidR="004074D3" w:rsidRPr="0030751E" w:rsidRDefault="004074D3" w:rsidP="004074D3">
      <w:pPr>
        <w:spacing w:after="0" w:line="240" w:lineRule="auto"/>
        <w:jc w:val="both"/>
        <w:rPr>
          <w:rFonts w:ascii="Verdana" w:eastAsia="Aptos" w:hAnsi="Verdana" w:cs="Arial"/>
          <w:kern w:val="2"/>
          <w:sz w:val="20"/>
          <w:szCs w:val="20"/>
          <w14:ligatures w14:val="standardContextual"/>
        </w:rPr>
      </w:pPr>
    </w:p>
    <w:p w14:paraId="77C3341D" w14:textId="77777777" w:rsidR="004074D3" w:rsidRPr="0030751E" w:rsidRDefault="004074D3" w:rsidP="004074D3">
      <w:pPr>
        <w:spacing w:after="0" w:line="240" w:lineRule="auto"/>
        <w:jc w:val="both"/>
        <w:rPr>
          <w:rFonts w:ascii="Verdana" w:eastAsia="Aptos" w:hAnsi="Verdana" w:cs="Arial"/>
          <w:kern w:val="2"/>
          <w:sz w:val="20"/>
          <w:szCs w:val="20"/>
          <w14:ligatures w14:val="standardContextual"/>
        </w:rPr>
      </w:pPr>
      <w:r w:rsidRPr="0030751E">
        <w:rPr>
          <w:rFonts w:ascii="Verdana" w:eastAsia="Aptos" w:hAnsi="Verdana" w:cs="Arial"/>
          <w:kern w:val="2"/>
          <w:sz w:val="20"/>
          <w:szCs w:val="20"/>
          <w14:ligatures w14:val="standardContextual"/>
        </w:rPr>
        <w:t>[…], las Leyes 1150 de 2007 y 1474 de 2011, complementan el régimen jurídico de la obligación de vigilar la correcta ejecución de los contratos estatales. […]se establecen los límites de la responsabilidad del representante legal ante la delegación de sus funciones en materia contractual y se regula la supervisión y la interventoría de los contratos estatales.</w:t>
      </w:r>
    </w:p>
    <w:p w14:paraId="16B32D74" w14:textId="77777777" w:rsidR="004074D3" w:rsidRPr="0030751E" w:rsidRDefault="004074D3" w:rsidP="004074D3">
      <w:pPr>
        <w:spacing w:after="0" w:line="240" w:lineRule="auto"/>
        <w:jc w:val="both"/>
        <w:rPr>
          <w:rFonts w:ascii="Verdana" w:eastAsia="Aptos" w:hAnsi="Verdana" w:cs="Arial"/>
          <w:kern w:val="2"/>
          <w14:ligatures w14:val="standardContextual"/>
        </w:rPr>
      </w:pPr>
    </w:p>
    <w:p w14:paraId="72E38AC9" w14:textId="77777777" w:rsidR="004074D3" w:rsidRPr="0030751E" w:rsidRDefault="004074D3" w:rsidP="004074D3">
      <w:pPr>
        <w:spacing w:after="0" w:line="240" w:lineRule="auto"/>
        <w:jc w:val="both"/>
        <w:rPr>
          <w:rFonts w:ascii="Verdana" w:eastAsia="Aptos" w:hAnsi="Verdana" w:cs="Arial"/>
          <w:b/>
          <w:bCs/>
          <w:kern w:val="2"/>
          <w14:ligatures w14:val="standardContextual"/>
        </w:rPr>
      </w:pPr>
      <w:r w:rsidRPr="0030751E">
        <w:rPr>
          <w:rFonts w:ascii="Verdana" w:eastAsia="Aptos" w:hAnsi="Verdana" w:cs="Arial"/>
          <w:b/>
          <w:bCs/>
          <w:kern w:val="2"/>
          <w14:ligatures w14:val="standardContextual"/>
        </w:rPr>
        <w:t xml:space="preserve">SUPERVISIÓN E INTERVENTORÍA – Marco jurídico – Finalidad </w:t>
      </w:r>
    </w:p>
    <w:p w14:paraId="1E504472" w14:textId="77777777" w:rsidR="004074D3" w:rsidRPr="0030751E" w:rsidRDefault="004074D3" w:rsidP="004074D3">
      <w:pPr>
        <w:spacing w:after="0" w:line="278" w:lineRule="auto"/>
        <w:jc w:val="both"/>
        <w:rPr>
          <w:rFonts w:ascii="Verdana" w:eastAsia="Aptos" w:hAnsi="Verdana" w:cs="Arial"/>
          <w:b/>
          <w:bCs/>
          <w:kern w:val="2"/>
          <w:sz w:val="20"/>
          <w:szCs w:val="20"/>
          <w14:ligatures w14:val="standardContextual"/>
        </w:rPr>
      </w:pPr>
    </w:p>
    <w:p w14:paraId="085E93F9" w14:textId="77777777" w:rsidR="004074D3" w:rsidRPr="0030751E" w:rsidRDefault="004074D3" w:rsidP="004074D3">
      <w:pPr>
        <w:spacing w:after="0"/>
        <w:jc w:val="both"/>
        <w:rPr>
          <w:rFonts w:ascii="Verdana" w:eastAsia="Aptos" w:hAnsi="Verdana" w:cs="Arial"/>
          <w:kern w:val="2"/>
          <w:sz w:val="20"/>
          <w:szCs w:val="20"/>
          <w14:ligatures w14:val="standardContextual"/>
        </w:rPr>
      </w:pPr>
      <w:r w:rsidRPr="0030751E">
        <w:rPr>
          <w:rFonts w:ascii="Verdana" w:eastAsia="Aptos" w:hAnsi="Verdana" w:cs="Arial"/>
          <w:kern w:val="2"/>
          <w:sz w:val="20"/>
          <w:szCs w:val="20"/>
          <w14:ligatures w14:val="standardContextual"/>
        </w:rPr>
        <w:t xml:space="preserve">[…]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w:t>
      </w:r>
      <w:r w:rsidRPr="0030751E">
        <w:rPr>
          <w:rFonts w:ascii="Verdana" w:eastAsia="Aptos" w:hAnsi="Verdana" w:cs="Arial"/>
          <w:kern w:val="2"/>
          <w:sz w:val="20"/>
          <w:szCs w:val="20"/>
          <w14:ligatures w14:val="standardContextual"/>
        </w:rPr>
        <w:lastRenderedPageBreak/>
        <w:t>correcta ejecución del objeto contratado a través de un supervisor o un interventor, según corresponda”.</w:t>
      </w:r>
    </w:p>
    <w:p w14:paraId="2F5F60AB" w14:textId="77777777" w:rsidR="004074D3" w:rsidRPr="0030751E" w:rsidRDefault="004074D3" w:rsidP="004074D3">
      <w:pPr>
        <w:spacing w:after="0" w:line="240" w:lineRule="auto"/>
        <w:rPr>
          <w:rFonts w:ascii="Verdana" w:eastAsia="Aptos" w:hAnsi="Verdana" w:cs="Times New Roman"/>
          <w:sz w:val="20"/>
          <w:szCs w:val="20"/>
        </w:rPr>
      </w:pPr>
    </w:p>
    <w:p w14:paraId="790C5636" w14:textId="77777777" w:rsidR="004074D3" w:rsidRPr="0030751E" w:rsidRDefault="004074D3" w:rsidP="004074D3">
      <w:pPr>
        <w:spacing w:after="0" w:line="240" w:lineRule="auto"/>
        <w:jc w:val="both"/>
        <w:rPr>
          <w:rFonts w:ascii="Verdana" w:eastAsia="Calibri" w:hAnsi="Verdana" w:cs="Arial"/>
          <w:b/>
          <w:bCs/>
          <w:lang w:val="es-ES_tradnl" w:eastAsia="es-ES_tradnl"/>
        </w:rPr>
      </w:pPr>
      <w:r w:rsidRPr="0030751E">
        <w:rPr>
          <w:rFonts w:ascii="Verdana" w:eastAsia="Calibri" w:hAnsi="Verdana" w:cs="Arial"/>
          <w:b/>
          <w:bCs/>
          <w:lang w:val="es-ES_tradnl" w:eastAsia="es-ES_tradnl"/>
        </w:rPr>
        <w:t>DECLARATORIA DEL INCUMPLIMIENTO DEL CONTRATO – Obligaciones el supervisor e interventor – Facultad de la entidad</w:t>
      </w:r>
    </w:p>
    <w:p w14:paraId="69544A81" w14:textId="77777777" w:rsidR="004074D3" w:rsidRPr="0030751E" w:rsidRDefault="004074D3" w:rsidP="004074D3">
      <w:pPr>
        <w:spacing w:after="0" w:line="240" w:lineRule="auto"/>
        <w:jc w:val="both"/>
        <w:rPr>
          <w:rFonts w:ascii="Verdana" w:eastAsia="Calibri" w:hAnsi="Verdana" w:cs="Arial"/>
          <w:sz w:val="20"/>
          <w:szCs w:val="20"/>
          <w:lang w:val="es-ES" w:eastAsia="es-ES"/>
        </w:rPr>
      </w:pPr>
    </w:p>
    <w:p w14:paraId="61BB1E7D" w14:textId="77777777" w:rsidR="004074D3" w:rsidRPr="0030751E" w:rsidRDefault="004074D3" w:rsidP="004074D3">
      <w:pPr>
        <w:spacing w:after="0" w:line="240" w:lineRule="auto"/>
        <w:jc w:val="both"/>
        <w:rPr>
          <w:rFonts w:ascii="Verdana" w:eastAsia="Calibri" w:hAnsi="Verdana" w:cs="Arial"/>
          <w:sz w:val="20"/>
          <w:szCs w:val="20"/>
          <w:lang w:val="es-ES" w:eastAsia="es-ES"/>
        </w:rPr>
      </w:pPr>
      <w:r w:rsidRPr="0030751E">
        <w:rPr>
          <w:rFonts w:ascii="Verdana" w:eastAsia="Calibri" w:hAnsi="Verdana" w:cs="Arial"/>
          <w:sz w:val="20"/>
          <w:szCs w:val="20"/>
          <w:lang w:val="es-ES" w:eastAsia="es-ES"/>
        </w:rPr>
        <w:t>Respecto de tales obligaciones, se tiene que el inciso segundo de la norma referida, establece entre otros aspectos, que el supervisor y/o interventor deberá informar a la entidad contratante de los hechos o circunstancias que puedan poner en riesgo el cumplimiento del contrato o, cuando el incumplimiento de este se presente. En ese sentido, debe precisarse que, pese a que la información que remita el supervisor y/o interventor sobre el incumplimiento del contrato es fundamental, será la entidad contratante la facultada para declararlo. Esto, en el ejercicio de las facultades exorbitantes que le confiere el Estatuto General de Contratación de la Administración Pública, en adelante EGCAP, y en observancia de las reglas dispuestas en el artículo 86 de la Ley 1474 de 2011.</w:t>
      </w:r>
    </w:p>
    <w:p w14:paraId="628D8344" w14:textId="77777777" w:rsidR="004074D3" w:rsidRPr="0030751E" w:rsidRDefault="004074D3" w:rsidP="004074D3">
      <w:pPr>
        <w:spacing w:after="0" w:line="240" w:lineRule="auto"/>
        <w:rPr>
          <w:rFonts w:ascii="Verdana" w:eastAsia="Aptos" w:hAnsi="Verdana" w:cs="Times New Roman"/>
          <w:sz w:val="20"/>
          <w:szCs w:val="20"/>
        </w:rPr>
      </w:pPr>
    </w:p>
    <w:p w14:paraId="69F1AA15" w14:textId="77777777" w:rsidR="004074D3" w:rsidRPr="0030751E" w:rsidRDefault="004074D3" w:rsidP="004074D3">
      <w:pPr>
        <w:spacing w:after="0" w:line="240" w:lineRule="auto"/>
        <w:rPr>
          <w:rFonts w:ascii="Verdana" w:eastAsia="Aptos" w:hAnsi="Verdana" w:cs="Times New Roman"/>
          <w:sz w:val="20"/>
          <w:szCs w:val="20"/>
        </w:rPr>
      </w:pPr>
    </w:p>
    <w:p w14:paraId="7716D46C" w14:textId="77777777" w:rsidR="004074D3" w:rsidRPr="0030751E" w:rsidRDefault="004074D3" w:rsidP="004074D3">
      <w:pPr>
        <w:spacing w:after="0" w:line="240" w:lineRule="auto"/>
        <w:rPr>
          <w:rFonts w:ascii="Verdana" w:eastAsia="Aptos" w:hAnsi="Verdana" w:cs="Times New Roman"/>
          <w:sz w:val="20"/>
          <w:szCs w:val="20"/>
        </w:rPr>
      </w:pPr>
    </w:p>
    <w:p w14:paraId="41E0298C" w14:textId="77777777" w:rsidR="004074D3" w:rsidRPr="0030751E" w:rsidRDefault="004074D3" w:rsidP="004074D3">
      <w:pPr>
        <w:spacing w:after="0" w:line="240" w:lineRule="auto"/>
        <w:rPr>
          <w:rFonts w:ascii="Verdana" w:eastAsia="Aptos" w:hAnsi="Verdana" w:cs="Times New Roman"/>
          <w:sz w:val="20"/>
          <w:szCs w:val="20"/>
        </w:rPr>
      </w:pPr>
    </w:p>
    <w:p w14:paraId="4FA6B281" w14:textId="77777777" w:rsidR="004074D3" w:rsidRPr="0030751E" w:rsidRDefault="004074D3" w:rsidP="004074D3">
      <w:pPr>
        <w:spacing w:after="0" w:line="240" w:lineRule="auto"/>
        <w:rPr>
          <w:rFonts w:ascii="Verdana" w:eastAsia="Aptos" w:hAnsi="Verdana" w:cs="Times New Roman"/>
          <w:sz w:val="20"/>
          <w:szCs w:val="20"/>
        </w:rPr>
      </w:pPr>
    </w:p>
    <w:p w14:paraId="491AE61D" w14:textId="77777777" w:rsidR="004074D3" w:rsidRPr="0030751E" w:rsidRDefault="004074D3" w:rsidP="004074D3">
      <w:pPr>
        <w:spacing w:after="0" w:line="240" w:lineRule="auto"/>
        <w:rPr>
          <w:rFonts w:ascii="Verdana" w:eastAsia="Aptos" w:hAnsi="Verdana" w:cs="Times New Roman"/>
          <w:sz w:val="20"/>
          <w:szCs w:val="20"/>
        </w:rPr>
      </w:pPr>
    </w:p>
    <w:p w14:paraId="27FACBEA" w14:textId="77777777" w:rsidR="004074D3" w:rsidRPr="0030751E" w:rsidRDefault="004074D3" w:rsidP="004074D3">
      <w:pPr>
        <w:spacing w:after="0" w:line="240" w:lineRule="auto"/>
        <w:rPr>
          <w:rFonts w:ascii="Verdana" w:eastAsia="Aptos" w:hAnsi="Verdana" w:cs="Times New Roman"/>
          <w:sz w:val="20"/>
          <w:szCs w:val="20"/>
        </w:rPr>
      </w:pPr>
    </w:p>
    <w:p w14:paraId="5B6DA0A1" w14:textId="77777777" w:rsidR="004074D3" w:rsidRPr="0030751E" w:rsidRDefault="004074D3" w:rsidP="004074D3">
      <w:pPr>
        <w:spacing w:after="0" w:line="240" w:lineRule="auto"/>
        <w:rPr>
          <w:rFonts w:ascii="Verdana" w:eastAsia="Aptos" w:hAnsi="Verdana" w:cs="Times New Roman"/>
          <w:sz w:val="20"/>
          <w:szCs w:val="20"/>
        </w:rPr>
      </w:pPr>
    </w:p>
    <w:p w14:paraId="17B82B6A" w14:textId="77777777" w:rsidR="004074D3" w:rsidRPr="0030751E" w:rsidRDefault="004074D3" w:rsidP="004074D3">
      <w:pPr>
        <w:spacing w:after="0" w:line="240" w:lineRule="auto"/>
        <w:rPr>
          <w:rFonts w:ascii="Verdana" w:eastAsia="Aptos" w:hAnsi="Verdana" w:cs="Times New Roman"/>
          <w:sz w:val="20"/>
          <w:szCs w:val="20"/>
        </w:rPr>
      </w:pPr>
    </w:p>
    <w:p w14:paraId="0F663CB4" w14:textId="77777777" w:rsidR="004074D3" w:rsidRPr="0030751E" w:rsidRDefault="004074D3" w:rsidP="004074D3">
      <w:pPr>
        <w:spacing w:after="0" w:line="240" w:lineRule="auto"/>
        <w:rPr>
          <w:rFonts w:ascii="Verdana" w:eastAsia="Aptos" w:hAnsi="Verdana" w:cs="Times New Roman"/>
          <w:sz w:val="20"/>
          <w:szCs w:val="20"/>
        </w:rPr>
      </w:pPr>
    </w:p>
    <w:p w14:paraId="60338BE6" w14:textId="77777777" w:rsidR="004074D3" w:rsidRPr="0030751E" w:rsidRDefault="004074D3" w:rsidP="004074D3">
      <w:pPr>
        <w:spacing w:after="0" w:line="240" w:lineRule="auto"/>
        <w:rPr>
          <w:rFonts w:ascii="Verdana" w:eastAsia="Aptos" w:hAnsi="Verdana" w:cs="Times New Roman"/>
          <w:sz w:val="20"/>
          <w:szCs w:val="20"/>
        </w:rPr>
      </w:pPr>
    </w:p>
    <w:p w14:paraId="348ACD79" w14:textId="77777777" w:rsidR="004074D3" w:rsidRPr="0030751E" w:rsidRDefault="004074D3" w:rsidP="004074D3">
      <w:pPr>
        <w:spacing w:after="0" w:line="240" w:lineRule="auto"/>
        <w:rPr>
          <w:rFonts w:ascii="Verdana" w:eastAsia="Aptos" w:hAnsi="Verdana" w:cs="Times New Roman"/>
          <w:sz w:val="20"/>
          <w:szCs w:val="20"/>
        </w:rPr>
      </w:pPr>
    </w:p>
    <w:p w14:paraId="4BF96968" w14:textId="77777777" w:rsidR="004074D3" w:rsidRPr="0030751E" w:rsidRDefault="004074D3" w:rsidP="004074D3">
      <w:pPr>
        <w:spacing w:after="0" w:line="240" w:lineRule="auto"/>
        <w:rPr>
          <w:rFonts w:ascii="Verdana" w:eastAsia="Aptos" w:hAnsi="Verdana" w:cs="Times New Roman"/>
          <w:sz w:val="20"/>
          <w:szCs w:val="20"/>
        </w:rPr>
      </w:pPr>
    </w:p>
    <w:p w14:paraId="3A4D9B70" w14:textId="77777777" w:rsidR="004074D3" w:rsidRPr="0030751E" w:rsidRDefault="004074D3" w:rsidP="004074D3">
      <w:pPr>
        <w:spacing w:after="0" w:line="240" w:lineRule="auto"/>
        <w:rPr>
          <w:rFonts w:ascii="Verdana" w:eastAsia="Aptos" w:hAnsi="Verdana" w:cs="Times New Roman"/>
          <w:sz w:val="20"/>
          <w:szCs w:val="20"/>
        </w:rPr>
      </w:pPr>
    </w:p>
    <w:p w14:paraId="4E50FDAA" w14:textId="77777777" w:rsidR="004074D3" w:rsidRPr="0030751E" w:rsidRDefault="004074D3" w:rsidP="004074D3">
      <w:pPr>
        <w:spacing w:after="0" w:line="240" w:lineRule="auto"/>
        <w:rPr>
          <w:rFonts w:ascii="Verdana" w:eastAsia="Aptos" w:hAnsi="Verdana" w:cs="Times New Roman"/>
          <w:sz w:val="20"/>
          <w:szCs w:val="20"/>
        </w:rPr>
      </w:pPr>
    </w:p>
    <w:p w14:paraId="142044C4" w14:textId="77777777" w:rsidR="004074D3" w:rsidRPr="0030751E" w:rsidRDefault="004074D3" w:rsidP="004074D3">
      <w:pPr>
        <w:spacing w:after="0" w:line="240" w:lineRule="auto"/>
        <w:rPr>
          <w:rFonts w:ascii="Verdana" w:eastAsia="Aptos" w:hAnsi="Verdana" w:cs="Times New Roman"/>
          <w:sz w:val="20"/>
          <w:szCs w:val="20"/>
        </w:rPr>
      </w:pPr>
    </w:p>
    <w:p w14:paraId="34FADD29" w14:textId="77777777" w:rsidR="004074D3" w:rsidRPr="0030751E" w:rsidRDefault="004074D3" w:rsidP="004074D3">
      <w:pPr>
        <w:spacing w:after="0" w:line="240" w:lineRule="auto"/>
        <w:rPr>
          <w:rFonts w:ascii="Verdana" w:eastAsia="Aptos" w:hAnsi="Verdana" w:cs="Times New Roman"/>
          <w:sz w:val="20"/>
          <w:szCs w:val="20"/>
        </w:rPr>
      </w:pPr>
    </w:p>
    <w:p w14:paraId="17032C16" w14:textId="77777777" w:rsidR="004074D3" w:rsidRPr="0030751E" w:rsidRDefault="004074D3" w:rsidP="004074D3">
      <w:pPr>
        <w:spacing w:after="0" w:line="240" w:lineRule="auto"/>
        <w:rPr>
          <w:rFonts w:ascii="Verdana" w:eastAsia="Aptos" w:hAnsi="Verdana" w:cs="Times New Roman"/>
          <w:sz w:val="20"/>
          <w:szCs w:val="20"/>
        </w:rPr>
      </w:pPr>
    </w:p>
    <w:p w14:paraId="6FBF18B0" w14:textId="77777777" w:rsidR="004074D3" w:rsidRPr="0030751E" w:rsidRDefault="004074D3" w:rsidP="004074D3">
      <w:pPr>
        <w:spacing w:after="0" w:line="240" w:lineRule="auto"/>
        <w:rPr>
          <w:rFonts w:ascii="Verdana" w:eastAsia="Aptos" w:hAnsi="Verdana" w:cs="Times New Roman"/>
          <w:sz w:val="20"/>
          <w:szCs w:val="20"/>
        </w:rPr>
      </w:pPr>
    </w:p>
    <w:p w14:paraId="112309D5" w14:textId="77777777" w:rsidR="004074D3" w:rsidRPr="0030751E" w:rsidRDefault="004074D3" w:rsidP="004074D3">
      <w:pPr>
        <w:spacing w:after="0" w:line="240" w:lineRule="auto"/>
        <w:rPr>
          <w:rFonts w:ascii="Verdana" w:eastAsia="Aptos" w:hAnsi="Verdana" w:cs="Times New Roman"/>
          <w:sz w:val="20"/>
          <w:szCs w:val="20"/>
        </w:rPr>
      </w:pPr>
    </w:p>
    <w:p w14:paraId="083CE774" w14:textId="77777777" w:rsidR="004074D3" w:rsidRPr="0030751E" w:rsidRDefault="004074D3" w:rsidP="004074D3">
      <w:pPr>
        <w:spacing w:after="0" w:line="240" w:lineRule="auto"/>
        <w:rPr>
          <w:rFonts w:ascii="Verdana" w:eastAsia="Aptos" w:hAnsi="Verdana" w:cs="Times New Roman"/>
          <w:sz w:val="20"/>
          <w:szCs w:val="20"/>
        </w:rPr>
      </w:pPr>
    </w:p>
    <w:p w14:paraId="23881406" w14:textId="77777777" w:rsidR="004074D3" w:rsidRPr="0030751E" w:rsidRDefault="004074D3" w:rsidP="004074D3">
      <w:pPr>
        <w:spacing w:after="0" w:line="240" w:lineRule="auto"/>
        <w:rPr>
          <w:rFonts w:ascii="Verdana" w:eastAsia="Aptos" w:hAnsi="Verdana" w:cs="Times New Roman"/>
          <w:sz w:val="20"/>
          <w:szCs w:val="20"/>
        </w:rPr>
      </w:pPr>
    </w:p>
    <w:p w14:paraId="3674FD93" w14:textId="77777777" w:rsidR="004074D3" w:rsidRPr="0030751E" w:rsidRDefault="004074D3" w:rsidP="004074D3">
      <w:pPr>
        <w:spacing w:after="0" w:line="240" w:lineRule="auto"/>
        <w:rPr>
          <w:rFonts w:ascii="Verdana" w:eastAsia="Aptos" w:hAnsi="Verdana" w:cs="Times New Roman"/>
          <w:sz w:val="20"/>
          <w:szCs w:val="20"/>
        </w:rPr>
      </w:pPr>
    </w:p>
    <w:p w14:paraId="4130D09C" w14:textId="77777777" w:rsidR="004074D3" w:rsidRPr="0030751E" w:rsidRDefault="004074D3" w:rsidP="004074D3">
      <w:pPr>
        <w:spacing w:after="0" w:line="240" w:lineRule="auto"/>
        <w:rPr>
          <w:rFonts w:ascii="Verdana" w:eastAsia="Aptos" w:hAnsi="Verdana" w:cs="Times New Roman"/>
          <w:sz w:val="20"/>
          <w:szCs w:val="20"/>
        </w:rPr>
      </w:pPr>
    </w:p>
    <w:p w14:paraId="08BFD335" w14:textId="77777777" w:rsidR="004074D3" w:rsidRPr="0030751E" w:rsidRDefault="004074D3" w:rsidP="004074D3">
      <w:pPr>
        <w:spacing w:after="0" w:line="240" w:lineRule="auto"/>
        <w:rPr>
          <w:rFonts w:ascii="Verdana" w:eastAsia="Aptos" w:hAnsi="Verdana" w:cs="Times New Roman"/>
          <w:sz w:val="20"/>
          <w:szCs w:val="20"/>
        </w:rPr>
      </w:pPr>
    </w:p>
    <w:p w14:paraId="42164643" w14:textId="77777777" w:rsidR="004074D3" w:rsidRPr="0030751E" w:rsidRDefault="004074D3" w:rsidP="004074D3">
      <w:pPr>
        <w:spacing w:after="0" w:line="240" w:lineRule="auto"/>
        <w:rPr>
          <w:rFonts w:ascii="Verdana" w:eastAsia="Aptos" w:hAnsi="Verdana" w:cs="Times New Roman"/>
          <w:sz w:val="20"/>
          <w:szCs w:val="20"/>
        </w:rPr>
      </w:pPr>
    </w:p>
    <w:p w14:paraId="6B92400B" w14:textId="77777777" w:rsidR="004074D3" w:rsidRPr="0030751E" w:rsidRDefault="004074D3" w:rsidP="004074D3">
      <w:pPr>
        <w:spacing w:after="0" w:line="240" w:lineRule="auto"/>
        <w:rPr>
          <w:rFonts w:ascii="Verdana" w:eastAsia="Aptos" w:hAnsi="Verdana" w:cs="Times New Roman"/>
          <w:sz w:val="20"/>
          <w:szCs w:val="20"/>
        </w:rPr>
      </w:pPr>
    </w:p>
    <w:p w14:paraId="64AFDFAD" w14:textId="77777777" w:rsidR="004074D3" w:rsidRPr="0030751E" w:rsidRDefault="004074D3" w:rsidP="004074D3">
      <w:pPr>
        <w:spacing w:after="0" w:line="240" w:lineRule="auto"/>
        <w:rPr>
          <w:rFonts w:ascii="Verdana" w:eastAsia="Aptos" w:hAnsi="Verdana" w:cs="Times New Roman"/>
          <w:sz w:val="20"/>
          <w:szCs w:val="20"/>
        </w:rPr>
      </w:pPr>
    </w:p>
    <w:p w14:paraId="4A24EF73" w14:textId="77777777" w:rsidR="004074D3" w:rsidRPr="0030751E" w:rsidRDefault="004074D3" w:rsidP="004074D3">
      <w:pPr>
        <w:spacing w:after="0" w:line="240" w:lineRule="auto"/>
        <w:rPr>
          <w:rFonts w:ascii="Verdana" w:eastAsia="Aptos" w:hAnsi="Verdana" w:cs="Times New Roman"/>
          <w:sz w:val="20"/>
          <w:szCs w:val="20"/>
        </w:rPr>
      </w:pPr>
    </w:p>
    <w:p w14:paraId="0602F56F" w14:textId="110F9676" w:rsidR="004074D3" w:rsidRPr="0030751E" w:rsidRDefault="004074D3" w:rsidP="004074D3">
      <w:pPr>
        <w:spacing w:after="0" w:line="240" w:lineRule="auto"/>
        <w:jc w:val="both"/>
        <w:rPr>
          <w:rFonts w:ascii="Verdana" w:eastAsia="Calibri" w:hAnsi="Verdana" w:cs="Arial"/>
          <w:lang w:val="es-ES"/>
        </w:rPr>
      </w:pPr>
      <w:r w:rsidRPr="0030751E">
        <w:rPr>
          <w:rFonts w:ascii="Verdana" w:eastAsia="Geomanist Light" w:hAnsi="Verdana" w:cs="Arial"/>
          <w:lang w:val="es-MX"/>
        </w:rPr>
        <w:lastRenderedPageBreak/>
        <w:t>Bogotá D.C., </w:t>
      </w:r>
      <w:r w:rsidR="008B29A2">
        <w:rPr>
          <w:rFonts w:ascii="Verdana" w:eastAsia="Geomanist Light" w:hAnsi="Verdana" w:cs="Arial"/>
          <w:lang w:val="es-MX"/>
        </w:rPr>
        <w:t>08 de mayo de 2026</w:t>
      </w:r>
    </w:p>
    <w:p w14:paraId="3A8E50F5" w14:textId="77777777" w:rsidR="004074D3" w:rsidRDefault="004074D3" w:rsidP="004074D3">
      <w:pPr>
        <w:spacing w:after="0" w:line="240" w:lineRule="auto"/>
        <w:jc w:val="right"/>
        <w:rPr>
          <w:rFonts w:ascii="Verdana" w:eastAsia="Calibri" w:hAnsi="Verdana" w:cs="Arial"/>
          <w:lang w:val="es-ES"/>
        </w:rPr>
      </w:pPr>
    </w:p>
    <w:p w14:paraId="3AEF3110" w14:textId="78FF1368" w:rsidR="00BE3128" w:rsidRPr="0030751E" w:rsidRDefault="00BE3128" w:rsidP="004074D3">
      <w:pPr>
        <w:spacing w:after="0" w:line="240" w:lineRule="auto"/>
        <w:jc w:val="right"/>
        <w:rPr>
          <w:rFonts w:ascii="Verdana" w:eastAsia="Calibri" w:hAnsi="Verdana" w:cs="Arial"/>
          <w:lang w:val="es-ES"/>
        </w:rPr>
      </w:pPr>
      <w:r w:rsidRPr="00BE3128">
        <w:rPr>
          <w:rFonts w:ascii="Verdana" w:eastAsia="Calibri" w:hAnsi="Verdana" w:cs="Arial"/>
          <w:lang w:val="es-ES"/>
        </w:rPr>
        <w:drawing>
          <wp:inline distT="0" distB="0" distL="0" distR="0" wp14:anchorId="6C987BC8" wp14:editId="30D1A35D">
            <wp:extent cx="1695687" cy="504895"/>
            <wp:effectExtent l="0" t="0" r="0" b="0"/>
            <wp:docPr id="35431947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319475" name=""/>
                    <pic:cNvPicPr/>
                  </pic:nvPicPr>
                  <pic:blipFill>
                    <a:blip r:embed="rId10"/>
                    <a:stretch>
                      <a:fillRect/>
                    </a:stretch>
                  </pic:blipFill>
                  <pic:spPr>
                    <a:xfrm>
                      <a:off x="0" y="0"/>
                      <a:ext cx="1695687" cy="504895"/>
                    </a:xfrm>
                    <a:prstGeom prst="rect">
                      <a:avLst/>
                    </a:prstGeom>
                  </pic:spPr>
                </pic:pic>
              </a:graphicData>
            </a:graphic>
          </wp:inline>
        </w:drawing>
      </w:r>
    </w:p>
    <w:p w14:paraId="00C4923C" w14:textId="77777777" w:rsidR="004074D3" w:rsidRPr="0030751E" w:rsidRDefault="004074D3" w:rsidP="004074D3">
      <w:pPr>
        <w:spacing w:after="0" w:line="240" w:lineRule="auto"/>
        <w:jc w:val="right"/>
        <w:rPr>
          <w:rFonts w:ascii="Verdana" w:eastAsia="Calibri" w:hAnsi="Verdana" w:cs="Arial"/>
          <w:lang w:val="es-ES"/>
        </w:rPr>
      </w:pPr>
    </w:p>
    <w:p w14:paraId="102AC95D" w14:textId="77777777" w:rsidR="004074D3" w:rsidRPr="0030751E" w:rsidRDefault="004074D3" w:rsidP="004074D3">
      <w:pPr>
        <w:spacing w:after="0" w:line="240" w:lineRule="auto"/>
        <w:jc w:val="both"/>
        <w:rPr>
          <w:rFonts w:ascii="Verdana" w:eastAsia="Calibri" w:hAnsi="Verdana" w:cs="Arial"/>
          <w:lang w:val="es-ES" w:eastAsia="es-ES"/>
        </w:rPr>
      </w:pPr>
      <w:r w:rsidRPr="0030751E">
        <w:rPr>
          <w:rFonts w:ascii="Verdana" w:eastAsia="Calibri" w:hAnsi="Verdana" w:cs="Arial"/>
          <w:lang w:val="es-ES" w:eastAsia="es-ES"/>
        </w:rPr>
        <w:t>Señores</w:t>
      </w:r>
    </w:p>
    <w:p w14:paraId="547BA5CA" w14:textId="77777777" w:rsidR="004074D3" w:rsidRPr="0030751E" w:rsidRDefault="004074D3" w:rsidP="004074D3">
      <w:pPr>
        <w:spacing w:after="0" w:line="240" w:lineRule="auto"/>
        <w:rPr>
          <w:rFonts w:ascii="Verdana" w:eastAsia="Calibri" w:hAnsi="Verdana" w:cs="Arial"/>
          <w:b/>
          <w:lang w:val="es-ES" w:eastAsia="es-ES"/>
        </w:rPr>
      </w:pPr>
      <w:r w:rsidRPr="0030751E">
        <w:rPr>
          <w:rFonts w:ascii="Verdana" w:eastAsia="Calibri" w:hAnsi="Verdana" w:cs="Arial"/>
          <w:b/>
          <w:lang w:val="es-ES" w:eastAsia="es-ES"/>
        </w:rPr>
        <w:t>Sindicato de Empleados del Servicio Público de Empleo</w:t>
      </w:r>
    </w:p>
    <w:p w14:paraId="269413C8" w14:textId="77777777" w:rsidR="004074D3" w:rsidRPr="0030751E" w:rsidRDefault="004074D3" w:rsidP="004074D3">
      <w:pPr>
        <w:spacing w:after="0" w:line="240" w:lineRule="auto"/>
        <w:rPr>
          <w:rFonts w:ascii="Verdana" w:eastAsia="Aptos" w:hAnsi="Verdana" w:cs="Arial"/>
        </w:rPr>
      </w:pPr>
      <w:hyperlink r:id="rId11" w:history="1">
        <w:r w:rsidRPr="0030751E">
          <w:rPr>
            <w:rFonts w:ascii="Verdana" w:eastAsia="Aptos" w:hAnsi="Verdana" w:cs="Arial"/>
            <w:color w:val="0000FF"/>
            <w:u w:val="single"/>
          </w:rPr>
          <w:t>sespe@serviciodeempleo.gov.co</w:t>
        </w:r>
      </w:hyperlink>
      <w:r w:rsidRPr="0030751E">
        <w:rPr>
          <w:rFonts w:ascii="Verdana" w:eastAsia="Aptos" w:hAnsi="Verdana" w:cs="Arial"/>
        </w:rPr>
        <w:t xml:space="preserve"> </w:t>
      </w:r>
    </w:p>
    <w:p w14:paraId="19C7B647" w14:textId="77777777" w:rsidR="004074D3" w:rsidRPr="0030751E" w:rsidRDefault="004074D3" w:rsidP="004074D3">
      <w:pPr>
        <w:spacing w:after="0" w:line="240" w:lineRule="auto"/>
        <w:rPr>
          <w:rFonts w:ascii="Verdana" w:eastAsia="Calibri" w:hAnsi="Verdana" w:cs="Arial"/>
          <w:b/>
          <w:bCs/>
          <w:lang w:val="es-ES" w:eastAsia="es-ES"/>
        </w:rPr>
      </w:pPr>
      <w:r w:rsidRPr="0030751E">
        <w:rPr>
          <w:rFonts w:ascii="Verdana" w:eastAsia="Calibri" w:hAnsi="Verdana" w:cs="Arial"/>
          <w:lang w:val="es-ES" w:eastAsia="es-ES"/>
        </w:rPr>
        <w:t>Ciudad</w:t>
      </w:r>
    </w:p>
    <w:p w14:paraId="1DA8745F" w14:textId="77777777" w:rsidR="004074D3" w:rsidRPr="0030751E" w:rsidRDefault="004074D3" w:rsidP="004074D3">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074D3" w:rsidRPr="0030751E" w14:paraId="11A0B69B" w14:textId="77777777" w:rsidTr="00A32D40">
        <w:trPr>
          <w:trHeight w:val="308"/>
        </w:trPr>
        <w:tc>
          <w:tcPr>
            <w:tcW w:w="2689" w:type="dxa"/>
          </w:tcPr>
          <w:p w14:paraId="62852B4A" w14:textId="77777777" w:rsidR="004074D3" w:rsidRPr="0030751E" w:rsidRDefault="004074D3" w:rsidP="00A32D40">
            <w:pPr>
              <w:jc w:val="both"/>
              <w:rPr>
                <w:rFonts w:ascii="Verdana" w:eastAsia="Calibri" w:hAnsi="Verdana" w:cs="Arial"/>
                <w:b/>
                <w:bCs/>
                <w:lang w:val="es-ES_tradnl" w:eastAsia="es-ES_tradnl"/>
              </w:rPr>
            </w:pPr>
          </w:p>
        </w:tc>
        <w:tc>
          <w:tcPr>
            <w:tcW w:w="6100" w:type="dxa"/>
          </w:tcPr>
          <w:p w14:paraId="29DA9A5D" w14:textId="77777777" w:rsidR="004074D3" w:rsidRPr="0030751E" w:rsidRDefault="004074D3" w:rsidP="00A32D40">
            <w:pPr>
              <w:jc w:val="both"/>
              <w:rPr>
                <w:rFonts w:ascii="Verdana" w:eastAsia="Calibri" w:hAnsi="Verdana" w:cs="Arial"/>
                <w:b/>
                <w:bCs/>
                <w:lang w:val="es-ES" w:eastAsia="es-ES"/>
              </w:rPr>
            </w:pPr>
            <w:r w:rsidRPr="0030751E">
              <w:rPr>
                <w:rFonts w:ascii="Verdana" w:eastAsia="Calibri" w:hAnsi="Verdana" w:cs="Arial"/>
                <w:b/>
                <w:bCs/>
                <w:lang w:val="es-ES" w:eastAsia="es-ES"/>
              </w:rPr>
              <w:t>Concepto C-500 de 2026</w:t>
            </w:r>
          </w:p>
          <w:p w14:paraId="4260AB84" w14:textId="77777777" w:rsidR="004074D3" w:rsidRPr="0030751E" w:rsidRDefault="004074D3" w:rsidP="00A32D40">
            <w:pPr>
              <w:jc w:val="both"/>
              <w:rPr>
                <w:rFonts w:ascii="Verdana" w:eastAsia="Calibri" w:hAnsi="Verdana" w:cs="Arial"/>
                <w:b/>
                <w:bCs/>
                <w:lang w:val="es-ES" w:eastAsia="es-ES"/>
              </w:rPr>
            </w:pPr>
          </w:p>
        </w:tc>
      </w:tr>
      <w:tr w:rsidR="004074D3" w:rsidRPr="0030751E" w14:paraId="6FB5FBFC" w14:textId="77777777" w:rsidTr="00A32D40">
        <w:trPr>
          <w:trHeight w:val="884"/>
        </w:trPr>
        <w:tc>
          <w:tcPr>
            <w:tcW w:w="2689" w:type="dxa"/>
          </w:tcPr>
          <w:p w14:paraId="5D8A0F01" w14:textId="77777777" w:rsidR="004074D3" w:rsidRPr="0030751E" w:rsidRDefault="004074D3" w:rsidP="00A32D40">
            <w:pPr>
              <w:jc w:val="both"/>
              <w:rPr>
                <w:rFonts w:ascii="Verdana" w:eastAsia="Calibri" w:hAnsi="Verdana" w:cs="Arial"/>
                <w:lang w:val="es-ES_tradnl" w:eastAsia="es-ES_tradnl"/>
              </w:rPr>
            </w:pPr>
            <w:r w:rsidRPr="0030751E">
              <w:rPr>
                <w:rFonts w:ascii="Verdana" w:eastAsia="Calibri" w:hAnsi="Verdana" w:cs="Arial"/>
                <w:b/>
                <w:lang w:val="es-ES_tradnl" w:eastAsia="es-ES_tradnl"/>
              </w:rPr>
              <w:t>Temas:</w:t>
            </w:r>
            <w:r w:rsidRPr="0030751E">
              <w:rPr>
                <w:rFonts w:ascii="Verdana" w:eastAsia="Calibri" w:hAnsi="Verdana" w:cs="Arial"/>
                <w:lang w:val="es-ES_tradnl" w:eastAsia="es-ES_tradnl"/>
              </w:rPr>
              <w:t xml:space="preserve">                   </w:t>
            </w:r>
          </w:p>
        </w:tc>
        <w:tc>
          <w:tcPr>
            <w:tcW w:w="6100" w:type="dxa"/>
          </w:tcPr>
          <w:p w14:paraId="146E8A22" w14:textId="77777777" w:rsidR="004074D3" w:rsidRPr="0030751E" w:rsidRDefault="004074D3" w:rsidP="00A32D40">
            <w:pPr>
              <w:spacing w:line="276" w:lineRule="auto"/>
              <w:jc w:val="both"/>
              <w:rPr>
                <w:rFonts w:ascii="Verdana" w:eastAsia="Calibri" w:hAnsi="Verdana" w:cs="Arial"/>
                <w:lang w:val="es-ES" w:eastAsia="es-ES"/>
              </w:rPr>
            </w:pPr>
            <w:r w:rsidRPr="0030751E">
              <w:rPr>
                <w:rFonts w:ascii="Verdana" w:eastAsia="Calibri" w:hAnsi="Verdana" w:cs="Arial"/>
                <w:lang w:val="es-ES" w:eastAsia="es-ES"/>
              </w:rPr>
              <w:t xml:space="preserve">PRINCIPIO DE PLANEACIÓN – Noción – Estudios previos – Importancia / VIGILANCIA DE LOS CONTRATOS ESTATALES – Marco jurídico – Obligación de la entidad – Objetivo/ SUPERVISIÓN E INTERVENTORÍA – Marco jurídico – Finalidad / DECLARATORIA DEL INCUMPLIMIENTO DEL CONTRATO – Obligaciones el supervisor e interventor – Facultad de la entidad </w:t>
            </w:r>
          </w:p>
        </w:tc>
      </w:tr>
    </w:tbl>
    <w:p w14:paraId="3390F73F" w14:textId="77777777" w:rsidR="004074D3" w:rsidRPr="0030751E" w:rsidRDefault="004074D3" w:rsidP="004074D3">
      <w:pPr>
        <w:spacing w:after="0" w:line="240" w:lineRule="auto"/>
        <w:rPr>
          <w:rFonts w:ascii="Verdana" w:eastAsia="Calibri" w:hAnsi="Verdana" w:cs="Arial"/>
          <w:b/>
          <w:bCs/>
          <w:lang w:val="es-ES_tradnl"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074D3" w:rsidRPr="0030751E" w14:paraId="5E112F68" w14:textId="77777777" w:rsidTr="00A32D40">
        <w:tc>
          <w:tcPr>
            <w:tcW w:w="2689" w:type="dxa"/>
          </w:tcPr>
          <w:p w14:paraId="5B69F9BC" w14:textId="77777777" w:rsidR="004074D3" w:rsidRPr="0030751E" w:rsidRDefault="004074D3" w:rsidP="00A32D40">
            <w:pPr>
              <w:jc w:val="both"/>
              <w:rPr>
                <w:rFonts w:ascii="Verdana" w:eastAsia="Calibri" w:hAnsi="Verdana" w:cs="Arial"/>
                <w:b/>
                <w:lang w:val="es-ES_tradnl" w:eastAsia="es-ES_tradnl"/>
              </w:rPr>
            </w:pPr>
            <w:r w:rsidRPr="0030751E">
              <w:rPr>
                <w:rFonts w:ascii="Verdana" w:eastAsia="Calibri" w:hAnsi="Verdana" w:cs="Arial"/>
                <w:b/>
                <w:lang w:val="es-ES_tradnl" w:eastAsia="es-ES_tradnl"/>
              </w:rPr>
              <w:t>Radicación:</w:t>
            </w:r>
            <w:r w:rsidRPr="0030751E">
              <w:rPr>
                <w:rFonts w:ascii="Verdana" w:eastAsia="Calibri" w:hAnsi="Verdana" w:cs="Arial"/>
                <w:lang w:val="es-ES_tradnl" w:eastAsia="es-ES_tradnl"/>
              </w:rPr>
              <w:t xml:space="preserve">               </w:t>
            </w:r>
          </w:p>
        </w:tc>
        <w:tc>
          <w:tcPr>
            <w:tcW w:w="6100" w:type="dxa"/>
          </w:tcPr>
          <w:p w14:paraId="0B9E96F0" w14:textId="77777777" w:rsidR="004074D3" w:rsidRPr="0030751E" w:rsidRDefault="004074D3" w:rsidP="00A32D40">
            <w:pPr>
              <w:jc w:val="both"/>
              <w:rPr>
                <w:rFonts w:ascii="Verdana" w:eastAsia="Calibri" w:hAnsi="Verdana" w:cs="Arial"/>
                <w:lang w:val="es-ES_tradnl" w:eastAsia="es-ES_tradnl"/>
              </w:rPr>
            </w:pPr>
            <w:r w:rsidRPr="0030751E">
              <w:rPr>
                <w:rFonts w:ascii="Verdana" w:eastAsia="Calibri" w:hAnsi="Verdana" w:cs="Arial"/>
                <w:lang w:val="es-ES_tradnl" w:eastAsia="es-ES_tradnl"/>
              </w:rPr>
              <w:t>Respuesta a consulta con radicado No. 1_2026_03_26_004197</w:t>
            </w:r>
          </w:p>
        </w:tc>
      </w:tr>
    </w:tbl>
    <w:p w14:paraId="545487CA" w14:textId="77777777" w:rsidR="004074D3" w:rsidRPr="0030751E" w:rsidRDefault="004074D3" w:rsidP="004074D3">
      <w:pPr>
        <w:spacing w:after="0" w:line="240" w:lineRule="auto"/>
        <w:jc w:val="both"/>
        <w:rPr>
          <w:rFonts w:ascii="Verdana" w:eastAsia="Calibri" w:hAnsi="Verdana" w:cs="Arial"/>
          <w:lang w:val="es-ES_tradnl" w:eastAsia="es-ES_tradnl"/>
        </w:rPr>
      </w:pPr>
    </w:p>
    <w:p w14:paraId="49EA3683" w14:textId="77777777" w:rsidR="004074D3" w:rsidRPr="0030751E" w:rsidRDefault="004074D3" w:rsidP="004074D3">
      <w:pPr>
        <w:spacing w:after="0" w:line="240" w:lineRule="auto"/>
        <w:jc w:val="both"/>
        <w:rPr>
          <w:rFonts w:ascii="Verdana" w:eastAsia="Calibri" w:hAnsi="Verdana" w:cs="Arial"/>
          <w:lang w:val="es-ES_tradnl" w:eastAsia="es-ES_tradnl"/>
        </w:rPr>
      </w:pPr>
    </w:p>
    <w:p w14:paraId="393A092C" w14:textId="77777777" w:rsidR="004074D3" w:rsidRPr="0030751E" w:rsidRDefault="004074D3" w:rsidP="004074D3">
      <w:pPr>
        <w:spacing w:after="0" w:line="276" w:lineRule="auto"/>
        <w:jc w:val="both"/>
        <w:rPr>
          <w:rFonts w:ascii="Verdana" w:eastAsia="Calibri" w:hAnsi="Verdana" w:cs="Arial"/>
          <w:lang w:val="es-ES" w:eastAsia="es-ES"/>
        </w:rPr>
      </w:pPr>
      <w:r w:rsidRPr="0030751E">
        <w:rPr>
          <w:rFonts w:ascii="Verdana" w:eastAsia="Calibri" w:hAnsi="Verdana" w:cs="Arial"/>
          <w:lang w:val="es-ES" w:eastAsia="es-ES"/>
        </w:rPr>
        <w:t xml:space="preserve">Estimados Señores: </w:t>
      </w:r>
    </w:p>
    <w:p w14:paraId="027E9EB3" w14:textId="77777777" w:rsidR="004074D3" w:rsidRPr="0030751E" w:rsidRDefault="004074D3" w:rsidP="004074D3">
      <w:pPr>
        <w:tabs>
          <w:tab w:val="left" w:pos="3768"/>
        </w:tabs>
        <w:spacing w:after="0" w:line="276" w:lineRule="auto"/>
        <w:jc w:val="both"/>
        <w:rPr>
          <w:rFonts w:ascii="Verdana" w:eastAsia="Calibri" w:hAnsi="Verdana" w:cs="Arial"/>
          <w:lang w:val="es-ES" w:eastAsia="es-ES"/>
        </w:rPr>
      </w:pPr>
    </w:p>
    <w:p w14:paraId="4E9AF7F7" w14:textId="77777777" w:rsidR="004074D3" w:rsidRPr="0030751E" w:rsidRDefault="004074D3" w:rsidP="004074D3">
      <w:pPr>
        <w:spacing w:after="0" w:line="276" w:lineRule="auto"/>
        <w:jc w:val="both"/>
        <w:rPr>
          <w:rFonts w:ascii="Verdana" w:eastAsia="Calibri" w:hAnsi="Verdana" w:cs="Arial"/>
          <w:lang w:val="es-ES" w:eastAsia="es-ES"/>
        </w:rPr>
      </w:pPr>
      <w:r w:rsidRPr="0030751E">
        <w:rPr>
          <w:rFonts w:ascii="Verdana" w:eastAsia="Calibri" w:hAnsi="Verdana" w:cs="Arial"/>
          <w:lang w:val="es-ES" w:eastAsia="es-ES"/>
        </w:rPr>
        <w:t>En ejercicio de la competencia otorgada por los artículos 3, numeral 5º, y 11, numeral 8º, del Decreto Ley 4170 de 2011,</w:t>
      </w:r>
      <w:r w:rsidRPr="0030751E">
        <w:rPr>
          <w:rFonts w:ascii="Verdana" w:eastAsia="Arial MT" w:hAnsi="Verdana" w:cs="Arial MT"/>
          <w:lang w:val="es-ES" w:eastAsia="es-ES"/>
        </w:rPr>
        <w:t xml:space="preserve"> </w:t>
      </w:r>
      <w:r w:rsidRPr="0030751E">
        <w:rPr>
          <w:rFonts w:ascii="Verdana" w:eastAsia="Aptos" w:hAnsi="Verdana" w:cs="Arial"/>
        </w:rPr>
        <w:t xml:space="preserve">así como lo establecido en el artículo 4 de la Resolución 1707 de 2018 expedida por esta Entidad, </w:t>
      </w:r>
      <w:r w:rsidRPr="0030751E">
        <w:rPr>
          <w:rFonts w:ascii="Verdana" w:eastAsia="Calibri" w:hAnsi="Verdana" w:cs="Arial"/>
          <w:lang w:val="es-ES" w:eastAsia="es-ES"/>
        </w:rPr>
        <w:t xml:space="preserve">la Agencia Nacional de Contratación Pública – Colombia Compra Eficiente– responde su petición del 26 de marzo de 2026, en la que realiza la siguiente consulta: </w:t>
      </w:r>
    </w:p>
    <w:p w14:paraId="2A27AEC1" w14:textId="77777777" w:rsidR="004074D3" w:rsidRPr="0030751E" w:rsidRDefault="004074D3" w:rsidP="004074D3">
      <w:pPr>
        <w:spacing w:after="0" w:line="276" w:lineRule="auto"/>
        <w:jc w:val="both"/>
        <w:rPr>
          <w:rFonts w:ascii="Verdana" w:eastAsia="Calibri" w:hAnsi="Verdana" w:cs="Arial"/>
          <w:lang w:val="es-ES" w:eastAsia="es-ES"/>
        </w:rPr>
      </w:pPr>
    </w:p>
    <w:p w14:paraId="4F67DB6F" w14:textId="77777777" w:rsidR="004074D3" w:rsidRPr="0030751E" w:rsidRDefault="004074D3" w:rsidP="004074D3">
      <w:pPr>
        <w:spacing w:after="0" w:line="240" w:lineRule="auto"/>
        <w:ind w:left="709" w:right="709"/>
        <w:jc w:val="both"/>
        <w:rPr>
          <w:rFonts w:ascii="Verdana" w:eastAsia="Calibri" w:hAnsi="Verdana" w:cs="Arial"/>
          <w:sz w:val="20"/>
          <w:szCs w:val="20"/>
          <w:lang w:val="es-MX"/>
        </w:rPr>
      </w:pPr>
      <w:r w:rsidRPr="0030751E">
        <w:rPr>
          <w:rFonts w:ascii="Verdana" w:eastAsia="Calibri" w:hAnsi="Verdana" w:cs="Arial"/>
          <w:sz w:val="20"/>
          <w:szCs w:val="20"/>
          <w:lang w:val="es-MX"/>
        </w:rPr>
        <w:t>“1. Inicio de ejecución contractual y reconocimiento de pagos parciales</w:t>
      </w:r>
    </w:p>
    <w:p w14:paraId="5E5A0970" w14:textId="77777777" w:rsidR="004074D3" w:rsidRPr="0030751E" w:rsidRDefault="004074D3" w:rsidP="004074D3">
      <w:pPr>
        <w:spacing w:after="0" w:line="240" w:lineRule="auto"/>
        <w:ind w:left="709" w:right="709"/>
        <w:jc w:val="both"/>
        <w:rPr>
          <w:rFonts w:ascii="Verdana" w:eastAsia="Calibri" w:hAnsi="Verdana" w:cs="Arial"/>
          <w:sz w:val="20"/>
          <w:szCs w:val="20"/>
          <w:lang w:val="es-MX"/>
        </w:rPr>
      </w:pPr>
      <w:r w:rsidRPr="0030751E">
        <w:rPr>
          <w:rFonts w:ascii="Verdana" w:eastAsia="Calibri" w:hAnsi="Verdana" w:cs="Arial"/>
          <w:sz w:val="20"/>
          <w:szCs w:val="20"/>
          <w:lang w:val="es-MX"/>
        </w:rPr>
        <w:t>Se solicita orientación frente a situaciones en las que:</w:t>
      </w:r>
    </w:p>
    <w:p w14:paraId="3F28FEE8" w14:textId="77777777" w:rsidR="004074D3" w:rsidRPr="0030751E" w:rsidRDefault="004074D3" w:rsidP="004074D3">
      <w:pPr>
        <w:numPr>
          <w:ilvl w:val="0"/>
          <w:numId w:val="2"/>
        </w:numPr>
        <w:spacing w:after="0" w:line="240" w:lineRule="auto"/>
        <w:ind w:right="709"/>
        <w:contextualSpacing/>
        <w:jc w:val="both"/>
        <w:rPr>
          <w:rFonts w:ascii="Verdana" w:eastAsia="Calibri" w:hAnsi="Verdana" w:cs="Arial"/>
          <w:sz w:val="20"/>
          <w:szCs w:val="20"/>
          <w:lang w:val="es-MX"/>
        </w:rPr>
      </w:pPr>
      <w:r w:rsidRPr="0030751E">
        <w:rPr>
          <w:rFonts w:ascii="Verdana" w:eastAsia="Calibri" w:hAnsi="Verdana" w:cs="Arial"/>
          <w:sz w:val="20"/>
          <w:szCs w:val="20"/>
          <w:lang w:val="es-MX"/>
        </w:rPr>
        <w:t>El contratista cuenta con uno o dos días efectivos de ejecución, sin que sea materialmente claro el alcance real de las actividades desarrollados en ese corto período.</w:t>
      </w:r>
    </w:p>
    <w:p w14:paraId="22C7CF5E" w14:textId="77777777" w:rsidR="004074D3" w:rsidRPr="0030751E" w:rsidRDefault="004074D3" w:rsidP="004074D3">
      <w:pPr>
        <w:numPr>
          <w:ilvl w:val="0"/>
          <w:numId w:val="2"/>
        </w:numPr>
        <w:spacing w:after="0" w:line="240" w:lineRule="auto"/>
        <w:ind w:right="709"/>
        <w:contextualSpacing/>
        <w:jc w:val="both"/>
        <w:rPr>
          <w:rFonts w:ascii="Verdana" w:eastAsia="Calibri" w:hAnsi="Verdana" w:cs="Arial"/>
          <w:sz w:val="20"/>
          <w:szCs w:val="20"/>
          <w:lang w:val="es-MX"/>
        </w:rPr>
      </w:pPr>
      <w:r w:rsidRPr="0030751E">
        <w:rPr>
          <w:rFonts w:ascii="Verdana" w:eastAsia="Calibri" w:hAnsi="Verdana" w:cs="Arial"/>
          <w:sz w:val="20"/>
          <w:szCs w:val="20"/>
          <w:lang w:val="es-MX"/>
        </w:rPr>
        <w:t>El supervisor es designado el mismo día de inicio, incluso después del horario laboral, lo que dificulta el control previo de la ejecución.</w:t>
      </w:r>
    </w:p>
    <w:p w14:paraId="666B0EC1" w14:textId="77777777" w:rsidR="004074D3" w:rsidRPr="0030751E" w:rsidRDefault="004074D3" w:rsidP="004074D3">
      <w:pPr>
        <w:spacing w:before="120" w:after="0" w:line="240" w:lineRule="auto"/>
        <w:ind w:left="709" w:right="709"/>
        <w:jc w:val="both"/>
        <w:rPr>
          <w:rFonts w:ascii="Verdana" w:eastAsia="Calibri" w:hAnsi="Verdana" w:cs="Arial"/>
          <w:sz w:val="20"/>
          <w:szCs w:val="20"/>
          <w:lang w:val="es-MX"/>
        </w:rPr>
      </w:pPr>
      <w:r w:rsidRPr="0030751E">
        <w:rPr>
          <w:rFonts w:ascii="Verdana" w:eastAsia="Calibri" w:hAnsi="Verdana" w:cs="Arial"/>
          <w:sz w:val="20"/>
          <w:szCs w:val="20"/>
          <w:lang w:val="es-MX"/>
        </w:rPr>
        <w:lastRenderedPageBreak/>
        <w:t>2. Certificación de ejecución</w:t>
      </w:r>
    </w:p>
    <w:p w14:paraId="3421F880" w14:textId="77777777" w:rsidR="004074D3" w:rsidRPr="0030751E" w:rsidRDefault="004074D3" w:rsidP="004074D3">
      <w:pPr>
        <w:numPr>
          <w:ilvl w:val="0"/>
          <w:numId w:val="3"/>
        </w:numPr>
        <w:spacing w:before="120" w:after="0" w:line="240" w:lineRule="auto"/>
        <w:ind w:right="709"/>
        <w:contextualSpacing/>
        <w:jc w:val="both"/>
        <w:rPr>
          <w:rFonts w:ascii="Verdana" w:eastAsia="Calibri" w:hAnsi="Verdana" w:cs="Arial"/>
          <w:sz w:val="20"/>
          <w:szCs w:val="20"/>
          <w:lang w:val="es-MX"/>
        </w:rPr>
      </w:pPr>
      <w:r w:rsidRPr="0030751E">
        <w:rPr>
          <w:rFonts w:ascii="Verdana" w:eastAsia="Calibri" w:hAnsi="Verdana" w:cs="Arial"/>
          <w:sz w:val="20"/>
          <w:szCs w:val="20"/>
          <w:lang w:val="es-MX"/>
        </w:rPr>
        <w:t>¿Puede configurarse una falta disciplinaria u otra si se aprueba un pago sin evidencia suficiencia de ejecución real?</w:t>
      </w:r>
    </w:p>
    <w:p w14:paraId="1647200B" w14:textId="77777777" w:rsidR="004074D3" w:rsidRPr="0030751E" w:rsidRDefault="004074D3" w:rsidP="004074D3">
      <w:pPr>
        <w:numPr>
          <w:ilvl w:val="0"/>
          <w:numId w:val="3"/>
        </w:numPr>
        <w:spacing w:before="120" w:after="0" w:line="240" w:lineRule="auto"/>
        <w:ind w:right="709"/>
        <w:contextualSpacing/>
        <w:jc w:val="both"/>
        <w:rPr>
          <w:rFonts w:ascii="Verdana" w:eastAsia="Calibri" w:hAnsi="Verdana" w:cs="Arial"/>
          <w:sz w:val="20"/>
          <w:szCs w:val="20"/>
          <w:lang w:val="es-MX"/>
        </w:rPr>
      </w:pPr>
      <w:r w:rsidRPr="0030751E">
        <w:rPr>
          <w:rFonts w:ascii="Verdana" w:eastAsia="Calibri" w:hAnsi="Verdana" w:cs="Arial"/>
          <w:sz w:val="20"/>
          <w:szCs w:val="20"/>
          <w:lang w:val="es-MX"/>
        </w:rPr>
        <w:t>¿Cuáles son los lineamientos sobre los soportes que deben existir para certificar la ejecución de un contrato de prestación de servicios?</w:t>
      </w:r>
    </w:p>
    <w:p w14:paraId="41A4FBCB" w14:textId="77777777" w:rsidR="004074D3" w:rsidRPr="0030751E" w:rsidRDefault="004074D3" w:rsidP="004074D3">
      <w:pPr>
        <w:spacing w:before="120" w:after="0" w:line="240" w:lineRule="auto"/>
        <w:ind w:left="709" w:right="709"/>
        <w:jc w:val="both"/>
        <w:rPr>
          <w:rFonts w:ascii="Verdana" w:eastAsia="Calibri" w:hAnsi="Verdana" w:cs="Arial"/>
          <w:sz w:val="20"/>
          <w:szCs w:val="20"/>
          <w:lang w:val="es-MX"/>
        </w:rPr>
      </w:pPr>
      <w:r w:rsidRPr="0030751E">
        <w:rPr>
          <w:rFonts w:ascii="Verdana" w:eastAsia="Calibri" w:hAnsi="Verdana" w:cs="Arial"/>
          <w:sz w:val="20"/>
          <w:szCs w:val="20"/>
          <w:lang w:val="es-MX"/>
        </w:rPr>
        <w:t>3. Incumplimiento contractual: deberes de los servicios públicos que no son supervisores</w:t>
      </w:r>
    </w:p>
    <w:p w14:paraId="715C849E" w14:textId="77777777" w:rsidR="004074D3" w:rsidRPr="0030751E" w:rsidRDefault="004074D3" w:rsidP="004074D3">
      <w:pPr>
        <w:spacing w:after="0" w:line="240" w:lineRule="auto"/>
        <w:ind w:left="709" w:right="709"/>
        <w:jc w:val="both"/>
        <w:rPr>
          <w:rFonts w:ascii="Verdana" w:eastAsia="Calibri" w:hAnsi="Verdana" w:cs="Arial"/>
          <w:sz w:val="20"/>
          <w:szCs w:val="20"/>
          <w:lang w:val="es-MX"/>
        </w:rPr>
      </w:pPr>
      <w:r w:rsidRPr="0030751E">
        <w:rPr>
          <w:rFonts w:ascii="Verdana" w:eastAsia="Calibri" w:hAnsi="Verdana" w:cs="Arial"/>
          <w:sz w:val="20"/>
          <w:szCs w:val="20"/>
          <w:lang w:val="es-MX"/>
        </w:rPr>
        <w:t>Si un servidor público, sin ser supervisor, identifica que un contratista no está cumpliendo sus obligaciones contractuales:</w:t>
      </w:r>
    </w:p>
    <w:p w14:paraId="0558947E" w14:textId="77777777" w:rsidR="004074D3" w:rsidRPr="0030751E" w:rsidRDefault="004074D3" w:rsidP="004074D3">
      <w:pPr>
        <w:numPr>
          <w:ilvl w:val="0"/>
          <w:numId w:val="2"/>
        </w:numPr>
        <w:spacing w:after="0" w:line="240" w:lineRule="auto"/>
        <w:ind w:right="709"/>
        <w:contextualSpacing/>
        <w:jc w:val="both"/>
        <w:rPr>
          <w:rFonts w:ascii="Verdana" w:eastAsia="Calibri" w:hAnsi="Verdana" w:cs="Arial"/>
          <w:sz w:val="20"/>
          <w:szCs w:val="20"/>
          <w:lang w:val="es-MX"/>
        </w:rPr>
      </w:pPr>
      <w:r w:rsidRPr="0030751E">
        <w:rPr>
          <w:rFonts w:ascii="Verdana" w:eastAsia="Calibri" w:hAnsi="Verdana" w:cs="Arial"/>
          <w:sz w:val="20"/>
          <w:szCs w:val="20"/>
          <w:lang w:val="es-MX"/>
        </w:rPr>
        <w:t>¿Qué debe hacer?</w:t>
      </w:r>
    </w:p>
    <w:p w14:paraId="32455940" w14:textId="77777777" w:rsidR="004074D3" w:rsidRPr="0030751E" w:rsidRDefault="004074D3" w:rsidP="004074D3">
      <w:pPr>
        <w:numPr>
          <w:ilvl w:val="0"/>
          <w:numId w:val="2"/>
        </w:numPr>
        <w:spacing w:after="0" w:line="240" w:lineRule="auto"/>
        <w:ind w:right="709"/>
        <w:contextualSpacing/>
        <w:jc w:val="both"/>
        <w:rPr>
          <w:rFonts w:ascii="Verdana" w:eastAsia="Calibri" w:hAnsi="Verdana" w:cs="Arial"/>
          <w:sz w:val="20"/>
          <w:szCs w:val="20"/>
          <w:lang w:val="es-MX"/>
        </w:rPr>
      </w:pPr>
      <w:r w:rsidRPr="0030751E">
        <w:rPr>
          <w:rFonts w:ascii="Verdana" w:eastAsia="Calibri" w:hAnsi="Verdana" w:cs="Arial"/>
          <w:sz w:val="20"/>
          <w:szCs w:val="20"/>
          <w:lang w:val="es-MX"/>
        </w:rPr>
        <w:t>¿Está obligado a informar a su superior o al supervisor?</w:t>
      </w:r>
    </w:p>
    <w:p w14:paraId="297DBDEC" w14:textId="77777777" w:rsidR="004074D3" w:rsidRPr="0030751E" w:rsidRDefault="004074D3" w:rsidP="004074D3">
      <w:pPr>
        <w:numPr>
          <w:ilvl w:val="0"/>
          <w:numId w:val="2"/>
        </w:numPr>
        <w:spacing w:after="0" w:line="240" w:lineRule="auto"/>
        <w:ind w:right="709"/>
        <w:contextualSpacing/>
        <w:jc w:val="both"/>
        <w:rPr>
          <w:rFonts w:ascii="Verdana" w:eastAsia="Calibri" w:hAnsi="Verdana" w:cs="Arial"/>
          <w:sz w:val="20"/>
          <w:szCs w:val="20"/>
          <w:lang w:val="es-MX"/>
        </w:rPr>
      </w:pPr>
      <w:r w:rsidRPr="0030751E">
        <w:rPr>
          <w:rFonts w:ascii="Verdana" w:eastAsia="Calibri" w:hAnsi="Verdana" w:cs="Arial"/>
          <w:sz w:val="20"/>
          <w:szCs w:val="20"/>
          <w:lang w:val="es-MX"/>
        </w:rPr>
        <w:t>¿Cuándo se configura un incumplimiento contractual?</w:t>
      </w:r>
    </w:p>
    <w:p w14:paraId="57EBE01F" w14:textId="77777777" w:rsidR="004074D3" w:rsidRPr="0030751E" w:rsidRDefault="004074D3" w:rsidP="004074D3">
      <w:pPr>
        <w:numPr>
          <w:ilvl w:val="0"/>
          <w:numId w:val="2"/>
        </w:numPr>
        <w:spacing w:after="0" w:line="240" w:lineRule="auto"/>
        <w:ind w:right="709"/>
        <w:contextualSpacing/>
        <w:jc w:val="both"/>
        <w:rPr>
          <w:rFonts w:ascii="Verdana" w:eastAsia="Calibri" w:hAnsi="Verdana" w:cs="Arial"/>
          <w:sz w:val="20"/>
          <w:szCs w:val="20"/>
          <w:lang w:val="es-MX"/>
        </w:rPr>
      </w:pPr>
      <w:r w:rsidRPr="0030751E">
        <w:rPr>
          <w:rFonts w:ascii="Verdana" w:eastAsia="Calibri" w:hAnsi="Verdana" w:cs="Arial"/>
          <w:sz w:val="20"/>
          <w:szCs w:val="20"/>
          <w:lang w:val="es-MX"/>
        </w:rPr>
        <w:t>¿El incumplimiento de una sola obligación puede considerarse incumplimiento del contrato?</w:t>
      </w:r>
    </w:p>
    <w:p w14:paraId="0F01F9DA" w14:textId="77777777" w:rsidR="004074D3" w:rsidRPr="0030751E" w:rsidRDefault="004074D3" w:rsidP="004074D3">
      <w:pPr>
        <w:numPr>
          <w:ilvl w:val="0"/>
          <w:numId w:val="2"/>
        </w:numPr>
        <w:spacing w:after="0" w:line="240" w:lineRule="auto"/>
        <w:ind w:right="709"/>
        <w:contextualSpacing/>
        <w:jc w:val="both"/>
        <w:rPr>
          <w:rFonts w:ascii="Verdana" w:eastAsia="Calibri" w:hAnsi="Verdana" w:cs="Arial"/>
          <w:sz w:val="20"/>
          <w:szCs w:val="20"/>
          <w:lang w:val="es-MX"/>
        </w:rPr>
      </w:pPr>
      <w:r w:rsidRPr="0030751E">
        <w:rPr>
          <w:rFonts w:ascii="Verdana" w:eastAsia="Calibri" w:hAnsi="Verdana" w:cs="Arial"/>
          <w:sz w:val="20"/>
          <w:szCs w:val="20"/>
          <w:lang w:val="es-MX"/>
        </w:rPr>
        <w:t>¿Existen tipos o grados de incumplimiento?</w:t>
      </w:r>
    </w:p>
    <w:p w14:paraId="59DAEBF2" w14:textId="77777777" w:rsidR="004074D3" w:rsidRPr="0030751E" w:rsidRDefault="004074D3" w:rsidP="004074D3">
      <w:pPr>
        <w:numPr>
          <w:ilvl w:val="0"/>
          <w:numId w:val="2"/>
        </w:numPr>
        <w:spacing w:after="0" w:line="240" w:lineRule="auto"/>
        <w:ind w:right="709"/>
        <w:contextualSpacing/>
        <w:jc w:val="both"/>
        <w:rPr>
          <w:rFonts w:ascii="Verdana" w:eastAsia="Calibri" w:hAnsi="Verdana" w:cs="Arial"/>
          <w:sz w:val="20"/>
          <w:szCs w:val="20"/>
          <w:lang w:val="es-MX"/>
        </w:rPr>
      </w:pPr>
      <w:r w:rsidRPr="0030751E">
        <w:rPr>
          <w:rFonts w:ascii="Verdana" w:eastAsia="Calibri" w:hAnsi="Verdana" w:cs="Arial"/>
          <w:sz w:val="20"/>
          <w:szCs w:val="20"/>
          <w:lang w:val="es-MX"/>
        </w:rPr>
        <w:t>¿Cuál es el paso a paso institucional ante un incumplimiento contractual identificado?</w:t>
      </w:r>
    </w:p>
    <w:p w14:paraId="3E9A9541" w14:textId="77777777" w:rsidR="004074D3" w:rsidRPr="0030751E" w:rsidRDefault="004074D3" w:rsidP="004074D3">
      <w:pPr>
        <w:spacing w:after="0" w:line="240" w:lineRule="auto"/>
        <w:ind w:left="709" w:right="709"/>
        <w:jc w:val="both"/>
        <w:rPr>
          <w:rFonts w:ascii="Verdana" w:eastAsia="Calibri" w:hAnsi="Verdana" w:cs="Arial"/>
          <w:sz w:val="20"/>
          <w:szCs w:val="20"/>
          <w:lang w:val="es-MX"/>
        </w:rPr>
      </w:pPr>
      <w:r w:rsidRPr="0030751E">
        <w:rPr>
          <w:rFonts w:ascii="Verdana" w:eastAsia="Calibri" w:hAnsi="Verdana" w:cs="Arial"/>
          <w:sz w:val="20"/>
          <w:szCs w:val="20"/>
          <w:lang w:val="es-MX"/>
        </w:rPr>
        <w:t>En caso de que un contratista presente documentación falsa:</w:t>
      </w:r>
    </w:p>
    <w:p w14:paraId="4B5CBF7F" w14:textId="77777777" w:rsidR="004074D3" w:rsidRPr="0030751E" w:rsidRDefault="004074D3" w:rsidP="004074D3">
      <w:pPr>
        <w:numPr>
          <w:ilvl w:val="0"/>
          <w:numId w:val="4"/>
        </w:numPr>
        <w:spacing w:after="0" w:line="240" w:lineRule="auto"/>
        <w:ind w:right="709"/>
        <w:contextualSpacing/>
        <w:jc w:val="both"/>
        <w:rPr>
          <w:rFonts w:ascii="Verdana" w:eastAsia="Calibri" w:hAnsi="Verdana" w:cs="Arial"/>
          <w:sz w:val="20"/>
          <w:szCs w:val="20"/>
          <w:lang w:val="es-MX"/>
        </w:rPr>
      </w:pPr>
      <w:r w:rsidRPr="0030751E">
        <w:rPr>
          <w:rFonts w:ascii="Verdana" w:eastAsia="Calibri" w:hAnsi="Verdana" w:cs="Arial"/>
          <w:sz w:val="20"/>
          <w:szCs w:val="20"/>
          <w:lang w:val="es-MX"/>
        </w:rPr>
        <w:t>¿Qué debe hacer el servidor que lo detecta?</w:t>
      </w:r>
    </w:p>
    <w:p w14:paraId="402B3FA8" w14:textId="77777777" w:rsidR="004074D3" w:rsidRPr="0030751E" w:rsidRDefault="004074D3" w:rsidP="004074D3">
      <w:pPr>
        <w:numPr>
          <w:ilvl w:val="0"/>
          <w:numId w:val="4"/>
        </w:numPr>
        <w:spacing w:after="0" w:line="240" w:lineRule="auto"/>
        <w:ind w:right="709"/>
        <w:contextualSpacing/>
        <w:jc w:val="both"/>
        <w:rPr>
          <w:rFonts w:ascii="Verdana" w:eastAsia="Calibri" w:hAnsi="Verdana" w:cs="Arial"/>
          <w:sz w:val="20"/>
          <w:szCs w:val="20"/>
          <w:lang w:val="es-MX"/>
        </w:rPr>
      </w:pPr>
      <w:r w:rsidRPr="0030751E">
        <w:rPr>
          <w:rFonts w:ascii="Verdana" w:eastAsia="Calibri" w:hAnsi="Verdana" w:cs="Arial"/>
          <w:sz w:val="20"/>
          <w:szCs w:val="20"/>
          <w:lang w:val="es-MX"/>
        </w:rPr>
        <w:t>¿Existe obligación de denunciar o poner en conocimiento de la autoridad competente?</w:t>
      </w:r>
    </w:p>
    <w:p w14:paraId="5635E5AC" w14:textId="77777777" w:rsidR="004074D3" w:rsidRPr="0030751E" w:rsidRDefault="004074D3" w:rsidP="004074D3">
      <w:pPr>
        <w:numPr>
          <w:ilvl w:val="0"/>
          <w:numId w:val="4"/>
        </w:numPr>
        <w:spacing w:after="0" w:line="240" w:lineRule="auto"/>
        <w:ind w:right="709"/>
        <w:contextualSpacing/>
        <w:jc w:val="both"/>
        <w:rPr>
          <w:rFonts w:ascii="Verdana" w:eastAsia="Calibri" w:hAnsi="Verdana" w:cs="Arial"/>
          <w:sz w:val="20"/>
          <w:szCs w:val="20"/>
          <w:lang w:val="es-MX"/>
        </w:rPr>
      </w:pPr>
      <w:r w:rsidRPr="0030751E">
        <w:rPr>
          <w:rFonts w:ascii="Verdana" w:eastAsia="Calibri" w:hAnsi="Verdana" w:cs="Arial"/>
          <w:sz w:val="20"/>
          <w:szCs w:val="20"/>
          <w:lang w:val="es-MX"/>
        </w:rPr>
        <w:t>¿Cómo se determina la gravedad y tipología de un incumplimiento contractual?</w:t>
      </w:r>
    </w:p>
    <w:p w14:paraId="6CB8E8EC" w14:textId="77777777" w:rsidR="004074D3" w:rsidRPr="0030751E" w:rsidRDefault="004074D3" w:rsidP="004074D3">
      <w:pPr>
        <w:numPr>
          <w:ilvl w:val="0"/>
          <w:numId w:val="4"/>
        </w:numPr>
        <w:spacing w:after="0" w:line="240" w:lineRule="auto"/>
        <w:ind w:right="709"/>
        <w:contextualSpacing/>
        <w:jc w:val="both"/>
        <w:rPr>
          <w:rFonts w:ascii="Verdana" w:eastAsia="Calibri" w:hAnsi="Verdana" w:cs="Arial"/>
          <w:sz w:val="20"/>
          <w:szCs w:val="20"/>
          <w:lang w:val="es-MX"/>
        </w:rPr>
      </w:pPr>
      <w:r w:rsidRPr="0030751E">
        <w:rPr>
          <w:rFonts w:ascii="Verdana" w:eastAsia="Calibri" w:hAnsi="Verdana" w:cs="Arial"/>
          <w:sz w:val="20"/>
          <w:szCs w:val="20"/>
          <w:lang w:val="es-MX"/>
        </w:rPr>
        <w:t>¿Qué pasos institucionales deben seguirse cuando se identifica un incumplimiento en la ejecución de un contrato de prestación de servicios?</w:t>
      </w:r>
    </w:p>
    <w:p w14:paraId="0CCCA617" w14:textId="77777777" w:rsidR="004074D3" w:rsidRPr="0030751E" w:rsidRDefault="004074D3" w:rsidP="004074D3">
      <w:pPr>
        <w:spacing w:after="0" w:line="240" w:lineRule="auto"/>
        <w:ind w:left="709" w:right="709"/>
        <w:jc w:val="both"/>
        <w:rPr>
          <w:rFonts w:ascii="Verdana" w:eastAsia="Calibri" w:hAnsi="Verdana" w:cs="Arial"/>
          <w:b/>
          <w:bCs/>
          <w:sz w:val="20"/>
          <w:szCs w:val="20"/>
          <w:lang w:val="es-MX"/>
        </w:rPr>
      </w:pPr>
      <w:r w:rsidRPr="0030751E">
        <w:rPr>
          <w:rFonts w:ascii="Verdana" w:eastAsia="Calibri" w:hAnsi="Verdana" w:cs="Arial"/>
          <w:sz w:val="20"/>
          <w:szCs w:val="20"/>
          <w:lang w:val="es-MX"/>
        </w:rPr>
        <w:t xml:space="preserve">4. </w:t>
      </w:r>
      <w:r w:rsidRPr="0030751E">
        <w:rPr>
          <w:rFonts w:ascii="Verdana" w:eastAsia="Calibri" w:hAnsi="Verdana" w:cs="Arial"/>
          <w:b/>
          <w:bCs/>
          <w:sz w:val="20"/>
          <w:szCs w:val="20"/>
          <w:lang w:val="es-MX"/>
        </w:rPr>
        <w:t>Reconocimiento de pagos parciales</w:t>
      </w:r>
    </w:p>
    <w:p w14:paraId="220C79AE" w14:textId="77777777" w:rsidR="004074D3" w:rsidRPr="0030751E" w:rsidRDefault="004074D3" w:rsidP="004074D3">
      <w:pPr>
        <w:numPr>
          <w:ilvl w:val="0"/>
          <w:numId w:val="5"/>
        </w:numPr>
        <w:spacing w:before="120" w:after="0" w:line="240" w:lineRule="auto"/>
        <w:ind w:right="709" w:hanging="357"/>
        <w:contextualSpacing/>
        <w:jc w:val="both"/>
        <w:rPr>
          <w:rFonts w:ascii="Verdana" w:eastAsia="Calibri" w:hAnsi="Verdana" w:cs="Arial"/>
          <w:sz w:val="20"/>
          <w:szCs w:val="20"/>
          <w:lang w:val="es-MX"/>
        </w:rPr>
      </w:pPr>
      <w:r w:rsidRPr="0030751E">
        <w:rPr>
          <w:rFonts w:ascii="Verdana" w:eastAsia="Calibri" w:hAnsi="Verdana" w:cs="Arial"/>
          <w:sz w:val="20"/>
          <w:szCs w:val="20"/>
          <w:lang w:val="es-MX"/>
        </w:rPr>
        <w:t>¿Qué requisitos mínimos deben cumplirse reconocer pagos parciales en contratos de prestación de servicios?</w:t>
      </w:r>
    </w:p>
    <w:p w14:paraId="53A4B9F6" w14:textId="77777777" w:rsidR="004074D3" w:rsidRPr="0030751E" w:rsidRDefault="004074D3" w:rsidP="004074D3">
      <w:pPr>
        <w:numPr>
          <w:ilvl w:val="0"/>
          <w:numId w:val="5"/>
        </w:numPr>
        <w:spacing w:before="120" w:after="0" w:line="240" w:lineRule="auto"/>
        <w:ind w:right="709" w:hanging="357"/>
        <w:contextualSpacing/>
        <w:jc w:val="both"/>
        <w:rPr>
          <w:rFonts w:ascii="Verdana" w:eastAsia="Calibri" w:hAnsi="Verdana" w:cs="Arial"/>
          <w:sz w:val="20"/>
          <w:szCs w:val="20"/>
          <w:lang w:val="es-MX"/>
        </w:rPr>
      </w:pPr>
      <w:r w:rsidRPr="0030751E">
        <w:rPr>
          <w:rFonts w:ascii="Verdana" w:eastAsia="Calibri" w:hAnsi="Verdana" w:cs="Arial"/>
          <w:sz w:val="20"/>
          <w:szCs w:val="20"/>
          <w:lang w:val="es-MX"/>
        </w:rPr>
        <w:t>¿Qué soportes son indispensables para que el supervisor puede certificar la ejecución y autorizar el pago, ya sea parcial o total?</w:t>
      </w:r>
    </w:p>
    <w:p w14:paraId="717F0395" w14:textId="77777777" w:rsidR="004074D3" w:rsidRPr="0030751E" w:rsidRDefault="004074D3" w:rsidP="004074D3">
      <w:pPr>
        <w:spacing w:before="120" w:after="0" w:line="240" w:lineRule="auto"/>
        <w:ind w:left="709" w:right="709"/>
        <w:jc w:val="both"/>
        <w:rPr>
          <w:rFonts w:ascii="Verdana" w:eastAsia="Calibri" w:hAnsi="Verdana" w:cs="Arial"/>
          <w:sz w:val="20"/>
          <w:szCs w:val="20"/>
          <w:lang w:val="es-MX"/>
        </w:rPr>
      </w:pPr>
      <w:r w:rsidRPr="0030751E">
        <w:rPr>
          <w:rFonts w:ascii="Verdana" w:eastAsia="Calibri" w:hAnsi="Verdana" w:cs="Arial"/>
          <w:sz w:val="20"/>
          <w:szCs w:val="20"/>
          <w:lang w:val="es-MX"/>
        </w:rPr>
        <w:t>5. Estudios previos y ajustes en contratos de prestación de servicios</w:t>
      </w:r>
    </w:p>
    <w:p w14:paraId="30B95694" w14:textId="77777777" w:rsidR="004074D3" w:rsidRPr="0030751E" w:rsidRDefault="004074D3" w:rsidP="004074D3">
      <w:pPr>
        <w:spacing w:after="0" w:line="240" w:lineRule="auto"/>
        <w:ind w:left="709" w:right="709"/>
        <w:jc w:val="both"/>
        <w:rPr>
          <w:rFonts w:ascii="Verdana" w:eastAsia="Calibri" w:hAnsi="Verdana" w:cs="Arial"/>
          <w:sz w:val="20"/>
          <w:szCs w:val="20"/>
          <w:lang w:val="es-MX"/>
        </w:rPr>
      </w:pPr>
      <w:r w:rsidRPr="0030751E">
        <w:rPr>
          <w:rFonts w:ascii="Verdana" w:eastAsia="Calibri" w:hAnsi="Verdana" w:cs="Arial"/>
          <w:sz w:val="20"/>
          <w:szCs w:val="20"/>
          <w:lang w:val="es-MX"/>
        </w:rPr>
        <w:t>Se solicita orientación sobre los siguientes aspectos:</w:t>
      </w:r>
    </w:p>
    <w:p w14:paraId="513B3186" w14:textId="77777777" w:rsidR="004074D3" w:rsidRPr="0030751E" w:rsidRDefault="004074D3" w:rsidP="004074D3">
      <w:pPr>
        <w:numPr>
          <w:ilvl w:val="0"/>
          <w:numId w:val="5"/>
        </w:numPr>
        <w:spacing w:after="0" w:line="240" w:lineRule="auto"/>
        <w:ind w:right="709" w:hanging="357"/>
        <w:contextualSpacing/>
        <w:jc w:val="both"/>
        <w:rPr>
          <w:rFonts w:ascii="Verdana" w:eastAsia="Calibri" w:hAnsi="Verdana" w:cs="Arial"/>
          <w:sz w:val="20"/>
          <w:szCs w:val="20"/>
          <w:lang w:val="es-MX"/>
        </w:rPr>
      </w:pPr>
      <w:r w:rsidRPr="0030751E">
        <w:rPr>
          <w:rFonts w:ascii="Verdana" w:eastAsia="Calibri" w:hAnsi="Verdana" w:cs="Arial"/>
          <w:sz w:val="20"/>
          <w:szCs w:val="20"/>
          <w:lang w:val="es-MX"/>
        </w:rPr>
        <w:t>Si al iniciar la supervisión se evidencia que el estudio previo no corresponde plenamente a las necesidades reales de la entidad, ¿cuál debe ser la actuación del supervisor?</w:t>
      </w:r>
    </w:p>
    <w:p w14:paraId="66E7BFA3" w14:textId="77777777" w:rsidR="004074D3" w:rsidRPr="0030751E" w:rsidRDefault="004074D3" w:rsidP="004074D3">
      <w:pPr>
        <w:numPr>
          <w:ilvl w:val="0"/>
          <w:numId w:val="5"/>
        </w:numPr>
        <w:spacing w:before="120" w:after="0" w:line="240" w:lineRule="auto"/>
        <w:ind w:right="709" w:hanging="357"/>
        <w:contextualSpacing/>
        <w:jc w:val="both"/>
        <w:rPr>
          <w:rFonts w:ascii="Verdana" w:eastAsia="Calibri" w:hAnsi="Verdana" w:cs="Arial"/>
          <w:sz w:val="20"/>
          <w:szCs w:val="20"/>
          <w:lang w:val="es-MX"/>
        </w:rPr>
      </w:pPr>
      <w:proofErr w:type="spellStart"/>
      <w:r w:rsidRPr="0030751E">
        <w:rPr>
          <w:rFonts w:ascii="Verdana" w:eastAsia="Calibri" w:hAnsi="Verdana" w:cs="Arial"/>
          <w:sz w:val="20"/>
          <w:szCs w:val="20"/>
          <w:lang w:val="es-MX"/>
        </w:rPr>
        <w:t>Cuales</w:t>
      </w:r>
      <w:proofErr w:type="spellEnd"/>
      <w:r w:rsidRPr="0030751E">
        <w:rPr>
          <w:rFonts w:ascii="Verdana" w:eastAsia="Calibri" w:hAnsi="Verdana" w:cs="Arial"/>
          <w:sz w:val="20"/>
          <w:szCs w:val="20"/>
          <w:lang w:val="es-MX"/>
        </w:rPr>
        <w:t xml:space="preserve"> son los aspectos mínimos que debería contener un estudio mínimo.</w:t>
      </w:r>
    </w:p>
    <w:p w14:paraId="63AFC7E0" w14:textId="77777777" w:rsidR="004074D3" w:rsidRPr="0030751E" w:rsidRDefault="004074D3" w:rsidP="004074D3">
      <w:pPr>
        <w:numPr>
          <w:ilvl w:val="0"/>
          <w:numId w:val="5"/>
        </w:numPr>
        <w:spacing w:before="120" w:after="0" w:line="240" w:lineRule="auto"/>
        <w:ind w:right="709" w:hanging="357"/>
        <w:contextualSpacing/>
        <w:jc w:val="both"/>
        <w:rPr>
          <w:rFonts w:ascii="Verdana" w:eastAsia="Calibri" w:hAnsi="Verdana" w:cs="Arial"/>
          <w:sz w:val="20"/>
          <w:szCs w:val="20"/>
          <w:lang w:val="es-MX"/>
        </w:rPr>
      </w:pPr>
      <w:r w:rsidRPr="0030751E">
        <w:rPr>
          <w:rFonts w:ascii="Verdana" w:eastAsia="Calibri" w:hAnsi="Verdana" w:cs="Arial"/>
          <w:sz w:val="20"/>
          <w:szCs w:val="20"/>
          <w:lang w:val="es-MX"/>
        </w:rPr>
        <w:t>En contratación directa de contratos de prestación de servicios, ¿Es ilegal ajustar los estudios previos para adecuarlos a un perfil específico?</w:t>
      </w:r>
    </w:p>
    <w:p w14:paraId="6993B949" w14:textId="77777777" w:rsidR="004074D3" w:rsidRPr="0030751E" w:rsidRDefault="004074D3" w:rsidP="004074D3">
      <w:pPr>
        <w:numPr>
          <w:ilvl w:val="0"/>
          <w:numId w:val="5"/>
        </w:numPr>
        <w:spacing w:before="120" w:after="0" w:line="240" w:lineRule="auto"/>
        <w:ind w:right="709" w:hanging="357"/>
        <w:contextualSpacing/>
        <w:jc w:val="both"/>
        <w:rPr>
          <w:rFonts w:ascii="Verdana" w:eastAsia="Calibri" w:hAnsi="Verdana" w:cs="Arial"/>
          <w:sz w:val="20"/>
          <w:szCs w:val="20"/>
          <w:lang w:val="es-MX"/>
        </w:rPr>
      </w:pPr>
      <w:r w:rsidRPr="0030751E">
        <w:rPr>
          <w:rFonts w:ascii="Verdana" w:eastAsia="Calibri" w:hAnsi="Verdana" w:cs="Arial"/>
          <w:sz w:val="20"/>
          <w:szCs w:val="20"/>
          <w:lang w:val="es-MX"/>
        </w:rPr>
        <w:t xml:space="preserve">Cuando en una dependencia se venían exigiendo determinados niveles de experiencia y formación para suplir una necesidad que no podía ser atendida por personal de planta, y posteriormente se </w:t>
      </w:r>
      <w:r w:rsidRPr="0030751E">
        <w:rPr>
          <w:rFonts w:ascii="Verdana" w:eastAsia="Calibri" w:hAnsi="Verdana" w:cs="Arial"/>
          <w:sz w:val="20"/>
          <w:szCs w:val="20"/>
          <w:lang w:val="es-MX"/>
        </w:rPr>
        <w:lastRenderedPageBreak/>
        <w:t>modifican dichos requisitos, ¿Existe alguna ilegalidad?, ¿O se trata de un margen de discrecionalidad del directivo?, ¿Existen reglas, criterios o metodologías para determinar qué necesidades deben suplirse mediante contratos de prestación de servicios y no con personal de planta?</w:t>
      </w:r>
    </w:p>
    <w:p w14:paraId="63380859" w14:textId="77777777" w:rsidR="004074D3" w:rsidRPr="0030751E" w:rsidRDefault="004074D3" w:rsidP="004074D3">
      <w:pPr>
        <w:numPr>
          <w:ilvl w:val="0"/>
          <w:numId w:val="5"/>
        </w:numPr>
        <w:spacing w:before="120" w:after="0" w:line="240" w:lineRule="auto"/>
        <w:ind w:right="709" w:hanging="357"/>
        <w:contextualSpacing/>
        <w:jc w:val="both"/>
        <w:rPr>
          <w:rFonts w:ascii="Verdana" w:eastAsia="Calibri" w:hAnsi="Verdana" w:cs="Arial"/>
          <w:sz w:val="20"/>
          <w:szCs w:val="20"/>
          <w:lang w:val="es-MX"/>
        </w:rPr>
      </w:pPr>
      <w:r w:rsidRPr="0030751E">
        <w:rPr>
          <w:rFonts w:ascii="Verdana" w:eastAsia="Calibri" w:hAnsi="Verdana" w:cs="Arial"/>
          <w:sz w:val="20"/>
          <w:szCs w:val="20"/>
          <w:lang w:val="es-MX"/>
        </w:rPr>
        <w:t>¿Cuáles son los criterios legales y técnicos que deben aplicarse para ajustar estudios previos cuando se evidencian necesidades distintas a las inicialmente planteadas?</w:t>
      </w:r>
    </w:p>
    <w:p w14:paraId="77A52E92" w14:textId="77777777" w:rsidR="004074D3" w:rsidRPr="0030751E" w:rsidRDefault="004074D3" w:rsidP="004074D3">
      <w:pPr>
        <w:numPr>
          <w:ilvl w:val="0"/>
          <w:numId w:val="5"/>
        </w:numPr>
        <w:spacing w:before="120" w:after="0" w:line="240" w:lineRule="auto"/>
        <w:ind w:right="709" w:hanging="357"/>
        <w:contextualSpacing/>
        <w:jc w:val="both"/>
        <w:rPr>
          <w:rFonts w:ascii="Verdana" w:eastAsia="Calibri" w:hAnsi="Verdana" w:cs="Arial"/>
          <w:sz w:val="20"/>
          <w:szCs w:val="20"/>
          <w:lang w:val="es-MX"/>
        </w:rPr>
      </w:pPr>
      <w:r w:rsidRPr="0030751E">
        <w:rPr>
          <w:rFonts w:ascii="Verdana" w:eastAsia="Calibri" w:hAnsi="Verdana" w:cs="Arial"/>
          <w:sz w:val="20"/>
          <w:szCs w:val="20"/>
          <w:lang w:val="es-MX"/>
        </w:rPr>
        <w:t>¿Qué buenas prácticas recomienda la entidad para garantiza que los estudios previos reflejen adecuadamente las necesidades reales de la entidad?</w:t>
      </w:r>
    </w:p>
    <w:p w14:paraId="16F89AFE" w14:textId="77777777" w:rsidR="004074D3" w:rsidRPr="0030751E" w:rsidRDefault="004074D3" w:rsidP="004074D3">
      <w:pPr>
        <w:spacing w:before="120" w:after="0" w:line="240" w:lineRule="auto"/>
        <w:ind w:left="709" w:right="709"/>
        <w:jc w:val="both"/>
        <w:rPr>
          <w:rFonts w:ascii="Verdana" w:eastAsia="Calibri" w:hAnsi="Verdana" w:cs="Arial"/>
          <w:sz w:val="20"/>
          <w:szCs w:val="20"/>
          <w:lang w:val="es-MX"/>
        </w:rPr>
      </w:pPr>
      <w:r w:rsidRPr="0030751E">
        <w:rPr>
          <w:rFonts w:ascii="Verdana" w:eastAsia="Calibri" w:hAnsi="Verdana" w:cs="Arial"/>
          <w:sz w:val="20"/>
          <w:szCs w:val="20"/>
          <w:lang w:val="es-MX"/>
        </w:rPr>
        <w:t>6. Modificación de requisitos de experiencia y formación</w:t>
      </w:r>
    </w:p>
    <w:p w14:paraId="5A5EB0CD" w14:textId="77777777" w:rsidR="004074D3" w:rsidRPr="0030751E" w:rsidRDefault="004074D3" w:rsidP="004074D3">
      <w:pPr>
        <w:numPr>
          <w:ilvl w:val="0"/>
          <w:numId w:val="5"/>
        </w:numPr>
        <w:spacing w:after="0" w:line="240" w:lineRule="auto"/>
        <w:ind w:right="709" w:hanging="357"/>
        <w:contextualSpacing/>
        <w:jc w:val="both"/>
        <w:rPr>
          <w:rFonts w:ascii="Verdana" w:eastAsia="Calibri" w:hAnsi="Verdana" w:cs="Arial"/>
          <w:sz w:val="20"/>
          <w:szCs w:val="20"/>
          <w:lang w:val="es-MX"/>
        </w:rPr>
      </w:pPr>
      <w:r w:rsidRPr="0030751E">
        <w:rPr>
          <w:rFonts w:ascii="Verdana" w:eastAsia="Calibri" w:hAnsi="Verdana" w:cs="Arial"/>
          <w:sz w:val="20"/>
          <w:szCs w:val="20"/>
          <w:lang w:val="es-MX"/>
        </w:rPr>
        <w:t>¿Existen metodologías o parámetros que orienten la decisión sobre cuándo suplir necesidades mediante contratos de prestación de servicios y cuándo hacerlo con personal de planta?</w:t>
      </w:r>
    </w:p>
    <w:p w14:paraId="7DB1A0F4" w14:textId="77777777" w:rsidR="004074D3" w:rsidRPr="0030751E" w:rsidRDefault="004074D3" w:rsidP="004074D3">
      <w:pPr>
        <w:numPr>
          <w:ilvl w:val="0"/>
          <w:numId w:val="5"/>
        </w:numPr>
        <w:spacing w:before="120" w:after="0" w:line="240" w:lineRule="auto"/>
        <w:ind w:left="709" w:right="709" w:hanging="357"/>
        <w:contextualSpacing/>
        <w:jc w:val="both"/>
        <w:rPr>
          <w:rFonts w:ascii="Verdana" w:eastAsia="Calibri" w:hAnsi="Verdana" w:cs="Arial"/>
          <w:sz w:val="20"/>
          <w:szCs w:val="20"/>
          <w:lang w:val="es-MX"/>
        </w:rPr>
      </w:pPr>
      <w:r w:rsidRPr="0030751E">
        <w:rPr>
          <w:rFonts w:ascii="Verdana" w:eastAsia="Calibri" w:hAnsi="Verdana" w:cs="Arial"/>
          <w:sz w:val="20"/>
          <w:szCs w:val="20"/>
          <w:lang w:val="es-MX"/>
        </w:rPr>
        <w:t>¿Qué criterios normativos deben aplicarse para modificar requisitos de experiencia y formación en contratos de prestación de servicios?” [sic] [Negrillas propias]</w:t>
      </w:r>
    </w:p>
    <w:p w14:paraId="2278B3D8" w14:textId="77777777" w:rsidR="004074D3" w:rsidRPr="0030751E" w:rsidRDefault="004074D3" w:rsidP="004074D3">
      <w:pPr>
        <w:spacing w:after="0" w:line="276" w:lineRule="auto"/>
        <w:jc w:val="both"/>
        <w:rPr>
          <w:rFonts w:ascii="Verdana" w:eastAsia="Calibri" w:hAnsi="Verdana" w:cs="Arial"/>
          <w:lang w:val="es-ES" w:eastAsia="es-ES"/>
        </w:rPr>
      </w:pPr>
    </w:p>
    <w:p w14:paraId="0B981B0C" w14:textId="77777777" w:rsidR="004074D3" w:rsidRPr="0030751E" w:rsidRDefault="004074D3" w:rsidP="004074D3">
      <w:pPr>
        <w:spacing w:after="120" w:line="276" w:lineRule="auto"/>
        <w:jc w:val="both"/>
        <w:rPr>
          <w:rFonts w:ascii="Verdana" w:eastAsia="Calibri" w:hAnsi="Verdana" w:cs="Arial"/>
          <w:szCs w:val="24"/>
          <w:lang w:val="es-ES_tradnl" w:eastAsia="es-ES_tradnl"/>
        </w:rPr>
      </w:pPr>
      <w:r w:rsidRPr="0030751E">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655249F6" w14:textId="77777777" w:rsidR="004074D3" w:rsidRPr="0030751E" w:rsidRDefault="004074D3" w:rsidP="004074D3">
      <w:pPr>
        <w:spacing w:after="0" w:line="276" w:lineRule="auto"/>
        <w:ind w:firstLine="709"/>
        <w:jc w:val="both"/>
        <w:rPr>
          <w:rFonts w:ascii="Verdana" w:eastAsia="Calibri" w:hAnsi="Verdana" w:cs="Arial"/>
          <w:lang w:val="es-ES" w:eastAsia="es-ES"/>
        </w:rPr>
      </w:pPr>
      <w:r w:rsidRPr="0030751E">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w:t>
      </w:r>
    </w:p>
    <w:p w14:paraId="20EC61D3" w14:textId="77777777" w:rsidR="004074D3" w:rsidRPr="0030751E" w:rsidRDefault="004074D3" w:rsidP="004074D3">
      <w:pPr>
        <w:spacing w:after="0" w:line="276" w:lineRule="auto"/>
        <w:ind w:firstLine="709"/>
        <w:jc w:val="both"/>
        <w:rPr>
          <w:rFonts w:ascii="Verdana" w:eastAsia="Calibri" w:hAnsi="Verdana" w:cs="Arial"/>
          <w:lang w:val="es-ES" w:eastAsia="es-ES"/>
        </w:rPr>
      </w:pPr>
    </w:p>
    <w:p w14:paraId="27718E02" w14:textId="77777777" w:rsidR="004074D3" w:rsidRPr="0030751E" w:rsidRDefault="004074D3" w:rsidP="004074D3">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30751E">
        <w:rPr>
          <w:rFonts w:ascii="Verdana" w:eastAsia="Arial" w:hAnsi="Verdana" w:cs="Arial"/>
          <w:b/>
          <w:bCs/>
          <w:lang w:val="es-ES"/>
        </w:rPr>
        <w:t>1. Problema planteado:</w:t>
      </w:r>
    </w:p>
    <w:p w14:paraId="4A61989A" w14:textId="77777777" w:rsidR="004074D3" w:rsidRPr="0030751E" w:rsidRDefault="004074D3" w:rsidP="004074D3">
      <w:pPr>
        <w:tabs>
          <w:tab w:val="left" w:pos="426"/>
        </w:tabs>
        <w:spacing w:after="0" w:line="276" w:lineRule="auto"/>
        <w:jc w:val="both"/>
        <w:rPr>
          <w:rFonts w:ascii="Verdana" w:eastAsia="Century Gothic" w:hAnsi="Verdana" w:cs="Century Gothic"/>
          <w:lang w:val="es-ES"/>
        </w:rPr>
      </w:pPr>
    </w:p>
    <w:p w14:paraId="1D28166D" w14:textId="77777777" w:rsidR="004074D3" w:rsidRPr="0030751E" w:rsidRDefault="004074D3" w:rsidP="004074D3">
      <w:pPr>
        <w:spacing w:after="0"/>
        <w:jc w:val="both"/>
        <w:rPr>
          <w:rFonts w:ascii="Verdana" w:eastAsia="Aptos" w:hAnsi="Verdana" w:cs="Arial"/>
        </w:rPr>
      </w:pPr>
      <w:r w:rsidRPr="0030751E">
        <w:rPr>
          <w:rFonts w:ascii="Verdana" w:eastAsia="Century Gothic" w:hAnsi="Verdana" w:cs="Century Gothic"/>
        </w:rPr>
        <w:t xml:space="preserve">De acuerdo con el contenido de su solicitud, le informamos que la misma se resolverá desde los siguientes </w:t>
      </w:r>
      <w:bookmarkStart w:id="1" w:name="_Hlk171070029"/>
      <w:r w:rsidRPr="0030751E">
        <w:rPr>
          <w:rFonts w:ascii="Verdana" w:eastAsia="Century Gothic" w:hAnsi="Verdana" w:cs="Century Gothic"/>
        </w:rPr>
        <w:t xml:space="preserve">interrogantes: i) </w:t>
      </w:r>
      <w:r w:rsidRPr="0030751E">
        <w:rPr>
          <w:rFonts w:ascii="Verdana" w:eastAsia="Aptos" w:hAnsi="Verdana" w:cs="Arial"/>
        </w:rPr>
        <w:t xml:space="preserve">¿Cómo deben realizarse los estudios previos para la celebración de contratos de prestación de servicios?; </w:t>
      </w:r>
      <w:proofErr w:type="spellStart"/>
      <w:r w:rsidRPr="0030751E">
        <w:rPr>
          <w:rFonts w:ascii="Verdana" w:eastAsia="Aptos" w:hAnsi="Verdana" w:cs="Arial"/>
        </w:rPr>
        <w:t>ii</w:t>
      </w:r>
      <w:proofErr w:type="spellEnd"/>
      <w:r w:rsidRPr="0030751E">
        <w:rPr>
          <w:rFonts w:ascii="Verdana" w:eastAsia="Aptos" w:hAnsi="Verdana" w:cs="Arial"/>
        </w:rPr>
        <w:t xml:space="preserve">) ¿Quién es el facultado para designar la supervisión de un contrato estatal y de qué forma podría comunicarse esto?; y </w:t>
      </w:r>
      <w:proofErr w:type="spellStart"/>
      <w:r w:rsidRPr="0030751E">
        <w:rPr>
          <w:rFonts w:ascii="Verdana" w:eastAsia="Aptos" w:hAnsi="Verdana" w:cs="Arial"/>
        </w:rPr>
        <w:t>iii</w:t>
      </w:r>
      <w:proofErr w:type="spellEnd"/>
      <w:r w:rsidRPr="0030751E">
        <w:rPr>
          <w:rFonts w:ascii="Verdana" w:eastAsia="Aptos" w:hAnsi="Verdana" w:cs="Arial"/>
        </w:rPr>
        <w:t>) ¿Quién es el competente para informar sobre un posible incumplimiento contractual y quién puede sancionar?</w:t>
      </w:r>
    </w:p>
    <w:p w14:paraId="25F11C35" w14:textId="77777777" w:rsidR="004074D3" w:rsidRPr="0030751E" w:rsidRDefault="004074D3" w:rsidP="004074D3">
      <w:pPr>
        <w:spacing w:after="0"/>
        <w:jc w:val="both"/>
        <w:rPr>
          <w:rFonts w:ascii="Verdana" w:eastAsia="Aptos" w:hAnsi="Verdana" w:cs="Arial"/>
        </w:rPr>
      </w:pPr>
    </w:p>
    <w:bookmarkEnd w:id="1"/>
    <w:p w14:paraId="2DD3D11B" w14:textId="77777777" w:rsidR="004074D3" w:rsidRPr="0030751E" w:rsidRDefault="004074D3" w:rsidP="004074D3">
      <w:pPr>
        <w:widowControl w:val="0"/>
        <w:autoSpaceDE w:val="0"/>
        <w:autoSpaceDN w:val="0"/>
        <w:spacing w:before="1" w:after="0" w:line="240" w:lineRule="auto"/>
        <w:jc w:val="both"/>
        <w:outlineLvl w:val="0"/>
        <w:rPr>
          <w:rFonts w:ascii="Verdana" w:eastAsia="Arial" w:hAnsi="Verdana" w:cs="Arial"/>
          <w:b/>
          <w:bCs/>
          <w:lang w:val="es-ES"/>
        </w:rPr>
      </w:pPr>
      <w:r w:rsidRPr="0030751E">
        <w:rPr>
          <w:rFonts w:ascii="Verdana" w:eastAsia="Arial" w:hAnsi="Verdana" w:cs="Arial"/>
          <w:b/>
          <w:bCs/>
          <w:lang w:val="es-ES"/>
        </w:rPr>
        <w:t>2. Respuesta:</w:t>
      </w:r>
    </w:p>
    <w:p w14:paraId="3209C6F6" w14:textId="77777777" w:rsidR="004074D3" w:rsidRPr="0030751E" w:rsidRDefault="004074D3" w:rsidP="004074D3">
      <w:pPr>
        <w:spacing w:after="0"/>
        <w:rPr>
          <w:rFonts w:ascii="Verdana" w:eastAsia="Aptos" w:hAnsi="Verdana" w:cs="Times New Rom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074D3" w:rsidRPr="0030751E" w14:paraId="5216B3FE" w14:textId="77777777" w:rsidTr="00A32D40">
        <w:tc>
          <w:tcPr>
            <w:tcW w:w="8828" w:type="dxa"/>
          </w:tcPr>
          <w:p w14:paraId="3C229027" w14:textId="77777777" w:rsidR="004074D3" w:rsidRPr="0030751E" w:rsidRDefault="004074D3" w:rsidP="00A32D40">
            <w:pPr>
              <w:spacing w:line="276" w:lineRule="auto"/>
              <w:jc w:val="both"/>
              <w:rPr>
                <w:rFonts w:ascii="Verdana" w:eastAsia="Times New Roman" w:hAnsi="Verdana" w:cs="Arial"/>
                <w:szCs w:val="24"/>
                <w:lang w:eastAsia="es-ES_tradnl"/>
              </w:rPr>
            </w:pPr>
            <w:bookmarkStart w:id="2" w:name="_Hlk171067516"/>
            <w:r w:rsidRPr="0030751E">
              <w:rPr>
                <w:rFonts w:ascii="Verdana" w:eastAsia="Times New Roman" w:hAnsi="Verdana" w:cs="Arial"/>
                <w:szCs w:val="24"/>
                <w:lang w:eastAsia="es-ES_tradnl"/>
              </w:rPr>
              <w:t>i) De manera preliminar debe precisarse que, si una entidad pretende desarrollar la contratación directa de prestación de servicios a la luz de lo dispuesto en el literal h), del numeral 4, del artículo 2 de la Ley 1150 de 2007, deberá consignar en los</w:t>
            </w:r>
            <w:r w:rsidRPr="0030751E">
              <w:rPr>
                <w:rFonts w:ascii="Verdana" w:eastAsia="Times New Roman" w:hAnsi="Verdana" w:cs="Arial"/>
                <w:i/>
                <w:iCs/>
                <w:szCs w:val="24"/>
                <w:lang w:eastAsia="es-ES_tradnl"/>
              </w:rPr>
              <w:t xml:space="preserve"> </w:t>
            </w:r>
            <w:r w:rsidRPr="0030751E">
              <w:rPr>
                <w:rFonts w:ascii="Verdana" w:eastAsia="Times New Roman" w:hAnsi="Verdana" w:cs="Arial"/>
                <w:szCs w:val="24"/>
                <w:lang w:eastAsia="es-ES_tradnl"/>
              </w:rPr>
              <w:t>documentos del proceso</w:t>
            </w:r>
            <w:r w:rsidRPr="0030751E">
              <w:rPr>
                <w:rFonts w:ascii="Verdana" w:eastAsia="Times New Roman" w:hAnsi="Verdana" w:cs="Arial"/>
                <w:i/>
                <w:iCs/>
                <w:szCs w:val="24"/>
                <w:lang w:eastAsia="es-ES_tradnl"/>
              </w:rPr>
              <w:t xml:space="preserve">, </w:t>
            </w:r>
            <w:r w:rsidRPr="0030751E">
              <w:rPr>
                <w:rFonts w:ascii="Verdana" w:eastAsia="Times New Roman" w:hAnsi="Verdana" w:cs="Arial"/>
                <w:szCs w:val="24"/>
                <w:lang w:eastAsia="es-ES_tradnl"/>
              </w:rPr>
              <w:t>bien sea en los estudios previos o en la información de soporte de estos, los aspectos de que trata el artículo 2.2.1.1.2.1.1 del Decreto 1082 de 2015, esto es:</w:t>
            </w:r>
          </w:p>
          <w:p w14:paraId="1500F845" w14:textId="77777777" w:rsidR="004074D3" w:rsidRPr="0030751E" w:rsidRDefault="004074D3" w:rsidP="00A32D40">
            <w:pPr>
              <w:spacing w:line="276" w:lineRule="auto"/>
              <w:ind w:firstLine="709"/>
              <w:jc w:val="both"/>
              <w:rPr>
                <w:rFonts w:ascii="Verdana" w:eastAsia="Times New Roman" w:hAnsi="Verdana" w:cs="Arial"/>
                <w:szCs w:val="24"/>
                <w:lang w:eastAsia="es-ES_tradnl"/>
              </w:rPr>
            </w:pPr>
          </w:p>
          <w:p w14:paraId="61412936" w14:textId="77777777" w:rsidR="004074D3" w:rsidRPr="0030751E" w:rsidRDefault="004074D3" w:rsidP="00A32D40">
            <w:pPr>
              <w:ind w:left="709" w:right="709"/>
              <w:jc w:val="both"/>
              <w:rPr>
                <w:rFonts w:ascii="Verdana" w:eastAsia="Times New Roman" w:hAnsi="Verdana" w:cs="Arial"/>
                <w:sz w:val="20"/>
                <w:lang w:eastAsia="es-ES_tradnl"/>
              </w:rPr>
            </w:pPr>
            <w:r w:rsidRPr="0030751E">
              <w:rPr>
                <w:rFonts w:ascii="Verdana" w:eastAsia="Times New Roman" w:hAnsi="Verdana" w:cs="Arial"/>
                <w:sz w:val="20"/>
                <w:lang w:eastAsia="es-ES_tradnl"/>
              </w:rPr>
              <w:t xml:space="preserve">“1. La descripción de la necesidad que la Entidad Estatal pretende satisfacer con el Proceso de Contratación.  </w:t>
            </w:r>
          </w:p>
          <w:p w14:paraId="1BD6D4A9" w14:textId="77777777" w:rsidR="004074D3" w:rsidRPr="0030751E" w:rsidRDefault="004074D3" w:rsidP="00A32D40">
            <w:pPr>
              <w:ind w:left="709" w:right="709"/>
              <w:jc w:val="both"/>
              <w:rPr>
                <w:rFonts w:ascii="Verdana" w:eastAsia="Times New Roman" w:hAnsi="Verdana" w:cs="Arial"/>
                <w:sz w:val="20"/>
                <w:lang w:eastAsia="es-ES_tradnl"/>
              </w:rPr>
            </w:pPr>
            <w:r w:rsidRPr="0030751E">
              <w:rPr>
                <w:rFonts w:ascii="Verdana" w:eastAsia="Times New Roman" w:hAnsi="Verdana" w:cs="Arial"/>
                <w:sz w:val="20"/>
                <w:lang w:eastAsia="es-ES_tradnl"/>
              </w:rPr>
              <w:t xml:space="preserve">2. El objeto a contratar, con sus especificaciones, las autorizaciones, permisos y licencias requeridos para su ejecución, y cuando el contrato incluye diseño y construcción, los documentos técnicos para el desarrollo del proyecto.  </w:t>
            </w:r>
          </w:p>
          <w:p w14:paraId="1BA91B48" w14:textId="77777777" w:rsidR="004074D3" w:rsidRPr="0030751E" w:rsidRDefault="004074D3" w:rsidP="00A32D40">
            <w:pPr>
              <w:ind w:left="709" w:right="709"/>
              <w:jc w:val="both"/>
              <w:rPr>
                <w:rFonts w:ascii="Verdana" w:eastAsia="Times New Roman" w:hAnsi="Verdana" w:cs="Arial"/>
                <w:sz w:val="20"/>
                <w:lang w:eastAsia="es-ES_tradnl"/>
              </w:rPr>
            </w:pPr>
            <w:r w:rsidRPr="0030751E">
              <w:rPr>
                <w:rFonts w:ascii="Verdana" w:eastAsia="Times New Roman" w:hAnsi="Verdana" w:cs="Arial"/>
                <w:sz w:val="20"/>
                <w:lang w:eastAsia="es-ES_tradnl"/>
              </w:rPr>
              <w:t xml:space="preserve">3. La modalidad de selección del contratista y su justificación, incluyendo los fundamentos jurídicos.  </w:t>
            </w:r>
          </w:p>
          <w:p w14:paraId="4188625D" w14:textId="77777777" w:rsidR="004074D3" w:rsidRPr="0030751E" w:rsidRDefault="004074D3" w:rsidP="00A32D40">
            <w:pPr>
              <w:ind w:left="709" w:right="709"/>
              <w:jc w:val="both"/>
              <w:rPr>
                <w:rFonts w:ascii="Verdana" w:eastAsia="Times New Roman" w:hAnsi="Verdana" w:cs="Arial"/>
                <w:sz w:val="20"/>
                <w:lang w:eastAsia="es-ES_tradnl"/>
              </w:rPr>
            </w:pPr>
            <w:r w:rsidRPr="0030751E">
              <w:rPr>
                <w:rFonts w:ascii="Verdana" w:eastAsia="Times New Roman" w:hAnsi="Verdana" w:cs="Arial"/>
                <w:sz w:val="20"/>
                <w:lang w:eastAsia="es-ES_tradnl"/>
              </w:rPr>
              <w:t>4. El valor estimado del contrato y la justificación del mismo. […]</w:t>
            </w:r>
          </w:p>
          <w:p w14:paraId="28324F05" w14:textId="77777777" w:rsidR="004074D3" w:rsidRPr="0030751E" w:rsidRDefault="004074D3" w:rsidP="00A32D40">
            <w:pPr>
              <w:ind w:left="709" w:right="709"/>
              <w:jc w:val="both"/>
              <w:rPr>
                <w:rFonts w:ascii="Verdana" w:eastAsia="Times New Roman" w:hAnsi="Verdana" w:cs="Arial"/>
                <w:sz w:val="20"/>
                <w:lang w:eastAsia="es-ES_tradnl"/>
              </w:rPr>
            </w:pPr>
            <w:r w:rsidRPr="0030751E">
              <w:rPr>
                <w:rFonts w:ascii="Verdana" w:eastAsia="Times New Roman" w:hAnsi="Verdana" w:cs="Arial"/>
                <w:sz w:val="20"/>
                <w:lang w:eastAsia="es-ES_tradnl"/>
              </w:rPr>
              <w:t>5. Los criterios para seleccionar la oferta más favorable.</w:t>
            </w:r>
          </w:p>
          <w:p w14:paraId="2D0E465D" w14:textId="77777777" w:rsidR="004074D3" w:rsidRPr="0030751E" w:rsidRDefault="004074D3" w:rsidP="00A32D40">
            <w:pPr>
              <w:ind w:left="709" w:right="709"/>
              <w:jc w:val="both"/>
              <w:rPr>
                <w:rFonts w:ascii="Verdana" w:eastAsia="Times New Roman" w:hAnsi="Verdana" w:cs="Arial"/>
                <w:sz w:val="20"/>
                <w:lang w:eastAsia="es-ES_tradnl"/>
              </w:rPr>
            </w:pPr>
            <w:r w:rsidRPr="0030751E">
              <w:rPr>
                <w:rFonts w:ascii="Verdana" w:eastAsia="Times New Roman" w:hAnsi="Verdana" w:cs="Arial"/>
                <w:sz w:val="20"/>
                <w:lang w:eastAsia="es-ES_tradnl"/>
              </w:rPr>
              <w:t>6. El análisis de Riesgo y la forma de mitigarlo.</w:t>
            </w:r>
          </w:p>
          <w:p w14:paraId="17AE2592" w14:textId="77777777" w:rsidR="004074D3" w:rsidRPr="0030751E" w:rsidRDefault="004074D3" w:rsidP="00A32D40">
            <w:pPr>
              <w:ind w:left="709" w:right="709"/>
              <w:jc w:val="both"/>
              <w:rPr>
                <w:rFonts w:ascii="Verdana" w:eastAsia="Times New Roman" w:hAnsi="Verdana" w:cs="Arial"/>
                <w:sz w:val="20"/>
                <w:lang w:eastAsia="es-ES_tradnl"/>
              </w:rPr>
            </w:pPr>
            <w:r w:rsidRPr="0030751E">
              <w:rPr>
                <w:rFonts w:ascii="Verdana" w:eastAsia="Times New Roman" w:hAnsi="Verdana" w:cs="Arial"/>
                <w:sz w:val="20"/>
                <w:lang w:eastAsia="es-ES_tradnl"/>
              </w:rPr>
              <w:t>7. Las garantías que la Entidad Estatal contempla exigir en el proceso de contratación.</w:t>
            </w:r>
          </w:p>
          <w:p w14:paraId="0EE405F8" w14:textId="77777777" w:rsidR="004074D3" w:rsidRPr="0030751E" w:rsidRDefault="004074D3" w:rsidP="00A32D40">
            <w:pPr>
              <w:ind w:left="709" w:right="709"/>
              <w:jc w:val="both"/>
              <w:rPr>
                <w:rFonts w:ascii="Verdana" w:eastAsia="Times New Roman" w:hAnsi="Verdana" w:cs="Arial"/>
                <w:sz w:val="20"/>
                <w:lang w:eastAsia="es-ES_tradnl"/>
              </w:rPr>
            </w:pPr>
            <w:r w:rsidRPr="0030751E">
              <w:rPr>
                <w:rFonts w:ascii="Verdana" w:eastAsia="Times New Roman" w:hAnsi="Verdana" w:cs="Arial"/>
                <w:sz w:val="20"/>
                <w:lang w:eastAsia="es-ES_tradnl"/>
              </w:rPr>
              <w:t xml:space="preserve">8. La indicación de si el proceso de contratación está cobijado por un acuerdo comercial.  </w:t>
            </w:r>
          </w:p>
          <w:p w14:paraId="5CC5A9D9" w14:textId="77777777" w:rsidR="004074D3" w:rsidRPr="0030751E" w:rsidRDefault="004074D3" w:rsidP="00A32D40">
            <w:pPr>
              <w:ind w:left="709" w:right="709"/>
              <w:jc w:val="both"/>
              <w:rPr>
                <w:rFonts w:ascii="Verdana" w:eastAsia="Times New Roman" w:hAnsi="Verdana" w:cs="Arial"/>
                <w:sz w:val="20"/>
                <w:lang w:eastAsia="es-ES_tradnl"/>
              </w:rPr>
            </w:pPr>
            <w:r w:rsidRPr="0030751E">
              <w:rPr>
                <w:rFonts w:ascii="Verdana" w:eastAsia="Times New Roman" w:hAnsi="Verdana" w:cs="Arial"/>
                <w:sz w:val="20"/>
                <w:lang w:eastAsia="es-ES_tradnl"/>
              </w:rPr>
              <w:t>[…]”.</w:t>
            </w:r>
          </w:p>
          <w:p w14:paraId="2611D0DC" w14:textId="77777777" w:rsidR="004074D3" w:rsidRPr="0030751E" w:rsidRDefault="004074D3" w:rsidP="00A32D40">
            <w:pPr>
              <w:spacing w:line="276" w:lineRule="auto"/>
              <w:ind w:firstLine="709"/>
              <w:jc w:val="both"/>
              <w:rPr>
                <w:rFonts w:ascii="Verdana" w:eastAsia="Times New Roman" w:hAnsi="Verdana" w:cs="Arial"/>
                <w:szCs w:val="24"/>
                <w:lang w:eastAsia="es-ES_tradnl"/>
              </w:rPr>
            </w:pPr>
          </w:p>
          <w:p w14:paraId="14865866" w14:textId="77777777" w:rsidR="004074D3" w:rsidRPr="0030751E" w:rsidRDefault="004074D3" w:rsidP="00A32D40">
            <w:pPr>
              <w:spacing w:line="276" w:lineRule="auto"/>
              <w:ind w:firstLine="709"/>
              <w:jc w:val="both"/>
              <w:rPr>
                <w:rFonts w:ascii="Verdana" w:eastAsia="Times New Roman" w:hAnsi="Verdana" w:cs="Arial"/>
                <w:szCs w:val="24"/>
                <w:lang w:eastAsia="es-ES_tradnl"/>
              </w:rPr>
            </w:pPr>
            <w:r w:rsidRPr="0030751E">
              <w:rPr>
                <w:rFonts w:ascii="Verdana" w:eastAsia="Times New Roman" w:hAnsi="Verdana" w:cs="Arial"/>
                <w:szCs w:val="24"/>
                <w:lang w:eastAsia="es-ES_tradnl"/>
              </w:rPr>
              <w:t xml:space="preserve">Adicionalmente, resulta a bien resaltar la autonomía de las Entidades Estatales para estructurar los estudios previos, siempre y cuando observen los aspectos que estos deben contener, de conformidad con los artículos 2.2.1.1.1.6.1, 2.2.1.1.2.1.1 y 2.2.1.2.1.4.9 del Decreto 1082 de 2015. En todo caso, tratándose contratos de prestación de servicios, los estudios previos deben entrar a justificar las particularidades del objeto contractual de cara a </w:t>
            </w:r>
            <w:r w:rsidRPr="0030751E">
              <w:rPr>
                <w:rFonts w:ascii="Verdana" w:eastAsia="Times New Roman" w:hAnsi="Verdana" w:cs="Arial"/>
                <w:szCs w:val="24"/>
                <w:lang w:eastAsia="es-ES_tradnl"/>
              </w:rPr>
              <w:lastRenderedPageBreak/>
              <w:t xml:space="preserve">la satisfacción de la necesidad de la Entidad Estatal en atención a la cual se requiere el respectivo contrato. De esto dependerán las regulaciones que se establezcan en la minuta del contrato en cuanto a la temporalidad, pago y demás asuntos relevantes del negocio jurídico, que, sin perjuicio de estar mediados por la autonomía de la voluntad de las partes para establecer las condiciones del contrato, deben tener una justificación expresada en los estudios y documentos previos. </w:t>
            </w:r>
          </w:p>
          <w:p w14:paraId="00F9F7AE" w14:textId="77777777" w:rsidR="004074D3" w:rsidRPr="0030751E" w:rsidRDefault="004074D3" w:rsidP="00A32D40">
            <w:pPr>
              <w:jc w:val="both"/>
              <w:rPr>
                <w:rFonts w:ascii="Verdana" w:eastAsia="Aptos" w:hAnsi="Verdana" w:cs="Arial"/>
                <w:kern w:val="2"/>
                <w14:ligatures w14:val="standardContextual"/>
              </w:rPr>
            </w:pPr>
          </w:p>
          <w:p w14:paraId="109F91A6" w14:textId="77777777" w:rsidR="004074D3" w:rsidRPr="0030751E" w:rsidRDefault="004074D3" w:rsidP="00A32D40">
            <w:pPr>
              <w:spacing w:line="276" w:lineRule="auto"/>
              <w:jc w:val="both"/>
              <w:rPr>
                <w:rFonts w:ascii="Verdana" w:eastAsia="Aptos" w:hAnsi="Verdana" w:cs="Arial"/>
              </w:rPr>
            </w:pPr>
            <w:proofErr w:type="spellStart"/>
            <w:r w:rsidRPr="0030751E">
              <w:rPr>
                <w:rFonts w:ascii="Verdana" w:eastAsia="Aptos" w:hAnsi="Verdana" w:cs="Arial"/>
                <w:kern w:val="2"/>
                <w14:ligatures w14:val="standardContextual"/>
              </w:rPr>
              <w:t>ii</w:t>
            </w:r>
            <w:proofErr w:type="spellEnd"/>
            <w:r w:rsidRPr="0030751E">
              <w:rPr>
                <w:rFonts w:ascii="Verdana" w:eastAsia="Aptos" w:hAnsi="Verdana" w:cs="Arial"/>
                <w:kern w:val="2"/>
                <w14:ligatures w14:val="standardContextual"/>
              </w:rPr>
              <w:t xml:space="preserve">) La </w:t>
            </w:r>
            <w:r w:rsidRPr="0030751E">
              <w:rPr>
                <w:rFonts w:ascii="Verdana" w:eastAsia="Calibri" w:hAnsi="Verdana" w:cs="Arial"/>
                <w:color w:val="000000"/>
                <w:lang w:val="es-ES_tradnl"/>
              </w:rPr>
              <w:t>designación de supervisión de los contratos podrá realizarse por el representante legal de la Entidad Estatal o por el ordenador del gasto, en caso de que esta función se encuentre delegada conforme a las reglas dispuestas en el artículo 12 de la Ley 80 de 1993. D</w:t>
            </w:r>
            <w:proofErr w:type="spellStart"/>
            <w:r w:rsidRPr="0030751E">
              <w:rPr>
                <w:rFonts w:ascii="Verdana" w:eastAsia="Aptos" w:hAnsi="Verdana" w:cs="Arial"/>
              </w:rPr>
              <w:t>e</w:t>
            </w:r>
            <w:proofErr w:type="spellEnd"/>
            <w:r w:rsidRPr="0030751E">
              <w:rPr>
                <w:rFonts w:ascii="Verdana" w:eastAsia="Aptos" w:hAnsi="Verdana" w:cs="Arial"/>
              </w:rPr>
              <w:t xml:space="preserve"> acuerdo con la Ley 489 de 1998 la delegación es la transferencia del ejercicio de las funciones de las autoridades administrativas a sus colaboradores o a otras autoridades con funciones afines o complementarias. Por otro lado, la Ley 80 de 1993 establece que los jefes y los representantes legales de las Entidades Estatales pueden delegar total o parcialmente la competencia para celebrar contratos y realizar licitaciones, lo cual no los exonera de sus deberes de control y vigilancia de la actividad precontractual y contractual.</w:t>
            </w:r>
          </w:p>
          <w:p w14:paraId="54A35310" w14:textId="77777777" w:rsidR="004074D3" w:rsidRPr="0030751E" w:rsidRDefault="004074D3" w:rsidP="00A32D40">
            <w:pPr>
              <w:spacing w:before="120" w:after="120" w:line="276" w:lineRule="auto"/>
              <w:ind w:firstLine="709"/>
              <w:jc w:val="both"/>
              <w:rPr>
                <w:rFonts w:ascii="Verdana" w:eastAsia="Aptos" w:hAnsi="Verdana" w:cs="Arial"/>
                <w:lang w:val="es-MX"/>
              </w:rPr>
            </w:pPr>
            <w:r w:rsidRPr="0030751E">
              <w:rPr>
                <w:rFonts w:ascii="Verdana" w:eastAsia="Aptos" w:hAnsi="Verdana" w:cs="Arial"/>
                <w:lang w:val="es-MX"/>
              </w:rPr>
              <w:t xml:space="preserve">Si bien el ordenamiento jurídico consagra la figura de la delegación en materia contractual, la designación del supervisor de un contrato no es una delegación en los términos del artículo 9 de la Ley 489 de 1998 ni tampoco del artículo 12 de la Ley 80 de 1993. Lo anterior, dado que la función de supervisión es inherente al desempeño de las funciones ordinarias de los servidores públicos, como lo establece el artículo 83 de la Ley 1474 de 2011, y no es una función asignada exclusivamente al representante legal o al ordenador del gasto. En consecuencia, no es necesario emitir un acto administrativo mediante el cual el representante legal o el ordenador del gasto deleguen la función de supervisión del contrato. En todo caso, el representante legal o el ordenador del gasto de la Entidad Estatal, en el evento de que esta función se encuentre delegada, como responsables de la vigilancia y control de la ejecución del gasto y del contrato, deben designar al supervisor del mismo. </w:t>
            </w:r>
          </w:p>
          <w:p w14:paraId="18B67647" w14:textId="77777777" w:rsidR="004074D3" w:rsidRPr="0030751E" w:rsidRDefault="004074D3" w:rsidP="00A32D40">
            <w:pPr>
              <w:spacing w:line="276" w:lineRule="auto"/>
              <w:ind w:firstLine="709"/>
              <w:jc w:val="both"/>
              <w:rPr>
                <w:rFonts w:ascii="Verdana" w:eastAsia="Aptos" w:hAnsi="Verdana" w:cs="Arial"/>
                <w:lang w:val="es-MX"/>
              </w:rPr>
            </w:pPr>
            <w:r w:rsidRPr="0030751E">
              <w:rPr>
                <w:rFonts w:ascii="Verdana" w:eastAsia="Aptos" w:hAnsi="Verdana" w:cs="Arial"/>
                <w:lang w:val="es-MX"/>
              </w:rPr>
              <w:t xml:space="preserve">Para tales efectos podrán definirse las funciones del supervisor en el pliego de condiciones, en una cláusula del contrato, en el manual de </w:t>
            </w:r>
            <w:r w:rsidRPr="0030751E">
              <w:rPr>
                <w:rFonts w:ascii="Verdana" w:eastAsia="Aptos" w:hAnsi="Verdana" w:cs="Arial"/>
                <w:lang w:val="es-MX"/>
              </w:rPr>
              <w:lastRenderedPageBreak/>
              <w:t>contratación o en el acto de la asignación de la función al servidor público escogido para ejercer la supervisión. Así mismo, en todos los casos deberán informarse al funcionario designado como supervisor. La comunicación de la designación de un funcionario como supervisor siempre debe ser escrita, entendiéndose también como tal la que se hace a través de correo electrónico. En el evento en que la designación del supervisor se haga directamente en el contrato, debe enviarse copia del mismo al funcionario designado informando que va a ser el supervisor. Así mismo, en los procesos adelantados a través de la plataforma SECOP II se debe realizar la designación a través de la misma.</w:t>
            </w:r>
          </w:p>
          <w:p w14:paraId="2AE43B57" w14:textId="77777777" w:rsidR="004074D3" w:rsidRPr="0030751E" w:rsidRDefault="004074D3" w:rsidP="00A32D40">
            <w:pPr>
              <w:spacing w:line="276" w:lineRule="auto"/>
              <w:jc w:val="both"/>
              <w:rPr>
                <w:rFonts w:ascii="Verdana" w:eastAsia="Times New Roman" w:hAnsi="Verdana" w:cs="Arial"/>
                <w:color w:val="000000"/>
                <w:bdr w:val="none" w:sz="0" w:space="0" w:color="auto" w:frame="1"/>
                <w:shd w:val="clear" w:color="auto" w:fill="FFFFFF"/>
                <w:lang w:val="es-ES" w:eastAsia="es-ES_tradnl"/>
              </w:rPr>
            </w:pPr>
          </w:p>
          <w:p w14:paraId="10C53F44" w14:textId="77777777" w:rsidR="004074D3" w:rsidRPr="0030751E" w:rsidRDefault="004074D3" w:rsidP="00A32D40">
            <w:pPr>
              <w:spacing w:line="276" w:lineRule="auto"/>
              <w:jc w:val="both"/>
              <w:rPr>
                <w:rFonts w:ascii="Verdana" w:eastAsia="Times New Roman" w:hAnsi="Verdana" w:cs="Arial"/>
                <w:color w:val="000000"/>
                <w:bdr w:val="none" w:sz="0" w:space="0" w:color="auto" w:frame="1"/>
                <w:shd w:val="clear" w:color="auto" w:fill="FFFFFF"/>
                <w:lang w:val="es-ES" w:eastAsia="es-ES_tradnl"/>
              </w:rPr>
            </w:pPr>
            <w:proofErr w:type="spellStart"/>
            <w:r w:rsidRPr="0030751E">
              <w:rPr>
                <w:rFonts w:ascii="Verdana" w:eastAsia="Times New Roman" w:hAnsi="Verdana" w:cs="Arial"/>
                <w:color w:val="000000"/>
                <w:bdr w:val="none" w:sz="0" w:space="0" w:color="auto" w:frame="1"/>
                <w:shd w:val="clear" w:color="auto" w:fill="FFFFFF"/>
                <w:lang w:val="es-ES" w:eastAsia="es-ES_tradnl"/>
              </w:rPr>
              <w:t>iii</w:t>
            </w:r>
            <w:proofErr w:type="spellEnd"/>
            <w:r w:rsidRPr="0030751E">
              <w:rPr>
                <w:rFonts w:ascii="Verdana" w:eastAsia="Times New Roman" w:hAnsi="Verdana" w:cs="Arial"/>
                <w:color w:val="000000"/>
                <w:bdr w:val="none" w:sz="0" w:space="0" w:color="auto" w:frame="1"/>
                <w:shd w:val="clear" w:color="auto" w:fill="FFFFFF"/>
                <w:lang w:val="es-ES" w:eastAsia="es-ES_tradnl"/>
              </w:rPr>
              <w:t>) De acuerdo con lo señalado en el artículo 84 de la Ley 1474 de 2011, el supervisor y/o interventor deberá informar a la entidad contratante de los hechos o circunstancias que puedan poner en riesgo el cumplimiento del contrato o, cuando el incumplimiento de este se presente. En ese sentido, debe precisarse que, pese a que la información que remita el supervisor y/o interventor sobre el incumplimiento del contrato es fundamental, será la entidad contratante la facultada para declararlo. Esto, en el ejercicio de las facultades exorbitantes que le confiere el EGCAP, y en observancia de las reglas dispuestas en el artículo 86 de la Ley 1474 de 2011.</w:t>
            </w:r>
          </w:p>
          <w:p w14:paraId="7A18D231" w14:textId="77777777" w:rsidR="004074D3" w:rsidRPr="0030751E" w:rsidRDefault="004074D3" w:rsidP="00A32D40">
            <w:pPr>
              <w:spacing w:line="276" w:lineRule="auto"/>
              <w:jc w:val="both"/>
              <w:rPr>
                <w:rFonts w:ascii="Verdana" w:eastAsia="Times New Roman" w:hAnsi="Verdana" w:cs="Arial"/>
                <w:color w:val="000000"/>
                <w:bdr w:val="none" w:sz="0" w:space="0" w:color="auto" w:frame="1"/>
                <w:shd w:val="clear" w:color="auto" w:fill="FFFFFF"/>
                <w:lang w:val="es-ES" w:eastAsia="es-ES_tradnl"/>
              </w:rPr>
            </w:pPr>
          </w:p>
          <w:p w14:paraId="25448E60" w14:textId="77777777" w:rsidR="004074D3" w:rsidRPr="0030751E" w:rsidRDefault="004074D3" w:rsidP="00A32D40">
            <w:pPr>
              <w:spacing w:line="276" w:lineRule="auto"/>
              <w:jc w:val="both"/>
              <w:rPr>
                <w:rFonts w:ascii="Verdana" w:eastAsia="Times New Roman" w:hAnsi="Verdana" w:cs="Arial"/>
                <w:color w:val="000000"/>
                <w:bdr w:val="none" w:sz="0" w:space="0" w:color="auto" w:frame="1"/>
                <w:shd w:val="clear" w:color="auto" w:fill="FFFFFF"/>
                <w:lang w:val="es-ES" w:eastAsia="es-ES_tradnl"/>
              </w:rPr>
            </w:pPr>
            <w:r w:rsidRPr="0030751E">
              <w:rPr>
                <w:rFonts w:ascii="Verdana" w:eastAsia="Times New Roman" w:hAnsi="Verdana" w:cs="Arial"/>
                <w:color w:val="000000"/>
                <w:bdr w:val="none" w:sz="0" w:space="0" w:color="auto" w:frame="1"/>
                <w:shd w:val="clear" w:color="auto" w:fill="FFFFFF"/>
                <w:lang w:val="es-ES" w:eastAsia="es-ES_tradnl"/>
              </w:rPr>
              <w:t>Finalmente, debe advertirse que el análisis requerido para resolver problemas específicos en torno a la planeación contractual, supervisión de contratos y declaratorias de incumplimientos contractuales,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w:t>
            </w:r>
          </w:p>
        </w:tc>
      </w:tr>
      <w:bookmarkEnd w:id="2"/>
    </w:tbl>
    <w:p w14:paraId="4C03FD2D" w14:textId="77777777" w:rsidR="004074D3" w:rsidRPr="0030751E" w:rsidRDefault="004074D3" w:rsidP="004074D3">
      <w:pPr>
        <w:widowControl w:val="0"/>
        <w:autoSpaceDE w:val="0"/>
        <w:autoSpaceDN w:val="0"/>
        <w:spacing w:before="1" w:after="0" w:line="240" w:lineRule="auto"/>
        <w:ind w:left="360" w:hanging="360"/>
        <w:outlineLvl w:val="0"/>
        <w:rPr>
          <w:rFonts w:ascii="Verdana" w:eastAsia="Arial" w:hAnsi="Verdana" w:cs="Arial"/>
          <w:b/>
        </w:rPr>
      </w:pPr>
    </w:p>
    <w:p w14:paraId="50148263" w14:textId="77777777" w:rsidR="004074D3" w:rsidRPr="0030751E" w:rsidRDefault="004074D3" w:rsidP="004074D3">
      <w:pPr>
        <w:widowControl w:val="0"/>
        <w:autoSpaceDE w:val="0"/>
        <w:autoSpaceDN w:val="0"/>
        <w:spacing w:before="1" w:after="0" w:line="240" w:lineRule="auto"/>
        <w:ind w:left="360" w:hanging="360"/>
        <w:outlineLvl w:val="0"/>
        <w:rPr>
          <w:rFonts w:ascii="Verdana" w:eastAsia="Arial" w:hAnsi="Verdana" w:cs="Arial"/>
          <w:b/>
          <w:bCs/>
          <w:lang w:val="es-ES"/>
        </w:rPr>
      </w:pPr>
      <w:r w:rsidRPr="0030751E">
        <w:rPr>
          <w:rFonts w:ascii="Verdana" w:eastAsia="Arial" w:hAnsi="Verdana" w:cs="Arial"/>
          <w:b/>
          <w:bCs/>
          <w:lang w:val="es-ES"/>
        </w:rPr>
        <w:t>3. Razones de la respuesta</w:t>
      </w:r>
    </w:p>
    <w:p w14:paraId="3DDADE0A" w14:textId="77777777" w:rsidR="004074D3" w:rsidRPr="0030751E" w:rsidRDefault="004074D3" w:rsidP="004074D3">
      <w:pPr>
        <w:spacing w:after="0" w:line="276" w:lineRule="auto"/>
        <w:jc w:val="both"/>
        <w:rPr>
          <w:rFonts w:ascii="Verdana" w:eastAsia="Calibri" w:hAnsi="Verdana" w:cs="Arial"/>
          <w:lang w:val="es-ES"/>
        </w:rPr>
      </w:pPr>
    </w:p>
    <w:p w14:paraId="108509D1" w14:textId="77777777" w:rsidR="004074D3" w:rsidRPr="0030751E" w:rsidRDefault="004074D3" w:rsidP="004074D3">
      <w:pPr>
        <w:spacing w:after="0" w:line="276" w:lineRule="auto"/>
        <w:jc w:val="both"/>
        <w:rPr>
          <w:rFonts w:ascii="Verdana" w:eastAsia="Calibri" w:hAnsi="Verdana" w:cs="Arial"/>
          <w:lang w:val="es-ES"/>
        </w:rPr>
      </w:pPr>
      <w:r w:rsidRPr="0030751E">
        <w:rPr>
          <w:rFonts w:ascii="Verdana" w:eastAsia="Calibri" w:hAnsi="Verdana" w:cs="Arial"/>
          <w:lang w:val="es-ES"/>
        </w:rPr>
        <w:t xml:space="preserve">Las respuestas anteriores se sustentan en las siguientes consideraciones: </w:t>
      </w:r>
    </w:p>
    <w:p w14:paraId="5AD644C8" w14:textId="77777777" w:rsidR="004074D3" w:rsidRPr="0030751E" w:rsidRDefault="004074D3" w:rsidP="004074D3">
      <w:pPr>
        <w:spacing w:after="0" w:line="276" w:lineRule="auto"/>
        <w:jc w:val="both"/>
        <w:rPr>
          <w:rFonts w:ascii="Verdana" w:eastAsia="Calibri" w:hAnsi="Verdana" w:cs="Arial"/>
          <w:lang w:val="es-ES"/>
        </w:rPr>
      </w:pPr>
    </w:p>
    <w:p w14:paraId="69198CC9" w14:textId="77777777" w:rsidR="004074D3" w:rsidRPr="0030751E" w:rsidRDefault="004074D3" w:rsidP="004074D3">
      <w:pPr>
        <w:spacing w:after="0" w:line="276" w:lineRule="auto"/>
        <w:jc w:val="both"/>
        <w:rPr>
          <w:rFonts w:ascii="Verdana" w:eastAsia="Calibri" w:hAnsi="Verdana" w:cs="Arial"/>
          <w:lang w:val="es-ES"/>
        </w:rPr>
      </w:pPr>
      <w:r w:rsidRPr="0030751E">
        <w:rPr>
          <w:rFonts w:ascii="Verdana" w:eastAsia="Calibri" w:hAnsi="Verdana" w:cs="Arial"/>
          <w:lang w:val="es-ES"/>
        </w:rPr>
        <w:t xml:space="preserve">i) La planeación contractual es una herramienta de gerencia pública, que exige estructurar el proceso contractual dedicando tiempo y esfuerzos para elaborar </w:t>
      </w:r>
      <w:r w:rsidRPr="0030751E">
        <w:rPr>
          <w:rFonts w:ascii="Verdana" w:eastAsia="Calibri" w:hAnsi="Verdana" w:cs="Arial"/>
          <w:lang w:val="es-ES"/>
        </w:rPr>
        <w:lastRenderedPageBreak/>
        <w:t>estudios previos, con el fin de determinar la necesidad que pretende satisfacer la Entidad Estatal y cuál es la mejor manera de hacerlo, consultando el tipo de bienes y servicios que ofrece el mercado y sus características, especificaciones, precios, costos, riesgos, garantía, disponibilidad, oferentes, etc. Lo anterior con la finalidad de realizar la escogencia diligente de la mejor oferta, para beneficiar los intereses y fines públicos inmersos en la contratación de las Entidades Estatales.</w:t>
      </w:r>
    </w:p>
    <w:p w14:paraId="143AFCF3" w14:textId="77777777" w:rsidR="004074D3" w:rsidRPr="0030751E" w:rsidRDefault="004074D3" w:rsidP="004074D3">
      <w:pPr>
        <w:spacing w:before="120" w:after="0" w:line="276" w:lineRule="auto"/>
        <w:jc w:val="both"/>
        <w:rPr>
          <w:rFonts w:ascii="Verdana" w:eastAsia="Calibri" w:hAnsi="Verdana" w:cs="Arial"/>
          <w:lang w:val="es-ES"/>
        </w:rPr>
      </w:pPr>
      <w:r w:rsidRPr="0030751E">
        <w:rPr>
          <w:rFonts w:ascii="Verdana" w:eastAsia="Calibri" w:hAnsi="Verdana" w:cs="Arial"/>
          <w:lang w:val="es-ES"/>
        </w:rPr>
        <w:tab/>
        <w:t xml:space="preserve">El Estatuto General de Contratación de la Administración Pública, en adelante EGCAP, contiene disposiciones que exigen a las Entidades Estatales el deber de realizar actividades de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 En relación con el valor del futuro contrato y su correlativo respaldo presupuestal, se tienen, por ejemplo, las siguientes reglas derivadas de la aplicación del principio de economía previsto en el artículo 25 de la Ley 80 de 1993: </w:t>
      </w:r>
    </w:p>
    <w:p w14:paraId="3606A868" w14:textId="77777777" w:rsidR="004074D3" w:rsidRPr="0030751E" w:rsidRDefault="004074D3" w:rsidP="004074D3">
      <w:pPr>
        <w:spacing w:after="0" w:line="276" w:lineRule="auto"/>
        <w:jc w:val="both"/>
        <w:rPr>
          <w:rFonts w:ascii="Arial" w:eastAsia="Times New Roman" w:hAnsi="Arial" w:cs="Arial"/>
          <w:color w:val="000000"/>
          <w:szCs w:val="24"/>
          <w:lang w:val="es-ES_tradnl" w:eastAsia="es-ES_tradnl"/>
        </w:rPr>
      </w:pPr>
    </w:p>
    <w:p w14:paraId="3877651D" w14:textId="77777777" w:rsidR="004074D3" w:rsidRPr="0030751E" w:rsidRDefault="004074D3" w:rsidP="004074D3">
      <w:pPr>
        <w:spacing w:after="0" w:line="240" w:lineRule="auto"/>
        <w:ind w:left="709" w:right="709"/>
        <w:jc w:val="both"/>
        <w:rPr>
          <w:rFonts w:ascii="Arial" w:eastAsia="Times New Roman" w:hAnsi="Arial" w:cs="Arial"/>
          <w:color w:val="000000"/>
          <w:sz w:val="21"/>
          <w:szCs w:val="21"/>
          <w:lang w:val="es-ES_tradnl" w:eastAsia="es-ES_tradnl"/>
        </w:rPr>
      </w:pPr>
      <w:r w:rsidRPr="0030751E">
        <w:rPr>
          <w:rFonts w:ascii="Arial" w:eastAsia="Times New Roman" w:hAnsi="Arial" w:cs="Arial"/>
          <w:color w:val="000000"/>
          <w:sz w:val="21"/>
          <w:szCs w:val="21"/>
          <w:lang w:val="es-ES_tradnl" w:eastAsia="es-ES_tradnl"/>
        </w:rPr>
        <w:t>“7. La conveniencia o inconveniencia del objeto a contratar y las autorizaciones y aprobaciones para ello, se analizarán o impartirán con antelación al inicio del proceso de selección del contratista o al de la firma del contrato, según el caso.</w:t>
      </w:r>
    </w:p>
    <w:p w14:paraId="576EE060" w14:textId="77777777" w:rsidR="004074D3" w:rsidRPr="0030751E" w:rsidRDefault="004074D3" w:rsidP="004074D3">
      <w:pPr>
        <w:spacing w:before="120" w:after="0" w:line="240" w:lineRule="auto"/>
        <w:ind w:left="709" w:right="709"/>
        <w:jc w:val="both"/>
        <w:rPr>
          <w:rFonts w:ascii="Arial" w:eastAsia="Times New Roman" w:hAnsi="Arial" w:cs="Arial"/>
          <w:color w:val="000000"/>
          <w:sz w:val="21"/>
          <w:szCs w:val="21"/>
          <w:lang w:val="es-ES_tradnl" w:eastAsia="es-ES_tradnl"/>
        </w:rPr>
      </w:pPr>
      <w:r w:rsidRPr="0030751E">
        <w:rPr>
          <w:rFonts w:ascii="Arial" w:eastAsia="Times New Roman" w:hAnsi="Arial" w:cs="Arial"/>
          <w:color w:val="000000"/>
          <w:sz w:val="21"/>
          <w:szCs w:val="21"/>
          <w:lang w:val="es-ES_tradnl" w:eastAsia="es-ES_tradnl"/>
        </w:rPr>
        <w:t>[…]</w:t>
      </w:r>
    </w:p>
    <w:p w14:paraId="53A2B0B8" w14:textId="77777777" w:rsidR="004074D3" w:rsidRPr="0030751E" w:rsidRDefault="004074D3" w:rsidP="004074D3">
      <w:pPr>
        <w:spacing w:before="120" w:after="0" w:line="240" w:lineRule="auto"/>
        <w:ind w:left="709" w:right="709"/>
        <w:jc w:val="both"/>
        <w:rPr>
          <w:rFonts w:ascii="Arial" w:eastAsia="Times New Roman" w:hAnsi="Arial" w:cs="Arial"/>
          <w:color w:val="000000"/>
          <w:sz w:val="21"/>
          <w:szCs w:val="21"/>
          <w:lang w:val="es-ES_tradnl" w:eastAsia="es-ES_tradnl"/>
        </w:rPr>
      </w:pPr>
      <w:r w:rsidRPr="0030751E">
        <w:rPr>
          <w:rFonts w:ascii="Arial" w:eastAsia="Times New Roman" w:hAnsi="Arial" w:cs="Arial"/>
          <w:color w:val="000000"/>
          <w:sz w:val="21"/>
          <w:szCs w:val="21"/>
          <w:lang w:val="es-ES_tradnl" w:eastAsia="es-ES_tradnl"/>
        </w:rPr>
        <w:t xml:space="preserve">12. Previo a la apertura de un proceso de selección, </w:t>
      </w:r>
      <w:r w:rsidRPr="0030751E">
        <w:rPr>
          <w:rFonts w:ascii="Arial" w:eastAsia="Times New Roman" w:hAnsi="Arial" w:cs="Arial"/>
          <w:i/>
          <w:iCs/>
          <w:color w:val="000000"/>
          <w:sz w:val="21"/>
          <w:szCs w:val="21"/>
          <w:u w:val="single"/>
          <w:lang w:val="es-ES_tradnl" w:eastAsia="es-ES_tradnl"/>
        </w:rPr>
        <w:t>o a la firma del contrato en el caso en que la modalidad de selección sea contratación directa,</w:t>
      </w:r>
      <w:r w:rsidRPr="0030751E">
        <w:rPr>
          <w:rFonts w:ascii="Arial" w:eastAsia="Times New Roman" w:hAnsi="Arial" w:cs="Arial"/>
          <w:color w:val="000000"/>
          <w:sz w:val="21"/>
          <w:szCs w:val="21"/>
          <w:lang w:val="es-ES_tradnl" w:eastAsia="es-ES_tradnl"/>
        </w:rPr>
        <w:t xml:space="preserve"> deberán elaborarse los estudios, diseños y proyectos requeridos, y los pliegos de condiciones, según corresponda. […]” [Énfasis fuera de texto]</w:t>
      </w:r>
    </w:p>
    <w:p w14:paraId="236267A0" w14:textId="77777777" w:rsidR="004074D3" w:rsidRPr="0030751E" w:rsidRDefault="004074D3" w:rsidP="004074D3">
      <w:pPr>
        <w:spacing w:after="0" w:line="276" w:lineRule="auto"/>
        <w:ind w:firstLine="709"/>
        <w:jc w:val="both"/>
        <w:rPr>
          <w:rFonts w:ascii="Arial" w:eastAsia="Times New Roman" w:hAnsi="Arial" w:cs="Arial"/>
          <w:color w:val="000000"/>
          <w:szCs w:val="24"/>
          <w:lang w:val="es-ES_tradnl" w:eastAsia="es-ES_tradnl"/>
        </w:rPr>
      </w:pPr>
    </w:p>
    <w:p w14:paraId="112E245E" w14:textId="77777777" w:rsidR="004074D3" w:rsidRPr="0030751E" w:rsidRDefault="004074D3" w:rsidP="004074D3">
      <w:pPr>
        <w:spacing w:after="120" w:line="276" w:lineRule="auto"/>
        <w:ind w:firstLine="709"/>
        <w:jc w:val="both"/>
        <w:rPr>
          <w:rFonts w:ascii="Verdana" w:eastAsia="Times New Roman" w:hAnsi="Verdana" w:cs="Arial"/>
          <w:szCs w:val="24"/>
          <w:lang w:eastAsia="es-ES_tradnl"/>
        </w:rPr>
      </w:pPr>
      <w:r w:rsidRPr="0030751E">
        <w:rPr>
          <w:rFonts w:ascii="Verdana" w:eastAsia="Calibri" w:hAnsi="Verdana" w:cs="Arial"/>
          <w:lang w:val="es-ES"/>
        </w:rPr>
        <w:t xml:space="preserve">De lo anterior se desprende que, </w:t>
      </w:r>
      <w:r w:rsidRPr="0030751E">
        <w:rPr>
          <w:rFonts w:ascii="Verdana" w:eastAsia="Times New Roman" w:hAnsi="Verdana" w:cs="Arial"/>
          <w:szCs w:val="24"/>
          <w:lang w:eastAsia="es-ES_tradnl"/>
        </w:rPr>
        <w:t xml:space="preserve">las entidades tienen el deber de realizar estudios previos en dos momentos específicos: i) previo a la apertura de un proceso de selección y </w:t>
      </w:r>
      <w:proofErr w:type="spellStart"/>
      <w:r w:rsidRPr="0030751E">
        <w:rPr>
          <w:rFonts w:ascii="Verdana" w:eastAsia="Times New Roman" w:hAnsi="Verdana" w:cs="Arial"/>
          <w:szCs w:val="24"/>
          <w:lang w:eastAsia="es-ES_tradnl"/>
        </w:rPr>
        <w:t>ii</w:t>
      </w:r>
      <w:proofErr w:type="spellEnd"/>
      <w:r w:rsidRPr="0030751E">
        <w:rPr>
          <w:rFonts w:ascii="Verdana" w:eastAsia="Times New Roman" w:hAnsi="Verdana" w:cs="Arial"/>
          <w:szCs w:val="24"/>
          <w:lang w:eastAsia="es-ES_tradnl"/>
        </w:rPr>
        <w:t xml:space="preserve">) previo a la firma del contrato en el caso en que la modalidad de selección sea contratación directa. Por su parte, el reglamento, es decir los artículos 2.2.1.1.1.6.1 y 2.2.1.1.2.1.1 del Decreto 1082 de 2015, no imponen la obligación de realizar estudios y documentos previos en etapas diferentes a la de planeación del contrato. </w:t>
      </w:r>
      <w:r w:rsidRPr="0030751E">
        <w:rPr>
          <w:rFonts w:ascii="Verdana" w:eastAsia="Calibri" w:hAnsi="Verdana" w:cs="Arial"/>
          <w:lang w:val="es-ES"/>
        </w:rPr>
        <w:t xml:space="preserve">Esto, permitirá a la Entidad Estatal identificar desde el punto de vista técnico y financiero el objeto del contrato, las particularidades de su ejecución, los potenciales proponentes, requisitos mínimos para evaluar la idoneidad del contratista, así como analizar todas las </w:t>
      </w:r>
      <w:r w:rsidRPr="0030751E">
        <w:rPr>
          <w:rFonts w:ascii="Verdana" w:eastAsia="Calibri" w:hAnsi="Verdana" w:cs="Arial"/>
          <w:lang w:val="es-ES"/>
        </w:rPr>
        <w:lastRenderedPageBreak/>
        <w:t>variables que puedan afectar el procedimiento de selección, celebración y ejecución del contrato. Tal es la importancia de los estudios y documentos previos que su deficiencia o ausencia, “genera prácticas indebidas, revocatoria de actos administrativos de apertura, declaratorias de desierta de procesos de selección, comisión de faltas disciplinarias, mayores costos o mayor permanencia en la obra y, en general, el fracaso en la ejecución de contratos estatales”</w:t>
      </w:r>
      <w:r w:rsidRPr="0030751E">
        <w:rPr>
          <w:rFonts w:ascii="Verdana" w:eastAsia="Aptos" w:hAnsi="Verdana" w:cs="Arial"/>
          <w:vertAlign w:val="superscript"/>
        </w:rPr>
        <w:footnoteReference w:id="1"/>
      </w:r>
      <w:r w:rsidRPr="0030751E">
        <w:rPr>
          <w:rFonts w:ascii="Verdana" w:eastAsia="Times New Roman" w:hAnsi="Verdana" w:cs="Arial"/>
          <w:color w:val="000000"/>
          <w:szCs w:val="24"/>
          <w:lang w:val="es-ES_tradnl" w:eastAsia="es-ES_tradnl"/>
        </w:rPr>
        <w:t xml:space="preserve">. </w:t>
      </w:r>
    </w:p>
    <w:p w14:paraId="3235E950" w14:textId="77777777" w:rsidR="004074D3" w:rsidRPr="0030751E" w:rsidRDefault="004074D3" w:rsidP="004074D3">
      <w:pPr>
        <w:spacing w:before="120" w:after="0" w:line="276" w:lineRule="auto"/>
        <w:ind w:firstLine="709"/>
        <w:jc w:val="both"/>
        <w:rPr>
          <w:rFonts w:ascii="Verdana" w:eastAsia="Aptos" w:hAnsi="Verdana" w:cs="Arial"/>
        </w:rPr>
      </w:pPr>
      <w:r w:rsidRPr="0030751E">
        <w:rPr>
          <w:rFonts w:ascii="Verdana" w:eastAsia="Calibri" w:hAnsi="Verdana" w:cs="Arial"/>
        </w:rPr>
        <w:t xml:space="preserve">De esta forma, antes de iniciar un proceso de selección, la Entidad Estatal podrá determinar con los estudios previos: i) la verdadera necesidad de la celebración del contrato; </w:t>
      </w:r>
      <w:proofErr w:type="spellStart"/>
      <w:r w:rsidRPr="0030751E">
        <w:rPr>
          <w:rFonts w:ascii="Verdana" w:eastAsia="Calibri" w:hAnsi="Verdana" w:cs="Arial"/>
        </w:rPr>
        <w:t>ii</w:t>
      </w:r>
      <w:proofErr w:type="spellEnd"/>
      <w:r w:rsidRPr="0030751E">
        <w:rPr>
          <w:rFonts w:ascii="Verdana" w:eastAsia="Calibri" w:hAnsi="Verdana" w:cs="Arial"/>
        </w:rPr>
        <w:t xml:space="preserve">) las modalidades existentes para satisfacer esa necesidad y las razones que justifiquen la modalidad o tipo contractual que se escoja; </w:t>
      </w:r>
      <w:proofErr w:type="spellStart"/>
      <w:r w:rsidRPr="0030751E">
        <w:rPr>
          <w:rFonts w:ascii="Verdana" w:eastAsia="Calibri" w:hAnsi="Verdana" w:cs="Arial"/>
        </w:rPr>
        <w:t>iii</w:t>
      </w:r>
      <w:proofErr w:type="spellEnd"/>
      <w:r w:rsidRPr="0030751E">
        <w:rPr>
          <w:rFonts w:ascii="Verdana" w:eastAsia="Calibri" w:hAnsi="Verdana" w:cs="Arial"/>
        </w:rPr>
        <w:t xml:space="preserve">) las calidades, especificaciones, cantidades y demás características que puedan o deban reunir los bienes, las obras, los servicios, etcétera, cuya contratación, se haya determinado necesaria, </w:t>
      </w:r>
      <w:proofErr w:type="spellStart"/>
      <w:r w:rsidRPr="0030751E">
        <w:rPr>
          <w:rFonts w:ascii="Verdana" w:eastAsia="Calibri" w:hAnsi="Verdana" w:cs="Arial"/>
        </w:rPr>
        <w:t>iv</w:t>
      </w:r>
      <w:proofErr w:type="spellEnd"/>
      <w:r w:rsidRPr="0030751E">
        <w:rPr>
          <w:rFonts w:ascii="Verdana" w:eastAsia="Calibri" w:hAnsi="Verdana" w:cs="Arial"/>
        </w:rPr>
        <w:t xml:space="preserve">) los costos, valores y alternativas que, a precios de mercado reales, podría demandar la celebración y ejecución del contrato, v) la disponibilidad de recursos o la capacidad financiera de la entidad contratante, para asumir las obligaciones de pago producto de la celebración de ese pretendido contrato; vi) la existencia y disponibilidad en el mercado nacional o internacional, de proveedores, constructores, profesionales, etc., en condiciones de atender los requerimientos y satisfacer las necesidades y </w:t>
      </w:r>
      <w:proofErr w:type="spellStart"/>
      <w:r w:rsidRPr="0030751E">
        <w:rPr>
          <w:rFonts w:ascii="Verdana" w:eastAsia="Calibri" w:hAnsi="Verdana" w:cs="Arial"/>
        </w:rPr>
        <w:t>vii</w:t>
      </w:r>
      <w:proofErr w:type="spellEnd"/>
      <w:r w:rsidRPr="0030751E">
        <w:rPr>
          <w:rFonts w:ascii="Verdana" w:eastAsia="Calibri" w:hAnsi="Verdana" w:cs="Arial"/>
        </w:rPr>
        <w:t>) los procedimientos, trámites y requisitos que deban satisfacerse, reunirse u obtenerse para llevar a cabo la selección del respectivo contratista y la celebración del contrato</w:t>
      </w:r>
      <w:r w:rsidRPr="0030751E">
        <w:rPr>
          <w:rFonts w:ascii="Verdana" w:eastAsia="Aptos" w:hAnsi="Verdana" w:cs="Arial"/>
          <w:vertAlign w:val="superscript"/>
        </w:rPr>
        <w:footnoteReference w:id="2"/>
      </w:r>
      <w:r w:rsidRPr="0030751E">
        <w:rPr>
          <w:rFonts w:ascii="Verdana" w:eastAsia="Aptos" w:hAnsi="Verdana" w:cs="Arial"/>
        </w:rPr>
        <w:t>.</w:t>
      </w:r>
    </w:p>
    <w:p w14:paraId="5944809F" w14:textId="77777777" w:rsidR="004074D3" w:rsidRPr="0030751E" w:rsidRDefault="004074D3" w:rsidP="004074D3">
      <w:pPr>
        <w:spacing w:before="120" w:after="120" w:line="276" w:lineRule="auto"/>
        <w:ind w:firstLine="708"/>
        <w:jc w:val="both"/>
        <w:rPr>
          <w:rFonts w:ascii="Verdana" w:eastAsia="Times New Roman" w:hAnsi="Verdana" w:cs="Arial"/>
          <w:color w:val="000000"/>
          <w:szCs w:val="24"/>
          <w:lang w:val="es-ES_tradnl" w:eastAsia="es-ES_tradnl"/>
        </w:rPr>
      </w:pPr>
      <w:r w:rsidRPr="0030751E">
        <w:rPr>
          <w:rFonts w:ascii="Verdana" w:eastAsia="Times New Roman" w:hAnsi="Verdana" w:cs="Arial"/>
          <w:color w:val="000000"/>
          <w:szCs w:val="24"/>
          <w:lang w:val="es-ES_tradnl" w:eastAsia="es-ES_tradnl"/>
        </w:rPr>
        <w:t xml:space="preserve">Cuando las Entidades Estatales cumplen con los elementos mínimos establecidos en la norma y aquellos adicionales que identifiquen en la etapa de planeación de los procedimientos de contratación, permiten que los contratos resultantes cuenten con el sustento técnico, económico y jurídico que incidirá en una adecuada ejecución. Así pues, más allá </w:t>
      </w:r>
      <w:r w:rsidRPr="0030751E">
        <w:rPr>
          <w:rFonts w:ascii="Verdana" w:eastAsia="Times New Roman" w:hAnsi="Verdana" w:cs="Arial"/>
          <w:szCs w:val="24"/>
          <w:lang w:eastAsia="es-ES_tradnl"/>
        </w:rPr>
        <w:t xml:space="preserve">del cumplimiento de la normativa, “los estudios y documentos previos son el soporte para elaborar el proyecto de </w:t>
      </w:r>
      <w:r w:rsidRPr="0030751E">
        <w:rPr>
          <w:rFonts w:ascii="Verdana" w:eastAsia="Times New Roman" w:hAnsi="Verdana" w:cs="Arial"/>
          <w:szCs w:val="24"/>
          <w:lang w:eastAsia="es-ES_tradnl"/>
        </w:rPr>
        <w:lastRenderedPageBreak/>
        <w:t>pliegos, los pliegos de condiciones, y el contrato”</w:t>
      </w:r>
      <w:r w:rsidRPr="0030751E">
        <w:rPr>
          <w:rFonts w:ascii="Verdana" w:eastAsia="Times New Roman" w:hAnsi="Verdana" w:cs="Arial"/>
          <w:szCs w:val="24"/>
          <w:vertAlign w:val="superscript"/>
          <w:lang w:eastAsia="es-ES_tradnl"/>
        </w:rPr>
        <w:footnoteReference w:id="3"/>
      </w:r>
      <w:r w:rsidRPr="0030751E">
        <w:rPr>
          <w:rFonts w:ascii="Verdana" w:eastAsia="Times New Roman" w:hAnsi="Verdana" w:cs="Arial"/>
          <w:szCs w:val="24"/>
          <w:lang w:eastAsia="es-ES_tradnl"/>
        </w:rPr>
        <w:t>, por lo que deben publicarse en la etapa precontractual y sirven de motivación para los documentos expedidos unilateralmente por la entidad, tales como, el acto administrativo de apertura, los pliegos de condiciones y el acto de adjudicación, entre otros.</w:t>
      </w:r>
    </w:p>
    <w:p w14:paraId="34073671" w14:textId="77777777" w:rsidR="004074D3" w:rsidRPr="0030751E" w:rsidRDefault="004074D3" w:rsidP="004074D3">
      <w:pPr>
        <w:spacing w:after="120" w:line="276" w:lineRule="auto"/>
        <w:ind w:firstLine="709"/>
        <w:jc w:val="both"/>
        <w:rPr>
          <w:rFonts w:ascii="Verdana" w:eastAsia="Aptos" w:hAnsi="Verdana" w:cs="Arial"/>
        </w:rPr>
      </w:pPr>
      <w:r w:rsidRPr="0030751E">
        <w:rPr>
          <w:rFonts w:ascii="Verdana" w:eastAsia="Times New Roman" w:hAnsi="Verdana" w:cs="Arial"/>
          <w:color w:val="000000"/>
          <w:szCs w:val="24"/>
          <w:lang w:val="es-ES_tradnl" w:eastAsia="es-ES_tradnl"/>
        </w:rPr>
        <w:t>De lo explicado se desprende que los estudios y documentos previos son necesarios antes de la celebración del contrato, pues fundamentan las condiciones que la Entidad Estatal exige en un proceso de contratación. Sin embargo, luego de la suscripción del contrato la entidad no debe actuar unilateralmente, sino que debe respetar la buena fe contractual y proceder de acuerdo con lo pactado</w:t>
      </w:r>
      <w:r w:rsidRPr="0030751E">
        <w:rPr>
          <w:rFonts w:ascii="Verdana" w:eastAsia="Aptos" w:hAnsi="Verdana" w:cs="Arial"/>
          <w:vertAlign w:val="superscript"/>
        </w:rPr>
        <w:footnoteReference w:id="4"/>
      </w:r>
      <w:r w:rsidRPr="0030751E">
        <w:rPr>
          <w:rFonts w:ascii="Verdana" w:eastAsia="Aptos" w:hAnsi="Verdana" w:cs="Arial"/>
        </w:rPr>
        <w:t>.</w:t>
      </w:r>
    </w:p>
    <w:p w14:paraId="13C06F5C" w14:textId="77777777" w:rsidR="004074D3" w:rsidRPr="0030751E" w:rsidRDefault="004074D3" w:rsidP="004074D3">
      <w:pPr>
        <w:spacing w:before="120" w:after="120" w:line="276" w:lineRule="auto"/>
        <w:ind w:firstLine="709"/>
        <w:jc w:val="both"/>
        <w:rPr>
          <w:rFonts w:ascii="Verdana" w:eastAsia="Times New Roman" w:hAnsi="Verdana" w:cs="Arial"/>
          <w:szCs w:val="24"/>
          <w:lang w:eastAsia="es-ES_tradnl"/>
        </w:rPr>
      </w:pPr>
      <w:r w:rsidRPr="0030751E">
        <w:rPr>
          <w:rFonts w:ascii="Verdana" w:eastAsia="Times New Roman" w:hAnsi="Verdana" w:cs="Arial"/>
          <w:szCs w:val="24"/>
          <w:lang w:eastAsia="es-ES_tradnl"/>
        </w:rPr>
        <w:t>Sin embargo, pese a que los estudios del sector son de gran relevancia en los procesos de contratación donde existe pluralidad de oferentes, nada obsta para que se elaboren allí donde no existiría competencia, como es el caso de la contratación de prestación de servicios mediante la contratación directa. Para estos efectos, la “Guía para la Elaboración de Estudios del Sector”</w:t>
      </w:r>
      <w:r w:rsidRPr="0030751E">
        <w:rPr>
          <w:rFonts w:ascii="Verdana" w:eastAsia="Calibri" w:hAnsi="Verdana" w:cs="Arial"/>
          <w:bCs/>
          <w:vertAlign w:val="superscript"/>
          <w:lang w:val="es-ES_tradnl"/>
        </w:rPr>
        <w:footnoteReference w:id="5"/>
      </w:r>
      <w:r w:rsidRPr="0030751E">
        <w:rPr>
          <w:rFonts w:ascii="Verdana" w:eastAsia="Times New Roman" w:hAnsi="Verdana" w:cs="Arial"/>
          <w:szCs w:val="24"/>
          <w:lang w:eastAsia="es-ES_tradnl"/>
        </w:rPr>
        <w:t xml:space="preserve"> expedida por esta Agencia, explica que “[e]n la contratación directa, el Estudio del Sector debe tener en cuenta el objeto del Proceso de Contratación, y particularmente las condiciones del contrato, como los plazos, formas de entrega y de pago. […]”. A su vez, en dicho documento se indica que “[e]n un contrato de prestación de servicios profesionales, el Estudio del Sector depende del objeto del contrato y de las condiciones de idoneidad y/o experiencia que llevan a contratar a la persona natural o jurídica que está en condiciones de desarrollar dicho objeto […]”. </w:t>
      </w:r>
    </w:p>
    <w:p w14:paraId="587CDBE3" w14:textId="77777777" w:rsidR="004074D3" w:rsidRPr="0030751E" w:rsidRDefault="004074D3" w:rsidP="004074D3">
      <w:pPr>
        <w:spacing w:after="0" w:line="276" w:lineRule="auto"/>
        <w:ind w:firstLine="709"/>
        <w:jc w:val="both"/>
        <w:rPr>
          <w:rFonts w:ascii="Verdana" w:eastAsia="Times New Roman" w:hAnsi="Verdana" w:cs="Arial"/>
          <w:szCs w:val="24"/>
          <w:lang w:eastAsia="es-ES_tradnl"/>
        </w:rPr>
      </w:pPr>
      <w:r w:rsidRPr="0030751E">
        <w:rPr>
          <w:rFonts w:ascii="Verdana" w:eastAsia="Times New Roman" w:hAnsi="Verdana" w:cs="Arial"/>
          <w:szCs w:val="24"/>
          <w:lang w:eastAsia="es-ES_tradnl"/>
        </w:rPr>
        <w:lastRenderedPageBreak/>
        <w:t>En ese sentido, si una entidad pretende desarrollar por ejemplo, la contratación directa de prestación de servicios a la luz de lo dispuesto en el literal h), del numeral 4, del artículo 2 de la Ley 1150 de 2007, deberá consignar en los</w:t>
      </w:r>
      <w:r w:rsidRPr="0030751E">
        <w:rPr>
          <w:rFonts w:ascii="Verdana" w:eastAsia="Times New Roman" w:hAnsi="Verdana" w:cs="Arial"/>
          <w:i/>
          <w:iCs/>
          <w:szCs w:val="24"/>
          <w:lang w:eastAsia="es-ES_tradnl"/>
        </w:rPr>
        <w:t xml:space="preserve"> </w:t>
      </w:r>
      <w:r w:rsidRPr="0030751E">
        <w:rPr>
          <w:rFonts w:ascii="Verdana" w:eastAsia="Times New Roman" w:hAnsi="Verdana" w:cs="Arial"/>
          <w:szCs w:val="24"/>
          <w:lang w:eastAsia="es-ES_tradnl"/>
        </w:rPr>
        <w:t>documentos del proceso</w:t>
      </w:r>
      <w:r w:rsidRPr="0030751E">
        <w:rPr>
          <w:rFonts w:ascii="Verdana" w:eastAsia="Times New Roman" w:hAnsi="Verdana" w:cs="Arial"/>
          <w:i/>
          <w:iCs/>
          <w:szCs w:val="24"/>
          <w:lang w:eastAsia="es-ES_tradnl"/>
        </w:rPr>
        <w:t xml:space="preserve">, </w:t>
      </w:r>
      <w:r w:rsidRPr="0030751E">
        <w:rPr>
          <w:rFonts w:ascii="Verdana" w:eastAsia="Times New Roman" w:hAnsi="Verdana" w:cs="Arial"/>
          <w:szCs w:val="24"/>
          <w:lang w:eastAsia="es-ES_tradnl"/>
        </w:rPr>
        <w:t>bien sea en los estudios previos o en la información de soporte de estos, los aspectos de que trata el artículo 2.2.1.1.2.1.1 del Decreto 1082 de 2015, esto es:</w:t>
      </w:r>
    </w:p>
    <w:p w14:paraId="490C6789" w14:textId="77777777" w:rsidR="004074D3" w:rsidRPr="0030751E" w:rsidRDefault="004074D3" w:rsidP="004074D3">
      <w:pPr>
        <w:spacing w:after="0" w:line="276" w:lineRule="auto"/>
        <w:ind w:firstLine="709"/>
        <w:jc w:val="both"/>
        <w:rPr>
          <w:rFonts w:ascii="Verdana" w:eastAsia="Times New Roman" w:hAnsi="Verdana" w:cs="Arial"/>
          <w:szCs w:val="24"/>
          <w:lang w:eastAsia="es-ES_tradnl"/>
        </w:rPr>
      </w:pPr>
    </w:p>
    <w:p w14:paraId="7BECC4F6" w14:textId="77777777" w:rsidR="004074D3" w:rsidRPr="0030751E" w:rsidRDefault="004074D3" w:rsidP="004074D3">
      <w:pPr>
        <w:spacing w:after="0" w:line="240" w:lineRule="auto"/>
        <w:ind w:left="709" w:right="709"/>
        <w:jc w:val="both"/>
        <w:rPr>
          <w:rFonts w:ascii="Verdana" w:eastAsia="Times New Roman" w:hAnsi="Verdana" w:cs="Arial"/>
          <w:sz w:val="20"/>
          <w:lang w:eastAsia="es-ES_tradnl"/>
        </w:rPr>
      </w:pPr>
      <w:r w:rsidRPr="0030751E">
        <w:rPr>
          <w:rFonts w:ascii="Verdana" w:eastAsia="Times New Roman" w:hAnsi="Verdana" w:cs="Arial"/>
          <w:sz w:val="20"/>
          <w:lang w:eastAsia="es-ES_tradnl"/>
        </w:rPr>
        <w:t xml:space="preserve">“1. La descripción de la necesidad que la Entidad Estatal pretende satisfacer con el Proceso de Contratación.  </w:t>
      </w:r>
    </w:p>
    <w:p w14:paraId="454D1B89" w14:textId="77777777" w:rsidR="004074D3" w:rsidRPr="0030751E" w:rsidRDefault="004074D3" w:rsidP="004074D3">
      <w:pPr>
        <w:spacing w:after="0" w:line="240" w:lineRule="auto"/>
        <w:ind w:left="709" w:right="709"/>
        <w:jc w:val="both"/>
        <w:rPr>
          <w:rFonts w:ascii="Verdana" w:eastAsia="Times New Roman" w:hAnsi="Verdana" w:cs="Arial"/>
          <w:sz w:val="20"/>
          <w:lang w:eastAsia="es-ES_tradnl"/>
        </w:rPr>
      </w:pPr>
      <w:r w:rsidRPr="0030751E">
        <w:rPr>
          <w:rFonts w:ascii="Verdana" w:eastAsia="Times New Roman" w:hAnsi="Verdana" w:cs="Arial"/>
          <w:sz w:val="20"/>
          <w:lang w:eastAsia="es-ES_tradnl"/>
        </w:rPr>
        <w:t xml:space="preserve">2. El objeto a contratar, con sus especificaciones, las autorizaciones, permisos y licencias requeridos para su ejecución, y cuando el contrato incluye diseño y construcción, los documentos técnicos para el desarrollo del proyecto.  </w:t>
      </w:r>
    </w:p>
    <w:p w14:paraId="3A262E83" w14:textId="77777777" w:rsidR="004074D3" w:rsidRPr="0030751E" w:rsidRDefault="004074D3" w:rsidP="004074D3">
      <w:pPr>
        <w:spacing w:after="0" w:line="240" w:lineRule="auto"/>
        <w:ind w:left="709" w:right="709"/>
        <w:jc w:val="both"/>
        <w:rPr>
          <w:rFonts w:ascii="Verdana" w:eastAsia="Times New Roman" w:hAnsi="Verdana" w:cs="Arial"/>
          <w:sz w:val="20"/>
          <w:lang w:eastAsia="es-ES_tradnl"/>
        </w:rPr>
      </w:pPr>
      <w:r w:rsidRPr="0030751E">
        <w:rPr>
          <w:rFonts w:ascii="Verdana" w:eastAsia="Times New Roman" w:hAnsi="Verdana" w:cs="Arial"/>
          <w:sz w:val="20"/>
          <w:lang w:eastAsia="es-ES_tradnl"/>
        </w:rPr>
        <w:t xml:space="preserve">3. La modalidad de selección del contratista y su justificación, incluyendo los fundamentos jurídicos.  </w:t>
      </w:r>
    </w:p>
    <w:p w14:paraId="65D325F6" w14:textId="77777777" w:rsidR="004074D3" w:rsidRPr="0030751E" w:rsidRDefault="004074D3" w:rsidP="004074D3">
      <w:pPr>
        <w:spacing w:after="0" w:line="240" w:lineRule="auto"/>
        <w:ind w:left="709" w:right="709"/>
        <w:jc w:val="both"/>
        <w:rPr>
          <w:rFonts w:ascii="Verdana" w:eastAsia="Times New Roman" w:hAnsi="Verdana" w:cs="Arial"/>
          <w:sz w:val="20"/>
          <w:lang w:eastAsia="es-ES_tradnl"/>
        </w:rPr>
      </w:pPr>
      <w:r w:rsidRPr="0030751E">
        <w:rPr>
          <w:rFonts w:ascii="Verdana" w:eastAsia="Times New Roman" w:hAnsi="Verdana" w:cs="Arial"/>
          <w:sz w:val="20"/>
          <w:lang w:eastAsia="es-ES_tradnl"/>
        </w:rPr>
        <w:t>4. El valor estimado del contrato y la justificación del mismo. […]</w:t>
      </w:r>
    </w:p>
    <w:p w14:paraId="70644E6B" w14:textId="77777777" w:rsidR="004074D3" w:rsidRPr="0030751E" w:rsidRDefault="004074D3" w:rsidP="004074D3">
      <w:pPr>
        <w:spacing w:after="0" w:line="240" w:lineRule="auto"/>
        <w:ind w:left="709" w:right="709"/>
        <w:jc w:val="both"/>
        <w:rPr>
          <w:rFonts w:ascii="Verdana" w:eastAsia="Times New Roman" w:hAnsi="Verdana" w:cs="Arial"/>
          <w:sz w:val="20"/>
          <w:lang w:eastAsia="es-ES_tradnl"/>
        </w:rPr>
      </w:pPr>
      <w:r w:rsidRPr="0030751E">
        <w:rPr>
          <w:rFonts w:ascii="Verdana" w:eastAsia="Times New Roman" w:hAnsi="Verdana" w:cs="Arial"/>
          <w:sz w:val="20"/>
          <w:lang w:eastAsia="es-ES_tradnl"/>
        </w:rPr>
        <w:t>5. Los criterios para seleccionar la oferta más favorable.</w:t>
      </w:r>
    </w:p>
    <w:p w14:paraId="532148F8" w14:textId="77777777" w:rsidR="004074D3" w:rsidRPr="0030751E" w:rsidRDefault="004074D3" w:rsidP="004074D3">
      <w:pPr>
        <w:spacing w:after="0" w:line="240" w:lineRule="auto"/>
        <w:ind w:left="709" w:right="709"/>
        <w:jc w:val="both"/>
        <w:rPr>
          <w:rFonts w:ascii="Verdana" w:eastAsia="Times New Roman" w:hAnsi="Verdana" w:cs="Arial"/>
          <w:sz w:val="20"/>
          <w:lang w:eastAsia="es-ES_tradnl"/>
        </w:rPr>
      </w:pPr>
      <w:r w:rsidRPr="0030751E">
        <w:rPr>
          <w:rFonts w:ascii="Verdana" w:eastAsia="Times New Roman" w:hAnsi="Verdana" w:cs="Arial"/>
          <w:sz w:val="20"/>
          <w:lang w:eastAsia="es-ES_tradnl"/>
        </w:rPr>
        <w:t>6. El análisis de Riesgo y la forma de mitigarlo.</w:t>
      </w:r>
    </w:p>
    <w:p w14:paraId="3EF933BA" w14:textId="77777777" w:rsidR="004074D3" w:rsidRPr="0030751E" w:rsidRDefault="004074D3" w:rsidP="004074D3">
      <w:pPr>
        <w:spacing w:after="0" w:line="240" w:lineRule="auto"/>
        <w:ind w:left="709" w:right="709"/>
        <w:jc w:val="both"/>
        <w:rPr>
          <w:rFonts w:ascii="Verdana" w:eastAsia="Times New Roman" w:hAnsi="Verdana" w:cs="Arial"/>
          <w:sz w:val="20"/>
          <w:lang w:eastAsia="es-ES_tradnl"/>
        </w:rPr>
      </w:pPr>
      <w:r w:rsidRPr="0030751E">
        <w:rPr>
          <w:rFonts w:ascii="Verdana" w:eastAsia="Times New Roman" w:hAnsi="Verdana" w:cs="Arial"/>
          <w:sz w:val="20"/>
          <w:lang w:eastAsia="es-ES_tradnl"/>
        </w:rPr>
        <w:t>7. Las garantías que la Entidad Estatal contempla exigir en el proceso de contratación.</w:t>
      </w:r>
    </w:p>
    <w:p w14:paraId="7942340B" w14:textId="77777777" w:rsidR="004074D3" w:rsidRPr="0030751E" w:rsidRDefault="004074D3" w:rsidP="004074D3">
      <w:pPr>
        <w:spacing w:after="0" w:line="240" w:lineRule="auto"/>
        <w:ind w:left="709" w:right="709"/>
        <w:jc w:val="both"/>
        <w:rPr>
          <w:rFonts w:ascii="Verdana" w:eastAsia="Times New Roman" w:hAnsi="Verdana" w:cs="Arial"/>
          <w:sz w:val="20"/>
          <w:lang w:eastAsia="es-ES_tradnl"/>
        </w:rPr>
      </w:pPr>
      <w:r w:rsidRPr="0030751E">
        <w:rPr>
          <w:rFonts w:ascii="Verdana" w:eastAsia="Times New Roman" w:hAnsi="Verdana" w:cs="Arial"/>
          <w:sz w:val="20"/>
          <w:lang w:eastAsia="es-ES_tradnl"/>
        </w:rPr>
        <w:t xml:space="preserve">8. La indicación de si el proceso de contratación está cobijado por un acuerdo comercial.  </w:t>
      </w:r>
    </w:p>
    <w:p w14:paraId="7BD38327" w14:textId="77777777" w:rsidR="004074D3" w:rsidRPr="0030751E" w:rsidRDefault="004074D3" w:rsidP="004074D3">
      <w:pPr>
        <w:spacing w:after="0" w:line="240" w:lineRule="auto"/>
        <w:ind w:left="709" w:right="709"/>
        <w:jc w:val="both"/>
        <w:rPr>
          <w:rFonts w:ascii="Verdana" w:eastAsia="Times New Roman" w:hAnsi="Verdana" w:cs="Arial"/>
          <w:sz w:val="20"/>
          <w:lang w:eastAsia="es-ES_tradnl"/>
        </w:rPr>
      </w:pPr>
      <w:r w:rsidRPr="0030751E">
        <w:rPr>
          <w:rFonts w:ascii="Verdana" w:eastAsia="Times New Roman" w:hAnsi="Verdana" w:cs="Arial"/>
          <w:sz w:val="20"/>
          <w:lang w:eastAsia="es-ES_tradnl"/>
        </w:rPr>
        <w:t>[…]”.</w:t>
      </w:r>
    </w:p>
    <w:p w14:paraId="7C5B646D" w14:textId="77777777" w:rsidR="004074D3" w:rsidRPr="0030751E" w:rsidRDefault="004074D3" w:rsidP="004074D3">
      <w:pPr>
        <w:spacing w:after="0" w:line="276" w:lineRule="auto"/>
        <w:ind w:firstLine="709"/>
        <w:jc w:val="both"/>
        <w:rPr>
          <w:rFonts w:ascii="Verdana" w:eastAsia="Times New Roman" w:hAnsi="Verdana" w:cs="Arial"/>
          <w:szCs w:val="24"/>
          <w:lang w:eastAsia="es-ES_tradnl"/>
        </w:rPr>
      </w:pPr>
    </w:p>
    <w:p w14:paraId="5928B424" w14:textId="77777777" w:rsidR="004074D3" w:rsidRPr="0030751E" w:rsidRDefault="004074D3" w:rsidP="004074D3">
      <w:pPr>
        <w:spacing w:after="0" w:line="276" w:lineRule="auto"/>
        <w:ind w:firstLine="709"/>
        <w:jc w:val="both"/>
        <w:rPr>
          <w:rFonts w:ascii="Verdana" w:eastAsia="Times New Roman" w:hAnsi="Verdana" w:cs="Arial"/>
          <w:szCs w:val="24"/>
          <w:lang w:eastAsia="es-ES_tradnl"/>
        </w:rPr>
      </w:pPr>
      <w:r w:rsidRPr="0030751E">
        <w:rPr>
          <w:rFonts w:ascii="Verdana" w:eastAsia="Times New Roman" w:hAnsi="Verdana" w:cs="Arial"/>
          <w:szCs w:val="24"/>
          <w:lang w:eastAsia="es-ES_tradnl"/>
        </w:rPr>
        <w:t xml:space="preserve">Adicionalmente, resulta a bien resaltar la autonomía de las Entidades Estatales para estructurar los estudios previos, siempre y cuando observen los aspectos que estos deben contener, de conformidad con los artículos 2.2.1.1.1.6.1, 2.2.1.1.2.1.1 y 2.2.1.2.1.4.9 del Decreto 1082 de 2015. En todo caso, tratándose contratos de prestación de servicios, los estudios previos deben entrar a justificar las particularidades del objeto contractual de cara a la satisfacción de la necesidad de la Entidad Estatal en atención a la cual se requiere el respectivo contrato. De esto dependerán las regulaciones que se establezcan en la minuta del contrato en cuanto a la temporalidad, pago y demás asuntos relevantes del negocio jurídico, que, sin perjuicio de estar mediados por la autonomía de la voluntad de las partes para establecer las condiciones del contrato, deben tener una justificación expresada en los estudios y documentos previos. </w:t>
      </w:r>
    </w:p>
    <w:p w14:paraId="09939D60" w14:textId="77777777" w:rsidR="004074D3" w:rsidRPr="0030751E" w:rsidRDefault="004074D3" w:rsidP="004074D3">
      <w:pPr>
        <w:spacing w:after="0" w:line="276" w:lineRule="auto"/>
        <w:jc w:val="both"/>
        <w:rPr>
          <w:rFonts w:ascii="Arial" w:eastAsia="Aptos" w:hAnsi="Arial" w:cs="Arial"/>
        </w:rPr>
      </w:pPr>
    </w:p>
    <w:p w14:paraId="7F092C9C" w14:textId="77777777" w:rsidR="004074D3" w:rsidRPr="0030751E" w:rsidRDefault="004074D3" w:rsidP="004074D3">
      <w:pPr>
        <w:spacing w:after="0" w:line="276" w:lineRule="auto"/>
        <w:jc w:val="both"/>
        <w:rPr>
          <w:rFonts w:ascii="Verdana" w:eastAsia="Aptos" w:hAnsi="Verdana" w:cs="Arial"/>
        </w:rPr>
      </w:pPr>
      <w:proofErr w:type="spellStart"/>
      <w:r w:rsidRPr="0030751E">
        <w:rPr>
          <w:rFonts w:ascii="Verdana" w:eastAsia="Aptos" w:hAnsi="Verdana" w:cs="Arial"/>
        </w:rPr>
        <w:t>ii</w:t>
      </w:r>
      <w:proofErr w:type="spellEnd"/>
      <w:r w:rsidRPr="0030751E">
        <w:rPr>
          <w:rFonts w:ascii="Verdana" w:eastAsia="Aptos" w:hAnsi="Verdana" w:cs="Arial"/>
        </w:rPr>
        <w:t xml:space="preserve">) Por otra parte, en el marco de lo dispuesto en los artículos 4, 5, 12, 14 y 26 de la Ley 80 de 1993, las Entidades Estatales tienen la obligación de velar por </w:t>
      </w:r>
      <w:r w:rsidRPr="0030751E">
        <w:rPr>
          <w:rFonts w:ascii="Verdana" w:eastAsia="Aptos" w:hAnsi="Verdana" w:cs="Arial"/>
        </w:rPr>
        <w:lastRenderedPageBreak/>
        <w:t>el correcto y oportuno cumplimiento de las prestaciones del contrato,</w:t>
      </w:r>
      <w:r w:rsidRPr="0030751E">
        <w:rPr>
          <w:rFonts w:ascii="Aptos" w:eastAsia="Aptos" w:hAnsi="Aptos" w:cs="Arial"/>
        </w:rPr>
        <w:t xml:space="preserve"> </w:t>
      </w:r>
      <w:r w:rsidRPr="0030751E">
        <w:rPr>
          <w:rFonts w:ascii="Verdana" w:eastAsia="Aptos" w:hAnsi="Verdana" w:cs="Arial"/>
        </w:rPr>
        <w:t xml:space="preserve">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 </w:t>
      </w:r>
    </w:p>
    <w:p w14:paraId="1E015A7B" w14:textId="77777777" w:rsidR="004074D3" w:rsidRPr="0030751E" w:rsidRDefault="004074D3" w:rsidP="004074D3">
      <w:pPr>
        <w:spacing w:before="120" w:after="0" w:line="276" w:lineRule="auto"/>
        <w:ind w:firstLine="709"/>
        <w:jc w:val="both"/>
        <w:rPr>
          <w:rFonts w:ascii="Verdana" w:eastAsia="Aptos" w:hAnsi="Verdana" w:cs="Arial"/>
          <w:lang w:val="es-ES_tradnl" w:eastAsia="es-MX"/>
        </w:rPr>
      </w:pPr>
      <w:r w:rsidRPr="0030751E">
        <w:rPr>
          <w:rFonts w:ascii="Verdana" w:eastAsia="Aptos" w:hAnsi="Verdana" w:cs="Arial"/>
        </w:rPr>
        <w:t>En ese sentido, las Leyes 1150 de 2007 y 1474 de 2011, complementan el régimen jurídico de la obligación de vigilar la correcta ejecución de los contratos estatales. En dichas normas se impone el debido proceso como principio rector en materia sancionatoria contractual, entre otros, para la imposición de multas y la decisión de hacer efectiva la cláusula penal, principio que se debe respetar en el ejercicio del control y vigilancia de la ejecución contractual</w:t>
      </w:r>
      <w:r w:rsidRPr="0030751E">
        <w:rPr>
          <w:rFonts w:ascii="Verdana" w:eastAsia="Aptos" w:hAnsi="Verdana" w:cs="Arial"/>
          <w:vertAlign w:val="superscript"/>
          <w:lang w:val="es-ES_tradnl" w:eastAsia="es-MX"/>
        </w:rPr>
        <w:footnoteReference w:id="6"/>
      </w:r>
      <w:r w:rsidRPr="0030751E">
        <w:rPr>
          <w:rFonts w:ascii="Verdana" w:eastAsia="Aptos" w:hAnsi="Verdana" w:cs="Arial"/>
          <w:lang w:val="es-ES_tradnl" w:eastAsia="es-MX"/>
        </w:rPr>
        <w:t>.</w:t>
      </w:r>
      <w:r w:rsidRPr="0030751E">
        <w:rPr>
          <w:rFonts w:ascii="Verdana" w:eastAsia="Aptos" w:hAnsi="Verdana" w:cs="Arial"/>
        </w:rPr>
        <w:t xml:space="preserve"> También se establecen los límites de la responsabilidad del representante legal ante la delegación de sus funciones en materia contractual</w:t>
      </w:r>
      <w:r w:rsidRPr="0030751E">
        <w:rPr>
          <w:rFonts w:ascii="Verdana" w:eastAsia="Aptos" w:hAnsi="Verdana" w:cs="Arial"/>
          <w:vertAlign w:val="superscript"/>
          <w:lang w:val="es-ES_tradnl" w:eastAsia="es-MX"/>
        </w:rPr>
        <w:footnoteReference w:id="7"/>
      </w:r>
      <w:r w:rsidRPr="0030751E">
        <w:rPr>
          <w:rFonts w:ascii="Verdana" w:eastAsia="Aptos" w:hAnsi="Verdana" w:cs="Arial"/>
        </w:rPr>
        <w:t xml:space="preserve"> </w:t>
      </w:r>
      <w:r w:rsidRPr="0030751E">
        <w:rPr>
          <w:rFonts w:ascii="Verdana" w:eastAsia="Aptos" w:hAnsi="Verdana" w:cs="Arial"/>
          <w:lang w:val="es-ES_tradnl" w:eastAsia="es-MX"/>
        </w:rPr>
        <w:t>y se regula la supervisión y la interventoría de los contratos estatales</w:t>
      </w:r>
      <w:r w:rsidRPr="0030751E">
        <w:rPr>
          <w:rFonts w:ascii="Verdana" w:eastAsia="Aptos" w:hAnsi="Verdana" w:cs="Arial"/>
          <w:vertAlign w:val="superscript"/>
          <w:lang w:val="es-ES_tradnl" w:eastAsia="es-MX"/>
        </w:rPr>
        <w:footnoteReference w:id="8"/>
      </w:r>
      <w:r w:rsidRPr="0030751E">
        <w:rPr>
          <w:rFonts w:ascii="Verdana" w:eastAsia="Aptos" w:hAnsi="Verdana" w:cs="Arial"/>
          <w:lang w:val="es-ES_tradnl" w:eastAsia="es-MX"/>
        </w:rPr>
        <w:t>.</w:t>
      </w:r>
    </w:p>
    <w:p w14:paraId="34F8D343" w14:textId="77777777" w:rsidR="004074D3" w:rsidRPr="0030751E" w:rsidRDefault="004074D3" w:rsidP="004074D3">
      <w:pPr>
        <w:spacing w:before="120" w:after="0" w:line="276" w:lineRule="auto"/>
        <w:ind w:firstLine="708"/>
        <w:jc w:val="both"/>
        <w:textAlignment w:val="baseline"/>
        <w:rPr>
          <w:rFonts w:ascii="Verdana" w:eastAsia="Aptos" w:hAnsi="Verdana" w:cs="Arial"/>
          <w:lang w:val="es-ES_tradnl" w:eastAsia="es-MX"/>
        </w:rPr>
      </w:pPr>
      <w:r w:rsidRPr="0030751E">
        <w:rPr>
          <w:rFonts w:ascii="Verdana" w:eastAsia="Aptos" w:hAnsi="Verdana" w:cs="Arial"/>
        </w:rPr>
        <w:t xml:space="preserve">En consecuencia, </w:t>
      </w:r>
      <w:r w:rsidRPr="0030751E">
        <w:rPr>
          <w:rFonts w:ascii="Verdana" w:eastAsia="Aptos" w:hAnsi="Verdana" w:cs="Arial"/>
          <w:lang w:val="es-ES_tradnl" w:eastAsia="es-MX"/>
        </w:rPr>
        <w:t xml:space="preserve">se tiene que, la jurisprudencia contencioso-administrativa, por su parte, ha considerado que la obligación de vigilar la correcta ejecución del objeto contractual es una función de la entidad contratante, en los siguientes términos: </w:t>
      </w:r>
    </w:p>
    <w:p w14:paraId="48CD7C1E" w14:textId="77777777" w:rsidR="004074D3" w:rsidRPr="0030751E" w:rsidRDefault="004074D3" w:rsidP="004074D3">
      <w:pPr>
        <w:spacing w:after="0"/>
        <w:ind w:left="709"/>
        <w:contextualSpacing/>
        <w:jc w:val="both"/>
        <w:rPr>
          <w:rFonts w:ascii="Verdana" w:eastAsia="Aptos" w:hAnsi="Verdana" w:cs="Arial"/>
          <w:lang w:val="es-ES_tradnl" w:eastAsia="es-MX"/>
        </w:rPr>
      </w:pPr>
    </w:p>
    <w:p w14:paraId="0E1F6F61" w14:textId="77777777" w:rsidR="004074D3" w:rsidRPr="0030751E" w:rsidRDefault="004074D3" w:rsidP="004074D3">
      <w:pPr>
        <w:spacing w:after="0" w:line="240" w:lineRule="auto"/>
        <w:ind w:left="1416" w:right="709"/>
        <w:contextualSpacing/>
        <w:jc w:val="both"/>
        <w:rPr>
          <w:rFonts w:ascii="Verdana" w:eastAsia="Aptos" w:hAnsi="Verdana" w:cs="Arial"/>
          <w:sz w:val="20"/>
          <w:szCs w:val="20"/>
          <w:lang w:val="es-ES_tradnl" w:eastAsia="es-MX"/>
        </w:rPr>
      </w:pPr>
      <w:bookmarkStart w:id="4" w:name="_Hlk178671999"/>
      <w:r w:rsidRPr="0030751E">
        <w:rPr>
          <w:rFonts w:ascii="Verdana" w:eastAsia="Aptos" w:hAnsi="Verdana" w:cs="Arial"/>
          <w:sz w:val="20"/>
          <w:szCs w:val="20"/>
          <w:lang w:val="es-ES_tradnl" w:eastAsia="es-MX"/>
        </w:rPr>
        <w:t>“La función de vigilancia y control del contrato estatal supone el cuidado y la supervisión, de forma tal que en ejercicio de esa función</w:t>
      </w:r>
      <w:bookmarkEnd w:id="4"/>
      <w:r w:rsidRPr="0030751E">
        <w:rPr>
          <w:rFonts w:ascii="Verdana" w:eastAsia="Aptos" w:hAnsi="Verdana" w:cs="Arial"/>
          <w:sz w:val="20"/>
          <w:szCs w:val="20"/>
          <w:lang w:val="es-ES_tradnl" w:eastAsia="es-MX"/>
        </w:rPr>
        <w:t>, quien administra la adecuada y oportuna ejecución del contrato no sólo debe velar por que las partes den cumplimiento a las obligaciones contractuales, sino que el contrato se ejecute en el tiempo y la forma convenidos, para esta forma garantizar la satisfacción de las necesidades que la administración buscaba alcanzar con la celebración del respectivo contrato”</w:t>
      </w:r>
      <w:r w:rsidRPr="0030751E">
        <w:rPr>
          <w:rFonts w:ascii="Verdana" w:eastAsia="Aptos" w:hAnsi="Verdana" w:cs="Arial"/>
          <w:sz w:val="20"/>
          <w:szCs w:val="20"/>
          <w:vertAlign w:val="superscript"/>
          <w:lang w:val="es-ES_tradnl" w:eastAsia="es-MX"/>
        </w:rPr>
        <w:footnoteReference w:id="9"/>
      </w:r>
      <w:r w:rsidRPr="0030751E">
        <w:rPr>
          <w:rFonts w:ascii="Verdana" w:eastAsia="Aptos" w:hAnsi="Verdana" w:cs="Arial"/>
          <w:sz w:val="20"/>
          <w:szCs w:val="20"/>
          <w:lang w:val="es-ES_tradnl" w:eastAsia="es-MX"/>
        </w:rPr>
        <w:t>.</w:t>
      </w:r>
    </w:p>
    <w:p w14:paraId="6700A5F7" w14:textId="77777777" w:rsidR="004074D3" w:rsidRPr="0030751E" w:rsidRDefault="004074D3" w:rsidP="004074D3">
      <w:pPr>
        <w:spacing w:after="0" w:line="276" w:lineRule="auto"/>
        <w:ind w:firstLine="708"/>
        <w:jc w:val="both"/>
        <w:rPr>
          <w:rFonts w:ascii="Verdana" w:eastAsia="Aptos" w:hAnsi="Verdana" w:cs="Arial"/>
        </w:rPr>
      </w:pPr>
    </w:p>
    <w:p w14:paraId="1EEBEABF" w14:textId="77777777" w:rsidR="004074D3" w:rsidRPr="0030751E" w:rsidRDefault="004074D3" w:rsidP="004074D3">
      <w:pPr>
        <w:spacing w:after="0" w:line="276" w:lineRule="auto"/>
        <w:ind w:firstLine="708"/>
        <w:jc w:val="both"/>
        <w:textAlignment w:val="baseline"/>
        <w:rPr>
          <w:rFonts w:ascii="Verdana" w:eastAsia="Aptos" w:hAnsi="Verdana" w:cs="Arial"/>
          <w:lang w:eastAsia="es-MX"/>
        </w:rPr>
      </w:pPr>
      <w:r w:rsidRPr="0030751E">
        <w:rPr>
          <w:rFonts w:ascii="Verdana" w:eastAsia="Aptos" w:hAnsi="Verdana" w:cs="Arial"/>
        </w:rPr>
        <w:t xml:space="preserve">De esta forma, </w:t>
      </w:r>
      <w:r w:rsidRPr="0030751E">
        <w:rPr>
          <w:rFonts w:ascii="Verdana" w:eastAsia="Aptos" w:hAnsi="Verdana" w:cs="Arial"/>
          <w:lang w:eastAsia="es-MX"/>
        </w:rPr>
        <w:t xml:space="preserve">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El legislador además definió las nociones de supervisión e interventoría, como mecanismos que pueden usar las Entidades Estatales para vigilar el contrato, en estos términos: </w:t>
      </w:r>
    </w:p>
    <w:p w14:paraId="5B995815" w14:textId="77777777" w:rsidR="004074D3" w:rsidRPr="0030751E" w:rsidRDefault="004074D3" w:rsidP="004074D3">
      <w:pPr>
        <w:spacing w:after="0" w:line="276" w:lineRule="auto"/>
        <w:ind w:left="720"/>
        <w:contextualSpacing/>
        <w:jc w:val="both"/>
        <w:textAlignment w:val="baseline"/>
        <w:rPr>
          <w:rFonts w:ascii="Verdana" w:eastAsia="Aptos" w:hAnsi="Verdana" w:cs="Arial"/>
          <w:lang w:val="es-ES_tradnl" w:eastAsia="es-MX"/>
        </w:rPr>
      </w:pPr>
    </w:p>
    <w:p w14:paraId="24D50E66" w14:textId="77777777" w:rsidR="004074D3" w:rsidRPr="0030751E" w:rsidRDefault="004074D3" w:rsidP="004074D3">
      <w:pPr>
        <w:spacing w:after="0" w:line="240" w:lineRule="auto"/>
        <w:ind w:left="709" w:right="709"/>
        <w:jc w:val="both"/>
        <w:textAlignment w:val="baseline"/>
        <w:rPr>
          <w:rFonts w:ascii="Verdana" w:eastAsia="Aptos" w:hAnsi="Verdana" w:cs="Arial"/>
          <w:sz w:val="20"/>
          <w:szCs w:val="20"/>
          <w:lang w:val="es-ES" w:eastAsia="es-MX"/>
        </w:rPr>
      </w:pPr>
      <w:r w:rsidRPr="0030751E">
        <w:rPr>
          <w:rFonts w:ascii="Verdana" w:eastAsia="Aptos" w:hAnsi="Verdana" w:cs="Arial"/>
          <w:sz w:val="20"/>
          <w:szCs w:val="20"/>
          <w:lang w:val="es-ES" w:eastAsia="es-MX"/>
        </w:rPr>
        <w:t>“La supervisión consistirá en el seguimiento técnico, administrativo, financiero, contable, y jurídico que sobre el cumplimiento del objeto del contrato, es ejercida por la misma entidad estatal cuando no requieran conocimientos especializadas. Para la supervisión, la entidad estatal podrá contratar personal de apoyo, a través de los contratos de prestación de servicio que sean requeridos.</w:t>
      </w:r>
    </w:p>
    <w:p w14:paraId="1C9620B2" w14:textId="77777777" w:rsidR="004074D3" w:rsidRPr="0030751E" w:rsidRDefault="004074D3" w:rsidP="004074D3">
      <w:pPr>
        <w:spacing w:after="0" w:line="240" w:lineRule="auto"/>
        <w:ind w:left="709" w:right="709"/>
        <w:jc w:val="both"/>
        <w:textAlignment w:val="baseline"/>
        <w:rPr>
          <w:rFonts w:ascii="Verdana" w:eastAsia="Aptos" w:hAnsi="Verdana" w:cs="Arial"/>
          <w:sz w:val="20"/>
          <w:szCs w:val="20"/>
          <w:lang w:val="es-ES" w:eastAsia="es-MX"/>
        </w:rPr>
      </w:pPr>
    </w:p>
    <w:p w14:paraId="467104A3" w14:textId="77777777" w:rsidR="004074D3" w:rsidRPr="0030751E" w:rsidRDefault="004074D3" w:rsidP="004074D3">
      <w:pPr>
        <w:spacing w:after="0" w:line="240" w:lineRule="auto"/>
        <w:ind w:left="709" w:right="709"/>
        <w:jc w:val="both"/>
        <w:textAlignment w:val="baseline"/>
        <w:rPr>
          <w:rFonts w:ascii="Verdana" w:eastAsia="Aptos" w:hAnsi="Verdana" w:cs="Arial"/>
          <w:sz w:val="20"/>
          <w:szCs w:val="20"/>
          <w:lang w:val="es-ES" w:eastAsia="es-MX"/>
        </w:rPr>
      </w:pPr>
      <w:r w:rsidRPr="0030751E">
        <w:rPr>
          <w:rFonts w:ascii="Verdana" w:eastAsia="Aptos" w:hAnsi="Verdana" w:cs="Arial"/>
          <w:sz w:val="20"/>
          <w:szCs w:val="20"/>
          <w:lang w:val="es-ES" w:eastAsia="es-MX"/>
        </w:rPr>
        <w:t>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del mismo lo justifiquen. No obstante, lo anterior cuando la entidad lo encuentre justificado y acorde a la naturaleza del contrato principal, podrá contratar el seguimiento administrativo, técnico, financiero, contable, jurídico del objeto o contrato dentro de la interventoría”</w:t>
      </w:r>
      <w:r w:rsidRPr="0030751E">
        <w:rPr>
          <w:rFonts w:ascii="Verdana" w:eastAsia="Aptos" w:hAnsi="Verdana" w:cs="Arial"/>
          <w:sz w:val="20"/>
          <w:szCs w:val="20"/>
          <w:vertAlign w:val="superscript"/>
          <w:lang w:val="es-ES" w:eastAsia="es-MX"/>
        </w:rPr>
        <w:footnoteReference w:id="10"/>
      </w:r>
      <w:r w:rsidRPr="0030751E">
        <w:rPr>
          <w:rFonts w:ascii="Verdana" w:eastAsia="Aptos" w:hAnsi="Verdana" w:cs="Arial"/>
          <w:sz w:val="20"/>
          <w:szCs w:val="20"/>
          <w:lang w:val="es-ES" w:eastAsia="es-MX"/>
        </w:rPr>
        <w:t>.</w:t>
      </w:r>
    </w:p>
    <w:p w14:paraId="78CBAEFD" w14:textId="77777777" w:rsidR="004074D3" w:rsidRPr="0030751E" w:rsidRDefault="004074D3" w:rsidP="004074D3">
      <w:pPr>
        <w:spacing w:after="0" w:line="276" w:lineRule="auto"/>
        <w:jc w:val="both"/>
        <w:textAlignment w:val="baseline"/>
        <w:rPr>
          <w:rFonts w:ascii="Verdana" w:eastAsia="Aptos" w:hAnsi="Verdana" w:cs="Arial"/>
          <w:lang w:eastAsia="es-MX"/>
        </w:rPr>
      </w:pPr>
    </w:p>
    <w:p w14:paraId="39050E94" w14:textId="77777777" w:rsidR="004074D3" w:rsidRPr="0030751E" w:rsidRDefault="004074D3" w:rsidP="004074D3">
      <w:pPr>
        <w:tabs>
          <w:tab w:val="left" w:pos="709"/>
        </w:tabs>
        <w:spacing w:after="0" w:line="276" w:lineRule="auto"/>
        <w:jc w:val="both"/>
        <w:rPr>
          <w:rFonts w:ascii="Verdana" w:eastAsia="Calibri" w:hAnsi="Verdana" w:cs="Arial"/>
          <w:shd w:val="clear" w:color="auto" w:fill="FFFFFF"/>
        </w:rPr>
      </w:pPr>
      <w:r w:rsidRPr="0030751E">
        <w:rPr>
          <w:rFonts w:ascii="Verdana" w:eastAsia="Aptos" w:hAnsi="Verdana" w:cs="Arial"/>
          <w:bCs/>
        </w:rPr>
        <w:tab/>
        <w:t>Sin perjuicio de lo anterior, según lo expresado por esta Agencia en el concepto No. 4201913000008240 del 20 de diciembre de 2019,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w:t>
      </w:r>
      <w:r w:rsidRPr="0030751E">
        <w:rPr>
          <w:rFonts w:ascii="Verdana" w:eastAsia="Aptos" w:hAnsi="Verdana" w:cs="Arial"/>
          <w:bCs/>
          <w:vertAlign w:val="superscript"/>
        </w:rPr>
        <w:footnoteReference w:id="11"/>
      </w:r>
      <w:r w:rsidRPr="0030751E">
        <w:rPr>
          <w:rFonts w:ascii="Verdana" w:eastAsia="Aptos" w:hAnsi="Verdana" w:cs="Arial"/>
          <w:bCs/>
        </w:rPr>
        <w:t xml:space="preserve">–; </w:t>
      </w:r>
      <w:proofErr w:type="spellStart"/>
      <w:r w:rsidRPr="0030751E">
        <w:rPr>
          <w:rFonts w:ascii="Verdana" w:eastAsia="Aptos" w:hAnsi="Verdana" w:cs="Arial"/>
          <w:bCs/>
        </w:rPr>
        <w:t>ii</w:t>
      </w:r>
      <w:proofErr w:type="spellEnd"/>
      <w:r w:rsidRPr="0030751E">
        <w:rPr>
          <w:rFonts w:ascii="Verdana" w:eastAsia="Aptos" w:hAnsi="Verdana" w:cs="Arial"/>
          <w:bCs/>
        </w:rPr>
        <w:t xml:space="preserve">) no requiere </w:t>
      </w:r>
      <w:r w:rsidRPr="0030751E">
        <w:rPr>
          <w:rFonts w:ascii="Verdana" w:eastAsia="Aptos" w:hAnsi="Verdana" w:cs="Arial"/>
          <w:bCs/>
        </w:rPr>
        <w:lastRenderedPageBreak/>
        <w:t xml:space="preserve">conocimientos tan especializados como la interventoría; </w:t>
      </w:r>
      <w:proofErr w:type="spellStart"/>
      <w:r w:rsidRPr="0030751E">
        <w:rPr>
          <w:rFonts w:ascii="Verdana" w:eastAsia="Aptos" w:hAnsi="Verdana" w:cs="Arial"/>
          <w:bCs/>
        </w:rPr>
        <w:t>iii</w:t>
      </w:r>
      <w:proofErr w:type="spellEnd"/>
      <w:r w:rsidRPr="0030751E">
        <w:rPr>
          <w:rFonts w:ascii="Verdana" w:eastAsia="Aptos" w:hAnsi="Verdana" w:cs="Arial"/>
          <w:bCs/>
        </w:rPr>
        <w:t xml:space="preserve">) se ejerce por la Entidad Estatal por conducto de la designación de servidores públicos idóneos para cumplir la función; </w:t>
      </w:r>
      <w:proofErr w:type="spellStart"/>
      <w:r w:rsidRPr="0030751E">
        <w:rPr>
          <w:rFonts w:ascii="Verdana" w:eastAsia="Aptos" w:hAnsi="Verdana" w:cs="Arial"/>
          <w:bCs/>
        </w:rPr>
        <w:t>iv</w:t>
      </w:r>
      <w:proofErr w:type="spellEnd"/>
      <w:r w:rsidRPr="0030751E">
        <w:rPr>
          <w:rFonts w:ascii="Verdana" w:eastAsia="Aptos" w:hAnsi="Verdana" w:cs="Arial"/>
          <w:bCs/>
        </w:rPr>
        <w:t xml:space="preserve">) puede recibir apoyo de personal contratado para tal fin mediante contratos de prestación de servicios; y v) le es inseparable el seguimiento técnico, administrativo, financiero, contable y jurídico del contrato vigilado. </w:t>
      </w:r>
      <w:r w:rsidRPr="0030751E">
        <w:rPr>
          <w:rFonts w:ascii="Verdana" w:eastAsia="Calibri" w:hAnsi="Verdana" w:cs="Arial"/>
          <w:shd w:val="clear" w:color="auto" w:fill="FFFFFF"/>
        </w:rPr>
        <w:t xml:space="preserve">En ese sentido, puede colegirse que la supervisión es uno de los medios para que las entidades ejerzan la dirección, control y vigilancia de sus contratos, con el fin de lograr el objeto contractual. </w:t>
      </w:r>
    </w:p>
    <w:p w14:paraId="120D288C" w14:textId="77777777" w:rsidR="004074D3" w:rsidRPr="0030751E" w:rsidRDefault="004074D3" w:rsidP="004074D3">
      <w:pPr>
        <w:spacing w:before="120" w:after="0" w:line="276" w:lineRule="auto"/>
        <w:ind w:firstLine="708"/>
        <w:jc w:val="both"/>
        <w:rPr>
          <w:rFonts w:ascii="Verdana" w:eastAsia="Aptos" w:hAnsi="Verdana" w:cs="Arial"/>
        </w:rPr>
      </w:pPr>
      <w:r w:rsidRPr="0030751E">
        <w:rPr>
          <w:rFonts w:ascii="Verdana" w:eastAsia="Aptos" w:hAnsi="Verdana" w:cs="Arial"/>
          <w:lang w:eastAsia="es-MX"/>
        </w:rPr>
        <w:t xml:space="preserve">Ahora bien, y por resultar relevante al tema bajo consulta, se aclara que </w:t>
      </w:r>
      <w:r w:rsidRPr="0030751E">
        <w:rPr>
          <w:rFonts w:ascii="Verdana" w:eastAsia="Calibri" w:hAnsi="Verdana" w:cs="Arial"/>
          <w:color w:val="000000"/>
          <w:lang w:val="es-ES_tradnl"/>
        </w:rPr>
        <w:t>la designación de supervisión de los contratos podrá realizarse por el representante legal de la Entidad Estatal o por el ordenador del gasto, en caso de que esta función se encuentre delegada conforme a las reglas dispuestas en el artículo 12 de la Ley 80 de 1993. D</w:t>
      </w:r>
      <w:proofErr w:type="spellStart"/>
      <w:r w:rsidRPr="0030751E">
        <w:rPr>
          <w:rFonts w:ascii="Verdana" w:eastAsia="Aptos" w:hAnsi="Verdana" w:cs="Arial"/>
        </w:rPr>
        <w:t>e</w:t>
      </w:r>
      <w:proofErr w:type="spellEnd"/>
      <w:r w:rsidRPr="0030751E">
        <w:rPr>
          <w:rFonts w:ascii="Verdana" w:eastAsia="Aptos" w:hAnsi="Verdana" w:cs="Arial"/>
        </w:rPr>
        <w:t xml:space="preserve"> acuerdo con la Ley 489 de 1998 la delegación es la transferencia del ejercicio de las funciones de las autoridades administrativas a sus colaboradores o a otras autoridades con funciones afines o complementarias. Por otro lado, la Ley 80 de 1993 establece que los jefes y los representantes legales de las Entidades Estatales pueden delegar total o parcialmente la competencia para celebrar contratos y realizar licitaciones, lo cual no los exonera de sus deberes de control y vigilancia de la actividad precontractual y contractual.</w:t>
      </w:r>
    </w:p>
    <w:p w14:paraId="1DD9421A" w14:textId="77777777" w:rsidR="004074D3" w:rsidRPr="0030751E" w:rsidRDefault="004074D3" w:rsidP="004074D3">
      <w:pPr>
        <w:spacing w:before="120" w:after="120" w:line="276" w:lineRule="auto"/>
        <w:ind w:firstLine="709"/>
        <w:jc w:val="both"/>
        <w:rPr>
          <w:rFonts w:ascii="Verdana" w:eastAsia="Aptos" w:hAnsi="Verdana" w:cs="Arial"/>
          <w:lang w:val="es-MX"/>
        </w:rPr>
      </w:pPr>
      <w:r w:rsidRPr="0030751E">
        <w:rPr>
          <w:rFonts w:ascii="Verdana" w:eastAsia="Aptos" w:hAnsi="Verdana" w:cs="Arial"/>
          <w:lang w:val="es-MX"/>
        </w:rPr>
        <w:t xml:space="preserve">Si bien el ordenamiento jurídico consagra la figura de la delegación en materia contractual, la designación del supervisor de un contrato no es una delegación en los términos del artículo 9 de la Ley 489 de 1998 ni tampoco del artículo 12 de la Ley 80 de 1993. Lo anterior, dado que la función de supervisión es inherente al desempeño de las funciones ordinarias de los servidores públicos, como lo establece el artículo 83 de la Ley 1474 de 2011, y no es una función asignada exclusivamente al representante legal o al ordenador del gasto. En consecuencia, no es necesario emitir un acto administrativo mediante el cual el representante legal o el ordenador del gasto deleguen la función de supervisión del contrato. En todo caso, el representante legal o el ordenador del gasto de la Entidad Estatal, en el evento de que esta función se encuentre delegada, como responsables de la vigilancia y control de la ejecución del gasto y del contrato, deben designar al supervisor del mismo. </w:t>
      </w:r>
    </w:p>
    <w:p w14:paraId="32C99E9C" w14:textId="77777777" w:rsidR="004074D3" w:rsidRPr="0030751E" w:rsidRDefault="004074D3" w:rsidP="004074D3">
      <w:pPr>
        <w:spacing w:after="120" w:line="276" w:lineRule="auto"/>
        <w:ind w:firstLine="709"/>
        <w:jc w:val="both"/>
        <w:rPr>
          <w:rFonts w:ascii="Verdana" w:eastAsia="Aptos" w:hAnsi="Verdana" w:cs="Arial"/>
          <w:lang w:val="es-MX"/>
        </w:rPr>
      </w:pPr>
      <w:r w:rsidRPr="0030751E">
        <w:rPr>
          <w:rFonts w:ascii="Verdana" w:eastAsia="Aptos" w:hAnsi="Verdana" w:cs="Arial"/>
          <w:lang w:val="es-MX"/>
        </w:rPr>
        <w:t xml:space="preserve">Para tales efectos podrán definirse las funciones del supervisor en el pliego de condiciones, en una cláusula del contrato, en el manual de contratación o en </w:t>
      </w:r>
      <w:r w:rsidRPr="0030751E">
        <w:rPr>
          <w:rFonts w:ascii="Verdana" w:eastAsia="Aptos" w:hAnsi="Verdana" w:cs="Arial"/>
          <w:lang w:val="es-MX"/>
        </w:rPr>
        <w:lastRenderedPageBreak/>
        <w:t>el acto de la asignación de la función al servidor público escogido para ejercer la supervisión</w:t>
      </w:r>
      <w:r w:rsidRPr="0030751E">
        <w:rPr>
          <w:rFonts w:ascii="Verdana" w:eastAsia="Aptos" w:hAnsi="Verdana" w:cs="Arial"/>
          <w:vertAlign w:val="superscript"/>
          <w:lang w:val="es-MX"/>
        </w:rPr>
        <w:footnoteReference w:id="12"/>
      </w:r>
      <w:r w:rsidRPr="0030751E">
        <w:rPr>
          <w:rFonts w:ascii="Verdana" w:eastAsia="Aptos" w:hAnsi="Verdana" w:cs="Arial"/>
          <w:lang w:val="es-MX"/>
        </w:rPr>
        <w:t xml:space="preserve">. Así mismo, en todos los casos deberán informarse al funcionario designado como supervisor. La comunicación de la designación de un funcionario como supervisor siempre debe ser escrita, entendiéndose también como tal la que se hace a través de correo electrónico. En el evento en que la designación del supervisor se haga directamente en el contrato, debe enviarse copia del mismo al funcionario designado informando que va a ser el supervisor. Así mismo, en los procesos adelantados a través de la plataforma SECOP II se debe realizar la designación a través de la misma.  </w:t>
      </w:r>
    </w:p>
    <w:p w14:paraId="7BD6A53A" w14:textId="77777777" w:rsidR="004074D3" w:rsidRPr="0030751E" w:rsidRDefault="004074D3" w:rsidP="004074D3">
      <w:pPr>
        <w:spacing w:before="120" w:after="0" w:line="276" w:lineRule="auto"/>
        <w:ind w:firstLine="709"/>
        <w:jc w:val="both"/>
        <w:rPr>
          <w:rFonts w:ascii="Verdana" w:eastAsia="Calibri" w:hAnsi="Verdana" w:cs="Arial"/>
          <w:color w:val="000000"/>
          <w:lang w:val="es-ES_tradnl"/>
        </w:rPr>
      </w:pPr>
      <w:r w:rsidRPr="0030751E">
        <w:rPr>
          <w:rFonts w:ascii="Verdana" w:eastAsia="Calibri" w:hAnsi="Verdana" w:cs="Arial"/>
          <w:color w:val="000000"/>
          <w:lang w:val="es-ES_tradnl"/>
        </w:rPr>
        <w:t>Ahora bien, en cuanto a los criterios a tener en cuenta para realizar tal designación, la Agencia Nacional de Contratación Pública – Colombia Compra Eficiente en la “Guía para el ejercicio de las funciones de supervisión e interventoría de los contratos suscritos por las Entidades Estatales”</w:t>
      </w:r>
      <w:r w:rsidRPr="0030751E">
        <w:rPr>
          <w:rFonts w:ascii="Verdana" w:eastAsia="Aptos" w:hAnsi="Verdana" w:cs="Arial"/>
          <w:vertAlign w:val="superscript"/>
          <w:lang w:eastAsia="es-MX"/>
        </w:rPr>
        <w:footnoteReference w:id="13"/>
      </w:r>
      <w:r w:rsidRPr="0030751E">
        <w:rPr>
          <w:rFonts w:ascii="Verdana" w:eastAsia="Calibri" w:hAnsi="Verdana" w:cs="Arial"/>
          <w:color w:val="000000"/>
          <w:lang w:val="es-ES_tradnl"/>
        </w:rPr>
        <w:t xml:space="preserve"> recomienda: a) se elija al funcionario público que pueda actuar como par del contratista; b) que tenga asignadas funciones relacionadas con el objeto contractual y; c) que de forma previa, se analice la carga operativa de este para no incurrir en el riesgo de que no pueda desempeñar la labor de forma adecuada.</w:t>
      </w:r>
    </w:p>
    <w:p w14:paraId="748DAB1C" w14:textId="77777777" w:rsidR="004074D3" w:rsidRPr="0030751E" w:rsidRDefault="004074D3" w:rsidP="004074D3">
      <w:pPr>
        <w:spacing w:after="0" w:line="276" w:lineRule="auto"/>
        <w:jc w:val="both"/>
        <w:rPr>
          <w:rFonts w:ascii="Verdana" w:eastAsia="Aptos" w:hAnsi="Verdana" w:cs="Arial"/>
          <w:lang w:eastAsia="es-MX"/>
        </w:rPr>
      </w:pPr>
    </w:p>
    <w:p w14:paraId="79EA59EA" w14:textId="77777777" w:rsidR="004074D3" w:rsidRPr="0030751E" w:rsidRDefault="004074D3" w:rsidP="004074D3">
      <w:pPr>
        <w:spacing w:after="0" w:line="276" w:lineRule="auto"/>
        <w:jc w:val="both"/>
        <w:rPr>
          <w:rFonts w:ascii="Verdana" w:eastAsia="Aptos" w:hAnsi="Verdana" w:cs="Arial"/>
          <w:lang w:eastAsia="es-MX"/>
        </w:rPr>
      </w:pPr>
      <w:proofErr w:type="spellStart"/>
      <w:r w:rsidRPr="0030751E">
        <w:rPr>
          <w:rFonts w:ascii="Verdana" w:eastAsia="Aptos" w:hAnsi="Verdana" w:cs="Arial"/>
          <w:lang w:eastAsia="es-MX"/>
        </w:rPr>
        <w:t>iv</w:t>
      </w:r>
      <w:proofErr w:type="spellEnd"/>
      <w:r w:rsidRPr="0030751E">
        <w:rPr>
          <w:rFonts w:ascii="Verdana" w:eastAsia="Aptos" w:hAnsi="Verdana" w:cs="Arial"/>
          <w:lang w:eastAsia="es-MX"/>
        </w:rPr>
        <w:t>) De otra parte se resalta que, quien ejerza la vigilancia del contrato, ya sea mediante la supervisión o la interventoría, podrá hacer uso de las facultades previstas en el artículo 84 de la Ley 1474 de 2011 para efectuar el seguimiento al cumplimiento obligacional del contrato y estará sometido a los deberes y responsabilidades que implica el ejercicio de dicha actividad.</w:t>
      </w:r>
    </w:p>
    <w:p w14:paraId="2E8852E1" w14:textId="77777777" w:rsidR="004074D3" w:rsidRPr="0030751E" w:rsidRDefault="004074D3" w:rsidP="004074D3">
      <w:pPr>
        <w:spacing w:before="120" w:after="120" w:line="276" w:lineRule="auto"/>
        <w:ind w:firstLine="709"/>
        <w:jc w:val="both"/>
        <w:rPr>
          <w:rFonts w:ascii="Verdana" w:eastAsia="Aptos" w:hAnsi="Verdana" w:cs="Arial"/>
          <w:lang w:eastAsia="es-MX"/>
        </w:rPr>
      </w:pPr>
      <w:r w:rsidRPr="0030751E">
        <w:rPr>
          <w:rFonts w:ascii="Verdana" w:eastAsia="Aptos" w:hAnsi="Verdana" w:cs="Arial"/>
          <w:lang w:eastAsia="es-MX"/>
        </w:rPr>
        <w:t xml:space="preserve">Respecto de tales obligaciones, se tiene que el inciso segundo de la norma referida, establece entre otros aspectos, que el supervisor y/o interventor deberá informar a la entidad contratante de los hechos o circunstancias que puedan poner en riesgo el cumplimiento del contrato o, cuando el incumplimiento de este se presente. En ese sentido, debe precisarse que, pese a que la información que remita el supervisor y/o interventor sobre el incumplimiento del contrato es fundamental, será la entidad contratante la facultada para declararlo. Esto, en el ejercicio de las facultades exorbitantes que </w:t>
      </w:r>
      <w:r w:rsidRPr="0030751E">
        <w:rPr>
          <w:rFonts w:ascii="Verdana" w:eastAsia="Aptos" w:hAnsi="Verdana" w:cs="Arial"/>
          <w:lang w:eastAsia="es-MX"/>
        </w:rPr>
        <w:lastRenderedPageBreak/>
        <w:t>le confiere el EGCAP, y en observancia de las reglas dispuestas en el artículo 86 de la Ley 1474 de 2011.</w:t>
      </w:r>
    </w:p>
    <w:p w14:paraId="3EE058BB" w14:textId="77777777" w:rsidR="004074D3" w:rsidRPr="0030751E" w:rsidRDefault="004074D3" w:rsidP="004074D3">
      <w:pPr>
        <w:spacing w:after="0" w:line="276" w:lineRule="auto"/>
        <w:ind w:firstLine="708"/>
        <w:jc w:val="both"/>
        <w:rPr>
          <w:rFonts w:ascii="Verdana" w:eastAsia="Aptos" w:hAnsi="Verdana" w:cs="Arial"/>
          <w:lang w:eastAsia="es-MX"/>
        </w:rPr>
      </w:pPr>
      <w:r w:rsidRPr="0030751E">
        <w:rPr>
          <w:rFonts w:ascii="Verdana" w:eastAsia="Aptos" w:hAnsi="Verdana" w:cs="Arial"/>
          <w:lang w:eastAsia="es-MX"/>
        </w:rPr>
        <w:t>En ese contexto, dicha norma contiene las reglas de procedimiento, mediante las cuales se materializan los derechos y garantías derivadas del debido proceso, para su aplicación concreta en materia sancionatoria contractual. De conformidad con esta disposición, las “entidades sometidas al Estatuto General de Contratación de la Administración Pública podrán declarar el incumplimiento, cuantificando los perjuicios del mismo, imponer las multas y sanciones pactadas en el contrato, y hacer efectiva la cláusula penal. Para tal efecto observarán el siguiente procedimiento: […]”.</w:t>
      </w:r>
    </w:p>
    <w:p w14:paraId="3FB8D35A" w14:textId="77777777" w:rsidR="004074D3" w:rsidRPr="0030751E" w:rsidRDefault="004074D3" w:rsidP="004074D3">
      <w:pPr>
        <w:spacing w:before="120" w:after="0" w:line="276" w:lineRule="auto"/>
        <w:ind w:firstLine="709"/>
        <w:jc w:val="both"/>
        <w:rPr>
          <w:rFonts w:ascii="Verdana" w:eastAsia="Aptos" w:hAnsi="Verdana" w:cs="Arial"/>
          <w:lang w:eastAsia="es-MX"/>
        </w:rPr>
      </w:pPr>
      <w:r w:rsidRPr="0030751E">
        <w:rPr>
          <w:rFonts w:ascii="Verdana" w:eastAsia="Aptos" w:hAnsi="Verdana" w:cs="Arial"/>
          <w:lang w:eastAsia="es-MX"/>
        </w:rPr>
        <w:t>Cabe resaltar, que esta norma no cualifica o se circunscribe a ciertos tipos de incumplimiento. En consecuencia, la declaratoria de cualquier incumplimiento, sea total o parcial, durante o posterior a la terminación del contrato e independiente de su gravedad, debe realizarse con plena observancia de las reglas procedimentales del artículo 86 de la Ley 1474 de 2011. Esto es así como consecuencia del “principio general de interpretación jurídica según el cual donde la norma no distingue, no le corresponde distinguir al intérprete”</w:t>
      </w:r>
      <w:r w:rsidRPr="0030751E">
        <w:rPr>
          <w:rFonts w:ascii="Verdana" w:eastAsia="Times New Roman" w:hAnsi="Verdana" w:cs="Arial"/>
          <w:vertAlign w:val="superscript"/>
          <w:lang w:eastAsia="es-ES_tradnl"/>
          <w14:ligatures w14:val="standardContextual"/>
        </w:rPr>
        <w:footnoteReference w:id="14"/>
      </w:r>
      <w:r w:rsidRPr="0030751E">
        <w:rPr>
          <w:rFonts w:ascii="Verdana" w:eastAsia="Calibri" w:hAnsi="Verdana" w:cs="Arial"/>
          <w:lang w:val="es-ES"/>
        </w:rPr>
        <w:t xml:space="preserve">. </w:t>
      </w:r>
      <w:r w:rsidRPr="0030751E">
        <w:rPr>
          <w:rFonts w:ascii="Verdana" w:eastAsia="Aptos" w:hAnsi="Verdana" w:cs="Arial"/>
          <w:lang w:eastAsia="es-MX"/>
        </w:rPr>
        <w:t>A la misma conclusión se llega si se tiene en consideración la necesidad de respetar el debido proceso en “todas las actuaciones administrativas” como lo ordena el artículo 29 superior.</w:t>
      </w:r>
    </w:p>
    <w:p w14:paraId="3091003C" w14:textId="77777777" w:rsidR="004074D3" w:rsidRPr="0030751E" w:rsidRDefault="004074D3" w:rsidP="004074D3">
      <w:pPr>
        <w:spacing w:before="120" w:after="0" w:line="276" w:lineRule="auto"/>
        <w:ind w:firstLine="709"/>
        <w:jc w:val="both"/>
        <w:rPr>
          <w:rFonts w:ascii="Verdana" w:eastAsia="Aptos" w:hAnsi="Verdana" w:cs="Arial"/>
          <w:lang w:eastAsia="es-MX"/>
        </w:rPr>
      </w:pPr>
      <w:r w:rsidRPr="0030751E">
        <w:rPr>
          <w:rFonts w:ascii="Verdana" w:eastAsia="Aptos" w:hAnsi="Verdana" w:cs="Arial"/>
          <w:lang w:eastAsia="es-MX"/>
        </w:rPr>
        <w:t>De esta forma, a las Entidades Estatales les corresponde adelantar el procedimiento sancionatorio contractual, observando las reglas dispuestas en el artículo 86 de la Ley 1474 de 2011, disposición que, en su literal a) señala que “[e]</w:t>
      </w:r>
      <w:proofErr w:type="spellStart"/>
      <w:r w:rsidRPr="0030751E">
        <w:rPr>
          <w:rFonts w:ascii="Verdana" w:eastAsia="Aptos" w:hAnsi="Verdana" w:cs="Arial"/>
          <w:lang w:eastAsia="es-MX"/>
        </w:rPr>
        <w:t>videnciando</w:t>
      </w:r>
      <w:proofErr w:type="spellEnd"/>
      <w:r w:rsidRPr="0030751E">
        <w:rPr>
          <w:rFonts w:ascii="Verdana" w:eastAsia="Aptos" w:hAnsi="Verdana" w:cs="Arial"/>
          <w:lang w:eastAsia="es-MX"/>
        </w:rPr>
        <w:t xml:space="preserve"> un posible incumplimiento de las obligaciones a cargo del contratista, la entidad pública lo citará a audiencia para debatir lo ocurrido […]”, la cual “[…] podrá tener lugar a la mayor brevedad posible, atendida la naturaliza del contrato y la periodicidad establecida para el cumplimiento de las obligaciones contractuales […]”. Sin embargo, debe precisarse que será el jefe o representante legal de la entidad, quien tendrá la obligación de adelantar el proceso sancionatorio en contra del contratista incumplido, salvo, cuando mediante la figura de la delegación para contratar señalada en el artículo 12 de la Ley 80 de 1993, este designe tal función en “los servidores públicos que </w:t>
      </w:r>
      <w:r w:rsidRPr="0030751E">
        <w:rPr>
          <w:rFonts w:ascii="Verdana" w:eastAsia="Aptos" w:hAnsi="Verdana" w:cs="Arial"/>
          <w:lang w:eastAsia="es-MX"/>
        </w:rPr>
        <w:lastRenderedPageBreak/>
        <w:t>desempeñen cargos del nivel directo o ejecutivo o sus equivalentes”. Para lo que, claramente deberán observarse las disposiciones que regulan la materia.</w:t>
      </w:r>
    </w:p>
    <w:p w14:paraId="45C2BDC9" w14:textId="77777777" w:rsidR="004074D3" w:rsidRPr="0030751E" w:rsidRDefault="004074D3" w:rsidP="004074D3">
      <w:pPr>
        <w:spacing w:before="120" w:after="0" w:line="276" w:lineRule="auto"/>
        <w:ind w:firstLine="708"/>
        <w:jc w:val="both"/>
        <w:rPr>
          <w:rFonts w:ascii="Verdana" w:eastAsia="Calibri" w:hAnsi="Verdana" w:cs="Arial"/>
        </w:rPr>
      </w:pPr>
      <w:r w:rsidRPr="0030751E">
        <w:rPr>
          <w:rFonts w:ascii="Verdana" w:eastAsia="Calibri" w:hAnsi="Verdana" w:cs="Arial"/>
        </w:rPr>
        <w:t xml:space="preserve">Finalmente, debe advertirse que el análisis requerido para resolver problemas específicos en torno a la planeación contractual, supervisión de contratos y declaratorias de incumplimientos contractuales,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5AF7A681" w14:textId="77777777" w:rsidR="004074D3" w:rsidRPr="0030751E" w:rsidRDefault="004074D3" w:rsidP="004074D3">
      <w:pPr>
        <w:spacing w:before="120" w:after="0" w:line="276" w:lineRule="auto"/>
        <w:ind w:firstLine="709"/>
        <w:jc w:val="both"/>
        <w:rPr>
          <w:rFonts w:ascii="Verdana" w:eastAsia="Calibri" w:hAnsi="Verdana" w:cs="Arial"/>
        </w:rPr>
      </w:pPr>
      <w:r w:rsidRPr="0030751E">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69BB7E93" w14:textId="77777777" w:rsidR="004074D3" w:rsidRPr="0030751E" w:rsidRDefault="004074D3" w:rsidP="004074D3">
      <w:pPr>
        <w:spacing w:after="0" w:line="276" w:lineRule="auto"/>
        <w:ind w:firstLine="709"/>
        <w:jc w:val="both"/>
        <w:rPr>
          <w:rFonts w:ascii="Verdana" w:eastAsia="Calibri" w:hAnsi="Verdana" w:cs="Arial"/>
        </w:rPr>
      </w:pPr>
    </w:p>
    <w:p w14:paraId="58F3B3D4" w14:textId="77777777" w:rsidR="004074D3" w:rsidRPr="0030751E" w:rsidRDefault="004074D3" w:rsidP="004074D3">
      <w:pPr>
        <w:widowControl w:val="0"/>
        <w:autoSpaceDE w:val="0"/>
        <w:autoSpaceDN w:val="0"/>
        <w:spacing w:before="1" w:after="0" w:line="240" w:lineRule="auto"/>
        <w:outlineLvl w:val="0"/>
        <w:rPr>
          <w:rFonts w:ascii="Verdana" w:eastAsia="Arial" w:hAnsi="Verdana" w:cs="Arial"/>
          <w:b/>
          <w:bCs/>
          <w:lang w:val="es-ES"/>
        </w:rPr>
      </w:pPr>
      <w:r w:rsidRPr="0030751E">
        <w:rPr>
          <w:rFonts w:ascii="Verdana" w:eastAsia="Arial" w:hAnsi="Verdana" w:cs="Arial"/>
          <w:b/>
          <w:bCs/>
          <w:lang w:val="es-ES"/>
        </w:rPr>
        <w:t>4.Referencias normativas, jurisprudenciales y otras fuentes:</w:t>
      </w:r>
    </w:p>
    <w:p w14:paraId="1846B179" w14:textId="77777777" w:rsidR="004074D3" w:rsidRPr="0030751E" w:rsidRDefault="004074D3" w:rsidP="004074D3">
      <w:pPr>
        <w:widowControl w:val="0"/>
        <w:autoSpaceDE w:val="0"/>
        <w:autoSpaceDN w:val="0"/>
        <w:spacing w:after="0" w:line="276" w:lineRule="auto"/>
        <w:jc w:val="both"/>
        <w:rPr>
          <w:rFonts w:ascii="Verdana" w:eastAsia="Aptos" w:hAnsi="Verdana" w:cs="Arial"/>
        </w:rPr>
      </w:pPr>
      <w:r w:rsidRPr="0030751E">
        <w:rPr>
          <w:rFonts w:ascii="Verdana" w:eastAsia="Aptos" w:hAnsi="Verdana" w:cs="Arial"/>
        </w:rPr>
        <w:tab/>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074D3" w:rsidRPr="0030751E" w14:paraId="11FC6CBA" w14:textId="77777777" w:rsidTr="00A32D40">
        <w:trPr>
          <w:trHeight w:val="870"/>
        </w:trPr>
        <w:tc>
          <w:tcPr>
            <w:tcW w:w="8647" w:type="dxa"/>
          </w:tcPr>
          <w:p w14:paraId="6B13202F" w14:textId="77777777" w:rsidR="004074D3" w:rsidRPr="0030751E" w:rsidRDefault="004074D3" w:rsidP="004074D3">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30751E">
              <w:rPr>
                <w:rFonts w:ascii="Verdana" w:eastAsia="Calibri" w:hAnsi="Verdana" w:cs="Arial"/>
                <w:lang w:val="es-ES"/>
              </w:rPr>
              <w:t>Ley 80 de 1993. Artículos 4, 5, 12, 14, 25 y 26.</w:t>
            </w:r>
          </w:p>
          <w:p w14:paraId="57C691E0" w14:textId="77777777" w:rsidR="004074D3" w:rsidRPr="0030751E" w:rsidRDefault="004074D3" w:rsidP="004074D3">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30751E">
              <w:rPr>
                <w:rFonts w:ascii="Verdana" w:eastAsia="Calibri" w:hAnsi="Verdana" w:cs="Arial"/>
                <w:lang w:val="es-ES"/>
              </w:rPr>
              <w:t>Ley 1150 de 2007. Artículo 2, Numeral 4, Literal h). Artículo 17. Artículo 21.</w:t>
            </w:r>
          </w:p>
          <w:p w14:paraId="77D7204E" w14:textId="77777777" w:rsidR="004074D3" w:rsidRPr="0030751E" w:rsidRDefault="004074D3" w:rsidP="004074D3">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30751E">
              <w:rPr>
                <w:rFonts w:ascii="Verdana" w:eastAsia="Calibri" w:hAnsi="Verdana" w:cs="Arial"/>
                <w:lang w:val="es-ES"/>
              </w:rPr>
              <w:t>Ley 1474 de 2011. Artículos 83, 84, 85 y 86.</w:t>
            </w:r>
          </w:p>
          <w:p w14:paraId="12FF39B0" w14:textId="77777777" w:rsidR="004074D3" w:rsidRPr="0030751E" w:rsidRDefault="004074D3" w:rsidP="004074D3">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30751E">
              <w:rPr>
                <w:rFonts w:ascii="Verdana" w:eastAsia="Calibri" w:hAnsi="Verdana" w:cs="Arial"/>
                <w:lang w:val="es-ES"/>
              </w:rPr>
              <w:t>Ley 489 de 1998. Artículo 9.</w:t>
            </w:r>
          </w:p>
          <w:p w14:paraId="6454D766" w14:textId="77777777" w:rsidR="004074D3" w:rsidRPr="0030751E" w:rsidRDefault="004074D3" w:rsidP="004074D3">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30751E">
              <w:rPr>
                <w:rFonts w:ascii="Verdana" w:eastAsia="Calibri" w:hAnsi="Verdana" w:cs="Arial"/>
                <w:lang w:val="es-ES"/>
              </w:rPr>
              <w:t>Decreto 1082 de 2015. Artículo 2.2.1.1.1.6.1, 2.2.1.1.2.1.1 y 2.2.1.2.1.4.9</w:t>
            </w:r>
          </w:p>
          <w:p w14:paraId="25D84251" w14:textId="77777777" w:rsidR="004074D3" w:rsidRPr="0030751E" w:rsidRDefault="004074D3" w:rsidP="004074D3">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30751E">
              <w:rPr>
                <w:rFonts w:ascii="Verdana" w:eastAsia="Calibri" w:hAnsi="Verdana" w:cs="Arial"/>
                <w:lang w:val="es-ES"/>
              </w:rPr>
              <w:t>DEIK ACOSTAMADIEDO, Carolina, Guía de Contratación Estatal: Deber de planeación y modalidades de selección, Buenos Aires, 2015, p. 59.</w:t>
            </w:r>
          </w:p>
          <w:p w14:paraId="7474E43B" w14:textId="77777777" w:rsidR="004074D3" w:rsidRPr="0030751E" w:rsidRDefault="004074D3" w:rsidP="004074D3">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30751E">
              <w:rPr>
                <w:rFonts w:ascii="Verdana" w:eastAsia="Calibri" w:hAnsi="Verdana" w:cs="Arial"/>
                <w:lang w:val="es-ES"/>
              </w:rPr>
              <w:t xml:space="preserve">Consejo de Estado, Sala de lo Contencioso Administrativo. Sección Tercera, Subsección B, 31 de agosto de 2011, </w:t>
            </w:r>
            <w:proofErr w:type="spellStart"/>
            <w:r w:rsidRPr="0030751E">
              <w:rPr>
                <w:rFonts w:ascii="Verdana" w:eastAsia="Calibri" w:hAnsi="Verdana" w:cs="Arial"/>
                <w:lang w:val="es-ES"/>
              </w:rPr>
              <w:t>exp</w:t>
            </w:r>
            <w:proofErr w:type="spellEnd"/>
            <w:r w:rsidRPr="0030751E">
              <w:rPr>
                <w:rFonts w:ascii="Verdana" w:eastAsia="Calibri" w:hAnsi="Verdana" w:cs="Arial"/>
                <w:lang w:val="es-ES"/>
              </w:rPr>
              <w:t>. 18080, C.P. Ruth Stella Correa Palacio</w:t>
            </w:r>
          </w:p>
          <w:p w14:paraId="43649E39" w14:textId="77777777" w:rsidR="004074D3" w:rsidRPr="0030751E" w:rsidRDefault="004074D3" w:rsidP="004074D3">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30751E">
              <w:rPr>
                <w:rFonts w:ascii="Verdana" w:eastAsia="Calibri" w:hAnsi="Verdana" w:cs="Arial"/>
                <w:lang w:val="es-ES"/>
              </w:rPr>
              <w:lastRenderedPageBreak/>
              <w:t xml:space="preserve">Consejo de Estado. Sección 3ª. Sentencia del 27 de noviembre de 2017. M.P. Jaime Orlando Santofimio. </w:t>
            </w:r>
            <w:proofErr w:type="spellStart"/>
            <w:r w:rsidRPr="0030751E">
              <w:rPr>
                <w:rFonts w:ascii="Verdana" w:eastAsia="Calibri" w:hAnsi="Verdana" w:cs="Arial"/>
                <w:lang w:val="es-ES"/>
              </w:rPr>
              <w:t>Exp</w:t>
            </w:r>
            <w:proofErr w:type="spellEnd"/>
            <w:r w:rsidRPr="0030751E">
              <w:rPr>
                <w:rFonts w:ascii="Verdana" w:eastAsia="Calibri" w:hAnsi="Verdana" w:cs="Arial"/>
                <w:lang w:val="es-ES"/>
              </w:rPr>
              <w:t>. 51.802</w:t>
            </w:r>
          </w:p>
          <w:p w14:paraId="0616D50A" w14:textId="77777777" w:rsidR="004074D3" w:rsidRPr="0030751E" w:rsidRDefault="004074D3" w:rsidP="004074D3">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30751E">
              <w:rPr>
                <w:rFonts w:ascii="Verdana" w:eastAsia="Calibri" w:hAnsi="Verdana" w:cs="Arial"/>
                <w:lang w:val="es-ES"/>
              </w:rPr>
              <w:t>Departamento Administrativo de la Función Pública. Concepto del 6 de mayo de 2019. Rad. 140.881.</w:t>
            </w:r>
          </w:p>
          <w:p w14:paraId="34F79C6D" w14:textId="77777777" w:rsidR="004074D3" w:rsidRPr="0030751E" w:rsidRDefault="004074D3" w:rsidP="004074D3">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30751E">
              <w:rPr>
                <w:rFonts w:ascii="Verdana" w:eastAsia="Calibri" w:hAnsi="Verdana" w:cs="Arial"/>
                <w:lang w:val="es-ES"/>
              </w:rPr>
              <w:t>Corte Constitucional. Sentencia C-317 de 2012. M.P. María Victoria Calle Correa.</w:t>
            </w:r>
          </w:p>
          <w:p w14:paraId="1A38D97E" w14:textId="77777777" w:rsidR="004074D3" w:rsidRPr="0030751E" w:rsidRDefault="004074D3" w:rsidP="004074D3">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30751E">
              <w:rPr>
                <w:rFonts w:ascii="Verdana" w:eastAsia="Calibri" w:hAnsi="Verdana" w:cs="Arial"/>
                <w:lang w:val="es-ES"/>
              </w:rPr>
              <w:t>Agencia Nacional de Contratación Pública – Colombia Compra Eficiente- Guía para la Elaboración de Estudios del Sector. Guía para el ejercicio de las funciones de supervisión e interventoría de los contratos suscritos por las Entidades Estatales.</w:t>
            </w:r>
          </w:p>
        </w:tc>
      </w:tr>
    </w:tbl>
    <w:p w14:paraId="1BE3C6A8" w14:textId="77777777" w:rsidR="004074D3" w:rsidRPr="0030751E" w:rsidRDefault="004074D3" w:rsidP="004074D3">
      <w:pPr>
        <w:widowControl w:val="0"/>
        <w:autoSpaceDE w:val="0"/>
        <w:autoSpaceDN w:val="0"/>
        <w:spacing w:after="0" w:line="276" w:lineRule="auto"/>
        <w:jc w:val="both"/>
        <w:rPr>
          <w:rFonts w:ascii="Verdana" w:eastAsia="Aptos" w:hAnsi="Verdana" w:cs="Arial"/>
        </w:rPr>
      </w:pPr>
    </w:p>
    <w:p w14:paraId="0C48DF85" w14:textId="77777777" w:rsidR="004074D3" w:rsidRPr="0030751E" w:rsidRDefault="004074D3" w:rsidP="004074D3">
      <w:pPr>
        <w:widowControl w:val="0"/>
        <w:autoSpaceDE w:val="0"/>
        <w:autoSpaceDN w:val="0"/>
        <w:spacing w:before="1" w:after="0" w:line="276" w:lineRule="auto"/>
        <w:outlineLvl w:val="0"/>
        <w:rPr>
          <w:rFonts w:ascii="Verdana" w:eastAsia="Arial" w:hAnsi="Verdana" w:cs="Arial"/>
          <w:b/>
          <w:bCs/>
          <w:lang w:val="es-ES"/>
        </w:rPr>
      </w:pPr>
      <w:r w:rsidRPr="0030751E">
        <w:rPr>
          <w:rFonts w:ascii="Verdana" w:eastAsia="Arial" w:hAnsi="Verdana" w:cs="Arial"/>
          <w:b/>
          <w:bCs/>
          <w:lang w:val="es-ES"/>
        </w:rPr>
        <w:t>5. Doctrina de la Agencia Nacional de Contratación Pública:</w:t>
      </w:r>
    </w:p>
    <w:p w14:paraId="62B3A58A" w14:textId="77777777" w:rsidR="004074D3" w:rsidRPr="0030751E" w:rsidRDefault="004074D3" w:rsidP="004074D3">
      <w:pPr>
        <w:widowControl w:val="0"/>
        <w:autoSpaceDE w:val="0"/>
        <w:autoSpaceDN w:val="0"/>
        <w:spacing w:after="0" w:line="276" w:lineRule="auto"/>
        <w:jc w:val="both"/>
        <w:rPr>
          <w:rFonts w:ascii="Verdana" w:eastAsia="Aptos" w:hAnsi="Verdana" w:cs="Arial"/>
        </w:rPr>
      </w:pPr>
    </w:p>
    <w:p w14:paraId="20E29020" w14:textId="77777777" w:rsidR="004074D3" w:rsidRPr="0030751E" w:rsidRDefault="004074D3" w:rsidP="004074D3">
      <w:pPr>
        <w:widowControl w:val="0"/>
        <w:autoSpaceDE w:val="0"/>
        <w:autoSpaceDN w:val="0"/>
        <w:spacing w:after="0" w:line="276" w:lineRule="auto"/>
        <w:jc w:val="both"/>
        <w:rPr>
          <w:rFonts w:ascii="Verdana" w:eastAsia="Aptos" w:hAnsi="Verdana" w:cs="Arial"/>
          <w:shd w:val="clear" w:color="auto" w:fill="FFFFFF"/>
          <w:lang w:val="es-ES"/>
        </w:rPr>
      </w:pPr>
      <w:r w:rsidRPr="0030751E">
        <w:rPr>
          <w:rFonts w:ascii="Verdana" w:eastAsia="Calibri" w:hAnsi="Verdana" w:cs="Arial"/>
          <w:bCs/>
          <w:shd w:val="clear" w:color="auto" w:fill="FFFFFF"/>
        </w:rPr>
        <w:t>La Agencia Nacional de Contratación Pública – Colombia Compra Eficiente estudió regulación de los estudios previos, en los conceptos C-148 de 2021, C-215 del 12 de mayo de 2021, C-418 del 18 de agosto de 2021, C-603 del 02 de noviembre de 2021, C-742 del 27 de diciembre de 2021, C-017 del 22 de febrero de 2022, C-043 del 01 de marzo del 2022, C- 069 del 30 marzo de 2022, entre otros. Asimismo, se ha pronunciado sobre el régimen jurídico de los contratos de arrendamiento en los Conceptos C-646 del 22 de noviembre de 2021, C-214 del 22 de abril de 2022, C-1450 del 15 de noviembre de 2025, entre otros</w:t>
      </w:r>
      <w:r w:rsidRPr="0030751E">
        <w:rPr>
          <w:rFonts w:ascii="Verdana" w:eastAsia="Calibri" w:hAnsi="Verdana" w:cs="Arial"/>
          <w:bCs/>
          <w:shd w:val="clear" w:color="auto" w:fill="FFFFFF"/>
          <w:lang w:val="es-ES"/>
        </w:rPr>
        <w:t>. Igualmente, se manifestó respecto de obligación de controlar y vigilar la ejecución de los contratos estatales, en los conceptos</w:t>
      </w:r>
      <w:r w:rsidRPr="0030751E">
        <w:rPr>
          <w:rFonts w:ascii="Aptos" w:eastAsia="Aptos" w:hAnsi="Aptos" w:cs="Arial"/>
        </w:rPr>
        <w:t xml:space="preserve"> </w:t>
      </w:r>
      <w:r w:rsidRPr="0030751E">
        <w:rPr>
          <w:rFonts w:ascii="Verdana" w:eastAsia="Calibri" w:hAnsi="Verdana" w:cs="Arial"/>
          <w:bCs/>
          <w:shd w:val="clear" w:color="auto" w:fill="FFFFFF"/>
          <w:lang w:val="es-ES"/>
        </w:rPr>
        <w:t xml:space="preserve">C-650 del 27 de septiembre de 2022, C-679 de 24 de octubre de 2022, C-818 del 28 de noviembre de 2022, C-830 de 28 de noviembre de 2022, C-800 de 29 de noviembre de 2022, C-930 de 30 de diciembre de 2022, C-932 de 30 de diciembre de 2022, C-975 de 8 de marzo de 2032, C-191 de 27 de abril de 2023, C-089 de 2024 de 17 de julio de 2024, C-255 de 14 de agosto de 2024, C-882 del 14 de agosto de 2025. En tal sentido, recoge los conceptos expuestos, sin perjuicio de otras consideraciones. </w:t>
      </w:r>
      <w:r w:rsidRPr="0030751E">
        <w:rPr>
          <w:rFonts w:ascii="Verdana" w:eastAsia="Aptos" w:hAnsi="Verdana" w:cs="Arial"/>
          <w:shd w:val="clear" w:color="auto" w:fill="FFFFFF"/>
          <w:lang w:val="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Pr="0030751E">
          <w:rPr>
            <w:rFonts w:ascii="Verdana" w:eastAsia="Aptos" w:hAnsi="Verdana" w:cs="Arial"/>
            <w:color w:val="0000FF"/>
            <w:u w:val="single"/>
            <w:shd w:val="clear" w:color="auto" w:fill="FFFFFF"/>
            <w:lang w:val="es-ES"/>
          </w:rPr>
          <w:t>https://relatoria.colombiacompra.gov.co/</w:t>
        </w:r>
      </w:hyperlink>
      <w:r w:rsidRPr="0030751E">
        <w:rPr>
          <w:rFonts w:ascii="Verdana" w:eastAsia="Aptos" w:hAnsi="Verdana" w:cs="Arial"/>
          <w:shd w:val="clear" w:color="auto" w:fill="FFFFFF"/>
          <w:lang w:val="es-ES"/>
        </w:rPr>
        <w:t xml:space="preserve">. </w:t>
      </w:r>
    </w:p>
    <w:p w14:paraId="2EBFF22B" w14:textId="77777777" w:rsidR="004074D3" w:rsidRPr="0030751E" w:rsidRDefault="004074D3" w:rsidP="004074D3">
      <w:pPr>
        <w:spacing w:before="120" w:after="120" w:line="276" w:lineRule="auto"/>
        <w:ind w:firstLine="709"/>
        <w:jc w:val="both"/>
        <w:rPr>
          <w:rFonts w:ascii="Verdana" w:eastAsia="Aptos" w:hAnsi="Verdana" w:cs="Times New Roman"/>
        </w:rPr>
      </w:pPr>
      <w:r w:rsidRPr="0030751E">
        <w:rPr>
          <w:rFonts w:ascii="Verdana" w:eastAsia="Aptos" w:hAnsi="Verdana" w:cs="Times New Roman"/>
        </w:rPr>
        <w:lastRenderedPageBreak/>
        <w:t xml:space="preserve">La sostenibilidad no es una opción, es una obligación. Por ello, la Agencia Nacional de Contratación Pública –Colombia Compra Eficiente– te invita a realizar el </w:t>
      </w:r>
      <w:r w:rsidRPr="0030751E">
        <w:rPr>
          <w:rFonts w:ascii="Verdana" w:eastAsia="Aptos" w:hAnsi="Verdana" w:cs="Times New Roman"/>
          <w:b/>
          <w:bCs/>
        </w:rPr>
        <w:t>Curso de Contratación Pública Sostenible y Socialmente Responsable</w:t>
      </w:r>
      <w:r w:rsidRPr="0030751E">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30751E">
        <w:rPr>
          <w:rFonts w:ascii="Verdana" w:eastAsia="Aptos" w:hAnsi="Verdana" w:cs="Times New Roman"/>
        </w:rPr>
        <w:br/>
      </w:r>
      <w:hyperlink r:id="rId13" w:tgtFrame="_new" w:history="1">
        <w:r w:rsidRPr="0030751E">
          <w:rPr>
            <w:rFonts w:ascii="Verdana" w:eastAsia="Aptos" w:hAnsi="Verdana" w:cs="Times New Roman"/>
            <w:color w:val="0000FF"/>
            <w:u w:val="single"/>
          </w:rPr>
          <w:t>https://formacionvirtual.colombiacompra.gov.co/mod/page/view.php?id=3718</w:t>
        </w:r>
      </w:hyperlink>
    </w:p>
    <w:p w14:paraId="14BA2D98" w14:textId="77777777" w:rsidR="004074D3" w:rsidRPr="0030751E" w:rsidRDefault="004074D3" w:rsidP="004074D3">
      <w:pPr>
        <w:spacing w:line="276" w:lineRule="auto"/>
        <w:ind w:firstLine="708"/>
        <w:jc w:val="both"/>
        <w:rPr>
          <w:rFonts w:ascii="Verdana" w:eastAsia="Aptos" w:hAnsi="Verdana" w:cs="Times New Roman"/>
        </w:rPr>
      </w:pPr>
      <w:r w:rsidRPr="0030751E">
        <w:rPr>
          <w:rFonts w:ascii="Verdana" w:eastAsia="Aptos" w:hAnsi="Verdana" w:cs="Times New Roman"/>
        </w:rPr>
        <w:t xml:space="preserve">De otro lado, te contamos que esta Agencia ha da un paso decisivo en la estandarización y modernización del </w:t>
      </w:r>
      <w:r w:rsidRPr="0030751E">
        <w:rPr>
          <w:rFonts w:ascii="Verdana" w:eastAsia="Aptos" w:hAnsi="Verdana" w:cs="Times New Roman"/>
          <w:b/>
          <w:bCs/>
        </w:rPr>
        <w:t>sector  social</w:t>
      </w:r>
      <w:r w:rsidRPr="0030751E">
        <w:rPr>
          <w:rFonts w:ascii="Verdana" w:eastAsia="Aptos" w:hAnsi="Verdana" w:cs="Times New Roman"/>
        </w:rPr>
        <w:t xml:space="preserve"> con la expedición de las </w:t>
      </w:r>
      <w:r w:rsidRPr="0030751E">
        <w:rPr>
          <w:rFonts w:ascii="Verdana" w:eastAsia="Aptos" w:hAnsi="Verdana" w:cs="Times New Roman"/>
          <w:b/>
          <w:bCs/>
        </w:rPr>
        <w:t>Resoluciones 539, 540, 541, 952 y 953 de 2025</w:t>
      </w:r>
      <w:r w:rsidRPr="0030751E">
        <w:rPr>
          <w:rFonts w:ascii="Verdana" w:eastAsia="Aptos" w:hAnsi="Verdana" w:cs="Times New Roman"/>
        </w:rPr>
        <w:t xml:space="preserve">, </w:t>
      </w:r>
      <w:r w:rsidRPr="0030751E">
        <w:rPr>
          <w:rFonts w:ascii="Verdana" w:eastAsia="Aptos" w:hAnsi="Verdana" w:cs="Times New Roman"/>
          <w:b/>
          <w:bCs/>
        </w:rPr>
        <w:t>mediante las cuales adoptó Documentos Tipo</w:t>
      </w:r>
      <w:r w:rsidRPr="0030751E">
        <w:rPr>
          <w:rFonts w:ascii="Verdana" w:eastAsia="Aptos" w:hAnsi="Verdana" w:cs="Times New Roman"/>
        </w:rPr>
        <w:t xml:space="preserve"> para las modalidades de selección de</w:t>
      </w:r>
      <w:r w:rsidRPr="0030751E">
        <w:rPr>
          <w:rFonts w:ascii="Verdana" w:eastAsia="Aptos" w:hAnsi="Verdana" w:cs="Times New Roman"/>
          <w:b/>
          <w:bCs/>
        </w:rPr>
        <w:t xml:space="preserve"> licitación pública (versión 2), selección abreviada de menor cuantía, mínima cuantía, consultoría e interventoría</w:t>
      </w:r>
      <w:r w:rsidRPr="0030751E">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30751E">
          <w:rPr>
            <w:rFonts w:ascii="Verdana" w:eastAsia="Aptos" w:hAnsi="Verdana" w:cs="Times New Roman"/>
            <w:color w:val="0000FF"/>
            <w:u w:val="single"/>
          </w:rPr>
          <w:t>https://www.colombiacompra.gov.co/normativa-y-relatoria/documentos-tipo</w:t>
        </w:r>
      </w:hyperlink>
    </w:p>
    <w:p w14:paraId="4573EF1E" w14:textId="77777777" w:rsidR="004074D3" w:rsidRPr="0030751E" w:rsidRDefault="004074D3" w:rsidP="004074D3">
      <w:pPr>
        <w:spacing w:after="0" w:line="276" w:lineRule="auto"/>
        <w:ind w:firstLine="708"/>
        <w:jc w:val="both"/>
        <w:rPr>
          <w:rFonts w:ascii="Verdana" w:eastAsia="Aptos" w:hAnsi="Verdana" w:cs="Times New Roman"/>
        </w:rPr>
      </w:pPr>
      <w:r w:rsidRPr="0030751E">
        <w:rPr>
          <w:rFonts w:ascii="Verdana" w:eastAsia="Aptos" w:hAnsi="Verdana" w:cs="Times New Roman"/>
        </w:rPr>
        <w:t xml:space="preserve">Si quieres conocer más sobre la aplicación de Documentos Tipo puedes consultar la última versión de la </w:t>
      </w:r>
      <w:r w:rsidRPr="0030751E">
        <w:rPr>
          <w:rFonts w:ascii="Verdana" w:eastAsia="Aptos" w:hAnsi="Verdana" w:cs="Times New Roman"/>
          <w:b/>
          <w:bCs/>
        </w:rPr>
        <w:t>Guía para la comprensión e implementación de los Documentos Tipo de obra pública de infraestructura de transporte</w:t>
      </w:r>
      <w:r w:rsidRPr="0030751E">
        <w:rPr>
          <w:rFonts w:ascii="Verdana" w:eastAsia="Aptos"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30751E">
        <w:rPr>
          <w:rFonts w:ascii="Verdana" w:eastAsia="Aptos" w:hAnsi="Verdana" w:cs="Times New Roman"/>
        </w:rPr>
        <w:br/>
      </w:r>
      <w:hyperlink r:id="rId15" w:tgtFrame="_new" w:history="1">
        <w:r w:rsidRPr="0030751E">
          <w:rPr>
            <w:rFonts w:ascii="Verdana" w:eastAsia="Aptos"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0BA93602" w14:textId="77777777" w:rsidR="004074D3" w:rsidRPr="0030751E" w:rsidRDefault="004074D3" w:rsidP="004074D3">
      <w:pPr>
        <w:spacing w:before="120" w:after="0" w:line="276" w:lineRule="auto"/>
        <w:ind w:firstLine="708"/>
        <w:jc w:val="both"/>
        <w:rPr>
          <w:rFonts w:ascii="Verdana" w:eastAsia="Aptos" w:hAnsi="Verdana" w:cs="Times New Roman"/>
        </w:rPr>
      </w:pPr>
      <w:r w:rsidRPr="0030751E">
        <w:rPr>
          <w:rFonts w:ascii="Verdana" w:eastAsia="Aptos" w:hAnsi="Verdana" w:cs="Times New Roman"/>
        </w:rPr>
        <w:t xml:space="preserve">Por último, lo invitamos a seguirnos en las redes sociales en las cuales se difunde información institucional: </w:t>
      </w:r>
    </w:p>
    <w:p w14:paraId="7589919D" w14:textId="77777777" w:rsidR="004074D3" w:rsidRPr="0030751E" w:rsidRDefault="004074D3" w:rsidP="004074D3">
      <w:pPr>
        <w:spacing w:after="0" w:line="276" w:lineRule="auto"/>
        <w:jc w:val="both"/>
        <w:rPr>
          <w:rFonts w:ascii="Verdana" w:eastAsia="Aptos" w:hAnsi="Verdana" w:cs="Times New Roman"/>
        </w:rPr>
      </w:pPr>
    </w:p>
    <w:p w14:paraId="39A4184A" w14:textId="77777777" w:rsidR="004074D3" w:rsidRPr="0030751E" w:rsidRDefault="004074D3" w:rsidP="004074D3">
      <w:pPr>
        <w:spacing w:after="0" w:line="276" w:lineRule="auto"/>
        <w:jc w:val="both"/>
        <w:rPr>
          <w:rFonts w:ascii="Verdana" w:eastAsia="Aptos" w:hAnsi="Verdana" w:cs="Times New Roman"/>
        </w:rPr>
      </w:pPr>
      <w:r w:rsidRPr="0030751E">
        <w:rPr>
          <w:rFonts w:ascii="Verdana" w:eastAsia="Aptos" w:hAnsi="Verdana" w:cs="Times New Roman"/>
        </w:rPr>
        <w:t xml:space="preserve">Twitter: </w:t>
      </w:r>
      <w:r w:rsidRPr="0030751E">
        <w:rPr>
          <w:rFonts w:ascii="Verdana" w:eastAsia="Aptos" w:hAnsi="Verdana" w:cs="Arial"/>
          <w:color w:val="0000FF"/>
          <w:u w:val="single"/>
          <w:shd w:val="clear" w:color="auto" w:fill="FFFFFF"/>
          <w:lang w:val="es-ES"/>
        </w:rPr>
        <w:t>@colombiacompra</w:t>
      </w:r>
      <w:r w:rsidRPr="0030751E">
        <w:rPr>
          <w:rFonts w:ascii="Verdana" w:eastAsia="Aptos" w:hAnsi="Verdana" w:cs="Times New Roman"/>
          <w:color w:val="156082"/>
        </w:rPr>
        <w:t xml:space="preserve"> </w:t>
      </w:r>
    </w:p>
    <w:p w14:paraId="6744AA38" w14:textId="77777777" w:rsidR="004074D3" w:rsidRPr="0030751E" w:rsidRDefault="004074D3" w:rsidP="004074D3">
      <w:pPr>
        <w:spacing w:after="0" w:line="276" w:lineRule="auto"/>
        <w:jc w:val="both"/>
        <w:rPr>
          <w:rFonts w:ascii="Verdana" w:eastAsia="Aptos" w:hAnsi="Verdana" w:cs="Times New Roman"/>
        </w:rPr>
      </w:pPr>
      <w:r w:rsidRPr="0030751E">
        <w:rPr>
          <w:rFonts w:ascii="Verdana" w:eastAsia="Aptos" w:hAnsi="Verdana" w:cs="Times New Roman"/>
        </w:rPr>
        <w:lastRenderedPageBreak/>
        <w:t xml:space="preserve">Facebook: </w:t>
      </w:r>
      <w:proofErr w:type="spellStart"/>
      <w:r w:rsidRPr="0030751E">
        <w:rPr>
          <w:rFonts w:ascii="Verdana" w:eastAsia="Aptos" w:hAnsi="Verdana" w:cs="Arial"/>
          <w:color w:val="0000FF"/>
          <w:u w:val="single"/>
          <w:shd w:val="clear" w:color="auto" w:fill="FFFFFF"/>
          <w:lang w:val="es-ES"/>
        </w:rPr>
        <w:t>ColombiaCompraEficiente</w:t>
      </w:r>
      <w:proofErr w:type="spellEnd"/>
    </w:p>
    <w:p w14:paraId="5043104B" w14:textId="77777777" w:rsidR="004074D3" w:rsidRPr="0030751E" w:rsidRDefault="004074D3" w:rsidP="004074D3">
      <w:pPr>
        <w:spacing w:after="0" w:line="276" w:lineRule="auto"/>
        <w:jc w:val="both"/>
        <w:rPr>
          <w:rFonts w:ascii="Verdana" w:eastAsia="Aptos" w:hAnsi="Verdana" w:cs="Times New Roman"/>
        </w:rPr>
      </w:pPr>
      <w:r w:rsidRPr="0030751E">
        <w:rPr>
          <w:rFonts w:ascii="Verdana" w:eastAsia="Aptos" w:hAnsi="Verdana" w:cs="Times New Roman"/>
        </w:rPr>
        <w:t xml:space="preserve">LinkedIn: </w:t>
      </w:r>
      <w:r w:rsidRPr="0030751E">
        <w:rPr>
          <w:rFonts w:ascii="Verdana" w:eastAsia="Aptos" w:hAnsi="Verdana" w:cs="Arial"/>
          <w:color w:val="0000FF"/>
          <w:u w:val="single"/>
          <w:shd w:val="clear" w:color="auto" w:fill="FFFFFF"/>
          <w:lang w:val="es-ES"/>
        </w:rPr>
        <w:t>Agencia Nacional de Contratación Pública - Colombia Compra Eficiente</w:t>
      </w:r>
      <w:r w:rsidRPr="0030751E">
        <w:rPr>
          <w:rFonts w:ascii="Verdana" w:eastAsia="Aptos" w:hAnsi="Verdana" w:cs="Times New Roman"/>
          <w:color w:val="156082"/>
        </w:rPr>
        <w:t xml:space="preserve"> </w:t>
      </w:r>
      <w:r w:rsidRPr="0030751E">
        <w:rPr>
          <w:rFonts w:ascii="Verdana" w:eastAsia="Aptos" w:hAnsi="Verdana" w:cs="Times New Roman"/>
        </w:rPr>
        <w:t xml:space="preserve">Instagram: </w:t>
      </w:r>
      <w:r w:rsidRPr="0030751E">
        <w:rPr>
          <w:rFonts w:ascii="Verdana" w:eastAsia="Aptos" w:hAnsi="Verdana" w:cs="Arial"/>
          <w:color w:val="0000FF"/>
          <w:u w:val="single"/>
          <w:shd w:val="clear" w:color="auto" w:fill="FFFFFF"/>
          <w:lang w:val="es-ES"/>
        </w:rPr>
        <w:t>@colombiacompraeficiente_cce</w:t>
      </w:r>
    </w:p>
    <w:p w14:paraId="37D4E0F1" w14:textId="77777777" w:rsidR="004074D3" w:rsidRPr="0030751E" w:rsidRDefault="004074D3" w:rsidP="004074D3">
      <w:pPr>
        <w:widowControl w:val="0"/>
        <w:autoSpaceDE w:val="0"/>
        <w:autoSpaceDN w:val="0"/>
        <w:spacing w:after="0" w:line="276" w:lineRule="auto"/>
        <w:jc w:val="both"/>
        <w:rPr>
          <w:rFonts w:ascii="Verdana" w:eastAsia="Aptos" w:hAnsi="Verdana" w:cs="Arial"/>
        </w:rPr>
      </w:pPr>
    </w:p>
    <w:p w14:paraId="7CC65344" w14:textId="77777777" w:rsidR="004074D3" w:rsidRPr="0030751E" w:rsidRDefault="004074D3" w:rsidP="004074D3">
      <w:pPr>
        <w:widowControl w:val="0"/>
        <w:autoSpaceDE w:val="0"/>
        <w:autoSpaceDN w:val="0"/>
        <w:spacing w:after="0" w:line="276" w:lineRule="auto"/>
        <w:jc w:val="both"/>
        <w:rPr>
          <w:rFonts w:ascii="Verdana" w:eastAsia="Aptos" w:hAnsi="Verdana" w:cs="Arial"/>
          <w:lang w:val="es-ES_tradnl"/>
        </w:rPr>
      </w:pPr>
      <w:r w:rsidRPr="0030751E">
        <w:rPr>
          <w:rFonts w:ascii="Verdana" w:eastAsia="Aptos" w:hAnsi="Verdana" w:cs="Arial"/>
        </w:rPr>
        <w:t xml:space="preserve">Este concepto tiene el alcance previsto en el artículo 28 del Código de Procedimiento Administrativo y de lo Contencioso Administrativo </w:t>
      </w:r>
      <w:r w:rsidRPr="0030751E">
        <w:rPr>
          <w:rFonts w:ascii="Verdana" w:eastAsia="Aptos" w:hAnsi="Verdana" w:cs="Arial"/>
          <w:lang w:val="es-ES_tradnl"/>
        </w:rPr>
        <w:t>y las expresiones aquí utilizadas con mayúscula inicial deben ser entendidas con el significado que les otorga el artículo 2.2.1.1.1.3.1. del Decreto 1082 de 2015.</w:t>
      </w:r>
    </w:p>
    <w:p w14:paraId="5F75501C" w14:textId="77777777" w:rsidR="004074D3" w:rsidRPr="0030751E" w:rsidRDefault="004074D3" w:rsidP="004074D3">
      <w:pPr>
        <w:widowControl w:val="0"/>
        <w:autoSpaceDE w:val="0"/>
        <w:autoSpaceDN w:val="0"/>
        <w:spacing w:after="0" w:line="276" w:lineRule="auto"/>
        <w:jc w:val="both"/>
        <w:rPr>
          <w:rFonts w:ascii="Verdana" w:eastAsia="Aptos" w:hAnsi="Verdana" w:cs="Arial"/>
        </w:rPr>
      </w:pPr>
    </w:p>
    <w:p w14:paraId="328F3E7B" w14:textId="77777777" w:rsidR="004074D3" w:rsidRPr="0030751E" w:rsidRDefault="004074D3" w:rsidP="004074D3">
      <w:pPr>
        <w:spacing w:after="0" w:line="276" w:lineRule="auto"/>
        <w:rPr>
          <w:rFonts w:ascii="Verdana" w:eastAsia="Aptos" w:hAnsi="Verdana" w:cs="Arial"/>
          <w:lang w:eastAsia="es-CO"/>
        </w:rPr>
      </w:pPr>
      <w:r w:rsidRPr="0030751E">
        <w:rPr>
          <w:rFonts w:ascii="Verdana" w:eastAsia="Times New Roman" w:hAnsi="Verdana" w:cs="Arial"/>
          <w:lang w:eastAsia="es-CO"/>
        </w:rPr>
        <w:t>Atentamente,</w:t>
      </w:r>
      <w:r w:rsidRPr="0030751E">
        <w:rPr>
          <w:rFonts w:ascii="Verdana" w:eastAsia="Aptos" w:hAnsi="Verdana" w:cs="Arial"/>
          <w:lang w:eastAsia="es-CO"/>
        </w:rPr>
        <w:t xml:space="preserve"> </w:t>
      </w:r>
    </w:p>
    <w:p w14:paraId="3C5CB546" w14:textId="77777777" w:rsidR="004074D3" w:rsidRDefault="004074D3" w:rsidP="004074D3">
      <w:pPr>
        <w:spacing w:after="0" w:line="276" w:lineRule="auto"/>
        <w:jc w:val="center"/>
        <w:rPr>
          <w:rFonts w:ascii="Verdana" w:eastAsia="Aptos" w:hAnsi="Verdana" w:cs="Arial"/>
          <w:lang w:val="es-ES_tradnl" w:eastAsia="es-CO"/>
        </w:rPr>
      </w:pPr>
    </w:p>
    <w:p w14:paraId="7047C8A8" w14:textId="0CE9C188" w:rsidR="004D42FE" w:rsidRPr="0030751E" w:rsidRDefault="004D42FE" w:rsidP="004074D3">
      <w:pPr>
        <w:spacing w:after="0" w:line="276" w:lineRule="auto"/>
        <w:jc w:val="center"/>
        <w:rPr>
          <w:rFonts w:ascii="Verdana" w:eastAsia="Aptos" w:hAnsi="Verdana" w:cs="Arial"/>
          <w:lang w:val="es-ES_tradnl" w:eastAsia="es-CO"/>
        </w:rPr>
      </w:pPr>
      <w:r>
        <w:rPr>
          <w:noProof/>
        </w:rPr>
        <w:drawing>
          <wp:inline distT="0" distB="0" distL="0" distR="0" wp14:anchorId="7EB2327A" wp14:editId="15477BBE">
            <wp:extent cx="3774440" cy="1414145"/>
            <wp:effectExtent l="0" t="0" r="0" b="0"/>
            <wp:docPr id="1425818187"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74440" cy="1414145"/>
                    </a:xfrm>
                    <a:prstGeom prst="rect">
                      <a:avLst/>
                    </a:prstGeom>
                    <a:noFill/>
                    <a:ln>
                      <a:noFill/>
                    </a:ln>
                  </pic:spPr>
                </pic:pic>
              </a:graphicData>
            </a:graphic>
          </wp:inline>
        </w:drawing>
      </w:r>
    </w:p>
    <w:p w14:paraId="4BA307EF" w14:textId="53DC4C83" w:rsidR="004074D3" w:rsidRPr="0030751E" w:rsidRDefault="004074D3" w:rsidP="004074D3">
      <w:pPr>
        <w:spacing w:after="0" w:line="276" w:lineRule="auto"/>
        <w:jc w:val="center"/>
        <w:rPr>
          <w:rFonts w:ascii="Verdana" w:eastAsia="Aptos" w:hAnsi="Verdana" w:cs="Arial"/>
          <w:lang w:val="es-ES_tradnl" w:eastAsia="es-CO"/>
        </w:rPr>
      </w:pP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4074D3" w:rsidRPr="0030751E" w14:paraId="7D677B96" w14:textId="77777777" w:rsidTr="00A32D40">
        <w:trPr>
          <w:trHeight w:val="286"/>
        </w:trPr>
        <w:tc>
          <w:tcPr>
            <w:tcW w:w="901" w:type="dxa"/>
            <w:vAlign w:val="center"/>
            <w:hideMark/>
          </w:tcPr>
          <w:p w14:paraId="48743CEE" w14:textId="77777777" w:rsidR="004074D3" w:rsidRPr="0030751E" w:rsidRDefault="004074D3" w:rsidP="00A32D40">
            <w:pPr>
              <w:rPr>
                <w:rFonts w:ascii="Verdana" w:eastAsia="Aptos" w:hAnsi="Verdana" w:cs="Arial"/>
                <w:sz w:val="14"/>
                <w:szCs w:val="14"/>
                <w:lang w:eastAsia="es-ES"/>
              </w:rPr>
            </w:pPr>
            <w:r w:rsidRPr="0030751E">
              <w:rPr>
                <w:rFonts w:ascii="Verdana" w:eastAsia="Aptos" w:hAnsi="Verdana" w:cs="Arial"/>
                <w:sz w:val="14"/>
                <w:szCs w:val="14"/>
                <w:lang w:eastAsia="es-ES"/>
              </w:rPr>
              <w:t>Elaboró:</w:t>
            </w:r>
          </w:p>
        </w:tc>
        <w:tc>
          <w:tcPr>
            <w:tcW w:w="4344" w:type="dxa"/>
            <w:tcBorders>
              <w:top w:val="nil"/>
              <w:left w:val="nil"/>
              <w:bottom w:val="dotted" w:sz="4" w:space="0" w:color="7F7F7F"/>
              <w:right w:val="nil"/>
            </w:tcBorders>
            <w:vAlign w:val="center"/>
            <w:hideMark/>
          </w:tcPr>
          <w:p w14:paraId="2E525FE3" w14:textId="77777777" w:rsidR="004074D3" w:rsidRPr="0030751E" w:rsidRDefault="004074D3" w:rsidP="00A32D40">
            <w:pPr>
              <w:rPr>
                <w:rFonts w:ascii="Verdana" w:eastAsia="Aptos" w:hAnsi="Verdana" w:cs="Arial"/>
                <w:sz w:val="14"/>
                <w:szCs w:val="14"/>
                <w:lang w:eastAsia="es-ES"/>
              </w:rPr>
            </w:pPr>
            <w:r w:rsidRPr="0030751E">
              <w:rPr>
                <w:rFonts w:ascii="Verdana" w:eastAsia="Aptos" w:hAnsi="Verdana" w:cs="Arial"/>
                <w:sz w:val="14"/>
                <w:szCs w:val="14"/>
                <w:lang w:eastAsia="es-ES"/>
              </w:rPr>
              <w:t>Nasly Yeana Mosquera Rivas</w:t>
            </w:r>
          </w:p>
          <w:p w14:paraId="293550BF" w14:textId="77777777" w:rsidR="004074D3" w:rsidRPr="0030751E" w:rsidRDefault="004074D3" w:rsidP="00A32D40">
            <w:pPr>
              <w:rPr>
                <w:rFonts w:ascii="Verdana" w:eastAsia="Aptos" w:hAnsi="Verdana" w:cs="Arial"/>
                <w:sz w:val="14"/>
                <w:szCs w:val="14"/>
                <w:lang w:eastAsia="es-ES"/>
              </w:rPr>
            </w:pPr>
            <w:r w:rsidRPr="0030751E">
              <w:rPr>
                <w:rFonts w:ascii="Verdana" w:eastAsia="Aptos" w:hAnsi="Verdana" w:cs="Arial"/>
                <w:sz w:val="14"/>
                <w:szCs w:val="14"/>
                <w:lang w:eastAsia="es-ES"/>
              </w:rPr>
              <w:t>Analista T2–06 de la Subdirección de Gestión Contractual</w:t>
            </w:r>
          </w:p>
        </w:tc>
      </w:tr>
      <w:tr w:rsidR="004074D3" w:rsidRPr="0030751E" w14:paraId="27F88FE5" w14:textId="77777777" w:rsidTr="00A32D40">
        <w:trPr>
          <w:trHeight w:val="299"/>
        </w:trPr>
        <w:tc>
          <w:tcPr>
            <w:tcW w:w="901" w:type="dxa"/>
            <w:vAlign w:val="center"/>
          </w:tcPr>
          <w:p w14:paraId="05FD1F49" w14:textId="77777777" w:rsidR="004074D3" w:rsidRPr="0030751E" w:rsidRDefault="004074D3" w:rsidP="00A32D40">
            <w:pPr>
              <w:rPr>
                <w:rFonts w:ascii="Verdana" w:eastAsia="Aptos" w:hAnsi="Verdana" w:cs="Arial"/>
                <w:sz w:val="14"/>
                <w:szCs w:val="14"/>
                <w:lang w:eastAsia="es-ES"/>
              </w:rPr>
            </w:pPr>
            <w:r w:rsidRPr="0030751E">
              <w:rPr>
                <w:rFonts w:ascii="Verdana" w:eastAsia="Aptos"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5AA5D550" w14:textId="77777777" w:rsidR="004074D3" w:rsidRPr="0030751E" w:rsidRDefault="004074D3" w:rsidP="00A32D40">
            <w:pPr>
              <w:rPr>
                <w:rFonts w:ascii="Verdana" w:eastAsia="Aptos" w:hAnsi="Verdana" w:cs="Arial"/>
                <w:sz w:val="14"/>
                <w:szCs w:val="14"/>
                <w:lang w:eastAsia="es-ES"/>
              </w:rPr>
            </w:pPr>
            <w:r w:rsidRPr="0030751E">
              <w:rPr>
                <w:rFonts w:ascii="Verdana" w:eastAsia="Aptos" w:hAnsi="Verdana" w:cs="Arial"/>
                <w:sz w:val="14"/>
                <w:szCs w:val="14"/>
                <w:lang w:eastAsia="es-ES"/>
              </w:rPr>
              <w:t xml:space="preserve">Adriana Katerine López RODRÍGUEZ </w:t>
            </w:r>
          </w:p>
          <w:p w14:paraId="26F534D5" w14:textId="77777777" w:rsidR="004074D3" w:rsidRPr="0030751E" w:rsidRDefault="004074D3" w:rsidP="00A32D40">
            <w:pPr>
              <w:rPr>
                <w:rFonts w:ascii="Verdana" w:eastAsia="Aptos" w:hAnsi="Verdana" w:cs="Arial"/>
                <w:sz w:val="14"/>
                <w:szCs w:val="14"/>
                <w:lang w:eastAsia="es-ES"/>
              </w:rPr>
            </w:pPr>
            <w:r w:rsidRPr="0030751E">
              <w:rPr>
                <w:rFonts w:ascii="Verdana" w:eastAsia="Aptos" w:hAnsi="Verdana" w:cs="Arial"/>
                <w:sz w:val="14"/>
                <w:szCs w:val="14"/>
                <w:lang w:eastAsia="es-ES"/>
              </w:rPr>
              <w:t>Contratista de la Subdirección de Gestión Contractual</w:t>
            </w:r>
          </w:p>
        </w:tc>
      </w:tr>
      <w:tr w:rsidR="004074D3" w:rsidRPr="0030751E" w14:paraId="110FA2B3" w14:textId="77777777" w:rsidTr="00A32D40">
        <w:trPr>
          <w:trHeight w:val="272"/>
        </w:trPr>
        <w:tc>
          <w:tcPr>
            <w:tcW w:w="901" w:type="dxa"/>
            <w:vAlign w:val="center"/>
            <w:hideMark/>
          </w:tcPr>
          <w:p w14:paraId="05B506BB" w14:textId="77777777" w:rsidR="004074D3" w:rsidRPr="0030751E" w:rsidRDefault="004074D3" w:rsidP="00A32D40">
            <w:pPr>
              <w:rPr>
                <w:rFonts w:ascii="Verdana" w:eastAsia="Aptos" w:hAnsi="Verdana" w:cs="Arial"/>
                <w:sz w:val="14"/>
                <w:szCs w:val="14"/>
                <w:lang w:eastAsia="es-ES"/>
              </w:rPr>
            </w:pPr>
            <w:r w:rsidRPr="0030751E">
              <w:rPr>
                <w:rFonts w:ascii="Verdana" w:eastAsia="Aptos"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0CCFF2CD" w14:textId="77777777" w:rsidR="004074D3" w:rsidRPr="0030751E" w:rsidRDefault="004074D3" w:rsidP="00A32D40">
            <w:pPr>
              <w:rPr>
                <w:rFonts w:ascii="Verdana" w:eastAsia="Aptos" w:hAnsi="Verdana" w:cs="Arial"/>
                <w:sz w:val="14"/>
                <w:szCs w:val="14"/>
                <w:lang w:eastAsia="es-ES"/>
              </w:rPr>
            </w:pPr>
            <w:r w:rsidRPr="0030751E">
              <w:rPr>
                <w:rFonts w:ascii="Verdana" w:eastAsia="Aptos" w:hAnsi="Verdana" w:cs="Arial"/>
                <w:sz w:val="14"/>
                <w:szCs w:val="14"/>
                <w:lang w:eastAsia="es-ES"/>
              </w:rPr>
              <w:t>Carolina Quintero Gacharná</w:t>
            </w:r>
          </w:p>
          <w:p w14:paraId="20A26529" w14:textId="77777777" w:rsidR="004074D3" w:rsidRPr="0030751E" w:rsidRDefault="004074D3" w:rsidP="00A32D40">
            <w:pPr>
              <w:rPr>
                <w:rFonts w:ascii="Verdana" w:eastAsia="Aptos" w:hAnsi="Verdana" w:cs="Arial"/>
                <w:sz w:val="14"/>
                <w:szCs w:val="14"/>
                <w:lang w:eastAsia="es-ES"/>
              </w:rPr>
            </w:pPr>
            <w:r w:rsidRPr="0030751E">
              <w:rPr>
                <w:rFonts w:ascii="Verdana" w:eastAsia="Aptos" w:hAnsi="Verdana" w:cs="Arial"/>
                <w:sz w:val="14"/>
                <w:szCs w:val="14"/>
                <w:lang w:eastAsia="es-ES"/>
              </w:rPr>
              <w:t>Subdirectora de Gestión Contractual ANCP – CCE</w:t>
            </w:r>
          </w:p>
        </w:tc>
      </w:tr>
    </w:tbl>
    <w:p w14:paraId="1FE16779" w14:textId="77777777" w:rsidR="004074D3" w:rsidRPr="0030751E" w:rsidRDefault="004074D3" w:rsidP="004074D3">
      <w:pPr>
        <w:spacing w:after="0" w:line="240" w:lineRule="auto"/>
        <w:rPr>
          <w:rFonts w:ascii="Verdana" w:eastAsia="Times New Roman" w:hAnsi="Verdana" w:cs="Arial"/>
          <w:sz w:val="24"/>
          <w:szCs w:val="24"/>
          <w:lang w:eastAsia="es-ES"/>
        </w:rPr>
      </w:pPr>
    </w:p>
    <w:p w14:paraId="254B5A83" w14:textId="77777777" w:rsidR="004074D3" w:rsidRPr="0030751E" w:rsidRDefault="004074D3" w:rsidP="004074D3">
      <w:pPr>
        <w:rPr>
          <w:rFonts w:ascii="Verdana" w:eastAsia="Aptos" w:hAnsi="Verdana" w:cs="Times New Roman"/>
        </w:rPr>
      </w:pPr>
    </w:p>
    <w:bookmarkEnd w:id="0"/>
    <w:p w14:paraId="56DC06FD" w14:textId="77777777" w:rsidR="004074D3" w:rsidRPr="0030751E" w:rsidRDefault="004074D3" w:rsidP="004074D3">
      <w:pPr>
        <w:rPr>
          <w:rFonts w:ascii="Verdana" w:eastAsia="Aptos" w:hAnsi="Verdana" w:cs="Arial"/>
        </w:rPr>
      </w:pPr>
    </w:p>
    <w:sectPr w:rsidR="004074D3" w:rsidRPr="0030751E" w:rsidSect="004074D3">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26E90F" w14:textId="77777777" w:rsidR="00A739C5" w:rsidRDefault="00A739C5" w:rsidP="004074D3">
      <w:pPr>
        <w:spacing w:after="0" w:line="240" w:lineRule="auto"/>
      </w:pPr>
      <w:r>
        <w:separator/>
      </w:r>
    </w:p>
  </w:endnote>
  <w:endnote w:type="continuationSeparator" w:id="0">
    <w:p w14:paraId="0B697643" w14:textId="77777777" w:rsidR="00A739C5" w:rsidRDefault="00A739C5" w:rsidP="004074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55B4A6" w14:textId="77777777" w:rsidR="004074D3" w:rsidRDefault="004074D3">
    <w:pPr>
      <w:pStyle w:val="Piedepgina"/>
    </w:pPr>
  </w:p>
  <w:p w14:paraId="26002FFB" w14:textId="77777777" w:rsidR="004074D3" w:rsidRPr="00174B77" w:rsidRDefault="004074D3"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703D6455" w14:textId="77777777" w:rsidR="004074D3" w:rsidRDefault="004074D3"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7E3EFAE6" w14:textId="77777777" w:rsidR="004074D3" w:rsidRPr="00E41027" w:rsidRDefault="004074D3"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512C4AA8" w14:textId="77777777" w:rsidR="004074D3" w:rsidRDefault="004074D3"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30751E">
      <w:rPr>
        <w:rFonts w:ascii="Verdana" w:eastAsia="Verdana" w:hAnsi="Verdana" w:cs="Verdana"/>
        <w:b/>
        <w:bCs/>
        <w:color w:val="000000"/>
        <w:sz w:val="18"/>
        <w:szCs w:val="18"/>
        <w:lang w:eastAsia="es-CO"/>
      </w:rPr>
      <w:t xml:space="preserve">Código: </w:t>
    </w:r>
    <w:r w:rsidRPr="0030751E">
      <w:rPr>
        <w:rFonts w:ascii="Verdana" w:eastAsia="Verdana" w:hAnsi="Verdana" w:cs="Verdana"/>
        <w:color w:val="000000"/>
        <w:sz w:val="18"/>
        <w:szCs w:val="18"/>
        <w:lang w:eastAsia="es-CO"/>
      </w:rPr>
      <w:t xml:space="preserve">CCE-REC-FM-17 </w:t>
    </w:r>
    <w:r w:rsidRPr="0030751E">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FCDD42" w14:textId="77777777" w:rsidR="00A739C5" w:rsidRDefault="00A739C5" w:rsidP="004074D3">
      <w:pPr>
        <w:spacing w:after="0" w:line="240" w:lineRule="auto"/>
      </w:pPr>
      <w:r>
        <w:separator/>
      </w:r>
    </w:p>
  </w:footnote>
  <w:footnote w:type="continuationSeparator" w:id="0">
    <w:p w14:paraId="6A92E802" w14:textId="77777777" w:rsidR="00A739C5" w:rsidRDefault="00A739C5" w:rsidP="004074D3">
      <w:pPr>
        <w:spacing w:after="0" w:line="240" w:lineRule="auto"/>
      </w:pPr>
      <w:r>
        <w:continuationSeparator/>
      </w:r>
    </w:p>
  </w:footnote>
  <w:footnote w:id="1">
    <w:p w14:paraId="569B53E0" w14:textId="77777777" w:rsidR="004074D3" w:rsidRPr="004E605A" w:rsidRDefault="004074D3" w:rsidP="004074D3">
      <w:pPr>
        <w:spacing w:line="244" w:lineRule="auto"/>
        <w:ind w:left="120" w:firstLine="707"/>
        <w:jc w:val="both"/>
        <w:rPr>
          <w:rFonts w:ascii="Verdana" w:hAnsi="Verdana" w:cs="Arial"/>
          <w:sz w:val="18"/>
          <w:szCs w:val="18"/>
        </w:rPr>
      </w:pPr>
      <w:r w:rsidRPr="004E605A">
        <w:rPr>
          <w:rStyle w:val="Refdenotaalpie"/>
          <w:rFonts w:ascii="Verdana" w:hAnsi="Verdana" w:cs="Arial"/>
          <w:sz w:val="18"/>
          <w:szCs w:val="18"/>
        </w:rPr>
        <w:footnoteRef/>
      </w:r>
      <w:r w:rsidRPr="004E605A">
        <w:rPr>
          <w:rFonts w:ascii="Verdana" w:hAnsi="Verdana" w:cs="Arial"/>
          <w:position w:val="6"/>
          <w:sz w:val="18"/>
          <w:szCs w:val="18"/>
        </w:rPr>
        <w:t xml:space="preserve"> </w:t>
      </w:r>
      <w:r w:rsidRPr="004E605A">
        <w:rPr>
          <w:rFonts w:ascii="Verdana" w:hAnsi="Verdana" w:cs="Arial"/>
          <w:sz w:val="18"/>
          <w:szCs w:val="18"/>
        </w:rPr>
        <w:t>DEIK ACOSTAMADIEDO, Carolina, Guía de Contratación Estatal: Deber de planeación y modalidades de selección, Buenos Aires, 2015, p. 59.</w:t>
      </w:r>
    </w:p>
  </w:footnote>
  <w:footnote w:id="2">
    <w:p w14:paraId="1FEDA852" w14:textId="77777777" w:rsidR="004074D3" w:rsidRPr="004E605A" w:rsidRDefault="004074D3" w:rsidP="004074D3">
      <w:pPr>
        <w:pStyle w:val="Textonotapie"/>
        <w:ind w:firstLine="709"/>
        <w:jc w:val="both"/>
        <w:rPr>
          <w:rFonts w:ascii="Verdana" w:hAnsi="Verdana" w:cs="Arial"/>
          <w:sz w:val="18"/>
          <w:szCs w:val="18"/>
          <w:lang w:val="pt-BR"/>
        </w:rPr>
      </w:pPr>
      <w:r w:rsidRPr="004E605A">
        <w:rPr>
          <w:rStyle w:val="Refdenotaalpie"/>
          <w:rFonts w:ascii="Verdana" w:hAnsi="Verdana" w:cs="Arial"/>
          <w:sz w:val="18"/>
          <w:szCs w:val="18"/>
        </w:rPr>
        <w:footnoteRef/>
      </w:r>
      <w:r w:rsidRPr="004E605A">
        <w:rPr>
          <w:rFonts w:ascii="Verdana" w:hAnsi="Verdana" w:cs="Arial"/>
          <w:sz w:val="18"/>
          <w:szCs w:val="18"/>
          <w:lang w:val="pt-BR"/>
        </w:rPr>
        <w:t xml:space="preserve"> Tomado de </w:t>
      </w:r>
      <w:hyperlink r:id="rId1" w:history="1">
        <w:r w:rsidRPr="0030751E">
          <w:rPr>
            <w:rStyle w:val="Hipervnculo"/>
            <w:rFonts w:ascii="Verdana" w:hAnsi="Verdana" w:cs="Arial"/>
            <w:color w:val="0E2841"/>
            <w:sz w:val="18"/>
            <w:szCs w:val="18"/>
            <w:lang w:val="pt-BR"/>
          </w:rPr>
          <w:t>https://sintesis.colombiacompra.gov.co/sintesis/9-etapa-precontractual-estudios-previos</w:t>
        </w:r>
      </w:hyperlink>
      <w:r w:rsidRPr="004E605A">
        <w:rPr>
          <w:rFonts w:ascii="Verdana" w:hAnsi="Verdana" w:cs="Arial"/>
          <w:sz w:val="18"/>
          <w:szCs w:val="18"/>
          <w:lang w:val="pt-BR"/>
        </w:rPr>
        <w:t>.</w:t>
      </w:r>
    </w:p>
    <w:p w14:paraId="7B5F137F" w14:textId="77777777" w:rsidR="004074D3" w:rsidRPr="004E605A" w:rsidRDefault="004074D3" w:rsidP="004074D3">
      <w:pPr>
        <w:pStyle w:val="Textonotapie"/>
        <w:ind w:left="142" w:firstLine="709"/>
        <w:jc w:val="both"/>
        <w:rPr>
          <w:rFonts w:ascii="Verdana" w:hAnsi="Verdana" w:cs="Arial"/>
          <w:sz w:val="18"/>
          <w:szCs w:val="18"/>
          <w:lang w:val="pt-BR"/>
        </w:rPr>
      </w:pPr>
    </w:p>
  </w:footnote>
  <w:footnote w:id="3">
    <w:p w14:paraId="097BFACF" w14:textId="77777777" w:rsidR="004074D3" w:rsidRPr="004E605A" w:rsidRDefault="004074D3" w:rsidP="004074D3">
      <w:pPr>
        <w:pStyle w:val="Textoindependiente"/>
        <w:spacing w:after="0"/>
        <w:ind w:right="103" w:firstLine="709"/>
        <w:jc w:val="both"/>
        <w:rPr>
          <w:rFonts w:ascii="Verdana" w:hAnsi="Verdana" w:cs="Arial"/>
          <w:sz w:val="18"/>
          <w:szCs w:val="18"/>
        </w:rPr>
      </w:pPr>
      <w:r w:rsidRPr="004E605A">
        <w:rPr>
          <w:rStyle w:val="Refdenotaalpie"/>
          <w:rFonts w:ascii="Verdana" w:hAnsi="Verdana" w:cs="Arial"/>
          <w:sz w:val="18"/>
          <w:szCs w:val="18"/>
        </w:rPr>
        <w:footnoteRef/>
      </w:r>
      <w:r w:rsidRPr="004E605A">
        <w:rPr>
          <w:rFonts w:ascii="Verdana" w:hAnsi="Verdana" w:cs="Arial"/>
          <w:sz w:val="18"/>
          <w:szCs w:val="18"/>
        </w:rPr>
        <w:t xml:space="preserve"> </w:t>
      </w:r>
      <w:r>
        <w:rPr>
          <w:rFonts w:ascii="Verdana" w:hAnsi="Verdana" w:cs="Arial"/>
          <w:position w:val="6"/>
          <w:sz w:val="18"/>
          <w:szCs w:val="18"/>
        </w:rPr>
        <w:t>“</w:t>
      </w:r>
      <w:r w:rsidRPr="004E605A">
        <w:rPr>
          <w:rFonts w:ascii="Verdana" w:hAnsi="Verdana" w:cs="Arial"/>
          <w:sz w:val="18"/>
          <w:szCs w:val="18"/>
        </w:rPr>
        <w:t xml:space="preserve">Artículo </w:t>
      </w:r>
      <w:bookmarkStart w:id="3" w:name="_Hlk54173885"/>
      <w:r w:rsidRPr="004E605A">
        <w:rPr>
          <w:rFonts w:ascii="Verdana" w:hAnsi="Verdana" w:cs="Arial"/>
          <w:sz w:val="18"/>
          <w:szCs w:val="18"/>
        </w:rPr>
        <w:t>2.2.1.1.2.1.1</w:t>
      </w:r>
      <w:bookmarkEnd w:id="3"/>
      <w:r w:rsidRPr="004E605A">
        <w:rPr>
          <w:rFonts w:ascii="Verdana" w:hAnsi="Verdana" w:cs="Arial"/>
          <w:sz w:val="18"/>
          <w:szCs w:val="18"/>
        </w:rPr>
        <w:t xml:space="preserve">. Estudios y documentos previos. Los estudios y documentos previos son el soporte para elaborar el proyecto de pliegos, los pliegos de condiciones, y el contrato. Deben permanecer a disposición del público durante el desarrollo del Proceso de Contratación y contener los siguientes elementos, además de los indicados para cada modalidad de selección: </w:t>
      </w:r>
      <w:r w:rsidRPr="00543EC6">
        <w:rPr>
          <w:rFonts w:ascii="Verdana" w:hAnsi="Verdana" w:cs="Arial"/>
          <w:sz w:val="18"/>
          <w:szCs w:val="18"/>
        </w:rPr>
        <w:t>[…]</w:t>
      </w:r>
      <w:r>
        <w:rPr>
          <w:rFonts w:ascii="Verdana" w:hAnsi="Verdana" w:cs="Arial"/>
          <w:sz w:val="18"/>
          <w:szCs w:val="18"/>
        </w:rPr>
        <w:t>”</w:t>
      </w:r>
      <w:r w:rsidRPr="004E605A">
        <w:rPr>
          <w:rFonts w:ascii="Verdana" w:hAnsi="Verdana" w:cs="Arial"/>
          <w:sz w:val="18"/>
          <w:szCs w:val="18"/>
        </w:rPr>
        <w:t>.</w:t>
      </w:r>
    </w:p>
    <w:p w14:paraId="74517A7D" w14:textId="77777777" w:rsidR="004074D3" w:rsidRPr="004E605A" w:rsidRDefault="004074D3" w:rsidP="004074D3">
      <w:pPr>
        <w:pStyle w:val="Textonotapie"/>
        <w:ind w:firstLine="709"/>
        <w:jc w:val="both"/>
        <w:rPr>
          <w:rFonts w:ascii="Verdana" w:hAnsi="Verdana" w:cs="Arial"/>
          <w:sz w:val="18"/>
          <w:szCs w:val="18"/>
        </w:rPr>
      </w:pPr>
    </w:p>
  </w:footnote>
  <w:footnote w:id="4">
    <w:p w14:paraId="74D4FC73" w14:textId="77777777" w:rsidR="004074D3" w:rsidRPr="004E605A" w:rsidRDefault="004074D3" w:rsidP="004074D3">
      <w:pPr>
        <w:pStyle w:val="Textoindependiente"/>
        <w:spacing w:after="0"/>
        <w:ind w:right="108" w:firstLine="708"/>
        <w:jc w:val="both"/>
        <w:rPr>
          <w:rFonts w:ascii="Verdana" w:hAnsi="Verdana" w:cs="Arial"/>
          <w:sz w:val="18"/>
          <w:szCs w:val="18"/>
        </w:rPr>
      </w:pPr>
      <w:r w:rsidRPr="004E605A">
        <w:rPr>
          <w:rStyle w:val="Refdenotaalpie"/>
          <w:rFonts w:ascii="Verdana" w:hAnsi="Verdana" w:cs="Arial"/>
          <w:sz w:val="18"/>
          <w:szCs w:val="18"/>
        </w:rPr>
        <w:footnoteRef/>
      </w:r>
      <w:r w:rsidRPr="004E605A">
        <w:rPr>
          <w:rFonts w:ascii="Verdana" w:hAnsi="Verdana" w:cs="Arial"/>
          <w:sz w:val="18"/>
          <w:szCs w:val="18"/>
        </w:rPr>
        <w:t xml:space="preserve"> Consejo de Estado, Sala de lo Contencioso Administrativo. Sección Tercera, Subsección B, 31 de agosto de 2011, </w:t>
      </w:r>
      <w:proofErr w:type="spellStart"/>
      <w:r w:rsidRPr="004E605A">
        <w:rPr>
          <w:rFonts w:ascii="Verdana" w:hAnsi="Verdana" w:cs="Arial"/>
          <w:sz w:val="18"/>
          <w:szCs w:val="18"/>
        </w:rPr>
        <w:t>exp</w:t>
      </w:r>
      <w:proofErr w:type="spellEnd"/>
      <w:r w:rsidRPr="004E605A">
        <w:rPr>
          <w:rFonts w:ascii="Verdana" w:hAnsi="Verdana" w:cs="Arial"/>
          <w:sz w:val="18"/>
          <w:szCs w:val="18"/>
        </w:rPr>
        <w:t xml:space="preserve">. 18080, C.P. Ruth Stella Correa Palacio: </w:t>
      </w:r>
      <w:r>
        <w:rPr>
          <w:rFonts w:ascii="Verdana" w:hAnsi="Verdana" w:cs="Arial"/>
          <w:sz w:val="18"/>
          <w:szCs w:val="18"/>
        </w:rPr>
        <w:t>“</w:t>
      </w:r>
      <w:r w:rsidRPr="004E605A">
        <w:rPr>
          <w:rFonts w:ascii="Verdana" w:hAnsi="Verdana" w:cs="Arial"/>
          <w:sz w:val="18"/>
          <w:szCs w:val="18"/>
        </w:rPr>
        <w:t>(…) recuérdese que la aplicación de la buena fe en materia negocial implica para las partes la observancia la observancia de una conducta enmarcada dentro del contexto de los deberes de corrección, claridad y recíproca lealtad que se deben los contratantes, para remitir la realización de los efectos finales buscados en el contrato</w:t>
      </w:r>
      <w:r>
        <w:rPr>
          <w:rFonts w:ascii="Verdana" w:hAnsi="Verdana" w:cs="Arial"/>
          <w:sz w:val="18"/>
          <w:szCs w:val="18"/>
        </w:rPr>
        <w:t>”</w:t>
      </w:r>
    </w:p>
    <w:p w14:paraId="29E5CF79" w14:textId="77777777" w:rsidR="004074D3" w:rsidRPr="004E605A" w:rsidRDefault="004074D3" w:rsidP="004074D3">
      <w:pPr>
        <w:pStyle w:val="Textonotapie"/>
        <w:jc w:val="both"/>
        <w:rPr>
          <w:rFonts w:ascii="Verdana" w:hAnsi="Verdana" w:cs="Arial"/>
          <w:sz w:val="18"/>
          <w:szCs w:val="18"/>
        </w:rPr>
      </w:pPr>
    </w:p>
  </w:footnote>
  <w:footnote w:id="5">
    <w:p w14:paraId="70552CFF" w14:textId="77777777" w:rsidR="004074D3" w:rsidRPr="004E605A" w:rsidRDefault="004074D3" w:rsidP="004074D3">
      <w:pPr>
        <w:pStyle w:val="Textonotapie"/>
        <w:ind w:firstLine="708"/>
        <w:jc w:val="both"/>
        <w:rPr>
          <w:rFonts w:ascii="Verdana" w:hAnsi="Verdana" w:cs="Arial"/>
          <w:sz w:val="18"/>
          <w:szCs w:val="18"/>
          <w:lang w:val="es-ES"/>
        </w:rPr>
      </w:pPr>
      <w:r w:rsidRPr="004E605A">
        <w:rPr>
          <w:rStyle w:val="Refdenotaalpie"/>
          <w:rFonts w:ascii="Verdana" w:hAnsi="Verdana" w:cs="Arial"/>
          <w:sz w:val="18"/>
          <w:szCs w:val="18"/>
        </w:rPr>
        <w:footnoteRef/>
      </w:r>
      <w:r w:rsidRPr="004E605A">
        <w:rPr>
          <w:rFonts w:ascii="Verdana" w:hAnsi="Verdana" w:cs="Arial"/>
          <w:sz w:val="18"/>
          <w:szCs w:val="18"/>
        </w:rPr>
        <w:t xml:space="preserve"> </w:t>
      </w:r>
      <w:r w:rsidRPr="004E605A">
        <w:rPr>
          <w:rFonts w:ascii="Verdana" w:hAnsi="Verdana" w:cs="Arial"/>
          <w:sz w:val="18"/>
          <w:szCs w:val="18"/>
          <w:lang w:val="es-ES"/>
        </w:rPr>
        <w:t xml:space="preserve">La </w:t>
      </w:r>
      <w:r>
        <w:rPr>
          <w:rFonts w:ascii="Verdana" w:eastAsia="Calibri" w:hAnsi="Verdana" w:cs="Arial"/>
          <w:bCs/>
          <w:sz w:val="18"/>
          <w:szCs w:val="18"/>
          <w:lang w:val="es-ES_tradnl"/>
        </w:rPr>
        <w:t>“</w:t>
      </w:r>
      <w:r w:rsidRPr="004E605A">
        <w:rPr>
          <w:rFonts w:ascii="Verdana" w:eastAsia="Calibri" w:hAnsi="Verdana" w:cs="Arial"/>
          <w:bCs/>
          <w:sz w:val="18"/>
          <w:szCs w:val="18"/>
          <w:lang w:val="es-ES_tradnl"/>
        </w:rPr>
        <w:t>Guía para la Elaboración de Estudios del Sector</w:t>
      </w:r>
      <w:r>
        <w:rPr>
          <w:rFonts w:ascii="Verdana" w:eastAsia="Calibri" w:hAnsi="Verdana" w:cs="Arial"/>
          <w:bCs/>
          <w:sz w:val="18"/>
          <w:szCs w:val="18"/>
          <w:lang w:val="es-ES_tradnl"/>
        </w:rPr>
        <w:t>”</w:t>
      </w:r>
      <w:r w:rsidRPr="004E605A">
        <w:rPr>
          <w:rFonts w:ascii="Verdana" w:eastAsia="Calibri" w:hAnsi="Verdana" w:cs="Arial"/>
          <w:bCs/>
          <w:sz w:val="18"/>
          <w:szCs w:val="18"/>
          <w:lang w:val="es-ES_tradnl"/>
        </w:rPr>
        <w:t xml:space="preserve"> puede ser consultada </w:t>
      </w:r>
      <w:hyperlink r:id="rId2" w:history="1">
        <w:r w:rsidRPr="00197647">
          <w:rPr>
            <w:rStyle w:val="Hipervnculo"/>
            <w:rFonts w:ascii="Verdana" w:eastAsia="Calibri" w:hAnsi="Verdana" w:cs="Arial"/>
            <w:bCs/>
            <w:sz w:val="18"/>
            <w:szCs w:val="18"/>
            <w:lang w:val="es-ES_tradnl"/>
          </w:rPr>
          <w:t>aquí</w:t>
        </w:r>
      </w:hyperlink>
    </w:p>
  </w:footnote>
  <w:footnote w:id="6">
    <w:p w14:paraId="0EAC1CE3" w14:textId="77777777" w:rsidR="004074D3" w:rsidRPr="004E605A" w:rsidRDefault="004074D3" w:rsidP="004074D3">
      <w:pPr>
        <w:pStyle w:val="Textonotapie"/>
        <w:ind w:firstLine="708"/>
        <w:jc w:val="both"/>
        <w:rPr>
          <w:rFonts w:ascii="Verdana" w:hAnsi="Verdana"/>
          <w:sz w:val="18"/>
          <w:szCs w:val="18"/>
        </w:rPr>
      </w:pPr>
      <w:r w:rsidRPr="004E605A">
        <w:rPr>
          <w:rStyle w:val="Refdenotaalpie"/>
          <w:rFonts w:ascii="Verdana" w:hAnsi="Verdana"/>
          <w:sz w:val="18"/>
          <w:szCs w:val="18"/>
        </w:rPr>
        <w:footnoteRef/>
      </w:r>
      <w:r w:rsidRPr="004E605A">
        <w:rPr>
          <w:rFonts w:ascii="Verdana" w:hAnsi="Verdana"/>
          <w:sz w:val="18"/>
          <w:szCs w:val="18"/>
        </w:rPr>
        <w:t xml:space="preserve"> Artículo 17 de la Ley 1150 de 2007</w:t>
      </w:r>
    </w:p>
    <w:p w14:paraId="7BDCF9D1" w14:textId="77777777" w:rsidR="004074D3" w:rsidRPr="004E605A" w:rsidRDefault="004074D3" w:rsidP="004074D3">
      <w:pPr>
        <w:pStyle w:val="Textonotapie"/>
        <w:ind w:firstLine="708"/>
        <w:jc w:val="both"/>
        <w:rPr>
          <w:rFonts w:ascii="Verdana" w:hAnsi="Verdana"/>
          <w:sz w:val="18"/>
          <w:szCs w:val="18"/>
          <w:lang w:val="es-CO"/>
        </w:rPr>
      </w:pPr>
    </w:p>
  </w:footnote>
  <w:footnote w:id="7">
    <w:p w14:paraId="6768C075" w14:textId="77777777" w:rsidR="004074D3" w:rsidRPr="004E605A" w:rsidRDefault="004074D3" w:rsidP="004074D3">
      <w:pPr>
        <w:pStyle w:val="Textonotapie"/>
        <w:ind w:firstLine="708"/>
        <w:jc w:val="both"/>
        <w:rPr>
          <w:rFonts w:ascii="Verdana" w:hAnsi="Verdana"/>
          <w:sz w:val="18"/>
          <w:szCs w:val="18"/>
        </w:rPr>
      </w:pPr>
      <w:r w:rsidRPr="004E605A">
        <w:rPr>
          <w:rStyle w:val="Refdenotaalpie"/>
          <w:rFonts w:ascii="Verdana" w:hAnsi="Verdana"/>
          <w:sz w:val="18"/>
          <w:szCs w:val="18"/>
        </w:rPr>
        <w:footnoteRef/>
      </w:r>
      <w:r w:rsidRPr="004E605A">
        <w:rPr>
          <w:rFonts w:ascii="Verdana" w:hAnsi="Verdana"/>
          <w:sz w:val="18"/>
          <w:szCs w:val="18"/>
        </w:rPr>
        <w:t xml:space="preserve"> Artículo 21 de la Ley 1150 de 2007</w:t>
      </w:r>
    </w:p>
    <w:p w14:paraId="38AC3A52" w14:textId="77777777" w:rsidR="004074D3" w:rsidRPr="004E605A" w:rsidRDefault="004074D3" w:rsidP="004074D3">
      <w:pPr>
        <w:pStyle w:val="Textonotapie"/>
        <w:ind w:firstLine="708"/>
        <w:jc w:val="both"/>
        <w:rPr>
          <w:rFonts w:ascii="Verdana" w:hAnsi="Verdana"/>
          <w:sz w:val="18"/>
          <w:szCs w:val="18"/>
          <w:lang w:val="es-CO"/>
        </w:rPr>
      </w:pPr>
    </w:p>
  </w:footnote>
  <w:footnote w:id="8">
    <w:p w14:paraId="42463242" w14:textId="77777777" w:rsidR="004074D3" w:rsidRPr="004E605A" w:rsidRDefault="004074D3" w:rsidP="004074D3">
      <w:pPr>
        <w:pStyle w:val="Textonotapie"/>
        <w:ind w:firstLine="708"/>
        <w:jc w:val="both"/>
        <w:rPr>
          <w:rFonts w:ascii="Verdana" w:hAnsi="Verdana"/>
          <w:sz w:val="18"/>
          <w:szCs w:val="18"/>
        </w:rPr>
      </w:pPr>
      <w:r w:rsidRPr="004E605A">
        <w:rPr>
          <w:rStyle w:val="Refdenotaalpie"/>
          <w:rFonts w:ascii="Verdana" w:hAnsi="Verdana"/>
          <w:sz w:val="18"/>
          <w:szCs w:val="18"/>
        </w:rPr>
        <w:footnoteRef/>
      </w:r>
      <w:r w:rsidRPr="004E605A">
        <w:rPr>
          <w:rFonts w:ascii="Verdana" w:hAnsi="Verdana"/>
          <w:sz w:val="18"/>
          <w:szCs w:val="18"/>
        </w:rPr>
        <w:t xml:space="preserve"> Artículos 83 a 86 de la Ley 1474 de 2011</w:t>
      </w:r>
    </w:p>
    <w:p w14:paraId="1A02D8FC" w14:textId="77777777" w:rsidR="004074D3" w:rsidRPr="004E605A" w:rsidRDefault="004074D3" w:rsidP="004074D3">
      <w:pPr>
        <w:pStyle w:val="Textonotapie"/>
        <w:ind w:firstLine="708"/>
        <w:jc w:val="both"/>
        <w:rPr>
          <w:rFonts w:ascii="Verdana" w:hAnsi="Verdana"/>
          <w:sz w:val="18"/>
          <w:szCs w:val="18"/>
          <w:lang w:val="es-CO"/>
        </w:rPr>
      </w:pPr>
    </w:p>
  </w:footnote>
  <w:footnote w:id="9">
    <w:p w14:paraId="7A4AE833" w14:textId="77777777" w:rsidR="004074D3" w:rsidRPr="004E605A" w:rsidRDefault="004074D3" w:rsidP="004074D3">
      <w:pPr>
        <w:pStyle w:val="Textonotapie"/>
        <w:ind w:firstLine="708"/>
        <w:jc w:val="both"/>
        <w:rPr>
          <w:rFonts w:ascii="Verdana" w:hAnsi="Verdana"/>
          <w:sz w:val="18"/>
          <w:szCs w:val="18"/>
        </w:rPr>
      </w:pPr>
      <w:r w:rsidRPr="004E605A">
        <w:rPr>
          <w:rStyle w:val="Refdenotaalpie"/>
          <w:rFonts w:ascii="Verdana" w:hAnsi="Verdana"/>
          <w:sz w:val="18"/>
          <w:szCs w:val="18"/>
        </w:rPr>
        <w:footnoteRef/>
      </w:r>
      <w:r w:rsidRPr="004E605A">
        <w:rPr>
          <w:rFonts w:ascii="Verdana" w:hAnsi="Verdana"/>
          <w:sz w:val="18"/>
          <w:szCs w:val="18"/>
        </w:rPr>
        <w:t xml:space="preserve"> Consejo de Estado. Sección 3ª. Sentencia del 27 de noviembre de 2017. M.P. Jaime Orlando</w:t>
      </w:r>
      <w:r>
        <w:rPr>
          <w:rFonts w:ascii="Verdana" w:hAnsi="Verdana"/>
          <w:sz w:val="18"/>
          <w:szCs w:val="18"/>
        </w:rPr>
        <w:t xml:space="preserve"> </w:t>
      </w:r>
      <w:r w:rsidRPr="004E605A">
        <w:rPr>
          <w:rFonts w:ascii="Verdana" w:hAnsi="Verdana"/>
          <w:sz w:val="18"/>
          <w:szCs w:val="18"/>
        </w:rPr>
        <w:t xml:space="preserve">Santofimio. </w:t>
      </w:r>
      <w:proofErr w:type="spellStart"/>
      <w:r w:rsidRPr="004E605A">
        <w:rPr>
          <w:rFonts w:ascii="Verdana" w:hAnsi="Verdana"/>
          <w:sz w:val="18"/>
          <w:szCs w:val="18"/>
        </w:rPr>
        <w:t>Exp</w:t>
      </w:r>
      <w:proofErr w:type="spellEnd"/>
      <w:r w:rsidRPr="004E605A">
        <w:rPr>
          <w:rFonts w:ascii="Verdana" w:hAnsi="Verdana"/>
          <w:sz w:val="18"/>
          <w:szCs w:val="18"/>
        </w:rPr>
        <w:t>. 51.802</w:t>
      </w:r>
    </w:p>
    <w:p w14:paraId="26BAF69F" w14:textId="77777777" w:rsidR="004074D3" w:rsidRPr="004E605A" w:rsidRDefault="004074D3" w:rsidP="004074D3">
      <w:pPr>
        <w:pStyle w:val="Textonotapie"/>
        <w:jc w:val="both"/>
        <w:rPr>
          <w:rFonts w:ascii="Verdana" w:hAnsi="Verdana"/>
          <w:sz w:val="18"/>
          <w:szCs w:val="18"/>
          <w:lang w:val="es-CO"/>
        </w:rPr>
      </w:pPr>
    </w:p>
  </w:footnote>
  <w:footnote w:id="10">
    <w:p w14:paraId="6D94029B" w14:textId="77777777" w:rsidR="004074D3" w:rsidRPr="004E605A" w:rsidRDefault="004074D3" w:rsidP="004074D3">
      <w:pPr>
        <w:pStyle w:val="Textonotapie"/>
        <w:ind w:firstLine="708"/>
        <w:jc w:val="both"/>
        <w:rPr>
          <w:rFonts w:ascii="Verdana" w:hAnsi="Verdana"/>
          <w:sz w:val="18"/>
          <w:szCs w:val="18"/>
        </w:rPr>
      </w:pPr>
      <w:r w:rsidRPr="004E605A">
        <w:rPr>
          <w:rStyle w:val="Refdenotaalpie"/>
          <w:rFonts w:ascii="Verdana" w:hAnsi="Verdana"/>
          <w:sz w:val="18"/>
          <w:szCs w:val="18"/>
        </w:rPr>
        <w:footnoteRef/>
      </w:r>
      <w:r w:rsidRPr="004E605A">
        <w:rPr>
          <w:rFonts w:ascii="Verdana" w:hAnsi="Verdana"/>
          <w:sz w:val="18"/>
          <w:szCs w:val="18"/>
        </w:rPr>
        <w:t xml:space="preserve"> Artículo 83 de la Ley 1474 de 2011</w:t>
      </w:r>
    </w:p>
    <w:p w14:paraId="6234F422" w14:textId="77777777" w:rsidR="004074D3" w:rsidRPr="004E605A" w:rsidRDefault="004074D3" w:rsidP="004074D3">
      <w:pPr>
        <w:pStyle w:val="Textonotapie"/>
        <w:ind w:firstLine="708"/>
        <w:jc w:val="both"/>
        <w:rPr>
          <w:rFonts w:ascii="Verdana" w:hAnsi="Verdana"/>
          <w:sz w:val="18"/>
          <w:szCs w:val="18"/>
          <w:lang w:val="es-CO"/>
        </w:rPr>
      </w:pPr>
    </w:p>
  </w:footnote>
  <w:footnote w:id="11">
    <w:p w14:paraId="2486B80F" w14:textId="77777777" w:rsidR="004074D3" w:rsidRPr="004E605A" w:rsidRDefault="004074D3" w:rsidP="004074D3">
      <w:pPr>
        <w:pStyle w:val="Textonotapie"/>
        <w:ind w:firstLine="708"/>
        <w:jc w:val="both"/>
        <w:rPr>
          <w:rFonts w:ascii="Verdana" w:hAnsi="Verdana"/>
          <w:sz w:val="18"/>
          <w:szCs w:val="18"/>
          <w:lang w:val="es-CO"/>
        </w:rPr>
      </w:pPr>
      <w:r w:rsidRPr="004E605A">
        <w:rPr>
          <w:rStyle w:val="Refdenotaalpie"/>
          <w:rFonts w:ascii="Verdana" w:hAnsi="Verdana"/>
          <w:sz w:val="18"/>
          <w:szCs w:val="18"/>
        </w:rPr>
        <w:footnoteRef/>
      </w:r>
      <w:r w:rsidRPr="004E605A">
        <w:rPr>
          <w:rFonts w:ascii="Verdana" w:hAnsi="Verdana"/>
          <w:sz w:val="18"/>
          <w:szCs w:val="18"/>
        </w:rPr>
        <w:t xml:space="preserve"> A excepción de la interventoría del contrato de obra adjudicado por licitación pública que es</w:t>
      </w:r>
      <w:r>
        <w:rPr>
          <w:rFonts w:ascii="Verdana" w:hAnsi="Verdana"/>
          <w:sz w:val="18"/>
          <w:szCs w:val="18"/>
        </w:rPr>
        <w:t xml:space="preserve"> </w:t>
      </w:r>
      <w:r w:rsidRPr="004E605A">
        <w:rPr>
          <w:rFonts w:ascii="Verdana" w:hAnsi="Verdana"/>
          <w:sz w:val="18"/>
          <w:szCs w:val="18"/>
        </w:rPr>
        <w:t>obligatoria según el numeral 1° del artículo 32 de la Ley 80 de 1993.</w:t>
      </w:r>
    </w:p>
  </w:footnote>
  <w:footnote w:id="12">
    <w:p w14:paraId="5F4FED04" w14:textId="77777777" w:rsidR="004074D3" w:rsidRPr="004E605A" w:rsidRDefault="004074D3" w:rsidP="004074D3">
      <w:pPr>
        <w:pStyle w:val="Textonotapie"/>
        <w:ind w:firstLine="708"/>
        <w:contextualSpacing/>
        <w:jc w:val="both"/>
        <w:rPr>
          <w:rFonts w:ascii="Verdana" w:hAnsi="Verdana" w:cs="Arial"/>
          <w:color w:val="000000"/>
          <w:sz w:val="18"/>
          <w:szCs w:val="18"/>
        </w:rPr>
      </w:pPr>
      <w:r w:rsidRPr="004E605A">
        <w:rPr>
          <w:rStyle w:val="Refdenotaalpie"/>
          <w:rFonts w:ascii="Verdana" w:hAnsi="Verdana" w:cs="Arial"/>
          <w:color w:val="000000"/>
          <w:sz w:val="18"/>
          <w:szCs w:val="18"/>
        </w:rPr>
        <w:footnoteRef/>
      </w:r>
      <w:r w:rsidRPr="004E605A">
        <w:rPr>
          <w:rFonts w:ascii="Verdana" w:hAnsi="Verdana" w:cs="Arial"/>
          <w:color w:val="000000"/>
          <w:sz w:val="18"/>
          <w:szCs w:val="18"/>
        </w:rPr>
        <w:t xml:space="preserve"> </w:t>
      </w:r>
      <w:r w:rsidRPr="004E605A">
        <w:rPr>
          <w:rFonts w:ascii="Verdana" w:hAnsi="Verdana" w:cs="Arial"/>
          <w:iCs/>
          <w:color w:val="000000"/>
          <w:sz w:val="18"/>
          <w:szCs w:val="18"/>
        </w:rPr>
        <w:t>Departamento Administrativo de la Función Pública. Concepto del 6 de mayo de 2019. Rad. 140.881.</w:t>
      </w:r>
    </w:p>
    <w:p w14:paraId="18449CEE" w14:textId="77777777" w:rsidR="004074D3" w:rsidRPr="004E605A" w:rsidRDefault="004074D3" w:rsidP="004074D3">
      <w:pPr>
        <w:pStyle w:val="Textonotapie"/>
        <w:contextualSpacing/>
        <w:jc w:val="both"/>
        <w:rPr>
          <w:rFonts w:ascii="Verdana" w:hAnsi="Verdana" w:cs="Arial"/>
          <w:color w:val="000000"/>
          <w:sz w:val="18"/>
          <w:szCs w:val="18"/>
        </w:rPr>
      </w:pPr>
    </w:p>
  </w:footnote>
  <w:footnote w:id="13">
    <w:p w14:paraId="1B450E36" w14:textId="77777777" w:rsidR="004074D3" w:rsidRPr="004E605A" w:rsidRDefault="004074D3" w:rsidP="004074D3">
      <w:pPr>
        <w:pStyle w:val="Textonotapie"/>
        <w:ind w:firstLine="708"/>
        <w:jc w:val="both"/>
        <w:rPr>
          <w:rFonts w:ascii="Verdana" w:hAnsi="Verdana"/>
          <w:sz w:val="18"/>
          <w:szCs w:val="18"/>
          <w:lang w:val="es-CO"/>
        </w:rPr>
      </w:pPr>
      <w:r w:rsidRPr="004E605A">
        <w:rPr>
          <w:rStyle w:val="Refdenotaalpie"/>
          <w:rFonts w:ascii="Verdana" w:hAnsi="Verdana"/>
          <w:sz w:val="18"/>
          <w:szCs w:val="18"/>
        </w:rPr>
        <w:footnoteRef/>
      </w:r>
      <w:r w:rsidRPr="004E605A">
        <w:rPr>
          <w:rFonts w:ascii="Verdana" w:hAnsi="Verdana"/>
          <w:sz w:val="18"/>
          <w:szCs w:val="18"/>
        </w:rPr>
        <w:t xml:space="preserve"> Documento que se encuentra disponible para su consulta </w:t>
      </w:r>
      <w:hyperlink r:id="rId3" w:history="1">
        <w:r w:rsidRPr="004E605A">
          <w:rPr>
            <w:rStyle w:val="Hipervnculo"/>
            <w:rFonts w:ascii="Verdana" w:hAnsi="Verdana"/>
            <w:sz w:val="18"/>
            <w:szCs w:val="18"/>
          </w:rPr>
          <w:t>aquí</w:t>
        </w:r>
      </w:hyperlink>
    </w:p>
  </w:footnote>
  <w:footnote w:id="14">
    <w:p w14:paraId="433EE67D" w14:textId="77777777" w:rsidR="004074D3" w:rsidRPr="0030751E" w:rsidRDefault="004074D3" w:rsidP="004074D3">
      <w:pPr>
        <w:pStyle w:val="Textonotapie"/>
        <w:ind w:firstLine="709"/>
        <w:contextualSpacing/>
        <w:jc w:val="both"/>
        <w:rPr>
          <w:rFonts w:ascii="Verdana" w:hAnsi="Verdana" w:cs="Arial"/>
          <w:color w:val="000000"/>
          <w:sz w:val="18"/>
          <w:szCs w:val="18"/>
        </w:rPr>
      </w:pPr>
      <w:r w:rsidRPr="0030751E">
        <w:rPr>
          <w:rStyle w:val="Refdenotaalpie"/>
          <w:rFonts w:ascii="Verdana" w:hAnsi="Verdana" w:cs="Arial"/>
          <w:color w:val="000000"/>
          <w:sz w:val="18"/>
          <w:szCs w:val="18"/>
        </w:rPr>
        <w:footnoteRef/>
      </w:r>
      <w:r w:rsidRPr="0030751E">
        <w:rPr>
          <w:rFonts w:ascii="Verdana" w:hAnsi="Verdana" w:cs="Arial"/>
          <w:color w:val="000000"/>
          <w:sz w:val="18"/>
          <w:szCs w:val="18"/>
        </w:rPr>
        <w:t xml:space="preserve"> Corte Constitucional. Sentencia C-317 de 2012. M.P. María Victoria Calle Correa. </w:t>
      </w:r>
    </w:p>
    <w:p w14:paraId="5F1D1E14" w14:textId="77777777" w:rsidR="004074D3" w:rsidRPr="0030751E" w:rsidRDefault="004074D3" w:rsidP="004074D3">
      <w:pPr>
        <w:pStyle w:val="Textonotapie"/>
        <w:ind w:firstLine="709"/>
        <w:contextualSpacing/>
        <w:jc w:val="both"/>
        <w:rPr>
          <w:rFonts w:ascii="Verdana" w:hAnsi="Verdana" w:cs="Arial"/>
          <w:color w:val="000000"/>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17C8D8" w14:textId="77777777" w:rsidR="004074D3" w:rsidRDefault="004074D3"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455216A1" wp14:editId="793AE66B">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63A67F18" wp14:editId="0566AF0A">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5A80EFAB" w14:textId="77777777" w:rsidR="004074D3" w:rsidRDefault="004074D3">
    <w:pPr>
      <w:pStyle w:val="Encabezado"/>
    </w:pPr>
  </w:p>
  <w:p w14:paraId="1F774DDD" w14:textId="77777777" w:rsidR="004074D3" w:rsidRPr="004A305D" w:rsidRDefault="004074D3" w:rsidP="00B01B1A">
    <w:pPr>
      <w:spacing w:after="0" w:line="120" w:lineRule="auto"/>
      <w:rPr>
        <w:rFonts w:ascii="Century Gothic" w:eastAsia="Geo" w:hAnsi="Century Gothic" w:cs="Geo"/>
        <w:sz w:val="16"/>
        <w:szCs w:val="16"/>
        <w:lang w:eastAsia="es-CO"/>
      </w:rPr>
    </w:pPr>
  </w:p>
  <w:p w14:paraId="3EF2C97D" w14:textId="77777777" w:rsidR="004074D3" w:rsidRDefault="004074D3" w:rsidP="00844AE9">
    <w:pPr>
      <w:spacing w:after="0" w:line="240" w:lineRule="auto"/>
      <w:rPr>
        <w:rFonts w:ascii="Verdana" w:hAnsi="Verdana"/>
        <w:sz w:val="24"/>
        <w:szCs w:val="24"/>
      </w:rPr>
    </w:pPr>
  </w:p>
  <w:p w14:paraId="03288EB7" w14:textId="77777777" w:rsidR="004074D3" w:rsidRPr="00C925AC" w:rsidRDefault="004074D3" w:rsidP="00844AE9">
    <w:pPr>
      <w:spacing w:after="0" w:line="240" w:lineRule="auto"/>
      <w:rPr>
        <w:rFonts w:ascii="Verdana" w:hAnsi="Verdana"/>
        <w:sz w:val="24"/>
        <w:szCs w:val="24"/>
      </w:rPr>
    </w:pPr>
  </w:p>
  <w:p w14:paraId="45F7AED7" w14:textId="77777777" w:rsidR="004074D3" w:rsidRPr="00C925AC" w:rsidRDefault="004074D3"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874ED9"/>
    <w:multiLevelType w:val="hybridMultilevel"/>
    <w:tmpl w:val="2A4E5DCC"/>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47DF0835"/>
    <w:multiLevelType w:val="hybridMultilevel"/>
    <w:tmpl w:val="2B0CC114"/>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3" w15:restartNumberingAfterBreak="0">
    <w:nsid w:val="49B84DB5"/>
    <w:multiLevelType w:val="hybridMultilevel"/>
    <w:tmpl w:val="C9042FD4"/>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4" w15:restartNumberingAfterBreak="0">
    <w:nsid w:val="58C951BD"/>
    <w:multiLevelType w:val="hybridMultilevel"/>
    <w:tmpl w:val="F3BE6E52"/>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num w:numId="1" w16cid:durableId="679089576">
    <w:abstractNumId w:val="1"/>
  </w:num>
  <w:num w:numId="2" w16cid:durableId="51008611">
    <w:abstractNumId w:val="0"/>
  </w:num>
  <w:num w:numId="3" w16cid:durableId="766312792">
    <w:abstractNumId w:val="2"/>
  </w:num>
  <w:num w:numId="4" w16cid:durableId="1400206098">
    <w:abstractNumId w:val="3"/>
  </w:num>
  <w:num w:numId="5" w16cid:durableId="149529897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4D3"/>
    <w:rsid w:val="000B7ED6"/>
    <w:rsid w:val="004074D3"/>
    <w:rsid w:val="004D42FE"/>
    <w:rsid w:val="005727E1"/>
    <w:rsid w:val="005818E2"/>
    <w:rsid w:val="008B29A2"/>
    <w:rsid w:val="008E5C2E"/>
    <w:rsid w:val="00A739C5"/>
    <w:rsid w:val="00BE3128"/>
    <w:rsid w:val="00C25156"/>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1D2AFD"/>
  <w15:chartTrackingRefBased/>
  <w15:docId w15:val="{60BB00F5-49D6-4928-906E-B045F6B34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74D3"/>
    <w:rPr>
      <w:kern w:val="0"/>
      <w14:ligatures w14:val="none"/>
    </w:rPr>
  </w:style>
  <w:style w:type="paragraph" w:styleId="Ttulo1">
    <w:name w:val="heading 1"/>
    <w:basedOn w:val="Normal"/>
    <w:next w:val="Normal"/>
    <w:link w:val="Ttulo1Car"/>
    <w:uiPriority w:val="9"/>
    <w:qFormat/>
    <w:rsid w:val="004074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4074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4074D3"/>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4074D3"/>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4074D3"/>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4074D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074D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074D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074D3"/>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074D3"/>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4074D3"/>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4074D3"/>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4074D3"/>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4074D3"/>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4074D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074D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074D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074D3"/>
    <w:rPr>
      <w:rFonts w:eastAsiaTheme="majorEastAsia" w:cstheme="majorBidi"/>
      <w:color w:val="272727" w:themeColor="text1" w:themeTint="D8"/>
    </w:rPr>
  </w:style>
  <w:style w:type="paragraph" w:styleId="Ttulo">
    <w:name w:val="Title"/>
    <w:basedOn w:val="Normal"/>
    <w:next w:val="Normal"/>
    <w:link w:val="TtuloCar"/>
    <w:uiPriority w:val="10"/>
    <w:qFormat/>
    <w:rsid w:val="004074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074D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074D3"/>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074D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074D3"/>
    <w:pPr>
      <w:spacing w:before="160"/>
      <w:jc w:val="center"/>
    </w:pPr>
    <w:rPr>
      <w:i/>
      <w:iCs/>
      <w:color w:val="404040" w:themeColor="text1" w:themeTint="BF"/>
    </w:rPr>
  </w:style>
  <w:style w:type="character" w:customStyle="1" w:styleId="CitaCar">
    <w:name w:val="Cita Car"/>
    <w:basedOn w:val="Fuentedeprrafopredeter"/>
    <w:link w:val="Cita"/>
    <w:uiPriority w:val="29"/>
    <w:rsid w:val="004074D3"/>
    <w:rPr>
      <w:i/>
      <w:iCs/>
      <w:color w:val="404040" w:themeColor="text1" w:themeTint="BF"/>
    </w:rPr>
  </w:style>
  <w:style w:type="paragraph" w:styleId="Prrafodelista">
    <w:name w:val="List Paragraph"/>
    <w:basedOn w:val="Normal"/>
    <w:uiPriority w:val="34"/>
    <w:qFormat/>
    <w:rsid w:val="004074D3"/>
    <w:pPr>
      <w:ind w:left="720"/>
      <w:contextualSpacing/>
    </w:pPr>
  </w:style>
  <w:style w:type="character" w:styleId="nfasisintenso">
    <w:name w:val="Intense Emphasis"/>
    <w:basedOn w:val="Fuentedeprrafopredeter"/>
    <w:uiPriority w:val="21"/>
    <w:qFormat/>
    <w:rsid w:val="004074D3"/>
    <w:rPr>
      <w:i/>
      <w:iCs/>
      <w:color w:val="0F4761" w:themeColor="accent1" w:themeShade="BF"/>
    </w:rPr>
  </w:style>
  <w:style w:type="paragraph" w:styleId="Citadestacada">
    <w:name w:val="Intense Quote"/>
    <w:basedOn w:val="Normal"/>
    <w:next w:val="Normal"/>
    <w:link w:val="CitadestacadaCar"/>
    <w:uiPriority w:val="30"/>
    <w:qFormat/>
    <w:rsid w:val="004074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4074D3"/>
    <w:rPr>
      <w:i/>
      <w:iCs/>
      <w:color w:val="0F4761" w:themeColor="accent1" w:themeShade="BF"/>
    </w:rPr>
  </w:style>
  <w:style w:type="character" w:styleId="Referenciaintensa">
    <w:name w:val="Intense Reference"/>
    <w:basedOn w:val="Fuentedeprrafopredeter"/>
    <w:uiPriority w:val="32"/>
    <w:qFormat/>
    <w:rsid w:val="004074D3"/>
    <w:rPr>
      <w:b/>
      <w:bCs/>
      <w:smallCaps/>
      <w:color w:val="0F4761" w:themeColor="accent1" w:themeShade="BF"/>
      <w:spacing w:val="5"/>
    </w:rPr>
  </w:style>
  <w:style w:type="paragraph" w:styleId="Encabezado">
    <w:name w:val="header"/>
    <w:basedOn w:val="Normal"/>
    <w:link w:val="EncabezadoCar"/>
    <w:uiPriority w:val="99"/>
    <w:unhideWhenUsed/>
    <w:rsid w:val="004074D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074D3"/>
    <w:rPr>
      <w:kern w:val="0"/>
      <w14:ligatures w14:val="none"/>
    </w:rPr>
  </w:style>
  <w:style w:type="paragraph" w:styleId="Piedepgina">
    <w:name w:val="footer"/>
    <w:basedOn w:val="Normal"/>
    <w:link w:val="PiedepginaCar"/>
    <w:uiPriority w:val="99"/>
    <w:unhideWhenUsed/>
    <w:rsid w:val="004074D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074D3"/>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4074D3"/>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4074D3"/>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4074D3"/>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4074D3"/>
    <w:rPr>
      <w:vertAlign w:val="superscript"/>
    </w:rPr>
  </w:style>
  <w:style w:type="table" w:styleId="Tablaconcuadrcula">
    <w:name w:val="Table Grid"/>
    <w:basedOn w:val="Tablanormal"/>
    <w:uiPriority w:val="39"/>
    <w:qFormat/>
    <w:rsid w:val="004074D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4074D3"/>
    <w:rPr>
      <w:color w:val="0000FF"/>
      <w:u w:val="single"/>
    </w:rPr>
  </w:style>
  <w:style w:type="paragraph" w:customStyle="1" w:styleId="Appelnotedebasde">
    <w:name w:val="Appel note de bas de..."/>
    <w:basedOn w:val="Normal"/>
    <w:link w:val="Refdenotaalpie"/>
    <w:uiPriority w:val="99"/>
    <w:rsid w:val="004074D3"/>
    <w:pPr>
      <w:spacing w:line="240" w:lineRule="exact"/>
    </w:pPr>
    <w:rPr>
      <w:kern w:val="2"/>
      <w:vertAlign w:val="superscript"/>
      <w14:ligatures w14:val="standardContextual"/>
    </w:rPr>
  </w:style>
  <w:style w:type="table" w:customStyle="1" w:styleId="Tablaconcuadrcula11">
    <w:name w:val="Tabla con cuadrícula11"/>
    <w:basedOn w:val="Tablanormal"/>
    <w:next w:val="Tablaconcuadrcula"/>
    <w:uiPriority w:val="59"/>
    <w:qFormat/>
    <w:rsid w:val="004074D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semiHidden/>
    <w:unhideWhenUsed/>
    <w:rsid w:val="004074D3"/>
    <w:pPr>
      <w:spacing w:after="120"/>
    </w:pPr>
  </w:style>
  <w:style w:type="character" w:customStyle="1" w:styleId="TextoindependienteCar">
    <w:name w:val="Texto independiente Car"/>
    <w:basedOn w:val="Fuentedeprrafopredeter"/>
    <w:link w:val="Textoindependiente"/>
    <w:uiPriority w:val="99"/>
    <w:semiHidden/>
    <w:rsid w:val="004074D3"/>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espe@serviciodeempleo.gov.c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chrome-extension://efaidnbmnnnibpcajpcglclefindmkaj/https:/www.colombiacompra.gov.co/wp-content/uploads/2024/08/2018-Guia-para-el-ejercicio-de-las-funciones-de-supervision-e-interventoria-de-los-contratos-suscritos-por-las-Entidades-Estatales-G-EFSICE-02.pdf" TargetMode="External"/><Relationship Id="rId2" Type="http://schemas.openxmlformats.org/officeDocument/2006/relationships/hyperlink" Target="chrome-extension://efaidnbmnnnibpcajpcglclefindmkaj/https:/www.colombiacompra.gov.co/wp-content/uploads/2025/09/Guia-para-la-Elaboracion-de-Estudios-del-Sector-V3.pdf" TargetMode="External"/><Relationship Id="rId1" Type="http://schemas.openxmlformats.org/officeDocument/2006/relationships/hyperlink" Target="https://sintesis.colombiacompra.gov.co/sintesis/9-etapa-precontractual-estudios-previ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96FDE8C-470A-40C9-BF21-7556792FCD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3C20F16-43EC-4F61-B527-CC3EECD354B7}">
  <ds:schemaRefs>
    <ds:schemaRef ds:uri="http://schemas.microsoft.com/sharepoint/v3/contenttype/forms"/>
  </ds:schemaRefs>
</ds:datastoreItem>
</file>

<file path=customXml/itemProps3.xml><?xml version="1.0" encoding="utf-8"?>
<ds:datastoreItem xmlns:ds="http://schemas.openxmlformats.org/officeDocument/2006/customXml" ds:itemID="{E2D26A63-C370-4289-9673-D94BBBD46D91}">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6905</Words>
  <Characters>37981</Characters>
  <Application>Microsoft Office Word</Application>
  <DocSecurity>0</DocSecurity>
  <Lines>316</Lines>
  <Paragraphs>89</Paragraphs>
  <ScaleCrop>false</ScaleCrop>
  <Company/>
  <LinksUpToDate>false</LinksUpToDate>
  <CharactersWithSpaces>44797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Nasly Yeana Mosquera Rivas</cp:lastModifiedBy>
  <cp:revision>2</cp:revision>
  <dcterms:created xsi:type="dcterms:W3CDTF">2026-05-08T16:18:00Z</dcterms:created>
  <dcterms:modified xsi:type="dcterms:W3CDTF">2026-05-08T16:18:00Z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