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7C1D38" w14:textId="77777777" w:rsidR="000938C1" w:rsidRDefault="000938C1" w:rsidP="000938C1">
      <w:pPr>
        <w:snapToGrid w:val="0"/>
        <w:spacing w:after="0" w:line="240" w:lineRule="auto"/>
        <w:contextualSpacing/>
        <w:jc w:val="both"/>
        <w:rPr>
          <w:rFonts w:ascii="Verdana" w:eastAsia="Aptos" w:hAnsi="Verdana" w:cs="Arial"/>
          <w:b/>
          <w:bCs/>
          <w:kern w:val="2"/>
          <w:lang w:val="es-MX"/>
          <w14:ligatures w14:val="standardContextual"/>
        </w:rPr>
      </w:pPr>
      <w:r w:rsidRPr="007A2BBB">
        <w:rPr>
          <w:rFonts w:ascii="Verdana" w:eastAsia="Aptos" w:hAnsi="Verdana" w:cs="Arial"/>
          <w:b/>
          <w:bCs/>
          <w:kern w:val="2"/>
          <w:lang w:val="es-MX"/>
          <w14:ligatures w14:val="standardContextual"/>
        </w:rPr>
        <w:t>CONTRATO DE INTERVENTORÍA – Características – Finalidad</w:t>
      </w:r>
    </w:p>
    <w:p w14:paraId="6779CDB3" w14:textId="77777777" w:rsidR="000938C1" w:rsidRPr="00753814" w:rsidRDefault="000938C1" w:rsidP="000938C1">
      <w:pPr>
        <w:tabs>
          <w:tab w:val="left" w:pos="709"/>
        </w:tabs>
        <w:snapToGrid w:val="0"/>
        <w:spacing w:after="0" w:line="240" w:lineRule="auto"/>
        <w:contextualSpacing/>
        <w:jc w:val="both"/>
        <w:rPr>
          <w:rFonts w:ascii="Verdana" w:eastAsia="Aptos" w:hAnsi="Verdana" w:cs="Arial"/>
          <w:bCs/>
          <w:sz w:val="20"/>
          <w:szCs w:val="20"/>
        </w:rPr>
      </w:pPr>
    </w:p>
    <w:p w14:paraId="46D53C7F" w14:textId="77777777" w:rsidR="000938C1" w:rsidRPr="00A90B76" w:rsidRDefault="000938C1" w:rsidP="000938C1">
      <w:pPr>
        <w:tabs>
          <w:tab w:val="left" w:pos="709"/>
        </w:tabs>
        <w:snapToGrid w:val="0"/>
        <w:spacing w:after="0" w:line="240" w:lineRule="auto"/>
        <w:contextualSpacing/>
        <w:jc w:val="both"/>
        <w:rPr>
          <w:rFonts w:ascii="Verdana" w:eastAsia="Aptos" w:hAnsi="Verdana" w:cs="Arial"/>
          <w:bCs/>
          <w:sz w:val="20"/>
          <w:szCs w:val="20"/>
        </w:rPr>
      </w:pPr>
      <w:r w:rsidRPr="00A90B76">
        <w:rPr>
          <w:rFonts w:ascii="Verdana" w:eastAsia="Aptos" w:hAnsi="Verdana" w:cs="Arial"/>
          <w:bCs/>
          <w:sz w:val="20"/>
          <w:szCs w:val="20"/>
        </w:rPr>
        <w:t>De este modo, 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(ii) También es un mecanismo de vigilancia que exige, en su ejecución, la utilización de conocimientos especializados. (iii) Por lo anterior, la entidad contrata un experto, por regla general, mediante la modalidad de selección de concurso de méritos, al tratarse de una especie del contrato de consultoría –art. 32, numeral 2, inciso 2, Ley 80 de 1993‒, de manera que la interventoría es realizada por “una persona natural o jurídica contratada para tal fin por la Entidad Estatal” –art. 83, Ley 1474–. Adicionalmente, (iv) el seguimiento técnico es inherente a la interventoría para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Finalmente, (v) en caso de que no se encomiende al interventor el seguimiento total del contrato, en el contrato de interventoría “se deberán indicar las actividades técnicas a cargo del interventor y las demás quedarán a cargo de la Entidad a través del supervisor” –art. 83, inciso 3–. En cualquier caso (vi) el contrato de interventoría será supervisado directamente por la entidad –art. 23, inciso 4–.</w:t>
      </w:r>
    </w:p>
    <w:p w14:paraId="7D7EA043" w14:textId="77777777" w:rsidR="000938C1" w:rsidRPr="007A2BBB" w:rsidRDefault="000938C1" w:rsidP="000938C1">
      <w:pPr>
        <w:snapToGrid w:val="0"/>
        <w:spacing w:after="0" w:line="240" w:lineRule="auto"/>
        <w:contextualSpacing/>
        <w:jc w:val="both"/>
        <w:rPr>
          <w:rFonts w:ascii="Verdana" w:eastAsia="Aptos" w:hAnsi="Verdana" w:cs="Arial"/>
          <w:b/>
          <w:bCs/>
          <w:kern w:val="2"/>
          <w:lang w:val="es-MX"/>
          <w14:ligatures w14:val="standardContextual"/>
        </w:rPr>
      </w:pPr>
    </w:p>
    <w:p w14:paraId="7DD71928" w14:textId="77777777" w:rsidR="000938C1" w:rsidRDefault="000938C1" w:rsidP="000938C1">
      <w:pPr>
        <w:snapToGrid w:val="0"/>
        <w:spacing w:after="0" w:line="240" w:lineRule="auto"/>
        <w:contextualSpacing/>
        <w:jc w:val="both"/>
        <w:rPr>
          <w:rFonts w:ascii="Verdana" w:eastAsia="Geomanist Light" w:hAnsi="Verdana" w:cs="Arial"/>
          <w:b/>
          <w:bCs/>
          <w:lang w:val="es-MX"/>
        </w:rPr>
      </w:pPr>
      <w:r w:rsidRPr="007A2BBB">
        <w:rPr>
          <w:rFonts w:ascii="Verdana" w:eastAsia="Geomanist Light" w:hAnsi="Verdana" w:cs="Arial"/>
          <w:b/>
          <w:bCs/>
          <w:lang w:val="es-MX"/>
        </w:rPr>
        <w:t>CONTRATO DE INTERVENTORÍA – Término – Plazo – Contrato objeto de seguimiento</w:t>
      </w:r>
    </w:p>
    <w:p w14:paraId="3FED063F" w14:textId="77777777" w:rsidR="000938C1" w:rsidRDefault="000938C1" w:rsidP="000938C1">
      <w:pPr>
        <w:snapToGrid w:val="0"/>
        <w:spacing w:after="0" w:line="240" w:lineRule="auto"/>
        <w:contextualSpacing/>
        <w:jc w:val="both"/>
        <w:rPr>
          <w:rFonts w:ascii="Verdana" w:eastAsia="Geomanist Light" w:hAnsi="Verdana" w:cs="Arial"/>
          <w:b/>
          <w:bCs/>
          <w:lang w:val="es-MX"/>
        </w:rPr>
      </w:pPr>
    </w:p>
    <w:p w14:paraId="03157C54" w14:textId="77777777" w:rsidR="000938C1" w:rsidRPr="00A90B76" w:rsidRDefault="000938C1" w:rsidP="000938C1">
      <w:pPr>
        <w:pStyle w:val="Sinespaciado"/>
        <w:snapToGrid w:val="0"/>
        <w:contextualSpacing/>
        <w:jc w:val="both"/>
        <w:rPr>
          <w:rFonts w:ascii="Verdana" w:hAnsi="Verdana" w:cs="Arial"/>
          <w:sz w:val="20"/>
          <w:szCs w:val="20"/>
        </w:rPr>
      </w:pPr>
      <w:r w:rsidRPr="00A90B76">
        <w:rPr>
          <w:rFonts w:ascii="Verdana" w:eastAsia="Calibri" w:hAnsi="Verdana" w:cs="Arial"/>
          <w:color w:val="000000"/>
          <w:kern w:val="2"/>
          <w:sz w:val="20"/>
          <w:szCs w:val="20"/>
          <w14:ligatures w14:val="standardContextual"/>
        </w:rPr>
        <w:t xml:space="preserve">Ahora bien, 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 No obstante, a pesar de lo anterior, el contrato de interventoría es </w:t>
      </w:r>
      <w:r w:rsidRPr="00A90B76">
        <w:rPr>
          <w:rFonts w:ascii="Verdana" w:eastAsia="Calibri" w:hAnsi="Verdana" w:cs="Arial"/>
          <w:i/>
          <w:iCs/>
          <w:color w:val="000000"/>
          <w:kern w:val="2"/>
          <w:sz w:val="20"/>
          <w:szCs w:val="20"/>
          <w14:ligatures w14:val="standardContextual"/>
        </w:rPr>
        <w:t xml:space="preserve">independiente del otro contrato </w:t>
      </w:r>
      <w:r w:rsidRPr="00A90B76">
        <w:rPr>
          <w:rFonts w:ascii="Verdana" w:eastAsia="Calibri" w:hAnsi="Verdana" w:cs="Arial"/>
          <w:color w:val="000000"/>
          <w:kern w:val="2"/>
          <w:sz w:val="20"/>
          <w:szCs w:val="20"/>
          <w14:ligatures w14:val="standardContextual"/>
        </w:rPr>
        <w:t xml:space="preserve">en aspectos específicos como, por ejemplo, la prórroga y el incumplimiento. En efecto, la prórroga de la obra no implica de suyo la del interventor, aunque puede realizarse cumpliendo las solemnidades de ley; además, el incumplimiento del contrato vigilado, como lo sería un contrato de obra, no significa por sí solo el incumplimiento del de interventoría.  </w:t>
      </w:r>
    </w:p>
    <w:p w14:paraId="6A4F4308" w14:textId="77777777" w:rsidR="000938C1" w:rsidRPr="00DA231C" w:rsidRDefault="000938C1" w:rsidP="000938C1">
      <w:pPr>
        <w:spacing w:after="0" w:line="240" w:lineRule="auto"/>
        <w:contextualSpacing/>
        <w:jc w:val="both"/>
        <w:rPr>
          <w:rFonts w:ascii="Verdana" w:eastAsia="Calibri" w:hAnsi="Verdana" w:cs="Arial"/>
          <w:b/>
          <w:bCs/>
          <w:color w:val="7030A0"/>
          <w:kern w:val="2"/>
          <w:sz w:val="20"/>
          <w:szCs w:val="20"/>
          <w:lang w:val="es-MX"/>
          <w14:ligatures w14:val="standardContextual"/>
        </w:rPr>
      </w:pPr>
    </w:p>
    <w:p w14:paraId="7DCB83AA" w14:textId="77777777" w:rsidR="000938C1" w:rsidRPr="000239A6" w:rsidRDefault="000938C1" w:rsidP="000938C1">
      <w:pPr>
        <w:spacing w:after="0" w:line="240" w:lineRule="auto"/>
        <w:contextualSpacing/>
        <w:jc w:val="both"/>
        <w:rPr>
          <w:rFonts w:ascii="Verdana" w:eastAsia="Calibri" w:hAnsi="Verdana" w:cs="Arial"/>
          <w:b/>
          <w:bCs/>
          <w:sz w:val="20"/>
          <w:szCs w:val="20"/>
          <w:lang w:val="es-MX" w:eastAsia="es-ES_tradnl"/>
          <w14:ligatures w14:val="standardContextual"/>
        </w:rPr>
      </w:pPr>
    </w:p>
    <w:p w14:paraId="038707F9" w14:textId="77777777" w:rsidR="000938C1" w:rsidRPr="000239A6" w:rsidRDefault="000938C1" w:rsidP="000938C1">
      <w:pPr>
        <w:spacing w:after="0" w:line="240" w:lineRule="auto"/>
        <w:contextualSpacing/>
        <w:jc w:val="both"/>
        <w:rPr>
          <w:rFonts w:ascii="Verdana" w:eastAsia="Calibri" w:hAnsi="Verdana" w:cs="Arial"/>
          <w:b/>
          <w:bCs/>
          <w:lang w:val="es-MX" w:eastAsia="es-ES_tradnl"/>
          <w14:ligatures w14:val="standardContextual"/>
        </w:rPr>
      </w:pPr>
      <w:r w:rsidRPr="000239A6">
        <w:rPr>
          <w:rFonts w:ascii="Verdana" w:eastAsia="Calibri" w:hAnsi="Verdana" w:cs="Arial"/>
          <w:b/>
          <w:bCs/>
          <w:lang w:val="es-MX" w:eastAsia="es-ES_tradnl"/>
          <w14:ligatures w14:val="standardContextual"/>
        </w:rPr>
        <w:t xml:space="preserve">DETERMINACIÓN DEL VALOR DEL CONTRATO – Etapa de planeación – Metodologías </w:t>
      </w:r>
    </w:p>
    <w:p w14:paraId="6E498EA1" w14:textId="77777777" w:rsidR="000938C1" w:rsidRPr="000239A6" w:rsidRDefault="000938C1" w:rsidP="000938C1">
      <w:pPr>
        <w:spacing w:after="0" w:line="240" w:lineRule="auto"/>
        <w:contextualSpacing/>
        <w:jc w:val="both"/>
        <w:rPr>
          <w:rFonts w:ascii="Verdana" w:eastAsia="Calibri" w:hAnsi="Verdana" w:cs="Arial"/>
          <w:b/>
          <w:bCs/>
          <w:sz w:val="20"/>
          <w:szCs w:val="20"/>
          <w:lang w:val="es-MX" w:eastAsia="es-ES_tradnl"/>
          <w14:ligatures w14:val="standardContextual"/>
        </w:rPr>
      </w:pPr>
    </w:p>
    <w:p w14:paraId="16F1B904" w14:textId="77777777" w:rsidR="000938C1" w:rsidRDefault="000938C1" w:rsidP="000938C1">
      <w:pPr>
        <w:spacing w:after="0" w:line="240" w:lineRule="auto"/>
        <w:contextualSpacing/>
        <w:jc w:val="both"/>
        <w:rPr>
          <w:rFonts w:ascii="Verdana" w:eastAsia="Times New Roman" w:hAnsi="Verdana" w:cs="Arial"/>
          <w:noProof/>
          <w:sz w:val="20"/>
          <w:szCs w:val="20"/>
          <w:lang w:val="es-ES_tradnl" w:eastAsia="es-ES_tradnl"/>
          <w14:ligatures w14:val="standardContextual"/>
        </w:rPr>
      </w:pPr>
      <w:r w:rsidRPr="000239A6">
        <w:rPr>
          <w:rFonts w:ascii="Verdana" w:eastAsia="Times New Roman" w:hAnsi="Verdana" w:cs="Arial"/>
          <w:noProof/>
          <w:sz w:val="20"/>
          <w:szCs w:val="20"/>
          <w:lang w:val="es-ES_tradnl" w:eastAsia="es-ES_tradnl"/>
          <w14:ligatures w14:val="standardContextual"/>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w:t>
      </w:r>
      <w:r w:rsidRPr="000239A6">
        <w:rPr>
          <w:rFonts w:ascii="Verdana" w:eastAsia="Times New Roman" w:hAnsi="Verdana" w:cs="Arial"/>
          <w:noProof/>
          <w:sz w:val="20"/>
          <w:szCs w:val="20"/>
          <w:lang w:val="es-ES_tradnl" w:eastAsia="es-ES_tradnl"/>
          <w14:ligatures w14:val="standardContextual"/>
        </w:rPr>
        <w:lastRenderedPageBreak/>
        <w:t>esquema que la Administración usará para estipular el precio. Tal metodología generalmente depende del tipo de contrato, pues hay algunas modalidades más comunes en los de obra pública; otras más utilizadas en los de prestación de servicios y otras más indicadas epara los de concesión, por mencionar algunos ejemplos.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por la realización integral del objeto del contrato, sin discriminar unidades–, y iii) la administración delegada de recursos –en la que se distinguen los costos de inversión de los honorarios del administrador–.</w:t>
      </w:r>
    </w:p>
    <w:p w14:paraId="5253921D" w14:textId="77777777" w:rsidR="000938C1" w:rsidRPr="000D46EB" w:rsidRDefault="000938C1" w:rsidP="000938C1">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6B193D32" w14:textId="77777777" w:rsidR="000938C1" w:rsidRPr="000239A6" w:rsidRDefault="000938C1" w:rsidP="000938C1">
      <w:pPr>
        <w:spacing w:after="0" w:line="240" w:lineRule="auto"/>
        <w:contextualSpacing/>
        <w:jc w:val="both"/>
        <w:rPr>
          <w:rFonts w:ascii="Verdana" w:eastAsia="Calibri" w:hAnsi="Verdana" w:cs="Arial"/>
          <w:b/>
          <w:bCs/>
          <w:lang w:val="es-MX" w:eastAsia="es-ES_tradnl"/>
          <w14:ligatures w14:val="standardContextual"/>
        </w:rPr>
      </w:pPr>
      <w:r w:rsidRPr="000239A6">
        <w:rPr>
          <w:rFonts w:ascii="Verdana" w:eastAsia="Calibri" w:hAnsi="Verdana" w:cs="Arial"/>
          <w:b/>
          <w:bCs/>
          <w:lang w:val="es-MX" w:eastAsia="es-ES_tradnl"/>
          <w14:ligatures w14:val="standardContextual"/>
        </w:rPr>
        <w:t>SISTEMA DE FACTOR MULTIPLICADOR – Noción – Costos directos – Imputables al contrato</w:t>
      </w:r>
    </w:p>
    <w:p w14:paraId="424D9F20" w14:textId="77777777" w:rsidR="000938C1" w:rsidRPr="000239A6" w:rsidRDefault="000938C1" w:rsidP="000938C1">
      <w:pPr>
        <w:spacing w:after="0" w:line="240" w:lineRule="auto"/>
        <w:contextualSpacing/>
        <w:jc w:val="both"/>
        <w:rPr>
          <w:rFonts w:ascii="Verdana" w:eastAsia="Times New Roman" w:hAnsi="Verdana" w:cs="Arial"/>
          <w:noProof/>
          <w:sz w:val="20"/>
          <w:szCs w:val="20"/>
          <w:lang w:val="es-ES_tradnl" w:eastAsia="es-ES_tradnl"/>
          <w14:ligatures w14:val="standardContextual"/>
        </w:rPr>
      </w:pPr>
    </w:p>
    <w:p w14:paraId="36DE611F" w14:textId="77777777" w:rsidR="000938C1" w:rsidRPr="000239A6" w:rsidRDefault="000938C1" w:rsidP="000938C1">
      <w:pPr>
        <w:spacing w:after="0" w:line="240" w:lineRule="auto"/>
        <w:jc w:val="both"/>
        <w:rPr>
          <w:rFonts w:ascii="Verdana" w:eastAsia="Geomanist Light" w:hAnsi="Verdana" w:cs="Arial"/>
          <w:sz w:val="20"/>
          <w:szCs w:val="20"/>
          <w:lang w:val="es-MX"/>
        </w:rPr>
      </w:pPr>
      <w:r w:rsidRPr="000239A6">
        <w:rPr>
          <w:rFonts w:ascii="Verdana" w:eastAsia="Times New Roman" w:hAnsi="Verdana" w:cs="Arial"/>
          <w:noProof/>
          <w:sz w:val="20"/>
          <w:szCs w:val="20"/>
          <w:lang w:val="es-ES_tradnl" w:eastAsia="es-ES_tradnl"/>
          <w14:ligatures w14:val="standardContextual"/>
        </w:rPr>
        <w:t>[…] el factor multiplicador es una metodología permite imputar al contrato los costos directos asociados a prestaciones laborales y sociales del personal vinculado con carácter exclusivo al proyecto, la utilidad del ingeniero y los costos de administración asociados al personal, afectando el valor parcial de la oferta por un factor multiplicador .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w:t>
      </w:r>
    </w:p>
    <w:p w14:paraId="0C40BB94" w14:textId="77777777" w:rsidR="000938C1" w:rsidRPr="000D46EB" w:rsidRDefault="000938C1" w:rsidP="000938C1">
      <w:pPr>
        <w:spacing w:after="120" w:line="276" w:lineRule="auto"/>
        <w:jc w:val="both"/>
        <w:rPr>
          <w:rFonts w:ascii="Verdana" w:eastAsia="Calibri" w:hAnsi="Verdana" w:cs="Arial"/>
          <w:color w:val="7030A0"/>
          <w:sz w:val="20"/>
          <w:szCs w:val="20"/>
          <w:lang w:val="es-MX"/>
        </w:rPr>
      </w:pPr>
    </w:p>
    <w:p w14:paraId="2A68E406" w14:textId="77777777" w:rsidR="000938C1" w:rsidRPr="000239A6" w:rsidRDefault="000938C1" w:rsidP="000938C1">
      <w:pPr>
        <w:spacing w:after="0" w:line="240" w:lineRule="auto"/>
        <w:jc w:val="both"/>
        <w:rPr>
          <w:rFonts w:ascii="Verdana" w:eastAsia="Calibri" w:hAnsi="Verdana" w:cs="Arial"/>
          <w:b/>
          <w:bCs/>
          <w:lang w:val="es-ES" w:eastAsia="es-ES"/>
        </w:rPr>
      </w:pPr>
      <w:r w:rsidRPr="000239A6">
        <w:rPr>
          <w:rFonts w:ascii="Verdana" w:eastAsia="Calibri" w:hAnsi="Verdana" w:cs="Arial"/>
          <w:b/>
          <w:bCs/>
        </w:rPr>
        <w:t>FACTOR MULTIPLICADOR – Costos – Determinación</w:t>
      </w:r>
    </w:p>
    <w:p w14:paraId="15008A0E" w14:textId="77777777" w:rsidR="000938C1" w:rsidRDefault="000938C1" w:rsidP="000938C1">
      <w:pPr>
        <w:spacing w:after="0" w:line="240" w:lineRule="auto"/>
        <w:jc w:val="both"/>
        <w:rPr>
          <w:rFonts w:ascii="Verdana" w:eastAsia="Geomanist Light" w:hAnsi="Verdana" w:cs="Arial"/>
          <w:sz w:val="20"/>
          <w:szCs w:val="20"/>
          <w:lang w:val="es-MX"/>
        </w:rPr>
      </w:pPr>
    </w:p>
    <w:p w14:paraId="50BD06B0" w14:textId="77777777" w:rsidR="000938C1" w:rsidRPr="000239A6" w:rsidRDefault="000938C1" w:rsidP="000938C1">
      <w:pPr>
        <w:spacing w:after="0" w:line="240" w:lineRule="auto"/>
        <w:jc w:val="both"/>
        <w:rPr>
          <w:rFonts w:ascii="Verdana" w:eastAsia="Geomanist Light" w:hAnsi="Verdana" w:cs="Arial"/>
          <w:sz w:val="20"/>
          <w:szCs w:val="20"/>
          <w:lang w:val="es-MX"/>
        </w:rPr>
      </w:pPr>
      <w:r>
        <w:rPr>
          <w:rFonts w:ascii="Verdana" w:eastAsia="Calibri" w:hAnsi="Verdana" w:cs="Arial"/>
          <w:color w:val="000000"/>
          <w:sz w:val="20"/>
          <w:szCs w:val="20"/>
          <w:lang w:val="es-MX"/>
        </w:rPr>
        <w:t>S</w:t>
      </w:r>
      <w:r w:rsidRPr="000239A6">
        <w:rPr>
          <w:rFonts w:ascii="Verdana" w:eastAsia="Calibri" w:hAnsi="Verdana" w:cs="Arial"/>
          <w:color w:val="000000"/>
          <w:sz w:val="20"/>
          <w:szCs w:val="20"/>
        </w:rPr>
        <w:t xml:space="preserve">i el factor multiplicador se usa para determinar costos, el contratista debe demostrar el gasto de cada componente. Si ciertos costos no se generan (por ejemplo, si el personal no requiere prestaciones), el contrato debería modificarse para reducir el % correspondiente. Si la interventoría presentó un informe de proyección de gastos, pero este no fue parte del contrato, la entidad aún puede exigirle soportes de gastos reales. Si los costos directos (ejemplo: nómina, laboratorios) son menores a lo presupuestado, el saldo no ejecutado debería liberarse y no ser facturado sin justificación. En conclusión, los valores facturados deben corresponder a costos reales soportados. </w:t>
      </w:r>
    </w:p>
    <w:p w14:paraId="7EB67257" w14:textId="77777777" w:rsidR="000938C1" w:rsidRPr="00867B9D" w:rsidRDefault="000938C1" w:rsidP="000938C1">
      <w:pPr>
        <w:spacing w:after="120" w:line="240" w:lineRule="auto"/>
        <w:jc w:val="both"/>
        <w:rPr>
          <w:rFonts w:ascii="Verdana" w:eastAsia="Calibri" w:hAnsi="Verdana" w:cs="Arial"/>
          <w:b/>
          <w:bCs/>
          <w:color w:val="7030A0"/>
          <w:lang w:val="es-MX" w:eastAsia="es-ES"/>
        </w:rPr>
      </w:pPr>
    </w:p>
    <w:p w14:paraId="384D5CBB" w14:textId="77777777" w:rsidR="000938C1" w:rsidRPr="000074E1" w:rsidRDefault="000938C1" w:rsidP="000938C1">
      <w:pPr>
        <w:spacing w:after="120" w:line="240" w:lineRule="auto"/>
        <w:jc w:val="both"/>
        <w:rPr>
          <w:rFonts w:ascii="Verdana" w:eastAsia="Calibri" w:hAnsi="Verdana" w:cs="Arial"/>
          <w:b/>
          <w:bCs/>
          <w:color w:val="7030A0"/>
          <w:lang w:val="es-ES_tradnl" w:eastAsia="es-ES"/>
        </w:rPr>
      </w:pPr>
    </w:p>
    <w:p w14:paraId="191E080F" w14:textId="77777777" w:rsidR="00AA4095" w:rsidRDefault="00AA4095" w:rsidP="000F2DDE">
      <w:pPr>
        <w:spacing w:after="0"/>
        <w:rPr>
          <w:rFonts w:ascii="Verdana" w:hAnsi="Verdana"/>
        </w:rPr>
      </w:pPr>
    </w:p>
    <w:p w14:paraId="060BF07F" w14:textId="77777777" w:rsidR="00AA4095" w:rsidRDefault="00AA4095" w:rsidP="000F2DDE">
      <w:pPr>
        <w:spacing w:after="0"/>
        <w:rPr>
          <w:rFonts w:ascii="Verdana" w:hAnsi="Verdana"/>
        </w:rPr>
      </w:pPr>
    </w:p>
    <w:p w14:paraId="48FD0EBA" w14:textId="77777777" w:rsidR="00AA4095" w:rsidRDefault="00AA4095" w:rsidP="000F2DDE">
      <w:pPr>
        <w:spacing w:after="0"/>
        <w:rPr>
          <w:rFonts w:ascii="Verdana" w:hAnsi="Verdana"/>
        </w:rPr>
      </w:pPr>
    </w:p>
    <w:p w14:paraId="13168590" w14:textId="22286792" w:rsidR="000F2DDE" w:rsidRDefault="000F2DDE" w:rsidP="000F2DDE">
      <w:pPr>
        <w:spacing w:after="0"/>
        <w:rPr>
          <w:rFonts w:ascii="Verdana" w:hAnsi="Verdana"/>
        </w:rPr>
      </w:pPr>
      <w:r w:rsidRPr="0007332F">
        <w:rPr>
          <w:rFonts w:ascii="Verdana" w:hAnsi="Verdana"/>
        </w:rPr>
        <w:lastRenderedPageBreak/>
        <w:t xml:space="preserve">Bogotá D.C., </w:t>
      </w:r>
      <w:r w:rsidR="000938C1">
        <w:rPr>
          <w:rFonts w:ascii="Verdana" w:hAnsi="Verdana"/>
        </w:rPr>
        <w:t>11</w:t>
      </w:r>
      <w:r w:rsidR="00B03DCE">
        <w:rPr>
          <w:rFonts w:ascii="Verdana" w:hAnsi="Verdana"/>
        </w:rPr>
        <w:t xml:space="preserve"> Mayo 2026</w:t>
      </w:r>
    </w:p>
    <w:p w14:paraId="620EA141" w14:textId="5DD78AA3" w:rsidR="000F2DDE" w:rsidRPr="0007332F" w:rsidRDefault="000F2DDE" w:rsidP="000F2DDE">
      <w:pPr>
        <w:spacing w:after="0"/>
        <w:rPr>
          <w:rFonts w:ascii="Verdana" w:hAnsi="Verdana"/>
          <w:lang w:val="es-ES"/>
        </w:rPr>
      </w:pPr>
    </w:p>
    <w:p w14:paraId="664D2070" w14:textId="25A28931" w:rsidR="000F2DDE" w:rsidRPr="008A7B4B" w:rsidRDefault="000F2DDE" w:rsidP="000F2DDE">
      <w:pPr>
        <w:spacing w:after="0" w:line="240" w:lineRule="auto"/>
        <w:rPr>
          <w:rFonts w:ascii="Verdana" w:hAnsi="Verdana"/>
          <w:lang w:val="es-ES"/>
        </w:rPr>
      </w:pPr>
      <w:bookmarkStart w:id="0" w:name="_Hlk143780582"/>
      <w:r w:rsidRPr="0007332F">
        <w:rPr>
          <w:rFonts w:ascii="Verdana" w:eastAsia="Calibri" w:hAnsi="Verdana" w:cs="Arial"/>
          <w:lang w:val="es-ES" w:eastAsia="es-ES"/>
        </w:rPr>
        <w:t>Señora</w:t>
      </w:r>
      <w:r w:rsidR="008A7B4B" w:rsidRPr="008A7B4B">
        <w:rPr>
          <w:noProof/>
        </w:rPr>
        <w:t xml:space="preserve"> </w:t>
      </w:r>
    </w:p>
    <w:p w14:paraId="37E2631F" w14:textId="6775DAD7" w:rsidR="000F2DDE" w:rsidRDefault="008A7B4B" w:rsidP="000F2DDE">
      <w:pPr>
        <w:spacing w:after="0"/>
        <w:rPr>
          <w:rFonts w:ascii="Verdana" w:eastAsia="Calibri" w:hAnsi="Verdana" w:cs="Arial"/>
          <w:b/>
          <w:bCs/>
          <w:lang w:eastAsia="es-ES"/>
        </w:rPr>
      </w:pPr>
      <w:r w:rsidRPr="008A7B4B">
        <w:rPr>
          <w:rFonts w:ascii="Verdana" w:eastAsia="Calibri" w:hAnsi="Verdana" w:cs="Arial"/>
          <w:noProof/>
          <w:lang w:val="es-ES" w:eastAsia="es-ES"/>
        </w:rPr>
        <w:drawing>
          <wp:anchor distT="0" distB="0" distL="114300" distR="114300" simplePos="0" relativeHeight="251659264" behindDoc="1" locked="0" layoutInCell="1" allowOverlap="1" wp14:anchorId="421B0CC2" wp14:editId="2F59533B">
            <wp:simplePos x="0" y="0"/>
            <wp:positionH relativeFrom="margin">
              <wp:align>right</wp:align>
            </wp:positionH>
            <wp:positionV relativeFrom="paragraph">
              <wp:posOffset>31115</wp:posOffset>
            </wp:positionV>
            <wp:extent cx="2505075" cy="699742"/>
            <wp:effectExtent l="0" t="0" r="0" b="5715"/>
            <wp:wrapNone/>
            <wp:docPr id="20191033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103391" name=""/>
                    <pic:cNvPicPr/>
                  </pic:nvPicPr>
                  <pic:blipFill>
                    <a:blip r:embed="rId10">
                      <a:extLst>
                        <a:ext uri="{28A0092B-C50C-407E-A947-70E740481C1C}">
                          <a14:useLocalDpi xmlns:a14="http://schemas.microsoft.com/office/drawing/2010/main" val="0"/>
                        </a:ext>
                      </a:extLst>
                    </a:blip>
                    <a:stretch>
                      <a:fillRect/>
                    </a:stretch>
                  </pic:blipFill>
                  <pic:spPr>
                    <a:xfrm>
                      <a:off x="0" y="0"/>
                      <a:ext cx="2505075" cy="699742"/>
                    </a:xfrm>
                    <a:prstGeom prst="rect">
                      <a:avLst/>
                    </a:prstGeom>
                  </pic:spPr>
                </pic:pic>
              </a:graphicData>
            </a:graphic>
            <wp14:sizeRelH relativeFrom="margin">
              <wp14:pctWidth>0</wp14:pctWidth>
            </wp14:sizeRelH>
            <wp14:sizeRelV relativeFrom="margin">
              <wp14:pctHeight>0</wp14:pctHeight>
            </wp14:sizeRelV>
          </wp:anchor>
        </w:drawing>
      </w:r>
      <w:r w:rsidR="000F2DDE" w:rsidRPr="0007332F">
        <w:rPr>
          <w:rFonts w:ascii="Verdana" w:eastAsia="Calibri" w:hAnsi="Verdana" w:cs="Arial"/>
          <w:b/>
          <w:bCs/>
          <w:lang w:eastAsia="es-ES"/>
        </w:rPr>
        <w:t>Adriana Carolina Sanabria Nieto</w:t>
      </w:r>
    </w:p>
    <w:p w14:paraId="03016E76" w14:textId="77777777" w:rsidR="000F2DDE" w:rsidRDefault="000F2DDE" w:rsidP="000F2DDE">
      <w:pPr>
        <w:spacing w:after="0"/>
        <w:rPr>
          <w:rFonts w:ascii="Verdana" w:eastAsia="Calibri" w:hAnsi="Verdana" w:cs="Arial"/>
          <w:lang w:eastAsia="es-ES"/>
        </w:rPr>
      </w:pPr>
      <w:r w:rsidRPr="0007332F">
        <w:rPr>
          <w:rFonts w:ascii="Verdana" w:eastAsia="Calibri" w:hAnsi="Verdana" w:cs="Arial"/>
          <w:lang w:eastAsia="es-ES"/>
        </w:rPr>
        <w:t>Representante Legal</w:t>
      </w:r>
    </w:p>
    <w:p w14:paraId="68F7624E" w14:textId="77777777" w:rsidR="000F2DDE" w:rsidRPr="0007332F" w:rsidRDefault="000F2DDE" w:rsidP="000F2DDE">
      <w:pPr>
        <w:spacing w:after="0"/>
        <w:rPr>
          <w:rFonts w:ascii="Verdana" w:eastAsia="Calibri" w:hAnsi="Verdana" w:cs="Arial"/>
          <w:lang w:eastAsia="es-ES"/>
        </w:rPr>
      </w:pPr>
      <w:r>
        <w:rPr>
          <w:rFonts w:ascii="Verdana" w:eastAsia="Calibri" w:hAnsi="Verdana" w:cs="Arial"/>
          <w:lang w:eastAsia="es-ES"/>
        </w:rPr>
        <w:t>Cubiko Obras Y Consultoría S.A.S</w:t>
      </w:r>
    </w:p>
    <w:p w14:paraId="75834871" w14:textId="77777777" w:rsidR="000F2DDE" w:rsidRPr="00634D84" w:rsidRDefault="000F2DDE" w:rsidP="000F2DDE">
      <w:pPr>
        <w:tabs>
          <w:tab w:val="center" w:pos="4419"/>
        </w:tabs>
        <w:spacing w:after="0"/>
        <w:rPr>
          <w:rFonts w:ascii="Verdana" w:eastAsia="Calibri" w:hAnsi="Verdana" w:cs="Arial"/>
          <w:color w:val="7030A0"/>
          <w:lang w:eastAsia="es-ES"/>
        </w:rPr>
      </w:pPr>
      <w:hyperlink r:id="rId11" w:history="1">
        <w:r w:rsidRPr="00B9017B">
          <w:rPr>
            <w:rStyle w:val="Hipervnculo"/>
            <w:rFonts w:ascii="Verdana" w:eastAsia="Calibri" w:hAnsi="Verdana" w:cs="Arial"/>
            <w:lang w:eastAsia="es-ES"/>
          </w:rPr>
          <w:t>juridicacubiko@gmail.com</w:t>
        </w:r>
      </w:hyperlink>
      <w:r>
        <w:rPr>
          <w:rFonts w:ascii="Verdana" w:eastAsia="Calibri" w:hAnsi="Verdana" w:cs="Arial"/>
          <w:color w:val="7030A0"/>
          <w:lang w:eastAsia="es-ES"/>
        </w:rPr>
        <w:t xml:space="preserve"> </w:t>
      </w:r>
    </w:p>
    <w:p w14:paraId="4AA6D8A9" w14:textId="71395424" w:rsidR="000F2DDE" w:rsidRPr="00891F99" w:rsidRDefault="000F2DDE" w:rsidP="00891F99">
      <w:pPr>
        <w:spacing w:after="0"/>
        <w:rPr>
          <w:rFonts w:ascii="Verdana" w:eastAsia="Calibri" w:hAnsi="Verdana" w:cs="Arial"/>
          <w:lang w:val="es-ES" w:eastAsia="es-ES"/>
        </w:rPr>
      </w:pPr>
      <w:r w:rsidRPr="00BB22F3">
        <w:rPr>
          <w:rFonts w:ascii="Verdana" w:eastAsia="Calibri" w:hAnsi="Verdana" w:cs="Arial"/>
          <w:lang w:eastAsia="es-ES"/>
        </w:rPr>
        <w:t>Bogotá D.C</w:t>
      </w:r>
    </w:p>
    <w:p w14:paraId="62472979" w14:textId="77777777" w:rsidR="00D2145D" w:rsidRPr="00BB22F3" w:rsidRDefault="00D2145D" w:rsidP="000F2DDE">
      <w:pPr>
        <w:spacing w:after="0" w:line="240" w:lineRule="auto"/>
        <w:rPr>
          <w:rFonts w:ascii="Verdana" w:eastAsia="Calibri" w:hAnsi="Verdana" w:cs="Arial"/>
          <w:b/>
          <w:bCs/>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0F2DDE" w:rsidRPr="00BB22F3" w14:paraId="7B8E1317" w14:textId="77777777" w:rsidTr="00562D56">
        <w:trPr>
          <w:trHeight w:val="300"/>
        </w:trPr>
        <w:tc>
          <w:tcPr>
            <w:tcW w:w="2410" w:type="dxa"/>
          </w:tcPr>
          <w:p w14:paraId="12F4B92C" w14:textId="77777777" w:rsidR="000F2DDE" w:rsidRPr="00BB22F3" w:rsidRDefault="000F2DDE" w:rsidP="00562D56">
            <w:pPr>
              <w:ind w:left="-142"/>
              <w:jc w:val="both"/>
              <w:rPr>
                <w:rFonts w:ascii="Verdana" w:eastAsia="Calibri" w:hAnsi="Verdana" w:cs="Arial"/>
                <w:b/>
                <w:bCs/>
                <w:lang w:val="es-ES" w:eastAsia="es-ES_tradnl"/>
              </w:rPr>
            </w:pPr>
          </w:p>
        </w:tc>
        <w:tc>
          <w:tcPr>
            <w:tcW w:w="6100" w:type="dxa"/>
          </w:tcPr>
          <w:p w14:paraId="517093F1" w14:textId="77777777" w:rsidR="000F2DDE" w:rsidRPr="00BB22F3" w:rsidRDefault="000F2DDE" w:rsidP="00562D56">
            <w:pPr>
              <w:ind w:left="3"/>
              <w:jc w:val="both"/>
              <w:rPr>
                <w:rFonts w:ascii="Verdana" w:eastAsia="Calibri" w:hAnsi="Verdana" w:cs="Arial"/>
                <w:b/>
                <w:bCs/>
                <w:lang w:val="es-ES" w:eastAsia="es-ES"/>
              </w:rPr>
            </w:pPr>
            <w:r w:rsidRPr="00BB22F3">
              <w:rPr>
                <w:rFonts w:ascii="Verdana" w:eastAsia="Calibri" w:hAnsi="Verdana" w:cs="Arial"/>
                <w:b/>
                <w:bCs/>
                <w:lang w:val="es-ES" w:eastAsia="es-ES"/>
              </w:rPr>
              <w:t>Concepto C-502 de 2026</w:t>
            </w:r>
          </w:p>
          <w:p w14:paraId="66E85EEA" w14:textId="77777777" w:rsidR="000F2DDE" w:rsidRPr="00BB22F3" w:rsidRDefault="000F2DDE" w:rsidP="00562D56">
            <w:pPr>
              <w:ind w:left="3"/>
              <w:jc w:val="both"/>
              <w:rPr>
                <w:rFonts w:ascii="Verdana" w:eastAsia="Calibri" w:hAnsi="Verdana" w:cs="Arial"/>
                <w:b/>
                <w:bCs/>
                <w:lang w:val="es-ES" w:eastAsia="es-ES"/>
              </w:rPr>
            </w:pPr>
          </w:p>
        </w:tc>
      </w:tr>
      <w:tr w:rsidR="000F2DDE" w:rsidRPr="00634D84" w14:paraId="4E909C14" w14:textId="77777777" w:rsidTr="00562D56">
        <w:trPr>
          <w:trHeight w:val="300"/>
        </w:trPr>
        <w:tc>
          <w:tcPr>
            <w:tcW w:w="2410" w:type="dxa"/>
          </w:tcPr>
          <w:p w14:paraId="147F62A1" w14:textId="77777777" w:rsidR="000F2DDE" w:rsidRPr="00634D84" w:rsidRDefault="000F2DDE" w:rsidP="00562D56">
            <w:pPr>
              <w:ind w:left="424" w:firstLine="137"/>
              <w:jc w:val="both"/>
              <w:rPr>
                <w:rFonts w:ascii="Verdana" w:eastAsia="Calibri" w:hAnsi="Verdana" w:cs="Arial"/>
                <w:color w:val="7030A0"/>
                <w:lang w:val="es-ES" w:eastAsia="es-ES_tradnl"/>
              </w:rPr>
            </w:pPr>
            <w:r w:rsidRPr="005E3694">
              <w:rPr>
                <w:rFonts w:ascii="Verdana" w:eastAsia="Calibri" w:hAnsi="Verdana" w:cs="Arial"/>
                <w:b/>
                <w:lang w:val="es-ES" w:eastAsia="es-ES_tradnl"/>
              </w:rPr>
              <w:t>Temas:</w:t>
            </w:r>
            <w:r w:rsidRPr="00634D84">
              <w:rPr>
                <w:rFonts w:ascii="Verdana" w:eastAsia="Calibri" w:hAnsi="Verdana" w:cs="Arial"/>
                <w:color w:val="7030A0"/>
                <w:lang w:val="es-ES" w:eastAsia="es-ES_tradnl"/>
              </w:rPr>
              <w:t xml:space="preserve">              </w:t>
            </w:r>
          </w:p>
        </w:tc>
        <w:tc>
          <w:tcPr>
            <w:tcW w:w="6100" w:type="dxa"/>
          </w:tcPr>
          <w:p w14:paraId="75F764F8" w14:textId="77777777" w:rsidR="000F2DDE" w:rsidRPr="000239A6" w:rsidRDefault="000F2DDE" w:rsidP="00562D56">
            <w:pPr>
              <w:jc w:val="both"/>
              <w:rPr>
                <w:rFonts w:ascii="Verdana" w:eastAsia="Calibri" w:hAnsi="Verdana" w:cs="Arial"/>
                <w:b/>
                <w:bCs/>
                <w:lang w:val="es-ES" w:eastAsia="es-ES"/>
              </w:rPr>
            </w:pPr>
            <w:r w:rsidRPr="00641E64">
              <w:rPr>
                <w:rFonts w:ascii="Verdana" w:eastAsia="Calibri" w:hAnsi="Verdana" w:cs="Arial"/>
                <w:bCs/>
              </w:rPr>
              <w:t xml:space="preserve">CONTRATO DE INTERVENTORÍA – Características – Finalidad / CONTRATO DE INTERVENTORÍA – Término – Plazo – Contrato objeto de seguimiento / </w:t>
            </w:r>
            <w:r w:rsidRPr="009C5E29">
              <w:rPr>
                <w:rFonts w:ascii="Verdana" w:eastAsia="Calibri" w:hAnsi="Verdana" w:cs="Arial"/>
                <w:lang w:val="es-MX" w:eastAsia="es-ES_tradnl"/>
                <w14:ligatures w14:val="standardContextual"/>
              </w:rPr>
              <w:t xml:space="preserve">DETERMINACIÓN DEL VALOR DEL CONTRATO – Etapa de planeación – Metodologías </w:t>
            </w:r>
            <w:r>
              <w:rPr>
                <w:rFonts w:ascii="Verdana" w:eastAsia="Calibri" w:hAnsi="Verdana" w:cs="Arial"/>
                <w:lang w:val="es-MX" w:eastAsia="es-ES_tradnl"/>
                <w14:ligatures w14:val="standardContextual"/>
              </w:rPr>
              <w:t xml:space="preserve">/ </w:t>
            </w:r>
            <w:r w:rsidRPr="000D46EB">
              <w:rPr>
                <w:rFonts w:ascii="Verdana" w:eastAsia="Calibri" w:hAnsi="Verdana" w:cs="Arial"/>
                <w:lang w:val="es-MX" w:eastAsia="es-ES_tradnl"/>
                <w14:ligatures w14:val="standardContextual"/>
              </w:rPr>
              <w:t>SISTEMA DE FACTOR MULTIPLICADOR – Noción – Costos directos – Imputables al contrato</w:t>
            </w:r>
            <w:r>
              <w:rPr>
                <w:rFonts w:ascii="Verdana" w:eastAsia="Calibri" w:hAnsi="Verdana" w:cs="Arial"/>
                <w:lang w:val="es-MX" w:eastAsia="es-ES_tradnl"/>
                <w14:ligatures w14:val="standardContextual"/>
              </w:rPr>
              <w:t xml:space="preserve"> </w:t>
            </w:r>
            <w:r w:rsidRPr="00867B9D">
              <w:rPr>
                <w:rFonts w:ascii="Verdana" w:eastAsia="Calibri" w:hAnsi="Verdana" w:cs="Arial"/>
                <w:lang w:val="es-MX" w:eastAsia="es-ES_tradnl"/>
                <w14:ligatures w14:val="standardContextual"/>
              </w:rPr>
              <w:t xml:space="preserve">/ </w:t>
            </w:r>
            <w:r w:rsidRPr="00867B9D">
              <w:rPr>
                <w:rFonts w:ascii="Verdana" w:eastAsia="Calibri" w:hAnsi="Verdana" w:cs="Arial"/>
              </w:rPr>
              <w:t>FACTOR MULTIPLICADOR – Costos – Determinación</w:t>
            </w:r>
          </w:p>
          <w:p w14:paraId="2EE97DEC" w14:textId="77777777" w:rsidR="000F2DDE" w:rsidRPr="00641E64" w:rsidRDefault="000F2DDE" w:rsidP="00562D56">
            <w:pPr>
              <w:jc w:val="both"/>
              <w:rPr>
                <w:rFonts w:ascii="Verdana" w:hAnsi="Verdana"/>
              </w:rPr>
            </w:pPr>
          </w:p>
        </w:tc>
      </w:tr>
      <w:tr w:rsidR="000F2DDE" w:rsidRPr="00634D84" w14:paraId="0B301193" w14:textId="77777777" w:rsidTr="00562D56">
        <w:trPr>
          <w:trHeight w:val="87"/>
        </w:trPr>
        <w:tc>
          <w:tcPr>
            <w:tcW w:w="2410" w:type="dxa"/>
          </w:tcPr>
          <w:p w14:paraId="1CC080D6" w14:textId="77777777" w:rsidR="000F2DDE" w:rsidRPr="00E75296" w:rsidRDefault="000F2DDE" w:rsidP="00562D56">
            <w:pPr>
              <w:ind w:left="561"/>
              <w:jc w:val="both"/>
              <w:rPr>
                <w:rFonts w:ascii="Verdana" w:eastAsia="Calibri" w:hAnsi="Verdana" w:cs="Arial"/>
                <w:b/>
                <w:lang w:val="es-ES" w:eastAsia="es-ES_tradnl"/>
              </w:rPr>
            </w:pPr>
            <w:r w:rsidRPr="00E75296">
              <w:rPr>
                <w:rFonts w:ascii="Verdana" w:eastAsia="Calibri" w:hAnsi="Verdana" w:cs="Arial"/>
                <w:b/>
                <w:lang w:val="es-ES" w:eastAsia="es-ES_tradnl"/>
              </w:rPr>
              <w:t>Radicación:</w:t>
            </w:r>
            <w:r w:rsidRPr="00E75296">
              <w:rPr>
                <w:rFonts w:ascii="Verdana" w:eastAsia="Calibri" w:hAnsi="Verdana" w:cs="Arial"/>
                <w:lang w:val="es-ES" w:eastAsia="es-ES_tradnl"/>
              </w:rPr>
              <w:t xml:space="preserve">              </w:t>
            </w:r>
          </w:p>
        </w:tc>
        <w:tc>
          <w:tcPr>
            <w:tcW w:w="6100" w:type="dxa"/>
          </w:tcPr>
          <w:p w14:paraId="201B55DB" w14:textId="77777777" w:rsidR="000F2DDE" w:rsidRPr="00E75296" w:rsidRDefault="000F2DDE" w:rsidP="00562D56">
            <w:pPr>
              <w:ind w:left="3"/>
              <w:jc w:val="both"/>
              <w:rPr>
                <w:rFonts w:ascii="Verdana" w:eastAsia="Calibri" w:hAnsi="Verdana" w:cs="Arial"/>
                <w:lang w:val="es-ES" w:eastAsia="es-ES"/>
              </w:rPr>
            </w:pPr>
            <w:r w:rsidRPr="00E75296">
              <w:rPr>
                <w:rFonts w:ascii="Verdana" w:eastAsia="Calibri" w:hAnsi="Verdana" w:cs="Arial"/>
                <w:lang w:val="es-ES" w:eastAsia="es-ES"/>
              </w:rPr>
              <w:t>Respuesta a consulta con radicado No. 1_2026_03_26_004203</w:t>
            </w:r>
          </w:p>
          <w:p w14:paraId="53B96A4E" w14:textId="77777777" w:rsidR="000F2DDE" w:rsidRPr="00E75296" w:rsidRDefault="000F2DDE" w:rsidP="00562D56">
            <w:pPr>
              <w:ind w:left="3"/>
              <w:jc w:val="both"/>
              <w:rPr>
                <w:rFonts w:ascii="Verdana" w:hAnsi="Verdana"/>
                <w:lang w:val="es-ES"/>
              </w:rPr>
            </w:pPr>
          </w:p>
        </w:tc>
      </w:tr>
    </w:tbl>
    <w:p w14:paraId="5DC94A9E" w14:textId="77777777" w:rsidR="00003199" w:rsidRDefault="00003199" w:rsidP="000F2DDE">
      <w:pPr>
        <w:spacing w:after="0" w:line="276" w:lineRule="auto"/>
        <w:jc w:val="both"/>
        <w:rPr>
          <w:rFonts w:ascii="Verdana" w:eastAsia="Calibri" w:hAnsi="Verdana" w:cs="Arial"/>
          <w:lang w:eastAsia="es-ES"/>
        </w:rPr>
      </w:pPr>
    </w:p>
    <w:p w14:paraId="11EC1D56" w14:textId="784B9E36" w:rsidR="000F2DDE" w:rsidRPr="006D7EF9" w:rsidRDefault="000F2DDE" w:rsidP="000F2DDE">
      <w:pPr>
        <w:spacing w:after="0" w:line="276" w:lineRule="auto"/>
        <w:jc w:val="both"/>
        <w:rPr>
          <w:rFonts w:ascii="Verdana" w:eastAsia="Calibri" w:hAnsi="Verdana" w:cs="Arial"/>
          <w:lang w:eastAsia="es-ES"/>
        </w:rPr>
      </w:pPr>
      <w:r w:rsidRPr="006D7EF9">
        <w:rPr>
          <w:rFonts w:ascii="Verdana" w:eastAsia="Calibri" w:hAnsi="Verdana" w:cs="Arial"/>
          <w:lang w:eastAsia="es-ES"/>
        </w:rPr>
        <w:t>Estimad</w:t>
      </w:r>
      <w:r w:rsidR="005F49B7">
        <w:rPr>
          <w:rFonts w:ascii="Verdana" w:eastAsia="Calibri" w:hAnsi="Verdana" w:cs="Arial"/>
          <w:lang w:eastAsia="es-ES"/>
        </w:rPr>
        <w:t>a</w:t>
      </w:r>
      <w:r w:rsidRPr="006D7EF9">
        <w:rPr>
          <w:rFonts w:ascii="Verdana" w:eastAsia="Calibri" w:hAnsi="Verdana" w:cs="Arial"/>
          <w:lang w:eastAsia="es-ES"/>
        </w:rPr>
        <w:t xml:space="preserve"> señora Sanabria,</w:t>
      </w:r>
    </w:p>
    <w:p w14:paraId="2A2E2F14" w14:textId="77777777" w:rsidR="000F2DDE" w:rsidRPr="006D7EF9" w:rsidRDefault="000F2DDE" w:rsidP="000F2DDE">
      <w:pPr>
        <w:spacing w:after="0" w:line="276" w:lineRule="auto"/>
        <w:jc w:val="both"/>
        <w:rPr>
          <w:rFonts w:ascii="Verdana" w:eastAsia="Calibri" w:hAnsi="Verdana" w:cs="Arial"/>
          <w:lang w:eastAsia="es-ES"/>
        </w:rPr>
      </w:pPr>
      <w:r w:rsidRPr="006D7EF9">
        <w:rPr>
          <w:rFonts w:ascii="Verdana" w:eastAsia="Calibri" w:hAnsi="Verdana" w:cs="Arial"/>
          <w:lang w:eastAsia="es-ES"/>
        </w:rPr>
        <w:t xml:space="preserve"> </w:t>
      </w:r>
    </w:p>
    <w:p w14:paraId="48D0ED01" w14:textId="77777777" w:rsidR="000F2DDE" w:rsidRPr="006D7EF9" w:rsidRDefault="000F2DDE" w:rsidP="000F2DDE">
      <w:pPr>
        <w:tabs>
          <w:tab w:val="left" w:pos="3768"/>
        </w:tabs>
        <w:spacing w:after="0" w:line="276" w:lineRule="auto"/>
        <w:jc w:val="both"/>
        <w:rPr>
          <w:rFonts w:ascii="Verdana" w:eastAsia="Calibri" w:hAnsi="Verdana" w:cs="Arial"/>
          <w:lang w:eastAsia="es-ES"/>
        </w:rPr>
      </w:pPr>
      <w:r w:rsidRPr="006D7EF9">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26 de marzo de 2026, en la cual manifiesta lo siguiente: </w:t>
      </w:r>
    </w:p>
    <w:p w14:paraId="122117EF" w14:textId="77777777" w:rsidR="000F2DDE" w:rsidRPr="00634D84" w:rsidRDefault="000F2DDE" w:rsidP="000F2DDE">
      <w:pPr>
        <w:tabs>
          <w:tab w:val="left" w:pos="3768"/>
        </w:tabs>
        <w:spacing w:after="0" w:line="276" w:lineRule="auto"/>
        <w:jc w:val="both"/>
        <w:rPr>
          <w:rFonts w:ascii="Verdana" w:eastAsia="Calibri" w:hAnsi="Verdana" w:cs="Arial"/>
          <w:color w:val="7030A0"/>
          <w:lang w:eastAsia="es-ES"/>
        </w:rPr>
      </w:pPr>
    </w:p>
    <w:p w14:paraId="1A9FD3C3"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r w:rsidRPr="00D60574">
        <w:rPr>
          <w:rFonts w:ascii="Verdana" w:eastAsia="Century Gothic" w:hAnsi="Verdana" w:cs="Century Gothic"/>
          <w:i/>
          <w:iCs/>
          <w:sz w:val="20"/>
          <w:szCs w:val="20"/>
          <w:lang w:val="es-ES"/>
        </w:rPr>
        <w:t xml:space="preserve">“[…] </w:t>
      </w:r>
      <w:r w:rsidRPr="00D60574">
        <w:rPr>
          <w:rFonts w:ascii="Verdana" w:eastAsia="Century Gothic" w:hAnsi="Verdana" w:cs="Century Gothic"/>
          <w:i/>
          <w:iCs/>
          <w:sz w:val="20"/>
          <w:szCs w:val="20"/>
        </w:rPr>
        <w:t>¿En un contrato de interventoría, es jurídicamente procedente que la entidad estatal reduzca o desconozca el factor multiplicador, teniendo en cuenta que este corresponde a costos indirectos de carácter estructural, efectivamente causados y asumidos durante la ejecución contractual, y que no dependen exclusivamente de la permanencia en campo del personal?</w:t>
      </w:r>
    </w:p>
    <w:p w14:paraId="008BB291"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p>
    <w:p w14:paraId="0A4E062C"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r w:rsidRPr="00D60574">
        <w:rPr>
          <w:rFonts w:ascii="Verdana" w:eastAsia="Century Gothic" w:hAnsi="Verdana" w:cs="Century Gothic"/>
          <w:i/>
          <w:iCs/>
          <w:sz w:val="20"/>
          <w:szCs w:val="20"/>
        </w:rPr>
        <w:t>Se solicita a Colombia Compra Eficiente emitir concepto respecto de las siguientes cuestiones:</w:t>
      </w:r>
    </w:p>
    <w:p w14:paraId="6E4F80E0"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p>
    <w:p w14:paraId="7B10143C"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r w:rsidRPr="000528DF">
        <w:rPr>
          <w:rFonts w:ascii="Verdana" w:eastAsia="Century Gothic" w:hAnsi="Verdana" w:cs="Century Gothic"/>
          <w:i/>
          <w:iCs/>
          <w:sz w:val="20"/>
          <w:szCs w:val="20"/>
        </w:rPr>
        <w:t>1. ¿El factor multiplicador, en los contratos de interventoría, constituye un componente de la estructura financiera del contrato que debe ser reconocido por la entidad estatal cuando</w:t>
      </w:r>
      <w:r w:rsidRPr="00D60574">
        <w:rPr>
          <w:rFonts w:ascii="Verdana" w:eastAsia="Century Gothic" w:hAnsi="Verdana" w:cs="Century Gothic"/>
          <w:i/>
          <w:iCs/>
          <w:sz w:val="20"/>
          <w:szCs w:val="20"/>
        </w:rPr>
        <w:t xml:space="preserve"> se acredita que los costos indirectos que lo integran fueron efectivamente causados y asumidos durante la ejecución contractual? </w:t>
      </w:r>
    </w:p>
    <w:p w14:paraId="32E537F6"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p>
    <w:p w14:paraId="1EA09D14"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r w:rsidRPr="00D60574">
        <w:rPr>
          <w:rFonts w:ascii="Verdana" w:eastAsia="Century Gothic" w:hAnsi="Verdana" w:cs="Century Gothic"/>
          <w:i/>
          <w:iCs/>
          <w:sz w:val="20"/>
          <w:szCs w:val="20"/>
        </w:rPr>
        <w:t xml:space="preserve">2. ¿El reconocimiento del factor multiplicador depende exclusivamente de la permanencia en campo del personal, o debe entenderse asociado a la existencia y sostenimiento de la estructura operativa necesaria para la ejecución del contrato? </w:t>
      </w:r>
    </w:p>
    <w:p w14:paraId="12B6D166"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p>
    <w:p w14:paraId="0A8BF453"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r w:rsidRPr="00D60574">
        <w:rPr>
          <w:rFonts w:ascii="Verdana" w:eastAsia="Century Gothic" w:hAnsi="Verdana" w:cs="Century Gothic"/>
          <w:i/>
          <w:iCs/>
          <w:sz w:val="20"/>
          <w:szCs w:val="20"/>
        </w:rPr>
        <w:t xml:space="preserve">3. ¿En aplicación del principio de realidad económica, la entidad estatal debe reconocer los costos indirectos que integran el factor multiplicador cuando estos han sido efectivamente asumidos por la interventoría durante la ejecución del contrato? </w:t>
      </w:r>
    </w:p>
    <w:p w14:paraId="3628C575"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p>
    <w:p w14:paraId="552BE0E9"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r w:rsidRPr="00D60574">
        <w:rPr>
          <w:rFonts w:ascii="Verdana" w:eastAsia="Century Gothic" w:hAnsi="Verdana" w:cs="Century Gothic"/>
          <w:i/>
          <w:iCs/>
          <w:sz w:val="20"/>
          <w:szCs w:val="20"/>
        </w:rPr>
        <w:t xml:space="preserve">4. ¿Resulta jurídicamente procedente afectar o reducir el factor multiplicador cuando los costos indirectos que lo componen no guardan relación directa con aspectos asociados a la dedicación o permanencia del personal? </w:t>
      </w:r>
    </w:p>
    <w:p w14:paraId="0F602875"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p>
    <w:p w14:paraId="76FCD3DD"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r w:rsidRPr="00D60574">
        <w:rPr>
          <w:rFonts w:ascii="Verdana" w:eastAsia="Century Gothic" w:hAnsi="Verdana" w:cs="Century Gothic"/>
          <w:i/>
          <w:iCs/>
          <w:sz w:val="20"/>
          <w:szCs w:val="20"/>
        </w:rPr>
        <w:t xml:space="preserve">5. ¿La aprobación previa de las actas parciales por parte de la entidad genera efectos que respaldan el reconocimiento de los valores asociados al factor multiplicador, en tanto dichos valores fueron validados técnica y financieramente durante la ejecución contractual? </w:t>
      </w:r>
    </w:p>
    <w:p w14:paraId="5C58AA70" w14:textId="77777777" w:rsidR="000F2DDE" w:rsidRPr="00D60574" w:rsidRDefault="000F2DDE" w:rsidP="000F2DDE">
      <w:pPr>
        <w:spacing w:before="120" w:after="120" w:line="240" w:lineRule="auto"/>
        <w:ind w:left="709" w:right="709"/>
        <w:contextualSpacing/>
        <w:jc w:val="both"/>
        <w:rPr>
          <w:rFonts w:ascii="Verdana" w:eastAsia="Century Gothic" w:hAnsi="Verdana" w:cs="Century Gothic"/>
          <w:i/>
          <w:iCs/>
          <w:sz w:val="20"/>
          <w:szCs w:val="20"/>
        </w:rPr>
      </w:pPr>
    </w:p>
    <w:p w14:paraId="2952523B" w14:textId="779BDF15" w:rsidR="000F2DDE" w:rsidRPr="00003199" w:rsidRDefault="000F2DDE" w:rsidP="00003199">
      <w:pPr>
        <w:spacing w:before="120" w:after="120" w:line="240" w:lineRule="auto"/>
        <w:ind w:left="709" w:right="709"/>
        <w:contextualSpacing/>
        <w:jc w:val="both"/>
        <w:rPr>
          <w:rFonts w:ascii="Verdana" w:eastAsia="Century Gothic" w:hAnsi="Verdana" w:cs="Century Gothic"/>
          <w:i/>
          <w:iCs/>
          <w:sz w:val="20"/>
          <w:szCs w:val="20"/>
        </w:rPr>
      </w:pPr>
      <w:r w:rsidRPr="00D60574">
        <w:rPr>
          <w:rFonts w:ascii="Verdana" w:eastAsia="Century Gothic" w:hAnsi="Verdana" w:cs="Century Gothic"/>
          <w:i/>
          <w:iCs/>
          <w:sz w:val="20"/>
          <w:szCs w:val="20"/>
        </w:rPr>
        <w:t>6. ¿El no reconocimiento de los valores correspondientes al factor multiplicador, pese a haber sido estos efectivamente causados, afecta el equilibrio económico del contrato y, en consecuencia, debe ser objeto de reconocimiento por parte de la entidad estatal? […]</w:t>
      </w:r>
      <w:r>
        <w:rPr>
          <w:rFonts w:ascii="Verdana" w:eastAsia="Century Gothic" w:hAnsi="Verdana" w:cs="Century Gothic"/>
          <w:i/>
          <w:iCs/>
          <w:sz w:val="20"/>
          <w:szCs w:val="20"/>
        </w:rPr>
        <w:t>”</w:t>
      </w:r>
    </w:p>
    <w:p w14:paraId="562979A0" w14:textId="77777777" w:rsidR="000F2DDE" w:rsidRPr="00634D84" w:rsidRDefault="000F2DDE" w:rsidP="000F2DDE">
      <w:pPr>
        <w:spacing w:before="120" w:after="120" w:line="240" w:lineRule="auto"/>
        <w:ind w:left="709" w:right="709"/>
        <w:contextualSpacing/>
        <w:jc w:val="both"/>
        <w:rPr>
          <w:rFonts w:ascii="Verdana" w:eastAsia="Century Gothic" w:hAnsi="Verdana" w:cs="Century Gothic"/>
          <w:i/>
          <w:iCs/>
          <w:color w:val="7030A0"/>
          <w:sz w:val="20"/>
          <w:szCs w:val="20"/>
          <w:lang w:val="es-ES"/>
        </w:rPr>
      </w:pPr>
    </w:p>
    <w:p w14:paraId="102BC0F3" w14:textId="77777777" w:rsidR="000F2DDE" w:rsidRPr="003E7D4E" w:rsidRDefault="000F2DDE" w:rsidP="000F2DDE">
      <w:pPr>
        <w:spacing w:after="120" w:line="276" w:lineRule="auto"/>
        <w:ind w:firstLine="708"/>
        <w:jc w:val="both"/>
        <w:rPr>
          <w:rFonts w:ascii="Verdana" w:eastAsia="Calibri" w:hAnsi="Verdana" w:cs="Arial"/>
          <w:lang w:val="es-ES" w:eastAsia="es-ES"/>
        </w:rPr>
      </w:pPr>
      <w:r w:rsidRPr="003E7D4E">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3E7D4E">
        <w:rPr>
          <w:rFonts w:ascii="Verdana" w:eastAsia="Calibri" w:hAnsi="Verdana" w:cs="Arial"/>
          <w:lang w:val="es-ES" w:eastAsia="es-ES"/>
        </w:rPr>
        <w:lastRenderedPageBreak/>
        <w:t xml:space="preserve">interpretación de normas generales, por definición, no puede extenderse a la resolución de controversias, ni a brindar asesorías sobre casos puntuales.  </w:t>
      </w:r>
      <w:r w:rsidRPr="003E7D4E">
        <w:rPr>
          <w:rFonts w:ascii="Verdana" w:hAnsi="Verdana"/>
          <w:lang w:val="es-ES"/>
        </w:rPr>
        <w:tab/>
      </w:r>
    </w:p>
    <w:p w14:paraId="7995EB3D" w14:textId="77777777" w:rsidR="000F2DDE" w:rsidRPr="003E7D4E" w:rsidRDefault="000F2DDE" w:rsidP="000F2DDE">
      <w:pPr>
        <w:spacing w:after="0" w:line="276" w:lineRule="auto"/>
        <w:ind w:firstLine="709"/>
        <w:jc w:val="both"/>
        <w:rPr>
          <w:rFonts w:ascii="Verdana" w:eastAsia="Calibri" w:hAnsi="Verdana" w:cs="Arial"/>
          <w:lang w:val="es-ES" w:eastAsia="es-ES"/>
        </w:rPr>
      </w:pPr>
      <w:r w:rsidRPr="003E7D4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076E6F83" w14:textId="77777777" w:rsidR="000F2DDE" w:rsidRPr="003E7D4E" w:rsidRDefault="000F2DDE" w:rsidP="000F2DDE">
      <w:pPr>
        <w:spacing w:after="0" w:line="276" w:lineRule="auto"/>
        <w:ind w:firstLine="709"/>
        <w:jc w:val="both"/>
        <w:rPr>
          <w:rFonts w:ascii="Verdana" w:eastAsia="Calibri" w:hAnsi="Verdana" w:cs="Arial"/>
          <w:lang w:val="es-ES" w:eastAsia="es-ES"/>
        </w:rPr>
      </w:pPr>
    </w:p>
    <w:p w14:paraId="32B89AE1" w14:textId="77777777" w:rsidR="000F2DDE" w:rsidRPr="003E7D4E" w:rsidRDefault="000F2DDE" w:rsidP="000F2DDE">
      <w:pPr>
        <w:tabs>
          <w:tab w:val="left" w:pos="142"/>
          <w:tab w:val="left" w:pos="284"/>
        </w:tabs>
        <w:spacing w:after="0" w:line="276" w:lineRule="auto"/>
        <w:contextualSpacing/>
        <w:jc w:val="both"/>
        <w:rPr>
          <w:rFonts w:ascii="Verdana" w:eastAsia="Century Gothic" w:hAnsi="Verdana" w:cs="Century Gothic"/>
          <w:b/>
          <w:lang w:val="es-ES"/>
        </w:rPr>
      </w:pPr>
      <w:r w:rsidRPr="003E7D4E">
        <w:rPr>
          <w:rFonts w:ascii="Verdana" w:eastAsia="Century Gothic" w:hAnsi="Verdana" w:cs="Century Gothic"/>
          <w:b/>
          <w:lang w:val="es-ES"/>
        </w:rPr>
        <w:t>1. Problema planteado:</w:t>
      </w:r>
    </w:p>
    <w:p w14:paraId="6F1A7C9B" w14:textId="77777777" w:rsidR="000F2DDE" w:rsidRPr="00EB5E5D" w:rsidRDefault="000F2DDE" w:rsidP="000F2DDE">
      <w:pPr>
        <w:tabs>
          <w:tab w:val="left" w:pos="426"/>
        </w:tabs>
        <w:spacing w:after="0" w:line="276" w:lineRule="auto"/>
        <w:jc w:val="both"/>
        <w:rPr>
          <w:rFonts w:ascii="Verdana" w:eastAsia="Century Gothic" w:hAnsi="Verdana" w:cs="Century Gothic"/>
          <w:lang w:val="es-ES"/>
        </w:rPr>
      </w:pPr>
    </w:p>
    <w:p w14:paraId="662B4276" w14:textId="77777777" w:rsidR="000F2DDE" w:rsidRPr="00EB5E5D" w:rsidRDefault="000F2DDE" w:rsidP="000F2DDE">
      <w:pPr>
        <w:spacing w:after="0" w:line="276" w:lineRule="auto"/>
        <w:jc w:val="both"/>
        <w:rPr>
          <w:rFonts w:ascii="Verdana" w:eastAsia="Century Gothic" w:hAnsi="Verdana" w:cs="Century Gothic"/>
        </w:rPr>
      </w:pPr>
      <w:r w:rsidRPr="00EB5E5D">
        <w:rPr>
          <w:rFonts w:ascii="Verdana" w:eastAsia="Century Gothic" w:hAnsi="Verdana" w:cs="Century Gothic"/>
          <w:lang w:val="es-ES"/>
        </w:rPr>
        <w:t xml:space="preserve">De acuerdo con el contenido de su solicitud, esta Agencia resolverá el siguiente problema jurídico: </w:t>
      </w:r>
      <w:r w:rsidRPr="00EB5E5D">
        <w:rPr>
          <w:rFonts w:ascii="Verdana" w:eastAsia="Century Gothic" w:hAnsi="Verdana" w:cs="Century Gothic"/>
        </w:rPr>
        <w:t>¿Cuál es la naturaleza jurídica y el alcance del factor multiplicador en los contratos de interventoría?</w:t>
      </w:r>
    </w:p>
    <w:p w14:paraId="24A1A852" w14:textId="77777777" w:rsidR="000F2DDE" w:rsidRPr="00634D84" w:rsidRDefault="000F2DDE" w:rsidP="000F2DDE">
      <w:pPr>
        <w:spacing w:after="0" w:line="276" w:lineRule="auto"/>
        <w:jc w:val="both"/>
        <w:rPr>
          <w:rFonts w:ascii="Verdana" w:eastAsia="Century Gothic" w:hAnsi="Verdana" w:cs="Century Gothic"/>
          <w:color w:val="7030A0"/>
        </w:rPr>
      </w:pPr>
    </w:p>
    <w:p w14:paraId="68C32A81" w14:textId="77777777" w:rsidR="000F2DDE" w:rsidRPr="00B35B73" w:rsidRDefault="000F2DDE" w:rsidP="000F2DDE">
      <w:pPr>
        <w:tabs>
          <w:tab w:val="left" w:pos="142"/>
          <w:tab w:val="left" w:pos="284"/>
        </w:tabs>
        <w:spacing w:after="0" w:line="276" w:lineRule="auto"/>
        <w:jc w:val="both"/>
        <w:rPr>
          <w:rFonts w:ascii="Verdana" w:eastAsia="Century Gothic" w:hAnsi="Verdana" w:cs="Century Gothic"/>
          <w:b/>
          <w:lang w:val="es-ES"/>
        </w:rPr>
      </w:pPr>
      <w:r w:rsidRPr="00B35B73">
        <w:rPr>
          <w:rFonts w:ascii="Verdana" w:eastAsia="Century Gothic" w:hAnsi="Verdana" w:cs="Century Gothic"/>
          <w:b/>
          <w:lang w:val="es-ES"/>
        </w:rPr>
        <w:t>2. Respuesta:</w:t>
      </w:r>
    </w:p>
    <w:p w14:paraId="2242731A" w14:textId="77777777" w:rsidR="000F2DDE" w:rsidRPr="00634D84" w:rsidRDefault="000F2DDE" w:rsidP="000F2DDE">
      <w:pPr>
        <w:tabs>
          <w:tab w:val="left" w:pos="142"/>
          <w:tab w:val="left" w:pos="284"/>
        </w:tabs>
        <w:spacing w:after="0" w:line="276" w:lineRule="auto"/>
        <w:jc w:val="both"/>
        <w:rPr>
          <w:rFonts w:ascii="Verdana" w:eastAsia="Century Gothic" w:hAnsi="Verdana" w:cs="Century Gothic"/>
          <w:b/>
          <w:bCs/>
          <w:color w:val="7030A0"/>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F2DDE" w:rsidRPr="00634D84" w14:paraId="3AC2D8A7" w14:textId="77777777" w:rsidTr="2F2C3453">
        <w:tc>
          <w:tcPr>
            <w:tcW w:w="8828" w:type="dxa"/>
          </w:tcPr>
          <w:p w14:paraId="6A4676EC" w14:textId="77777777" w:rsidR="000F2DDE" w:rsidRDefault="000F2DDE" w:rsidP="00562D56">
            <w:pPr>
              <w:spacing w:before="120" w:after="120" w:line="276" w:lineRule="auto"/>
              <w:jc w:val="both"/>
              <w:rPr>
                <w:rFonts w:ascii="Verdana" w:eastAsia="Calibri" w:hAnsi="Verdana" w:cs="Arial"/>
              </w:rPr>
            </w:pPr>
            <w:r w:rsidRPr="2F2C3453">
              <w:rPr>
                <w:rFonts w:ascii="Verdana" w:eastAsia="Calibri" w:hAnsi="Verdana" w:cs="Arial"/>
              </w:rPr>
              <w:t>Para dar respuesta al problema jurídico, de acuerdo a la interpretación general de las normas que integran el sistema de compras públicas, desde la etapa de planeación y dentro de la fase precontractual, las Entidades Estatales tienen la obligación de determinar el presupuesto oficial del proceso de contratación, para lo cual deben adelantar el análisis del sector correspondiente, incluyendo el respectivo estudio de mercado, con el fin de identificar las condiciones técnicas, financieras y comerciales que inciden en la futura contratación. Asimismo, en ese momento deben definir la metodología que emplearán para estructurar económicamente el contrato y establecer su valor estimado.</w:t>
            </w:r>
          </w:p>
          <w:p w14:paraId="23AE59A9" w14:textId="6A3E8841" w:rsidR="2F2C3453" w:rsidRDefault="3766E165" w:rsidP="2F2C3453">
            <w:pPr>
              <w:spacing w:before="120" w:after="120" w:line="276" w:lineRule="auto"/>
              <w:jc w:val="both"/>
              <w:rPr>
                <w:rFonts w:ascii="Verdana" w:eastAsia="Calibri" w:hAnsi="Verdana" w:cs="Arial"/>
              </w:rPr>
            </w:pPr>
            <w:r w:rsidRPr="2F2C3453">
              <w:rPr>
                <w:rFonts w:ascii="Verdana" w:eastAsia="Calibri" w:hAnsi="Verdana" w:cs="Arial"/>
              </w:rPr>
              <w:t xml:space="preserve">Ahora bien, desde luego que los costos asociados al personal requerido para ejecutar el contrato son un aspecto que entran a determinar su precio, por lo que son un tema para considerar al hacer el ofrecimiento económico en la etapa de presentación de ofertas, con sujeción al mecanismo para determinar el precio que regule la entidad en el pliego de condiciones. En ese sentido, cuando una entidad incorpora el mecanismo del factor multiplicador debe incluir las reglas para que estos sean considerados por los proponentes, de suerte que incluyan los costos asociados al personal para la ejecución del contrato en concordancia con el equipo de trabajo exigido, el cual debe atender unas condiciones y perfiles específicos establecidos en los Documentos del </w:t>
            </w:r>
            <w:r w:rsidRPr="2F2C3453">
              <w:rPr>
                <w:rFonts w:ascii="Verdana" w:eastAsia="Calibri" w:hAnsi="Verdana" w:cs="Arial"/>
              </w:rPr>
              <w:lastRenderedPageBreak/>
              <w:t>Proceso. Las reglas que discrecionalmente deben establecer las entidades estatales en los pliegos de condiciones para regular los mencionados aspectos son las que en últimas determinan que tipo de contratación de personal es la que corresponde realizar al contratista para ejecutar el proyecto, así como la posibilidad de que los costos de dicha contratación –ya sea laboral o por prestación de servicios–, se incorporen al precio del contrato, por la vía del factor multiplicador aplicado para hacer la oferta económica.</w:t>
            </w:r>
          </w:p>
          <w:p w14:paraId="2C4D2AB4" w14:textId="77777777" w:rsidR="000F2DDE" w:rsidRDefault="000F2DDE" w:rsidP="00562D56">
            <w:pPr>
              <w:spacing w:after="120" w:line="276" w:lineRule="auto"/>
              <w:ind w:firstLine="737"/>
              <w:jc w:val="both"/>
              <w:rPr>
                <w:rFonts w:ascii="Verdana" w:hAnsi="Verdana" w:cs="Arial"/>
              </w:rPr>
            </w:pPr>
            <w:r>
              <w:rPr>
                <w:rFonts w:ascii="Verdana" w:hAnsi="Verdana" w:cs="Arial"/>
                <w:lang w:val="es-ES_tradnl"/>
              </w:rPr>
              <w:t>P</w:t>
            </w:r>
            <w:r w:rsidRPr="00705972">
              <w:rPr>
                <w:rFonts w:ascii="Verdana" w:hAnsi="Verdana" w:cs="Arial"/>
                <w:lang w:val="es-ES_tradnl"/>
              </w:rPr>
              <w:t xml:space="preserve">ara efectos de la consultorías e interventorías, </w:t>
            </w:r>
            <w:r w:rsidRPr="00705972">
              <w:rPr>
                <w:rFonts w:ascii="Verdana" w:hAnsi="Verdana" w:cs="Arial"/>
              </w:rPr>
              <w:t>el factor</w:t>
            </w:r>
            <w:r w:rsidRPr="004F607E">
              <w:rPr>
                <w:rFonts w:ascii="Verdana" w:hAnsi="Verdana" w:cs="Arial"/>
              </w:rPr>
              <w:t xml:space="preserve"> multiplicador es una metodología permite imputar al contrato los costos directos</w:t>
            </w:r>
            <w:r>
              <w:rPr>
                <w:rFonts w:ascii="Verdana" w:hAnsi="Verdana" w:cs="Arial"/>
              </w:rPr>
              <w:t xml:space="preserve"> </w:t>
            </w:r>
            <w:r w:rsidRPr="00167C84">
              <w:rPr>
                <w:rFonts w:ascii="Verdana" w:hAnsi="Verdana" w:cs="Arial"/>
              </w:rPr>
              <w:t xml:space="preserve">asociados a </w:t>
            </w:r>
            <w:r>
              <w:rPr>
                <w:rFonts w:ascii="Verdana" w:hAnsi="Verdana" w:cs="Arial"/>
              </w:rPr>
              <w:t>prestaciones laborales y sociales</w:t>
            </w:r>
            <w:r w:rsidRPr="00167C84">
              <w:rPr>
                <w:rFonts w:ascii="Verdana" w:hAnsi="Verdana" w:cs="Arial"/>
              </w:rPr>
              <w:t xml:space="preserve"> del personal vinculado con carácter exclusivo al proyecto, la utilidad del ingeniero y los costos</w:t>
            </w:r>
            <w:r>
              <w:rPr>
                <w:rFonts w:ascii="Verdana" w:hAnsi="Verdana" w:cs="Arial"/>
              </w:rPr>
              <w:t xml:space="preserve"> </w:t>
            </w:r>
            <w:r w:rsidRPr="00167C84">
              <w:rPr>
                <w:rFonts w:ascii="Verdana" w:hAnsi="Verdana" w:cs="Arial"/>
              </w:rPr>
              <w:t>de administración</w:t>
            </w:r>
            <w:r>
              <w:rPr>
                <w:rFonts w:ascii="Verdana" w:hAnsi="Verdana" w:cs="Arial"/>
              </w:rPr>
              <w:t xml:space="preserve"> asociados al personal</w:t>
            </w:r>
            <w:r w:rsidRPr="00167C84">
              <w:rPr>
                <w:rFonts w:ascii="Verdana" w:hAnsi="Verdana" w:cs="Arial"/>
              </w:rPr>
              <w:t>, afectando el valor parcial de la oferta por un factor multiplicador. De esta manera se obtiene un subtotal de costos directos a partir 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w:t>
            </w:r>
            <w:r>
              <w:rPr>
                <w:rFonts w:ascii="Verdana" w:hAnsi="Verdana" w:cs="Arial"/>
              </w:rPr>
              <w:t>ntre otros</w:t>
            </w:r>
            <w:r w:rsidRPr="00167C84">
              <w:rPr>
                <w:rFonts w:ascii="Verdana" w:hAnsi="Verdana" w:cs="Arial"/>
              </w:rPr>
              <w:t>, cuya discriminación se exige de manera separada de los costos de personal, para ser sumados al valor resultante la aplicación del factor multiplicador.</w:t>
            </w:r>
          </w:p>
          <w:p w14:paraId="276C159B" w14:textId="77777777" w:rsidR="000F2DDE" w:rsidRPr="00BC0DEA" w:rsidRDefault="000F2DDE" w:rsidP="00562D56">
            <w:pPr>
              <w:spacing w:after="120" w:line="276" w:lineRule="auto"/>
              <w:ind w:firstLine="709"/>
              <w:jc w:val="both"/>
              <w:rPr>
                <w:rFonts w:ascii="Verdana" w:hAnsi="Verdana" w:cs="Arial"/>
                <w:color w:val="ED7D31" w:themeColor="accent2"/>
                <w:lang w:val="es-MX"/>
              </w:rPr>
            </w:pPr>
            <w:r>
              <w:rPr>
                <w:rFonts w:ascii="Verdana" w:hAnsi="Verdana" w:cs="Arial"/>
                <w:bCs/>
                <w:lang w:val="es-ES_tradnl"/>
              </w:rPr>
              <w:t xml:space="preserve">Por lo demás, </w:t>
            </w:r>
            <w:r w:rsidRPr="00166E46">
              <w:rPr>
                <w:rFonts w:ascii="Verdana" w:hAnsi="Verdana" w:cs="Arial"/>
                <w:bCs/>
                <w:lang w:val="es-ES_tradnl"/>
              </w:rPr>
              <w:t xml:space="preserve">es necesario tener en cuenta que el deber de planeación no es privativo de las entidades públicas, por lo que también se extiende </w:t>
            </w:r>
            <w:r>
              <w:rPr>
                <w:rFonts w:ascii="Verdana" w:hAnsi="Verdana" w:cs="Arial"/>
                <w:bCs/>
                <w:lang w:val="es-ES_tradnl"/>
              </w:rPr>
              <w:t xml:space="preserve">a los interesados en el proceso de selección, es decir, si existían inquietudes sobre los componentes del factor multiplicador, </w:t>
            </w:r>
            <w:r w:rsidRPr="000A30A6">
              <w:rPr>
                <w:rFonts w:ascii="Verdana" w:hAnsi="Verdana" w:cs="Arial"/>
                <w:bCs/>
                <w:lang w:val="es-ES_tradnl"/>
              </w:rPr>
              <w:t xml:space="preserve">los interesados </w:t>
            </w:r>
            <w:r>
              <w:rPr>
                <w:rFonts w:ascii="Verdana" w:hAnsi="Verdana" w:cs="Arial"/>
                <w:bCs/>
                <w:lang w:val="es-ES_tradnl"/>
              </w:rPr>
              <w:t>tuvieron la oportunidad de</w:t>
            </w:r>
            <w:r w:rsidRPr="000A30A6">
              <w:rPr>
                <w:rFonts w:ascii="Verdana" w:hAnsi="Verdana" w:cs="Arial"/>
                <w:bCs/>
                <w:lang w:val="es-ES_tradnl"/>
              </w:rPr>
              <w:t xml:space="preserve"> formular observaciones para aclarar sus </w:t>
            </w:r>
            <w:r>
              <w:rPr>
                <w:rFonts w:ascii="Verdana" w:hAnsi="Verdana" w:cs="Arial"/>
                <w:bCs/>
                <w:lang w:val="es-ES_tradnl"/>
              </w:rPr>
              <w:t>dudas</w:t>
            </w:r>
            <w:r w:rsidRPr="000A30A6">
              <w:rPr>
                <w:rFonts w:ascii="Verdana" w:hAnsi="Verdana" w:cs="Arial"/>
                <w:bCs/>
                <w:lang w:val="es-ES_tradnl"/>
              </w:rPr>
              <w:t xml:space="preserve">. </w:t>
            </w:r>
            <w:r w:rsidRPr="00BC0DEA">
              <w:rPr>
                <w:rFonts w:ascii="Verdana" w:hAnsi="Verdana" w:cs="Arial"/>
                <w:lang w:val="es-MX"/>
              </w:rPr>
              <w:t xml:space="preserve">En este contexto, bajo el criterio de que “nadie puede beneficiarse de su propia culpa”, se restringe a los contratistas la posibilidad de solicitar reconocimientos económicos derivados de fallas de planeación que debieron advertir a la entidad contratante antes del perfeccionamiento del contrato. Si bien el parágrafo del artículo 40 de la Ley 80 de 1993 dispone que “Los contratos no podrán adicionarse en más del cincuenta por ciento (50%) de su valor inicial, expresado éste en salarios mínimos legales mensuales”, el Estado no se encuentra obligado a reestructurar el porcentaje ni los componentes del factor multiplicador, pues las modificaciones contractuales no son un derecho del contratista. </w:t>
            </w:r>
          </w:p>
          <w:p w14:paraId="7885A975" w14:textId="77777777" w:rsidR="000F2DDE" w:rsidRPr="00634D84" w:rsidRDefault="000F2DDE" w:rsidP="00562D56">
            <w:pPr>
              <w:spacing w:before="120" w:after="120" w:line="276" w:lineRule="auto"/>
              <w:ind w:firstLine="709"/>
              <w:jc w:val="both"/>
              <w:rPr>
                <w:rFonts w:ascii="Verdana" w:eastAsia="Times New Roman" w:hAnsi="Verdana" w:cs="Times New Roman"/>
                <w:color w:val="7030A0"/>
                <w:lang w:eastAsia="es-ES"/>
              </w:rPr>
            </w:pPr>
            <w:r w:rsidRPr="00BC0DEA">
              <w:rPr>
                <w:rFonts w:ascii="Verdana" w:eastAsia="Calibri" w:hAnsi="Verdana" w:cs="Arial"/>
              </w:rPr>
              <w:lastRenderedPageBreak/>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BC0DEA">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p>
        </w:tc>
      </w:tr>
    </w:tbl>
    <w:p w14:paraId="3A265574" w14:textId="77777777" w:rsidR="000F2DDE" w:rsidRPr="00B35B73" w:rsidRDefault="000F2DDE" w:rsidP="000F2DDE">
      <w:pPr>
        <w:tabs>
          <w:tab w:val="left" w:pos="142"/>
          <w:tab w:val="left" w:pos="284"/>
        </w:tabs>
        <w:spacing w:before="240" w:after="240" w:line="276" w:lineRule="auto"/>
        <w:jc w:val="both"/>
        <w:rPr>
          <w:rFonts w:ascii="Verdana" w:eastAsia="Century Gothic" w:hAnsi="Verdana" w:cs="Century Gothic"/>
          <w:b/>
          <w:lang w:val="es-ES"/>
        </w:rPr>
      </w:pPr>
      <w:r w:rsidRPr="00B35B73">
        <w:rPr>
          <w:rFonts w:ascii="Verdana" w:eastAsia="Century Gothic" w:hAnsi="Verdana" w:cs="Century Gothic"/>
          <w:b/>
          <w:lang w:val="es-ES"/>
        </w:rPr>
        <w:lastRenderedPageBreak/>
        <w:t>3. Razones de la respuesta:</w:t>
      </w:r>
    </w:p>
    <w:p w14:paraId="6BA912F0" w14:textId="77777777" w:rsidR="000F2DDE" w:rsidRPr="000A44E5" w:rsidRDefault="000F2DDE" w:rsidP="000F2DDE">
      <w:pPr>
        <w:tabs>
          <w:tab w:val="left" w:pos="7451"/>
        </w:tabs>
        <w:spacing w:before="240" w:after="240" w:line="276" w:lineRule="auto"/>
        <w:jc w:val="both"/>
        <w:rPr>
          <w:rFonts w:ascii="Verdana" w:eastAsia="Calibri" w:hAnsi="Verdana" w:cs="Arial"/>
          <w:lang w:val="es-ES"/>
        </w:rPr>
      </w:pPr>
      <w:r w:rsidRPr="000A44E5">
        <w:rPr>
          <w:rFonts w:ascii="Verdana" w:eastAsia="Calibri" w:hAnsi="Verdana" w:cs="Arial"/>
          <w:lang w:val="es-ES"/>
        </w:rPr>
        <w:t>Lo anterior se sustenta en las siguientes consideraciones:</w:t>
      </w:r>
    </w:p>
    <w:p w14:paraId="50486C2F" w14:textId="77777777" w:rsidR="000F2DDE" w:rsidRPr="00DB4B13" w:rsidRDefault="000F2DDE" w:rsidP="000F2DDE">
      <w:pPr>
        <w:snapToGrid w:val="0"/>
        <w:spacing w:before="120" w:after="120" w:line="276" w:lineRule="auto"/>
        <w:jc w:val="both"/>
        <w:rPr>
          <w:rFonts w:ascii="Verdana" w:eastAsia="Calibri" w:hAnsi="Verdana" w:cs="Arial"/>
          <w:shd w:val="clear" w:color="auto" w:fill="FFFFFF"/>
        </w:rPr>
      </w:pPr>
      <w:r w:rsidRPr="00DB4B13">
        <w:rPr>
          <w:rFonts w:ascii="Verdana" w:eastAsia="Calibri" w:hAnsi="Verdana" w:cs="Arial"/>
          <w:bCs/>
          <w:lang w:eastAsia="es-ES_tradnl"/>
        </w:rPr>
        <w:t xml:space="preserve">i. </w:t>
      </w:r>
      <w:r w:rsidRPr="00DB4B13">
        <w:rPr>
          <w:rFonts w:ascii="Verdana" w:eastAsia="Calibri" w:hAnsi="Verdana" w:cs="Arial"/>
          <w:shd w:val="clear" w:color="auto" w:fill="FFFFFF"/>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056B2F9A" w14:textId="77777777" w:rsidR="000F2DDE" w:rsidRPr="00717B27" w:rsidRDefault="000F2DDE" w:rsidP="000F2DDE">
      <w:pPr>
        <w:snapToGrid w:val="0"/>
        <w:spacing w:before="120" w:after="120" w:line="276" w:lineRule="auto"/>
        <w:ind w:firstLine="708"/>
        <w:jc w:val="both"/>
        <w:textAlignment w:val="baseline"/>
        <w:rPr>
          <w:rFonts w:ascii="Verdana" w:eastAsia="Aptos" w:hAnsi="Verdana" w:cs="Arial"/>
          <w:lang w:val="es-ES_tradnl" w:eastAsia="es-MX"/>
        </w:rPr>
      </w:pPr>
      <w:r w:rsidRPr="00DB4B13">
        <w:rPr>
          <w:rFonts w:ascii="Verdana" w:eastAsia="Aptos" w:hAnsi="Verdana" w:cs="Arial"/>
          <w:lang w:val="es-ES_tradnl" w:eastAsia="es-MX"/>
        </w:rPr>
        <w:t>Por su parte, las Leyes 1150 de 2007 y 1474 de 2011, complementan el régimen jurídico de la obligación de vigilar la correcta ejecución de los contratos estatales. En dichas normas se establecen los límites de la responsabilidad del representante legal ante la delegación de sus funciones en materia contractual</w:t>
      </w:r>
      <w:r w:rsidRPr="00DB4B13">
        <w:rPr>
          <w:rFonts w:ascii="Aptos" w:eastAsia="Aptos" w:hAnsi="Aptos" w:cs="Times New Roman"/>
          <w:kern w:val="2"/>
          <w:sz w:val="24"/>
          <w:szCs w:val="24"/>
          <w:vertAlign w:val="superscript"/>
          <w:lang w:val="es-ES_tradnl" w:eastAsia="es-MX"/>
          <w14:ligatures w14:val="standardContextual"/>
        </w:rPr>
        <w:footnoteReference w:id="1"/>
      </w:r>
      <w:r w:rsidRPr="00DB4B13">
        <w:rPr>
          <w:rFonts w:ascii="Verdana" w:eastAsia="Aptos" w:hAnsi="Verdana" w:cs="Arial"/>
          <w:lang w:val="es-ES_tradnl" w:eastAsia="es-MX"/>
        </w:rPr>
        <w:t xml:space="preserve"> y se regula </w:t>
      </w:r>
      <w:r w:rsidRPr="00717B27">
        <w:rPr>
          <w:rFonts w:ascii="Verdana" w:eastAsia="Aptos" w:hAnsi="Verdana" w:cs="Arial"/>
          <w:lang w:val="es-ES_tradnl" w:eastAsia="es-MX"/>
        </w:rPr>
        <w:t>la supervisión y la interventoría de los contratos estatales</w:t>
      </w:r>
      <w:r w:rsidRPr="00717B27">
        <w:rPr>
          <w:rFonts w:ascii="Aptos" w:eastAsia="Aptos" w:hAnsi="Aptos" w:cs="Times New Roman"/>
          <w:kern w:val="2"/>
          <w:sz w:val="24"/>
          <w:szCs w:val="24"/>
          <w:vertAlign w:val="superscript"/>
          <w:lang w:val="es-ES_tradnl" w:eastAsia="es-MX"/>
          <w14:ligatures w14:val="standardContextual"/>
        </w:rPr>
        <w:footnoteReference w:id="2"/>
      </w:r>
      <w:r w:rsidRPr="00717B27">
        <w:rPr>
          <w:rFonts w:ascii="Verdana" w:eastAsia="Aptos" w:hAnsi="Verdana" w:cs="Arial"/>
          <w:lang w:val="es-ES_tradnl" w:eastAsia="es-MX"/>
        </w:rPr>
        <w:t>.</w:t>
      </w:r>
    </w:p>
    <w:p w14:paraId="7C0DE954" w14:textId="77777777" w:rsidR="000F2DDE" w:rsidRPr="00717B27" w:rsidRDefault="000F2DDE" w:rsidP="000F2DDE">
      <w:pPr>
        <w:snapToGrid w:val="0"/>
        <w:spacing w:before="120" w:after="0" w:line="276" w:lineRule="auto"/>
        <w:ind w:firstLine="708"/>
        <w:jc w:val="both"/>
        <w:textAlignment w:val="baseline"/>
        <w:rPr>
          <w:rFonts w:ascii="Verdana" w:eastAsia="Aptos" w:hAnsi="Verdana" w:cs="Arial"/>
          <w:lang w:eastAsia="es-MX"/>
        </w:rPr>
      </w:pPr>
      <w:r w:rsidRPr="00717B27">
        <w:rPr>
          <w:rFonts w:ascii="Verdana" w:eastAsia="Aptos" w:hAnsi="Verdana" w:cs="Arial"/>
          <w:lang w:eastAsia="es-MX"/>
        </w:rPr>
        <w:lastRenderedPageBreak/>
        <w:t xml:space="preserve">En particular,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Entidades Estatales para vigilar el contrato, en estos términos: </w:t>
      </w:r>
    </w:p>
    <w:p w14:paraId="3CBD392C" w14:textId="77777777" w:rsidR="000F2DDE" w:rsidRPr="00717B27" w:rsidRDefault="000F2DDE" w:rsidP="000F2DDE">
      <w:pPr>
        <w:snapToGrid w:val="0"/>
        <w:spacing w:after="0" w:line="276" w:lineRule="auto"/>
        <w:ind w:firstLine="708"/>
        <w:jc w:val="both"/>
        <w:textAlignment w:val="baseline"/>
        <w:rPr>
          <w:rFonts w:ascii="Verdana" w:eastAsia="Aptos" w:hAnsi="Verdana" w:cs="Arial"/>
          <w:lang w:eastAsia="es-MX"/>
        </w:rPr>
      </w:pPr>
    </w:p>
    <w:p w14:paraId="424717FD" w14:textId="77777777" w:rsidR="000F2DDE" w:rsidRPr="00717B27" w:rsidRDefault="000F2DDE" w:rsidP="000F2DDE">
      <w:pPr>
        <w:snapToGrid w:val="0"/>
        <w:spacing w:after="0" w:line="240" w:lineRule="auto"/>
        <w:ind w:left="709" w:right="709"/>
        <w:jc w:val="both"/>
        <w:textAlignment w:val="baseline"/>
        <w:rPr>
          <w:rFonts w:ascii="Verdana" w:eastAsia="Aptos" w:hAnsi="Verdana" w:cs="Arial"/>
          <w:sz w:val="20"/>
          <w:szCs w:val="20"/>
          <w:lang w:val="es-ES_tradnl" w:eastAsia="es-MX"/>
        </w:rPr>
      </w:pPr>
      <w:r w:rsidRPr="00717B27">
        <w:rPr>
          <w:rFonts w:ascii="Verdana" w:eastAsia="Aptos" w:hAnsi="Verdana" w:cs="Arial"/>
          <w:sz w:val="20"/>
          <w:szCs w:val="20"/>
          <w:lang w:val="es-ES_tradnl" w:eastAsia="es-MX"/>
        </w:rPr>
        <w:t>“Con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3C7017EE" w14:textId="77777777" w:rsidR="000F2DDE" w:rsidRPr="00717B27" w:rsidRDefault="000F2DDE" w:rsidP="000F2DDE">
      <w:pPr>
        <w:snapToGrid w:val="0"/>
        <w:spacing w:after="0" w:line="240" w:lineRule="auto"/>
        <w:ind w:left="709" w:right="709"/>
        <w:jc w:val="both"/>
        <w:textAlignment w:val="baseline"/>
        <w:rPr>
          <w:rFonts w:ascii="Verdana" w:eastAsia="Aptos" w:hAnsi="Verdana" w:cs="Arial"/>
          <w:sz w:val="20"/>
          <w:szCs w:val="20"/>
          <w:lang w:val="es-ES_tradnl" w:eastAsia="es-MX"/>
        </w:rPr>
      </w:pPr>
    </w:p>
    <w:p w14:paraId="3352E931" w14:textId="77777777" w:rsidR="000F2DDE" w:rsidRPr="00717B27" w:rsidRDefault="000F2DDE" w:rsidP="000F2DDE">
      <w:pPr>
        <w:snapToGrid w:val="0"/>
        <w:spacing w:after="0" w:line="240" w:lineRule="auto"/>
        <w:ind w:left="709" w:right="709"/>
        <w:jc w:val="both"/>
        <w:textAlignment w:val="baseline"/>
        <w:rPr>
          <w:rFonts w:ascii="Verdana" w:eastAsia="Aptos" w:hAnsi="Verdana" w:cs="Arial"/>
          <w:sz w:val="20"/>
          <w:szCs w:val="20"/>
          <w:lang w:val="es-ES" w:eastAsia="es-MX"/>
        </w:rPr>
      </w:pPr>
      <w:r w:rsidRPr="00717B27">
        <w:rPr>
          <w:rFonts w:ascii="Verdana" w:eastAsia="Aptos"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 </w:t>
      </w:r>
    </w:p>
    <w:p w14:paraId="0EC8CD94" w14:textId="77777777" w:rsidR="000F2DDE" w:rsidRPr="00717B27" w:rsidRDefault="000F2DDE" w:rsidP="000F2DDE">
      <w:pPr>
        <w:snapToGrid w:val="0"/>
        <w:spacing w:after="0" w:line="240" w:lineRule="auto"/>
        <w:ind w:left="709" w:right="709"/>
        <w:jc w:val="both"/>
        <w:textAlignment w:val="baseline"/>
        <w:rPr>
          <w:rFonts w:ascii="Verdana" w:eastAsia="Aptos" w:hAnsi="Verdana" w:cs="Arial"/>
          <w:sz w:val="20"/>
          <w:szCs w:val="20"/>
          <w:lang w:val="es-ES" w:eastAsia="es-MX"/>
        </w:rPr>
      </w:pPr>
    </w:p>
    <w:p w14:paraId="488352E6" w14:textId="77777777" w:rsidR="000F2DDE" w:rsidRPr="00717B27" w:rsidRDefault="000F2DDE" w:rsidP="000F2DDE">
      <w:pPr>
        <w:snapToGrid w:val="0"/>
        <w:spacing w:after="0" w:line="240" w:lineRule="auto"/>
        <w:ind w:left="709" w:right="709"/>
        <w:jc w:val="both"/>
        <w:textAlignment w:val="baseline"/>
        <w:rPr>
          <w:rFonts w:ascii="Verdana" w:eastAsia="Aptos" w:hAnsi="Verdana" w:cs="Arial"/>
          <w:sz w:val="20"/>
          <w:szCs w:val="20"/>
          <w:lang w:val="es-ES_tradnl" w:eastAsia="es-MX"/>
        </w:rPr>
      </w:pPr>
      <w:r w:rsidRPr="00717B27">
        <w:rPr>
          <w:rFonts w:ascii="Verdana" w:eastAsia="Aptos"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 </w:t>
      </w:r>
      <w:r w:rsidRPr="00717B27">
        <w:rPr>
          <w:rFonts w:ascii="Verdana" w:eastAsia="Aptos" w:hAnsi="Verdana" w:cs="Arial"/>
          <w:sz w:val="20"/>
          <w:szCs w:val="20"/>
          <w:lang w:val="es-ES_tradnl" w:eastAsia="es-MX"/>
        </w:rPr>
        <w:t>[…]”.</w:t>
      </w:r>
      <w:r w:rsidRPr="00717B27">
        <w:rPr>
          <w:rFonts w:ascii="Verdana" w:eastAsia="Aptos" w:hAnsi="Verdana" w:cs="Arial"/>
          <w:sz w:val="20"/>
          <w:szCs w:val="20"/>
          <w:vertAlign w:val="superscript"/>
          <w:lang w:val="es-ES" w:eastAsia="es-MX"/>
        </w:rPr>
        <w:footnoteReference w:id="3"/>
      </w:r>
    </w:p>
    <w:p w14:paraId="71101ADE" w14:textId="77777777" w:rsidR="000F2DDE" w:rsidRPr="005A6192" w:rsidRDefault="000F2DDE" w:rsidP="000F2DDE">
      <w:pPr>
        <w:snapToGrid w:val="0"/>
        <w:spacing w:after="0" w:line="240" w:lineRule="auto"/>
        <w:ind w:left="709" w:right="709"/>
        <w:jc w:val="both"/>
        <w:textAlignment w:val="baseline"/>
        <w:rPr>
          <w:rFonts w:ascii="Verdana" w:eastAsia="Aptos" w:hAnsi="Verdana" w:cs="Arial"/>
          <w:sz w:val="20"/>
          <w:szCs w:val="20"/>
          <w:highlight w:val="lightGray"/>
          <w:lang w:val="es-ES" w:eastAsia="es-MX"/>
        </w:rPr>
      </w:pPr>
    </w:p>
    <w:p w14:paraId="11E3A446" w14:textId="77777777" w:rsidR="000F2DDE" w:rsidRPr="003403CB" w:rsidRDefault="000F2DDE" w:rsidP="000F2DDE">
      <w:pPr>
        <w:tabs>
          <w:tab w:val="left" w:pos="709"/>
        </w:tabs>
        <w:snapToGrid w:val="0"/>
        <w:spacing w:after="120" w:line="276" w:lineRule="auto"/>
        <w:jc w:val="both"/>
        <w:rPr>
          <w:rFonts w:ascii="Verdana" w:eastAsia="Aptos" w:hAnsi="Verdana" w:cs="Arial"/>
          <w:bCs/>
        </w:rPr>
      </w:pPr>
      <w:r w:rsidRPr="005A6192">
        <w:rPr>
          <w:rFonts w:ascii="Verdana" w:eastAsia="Aptos" w:hAnsi="Verdana" w:cs="Arial"/>
          <w:bCs/>
        </w:rPr>
        <w:tab/>
        <w:t xml:space="preserve">De este modo, 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w:t>
      </w:r>
      <w:r w:rsidRPr="005A6192">
        <w:rPr>
          <w:rFonts w:ascii="Verdana" w:eastAsia="Aptos" w:hAnsi="Verdana" w:cs="Arial"/>
          <w:bCs/>
        </w:rPr>
        <w:lastRenderedPageBreak/>
        <w:t>1474 de 2011–. (ii) También es un mecanismo de vigilancia que exige, en su ejecución, la utilización de conocimientos especializados. (iii) Por lo anterior, la entidad contrata un experto, por regla general, mediante la modalidad de selección de concurso de méritos, al tratarse de una especie del contrato de consultoría –art. 32, numeral 2, inciso 2, Ley 80 de 1993</w:t>
      </w:r>
      <w:r w:rsidRPr="005A6192">
        <w:rPr>
          <w:rFonts w:ascii="Aptos" w:eastAsia="Aptos" w:hAnsi="Aptos" w:cs="Times New Roman"/>
          <w:kern w:val="2"/>
          <w:sz w:val="24"/>
          <w:szCs w:val="24"/>
          <w:vertAlign w:val="superscript"/>
          <w14:ligatures w14:val="standardContextual"/>
        </w:rPr>
        <w:footnoteReference w:id="4"/>
      </w:r>
      <w:r w:rsidRPr="005A6192">
        <w:rPr>
          <w:rFonts w:ascii="Verdana" w:eastAsia="Aptos" w:hAnsi="Verdana" w:cs="Arial"/>
          <w:bCs/>
        </w:rPr>
        <w:t xml:space="preserve">‒, de manera que la interventoría es realizada por “una persona natural o jurídica contratada para tal fin por la Entidad Estatal” –art. 83, Ley 1474–. Adicionalmente, (iv) el seguimiento técnico es inherente a la interventoría para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Finalmente, (v) en caso de que no se encomiende al interventor el seguimiento total del contrato, en el contrato de interventoría “se deberán indicar las actividades técnicas a cargo del interventor y las demás quedarán a cargo de la Entidad a través del supervisor” –art. 83, inciso 3–. En </w:t>
      </w:r>
      <w:r w:rsidRPr="003403CB">
        <w:rPr>
          <w:rFonts w:ascii="Verdana" w:eastAsia="Aptos" w:hAnsi="Verdana" w:cs="Arial"/>
          <w:bCs/>
        </w:rPr>
        <w:t>cualquier caso (vi) el contrato de interventoría será supervisado directamente por la entidad –art. 23, inciso 4–.</w:t>
      </w:r>
    </w:p>
    <w:p w14:paraId="6521BB03" w14:textId="77777777" w:rsidR="000F2DDE" w:rsidRPr="003403CB" w:rsidRDefault="000F2DDE" w:rsidP="000F2DDE">
      <w:pPr>
        <w:pStyle w:val="Sinespaciado"/>
        <w:spacing w:line="276" w:lineRule="auto"/>
        <w:jc w:val="both"/>
        <w:rPr>
          <w:rFonts w:ascii="Verdana" w:hAnsi="Verdana" w:cs="Arial"/>
          <w:sz w:val="22"/>
        </w:rPr>
      </w:pPr>
      <w:r w:rsidRPr="003403CB">
        <w:rPr>
          <w:rFonts w:ascii="Verdana" w:eastAsia="Calibri" w:hAnsi="Verdana" w:cs="Arial"/>
          <w:kern w:val="2"/>
          <w:sz w:val="22"/>
          <w14:ligatures w14:val="standardContextual"/>
        </w:rPr>
        <w:tab/>
        <w:t>Ahora bien, el contrato de interventoría supone la existencia de otro contrato –es decir, el contrato vigilado–, y por eso la jurisprudencia ha caracterizado la interventoría como un negocio jurídico íntimamente relacionado en su objeto con el contrato respecto del que ejerce las actividades del interventor</w:t>
      </w:r>
      <w:r w:rsidRPr="003403CB">
        <w:rPr>
          <w:rFonts w:ascii="Verdana" w:eastAsia="Aptos" w:hAnsi="Verdana" w:cs="Times New Roman"/>
          <w:kern w:val="2"/>
          <w:sz w:val="22"/>
          <w:vertAlign w:val="superscript"/>
          <w14:ligatures w14:val="standardContextual"/>
        </w:rPr>
        <w:footnoteReference w:id="5"/>
      </w:r>
      <w:r w:rsidRPr="003403CB">
        <w:rPr>
          <w:rFonts w:ascii="Verdana" w:eastAsia="Calibri" w:hAnsi="Verdana" w:cs="Arial"/>
          <w:kern w:val="2"/>
          <w:sz w:val="22"/>
          <w14:ligatures w14:val="standardContextual"/>
        </w:rPr>
        <w:t xml:space="preserve">. No obstante, a pesar de lo anterior, el contrato de interventoría es </w:t>
      </w:r>
      <w:r w:rsidRPr="003403CB">
        <w:rPr>
          <w:rFonts w:ascii="Verdana" w:eastAsia="Calibri" w:hAnsi="Verdana" w:cs="Arial"/>
          <w:i/>
          <w:iCs/>
          <w:kern w:val="2"/>
          <w:sz w:val="22"/>
          <w14:ligatures w14:val="standardContextual"/>
        </w:rPr>
        <w:t xml:space="preserve">independiente del otro contrato </w:t>
      </w:r>
      <w:r w:rsidRPr="003403CB">
        <w:rPr>
          <w:rFonts w:ascii="Verdana" w:eastAsia="Calibri" w:hAnsi="Verdana" w:cs="Arial"/>
          <w:kern w:val="2"/>
          <w:sz w:val="22"/>
          <w14:ligatures w14:val="standardContextual"/>
        </w:rPr>
        <w:t>en aspectos específicos como, por ejemplo, la prórroga y el incumplimiento. En efecto, la prórroga de la obra no implica de suyo la del interventor, aunque puede realizarse cumpliendo las solemnidades de ley; además, el incumplimiento del contrato vigilado, como lo sería un contrato de obra, no significa por sí solo el incumplimiento del de interventoría</w:t>
      </w:r>
      <w:r w:rsidRPr="003403CB">
        <w:rPr>
          <w:rFonts w:ascii="Verdana" w:eastAsia="Aptos" w:hAnsi="Verdana" w:cs="Times New Roman"/>
          <w:kern w:val="2"/>
          <w:sz w:val="22"/>
          <w:vertAlign w:val="superscript"/>
          <w14:ligatures w14:val="standardContextual"/>
        </w:rPr>
        <w:footnoteReference w:id="6"/>
      </w:r>
      <w:r w:rsidRPr="003403CB">
        <w:rPr>
          <w:rFonts w:ascii="Verdana" w:eastAsia="Calibri" w:hAnsi="Verdana" w:cs="Arial"/>
          <w:kern w:val="2"/>
          <w:sz w:val="22"/>
          <w14:ligatures w14:val="standardContextual"/>
        </w:rPr>
        <w:t xml:space="preserve">.  </w:t>
      </w:r>
    </w:p>
    <w:p w14:paraId="5A105B06" w14:textId="77777777" w:rsidR="000F2DDE" w:rsidRPr="008132C7" w:rsidRDefault="000F2DDE" w:rsidP="000F2DDE">
      <w:pPr>
        <w:pStyle w:val="Sinespaciado"/>
        <w:spacing w:before="120" w:line="276" w:lineRule="auto"/>
        <w:ind w:firstLine="708"/>
        <w:jc w:val="both"/>
        <w:rPr>
          <w:rFonts w:ascii="Verdana" w:hAnsi="Verdana" w:cs="Arial"/>
          <w:sz w:val="22"/>
        </w:rPr>
      </w:pPr>
      <w:r w:rsidRPr="008132C7">
        <w:rPr>
          <w:rFonts w:ascii="Verdana" w:hAnsi="Verdana" w:cs="Arial"/>
          <w:sz w:val="22"/>
        </w:rPr>
        <w:lastRenderedPageBreak/>
        <w:t>Es así como el contrato de interventoría es un contrato bilateral, conmutativo y oneroso, por lo que crea obligaciones tanto para la entidad contratante como para el contratista interventor. Estas obligaciones deben guardar una correlativa equivalencia entre las prestaciones y derechos de ambas partes, por las que a su vez cada una de ellas recibe un beneficio. Por lo tanto, el interventor tiene derecho a recibir el pago de una contraprestación, remuneración o precio</w:t>
      </w:r>
      <w:r w:rsidRPr="008132C7">
        <w:rPr>
          <w:rFonts w:ascii="Verdana" w:hAnsi="Verdana"/>
          <w:sz w:val="22"/>
          <w:vertAlign w:val="superscript"/>
        </w:rPr>
        <w:footnoteReference w:id="7"/>
      </w:r>
      <w:r w:rsidRPr="008132C7">
        <w:rPr>
          <w:rFonts w:ascii="Verdana" w:hAnsi="Verdana" w:cs="Arial"/>
          <w:sz w:val="22"/>
        </w:rPr>
        <w:t>, en los términos pactados en el contrato, por la adecuada y oportuna ejecución del objeto contractual, derecho que se encuentra reconocido en el numeral 1 del artículo 5 de la Ley 80 de 1993</w:t>
      </w:r>
      <w:r w:rsidRPr="008132C7">
        <w:rPr>
          <w:rFonts w:ascii="Verdana" w:hAnsi="Verdana"/>
          <w:sz w:val="22"/>
          <w:vertAlign w:val="superscript"/>
        </w:rPr>
        <w:footnoteReference w:id="8"/>
      </w:r>
      <w:r w:rsidRPr="008132C7">
        <w:rPr>
          <w:rFonts w:ascii="Verdana" w:hAnsi="Verdana" w:cs="Arial"/>
          <w:sz w:val="22"/>
        </w:rPr>
        <w:t xml:space="preserve">. </w:t>
      </w:r>
    </w:p>
    <w:p w14:paraId="2989F95E" w14:textId="262754BF" w:rsidR="000F2DDE" w:rsidRDefault="000F2DDE" w:rsidP="00891F99">
      <w:pPr>
        <w:spacing w:before="120" w:after="0" w:line="276" w:lineRule="auto"/>
        <w:ind w:firstLine="708"/>
        <w:jc w:val="both"/>
        <w:rPr>
          <w:rFonts w:ascii="Verdana" w:eastAsia="Arial" w:hAnsi="Verdana" w:cstheme="majorHAnsi"/>
          <w:lang w:val="es-ES"/>
        </w:rPr>
      </w:pPr>
      <w:r w:rsidRPr="00EC0105">
        <w:rPr>
          <w:rFonts w:ascii="Verdana" w:eastAsia="Arial" w:hAnsi="Verdana" w:cstheme="majorHAnsi"/>
          <w:lang w:val="es-ES"/>
        </w:rPr>
        <w:t>Así las cosas, las entidades gozan de autonomía para configurar el precio y las adiciones presupuestales para satisfacer los fines de la contratación y cumplir con los objetivos de vigilancia del contrato de interventoría, respetando los límites previstos en el ordenamiento. Para las entidades que se rigen por el Estatuto General de Contratación de la Administración Pública, esta autonomía está reconocida en los artículos 13</w:t>
      </w:r>
      <w:r w:rsidRPr="00EC0105">
        <w:rPr>
          <w:rStyle w:val="Refdenotaalpie"/>
          <w:rFonts w:ascii="Verdana" w:eastAsia="Arial" w:hAnsi="Verdana" w:cstheme="majorHAnsi"/>
          <w:lang w:val="es-ES"/>
        </w:rPr>
        <w:footnoteReference w:id="9"/>
      </w:r>
      <w:r w:rsidRPr="00EC0105">
        <w:rPr>
          <w:rFonts w:ascii="Verdana" w:eastAsia="Arial" w:hAnsi="Verdana" w:cstheme="majorHAnsi"/>
          <w:lang w:val="es-ES"/>
        </w:rPr>
        <w:t>, 32</w:t>
      </w:r>
      <w:r w:rsidRPr="00EC0105">
        <w:rPr>
          <w:rStyle w:val="Refdenotaalpie"/>
          <w:rFonts w:ascii="Verdana" w:eastAsia="Arial" w:hAnsi="Verdana" w:cstheme="majorHAnsi"/>
          <w:lang w:val="es-ES"/>
        </w:rPr>
        <w:footnoteReference w:id="10"/>
      </w:r>
      <w:r w:rsidRPr="00EC0105">
        <w:rPr>
          <w:rFonts w:ascii="Verdana" w:eastAsia="Arial" w:hAnsi="Verdana" w:cstheme="majorHAnsi"/>
          <w:lang w:val="es-ES"/>
        </w:rPr>
        <w:t xml:space="preserve"> y 40 de la Ley 80 de 1993. En particular, éste último señala que:</w:t>
      </w:r>
    </w:p>
    <w:p w14:paraId="4749F68D" w14:textId="77777777" w:rsidR="00891F99" w:rsidRPr="00891F99" w:rsidRDefault="00891F99" w:rsidP="00891F99">
      <w:pPr>
        <w:spacing w:before="120" w:after="0" w:line="276" w:lineRule="auto"/>
        <w:ind w:firstLine="708"/>
        <w:jc w:val="both"/>
        <w:rPr>
          <w:rFonts w:ascii="Verdana" w:eastAsia="Arial" w:hAnsi="Verdana" w:cstheme="majorHAnsi"/>
          <w:lang w:val="es-ES"/>
        </w:rPr>
      </w:pPr>
    </w:p>
    <w:p w14:paraId="2D305B66" w14:textId="77777777" w:rsidR="000F2DDE" w:rsidRPr="00EC0105" w:rsidRDefault="000F2DDE" w:rsidP="000F2DDE">
      <w:pPr>
        <w:snapToGrid w:val="0"/>
        <w:spacing w:after="120" w:line="240" w:lineRule="auto"/>
        <w:ind w:left="709" w:right="709"/>
        <w:jc w:val="both"/>
        <w:textAlignment w:val="baseline"/>
        <w:rPr>
          <w:rFonts w:ascii="Verdana" w:eastAsia="Aptos" w:hAnsi="Verdana" w:cs="Arial"/>
          <w:sz w:val="20"/>
          <w:szCs w:val="20"/>
          <w:lang w:val="es-ES" w:eastAsia="es-MX"/>
        </w:rPr>
      </w:pPr>
      <w:r w:rsidRPr="00EC0105">
        <w:rPr>
          <w:rFonts w:ascii="Verdana" w:eastAsia="Aptos" w:hAnsi="Verdana" w:cs="Arial"/>
          <w:sz w:val="20"/>
          <w:szCs w:val="20"/>
          <w:lang w:val="es-ES" w:eastAsia="es-MX"/>
        </w:rPr>
        <w:t>“Las estipulaciones de los contratos serán las que de acuerdo con las normas civiles, comerciales y las previstas en esta Ley, correspondan a su esencia y naturaleza.</w:t>
      </w:r>
    </w:p>
    <w:p w14:paraId="332F2023" w14:textId="77777777" w:rsidR="000F2DDE" w:rsidRPr="00EC0105" w:rsidRDefault="000F2DDE" w:rsidP="000F2DDE">
      <w:pPr>
        <w:snapToGrid w:val="0"/>
        <w:spacing w:before="120" w:after="120" w:line="240" w:lineRule="auto"/>
        <w:ind w:left="709" w:right="709"/>
        <w:jc w:val="both"/>
        <w:textAlignment w:val="baseline"/>
        <w:rPr>
          <w:rFonts w:ascii="Verdana" w:eastAsia="Aptos" w:hAnsi="Verdana" w:cs="Arial"/>
          <w:sz w:val="20"/>
          <w:szCs w:val="20"/>
          <w:lang w:val="es-ES_tradnl" w:eastAsia="es-MX"/>
        </w:rPr>
      </w:pPr>
      <w:r w:rsidRPr="00EC0105">
        <w:rPr>
          <w:rFonts w:ascii="Verdana" w:eastAsia="Aptos" w:hAnsi="Verdana" w:cs="Arial"/>
          <w:sz w:val="20"/>
          <w:szCs w:val="20"/>
          <w:lang w:val="es-ES_tradnl" w:eastAsia="es-MX"/>
        </w:rPr>
        <w:t>Las entidades podrán celebrar los contratos y acuerdos que permitan la autonomía de la voluntad y requieran el cumplimiento de los fines estatales.</w:t>
      </w:r>
    </w:p>
    <w:p w14:paraId="31F0AE84" w14:textId="77777777" w:rsidR="000F2DDE" w:rsidRPr="00EC0105" w:rsidRDefault="000F2DDE" w:rsidP="000F2DDE">
      <w:pPr>
        <w:snapToGrid w:val="0"/>
        <w:spacing w:before="120" w:after="120" w:line="240" w:lineRule="auto"/>
        <w:ind w:left="709" w:right="709"/>
        <w:jc w:val="both"/>
        <w:textAlignment w:val="baseline"/>
        <w:rPr>
          <w:rFonts w:ascii="Verdana" w:eastAsia="Aptos" w:hAnsi="Verdana" w:cs="Arial"/>
          <w:sz w:val="20"/>
          <w:szCs w:val="20"/>
          <w:lang w:val="es-ES" w:eastAsia="es-MX"/>
        </w:rPr>
      </w:pPr>
      <w:r w:rsidRPr="00EC0105">
        <w:rPr>
          <w:rFonts w:ascii="Verdana" w:eastAsia="Aptos" w:hAnsi="Verdana" w:cs="Arial"/>
          <w:sz w:val="20"/>
          <w:szCs w:val="20"/>
          <w:lang w:val="es-ES" w:eastAsia="es-MX"/>
        </w:rPr>
        <w:lastRenderedPageBreak/>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p>
    <w:p w14:paraId="7963C296" w14:textId="77777777" w:rsidR="000F2DDE" w:rsidRDefault="000F2DDE" w:rsidP="000F2DDE">
      <w:pPr>
        <w:snapToGrid w:val="0"/>
        <w:spacing w:before="120" w:after="0" w:line="240" w:lineRule="auto"/>
        <w:ind w:left="709" w:right="709"/>
        <w:jc w:val="both"/>
        <w:textAlignment w:val="baseline"/>
        <w:rPr>
          <w:rFonts w:ascii="Verdana" w:eastAsia="Aptos" w:hAnsi="Verdana" w:cs="Arial"/>
          <w:sz w:val="20"/>
          <w:szCs w:val="20"/>
          <w:lang w:val="es-ES_tradnl" w:eastAsia="es-MX"/>
        </w:rPr>
      </w:pPr>
      <w:r w:rsidRPr="00EC0105">
        <w:rPr>
          <w:rFonts w:ascii="Verdana" w:eastAsia="Aptos" w:hAnsi="Verdana" w:cs="Arial"/>
          <w:sz w:val="20"/>
          <w:szCs w:val="20"/>
          <w:lang w:val="es-ES_tradnl" w:eastAsia="es-MX"/>
        </w:rPr>
        <w:t>En los contratos de empréstito o cualquier otra forma de financiación de organismos multilaterales, podrán incluirse las previsiones y particularidades contempladas en los reglamentos de tales entidades, que no sean contrarias a la Constitución o a la ley […]”</w:t>
      </w:r>
      <w:bookmarkStart w:id="3" w:name="_Hlk102983874"/>
      <w:bookmarkStart w:id="4" w:name="_Hlk102388095"/>
    </w:p>
    <w:p w14:paraId="0CB4EFFB" w14:textId="77777777" w:rsidR="00891F99" w:rsidRPr="00EC0105" w:rsidRDefault="00891F99" w:rsidP="000F2DDE">
      <w:pPr>
        <w:snapToGrid w:val="0"/>
        <w:spacing w:before="120" w:after="0" w:line="240" w:lineRule="auto"/>
        <w:ind w:left="709" w:right="709"/>
        <w:jc w:val="both"/>
        <w:textAlignment w:val="baseline"/>
        <w:rPr>
          <w:rFonts w:ascii="Verdana" w:eastAsia="Aptos" w:hAnsi="Verdana" w:cs="Arial"/>
          <w:sz w:val="20"/>
          <w:szCs w:val="20"/>
          <w:lang w:val="es-ES_tradnl" w:eastAsia="es-MX"/>
        </w:rPr>
      </w:pPr>
    </w:p>
    <w:p w14:paraId="032CDD05" w14:textId="77777777" w:rsidR="000F2DDE" w:rsidRPr="00D77DAE" w:rsidRDefault="000F2DDE" w:rsidP="2F2C3453">
      <w:pPr>
        <w:spacing w:after="120" w:line="276" w:lineRule="auto"/>
        <w:jc w:val="both"/>
        <w:rPr>
          <w:rFonts w:ascii="Verdana" w:hAnsi="Verdana" w:cs="Arial"/>
          <w:lang w:val="es-ES"/>
        </w:rPr>
      </w:pPr>
      <w:r w:rsidRPr="2F2C3453">
        <w:rPr>
          <w:rFonts w:ascii="Verdana" w:eastAsia="Aptos" w:hAnsi="Verdana" w:cs="Arial"/>
          <w:sz w:val="20"/>
          <w:szCs w:val="20"/>
          <w:lang w:val="es-ES" w:eastAsia="es-MX"/>
        </w:rPr>
        <w:t xml:space="preserve">ii. </w:t>
      </w:r>
      <w:r w:rsidRPr="2F2C3453">
        <w:rPr>
          <w:rFonts w:ascii="Verdana" w:hAnsi="Verdana" w:cs="Arial"/>
          <w:lang w:val="es-ES"/>
        </w:rPr>
        <w:t xml:space="preserve">Ahora bien, uno de los elementos más comunes en los contratos estatales es el </w:t>
      </w:r>
      <w:r w:rsidRPr="2F2C3453">
        <w:rPr>
          <w:rFonts w:ascii="Verdana" w:hAnsi="Verdana" w:cs="Arial"/>
          <w:i/>
          <w:iCs/>
          <w:lang w:val="es-ES"/>
        </w:rPr>
        <w:t>precio</w:t>
      </w:r>
      <w:r w:rsidRPr="2F2C3453">
        <w:rPr>
          <w:rFonts w:ascii="Verdana" w:hAnsi="Verdana" w:cs="Arial"/>
          <w:lang w:val="es-ES"/>
        </w:rPr>
        <w:t>,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6B27CB47" w14:textId="77777777" w:rsidR="000F2DDE" w:rsidRPr="004A6A87" w:rsidRDefault="000F2DDE" w:rsidP="000F2DDE">
      <w:pPr>
        <w:spacing w:before="120" w:after="120" w:line="276" w:lineRule="auto"/>
        <w:ind w:firstLine="709"/>
        <w:jc w:val="both"/>
        <w:rPr>
          <w:rFonts w:ascii="Verdana" w:hAnsi="Verdana" w:cs="Arial"/>
          <w:bCs/>
          <w:lang w:val="es-ES_tradnl"/>
        </w:rPr>
      </w:pPr>
      <w:r w:rsidRPr="004A6A87">
        <w:rPr>
          <w:rFonts w:ascii="Verdana" w:hAnsi="Verdana" w:cs="Arial"/>
          <w:bCs/>
          <w:lang w:val="es-ES_tradnl"/>
        </w:rPr>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de los estudios previos la definición del esquema que la entidad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4A6A87">
        <w:rPr>
          <w:rStyle w:val="Refdenotaalpie"/>
          <w:rFonts w:ascii="Verdana" w:hAnsi="Verdana" w:cs="Arial"/>
          <w:bCs/>
          <w:lang w:val="es-ES_tradnl"/>
        </w:rPr>
        <w:footnoteReference w:id="11"/>
      </w:r>
      <w:r w:rsidRPr="004A6A87">
        <w:rPr>
          <w:rFonts w:ascii="Verdana" w:hAnsi="Verdana" w:cs="Arial"/>
          <w:bCs/>
          <w:lang w:val="es-ES_tradnl"/>
        </w:rPr>
        <w:t>.</w:t>
      </w:r>
    </w:p>
    <w:p w14:paraId="70AE410D" w14:textId="77777777" w:rsidR="000F2DDE" w:rsidRPr="0006288F" w:rsidRDefault="000F2DDE" w:rsidP="2F2C3453">
      <w:pPr>
        <w:spacing w:before="120" w:after="120" w:line="276" w:lineRule="auto"/>
        <w:ind w:firstLine="709"/>
        <w:jc w:val="both"/>
        <w:rPr>
          <w:rFonts w:ascii="Verdana" w:hAnsi="Verdana" w:cs="Arial"/>
          <w:lang w:val="es-ES"/>
        </w:rPr>
      </w:pPr>
      <w:r w:rsidRPr="2F2C3453">
        <w:rPr>
          <w:rFonts w:ascii="Verdana" w:hAnsi="Verdana" w:cs="Arial"/>
          <w:lang w:val="es-ES"/>
        </w:rPr>
        <w:lastRenderedPageBreak/>
        <w:t>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680293F8" w14:textId="77777777" w:rsidR="000F2DDE" w:rsidRPr="00D81A23" w:rsidRDefault="000F2DDE" w:rsidP="000F2DDE">
      <w:pPr>
        <w:spacing w:line="276" w:lineRule="auto"/>
        <w:ind w:firstLine="709"/>
        <w:jc w:val="both"/>
        <w:rPr>
          <w:rFonts w:ascii="Verdana" w:hAnsi="Verdana" w:cs="Arial"/>
          <w:sz w:val="21"/>
          <w:szCs w:val="21"/>
          <w:lang w:val="es-ES_tradnl"/>
        </w:rPr>
      </w:pPr>
      <w:r w:rsidRPr="00D81A23">
        <w:rPr>
          <w:rFonts w:ascii="Verdana" w:hAnsi="Verdana" w:cs="Arial"/>
          <w:bCs/>
          <w:lang w:val="es-ES_tradnl"/>
        </w:rPr>
        <w:t xml:space="preserve">Por ejemplo, en los contratos cuyo precio se estructura a partir del sistema de precios unitarios, ha hecho parte de la práctica de los negocios que el contratante le solicite al potencial contratista que separe en su propuesta los costos directos –es decir, los que están directamente implicados en la ejecución del objeto–, de los costos indirectos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costos directos se evidencian en el análisis de precios unitarios –APU–, como la sumatoria de los valores de los </w:t>
      </w:r>
      <w:r w:rsidRPr="00D81A23">
        <w:rPr>
          <w:rFonts w:ascii="Verdana" w:hAnsi="Verdana" w:cs="Arial"/>
          <w:bCs/>
          <w:i/>
          <w:iCs/>
          <w:lang w:val="es-ES_tradnl"/>
        </w:rPr>
        <w:t>ítems</w:t>
      </w:r>
      <w:r w:rsidRPr="00D81A23">
        <w:rPr>
          <w:rFonts w:ascii="Verdana" w:hAnsi="Verdana" w:cs="Arial"/>
          <w:bCs/>
          <w:lang w:val="es-ES_tradnl"/>
        </w:rPr>
        <w:t xml:space="preserve"> según su unidad de medida, los costos indirectos se suelen abreviar en las variables que integran el acrónimo AIU –Administración, Imprevistos y Utilidad–, que se calcula como un porcentaje aplicado a los costos indirectos</w:t>
      </w:r>
      <w:r w:rsidRPr="00D81A23">
        <w:rPr>
          <w:rStyle w:val="Refdenotaalpie"/>
          <w:rFonts w:ascii="Verdana" w:hAnsi="Verdana" w:cs="Arial"/>
          <w:sz w:val="21"/>
          <w:szCs w:val="21"/>
          <w:lang w:val="es-ES_tradnl"/>
        </w:rPr>
        <w:footnoteReference w:id="12"/>
      </w:r>
      <w:r w:rsidRPr="00D81A23">
        <w:rPr>
          <w:rFonts w:ascii="Verdana" w:hAnsi="Verdana" w:cs="Arial"/>
          <w:sz w:val="21"/>
          <w:szCs w:val="21"/>
          <w:lang w:val="es-ES_tradnl"/>
        </w:rPr>
        <w:t>.</w:t>
      </w:r>
    </w:p>
    <w:p w14:paraId="45F381DC" w14:textId="77777777" w:rsidR="000F2DDE" w:rsidRPr="00140C86" w:rsidRDefault="000F2DDE" w:rsidP="000F2DDE">
      <w:pPr>
        <w:spacing w:after="120" w:line="276" w:lineRule="auto"/>
        <w:ind w:firstLine="709"/>
        <w:jc w:val="both"/>
        <w:rPr>
          <w:rFonts w:ascii="Verdana" w:hAnsi="Verdana" w:cs="Arial"/>
        </w:rPr>
      </w:pPr>
      <w:r w:rsidRPr="00140C86">
        <w:rPr>
          <w:rFonts w:ascii="Verdana" w:hAnsi="Verdana" w:cs="Arial"/>
          <w:lang w:val="es-ES_tradnl"/>
        </w:rPr>
        <w:t xml:space="preserve">De igual forma, para efectos de la consultorías e interventorías, </w:t>
      </w:r>
      <w:r w:rsidRPr="00140C86">
        <w:rPr>
          <w:rFonts w:ascii="Verdana" w:hAnsi="Verdana" w:cs="Arial"/>
        </w:rPr>
        <w:t>el factor multiplicador es una metodología permite imputar al contrato los costos directos asociados a prestaciones laborales y sociales del personal vinculado con carácter exclusivo al proyecto, la utilidad del ingeniero y los costos de administración asociados al personal, afectando el valor parcial de la oferta por un factor multiplicador</w:t>
      </w:r>
      <w:r w:rsidRPr="00140C86">
        <w:rPr>
          <w:rStyle w:val="Refdenotaalpie"/>
          <w:rFonts w:ascii="Verdana" w:hAnsi="Verdana" w:cs="Arial"/>
        </w:rPr>
        <w:footnoteReference w:id="13"/>
      </w:r>
      <w:r w:rsidRPr="00140C86">
        <w:rPr>
          <w:rFonts w:ascii="Verdana" w:hAnsi="Verdana" w:cs="Arial"/>
        </w:rPr>
        <w:t xml:space="preserve">. De esta manera se obtiene un subtotal de costos directos a partir </w:t>
      </w:r>
      <w:r w:rsidRPr="00140C86">
        <w:rPr>
          <w:rFonts w:ascii="Verdana" w:hAnsi="Verdana" w:cs="Arial"/>
        </w:rPr>
        <w:lastRenderedPageBreak/>
        <w:t xml:space="preserve">de la sumatoria de los valores correspondientes los salarios del personal, incrementado a partir de su multiplicación por un factor que suele consistir en una cifra de dos dígitos, con una parte entera y otra decimal. Esto sin perjuicio de la incorporación de otros costos directos como viáticos, alquiler de equipos, oficinas, etc., cuya discriminación se exige de manera separada de los costos de personal, para ser sumados al valor resultante la aplicación del factor multiplicador. </w:t>
      </w:r>
    </w:p>
    <w:p w14:paraId="29C9BCED" w14:textId="77777777" w:rsidR="000F2DDE" w:rsidRPr="00087ADF" w:rsidRDefault="000F2DDE" w:rsidP="000F2DDE">
      <w:pPr>
        <w:spacing w:after="120" w:line="276" w:lineRule="auto"/>
        <w:ind w:firstLine="709"/>
        <w:jc w:val="both"/>
        <w:textAlignment w:val="baseline"/>
        <w:rPr>
          <w:rFonts w:ascii="Verdana" w:eastAsia="Times New Roman" w:hAnsi="Verdana" w:cs="Arial"/>
          <w:bCs/>
          <w:color w:val="00B0F0"/>
          <w:lang w:val="es-ES_tradnl" w:eastAsia="es-CO"/>
        </w:rPr>
      </w:pPr>
      <w:r w:rsidRPr="00E42468">
        <w:rPr>
          <w:rFonts w:ascii="Verdana" w:eastAsia="Times New Roman" w:hAnsi="Verdana" w:cs="Arial"/>
          <w:lang w:eastAsia="es-CO"/>
        </w:rPr>
        <w:t xml:space="preserve">En ese contexto, las metodologías señaladas están asociadas, por un lado, a la </w:t>
      </w:r>
      <w:r w:rsidRPr="0028771B">
        <w:rPr>
          <w:rFonts w:ascii="Verdana" w:eastAsia="Times New Roman" w:hAnsi="Verdana" w:cs="Arial"/>
          <w:lang w:eastAsia="es-CO"/>
        </w:rPr>
        <w:t xml:space="preserve">estimación del valor del contrato por parte de la Entidad Estatal en el marco de lo requerido por la planeación correspondiente, y por otro lado, a la determinación del </w:t>
      </w:r>
      <w:r w:rsidRPr="000E18F4">
        <w:rPr>
          <w:rFonts w:ascii="Verdana" w:eastAsia="Times New Roman" w:hAnsi="Verdana" w:cs="Arial"/>
          <w:lang w:eastAsia="es-CO"/>
        </w:rPr>
        <w:t>precio del contrato en el marco del proceso de selección, en la medida en que se tornan relevantes para la presentación de la oferta económica. Sin embargo, debe advertirse que ni en el sistema de precios unitario ni el factor multiplicador son asuntos expresamente regulados en el conjunto de las disposiciones legales y reglamentarias que integran la normativa contractual del Estado. La justificación de estas formas de establecer o cotizar el precio procede, incluso, de la formación universitaria que reciben los ingenieros, a quienes se les enseña esta metodología para elaborar las ofertas. En ese sentido, estas metodologías para la configuración del precio del contrato, determinantes para la elaboración de la propuesta económica, no proceden de la ley ni del reglamento, sino de la costumbre</w:t>
      </w:r>
      <w:r w:rsidRPr="000E18F4">
        <w:rPr>
          <w:rFonts w:ascii="Verdana" w:eastAsia="Times New Roman" w:hAnsi="Verdana" w:cs="Arial"/>
          <w:vertAlign w:val="superscript"/>
          <w:lang w:val="es-ES_tradnl" w:eastAsia="es-CO"/>
        </w:rPr>
        <w:footnoteReference w:id="14"/>
      </w:r>
      <w:r w:rsidRPr="000E18F4">
        <w:rPr>
          <w:rFonts w:ascii="Verdana" w:eastAsia="Times New Roman" w:hAnsi="Verdana" w:cs="Arial"/>
          <w:bCs/>
          <w:lang w:val="es-ES_tradnl" w:eastAsia="es-CO"/>
        </w:rPr>
        <w:t>.</w:t>
      </w:r>
    </w:p>
    <w:p w14:paraId="3B618812" w14:textId="77777777" w:rsidR="000F2DDE" w:rsidRPr="00561F20" w:rsidRDefault="000F2DDE" w:rsidP="000F2DDE">
      <w:pPr>
        <w:spacing w:after="120" w:line="276" w:lineRule="auto"/>
        <w:ind w:firstLine="709"/>
        <w:jc w:val="both"/>
        <w:rPr>
          <w:rFonts w:ascii="Verdana" w:hAnsi="Verdana" w:cs="Arial"/>
          <w:lang w:val="es-ES_tradnl"/>
        </w:rPr>
      </w:pPr>
      <w:r w:rsidRPr="006A490D">
        <w:rPr>
          <w:rFonts w:ascii="Verdana" w:hAnsi="Verdana" w:cs="Arial"/>
          <w:lang w:val="es-ES_tradnl"/>
        </w:rPr>
        <w:t xml:space="preserve">Pese a </w:t>
      </w:r>
      <w:r w:rsidRPr="0004535D">
        <w:rPr>
          <w:rFonts w:ascii="Verdana" w:hAnsi="Verdana" w:cs="Arial"/>
          <w:lang w:val="es-ES_tradnl"/>
        </w:rPr>
        <w:t xml:space="preserve">que el Estatuto General de Contratación de la Administración Pública, en adelante EGCAP, no establece una regulación integral o detallada conforme a la cual se debe dar la estructuración del valor del contrato cuando se usa el sistema de precios unitarios, el Decreto 1082 de 2015 impone taxativamente una carga justificativa para las entidades que utilicen dicho sistema. Al respecto, el artículo 2.2.1.1.2.1.1 del Decreto 1082 de 2015 que regula el contenido del estudio del sector, indica en su numeral 4 que: “Cuando el valor del contrato esté determinado por precios unitarios, la Entidad Estatal debe incluir la forma como los calculó y soportar sus cálculos presupuestales en la estimación de aquello”. En todo caso, esta Agencia estima que, si bien el factor multiplicador no está mencionado en el referido artículo, ello no implica que la entidad esté exenta del deber de incluir en los estudios previos, la razón por la cual determinó la viabilidad o conveniencia de usar tal metodología para estimar </w:t>
      </w:r>
      <w:r w:rsidRPr="0004535D">
        <w:rPr>
          <w:rFonts w:ascii="Verdana" w:hAnsi="Verdana" w:cs="Arial"/>
          <w:lang w:val="es-ES_tradnl"/>
        </w:rPr>
        <w:lastRenderedPageBreak/>
        <w:t xml:space="preserve">el valor del contrato, esto, independientemente del método que haya utilizado </w:t>
      </w:r>
      <w:r w:rsidRPr="00561F20">
        <w:rPr>
          <w:rFonts w:ascii="Verdana" w:hAnsi="Verdana" w:cs="Arial"/>
          <w:lang w:val="es-ES_tradnl"/>
        </w:rPr>
        <w:t>para calcularlo.</w:t>
      </w:r>
    </w:p>
    <w:p w14:paraId="27ADE851" w14:textId="77777777" w:rsidR="000F2DDE" w:rsidRPr="00063123" w:rsidRDefault="000F2DDE" w:rsidP="000F2DDE">
      <w:pPr>
        <w:spacing w:after="120" w:line="276" w:lineRule="auto"/>
        <w:ind w:firstLine="709"/>
        <w:jc w:val="both"/>
        <w:rPr>
          <w:rFonts w:ascii="Verdana" w:hAnsi="Verdana" w:cs="Arial"/>
          <w:lang w:val="es-ES_tradnl"/>
        </w:rPr>
      </w:pPr>
      <w:r w:rsidRPr="00561F20">
        <w:rPr>
          <w:rFonts w:ascii="Verdana" w:hAnsi="Verdana" w:cs="Arial"/>
          <w:lang w:val="es-ES_tradnl"/>
        </w:rPr>
        <w:t xml:space="preserve">El principal sustento para que las Entidades Estatales sujetas al EGCAP, como las excluidas de este, aplique las referidas metodologías, es la autonomía de la que gozan para la estructuración de las condiciones del negocio jurídico, determinando el sistema más apropiado para satisfacer los fines de la contratación, respetando los límites previstos en el ordenamiento. </w:t>
      </w:r>
      <w:r w:rsidRPr="00561F20">
        <w:rPr>
          <w:rFonts w:ascii="Verdana" w:hAnsi="Verdana" w:cs="Arial"/>
          <w:bCs/>
          <w:lang w:val="es-ES_tradnl"/>
        </w:rPr>
        <w:t xml:space="preserve">Para las entidades que se rigen por el Estatuto General de Contratación de la Administración Pública, tal autonomía está reconocida en los artículos 13, 32 y 40 de la Ley 80 de 1993. </w:t>
      </w:r>
      <w:r w:rsidRPr="00561F20">
        <w:rPr>
          <w:rFonts w:ascii="Verdana" w:hAnsi="Verdana" w:cs="Arial"/>
          <w:lang w:val="es-ES_tradnl"/>
        </w:rPr>
        <w:t xml:space="preserve">De ahí que, las entidades cuenten con la discrecionalidad para disponer en los documentos del proceso, la aplicación de </w:t>
      </w:r>
      <w:r w:rsidRPr="00063123">
        <w:rPr>
          <w:rFonts w:ascii="Verdana" w:hAnsi="Verdana" w:cs="Arial"/>
          <w:lang w:val="es-ES_tradnl"/>
        </w:rPr>
        <w:t>metodologías como las explicadas, siempre que resulten adecuadas y proporcionales al objeto del contrato.</w:t>
      </w:r>
    </w:p>
    <w:p w14:paraId="55B633BB" w14:textId="77777777" w:rsidR="000F2DDE" w:rsidRPr="00063123" w:rsidRDefault="000F2DDE" w:rsidP="000F2DDE">
      <w:pPr>
        <w:spacing w:after="120" w:line="276" w:lineRule="auto"/>
        <w:ind w:firstLine="709"/>
        <w:jc w:val="both"/>
        <w:rPr>
          <w:rFonts w:ascii="Verdana" w:hAnsi="Verdana" w:cs="Arial"/>
        </w:rPr>
      </w:pPr>
      <w:r w:rsidRPr="00063123">
        <w:rPr>
          <w:rFonts w:ascii="Verdana" w:hAnsi="Verdana" w:cs="Arial"/>
        </w:rPr>
        <w:t>En este orden de ideas, ante la ausencia de un marco normativo particularmente aplicable a las referidas metodologías, corresponderá a las Entidades Estatales establecer las reglas para su aplicación, con el propósito de dar a conocer los aspectos que deben tenerse en cuenta a la hora de configurar las ofertas. A partir de tales reglas, la entidad podrá exigir el desglose de determinados factores imputables a costos directos de cierta forma, realizar una tasación del AIU o el factor multiplicador, y en general, establecer parámetros que garanticen el desarrollo de principios de la función administrativa y de la gestión fiscal, dentro de los cuales se encuentra el principio de economía, postulado este, que exige la optimización de los recursos públicos.</w:t>
      </w:r>
    </w:p>
    <w:p w14:paraId="49EB71A3" w14:textId="77777777" w:rsidR="000F2DDE" w:rsidRPr="000166F2" w:rsidRDefault="000F2DDE" w:rsidP="2F2C3453">
      <w:pPr>
        <w:spacing w:after="120" w:line="276" w:lineRule="auto"/>
        <w:ind w:firstLine="709"/>
        <w:jc w:val="both"/>
        <w:rPr>
          <w:rFonts w:ascii="Verdana" w:hAnsi="Verdana" w:cs="Arial"/>
          <w:lang w:val="es-ES"/>
        </w:rPr>
      </w:pPr>
      <w:r w:rsidRPr="2F2C3453">
        <w:rPr>
          <w:rFonts w:ascii="Verdana" w:hAnsi="Verdana" w:cs="Arial"/>
          <w:lang w:val="es-ES"/>
        </w:rPr>
        <w:t>Bajo esta órbita, se aclara que los proponentes al momento de estructurar sus ofertas tienen la obligación, respecto del proceso de selección, de conocer las normas que lo rigen, sus características, condiciones de ejecución del contrato y riesgos previsibles. Esto, en razón a que, mediante la presentación de la oferta se pone en contexto a la entidad contratante frente a una serie de documentos que en conjunto conforman un acervo probatorio, de los requisitos que se pretenden hacer valer y que permiten determinar, entre varias ofertas, la que represente la mejor condición de elegibilidad.</w:t>
      </w:r>
    </w:p>
    <w:p w14:paraId="687358D9" w14:textId="77777777" w:rsidR="000F2DDE" w:rsidRPr="000166F2" w:rsidRDefault="000F2DDE" w:rsidP="2F2C3453">
      <w:pPr>
        <w:spacing w:after="120" w:line="276" w:lineRule="auto"/>
        <w:ind w:firstLine="709"/>
        <w:jc w:val="both"/>
        <w:rPr>
          <w:rFonts w:ascii="Verdana" w:hAnsi="Verdana" w:cs="Arial"/>
          <w:lang w:val="es-ES"/>
        </w:rPr>
      </w:pPr>
      <w:r w:rsidRPr="2F2C3453">
        <w:rPr>
          <w:rFonts w:ascii="Verdana" w:hAnsi="Verdana" w:cs="Arial"/>
          <w:lang w:val="es-ES"/>
        </w:rPr>
        <w:t xml:space="preserve">Los requisitos de los proponentes, que se hacen valer por medio de la oferta en su integridad, pueden ser entendidos en tres cales: i) </w:t>
      </w:r>
      <w:r w:rsidRPr="2F2C3453">
        <w:rPr>
          <w:rFonts w:ascii="Verdana" w:hAnsi="Verdana" w:cs="Arial"/>
          <w:i/>
          <w:iCs/>
          <w:lang w:val="es-ES"/>
        </w:rPr>
        <w:t xml:space="preserve">subjetivos, </w:t>
      </w:r>
      <w:r w:rsidRPr="2F2C3453">
        <w:rPr>
          <w:rFonts w:ascii="Verdana" w:hAnsi="Verdana" w:cs="Arial"/>
          <w:lang w:val="es-ES"/>
        </w:rPr>
        <w:t xml:space="preserve">que atienden a las calidades, capacidades, idoneidad y condiciones de los oferentes; ii) </w:t>
      </w:r>
      <w:r w:rsidRPr="2F2C3453">
        <w:rPr>
          <w:rFonts w:ascii="Verdana" w:hAnsi="Verdana" w:cs="Arial"/>
          <w:i/>
          <w:iCs/>
          <w:lang w:val="es-ES"/>
        </w:rPr>
        <w:t xml:space="preserve">objetivos </w:t>
      </w:r>
      <w:r w:rsidRPr="2F2C3453">
        <w:rPr>
          <w:rFonts w:ascii="Verdana" w:hAnsi="Verdana" w:cs="Arial"/>
          <w:lang w:val="es-ES"/>
        </w:rPr>
        <w:t xml:space="preserve">que se refieren a aspectos técnicos, económicos, presupuestales, </w:t>
      </w:r>
      <w:r w:rsidRPr="2F2C3453">
        <w:rPr>
          <w:rFonts w:ascii="Verdana" w:hAnsi="Verdana" w:cs="Arial"/>
          <w:lang w:val="es-ES"/>
        </w:rPr>
        <w:lastRenderedPageBreak/>
        <w:t xml:space="preserve">etc., que permiten ponderar las ofertas en su real y efectiva dimensión; y iii) </w:t>
      </w:r>
      <w:r w:rsidRPr="2F2C3453">
        <w:rPr>
          <w:rFonts w:ascii="Verdana" w:hAnsi="Verdana" w:cs="Arial"/>
          <w:i/>
          <w:iCs/>
          <w:lang w:val="es-ES"/>
        </w:rPr>
        <w:t xml:space="preserve">formales </w:t>
      </w:r>
      <w:r w:rsidRPr="2F2C3453">
        <w:rPr>
          <w:rFonts w:ascii="Verdana" w:hAnsi="Verdana" w:cs="Arial"/>
          <w:lang w:val="es-ES"/>
        </w:rPr>
        <w:t xml:space="preserve">que se atienden a la instrumentalización y protocolización de los actos jurídicos, tanto de la propuesta como del contrato estatal. </w:t>
      </w:r>
    </w:p>
    <w:p w14:paraId="2C24667C" w14:textId="77777777" w:rsidR="000F2DDE" w:rsidRPr="00C33336" w:rsidRDefault="000F2DDE" w:rsidP="000F2DDE">
      <w:pPr>
        <w:spacing w:after="120" w:line="276" w:lineRule="auto"/>
        <w:ind w:firstLine="709"/>
        <w:jc w:val="both"/>
        <w:rPr>
          <w:rFonts w:ascii="Verdana" w:hAnsi="Verdana" w:cs="Arial"/>
          <w:lang w:val="es-ES"/>
        </w:rPr>
      </w:pPr>
      <w:r w:rsidRPr="00284E95">
        <w:rPr>
          <w:rFonts w:ascii="Verdana" w:hAnsi="Verdana" w:cs="Arial"/>
          <w:lang w:val="es-ES"/>
        </w:rPr>
        <w:t xml:space="preserve">Ahora bien, desde luego que los costos asociados al personal requerido para ejecutar el contrato son un aspecto que entran a determinar su precio, por lo que son un tema para considerar al hacer el ofrecimiento económico en la etapa de presentación de ofertas, con sujeción al mecanismo para determinar el precio que regule la entidad en el pliego de </w:t>
      </w:r>
      <w:r w:rsidRPr="004D2996">
        <w:rPr>
          <w:rFonts w:ascii="Verdana" w:hAnsi="Verdana" w:cs="Arial"/>
          <w:lang w:val="es-ES"/>
        </w:rPr>
        <w:t xml:space="preserve">condiciones. En ese sentido, cuando una entidad incorpora el mecanismo del factor multiplicador debe incluir las reglas para que estos sean considerados por los proponentes, de suerte que incluyan los costos asociados al personal para la ejecución del contrato en concordancia con el equipo de trabajo exigido, el cual debe atender unas </w:t>
      </w:r>
      <w:r w:rsidRPr="00036425">
        <w:rPr>
          <w:rFonts w:ascii="Verdana" w:hAnsi="Verdana" w:cs="Arial"/>
          <w:lang w:val="es-ES"/>
        </w:rPr>
        <w:t xml:space="preserve">condiciones y perfiles específicos establecidos en los Documentos del Proceso. Las reglas que discrecionalmente deben establecer las entidades estatales en los pliegos de condiciones para regular los mencionados aspectos son las que en últimas determinan que tipo de contratación de personal es la que corresponde realizar al contratista para ejecutar el proyecto, así como la posibilidad de que los costos de dicha contratación –ya sea laboral o por prestación de servicios–, </w:t>
      </w:r>
      <w:r w:rsidRPr="00C33336">
        <w:rPr>
          <w:rFonts w:ascii="Verdana" w:hAnsi="Verdana" w:cs="Arial"/>
          <w:lang w:val="es-ES"/>
        </w:rPr>
        <w:t xml:space="preserve">se incorporen al precio del contrato, por la vía del factor multiplicador aplicado para hacer la oferta económica. </w:t>
      </w:r>
    </w:p>
    <w:p w14:paraId="0B7C5ADF" w14:textId="77777777" w:rsidR="000F2DDE" w:rsidRPr="00C33336" w:rsidRDefault="000F2DDE" w:rsidP="000F2DDE">
      <w:pPr>
        <w:spacing w:after="120" w:line="276" w:lineRule="auto"/>
        <w:ind w:firstLine="709"/>
        <w:jc w:val="both"/>
        <w:rPr>
          <w:rFonts w:ascii="Verdana" w:hAnsi="Verdana" w:cs="Arial"/>
          <w:lang w:val="es-ES"/>
        </w:rPr>
      </w:pPr>
      <w:r w:rsidRPr="00C33336">
        <w:rPr>
          <w:rFonts w:ascii="Verdana" w:hAnsi="Verdana" w:cs="Arial"/>
          <w:lang w:val="es-ES"/>
        </w:rPr>
        <w:t>Si el factor multiplicador se usa para determinar costos, el contratista debe demostrar el gasto de cada componente. Si ciertos costos no se generan (por ejemplo, si el personal no requiere prestaciones), el contrato debería modificarse para reducir el % correspondiente. Si la interventoría presentó un informe de proyección de gastos, pero este no fue parte del contrato, la entidad aún puede exigirle soportes de gastos reales. Si los costos directos (ejemplo: nómina, laboratorios) son menores a lo presupuestado, el saldo no ejecutado debería liberarse y no ser facturado sin justificación. En conclusión, los valores facturados deben corresponder a costos reales soportados.</w:t>
      </w:r>
    </w:p>
    <w:p w14:paraId="3CB6DCDA" w14:textId="77777777" w:rsidR="000F2DDE" w:rsidRPr="00AC2437" w:rsidRDefault="000F2DDE" w:rsidP="000F2DDE">
      <w:pPr>
        <w:spacing w:after="120" w:line="276" w:lineRule="auto"/>
        <w:ind w:firstLine="709"/>
        <w:jc w:val="both"/>
        <w:rPr>
          <w:rFonts w:ascii="Verdana" w:hAnsi="Verdana" w:cs="Arial"/>
          <w:bCs/>
          <w:lang w:val="es-ES_tradnl"/>
        </w:rPr>
      </w:pPr>
      <w:r w:rsidRPr="00817F4E">
        <w:rPr>
          <w:rFonts w:ascii="Verdana" w:hAnsi="Verdana" w:cs="Arial"/>
          <w:bCs/>
          <w:lang w:val="es-ES_tradnl"/>
        </w:rPr>
        <w:t xml:space="preserve">De esta manera, cuando la Entidad Estatal haga uso del factor multiplicador, debe asegurarse de ejercer una buena vigilancia de la ejecución contractual, con el fin de poder realizar adecuadamente la auditoría de los costos del contrato para apagar sólo aquello que se hayan causado efectivamente. Por tanto, podrán verificarse los soportes contables, administrativos y financieros de la ejecución, ya que la Entidad Estatal sólo debe pagar aquellos costos que </w:t>
      </w:r>
      <w:r w:rsidRPr="00817F4E">
        <w:rPr>
          <w:rFonts w:ascii="Verdana" w:hAnsi="Verdana" w:cs="Arial"/>
          <w:bCs/>
          <w:lang w:val="es-ES_tradnl"/>
        </w:rPr>
        <w:lastRenderedPageBreak/>
        <w:t xml:space="preserve">hubieran sido pagados por el contratista so pena de que se configure un </w:t>
      </w:r>
      <w:r w:rsidRPr="00AC2437">
        <w:rPr>
          <w:rFonts w:ascii="Verdana" w:hAnsi="Verdana" w:cs="Arial"/>
          <w:bCs/>
          <w:lang w:val="es-ES_tradnl"/>
        </w:rPr>
        <w:t>enriquecimiento sin causa de su parte.</w:t>
      </w:r>
    </w:p>
    <w:p w14:paraId="4E4367BE" w14:textId="77777777" w:rsidR="000F2DDE" w:rsidRPr="00AC2437" w:rsidRDefault="000F2DDE" w:rsidP="2F2C3453">
      <w:pPr>
        <w:spacing w:after="120" w:line="276" w:lineRule="auto"/>
        <w:ind w:firstLine="709"/>
        <w:jc w:val="both"/>
        <w:rPr>
          <w:rFonts w:ascii="Verdana" w:hAnsi="Verdana" w:cs="Arial"/>
          <w:lang w:val="es-ES"/>
        </w:rPr>
      </w:pPr>
      <w:r w:rsidRPr="2F2C3453">
        <w:rPr>
          <w:rFonts w:ascii="Verdana" w:hAnsi="Verdana" w:cs="Arial"/>
          <w:lang w:val="es-ES"/>
        </w:rPr>
        <w:t>Por lo demás, es necesario tener en cuenta que el deber de planeación no es privativo de las entidades públicas, por lo que también se extiende a los interesados en el proceso de selección. Al respecto, la Subsección A de la Sección Tercera del Consejo de Estado –en Sentencia del 21 de febrero de 2025, Exp. 71583, con ponencia del Consejero Fernando Alexei Pardo Flórez– explica que “El deber de planeación, y las cargas de advertencia y previsión, propias de la autonomía privada de la voluntad, impiden que la contratista obtenga reconocimientos económicos derivados de fallas en la estructuración del negocio que debieron ser advertidas desde la fase de formación del acuerdo de voluntades […]”.</w:t>
      </w:r>
    </w:p>
    <w:p w14:paraId="0AEFC7FB" w14:textId="77777777" w:rsidR="000F2DDE" w:rsidRPr="00AC2437" w:rsidRDefault="000F2DDE" w:rsidP="2F2C3453">
      <w:pPr>
        <w:spacing w:after="120" w:line="276" w:lineRule="auto"/>
        <w:ind w:firstLine="709"/>
        <w:jc w:val="both"/>
        <w:rPr>
          <w:rFonts w:ascii="Verdana" w:hAnsi="Verdana" w:cs="Arial"/>
          <w:lang w:val="es-ES"/>
        </w:rPr>
      </w:pPr>
      <w:r w:rsidRPr="2F2C3453">
        <w:rPr>
          <w:rFonts w:ascii="Verdana" w:hAnsi="Verdana" w:cs="Arial"/>
          <w:lang w:val="es-ES"/>
        </w:rPr>
        <w:t>Es decir, si existían inquietudes sobre los componentes del factor multiplicador, los interesados tuvieron la oportunidad de formular observaciones para aclarar sus dudas. En este sentido, el artículo 24.2 del Estatuto General de Contratación de la Administración Pública dispone que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 Así, los proponentes pueden observar tanto el proyecto de pliego como el pliego de condiciones definitivo con el propósito de esclarecer aspectos del proceso.</w:t>
      </w:r>
    </w:p>
    <w:p w14:paraId="2BD7A780" w14:textId="77777777" w:rsidR="000F2DDE" w:rsidRPr="00AC2437" w:rsidRDefault="000F2DDE" w:rsidP="000F2DDE">
      <w:pPr>
        <w:spacing w:after="120" w:line="276" w:lineRule="auto"/>
        <w:ind w:firstLine="709"/>
        <w:jc w:val="both"/>
        <w:rPr>
          <w:rFonts w:ascii="Verdana" w:eastAsia="Aptos" w:hAnsi="Verdana" w:cs="Arial"/>
          <w:sz w:val="20"/>
          <w:szCs w:val="20"/>
          <w:lang w:val="es-ES_tradnl" w:eastAsia="es-MX"/>
        </w:rPr>
      </w:pPr>
      <w:r w:rsidRPr="00AC2437">
        <w:rPr>
          <w:rFonts w:ascii="Verdana" w:hAnsi="Verdana" w:cs="Arial"/>
          <w:lang w:val="es-MX"/>
        </w:rPr>
        <w:t>En este contexto, bajo el criterio de que “nadie puede beneficiarse de su propia culpa”, se restringe a los contratistas la posibilidad de solicitar reconocimientos económicos derivados de fallas de planeación que debieron advertir a la entidad contratante antes del perfeccionamiento del contrato. Si bien el parágrafo del artículo 40 de la Ley 80 de 1993 dispone que “Los contratos no podrán adicionarse en más del cincuenta por ciento (50%) de su valor inicial, expresado éste en salarios mínimos legales mensuales”, el Estado no se encuentra obligado a reestructurar el porcentaje ni los componentes del factor multiplicador, pues las modificaciones contractuales no son un derecho del contratista.</w:t>
      </w:r>
    </w:p>
    <w:p w14:paraId="0B419FA3" w14:textId="77777777" w:rsidR="000F2DDE" w:rsidRPr="003A7EF8" w:rsidRDefault="000F2DDE" w:rsidP="000F2DDE">
      <w:pPr>
        <w:spacing w:after="120" w:line="276" w:lineRule="auto"/>
        <w:jc w:val="both"/>
        <w:rPr>
          <w:rFonts w:ascii="Verdana" w:eastAsia="Times New Roman" w:hAnsi="Verdana" w:cs="Times New Roman"/>
          <w:lang w:eastAsia="es-ES"/>
        </w:rPr>
      </w:pPr>
      <w:r w:rsidRPr="003A7EF8">
        <w:rPr>
          <w:rFonts w:ascii="Verdana" w:eastAsia="Aptos" w:hAnsi="Verdana" w:cs="Arial"/>
          <w:sz w:val="20"/>
          <w:szCs w:val="20"/>
          <w:lang w:val="es-ES_tradnl" w:eastAsia="es-MX"/>
        </w:rPr>
        <w:t xml:space="preserve">iii. </w:t>
      </w:r>
      <w:r w:rsidRPr="003A7EF8">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w:t>
      </w:r>
      <w:r w:rsidRPr="003A7EF8">
        <w:rPr>
          <w:rFonts w:ascii="Verdana" w:eastAsia="Calibri" w:hAnsi="Verdana" w:cs="Arial"/>
        </w:rPr>
        <w:lastRenderedPageBreak/>
        <w:t xml:space="preserve">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3A7EF8">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3"/>
      <w:bookmarkEnd w:id="4"/>
    </w:p>
    <w:p w14:paraId="6F95E44A" w14:textId="77777777" w:rsidR="000F2DDE" w:rsidRPr="00906BC9" w:rsidRDefault="000F2DDE" w:rsidP="000F2DDE">
      <w:pPr>
        <w:spacing w:after="0" w:line="276" w:lineRule="auto"/>
        <w:ind w:firstLine="708"/>
        <w:jc w:val="both"/>
        <w:rPr>
          <w:rFonts w:ascii="Verdana" w:eastAsia="Calibri" w:hAnsi="Verdana" w:cs="Arial"/>
          <w:bCs/>
        </w:rPr>
      </w:pPr>
      <w:r w:rsidRPr="00906BC9">
        <w:rPr>
          <w:rFonts w:ascii="Verdana" w:eastAsia="Calibri" w:hAnsi="Verdana" w:cs="Arial"/>
          <w:bC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463CDF0" w14:textId="77777777" w:rsidR="000F2DDE" w:rsidRPr="00634D84" w:rsidRDefault="000F2DDE" w:rsidP="000F2DDE">
      <w:pPr>
        <w:spacing w:after="0" w:line="276" w:lineRule="auto"/>
        <w:ind w:firstLine="709"/>
        <w:jc w:val="both"/>
        <w:rPr>
          <w:rFonts w:ascii="Verdana" w:eastAsia="Times New Roman" w:hAnsi="Verdana" w:cs="Times New Roman"/>
          <w:color w:val="7030A0"/>
          <w:lang w:eastAsia="es-ES"/>
        </w:rPr>
      </w:pPr>
    </w:p>
    <w:p w14:paraId="63E04F1F" w14:textId="77777777" w:rsidR="000F2DDE" w:rsidRPr="00B35B73" w:rsidRDefault="000F2DDE" w:rsidP="000F2DDE">
      <w:pPr>
        <w:spacing w:after="120" w:line="276" w:lineRule="auto"/>
        <w:jc w:val="both"/>
        <w:rPr>
          <w:rFonts w:ascii="Verdana" w:eastAsia="Century Gothic" w:hAnsi="Verdana" w:cs="Century Gothic"/>
          <w:b/>
          <w:lang w:val="es-ES"/>
        </w:rPr>
      </w:pPr>
      <w:r w:rsidRPr="00B35B73">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F2DDE" w:rsidRPr="00634D84" w14:paraId="0347341B" w14:textId="77777777" w:rsidTr="00562D56">
        <w:trPr>
          <w:trHeight w:val="490"/>
        </w:trPr>
        <w:tc>
          <w:tcPr>
            <w:tcW w:w="8647" w:type="dxa"/>
          </w:tcPr>
          <w:p w14:paraId="2F48376C" w14:textId="77777777" w:rsidR="000F2DDE" w:rsidRPr="00FE4165" w:rsidRDefault="000F2DDE" w:rsidP="00562D56">
            <w:pPr>
              <w:pStyle w:val="Prrafodelista"/>
              <w:widowControl w:val="0"/>
              <w:numPr>
                <w:ilvl w:val="0"/>
                <w:numId w:val="16"/>
              </w:numPr>
              <w:autoSpaceDE w:val="0"/>
              <w:autoSpaceDN w:val="0"/>
              <w:spacing w:line="276" w:lineRule="auto"/>
              <w:jc w:val="both"/>
              <w:rPr>
                <w:rFonts w:ascii="Verdana" w:eastAsia="Arial MT" w:hAnsi="Verdana" w:cs="Arial"/>
                <w:bCs/>
                <w:lang w:eastAsia="es-ES" w:bidi="es-ES"/>
              </w:rPr>
            </w:pPr>
            <w:r w:rsidRPr="00FE4165">
              <w:rPr>
                <w:rFonts w:ascii="Verdana" w:eastAsia="Arial MT" w:hAnsi="Verdana" w:cs="Arial"/>
                <w:bCs/>
                <w:lang w:eastAsia="es-ES" w:bidi="es-ES"/>
              </w:rPr>
              <w:t>Ley 80 de 1993. Artículos 5, 13, 32 y 40.</w:t>
            </w:r>
          </w:p>
          <w:p w14:paraId="0082F7F0" w14:textId="77777777" w:rsidR="000F2DDE" w:rsidRPr="00FE4165" w:rsidRDefault="000F2DDE" w:rsidP="00562D56">
            <w:pPr>
              <w:pStyle w:val="Prrafodelista"/>
              <w:widowControl w:val="0"/>
              <w:numPr>
                <w:ilvl w:val="0"/>
                <w:numId w:val="16"/>
              </w:numPr>
              <w:autoSpaceDE w:val="0"/>
              <w:autoSpaceDN w:val="0"/>
              <w:spacing w:line="276" w:lineRule="auto"/>
              <w:jc w:val="both"/>
              <w:rPr>
                <w:rFonts w:ascii="Verdana" w:eastAsia="Arial MT" w:hAnsi="Verdana" w:cs="Arial"/>
                <w:bCs/>
                <w:lang w:eastAsia="es-ES" w:bidi="es-ES"/>
              </w:rPr>
            </w:pPr>
            <w:r w:rsidRPr="00FE4165">
              <w:rPr>
                <w:rFonts w:ascii="Verdana" w:eastAsia="Arial MT" w:hAnsi="Verdana" w:cs="Arial"/>
                <w:bCs/>
                <w:lang w:eastAsia="es-ES" w:bidi="es-ES"/>
              </w:rPr>
              <w:t>Ley 1150 de 2007. Artículo 21</w:t>
            </w:r>
          </w:p>
          <w:p w14:paraId="3B6E7387" w14:textId="77777777" w:rsidR="000F2DDE" w:rsidRPr="00FE4165" w:rsidRDefault="000F2DDE" w:rsidP="00562D56">
            <w:pPr>
              <w:pStyle w:val="Prrafodelista"/>
              <w:widowControl w:val="0"/>
              <w:numPr>
                <w:ilvl w:val="0"/>
                <w:numId w:val="16"/>
              </w:numPr>
              <w:autoSpaceDE w:val="0"/>
              <w:autoSpaceDN w:val="0"/>
              <w:spacing w:line="276" w:lineRule="auto"/>
              <w:jc w:val="both"/>
              <w:rPr>
                <w:rFonts w:ascii="Verdana" w:eastAsia="Arial MT" w:hAnsi="Verdana" w:cs="Arial"/>
                <w:bCs/>
                <w:lang w:eastAsia="es-ES" w:bidi="es-ES"/>
              </w:rPr>
            </w:pPr>
            <w:r w:rsidRPr="00FE4165">
              <w:rPr>
                <w:rFonts w:ascii="Verdana" w:eastAsia="Arial MT" w:hAnsi="Verdana" w:cs="Arial"/>
                <w:bCs/>
                <w:lang w:eastAsia="es-ES" w:bidi="es-ES"/>
              </w:rPr>
              <w:t>Ley 1474 de 2011. Artículos 83, 84, 85 y 86</w:t>
            </w:r>
          </w:p>
          <w:p w14:paraId="1752C482" w14:textId="77777777" w:rsidR="000F2DDE" w:rsidRPr="00FE4165" w:rsidRDefault="000F2DDE" w:rsidP="00562D56">
            <w:pPr>
              <w:pStyle w:val="Prrafodelista"/>
              <w:widowControl w:val="0"/>
              <w:numPr>
                <w:ilvl w:val="0"/>
                <w:numId w:val="16"/>
              </w:numPr>
              <w:autoSpaceDE w:val="0"/>
              <w:autoSpaceDN w:val="0"/>
              <w:spacing w:line="276" w:lineRule="auto"/>
              <w:jc w:val="both"/>
              <w:rPr>
                <w:rFonts w:ascii="Verdana" w:eastAsia="Arial MT" w:hAnsi="Verdana" w:cs="Arial"/>
                <w:bCs/>
                <w:lang w:eastAsia="es-ES" w:bidi="es-ES"/>
              </w:rPr>
            </w:pPr>
            <w:r w:rsidRPr="00FE4165">
              <w:rPr>
                <w:rFonts w:ascii="Verdana" w:eastAsia="Arial MT" w:hAnsi="Verdana" w:cs="Arial"/>
                <w:bCs/>
                <w:lang w:eastAsia="es-ES" w:bidi="es-ES"/>
              </w:rPr>
              <w:t>Consejo de Estado, Sección Tercera. Sentencia del 8 de marzo de 1996, expediente N° 8070, C.P. Jesús María Carrillo</w:t>
            </w:r>
          </w:p>
          <w:p w14:paraId="5D497296" w14:textId="77777777" w:rsidR="000F2DDE" w:rsidRPr="00FE4165" w:rsidRDefault="000F2DDE" w:rsidP="00562D56">
            <w:pPr>
              <w:pStyle w:val="Prrafodelista"/>
              <w:widowControl w:val="0"/>
              <w:numPr>
                <w:ilvl w:val="0"/>
                <w:numId w:val="16"/>
              </w:numPr>
              <w:autoSpaceDE w:val="0"/>
              <w:autoSpaceDN w:val="0"/>
              <w:spacing w:line="276" w:lineRule="auto"/>
              <w:jc w:val="both"/>
              <w:rPr>
                <w:rFonts w:ascii="Verdana" w:eastAsia="Arial MT" w:hAnsi="Verdana" w:cs="Arial"/>
                <w:bCs/>
                <w:lang w:eastAsia="es-ES" w:bidi="es-ES"/>
              </w:rPr>
            </w:pPr>
            <w:r w:rsidRPr="00FE4165">
              <w:rPr>
                <w:rFonts w:ascii="Verdana" w:eastAsia="Arial MT" w:hAnsi="Verdana" w:cs="Arial"/>
                <w:bCs/>
                <w:lang w:eastAsia="es-ES" w:bidi="es-ES"/>
              </w:rPr>
              <w:t>Consejo de Estado. Sección Tercera. Sentencia del 28 de febrero de 2013. Exp. 24.266 C.P. Danilo Rojas Betancourth.</w:t>
            </w:r>
          </w:p>
          <w:p w14:paraId="65BDC9A5" w14:textId="77777777" w:rsidR="000F2DDE" w:rsidRPr="00FE4165" w:rsidRDefault="000F2DDE" w:rsidP="00562D56">
            <w:pPr>
              <w:pStyle w:val="Prrafodelista"/>
              <w:widowControl w:val="0"/>
              <w:numPr>
                <w:ilvl w:val="0"/>
                <w:numId w:val="16"/>
              </w:numPr>
              <w:autoSpaceDE w:val="0"/>
              <w:autoSpaceDN w:val="0"/>
              <w:spacing w:line="276" w:lineRule="auto"/>
              <w:jc w:val="both"/>
              <w:rPr>
                <w:rFonts w:ascii="Verdana" w:eastAsia="Arial MT" w:hAnsi="Verdana" w:cs="Arial"/>
                <w:bCs/>
                <w:lang w:eastAsia="es-ES" w:bidi="es-ES"/>
              </w:rPr>
            </w:pPr>
            <w:r w:rsidRPr="00FE4165">
              <w:rPr>
                <w:rFonts w:ascii="Verdana" w:eastAsia="Arial MT" w:hAnsi="Verdana" w:cs="Arial"/>
                <w:bCs/>
                <w:lang w:eastAsia="es-ES" w:bidi="es-ES"/>
              </w:rPr>
              <w:t>Consejo de Estado, Sección Tercera. Sentencia del 20 de noviembre de 2019. Exp 62369. M.P. Marta Nubia Velazquez Rico.</w:t>
            </w:r>
          </w:p>
          <w:p w14:paraId="3CEDA106" w14:textId="77777777" w:rsidR="000F2DDE" w:rsidRPr="00FE4165" w:rsidRDefault="000F2DDE" w:rsidP="00562D56">
            <w:pPr>
              <w:pStyle w:val="Prrafodelista"/>
              <w:widowControl w:val="0"/>
              <w:numPr>
                <w:ilvl w:val="0"/>
                <w:numId w:val="16"/>
              </w:numPr>
              <w:autoSpaceDE w:val="0"/>
              <w:autoSpaceDN w:val="0"/>
              <w:spacing w:line="276" w:lineRule="auto"/>
              <w:jc w:val="both"/>
              <w:rPr>
                <w:rFonts w:ascii="Verdana" w:eastAsia="Arial MT" w:hAnsi="Verdana" w:cs="Arial"/>
                <w:bCs/>
                <w:color w:val="7030A0"/>
                <w:lang w:eastAsia="es-ES" w:bidi="es-ES"/>
              </w:rPr>
            </w:pPr>
            <w:r w:rsidRPr="00FE4165">
              <w:rPr>
                <w:rFonts w:ascii="Verdana" w:eastAsia="Arial MT" w:hAnsi="Verdana" w:cs="Arial"/>
                <w:bCs/>
                <w:lang w:val="es-CO" w:eastAsia="es-ES" w:bidi="es-ES"/>
              </w:rPr>
              <w:t>Consejo de Estado. Sección Tercera. Subsección B. Sentencia del 14 de octubre de 2011. Exp. 20811, C.P. Ruth Stella Correa Palacio.</w:t>
            </w:r>
          </w:p>
        </w:tc>
      </w:tr>
    </w:tbl>
    <w:p w14:paraId="5DA6A9E0" w14:textId="77777777" w:rsidR="000F2DDE" w:rsidRPr="00B35B73" w:rsidRDefault="000F2DDE" w:rsidP="000F2DDE">
      <w:pPr>
        <w:widowControl w:val="0"/>
        <w:autoSpaceDE w:val="0"/>
        <w:autoSpaceDN w:val="0"/>
        <w:spacing w:after="0" w:line="276" w:lineRule="auto"/>
        <w:jc w:val="both"/>
        <w:rPr>
          <w:rFonts w:ascii="Verdana" w:hAnsi="Verdana" w:cs="Arial"/>
          <w:lang w:val="es-ES"/>
        </w:rPr>
      </w:pPr>
    </w:p>
    <w:p w14:paraId="5DCFEDD0" w14:textId="77777777" w:rsidR="000F2DDE" w:rsidRPr="00B35B73" w:rsidRDefault="000F2DDE" w:rsidP="000F2DDE">
      <w:pPr>
        <w:tabs>
          <w:tab w:val="left" w:pos="142"/>
          <w:tab w:val="left" w:pos="284"/>
        </w:tabs>
        <w:spacing w:after="0" w:line="276" w:lineRule="auto"/>
        <w:jc w:val="both"/>
        <w:rPr>
          <w:rFonts w:ascii="Verdana" w:eastAsia="Century Gothic" w:hAnsi="Verdana" w:cs="Century Gothic"/>
          <w:b/>
          <w:lang w:val="es-ES"/>
        </w:rPr>
      </w:pPr>
      <w:r w:rsidRPr="00B35B73">
        <w:rPr>
          <w:rFonts w:ascii="Verdana" w:eastAsia="Century Gothic" w:hAnsi="Verdana" w:cs="Century Gothic"/>
          <w:b/>
          <w:lang w:val="es-ES"/>
        </w:rPr>
        <w:t>5. Doctrina de la Agencia Nacional de Contratación Pública:</w:t>
      </w:r>
    </w:p>
    <w:p w14:paraId="0CE32393" w14:textId="77777777" w:rsidR="000F2DDE" w:rsidRPr="000A5B33" w:rsidRDefault="000F2DDE" w:rsidP="000F2DDE">
      <w:pPr>
        <w:widowControl w:val="0"/>
        <w:autoSpaceDE w:val="0"/>
        <w:autoSpaceDN w:val="0"/>
        <w:spacing w:after="0" w:line="276" w:lineRule="auto"/>
        <w:jc w:val="both"/>
        <w:rPr>
          <w:rFonts w:ascii="Verdana" w:hAnsi="Verdana" w:cs="Arial"/>
          <w:lang w:val="es-ES"/>
        </w:rPr>
      </w:pPr>
    </w:p>
    <w:p w14:paraId="00D87E2C" w14:textId="77777777" w:rsidR="000F2DDE" w:rsidRPr="000A5B33" w:rsidRDefault="000F2DDE" w:rsidP="000F2DDE">
      <w:pPr>
        <w:spacing w:after="0" w:line="276" w:lineRule="auto"/>
        <w:jc w:val="both"/>
        <w:rPr>
          <w:rStyle w:val="normaltextrun"/>
          <w:rFonts w:ascii="Verdana" w:hAnsi="Verdana" w:cs="Arial"/>
          <w:shd w:val="clear" w:color="auto" w:fill="FFFFFF"/>
          <w:lang w:val="es-ES"/>
        </w:rPr>
      </w:pPr>
      <w:r w:rsidRPr="000A5B33">
        <w:rPr>
          <w:rFonts w:ascii="Verdana" w:eastAsia="Calibri" w:hAnsi="Verdana" w:cs="Arial"/>
          <w:lang w:val="es-ES"/>
        </w:rPr>
        <w:lastRenderedPageBreak/>
        <w:t xml:space="preserve">La Agencia Nacional de Contratación Pública – Colombia Compra Eficiente se ha referido </w:t>
      </w:r>
      <w:r w:rsidRPr="000A5B33">
        <w:rPr>
          <w:rFonts w:ascii="Verdana" w:hAnsi="Verdana" w:cs="Arial"/>
          <w:shd w:val="clear" w:color="auto" w:fill="FFFFFF"/>
          <w:lang w:val="es-ES"/>
        </w:rPr>
        <w:t xml:space="preserve">sobre </w:t>
      </w:r>
      <w:r w:rsidRPr="000A5B33">
        <w:rPr>
          <w:rFonts w:ascii="Verdana" w:eastAsia="Calibri" w:hAnsi="Verdana" w:cs="Arial"/>
          <w:lang w:val="es-ES" w:eastAsia="es-ES"/>
        </w:rPr>
        <w:t>el factor multiplicador</w:t>
      </w:r>
      <w:r w:rsidRPr="000A5B33">
        <w:rPr>
          <w:rFonts w:ascii="Verdana" w:hAnsi="Verdana" w:cs="Arial"/>
          <w:shd w:val="clear" w:color="auto" w:fill="FFFFFF"/>
          <w:lang w:val="es-ES"/>
        </w:rPr>
        <w:t xml:space="preserve"> en los conceptos </w:t>
      </w:r>
      <w:r w:rsidRPr="000A5B33">
        <w:rPr>
          <w:rStyle w:val="normaltextrun"/>
          <w:rFonts w:ascii="Verdana" w:hAnsi="Verdana" w:cs="Arial"/>
          <w:shd w:val="clear" w:color="auto" w:fill="FFFFFF"/>
          <w:lang w:val="es-ES"/>
        </w:rPr>
        <w:t>C-198 del 19 de junio de 2023, C-250 del 31 de julio de 2023, C-388 del 25 de septiembre de 2023, C-412 del 24 de octubre de 2023, C-167 del 23 de julio de 2024, C-845 del 11 de diciembre de 2024, C-212 del 28 de marzo de 2025, C-577 del 18 de julio de 2025, C-1797 del 16 de diciembre de 2025, C-1613 del 22 de diciembre de 2025, C-008 del 13 de febrero de 2026 y C-212 del 04 de marzo de 2026, entre otros.</w:t>
      </w:r>
    </w:p>
    <w:p w14:paraId="0C6D0134" w14:textId="77777777" w:rsidR="000F2DDE" w:rsidRPr="00634D84" w:rsidRDefault="000F2DDE" w:rsidP="000F2DDE">
      <w:pPr>
        <w:spacing w:after="0" w:line="276" w:lineRule="auto"/>
        <w:jc w:val="both"/>
        <w:rPr>
          <w:rStyle w:val="normaltextrun"/>
          <w:rFonts w:ascii="Verdana" w:hAnsi="Verdana" w:cs="Arial"/>
          <w:color w:val="7030A0"/>
          <w:shd w:val="clear" w:color="auto" w:fill="FFFFFF"/>
          <w:lang w:val="es-ES"/>
        </w:rPr>
      </w:pPr>
    </w:p>
    <w:p w14:paraId="4CD3E99A" w14:textId="77777777" w:rsidR="000F2DDE" w:rsidRDefault="000F2DDE" w:rsidP="000F2DDE">
      <w:pPr>
        <w:spacing w:after="0" w:line="276" w:lineRule="auto"/>
        <w:jc w:val="both"/>
        <w:rPr>
          <w:rFonts w:ascii="Verdana" w:hAnsi="Verdana"/>
          <w:color w:val="7030A0"/>
        </w:rPr>
      </w:pPr>
      <w:r w:rsidRPr="006C73C5">
        <w:rPr>
          <w:rFonts w:ascii="Verdana" w:hAnsi="Verdana" w:cs="Arial"/>
          <w:shd w:val="clear" w:color="auto" w:fill="FFFFFF"/>
          <w:lang w:val="es-ES"/>
        </w:rPr>
        <w:t>Estos</w:t>
      </w:r>
      <w:r w:rsidRPr="006C73C5">
        <w:rPr>
          <w:rFonts w:ascii="Verdana" w:hAnsi="Verdana"/>
          <w:lang w:val="es-ES"/>
        </w:rPr>
        <w:t xml:space="preserve"> y otros se encuentran disponibles para consulta en el Sistema de relatoría de la Agencia, al cual se puede acceder a través del siguiente enlace:</w:t>
      </w:r>
      <w:r w:rsidRPr="006C73C5">
        <w:rPr>
          <w:rFonts w:ascii="Verdana" w:hAnsi="Verdana" w:cs="Arial"/>
          <w:shd w:val="clear" w:color="auto" w:fill="FFFFFF"/>
          <w:lang w:val="es-ES"/>
        </w:rPr>
        <w:t xml:space="preserve"> </w:t>
      </w:r>
      <w:hyperlink r:id="rId12" w:history="1">
        <w:r w:rsidRPr="006C73C5">
          <w:rPr>
            <w:rStyle w:val="Hipervnculo"/>
            <w:rFonts w:ascii="Verdana" w:hAnsi="Verdana" w:cs="Arial"/>
            <w:shd w:val="clear" w:color="auto" w:fill="FFFFFF"/>
            <w:lang w:val="es-ES"/>
          </w:rPr>
          <w:t>https://relatoria.colombiacompra.gov.co/busqueda/conceptos</w:t>
        </w:r>
      </w:hyperlink>
    </w:p>
    <w:p w14:paraId="78B5A9BF" w14:textId="77777777" w:rsidR="000F2DDE" w:rsidRPr="00634D84" w:rsidRDefault="000F2DDE" w:rsidP="000F2DDE">
      <w:pPr>
        <w:spacing w:after="0" w:line="276" w:lineRule="auto"/>
        <w:jc w:val="both"/>
        <w:rPr>
          <w:rFonts w:ascii="Verdana" w:hAnsi="Verdana"/>
          <w:color w:val="7030A0"/>
        </w:rPr>
      </w:pPr>
    </w:p>
    <w:p w14:paraId="6C3E0303" w14:textId="77777777" w:rsidR="000F2DDE" w:rsidRPr="006C73C5" w:rsidRDefault="000F2DDE" w:rsidP="000F2DDE">
      <w:pPr>
        <w:jc w:val="both"/>
        <w:rPr>
          <w:rFonts w:ascii="Verdana" w:hAnsi="Verdana"/>
        </w:rPr>
      </w:pPr>
      <w:r w:rsidRPr="006C73C5">
        <w:rPr>
          <w:rFonts w:ascii="Verdana" w:hAnsi="Verdana"/>
        </w:rPr>
        <w:t xml:space="preserve">La sostenibilidad no es una opción, es una obligación. Por ello, la Agencia Nacional de Contratación Pública –Colombia Compra Eficiente– te invita a realizar el </w:t>
      </w:r>
      <w:r w:rsidRPr="006C73C5">
        <w:rPr>
          <w:rFonts w:ascii="Verdana" w:hAnsi="Verdana"/>
          <w:b/>
          <w:bCs/>
        </w:rPr>
        <w:t>Curso de Contratación Pública Sostenible y Socialmente Responsable</w:t>
      </w:r>
      <w:r w:rsidRPr="006C73C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C73C5">
        <w:rPr>
          <w:rFonts w:ascii="Verdana" w:hAnsi="Verdana"/>
        </w:rPr>
        <w:br/>
      </w:r>
      <w:hyperlink r:id="rId13" w:tgtFrame="_new" w:history="1">
        <w:r w:rsidRPr="006C73C5">
          <w:rPr>
            <w:rStyle w:val="Hipervnculo"/>
            <w:rFonts w:ascii="Verdana" w:hAnsi="Verdana"/>
          </w:rPr>
          <w:t>https://formacionvirtual.colombiacompra.gov.co/mod/page/view.php?id=3718</w:t>
        </w:r>
      </w:hyperlink>
    </w:p>
    <w:p w14:paraId="22068965" w14:textId="77777777" w:rsidR="000F2DDE" w:rsidRPr="006C73C5" w:rsidRDefault="000F2DDE" w:rsidP="000F2DDE">
      <w:pPr>
        <w:jc w:val="both"/>
        <w:rPr>
          <w:rFonts w:ascii="Verdana" w:hAnsi="Verdana"/>
        </w:rPr>
      </w:pPr>
      <w:r w:rsidRPr="006C73C5">
        <w:rPr>
          <w:rFonts w:ascii="Verdana" w:hAnsi="Verdana"/>
        </w:rPr>
        <w:t xml:space="preserve">De otro lado, te contamos que esta Agencia ha da un paso decisivo en la estandarización y modernización del </w:t>
      </w:r>
      <w:r w:rsidRPr="006C73C5">
        <w:rPr>
          <w:rFonts w:ascii="Verdana" w:hAnsi="Verdana"/>
          <w:b/>
          <w:bCs/>
        </w:rPr>
        <w:t>sector  social</w:t>
      </w:r>
      <w:r w:rsidRPr="006C73C5">
        <w:rPr>
          <w:rFonts w:ascii="Verdana" w:hAnsi="Verdana"/>
        </w:rPr>
        <w:t xml:space="preserve"> con la expedición de las </w:t>
      </w:r>
      <w:r w:rsidRPr="006C73C5">
        <w:rPr>
          <w:rFonts w:ascii="Verdana" w:hAnsi="Verdana"/>
          <w:b/>
          <w:bCs/>
        </w:rPr>
        <w:t>Resoluciones 539, 540, 541, 952 y 953 de 2025</w:t>
      </w:r>
      <w:r w:rsidRPr="006C73C5">
        <w:rPr>
          <w:rFonts w:ascii="Verdana" w:hAnsi="Verdana"/>
        </w:rPr>
        <w:t xml:space="preserve">, </w:t>
      </w:r>
      <w:r w:rsidRPr="006C73C5">
        <w:rPr>
          <w:rFonts w:ascii="Verdana" w:hAnsi="Verdana"/>
          <w:b/>
          <w:bCs/>
        </w:rPr>
        <w:t>mediante las cuales adoptó Documentos Tipo</w:t>
      </w:r>
      <w:r w:rsidRPr="006C73C5">
        <w:rPr>
          <w:rFonts w:ascii="Verdana" w:hAnsi="Verdana"/>
        </w:rPr>
        <w:t xml:space="preserve"> para las modalidades de selección de</w:t>
      </w:r>
      <w:r w:rsidRPr="006C73C5">
        <w:rPr>
          <w:rFonts w:ascii="Verdana" w:hAnsi="Verdana"/>
          <w:b/>
          <w:bCs/>
        </w:rPr>
        <w:t xml:space="preserve"> licitación pública (versión 2), selección abreviada de menor cuantía, mínima cuantía, consultoría e interventoría</w:t>
      </w:r>
      <w:r w:rsidRPr="006C73C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6C73C5">
          <w:rPr>
            <w:rStyle w:val="Hipervnculo"/>
            <w:rFonts w:ascii="Verdana" w:hAnsi="Verdana"/>
          </w:rPr>
          <w:t>https://www.colombiacompra.gov.co/normativa-y-relatoria/documentos-tipo</w:t>
        </w:r>
      </w:hyperlink>
    </w:p>
    <w:p w14:paraId="6FD1B28B" w14:textId="77777777" w:rsidR="000F2DDE" w:rsidRPr="00DC193E" w:rsidRDefault="000F2DDE" w:rsidP="000F2DDE">
      <w:pPr>
        <w:jc w:val="both"/>
        <w:rPr>
          <w:rFonts w:ascii="Verdana" w:hAnsi="Verdana"/>
        </w:rPr>
      </w:pPr>
      <w:r w:rsidRPr="00DC193E">
        <w:rPr>
          <w:rFonts w:ascii="Verdana" w:hAnsi="Verdana"/>
        </w:rPr>
        <w:t xml:space="preserve">Si quieres conocer más sobre la aplicación de Documentos Tipo puedes consultar la última versión de la </w:t>
      </w:r>
      <w:r w:rsidRPr="00DC193E">
        <w:rPr>
          <w:rFonts w:ascii="Verdana" w:hAnsi="Verdana"/>
          <w:b/>
          <w:bCs/>
        </w:rPr>
        <w:t>Guía para la comprensión e implementación de los Documentos Tipo de obra pública de infraestructura de transporte</w:t>
      </w:r>
      <w:r w:rsidRPr="00DC193E">
        <w:rPr>
          <w:rFonts w:ascii="Verdana" w:hAnsi="Verdana"/>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w:t>
      </w:r>
      <w:r w:rsidRPr="00DC193E">
        <w:rPr>
          <w:rFonts w:ascii="Verdana" w:hAnsi="Verdana"/>
        </w:rPr>
        <w:lastRenderedPageBreak/>
        <w:t>implementación de los criterios ambientales y sociales incluidos en los documentos tipo: Consulta la guía aquí:</w:t>
      </w:r>
      <w:r w:rsidRPr="00DC193E">
        <w:rPr>
          <w:rFonts w:ascii="Verdana" w:hAnsi="Verdana"/>
        </w:rPr>
        <w:br/>
      </w:r>
      <w:hyperlink r:id="rId15" w:tgtFrame="_new" w:history="1">
        <w:r w:rsidRPr="006C73C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ABB69F1" w14:textId="77777777" w:rsidR="000F2DDE" w:rsidRPr="00DC193E" w:rsidRDefault="000F2DDE" w:rsidP="000F2DDE">
      <w:pPr>
        <w:spacing w:after="0"/>
        <w:jc w:val="both"/>
        <w:rPr>
          <w:rFonts w:ascii="Verdana" w:hAnsi="Verdana" w:cs="Arial"/>
          <w:shd w:val="clear" w:color="auto" w:fill="FFFFFF"/>
        </w:rPr>
      </w:pPr>
      <w:r w:rsidRPr="00DC193E">
        <w:rPr>
          <w:rFonts w:ascii="Verdana" w:hAnsi="Verdana" w:cs="Arial"/>
          <w:shd w:val="clear" w:color="auto" w:fill="FFFFFF"/>
        </w:rPr>
        <w:t xml:space="preserve">Por último, lo invitamos a seguirnos en las redes sociales en las cuales se difunde información institucional: </w:t>
      </w:r>
    </w:p>
    <w:p w14:paraId="62DC2EAC" w14:textId="77777777" w:rsidR="000F2DDE" w:rsidRPr="00DC193E" w:rsidRDefault="000F2DDE" w:rsidP="000F2DDE">
      <w:pPr>
        <w:spacing w:after="0"/>
        <w:jc w:val="both"/>
        <w:rPr>
          <w:rFonts w:ascii="Verdana" w:hAnsi="Verdana" w:cs="Arial"/>
          <w:shd w:val="clear" w:color="auto" w:fill="FFFFFF"/>
        </w:rPr>
      </w:pPr>
    </w:p>
    <w:p w14:paraId="33F75A72" w14:textId="77777777" w:rsidR="000F2DDE" w:rsidRPr="00DC193E" w:rsidRDefault="000F2DDE" w:rsidP="000F2DDE">
      <w:pPr>
        <w:spacing w:after="0"/>
        <w:jc w:val="both"/>
        <w:rPr>
          <w:rFonts w:ascii="Verdana" w:hAnsi="Verdana" w:cs="Arial"/>
          <w:shd w:val="clear" w:color="auto" w:fill="FFFFFF"/>
        </w:rPr>
      </w:pPr>
      <w:r w:rsidRPr="00DC193E">
        <w:rPr>
          <w:rFonts w:ascii="Verdana" w:hAnsi="Verdana" w:cs="Arial"/>
          <w:shd w:val="clear" w:color="auto" w:fill="FFFFFF"/>
        </w:rPr>
        <w:t xml:space="preserve">Twitter: </w:t>
      </w:r>
      <w:r w:rsidRPr="00DC193E">
        <w:rPr>
          <w:rStyle w:val="Hipervnculo"/>
          <w:rFonts w:ascii="Verdana" w:hAnsi="Verdana"/>
        </w:rPr>
        <w:t>@colombiacompra</w:t>
      </w:r>
      <w:r w:rsidRPr="00DC193E">
        <w:rPr>
          <w:rFonts w:ascii="Verdana" w:hAnsi="Verdana" w:cs="Arial"/>
          <w:shd w:val="clear" w:color="auto" w:fill="FFFFFF"/>
        </w:rPr>
        <w:t xml:space="preserve"> </w:t>
      </w:r>
    </w:p>
    <w:p w14:paraId="335598B6" w14:textId="77777777" w:rsidR="000F2DDE" w:rsidRPr="00DC193E" w:rsidRDefault="000F2DDE" w:rsidP="000F2DDE">
      <w:pPr>
        <w:spacing w:after="0"/>
        <w:jc w:val="both"/>
        <w:rPr>
          <w:rFonts w:ascii="Verdana" w:hAnsi="Verdana" w:cs="Arial"/>
          <w:shd w:val="clear" w:color="auto" w:fill="FFFFFF"/>
        </w:rPr>
      </w:pPr>
      <w:r w:rsidRPr="00DC193E">
        <w:rPr>
          <w:rFonts w:ascii="Verdana" w:hAnsi="Verdana" w:cs="Arial"/>
          <w:shd w:val="clear" w:color="auto" w:fill="FFFFFF"/>
        </w:rPr>
        <w:t>Facebook:</w:t>
      </w:r>
      <w:r w:rsidRPr="00DC193E">
        <w:rPr>
          <w:rStyle w:val="Hipervnculo"/>
          <w:rFonts w:ascii="Verdana" w:hAnsi="Verdana"/>
          <w:lang w:val="es-ES"/>
        </w:rPr>
        <w:t xml:space="preserve"> </w:t>
      </w:r>
      <w:r w:rsidRPr="00DC193E">
        <w:rPr>
          <w:rStyle w:val="Hipervnculo"/>
          <w:rFonts w:ascii="Verdana" w:hAnsi="Verdana"/>
        </w:rPr>
        <w:t>ColombiaCompraEficiente</w:t>
      </w:r>
    </w:p>
    <w:p w14:paraId="75D05B06" w14:textId="77777777" w:rsidR="000F2DDE" w:rsidRPr="00DC193E" w:rsidRDefault="000F2DDE" w:rsidP="000F2DDE">
      <w:pPr>
        <w:spacing w:after="0"/>
        <w:jc w:val="both"/>
        <w:rPr>
          <w:rFonts w:ascii="Verdana" w:hAnsi="Verdana" w:cs="Arial"/>
          <w:shd w:val="clear" w:color="auto" w:fill="FFFFFF"/>
        </w:rPr>
      </w:pPr>
      <w:r w:rsidRPr="00DC193E">
        <w:rPr>
          <w:rFonts w:ascii="Verdana" w:hAnsi="Verdana" w:cs="Arial"/>
          <w:shd w:val="clear" w:color="auto" w:fill="FFFFFF"/>
        </w:rPr>
        <w:t xml:space="preserve">LinkedIn: </w:t>
      </w:r>
      <w:r w:rsidRPr="00DC193E">
        <w:rPr>
          <w:rStyle w:val="Hipervnculo"/>
          <w:rFonts w:ascii="Verdana" w:hAnsi="Verdana"/>
        </w:rPr>
        <w:t>Agencia Nacional de Contratación Pública - Colombia Compra Eficiente</w:t>
      </w:r>
      <w:r w:rsidRPr="00DC193E">
        <w:rPr>
          <w:rFonts w:ascii="Verdana" w:hAnsi="Verdana" w:cs="Arial"/>
          <w:shd w:val="clear" w:color="auto" w:fill="FFFFFF"/>
        </w:rPr>
        <w:t xml:space="preserve"> </w:t>
      </w:r>
    </w:p>
    <w:p w14:paraId="5540FE5F" w14:textId="77777777" w:rsidR="000F2DDE" w:rsidRPr="00DC193E" w:rsidRDefault="000F2DDE" w:rsidP="000F2DDE">
      <w:pPr>
        <w:spacing w:after="0"/>
        <w:jc w:val="both"/>
        <w:rPr>
          <w:rFonts w:ascii="Verdana" w:hAnsi="Verdana" w:cs="Arial"/>
          <w:shd w:val="clear" w:color="auto" w:fill="FFFFFF"/>
        </w:rPr>
      </w:pPr>
      <w:r w:rsidRPr="00DC193E">
        <w:rPr>
          <w:rFonts w:ascii="Verdana" w:hAnsi="Verdana" w:cs="Arial"/>
          <w:shd w:val="clear" w:color="auto" w:fill="FFFFFF"/>
        </w:rPr>
        <w:t xml:space="preserve">Instagram: </w:t>
      </w:r>
      <w:r w:rsidRPr="00DC193E">
        <w:rPr>
          <w:rStyle w:val="Hipervnculo"/>
          <w:rFonts w:ascii="Verdana" w:hAnsi="Verdana"/>
        </w:rPr>
        <w:t>@colombiacompraeficiente_cce</w:t>
      </w:r>
    </w:p>
    <w:p w14:paraId="396B72D4" w14:textId="77777777" w:rsidR="000F2DDE" w:rsidRPr="00634D84" w:rsidRDefault="000F2DDE" w:rsidP="000F2DDE">
      <w:pPr>
        <w:widowControl w:val="0"/>
        <w:autoSpaceDE w:val="0"/>
        <w:autoSpaceDN w:val="0"/>
        <w:spacing w:after="0" w:line="276" w:lineRule="auto"/>
        <w:jc w:val="both"/>
        <w:rPr>
          <w:rFonts w:ascii="Verdana" w:hAnsi="Verdana" w:cs="Arial"/>
          <w:color w:val="7030A0"/>
          <w:lang w:val="es-ES"/>
        </w:rPr>
      </w:pPr>
    </w:p>
    <w:p w14:paraId="11F898BD" w14:textId="746C689B" w:rsidR="000F2DDE" w:rsidRDefault="000F2DDE" w:rsidP="000F2DDE">
      <w:pPr>
        <w:widowControl w:val="0"/>
        <w:autoSpaceDE w:val="0"/>
        <w:autoSpaceDN w:val="0"/>
        <w:spacing w:after="0" w:line="276" w:lineRule="auto"/>
        <w:jc w:val="both"/>
        <w:rPr>
          <w:rFonts w:ascii="Verdana" w:hAnsi="Verdana" w:cs="Arial"/>
          <w:lang w:val="es-ES"/>
        </w:rPr>
      </w:pPr>
      <w:r w:rsidRPr="00634D8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BC415D4" w14:textId="77777777" w:rsidR="00D2145D" w:rsidRPr="00634D84" w:rsidRDefault="00D2145D" w:rsidP="000F2DDE">
      <w:pPr>
        <w:widowControl w:val="0"/>
        <w:autoSpaceDE w:val="0"/>
        <w:autoSpaceDN w:val="0"/>
        <w:spacing w:after="0" w:line="276" w:lineRule="auto"/>
        <w:jc w:val="both"/>
        <w:rPr>
          <w:rFonts w:ascii="Verdana" w:hAnsi="Verdana" w:cs="Arial"/>
          <w:lang w:val="es-ES"/>
        </w:rPr>
      </w:pPr>
    </w:p>
    <w:p w14:paraId="09085631" w14:textId="3FED87D0" w:rsidR="000F2DDE" w:rsidRDefault="000F2DDE" w:rsidP="000F2DDE">
      <w:pPr>
        <w:spacing w:after="0" w:line="276" w:lineRule="auto"/>
        <w:rPr>
          <w:rFonts w:ascii="Verdana" w:hAnsi="Verdana" w:cs="Arial"/>
          <w:lang w:val="es-ES" w:eastAsia="es-CO"/>
        </w:rPr>
      </w:pPr>
      <w:r w:rsidRPr="00634D84">
        <w:rPr>
          <w:rFonts w:ascii="Verdana" w:eastAsia="Times New Roman" w:hAnsi="Verdana" w:cs="Arial"/>
          <w:lang w:val="es-ES" w:eastAsia="es-CO"/>
        </w:rPr>
        <w:t>Atentamente,</w:t>
      </w:r>
      <w:r w:rsidRPr="00634D84">
        <w:rPr>
          <w:rFonts w:ascii="Verdana" w:hAnsi="Verdana" w:cs="Arial"/>
          <w:lang w:val="es-ES" w:eastAsia="es-CO"/>
        </w:rPr>
        <w:t xml:space="preserve"> </w:t>
      </w:r>
    </w:p>
    <w:p w14:paraId="570C40E8" w14:textId="35BEF194" w:rsidR="0078191F" w:rsidRDefault="0078191F" w:rsidP="000F2DDE">
      <w:pPr>
        <w:spacing w:after="0" w:line="276" w:lineRule="auto"/>
        <w:rPr>
          <w:rFonts w:ascii="Verdana" w:hAnsi="Verdana" w:cs="Arial"/>
          <w:lang w:val="es-ES" w:eastAsia="es-CO"/>
        </w:rPr>
      </w:pPr>
    </w:p>
    <w:p w14:paraId="1C48F41A" w14:textId="460B55B2" w:rsidR="00003199" w:rsidRDefault="00C033A9" w:rsidP="00C033A9">
      <w:pPr>
        <w:spacing w:after="0" w:line="276" w:lineRule="auto"/>
        <w:jc w:val="center"/>
        <w:rPr>
          <w:rFonts w:ascii="Verdana" w:hAnsi="Verdana" w:cs="Arial"/>
          <w:lang w:val="es-ES" w:eastAsia="es-CO"/>
        </w:rPr>
      </w:pPr>
      <w:r w:rsidRPr="00C033A9">
        <w:rPr>
          <w:rFonts w:ascii="Verdana" w:hAnsi="Verdana" w:cs="Arial"/>
          <w:noProof/>
          <w:lang w:val="es-ES" w:eastAsia="es-CO"/>
        </w:rPr>
        <w:drawing>
          <wp:inline distT="0" distB="0" distL="0" distR="0" wp14:anchorId="3792CFF9" wp14:editId="00E1D03C">
            <wp:extent cx="2824815" cy="1047750"/>
            <wp:effectExtent l="0" t="0" r="0" b="0"/>
            <wp:docPr id="56980789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807895" name=""/>
                    <pic:cNvPicPr/>
                  </pic:nvPicPr>
                  <pic:blipFill rotWithShape="1">
                    <a:blip r:embed="rId16"/>
                    <a:srcRect t="15703"/>
                    <a:stretch>
                      <a:fillRect/>
                    </a:stretch>
                  </pic:blipFill>
                  <pic:spPr bwMode="auto">
                    <a:xfrm>
                      <a:off x="0" y="0"/>
                      <a:ext cx="2829361" cy="1049436"/>
                    </a:xfrm>
                    <a:prstGeom prst="rect">
                      <a:avLst/>
                    </a:prstGeom>
                    <a:ln>
                      <a:noFill/>
                    </a:ln>
                    <a:extLst>
                      <a:ext uri="{53640926-AAD7-44D8-BBD7-CCE9431645EC}">
                        <a14:shadowObscured xmlns:a14="http://schemas.microsoft.com/office/drawing/2010/main"/>
                      </a:ext>
                    </a:extLst>
                  </pic:spPr>
                </pic:pic>
              </a:graphicData>
            </a:graphic>
          </wp:inline>
        </w:drawing>
      </w:r>
    </w:p>
    <w:p w14:paraId="056778F3" w14:textId="77777777" w:rsidR="00C033A9" w:rsidRPr="00634D84" w:rsidRDefault="00C033A9" w:rsidP="00C033A9">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F2DDE" w:rsidRPr="00634D84" w14:paraId="7E924E1F" w14:textId="77777777" w:rsidTr="00562D56">
        <w:trPr>
          <w:trHeight w:val="315"/>
        </w:trPr>
        <w:tc>
          <w:tcPr>
            <w:tcW w:w="893" w:type="dxa"/>
            <w:vAlign w:val="center"/>
            <w:hideMark/>
          </w:tcPr>
          <w:p w14:paraId="744E8589" w14:textId="77777777" w:rsidR="000F2DDE" w:rsidRPr="00634D84" w:rsidRDefault="000F2DDE" w:rsidP="00562D56">
            <w:pPr>
              <w:contextualSpacing/>
              <w:rPr>
                <w:rFonts w:ascii="Verdana" w:hAnsi="Verdana" w:cs="Arial"/>
                <w:sz w:val="16"/>
                <w:szCs w:val="16"/>
                <w:lang w:val="es-ES" w:eastAsia="es-ES"/>
              </w:rPr>
            </w:pPr>
            <w:r w:rsidRPr="00634D8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365D860" w14:textId="77777777" w:rsidR="000F2DDE" w:rsidRPr="00634D84" w:rsidRDefault="000F2DDE" w:rsidP="00562D56">
            <w:pPr>
              <w:rPr>
                <w:rFonts w:ascii="Verdana" w:eastAsia="Times New Roman" w:hAnsi="Verdana" w:cs="Arial"/>
                <w:sz w:val="16"/>
                <w:szCs w:val="16"/>
                <w:lang w:eastAsia="es-ES"/>
              </w:rPr>
            </w:pPr>
            <w:r w:rsidRPr="00634D84">
              <w:rPr>
                <w:rFonts w:ascii="Verdana" w:eastAsia="Times New Roman" w:hAnsi="Verdana" w:cs="Arial"/>
                <w:sz w:val="16"/>
                <w:szCs w:val="16"/>
                <w:lang w:eastAsia="es-ES"/>
              </w:rPr>
              <w:t>Camila Alejandra Naranjo Gómez</w:t>
            </w:r>
          </w:p>
          <w:p w14:paraId="752A9B3C" w14:textId="77777777" w:rsidR="000F2DDE" w:rsidRPr="00634D84" w:rsidRDefault="000F2DDE" w:rsidP="00562D56">
            <w:pPr>
              <w:contextualSpacing/>
              <w:rPr>
                <w:rFonts w:ascii="Verdana" w:eastAsia="Arial" w:hAnsi="Verdana" w:cs="Arial"/>
                <w:sz w:val="16"/>
                <w:szCs w:val="16"/>
                <w:lang w:val="es-ES"/>
              </w:rPr>
            </w:pPr>
            <w:r w:rsidRPr="00634D84">
              <w:rPr>
                <w:rFonts w:ascii="Verdana" w:eastAsia="Times New Roman" w:hAnsi="Verdana" w:cs="Arial"/>
                <w:sz w:val="16"/>
                <w:szCs w:val="16"/>
                <w:lang w:eastAsia="es-ES"/>
              </w:rPr>
              <w:t>Analista T2-02 de la Subdirección de Gestión Contractual</w:t>
            </w:r>
          </w:p>
        </w:tc>
      </w:tr>
      <w:tr w:rsidR="000F2DDE" w:rsidRPr="00634D84" w14:paraId="4B0BD487" w14:textId="77777777" w:rsidTr="00562D56">
        <w:trPr>
          <w:trHeight w:val="330"/>
        </w:trPr>
        <w:tc>
          <w:tcPr>
            <w:tcW w:w="893" w:type="dxa"/>
            <w:vAlign w:val="center"/>
            <w:hideMark/>
          </w:tcPr>
          <w:p w14:paraId="4DCBE8E2" w14:textId="77777777" w:rsidR="000F2DDE" w:rsidRPr="00634D84" w:rsidRDefault="000F2DDE" w:rsidP="00562D56">
            <w:pPr>
              <w:contextualSpacing/>
              <w:rPr>
                <w:rFonts w:ascii="Verdana" w:hAnsi="Verdana" w:cs="Arial"/>
                <w:sz w:val="16"/>
                <w:szCs w:val="16"/>
                <w:lang w:val="es-ES" w:eastAsia="es-ES"/>
              </w:rPr>
            </w:pPr>
            <w:r w:rsidRPr="00634D8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B1F60D" w14:textId="77777777" w:rsidR="000F2DDE" w:rsidRPr="00634D84" w:rsidRDefault="000F2DDE" w:rsidP="00562D56">
            <w:pPr>
              <w:rPr>
                <w:rFonts w:ascii="Verdana" w:eastAsia="Times New Roman" w:hAnsi="Verdana" w:cs="Arial"/>
                <w:sz w:val="16"/>
                <w:szCs w:val="16"/>
                <w:lang w:eastAsia="es-ES"/>
              </w:rPr>
            </w:pPr>
            <w:r w:rsidRPr="00634D84">
              <w:rPr>
                <w:rFonts w:ascii="Verdana" w:eastAsia="Times New Roman" w:hAnsi="Verdana" w:cs="Arial"/>
                <w:sz w:val="16"/>
                <w:szCs w:val="16"/>
                <w:lang w:eastAsia="es-ES"/>
              </w:rPr>
              <w:t>Adriana Katerine López Rodríguez</w:t>
            </w:r>
          </w:p>
          <w:p w14:paraId="2039234C" w14:textId="77777777" w:rsidR="000F2DDE" w:rsidRPr="00634D84" w:rsidRDefault="000F2DDE" w:rsidP="00562D56">
            <w:pPr>
              <w:pStyle w:val="paragraph"/>
              <w:spacing w:before="0" w:beforeAutospacing="0" w:after="0" w:afterAutospacing="0"/>
              <w:contextualSpacing/>
              <w:textAlignment w:val="baseline"/>
              <w:rPr>
                <w:rFonts w:ascii="Verdana" w:hAnsi="Verdana" w:cs="Segoe UI"/>
                <w:sz w:val="16"/>
                <w:szCs w:val="16"/>
                <w:lang w:val="es-ES"/>
              </w:rPr>
            </w:pPr>
            <w:r w:rsidRPr="00634D84">
              <w:rPr>
                <w:rFonts w:ascii="Verdana" w:hAnsi="Verdana" w:cs="Arial"/>
                <w:sz w:val="16"/>
                <w:szCs w:val="16"/>
                <w:lang w:eastAsia="es-ES"/>
              </w:rPr>
              <w:t>Contratista de la Subdirección de Gestión Contractual</w:t>
            </w:r>
          </w:p>
        </w:tc>
      </w:tr>
      <w:tr w:rsidR="000F2DDE" w:rsidRPr="00634D84" w14:paraId="3CAAC265" w14:textId="77777777" w:rsidTr="00562D56">
        <w:trPr>
          <w:trHeight w:val="300"/>
        </w:trPr>
        <w:tc>
          <w:tcPr>
            <w:tcW w:w="893" w:type="dxa"/>
            <w:vAlign w:val="center"/>
          </w:tcPr>
          <w:p w14:paraId="1FE5288B" w14:textId="77777777" w:rsidR="000F2DDE" w:rsidRPr="00634D84" w:rsidRDefault="000F2DDE" w:rsidP="00562D56">
            <w:pPr>
              <w:contextualSpacing/>
              <w:rPr>
                <w:rFonts w:ascii="Verdana" w:hAnsi="Verdana" w:cs="Arial"/>
                <w:sz w:val="16"/>
                <w:szCs w:val="16"/>
                <w:lang w:val="es-ES" w:eastAsia="es-ES"/>
              </w:rPr>
            </w:pPr>
            <w:r w:rsidRPr="00634D8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5512CBF" w14:textId="77777777" w:rsidR="000F2DDE" w:rsidRPr="00634D84" w:rsidRDefault="000F2DDE" w:rsidP="00562D56">
            <w:pPr>
              <w:contextualSpacing/>
              <w:rPr>
                <w:rFonts w:ascii="Verdana" w:eastAsia="Calibri" w:hAnsi="Verdana" w:cs="Arial"/>
                <w:sz w:val="16"/>
                <w:szCs w:val="16"/>
                <w:lang w:val="es-ES" w:eastAsia="es-ES"/>
              </w:rPr>
            </w:pPr>
            <w:r w:rsidRPr="00634D84">
              <w:rPr>
                <w:rFonts w:ascii="Verdana" w:eastAsia="Calibri" w:hAnsi="Verdana" w:cs="Arial"/>
                <w:sz w:val="16"/>
                <w:szCs w:val="16"/>
                <w:lang w:val="es-ES" w:eastAsia="es-ES"/>
              </w:rPr>
              <w:t>Carolina Quintero Gacharná</w:t>
            </w:r>
          </w:p>
          <w:p w14:paraId="062E6379" w14:textId="77777777" w:rsidR="000F2DDE" w:rsidRPr="00634D84" w:rsidRDefault="000F2DDE" w:rsidP="00562D56">
            <w:pPr>
              <w:contextualSpacing/>
              <w:rPr>
                <w:rFonts w:ascii="Verdana" w:eastAsia="Calibri" w:hAnsi="Verdana" w:cs="Arial"/>
                <w:sz w:val="16"/>
                <w:szCs w:val="16"/>
                <w:lang w:val="es-ES" w:eastAsia="es-ES"/>
              </w:rPr>
            </w:pPr>
            <w:r w:rsidRPr="00634D84">
              <w:rPr>
                <w:rFonts w:ascii="Verdana" w:eastAsia="Calibri" w:hAnsi="Verdana" w:cs="Arial"/>
                <w:sz w:val="16"/>
                <w:szCs w:val="16"/>
                <w:lang w:val="es-ES" w:eastAsia="es-ES"/>
              </w:rPr>
              <w:t>Subdirectora de Gestión Contractual ANCP – CCE</w:t>
            </w:r>
          </w:p>
        </w:tc>
      </w:tr>
    </w:tbl>
    <w:p w14:paraId="7DF06153" w14:textId="77777777" w:rsidR="000F2DDE" w:rsidRPr="00634D84" w:rsidRDefault="000F2DDE" w:rsidP="000F2DDE">
      <w:pPr>
        <w:spacing w:after="120" w:line="276" w:lineRule="auto"/>
        <w:jc w:val="both"/>
        <w:rPr>
          <w:rFonts w:ascii="Verdana" w:eastAsia="Century Gothic" w:hAnsi="Verdana" w:cs="Century Gothic"/>
          <w:b/>
        </w:rPr>
      </w:pPr>
    </w:p>
    <w:bookmarkEnd w:id="0"/>
    <w:p w14:paraId="0F293BF4" w14:textId="10DAD235" w:rsidR="00127233" w:rsidRPr="000F2DDE" w:rsidRDefault="00127233" w:rsidP="000F2DDE"/>
    <w:sectPr w:rsidR="00127233" w:rsidRPr="000F2DDE"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FC325" w14:textId="77777777" w:rsidR="00C01CBF" w:rsidRDefault="00C01CBF" w:rsidP="004A1847">
      <w:pPr>
        <w:spacing w:after="0" w:line="240" w:lineRule="auto"/>
      </w:pPr>
      <w:r>
        <w:separator/>
      </w:r>
    </w:p>
  </w:endnote>
  <w:endnote w:type="continuationSeparator" w:id="0">
    <w:p w14:paraId="0A73B253" w14:textId="77777777" w:rsidR="00C01CBF" w:rsidRDefault="00C01CB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Arial"/>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95352" w14:textId="77777777" w:rsidR="00C01CBF" w:rsidRDefault="00C01CBF" w:rsidP="004A1847">
      <w:pPr>
        <w:spacing w:after="0" w:line="240" w:lineRule="auto"/>
      </w:pPr>
      <w:r>
        <w:separator/>
      </w:r>
    </w:p>
  </w:footnote>
  <w:footnote w:type="continuationSeparator" w:id="0">
    <w:p w14:paraId="461E9F2B" w14:textId="77777777" w:rsidR="00C01CBF" w:rsidRDefault="00C01CBF" w:rsidP="004A1847">
      <w:pPr>
        <w:spacing w:after="0" w:line="240" w:lineRule="auto"/>
      </w:pPr>
      <w:r>
        <w:continuationSeparator/>
      </w:r>
    </w:p>
  </w:footnote>
  <w:footnote w:id="1">
    <w:p w14:paraId="153802BF" w14:textId="77777777" w:rsidR="000F2DDE" w:rsidRPr="00003199" w:rsidRDefault="000F2DDE" w:rsidP="000F2DDE">
      <w:pPr>
        <w:pStyle w:val="Textonotapie"/>
        <w:adjustRightInd w:val="0"/>
        <w:snapToGrid w:val="0"/>
        <w:ind w:firstLine="709"/>
        <w:jc w:val="both"/>
        <w:rPr>
          <w:rFonts w:ascii="Verdana" w:hAnsi="Verdana"/>
          <w:sz w:val="14"/>
          <w:szCs w:val="14"/>
        </w:rPr>
      </w:pPr>
      <w:r w:rsidRPr="00003199">
        <w:rPr>
          <w:rStyle w:val="Refdenotaalpie"/>
          <w:rFonts w:ascii="Verdana" w:hAnsi="Verdana"/>
          <w:sz w:val="14"/>
          <w:szCs w:val="14"/>
        </w:rPr>
        <w:footnoteRef/>
      </w:r>
      <w:r w:rsidRPr="00003199">
        <w:rPr>
          <w:rFonts w:ascii="Verdana" w:hAnsi="Verdana"/>
          <w:sz w:val="14"/>
          <w:szCs w:val="14"/>
        </w:rPr>
        <w:t xml:space="preserve"> Artículo 21 de la Ley 1150 de 2007.</w:t>
      </w:r>
    </w:p>
    <w:p w14:paraId="20CE2059" w14:textId="77777777" w:rsidR="000F2DDE" w:rsidRPr="00003199" w:rsidRDefault="000F2DDE" w:rsidP="000F2DDE">
      <w:pPr>
        <w:pStyle w:val="Textonotapie"/>
        <w:adjustRightInd w:val="0"/>
        <w:snapToGrid w:val="0"/>
        <w:ind w:firstLine="709"/>
        <w:jc w:val="both"/>
        <w:rPr>
          <w:rFonts w:ascii="Verdana" w:hAnsi="Verdana"/>
          <w:sz w:val="14"/>
          <w:szCs w:val="14"/>
        </w:rPr>
      </w:pPr>
    </w:p>
  </w:footnote>
  <w:footnote w:id="2">
    <w:p w14:paraId="1EBBAA56" w14:textId="77777777" w:rsidR="000F2DDE" w:rsidRPr="00003199" w:rsidRDefault="000F2DDE" w:rsidP="000F2DDE">
      <w:pPr>
        <w:pStyle w:val="Textonotapie"/>
        <w:adjustRightInd w:val="0"/>
        <w:snapToGrid w:val="0"/>
        <w:ind w:firstLine="709"/>
        <w:jc w:val="both"/>
        <w:rPr>
          <w:rFonts w:ascii="Verdana" w:hAnsi="Verdana"/>
          <w:sz w:val="14"/>
          <w:szCs w:val="14"/>
        </w:rPr>
      </w:pPr>
      <w:r w:rsidRPr="00003199">
        <w:rPr>
          <w:rStyle w:val="Refdenotaalpie"/>
          <w:rFonts w:ascii="Verdana" w:hAnsi="Verdana"/>
          <w:sz w:val="14"/>
          <w:szCs w:val="14"/>
        </w:rPr>
        <w:footnoteRef/>
      </w:r>
      <w:r w:rsidRPr="00003199">
        <w:rPr>
          <w:rFonts w:ascii="Verdana" w:hAnsi="Verdana"/>
          <w:sz w:val="14"/>
          <w:szCs w:val="14"/>
        </w:rPr>
        <w:t xml:space="preserve"> Artículos 83 a 86 de la Ley 1474 de 2011.</w:t>
      </w:r>
    </w:p>
    <w:p w14:paraId="20825AF8" w14:textId="77777777" w:rsidR="000F2DDE" w:rsidRPr="00003199" w:rsidRDefault="000F2DDE" w:rsidP="00003199">
      <w:pPr>
        <w:pStyle w:val="Textonotapie"/>
        <w:adjustRightInd w:val="0"/>
        <w:snapToGrid w:val="0"/>
        <w:jc w:val="both"/>
        <w:rPr>
          <w:rFonts w:ascii="Verdana" w:hAnsi="Verdana"/>
          <w:sz w:val="14"/>
          <w:szCs w:val="14"/>
        </w:rPr>
      </w:pPr>
    </w:p>
  </w:footnote>
  <w:footnote w:id="3">
    <w:p w14:paraId="4D347610" w14:textId="4875D05E" w:rsidR="000F2DDE" w:rsidRPr="00003199" w:rsidRDefault="000F2DDE" w:rsidP="00891F99">
      <w:pPr>
        <w:pStyle w:val="Textonotapie"/>
        <w:adjustRightInd w:val="0"/>
        <w:snapToGrid w:val="0"/>
        <w:ind w:firstLine="709"/>
        <w:jc w:val="both"/>
        <w:rPr>
          <w:rFonts w:ascii="Verdana" w:hAnsi="Verdana"/>
          <w:sz w:val="14"/>
          <w:szCs w:val="14"/>
        </w:rPr>
      </w:pPr>
      <w:r w:rsidRPr="00003199">
        <w:rPr>
          <w:rStyle w:val="Refdenotaalpie"/>
          <w:rFonts w:ascii="Verdana" w:hAnsi="Verdana"/>
          <w:sz w:val="14"/>
          <w:szCs w:val="14"/>
        </w:rPr>
        <w:footnoteRef/>
      </w:r>
      <w:r w:rsidRPr="00003199">
        <w:rPr>
          <w:rFonts w:ascii="Verdana" w:hAnsi="Verdana"/>
          <w:sz w:val="14"/>
          <w:szCs w:val="14"/>
        </w:rPr>
        <w:t xml:space="preserve"> Artículo 83 de la Ley 1474 de 2011</w:t>
      </w:r>
    </w:p>
  </w:footnote>
  <w:footnote w:id="4">
    <w:p w14:paraId="70A21D46" w14:textId="77777777" w:rsidR="000F2DDE" w:rsidRPr="00003199" w:rsidRDefault="000F2DDE" w:rsidP="000F2DDE">
      <w:pPr>
        <w:pStyle w:val="Textonotapie"/>
        <w:adjustRightInd w:val="0"/>
        <w:snapToGrid w:val="0"/>
        <w:ind w:firstLine="709"/>
        <w:jc w:val="both"/>
        <w:rPr>
          <w:rFonts w:ascii="Verdana" w:hAnsi="Verdana" w:cs="Arial"/>
          <w:color w:val="161616"/>
          <w:sz w:val="14"/>
          <w:szCs w:val="14"/>
        </w:rPr>
      </w:pPr>
      <w:r w:rsidRPr="00003199">
        <w:rPr>
          <w:rStyle w:val="Refdenotaalpie"/>
          <w:rFonts w:ascii="Verdana" w:hAnsi="Verdana"/>
          <w:sz w:val="14"/>
          <w:szCs w:val="14"/>
        </w:rPr>
        <w:footnoteRef/>
      </w:r>
      <w:r w:rsidRPr="00003199">
        <w:rPr>
          <w:rFonts w:ascii="Verdana" w:hAnsi="Verdana"/>
          <w:sz w:val="14"/>
          <w:szCs w:val="14"/>
        </w:rPr>
        <w:t xml:space="preserve"> </w:t>
      </w:r>
      <w:r w:rsidRPr="00003199">
        <w:rPr>
          <w:rFonts w:ascii="Verdana" w:hAnsi="Verdana" w:cs="Arial"/>
          <w:color w:val="161616"/>
          <w:sz w:val="14"/>
          <w:szCs w:val="14"/>
        </w:rPr>
        <w:t>“Son también contratos de consultoría los que tienen por objeto la interventoría […]”</w:t>
      </w:r>
    </w:p>
    <w:p w14:paraId="164A01FD" w14:textId="77777777" w:rsidR="000F2DDE" w:rsidRPr="00003199" w:rsidRDefault="000F2DDE" w:rsidP="000F2DDE">
      <w:pPr>
        <w:pStyle w:val="Textonotapie"/>
        <w:adjustRightInd w:val="0"/>
        <w:snapToGrid w:val="0"/>
        <w:ind w:firstLine="709"/>
        <w:jc w:val="both"/>
        <w:rPr>
          <w:rFonts w:ascii="Verdana" w:hAnsi="Verdana" w:cs="Arial"/>
          <w:color w:val="161616"/>
          <w:sz w:val="14"/>
          <w:szCs w:val="14"/>
        </w:rPr>
      </w:pPr>
    </w:p>
  </w:footnote>
  <w:footnote w:id="5">
    <w:p w14:paraId="303B0E9E" w14:textId="77777777" w:rsidR="000F2DDE" w:rsidRPr="00003199" w:rsidRDefault="000F2DDE" w:rsidP="000F2DDE">
      <w:pPr>
        <w:pStyle w:val="Textonotapie"/>
        <w:adjustRightInd w:val="0"/>
        <w:snapToGrid w:val="0"/>
        <w:ind w:firstLine="709"/>
        <w:jc w:val="both"/>
        <w:rPr>
          <w:rFonts w:ascii="Verdana" w:hAnsi="Verdana" w:cs="Arial"/>
          <w:color w:val="161616"/>
          <w:sz w:val="14"/>
          <w:szCs w:val="14"/>
        </w:rPr>
      </w:pPr>
      <w:r w:rsidRPr="00003199">
        <w:rPr>
          <w:rStyle w:val="Refdenotaalpie"/>
          <w:rFonts w:ascii="Verdana" w:hAnsi="Verdana" w:cs="Arial"/>
          <w:sz w:val="14"/>
          <w:szCs w:val="14"/>
        </w:rPr>
        <w:footnoteRef/>
      </w:r>
      <w:r w:rsidRPr="00003199">
        <w:rPr>
          <w:rFonts w:ascii="Verdana" w:hAnsi="Verdana" w:cs="Arial"/>
          <w:sz w:val="14"/>
          <w:szCs w:val="14"/>
        </w:rPr>
        <w:t xml:space="preserve"> </w:t>
      </w:r>
      <w:r w:rsidRPr="00003199">
        <w:rPr>
          <w:rFonts w:ascii="Verdana" w:hAnsi="Verdana" w:cs="Arial"/>
          <w:color w:val="161616"/>
          <w:sz w:val="14"/>
          <w:szCs w:val="14"/>
        </w:rPr>
        <w:t>Consejo de Estado. Sección Tercera. Sentencia del 28 de febrero de 2013. Exp. 24.266 C.P. Danilo Rojas Betancourth.</w:t>
      </w:r>
    </w:p>
    <w:p w14:paraId="64AC96B7" w14:textId="77777777" w:rsidR="000F2DDE" w:rsidRPr="00003199" w:rsidRDefault="000F2DDE" w:rsidP="000F2DDE">
      <w:pPr>
        <w:pStyle w:val="Textonotapie"/>
        <w:adjustRightInd w:val="0"/>
        <w:snapToGrid w:val="0"/>
        <w:ind w:firstLine="709"/>
        <w:jc w:val="both"/>
        <w:rPr>
          <w:rFonts w:ascii="Verdana" w:hAnsi="Verdana" w:cs="Arial"/>
          <w:color w:val="161616"/>
          <w:sz w:val="14"/>
          <w:szCs w:val="14"/>
        </w:rPr>
      </w:pPr>
    </w:p>
  </w:footnote>
  <w:footnote w:id="6">
    <w:p w14:paraId="4C1EEA15" w14:textId="77777777" w:rsidR="000F2DDE" w:rsidRPr="00003199" w:rsidRDefault="000F2DDE" w:rsidP="000F2DDE">
      <w:pPr>
        <w:pStyle w:val="Textonotapie"/>
        <w:adjustRightInd w:val="0"/>
        <w:snapToGrid w:val="0"/>
        <w:ind w:firstLine="709"/>
        <w:jc w:val="both"/>
        <w:rPr>
          <w:rFonts w:ascii="Verdana" w:hAnsi="Verdana" w:cs="Arial"/>
          <w:sz w:val="14"/>
          <w:szCs w:val="14"/>
        </w:rPr>
      </w:pPr>
      <w:r w:rsidRPr="00003199">
        <w:rPr>
          <w:rStyle w:val="Refdenotaalpie"/>
          <w:rFonts w:ascii="Verdana" w:hAnsi="Verdana" w:cs="Arial"/>
          <w:sz w:val="14"/>
          <w:szCs w:val="14"/>
        </w:rPr>
        <w:footnoteRef/>
      </w:r>
      <w:r w:rsidRPr="00003199">
        <w:rPr>
          <w:rFonts w:ascii="Verdana" w:hAnsi="Verdana" w:cs="Arial"/>
          <w:sz w:val="14"/>
          <w:szCs w:val="14"/>
        </w:rPr>
        <w:t xml:space="preserve"> </w:t>
      </w:r>
      <w:r w:rsidRPr="00003199">
        <w:rPr>
          <w:rFonts w:ascii="Verdana" w:hAnsi="Verdana" w:cs="Arial"/>
          <w:color w:val="161616"/>
          <w:sz w:val="14"/>
          <w:szCs w:val="14"/>
        </w:rPr>
        <w:t>Consejo de Estado, Sección Tercera. Sentencia del 8 de marzo de 1996, expediente N° 8070, C.P. Jesús María Carrillo: “el interventor carece de facultades para exigir del contratante un supuesto derecho a prórrogas, como queriendo hacer valer el contrato de interventoría como un contrato accesorio del contrato de obra, y con esa perspectiva alegar que por la sola naturaleza accesoria "debe" obtener la misma suerte que la del contrato principal”. Consejo de Estado, Sala de lo Contencioso Administrativo, Sección Tercera, sentencia del 13 de septiembre de 1991, expediente N° 5127, C.P. Carlos Betancur: “Debe distinguirse entre el contrato de obra pública y el de interventoría, pues el incumplimiento del contratista de obra no puede imputarse al del interventor como si éste fuera obligado a la ejecución de la obra”.</w:t>
      </w:r>
      <w:r w:rsidRPr="00003199">
        <w:rPr>
          <w:rFonts w:ascii="Verdana" w:hAnsi="Verdana" w:cs="Arial"/>
          <w:sz w:val="14"/>
          <w:szCs w:val="14"/>
        </w:rPr>
        <w:t xml:space="preserve">  </w:t>
      </w:r>
    </w:p>
    <w:p w14:paraId="59070E48" w14:textId="77777777" w:rsidR="000F2DDE" w:rsidRPr="00003199" w:rsidRDefault="000F2DDE" w:rsidP="000F2DDE">
      <w:pPr>
        <w:pStyle w:val="Textonotapie"/>
        <w:adjustRightInd w:val="0"/>
        <w:snapToGrid w:val="0"/>
        <w:ind w:firstLine="709"/>
        <w:jc w:val="both"/>
        <w:rPr>
          <w:rFonts w:ascii="Verdana" w:hAnsi="Verdana" w:cs="Arial"/>
          <w:sz w:val="14"/>
          <w:szCs w:val="14"/>
        </w:rPr>
      </w:pPr>
    </w:p>
  </w:footnote>
  <w:footnote w:id="7">
    <w:p w14:paraId="7EBBB426" w14:textId="77777777" w:rsidR="000F2DDE" w:rsidRPr="00003199" w:rsidRDefault="000F2DDE" w:rsidP="000F2DDE">
      <w:pPr>
        <w:pStyle w:val="Textonotapie"/>
        <w:ind w:firstLine="708"/>
        <w:jc w:val="both"/>
        <w:rPr>
          <w:rFonts w:ascii="Verdana" w:hAnsi="Verdana" w:cs="Arial"/>
          <w:iCs/>
          <w:color w:val="1A1A1A" w:themeColor="background1" w:themeShade="1A"/>
          <w:sz w:val="14"/>
          <w:szCs w:val="14"/>
        </w:rPr>
      </w:pPr>
      <w:r w:rsidRPr="00003199">
        <w:rPr>
          <w:rStyle w:val="Refdenotaalpie"/>
          <w:rFonts w:ascii="Verdana" w:hAnsi="Verdana"/>
          <w:sz w:val="14"/>
          <w:szCs w:val="14"/>
        </w:rPr>
        <w:footnoteRef/>
      </w:r>
      <w:r w:rsidRPr="00003199">
        <w:rPr>
          <w:rFonts w:ascii="Verdana" w:hAnsi="Verdana"/>
          <w:sz w:val="14"/>
          <w:szCs w:val="14"/>
        </w:rPr>
        <w:t xml:space="preserve"> </w:t>
      </w:r>
      <w:r w:rsidRPr="00003199">
        <w:rPr>
          <w:rFonts w:ascii="Verdana" w:hAnsi="Verdana" w:cs="Arial"/>
          <w:iCs/>
          <w:color w:val="1A1A1A" w:themeColor="background1" w:themeShade="1A"/>
          <w:sz w:val="14"/>
          <w:szCs w:val="14"/>
        </w:rPr>
        <w:t xml:space="preserve">Consejo de Estado, Sección Tercera. Sentencia del 20 de noviembre de 2019, expediente N° 25000-23-36-000-2016-00955-01(62369), M.P. Marta Nubia Velazquez Rico: </w:t>
      </w:r>
      <w:r w:rsidRPr="00003199">
        <w:rPr>
          <w:rFonts w:ascii="Verdana" w:hAnsi="Verdana" w:cs="Arial"/>
          <w:color w:val="1A1A1A" w:themeColor="background1" w:themeShade="1A"/>
          <w:sz w:val="14"/>
          <w:szCs w:val="14"/>
        </w:rPr>
        <w:t>“</w:t>
      </w:r>
      <w:r w:rsidRPr="00003199">
        <w:rPr>
          <w:rFonts w:ascii="Verdana" w:hAnsi="Verdana" w:cs="Arial"/>
          <w:iCs/>
          <w:color w:val="1A1A1A" w:themeColor="background1" w:themeShade="1A"/>
          <w:sz w:val="14"/>
          <w:szCs w:val="14"/>
        </w:rPr>
        <w:t xml:space="preserve">el </w:t>
      </w:r>
      <w:r w:rsidRPr="00003199">
        <w:rPr>
          <w:rFonts w:ascii="Verdana" w:hAnsi="Verdana" w:cs="Arial"/>
          <w:i/>
          <w:color w:val="1A1A1A" w:themeColor="background1" w:themeShade="1A"/>
          <w:sz w:val="14"/>
          <w:szCs w:val="14"/>
        </w:rPr>
        <w:t>precio del contrato de interventoría</w:t>
      </w:r>
      <w:r w:rsidRPr="00003199">
        <w:rPr>
          <w:rFonts w:ascii="Verdana" w:hAnsi="Verdana" w:cs="Arial"/>
          <w:iCs/>
          <w:color w:val="1A1A1A" w:themeColor="background1" w:themeShade="1A"/>
          <w:sz w:val="14"/>
          <w:szCs w:val="14"/>
        </w:rPr>
        <w:t xml:space="preserve"> se estructura básicamente con base en los costos de los recursos humanos y técnicos altamente especializados que se requieren para adelantar la interventoría y elaborar los entregables o productos requeridos. No obstante, a su vez, se precisa que la remuneración o precio del contrato de interventoría no necesariamente corresponde a un sistema de simple reembolso de costos y gastos, dado que el contratista interventor otorga su experiencia como organización y se compromete con un sistema de control y vigilancia que colabora y protege los intereses de la entidad pública contratante, al punto de que su labor se ha calificado como una función pública, en la cual el contratista asume un riesgo profesional y patrimonial de importancia”.</w:t>
      </w:r>
    </w:p>
    <w:p w14:paraId="01FB0766" w14:textId="77777777" w:rsidR="000F2DDE" w:rsidRPr="00003199" w:rsidRDefault="000F2DDE" w:rsidP="000F2DDE">
      <w:pPr>
        <w:pStyle w:val="Textonotapie"/>
        <w:ind w:firstLine="708"/>
        <w:jc w:val="both"/>
        <w:rPr>
          <w:rFonts w:ascii="Verdana" w:hAnsi="Verdana" w:cs="Arial"/>
          <w:iCs/>
          <w:color w:val="1A1A1A" w:themeColor="background1" w:themeShade="1A"/>
          <w:sz w:val="14"/>
          <w:szCs w:val="14"/>
        </w:rPr>
      </w:pPr>
    </w:p>
  </w:footnote>
  <w:footnote w:id="8">
    <w:p w14:paraId="1657959F" w14:textId="77777777" w:rsidR="000F2DDE" w:rsidRPr="00003199" w:rsidRDefault="000F2DDE" w:rsidP="000F2DDE">
      <w:pPr>
        <w:pStyle w:val="Textonotapie"/>
        <w:ind w:firstLine="708"/>
        <w:jc w:val="both"/>
        <w:rPr>
          <w:rFonts w:ascii="Verdana" w:hAnsi="Verdana" w:cs="Arial"/>
          <w:iCs/>
          <w:color w:val="1A1A1A" w:themeColor="background1" w:themeShade="1A"/>
          <w:sz w:val="14"/>
          <w:szCs w:val="14"/>
        </w:rPr>
      </w:pPr>
      <w:r w:rsidRPr="00003199">
        <w:rPr>
          <w:rStyle w:val="Refdenotaalpie"/>
          <w:rFonts w:ascii="Verdana" w:hAnsi="Verdana"/>
          <w:sz w:val="14"/>
          <w:szCs w:val="14"/>
        </w:rPr>
        <w:footnoteRef/>
      </w:r>
      <w:r w:rsidRPr="00003199">
        <w:rPr>
          <w:rFonts w:ascii="Verdana" w:hAnsi="Verdana"/>
          <w:sz w:val="14"/>
          <w:szCs w:val="14"/>
        </w:rPr>
        <w:t xml:space="preserve"> </w:t>
      </w:r>
      <w:r w:rsidRPr="00003199">
        <w:rPr>
          <w:rFonts w:ascii="Verdana" w:hAnsi="Verdana" w:cs="Arial"/>
          <w:color w:val="1A1A1A" w:themeColor="background1" w:themeShade="1A"/>
          <w:sz w:val="14"/>
          <w:szCs w:val="14"/>
        </w:rPr>
        <w:t>“</w:t>
      </w:r>
      <w:r w:rsidRPr="00003199">
        <w:rPr>
          <w:rFonts w:ascii="Verdana" w:hAnsi="Verdana" w:cs="Arial"/>
          <w:iCs/>
          <w:color w:val="1A1A1A" w:themeColor="background1" w:themeShade="1A"/>
          <w:sz w:val="14"/>
          <w:szCs w:val="14"/>
        </w:rPr>
        <w:t>Artículo   5º.- De los Derechos y Deberes de los Contratistas. Para la realización de los fines de que trata el artículo 3o. de esta Ley, los contratistas:</w:t>
      </w:r>
    </w:p>
    <w:p w14:paraId="3913A5C5" w14:textId="77777777" w:rsidR="000F2DDE" w:rsidRPr="00003199" w:rsidRDefault="000F2DDE" w:rsidP="000F2DDE">
      <w:pPr>
        <w:pStyle w:val="Textonotapie"/>
        <w:ind w:firstLine="708"/>
        <w:jc w:val="both"/>
        <w:rPr>
          <w:rFonts w:ascii="Verdana" w:hAnsi="Verdana" w:cs="Arial"/>
          <w:color w:val="1A1A1A" w:themeColor="background1" w:themeShade="1A"/>
          <w:sz w:val="14"/>
          <w:szCs w:val="14"/>
        </w:rPr>
      </w:pPr>
      <w:r w:rsidRPr="00003199">
        <w:rPr>
          <w:rFonts w:ascii="Verdana" w:hAnsi="Verdana" w:cs="Arial"/>
          <w:iCs/>
          <w:color w:val="1A1A1A" w:themeColor="background1" w:themeShade="1A"/>
          <w:sz w:val="14"/>
          <w:szCs w:val="14"/>
        </w:rPr>
        <w:t>1o. Tendrán derecho a recibir oportunamente la remuneración pactada y a que el valor intrínseco de la misma no se altere o modifique durante la vigencia del contrato</w:t>
      </w:r>
      <w:r w:rsidRPr="00003199">
        <w:rPr>
          <w:rFonts w:ascii="Verdana" w:hAnsi="Verdana" w:cs="Arial"/>
          <w:color w:val="1A1A1A" w:themeColor="background1" w:themeShade="1A"/>
          <w:sz w:val="14"/>
          <w:szCs w:val="14"/>
        </w:rPr>
        <w:t>”.</w:t>
      </w:r>
    </w:p>
    <w:p w14:paraId="41CB391A" w14:textId="77777777" w:rsidR="000F2DDE" w:rsidRPr="00003199" w:rsidRDefault="000F2DDE" w:rsidP="000F2DDE">
      <w:pPr>
        <w:pStyle w:val="Textonotapie"/>
        <w:ind w:firstLine="708"/>
        <w:jc w:val="both"/>
        <w:rPr>
          <w:rFonts w:ascii="Verdana" w:hAnsi="Verdana" w:cs="Arial"/>
          <w:color w:val="1A1A1A" w:themeColor="background1" w:themeShade="1A"/>
          <w:sz w:val="14"/>
          <w:szCs w:val="14"/>
        </w:rPr>
      </w:pPr>
    </w:p>
  </w:footnote>
  <w:footnote w:id="9">
    <w:p w14:paraId="2C5A7FAD" w14:textId="77777777" w:rsidR="000F2DDE" w:rsidRPr="00003199" w:rsidRDefault="000F2DDE" w:rsidP="000F2DDE">
      <w:pPr>
        <w:pStyle w:val="Textonotapie"/>
        <w:ind w:firstLine="708"/>
        <w:jc w:val="both"/>
        <w:rPr>
          <w:rFonts w:ascii="Verdana" w:hAnsi="Verdana"/>
          <w:sz w:val="14"/>
          <w:szCs w:val="14"/>
          <w:lang w:val="es-CO"/>
        </w:rPr>
      </w:pPr>
      <w:r w:rsidRPr="00003199">
        <w:rPr>
          <w:rStyle w:val="Refdenotaalpie"/>
          <w:rFonts w:ascii="Verdana" w:hAnsi="Verdana"/>
          <w:sz w:val="14"/>
          <w:szCs w:val="14"/>
        </w:rPr>
        <w:footnoteRef/>
      </w:r>
      <w:r w:rsidRPr="00003199">
        <w:rPr>
          <w:rFonts w:ascii="Verdana" w:hAnsi="Verdana"/>
          <w:sz w:val="14"/>
          <w:szCs w:val="14"/>
        </w:rPr>
        <w:t xml:space="preserve"> Ley 80 de 1993, Artículo 13: “L</w:t>
      </w:r>
      <w:r w:rsidRPr="00003199">
        <w:rPr>
          <w:rFonts w:ascii="Verdana" w:hAnsi="Verdana"/>
          <w:sz w:val="14"/>
          <w:szCs w:val="14"/>
          <w:lang w:val="es-CO"/>
        </w:rPr>
        <w:t>os contratos que celebren las entidades a que se refiere el artículo 2 del presente estatuto se regirán por las disposiciones comerciales y civiles pertinentes, salvo en las materias particularmente reguladas en esta Ley […]”.</w:t>
      </w:r>
    </w:p>
    <w:p w14:paraId="26E0D289" w14:textId="77777777" w:rsidR="000F2DDE" w:rsidRPr="00003199" w:rsidRDefault="000F2DDE" w:rsidP="000F2DDE">
      <w:pPr>
        <w:pStyle w:val="Textonotapie"/>
        <w:ind w:firstLine="708"/>
        <w:jc w:val="both"/>
        <w:rPr>
          <w:rFonts w:ascii="Verdana" w:hAnsi="Verdana"/>
          <w:sz w:val="14"/>
          <w:szCs w:val="14"/>
          <w:lang w:val="es-ES"/>
        </w:rPr>
      </w:pPr>
    </w:p>
  </w:footnote>
  <w:footnote w:id="10">
    <w:p w14:paraId="19F99E93" w14:textId="77777777" w:rsidR="000F2DDE" w:rsidRPr="00003199" w:rsidRDefault="000F2DDE" w:rsidP="000F2DDE">
      <w:pPr>
        <w:pStyle w:val="Textonotapie"/>
        <w:ind w:firstLine="708"/>
        <w:jc w:val="both"/>
        <w:rPr>
          <w:rFonts w:ascii="Verdana" w:hAnsi="Verdana"/>
          <w:sz w:val="14"/>
          <w:szCs w:val="14"/>
          <w:lang w:val="es-ES"/>
        </w:rPr>
      </w:pPr>
      <w:r w:rsidRPr="00003199">
        <w:rPr>
          <w:rStyle w:val="Refdenotaalpie"/>
          <w:rFonts w:ascii="Verdana" w:hAnsi="Verdana"/>
          <w:sz w:val="14"/>
          <w:szCs w:val="14"/>
        </w:rPr>
        <w:footnoteRef/>
      </w:r>
      <w:r w:rsidRPr="00003199">
        <w:rPr>
          <w:rFonts w:ascii="Verdana" w:hAnsi="Verdana"/>
          <w:sz w:val="14"/>
          <w:szCs w:val="14"/>
        </w:rPr>
        <w:t xml:space="preserve"> Ley 80 de 1993. Artículo </w:t>
      </w:r>
      <w:bookmarkStart w:id="1" w:name="BM32"/>
      <w:bookmarkStart w:id="2" w:name="32"/>
      <w:bookmarkEnd w:id="1"/>
      <w:bookmarkEnd w:id="2"/>
      <w:r w:rsidRPr="00003199">
        <w:rPr>
          <w:rFonts w:ascii="Verdana" w:hAnsi="Verdana"/>
          <w:sz w:val="14"/>
          <w:szCs w:val="14"/>
        </w:rPr>
        <w:t>32: “</w:t>
      </w:r>
      <w:r w:rsidRPr="00003199">
        <w:rPr>
          <w:rFonts w:ascii="Verdana" w:hAnsi="Verdana"/>
          <w:sz w:val="14"/>
          <w:szCs w:val="14"/>
          <w:lang w:val="es-CO"/>
        </w:rPr>
        <w:t>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footnote>
  <w:footnote w:id="11">
    <w:p w14:paraId="184527D9" w14:textId="77777777" w:rsidR="000F2DDE" w:rsidRPr="00003199" w:rsidRDefault="000F2DDE" w:rsidP="000F2DDE">
      <w:pPr>
        <w:pStyle w:val="Textonotapie"/>
        <w:ind w:firstLine="709"/>
        <w:jc w:val="both"/>
        <w:rPr>
          <w:rFonts w:ascii="Verdana" w:hAnsi="Verdana" w:cs="Arial"/>
          <w:sz w:val="14"/>
          <w:szCs w:val="14"/>
          <w:lang w:val="es-ES"/>
        </w:rPr>
      </w:pPr>
      <w:r w:rsidRPr="00003199">
        <w:rPr>
          <w:rStyle w:val="Refdenotaalpie"/>
          <w:rFonts w:ascii="Verdana" w:hAnsi="Verdana" w:cs="Arial"/>
          <w:sz w:val="14"/>
          <w:szCs w:val="14"/>
        </w:rPr>
        <w:footnoteRef/>
      </w:r>
      <w:r w:rsidRPr="00003199">
        <w:rPr>
          <w:rFonts w:ascii="Verdana" w:hAnsi="Verdana" w:cs="Arial"/>
          <w:sz w:val="14"/>
          <w:szCs w:val="14"/>
        </w:rPr>
        <w:t xml:space="preserve"> </w:t>
      </w:r>
      <w:r w:rsidRPr="00003199">
        <w:rPr>
          <w:rFonts w:ascii="Verdana" w:hAnsi="Verdana" w:cs="Arial"/>
          <w:sz w:val="14"/>
          <w:szCs w:val="14"/>
          <w:lang w:val="es-ES"/>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30167D62" w14:textId="77777777" w:rsidR="000F2DDE" w:rsidRPr="00003199" w:rsidRDefault="000F2DDE" w:rsidP="000F2DDE">
      <w:pPr>
        <w:pStyle w:val="Textonotapie"/>
        <w:ind w:firstLine="709"/>
        <w:jc w:val="both"/>
        <w:rPr>
          <w:rFonts w:ascii="Verdana" w:hAnsi="Verdana" w:cs="Arial"/>
          <w:sz w:val="14"/>
          <w:szCs w:val="14"/>
          <w:lang w:val="es-ES"/>
        </w:rPr>
      </w:pPr>
    </w:p>
    <w:p w14:paraId="69D4F25D" w14:textId="77777777" w:rsidR="000F2DDE" w:rsidRPr="00003199" w:rsidRDefault="000F2DDE" w:rsidP="000F2DDE">
      <w:pPr>
        <w:pStyle w:val="Textonotapie"/>
        <w:ind w:firstLine="709"/>
        <w:jc w:val="both"/>
        <w:rPr>
          <w:rFonts w:ascii="Verdana" w:hAnsi="Verdana" w:cs="Arial"/>
          <w:sz w:val="14"/>
          <w:szCs w:val="14"/>
          <w:lang w:val="es-ES"/>
        </w:rPr>
      </w:pPr>
      <w:r w:rsidRPr="00003199">
        <w:rPr>
          <w:rFonts w:ascii="Verdana" w:hAnsi="Verdana" w:cs="Arial"/>
          <w:sz w:val="14"/>
          <w:szCs w:val="14"/>
          <w:lang w:val="es-ES"/>
        </w:rPr>
        <w:t xml:space="preserve">Sin embargo, en otros negocios, como la obra pública, la concesión y la consultoría, el Estado está acostumbrado a que se desglosen intensamente los costos, exigiendo no sólo el precio total sino una distinción entre los </w:t>
      </w:r>
      <w:r w:rsidRPr="00003199">
        <w:rPr>
          <w:rFonts w:ascii="Verdana" w:hAnsi="Verdana" w:cs="Arial"/>
          <w:i/>
          <w:iCs/>
          <w:sz w:val="14"/>
          <w:szCs w:val="14"/>
          <w:lang w:val="es-ES"/>
        </w:rPr>
        <w:t>costos directos</w:t>
      </w:r>
      <w:r w:rsidRPr="00003199">
        <w:rPr>
          <w:rFonts w:ascii="Verdana" w:hAnsi="Verdana" w:cs="Arial"/>
          <w:sz w:val="14"/>
          <w:szCs w:val="14"/>
          <w:lang w:val="es-ES"/>
        </w:rPr>
        <w:t xml:space="preserve"> y los</w:t>
      </w:r>
      <w:r w:rsidRPr="00003199">
        <w:rPr>
          <w:rFonts w:ascii="Verdana" w:hAnsi="Verdana" w:cs="Arial"/>
          <w:i/>
          <w:iCs/>
          <w:sz w:val="14"/>
          <w:szCs w:val="14"/>
          <w:lang w:val="es-ES"/>
        </w:rPr>
        <w:t xml:space="preserve"> costos indirectos</w:t>
      </w:r>
      <w:r w:rsidRPr="00003199">
        <w:rPr>
          <w:rFonts w:ascii="Verdana" w:hAnsi="Verdana" w:cs="Arial"/>
          <w:sz w:val="14"/>
          <w:szCs w:val="14"/>
          <w:lang w:val="es-ES"/>
        </w:rPr>
        <w:t xml:space="preserve">.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w:t>
      </w:r>
      <w:r w:rsidRPr="00003199">
        <w:rPr>
          <w:rFonts w:ascii="Verdana" w:hAnsi="Verdana" w:cs="Arial"/>
          <w:i/>
          <w:iCs/>
          <w:sz w:val="14"/>
          <w:szCs w:val="14"/>
          <w:lang w:val="es-ES"/>
        </w:rPr>
        <w:t>ítems</w:t>
      </w:r>
      <w:r w:rsidRPr="00003199">
        <w:rPr>
          <w:rFonts w:ascii="Verdana" w:hAnsi="Verdana" w:cs="Arial"/>
          <w:sz w:val="14"/>
          <w:szCs w:val="14"/>
          <w:lang w:val="es-ES"/>
        </w:rPr>
        <w:t xml:space="preserve"> que componen el contrato–. Los costos </w:t>
      </w:r>
      <w:r w:rsidRPr="00003199">
        <w:rPr>
          <w:rFonts w:ascii="Verdana" w:hAnsi="Verdana" w:cs="Arial"/>
          <w:i/>
          <w:iCs/>
          <w:sz w:val="14"/>
          <w:szCs w:val="14"/>
          <w:lang w:val="es-ES"/>
        </w:rPr>
        <w:t>indirectos</w:t>
      </w:r>
      <w:r w:rsidRPr="00003199">
        <w:rPr>
          <w:rFonts w:ascii="Verdana" w:hAnsi="Verdana" w:cs="Arial"/>
          <w:sz w:val="14"/>
          <w:szCs w:val="14"/>
          <w:lang w:val="es-ES"/>
        </w:rPr>
        <w:t xml:space="preserve">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12">
    <w:p w14:paraId="2962CADB" w14:textId="77777777" w:rsidR="000F2DDE" w:rsidRPr="00003199" w:rsidRDefault="000F2DDE" w:rsidP="000F2DDE">
      <w:pPr>
        <w:pStyle w:val="Textonotapie"/>
        <w:ind w:firstLine="709"/>
        <w:jc w:val="both"/>
        <w:rPr>
          <w:rFonts w:ascii="Verdana" w:hAnsi="Verdana" w:cs="Arial"/>
          <w:sz w:val="14"/>
          <w:szCs w:val="14"/>
        </w:rPr>
      </w:pPr>
      <w:r w:rsidRPr="00003199">
        <w:rPr>
          <w:rStyle w:val="Refdenotaalpie"/>
          <w:rFonts w:ascii="Verdana" w:hAnsi="Verdana" w:cs="Arial"/>
          <w:sz w:val="14"/>
          <w:szCs w:val="14"/>
        </w:rPr>
        <w:footnoteRef/>
      </w:r>
      <w:r w:rsidRPr="00003199">
        <w:rPr>
          <w:rFonts w:ascii="Verdana" w:hAnsi="Verdana" w:cs="Arial"/>
          <w:sz w:val="14"/>
          <w:szCs w:val="14"/>
        </w:rPr>
        <w:t xml:space="preserve"> Consejo de Estado. Sección Tercera. Subsección B. Sentencia del 14 de octubre de 2011. Exp. 20811, C.P. Ruth Stella Correa Palacio.</w:t>
      </w:r>
    </w:p>
    <w:p w14:paraId="4E0CEAB5" w14:textId="77777777" w:rsidR="000F2DDE" w:rsidRPr="00003199" w:rsidRDefault="000F2DDE" w:rsidP="000F2DDE">
      <w:pPr>
        <w:pStyle w:val="Textonotapie"/>
        <w:ind w:firstLine="709"/>
        <w:jc w:val="both"/>
        <w:rPr>
          <w:rFonts w:ascii="Verdana" w:hAnsi="Verdana" w:cs="Arial"/>
          <w:sz w:val="14"/>
          <w:szCs w:val="14"/>
          <w:lang w:val="es-ES"/>
        </w:rPr>
      </w:pPr>
    </w:p>
  </w:footnote>
  <w:footnote w:id="13">
    <w:p w14:paraId="6094EF9A" w14:textId="77777777" w:rsidR="000F2DDE" w:rsidRPr="00003199" w:rsidRDefault="000F2DDE" w:rsidP="000F2DDE">
      <w:pPr>
        <w:pStyle w:val="Textonotapie"/>
        <w:ind w:firstLine="708"/>
        <w:jc w:val="both"/>
        <w:rPr>
          <w:rFonts w:ascii="Verdana" w:hAnsi="Verdana" w:cs="Arial"/>
          <w:sz w:val="14"/>
          <w:szCs w:val="14"/>
          <w:lang w:val="es-ES"/>
        </w:rPr>
      </w:pPr>
      <w:r w:rsidRPr="00003199">
        <w:rPr>
          <w:rStyle w:val="Refdenotaalpie"/>
          <w:rFonts w:ascii="Verdana" w:hAnsi="Verdana" w:cs="Arial"/>
          <w:sz w:val="14"/>
          <w:szCs w:val="14"/>
        </w:rPr>
        <w:footnoteRef/>
      </w:r>
      <w:r w:rsidRPr="00003199">
        <w:rPr>
          <w:rFonts w:ascii="Verdana" w:hAnsi="Verdana" w:cs="Arial"/>
          <w:sz w:val="14"/>
          <w:szCs w:val="14"/>
        </w:rPr>
        <w:t xml:space="preserve"> Frente a ello, esta Agencia en respuesta a consulta del 27 de septiembre de 2017, indicó, </w:t>
      </w:r>
      <w:r w:rsidRPr="00003199">
        <w:rPr>
          <w:rFonts w:ascii="Verdana" w:eastAsia="Calibri" w:hAnsi="Verdana" w:cs="Arial"/>
          <w:sz w:val="14"/>
          <w:szCs w:val="14"/>
        </w:rPr>
        <w:t>“</w:t>
      </w:r>
      <w:r w:rsidRPr="00003199">
        <w:rPr>
          <w:rFonts w:ascii="Verdana" w:hAnsi="Verdana" w:cs="Arial"/>
          <w:sz w:val="14"/>
          <w:szCs w:val="14"/>
        </w:rPr>
        <w:t>en los concursos de méritos no es obligatorio aplicar el factor multiplicador debido a que no existe norma vigente que lo haya previsto de manera expresa en la forma de pago de los contratos de consultoría y/o interventoría. Pero es viable jurídicamente utilizar el factor multiplicador como fórmula para la determinación de los costos del contrato, caso en el cual, el contratista debe demostrar el gasto de todos los componentes de costo que se tuvieron en cuenta para determinarlo</w:t>
      </w:r>
      <w:r w:rsidRPr="00003199">
        <w:rPr>
          <w:rFonts w:ascii="Verdana" w:eastAsia="Calibri" w:hAnsi="Verdana" w:cs="Arial"/>
          <w:sz w:val="14"/>
          <w:szCs w:val="14"/>
        </w:rPr>
        <w:t>”</w:t>
      </w:r>
      <w:r w:rsidRPr="00003199">
        <w:rPr>
          <w:rFonts w:ascii="Verdana" w:hAnsi="Verdana" w:cs="Arial"/>
          <w:sz w:val="14"/>
          <w:szCs w:val="14"/>
        </w:rPr>
        <w:t xml:space="preserve"> </w:t>
      </w:r>
      <w:r w:rsidRPr="00003199">
        <w:rPr>
          <w:rFonts w:ascii="Verdana" w:hAnsi="Verdana" w:cs="Arial"/>
          <w:sz w:val="14"/>
          <w:szCs w:val="14"/>
          <w:lang w:val="es-ES"/>
        </w:rPr>
        <w:t>Radicación: Respuesta a consulta #4201714000006240 Temas: Contrato de consultoría Tipo de asunto consultado: Cómo se aplica y evalúa el factor multiplicador.</w:t>
      </w:r>
    </w:p>
  </w:footnote>
  <w:footnote w:id="14">
    <w:p w14:paraId="4CB8DC95" w14:textId="77777777" w:rsidR="000F2DDE" w:rsidRPr="00003199" w:rsidRDefault="000F2DDE" w:rsidP="000F2DDE">
      <w:pPr>
        <w:pStyle w:val="Textonotapie"/>
        <w:ind w:firstLine="708"/>
        <w:jc w:val="both"/>
        <w:rPr>
          <w:rFonts w:ascii="Verdana" w:hAnsi="Verdana" w:cs="Arial"/>
          <w:sz w:val="14"/>
          <w:szCs w:val="14"/>
          <w:lang w:val="es-ES"/>
        </w:rPr>
      </w:pPr>
      <w:r w:rsidRPr="00003199">
        <w:rPr>
          <w:rStyle w:val="Refdenotaalpie"/>
          <w:rFonts w:ascii="Verdana" w:hAnsi="Verdana" w:cs="Arial"/>
          <w:sz w:val="14"/>
          <w:szCs w:val="14"/>
        </w:rPr>
        <w:footnoteRef/>
      </w:r>
      <w:r w:rsidRPr="00003199">
        <w:rPr>
          <w:rFonts w:ascii="Verdana" w:hAnsi="Verdana" w:cs="Arial"/>
          <w:sz w:val="14"/>
          <w:szCs w:val="14"/>
        </w:rPr>
        <w:t xml:space="preserve"> </w:t>
      </w:r>
      <w:r w:rsidRPr="00003199">
        <w:rPr>
          <w:rFonts w:ascii="Verdana" w:hAnsi="Verdana" w:cs="Arial"/>
          <w:sz w:val="14"/>
          <w:szCs w:val="14"/>
          <w:lang w:val="es-ES"/>
        </w:rPr>
        <w:t>MARÍN CORTÉS, Op. Cit., pp. 64-65.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BCCA2F34"/>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199"/>
    <w:rsid w:val="00005F00"/>
    <w:rsid w:val="00016F78"/>
    <w:rsid w:val="00046945"/>
    <w:rsid w:val="00057B0A"/>
    <w:rsid w:val="00061B2A"/>
    <w:rsid w:val="00074ED6"/>
    <w:rsid w:val="00082362"/>
    <w:rsid w:val="000938C1"/>
    <w:rsid w:val="000A683E"/>
    <w:rsid w:val="000B19B9"/>
    <w:rsid w:val="000D0334"/>
    <w:rsid w:val="000D5DA7"/>
    <w:rsid w:val="000F2DDE"/>
    <w:rsid w:val="000F6486"/>
    <w:rsid w:val="00116940"/>
    <w:rsid w:val="00120555"/>
    <w:rsid w:val="00125105"/>
    <w:rsid w:val="00127233"/>
    <w:rsid w:val="0015699B"/>
    <w:rsid w:val="001A33BF"/>
    <w:rsid w:val="001E4177"/>
    <w:rsid w:val="001F0B24"/>
    <w:rsid w:val="001F7DC6"/>
    <w:rsid w:val="0022400B"/>
    <w:rsid w:val="002421BB"/>
    <w:rsid w:val="002462E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2B85"/>
    <w:rsid w:val="003C58B3"/>
    <w:rsid w:val="003D0F4D"/>
    <w:rsid w:val="003D5B0D"/>
    <w:rsid w:val="003E0499"/>
    <w:rsid w:val="003E4F80"/>
    <w:rsid w:val="003E6439"/>
    <w:rsid w:val="003F3941"/>
    <w:rsid w:val="00406575"/>
    <w:rsid w:val="00414C74"/>
    <w:rsid w:val="0042722E"/>
    <w:rsid w:val="0043223B"/>
    <w:rsid w:val="0044528D"/>
    <w:rsid w:val="00466E39"/>
    <w:rsid w:val="0048163E"/>
    <w:rsid w:val="004A1847"/>
    <w:rsid w:val="004A305D"/>
    <w:rsid w:val="004F21C4"/>
    <w:rsid w:val="004F685F"/>
    <w:rsid w:val="0052129F"/>
    <w:rsid w:val="005566E8"/>
    <w:rsid w:val="00574867"/>
    <w:rsid w:val="00591460"/>
    <w:rsid w:val="005A65E0"/>
    <w:rsid w:val="005C3777"/>
    <w:rsid w:val="005C5CDC"/>
    <w:rsid w:val="005D476C"/>
    <w:rsid w:val="005F49B7"/>
    <w:rsid w:val="006164F3"/>
    <w:rsid w:val="006200BF"/>
    <w:rsid w:val="006219F8"/>
    <w:rsid w:val="006302F7"/>
    <w:rsid w:val="00646B9F"/>
    <w:rsid w:val="00665D70"/>
    <w:rsid w:val="006831C2"/>
    <w:rsid w:val="006900D9"/>
    <w:rsid w:val="00706C16"/>
    <w:rsid w:val="007340C3"/>
    <w:rsid w:val="0075235A"/>
    <w:rsid w:val="00756841"/>
    <w:rsid w:val="007649AB"/>
    <w:rsid w:val="00771D0C"/>
    <w:rsid w:val="0078191F"/>
    <w:rsid w:val="007833AC"/>
    <w:rsid w:val="007B268C"/>
    <w:rsid w:val="007B7171"/>
    <w:rsid w:val="007C0C0F"/>
    <w:rsid w:val="007C3DC2"/>
    <w:rsid w:val="007E5497"/>
    <w:rsid w:val="00806F5F"/>
    <w:rsid w:val="00820278"/>
    <w:rsid w:val="008258C9"/>
    <w:rsid w:val="00843131"/>
    <w:rsid w:val="00844AE9"/>
    <w:rsid w:val="00867F95"/>
    <w:rsid w:val="00873A5D"/>
    <w:rsid w:val="008843B6"/>
    <w:rsid w:val="00891928"/>
    <w:rsid w:val="00891F99"/>
    <w:rsid w:val="008A446D"/>
    <w:rsid w:val="008A7B4B"/>
    <w:rsid w:val="008B25F1"/>
    <w:rsid w:val="008D180B"/>
    <w:rsid w:val="008F0EA7"/>
    <w:rsid w:val="00923EEF"/>
    <w:rsid w:val="009419F9"/>
    <w:rsid w:val="0095685E"/>
    <w:rsid w:val="00961B09"/>
    <w:rsid w:val="00965334"/>
    <w:rsid w:val="0097093E"/>
    <w:rsid w:val="009A0DFA"/>
    <w:rsid w:val="009A1C6F"/>
    <w:rsid w:val="009A79B2"/>
    <w:rsid w:val="009B2D26"/>
    <w:rsid w:val="009C71FA"/>
    <w:rsid w:val="009C72E7"/>
    <w:rsid w:val="009C7F7E"/>
    <w:rsid w:val="009D3058"/>
    <w:rsid w:val="009F3A13"/>
    <w:rsid w:val="00A122D3"/>
    <w:rsid w:val="00A14468"/>
    <w:rsid w:val="00A16845"/>
    <w:rsid w:val="00A17F13"/>
    <w:rsid w:val="00A20739"/>
    <w:rsid w:val="00A23AF9"/>
    <w:rsid w:val="00A33C78"/>
    <w:rsid w:val="00AA4095"/>
    <w:rsid w:val="00AB0ADB"/>
    <w:rsid w:val="00B00C0E"/>
    <w:rsid w:val="00B01B1A"/>
    <w:rsid w:val="00B0381D"/>
    <w:rsid w:val="00B03DCE"/>
    <w:rsid w:val="00B44A47"/>
    <w:rsid w:val="00B72CD3"/>
    <w:rsid w:val="00B72FFF"/>
    <w:rsid w:val="00BB6C78"/>
    <w:rsid w:val="00BC3D36"/>
    <w:rsid w:val="00BD54A6"/>
    <w:rsid w:val="00BD7F72"/>
    <w:rsid w:val="00BF7425"/>
    <w:rsid w:val="00C01CBF"/>
    <w:rsid w:val="00C033A9"/>
    <w:rsid w:val="00C04FB3"/>
    <w:rsid w:val="00C11D8B"/>
    <w:rsid w:val="00C15139"/>
    <w:rsid w:val="00C330EB"/>
    <w:rsid w:val="00C50D69"/>
    <w:rsid w:val="00C5365C"/>
    <w:rsid w:val="00C754BE"/>
    <w:rsid w:val="00C76B1C"/>
    <w:rsid w:val="00C925AC"/>
    <w:rsid w:val="00CB6357"/>
    <w:rsid w:val="00CC1B26"/>
    <w:rsid w:val="00D2145D"/>
    <w:rsid w:val="00D361FD"/>
    <w:rsid w:val="00D423A2"/>
    <w:rsid w:val="00D44E26"/>
    <w:rsid w:val="00D520D8"/>
    <w:rsid w:val="00D63AC2"/>
    <w:rsid w:val="00D70844"/>
    <w:rsid w:val="00D7383B"/>
    <w:rsid w:val="00D7788A"/>
    <w:rsid w:val="00DA231B"/>
    <w:rsid w:val="00DC39FC"/>
    <w:rsid w:val="00DD5911"/>
    <w:rsid w:val="00DE59AE"/>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1A75"/>
    <w:rsid w:val="00EC38A7"/>
    <w:rsid w:val="00EE1AA8"/>
    <w:rsid w:val="00F23FEA"/>
    <w:rsid w:val="00F31EDC"/>
    <w:rsid w:val="00F42BBE"/>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2C3453"/>
    <w:rsid w:val="2F44F38F"/>
    <w:rsid w:val="30821638"/>
    <w:rsid w:val="32A4F9CF"/>
    <w:rsid w:val="33A1FF93"/>
    <w:rsid w:val="356CEDFD"/>
    <w:rsid w:val="3766E165"/>
    <w:rsid w:val="3C591AFD"/>
    <w:rsid w:val="42183F0A"/>
    <w:rsid w:val="4CCC6108"/>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F2DD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F2DDE"/>
    <w:rPr>
      <w:rFonts w:ascii="Geomanist Light" w:hAnsi="Geomanist Light"/>
      <w:lang w:val="es-ES"/>
    </w:rPr>
  </w:style>
  <w:style w:type="paragraph" w:styleId="Sinespaciado">
    <w:name w:val="No Spacing"/>
    <w:aliases w:val="No Indent"/>
    <w:link w:val="SinespaciadoCar"/>
    <w:uiPriority w:val="3"/>
    <w:qFormat/>
    <w:rsid w:val="000F2DDE"/>
    <w:pPr>
      <w:spacing w:after="0" w:line="240" w:lineRule="auto"/>
    </w:pPr>
    <w:rPr>
      <w:sz w:val="24"/>
      <w:lang w:val="es-MX"/>
    </w:rPr>
  </w:style>
  <w:style w:type="character" w:customStyle="1" w:styleId="SinespaciadoCar">
    <w:name w:val="Sin espaciado Car"/>
    <w:aliases w:val="No Indent Car"/>
    <w:link w:val="Sinespaciado"/>
    <w:uiPriority w:val="3"/>
    <w:rsid w:val="000F2DDE"/>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ridicacubiko@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8C19DDF-3153-44FB-8169-64A56DC34277}"/>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19</Pages>
  <Words>6661</Words>
  <Characters>36641</Characters>
  <Application>Microsoft Office Word</Application>
  <DocSecurity>0</DocSecurity>
  <Lines>305</Lines>
  <Paragraphs>86</Paragraphs>
  <ScaleCrop>false</ScaleCrop>
  <Company/>
  <LinksUpToDate>false</LinksUpToDate>
  <CharactersWithSpaces>43216</CharactersWithSpaces>
  <SharedDoc>false</SharedDoc>
  <HLinks>
    <vt:vector size="30"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1179684</vt:i4>
      </vt:variant>
      <vt:variant>
        <vt:i4>0</vt:i4>
      </vt:variant>
      <vt:variant>
        <vt:i4>0</vt:i4>
      </vt:variant>
      <vt:variant>
        <vt:i4>5</vt:i4>
      </vt:variant>
      <vt:variant>
        <vt:lpwstr>mailto:juridicacubiko@gmail.com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8</cp:revision>
  <cp:lastPrinted>2023-01-10T21:18:00Z</cp:lastPrinted>
  <dcterms:created xsi:type="dcterms:W3CDTF">2026-05-09T02:05:00Z</dcterms:created>
  <dcterms:modified xsi:type="dcterms:W3CDTF">2026-05-11T16:02:00Z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