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CB1A16" w14:textId="77777777" w:rsidR="001D1EE8" w:rsidRDefault="001D1EE8" w:rsidP="001D1EE8">
      <w:pPr>
        <w:spacing w:after="0" w:line="240" w:lineRule="auto"/>
        <w:jc w:val="both"/>
        <w:rPr>
          <w:rFonts w:ascii="Verdana" w:eastAsia="Calibri" w:hAnsi="Verdana" w:cs="Arial"/>
          <w:b/>
          <w:bCs/>
          <w:lang w:val="es-ES" w:eastAsia="es-ES"/>
        </w:rPr>
      </w:pPr>
      <w:bookmarkStart w:id="0" w:name="_Hlk143780582"/>
      <w:r w:rsidRPr="001D1EE8">
        <w:rPr>
          <w:rFonts w:ascii="Verdana" w:eastAsia="Calibri" w:hAnsi="Verdana" w:cs="Arial"/>
          <w:b/>
          <w:bCs/>
          <w:lang w:val="es-ES" w:eastAsia="es-ES"/>
        </w:rPr>
        <w:t xml:space="preserve">SUBSANABILIDAD – Aplicación – Regla general – Excepciones </w:t>
      </w:r>
    </w:p>
    <w:p w14:paraId="67DC5321" w14:textId="77777777" w:rsidR="001D1EE8" w:rsidRDefault="001D1EE8" w:rsidP="001D1EE8">
      <w:pPr>
        <w:spacing w:after="0" w:line="240" w:lineRule="auto"/>
        <w:jc w:val="both"/>
        <w:rPr>
          <w:rFonts w:ascii="Verdana" w:eastAsia="Calibri" w:hAnsi="Verdana" w:cs="Arial"/>
          <w:b/>
          <w:bCs/>
          <w:lang w:val="es-ES" w:eastAsia="es-ES"/>
        </w:rPr>
      </w:pPr>
    </w:p>
    <w:p w14:paraId="2B3F1D95" w14:textId="77777777" w:rsidR="001D1EE8" w:rsidRPr="001D1EE8" w:rsidDel="004D5F83" w:rsidRDefault="001D1EE8" w:rsidP="001D1EE8">
      <w:pPr>
        <w:spacing w:after="0" w:line="240" w:lineRule="auto"/>
        <w:ind w:right="51"/>
        <w:jc w:val="both"/>
        <w:rPr>
          <w:rFonts w:ascii="Verdana" w:eastAsia="Times New Roman" w:hAnsi="Verdana" w:cs="Arial"/>
          <w:sz w:val="20"/>
          <w:szCs w:val="20"/>
          <w:lang w:val="es-ES" w:eastAsia="es-ES"/>
        </w:rPr>
      </w:pPr>
      <w:r w:rsidRPr="001D1EE8">
        <w:rPr>
          <w:rFonts w:ascii="Verdana" w:hAnsi="Verdana" w:cs="Arial"/>
          <w:noProof/>
          <w:sz w:val="20"/>
          <w:szCs w:val="20"/>
          <w:lang w:val="es-ES"/>
        </w:rPr>
        <w:t>L</w:t>
      </w:r>
      <w:r w:rsidRPr="001D1EE8">
        <w:rPr>
          <w:rFonts w:ascii="Verdana" w:eastAsia="Times New Roman" w:hAnsi="Verdana" w:cs="Arial"/>
          <w:sz w:val="20"/>
          <w:szCs w:val="20"/>
        </w:rPr>
        <w:t xml:space="preserve">a regla de la </w:t>
      </w:r>
      <w:proofErr w:type="spellStart"/>
      <w:r w:rsidRPr="001D1EE8">
        <w:rPr>
          <w:rFonts w:ascii="Verdana" w:eastAsia="Times New Roman" w:hAnsi="Verdana" w:cs="Arial"/>
          <w:sz w:val="20"/>
          <w:szCs w:val="20"/>
        </w:rPr>
        <w:t>subsanabilidad</w:t>
      </w:r>
      <w:proofErr w:type="spellEnd"/>
      <w:r w:rsidRPr="001D1EE8">
        <w:rPr>
          <w:rFonts w:ascii="Verdana" w:eastAsia="Times New Roman" w:hAnsi="Verdana" w:cs="Arial"/>
          <w:sz w:val="20"/>
          <w:szCs w:val="20"/>
        </w:rPr>
        <w:t xml:space="preserve"> de las ofertas en los procedimientos de selección</w:t>
      </w:r>
      <w:r w:rsidRPr="001D1EE8">
        <w:rPr>
          <w:rFonts w:ascii="Verdana" w:eastAsia="Times New Roman" w:hAnsi="Verdana" w:cs="Arial"/>
          <w:b/>
          <w:bCs/>
          <w:sz w:val="20"/>
          <w:szCs w:val="20"/>
        </w:rPr>
        <w:t xml:space="preserve"> </w:t>
      </w:r>
      <w:r w:rsidRPr="001D1EE8">
        <w:rPr>
          <w:rFonts w:ascii="Verdana" w:eastAsia="Times New Roman" w:hAnsi="Verdana" w:cs="Arial"/>
          <w:sz w:val="20"/>
          <w:szCs w:val="20"/>
          <w:lang w:val="es-ES" w:eastAsia="es-ES"/>
        </w:rPr>
        <w:t>indica que, por regla general, la falta de entrega y los defectos en la acreditación de los requisitos habilitantes son aspectos subsanables. La excepción corresponde a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5E457FA7" w14:textId="77777777" w:rsidR="001D1EE8" w:rsidRDefault="001D1EE8" w:rsidP="001D1EE8">
      <w:pPr>
        <w:spacing w:after="0" w:line="240" w:lineRule="auto"/>
        <w:jc w:val="both"/>
        <w:rPr>
          <w:rFonts w:ascii="Verdana" w:eastAsia="Calibri" w:hAnsi="Verdana" w:cs="Arial"/>
          <w:b/>
          <w:bCs/>
          <w:lang w:val="es-ES" w:eastAsia="es-ES"/>
        </w:rPr>
      </w:pPr>
    </w:p>
    <w:p w14:paraId="72C80747" w14:textId="77777777" w:rsidR="001D1EE8" w:rsidRDefault="001D1EE8" w:rsidP="001D1EE8">
      <w:pPr>
        <w:spacing w:after="0" w:line="240" w:lineRule="auto"/>
        <w:jc w:val="both"/>
        <w:rPr>
          <w:rFonts w:ascii="Verdana" w:eastAsia="Calibri" w:hAnsi="Verdana" w:cs="Arial"/>
          <w:b/>
          <w:bCs/>
          <w:lang w:val="es-ES" w:eastAsia="es-ES"/>
        </w:rPr>
      </w:pPr>
      <w:r w:rsidRPr="001D1EE8">
        <w:rPr>
          <w:rFonts w:ascii="Verdana" w:eastAsia="Calibri" w:hAnsi="Verdana" w:cs="Arial"/>
          <w:b/>
          <w:bCs/>
          <w:lang w:val="es-ES" w:eastAsia="es-ES"/>
        </w:rPr>
        <w:t xml:space="preserve">SUBSANABILIDAD DE LAS OFERTAS – Alcance de la regla – Ley 1882 de 2018 – Ámbito temporal – Criterio material </w:t>
      </w:r>
    </w:p>
    <w:p w14:paraId="7A89FA80" w14:textId="77777777" w:rsidR="001D1EE8" w:rsidRDefault="001D1EE8" w:rsidP="001D1EE8">
      <w:pPr>
        <w:spacing w:after="0" w:line="240" w:lineRule="auto"/>
        <w:jc w:val="both"/>
        <w:rPr>
          <w:rFonts w:ascii="Verdana" w:eastAsia="Calibri" w:hAnsi="Verdana" w:cs="Arial"/>
          <w:b/>
          <w:bCs/>
          <w:lang w:val="es-ES" w:eastAsia="es-ES"/>
        </w:rPr>
      </w:pPr>
    </w:p>
    <w:p w14:paraId="121AEFD3" w14:textId="05FC8D46" w:rsidR="001D1EE8" w:rsidRPr="0086590B" w:rsidRDefault="001D1EE8" w:rsidP="001D1EE8">
      <w:pPr>
        <w:spacing w:after="0" w:line="240" w:lineRule="auto"/>
        <w:contextualSpacing/>
        <w:jc w:val="both"/>
        <w:rPr>
          <w:rFonts w:ascii="Verdana" w:hAnsi="Verdana" w:cs="Arial"/>
          <w:sz w:val="20"/>
          <w:szCs w:val="20"/>
          <w:lang w:val="es-ES"/>
          <w14:ligatures w14:val="standardContextual"/>
        </w:rPr>
      </w:pPr>
      <w:r w:rsidRPr="0086590B">
        <w:rPr>
          <w:rFonts w:ascii="Verdana" w:eastAsia="Calibri" w:hAnsi="Verdana" w:cs="Arial"/>
          <w:sz w:val="20"/>
          <w:szCs w:val="20"/>
          <w:lang w:val="es-ES"/>
        </w:rPr>
        <w:t>“</w:t>
      </w:r>
      <w:r>
        <w:rPr>
          <w:rFonts w:ascii="Verdana" w:eastAsia="Calibri" w:hAnsi="Verdana" w:cs="Arial"/>
          <w:sz w:val="20"/>
          <w:szCs w:val="20"/>
          <w:lang w:val="es-ES"/>
        </w:rPr>
        <w:t>(…)</w:t>
      </w:r>
      <w:r w:rsidRPr="0086590B">
        <w:rPr>
          <w:rFonts w:ascii="Verdana" w:eastAsia="Calibri" w:hAnsi="Verdana" w:cs="Arial"/>
          <w:sz w:val="20"/>
          <w:szCs w:val="20"/>
          <w:lang w:val="es-ES"/>
        </w:rPr>
        <w:t xml:space="preserve"> </w:t>
      </w:r>
      <w:r w:rsidRPr="0086590B">
        <w:rPr>
          <w:rFonts w:ascii="Verdana" w:hAnsi="Verdana" w:cs="Arial"/>
          <w:sz w:val="20"/>
          <w:szCs w:val="20"/>
          <w:lang w:val="es-ES"/>
          <w14:ligatures w14:val="standardContextual"/>
        </w:rPr>
        <w:t xml:space="preserve">Como puede observarse, la Ley 1882 de 2018: i) mantiene el criterio de la Ley 80 de 1993, relativo a que todo lo que no sea necesario para la comparación de propuestas no es título suficiente para su rechazo; </w:t>
      </w:r>
      <w:proofErr w:type="spellStart"/>
      <w:r w:rsidRPr="0086590B">
        <w:rPr>
          <w:rFonts w:ascii="Verdana" w:hAnsi="Verdana" w:cs="Arial"/>
          <w:sz w:val="20"/>
          <w:szCs w:val="20"/>
          <w:lang w:val="es-ES"/>
          <w14:ligatures w14:val="standardContextual"/>
        </w:rPr>
        <w:t>ii</w:t>
      </w:r>
      <w:proofErr w:type="spellEnd"/>
      <w:r w:rsidRPr="0086590B">
        <w:rPr>
          <w:rFonts w:ascii="Verdana" w:hAnsi="Verdana" w:cs="Arial"/>
          <w:sz w:val="20"/>
          <w:szCs w:val="20"/>
          <w:lang w:val="es-ES"/>
          <w14:ligatures w14:val="standardContextual"/>
        </w:rPr>
        <w:t xml:space="preserve">) mantiene el criterio aclaratorio de la Ley 1150 de 2007, según el cual todo lo que no afecte la asignación de puntaje puede subsanarse y, </w:t>
      </w:r>
      <w:proofErr w:type="spellStart"/>
      <w:r w:rsidRPr="0086590B">
        <w:rPr>
          <w:rFonts w:ascii="Verdana" w:hAnsi="Verdana" w:cs="Arial"/>
          <w:sz w:val="20"/>
          <w:szCs w:val="20"/>
          <w:lang w:val="es-ES"/>
          <w14:ligatures w14:val="standardContextual"/>
        </w:rPr>
        <w:t>iii</w:t>
      </w:r>
      <w:proofErr w:type="spellEnd"/>
      <w:r w:rsidRPr="0086590B">
        <w:rPr>
          <w:rFonts w:ascii="Verdana" w:hAnsi="Verdana" w:cs="Arial"/>
          <w:sz w:val="20"/>
          <w:szCs w:val="20"/>
          <w:lang w:val="es-ES"/>
          <w14:ligatures w14:val="standardContextual"/>
        </w:rPr>
        <w:t xml:space="preserve">) introduce modificaciones en relación con algunos aspectos que se analizarán a continuación. </w:t>
      </w:r>
    </w:p>
    <w:p w14:paraId="2E6F1CF6" w14:textId="77777777" w:rsidR="001D1EE8" w:rsidRPr="0086590B" w:rsidRDefault="001D1EE8" w:rsidP="001D1EE8">
      <w:pPr>
        <w:spacing w:after="0" w:line="240" w:lineRule="auto"/>
        <w:contextualSpacing/>
        <w:jc w:val="both"/>
        <w:rPr>
          <w:rFonts w:ascii="Verdana" w:hAnsi="Verdana" w:cs="Arial"/>
          <w:sz w:val="20"/>
          <w:szCs w:val="20"/>
          <w:lang w:val="es-ES_tradnl"/>
        </w:rPr>
      </w:pPr>
    </w:p>
    <w:p w14:paraId="2A563F56" w14:textId="77777777" w:rsidR="001D1EE8" w:rsidRDefault="001D1EE8" w:rsidP="001D1EE8">
      <w:pPr>
        <w:spacing w:after="0" w:line="240" w:lineRule="auto"/>
        <w:contextualSpacing/>
        <w:jc w:val="both"/>
        <w:rPr>
          <w:rFonts w:ascii="Verdana" w:eastAsia="Calibri" w:hAnsi="Verdana" w:cs="Arial"/>
          <w:sz w:val="20"/>
          <w:szCs w:val="20"/>
          <w:lang w:val="es-ES_tradnl"/>
          <w14:ligatures w14:val="standardContextual"/>
        </w:rPr>
      </w:pPr>
      <w:r w:rsidRPr="0086590B">
        <w:rPr>
          <w:rFonts w:ascii="Verdana" w:hAnsi="Verdana" w:cs="Arial"/>
          <w:i/>
          <w:iCs/>
          <w:sz w:val="20"/>
          <w:szCs w:val="20"/>
          <w:lang w:val="es-ES_tradnl"/>
          <w14:ligatures w14:val="standardContextual"/>
        </w:rPr>
        <w:t>El primero</w:t>
      </w:r>
      <w:r w:rsidRPr="0086590B">
        <w:rPr>
          <w:rFonts w:ascii="Verdana" w:hAnsi="Verdana" w:cs="Arial"/>
          <w:sz w:val="20"/>
          <w:szCs w:val="20"/>
          <w:lang w:val="es-ES_tradnl"/>
          <w14:ligatures w14:val="standardContextual"/>
        </w:rPr>
        <w:t xml:space="preserve">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w:t>
      </w:r>
      <w:r w:rsidRPr="0086590B">
        <w:rPr>
          <w:rFonts w:ascii="Verdana" w:eastAsia="Calibri" w:hAnsi="Verdana" w:cs="Arial"/>
          <w:sz w:val="20"/>
          <w:szCs w:val="20"/>
          <w:lang w:val="es-ES_tradnl"/>
          <w14:ligatures w14:val="standardContextual"/>
        </w:rPr>
        <w:t>de selección a través del sistema de subasta.</w:t>
      </w:r>
      <w:r>
        <w:rPr>
          <w:rFonts w:ascii="Verdana" w:eastAsia="Calibri" w:hAnsi="Verdana" w:cs="Arial"/>
          <w:sz w:val="20"/>
          <w:szCs w:val="20"/>
          <w:lang w:val="es-ES_tradnl"/>
          <w14:ligatures w14:val="standardContextual"/>
        </w:rPr>
        <w:t xml:space="preserve"> (…)</w:t>
      </w:r>
    </w:p>
    <w:p w14:paraId="3E25FAB4" w14:textId="1EAB3D2A" w:rsidR="001D1EE8" w:rsidRPr="0086590B" w:rsidRDefault="001D1EE8" w:rsidP="001D1EE8">
      <w:pPr>
        <w:spacing w:after="0" w:line="240" w:lineRule="auto"/>
        <w:contextualSpacing/>
        <w:jc w:val="both"/>
        <w:rPr>
          <w:rFonts w:ascii="Verdana" w:eastAsia="Calibri" w:hAnsi="Verdana" w:cs="Arial"/>
          <w:sz w:val="20"/>
          <w:szCs w:val="20"/>
          <w:lang w:val="es-ES_tradnl"/>
        </w:rPr>
      </w:pPr>
      <w:r w:rsidRPr="0086590B">
        <w:rPr>
          <w:rFonts w:ascii="Verdana" w:eastAsia="Calibri" w:hAnsi="Verdana" w:cs="Arial"/>
          <w:sz w:val="20"/>
          <w:szCs w:val="20"/>
          <w:lang w:val="es-ES_tradnl"/>
          <w14:ligatures w14:val="standardContextual"/>
        </w:rPr>
        <w:t xml:space="preserve"> </w:t>
      </w:r>
    </w:p>
    <w:p w14:paraId="56DD2B41" w14:textId="77777777" w:rsidR="001D1EE8" w:rsidRDefault="001D1EE8" w:rsidP="001D1EE8">
      <w:pPr>
        <w:spacing w:line="240" w:lineRule="auto"/>
        <w:contextualSpacing/>
        <w:jc w:val="both"/>
        <w:rPr>
          <w:rFonts w:ascii="Verdana" w:eastAsia="Calibri" w:hAnsi="Verdana" w:cs="Arial"/>
          <w:sz w:val="20"/>
          <w:szCs w:val="20"/>
          <w:lang w:val="es-ES"/>
          <w14:ligatures w14:val="standardContextual"/>
        </w:rPr>
      </w:pPr>
      <w:r>
        <w:rPr>
          <w:rFonts w:ascii="Verdana" w:eastAsia="Calibri" w:hAnsi="Verdana" w:cs="Arial"/>
          <w:sz w:val="20"/>
          <w:szCs w:val="20"/>
          <w:lang w:val="es-ES"/>
          <w14:ligatures w14:val="standardContextual"/>
        </w:rPr>
        <w:t xml:space="preserve">(…) </w:t>
      </w:r>
    </w:p>
    <w:p w14:paraId="5CD840AF" w14:textId="77777777" w:rsidR="001D1EE8" w:rsidRDefault="001D1EE8" w:rsidP="001D1EE8">
      <w:pPr>
        <w:spacing w:line="240" w:lineRule="auto"/>
        <w:contextualSpacing/>
        <w:jc w:val="both"/>
        <w:rPr>
          <w:rFonts w:ascii="Verdana" w:eastAsia="Calibri" w:hAnsi="Verdana" w:cs="Arial"/>
          <w:sz w:val="20"/>
          <w:szCs w:val="20"/>
          <w:lang w:val="es-ES"/>
          <w14:ligatures w14:val="standardContextual"/>
        </w:rPr>
      </w:pPr>
    </w:p>
    <w:p w14:paraId="520F9724" w14:textId="7DD12DD5" w:rsidR="001D1EE8" w:rsidRPr="0086590B" w:rsidRDefault="001D1EE8" w:rsidP="001D1EE8">
      <w:pPr>
        <w:spacing w:line="240" w:lineRule="auto"/>
        <w:contextualSpacing/>
        <w:jc w:val="both"/>
        <w:rPr>
          <w:rFonts w:ascii="Verdana" w:hAnsi="Verdana" w:cs="Arial"/>
          <w:sz w:val="20"/>
          <w:szCs w:val="20"/>
          <w:lang w:val="es-ES"/>
        </w:rPr>
      </w:pPr>
      <w:r w:rsidRPr="0086590B">
        <w:rPr>
          <w:rFonts w:ascii="Verdana" w:eastAsia="Calibri" w:hAnsi="Verdana" w:cs="Arial"/>
          <w:sz w:val="20"/>
          <w:szCs w:val="20"/>
          <w:lang w:val="es-ES"/>
          <w14:ligatures w14:val="standardContextual"/>
        </w:rPr>
        <w:t xml:space="preserve">De otro lado, </w:t>
      </w:r>
      <w:r w:rsidRPr="0086590B">
        <w:rPr>
          <w:rFonts w:ascii="Verdana" w:eastAsia="Calibri" w:hAnsi="Verdana" w:cs="Arial"/>
          <w:i/>
          <w:iCs/>
          <w:sz w:val="20"/>
          <w:szCs w:val="20"/>
          <w:lang w:val="es-ES"/>
          <w14:ligatures w14:val="standardContextual"/>
        </w:rPr>
        <w:t>el segundo</w:t>
      </w:r>
      <w:r w:rsidRPr="0086590B">
        <w:rPr>
          <w:rFonts w:ascii="Verdana" w:eastAsia="Calibri" w:hAnsi="Verdana" w:cs="Arial"/>
          <w:sz w:val="20"/>
          <w:szCs w:val="20"/>
          <w:lang w:val="es-ES"/>
          <w14:ligatures w14:val="standardContextual"/>
        </w:rPr>
        <w:t xml:space="preserve"> cambio importante de la Ley 1882 de 2018 fue la introducción de un criterio material, directamente relacionado con los aspectos subsanables: “</w:t>
      </w:r>
      <w:r w:rsidRPr="0086590B">
        <w:rPr>
          <w:rFonts w:ascii="Verdana" w:hAnsi="Verdana" w:cs="Arial"/>
          <w:sz w:val="20"/>
          <w:szCs w:val="20"/>
          <w:lang w:val="es-ES"/>
          <w14:ligatures w14:val="standardContextual"/>
        </w:rPr>
        <w:t xml:space="preserve">los proponentes no podrán acreditar circunstancias ocurridas con posterioridad al cierre del proceso”. Lo anterior ofrece dos aspectos que merecen clarificación; primero, qué debe entenderse por circunstancias ocurridas con posterioridad; y segundo, qué es el cierre del proceso. </w:t>
      </w:r>
    </w:p>
    <w:p w14:paraId="3B26326B" w14:textId="77777777" w:rsidR="001D1EE8" w:rsidRPr="0086590B" w:rsidRDefault="001D1EE8" w:rsidP="001D1EE8">
      <w:pPr>
        <w:spacing w:after="0" w:line="240" w:lineRule="auto"/>
        <w:contextualSpacing/>
        <w:jc w:val="both"/>
        <w:rPr>
          <w:rFonts w:ascii="Verdana" w:hAnsi="Verdana" w:cs="Arial"/>
          <w:sz w:val="20"/>
          <w:szCs w:val="20"/>
          <w:lang w:val="es-ES_tradnl"/>
          <w14:ligatures w14:val="standardContextual"/>
        </w:rPr>
      </w:pPr>
    </w:p>
    <w:p w14:paraId="436913C1" w14:textId="0672AAFC" w:rsidR="001D1EE8" w:rsidRPr="0086590B" w:rsidRDefault="001D1EE8" w:rsidP="001D1EE8">
      <w:pPr>
        <w:spacing w:after="0" w:line="240" w:lineRule="auto"/>
        <w:contextualSpacing/>
        <w:jc w:val="both"/>
        <w:rPr>
          <w:rFonts w:ascii="Verdana" w:hAnsi="Verdana" w:cs="Arial"/>
          <w:sz w:val="20"/>
          <w:szCs w:val="20"/>
          <w:lang w:val="es-ES_tradnl"/>
        </w:rPr>
      </w:pPr>
      <w:r>
        <w:rPr>
          <w:rFonts w:ascii="Verdana" w:hAnsi="Verdana" w:cs="Arial"/>
          <w:sz w:val="20"/>
          <w:szCs w:val="20"/>
          <w:lang w:val="es-ES_tradnl"/>
        </w:rPr>
        <w:t>(…)</w:t>
      </w:r>
    </w:p>
    <w:p w14:paraId="3127A7A2" w14:textId="77777777" w:rsidR="001D1EE8" w:rsidRPr="0086590B" w:rsidRDefault="001D1EE8" w:rsidP="001D1EE8">
      <w:pPr>
        <w:spacing w:after="0" w:line="240" w:lineRule="auto"/>
        <w:contextualSpacing/>
        <w:jc w:val="both"/>
        <w:rPr>
          <w:rFonts w:ascii="Verdana" w:hAnsi="Verdana" w:cs="Arial"/>
          <w:sz w:val="20"/>
          <w:szCs w:val="20"/>
          <w:lang w:val="es-ES_tradnl"/>
        </w:rPr>
      </w:pPr>
    </w:p>
    <w:p w14:paraId="5956C77E" w14:textId="175844B2" w:rsidR="001D1EE8" w:rsidRPr="0086590B" w:rsidRDefault="001D1EE8" w:rsidP="001D1EE8">
      <w:pPr>
        <w:spacing w:after="0" w:line="240" w:lineRule="auto"/>
        <w:contextualSpacing/>
        <w:jc w:val="both"/>
        <w:rPr>
          <w:rFonts w:ascii="Verdana" w:eastAsia="Calibri" w:hAnsi="Verdana" w:cs="Arial"/>
          <w:sz w:val="20"/>
          <w:szCs w:val="20"/>
          <w:lang w:val="es-ES_tradnl"/>
          <w14:ligatures w14:val="standardContextual"/>
        </w:rPr>
      </w:pPr>
      <w:r w:rsidRPr="0086590B">
        <w:rPr>
          <w:rFonts w:ascii="Verdana" w:eastAsia="Calibri" w:hAnsi="Verdana" w:cs="Arial"/>
          <w:sz w:val="20"/>
          <w:szCs w:val="20"/>
          <w:lang w:val="es-ES_tradnl"/>
          <w14:ligatures w14:val="standardContextua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r>
        <w:rPr>
          <w:rFonts w:ascii="Verdana" w:eastAsia="Calibri" w:hAnsi="Verdana" w:cs="Arial"/>
          <w:sz w:val="20"/>
          <w:szCs w:val="20"/>
          <w:lang w:val="es-ES_tradnl"/>
        </w:rPr>
        <w:t>(…)</w:t>
      </w:r>
      <w:r w:rsidRPr="0086590B">
        <w:rPr>
          <w:rFonts w:ascii="Verdana" w:eastAsia="Calibri" w:hAnsi="Verdana" w:cs="Arial"/>
          <w:sz w:val="20"/>
          <w:szCs w:val="20"/>
          <w:lang w:val="es-ES_tradnl"/>
        </w:rPr>
        <w:t>”</w:t>
      </w:r>
      <w:r>
        <w:rPr>
          <w:rFonts w:ascii="Verdana" w:eastAsia="Calibri" w:hAnsi="Verdana" w:cs="Arial"/>
          <w:sz w:val="20"/>
          <w:szCs w:val="20"/>
          <w:lang w:val="es-ES_tradnl"/>
        </w:rPr>
        <w:t>.</w:t>
      </w:r>
    </w:p>
    <w:p w14:paraId="4BBE1CEA" w14:textId="6CF347A0" w:rsidR="001D1EE8" w:rsidRDefault="001D1EE8" w:rsidP="001D1EE8">
      <w:pPr>
        <w:spacing w:after="0" w:line="240" w:lineRule="auto"/>
        <w:jc w:val="both"/>
        <w:rPr>
          <w:rFonts w:ascii="Verdana" w:eastAsia="Calibri" w:hAnsi="Verdana" w:cs="Arial"/>
          <w:b/>
          <w:bCs/>
          <w:lang w:val="es-ES" w:eastAsia="es-ES"/>
        </w:rPr>
      </w:pPr>
      <w:r w:rsidRPr="001D1EE8">
        <w:rPr>
          <w:rFonts w:ascii="Verdana" w:eastAsia="Calibri" w:hAnsi="Verdana" w:cs="Arial"/>
          <w:b/>
          <w:bCs/>
          <w:lang w:val="es-ES" w:eastAsia="es-ES"/>
        </w:rPr>
        <w:lastRenderedPageBreak/>
        <w:t xml:space="preserve">CAUSALES DE RECHAZO DE LAS OFERTAS – Origen – Límites en su configuración </w:t>
      </w:r>
    </w:p>
    <w:p w14:paraId="27310CB6" w14:textId="77777777" w:rsidR="001D1EE8" w:rsidRDefault="001D1EE8" w:rsidP="001D1EE8">
      <w:pPr>
        <w:spacing w:after="0" w:line="240" w:lineRule="auto"/>
        <w:jc w:val="both"/>
        <w:rPr>
          <w:rFonts w:ascii="Verdana" w:eastAsia="Calibri" w:hAnsi="Verdana" w:cs="Arial"/>
          <w:b/>
          <w:bCs/>
          <w:lang w:val="es-ES" w:eastAsia="es-ES"/>
        </w:rPr>
      </w:pPr>
    </w:p>
    <w:p w14:paraId="6E12AB27" w14:textId="12BD4A2C" w:rsidR="001D1EE8" w:rsidRPr="001D1EE8" w:rsidRDefault="001D1EE8" w:rsidP="001D1EE8">
      <w:pPr>
        <w:spacing w:after="0" w:line="240" w:lineRule="auto"/>
        <w:ind w:right="49"/>
        <w:jc w:val="both"/>
        <w:rPr>
          <w:rFonts w:ascii="Verdana" w:eastAsia="Arial" w:hAnsi="Verdana" w:cs="Arial"/>
          <w:sz w:val="20"/>
          <w:szCs w:val="20"/>
        </w:rPr>
      </w:pPr>
      <w:r w:rsidRPr="001D1EE8">
        <w:rPr>
          <w:rFonts w:ascii="Verdana" w:eastAsia="Arial" w:hAnsi="Verdana" w:cs="Arial"/>
          <w:sz w:val="20"/>
          <w:szCs w:val="20"/>
        </w:rPr>
        <w:t xml:space="preserve">El rechazo de las ofertas y los eventos en los que proceden han sido asuntos de los que se ha ocupado la legislación nacional en materia de contratación pública, por lo que “la competencia de las entidades estales para establecer eventos de exclusión de propuestas es de carácter residual y restringido”. En ese sentido, si bien las entidades estatales, en ejercicio de la discrecionalidad que les corresponde en la configuración de los pliegos de condiciones, tienen competencia para determinar los requisitos que deben cumplir los proponentes para la presentación de ofertas y regular los eventos en los que procede su rechazo, el ejercicio de tales facultades encuentra ciertos límites en la ley y el reglamento, así como en los principios de razonabilidad y proporcionalidad.  </w:t>
      </w:r>
    </w:p>
    <w:p w14:paraId="5EA6BBA1" w14:textId="77777777" w:rsidR="001D1EE8" w:rsidRDefault="001D1EE8" w:rsidP="001D1EE8">
      <w:pPr>
        <w:spacing w:after="0" w:line="240" w:lineRule="auto"/>
        <w:ind w:right="51"/>
        <w:jc w:val="both"/>
        <w:rPr>
          <w:rFonts w:ascii="Verdana" w:eastAsia="Arial" w:hAnsi="Verdana" w:cs="Arial"/>
          <w:sz w:val="20"/>
          <w:szCs w:val="20"/>
        </w:rPr>
      </w:pPr>
    </w:p>
    <w:p w14:paraId="5D3CE948" w14:textId="54ABD211" w:rsidR="001D1EE8" w:rsidRPr="001D1EE8" w:rsidRDefault="001D1EE8" w:rsidP="001D1EE8">
      <w:pPr>
        <w:spacing w:after="0" w:line="240" w:lineRule="auto"/>
        <w:ind w:right="51"/>
        <w:jc w:val="both"/>
        <w:rPr>
          <w:rFonts w:ascii="Verdana" w:eastAsia="Arial" w:hAnsi="Verdana" w:cs="Arial"/>
          <w:color w:val="000000"/>
          <w:sz w:val="20"/>
          <w:szCs w:val="20"/>
        </w:rPr>
      </w:pPr>
      <w:r w:rsidRPr="001D1EE8">
        <w:rPr>
          <w:rFonts w:ascii="Verdana" w:eastAsia="Arial" w:hAnsi="Verdana" w:cs="Arial"/>
          <w:sz w:val="20"/>
          <w:szCs w:val="20"/>
        </w:rPr>
        <w:t xml:space="preserve">En ese entendido, uno de los límites a la facultad para establecer causales de rechazo, se encuentra en la regla de </w:t>
      </w:r>
      <w:proofErr w:type="spellStart"/>
      <w:r w:rsidRPr="001D1EE8">
        <w:rPr>
          <w:rFonts w:ascii="Verdana" w:eastAsia="Arial" w:hAnsi="Verdana" w:cs="Arial"/>
          <w:sz w:val="20"/>
          <w:szCs w:val="20"/>
        </w:rPr>
        <w:t>subsanabilidad</w:t>
      </w:r>
      <w:proofErr w:type="spellEnd"/>
      <w:r w:rsidRPr="001D1EE8">
        <w:rPr>
          <w:rFonts w:ascii="Verdana" w:eastAsia="Arial" w:hAnsi="Verdana" w:cs="Arial"/>
          <w:sz w:val="20"/>
          <w:szCs w:val="20"/>
        </w:rPr>
        <w:t xml:space="preserve"> del parágrafo 1 del artículo 5 de la Ley 1150 de 2007, según la cual “La ausencia de requisitos o la falta de documentos referentes a la futura contratación o al proponente, no necesarios para la comparación de las propuestas no servirán de título suficiente para el rechazo de los ofrecimientos hechos”, por lo que las entidades no podrán establecer causales de rechazo referentes a meros requisitos formales o rechazar las ofertas por esa razón. </w:t>
      </w:r>
    </w:p>
    <w:p w14:paraId="5B83E5C5" w14:textId="77777777" w:rsidR="001D1EE8" w:rsidRPr="001D1EE8" w:rsidRDefault="001D1EE8" w:rsidP="001D1EE8">
      <w:pPr>
        <w:spacing w:after="0" w:line="240" w:lineRule="auto"/>
        <w:jc w:val="both"/>
        <w:rPr>
          <w:rFonts w:ascii="Verdana" w:eastAsia="Calibri" w:hAnsi="Verdana" w:cs="Arial"/>
          <w:b/>
          <w:bCs/>
          <w:lang w:eastAsia="es-ES"/>
        </w:rPr>
      </w:pPr>
    </w:p>
    <w:p w14:paraId="7130F853" w14:textId="77777777" w:rsidR="001D1EE8" w:rsidRDefault="001D1EE8" w:rsidP="001D1EE8">
      <w:pPr>
        <w:spacing w:after="0" w:line="240" w:lineRule="auto"/>
        <w:jc w:val="both"/>
        <w:rPr>
          <w:rFonts w:ascii="Verdana" w:eastAsia="Calibri" w:hAnsi="Verdana" w:cs="Arial"/>
          <w:b/>
          <w:bCs/>
          <w:lang w:val="es-ES" w:eastAsia="es-ES"/>
        </w:rPr>
      </w:pPr>
      <w:r w:rsidRPr="001D1EE8">
        <w:rPr>
          <w:rFonts w:ascii="Verdana" w:eastAsia="Calibri" w:hAnsi="Verdana" w:cs="Arial"/>
          <w:b/>
          <w:bCs/>
          <w:lang w:val="es-ES" w:eastAsia="es-ES"/>
        </w:rPr>
        <w:t xml:space="preserve">CAUSALES DE RECHAZO – Procedencia </w:t>
      </w:r>
    </w:p>
    <w:p w14:paraId="5D1E0428" w14:textId="77777777" w:rsidR="001D1EE8" w:rsidRDefault="001D1EE8" w:rsidP="001D1EE8">
      <w:pPr>
        <w:spacing w:after="0" w:line="240" w:lineRule="auto"/>
        <w:jc w:val="both"/>
        <w:rPr>
          <w:rFonts w:ascii="Verdana" w:eastAsia="Calibri" w:hAnsi="Verdana" w:cs="Arial"/>
          <w:b/>
          <w:bCs/>
          <w:lang w:val="es-ES" w:eastAsia="es-ES"/>
        </w:rPr>
      </w:pPr>
    </w:p>
    <w:p w14:paraId="266B8CD1" w14:textId="77777777" w:rsidR="001D1EE8" w:rsidRPr="0086590B" w:rsidRDefault="001D1EE8" w:rsidP="001D1EE8">
      <w:pPr>
        <w:spacing w:after="0" w:line="240" w:lineRule="auto"/>
        <w:jc w:val="both"/>
        <w:rPr>
          <w:rFonts w:ascii="Verdana" w:eastAsia="Arial" w:hAnsi="Verdana" w:cs="Arial"/>
          <w:color w:val="000000"/>
          <w:sz w:val="20"/>
          <w:szCs w:val="20"/>
        </w:rPr>
      </w:pPr>
      <w:r w:rsidRPr="0086590B">
        <w:rPr>
          <w:rFonts w:ascii="Verdana" w:eastAsia="Arial" w:hAnsi="Verdana" w:cs="Arial"/>
          <w:sz w:val="20"/>
          <w:szCs w:val="20"/>
        </w:rPr>
        <w:t xml:space="preserve">De acuerdo con la jurisprudencia citada, existen dos eventos en los cuales procede el rechazo de la oferta: i) cuando se configure alguna de las causales de rechazo originadas en la ley o el reglamento y </w:t>
      </w:r>
      <w:proofErr w:type="spellStart"/>
      <w:r w:rsidRPr="0086590B">
        <w:rPr>
          <w:rFonts w:ascii="Verdana" w:eastAsia="Arial" w:hAnsi="Verdana" w:cs="Arial"/>
          <w:sz w:val="20"/>
          <w:szCs w:val="20"/>
        </w:rPr>
        <w:t>ii</w:t>
      </w:r>
      <w:proofErr w:type="spellEnd"/>
      <w:r w:rsidRPr="0086590B">
        <w:rPr>
          <w:rFonts w:ascii="Verdana" w:eastAsia="Arial" w:hAnsi="Verdana" w:cs="Arial"/>
          <w:sz w:val="20"/>
          <w:szCs w:val="20"/>
        </w:rPr>
        <w:t xml:space="preserve">) cuando se materialicen las establecidas en el pliego de condiciones. En tal sentido, las causales de rechazo de la oferta serán las consagradas en la ley o el reglamento producto de su aplicación, así como las definidas por las entidades en el respectivo pliego de condiciones. </w:t>
      </w:r>
    </w:p>
    <w:p w14:paraId="0705F99C" w14:textId="77777777" w:rsidR="001D1EE8" w:rsidRPr="0086590B" w:rsidRDefault="001D1EE8" w:rsidP="001D1EE8">
      <w:pPr>
        <w:spacing w:after="0"/>
        <w:rPr>
          <w:rFonts w:ascii="Verdana" w:hAnsi="Verdana"/>
        </w:rPr>
      </w:pPr>
    </w:p>
    <w:p w14:paraId="1AEA70D7" w14:textId="77777777" w:rsidR="001D1EE8" w:rsidRDefault="001D1EE8" w:rsidP="001D1EE8">
      <w:pPr>
        <w:spacing w:after="0" w:line="240" w:lineRule="auto"/>
        <w:jc w:val="both"/>
        <w:rPr>
          <w:rFonts w:ascii="Verdana" w:eastAsia="Calibri" w:hAnsi="Verdana" w:cs="Arial"/>
          <w:b/>
          <w:bCs/>
          <w:lang w:eastAsia="es-ES"/>
        </w:rPr>
      </w:pPr>
      <w:r w:rsidRPr="001D1EE8">
        <w:rPr>
          <w:rFonts w:ascii="Verdana" w:eastAsia="Calibri" w:hAnsi="Verdana" w:cs="Arial"/>
          <w:b/>
          <w:bCs/>
          <w:lang w:val="es-ES" w:eastAsia="es-ES"/>
        </w:rPr>
        <w:t xml:space="preserve">PRECIO ‒ </w:t>
      </w:r>
      <w:r w:rsidRPr="001D1EE8">
        <w:rPr>
          <w:rFonts w:ascii="Verdana" w:eastAsia="Calibri" w:hAnsi="Verdana" w:cs="Arial"/>
          <w:b/>
          <w:bCs/>
          <w:lang w:eastAsia="es-ES"/>
        </w:rPr>
        <w:t xml:space="preserve">Inclusión – Impuestos </w:t>
      </w:r>
    </w:p>
    <w:p w14:paraId="7A6CDA92" w14:textId="77777777" w:rsidR="001D1EE8" w:rsidRDefault="001D1EE8" w:rsidP="001D1EE8">
      <w:pPr>
        <w:spacing w:after="0" w:line="240" w:lineRule="auto"/>
        <w:jc w:val="both"/>
        <w:rPr>
          <w:rFonts w:ascii="Verdana" w:eastAsia="Calibri" w:hAnsi="Verdana" w:cs="Arial"/>
          <w:b/>
          <w:bCs/>
          <w:lang w:eastAsia="es-ES"/>
        </w:rPr>
      </w:pPr>
    </w:p>
    <w:p w14:paraId="7E446F9A" w14:textId="77777777" w:rsidR="001D1EE8" w:rsidRPr="001D1EE8" w:rsidRDefault="001D1EE8" w:rsidP="001D1EE8">
      <w:pPr>
        <w:spacing w:after="0" w:line="240" w:lineRule="auto"/>
        <w:jc w:val="both"/>
        <w:rPr>
          <w:rFonts w:ascii="Verdana" w:eastAsia="Arial" w:hAnsi="Verdana" w:cs="Arial"/>
          <w:sz w:val="20"/>
          <w:szCs w:val="20"/>
        </w:rPr>
      </w:pPr>
      <w:r w:rsidRPr="001D1EE8">
        <w:rPr>
          <w:rFonts w:ascii="Verdana" w:eastAsia="Arial" w:hAnsi="Verdana" w:cs="Arial"/>
          <w:sz w:val="20"/>
          <w:szCs w:val="20"/>
        </w:rPr>
        <w:t>Así las cosas, podemos afirmar que el precio es el total del valor que paga el comprador por un bien o servicio, y eso incluye los impuestos, por una sencilla razón, ningún comprador podrá hacerse a la propiedad de una cosa o beneficiarse de un servicio sino paga la totalidad de lo que incluye el precio. En otros términos, si la venta de determinado bien o servicio está gravado con impuestos, estos se entienden incluidos en el precio, pues no se podrá tener acceso al bien si no se paga la totalidad de lo que vale.</w:t>
      </w:r>
    </w:p>
    <w:p w14:paraId="2754E0E5" w14:textId="77777777" w:rsidR="001D1EE8" w:rsidRPr="001D1EE8" w:rsidRDefault="001D1EE8" w:rsidP="001D1EE8">
      <w:pPr>
        <w:spacing w:after="0" w:line="240" w:lineRule="auto"/>
        <w:jc w:val="both"/>
        <w:rPr>
          <w:rFonts w:ascii="Verdana" w:eastAsia="Calibri" w:hAnsi="Verdana" w:cs="Arial"/>
          <w:b/>
          <w:bCs/>
          <w:lang w:val="es-ES" w:eastAsia="es-ES"/>
        </w:rPr>
      </w:pPr>
    </w:p>
    <w:p w14:paraId="26143C01" w14:textId="77777777" w:rsidR="001D1EE8" w:rsidRDefault="001D1EE8" w:rsidP="001D1EE8">
      <w:pPr>
        <w:spacing w:after="0" w:line="240" w:lineRule="auto"/>
        <w:jc w:val="both"/>
        <w:rPr>
          <w:rFonts w:ascii="Verdana" w:eastAsia="Calibri" w:hAnsi="Verdana" w:cs="Arial"/>
          <w:b/>
          <w:bCs/>
          <w:lang w:val="es-ES" w:eastAsia="es-ES"/>
        </w:rPr>
      </w:pPr>
      <w:r w:rsidRPr="001D1EE8">
        <w:rPr>
          <w:rFonts w:ascii="Verdana" w:eastAsia="Calibri" w:hAnsi="Verdana" w:cs="Arial"/>
          <w:b/>
          <w:bCs/>
          <w:lang w:val="es-ES" w:eastAsia="es-ES"/>
        </w:rPr>
        <w:t xml:space="preserve">EVALUACIÓN DEL PRECIO ‒ Selección objetiva </w:t>
      </w:r>
    </w:p>
    <w:p w14:paraId="745EF6B1" w14:textId="77777777" w:rsidR="001D1EE8" w:rsidRDefault="001D1EE8" w:rsidP="001D1EE8">
      <w:pPr>
        <w:spacing w:after="0" w:line="240" w:lineRule="auto"/>
        <w:jc w:val="both"/>
        <w:rPr>
          <w:rFonts w:ascii="Verdana" w:eastAsia="Calibri" w:hAnsi="Verdana" w:cs="Arial"/>
          <w:b/>
          <w:bCs/>
          <w:lang w:val="es-ES" w:eastAsia="es-ES"/>
        </w:rPr>
      </w:pPr>
    </w:p>
    <w:p w14:paraId="040B90BC" w14:textId="77777777" w:rsidR="00B436AB" w:rsidRPr="00B436AB" w:rsidRDefault="00B436AB" w:rsidP="00B436AB">
      <w:pPr>
        <w:spacing w:after="0" w:line="240" w:lineRule="auto"/>
        <w:jc w:val="both"/>
        <w:rPr>
          <w:rFonts w:ascii="Verdana" w:eastAsia="Calibri" w:hAnsi="Verdana" w:cs="Arial"/>
          <w:sz w:val="20"/>
          <w:szCs w:val="20"/>
          <w:lang w:eastAsia="es-ES"/>
        </w:rPr>
      </w:pPr>
      <w:r w:rsidRPr="00B436AB">
        <w:rPr>
          <w:rFonts w:ascii="Verdana" w:eastAsia="Calibri" w:hAnsi="Verdana" w:cs="Arial"/>
          <w:sz w:val="20"/>
          <w:szCs w:val="20"/>
          <w:lang w:eastAsia="es-ES"/>
        </w:rPr>
        <w:t>Teniendo en cuenta que el principio de selección objetiva busca que la entidad adjudique el contrato al oferente con la propuesta más favorable, la norma define este concepto como la propuesta más ventajosa, luego de ponderar los factores técnicos y económicos. Así las cosas, para que la entidad pueda determinar cuál es la oferta que más ventaja le reporta, lo lógico es que la comparación de precios se haga sobre los que finalmente tendrá que pagar, es decir, no puede realizarse una ponderación adecuada, en el factor económico, si la entidad compara precios que no son reales, pues ello es lo que ocurre si en dicha comparación se toman precios que no serán los que finalmente pagará, porque no se encuentra incluido el IVA o cualquier otro impuesto.</w:t>
      </w:r>
    </w:p>
    <w:p w14:paraId="42887819" w14:textId="77777777" w:rsidR="00B436AB" w:rsidRDefault="00B436AB" w:rsidP="00B436AB">
      <w:pPr>
        <w:spacing w:after="0" w:line="240" w:lineRule="auto"/>
        <w:jc w:val="both"/>
        <w:rPr>
          <w:rFonts w:ascii="Verdana" w:eastAsia="Calibri" w:hAnsi="Verdana" w:cs="Arial"/>
          <w:sz w:val="20"/>
          <w:szCs w:val="20"/>
          <w:lang w:eastAsia="es-ES"/>
        </w:rPr>
      </w:pPr>
    </w:p>
    <w:p w14:paraId="4ABC358B" w14:textId="37408DB0" w:rsidR="00B436AB" w:rsidRPr="00B436AB" w:rsidRDefault="00B436AB" w:rsidP="00B436AB">
      <w:pPr>
        <w:spacing w:after="0" w:line="240" w:lineRule="auto"/>
        <w:jc w:val="both"/>
        <w:rPr>
          <w:rFonts w:ascii="Verdana" w:eastAsia="Calibri" w:hAnsi="Verdana" w:cs="Arial"/>
          <w:sz w:val="20"/>
          <w:szCs w:val="20"/>
          <w:lang w:eastAsia="es-ES"/>
        </w:rPr>
      </w:pPr>
      <w:r w:rsidRPr="00B436AB">
        <w:rPr>
          <w:rFonts w:ascii="Verdana" w:eastAsia="Calibri" w:hAnsi="Verdana" w:cs="Arial"/>
          <w:sz w:val="20"/>
          <w:szCs w:val="20"/>
          <w:lang w:eastAsia="es-ES"/>
        </w:rPr>
        <w:t>El principio de selección objetiva, antes que permitir que la entidad compare las ofertas económicas sin tener en cuenta el IVA, busca que la comparación se haga sobre la realidad de lo ofrecido por cada proponente, es decir, el valor total de lo que terminará pagando la entidad cuando adjudique el contrato.</w:t>
      </w:r>
    </w:p>
    <w:p w14:paraId="1684E9D7" w14:textId="77777777" w:rsidR="00B436AB" w:rsidRDefault="00B436AB" w:rsidP="001D1EE8">
      <w:pPr>
        <w:spacing w:after="0" w:line="240" w:lineRule="auto"/>
        <w:jc w:val="both"/>
        <w:rPr>
          <w:rFonts w:ascii="Verdana" w:eastAsia="Calibri" w:hAnsi="Verdana" w:cs="Arial"/>
          <w:b/>
          <w:bCs/>
          <w:lang w:val="es-ES" w:eastAsia="es-ES"/>
        </w:rPr>
      </w:pPr>
    </w:p>
    <w:p w14:paraId="657A0111" w14:textId="6AB3F45B" w:rsidR="001D1EE8" w:rsidRDefault="001D1EE8" w:rsidP="001D1EE8">
      <w:pPr>
        <w:spacing w:after="0" w:line="240" w:lineRule="auto"/>
        <w:jc w:val="both"/>
        <w:rPr>
          <w:rFonts w:ascii="Verdana" w:eastAsia="Calibri" w:hAnsi="Verdana" w:cs="Arial"/>
          <w:b/>
          <w:bCs/>
          <w:lang w:val="es-ES" w:eastAsia="es-ES"/>
        </w:rPr>
      </w:pPr>
      <w:r w:rsidRPr="001D1EE8">
        <w:rPr>
          <w:rFonts w:ascii="Verdana" w:eastAsia="Calibri" w:hAnsi="Verdana" w:cs="Arial"/>
          <w:b/>
          <w:bCs/>
          <w:lang w:val="es-ES" w:eastAsia="es-ES"/>
        </w:rPr>
        <w:t xml:space="preserve">EVALUACION DEL PRECIO – Principio de igualdad </w:t>
      </w:r>
    </w:p>
    <w:p w14:paraId="12E3CF5D" w14:textId="77777777" w:rsidR="00B436AB" w:rsidRDefault="00B436AB" w:rsidP="001D1EE8">
      <w:pPr>
        <w:spacing w:after="0" w:line="240" w:lineRule="auto"/>
        <w:jc w:val="both"/>
        <w:rPr>
          <w:rFonts w:ascii="Verdana" w:eastAsia="Calibri" w:hAnsi="Verdana" w:cs="Arial"/>
          <w:b/>
          <w:bCs/>
          <w:lang w:val="es-ES" w:eastAsia="es-ES"/>
        </w:rPr>
      </w:pPr>
    </w:p>
    <w:p w14:paraId="608C38A5" w14:textId="218CCE2D" w:rsidR="00B436AB" w:rsidRPr="00B436AB" w:rsidRDefault="00B436AB" w:rsidP="001D1EE8">
      <w:pPr>
        <w:spacing w:after="0" w:line="240" w:lineRule="auto"/>
        <w:jc w:val="both"/>
        <w:rPr>
          <w:rFonts w:ascii="Verdana" w:eastAsia="Calibri" w:hAnsi="Verdana" w:cs="Arial"/>
          <w:sz w:val="20"/>
          <w:szCs w:val="20"/>
          <w:lang w:val="es-ES" w:eastAsia="es-ES"/>
        </w:rPr>
      </w:pPr>
      <w:r w:rsidRPr="00B436AB">
        <w:rPr>
          <w:rFonts w:ascii="Verdana" w:eastAsia="Calibri" w:hAnsi="Verdana" w:cs="Arial"/>
          <w:sz w:val="20"/>
          <w:szCs w:val="20"/>
          <w:lang w:val="es-ES" w:eastAsia="es-ES"/>
        </w:rPr>
        <w:t>No puede alegarse que se viola el principio de igualdad cuando una entidad compara el precio real que ofrece cada proponente, pues la jurisprudencia constitucional tiene bien determinado que la igualdad de trato se predica entre iguales. En otras palabras, para que se pueda exigir el respeto de la igualdad hay que demostrar que se está en la misma situación de hecho y de derecho.</w:t>
      </w:r>
    </w:p>
    <w:p w14:paraId="543E3D73" w14:textId="77777777" w:rsidR="00B436AB" w:rsidRDefault="00B436AB" w:rsidP="001D1EE8">
      <w:pPr>
        <w:spacing w:after="0" w:line="240" w:lineRule="auto"/>
        <w:jc w:val="both"/>
        <w:rPr>
          <w:rFonts w:ascii="Verdana" w:eastAsia="Calibri" w:hAnsi="Verdana" w:cs="Arial"/>
          <w:b/>
          <w:bCs/>
          <w:lang w:val="es-ES" w:eastAsia="es-ES"/>
        </w:rPr>
      </w:pPr>
    </w:p>
    <w:p w14:paraId="23629802" w14:textId="31CE5922" w:rsidR="001D1EE8" w:rsidRPr="001D1EE8" w:rsidRDefault="001D1EE8" w:rsidP="001D1EE8">
      <w:pPr>
        <w:spacing w:after="0" w:line="240" w:lineRule="auto"/>
        <w:jc w:val="both"/>
        <w:rPr>
          <w:rFonts w:ascii="Verdana" w:eastAsia="Verdana" w:hAnsi="Verdana" w:cs="Verdana"/>
          <w:b/>
          <w:bCs/>
        </w:rPr>
      </w:pPr>
      <w:r w:rsidRPr="001D1EE8">
        <w:rPr>
          <w:rFonts w:ascii="Verdana" w:eastAsia="Calibri" w:hAnsi="Verdana" w:cs="Arial"/>
          <w:b/>
          <w:bCs/>
          <w:lang w:val="es-ES" w:eastAsia="es-ES"/>
        </w:rPr>
        <w:t>EVALUACIÓN DEL PRECIO – Costo real ‒ Incluye IVA</w:t>
      </w:r>
    </w:p>
    <w:p w14:paraId="37907F48" w14:textId="77777777" w:rsidR="001D1EE8" w:rsidRDefault="001D1EE8" w:rsidP="001D1EE8">
      <w:pPr>
        <w:spacing w:after="0" w:line="240" w:lineRule="auto"/>
        <w:jc w:val="both"/>
        <w:rPr>
          <w:rFonts w:ascii="Verdana" w:eastAsia="Verdana" w:hAnsi="Verdana" w:cs="Verdana"/>
          <w:b/>
          <w:bCs/>
        </w:rPr>
      </w:pPr>
    </w:p>
    <w:p w14:paraId="1F604C47" w14:textId="77777777" w:rsidR="00B436AB" w:rsidRPr="00B436AB" w:rsidRDefault="00B436AB" w:rsidP="00B436AB">
      <w:pPr>
        <w:spacing w:after="0" w:line="240" w:lineRule="auto"/>
        <w:jc w:val="both"/>
        <w:rPr>
          <w:rFonts w:ascii="Verdana" w:eastAsia="Calibri" w:hAnsi="Verdana" w:cs="Arial"/>
          <w:sz w:val="20"/>
          <w:szCs w:val="20"/>
          <w:lang w:val="es-ES" w:eastAsia="es-ES"/>
        </w:rPr>
      </w:pPr>
      <w:r w:rsidRPr="00B436AB">
        <w:rPr>
          <w:rFonts w:ascii="Verdana" w:eastAsia="Calibri" w:hAnsi="Verdana" w:cs="Arial"/>
          <w:sz w:val="20"/>
          <w:szCs w:val="20"/>
          <w:lang w:val="es-ES" w:eastAsia="es-ES"/>
        </w:rPr>
        <w:t xml:space="preserve">La posición que adopta la Subdirección de Gestión Contractual es que el IVA hace parte del precio que ofrece cada proponente, y así debe ser ponderado al momento de la evaluación de las ofertas. Si un proponente está en capacidad de ofrecer un precio menor porque, según su régimen tributario, no es responsable de IVA, entonces eso hace parte de las condiciones de su oferta, y evidentemente podría estar en ventaja, en lo que respecta al precio, frente a otro proponente que sea responsable del pago del impuesto, pero ello no representa un trato desigual que imponga la entidad, pues es el precio que puede ofrecer cada proponente. </w:t>
      </w:r>
    </w:p>
    <w:p w14:paraId="5B7AC9F9" w14:textId="77777777" w:rsidR="00B436AB" w:rsidRDefault="00B436AB" w:rsidP="00B436AB">
      <w:pPr>
        <w:spacing w:after="0" w:line="240" w:lineRule="auto"/>
        <w:jc w:val="both"/>
        <w:rPr>
          <w:rFonts w:ascii="Verdana" w:eastAsia="Calibri" w:hAnsi="Verdana" w:cs="Arial"/>
          <w:sz w:val="20"/>
          <w:szCs w:val="20"/>
          <w:lang w:val="es-ES" w:eastAsia="es-ES"/>
        </w:rPr>
      </w:pPr>
    </w:p>
    <w:p w14:paraId="62EC5F27" w14:textId="7D67F6CC" w:rsidR="00B436AB" w:rsidRDefault="00B436AB" w:rsidP="00B436AB">
      <w:pPr>
        <w:spacing w:after="0" w:line="240" w:lineRule="auto"/>
        <w:jc w:val="both"/>
        <w:rPr>
          <w:rFonts w:ascii="Verdana" w:eastAsia="Calibri" w:hAnsi="Verdana" w:cs="Arial"/>
          <w:sz w:val="20"/>
          <w:szCs w:val="20"/>
          <w:lang w:val="es-ES" w:eastAsia="es-ES"/>
        </w:rPr>
      </w:pPr>
      <w:r>
        <w:rPr>
          <w:rFonts w:ascii="Verdana" w:eastAsia="Calibri" w:hAnsi="Verdana" w:cs="Arial"/>
          <w:sz w:val="20"/>
          <w:szCs w:val="20"/>
          <w:lang w:val="es-ES" w:eastAsia="es-ES"/>
        </w:rPr>
        <w:t>(…)</w:t>
      </w:r>
    </w:p>
    <w:p w14:paraId="33ABB53D" w14:textId="77777777" w:rsidR="00B436AB" w:rsidRPr="00B436AB" w:rsidRDefault="00B436AB" w:rsidP="00B436AB">
      <w:pPr>
        <w:spacing w:after="0" w:line="240" w:lineRule="auto"/>
        <w:jc w:val="both"/>
        <w:rPr>
          <w:rFonts w:ascii="Verdana" w:eastAsia="Calibri" w:hAnsi="Verdana" w:cs="Arial"/>
          <w:sz w:val="20"/>
          <w:szCs w:val="20"/>
          <w:lang w:val="es-ES" w:eastAsia="es-ES"/>
        </w:rPr>
      </w:pPr>
    </w:p>
    <w:p w14:paraId="47A2145B" w14:textId="5D54C777" w:rsidR="00B436AB" w:rsidRPr="00B436AB" w:rsidRDefault="00B436AB" w:rsidP="00B436AB">
      <w:pPr>
        <w:spacing w:after="0" w:line="240" w:lineRule="auto"/>
        <w:jc w:val="both"/>
        <w:rPr>
          <w:rFonts w:ascii="Verdana" w:eastAsia="Calibri" w:hAnsi="Verdana" w:cs="Arial"/>
          <w:sz w:val="20"/>
          <w:szCs w:val="20"/>
          <w:lang w:val="es-ES" w:eastAsia="es-ES"/>
        </w:rPr>
      </w:pPr>
      <w:r w:rsidRPr="00B436AB">
        <w:rPr>
          <w:rFonts w:ascii="Verdana" w:hAnsi="Verdana"/>
          <w:sz w:val="20"/>
          <w:szCs w:val="20"/>
        </w:rPr>
        <w:t>En</w:t>
      </w:r>
      <w:r w:rsidRPr="00B436AB">
        <w:rPr>
          <w:rFonts w:ascii="Verdana" w:hAnsi="Verdana"/>
          <w:spacing w:val="-9"/>
          <w:sz w:val="20"/>
          <w:szCs w:val="20"/>
        </w:rPr>
        <w:t xml:space="preserve"> </w:t>
      </w:r>
      <w:r w:rsidRPr="00B436AB">
        <w:rPr>
          <w:rFonts w:ascii="Verdana" w:hAnsi="Verdana"/>
          <w:sz w:val="20"/>
          <w:szCs w:val="20"/>
        </w:rPr>
        <w:t>este</w:t>
      </w:r>
      <w:r w:rsidRPr="00B436AB">
        <w:rPr>
          <w:rFonts w:ascii="Verdana" w:hAnsi="Verdana"/>
          <w:spacing w:val="-8"/>
          <w:sz w:val="20"/>
          <w:szCs w:val="20"/>
        </w:rPr>
        <w:t xml:space="preserve"> </w:t>
      </w:r>
      <w:r w:rsidRPr="00B436AB">
        <w:rPr>
          <w:rFonts w:ascii="Verdana" w:hAnsi="Verdana"/>
          <w:sz w:val="20"/>
          <w:szCs w:val="20"/>
        </w:rPr>
        <w:t>orden</w:t>
      </w:r>
      <w:r w:rsidRPr="00B436AB">
        <w:rPr>
          <w:rFonts w:ascii="Verdana" w:hAnsi="Verdana"/>
          <w:spacing w:val="-8"/>
          <w:sz w:val="20"/>
          <w:szCs w:val="20"/>
        </w:rPr>
        <w:t xml:space="preserve"> </w:t>
      </w:r>
      <w:r w:rsidRPr="00B436AB">
        <w:rPr>
          <w:rFonts w:ascii="Verdana" w:hAnsi="Verdana"/>
          <w:sz w:val="20"/>
          <w:szCs w:val="20"/>
        </w:rPr>
        <w:t>de ideas, conociendo que el precio es un factor que asigna puntaje en la mayoría de los procesos de contratación excepto en el concurso de mérito, ante una errónea</w:t>
      </w:r>
      <w:r w:rsidRPr="00B436AB">
        <w:rPr>
          <w:rFonts w:ascii="Verdana" w:hAnsi="Verdana"/>
          <w:spacing w:val="-6"/>
          <w:sz w:val="20"/>
          <w:szCs w:val="20"/>
        </w:rPr>
        <w:t xml:space="preserve"> </w:t>
      </w:r>
      <w:r w:rsidRPr="00B436AB">
        <w:rPr>
          <w:rFonts w:ascii="Verdana" w:hAnsi="Verdana"/>
          <w:sz w:val="20"/>
          <w:szCs w:val="20"/>
        </w:rPr>
        <w:t>estructuración</w:t>
      </w:r>
      <w:r w:rsidRPr="00B436AB">
        <w:rPr>
          <w:rFonts w:ascii="Verdana" w:hAnsi="Verdana"/>
          <w:spacing w:val="-3"/>
          <w:sz w:val="20"/>
          <w:szCs w:val="20"/>
        </w:rPr>
        <w:t xml:space="preserve"> </w:t>
      </w:r>
      <w:r w:rsidRPr="00B436AB">
        <w:rPr>
          <w:rFonts w:ascii="Verdana" w:hAnsi="Verdana"/>
          <w:sz w:val="20"/>
          <w:szCs w:val="20"/>
        </w:rPr>
        <w:t>del</w:t>
      </w:r>
      <w:r w:rsidRPr="00B436AB">
        <w:rPr>
          <w:rFonts w:ascii="Verdana" w:hAnsi="Verdana"/>
          <w:spacing w:val="-7"/>
          <w:sz w:val="20"/>
          <w:szCs w:val="20"/>
        </w:rPr>
        <w:t xml:space="preserve"> </w:t>
      </w:r>
      <w:r w:rsidRPr="00B436AB">
        <w:rPr>
          <w:rFonts w:ascii="Verdana" w:hAnsi="Verdana"/>
          <w:sz w:val="20"/>
          <w:szCs w:val="20"/>
        </w:rPr>
        <w:t>IVA</w:t>
      </w:r>
      <w:r w:rsidRPr="00B436AB">
        <w:rPr>
          <w:rFonts w:ascii="Verdana" w:hAnsi="Verdana"/>
          <w:spacing w:val="-7"/>
          <w:sz w:val="20"/>
          <w:szCs w:val="20"/>
        </w:rPr>
        <w:t xml:space="preserve"> </w:t>
      </w:r>
      <w:r w:rsidRPr="00B436AB">
        <w:rPr>
          <w:rFonts w:ascii="Verdana" w:hAnsi="Verdana"/>
          <w:sz w:val="20"/>
          <w:szCs w:val="20"/>
        </w:rPr>
        <w:t>en</w:t>
      </w:r>
      <w:r w:rsidRPr="00B436AB">
        <w:rPr>
          <w:rFonts w:ascii="Verdana" w:hAnsi="Verdana"/>
          <w:spacing w:val="-7"/>
          <w:sz w:val="20"/>
          <w:szCs w:val="20"/>
        </w:rPr>
        <w:t xml:space="preserve"> </w:t>
      </w:r>
      <w:r w:rsidRPr="00B436AB">
        <w:rPr>
          <w:rFonts w:ascii="Verdana" w:hAnsi="Verdana"/>
          <w:sz w:val="20"/>
          <w:szCs w:val="20"/>
        </w:rPr>
        <w:t>la</w:t>
      </w:r>
      <w:r w:rsidRPr="00B436AB">
        <w:rPr>
          <w:rFonts w:ascii="Verdana" w:hAnsi="Verdana"/>
          <w:spacing w:val="-8"/>
          <w:sz w:val="20"/>
          <w:szCs w:val="20"/>
        </w:rPr>
        <w:t xml:space="preserve"> </w:t>
      </w:r>
      <w:r w:rsidRPr="00B436AB">
        <w:rPr>
          <w:rFonts w:ascii="Verdana" w:hAnsi="Verdana"/>
          <w:sz w:val="20"/>
          <w:szCs w:val="20"/>
        </w:rPr>
        <w:t>oferta</w:t>
      </w:r>
      <w:r w:rsidRPr="00B436AB">
        <w:rPr>
          <w:rFonts w:ascii="Verdana" w:hAnsi="Verdana"/>
          <w:spacing w:val="-6"/>
          <w:sz w:val="20"/>
          <w:szCs w:val="20"/>
        </w:rPr>
        <w:t xml:space="preserve"> </w:t>
      </w:r>
      <w:r w:rsidRPr="00B436AB">
        <w:rPr>
          <w:rFonts w:ascii="Verdana" w:hAnsi="Verdana"/>
          <w:sz w:val="20"/>
          <w:szCs w:val="20"/>
        </w:rPr>
        <w:t>económica</w:t>
      </w:r>
      <w:r w:rsidRPr="00B436AB">
        <w:rPr>
          <w:rFonts w:ascii="Verdana" w:hAnsi="Verdana"/>
          <w:spacing w:val="-5"/>
          <w:sz w:val="20"/>
          <w:szCs w:val="20"/>
        </w:rPr>
        <w:t xml:space="preserve"> </w:t>
      </w:r>
      <w:r w:rsidRPr="00B436AB">
        <w:rPr>
          <w:rFonts w:ascii="Verdana" w:hAnsi="Verdana"/>
          <w:sz w:val="20"/>
          <w:szCs w:val="20"/>
        </w:rPr>
        <w:t>se</w:t>
      </w:r>
      <w:r w:rsidRPr="00B436AB">
        <w:rPr>
          <w:rFonts w:ascii="Verdana" w:hAnsi="Verdana"/>
          <w:spacing w:val="-7"/>
          <w:sz w:val="20"/>
          <w:szCs w:val="20"/>
        </w:rPr>
        <w:t xml:space="preserve"> </w:t>
      </w:r>
      <w:r w:rsidRPr="00B436AB">
        <w:rPr>
          <w:rFonts w:ascii="Verdana" w:hAnsi="Verdana"/>
          <w:sz w:val="20"/>
          <w:szCs w:val="20"/>
        </w:rPr>
        <w:t>podría</w:t>
      </w:r>
      <w:r w:rsidRPr="00B436AB">
        <w:rPr>
          <w:rFonts w:ascii="Verdana" w:hAnsi="Verdana"/>
          <w:spacing w:val="-7"/>
          <w:sz w:val="20"/>
          <w:szCs w:val="20"/>
        </w:rPr>
        <w:t xml:space="preserve"> </w:t>
      </w:r>
      <w:r w:rsidRPr="00B436AB">
        <w:rPr>
          <w:rFonts w:ascii="Verdana" w:hAnsi="Verdana"/>
          <w:sz w:val="20"/>
          <w:szCs w:val="20"/>
        </w:rPr>
        <w:t>subsanar:</w:t>
      </w:r>
      <w:r w:rsidRPr="00B436AB">
        <w:rPr>
          <w:rFonts w:ascii="Verdana" w:hAnsi="Verdana"/>
          <w:spacing w:val="-5"/>
          <w:sz w:val="20"/>
          <w:szCs w:val="20"/>
        </w:rPr>
        <w:t xml:space="preserve"> </w:t>
      </w:r>
      <w:r w:rsidRPr="00B436AB">
        <w:rPr>
          <w:rFonts w:ascii="Verdana" w:hAnsi="Verdana"/>
          <w:sz w:val="20"/>
          <w:szCs w:val="20"/>
        </w:rPr>
        <w:t>1)</w:t>
      </w:r>
      <w:r w:rsidRPr="00B436AB">
        <w:rPr>
          <w:rFonts w:ascii="Verdana" w:hAnsi="Verdana"/>
          <w:spacing w:val="-8"/>
          <w:sz w:val="20"/>
          <w:szCs w:val="20"/>
        </w:rPr>
        <w:t xml:space="preserve"> </w:t>
      </w:r>
      <w:r w:rsidRPr="00B436AB">
        <w:rPr>
          <w:rFonts w:ascii="Verdana" w:hAnsi="Verdana"/>
          <w:sz w:val="20"/>
          <w:szCs w:val="20"/>
        </w:rPr>
        <w:t>Si el valor total del precio de la oferta económica no surte modificación, en este caso</w:t>
      </w:r>
      <w:r w:rsidRPr="00B436AB">
        <w:rPr>
          <w:rFonts w:ascii="Verdana" w:hAnsi="Verdana"/>
          <w:spacing w:val="-8"/>
          <w:sz w:val="20"/>
          <w:szCs w:val="20"/>
        </w:rPr>
        <w:t xml:space="preserve"> </w:t>
      </w:r>
      <w:r w:rsidRPr="00B436AB">
        <w:rPr>
          <w:rFonts w:ascii="Verdana" w:hAnsi="Verdana"/>
          <w:sz w:val="20"/>
          <w:szCs w:val="20"/>
        </w:rPr>
        <w:t>el</w:t>
      </w:r>
      <w:r w:rsidRPr="00B436AB">
        <w:rPr>
          <w:rFonts w:ascii="Verdana" w:hAnsi="Verdana"/>
          <w:spacing w:val="-9"/>
          <w:sz w:val="20"/>
          <w:szCs w:val="20"/>
        </w:rPr>
        <w:t xml:space="preserve"> </w:t>
      </w:r>
      <w:r w:rsidRPr="00B436AB">
        <w:rPr>
          <w:rFonts w:ascii="Verdana" w:hAnsi="Verdana"/>
          <w:sz w:val="20"/>
          <w:szCs w:val="20"/>
        </w:rPr>
        <w:t>puntaje</w:t>
      </w:r>
      <w:r w:rsidRPr="00B436AB">
        <w:rPr>
          <w:rFonts w:ascii="Verdana" w:hAnsi="Verdana"/>
          <w:spacing w:val="-8"/>
          <w:sz w:val="20"/>
          <w:szCs w:val="20"/>
        </w:rPr>
        <w:t xml:space="preserve"> </w:t>
      </w:r>
      <w:r w:rsidRPr="00B436AB">
        <w:rPr>
          <w:rFonts w:ascii="Verdana" w:hAnsi="Verdana"/>
          <w:sz w:val="20"/>
          <w:szCs w:val="20"/>
        </w:rPr>
        <w:t>no</w:t>
      </w:r>
      <w:r w:rsidRPr="00B436AB">
        <w:rPr>
          <w:rFonts w:ascii="Verdana" w:hAnsi="Verdana"/>
          <w:spacing w:val="-9"/>
          <w:sz w:val="20"/>
          <w:szCs w:val="20"/>
        </w:rPr>
        <w:t xml:space="preserve"> </w:t>
      </w:r>
      <w:r w:rsidRPr="00B436AB">
        <w:rPr>
          <w:rFonts w:ascii="Verdana" w:hAnsi="Verdana"/>
          <w:sz w:val="20"/>
          <w:szCs w:val="20"/>
        </w:rPr>
        <w:t>tendría</w:t>
      </w:r>
      <w:r w:rsidRPr="00B436AB">
        <w:rPr>
          <w:rFonts w:ascii="Verdana" w:hAnsi="Verdana"/>
          <w:spacing w:val="-8"/>
          <w:sz w:val="20"/>
          <w:szCs w:val="20"/>
        </w:rPr>
        <w:t xml:space="preserve"> </w:t>
      </w:r>
      <w:r w:rsidRPr="00B436AB">
        <w:rPr>
          <w:rFonts w:ascii="Verdana" w:hAnsi="Verdana"/>
          <w:sz w:val="20"/>
          <w:szCs w:val="20"/>
        </w:rPr>
        <w:t>modificación</w:t>
      </w:r>
      <w:r w:rsidRPr="00B436AB">
        <w:rPr>
          <w:rFonts w:ascii="Verdana" w:hAnsi="Verdana"/>
          <w:spacing w:val="-6"/>
          <w:sz w:val="20"/>
          <w:szCs w:val="20"/>
        </w:rPr>
        <w:t xml:space="preserve"> </w:t>
      </w:r>
      <w:r w:rsidRPr="00B436AB">
        <w:rPr>
          <w:rFonts w:ascii="Verdana" w:hAnsi="Verdana"/>
          <w:sz w:val="20"/>
          <w:szCs w:val="20"/>
        </w:rPr>
        <w:t>y</w:t>
      </w:r>
      <w:r w:rsidRPr="00B436AB">
        <w:rPr>
          <w:rFonts w:ascii="Verdana" w:hAnsi="Verdana"/>
          <w:spacing w:val="-10"/>
          <w:sz w:val="20"/>
          <w:szCs w:val="20"/>
        </w:rPr>
        <w:t xml:space="preserve"> </w:t>
      </w:r>
      <w:r w:rsidRPr="00B436AB">
        <w:rPr>
          <w:rFonts w:ascii="Verdana" w:hAnsi="Verdana"/>
          <w:sz w:val="20"/>
          <w:szCs w:val="20"/>
        </w:rPr>
        <w:t>por</w:t>
      </w:r>
      <w:r w:rsidRPr="00B436AB">
        <w:rPr>
          <w:rFonts w:ascii="Verdana" w:hAnsi="Verdana"/>
          <w:spacing w:val="-9"/>
          <w:sz w:val="20"/>
          <w:szCs w:val="20"/>
        </w:rPr>
        <w:t xml:space="preserve"> </w:t>
      </w:r>
      <w:r w:rsidRPr="00B436AB">
        <w:rPr>
          <w:rFonts w:ascii="Verdana" w:hAnsi="Verdana"/>
          <w:sz w:val="20"/>
          <w:szCs w:val="20"/>
        </w:rPr>
        <w:t>consiguiente</w:t>
      </w:r>
      <w:r w:rsidRPr="00B436AB">
        <w:rPr>
          <w:rFonts w:ascii="Verdana" w:hAnsi="Verdana"/>
          <w:spacing w:val="-6"/>
          <w:sz w:val="20"/>
          <w:szCs w:val="20"/>
        </w:rPr>
        <w:t xml:space="preserve"> </w:t>
      </w:r>
      <w:r w:rsidRPr="00B436AB">
        <w:rPr>
          <w:rFonts w:ascii="Verdana" w:hAnsi="Verdana"/>
          <w:sz w:val="20"/>
          <w:szCs w:val="20"/>
        </w:rPr>
        <w:t>puede</w:t>
      </w:r>
      <w:r w:rsidRPr="00B436AB">
        <w:rPr>
          <w:rFonts w:ascii="Verdana" w:hAnsi="Verdana"/>
          <w:spacing w:val="-8"/>
          <w:sz w:val="20"/>
          <w:szCs w:val="20"/>
        </w:rPr>
        <w:t xml:space="preserve"> </w:t>
      </w:r>
      <w:r w:rsidRPr="00B436AB">
        <w:rPr>
          <w:rFonts w:ascii="Verdana" w:hAnsi="Verdana"/>
          <w:sz w:val="20"/>
          <w:szCs w:val="20"/>
        </w:rPr>
        <w:t>ser</w:t>
      </w:r>
      <w:r w:rsidRPr="00B436AB">
        <w:rPr>
          <w:rFonts w:ascii="Verdana" w:hAnsi="Verdana"/>
          <w:spacing w:val="-9"/>
          <w:sz w:val="20"/>
          <w:szCs w:val="20"/>
        </w:rPr>
        <w:t xml:space="preserve"> </w:t>
      </w:r>
      <w:r w:rsidRPr="00B436AB">
        <w:rPr>
          <w:rFonts w:ascii="Verdana" w:hAnsi="Verdana"/>
          <w:sz w:val="20"/>
          <w:szCs w:val="20"/>
        </w:rPr>
        <w:t>subsanado según</w:t>
      </w:r>
      <w:r w:rsidRPr="00B436AB">
        <w:rPr>
          <w:rFonts w:ascii="Verdana" w:hAnsi="Verdana"/>
          <w:spacing w:val="-6"/>
          <w:sz w:val="20"/>
          <w:szCs w:val="20"/>
        </w:rPr>
        <w:t xml:space="preserve"> </w:t>
      </w:r>
      <w:r w:rsidRPr="00B436AB">
        <w:rPr>
          <w:rFonts w:ascii="Verdana" w:hAnsi="Verdana"/>
          <w:sz w:val="20"/>
          <w:szCs w:val="20"/>
        </w:rPr>
        <w:t>la</w:t>
      </w:r>
      <w:r w:rsidRPr="00B436AB">
        <w:rPr>
          <w:rFonts w:ascii="Verdana" w:hAnsi="Verdana"/>
          <w:spacing w:val="-7"/>
          <w:sz w:val="20"/>
          <w:szCs w:val="20"/>
        </w:rPr>
        <w:t xml:space="preserve"> </w:t>
      </w:r>
      <w:r w:rsidRPr="00B436AB">
        <w:rPr>
          <w:rFonts w:ascii="Verdana" w:hAnsi="Verdana"/>
          <w:sz w:val="20"/>
          <w:szCs w:val="20"/>
        </w:rPr>
        <w:t>regla</w:t>
      </w:r>
      <w:r w:rsidRPr="00B436AB">
        <w:rPr>
          <w:rFonts w:ascii="Verdana" w:hAnsi="Verdana"/>
          <w:spacing w:val="-6"/>
          <w:sz w:val="20"/>
          <w:szCs w:val="20"/>
        </w:rPr>
        <w:t xml:space="preserve"> </w:t>
      </w:r>
      <w:r w:rsidRPr="00B436AB">
        <w:rPr>
          <w:rFonts w:ascii="Verdana" w:hAnsi="Verdana"/>
          <w:sz w:val="20"/>
          <w:szCs w:val="20"/>
        </w:rPr>
        <w:t>descrita.</w:t>
      </w:r>
      <w:r w:rsidRPr="00B436AB">
        <w:rPr>
          <w:rFonts w:ascii="Verdana" w:hAnsi="Verdana"/>
          <w:spacing w:val="-4"/>
          <w:sz w:val="20"/>
          <w:szCs w:val="20"/>
        </w:rPr>
        <w:t xml:space="preserve"> </w:t>
      </w:r>
      <w:r w:rsidRPr="00B436AB">
        <w:rPr>
          <w:rFonts w:ascii="Verdana" w:hAnsi="Verdana"/>
          <w:sz w:val="20"/>
          <w:szCs w:val="20"/>
        </w:rPr>
        <w:t>2)</w:t>
      </w:r>
      <w:r w:rsidRPr="00B436AB">
        <w:rPr>
          <w:rFonts w:ascii="Verdana" w:hAnsi="Verdana"/>
          <w:spacing w:val="-7"/>
          <w:sz w:val="20"/>
          <w:szCs w:val="20"/>
        </w:rPr>
        <w:t xml:space="preserve"> </w:t>
      </w:r>
      <w:r w:rsidRPr="00B436AB">
        <w:rPr>
          <w:rFonts w:ascii="Verdana" w:hAnsi="Verdana"/>
          <w:sz w:val="20"/>
          <w:szCs w:val="20"/>
        </w:rPr>
        <w:t>En</w:t>
      </w:r>
      <w:r w:rsidRPr="00B436AB">
        <w:rPr>
          <w:rFonts w:ascii="Verdana" w:hAnsi="Verdana"/>
          <w:spacing w:val="-7"/>
          <w:sz w:val="20"/>
          <w:szCs w:val="20"/>
        </w:rPr>
        <w:t xml:space="preserve"> </w:t>
      </w:r>
      <w:r w:rsidRPr="00B436AB">
        <w:rPr>
          <w:rFonts w:ascii="Verdana" w:hAnsi="Verdana"/>
          <w:sz w:val="20"/>
          <w:szCs w:val="20"/>
        </w:rPr>
        <w:t>los</w:t>
      </w:r>
      <w:r w:rsidRPr="00B436AB">
        <w:rPr>
          <w:rFonts w:ascii="Verdana" w:hAnsi="Verdana"/>
          <w:spacing w:val="-7"/>
          <w:sz w:val="20"/>
          <w:szCs w:val="20"/>
        </w:rPr>
        <w:t xml:space="preserve"> </w:t>
      </w:r>
      <w:r w:rsidRPr="00B436AB">
        <w:rPr>
          <w:rFonts w:ascii="Verdana" w:hAnsi="Verdana"/>
          <w:sz w:val="20"/>
          <w:szCs w:val="20"/>
        </w:rPr>
        <w:t>procesos</w:t>
      </w:r>
      <w:r w:rsidRPr="00B436AB">
        <w:rPr>
          <w:rFonts w:ascii="Verdana" w:hAnsi="Verdana"/>
          <w:spacing w:val="-5"/>
          <w:sz w:val="20"/>
          <w:szCs w:val="20"/>
        </w:rPr>
        <w:t xml:space="preserve"> </w:t>
      </w:r>
      <w:r w:rsidRPr="00B436AB">
        <w:rPr>
          <w:rFonts w:ascii="Verdana" w:hAnsi="Verdana"/>
          <w:sz w:val="20"/>
          <w:szCs w:val="20"/>
        </w:rPr>
        <w:t>contractuales</w:t>
      </w:r>
      <w:r w:rsidRPr="00B436AB">
        <w:rPr>
          <w:rFonts w:ascii="Verdana" w:hAnsi="Verdana"/>
          <w:spacing w:val="-3"/>
          <w:sz w:val="20"/>
          <w:szCs w:val="20"/>
        </w:rPr>
        <w:t xml:space="preserve"> </w:t>
      </w:r>
      <w:r w:rsidRPr="00B436AB">
        <w:rPr>
          <w:rFonts w:ascii="Verdana" w:hAnsi="Verdana"/>
          <w:sz w:val="20"/>
          <w:szCs w:val="20"/>
        </w:rPr>
        <w:t>donde</w:t>
      </w:r>
      <w:r w:rsidRPr="00B436AB">
        <w:rPr>
          <w:rFonts w:ascii="Verdana" w:hAnsi="Verdana"/>
          <w:spacing w:val="-6"/>
          <w:sz w:val="20"/>
          <w:szCs w:val="20"/>
        </w:rPr>
        <w:t xml:space="preserve"> </w:t>
      </w:r>
      <w:r w:rsidRPr="00B436AB">
        <w:rPr>
          <w:rFonts w:ascii="Verdana" w:hAnsi="Verdana"/>
          <w:sz w:val="20"/>
          <w:szCs w:val="20"/>
        </w:rPr>
        <w:t>el</w:t>
      </w:r>
      <w:r w:rsidRPr="00B436AB">
        <w:rPr>
          <w:rFonts w:ascii="Verdana" w:hAnsi="Verdana"/>
          <w:spacing w:val="-7"/>
          <w:sz w:val="20"/>
          <w:szCs w:val="20"/>
        </w:rPr>
        <w:t xml:space="preserve"> </w:t>
      </w:r>
      <w:r w:rsidRPr="00B436AB">
        <w:rPr>
          <w:rFonts w:ascii="Verdana" w:hAnsi="Verdana"/>
          <w:sz w:val="20"/>
          <w:szCs w:val="20"/>
        </w:rPr>
        <w:t>contratista</w:t>
      </w:r>
      <w:r w:rsidRPr="00B436AB">
        <w:rPr>
          <w:rFonts w:ascii="Verdana" w:hAnsi="Verdana"/>
          <w:spacing w:val="-4"/>
          <w:sz w:val="20"/>
          <w:szCs w:val="20"/>
        </w:rPr>
        <w:t xml:space="preserve"> </w:t>
      </w:r>
      <w:r w:rsidRPr="00B436AB">
        <w:rPr>
          <w:rFonts w:ascii="Verdana" w:hAnsi="Verdana"/>
          <w:sz w:val="20"/>
          <w:szCs w:val="20"/>
        </w:rPr>
        <w:t>es seleccionado</w:t>
      </w:r>
      <w:r w:rsidRPr="00B436AB">
        <w:rPr>
          <w:rFonts w:ascii="Verdana" w:hAnsi="Verdana"/>
          <w:spacing w:val="-3"/>
          <w:sz w:val="20"/>
          <w:szCs w:val="20"/>
        </w:rPr>
        <w:t xml:space="preserve"> </w:t>
      </w:r>
      <w:r w:rsidRPr="00B436AB">
        <w:rPr>
          <w:rFonts w:ascii="Verdana" w:hAnsi="Verdana"/>
          <w:sz w:val="20"/>
          <w:szCs w:val="20"/>
        </w:rPr>
        <w:t>por</w:t>
      </w:r>
      <w:r w:rsidRPr="00B436AB">
        <w:rPr>
          <w:rFonts w:ascii="Verdana" w:hAnsi="Verdana"/>
          <w:spacing w:val="-7"/>
          <w:sz w:val="20"/>
          <w:szCs w:val="20"/>
        </w:rPr>
        <w:t xml:space="preserve"> </w:t>
      </w:r>
      <w:r w:rsidRPr="00B436AB">
        <w:rPr>
          <w:rFonts w:ascii="Verdana" w:hAnsi="Verdana"/>
          <w:sz w:val="20"/>
          <w:szCs w:val="20"/>
        </w:rPr>
        <w:t>concurso</w:t>
      </w:r>
      <w:r w:rsidRPr="00B436AB">
        <w:rPr>
          <w:rFonts w:ascii="Verdana" w:hAnsi="Verdana"/>
          <w:spacing w:val="-4"/>
          <w:sz w:val="20"/>
          <w:szCs w:val="20"/>
        </w:rPr>
        <w:t xml:space="preserve"> </w:t>
      </w:r>
      <w:r w:rsidRPr="00B436AB">
        <w:rPr>
          <w:rFonts w:ascii="Verdana" w:hAnsi="Verdana"/>
          <w:sz w:val="20"/>
          <w:szCs w:val="20"/>
        </w:rPr>
        <w:t>de</w:t>
      </w:r>
      <w:r w:rsidRPr="00B436AB">
        <w:rPr>
          <w:rFonts w:ascii="Verdana" w:hAnsi="Verdana"/>
          <w:spacing w:val="-7"/>
          <w:sz w:val="20"/>
          <w:szCs w:val="20"/>
        </w:rPr>
        <w:t xml:space="preserve"> </w:t>
      </w:r>
      <w:r w:rsidRPr="00B436AB">
        <w:rPr>
          <w:rFonts w:ascii="Verdana" w:hAnsi="Verdana"/>
          <w:sz w:val="20"/>
          <w:szCs w:val="20"/>
        </w:rPr>
        <w:t>méritos,</w:t>
      </w:r>
      <w:r w:rsidRPr="00B436AB">
        <w:rPr>
          <w:rFonts w:ascii="Verdana" w:hAnsi="Verdana"/>
          <w:spacing w:val="-5"/>
          <w:sz w:val="20"/>
          <w:szCs w:val="20"/>
        </w:rPr>
        <w:t xml:space="preserve"> </w:t>
      </w:r>
      <w:r w:rsidRPr="00B436AB">
        <w:rPr>
          <w:rFonts w:ascii="Verdana" w:hAnsi="Verdana"/>
          <w:sz w:val="20"/>
          <w:szCs w:val="20"/>
        </w:rPr>
        <w:t>en</w:t>
      </w:r>
      <w:r w:rsidRPr="00B436AB">
        <w:rPr>
          <w:rFonts w:ascii="Verdana" w:hAnsi="Verdana"/>
          <w:spacing w:val="-7"/>
          <w:sz w:val="20"/>
          <w:szCs w:val="20"/>
        </w:rPr>
        <w:t xml:space="preserve"> </w:t>
      </w:r>
      <w:r w:rsidRPr="00B436AB">
        <w:rPr>
          <w:rFonts w:ascii="Verdana" w:hAnsi="Verdana"/>
          <w:sz w:val="20"/>
          <w:szCs w:val="20"/>
        </w:rPr>
        <w:t>este</w:t>
      </w:r>
      <w:r w:rsidRPr="00B436AB">
        <w:rPr>
          <w:rFonts w:ascii="Verdana" w:hAnsi="Verdana"/>
          <w:spacing w:val="-6"/>
          <w:sz w:val="20"/>
          <w:szCs w:val="20"/>
        </w:rPr>
        <w:t xml:space="preserve"> </w:t>
      </w:r>
      <w:r w:rsidRPr="00B436AB">
        <w:rPr>
          <w:rFonts w:ascii="Verdana" w:hAnsi="Verdana"/>
          <w:sz w:val="20"/>
          <w:szCs w:val="20"/>
        </w:rPr>
        <w:t>caso</w:t>
      </w:r>
      <w:r w:rsidRPr="00B436AB">
        <w:rPr>
          <w:rFonts w:ascii="Verdana" w:hAnsi="Verdana"/>
          <w:spacing w:val="-6"/>
          <w:sz w:val="20"/>
          <w:szCs w:val="20"/>
        </w:rPr>
        <w:t xml:space="preserve"> </w:t>
      </w:r>
      <w:r w:rsidRPr="00B436AB">
        <w:rPr>
          <w:rFonts w:ascii="Verdana" w:hAnsi="Verdana"/>
          <w:sz w:val="20"/>
          <w:szCs w:val="20"/>
        </w:rPr>
        <w:t>el</w:t>
      </w:r>
      <w:r w:rsidRPr="00B436AB">
        <w:rPr>
          <w:rFonts w:ascii="Verdana" w:hAnsi="Verdana"/>
          <w:spacing w:val="-7"/>
          <w:sz w:val="20"/>
          <w:szCs w:val="20"/>
        </w:rPr>
        <w:t xml:space="preserve"> </w:t>
      </w:r>
      <w:r w:rsidRPr="00B436AB">
        <w:rPr>
          <w:rFonts w:ascii="Verdana" w:hAnsi="Verdana"/>
          <w:sz w:val="20"/>
          <w:szCs w:val="20"/>
        </w:rPr>
        <w:t>precio</w:t>
      </w:r>
      <w:r w:rsidRPr="00B436AB">
        <w:rPr>
          <w:rFonts w:ascii="Verdana" w:hAnsi="Verdana"/>
          <w:spacing w:val="-5"/>
          <w:sz w:val="20"/>
          <w:szCs w:val="20"/>
        </w:rPr>
        <w:t xml:space="preserve"> </w:t>
      </w:r>
      <w:r w:rsidRPr="00B436AB">
        <w:rPr>
          <w:rFonts w:ascii="Verdana" w:hAnsi="Verdana"/>
          <w:sz w:val="20"/>
          <w:szCs w:val="20"/>
        </w:rPr>
        <w:t>no</w:t>
      </w:r>
      <w:r w:rsidRPr="00B436AB">
        <w:rPr>
          <w:rFonts w:ascii="Verdana" w:hAnsi="Verdana"/>
          <w:spacing w:val="-7"/>
          <w:sz w:val="20"/>
          <w:szCs w:val="20"/>
        </w:rPr>
        <w:t xml:space="preserve"> </w:t>
      </w:r>
      <w:r w:rsidRPr="00B436AB">
        <w:rPr>
          <w:rFonts w:ascii="Verdana" w:hAnsi="Verdana"/>
          <w:sz w:val="20"/>
          <w:szCs w:val="20"/>
        </w:rPr>
        <w:t>asigna</w:t>
      </w:r>
      <w:r w:rsidRPr="00B436AB">
        <w:rPr>
          <w:rFonts w:ascii="Verdana" w:hAnsi="Verdana"/>
          <w:spacing w:val="-5"/>
          <w:sz w:val="20"/>
          <w:szCs w:val="20"/>
        </w:rPr>
        <w:t xml:space="preserve"> </w:t>
      </w:r>
      <w:r w:rsidRPr="00B436AB">
        <w:rPr>
          <w:rFonts w:ascii="Verdana" w:hAnsi="Verdana"/>
          <w:sz w:val="20"/>
          <w:szCs w:val="20"/>
        </w:rPr>
        <w:t>puntaje, siendo factible su modificación.</w:t>
      </w:r>
    </w:p>
    <w:p w14:paraId="116E182C" w14:textId="77777777" w:rsidR="00B436AB" w:rsidRPr="00B436AB" w:rsidRDefault="00B436AB" w:rsidP="00B436AB">
      <w:pPr>
        <w:jc w:val="both"/>
        <w:rPr>
          <w:rFonts w:eastAsia="Geomanist Light" w:cs="Arial"/>
          <w:color w:val="000000" w:themeColor="text1"/>
          <w:lang w:val="es-ES"/>
        </w:rPr>
      </w:pPr>
    </w:p>
    <w:p w14:paraId="020A0F25" w14:textId="77777777" w:rsidR="001D1EE8" w:rsidRPr="00B436AB" w:rsidRDefault="001D1EE8" w:rsidP="001D1EE8">
      <w:pPr>
        <w:spacing w:after="0" w:line="240" w:lineRule="auto"/>
        <w:jc w:val="both"/>
        <w:rPr>
          <w:rFonts w:ascii="Verdana" w:eastAsia="Verdana" w:hAnsi="Verdana" w:cs="Verdana"/>
          <w:lang w:val="es-MX"/>
        </w:rPr>
      </w:pPr>
    </w:p>
    <w:p w14:paraId="5BC42FA7" w14:textId="77777777" w:rsidR="001D1EE8" w:rsidRDefault="001D1EE8" w:rsidP="001D1EE8">
      <w:pPr>
        <w:spacing w:after="0" w:line="240" w:lineRule="auto"/>
        <w:jc w:val="both"/>
        <w:rPr>
          <w:rFonts w:ascii="Verdana" w:eastAsia="Verdana" w:hAnsi="Verdana" w:cs="Verdana"/>
        </w:rPr>
      </w:pPr>
    </w:p>
    <w:p w14:paraId="0B0CBD58" w14:textId="77777777" w:rsidR="001D1EE8" w:rsidRDefault="001D1EE8" w:rsidP="001D1EE8">
      <w:pPr>
        <w:spacing w:after="0" w:line="240" w:lineRule="auto"/>
        <w:jc w:val="both"/>
        <w:rPr>
          <w:rFonts w:ascii="Verdana" w:eastAsia="Verdana" w:hAnsi="Verdana" w:cs="Verdana"/>
        </w:rPr>
      </w:pPr>
    </w:p>
    <w:p w14:paraId="52F19466" w14:textId="1064EE0A" w:rsidR="00AD54B8" w:rsidRPr="001D1EE8" w:rsidRDefault="00C15139" w:rsidP="001D1EE8">
      <w:pPr>
        <w:spacing w:after="0" w:line="240" w:lineRule="auto"/>
        <w:jc w:val="both"/>
        <w:rPr>
          <w:rFonts w:ascii="Verdana" w:eastAsia="Verdana" w:hAnsi="Verdana" w:cs="Verdana"/>
        </w:rPr>
      </w:pPr>
      <w:r w:rsidRPr="001D1EE8">
        <w:rPr>
          <w:rFonts w:ascii="Verdana" w:eastAsia="Verdana" w:hAnsi="Verdana" w:cs="Verdana"/>
        </w:rPr>
        <w:t xml:space="preserve">Bogotá D.C., </w:t>
      </w:r>
      <w:r w:rsidR="00AD54B8" w:rsidRPr="001D1EE8">
        <w:rPr>
          <w:rFonts w:ascii="Verdana" w:eastAsia="Verdana" w:hAnsi="Verdana" w:cs="Verdana"/>
        </w:rPr>
        <w:t xml:space="preserve">08 </w:t>
      </w:r>
      <w:proofErr w:type="gramStart"/>
      <w:r w:rsidR="00AD54B8" w:rsidRPr="001D1EE8">
        <w:rPr>
          <w:rFonts w:ascii="Verdana" w:eastAsia="Verdana" w:hAnsi="Verdana" w:cs="Verdana"/>
        </w:rPr>
        <w:t>Mayo</w:t>
      </w:r>
      <w:proofErr w:type="gramEnd"/>
      <w:r w:rsidR="00AD54B8" w:rsidRPr="001D1EE8">
        <w:rPr>
          <w:rFonts w:ascii="Verdana" w:eastAsia="Verdana" w:hAnsi="Verdana" w:cs="Verdana"/>
        </w:rPr>
        <w:t xml:space="preserve"> 2026</w:t>
      </w:r>
    </w:p>
    <w:p w14:paraId="1468C46D" w14:textId="18D6F7FB" w:rsidR="00C15139" w:rsidRPr="0024624F" w:rsidRDefault="00C15139" w:rsidP="00AD54B8">
      <w:pPr>
        <w:spacing w:after="0"/>
        <w:jc w:val="right"/>
        <w:rPr>
          <w:rFonts w:ascii="Verdana" w:eastAsia="Verdana" w:hAnsi="Verdana" w:cs="Verdana"/>
        </w:rPr>
      </w:pPr>
      <w:r>
        <w:tab/>
      </w:r>
      <w:r>
        <w:br/>
      </w:r>
      <w:r w:rsidR="00AD54B8" w:rsidRPr="00AD54B8">
        <w:drawing>
          <wp:inline distT="0" distB="0" distL="0" distR="0" wp14:anchorId="65B6FBCF" wp14:editId="1B6ED833">
            <wp:extent cx="2313940" cy="525702"/>
            <wp:effectExtent l="0" t="0" r="0" b="8255"/>
            <wp:docPr id="2791364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136490" name=""/>
                    <pic:cNvPicPr/>
                  </pic:nvPicPr>
                  <pic:blipFill>
                    <a:blip r:embed="rId10"/>
                    <a:stretch>
                      <a:fillRect/>
                    </a:stretch>
                  </pic:blipFill>
                  <pic:spPr>
                    <a:xfrm>
                      <a:off x="0" y="0"/>
                      <a:ext cx="2348450" cy="533542"/>
                    </a:xfrm>
                    <a:prstGeom prst="rect">
                      <a:avLst/>
                    </a:prstGeom>
                  </pic:spPr>
                </pic:pic>
              </a:graphicData>
            </a:graphic>
          </wp:inline>
        </w:drawing>
      </w:r>
    </w:p>
    <w:p w14:paraId="3A855804" w14:textId="77777777" w:rsidR="0015796A" w:rsidRDefault="0015796A" w:rsidP="0015796A">
      <w:pPr>
        <w:spacing w:after="0" w:line="240" w:lineRule="auto"/>
        <w:rPr>
          <w:rFonts w:ascii="Verdana" w:eastAsia="Calibri" w:hAnsi="Verdana" w:cs="Arial"/>
          <w:color w:val="000000" w:themeColor="text1"/>
          <w:lang w:val="es-ES" w:eastAsia="es-ES"/>
        </w:rPr>
      </w:pPr>
      <w:r w:rsidRPr="0086590B">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es</w:t>
      </w:r>
    </w:p>
    <w:p w14:paraId="288E545E" w14:textId="77777777" w:rsidR="0015796A" w:rsidRDefault="0015796A" w:rsidP="0015796A">
      <w:pPr>
        <w:spacing w:after="0" w:line="240" w:lineRule="auto"/>
        <w:rPr>
          <w:rFonts w:ascii="Verdana" w:hAnsi="Verdana"/>
          <w:b/>
          <w:bCs/>
        </w:rPr>
      </w:pPr>
      <w:r w:rsidRPr="00E56731">
        <w:rPr>
          <w:rFonts w:ascii="Verdana" w:hAnsi="Verdana"/>
          <w:b/>
          <w:bCs/>
        </w:rPr>
        <w:t>CONSTRUYENDO SINERGIA S</w:t>
      </w:r>
      <w:r>
        <w:rPr>
          <w:rFonts w:ascii="Verdana" w:hAnsi="Verdana"/>
          <w:b/>
          <w:bCs/>
        </w:rPr>
        <w:t>.</w:t>
      </w:r>
      <w:r w:rsidRPr="00E56731">
        <w:rPr>
          <w:rFonts w:ascii="Verdana" w:hAnsi="Verdana"/>
          <w:b/>
          <w:bCs/>
        </w:rPr>
        <w:t>A</w:t>
      </w:r>
      <w:r>
        <w:rPr>
          <w:rFonts w:ascii="Verdana" w:hAnsi="Verdana"/>
          <w:b/>
          <w:bCs/>
        </w:rPr>
        <w:t>.</w:t>
      </w:r>
      <w:r w:rsidRPr="00E56731">
        <w:rPr>
          <w:rFonts w:ascii="Verdana" w:hAnsi="Verdana"/>
          <w:b/>
          <w:bCs/>
        </w:rPr>
        <w:t>S</w:t>
      </w:r>
    </w:p>
    <w:p w14:paraId="7747557D" w14:textId="77777777" w:rsidR="0015796A" w:rsidRPr="00E56731" w:rsidRDefault="0015796A" w:rsidP="0015796A">
      <w:pPr>
        <w:spacing w:after="0" w:line="240" w:lineRule="auto"/>
        <w:rPr>
          <w:rFonts w:ascii="Verdana" w:hAnsi="Verdana"/>
        </w:rPr>
      </w:pPr>
      <w:r w:rsidRPr="00E56731">
        <w:rPr>
          <w:rFonts w:ascii="Verdana" w:hAnsi="Verdana"/>
        </w:rPr>
        <w:t xml:space="preserve">Señora </w:t>
      </w:r>
    </w:p>
    <w:p w14:paraId="06A79739" w14:textId="77777777" w:rsidR="0015796A" w:rsidRPr="00E56731" w:rsidRDefault="0015796A" w:rsidP="0015796A">
      <w:pPr>
        <w:spacing w:after="0" w:line="240" w:lineRule="auto"/>
        <w:rPr>
          <w:rFonts w:ascii="Verdana" w:hAnsi="Verdana"/>
        </w:rPr>
      </w:pPr>
      <w:r w:rsidRPr="00E56731">
        <w:rPr>
          <w:rFonts w:ascii="Verdana" w:hAnsi="Verdana"/>
        </w:rPr>
        <w:t>Luz Karina Grueso Carabali</w:t>
      </w:r>
    </w:p>
    <w:p w14:paraId="66610E17" w14:textId="77777777" w:rsidR="0015796A" w:rsidRDefault="0015796A" w:rsidP="0015796A">
      <w:pPr>
        <w:spacing w:after="0" w:line="240" w:lineRule="auto"/>
        <w:rPr>
          <w:rFonts w:ascii="Verdana" w:eastAsia="Calibri" w:hAnsi="Verdana" w:cs="Arial"/>
          <w:b/>
          <w:bCs/>
          <w:color w:val="000000" w:themeColor="text1"/>
          <w:lang w:eastAsia="es-ES"/>
        </w:rPr>
      </w:pPr>
      <w:hyperlink r:id="rId11" w:history="1">
        <w:r w:rsidRPr="00E4703B">
          <w:rPr>
            <w:rStyle w:val="Hipervnculo"/>
            <w:rFonts w:ascii="Verdana" w:eastAsia="Calibri" w:hAnsi="Verdana" w:cs="Arial"/>
            <w:b/>
            <w:bCs/>
            <w:lang w:eastAsia="es-ES"/>
          </w:rPr>
          <w:t>construyendo.sinergia.sas@gmail.com</w:t>
        </w:r>
      </w:hyperlink>
    </w:p>
    <w:p w14:paraId="346684E3" w14:textId="77777777" w:rsidR="0015796A" w:rsidRPr="0086590B" w:rsidRDefault="0015796A" w:rsidP="0015796A">
      <w:pPr>
        <w:spacing w:after="0" w:line="240" w:lineRule="auto"/>
        <w:rPr>
          <w:rFonts w:ascii="Verdana" w:eastAsia="Calibri" w:hAnsi="Verdana" w:cs="Arial"/>
          <w:b/>
          <w:bCs/>
          <w:color w:val="000000" w:themeColor="text1"/>
          <w:highlight w:val="cyan"/>
          <w:lang w:val="es-ES_tradnl" w:eastAsia="es-ES_tradnl"/>
        </w:rPr>
      </w:pPr>
      <w:r>
        <w:rPr>
          <w:rFonts w:ascii="Verdana" w:eastAsia="Calibri" w:hAnsi="Verdana" w:cs="Arial"/>
          <w:b/>
          <w:bCs/>
          <w:color w:val="000000" w:themeColor="text1"/>
          <w:lang w:eastAsia="es-ES"/>
        </w:rPr>
        <w:t xml:space="preserve">Cúcuta – Norte de Santander  </w:t>
      </w:r>
    </w:p>
    <w:p w14:paraId="5C04CDF5" w14:textId="77777777" w:rsidR="0015796A" w:rsidRPr="0086590B" w:rsidRDefault="0015796A" w:rsidP="0015796A">
      <w:pPr>
        <w:spacing w:after="0" w:line="240" w:lineRule="auto"/>
        <w:rPr>
          <w:rFonts w:ascii="Verdana" w:eastAsia="Calibri" w:hAnsi="Verdana" w:cs="Arial"/>
          <w:b/>
          <w:bCs/>
          <w:color w:val="000000" w:themeColor="text1"/>
          <w:highlight w:val="cyan"/>
          <w:lang w:val="es-ES_tradnl" w:eastAsia="es-ES_tradnl"/>
        </w:rPr>
      </w:pPr>
    </w:p>
    <w:p w14:paraId="3F5E1382" w14:textId="58CD5638" w:rsidR="0015796A" w:rsidRDefault="0015796A" w:rsidP="0015796A">
      <w:pPr>
        <w:spacing w:after="0" w:line="240" w:lineRule="auto"/>
        <w:rPr>
          <w:rFonts w:ascii="Verdana" w:eastAsia="Calibri" w:hAnsi="Verdana" w:cs="Arial"/>
          <w:lang w:val="es-ES" w:eastAsia="es-E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90"/>
        <w:gridCol w:w="5748"/>
      </w:tblGrid>
      <w:tr w:rsidR="0015796A" w14:paraId="701CC6A4" w14:textId="77777777" w:rsidTr="001B063F">
        <w:tc>
          <w:tcPr>
            <w:tcW w:w="3119" w:type="dxa"/>
          </w:tcPr>
          <w:p w14:paraId="171F4476" w14:textId="77777777" w:rsidR="0015796A" w:rsidRDefault="0015796A" w:rsidP="001B063F">
            <w:pPr>
              <w:spacing w:line="276" w:lineRule="auto"/>
              <w:jc w:val="both"/>
              <w:rPr>
                <w:rFonts w:ascii="Verdana" w:eastAsia="Calibri" w:hAnsi="Verdana" w:cs="Arial"/>
                <w:lang w:val="es-ES" w:eastAsia="es-ES"/>
              </w:rPr>
            </w:pPr>
          </w:p>
        </w:tc>
        <w:tc>
          <w:tcPr>
            <w:tcW w:w="5807" w:type="dxa"/>
          </w:tcPr>
          <w:p w14:paraId="25921B5D" w14:textId="77777777" w:rsidR="0015796A" w:rsidRPr="0086590B" w:rsidRDefault="0015796A" w:rsidP="001B063F">
            <w:pPr>
              <w:rPr>
                <w:rFonts w:ascii="Verdana" w:eastAsia="Calibri" w:hAnsi="Verdana" w:cs="Arial"/>
                <w:b/>
                <w:bCs/>
                <w:color w:val="000000" w:themeColor="text1"/>
                <w:lang w:val="es-ES_tradnl" w:eastAsia="es-ES_tradnl"/>
              </w:rPr>
            </w:pPr>
            <w:r w:rsidRPr="0086590B">
              <w:rPr>
                <w:rFonts w:ascii="Verdana" w:eastAsia="Calibri" w:hAnsi="Verdana" w:cs="Arial"/>
                <w:b/>
                <w:bCs/>
                <w:color w:val="000000" w:themeColor="text1"/>
                <w:lang w:val="es-ES_tradnl" w:eastAsia="es-ES_tradnl"/>
              </w:rPr>
              <w:t>Concepto C-</w:t>
            </w:r>
            <w:r>
              <w:rPr>
                <w:rFonts w:ascii="Verdana" w:eastAsia="Calibri" w:hAnsi="Verdana" w:cs="Arial"/>
                <w:b/>
                <w:bCs/>
                <w:color w:val="000000" w:themeColor="text1"/>
                <w:lang w:val="es-ES_tradnl" w:eastAsia="es-ES_tradnl"/>
              </w:rPr>
              <w:t>505</w:t>
            </w:r>
            <w:r w:rsidRPr="0086590B">
              <w:rPr>
                <w:rFonts w:ascii="Verdana" w:eastAsia="Calibri" w:hAnsi="Verdana" w:cs="Arial"/>
                <w:b/>
                <w:bCs/>
                <w:color w:val="000000" w:themeColor="text1"/>
                <w:lang w:val="es-ES_tradnl" w:eastAsia="es-ES_tradnl"/>
              </w:rPr>
              <w:t xml:space="preserve"> del 2026</w:t>
            </w:r>
          </w:p>
          <w:p w14:paraId="713096F9" w14:textId="77777777" w:rsidR="0015796A" w:rsidRDefault="0015796A" w:rsidP="001B063F">
            <w:pPr>
              <w:spacing w:line="276" w:lineRule="auto"/>
              <w:jc w:val="both"/>
              <w:rPr>
                <w:rFonts w:ascii="Verdana" w:eastAsia="Calibri" w:hAnsi="Verdana" w:cs="Arial"/>
                <w:lang w:val="es-ES" w:eastAsia="es-ES"/>
              </w:rPr>
            </w:pPr>
          </w:p>
        </w:tc>
      </w:tr>
      <w:tr w:rsidR="0015796A" w14:paraId="6899A713" w14:textId="77777777" w:rsidTr="001B063F">
        <w:tc>
          <w:tcPr>
            <w:tcW w:w="3119" w:type="dxa"/>
          </w:tcPr>
          <w:p w14:paraId="1AFD68E8" w14:textId="77777777" w:rsidR="0015796A" w:rsidRDefault="0015796A" w:rsidP="001B063F">
            <w:pPr>
              <w:spacing w:line="276" w:lineRule="auto"/>
              <w:jc w:val="both"/>
              <w:rPr>
                <w:rFonts w:ascii="Verdana" w:eastAsia="Calibri" w:hAnsi="Verdana" w:cs="Arial"/>
                <w:lang w:val="es-ES" w:eastAsia="es-ES"/>
              </w:rPr>
            </w:pPr>
            <w:r w:rsidRPr="0086590B">
              <w:rPr>
                <w:rFonts w:ascii="Verdana" w:eastAsia="Calibri" w:hAnsi="Verdana" w:cs="Arial"/>
                <w:b/>
                <w:color w:val="000000" w:themeColor="text1"/>
                <w:lang w:val="es-ES_tradnl" w:eastAsia="es-ES_tradnl"/>
              </w:rPr>
              <w:t>Temas:</w:t>
            </w:r>
            <w:r w:rsidRPr="0086590B">
              <w:rPr>
                <w:rFonts w:ascii="Verdana" w:eastAsia="Calibri" w:hAnsi="Verdana" w:cs="Arial"/>
                <w:color w:val="000000" w:themeColor="text1"/>
                <w:lang w:val="es-ES_tradnl" w:eastAsia="es-ES_tradnl"/>
              </w:rPr>
              <w:t xml:space="preserve">                   </w:t>
            </w:r>
          </w:p>
        </w:tc>
        <w:tc>
          <w:tcPr>
            <w:tcW w:w="5807" w:type="dxa"/>
          </w:tcPr>
          <w:p w14:paraId="06AE5258" w14:textId="77777777" w:rsidR="0015796A" w:rsidRDefault="0015796A" w:rsidP="001B063F">
            <w:pPr>
              <w:spacing w:after="120" w:line="276" w:lineRule="auto"/>
              <w:jc w:val="both"/>
              <w:rPr>
                <w:rFonts w:ascii="Verdana" w:eastAsia="Calibri" w:hAnsi="Verdana" w:cs="Arial"/>
                <w:lang w:val="es-ES" w:eastAsia="es-ES"/>
              </w:rPr>
            </w:pPr>
            <w:r w:rsidRPr="00E9648F">
              <w:rPr>
                <w:rFonts w:ascii="Verdana" w:eastAsia="Calibri" w:hAnsi="Verdana" w:cs="Arial"/>
                <w:lang w:val="es-ES" w:eastAsia="es-ES"/>
              </w:rPr>
              <w:t xml:space="preserve">SUBSANABILIDAD – Aplicación – Regla general – Excepciones / SUBSANABILIDAD DE LAS OFERTAS – Alcance de la regla – Ley 1882 de 2018 – Ámbito temporal – Criterio material / CAUSALES DE RECHAZO DE LAS OFERTAS – Origen – Límites en su configuración / CAUSALES DE RECHAZO – Procedencia / PRECIO ‒ </w:t>
            </w:r>
            <w:r w:rsidRPr="00E9648F">
              <w:rPr>
                <w:rFonts w:ascii="Verdana" w:eastAsia="Calibri" w:hAnsi="Verdana" w:cs="Arial"/>
                <w:bCs/>
                <w:lang w:eastAsia="es-ES"/>
              </w:rPr>
              <w:t xml:space="preserve">Inclusión – Impuestos </w:t>
            </w:r>
            <w:r w:rsidRPr="00E9648F">
              <w:rPr>
                <w:rFonts w:ascii="Verdana" w:eastAsia="Calibri" w:hAnsi="Verdana" w:cs="Arial"/>
                <w:lang w:val="es-ES" w:eastAsia="es-ES"/>
              </w:rPr>
              <w:t>/ EVALUACIÓN DEL PRECIO ‒ Selección objetiva / EVALUACION DEL PRECIO – Principio de igualdad / EVALUACIÓN DEL PRECIO – Costo real ‒ Incluye IVA</w:t>
            </w:r>
          </w:p>
        </w:tc>
      </w:tr>
      <w:tr w:rsidR="0015796A" w14:paraId="254E0D98" w14:textId="77777777" w:rsidTr="001B063F">
        <w:tc>
          <w:tcPr>
            <w:tcW w:w="3119" w:type="dxa"/>
          </w:tcPr>
          <w:p w14:paraId="69AB6B14" w14:textId="77777777" w:rsidR="0015796A" w:rsidRDefault="0015796A" w:rsidP="001B063F">
            <w:pPr>
              <w:spacing w:line="276" w:lineRule="auto"/>
              <w:jc w:val="both"/>
              <w:rPr>
                <w:rFonts w:ascii="Verdana" w:eastAsia="Calibri" w:hAnsi="Verdana" w:cs="Arial"/>
                <w:lang w:val="es-ES" w:eastAsia="es-ES"/>
              </w:rPr>
            </w:pPr>
            <w:r w:rsidRPr="0086590B">
              <w:rPr>
                <w:rFonts w:ascii="Verdana" w:eastAsia="Calibri" w:hAnsi="Verdana" w:cs="Arial"/>
                <w:b/>
                <w:color w:val="000000" w:themeColor="text1"/>
                <w:lang w:val="es-ES_tradnl" w:eastAsia="es-ES_tradnl"/>
              </w:rPr>
              <w:t>Radicación:</w:t>
            </w:r>
            <w:r w:rsidRPr="0086590B">
              <w:rPr>
                <w:rFonts w:ascii="Verdana" w:eastAsia="Calibri" w:hAnsi="Verdana" w:cs="Arial"/>
                <w:color w:val="000000" w:themeColor="text1"/>
                <w:lang w:val="es-ES_tradnl" w:eastAsia="es-ES_tradnl"/>
              </w:rPr>
              <w:t xml:space="preserve">               </w:t>
            </w:r>
          </w:p>
        </w:tc>
        <w:tc>
          <w:tcPr>
            <w:tcW w:w="5807" w:type="dxa"/>
          </w:tcPr>
          <w:p w14:paraId="7037BCAC" w14:textId="03766569" w:rsidR="0015796A" w:rsidRDefault="0015796A" w:rsidP="001B063F">
            <w:pPr>
              <w:spacing w:line="276" w:lineRule="auto"/>
              <w:jc w:val="both"/>
              <w:rPr>
                <w:rFonts w:ascii="Verdana" w:eastAsia="Calibri" w:hAnsi="Verdana" w:cs="Arial"/>
                <w:lang w:val="es-ES" w:eastAsia="es-ES"/>
              </w:rPr>
            </w:pPr>
            <w:r w:rsidRPr="0086590B">
              <w:rPr>
                <w:rFonts w:ascii="Verdana" w:eastAsia="Calibri" w:hAnsi="Verdana" w:cs="Arial"/>
                <w:color w:val="000000" w:themeColor="text1"/>
                <w:lang w:val="es-ES_tradnl" w:eastAsia="es-ES_tradnl"/>
              </w:rPr>
              <w:t>Respuesta a consulta con radicado No.</w:t>
            </w:r>
            <w:r w:rsidRPr="0086590B">
              <w:rPr>
                <w:rFonts w:ascii="Verdana" w:hAnsi="Verdana"/>
              </w:rPr>
              <w:t xml:space="preserve"> </w:t>
            </w:r>
            <w:r w:rsidR="00AD54B8" w:rsidRPr="00E56731">
              <w:rPr>
                <w:rFonts w:ascii="Verdana" w:eastAsia="Calibri" w:hAnsi="Verdana" w:cs="Arial"/>
                <w:color w:val="000000" w:themeColor="text1"/>
                <w:lang w:eastAsia="es-ES_tradnl"/>
              </w:rPr>
              <w:t>1_2026_03_26_004220</w:t>
            </w:r>
          </w:p>
        </w:tc>
      </w:tr>
    </w:tbl>
    <w:p w14:paraId="3E6C447B" w14:textId="77777777" w:rsidR="0015796A" w:rsidRDefault="0015796A" w:rsidP="0015796A">
      <w:pPr>
        <w:spacing w:after="0" w:line="276" w:lineRule="auto"/>
        <w:jc w:val="both"/>
        <w:rPr>
          <w:rFonts w:ascii="Verdana" w:eastAsia="Calibri" w:hAnsi="Verdana" w:cs="Arial"/>
          <w:lang w:val="es-ES" w:eastAsia="es-ES"/>
        </w:rPr>
      </w:pPr>
    </w:p>
    <w:p w14:paraId="5A8BE85E" w14:textId="77777777" w:rsidR="0015796A" w:rsidRDefault="0015796A" w:rsidP="0015796A">
      <w:pPr>
        <w:spacing w:after="0" w:line="276" w:lineRule="auto"/>
        <w:jc w:val="both"/>
        <w:rPr>
          <w:rFonts w:ascii="Verdana" w:eastAsia="Calibri" w:hAnsi="Verdana" w:cs="Arial"/>
          <w:lang w:val="es-ES" w:eastAsia="es-ES"/>
        </w:rPr>
      </w:pPr>
      <w:r>
        <w:rPr>
          <w:rFonts w:ascii="Verdana" w:eastAsia="Calibri" w:hAnsi="Verdana" w:cs="Arial"/>
          <w:lang w:val="es-ES" w:eastAsia="es-ES"/>
        </w:rPr>
        <w:t>Estimada señora Luz Karina:</w:t>
      </w:r>
    </w:p>
    <w:p w14:paraId="445E3524" w14:textId="77777777" w:rsidR="0015796A" w:rsidRDefault="0015796A" w:rsidP="00567342">
      <w:pPr>
        <w:spacing w:after="0" w:line="276" w:lineRule="auto"/>
        <w:ind w:right="1293"/>
        <w:jc w:val="both"/>
        <w:rPr>
          <w:rFonts w:ascii="Verdana" w:eastAsia="Calibri" w:hAnsi="Verdana" w:cs="Arial"/>
          <w:lang w:val="es-ES" w:eastAsia="es-ES"/>
        </w:rPr>
      </w:pPr>
    </w:p>
    <w:p w14:paraId="6D297B7E" w14:textId="77777777" w:rsidR="0015796A" w:rsidRDefault="0015796A" w:rsidP="00B02C86">
      <w:pPr>
        <w:spacing w:after="0" w:line="276" w:lineRule="auto"/>
        <w:ind w:right="51"/>
        <w:jc w:val="both"/>
        <w:rPr>
          <w:rFonts w:ascii="Verdana" w:eastAsia="Calibri" w:hAnsi="Verdana" w:cs="Arial"/>
          <w:lang w:val="es-ES" w:eastAsia="es-ES"/>
        </w:rPr>
      </w:pPr>
      <w:r w:rsidRPr="0086590B">
        <w:rPr>
          <w:rFonts w:ascii="Verdana" w:eastAsia="Calibri" w:hAnsi="Verdana" w:cs="Arial"/>
          <w:lang w:val="es-ES" w:eastAsia="es-ES"/>
        </w:rPr>
        <w:t>En ejercicio de la competencia otorgada por los artículos 3, numeral 5º, y 11, numeral 8º, del Decreto Ley 4170 de 2011,</w:t>
      </w:r>
      <w:r w:rsidRPr="0086590B">
        <w:rPr>
          <w:rFonts w:ascii="Verdana" w:eastAsia="Arial MT" w:hAnsi="Verdana" w:cs="Arial"/>
          <w:lang w:val="es-ES" w:eastAsia="es-ES"/>
        </w:rPr>
        <w:t xml:space="preserve"> </w:t>
      </w:r>
      <w:r w:rsidRPr="0086590B">
        <w:rPr>
          <w:rFonts w:ascii="Verdana" w:hAnsi="Verdana" w:cs="Arial"/>
        </w:rPr>
        <w:t xml:space="preserve">así como lo establecido en el artículo 4 de la Resolución 1707 de 2018 expedida por esta Entidad, </w:t>
      </w:r>
      <w:r w:rsidRPr="0086590B">
        <w:rPr>
          <w:rFonts w:ascii="Verdana" w:eastAsia="Calibri" w:hAnsi="Verdana" w:cs="Arial"/>
          <w:lang w:val="es-ES" w:eastAsia="es-ES"/>
        </w:rPr>
        <w:t xml:space="preserve">la Agencia Nacional de Contratación Pública – Colombia Compra Eficiente– responde su solicitud del </w:t>
      </w:r>
      <w:r>
        <w:rPr>
          <w:rFonts w:ascii="Verdana" w:eastAsia="Calibri" w:hAnsi="Verdana" w:cs="Arial"/>
          <w:lang w:val="es-ES" w:eastAsia="es-ES"/>
        </w:rPr>
        <w:t>26 de marzo</w:t>
      </w:r>
      <w:r w:rsidRPr="0086590B">
        <w:rPr>
          <w:rFonts w:ascii="Verdana" w:eastAsia="Calibri" w:hAnsi="Verdana" w:cs="Arial"/>
          <w:lang w:val="es-ES" w:eastAsia="es-ES"/>
        </w:rPr>
        <w:t xml:space="preserve"> del 2026, en la cual manifiesta lo siguiente: </w:t>
      </w:r>
    </w:p>
    <w:p w14:paraId="5E46127F" w14:textId="77777777" w:rsidR="00B02C86" w:rsidRDefault="00B02C86" w:rsidP="00567342">
      <w:pPr>
        <w:spacing w:after="0" w:line="276" w:lineRule="auto"/>
        <w:ind w:right="51"/>
        <w:jc w:val="both"/>
        <w:rPr>
          <w:rFonts w:ascii="Verdana" w:eastAsia="Calibri" w:hAnsi="Verdana" w:cs="Arial"/>
          <w:lang w:val="es-ES" w:eastAsia="es-ES"/>
        </w:rPr>
      </w:pPr>
    </w:p>
    <w:p w14:paraId="36F1E88A" w14:textId="443F016E" w:rsidR="009811C3" w:rsidRPr="009811C3" w:rsidRDefault="009811C3" w:rsidP="00567342">
      <w:pPr>
        <w:spacing w:after="0" w:line="240" w:lineRule="auto"/>
        <w:ind w:left="709" w:right="709"/>
        <w:jc w:val="both"/>
        <w:rPr>
          <w:rFonts w:ascii="Verdana" w:eastAsia="Century Gothic" w:hAnsi="Verdana" w:cs="Arial"/>
          <w:sz w:val="20"/>
          <w:szCs w:val="20"/>
        </w:rPr>
      </w:pPr>
      <w:r w:rsidRPr="0086590B">
        <w:rPr>
          <w:rFonts w:ascii="Verdana" w:eastAsia="Century Gothic" w:hAnsi="Verdana" w:cs="Arial"/>
          <w:sz w:val="20"/>
          <w:szCs w:val="20"/>
          <w:lang w:val="es-ES"/>
        </w:rPr>
        <w:t>“</w:t>
      </w:r>
      <w:r>
        <w:rPr>
          <w:rFonts w:ascii="Verdana" w:eastAsia="Century Gothic" w:hAnsi="Verdana" w:cs="Arial"/>
          <w:sz w:val="20"/>
          <w:szCs w:val="20"/>
          <w:lang w:val="es-ES"/>
        </w:rPr>
        <w:t xml:space="preserve">(…) </w:t>
      </w:r>
      <w:r w:rsidRPr="00E56731">
        <w:rPr>
          <w:rFonts w:ascii="Verdana" w:eastAsia="Century Gothic" w:hAnsi="Verdana" w:cs="Arial"/>
          <w:sz w:val="20"/>
          <w:szCs w:val="20"/>
        </w:rPr>
        <w:t xml:space="preserve">Si la </w:t>
      </w:r>
      <w:proofErr w:type="spellStart"/>
      <w:r w:rsidRPr="00E56731">
        <w:rPr>
          <w:rFonts w:ascii="Verdana" w:eastAsia="Century Gothic" w:hAnsi="Verdana" w:cs="Arial"/>
          <w:sz w:val="20"/>
          <w:szCs w:val="20"/>
        </w:rPr>
        <w:t>subsanabilidad</w:t>
      </w:r>
      <w:proofErr w:type="spellEnd"/>
      <w:r w:rsidRPr="00E56731">
        <w:rPr>
          <w:rFonts w:ascii="Verdana" w:eastAsia="Century Gothic" w:hAnsi="Verdana" w:cs="Arial"/>
          <w:sz w:val="20"/>
          <w:szCs w:val="20"/>
        </w:rPr>
        <w:t xml:space="preserve"> de los documentos que otorgan puntaje está prohibida por la Ley 1150 de 2007, porque un oferente puede firmar la oferta económica después del cierre de una licitación de mínima cuantía, se puede rechazar una oferta en la cual un oferente discrimine el valor del </w:t>
      </w:r>
      <w:proofErr w:type="spellStart"/>
      <w:r w:rsidRPr="00E56731">
        <w:rPr>
          <w:rFonts w:ascii="Verdana" w:eastAsia="Century Gothic" w:hAnsi="Verdana" w:cs="Arial"/>
          <w:sz w:val="20"/>
          <w:szCs w:val="20"/>
        </w:rPr>
        <w:t>iva</w:t>
      </w:r>
      <w:proofErr w:type="spellEnd"/>
      <w:r w:rsidRPr="00E56731">
        <w:rPr>
          <w:rFonts w:ascii="Verdana" w:eastAsia="Century Gothic" w:hAnsi="Verdana" w:cs="Arial"/>
          <w:sz w:val="20"/>
          <w:szCs w:val="20"/>
        </w:rPr>
        <w:t xml:space="preserve"> de forma errónea, se puede subsanar </w:t>
      </w:r>
      <w:r>
        <w:rPr>
          <w:rFonts w:ascii="Verdana" w:eastAsia="Century Gothic" w:hAnsi="Verdana" w:cs="Arial"/>
          <w:sz w:val="20"/>
          <w:szCs w:val="20"/>
        </w:rPr>
        <w:t>(…)</w:t>
      </w:r>
      <w:r w:rsidRPr="0086590B">
        <w:rPr>
          <w:rFonts w:ascii="Verdana" w:eastAsia="Century Gothic" w:hAnsi="Verdana" w:cs="Arial"/>
          <w:sz w:val="20"/>
          <w:szCs w:val="20"/>
        </w:rPr>
        <w:t>”</w:t>
      </w:r>
      <w:r>
        <w:rPr>
          <w:rFonts w:ascii="Verdana" w:eastAsia="Century Gothic" w:hAnsi="Verdana" w:cs="Arial"/>
          <w:sz w:val="20"/>
          <w:szCs w:val="20"/>
        </w:rPr>
        <w:t>.</w:t>
      </w:r>
    </w:p>
    <w:p w14:paraId="3CD39B3B" w14:textId="77777777" w:rsidR="00B02C86" w:rsidRDefault="00B02C86" w:rsidP="00567342">
      <w:pPr>
        <w:spacing w:after="0" w:line="276" w:lineRule="auto"/>
        <w:ind w:right="49" w:firstLine="709"/>
        <w:jc w:val="both"/>
        <w:rPr>
          <w:rFonts w:ascii="Verdana" w:eastAsia="Calibri" w:hAnsi="Verdana" w:cs="Arial"/>
          <w:lang w:val="es-ES" w:eastAsia="es-ES"/>
        </w:rPr>
      </w:pPr>
    </w:p>
    <w:p w14:paraId="7972BE6F" w14:textId="5B288718" w:rsidR="009811C3" w:rsidRPr="0086590B" w:rsidRDefault="009811C3" w:rsidP="001418DF">
      <w:pPr>
        <w:spacing w:after="120" w:line="276" w:lineRule="auto"/>
        <w:ind w:right="49" w:firstLine="709"/>
        <w:jc w:val="both"/>
        <w:rPr>
          <w:rFonts w:ascii="Verdana" w:eastAsia="Calibri" w:hAnsi="Verdana" w:cs="Arial"/>
          <w:color w:val="000000"/>
          <w:lang w:val="es-ES_tradnl" w:eastAsia="es-ES_tradnl"/>
        </w:rPr>
      </w:pPr>
      <w:r w:rsidRPr="00FD1586">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w:t>
      </w:r>
      <w:r w:rsidRPr="0086590B">
        <w:rPr>
          <w:rFonts w:ascii="Verdana" w:eastAsia="Calibri" w:hAnsi="Verdana" w:cs="Arial"/>
          <w:color w:val="000000"/>
          <w:lang w:val="es-ES" w:eastAsia="es-ES"/>
        </w:rPr>
        <w:t xml:space="preserve">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4200B364" w14:textId="74F42C07" w:rsidR="009811C3" w:rsidRPr="0086590B" w:rsidRDefault="009811C3" w:rsidP="008A2D28">
      <w:pPr>
        <w:spacing w:after="0" w:line="276" w:lineRule="auto"/>
        <w:ind w:right="49" w:firstLine="709"/>
        <w:jc w:val="both"/>
        <w:rPr>
          <w:rFonts w:ascii="Verdana" w:eastAsia="Calibri" w:hAnsi="Verdana" w:cs="Arial"/>
          <w:color w:val="000000"/>
          <w:lang w:val="es-ES" w:eastAsia="es-ES"/>
        </w:rPr>
      </w:pPr>
      <w:r w:rsidRPr="0086590B">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lang w:val="es-ES" w:eastAsia="es-ES"/>
        </w:rPr>
        <w:t>l</w:t>
      </w:r>
      <w:r w:rsidRPr="0086590B">
        <w:rPr>
          <w:rFonts w:ascii="Verdana" w:eastAsia="Calibri" w:hAnsi="Verdana" w:cs="Arial"/>
          <w:color w:val="000000"/>
          <w:lang w:val="es-ES" w:eastAsia="es-ES"/>
        </w:rPr>
        <w:t>os problemas jurídicos de su consulta.</w:t>
      </w:r>
    </w:p>
    <w:p w14:paraId="3CEC1362" w14:textId="77777777" w:rsidR="008A2D28" w:rsidRPr="0086590B" w:rsidRDefault="008A2D28" w:rsidP="00567342">
      <w:pPr>
        <w:spacing w:after="0" w:line="276" w:lineRule="auto"/>
        <w:ind w:right="49" w:firstLine="709"/>
        <w:jc w:val="both"/>
        <w:rPr>
          <w:rFonts w:ascii="Verdana" w:eastAsia="Calibri" w:hAnsi="Verdana" w:cs="Arial"/>
          <w:color w:val="000000"/>
          <w:lang w:val="es-ES" w:eastAsia="es-ES"/>
        </w:rPr>
      </w:pPr>
    </w:p>
    <w:p w14:paraId="2FEEE1F7" w14:textId="564A01A0" w:rsidR="009811C3" w:rsidRPr="0086590B" w:rsidRDefault="009811C3" w:rsidP="00567342">
      <w:pPr>
        <w:pStyle w:val="Prrafodelista"/>
        <w:numPr>
          <w:ilvl w:val="0"/>
          <w:numId w:val="22"/>
        </w:numPr>
        <w:tabs>
          <w:tab w:val="left" w:pos="142"/>
          <w:tab w:val="left" w:pos="284"/>
        </w:tabs>
        <w:spacing w:after="0" w:line="276" w:lineRule="auto"/>
        <w:ind w:right="1291"/>
        <w:contextualSpacing w:val="0"/>
        <w:jc w:val="both"/>
        <w:rPr>
          <w:rFonts w:ascii="Verdana" w:eastAsia="Century Gothic" w:hAnsi="Verdana" w:cs="Arial"/>
          <w:b/>
          <w:bCs/>
        </w:rPr>
      </w:pPr>
      <w:r w:rsidRPr="0086590B">
        <w:rPr>
          <w:rFonts w:ascii="Verdana" w:eastAsia="Century Gothic" w:hAnsi="Verdana" w:cs="Arial"/>
          <w:b/>
          <w:bCs/>
        </w:rPr>
        <w:t>Problema planteado:</w:t>
      </w:r>
    </w:p>
    <w:p w14:paraId="7A5F8403" w14:textId="77777777" w:rsidR="009811C3" w:rsidRPr="0086590B" w:rsidRDefault="009811C3" w:rsidP="00AD54B8">
      <w:pPr>
        <w:spacing w:after="0" w:line="240" w:lineRule="auto"/>
        <w:ind w:right="1293"/>
        <w:jc w:val="both"/>
        <w:rPr>
          <w:rStyle w:val="Hipervnculo"/>
          <w:rFonts w:ascii="Verdana" w:hAnsi="Verdana" w:cs="Arial"/>
          <w:lang w:val="es-ES"/>
        </w:rPr>
      </w:pPr>
    </w:p>
    <w:p w14:paraId="7420E155" w14:textId="702D4558" w:rsidR="00BC405E" w:rsidRDefault="009811C3" w:rsidP="0035721D">
      <w:pPr>
        <w:spacing w:after="0" w:line="276" w:lineRule="auto"/>
        <w:ind w:right="49"/>
        <w:jc w:val="both"/>
        <w:rPr>
          <w:rFonts w:ascii="Verdana" w:eastAsia="Century Gothic" w:hAnsi="Verdana" w:cs="Arial"/>
        </w:rPr>
      </w:pPr>
      <w:r w:rsidRPr="0086590B">
        <w:rPr>
          <w:rFonts w:ascii="Verdana" w:eastAsia="Century Gothic" w:hAnsi="Verdana" w:cs="Arial"/>
        </w:rPr>
        <w:t xml:space="preserve">De acuerdo con el contenido de su solicitud, esta Agencia resolverá los siguientes problemas jurídicos: i) </w:t>
      </w:r>
      <w:r>
        <w:rPr>
          <w:rFonts w:ascii="Verdana" w:eastAsia="Century Gothic" w:hAnsi="Verdana" w:cs="Arial"/>
        </w:rPr>
        <w:t xml:space="preserve">Teniendo en cuenta que los requisitos que otorgan puntaje no pueden ser subsanados en un proceso de selección, </w:t>
      </w:r>
      <w:r w:rsidRPr="0086590B">
        <w:rPr>
          <w:rFonts w:ascii="Verdana" w:eastAsia="Century Gothic" w:hAnsi="Verdana" w:cs="Arial"/>
        </w:rPr>
        <w:t>¿</w:t>
      </w:r>
      <w:r>
        <w:rPr>
          <w:rFonts w:ascii="Verdana" w:eastAsia="Century Gothic" w:hAnsi="Verdana" w:cs="Arial"/>
        </w:rPr>
        <w:t>el oferente puede firmar la oferta después del cierre de un proceso de selección?</w:t>
      </w:r>
      <w:r w:rsidR="00BC405E">
        <w:rPr>
          <w:rFonts w:ascii="Verdana" w:eastAsia="Century Gothic" w:hAnsi="Verdana" w:cs="Arial"/>
        </w:rPr>
        <w:t xml:space="preserve"> </w:t>
      </w:r>
      <w:proofErr w:type="spellStart"/>
      <w:r w:rsidR="004822FC">
        <w:rPr>
          <w:rFonts w:ascii="Verdana" w:eastAsia="Century Gothic" w:hAnsi="Verdana" w:cs="Arial"/>
        </w:rPr>
        <w:t>i</w:t>
      </w:r>
      <w:r w:rsidR="00BC405E">
        <w:rPr>
          <w:rFonts w:ascii="Verdana" w:eastAsia="Century Gothic" w:hAnsi="Verdana" w:cs="Arial"/>
        </w:rPr>
        <w:t>i</w:t>
      </w:r>
      <w:proofErr w:type="spellEnd"/>
      <w:r w:rsidR="00BC405E">
        <w:rPr>
          <w:rFonts w:ascii="Verdana" w:eastAsia="Century Gothic" w:hAnsi="Verdana" w:cs="Arial"/>
        </w:rPr>
        <w:t xml:space="preserve">) ¿Se considera causal de rechazo la oferta que erróneamente discriminó el valor del IVA? </w:t>
      </w:r>
    </w:p>
    <w:p w14:paraId="475530E7" w14:textId="77777777" w:rsidR="008A2D28" w:rsidRPr="00FD1586" w:rsidRDefault="008A2D28" w:rsidP="00AD54B8">
      <w:pPr>
        <w:spacing w:after="0" w:line="240" w:lineRule="auto"/>
        <w:ind w:right="51"/>
        <w:jc w:val="both"/>
        <w:rPr>
          <w:rStyle w:val="Hipervnculo"/>
          <w:rFonts w:ascii="Verdana" w:eastAsia="Century Gothic" w:hAnsi="Verdana" w:cs="Century Gothic"/>
          <w:color w:val="000000" w:themeColor="text1"/>
          <w:u w:val="none"/>
        </w:rPr>
      </w:pPr>
    </w:p>
    <w:p w14:paraId="2C7168C6" w14:textId="457FFCA8" w:rsidR="00BC405E" w:rsidRPr="00567342" w:rsidRDefault="00BC405E" w:rsidP="00567342">
      <w:pPr>
        <w:pStyle w:val="Prrafodelista"/>
        <w:numPr>
          <w:ilvl w:val="0"/>
          <w:numId w:val="22"/>
        </w:numPr>
        <w:tabs>
          <w:tab w:val="left" w:pos="142"/>
          <w:tab w:val="left" w:pos="284"/>
        </w:tabs>
        <w:spacing w:after="0" w:line="276" w:lineRule="auto"/>
        <w:ind w:right="1291"/>
        <w:contextualSpacing w:val="0"/>
        <w:jc w:val="both"/>
        <w:rPr>
          <w:rFonts w:ascii="Verdana" w:eastAsia="Century Gothic" w:hAnsi="Verdana" w:cs="Arial"/>
          <w:b/>
        </w:rPr>
      </w:pPr>
      <w:r w:rsidRPr="00567342">
        <w:rPr>
          <w:rFonts w:ascii="Verdana" w:eastAsia="Century Gothic" w:hAnsi="Verdana" w:cs="Arial"/>
          <w:b/>
        </w:rPr>
        <w:t>Respuesta:</w:t>
      </w:r>
    </w:p>
    <w:p w14:paraId="15CD472E" w14:textId="77777777" w:rsidR="00BC405E" w:rsidRPr="0086590B" w:rsidRDefault="00BC405E" w:rsidP="00BC405E">
      <w:pPr>
        <w:spacing w:after="0" w:line="276" w:lineRule="auto"/>
        <w:rPr>
          <w:rFonts w:ascii="Verdana" w:eastAsia="Aptos" w:hAnsi="Verdana" w:cs="Arial"/>
          <w:highlight w:val="cy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C405E" w:rsidRPr="0086590B" w14:paraId="7D37A72B" w14:textId="77777777" w:rsidTr="001B063F">
        <w:tc>
          <w:tcPr>
            <w:tcW w:w="8828" w:type="dxa"/>
          </w:tcPr>
          <w:p w14:paraId="74A8DE29" w14:textId="663A482C" w:rsidR="005E7F84" w:rsidRDefault="00FF429D" w:rsidP="005E7F84">
            <w:pPr>
              <w:spacing w:after="120" w:line="276" w:lineRule="auto"/>
              <w:ind w:right="-60"/>
              <w:jc w:val="both"/>
              <w:rPr>
                <w:rFonts w:ascii="Verdana" w:eastAsia="Arial" w:hAnsi="Verdana" w:cs="Arial"/>
                <w:color w:val="000000"/>
              </w:rPr>
            </w:pPr>
            <w:bookmarkStart w:id="1" w:name="_Hlk171067516"/>
            <w:r>
              <w:rPr>
                <w:rFonts w:ascii="Verdana" w:eastAsia="Calibri" w:hAnsi="Verdana" w:cs="Arial"/>
              </w:rPr>
              <w:t xml:space="preserve">i) </w:t>
            </w:r>
            <w:r w:rsidR="00FC3F32">
              <w:rPr>
                <w:rFonts w:ascii="Verdana" w:eastAsia="Calibri" w:hAnsi="Verdana" w:cs="Arial"/>
              </w:rPr>
              <w:t xml:space="preserve">La </w:t>
            </w:r>
            <w:r w:rsidR="00933558">
              <w:rPr>
                <w:rFonts w:ascii="Verdana" w:eastAsia="Calibri" w:hAnsi="Verdana" w:cs="Arial"/>
              </w:rPr>
              <w:t>Ley</w:t>
            </w:r>
            <w:r w:rsidR="00FC3F32">
              <w:rPr>
                <w:rFonts w:ascii="Verdana" w:eastAsia="Calibri" w:hAnsi="Verdana" w:cs="Arial"/>
              </w:rPr>
              <w:t xml:space="preserve"> 1882 de 2018</w:t>
            </w:r>
            <w:r w:rsidR="00DC1E49">
              <w:rPr>
                <w:rFonts w:ascii="Verdana" w:eastAsia="Calibri" w:hAnsi="Verdana" w:cs="Arial"/>
              </w:rPr>
              <w:t>,</w:t>
            </w:r>
            <w:r w:rsidR="00FC3F32">
              <w:rPr>
                <w:rFonts w:ascii="Verdana" w:eastAsia="Calibri" w:hAnsi="Verdana" w:cs="Arial"/>
              </w:rPr>
              <w:t xml:space="preserve"> en su artículo 5</w:t>
            </w:r>
            <w:r w:rsidR="00DC1E49">
              <w:rPr>
                <w:rFonts w:ascii="Verdana" w:eastAsia="Calibri" w:hAnsi="Verdana" w:cs="Arial"/>
              </w:rPr>
              <w:t>,</w:t>
            </w:r>
            <w:r w:rsidR="00FC3F32">
              <w:rPr>
                <w:rFonts w:ascii="Verdana" w:eastAsia="Calibri" w:hAnsi="Verdana" w:cs="Arial"/>
              </w:rPr>
              <w:t xml:space="preserve"> </w:t>
            </w:r>
            <w:r w:rsidR="0094320B">
              <w:rPr>
                <w:rFonts w:ascii="Verdana" w:eastAsia="Calibri" w:hAnsi="Verdana" w:cs="Arial"/>
              </w:rPr>
              <w:t xml:space="preserve">determinó que </w:t>
            </w:r>
            <w:r w:rsidR="005E7F84" w:rsidRPr="0086590B">
              <w:rPr>
                <w:rFonts w:ascii="Verdana" w:eastAsia="Arial" w:hAnsi="Verdana" w:cs="Arial"/>
                <w:color w:val="000000" w:themeColor="text1"/>
              </w:rPr>
              <w:t xml:space="preserve">lo subsanable es la prueba de todas las circunstancias ocurridas antes del vencimiento del término para presentar las ofertas; eso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0D5FB96B" w14:textId="51D29804" w:rsidR="005E7F84" w:rsidRDefault="005E7F84" w:rsidP="005E7F84">
            <w:pPr>
              <w:spacing w:after="120" w:line="276" w:lineRule="auto"/>
              <w:ind w:right="-60" w:firstLine="709"/>
              <w:jc w:val="both"/>
              <w:rPr>
                <w:rFonts w:ascii="Verdana" w:eastAsia="Arial" w:hAnsi="Verdana" w:cs="Arial"/>
                <w:color w:val="000000"/>
              </w:rPr>
            </w:pPr>
            <w:r w:rsidRPr="0086590B">
              <w:rPr>
                <w:rFonts w:ascii="Verdana" w:eastAsia="Arial" w:hAnsi="Verdana" w:cs="Arial"/>
                <w:color w:val="000000"/>
              </w:rPr>
              <w:t xml:space="preserve">Un mejor entendimiento del significado de la expresión “circunstancias ocurridas con posterioridad al cierre del proceso” lleva necesariamente a distinguir entre la prueba de un hecho y el hecho mismo. En el caso de la </w:t>
            </w:r>
            <w:proofErr w:type="spellStart"/>
            <w:r w:rsidRPr="0086590B">
              <w:rPr>
                <w:rFonts w:ascii="Verdana" w:eastAsia="Arial" w:hAnsi="Verdana" w:cs="Arial"/>
                <w:color w:val="000000"/>
              </w:rPr>
              <w:t>subsanabilidad</w:t>
            </w:r>
            <w:proofErr w:type="spellEnd"/>
            <w:r w:rsidRPr="0086590B">
              <w:rPr>
                <w:rFonts w:ascii="Verdana" w:eastAsia="Arial" w:hAnsi="Verdana" w:cs="Arial"/>
                <w:color w:val="000000"/>
              </w:rPr>
              <w:t xml:space="preserve">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w:t>
            </w:r>
            <w:r w:rsidR="00435F44">
              <w:rPr>
                <w:rFonts w:ascii="Verdana" w:eastAsia="Arial" w:hAnsi="Verdana" w:cs="Arial"/>
                <w:color w:val="000000"/>
              </w:rPr>
              <w:t xml:space="preserve">Por ejemplo, </w:t>
            </w:r>
            <w:r w:rsidR="00435F44" w:rsidRPr="00435F44">
              <w:rPr>
                <w:rFonts w:ascii="Verdana" w:eastAsia="Arial" w:hAnsi="Verdana" w:cs="Arial"/>
                <w:color w:val="000000"/>
              </w:rPr>
              <w:t>si el oferente olvidó firmar la propuesta o presentar una copia de ella, puede subsanar sin que se entienda que acreditó una circunstancia ocurrida con posterioridad al cierre del proceso.</w:t>
            </w:r>
            <w:r w:rsidR="00631265">
              <w:rPr>
                <w:rFonts w:ascii="Verdana" w:eastAsia="Arial" w:hAnsi="Verdana" w:cs="Arial"/>
                <w:color w:val="000000"/>
              </w:rPr>
              <w:t>}</w:t>
            </w:r>
          </w:p>
          <w:p w14:paraId="0DB27887" w14:textId="55473E8C" w:rsidR="00631265" w:rsidRDefault="00631265" w:rsidP="005E7F84">
            <w:pPr>
              <w:spacing w:after="120" w:line="276" w:lineRule="auto"/>
              <w:ind w:right="-60" w:firstLine="709"/>
              <w:jc w:val="both"/>
              <w:rPr>
                <w:rFonts w:ascii="Verdana" w:eastAsia="Arial" w:hAnsi="Verdana" w:cs="Arial"/>
                <w:color w:val="000000"/>
              </w:rPr>
            </w:pPr>
            <w:r w:rsidRPr="0086590B">
              <w:rPr>
                <w:rFonts w:ascii="Verdana" w:eastAsia="Arial" w:hAnsi="Verdana" w:cs="Arial"/>
                <w:color w:val="000000"/>
              </w:rPr>
              <w:t xml:space="preserve">Lo anterior quiere decir que no es la prueba –usualmente un documento– lo que debe ser anterior al cierre del proceso, sino el hecho que ella acredita, es decir, ante la solicitud de la Administración de subsanar un requisito, el documento podría estar fechado con posterioridad al vencimiento del término para recibir propuestas, siempre y cuando el hecho que acredite haya ocurrido antes, esto es, que no sea una circunstancia ocurrida con posterioridad al cierre del proceso. Es por ello </w:t>
            </w:r>
            <w:proofErr w:type="gramStart"/>
            <w:r w:rsidRPr="0086590B">
              <w:rPr>
                <w:rFonts w:ascii="Verdana" w:eastAsia="Arial" w:hAnsi="Verdana" w:cs="Arial"/>
                <w:color w:val="000000"/>
              </w:rPr>
              <w:t>que</w:t>
            </w:r>
            <w:proofErr w:type="gramEnd"/>
            <w:r w:rsidRPr="0086590B">
              <w:rPr>
                <w:rFonts w:ascii="Verdana" w:eastAsia="Arial" w:hAnsi="Verdana" w:cs="Arial"/>
                <w:color w:val="000000"/>
              </w:rPr>
              <w:t xml:space="preserv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007041A5">
              <w:rPr>
                <w:rFonts w:ascii="Verdana" w:eastAsia="Arial" w:hAnsi="Verdana" w:cs="Arial"/>
                <w:color w:val="000000"/>
              </w:rPr>
              <w:t>.</w:t>
            </w:r>
          </w:p>
          <w:p w14:paraId="450D24AF" w14:textId="00A09CFB" w:rsidR="006E72DD" w:rsidRPr="00567342" w:rsidRDefault="00ED0E0A" w:rsidP="00567342">
            <w:pPr>
              <w:spacing w:line="276" w:lineRule="auto"/>
              <w:ind w:firstLine="709"/>
              <w:jc w:val="both"/>
              <w:rPr>
                <w:rFonts w:ascii="Verdana" w:eastAsia="Arial" w:hAnsi="Verdana" w:cs="Arial"/>
                <w:color w:val="000000"/>
              </w:rPr>
            </w:pPr>
            <w:r>
              <w:rPr>
                <w:rFonts w:ascii="Verdana" w:eastAsia="Arial" w:hAnsi="Verdana" w:cs="Arial"/>
                <w:color w:val="000000"/>
              </w:rPr>
              <w:t xml:space="preserve">Ahora bien, </w:t>
            </w:r>
            <w:r w:rsidR="0029585C">
              <w:rPr>
                <w:rFonts w:ascii="Verdana" w:eastAsia="Arial" w:hAnsi="Verdana" w:cs="Arial"/>
                <w:color w:val="000000"/>
              </w:rPr>
              <w:t>l</w:t>
            </w:r>
            <w:r w:rsidR="006E72DD" w:rsidRPr="00567342">
              <w:rPr>
                <w:rFonts w:ascii="Verdana" w:eastAsia="Arial" w:hAnsi="Verdana" w:cs="Arial"/>
                <w:color w:val="000000"/>
              </w:rPr>
              <w:t xml:space="preserve">a regla de la </w:t>
            </w:r>
            <w:proofErr w:type="spellStart"/>
            <w:r w:rsidR="006E72DD" w:rsidRPr="00567342">
              <w:rPr>
                <w:rFonts w:ascii="Verdana" w:eastAsia="Arial" w:hAnsi="Verdana" w:cs="Arial"/>
                <w:color w:val="000000"/>
              </w:rPr>
              <w:t>subsanabilidad</w:t>
            </w:r>
            <w:proofErr w:type="spellEnd"/>
            <w:r w:rsidR="006E72DD" w:rsidRPr="00567342">
              <w:rPr>
                <w:rFonts w:ascii="Verdana" w:eastAsia="Arial" w:hAnsi="Verdana" w:cs="Arial"/>
                <w:color w:val="000000"/>
              </w:rPr>
              <w:t xml:space="preserve"> de las ofertas en los procedimientos de selección indica que, por regla general, la falta de entrega y los defectos en la acreditación de los requisitos habilitantes son aspectos subsanables. La excepción corresponde a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4F486C8A" w14:textId="50CA5E21" w:rsidR="007041A5" w:rsidRDefault="007041A5" w:rsidP="00E41D30">
            <w:pPr>
              <w:spacing w:line="276" w:lineRule="auto"/>
              <w:ind w:right="-62" w:firstLine="709"/>
              <w:jc w:val="both"/>
              <w:rPr>
                <w:rFonts w:ascii="Verdana" w:eastAsia="Arial" w:hAnsi="Verdana" w:cs="Arial"/>
                <w:color w:val="000000"/>
              </w:rPr>
            </w:pPr>
            <w:r w:rsidRPr="007041A5">
              <w:rPr>
                <w:rFonts w:ascii="Verdana" w:eastAsia="Arial" w:hAnsi="Verdana" w:cs="Arial"/>
                <w:color w:val="000000"/>
              </w:rPr>
              <w:t>Visto lo anterior, una vez verificada la ausencia de requisitos y/o documentos de la oferta, para saber si se puede subsanar, la Administración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otorgue puntaje, y la respuesta al segundo interrogante debe dar cuenta de que lo omitido sea la prueba de una circunstancia o hecho que ocurrió con anterioridad al cierre del proceso.</w:t>
            </w:r>
          </w:p>
          <w:p w14:paraId="7325C5DC" w14:textId="77777777" w:rsidR="0029585C" w:rsidRDefault="0029585C" w:rsidP="00567342">
            <w:pPr>
              <w:spacing w:line="276" w:lineRule="auto"/>
              <w:ind w:right="-62" w:firstLine="709"/>
              <w:jc w:val="both"/>
              <w:rPr>
                <w:rFonts w:ascii="Verdana" w:eastAsia="Arial" w:hAnsi="Verdana" w:cs="Arial"/>
                <w:color w:val="000000"/>
              </w:rPr>
            </w:pPr>
          </w:p>
          <w:p w14:paraId="175112CF" w14:textId="0D45B4A0" w:rsidR="007041A5" w:rsidRDefault="007041A5" w:rsidP="003B4F3B">
            <w:pPr>
              <w:spacing w:after="120" w:line="276" w:lineRule="auto"/>
              <w:ind w:right="-60"/>
              <w:jc w:val="both"/>
              <w:rPr>
                <w:rFonts w:ascii="Verdana" w:eastAsia="Arial" w:hAnsi="Verdana" w:cs="Arial"/>
              </w:rPr>
            </w:pPr>
            <w:proofErr w:type="spellStart"/>
            <w:r>
              <w:rPr>
                <w:rFonts w:ascii="Verdana" w:eastAsia="Arial" w:hAnsi="Verdana" w:cs="Arial"/>
                <w:color w:val="000000"/>
              </w:rPr>
              <w:t>ii</w:t>
            </w:r>
            <w:proofErr w:type="spellEnd"/>
            <w:r>
              <w:rPr>
                <w:rFonts w:ascii="Verdana" w:eastAsia="Arial" w:hAnsi="Verdana" w:cs="Arial"/>
                <w:color w:val="000000"/>
              </w:rPr>
              <w:t xml:space="preserve">) </w:t>
            </w:r>
            <w:r w:rsidR="000322C5">
              <w:rPr>
                <w:rFonts w:ascii="Verdana" w:eastAsia="Arial" w:hAnsi="Verdana" w:cs="Arial"/>
                <w:color w:val="000000"/>
              </w:rPr>
              <w:t>L</w:t>
            </w:r>
            <w:r w:rsidR="00C83E8D" w:rsidRPr="0086590B">
              <w:rPr>
                <w:rFonts w:ascii="Verdana" w:eastAsia="Arial" w:hAnsi="Verdana" w:cs="Arial"/>
              </w:rPr>
              <w:t>as causales de rechazo pueden o no estar establecidas en el pliego de condiciones, sin perjuicio de que sean aplicables al proceso contractual las establecidas directamente en la ley.</w:t>
            </w:r>
            <w:r w:rsidR="00D17C05">
              <w:rPr>
                <w:rFonts w:ascii="Verdana" w:eastAsia="Arial" w:hAnsi="Verdana" w:cs="Arial"/>
              </w:rPr>
              <w:t xml:space="preserve"> </w:t>
            </w:r>
            <w:r w:rsidR="00D17C05" w:rsidRPr="0086590B">
              <w:rPr>
                <w:rFonts w:ascii="Verdana" w:eastAsia="Arial" w:hAnsi="Verdana" w:cs="Arial"/>
              </w:rPr>
              <w:t xml:space="preserve">De acuerdo con la jurisprudencia citada, existen dos eventos en los cuales procede el rechazo de la oferta: i) cuando se configure alguna de las causales de rechazo originadas en la ley o el reglamento y </w:t>
            </w:r>
            <w:proofErr w:type="spellStart"/>
            <w:r w:rsidR="00D17C05" w:rsidRPr="0086590B">
              <w:rPr>
                <w:rFonts w:ascii="Verdana" w:eastAsia="Arial" w:hAnsi="Verdana" w:cs="Arial"/>
              </w:rPr>
              <w:t>ii</w:t>
            </w:r>
            <w:proofErr w:type="spellEnd"/>
            <w:r w:rsidR="00D17C05" w:rsidRPr="0086590B">
              <w:rPr>
                <w:rFonts w:ascii="Verdana" w:eastAsia="Arial" w:hAnsi="Verdana" w:cs="Arial"/>
              </w:rPr>
              <w:t>) cuando se materialicen las establecidas en el pliego de condiciones.</w:t>
            </w:r>
          </w:p>
          <w:p w14:paraId="4FF76ABA" w14:textId="2CD76450" w:rsidR="00D17C05" w:rsidRDefault="002C51DE" w:rsidP="003B4F3B">
            <w:pPr>
              <w:spacing w:after="120" w:line="276" w:lineRule="auto"/>
              <w:ind w:right="-62" w:firstLine="709"/>
              <w:jc w:val="both"/>
              <w:rPr>
                <w:rFonts w:ascii="Verdana" w:eastAsia="Arial" w:hAnsi="Verdana" w:cs="Arial"/>
                <w:color w:val="000000"/>
                <w:lang w:val="es-ES"/>
              </w:rPr>
            </w:pPr>
            <w:r w:rsidRPr="002C51DE">
              <w:rPr>
                <w:rFonts w:ascii="Verdana" w:eastAsia="Arial" w:hAnsi="Verdana" w:cs="Arial"/>
                <w:color w:val="000000"/>
                <w:lang w:val="es-ES"/>
              </w:rPr>
              <w:t>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p w14:paraId="16615704" w14:textId="049A4162" w:rsidR="000322C5" w:rsidRDefault="003B4F3B" w:rsidP="003B4F3B">
            <w:pPr>
              <w:spacing w:after="120" w:line="276" w:lineRule="auto"/>
              <w:ind w:right="-62" w:firstLine="709"/>
              <w:jc w:val="both"/>
              <w:rPr>
                <w:rFonts w:ascii="Verdana" w:eastAsia="Arial" w:hAnsi="Verdana" w:cs="Arial"/>
                <w:color w:val="000000"/>
                <w:lang w:val="es-ES"/>
              </w:rPr>
            </w:pPr>
            <w:r w:rsidRPr="003B4F3B">
              <w:rPr>
                <w:rFonts w:ascii="Verdana" w:eastAsia="Arial" w:hAnsi="Verdana" w:cs="Arial"/>
                <w:color w:val="000000"/>
                <w:lang w:val="es-ES"/>
              </w:rPr>
              <w:t>Respecto del segundo problema jurídico relativo al error presentado por el proponente al momento de estructurar el IVA en su oferta</w:t>
            </w:r>
            <w:r>
              <w:rPr>
                <w:rFonts w:ascii="Verdana" w:eastAsia="Arial" w:hAnsi="Verdana" w:cs="Arial"/>
                <w:color w:val="000000"/>
                <w:lang w:val="es-ES"/>
              </w:rPr>
              <w:t>,</w:t>
            </w:r>
            <w:r w:rsidRPr="003B4F3B">
              <w:rPr>
                <w:rFonts w:ascii="Verdana" w:eastAsia="Arial" w:hAnsi="Verdana" w:cs="Arial"/>
                <w:color w:val="000000"/>
                <w:lang w:val="es-ES"/>
              </w:rPr>
              <w:t xml:space="preserve"> para dar respuesta a este interrogante se hace necesario analizar en primer orden si el IVA hace parte del precio de bien o servicio que la entidad estatal vaya a adquirir.</w:t>
            </w:r>
            <w:r w:rsidR="00A72147">
              <w:rPr>
                <w:rFonts w:ascii="Verdana" w:eastAsia="Arial" w:hAnsi="Verdana" w:cs="Arial"/>
                <w:color w:val="000000"/>
                <w:lang w:val="es-ES"/>
              </w:rPr>
              <w:t xml:space="preserve"> </w:t>
            </w:r>
          </w:p>
          <w:p w14:paraId="358C7271" w14:textId="17B71B15" w:rsidR="005A5A0D" w:rsidRDefault="005A5A0D" w:rsidP="003B4F3B">
            <w:pPr>
              <w:spacing w:after="120" w:line="276" w:lineRule="auto"/>
              <w:ind w:right="-62" w:firstLine="709"/>
              <w:jc w:val="both"/>
              <w:rPr>
                <w:rFonts w:ascii="Verdana" w:eastAsia="Arial" w:hAnsi="Verdana" w:cs="Arial"/>
                <w:color w:val="000000"/>
                <w:lang w:val="es-ES"/>
              </w:rPr>
            </w:pPr>
            <w:r>
              <w:rPr>
                <w:rFonts w:ascii="Verdana" w:eastAsia="Arial" w:hAnsi="Verdana" w:cs="Arial"/>
                <w:color w:val="000000"/>
                <w:lang w:val="es-ES"/>
              </w:rPr>
              <w:t xml:space="preserve">De acuerdo con lo expuesto por la ley y las decisiones del Consejo de Estado se puede inferir que </w:t>
            </w:r>
            <w:r w:rsidRPr="005A5A0D">
              <w:rPr>
                <w:rFonts w:ascii="Verdana" w:eastAsia="Arial" w:hAnsi="Verdana" w:cs="Arial"/>
                <w:color w:val="000000"/>
                <w:lang w:val="es-ES"/>
              </w:rPr>
              <w:t>el precio es el total del valor que paga el comprador por un bien o servicio, y eso incluye los impuestos, por una sencilla razón, ningún comprador podrá hacerse a la propiedad de una cosa o beneficiarse de un servicio sino paga la totalidad de lo que incluye el precio. En otros términos, si la venta de determinado bien o servicio está gravado con impuestos, estos se entienden incluidos en el precio, pues no se podrá tener acceso al bien si no se paga la totalidad de lo que vale.</w:t>
            </w:r>
          </w:p>
          <w:p w14:paraId="15D104C7" w14:textId="77777777" w:rsidR="00C24473" w:rsidRPr="00C24473" w:rsidRDefault="00C24473" w:rsidP="00C24473">
            <w:pPr>
              <w:spacing w:after="120" w:line="276" w:lineRule="auto"/>
              <w:ind w:right="-62" w:firstLine="709"/>
              <w:jc w:val="both"/>
              <w:rPr>
                <w:rFonts w:ascii="Verdana" w:eastAsia="Arial" w:hAnsi="Verdana" w:cs="Arial"/>
                <w:color w:val="000000"/>
                <w:lang w:val="es-ES"/>
              </w:rPr>
            </w:pPr>
            <w:r w:rsidRPr="00C24473">
              <w:rPr>
                <w:rFonts w:ascii="Verdana" w:eastAsia="Arial" w:hAnsi="Verdana" w:cs="Arial"/>
                <w:color w:val="000000"/>
                <w:lang w:val="es-ES"/>
              </w:rPr>
              <w:t xml:space="preserve">Como ya se señaló los impuestos son parte integral del precio, pues es lo que finalmente terminará pagando la entidad cuando adjudique el contrato y es por esto </w:t>
            </w:r>
            <w:proofErr w:type="gramStart"/>
            <w:r w:rsidRPr="00C24473">
              <w:rPr>
                <w:rFonts w:ascii="Verdana" w:eastAsia="Arial" w:hAnsi="Verdana" w:cs="Arial"/>
                <w:color w:val="000000"/>
                <w:lang w:val="es-ES"/>
              </w:rPr>
              <w:t>que</w:t>
            </w:r>
            <w:proofErr w:type="gramEnd"/>
            <w:r w:rsidRPr="00C24473">
              <w:rPr>
                <w:rFonts w:ascii="Verdana" w:eastAsia="Arial" w:hAnsi="Verdana" w:cs="Arial"/>
                <w:color w:val="000000"/>
                <w:lang w:val="es-ES"/>
              </w:rPr>
              <w:t>, en aplicación de los principios de selección objetiva y de igualdad, la entidad contratante debe evaluar las ofertas con base en el precio final o real que ofrezca cada proponente, toda vez que de esa evaluación surgirá la oferta más favorable o ventajosa para el Estado.</w:t>
            </w:r>
          </w:p>
          <w:p w14:paraId="0EB10C81" w14:textId="77777777" w:rsidR="00C24473" w:rsidRPr="00C24473" w:rsidRDefault="00C24473" w:rsidP="00C24473">
            <w:pPr>
              <w:spacing w:after="120" w:line="276" w:lineRule="auto"/>
              <w:ind w:right="-62" w:firstLine="709"/>
              <w:jc w:val="both"/>
              <w:rPr>
                <w:rFonts w:ascii="Verdana" w:eastAsia="Arial" w:hAnsi="Verdana" w:cs="Arial"/>
                <w:color w:val="000000"/>
                <w:lang w:val="es-ES"/>
              </w:rPr>
            </w:pPr>
            <w:r w:rsidRPr="00C24473">
              <w:rPr>
                <w:rFonts w:ascii="Verdana" w:eastAsia="Arial" w:hAnsi="Verdana" w:cs="Arial"/>
                <w:color w:val="000000"/>
                <w:lang w:val="es-ES"/>
              </w:rPr>
              <w:t>Considerando lo anterior, en primer orden que el IVA hace parte del precio del bien o servicio, en segundo orden que de acuerdo con el principio de la selección objetiva y el principio de la igualdad la entidad estatal debe analizar el precio total del bien o servicio incluyendo el IVA, ya que es el valor real que la entidad va a pagar en el proceso contractual.</w:t>
            </w:r>
          </w:p>
          <w:p w14:paraId="7F305B9E" w14:textId="0AB8ADC8" w:rsidR="00BC405E" w:rsidRPr="00C95595" w:rsidRDefault="00C24473" w:rsidP="00C95595">
            <w:pPr>
              <w:spacing w:after="120" w:line="276" w:lineRule="auto"/>
              <w:ind w:right="-62" w:firstLine="709"/>
              <w:jc w:val="both"/>
              <w:rPr>
                <w:rFonts w:ascii="Verdana" w:eastAsia="Arial" w:hAnsi="Verdana" w:cs="Arial"/>
                <w:color w:val="000000"/>
                <w:lang w:val="es-ES"/>
              </w:rPr>
            </w:pPr>
            <w:r w:rsidRPr="00C24473">
              <w:rPr>
                <w:rFonts w:ascii="Verdana" w:eastAsia="Arial" w:hAnsi="Verdana" w:cs="Arial"/>
                <w:color w:val="000000"/>
                <w:lang w:val="es-ES"/>
              </w:rPr>
              <w:t>De esta forma las propuestas económicas deben evaluarse incluyendo el IVA en el precio total del producto, el cual no se puede excluir. En este orden de ideas, conociendo que el precio es un factor que asigna puntaje en la mayoría de los procesos de contratación excepto en el concurso de mérito, ante una errónea estructuración del IVA en la oferta económica se podría subsanar: 1) Si el valor total del precio de la oferta económica no surte modificación, en este caso el puntaje no tendría modificación y por consiguiente puede ser subsanado según la regla descrita. 2) En los procesos contractuales donde el contratista es seleccionado por concurso de méritos, en este caso el precio no asigna puntaje, siendo factible su modificación</w:t>
            </w:r>
            <w:r w:rsidR="00C95595">
              <w:rPr>
                <w:rFonts w:ascii="Verdana" w:eastAsia="Arial" w:hAnsi="Verdana" w:cs="Arial"/>
                <w:color w:val="000000"/>
                <w:lang w:val="es-ES"/>
              </w:rPr>
              <w:t>.</w:t>
            </w:r>
          </w:p>
        </w:tc>
      </w:tr>
      <w:bookmarkEnd w:id="1"/>
    </w:tbl>
    <w:p w14:paraId="65EC63DD" w14:textId="5B1516AE" w:rsidR="009811C3" w:rsidRDefault="009811C3" w:rsidP="00567342">
      <w:pPr>
        <w:spacing w:after="0" w:line="276" w:lineRule="auto"/>
        <w:ind w:right="51"/>
        <w:jc w:val="both"/>
        <w:rPr>
          <w:rFonts w:ascii="Verdana" w:eastAsia="Century Gothic" w:hAnsi="Verdana" w:cs="Arial"/>
        </w:rPr>
      </w:pPr>
    </w:p>
    <w:p w14:paraId="6724BA03" w14:textId="77777777" w:rsidR="00D045F4" w:rsidRPr="0086590B" w:rsidRDefault="00D045F4" w:rsidP="00567342">
      <w:pPr>
        <w:widowControl w:val="0"/>
        <w:autoSpaceDE w:val="0"/>
        <w:autoSpaceDN w:val="0"/>
        <w:spacing w:after="0" w:line="276" w:lineRule="auto"/>
        <w:ind w:left="360" w:hanging="360"/>
        <w:outlineLvl w:val="0"/>
        <w:rPr>
          <w:rFonts w:ascii="Verdana" w:eastAsia="Arial" w:hAnsi="Verdana" w:cs="Arial"/>
          <w:b/>
          <w:bCs/>
          <w:lang w:val="es-ES"/>
        </w:rPr>
      </w:pPr>
      <w:r w:rsidRPr="0086590B">
        <w:rPr>
          <w:rFonts w:ascii="Verdana" w:eastAsia="Arial" w:hAnsi="Verdana" w:cs="Arial"/>
          <w:b/>
          <w:bCs/>
          <w:lang w:val="es-ES"/>
        </w:rPr>
        <w:t>3. Razones de la respuesta:</w:t>
      </w:r>
    </w:p>
    <w:p w14:paraId="07010598" w14:textId="77777777" w:rsidR="00D045F4" w:rsidRPr="0086590B" w:rsidRDefault="00D045F4" w:rsidP="00D045F4">
      <w:pPr>
        <w:spacing w:after="0" w:line="276" w:lineRule="auto"/>
        <w:jc w:val="both"/>
        <w:rPr>
          <w:rFonts w:ascii="Verdana" w:eastAsia="Calibri" w:hAnsi="Verdana" w:cs="Arial"/>
          <w:lang w:val="es-ES"/>
        </w:rPr>
      </w:pPr>
    </w:p>
    <w:p w14:paraId="4D405F66" w14:textId="77777777" w:rsidR="00D045F4" w:rsidRPr="0086590B" w:rsidRDefault="00D045F4" w:rsidP="00D045F4">
      <w:pPr>
        <w:spacing w:after="0" w:line="276" w:lineRule="auto"/>
        <w:jc w:val="both"/>
        <w:rPr>
          <w:rFonts w:ascii="Verdana" w:eastAsia="Calibri" w:hAnsi="Verdana" w:cs="Arial"/>
          <w:lang w:val="es-ES"/>
        </w:rPr>
      </w:pPr>
      <w:r w:rsidRPr="0086590B">
        <w:rPr>
          <w:rFonts w:ascii="Verdana" w:eastAsia="Calibri" w:hAnsi="Verdana" w:cs="Arial"/>
          <w:lang w:val="es-ES"/>
        </w:rPr>
        <w:t xml:space="preserve">La respuesta anterior se sustenta en las siguientes consideraciones: </w:t>
      </w:r>
    </w:p>
    <w:p w14:paraId="3998BB53" w14:textId="77777777" w:rsidR="00D045F4" w:rsidRPr="0086590B" w:rsidRDefault="00D045F4" w:rsidP="00567342">
      <w:pPr>
        <w:spacing w:after="0" w:line="276" w:lineRule="auto"/>
        <w:rPr>
          <w:rFonts w:ascii="Verdana" w:hAnsi="Verdana"/>
          <w:lang w:val="es-ES"/>
        </w:rPr>
      </w:pPr>
    </w:p>
    <w:p w14:paraId="33572EE1" w14:textId="77777777" w:rsidR="00D045F4" w:rsidRPr="0086590B" w:rsidDel="004D5F83" w:rsidRDefault="00D045F4" w:rsidP="00D045F4">
      <w:pPr>
        <w:spacing w:after="120" w:line="276" w:lineRule="auto"/>
        <w:ind w:right="49"/>
        <w:jc w:val="both"/>
        <w:rPr>
          <w:rFonts w:ascii="Verdana" w:eastAsia="Times New Roman" w:hAnsi="Verdana" w:cs="Arial"/>
          <w:lang w:val="es-ES" w:eastAsia="es-ES"/>
        </w:rPr>
      </w:pPr>
      <w:r w:rsidRPr="0086590B">
        <w:rPr>
          <w:rFonts w:ascii="Verdana" w:hAnsi="Verdana" w:cs="Arial"/>
          <w:noProof/>
          <w:lang w:val="es-ES"/>
        </w:rPr>
        <w:t>i) L</w:t>
      </w:r>
      <w:r w:rsidRPr="0086590B">
        <w:rPr>
          <w:rFonts w:ascii="Verdana" w:eastAsia="Times New Roman" w:hAnsi="Verdana" w:cs="Arial"/>
        </w:rPr>
        <w:t xml:space="preserve">a regla de la </w:t>
      </w:r>
      <w:proofErr w:type="spellStart"/>
      <w:r w:rsidRPr="0086590B">
        <w:rPr>
          <w:rFonts w:ascii="Verdana" w:eastAsia="Times New Roman" w:hAnsi="Verdana" w:cs="Arial"/>
        </w:rPr>
        <w:t>subsanabilidad</w:t>
      </w:r>
      <w:proofErr w:type="spellEnd"/>
      <w:r w:rsidRPr="0086590B">
        <w:rPr>
          <w:rFonts w:ascii="Verdana" w:eastAsia="Times New Roman" w:hAnsi="Verdana" w:cs="Arial"/>
        </w:rPr>
        <w:t xml:space="preserve"> de las ofertas en los procedimientos de selección</w:t>
      </w:r>
      <w:r w:rsidRPr="0086590B">
        <w:rPr>
          <w:rFonts w:ascii="Verdana" w:eastAsia="Times New Roman" w:hAnsi="Verdana" w:cs="Arial"/>
          <w:b/>
          <w:bCs/>
        </w:rPr>
        <w:t xml:space="preserve"> </w:t>
      </w:r>
      <w:r w:rsidRPr="0086590B">
        <w:rPr>
          <w:rFonts w:ascii="Verdana" w:eastAsia="Times New Roman" w:hAnsi="Verdana" w:cs="Arial"/>
          <w:lang w:val="es-ES" w:eastAsia="es-ES"/>
        </w:rPr>
        <w:t>indica que, por regla general, la falta de entrega y los defectos en la acreditación de los requisitos habilitantes son aspectos subsanables. La excepción corresponde a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32AE2B68" w14:textId="77777777" w:rsidR="00D045F4" w:rsidRPr="0086590B" w:rsidRDefault="00D045F4" w:rsidP="00D045F4">
      <w:pPr>
        <w:tabs>
          <w:tab w:val="left" w:pos="3828"/>
        </w:tabs>
        <w:spacing w:after="120" w:line="276" w:lineRule="auto"/>
        <w:ind w:right="49" w:firstLine="709"/>
        <w:jc w:val="both"/>
        <w:rPr>
          <w:rFonts w:ascii="Verdana" w:eastAsia="Times New Roman" w:hAnsi="Verdana" w:cs="Arial"/>
          <w:lang w:val="es-ES" w:eastAsia="es-ES"/>
        </w:rPr>
      </w:pPr>
      <w:r w:rsidRPr="0086590B">
        <w:rPr>
          <w:rFonts w:ascii="Verdana" w:eastAsia="Times New Roman" w:hAnsi="Verdana" w:cs="Arial"/>
          <w:lang w:val="es-ES" w:eastAsia="es-ES"/>
        </w:rPr>
        <w:t xml:space="preserve">La posibilidad de enmendar, corregir o subsanar los errores en los que se incurre en los documentos contentivos de la oferta, es un asunto que ha tenido diferentes momentos o etapas en el ordenamiento jurídico colombiano. </w:t>
      </w:r>
    </w:p>
    <w:p w14:paraId="5EC3FB10" w14:textId="77777777" w:rsidR="00D045F4" w:rsidRPr="0086590B" w:rsidRDefault="00D045F4" w:rsidP="00D045F4">
      <w:pPr>
        <w:spacing w:after="120" w:line="276" w:lineRule="auto"/>
        <w:ind w:right="49" w:firstLine="709"/>
        <w:jc w:val="both"/>
        <w:rPr>
          <w:rFonts w:ascii="Verdana" w:eastAsia="Arial" w:hAnsi="Verdana" w:cs="Arial"/>
          <w:color w:val="000000" w:themeColor="text1"/>
        </w:rPr>
      </w:pPr>
      <w:r w:rsidRPr="0086590B">
        <w:rPr>
          <w:rFonts w:ascii="Verdana" w:eastAsia="Arial" w:hAnsi="Verdana" w:cs="Arial"/>
          <w:color w:val="000000" w:themeColor="text1"/>
        </w:rPr>
        <w:t xml:space="preserve">En un </w:t>
      </w:r>
      <w:r w:rsidRPr="0086590B">
        <w:rPr>
          <w:rFonts w:ascii="Verdana" w:eastAsia="Arial" w:hAnsi="Verdana" w:cs="Arial"/>
          <w:i/>
          <w:color w:val="000000" w:themeColor="text1"/>
        </w:rPr>
        <w:t>primer momento</w:t>
      </w:r>
      <w:r w:rsidRPr="0086590B">
        <w:rPr>
          <w:rFonts w:ascii="Verdana" w:eastAsia="Arial" w:hAnsi="Verdana" w:cs="Arial"/>
          <w:color w:val="000000" w:themeColor="text1"/>
        </w:rPr>
        <w:t xml:space="preserve">, antes de expedirse la Constitución Política de 1991, el régimen jurídico de la </w:t>
      </w:r>
      <w:proofErr w:type="spellStart"/>
      <w:r w:rsidRPr="0086590B">
        <w:rPr>
          <w:rFonts w:ascii="Verdana" w:eastAsia="Arial" w:hAnsi="Verdana" w:cs="Arial"/>
          <w:color w:val="000000" w:themeColor="text1"/>
        </w:rPr>
        <w:t>subsanabilidad</w:t>
      </w:r>
      <w:proofErr w:type="spellEnd"/>
      <w:r w:rsidRPr="0086590B">
        <w:rPr>
          <w:rFonts w:ascii="Verdana" w:eastAsia="Arial" w:hAnsi="Verdana" w:cs="Arial"/>
          <w:color w:val="000000" w:themeColor="text1"/>
        </w:rPr>
        <w:t xml:space="preserve"> de las ofertas estaba compuesto por el Decreto-ley 150 de 1976 y el Decreto-ley 222 de 1983. Bajo el imperio de estas normas, la posibilidad de subsanar errores era prácticamente inexistente, debido al excesivo formalismo procedimental que irradiaba la actuación administrativa. En este contexto, por ejemplo, no era extraordinario que una oferta fuera rechazada por no aportar una copia de esta. </w:t>
      </w:r>
    </w:p>
    <w:p w14:paraId="04085CCD" w14:textId="77777777" w:rsidR="005C7014" w:rsidRDefault="00D045F4" w:rsidP="00C12320">
      <w:pPr>
        <w:spacing w:after="0" w:line="276" w:lineRule="auto"/>
        <w:ind w:right="49" w:firstLine="709"/>
        <w:jc w:val="both"/>
        <w:rPr>
          <w:rFonts w:ascii="Verdana" w:eastAsia="Arial" w:hAnsi="Verdana" w:cs="Arial"/>
          <w:color w:val="000000"/>
        </w:rPr>
      </w:pPr>
      <w:r w:rsidRPr="0086590B">
        <w:rPr>
          <w:rFonts w:ascii="Verdana" w:eastAsia="Arial" w:hAnsi="Verdana" w:cs="Arial"/>
          <w:color w:val="000000"/>
        </w:rPr>
        <w:t xml:space="preserve">En un </w:t>
      </w:r>
      <w:r w:rsidRPr="0086590B">
        <w:rPr>
          <w:rFonts w:ascii="Verdana" w:eastAsia="Arial" w:hAnsi="Verdana" w:cs="Arial"/>
          <w:i/>
          <w:color w:val="000000"/>
        </w:rPr>
        <w:t>segundo momento</w:t>
      </w:r>
      <w:r w:rsidRPr="0086590B">
        <w:rPr>
          <w:rFonts w:ascii="Verdana" w:eastAsia="Arial" w:hAnsi="Verdana" w:cs="Arial"/>
          <w:color w:val="000000"/>
        </w:rPr>
        <w:t xml:space="preserve"> se expidió la Ley 80 de 1993, bajo el paradigma que supuso la Constitución de 1991, particularmente en la forma como se relaciona lo formal y lo sustancial en las actuaciones judiciales y administrativas. Este cambio ideológico quedó consignado en el artículo 228, que introdujo el</w:t>
      </w:r>
      <w:r w:rsidR="005C7014">
        <w:rPr>
          <w:rFonts w:ascii="Verdana" w:eastAsia="Arial" w:hAnsi="Verdana" w:cs="Arial"/>
          <w:color w:val="000000"/>
        </w:rPr>
        <w:t xml:space="preserve"> </w:t>
      </w:r>
      <w:r w:rsidR="005C7014" w:rsidRPr="0086590B">
        <w:rPr>
          <w:rFonts w:ascii="Verdana" w:eastAsia="Arial" w:hAnsi="Verdana" w:cs="Arial"/>
          <w:color w:val="000000"/>
        </w:rPr>
        <w:t xml:space="preserve">principio de supremacía o prevalencia del derecho sustancial sobre el procedimental. En este nuevo escenario constitucional, el numeral 15 del artículo 25 de la Ley 80 de 1993 dispuso lo siguiente: </w:t>
      </w:r>
    </w:p>
    <w:p w14:paraId="6DAD3C5B" w14:textId="77777777" w:rsidR="00C12320" w:rsidRPr="005442DF" w:rsidRDefault="00C12320" w:rsidP="000D3E25">
      <w:pPr>
        <w:spacing w:after="0" w:line="276" w:lineRule="auto"/>
        <w:ind w:right="49" w:firstLine="709"/>
        <w:jc w:val="both"/>
        <w:rPr>
          <w:rFonts w:ascii="Verdana" w:eastAsia="Arial" w:hAnsi="Verdana" w:cs="Arial"/>
          <w:color w:val="000000" w:themeColor="text1"/>
        </w:rPr>
      </w:pPr>
    </w:p>
    <w:p w14:paraId="4FDCC78A" w14:textId="77777777" w:rsidR="005C7014" w:rsidRPr="005442DF" w:rsidRDefault="005C7014" w:rsidP="000D3E25">
      <w:pPr>
        <w:spacing w:after="0" w:line="240" w:lineRule="auto"/>
        <w:ind w:left="709" w:right="709"/>
        <w:jc w:val="both"/>
        <w:rPr>
          <w:rFonts w:ascii="Verdana" w:eastAsia="Arial" w:hAnsi="Verdana" w:cs="Arial"/>
          <w:color w:val="000000"/>
          <w:sz w:val="20"/>
          <w:szCs w:val="20"/>
        </w:rPr>
      </w:pPr>
      <w:r w:rsidRPr="0086590B">
        <w:rPr>
          <w:rFonts w:ascii="Verdana" w:eastAsia="Arial" w:hAnsi="Verdana" w:cs="Arial"/>
          <w:color w:val="000000"/>
          <w:sz w:val="20"/>
          <w:szCs w:val="20"/>
        </w:rPr>
        <w:t xml:space="preserve">“15. 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546C1BB8" w14:textId="77777777" w:rsidR="00656CFA" w:rsidRDefault="00656CFA" w:rsidP="000D3E25">
      <w:pPr>
        <w:spacing w:after="0" w:line="240" w:lineRule="auto"/>
        <w:ind w:left="709" w:right="709"/>
        <w:jc w:val="both"/>
        <w:rPr>
          <w:rFonts w:ascii="Verdana" w:eastAsia="Arial" w:hAnsi="Verdana" w:cs="Arial"/>
          <w:color w:val="000000" w:themeColor="text1"/>
          <w:sz w:val="20"/>
          <w:szCs w:val="20"/>
        </w:rPr>
      </w:pPr>
    </w:p>
    <w:p w14:paraId="63DFD345" w14:textId="76BD3A22" w:rsidR="005C7014" w:rsidRDefault="005C7014" w:rsidP="000D3E25">
      <w:pPr>
        <w:spacing w:after="0" w:line="240" w:lineRule="auto"/>
        <w:ind w:left="709" w:right="709"/>
        <w:jc w:val="both"/>
        <w:rPr>
          <w:rFonts w:ascii="Verdana" w:eastAsia="Arial" w:hAnsi="Verdana" w:cs="Arial"/>
          <w:color w:val="000000" w:themeColor="text1"/>
          <w:sz w:val="20"/>
          <w:szCs w:val="20"/>
        </w:rPr>
      </w:pPr>
      <w:r w:rsidRPr="0086590B">
        <w:rPr>
          <w:rFonts w:ascii="Verdana" w:eastAsia="Arial" w:hAnsi="Verdana" w:cs="Arial"/>
          <w:color w:val="000000" w:themeColor="text1"/>
          <w:sz w:val="20"/>
          <w:szCs w:val="20"/>
        </w:rPr>
        <w:t xml:space="preserve">La ausencia de requisitos o la falta de documentos referentes a la futura contratación o al proponente, no necesarios para la comparación de propuestas, no servirá de título suficiente para el rechazo de los ofrecimientos hechos”. </w:t>
      </w:r>
    </w:p>
    <w:p w14:paraId="2F8944B2" w14:textId="77777777" w:rsidR="000079FA" w:rsidRPr="000D3E25" w:rsidRDefault="000079FA" w:rsidP="000D3E25">
      <w:pPr>
        <w:spacing w:after="0" w:line="276" w:lineRule="auto"/>
        <w:ind w:right="758"/>
        <w:jc w:val="both"/>
        <w:rPr>
          <w:rFonts w:ascii="Verdana" w:eastAsia="Arial" w:hAnsi="Verdana" w:cs="Arial"/>
          <w:color w:val="000000" w:themeColor="text1"/>
        </w:rPr>
      </w:pPr>
    </w:p>
    <w:p w14:paraId="0F5D62CC" w14:textId="77777777" w:rsidR="00697ECC" w:rsidRPr="0086590B" w:rsidRDefault="000079FA" w:rsidP="0046293A">
      <w:pPr>
        <w:spacing w:after="120" w:line="276" w:lineRule="auto"/>
        <w:ind w:right="51" w:firstLine="709"/>
        <w:jc w:val="both"/>
        <w:rPr>
          <w:rFonts w:ascii="Verdana" w:eastAsia="Arial" w:hAnsi="Verdana" w:cs="Arial"/>
          <w:color w:val="000000"/>
        </w:rPr>
      </w:pPr>
      <w:r w:rsidRPr="0086590B">
        <w:rPr>
          <w:rFonts w:ascii="Verdana" w:eastAsia="Arial" w:hAnsi="Verdana" w:cs="Arial"/>
          <w:color w:val="000000" w:themeColor="text1"/>
        </w:rPr>
        <w:t xml:space="preserve">Bajo el amparo de esta norma, el régimen jurídico de </w:t>
      </w:r>
      <w:proofErr w:type="spellStart"/>
      <w:r w:rsidRPr="0086590B">
        <w:rPr>
          <w:rFonts w:ascii="Verdana" w:eastAsia="Arial" w:hAnsi="Verdana" w:cs="Arial"/>
          <w:color w:val="000000" w:themeColor="text1"/>
        </w:rPr>
        <w:t>subsanabilidad</w:t>
      </w:r>
      <w:proofErr w:type="spellEnd"/>
      <w:r w:rsidRPr="0086590B">
        <w:rPr>
          <w:rFonts w:ascii="Verdana" w:eastAsia="Arial" w:hAnsi="Verdana" w:cs="Arial"/>
          <w:color w:val="000000" w:themeColor="text1"/>
        </w:rPr>
        <w:t xml:space="preserve"> de las ofertas sufre un cambio fundamental, pues ya no era posible rechazar las ofertas por falta de requisitos o documentos que no fueran “</w:t>
      </w:r>
      <w:r w:rsidRPr="0086590B">
        <w:rPr>
          <w:rFonts w:ascii="Verdana" w:eastAsia="Arial" w:hAnsi="Verdana" w:cs="Arial"/>
          <w:i/>
          <w:color w:val="000000" w:themeColor="text1"/>
        </w:rPr>
        <w:t>necesarios para la comparación de propuestas</w:t>
      </w:r>
      <w:r w:rsidRPr="0086590B">
        <w:rPr>
          <w:rFonts w:ascii="Verdana" w:eastAsia="Arial" w:hAnsi="Verdana" w:cs="Arial"/>
          <w:color w:val="000000" w:themeColor="text1"/>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r w:rsidRPr="0086590B">
        <w:rPr>
          <w:rFonts w:ascii="Verdana" w:eastAsia="Arial" w:hAnsi="Verdana" w:cs="Arial"/>
          <w:color w:val="000000"/>
        </w:rPr>
        <w:t>El artículo 25 numeral 15 de la Ley 80 de 1993 debía leerse en conjunto con otras del EGCAP, particularmente con el artículo 30 numeral 7</w:t>
      </w:r>
      <w:r w:rsidRPr="0086590B">
        <w:rPr>
          <w:rFonts w:ascii="Verdana" w:eastAsia="Arial" w:hAnsi="Verdana" w:cs="Arial"/>
          <w:color w:val="000000"/>
          <w:vertAlign w:val="superscript"/>
        </w:rPr>
        <w:footnoteReference w:id="1"/>
      </w:r>
      <w:r w:rsidRPr="0086590B">
        <w:rPr>
          <w:rFonts w:ascii="Verdana" w:eastAsia="Arial" w:hAnsi="Verdana" w:cs="Arial"/>
          <w:color w:val="000000"/>
        </w:rPr>
        <w:t>, que ordena a la entidad señalar un plazo razonable para evaluar las propuestas y pedir a los proponentes, de ser necesario, que aclaren o expliquen aspectos que ofrezcan dudas y resulten indispensables para hacer la evaluación. Con el artículo 30 numeral 8</w:t>
      </w:r>
      <w:r w:rsidRPr="0086590B">
        <w:rPr>
          <w:rFonts w:ascii="Verdana" w:eastAsia="Arial" w:hAnsi="Verdana" w:cs="Arial"/>
          <w:color w:val="000000"/>
          <w:vertAlign w:val="superscript"/>
        </w:rPr>
        <w:footnoteReference w:id="2"/>
      </w:r>
      <w:r w:rsidRPr="0086590B">
        <w:rPr>
          <w:rFonts w:ascii="Verdana" w:eastAsia="Arial" w:hAnsi="Verdana" w:cs="Arial"/>
          <w:color w:val="000000"/>
        </w:rPr>
        <w:t>, que consagró el término de 5 días hábiles para que los oferentes</w:t>
      </w:r>
      <w:r w:rsidR="00697ECC">
        <w:rPr>
          <w:rFonts w:ascii="Verdana" w:eastAsia="Arial" w:hAnsi="Verdana" w:cs="Arial"/>
          <w:color w:val="000000"/>
        </w:rPr>
        <w:t xml:space="preserve"> </w:t>
      </w:r>
      <w:r w:rsidR="00697ECC" w:rsidRPr="0086590B">
        <w:rPr>
          <w:rFonts w:ascii="Verdana" w:eastAsia="Arial" w:hAnsi="Verdana" w:cs="Arial"/>
          <w:color w:val="000000"/>
        </w:rPr>
        <w:t xml:space="preserve">presenten observaciones al informe de evaluación de las propuestas, sin que sea posible completar, adicionar, modificar o mejorar la oferta. A partir de la lectura integrada de estas tres normas, debía concluirse que con la Ley 80 de 1993 era posible subsanar las propuestas, y la omisión o el error en algún aspecto de </w:t>
      </w:r>
      <w:proofErr w:type="gramStart"/>
      <w:r w:rsidR="00697ECC" w:rsidRPr="0086590B">
        <w:rPr>
          <w:rFonts w:ascii="Verdana" w:eastAsia="Arial" w:hAnsi="Verdana" w:cs="Arial"/>
          <w:color w:val="000000"/>
        </w:rPr>
        <w:t>la misma</w:t>
      </w:r>
      <w:proofErr w:type="gramEnd"/>
      <w:r w:rsidR="00697ECC" w:rsidRPr="0086590B">
        <w:rPr>
          <w:rFonts w:ascii="Verdana" w:eastAsia="Arial" w:hAnsi="Verdana" w:cs="Arial"/>
          <w:color w:val="000000"/>
        </w:rPr>
        <w:t xml:space="preserve"> no podía llevar a su rechazo, sin antes verificar que lo omitido fuera un aspecto necesario para la comparación. </w:t>
      </w:r>
    </w:p>
    <w:p w14:paraId="0CA3ED73" w14:textId="77777777" w:rsidR="00697ECC" w:rsidRPr="0086590B" w:rsidRDefault="00697ECC" w:rsidP="0046293A">
      <w:pPr>
        <w:spacing w:after="120" w:line="276" w:lineRule="auto"/>
        <w:ind w:right="51" w:firstLine="709"/>
        <w:jc w:val="both"/>
        <w:rPr>
          <w:rFonts w:ascii="Verdana" w:eastAsia="Arial" w:hAnsi="Verdana" w:cs="Arial"/>
          <w:color w:val="000000"/>
        </w:rPr>
      </w:pPr>
      <w:r w:rsidRPr="1CDADDD9">
        <w:rPr>
          <w:rFonts w:ascii="Verdana" w:eastAsia="Arial" w:hAnsi="Verdana" w:cs="Arial"/>
          <w:color w:val="000000" w:themeColor="text1"/>
        </w:rPr>
        <w:t xml:space="preserve">En un </w:t>
      </w:r>
      <w:r w:rsidRPr="1CDADDD9">
        <w:rPr>
          <w:rFonts w:ascii="Verdana" w:eastAsia="Arial" w:hAnsi="Verdana" w:cs="Arial"/>
          <w:i/>
          <w:iCs/>
          <w:color w:val="000000" w:themeColor="text1"/>
        </w:rPr>
        <w:t>tercer momento</w:t>
      </w:r>
      <w:r w:rsidRPr="1CDADDD9">
        <w:rPr>
          <w:rFonts w:ascii="Verdana" w:eastAsia="Arial" w:hAnsi="Verdana" w:cs="Arial"/>
          <w:color w:val="000000" w:themeColor="text1"/>
        </w:rPr>
        <w:t>, y siguiendo la línea trazada por la Ley 80 de 1993, el legislador expidió la Ley 1150 de 2007, que, en el parágrafo 1º del artículo 5, determinó lo siguiente: “La ausencia de requisitos o la falta de documentos referentes a la futura contratación o al proponente, no necesarios para la comparación de las propuestas no servirán de título suficiente para el rechazo de los ofrecimientos hechos. En consecuencia</w:t>
      </w:r>
      <w:r w:rsidRPr="1CDADDD9">
        <w:rPr>
          <w:rFonts w:ascii="Verdana" w:eastAsia="Arial" w:hAnsi="Verdana" w:cs="Arial"/>
          <w:b/>
          <w:bCs/>
          <w:color w:val="000000" w:themeColor="text1"/>
        </w:rPr>
        <w:t xml:space="preserve">, </w:t>
      </w:r>
      <w:r w:rsidRPr="1CDADDD9">
        <w:rPr>
          <w:rFonts w:ascii="Verdana" w:eastAsia="Arial" w:hAnsi="Verdana" w:cs="Arial"/>
          <w:color w:val="000000" w:themeColor="text1"/>
        </w:rPr>
        <w:t xml:space="preserve">todos aquellos requisitos de la propuesta que no afecten la asignación de puntaje podrán ser solicitados por las entidades en cualquier momento, hasta la adjudicación. No obstante, lo anterior, en aquellos procesos de selección en los que se utilice el mecanismo de subasta, deberán ser solicitados hasta el momento previo a su realización”. </w:t>
      </w:r>
    </w:p>
    <w:p w14:paraId="37AE6E56" w14:textId="07D9173E" w:rsidR="000079FA" w:rsidRDefault="00697ECC" w:rsidP="00697ECC">
      <w:pPr>
        <w:spacing w:after="120" w:line="276" w:lineRule="auto"/>
        <w:ind w:right="51"/>
        <w:jc w:val="both"/>
        <w:rPr>
          <w:rFonts w:ascii="Verdana" w:eastAsia="Arial" w:hAnsi="Verdana" w:cs="Arial"/>
          <w:color w:val="000000"/>
        </w:rPr>
      </w:pPr>
      <w:r w:rsidRPr="0086590B">
        <w:rPr>
          <w:rFonts w:ascii="Verdana" w:eastAsia="Arial" w:hAnsi="Verdana" w:cs="Arial"/>
          <w:color w:val="000000"/>
        </w:rPr>
        <w:t>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al verificar la Administración encuentra que lo omitido por el proponente es un aspecto que otorga puntaje, no es posible subsanarlo; pero, si no otorga puntaje, la Administración debe requerir al proponente para que lo subsane.</w:t>
      </w:r>
    </w:p>
    <w:p w14:paraId="73F2D07A" w14:textId="77777777" w:rsidR="005748B0" w:rsidRPr="0086590B" w:rsidRDefault="005748B0" w:rsidP="005748B0">
      <w:pPr>
        <w:spacing w:after="120" w:line="276" w:lineRule="auto"/>
        <w:ind w:right="49" w:firstLine="709"/>
        <w:jc w:val="both"/>
        <w:rPr>
          <w:rFonts w:ascii="Verdana" w:eastAsia="Arial" w:hAnsi="Verdana" w:cs="Arial"/>
          <w:color w:val="000000"/>
        </w:rPr>
      </w:pPr>
      <w:r w:rsidRPr="0086590B">
        <w:rPr>
          <w:rFonts w:ascii="Verdana" w:eastAsia="Arial" w:hAnsi="Verdana" w:cs="Arial"/>
          <w:color w:val="000000"/>
        </w:rPr>
        <w:t>El artículo 5 de la Ley 1150 de 2007, además de consagrar un criterio más claro, y, de paso, reducir la discrecionalidad de la Administración, fijó un ámbito temporal para la subsanación de las ofertas: “</w:t>
      </w:r>
      <w:r w:rsidRPr="0086590B">
        <w:rPr>
          <w:rFonts w:ascii="Verdana" w:eastAsia="Arial" w:hAnsi="Verdana" w:cs="Arial"/>
          <w:i/>
          <w:color w:val="000000"/>
        </w:rPr>
        <w:t>en cualquier momento, hasta la adjudicación</w:t>
      </w:r>
      <w:r w:rsidRPr="0086590B">
        <w:rPr>
          <w:rFonts w:ascii="Verdana" w:eastAsia="Arial" w:hAnsi="Verdana" w:cs="Arial"/>
          <w:color w:val="000000"/>
        </w:rPr>
        <w:t xml:space="preserve">”. El Consejo de Estado, con particular sindéresis, concluyó que a partir del parágrafo 1º del artículo 5 de la Ley 1150, la definición de lo que es subsanable y lo que no lo es surge a partir del planteamiento de la pregunta sobre si el defecto asigna puntaje o no, en estos términos: </w:t>
      </w:r>
    </w:p>
    <w:p w14:paraId="4534D6F3" w14:textId="77777777" w:rsidR="005748B0" w:rsidRPr="0086590B" w:rsidRDefault="005748B0" w:rsidP="005748B0">
      <w:pPr>
        <w:spacing w:after="0" w:line="240" w:lineRule="auto"/>
        <w:ind w:left="709" w:right="758"/>
        <w:jc w:val="both"/>
        <w:rPr>
          <w:rFonts w:ascii="Verdana" w:eastAsia="Arial" w:hAnsi="Verdana" w:cs="Arial"/>
          <w:color w:val="000000"/>
          <w:sz w:val="20"/>
          <w:szCs w:val="20"/>
        </w:rPr>
      </w:pPr>
      <w:r w:rsidRPr="0086590B">
        <w:rPr>
          <w:rFonts w:ascii="Verdana" w:eastAsia="Arial" w:hAnsi="Verdana" w:cs="Arial"/>
          <w:color w:val="000000"/>
          <w:sz w:val="20"/>
          <w:szCs w:val="20"/>
        </w:rPr>
        <w:t>“Esto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a no a problemas de capacidad o a requisitos cumplidos antes o después de presentadas las ofertas, con la condición de que cuando le pidan la acreditación la satisfaga suficientemente”</w:t>
      </w:r>
      <w:r w:rsidRPr="0086590B">
        <w:rPr>
          <w:rFonts w:ascii="Verdana" w:eastAsia="Arial" w:hAnsi="Verdana" w:cs="Arial"/>
          <w:color w:val="000000"/>
          <w:sz w:val="20"/>
          <w:szCs w:val="20"/>
          <w:vertAlign w:val="superscript"/>
        </w:rPr>
        <w:footnoteReference w:id="3"/>
      </w:r>
      <w:r w:rsidRPr="0086590B">
        <w:rPr>
          <w:rFonts w:ascii="Verdana" w:eastAsia="Arial" w:hAnsi="Verdana" w:cs="Arial"/>
          <w:color w:val="000000"/>
          <w:sz w:val="20"/>
          <w:szCs w:val="20"/>
        </w:rPr>
        <w:t>.</w:t>
      </w:r>
    </w:p>
    <w:p w14:paraId="17270138" w14:textId="77777777" w:rsidR="005748B0" w:rsidRPr="0086590B" w:rsidRDefault="005748B0" w:rsidP="005748B0">
      <w:pPr>
        <w:spacing w:after="0" w:line="240" w:lineRule="auto"/>
        <w:ind w:left="709" w:right="1291"/>
        <w:jc w:val="both"/>
        <w:rPr>
          <w:rFonts w:ascii="Verdana" w:eastAsia="Arial" w:hAnsi="Verdana" w:cs="Arial"/>
          <w:color w:val="000000"/>
          <w:sz w:val="20"/>
          <w:szCs w:val="20"/>
        </w:rPr>
      </w:pPr>
    </w:p>
    <w:p w14:paraId="4E668C1F" w14:textId="77777777" w:rsidR="005748B0" w:rsidRPr="0086590B" w:rsidRDefault="005748B0" w:rsidP="005748B0">
      <w:pPr>
        <w:pBdr>
          <w:top w:val="nil"/>
          <w:left w:val="nil"/>
          <w:bottom w:val="nil"/>
          <w:right w:val="nil"/>
          <w:between w:val="nil"/>
        </w:pBdr>
        <w:tabs>
          <w:tab w:val="left" w:pos="284"/>
        </w:tabs>
        <w:spacing w:after="120" w:line="276" w:lineRule="auto"/>
        <w:ind w:right="49" w:firstLine="709"/>
        <w:jc w:val="both"/>
        <w:rPr>
          <w:rFonts w:ascii="Verdana" w:eastAsia="Arial" w:hAnsi="Verdana" w:cs="Arial"/>
          <w:color w:val="000000"/>
        </w:rPr>
      </w:pPr>
      <w:r w:rsidRPr="0086590B">
        <w:rPr>
          <w:rFonts w:ascii="Verdana" w:eastAsia="Arial" w:hAnsi="Verdana" w:cs="Arial"/>
          <w:color w:val="000000"/>
        </w:rPr>
        <w:t>Esa interpretación fue compartida por la Agencia Nacional de Contratación Pública – Colombia Compra Eficiente, pues en la Circular Externa Única</w:t>
      </w:r>
      <w:r w:rsidRPr="0086590B">
        <w:rPr>
          <w:rStyle w:val="Refdenotaalpie"/>
          <w:rFonts w:ascii="Verdana" w:eastAsia="Arial" w:hAnsi="Verdana" w:cs="Arial"/>
          <w:color w:val="000000"/>
        </w:rPr>
        <w:footnoteReference w:id="4"/>
      </w:r>
      <w:r w:rsidRPr="0086590B">
        <w:rPr>
          <w:rFonts w:ascii="Verdana" w:eastAsia="Arial" w:hAnsi="Verdana" w:cs="Arial"/>
          <w:color w:val="000000"/>
        </w:rPr>
        <w:t xml:space="preserve"> se </w:t>
      </w:r>
      <w:r>
        <w:rPr>
          <w:rFonts w:ascii="Verdana" w:eastAsia="Arial" w:hAnsi="Verdana" w:cs="Arial"/>
          <w:color w:val="000000"/>
        </w:rPr>
        <w:t xml:space="preserve">precisó </w:t>
      </w:r>
      <w:r w:rsidRPr="0086590B">
        <w:rPr>
          <w:rFonts w:ascii="Verdana" w:eastAsia="Arial" w:hAnsi="Verdana" w:cs="Arial"/>
          <w:color w:val="000000"/>
        </w:rPr>
        <w:t xml:space="preserve">que, si durante un proceso de contratación hay proponentes que no acreditaron en sus ofertas requisitos que no afectan la asignación de puntaje o la comparación de </w:t>
      </w:r>
      <w:proofErr w:type="gramStart"/>
      <w:r w:rsidRPr="0086590B">
        <w:rPr>
          <w:rFonts w:ascii="Verdana" w:eastAsia="Arial" w:hAnsi="Verdana" w:cs="Arial"/>
          <w:color w:val="000000"/>
        </w:rPr>
        <w:t>las mismas</w:t>
      </w:r>
      <w:proofErr w:type="gramEnd"/>
      <w:r w:rsidRPr="0086590B">
        <w:rPr>
          <w:rFonts w:ascii="Verdana" w:eastAsia="Arial" w:hAnsi="Verdana" w:cs="Arial"/>
          <w:color w:val="000000"/>
        </w:rPr>
        <w:t>, la entidad estatal deberá indicarlo en el informe de evaluación y advertir que la correspondiente oferta no será evaluada hasta que se subsane.</w:t>
      </w:r>
    </w:p>
    <w:p w14:paraId="37EFE0D5" w14:textId="77777777" w:rsidR="00584778" w:rsidRPr="0086590B" w:rsidRDefault="005748B0" w:rsidP="00584778">
      <w:pPr>
        <w:pBdr>
          <w:top w:val="nil"/>
          <w:left w:val="nil"/>
          <w:bottom w:val="nil"/>
          <w:right w:val="nil"/>
          <w:between w:val="nil"/>
        </w:pBdr>
        <w:tabs>
          <w:tab w:val="left" w:pos="284"/>
        </w:tabs>
        <w:spacing w:after="120" w:line="276" w:lineRule="auto"/>
        <w:ind w:right="49" w:firstLine="709"/>
        <w:jc w:val="both"/>
        <w:rPr>
          <w:rFonts w:ascii="Verdana" w:eastAsia="Arial" w:hAnsi="Verdana" w:cs="Arial"/>
          <w:color w:val="000000"/>
        </w:rPr>
      </w:pPr>
      <w:r w:rsidRPr="0086590B">
        <w:rPr>
          <w:rFonts w:ascii="Verdana" w:eastAsia="Arial" w:hAnsi="Verdana" w:cs="Arial"/>
          <w:color w:val="000000"/>
        </w:rPr>
        <w:t xml:space="preserve">En un </w:t>
      </w:r>
      <w:r w:rsidRPr="0086590B">
        <w:rPr>
          <w:rFonts w:ascii="Verdana" w:eastAsia="Arial" w:hAnsi="Verdana" w:cs="Arial"/>
          <w:i/>
          <w:color w:val="000000"/>
        </w:rPr>
        <w:t>cuarto momento</w:t>
      </w:r>
      <w:r w:rsidRPr="0086590B">
        <w:rPr>
          <w:rFonts w:ascii="Verdana" w:eastAsia="Arial" w:hAnsi="Verdana" w:cs="Arial"/>
          <w:color w:val="000000"/>
        </w:rPr>
        <w:t>, el legislador expidió la Ley 1882 de 2018, con la finalidad de introducir cambios y ajustes para fortalecer la contratación pública. El artículo 5 modificó el parágrafo 1º del artículo 5 de la Ley 1150 de 2007 en los siguientes términos: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w:t>
      </w:r>
      <w:r w:rsidR="00584778">
        <w:rPr>
          <w:rFonts w:ascii="Verdana" w:eastAsia="Arial" w:hAnsi="Verdana" w:cs="Arial"/>
          <w:color w:val="000000"/>
        </w:rPr>
        <w:t xml:space="preserve"> </w:t>
      </w:r>
      <w:r w:rsidR="00584778" w:rsidRPr="0086590B">
        <w:rPr>
          <w:rFonts w:ascii="Verdana" w:eastAsia="Arial" w:hAnsi="Verdana" w:cs="Arial"/>
          <w:color w:val="000000"/>
        </w:rPr>
        <w:t xml:space="preserve">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0891290B" w14:textId="77777777" w:rsidR="00584778" w:rsidRPr="0086590B" w:rsidRDefault="00584778" w:rsidP="00584778">
      <w:pPr>
        <w:pBdr>
          <w:top w:val="nil"/>
          <w:left w:val="nil"/>
          <w:bottom w:val="nil"/>
          <w:right w:val="nil"/>
          <w:between w:val="nil"/>
        </w:pBdr>
        <w:tabs>
          <w:tab w:val="left" w:pos="284"/>
        </w:tabs>
        <w:spacing w:after="120" w:line="276" w:lineRule="auto"/>
        <w:ind w:right="49" w:firstLine="709"/>
        <w:jc w:val="both"/>
        <w:rPr>
          <w:rFonts w:ascii="Verdana" w:eastAsia="Arial" w:hAnsi="Verdana" w:cs="Arial"/>
          <w:color w:val="000000"/>
        </w:rPr>
      </w:pPr>
      <w:r w:rsidRPr="0086590B">
        <w:rPr>
          <w:rFonts w:ascii="Verdana" w:eastAsia="Arial" w:hAnsi="Verdana" w:cs="Arial"/>
          <w:color w:val="000000"/>
        </w:rPr>
        <w:t xml:space="preserve">Como puede observarse, esta norma: i) mantiene el criterio de la Ley 80 de 1993, relativo a que todo lo que no sea necesario para la comparación de propuestas no es título suficiente para su rechazo; </w:t>
      </w:r>
      <w:proofErr w:type="spellStart"/>
      <w:r w:rsidRPr="0086590B">
        <w:rPr>
          <w:rFonts w:ascii="Verdana" w:eastAsia="Arial" w:hAnsi="Verdana" w:cs="Arial"/>
          <w:color w:val="000000"/>
        </w:rPr>
        <w:t>ii</w:t>
      </w:r>
      <w:proofErr w:type="spellEnd"/>
      <w:r w:rsidRPr="0086590B">
        <w:rPr>
          <w:rFonts w:ascii="Verdana" w:eastAsia="Arial" w:hAnsi="Verdana" w:cs="Arial"/>
          <w:color w:val="000000"/>
        </w:rPr>
        <w:t xml:space="preserve">) mantiene el criterio aclaratorio de la Ley 1150 de 2007, según el cual todo lo que no afecte la asignación de puntaje puede subsanarse e </w:t>
      </w:r>
      <w:proofErr w:type="spellStart"/>
      <w:r w:rsidRPr="0086590B">
        <w:rPr>
          <w:rFonts w:ascii="Verdana" w:eastAsia="Arial" w:hAnsi="Verdana" w:cs="Arial"/>
          <w:color w:val="000000"/>
        </w:rPr>
        <w:t>iii</w:t>
      </w:r>
      <w:proofErr w:type="spellEnd"/>
      <w:r w:rsidRPr="0086590B">
        <w:rPr>
          <w:rFonts w:ascii="Verdana" w:eastAsia="Arial" w:hAnsi="Verdana" w:cs="Arial"/>
          <w:color w:val="000000"/>
        </w:rPr>
        <w:t xml:space="preserve">) introduce modificaciones en relación con algunos aspectos que se analizarán a continuación. </w:t>
      </w:r>
    </w:p>
    <w:p w14:paraId="43E0406C" w14:textId="77777777" w:rsidR="00584778" w:rsidRPr="0086590B" w:rsidRDefault="00584778" w:rsidP="00584778">
      <w:pPr>
        <w:pBdr>
          <w:top w:val="nil"/>
          <w:left w:val="nil"/>
          <w:bottom w:val="nil"/>
          <w:right w:val="nil"/>
          <w:between w:val="nil"/>
        </w:pBdr>
        <w:tabs>
          <w:tab w:val="left" w:pos="284"/>
        </w:tabs>
        <w:spacing w:after="120" w:line="276" w:lineRule="auto"/>
        <w:ind w:right="49" w:firstLine="709"/>
        <w:jc w:val="both"/>
        <w:rPr>
          <w:rFonts w:ascii="Verdana" w:eastAsia="Arial" w:hAnsi="Verdana" w:cs="Arial"/>
          <w:color w:val="000000"/>
        </w:rPr>
      </w:pPr>
      <w:r w:rsidRPr="0086590B">
        <w:rPr>
          <w:rFonts w:ascii="Verdana" w:eastAsia="Arial" w:hAnsi="Verdana" w:cs="Arial"/>
          <w:color w:val="000000"/>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w:t>
      </w:r>
      <w:r w:rsidRPr="0086590B">
        <w:rPr>
          <w:rFonts w:ascii="Verdana" w:eastAsia="Arial" w:hAnsi="Verdana" w:cs="Arial"/>
          <w:color w:val="000000"/>
          <w:vertAlign w:val="superscript"/>
        </w:rPr>
        <w:footnoteReference w:id="5"/>
      </w:r>
      <w:r w:rsidRPr="0086590B">
        <w:rPr>
          <w:rFonts w:ascii="Verdana" w:eastAsia="Arial" w:hAnsi="Verdana" w:cs="Arial"/>
          <w:color w:val="000000"/>
        </w:rPr>
        <w:t>; en el último, los documentos o requisitos subsanables pueden y deben solicitarse hasta el momento previo a su realización.</w:t>
      </w:r>
    </w:p>
    <w:p w14:paraId="1D417622" w14:textId="77777777" w:rsidR="001C6B29" w:rsidRPr="0086590B" w:rsidRDefault="00584778" w:rsidP="00E40EC3">
      <w:pPr>
        <w:pBdr>
          <w:top w:val="nil"/>
          <w:left w:val="nil"/>
          <w:bottom w:val="nil"/>
          <w:right w:val="nil"/>
          <w:between w:val="nil"/>
        </w:pBdr>
        <w:tabs>
          <w:tab w:val="left" w:pos="284"/>
        </w:tabs>
        <w:spacing w:after="120" w:line="276" w:lineRule="auto"/>
        <w:ind w:right="49" w:firstLine="709"/>
        <w:jc w:val="both"/>
        <w:rPr>
          <w:rFonts w:ascii="Verdana" w:eastAsia="Arial" w:hAnsi="Verdana" w:cs="Arial"/>
          <w:color w:val="000000"/>
        </w:rPr>
      </w:pPr>
      <w:r w:rsidRPr="0086590B">
        <w:rPr>
          <w:rFonts w:ascii="Verdana" w:eastAsia="Arial" w:hAnsi="Verdana" w:cs="Arial"/>
          <w:color w:val="000000"/>
        </w:rPr>
        <w:t>Frente a la regla general, la norma fijó un límite final para que la Administración y los oferentes subsanen los requisitos o documentos que puedan y deban ser subsanados, pero nada impide, y la norma no lo hace, que la Administración requiera al proponente antes de publicar el informe de evaluación. En efecto, la redacción de la norma permite que la Administración</w:t>
      </w:r>
      <w:r w:rsidR="001C6B29">
        <w:rPr>
          <w:rFonts w:ascii="Verdana" w:eastAsia="Arial" w:hAnsi="Verdana" w:cs="Arial"/>
          <w:color w:val="000000"/>
        </w:rPr>
        <w:t xml:space="preserve"> </w:t>
      </w:r>
      <w:r w:rsidR="001C6B29" w:rsidRPr="0086590B">
        <w:rPr>
          <w:rFonts w:ascii="Verdana" w:eastAsia="Arial" w:hAnsi="Verdana" w:cs="Arial"/>
          <w:color w:val="000000"/>
        </w:rPr>
        <w:t xml:space="preserve">solicite a los oferentes subsanar y que estos lo hagan hasta antes del término del traslado del informe de evaluación: “deberán ser solicitados por las entidades estatales y deberán ser entregados por los proponentes hasta el término de traslado del informe de evaluación que corresponda a cada modalidad de selección”. </w:t>
      </w:r>
    </w:p>
    <w:p w14:paraId="735DB656" w14:textId="77777777" w:rsidR="001C6B29" w:rsidRPr="0086590B" w:rsidRDefault="001C6B29" w:rsidP="00E40EC3">
      <w:pPr>
        <w:pBdr>
          <w:top w:val="nil"/>
          <w:left w:val="nil"/>
          <w:bottom w:val="nil"/>
          <w:right w:val="nil"/>
          <w:between w:val="nil"/>
        </w:pBdr>
        <w:tabs>
          <w:tab w:val="left" w:pos="284"/>
        </w:tabs>
        <w:spacing w:after="120" w:line="276" w:lineRule="auto"/>
        <w:ind w:right="49" w:firstLine="709"/>
        <w:jc w:val="both"/>
        <w:rPr>
          <w:rFonts w:ascii="Verdana" w:eastAsia="Arial" w:hAnsi="Verdana" w:cs="Arial"/>
          <w:color w:val="000000"/>
        </w:rPr>
      </w:pPr>
      <w:r w:rsidRPr="0086590B">
        <w:rPr>
          <w:rFonts w:ascii="Verdana" w:eastAsia="Arial" w:hAnsi="Verdana" w:cs="Arial"/>
          <w:color w:val="000000"/>
        </w:rPr>
        <w:t xml:space="preserve">No obstante, de la lectura de este aparte podrían, en la práctica, darse dos interpretaciones que dan lugar a dos formas de proceder en los procesos de selección, en lo que se refiere a la </w:t>
      </w:r>
      <w:proofErr w:type="spellStart"/>
      <w:r w:rsidRPr="0086590B">
        <w:rPr>
          <w:rFonts w:ascii="Verdana" w:eastAsia="Arial" w:hAnsi="Verdana" w:cs="Arial"/>
          <w:color w:val="000000"/>
        </w:rPr>
        <w:t>subsanabilidad</w:t>
      </w:r>
      <w:proofErr w:type="spellEnd"/>
      <w:r w:rsidRPr="0086590B">
        <w:rPr>
          <w:rFonts w:ascii="Verdana" w:eastAsia="Arial" w:hAnsi="Verdana" w:cs="Arial"/>
          <w:color w:val="000000"/>
        </w:rPr>
        <w:t xml:space="preserve"> de las ofertas. </w:t>
      </w:r>
      <w:r w:rsidRPr="0086590B">
        <w:rPr>
          <w:rFonts w:ascii="Verdana" w:eastAsia="Arial" w:hAnsi="Verdana" w:cs="Arial"/>
          <w:i/>
          <w:color w:val="000000"/>
        </w:rPr>
        <w:t>Primera</w:t>
      </w:r>
      <w:r w:rsidRPr="0086590B">
        <w:rPr>
          <w:rFonts w:ascii="Verdana" w:eastAsia="Arial" w:hAnsi="Verdana" w:cs="Arial"/>
          <w:color w:val="000000"/>
        </w:rPr>
        <w:t xml:space="preserve">, que la posibilidad de los oferentes para subsanar es el término del traslado del informe de evaluación, ya que en este documento es donde la Administración establece los requisitos o documentos omitidos que los oferentes deben subsanar, so pena de rechazo; </w:t>
      </w:r>
      <w:r w:rsidRPr="0086590B">
        <w:rPr>
          <w:rFonts w:ascii="Verdana" w:eastAsia="Arial" w:hAnsi="Verdana" w:cs="Arial"/>
          <w:i/>
          <w:color w:val="000000"/>
        </w:rPr>
        <w:t>segunda</w:t>
      </w:r>
      <w:r w:rsidRPr="0086590B">
        <w:rPr>
          <w:rFonts w:ascii="Verdana" w:eastAsia="Arial" w:hAnsi="Verdana" w:cs="Arial"/>
          <w:color w:val="000000"/>
        </w:rPr>
        <w:t xml:space="preserve">, que el término del traslado del informe de evaluación es el límite para la subsanación de ofertas, pero no el único momento para hacerlo. </w:t>
      </w:r>
    </w:p>
    <w:p w14:paraId="6D290616" w14:textId="6089B951" w:rsidR="001C6B29" w:rsidRPr="0086590B" w:rsidRDefault="001C6B29" w:rsidP="001C6B29">
      <w:pPr>
        <w:pBdr>
          <w:top w:val="nil"/>
          <w:left w:val="nil"/>
          <w:bottom w:val="nil"/>
          <w:right w:val="nil"/>
          <w:between w:val="nil"/>
        </w:pBdr>
        <w:tabs>
          <w:tab w:val="left" w:pos="284"/>
        </w:tabs>
        <w:spacing w:after="120" w:line="276" w:lineRule="auto"/>
        <w:ind w:right="49" w:firstLine="709"/>
        <w:jc w:val="both"/>
        <w:rPr>
          <w:rFonts w:ascii="Verdana" w:eastAsia="Arial" w:hAnsi="Verdana" w:cs="Arial"/>
          <w:color w:val="000000"/>
        </w:rPr>
      </w:pPr>
      <w:r w:rsidRPr="0086590B">
        <w:rPr>
          <w:rFonts w:ascii="Verdana" w:eastAsia="Arial" w:hAnsi="Verdana" w:cs="Arial"/>
          <w:color w:val="000000"/>
        </w:rPr>
        <w:t>De acuerdo con la primera interpretación, el informe de evaluación se convierte en la oportunidad que adopta la Administración para comunicarles a los oferentes qué documentos o requisitos omitieron y deben subsanar y, consecuentemente, el término del traslado es la oportunidad del proponente para cumplir con lo solicitado. La segunda interpretación permitiría que la Administración requiera al oferente durante el proceso de evaluación de las propuestas, tan pronto advierta que hace falta un documento o requisito que se puede subsanar. En este caso, la subsanación se lleva a cabo con anterioridad a la publicación del informe de evaluación, de manera que una vez se publique el informe ya se encuentren subsanadas las propuestas, sin perjuicio del término límite que concedió la ley.</w:t>
      </w:r>
    </w:p>
    <w:p w14:paraId="59DB7C24" w14:textId="77777777" w:rsidR="001C6B29" w:rsidRPr="0086590B" w:rsidRDefault="001C6B29" w:rsidP="001C6B29">
      <w:pPr>
        <w:pBdr>
          <w:top w:val="nil"/>
          <w:left w:val="nil"/>
          <w:bottom w:val="nil"/>
          <w:right w:val="nil"/>
          <w:between w:val="nil"/>
        </w:pBdr>
        <w:tabs>
          <w:tab w:val="left" w:pos="284"/>
        </w:tabs>
        <w:spacing w:after="120" w:line="276" w:lineRule="auto"/>
        <w:ind w:right="49" w:firstLine="709"/>
        <w:jc w:val="both"/>
        <w:rPr>
          <w:rFonts w:ascii="Verdana" w:eastAsia="Arial" w:hAnsi="Verdana" w:cs="Arial"/>
          <w:color w:val="000000"/>
        </w:rPr>
      </w:pPr>
      <w:r w:rsidRPr="0086590B">
        <w:rPr>
          <w:rFonts w:ascii="Verdana" w:eastAsia="Arial" w:hAnsi="Verdana" w:cs="Arial"/>
          <w:color w:val="000000"/>
        </w:rPr>
        <w:t xml:space="preserve">En criterio de esta Subdirección, la segunda interpretación es la que más se ajusta a la norma, pero, además, es la más conveniente para el desarrollo del proceso de selección, porque garantiza que el informe de evaluación presente una comparación de propuestas más depurada y el término de traslado para observaciones al mismo sea una oportunidad en la que se planteen aspectos sustanciales o de fondo a la evaluación, teniendo en cuenta que ya las propuestas estarán consolidadas en lo formal. Subsanar antes del informe de evaluación ofrece mayor seguridad y certeza al proceso de selección, a la Administración y a los oferentes. </w:t>
      </w:r>
    </w:p>
    <w:p w14:paraId="54365E8C" w14:textId="77777777" w:rsidR="001C6B29" w:rsidRPr="0086590B" w:rsidRDefault="001C6B29" w:rsidP="001C6B29">
      <w:pPr>
        <w:pBdr>
          <w:top w:val="nil"/>
          <w:left w:val="nil"/>
          <w:bottom w:val="nil"/>
          <w:right w:val="nil"/>
          <w:between w:val="nil"/>
        </w:pBdr>
        <w:tabs>
          <w:tab w:val="left" w:pos="284"/>
        </w:tabs>
        <w:spacing w:after="120" w:line="276" w:lineRule="auto"/>
        <w:ind w:right="49" w:firstLine="709"/>
        <w:jc w:val="both"/>
        <w:rPr>
          <w:rFonts w:ascii="Verdana" w:eastAsia="Arial" w:hAnsi="Verdana" w:cs="Arial"/>
          <w:color w:val="000000"/>
        </w:rPr>
      </w:pPr>
      <w:r w:rsidRPr="0086590B">
        <w:rPr>
          <w:rFonts w:ascii="Verdana" w:eastAsia="Arial" w:hAnsi="Verdana" w:cs="Arial"/>
          <w:color w:val="000000"/>
        </w:rPr>
        <w:t xml:space="preserve">Así pues, 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w:t>
      </w:r>
    </w:p>
    <w:p w14:paraId="44D60929" w14:textId="77777777" w:rsidR="001C6B29" w:rsidRPr="0086590B" w:rsidRDefault="001C6B29" w:rsidP="001C6B29">
      <w:pPr>
        <w:pBdr>
          <w:top w:val="nil"/>
          <w:left w:val="nil"/>
          <w:bottom w:val="nil"/>
          <w:right w:val="nil"/>
          <w:between w:val="nil"/>
        </w:pBdr>
        <w:tabs>
          <w:tab w:val="left" w:pos="284"/>
        </w:tabs>
        <w:spacing w:after="120" w:line="276" w:lineRule="auto"/>
        <w:ind w:right="49" w:firstLine="709"/>
        <w:jc w:val="both"/>
        <w:rPr>
          <w:rFonts w:ascii="Verdana" w:eastAsia="Arial" w:hAnsi="Verdana" w:cs="Arial"/>
          <w:color w:val="000000"/>
        </w:rPr>
      </w:pPr>
      <w:r w:rsidRPr="0086590B">
        <w:rPr>
          <w:rFonts w:ascii="Verdana" w:eastAsia="Arial" w:hAnsi="Verdana" w:cs="Arial"/>
          <w:color w:val="000000"/>
        </w:rPr>
        <w:t>De otro lado, el segundo cambio importante de la Ley 1882 de 2018 fue la introducción de un criterio material, directamente relacionado con los aspectos subsanables: “los proponentes no podrán acreditar circunstancias ocurridas con posterioridad al cierre del proceso”</w:t>
      </w:r>
      <w:r w:rsidRPr="0086590B">
        <w:rPr>
          <w:rFonts w:ascii="Verdana" w:eastAsia="Arial" w:hAnsi="Verdana" w:cs="Arial"/>
          <w:b/>
          <w:i/>
          <w:color w:val="000000"/>
        </w:rPr>
        <w:t>.</w:t>
      </w:r>
      <w:r w:rsidRPr="0086590B">
        <w:rPr>
          <w:rFonts w:ascii="Verdana" w:eastAsia="Arial" w:hAnsi="Verdana" w:cs="Arial"/>
          <w:b/>
          <w:color w:val="000000"/>
        </w:rPr>
        <w:t xml:space="preserve"> </w:t>
      </w:r>
      <w:r w:rsidRPr="0086590B">
        <w:rPr>
          <w:rFonts w:ascii="Verdana" w:eastAsia="Arial" w:hAnsi="Verdana" w:cs="Arial"/>
          <w:color w:val="000000"/>
        </w:rPr>
        <w:t xml:space="preserve">Lo anterior ofrece dos aspectos que merecen clarificación: </w:t>
      </w:r>
      <w:r w:rsidRPr="0086590B">
        <w:rPr>
          <w:rFonts w:ascii="Verdana" w:eastAsia="Arial" w:hAnsi="Verdana" w:cs="Arial"/>
          <w:i/>
          <w:color w:val="000000"/>
        </w:rPr>
        <w:t>primero</w:t>
      </w:r>
      <w:r w:rsidRPr="0086590B">
        <w:rPr>
          <w:rFonts w:ascii="Verdana" w:eastAsia="Arial" w:hAnsi="Verdana" w:cs="Arial"/>
          <w:color w:val="000000"/>
        </w:rPr>
        <w:t xml:space="preserve">, qué debe entenderse por circunstancias ocurridas con posterioridad; y </w:t>
      </w:r>
      <w:r w:rsidRPr="0086590B">
        <w:rPr>
          <w:rFonts w:ascii="Verdana" w:eastAsia="Arial" w:hAnsi="Verdana" w:cs="Arial"/>
          <w:i/>
          <w:color w:val="000000"/>
        </w:rPr>
        <w:t>segundo</w:t>
      </w:r>
      <w:r w:rsidRPr="0086590B">
        <w:rPr>
          <w:rFonts w:ascii="Verdana" w:eastAsia="Arial" w:hAnsi="Verdana" w:cs="Arial"/>
          <w:color w:val="000000"/>
        </w:rPr>
        <w:t>, qué es el cierre del proceso.</w:t>
      </w:r>
    </w:p>
    <w:p w14:paraId="0898FB94" w14:textId="77777777" w:rsidR="0079177E" w:rsidRPr="0086590B" w:rsidRDefault="001C6B29" w:rsidP="0079177E">
      <w:pPr>
        <w:pBdr>
          <w:top w:val="nil"/>
          <w:left w:val="nil"/>
          <w:bottom w:val="nil"/>
          <w:right w:val="nil"/>
          <w:between w:val="nil"/>
        </w:pBdr>
        <w:tabs>
          <w:tab w:val="left" w:pos="284"/>
        </w:tabs>
        <w:spacing w:after="120" w:line="276" w:lineRule="auto"/>
        <w:ind w:right="49" w:firstLine="709"/>
        <w:jc w:val="both"/>
        <w:rPr>
          <w:rFonts w:ascii="Verdana" w:eastAsia="Arial" w:hAnsi="Verdana" w:cs="Arial"/>
          <w:color w:val="000000"/>
        </w:rPr>
      </w:pPr>
      <w:r w:rsidRPr="0086590B">
        <w:rPr>
          <w:rFonts w:ascii="Verdana" w:eastAsia="Arial" w:hAnsi="Verdana" w:cs="Arial"/>
          <w:color w:val="000000"/>
        </w:rPr>
        <w:t>La Sala de Consulta y Servicio Civil del Consejo de Estado ya había tenido la oportunidad de precisar estas expresiones, a propósito de un concepto en el que se refirió al artículo 10 del derogado Decreto 2474 de 2008</w:t>
      </w:r>
      <w:r w:rsidRPr="0086590B">
        <w:rPr>
          <w:rFonts w:ascii="Verdana" w:eastAsia="Arial" w:hAnsi="Verdana" w:cs="Arial"/>
          <w:color w:val="000000"/>
          <w:vertAlign w:val="superscript"/>
        </w:rPr>
        <w:footnoteReference w:id="6"/>
      </w:r>
      <w:r w:rsidRPr="0086590B">
        <w:rPr>
          <w:rFonts w:ascii="Verdana" w:eastAsia="Arial" w:hAnsi="Verdana" w:cs="Arial"/>
          <w:color w:val="000000"/>
        </w:rPr>
        <w:t>, que había</w:t>
      </w:r>
      <w:r w:rsidR="0079177E">
        <w:rPr>
          <w:rFonts w:ascii="Verdana" w:eastAsia="Arial" w:hAnsi="Verdana" w:cs="Arial"/>
          <w:color w:val="000000"/>
        </w:rPr>
        <w:t xml:space="preserve"> </w:t>
      </w:r>
      <w:r w:rsidR="0079177E" w:rsidRPr="0086590B">
        <w:rPr>
          <w:rFonts w:ascii="Verdana" w:eastAsia="Arial" w:hAnsi="Verdana" w:cs="Arial"/>
          <w:color w:val="000000"/>
        </w:rPr>
        <w:t xml:space="preserve">determinado que en ningún caso la entidad podía permitir que se acreditaran circunstancias ocurridas con posterioridad al cierre del proceso. El Consejo de Estado precisó que por cierre del proceso debe entenderse el vencimiento del plazo para la presentación de las ofertas y que lo subsanable son las circunstancias que ocurrieron con anterioridad a esa fecha: </w:t>
      </w:r>
    </w:p>
    <w:p w14:paraId="6FF80F0A" w14:textId="77777777" w:rsidR="0079177E" w:rsidRPr="0086590B" w:rsidRDefault="0079177E" w:rsidP="0079177E">
      <w:pPr>
        <w:spacing w:after="120" w:line="240" w:lineRule="auto"/>
        <w:ind w:left="709" w:right="758"/>
        <w:jc w:val="both"/>
        <w:rPr>
          <w:rFonts w:ascii="Verdana" w:eastAsia="Arial" w:hAnsi="Verdana" w:cs="Arial"/>
          <w:color w:val="000000"/>
          <w:sz w:val="20"/>
          <w:szCs w:val="20"/>
        </w:rPr>
      </w:pPr>
      <w:r w:rsidRPr="0086590B">
        <w:rPr>
          <w:rFonts w:ascii="Verdana" w:eastAsia="Arial" w:hAnsi="Verdana" w:cs="Arial"/>
          <w:color w:val="000000"/>
          <w:sz w:val="20"/>
          <w:szCs w:val="20"/>
        </w:rPr>
        <w:t xml:space="preserve">“Sin embargo, debe tenerse en cuenta que la última norma en cita -Decreto 2474 de 2008, aparte subrayado-, establece un límite a la </w:t>
      </w:r>
      <w:proofErr w:type="spellStart"/>
      <w:r w:rsidRPr="0086590B">
        <w:rPr>
          <w:rFonts w:ascii="Verdana" w:eastAsia="Arial" w:hAnsi="Verdana" w:cs="Arial"/>
          <w:color w:val="000000"/>
          <w:sz w:val="20"/>
          <w:szCs w:val="20"/>
        </w:rPr>
        <w:t>subsanabilidad</w:t>
      </w:r>
      <w:proofErr w:type="spellEnd"/>
      <w:r w:rsidRPr="0086590B">
        <w:rPr>
          <w:rFonts w:ascii="Verdana" w:eastAsia="Arial" w:hAnsi="Verdana" w:cs="Arial"/>
          <w:color w:val="000000"/>
          <w:sz w:val="20"/>
          <w:szCs w:val="20"/>
        </w:rPr>
        <w:t>, puesto que en cualquier caso debe referirse o recaer sobre circunstancias ocurridas antes del cierre del respectivo proceso, esto es, del vencimiento del plazo para presentar ofertas.</w:t>
      </w:r>
    </w:p>
    <w:p w14:paraId="1A65EE44" w14:textId="77777777" w:rsidR="0079177E" w:rsidRDefault="0079177E" w:rsidP="0079177E">
      <w:pPr>
        <w:spacing w:after="0" w:line="240" w:lineRule="auto"/>
        <w:ind w:left="709" w:right="758"/>
        <w:jc w:val="both"/>
        <w:rPr>
          <w:rFonts w:ascii="Verdana" w:eastAsia="Arial" w:hAnsi="Verdana" w:cs="Arial"/>
          <w:color w:val="000000"/>
          <w:sz w:val="20"/>
          <w:szCs w:val="20"/>
        </w:rPr>
      </w:pPr>
      <w:r w:rsidRPr="0086590B">
        <w:rPr>
          <w:rFonts w:ascii="Verdana" w:eastAsia="Arial" w:hAnsi="Verdana" w:cs="Arial"/>
          <w:color w:val="000000"/>
          <w:sz w:val="20"/>
          <w:szCs w:val="20"/>
        </w:rPr>
        <w:t xml:space="preserve">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w:t>
      </w:r>
      <w:proofErr w:type="gramStart"/>
      <w:r w:rsidRPr="0086590B">
        <w:rPr>
          <w:rFonts w:ascii="Verdana" w:eastAsia="Arial" w:hAnsi="Verdana" w:cs="Arial"/>
          <w:color w:val="000000"/>
          <w:sz w:val="20"/>
          <w:szCs w:val="20"/>
        </w:rPr>
        <w:t>la misma</w:t>
      </w:r>
      <w:proofErr w:type="gramEnd"/>
      <w:r w:rsidRPr="0086590B">
        <w:rPr>
          <w:rFonts w:ascii="Verdana" w:eastAsia="Arial" w:hAnsi="Verdana" w:cs="Arial"/>
          <w:color w:val="000000"/>
          <w:sz w:val="20"/>
          <w:szCs w:val="20"/>
        </w:rPr>
        <w:t xml:space="preserve">,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w:t>
      </w:r>
      <w:proofErr w:type="gramStart"/>
      <w:r w:rsidRPr="0086590B">
        <w:rPr>
          <w:rFonts w:ascii="Verdana" w:eastAsia="Arial" w:hAnsi="Verdana" w:cs="Arial"/>
          <w:color w:val="000000"/>
          <w:sz w:val="20"/>
          <w:szCs w:val="20"/>
        </w:rPr>
        <w:t>del mismo</w:t>
      </w:r>
      <w:proofErr w:type="gramEnd"/>
      <w:r w:rsidRPr="0086590B">
        <w:rPr>
          <w:rFonts w:ascii="Verdana" w:eastAsia="Arial" w:hAnsi="Verdana" w:cs="Arial"/>
          <w:color w:val="000000"/>
          <w:sz w:val="20"/>
          <w:szCs w:val="20"/>
        </w:rPr>
        <w:t xml:space="preserve"> o lo actualice, pero no para que se constituya la sociedad con posterioridad al cierre del proceso, pues si ello no se había hecho, significa simplemente que el oferente no tenía la condición para participar”</w:t>
      </w:r>
      <w:r w:rsidRPr="0086590B">
        <w:rPr>
          <w:rFonts w:ascii="Verdana" w:eastAsia="Arial" w:hAnsi="Verdana" w:cs="Arial"/>
          <w:color w:val="000000"/>
          <w:sz w:val="20"/>
          <w:szCs w:val="20"/>
          <w:vertAlign w:val="superscript"/>
        </w:rPr>
        <w:footnoteReference w:id="7"/>
      </w:r>
      <w:r w:rsidRPr="0086590B">
        <w:rPr>
          <w:rFonts w:ascii="Verdana" w:eastAsia="Arial" w:hAnsi="Verdana" w:cs="Arial"/>
          <w:color w:val="000000"/>
          <w:sz w:val="20"/>
          <w:szCs w:val="20"/>
        </w:rPr>
        <w:t>.</w:t>
      </w:r>
    </w:p>
    <w:p w14:paraId="4BAD966D" w14:textId="77777777" w:rsidR="00F60181" w:rsidRDefault="00F60181" w:rsidP="0079177E">
      <w:pPr>
        <w:spacing w:after="0" w:line="240" w:lineRule="auto"/>
        <w:ind w:left="709" w:right="758"/>
        <w:jc w:val="both"/>
        <w:rPr>
          <w:rFonts w:ascii="Verdana" w:eastAsia="Arial" w:hAnsi="Verdana" w:cs="Arial"/>
          <w:color w:val="000000"/>
          <w:sz w:val="20"/>
          <w:szCs w:val="20"/>
        </w:rPr>
      </w:pPr>
    </w:p>
    <w:p w14:paraId="4690376A" w14:textId="77777777" w:rsidR="00FB7850" w:rsidRDefault="00FB7850" w:rsidP="00FB7850">
      <w:pPr>
        <w:spacing w:after="120" w:line="276" w:lineRule="auto"/>
        <w:ind w:right="49" w:firstLine="709"/>
        <w:jc w:val="both"/>
        <w:rPr>
          <w:rFonts w:ascii="Verdana" w:eastAsia="Arial" w:hAnsi="Verdana" w:cs="Arial"/>
          <w:color w:val="000000"/>
        </w:rPr>
      </w:pPr>
      <w:r w:rsidRPr="0086590B">
        <w:rPr>
          <w:rFonts w:ascii="Verdana" w:eastAsia="Arial" w:hAnsi="Verdana" w:cs="Arial"/>
          <w:color w:val="000000" w:themeColor="text1"/>
        </w:rPr>
        <w:t xml:space="preserve">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25AAA60A" w14:textId="77777777" w:rsidR="00FB7850" w:rsidRPr="0086590B" w:rsidRDefault="00FB7850" w:rsidP="00FB7850">
      <w:pPr>
        <w:spacing w:after="120" w:line="276" w:lineRule="auto"/>
        <w:ind w:right="49" w:firstLine="709"/>
        <w:jc w:val="both"/>
        <w:rPr>
          <w:rFonts w:ascii="Verdana" w:eastAsia="Arial" w:hAnsi="Verdana" w:cs="Arial"/>
          <w:color w:val="000000"/>
        </w:rPr>
      </w:pPr>
      <w:r w:rsidRPr="0086590B">
        <w:rPr>
          <w:rFonts w:ascii="Verdana" w:eastAsia="Arial" w:hAnsi="Verdana" w:cs="Arial"/>
          <w:color w:val="000000"/>
        </w:rPr>
        <w:t xml:space="preserve">Un mejor entendimiento del significado de la expresión “circunstancias ocurridas con posterioridad al cierre del proceso” lleva necesariamente a distinguir entre la prueba de un hecho y el hecho mismo. En el caso de la </w:t>
      </w:r>
      <w:proofErr w:type="spellStart"/>
      <w:r w:rsidRPr="0086590B">
        <w:rPr>
          <w:rFonts w:ascii="Verdana" w:eastAsia="Arial" w:hAnsi="Verdana" w:cs="Arial"/>
          <w:color w:val="000000"/>
        </w:rPr>
        <w:t>subsanabilidad</w:t>
      </w:r>
      <w:proofErr w:type="spellEnd"/>
      <w:r w:rsidRPr="0086590B">
        <w:rPr>
          <w:rFonts w:ascii="Verdana" w:eastAsia="Arial" w:hAnsi="Verdana" w:cs="Arial"/>
          <w:color w:val="000000"/>
        </w:rPr>
        <w:t xml:space="preserve">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w:t>
      </w:r>
    </w:p>
    <w:p w14:paraId="484161C5" w14:textId="16730519" w:rsidR="00F60181" w:rsidRDefault="00FB7850" w:rsidP="00B704F5">
      <w:pPr>
        <w:spacing w:after="120" w:line="276" w:lineRule="auto"/>
        <w:ind w:right="51" w:firstLine="709"/>
        <w:jc w:val="both"/>
        <w:rPr>
          <w:rFonts w:ascii="Verdana" w:eastAsia="Arial" w:hAnsi="Verdana" w:cs="Arial"/>
          <w:color w:val="000000"/>
        </w:rPr>
      </w:pPr>
      <w:r w:rsidRPr="0086590B">
        <w:rPr>
          <w:rFonts w:ascii="Verdana" w:eastAsia="Arial" w:hAnsi="Verdana" w:cs="Arial"/>
          <w:color w:val="000000"/>
        </w:rPr>
        <w:t xml:space="preserve">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w:t>
      </w:r>
      <w:proofErr w:type="spellStart"/>
      <w:r w:rsidRPr="0086590B">
        <w:rPr>
          <w:rFonts w:ascii="Verdana" w:eastAsia="Arial" w:hAnsi="Verdana" w:cs="Arial"/>
          <w:color w:val="000000"/>
        </w:rPr>
        <w:t>ii</w:t>
      </w:r>
      <w:proofErr w:type="spellEnd"/>
      <w:r w:rsidRPr="0086590B">
        <w:rPr>
          <w:rFonts w:ascii="Verdana" w:eastAsia="Arial" w:hAnsi="Verdana" w:cs="Arial"/>
          <w:color w:val="000000"/>
        </w:rPr>
        <w:t>) si un oferente presentó la propuesta sin aportar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86590B">
        <w:rPr>
          <w:rFonts w:ascii="Verdana" w:eastAsia="Arial" w:hAnsi="Verdana" w:cs="Arial"/>
          <w:color w:val="000000"/>
          <w:vertAlign w:val="superscript"/>
        </w:rPr>
        <w:footnoteReference w:id="8"/>
      </w:r>
      <w:r w:rsidRPr="0086590B">
        <w:rPr>
          <w:rFonts w:ascii="Verdana" w:eastAsia="Arial" w:hAnsi="Verdana" w:cs="Arial"/>
          <w:color w:val="000000"/>
        </w:rPr>
        <w:t xml:space="preserve">; </w:t>
      </w:r>
      <w:proofErr w:type="spellStart"/>
      <w:r w:rsidRPr="0086590B">
        <w:rPr>
          <w:rFonts w:ascii="Verdana" w:eastAsia="Arial" w:hAnsi="Verdana" w:cs="Arial"/>
          <w:color w:val="000000"/>
        </w:rPr>
        <w:t>iii</w:t>
      </w:r>
      <w:proofErr w:type="spellEnd"/>
      <w:r w:rsidRPr="0086590B">
        <w:rPr>
          <w:rFonts w:ascii="Verdana" w:eastAsia="Arial" w:hAnsi="Verdana" w:cs="Arial"/>
          <w:color w:val="000000"/>
        </w:rPr>
        <w:t>) si un oferente no anexó el certificado de existencia y representación legal, el documento aportado con posterioridad debe dar cuenta de que la sociedad existe desde antes del cierre del proceso</w:t>
      </w:r>
      <w:r w:rsidRPr="0086590B">
        <w:rPr>
          <w:rFonts w:ascii="Verdana" w:eastAsia="Arial" w:hAnsi="Verdana" w:cs="Arial"/>
          <w:color w:val="000000"/>
          <w:vertAlign w:val="superscript"/>
        </w:rPr>
        <w:footnoteReference w:id="9"/>
      </w:r>
      <w:r w:rsidRPr="0086590B">
        <w:rPr>
          <w:rFonts w:ascii="Verdana" w:eastAsia="Arial" w:hAnsi="Verdana" w:cs="Arial"/>
          <w:color w:val="000000"/>
        </w:rPr>
        <w:t xml:space="preserve">; </w:t>
      </w:r>
      <w:proofErr w:type="spellStart"/>
      <w:r w:rsidRPr="0086590B">
        <w:rPr>
          <w:rFonts w:ascii="Verdana" w:eastAsia="Arial" w:hAnsi="Verdana" w:cs="Arial"/>
          <w:color w:val="000000"/>
        </w:rPr>
        <w:t>iv</w:t>
      </w:r>
      <w:proofErr w:type="spellEnd"/>
      <w:r w:rsidRPr="0086590B">
        <w:rPr>
          <w:rFonts w:ascii="Verdana" w:eastAsia="Arial" w:hAnsi="Verdana" w:cs="Arial"/>
          <w:color w:val="000000"/>
        </w:rPr>
        <w:t>) si un oferente olvidó adjuntar un certificado que demuestra un título universitario, el documento, aunque tenga fecha posterior al cierre del proceso, debe acreditar que el título</w:t>
      </w:r>
      <w:r w:rsidR="00071E18">
        <w:rPr>
          <w:rFonts w:ascii="Verdana" w:eastAsia="Arial" w:hAnsi="Verdana" w:cs="Arial"/>
          <w:color w:val="000000"/>
        </w:rPr>
        <w:t xml:space="preserve"> </w:t>
      </w:r>
      <w:r w:rsidR="00071E18" w:rsidRPr="00071E18">
        <w:rPr>
          <w:rFonts w:ascii="Verdana" w:eastAsia="Arial" w:hAnsi="Verdana" w:cs="Arial"/>
          <w:color w:val="000000"/>
        </w:rPr>
        <w:t>académico se obtuvo con anterioridad al cierre del proceso; v) si un oferente no aportó un certificado de experiencia, el documento que subsana –sin importar que tenga fecha posterior– debe demostrar que la experiencia que se pretende hacer valer se obtuvo antes de vencerse el término para presentar ofertas, o vi) si el oferente olvidó firmar la propuesta o presentar una copia de ella, puede subsanar sin que se entienda que acreditó una circunstancia ocurrida con posterioridad al cierre del proceso.</w:t>
      </w:r>
    </w:p>
    <w:p w14:paraId="21B4DD74" w14:textId="77777777" w:rsidR="000A4818" w:rsidRPr="0086590B" w:rsidRDefault="000A4818" w:rsidP="000A4818">
      <w:pPr>
        <w:spacing w:after="120" w:line="276" w:lineRule="auto"/>
        <w:ind w:right="51" w:firstLine="709"/>
        <w:jc w:val="both"/>
        <w:rPr>
          <w:rFonts w:ascii="Verdana" w:eastAsia="Arial" w:hAnsi="Verdana" w:cs="Arial"/>
          <w:color w:val="000000"/>
        </w:rPr>
      </w:pPr>
      <w:r w:rsidRPr="0086590B">
        <w:rPr>
          <w:rFonts w:ascii="Verdana" w:eastAsia="Arial" w:hAnsi="Verdana" w:cs="Arial"/>
          <w:color w:val="000000"/>
        </w:rPr>
        <w:t xml:space="preserve">Lo anterior quiere decir que no es la prueba –usualmente un documento– lo que debe ser anterior al cierre del proceso, sino el hecho que ella acredita, es decir, ante la solicitud de la Administración de subsanar un requisito, el documento podría estar fechado con posterioridad al vencimiento del término para recibir propuestas, siempre y cuando el hecho que acredite haya ocurrido antes, esto es, que no sea una circunstancia ocurrida con posterioridad al cierre del proceso. Es por ello </w:t>
      </w:r>
      <w:proofErr w:type="gramStart"/>
      <w:r w:rsidRPr="0086590B">
        <w:rPr>
          <w:rFonts w:ascii="Verdana" w:eastAsia="Arial" w:hAnsi="Verdana" w:cs="Arial"/>
          <w:color w:val="000000"/>
        </w:rPr>
        <w:t>que</w:t>
      </w:r>
      <w:proofErr w:type="gramEnd"/>
      <w:r w:rsidRPr="0086590B">
        <w:rPr>
          <w:rFonts w:ascii="Verdana" w:eastAsia="Arial" w:hAnsi="Verdana" w:cs="Arial"/>
          <w:color w:val="000000"/>
        </w:rPr>
        <w:t xml:space="preserv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86590B">
        <w:rPr>
          <w:rFonts w:ascii="Verdana" w:eastAsia="Arial" w:hAnsi="Verdana" w:cs="Arial"/>
          <w:color w:val="000000"/>
          <w:vertAlign w:val="superscript"/>
        </w:rPr>
        <w:footnoteReference w:id="10"/>
      </w:r>
      <w:r w:rsidRPr="0086590B">
        <w:rPr>
          <w:rFonts w:ascii="Verdana" w:eastAsia="Arial" w:hAnsi="Verdana" w:cs="Arial"/>
          <w:color w:val="000000"/>
        </w:rPr>
        <w:t xml:space="preserve">. </w:t>
      </w:r>
    </w:p>
    <w:p w14:paraId="32A07AF1" w14:textId="77777777" w:rsidR="000A4818" w:rsidRDefault="000A4818" w:rsidP="000A4818">
      <w:pPr>
        <w:spacing w:after="120" w:line="276" w:lineRule="auto"/>
        <w:ind w:right="51" w:firstLine="709"/>
        <w:jc w:val="both"/>
        <w:rPr>
          <w:rFonts w:ascii="Verdana" w:eastAsia="Arial" w:hAnsi="Verdana" w:cs="Arial"/>
          <w:color w:val="000000"/>
        </w:rPr>
      </w:pPr>
      <w:r w:rsidRPr="0086590B">
        <w:rPr>
          <w:rFonts w:ascii="Verdana" w:eastAsia="Arial" w:hAnsi="Verdana" w:cs="Arial"/>
          <w:color w:val="000000"/>
        </w:rPr>
        <w:t xml:space="preserve">Visto lo anterior, una vez verificada la ausencia de requisitos y/o documentos de la oferta, para saber si se puede subsanar, la Administración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otorgue puntaje, y la respuesta al segundo interrogante debe dar cuenta de que lo omitido sea la prueba de una circunstancia o hecho que ocurrió con anterioridad al cierre del proceso. </w:t>
      </w:r>
    </w:p>
    <w:p w14:paraId="23EA2F89" w14:textId="77777777" w:rsidR="00AC25CB" w:rsidRPr="0086590B" w:rsidRDefault="00AC25CB" w:rsidP="00AC25CB">
      <w:pPr>
        <w:spacing w:after="120" w:line="276" w:lineRule="auto"/>
        <w:ind w:right="49" w:firstLine="709"/>
        <w:jc w:val="both"/>
        <w:rPr>
          <w:rFonts w:ascii="Verdana" w:eastAsia="Calibri" w:hAnsi="Verdana" w:cs="Arial"/>
        </w:rPr>
      </w:pPr>
      <w:r w:rsidRPr="0086590B">
        <w:rPr>
          <w:rFonts w:ascii="Verdana" w:eastAsia="Calibri" w:hAnsi="Verdana" w:cs="Arial"/>
        </w:rPr>
        <w:t>Por otro lado, el Manual para determinar y verificar los requisitos habilitantes en los Procesos de Contratación, elaborado por Colombia Compra Eficiente</w:t>
      </w:r>
      <w:r w:rsidRPr="0086590B">
        <w:rPr>
          <w:rStyle w:val="Refdenotaalpie"/>
          <w:rFonts w:ascii="Verdana" w:eastAsia="Calibri" w:hAnsi="Verdana" w:cs="Arial"/>
        </w:rPr>
        <w:footnoteReference w:id="11"/>
      </w:r>
      <w:r w:rsidRPr="0086590B">
        <w:rPr>
          <w:rFonts w:ascii="Verdana" w:eastAsia="Calibri" w:hAnsi="Verdana" w:cs="Arial"/>
        </w:rPr>
        <w:t xml:space="preserve">, constituye una herramienta técnica fundamental para las entidades estatales y los proponentes, ya que establece criterios claros y uniformes sobre cómo definir, exigir y verificar los requisitos habilitantes en los distintos procesos de selección. Este manual orienta a las entidades para que dichos requisitos respondan a la naturaleza del objeto contractual, se ajusten al principio de proporcionalidad y no constituyan barreras injustificadas al acceso. Además, delimita con precisión cuáles documentos pueden ser objeto de subsanación, brindando seguridad jurídica en la evaluación de ofertas. </w:t>
      </w:r>
    </w:p>
    <w:p w14:paraId="6A2E66BF" w14:textId="77777777" w:rsidR="00AC25CB" w:rsidRDefault="00AC25CB" w:rsidP="00AC25CB">
      <w:pPr>
        <w:spacing w:after="120" w:line="276" w:lineRule="auto"/>
        <w:ind w:right="49"/>
        <w:jc w:val="both"/>
        <w:rPr>
          <w:rFonts w:ascii="Verdana" w:eastAsia="Arial" w:hAnsi="Verdana" w:cs="Arial"/>
        </w:rPr>
      </w:pPr>
      <w:proofErr w:type="spellStart"/>
      <w:r w:rsidRPr="0086590B">
        <w:rPr>
          <w:rFonts w:ascii="Verdana" w:eastAsia="Arial" w:hAnsi="Verdana" w:cs="Arial"/>
          <w:color w:val="000000"/>
        </w:rPr>
        <w:t>ii</w:t>
      </w:r>
      <w:proofErr w:type="spellEnd"/>
      <w:r w:rsidRPr="0086590B">
        <w:rPr>
          <w:rFonts w:ascii="Verdana" w:eastAsia="Arial" w:hAnsi="Verdana" w:cs="Arial"/>
          <w:color w:val="000000"/>
        </w:rPr>
        <w:t xml:space="preserve">) </w:t>
      </w:r>
      <w:r w:rsidRPr="0086590B">
        <w:rPr>
          <w:rFonts w:ascii="Verdana" w:eastAsia="Arial" w:hAnsi="Verdana" w:cs="Arial"/>
        </w:rPr>
        <w:t>El rechazo de las ofertas y los eventos en los que proceden han sido asuntos de los que se ha ocupado la legislación nacional en materia de contratación pública, por lo que “la competencia de las entidades estales para establecer eventos de exclusión de propuestas es de carácter residual y restringido”</w:t>
      </w:r>
      <w:r w:rsidRPr="0086590B">
        <w:rPr>
          <w:rFonts w:ascii="Verdana" w:eastAsia="Arial" w:hAnsi="Verdana" w:cs="Arial"/>
          <w:vertAlign w:val="superscript"/>
        </w:rPr>
        <w:footnoteReference w:id="12"/>
      </w:r>
      <w:r w:rsidRPr="0086590B">
        <w:rPr>
          <w:rFonts w:ascii="Verdana" w:eastAsia="Arial" w:hAnsi="Verdana" w:cs="Arial"/>
        </w:rPr>
        <w:t>. En ese sentido, si bien las entidades estatales, en ejercicio de la discrecionalidad que les corresponde en la configuración de los pliegos de condiciones, tienen competencia para determinar los requisitos que deben cumplir los proponentes para la presentación de ofertas</w:t>
      </w:r>
      <w:r w:rsidRPr="0086590B">
        <w:rPr>
          <w:rFonts w:ascii="Verdana" w:eastAsia="Arial" w:hAnsi="Verdana" w:cs="Arial"/>
          <w:vertAlign w:val="superscript"/>
        </w:rPr>
        <w:footnoteReference w:id="13"/>
      </w:r>
      <w:r w:rsidRPr="0086590B">
        <w:rPr>
          <w:rFonts w:ascii="Verdana" w:eastAsia="Arial" w:hAnsi="Verdana" w:cs="Arial"/>
        </w:rPr>
        <w:t xml:space="preserve"> y regular los eventos en los que procede su rechazo</w:t>
      </w:r>
      <w:r w:rsidRPr="0086590B">
        <w:rPr>
          <w:rFonts w:ascii="Verdana" w:eastAsia="Arial" w:hAnsi="Verdana" w:cs="Arial"/>
          <w:vertAlign w:val="superscript"/>
        </w:rPr>
        <w:footnoteReference w:id="14"/>
      </w:r>
      <w:r w:rsidRPr="0086590B">
        <w:rPr>
          <w:rFonts w:ascii="Verdana" w:eastAsia="Arial" w:hAnsi="Verdana" w:cs="Arial"/>
        </w:rPr>
        <w:t xml:space="preserve">, el ejercicio de tales facultades encuentra ciertos límites en la ley y el reglamento, así como en los principios de razonabilidad y proporcionalidad.  </w:t>
      </w:r>
    </w:p>
    <w:p w14:paraId="4B7F1F6E" w14:textId="77777777" w:rsidR="005E0451" w:rsidRPr="0086590B" w:rsidRDefault="005E0451" w:rsidP="005E0451">
      <w:pPr>
        <w:spacing w:after="120" w:line="276" w:lineRule="auto"/>
        <w:ind w:right="51" w:firstLine="709"/>
        <w:jc w:val="both"/>
        <w:rPr>
          <w:rFonts w:ascii="Verdana" w:eastAsia="Arial" w:hAnsi="Verdana" w:cs="Arial"/>
          <w:color w:val="000000"/>
        </w:rPr>
      </w:pPr>
      <w:r w:rsidRPr="0086590B">
        <w:rPr>
          <w:rFonts w:ascii="Verdana" w:eastAsia="Arial" w:hAnsi="Verdana" w:cs="Arial"/>
        </w:rPr>
        <w:t xml:space="preserve">En ese entendido, uno de los límites a la facultad para establecer causales de rechazo, se encuentra en la regla de </w:t>
      </w:r>
      <w:proofErr w:type="spellStart"/>
      <w:r w:rsidRPr="0086590B">
        <w:rPr>
          <w:rFonts w:ascii="Verdana" w:eastAsia="Arial" w:hAnsi="Verdana" w:cs="Arial"/>
        </w:rPr>
        <w:t>subsanabilidad</w:t>
      </w:r>
      <w:proofErr w:type="spellEnd"/>
      <w:r w:rsidRPr="0086590B">
        <w:rPr>
          <w:rFonts w:ascii="Verdana" w:eastAsia="Arial" w:hAnsi="Verdana" w:cs="Arial"/>
        </w:rPr>
        <w:t xml:space="preserve"> del parágrafo 1 del artículo 5 de la Ley 1150 de 2007, según la cual “La ausencia de requisitos o la falta de documentos referentes a la futura contratación o al proponente, no necesarios para la comparación de las propuestas no servirán de título suficiente para el rechazo de los ofrecimientos hechos”, por lo que las entidades no podrán establecer causales de rechazo referentes a meros requisitos formales o rechazar las ofertas por esa razón. </w:t>
      </w:r>
    </w:p>
    <w:p w14:paraId="66E5A6A9" w14:textId="77777777" w:rsidR="005E0451" w:rsidRPr="005442DF" w:rsidRDefault="005E0451" w:rsidP="005E0451">
      <w:pPr>
        <w:spacing w:after="120" w:line="276" w:lineRule="auto"/>
        <w:ind w:right="51" w:firstLine="709"/>
        <w:jc w:val="both"/>
        <w:rPr>
          <w:rFonts w:ascii="Verdana" w:eastAsia="Arial" w:hAnsi="Verdana" w:cs="Arial"/>
        </w:rPr>
      </w:pPr>
      <w:r w:rsidRPr="0086590B">
        <w:rPr>
          <w:rFonts w:ascii="Verdana" w:eastAsia="Arial" w:hAnsi="Verdana" w:cs="Arial"/>
        </w:rPr>
        <w:t>De esta manera, la jurisprudencia del Consejo de Estado ha determinado que las causales de rechazo pueden o no estar establecidas en el pliego de condiciones, sin perjuicio de que sean aplicables al proceso contractual las establecidas directamente en la ley. Así se estableció en la sentencia del 27 de abril de 2011, en los siguientes términos:</w:t>
      </w:r>
    </w:p>
    <w:p w14:paraId="39EC2F73" w14:textId="77777777" w:rsidR="00FD49A2" w:rsidRPr="0086590B" w:rsidRDefault="00FD49A2" w:rsidP="00FD49A2">
      <w:pPr>
        <w:widowControl w:val="0"/>
        <w:spacing w:after="0" w:line="240" w:lineRule="auto"/>
        <w:ind w:left="709" w:right="760"/>
        <w:jc w:val="both"/>
        <w:rPr>
          <w:rFonts w:ascii="Verdana" w:eastAsia="Arial" w:hAnsi="Verdana" w:cs="Arial"/>
          <w:sz w:val="20"/>
          <w:szCs w:val="20"/>
        </w:rPr>
      </w:pPr>
      <w:r w:rsidRPr="0086590B">
        <w:rPr>
          <w:rFonts w:ascii="Verdana" w:eastAsia="Arial" w:hAnsi="Verdana" w:cs="Arial"/>
          <w:sz w:val="21"/>
          <w:szCs w:val="21"/>
        </w:rPr>
        <w:t>“</w:t>
      </w:r>
      <w:r w:rsidRPr="0086590B">
        <w:rPr>
          <w:rFonts w:ascii="Verdana" w:eastAsia="Arial" w:hAnsi="Verdana" w:cs="Arial"/>
          <w:sz w:val="20"/>
          <w:szCs w:val="20"/>
        </w:rPr>
        <w:t>En efecto, la Administración puede rechazar o descalificar los ofrecimientos hechos por causales previstas en la ley; hipótesis bajo la cual, la entidad pública licitante se limita a dar por comprobado el hecho que justifica la exclusión y así lo declarará apoyada en normas legales o reglamentarias de carácter general.</w:t>
      </w:r>
    </w:p>
    <w:p w14:paraId="34E51FDA" w14:textId="77777777" w:rsidR="00FD49A2" w:rsidRPr="0086590B" w:rsidRDefault="00FD49A2" w:rsidP="00FD49A2">
      <w:pPr>
        <w:widowControl w:val="0"/>
        <w:spacing w:after="0" w:line="240" w:lineRule="auto"/>
        <w:ind w:left="709" w:right="760"/>
        <w:jc w:val="both"/>
        <w:rPr>
          <w:rFonts w:ascii="Verdana" w:eastAsia="Arial" w:hAnsi="Verdana" w:cs="Arial"/>
          <w:sz w:val="20"/>
          <w:szCs w:val="20"/>
        </w:rPr>
      </w:pPr>
    </w:p>
    <w:p w14:paraId="0A71B1B9" w14:textId="65F1E1F8" w:rsidR="00FD49A2" w:rsidRDefault="00FD49A2" w:rsidP="00C95595">
      <w:pPr>
        <w:widowControl w:val="0"/>
        <w:spacing w:after="0" w:line="240" w:lineRule="auto"/>
        <w:ind w:left="709" w:right="760"/>
        <w:jc w:val="both"/>
        <w:rPr>
          <w:rFonts w:ascii="Verdana" w:eastAsia="Arial" w:hAnsi="Verdana" w:cs="Arial"/>
          <w:sz w:val="20"/>
          <w:szCs w:val="20"/>
        </w:rPr>
      </w:pPr>
      <w:r w:rsidRPr="0086590B">
        <w:rPr>
          <w:rFonts w:ascii="Verdana" w:eastAsia="Arial" w:hAnsi="Verdana" w:cs="Arial"/>
          <w:sz w:val="20"/>
          <w:szCs w:val="20"/>
        </w:rPr>
        <w:t>En esta línea de pensamiento, resulta claro que el rechazo o la descalificación de ofertas no puede depender de la libre discrecionalidad de la Administración, en la medida en que el oferente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o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46BBCEF6" w14:textId="77777777" w:rsidR="00FD49A2" w:rsidRPr="0086590B" w:rsidRDefault="00FD49A2" w:rsidP="00FD49A2">
      <w:pPr>
        <w:widowControl w:val="0"/>
        <w:spacing w:after="0" w:line="240" w:lineRule="auto"/>
        <w:ind w:left="709" w:right="760"/>
        <w:jc w:val="both"/>
        <w:rPr>
          <w:rFonts w:ascii="Verdana" w:eastAsia="Arial" w:hAnsi="Verdana" w:cs="Arial"/>
          <w:sz w:val="20"/>
          <w:szCs w:val="20"/>
        </w:rPr>
      </w:pPr>
      <w:r w:rsidRPr="0086590B">
        <w:rPr>
          <w:rFonts w:ascii="Verdana" w:eastAsia="Arial" w:hAnsi="Verdana" w:cs="Arial"/>
          <w:sz w:val="20"/>
          <w:szCs w:val="20"/>
        </w:rPr>
        <w:t>[…]</w:t>
      </w:r>
    </w:p>
    <w:p w14:paraId="2DFF9B85" w14:textId="77777777" w:rsidR="00FD49A2" w:rsidRDefault="00FD49A2" w:rsidP="00FD49A2">
      <w:pPr>
        <w:widowControl w:val="0"/>
        <w:spacing w:after="0" w:line="240" w:lineRule="auto"/>
        <w:ind w:left="709" w:right="760"/>
        <w:jc w:val="both"/>
        <w:rPr>
          <w:rFonts w:ascii="Verdana" w:eastAsia="Arial" w:hAnsi="Verdana" w:cs="Arial"/>
          <w:sz w:val="20"/>
          <w:szCs w:val="20"/>
        </w:rPr>
      </w:pPr>
    </w:p>
    <w:p w14:paraId="41FE033A" w14:textId="77777777" w:rsidR="00FD49A2" w:rsidRPr="0086590B" w:rsidRDefault="00FD49A2" w:rsidP="00FD49A2">
      <w:pPr>
        <w:widowControl w:val="0"/>
        <w:spacing w:after="0" w:line="240" w:lineRule="auto"/>
        <w:ind w:left="709" w:right="760"/>
        <w:jc w:val="both"/>
        <w:rPr>
          <w:rFonts w:ascii="Verdana" w:eastAsia="Arial" w:hAnsi="Verdana" w:cs="Arial"/>
          <w:sz w:val="20"/>
          <w:szCs w:val="20"/>
        </w:rPr>
      </w:pPr>
      <w:r w:rsidRPr="0086590B">
        <w:rPr>
          <w:rFonts w:ascii="Verdana" w:eastAsia="Arial" w:hAnsi="Verdana" w:cs="Arial"/>
          <w:sz w:val="20"/>
          <w:szCs w:val="20"/>
        </w:rPr>
        <w:t xml:space="preserve">Quiere con esto destacar la Sala que las causales de rechazo de las propuestas pueden ser legales y por lo mismo generan el efecto del descarte o exclusión de la oferta </w:t>
      </w:r>
      <w:proofErr w:type="spellStart"/>
      <w:r w:rsidRPr="0086590B">
        <w:rPr>
          <w:rFonts w:ascii="Verdana" w:eastAsia="Arial" w:hAnsi="Verdana" w:cs="Arial"/>
          <w:i/>
          <w:iCs/>
          <w:sz w:val="20"/>
          <w:szCs w:val="20"/>
        </w:rPr>
        <w:t>ope</w:t>
      </w:r>
      <w:proofErr w:type="spellEnd"/>
      <w:r w:rsidRPr="0086590B">
        <w:rPr>
          <w:rFonts w:ascii="Verdana" w:eastAsia="Arial" w:hAnsi="Verdana" w:cs="Arial"/>
          <w:i/>
          <w:iCs/>
          <w:sz w:val="20"/>
          <w:szCs w:val="20"/>
        </w:rPr>
        <w:t xml:space="preserve"> </w:t>
      </w:r>
      <w:proofErr w:type="spellStart"/>
      <w:r w:rsidRPr="0086590B">
        <w:rPr>
          <w:rFonts w:ascii="Verdana" w:eastAsia="Arial" w:hAnsi="Verdana" w:cs="Arial"/>
          <w:i/>
          <w:iCs/>
          <w:sz w:val="20"/>
          <w:szCs w:val="20"/>
        </w:rPr>
        <w:t>legis</w:t>
      </w:r>
      <w:proofErr w:type="spellEnd"/>
      <w:r w:rsidRPr="0086590B">
        <w:rPr>
          <w:rFonts w:ascii="Verdana" w:eastAsia="Arial" w:hAnsi="Verdana" w:cs="Arial"/>
          <w:sz w:val="20"/>
          <w:szCs w:val="20"/>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r w:rsidRPr="0086590B">
        <w:rPr>
          <w:rFonts w:ascii="Verdana" w:eastAsia="Arial" w:hAnsi="Verdana" w:cs="Arial"/>
          <w:sz w:val="20"/>
          <w:szCs w:val="20"/>
          <w:vertAlign w:val="superscript"/>
        </w:rPr>
        <w:footnoteReference w:id="15"/>
      </w:r>
      <w:r w:rsidRPr="0086590B">
        <w:rPr>
          <w:rFonts w:ascii="Verdana" w:eastAsia="Arial" w:hAnsi="Verdana" w:cs="Arial"/>
          <w:sz w:val="20"/>
          <w:szCs w:val="20"/>
        </w:rPr>
        <w:t>”.</w:t>
      </w:r>
    </w:p>
    <w:p w14:paraId="6A78A670" w14:textId="77777777" w:rsidR="00AC25CB" w:rsidRPr="0086590B" w:rsidRDefault="00AC25CB" w:rsidP="00AD54B8">
      <w:pPr>
        <w:spacing w:after="0" w:line="240" w:lineRule="auto"/>
        <w:ind w:right="51"/>
        <w:jc w:val="both"/>
        <w:rPr>
          <w:rFonts w:ascii="Verdana" w:eastAsia="Arial" w:hAnsi="Verdana" w:cs="Arial"/>
          <w:color w:val="000000"/>
        </w:rPr>
      </w:pPr>
    </w:p>
    <w:p w14:paraId="1E0ABAB0" w14:textId="77777777" w:rsidR="003E00A0" w:rsidRPr="0086590B" w:rsidRDefault="003E00A0" w:rsidP="003E00A0">
      <w:pPr>
        <w:widowControl w:val="0"/>
        <w:spacing w:after="120" w:line="276" w:lineRule="auto"/>
        <w:ind w:right="51" w:firstLine="709"/>
        <w:jc w:val="both"/>
        <w:rPr>
          <w:rFonts w:ascii="Verdana" w:eastAsia="Arial" w:hAnsi="Verdana" w:cs="Arial"/>
        </w:rPr>
      </w:pPr>
      <w:r w:rsidRPr="0086590B">
        <w:rPr>
          <w:rFonts w:ascii="Verdana" w:eastAsia="Arial" w:hAnsi="Verdana" w:cs="Arial"/>
        </w:rPr>
        <w:t xml:space="preserve">De acuerdo con la jurisprudencia citada, existen dos eventos en los cuales procede el rechazo de la oferta: i) cuando se configure alguna de las causales de rechazo originadas en la ley o el reglamento y </w:t>
      </w:r>
      <w:proofErr w:type="spellStart"/>
      <w:r w:rsidRPr="0086590B">
        <w:rPr>
          <w:rFonts w:ascii="Verdana" w:eastAsia="Arial" w:hAnsi="Verdana" w:cs="Arial"/>
        </w:rPr>
        <w:t>ii</w:t>
      </w:r>
      <w:proofErr w:type="spellEnd"/>
      <w:r w:rsidRPr="0086590B">
        <w:rPr>
          <w:rFonts w:ascii="Verdana" w:eastAsia="Arial" w:hAnsi="Verdana" w:cs="Arial"/>
        </w:rPr>
        <w:t xml:space="preserve">) cuando se materialicen las establecidas en el pliego de condiciones. En tal sentido, las causales de rechazo de la oferta serán las consagradas en la ley o el reglamento producto de su aplicación, así como las definidas por las entidades en el respectivo pliego de condiciones. </w:t>
      </w:r>
    </w:p>
    <w:p w14:paraId="1CA8B228" w14:textId="77777777" w:rsidR="003E00A0" w:rsidRDefault="003E00A0" w:rsidP="003E00A0">
      <w:pPr>
        <w:widowControl w:val="0"/>
        <w:spacing w:after="120" w:line="276" w:lineRule="auto"/>
        <w:ind w:right="51" w:firstLine="709"/>
        <w:jc w:val="both"/>
        <w:rPr>
          <w:rFonts w:ascii="Verdana" w:eastAsia="Arial" w:hAnsi="Verdana" w:cs="Arial"/>
        </w:rPr>
      </w:pPr>
      <w:r w:rsidRPr="0086590B">
        <w:rPr>
          <w:rFonts w:ascii="Verdana" w:eastAsia="Arial" w:hAnsi="Verdana" w:cs="Arial"/>
        </w:rPr>
        <w:t xml:space="preserve">En tales términos, la facultad de las Entidades Estatales para incluir en los pliegos de condiciones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perfeccionamiento del contrato. </w:t>
      </w:r>
    </w:p>
    <w:p w14:paraId="10EB2CB5" w14:textId="77777777" w:rsidR="00B6760A" w:rsidRDefault="00B6760A" w:rsidP="00B6760A">
      <w:pPr>
        <w:widowControl w:val="0"/>
        <w:spacing w:after="120" w:line="276" w:lineRule="auto"/>
        <w:ind w:right="49" w:firstLine="709"/>
        <w:jc w:val="both"/>
        <w:rPr>
          <w:rFonts w:ascii="Verdana" w:eastAsia="Arial" w:hAnsi="Verdana" w:cs="Arial"/>
          <w:lang w:val="es-ES"/>
        </w:rPr>
      </w:pPr>
      <w:r w:rsidRPr="0086590B">
        <w:rPr>
          <w:rFonts w:ascii="Verdana" w:eastAsia="Arial" w:hAnsi="Verdana" w:cs="Arial"/>
          <w:lang w:val="es-ES"/>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086590B">
        <w:rPr>
          <w:rFonts w:ascii="Verdana" w:eastAsia="Arial" w:hAnsi="Verdana" w:cs="Arial"/>
          <w:vertAlign w:val="superscript"/>
          <w:lang w:val="es-ES"/>
        </w:rPr>
        <w:footnoteReference w:id="16"/>
      </w:r>
      <w:r w:rsidRPr="0086590B">
        <w:rPr>
          <w:rFonts w:ascii="Verdana" w:eastAsia="Arial" w:hAnsi="Verdana" w:cs="Arial"/>
          <w:lang w:val="es-ES"/>
        </w:rPr>
        <w:t xml:space="preserve"> sostuvo: </w:t>
      </w:r>
    </w:p>
    <w:p w14:paraId="65652557" w14:textId="77777777" w:rsidR="00345387" w:rsidRDefault="00345387" w:rsidP="00345387">
      <w:pPr>
        <w:spacing w:after="0"/>
        <w:ind w:left="708" w:right="758"/>
        <w:jc w:val="both"/>
        <w:rPr>
          <w:rFonts w:ascii="Verdana" w:eastAsia="Arial" w:hAnsi="Verdana" w:cs="Arial"/>
          <w:sz w:val="20"/>
          <w:szCs w:val="20"/>
          <w:lang w:val="es-ES"/>
        </w:rPr>
      </w:pPr>
      <w:r w:rsidRPr="0086590B">
        <w:rPr>
          <w:rFonts w:ascii="Verdana" w:eastAsia="Arial" w:hAnsi="Verdana" w:cs="Arial"/>
          <w:sz w:val="20"/>
          <w:szCs w:val="20"/>
          <w:lang w:val="es-ES"/>
        </w:rPr>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01E96725" w14:textId="77777777" w:rsidR="000506A5" w:rsidRDefault="000506A5" w:rsidP="00345387">
      <w:pPr>
        <w:spacing w:after="0"/>
        <w:ind w:left="708" w:right="758"/>
        <w:jc w:val="both"/>
        <w:rPr>
          <w:rFonts w:ascii="Verdana" w:eastAsia="Arial" w:hAnsi="Verdana" w:cs="Arial"/>
          <w:sz w:val="20"/>
          <w:szCs w:val="20"/>
          <w:lang w:val="es-ES"/>
        </w:rPr>
      </w:pPr>
    </w:p>
    <w:p w14:paraId="1E4254A6" w14:textId="77777777" w:rsidR="000506A5" w:rsidRPr="0086590B" w:rsidRDefault="000506A5" w:rsidP="000506A5">
      <w:pPr>
        <w:spacing w:after="120" w:line="276" w:lineRule="auto"/>
        <w:ind w:right="49" w:firstLine="709"/>
        <w:jc w:val="both"/>
        <w:rPr>
          <w:rFonts w:ascii="Verdana" w:eastAsia="Arial" w:hAnsi="Verdana" w:cs="Arial"/>
          <w:lang w:val="es-ES"/>
        </w:rPr>
      </w:pPr>
      <w:r w:rsidRPr="0086590B">
        <w:rPr>
          <w:rFonts w:ascii="Verdana" w:eastAsia="Arial" w:hAnsi="Verdana" w:cs="Arial"/>
          <w:lang w:val="es-ES"/>
        </w:rPr>
        <w:t>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p w14:paraId="71B61F58" w14:textId="77777777" w:rsidR="000506A5" w:rsidRDefault="000506A5" w:rsidP="000506A5">
      <w:pPr>
        <w:spacing w:after="120" w:line="276" w:lineRule="auto"/>
        <w:ind w:right="49" w:firstLine="709"/>
        <w:jc w:val="both"/>
        <w:rPr>
          <w:rFonts w:ascii="Verdana" w:eastAsia="Arial" w:hAnsi="Verdana" w:cs="Arial"/>
        </w:rPr>
      </w:pPr>
      <w:r w:rsidRPr="0086590B">
        <w:rPr>
          <w:rFonts w:ascii="Verdana" w:eastAsia="Arial" w:hAnsi="Verdana" w:cs="Arial"/>
        </w:rPr>
        <w:t xml:space="preserve">De conformidad con lo anterior, para garantizar el principio de selección objetiva, es necesario, entre otras, que las entidades estatales se abstengan de rechazar las ofertas, por el incumplimiento de requisitos meramente formales, sacrificando la favorabilidad que podría representar la oferta que adolezca de estos defectos, si se permitiese su corrección. </w:t>
      </w:r>
    </w:p>
    <w:p w14:paraId="5F3638B7" w14:textId="77777777" w:rsidR="00543A04" w:rsidRPr="0086590B" w:rsidRDefault="00543A04" w:rsidP="00543A04">
      <w:pPr>
        <w:spacing w:after="120" w:line="276" w:lineRule="auto"/>
        <w:ind w:right="49" w:firstLine="709"/>
        <w:jc w:val="both"/>
        <w:rPr>
          <w:rFonts w:ascii="Verdana" w:eastAsia="Arial" w:hAnsi="Verdana" w:cs="Arial"/>
        </w:rPr>
      </w:pPr>
      <w:r w:rsidRPr="0086590B">
        <w:rPr>
          <w:rFonts w:ascii="Verdana" w:eastAsia="Arial" w:hAnsi="Verdana" w:cs="Arial"/>
        </w:rPr>
        <w:t>La decisión de rechazar, por regla general –salvo en los casos específicos previstos en la ley, como acreditar circunstancias ocurridas con posterioridad al cierre del procedimiento de selección –art. 5, par. 1º y 3º, Ley 1150 de 2007)– solo puede tomarse si, previamente, se ha permitido que los proponentes completen o corrijan la información relacionada con los requisitos que no asignan puntaje, como mecanismo para hacer prevalecer el derecho sustancial sobre las formalidades.</w:t>
      </w:r>
    </w:p>
    <w:p w14:paraId="4D9D7663" w14:textId="77777777" w:rsidR="00543A04" w:rsidRDefault="00543A04" w:rsidP="00543A04">
      <w:pPr>
        <w:spacing w:after="120" w:line="276" w:lineRule="auto"/>
        <w:ind w:right="49" w:firstLine="709"/>
        <w:jc w:val="both"/>
        <w:rPr>
          <w:rFonts w:ascii="Verdana" w:hAnsi="Verdana"/>
        </w:rPr>
      </w:pPr>
      <w:r>
        <w:rPr>
          <w:rFonts w:ascii="Verdana" w:eastAsia="Arial" w:hAnsi="Verdana" w:cs="Arial"/>
          <w:lang w:val="es-ES"/>
        </w:rPr>
        <w:t xml:space="preserve">Respecto del segundo problema jurídico relativo al error presentado por el proponente al momento de estructurar el IVA en su oferta </w:t>
      </w:r>
      <w:r w:rsidRPr="006E799B">
        <w:rPr>
          <w:rFonts w:ascii="Verdana" w:hAnsi="Verdana"/>
          <w:spacing w:val="-2"/>
        </w:rPr>
        <w:t>para</w:t>
      </w:r>
      <w:r w:rsidRPr="006E799B">
        <w:rPr>
          <w:rFonts w:ascii="Verdana" w:hAnsi="Verdana"/>
          <w:spacing w:val="-16"/>
        </w:rPr>
        <w:t xml:space="preserve"> </w:t>
      </w:r>
      <w:r w:rsidRPr="006E799B">
        <w:rPr>
          <w:rFonts w:ascii="Verdana" w:hAnsi="Verdana"/>
          <w:spacing w:val="-2"/>
        </w:rPr>
        <w:t>dar</w:t>
      </w:r>
      <w:r w:rsidRPr="006E799B">
        <w:rPr>
          <w:rFonts w:ascii="Verdana" w:hAnsi="Verdana"/>
          <w:spacing w:val="-16"/>
        </w:rPr>
        <w:t xml:space="preserve"> </w:t>
      </w:r>
      <w:r w:rsidRPr="006E799B">
        <w:rPr>
          <w:rFonts w:ascii="Verdana" w:hAnsi="Verdana"/>
          <w:spacing w:val="-2"/>
        </w:rPr>
        <w:t>respuesta</w:t>
      </w:r>
      <w:r w:rsidRPr="006E799B">
        <w:rPr>
          <w:rFonts w:ascii="Verdana" w:hAnsi="Verdana"/>
          <w:spacing w:val="-14"/>
        </w:rPr>
        <w:t xml:space="preserve"> </w:t>
      </w:r>
      <w:r w:rsidRPr="006E799B">
        <w:rPr>
          <w:rFonts w:ascii="Verdana" w:hAnsi="Verdana"/>
          <w:spacing w:val="-2"/>
        </w:rPr>
        <w:t>a</w:t>
      </w:r>
      <w:r w:rsidRPr="006E799B">
        <w:rPr>
          <w:rFonts w:ascii="Verdana" w:hAnsi="Verdana"/>
          <w:spacing w:val="-17"/>
        </w:rPr>
        <w:t xml:space="preserve"> </w:t>
      </w:r>
      <w:r w:rsidRPr="006E799B">
        <w:rPr>
          <w:rFonts w:ascii="Verdana" w:hAnsi="Verdana"/>
          <w:spacing w:val="-2"/>
        </w:rPr>
        <w:t>este</w:t>
      </w:r>
      <w:r w:rsidRPr="006E799B">
        <w:rPr>
          <w:rFonts w:ascii="Verdana" w:hAnsi="Verdana"/>
          <w:spacing w:val="-16"/>
        </w:rPr>
        <w:t xml:space="preserve"> </w:t>
      </w:r>
      <w:r w:rsidRPr="006E799B">
        <w:rPr>
          <w:rFonts w:ascii="Verdana" w:hAnsi="Verdana"/>
          <w:spacing w:val="-2"/>
        </w:rPr>
        <w:t>interrogante</w:t>
      </w:r>
      <w:r w:rsidRPr="006E799B">
        <w:rPr>
          <w:rFonts w:ascii="Verdana" w:hAnsi="Verdana"/>
          <w:spacing w:val="-13"/>
        </w:rPr>
        <w:t xml:space="preserve"> </w:t>
      </w:r>
      <w:r w:rsidRPr="006E799B">
        <w:rPr>
          <w:rFonts w:ascii="Verdana" w:hAnsi="Verdana"/>
          <w:spacing w:val="-2"/>
        </w:rPr>
        <w:t>se</w:t>
      </w:r>
      <w:r w:rsidRPr="006E799B">
        <w:rPr>
          <w:rFonts w:ascii="Verdana" w:hAnsi="Verdana"/>
          <w:spacing w:val="-16"/>
        </w:rPr>
        <w:t xml:space="preserve"> </w:t>
      </w:r>
      <w:r w:rsidRPr="006E799B">
        <w:rPr>
          <w:rFonts w:ascii="Verdana" w:hAnsi="Verdana"/>
          <w:spacing w:val="-2"/>
        </w:rPr>
        <w:t>hace</w:t>
      </w:r>
      <w:r w:rsidRPr="006E799B">
        <w:rPr>
          <w:rFonts w:ascii="Verdana" w:hAnsi="Verdana"/>
          <w:spacing w:val="-16"/>
        </w:rPr>
        <w:t xml:space="preserve"> </w:t>
      </w:r>
      <w:r w:rsidRPr="006E799B">
        <w:rPr>
          <w:rFonts w:ascii="Verdana" w:hAnsi="Verdana"/>
          <w:spacing w:val="-2"/>
        </w:rPr>
        <w:t xml:space="preserve">necesario </w:t>
      </w:r>
      <w:r w:rsidRPr="006E799B">
        <w:rPr>
          <w:rFonts w:ascii="Verdana" w:hAnsi="Verdana"/>
        </w:rPr>
        <w:t>analizar</w:t>
      </w:r>
      <w:r w:rsidRPr="006E799B">
        <w:rPr>
          <w:rFonts w:ascii="Verdana" w:hAnsi="Verdana"/>
          <w:spacing w:val="-6"/>
        </w:rPr>
        <w:t xml:space="preserve"> </w:t>
      </w:r>
      <w:r w:rsidRPr="006E799B">
        <w:rPr>
          <w:rFonts w:ascii="Verdana" w:hAnsi="Verdana"/>
        </w:rPr>
        <w:t>en</w:t>
      </w:r>
      <w:r w:rsidRPr="006E799B">
        <w:rPr>
          <w:rFonts w:ascii="Verdana" w:hAnsi="Verdana"/>
          <w:spacing w:val="-7"/>
        </w:rPr>
        <w:t xml:space="preserve"> </w:t>
      </w:r>
      <w:r w:rsidRPr="006E799B">
        <w:rPr>
          <w:rFonts w:ascii="Verdana" w:hAnsi="Verdana"/>
        </w:rPr>
        <w:t>primer</w:t>
      </w:r>
      <w:r w:rsidRPr="006E799B">
        <w:rPr>
          <w:rFonts w:ascii="Verdana" w:hAnsi="Verdana"/>
          <w:spacing w:val="-6"/>
        </w:rPr>
        <w:t xml:space="preserve"> </w:t>
      </w:r>
      <w:r w:rsidRPr="006E799B">
        <w:rPr>
          <w:rFonts w:ascii="Verdana" w:hAnsi="Verdana"/>
        </w:rPr>
        <w:t>orden</w:t>
      </w:r>
      <w:r w:rsidRPr="006E799B">
        <w:rPr>
          <w:rFonts w:ascii="Verdana" w:hAnsi="Verdana"/>
          <w:spacing w:val="-6"/>
        </w:rPr>
        <w:t xml:space="preserve"> </w:t>
      </w:r>
      <w:r w:rsidRPr="006E799B">
        <w:rPr>
          <w:rFonts w:ascii="Verdana" w:hAnsi="Verdana"/>
        </w:rPr>
        <w:t>si</w:t>
      </w:r>
      <w:r w:rsidRPr="006E799B">
        <w:rPr>
          <w:rFonts w:ascii="Verdana" w:hAnsi="Verdana"/>
          <w:spacing w:val="-7"/>
        </w:rPr>
        <w:t xml:space="preserve"> </w:t>
      </w:r>
      <w:r w:rsidRPr="006E799B">
        <w:rPr>
          <w:rFonts w:ascii="Verdana" w:hAnsi="Verdana"/>
        </w:rPr>
        <w:t>el</w:t>
      </w:r>
      <w:r w:rsidRPr="006E799B">
        <w:rPr>
          <w:rFonts w:ascii="Verdana" w:hAnsi="Verdana"/>
          <w:spacing w:val="-7"/>
        </w:rPr>
        <w:t xml:space="preserve"> </w:t>
      </w:r>
      <w:r w:rsidRPr="006E799B">
        <w:rPr>
          <w:rFonts w:ascii="Verdana" w:hAnsi="Verdana"/>
        </w:rPr>
        <w:t>IVA</w:t>
      </w:r>
      <w:r w:rsidRPr="006E799B">
        <w:rPr>
          <w:rFonts w:ascii="Verdana" w:hAnsi="Verdana"/>
          <w:spacing w:val="-7"/>
        </w:rPr>
        <w:t xml:space="preserve"> </w:t>
      </w:r>
      <w:r w:rsidRPr="006E799B">
        <w:rPr>
          <w:rFonts w:ascii="Verdana" w:hAnsi="Verdana"/>
        </w:rPr>
        <w:t>hace</w:t>
      </w:r>
      <w:r w:rsidRPr="006E799B">
        <w:rPr>
          <w:rFonts w:ascii="Verdana" w:hAnsi="Verdana"/>
          <w:spacing w:val="-6"/>
        </w:rPr>
        <w:t xml:space="preserve"> </w:t>
      </w:r>
      <w:r w:rsidRPr="006E799B">
        <w:rPr>
          <w:rFonts w:ascii="Verdana" w:hAnsi="Verdana"/>
        </w:rPr>
        <w:t>parte</w:t>
      </w:r>
      <w:r w:rsidRPr="006E799B">
        <w:rPr>
          <w:rFonts w:ascii="Verdana" w:hAnsi="Verdana"/>
          <w:spacing w:val="-6"/>
        </w:rPr>
        <w:t xml:space="preserve"> </w:t>
      </w:r>
      <w:r w:rsidRPr="006E799B">
        <w:rPr>
          <w:rFonts w:ascii="Verdana" w:hAnsi="Verdana"/>
        </w:rPr>
        <w:t>del</w:t>
      </w:r>
      <w:r w:rsidRPr="006E799B">
        <w:rPr>
          <w:rFonts w:ascii="Verdana" w:hAnsi="Verdana"/>
          <w:spacing w:val="-7"/>
        </w:rPr>
        <w:t xml:space="preserve"> </w:t>
      </w:r>
      <w:r w:rsidRPr="006E799B">
        <w:rPr>
          <w:rFonts w:ascii="Verdana" w:hAnsi="Verdana"/>
        </w:rPr>
        <w:t>precio</w:t>
      </w:r>
      <w:r w:rsidRPr="006E799B">
        <w:rPr>
          <w:rFonts w:ascii="Verdana" w:hAnsi="Verdana"/>
          <w:spacing w:val="-6"/>
        </w:rPr>
        <w:t xml:space="preserve"> </w:t>
      </w:r>
      <w:r w:rsidRPr="006E799B">
        <w:rPr>
          <w:rFonts w:ascii="Verdana" w:hAnsi="Verdana"/>
        </w:rPr>
        <w:t>de</w:t>
      </w:r>
      <w:r w:rsidRPr="006E799B">
        <w:rPr>
          <w:rFonts w:ascii="Verdana" w:hAnsi="Verdana"/>
          <w:spacing w:val="-7"/>
        </w:rPr>
        <w:t xml:space="preserve"> </w:t>
      </w:r>
      <w:r w:rsidRPr="006E799B">
        <w:rPr>
          <w:rFonts w:ascii="Verdana" w:hAnsi="Verdana"/>
        </w:rPr>
        <w:t>bien</w:t>
      </w:r>
      <w:r w:rsidRPr="006E799B">
        <w:rPr>
          <w:rFonts w:ascii="Verdana" w:hAnsi="Verdana"/>
          <w:spacing w:val="-6"/>
        </w:rPr>
        <w:t xml:space="preserve"> </w:t>
      </w:r>
      <w:r w:rsidRPr="006E799B">
        <w:rPr>
          <w:rFonts w:ascii="Verdana" w:hAnsi="Verdana"/>
        </w:rPr>
        <w:t>o</w:t>
      </w:r>
      <w:r w:rsidRPr="006E799B">
        <w:rPr>
          <w:rFonts w:ascii="Verdana" w:hAnsi="Verdana"/>
          <w:spacing w:val="-8"/>
        </w:rPr>
        <w:t xml:space="preserve"> </w:t>
      </w:r>
      <w:r w:rsidRPr="006E799B">
        <w:rPr>
          <w:rFonts w:ascii="Verdana" w:hAnsi="Verdana"/>
        </w:rPr>
        <w:t>servicio</w:t>
      </w:r>
      <w:r w:rsidRPr="006E799B">
        <w:rPr>
          <w:rFonts w:ascii="Verdana" w:hAnsi="Verdana"/>
          <w:spacing w:val="-6"/>
        </w:rPr>
        <w:t xml:space="preserve"> </w:t>
      </w:r>
      <w:r w:rsidRPr="006E799B">
        <w:rPr>
          <w:rFonts w:ascii="Verdana" w:hAnsi="Verdana"/>
        </w:rPr>
        <w:t>que</w:t>
      </w:r>
      <w:r w:rsidRPr="006E799B">
        <w:rPr>
          <w:rFonts w:ascii="Verdana" w:hAnsi="Verdana"/>
          <w:spacing w:val="-7"/>
        </w:rPr>
        <w:t xml:space="preserve"> </w:t>
      </w:r>
      <w:r w:rsidRPr="006E799B">
        <w:rPr>
          <w:rFonts w:ascii="Verdana" w:hAnsi="Verdana"/>
        </w:rPr>
        <w:t>la entidad estatal vaya a adquirir.</w:t>
      </w:r>
    </w:p>
    <w:p w14:paraId="0627C906" w14:textId="5AECE86D" w:rsidR="00543A04" w:rsidRPr="00543A04" w:rsidRDefault="00543A04" w:rsidP="00543A04">
      <w:pPr>
        <w:spacing w:after="120" w:line="276" w:lineRule="auto"/>
        <w:ind w:right="49" w:firstLine="709"/>
        <w:jc w:val="both"/>
        <w:rPr>
          <w:rFonts w:ascii="Verdana" w:eastAsia="Arial" w:hAnsi="Verdana" w:cs="Arial"/>
          <w:lang w:val="es-ES"/>
        </w:rPr>
      </w:pPr>
      <w:r w:rsidRPr="00543A04">
        <w:rPr>
          <w:rFonts w:ascii="Verdana" w:hAnsi="Verdana"/>
        </w:rPr>
        <w:t>Para</w:t>
      </w:r>
      <w:r w:rsidRPr="00543A04">
        <w:rPr>
          <w:rFonts w:ascii="Verdana" w:hAnsi="Verdana"/>
          <w:spacing w:val="-10"/>
        </w:rPr>
        <w:t xml:space="preserve"> </w:t>
      </w:r>
      <w:r w:rsidRPr="00543A04">
        <w:rPr>
          <w:rFonts w:ascii="Verdana" w:hAnsi="Verdana"/>
        </w:rPr>
        <w:t>el</w:t>
      </w:r>
      <w:r w:rsidRPr="00543A04">
        <w:rPr>
          <w:rFonts w:ascii="Verdana" w:hAnsi="Verdana"/>
          <w:spacing w:val="-10"/>
        </w:rPr>
        <w:t xml:space="preserve"> </w:t>
      </w:r>
      <w:r w:rsidRPr="00543A04">
        <w:rPr>
          <w:rFonts w:ascii="Verdana" w:hAnsi="Verdana"/>
        </w:rPr>
        <w:t>Diccionario</w:t>
      </w:r>
      <w:r w:rsidRPr="00543A04">
        <w:rPr>
          <w:rFonts w:ascii="Verdana" w:hAnsi="Verdana"/>
          <w:spacing w:val="-8"/>
        </w:rPr>
        <w:t xml:space="preserve"> </w:t>
      </w:r>
      <w:r w:rsidRPr="00543A04">
        <w:rPr>
          <w:rFonts w:ascii="Verdana" w:hAnsi="Verdana"/>
        </w:rPr>
        <w:t>de</w:t>
      </w:r>
      <w:r w:rsidRPr="00543A04">
        <w:rPr>
          <w:rFonts w:ascii="Verdana" w:hAnsi="Verdana"/>
          <w:spacing w:val="-10"/>
        </w:rPr>
        <w:t xml:space="preserve"> </w:t>
      </w:r>
      <w:r w:rsidRPr="00543A04">
        <w:rPr>
          <w:rFonts w:ascii="Verdana" w:hAnsi="Verdana"/>
        </w:rPr>
        <w:t>la</w:t>
      </w:r>
      <w:r w:rsidRPr="00543A04">
        <w:rPr>
          <w:rFonts w:ascii="Verdana" w:hAnsi="Verdana"/>
          <w:spacing w:val="-10"/>
        </w:rPr>
        <w:t xml:space="preserve"> </w:t>
      </w:r>
      <w:r w:rsidRPr="00543A04">
        <w:rPr>
          <w:rFonts w:ascii="Verdana" w:hAnsi="Verdana"/>
        </w:rPr>
        <w:t>Lengua</w:t>
      </w:r>
      <w:r w:rsidRPr="00543A04">
        <w:rPr>
          <w:rFonts w:ascii="Verdana" w:hAnsi="Verdana"/>
          <w:spacing w:val="-10"/>
        </w:rPr>
        <w:t xml:space="preserve"> </w:t>
      </w:r>
      <w:r w:rsidRPr="00543A04">
        <w:rPr>
          <w:rFonts w:ascii="Verdana" w:hAnsi="Verdana"/>
        </w:rPr>
        <w:t>Española</w:t>
      </w:r>
      <w:r w:rsidRPr="00543A04">
        <w:rPr>
          <w:rFonts w:ascii="Verdana" w:hAnsi="Verdana"/>
          <w:spacing w:val="-10"/>
        </w:rPr>
        <w:t xml:space="preserve"> </w:t>
      </w:r>
      <w:r w:rsidRPr="00543A04">
        <w:rPr>
          <w:rFonts w:ascii="Verdana" w:hAnsi="Verdana"/>
        </w:rPr>
        <w:t>el</w:t>
      </w:r>
      <w:r w:rsidRPr="00543A04">
        <w:rPr>
          <w:rFonts w:ascii="Verdana" w:hAnsi="Verdana"/>
          <w:spacing w:val="-10"/>
        </w:rPr>
        <w:t xml:space="preserve"> </w:t>
      </w:r>
      <w:r w:rsidRPr="00543A04">
        <w:rPr>
          <w:rFonts w:ascii="Verdana" w:hAnsi="Verdana"/>
        </w:rPr>
        <w:t>precio</w:t>
      </w:r>
      <w:r w:rsidRPr="00543A04">
        <w:rPr>
          <w:rFonts w:ascii="Verdana" w:hAnsi="Verdana"/>
          <w:spacing w:val="-10"/>
        </w:rPr>
        <w:t xml:space="preserve"> </w:t>
      </w:r>
      <w:r w:rsidRPr="00543A04">
        <w:rPr>
          <w:rFonts w:ascii="Verdana" w:hAnsi="Verdana"/>
        </w:rPr>
        <w:t>es</w:t>
      </w:r>
      <w:r w:rsidRPr="00543A04">
        <w:rPr>
          <w:rFonts w:ascii="Verdana" w:hAnsi="Verdana"/>
          <w:spacing w:val="-10"/>
        </w:rPr>
        <w:t xml:space="preserve"> </w:t>
      </w:r>
      <w:r w:rsidRPr="00543A04">
        <w:rPr>
          <w:rFonts w:ascii="Verdana" w:hAnsi="Verdana"/>
        </w:rPr>
        <w:t>el</w:t>
      </w:r>
      <w:r w:rsidRPr="00543A04">
        <w:rPr>
          <w:rFonts w:ascii="Verdana" w:hAnsi="Verdana"/>
          <w:spacing w:val="-10"/>
        </w:rPr>
        <w:t xml:space="preserve"> </w:t>
      </w:r>
      <w:r w:rsidRPr="00543A04">
        <w:rPr>
          <w:rFonts w:ascii="Verdana" w:hAnsi="Verdana"/>
        </w:rPr>
        <w:t>«valor</w:t>
      </w:r>
      <w:r w:rsidRPr="00543A04">
        <w:rPr>
          <w:rFonts w:ascii="Verdana" w:hAnsi="Verdana"/>
          <w:spacing w:val="-10"/>
        </w:rPr>
        <w:t xml:space="preserve"> </w:t>
      </w:r>
      <w:r w:rsidRPr="00543A04">
        <w:rPr>
          <w:rFonts w:ascii="Verdana" w:hAnsi="Verdana"/>
        </w:rPr>
        <w:t>pecuniario en que se estima algo». En nuestro ordenamiento jurídico, tenemos una definición de precio en el Código Civil y en el Código de Comercio. Ambas codificaciones, al</w:t>
      </w:r>
      <w:r w:rsidRPr="00543A04">
        <w:rPr>
          <w:rFonts w:ascii="Verdana" w:hAnsi="Verdana"/>
          <w:spacing w:val="-2"/>
        </w:rPr>
        <w:t xml:space="preserve"> </w:t>
      </w:r>
      <w:r w:rsidRPr="00543A04">
        <w:rPr>
          <w:rFonts w:ascii="Verdana" w:hAnsi="Verdana"/>
        </w:rPr>
        <w:t>regular el</w:t>
      </w:r>
      <w:r w:rsidRPr="00543A04">
        <w:rPr>
          <w:rFonts w:ascii="Verdana" w:hAnsi="Verdana"/>
          <w:spacing w:val="-2"/>
        </w:rPr>
        <w:t xml:space="preserve"> </w:t>
      </w:r>
      <w:r w:rsidRPr="00543A04">
        <w:rPr>
          <w:rFonts w:ascii="Verdana" w:hAnsi="Verdana"/>
        </w:rPr>
        <w:t>contrato de</w:t>
      </w:r>
      <w:r w:rsidRPr="00543A04">
        <w:rPr>
          <w:rFonts w:ascii="Verdana" w:hAnsi="Verdana"/>
          <w:spacing w:val="-2"/>
        </w:rPr>
        <w:t xml:space="preserve"> </w:t>
      </w:r>
      <w:r w:rsidRPr="00543A04">
        <w:rPr>
          <w:rFonts w:ascii="Verdana" w:hAnsi="Verdana"/>
        </w:rPr>
        <w:t>compraventa, definen el</w:t>
      </w:r>
      <w:r w:rsidRPr="00543A04">
        <w:rPr>
          <w:rFonts w:ascii="Verdana" w:hAnsi="Verdana"/>
          <w:spacing w:val="-2"/>
        </w:rPr>
        <w:t xml:space="preserve"> </w:t>
      </w:r>
      <w:r w:rsidRPr="00543A04">
        <w:rPr>
          <w:rFonts w:ascii="Verdana" w:hAnsi="Verdana"/>
        </w:rPr>
        <w:t>precio como</w:t>
      </w:r>
      <w:r w:rsidRPr="00543A04">
        <w:rPr>
          <w:rFonts w:ascii="Verdana" w:hAnsi="Verdana"/>
          <w:spacing w:val="-1"/>
        </w:rPr>
        <w:t xml:space="preserve"> </w:t>
      </w:r>
      <w:r w:rsidRPr="00543A04">
        <w:rPr>
          <w:rFonts w:ascii="Verdana" w:hAnsi="Verdana"/>
        </w:rPr>
        <w:t>el dinero que el comprador suministra por la cosa vendida:</w:t>
      </w:r>
    </w:p>
    <w:p w14:paraId="77E62A0B" w14:textId="77777777" w:rsidR="0012522B" w:rsidRPr="006E799B" w:rsidRDefault="0012522B" w:rsidP="0012522B">
      <w:pPr>
        <w:spacing w:before="253"/>
        <w:ind w:left="851" w:right="758"/>
        <w:jc w:val="both"/>
        <w:rPr>
          <w:rFonts w:ascii="Verdana" w:hAnsi="Verdana"/>
          <w:sz w:val="20"/>
          <w:szCs w:val="20"/>
        </w:rPr>
      </w:pPr>
      <w:r w:rsidRPr="006E799B">
        <w:rPr>
          <w:rFonts w:ascii="Verdana" w:hAnsi="Verdana"/>
          <w:sz w:val="20"/>
          <w:szCs w:val="20"/>
        </w:rPr>
        <w:t>[Artículo 1849 del Código Civil]: La compraventa es un contrato en que una de las partes se obliga a dar una cosa y la otra a pagarla en dinero. Aquella</w:t>
      </w:r>
      <w:r w:rsidRPr="006E799B">
        <w:rPr>
          <w:rFonts w:ascii="Verdana" w:hAnsi="Verdana"/>
          <w:spacing w:val="-4"/>
          <w:sz w:val="20"/>
          <w:szCs w:val="20"/>
        </w:rPr>
        <w:t xml:space="preserve"> </w:t>
      </w:r>
      <w:r w:rsidRPr="006E799B">
        <w:rPr>
          <w:rFonts w:ascii="Verdana" w:hAnsi="Verdana"/>
          <w:sz w:val="20"/>
          <w:szCs w:val="20"/>
        </w:rPr>
        <w:t>se</w:t>
      </w:r>
      <w:r w:rsidRPr="006E799B">
        <w:rPr>
          <w:rFonts w:ascii="Verdana" w:hAnsi="Verdana"/>
          <w:spacing w:val="-5"/>
          <w:sz w:val="20"/>
          <w:szCs w:val="20"/>
        </w:rPr>
        <w:t xml:space="preserve"> </w:t>
      </w:r>
      <w:r w:rsidRPr="006E799B">
        <w:rPr>
          <w:rFonts w:ascii="Verdana" w:hAnsi="Verdana"/>
          <w:sz w:val="20"/>
          <w:szCs w:val="20"/>
        </w:rPr>
        <w:t>dice</w:t>
      </w:r>
      <w:r w:rsidRPr="006E799B">
        <w:rPr>
          <w:rFonts w:ascii="Verdana" w:hAnsi="Verdana"/>
          <w:spacing w:val="-4"/>
          <w:sz w:val="20"/>
          <w:szCs w:val="20"/>
        </w:rPr>
        <w:t xml:space="preserve"> </w:t>
      </w:r>
      <w:r w:rsidRPr="006E799B">
        <w:rPr>
          <w:rFonts w:ascii="Verdana" w:hAnsi="Verdana"/>
          <w:sz w:val="20"/>
          <w:szCs w:val="20"/>
        </w:rPr>
        <w:t>vender</w:t>
      </w:r>
      <w:r w:rsidRPr="006E799B">
        <w:rPr>
          <w:rFonts w:ascii="Verdana" w:hAnsi="Verdana"/>
          <w:spacing w:val="-4"/>
          <w:sz w:val="20"/>
          <w:szCs w:val="20"/>
        </w:rPr>
        <w:t xml:space="preserve"> </w:t>
      </w:r>
      <w:r w:rsidRPr="006E799B">
        <w:rPr>
          <w:rFonts w:ascii="Verdana" w:hAnsi="Verdana"/>
          <w:sz w:val="20"/>
          <w:szCs w:val="20"/>
        </w:rPr>
        <w:t>y</w:t>
      </w:r>
      <w:r w:rsidRPr="006E799B">
        <w:rPr>
          <w:rFonts w:ascii="Verdana" w:hAnsi="Verdana"/>
          <w:spacing w:val="-5"/>
          <w:sz w:val="20"/>
          <w:szCs w:val="20"/>
        </w:rPr>
        <w:t xml:space="preserve"> </w:t>
      </w:r>
      <w:r w:rsidRPr="006E799B">
        <w:rPr>
          <w:rFonts w:ascii="Verdana" w:hAnsi="Verdana"/>
          <w:sz w:val="20"/>
          <w:szCs w:val="20"/>
        </w:rPr>
        <w:t>esta</w:t>
      </w:r>
      <w:r w:rsidRPr="006E799B">
        <w:rPr>
          <w:rFonts w:ascii="Verdana" w:hAnsi="Verdana"/>
          <w:spacing w:val="-4"/>
          <w:sz w:val="20"/>
          <w:szCs w:val="20"/>
        </w:rPr>
        <w:t xml:space="preserve"> </w:t>
      </w:r>
      <w:r w:rsidRPr="006E799B">
        <w:rPr>
          <w:rFonts w:ascii="Verdana" w:hAnsi="Verdana"/>
          <w:sz w:val="20"/>
          <w:szCs w:val="20"/>
        </w:rPr>
        <w:t>comprar.</w:t>
      </w:r>
      <w:r w:rsidRPr="006E799B">
        <w:rPr>
          <w:rFonts w:ascii="Verdana" w:hAnsi="Verdana"/>
          <w:spacing w:val="-3"/>
          <w:sz w:val="20"/>
          <w:szCs w:val="20"/>
        </w:rPr>
        <w:t xml:space="preserve"> </w:t>
      </w:r>
      <w:r w:rsidRPr="006E799B">
        <w:rPr>
          <w:rFonts w:ascii="Verdana" w:hAnsi="Verdana"/>
          <w:sz w:val="20"/>
          <w:szCs w:val="20"/>
        </w:rPr>
        <w:t>El</w:t>
      </w:r>
      <w:r w:rsidRPr="006E799B">
        <w:rPr>
          <w:rFonts w:ascii="Verdana" w:hAnsi="Verdana"/>
          <w:spacing w:val="-5"/>
          <w:sz w:val="20"/>
          <w:szCs w:val="20"/>
        </w:rPr>
        <w:t xml:space="preserve"> </w:t>
      </w:r>
      <w:r w:rsidRPr="006E799B">
        <w:rPr>
          <w:rFonts w:ascii="Verdana" w:hAnsi="Verdana"/>
          <w:sz w:val="20"/>
          <w:szCs w:val="20"/>
        </w:rPr>
        <w:t>dinero</w:t>
      </w:r>
      <w:r w:rsidRPr="006E799B">
        <w:rPr>
          <w:rFonts w:ascii="Verdana" w:hAnsi="Verdana"/>
          <w:spacing w:val="-4"/>
          <w:sz w:val="20"/>
          <w:szCs w:val="20"/>
        </w:rPr>
        <w:t xml:space="preserve"> </w:t>
      </w:r>
      <w:r w:rsidRPr="006E799B">
        <w:rPr>
          <w:rFonts w:ascii="Verdana" w:hAnsi="Verdana"/>
          <w:sz w:val="20"/>
          <w:szCs w:val="20"/>
        </w:rPr>
        <w:t>que</w:t>
      </w:r>
      <w:r w:rsidRPr="006E799B">
        <w:rPr>
          <w:rFonts w:ascii="Verdana" w:hAnsi="Verdana"/>
          <w:spacing w:val="-5"/>
          <w:sz w:val="20"/>
          <w:szCs w:val="20"/>
        </w:rPr>
        <w:t xml:space="preserve"> </w:t>
      </w:r>
      <w:r w:rsidRPr="006E799B">
        <w:rPr>
          <w:rFonts w:ascii="Verdana" w:hAnsi="Verdana"/>
          <w:sz w:val="20"/>
          <w:szCs w:val="20"/>
        </w:rPr>
        <w:t>el</w:t>
      </w:r>
      <w:r w:rsidRPr="006E799B">
        <w:rPr>
          <w:rFonts w:ascii="Verdana" w:hAnsi="Verdana"/>
          <w:spacing w:val="-5"/>
          <w:sz w:val="20"/>
          <w:szCs w:val="20"/>
        </w:rPr>
        <w:t xml:space="preserve"> </w:t>
      </w:r>
      <w:r w:rsidRPr="006E799B">
        <w:rPr>
          <w:rFonts w:ascii="Verdana" w:hAnsi="Verdana"/>
          <w:sz w:val="20"/>
          <w:szCs w:val="20"/>
        </w:rPr>
        <w:t>comprador</w:t>
      </w:r>
      <w:r w:rsidRPr="006E799B">
        <w:rPr>
          <w:rFonts w:ascii="Verdana" w:hAnsi="Verdana"/>
          <w:spacing w:val="-3"/>
          <w:sz w:val="20"/>
          <w:szCs w:val="20"/>
        </w:rPr>
        <w:t xml:space="preserve"> </w:t>
      </w:r>
      <w:r w:rsidRPr="006E799B">
        <w:rPr>
          <w:rFonts w:ascii="Verdana" w:hAnsi="Verdana"/>
          <w:sz w:val="20"/>
          <w:szCs w:val="20"/>
        </w:rPr>
        <w:t>da</w:t>
      </w:r>
      <w:r w:rsidRPr="006E799B">
        <w:rPr>
          <w:rFonts w:ascii="Verdana" w:hAnsi="Verdana"/>
          <w:spacing w:val="-5"/>
          <w:sz w:val="20"/>
          <w:szCs w:val="20"/>
        </w:rPr>
        <w:t xml:space="preserve"> </w:t>
      </w:r>
      <w:r w:rsidRPr="006E799B">
        <w:rPr>
          <w:rFonts w:ascii="Verdana" w:hAnsi="Verdana"/>
          <w:sz w:val="20"/>
          <w:szCs w:val="20"/>
        </w:rPr>
        <w:t>por la cosa vendida se llama precio.</w:t>
      </w:r>
    </w:p>
    <w:p w14:paraId="53E7E367" w14:textId="77777777" w:rsidR="0012522B" w:rsidRPr="006E799B" w:rsidRDefault="0012522B" w:rsidP="0012522B">
      <w:pPr>
        <w:spacing w:before="157"/>
        <w:ind w:left="851" w:right="758"/>
        <w:jc w:val="both"/>
        <w:rPr>
          <w:rFonts w:ascii="Verdana" w:hAnsi="Verdana"/>
          <w:sz w:val="20"/>
          <w:szCs w:val="20"/>
        </w:rPr>
      </w:pPr>
      <w:r w:rsidRPr="006E799B">
        <w:rPr>
          <w:rFonts w:ascii="Verdana" w:hAnsi="Verdana"/>
          <w:sz w:val="20"/>
          <w:szCs w:val="20"/>
        </w:rPr>
        <w:t>[Artículo</w:t>
      </w:r>
      <w:r w:rsidRPr="006E799B">
        <w:rPr>
          <w:rFonts w:ascii="Verdana" w:hAnsi="Verdana"/>
          <w:spacing w:val="-7"/>
          <w:sz w:val="20"/>
          <w:szCs w:val="20"/>
        </w:rPr>
        <w:t xml:space="preserve"> </w:t>
      </w:r>
      <w:r w:rsidRPr="006E799B">
        <w:rPr>
          <w:rFonts w:ascii="Verdana" w:hAnsi="Verdana"/>
          <w:sz w:val="20"/>
          <w:szCs w:val="20"/>
        </w:rPr>
        <w:t>905</w:t>
      </w:r>
      <w:r w:rsidRPr="006E799B">
        <w:rPr>
          <w:rFonts w:ascii="Verdana" w:hAnsi="Verdana"/>
          <w:spacing w:val="-9"/>
          <w:sz w:val="20"/>
          <w:szCs w:val="20"/>
        </w:rPr>
        <w:t xml:space="preserve"> </w:t>
      </w:r>
      <w:r w:rsidRPr="006E799B">
        <w:rPr>
          <w:rFonts w:ascii="Verdana" w:hAnsi="Verdana"/>
          <w:sz w:val="20"/>
          <w:szCs w:val="20"/>
        </w:rPr>
        <w:t>del</w:t>
      </w:r>
      <w:r w:rsidRPr="006E799B">
        <w:rPr>
          <w:rFonts w:ascii="Verdana" w:hAnsi="Verdana"/>
          <w:spacing w:val="-9"/>
          <w:sz w:val="20"/>
          <w:szCs w:val="20"/>
        </w:rPr>
        <w:t xml:space="preserve"> </w:t>
      </w:r>
      <w:r w:rsidRPr="006E799B">
        <w:rPr>
          <w:rFonts w:ascii="Verdana" w:hAnsi="Verdana"/>
          <w:sz w:val="20"/>
          <w:szCs w:val="20"/>
        </w:rPr>
        <w:t>Código</w:t>
      </w:r>
      <w:r w:rsidRPr="006E799B">
        <w:rPr>
          <w:rFonts w:ascii="Verdana" w:hAnsi="Verdana"/>
          <w:spacing w:val="-8"/>
          <w:sz w:val="20"/>
          <w:szCs w:val="20"/>
        </w:rPr>
        <w:t xml:space="preserve"> </w:t>
      </w:r>
      <w:r w:rsidRPr="006E799B">
        <w:rPr>
          <w:rFonts w:ascii="Verdana" w:hAnsi="Verdana"/>
          <w:sz w:val="20"/>
          <w:szCs w:val="20"/>
        </w:rPr>
        <w:t>de</w:t>
      </w:r>
      <w:r w:rsidRPr="006E799B">
        <w:rPr>
          <w:rFonts w:ascii="Verdana" w:hAnsi="Verdana"/>
          <w:spacing w:val="-9"/>
          <w:sz w:val="20"/>
          <w:szCs w:val="20"/>
        </w:rPr>
        <w:t xml:space="preserve"> </w:t>
      </w:r>
      <w:r w:rsidRPr="006E799B">
        <w:rPr>
          <w:rFonts w:ascii="Verdana" w:hAnsi="Verdana"/>
          <w:sz w:val="20"/>
          <w:szCs w:val="20"/>
        </w:rPr>
        <w:t>Comercio]:</w:t>
      </w:r>
      <w:r w:rsidRPr="006E799B">
        <w:rPr>
          <w:rFonts w:ascii="Verdana" w:hAnsi="Verdana"/>
          <w:spacing w:val="-7"/>
          <w:sz w:val="20"/>
          <w:szCs w:val="20"/>
        </w:rPr>
        <w:t xml:space="preserve"> </w:t>
      </w:r>
      <w:r w:rsidRPr="006E799B">
        <w:rPr>
          <w:rFonts w:ascii="Verdana" w:hAnsi="Verdana"/>
          <w:sz w:val="20"/>
          <w:szCs w:val="20"/>
        </w:rPr>
        <w:t>La</w:t>
      </w:r>
      <w:r w:rsidRPr="006E799B">
        <w:rPr>
          <w:rFonts w:ascii="Verdana" w:hAnsi="Verdana"/>
          <w:spacing w:val="-9"/>
          <w:sz w:val="20"/>
          <w:szCs w:val="20"/>
        </w:rPr>
        <w:t xml:space="preserve"> </w:t>
      </w:r>
      <w:r w:rsidRPr="006E799B">
        <w:rPr>
          <w:rFonts w:ascii="Verdana" w:hAnsi="Verdana"/>
          <w:sz w:val="20"/>
          <w:szCs w:val="20"/>
        </w:rPr>
        <w:t>compraventa</w:t>
      </w:r>
      <w:r w:rsidRPr="006E799B">
        <w:rPr>
          <w:rFonts w:ascii="Verdana" w:hAnsi="Verdana"/>
          <w:spacing w:val="-6"/>
          <w:sz w:val="20"/>
          <w:szCs w:val="20"/>
        </w:rPr>
        <w:t xml:space="preserve"> </w:t>
      </w:r>
      <w:r w:rsidRPr="006E799B">
        <w:rPr>
          <w:rFonts w:ascii="Verdana" w:hAnsi="Verdana"/>
          <w:sz w:val="20"/>
          <w:szCs w:val="20"/>
        </w:rPr>
        <w:t>es</w:t>
      </w:r>
      <w:r w:rsidRPr="006E799B">
        <w:rPr>
          <w:rFonts w:ascii="Verdana" w:hAnsi="Verdana"/>
          <w:spacing w:val="-9"/>
          <w:sz w:val="20"/>
          <w:szCs w:val="20"/>
        </w:rPr>
        <w:t xml:space="preserve"> </w:t>
      </w:r>
      <w:r w:rsidRPr="006E799B">
        <w:rPr>
          <w:rFonts w:ascii="Verdana" w:hAnsi="Verdana"/>
          <w:sz w:val="20"/>
          <w:szCs w:val="20"/>
        </w:rPr>
        <w:t>un</w:t>
      </w:r>
      <w:r w:rsidRPr="006E799B">
        <w:rPr>
          <w:rFonts w:ascii="Verdana" w:hAnsi="Verdana"/>
          <w:spacing w:val="-9"/>
          <w:sz w:val="20"/>
          <w:szCs w:val="20"/>
        </w:rPr>
        <w:t xml:space="preserve"> </w:t>
      </w:r>
      <w:r w:rsidRPr="006E799B">
        <w:rPr>
          <w:rFonts w:ascii="Verdana" w:hAnsi="Verdana"/>
          <w:sz w:val="20"/>
          <w:szCs w:val="20"/>
        </w:rPr>
        <w:t>contrato</w:t>
      </w:r>
      <w:r w:rsidRPr="006E799B">
        <w:rPr>
          <w:rFonts w:ascii="Verdana" w:hAnsi="Verdana"/>
          <w:spacing w:val="-7"/>
          <w:sz w:val="20"/>
          <w:szCs w:val="20"/>
        </w:rPr>
        <w:t xml:space="preserve"> </w:t>
      </w:r>
      <w:r w:rsidRPr="006E799B">
        <w:rPr>
          <w:rFonts w:ascii="Verdana" w:hAnsi="Verdana"/>
          <w:sz w:val="20"/>
          <w:szCs w:val="20"/>
        </w:rPr>
        <w:t>en que una de las partes se obliga a trasmitir la propiedad de una cosa y la otra</w:t>
      </w:r>
      <w:r w:rsidRPr="006E799B">
        <w:rPr>
          <w:rFonts w:ascii="Verdana" w:hAnsi="Verdana"/>
          <w:spacing w:val="-18"/>
          <w:sz w:val="20"/>
          <w:szCs w:val="20"/>
        </w:rPr>
        <w:t xml:space="preserve"> </w:t>
      </w:r>
      <w:r w:rsidRPr="006E799B">
        <w:rPr>
          <w:rFonts w:ascii="Verdana" w:hAnsi="Verdana"/>
          <w:sz w:val="20"/>
          <w:szCs w:val="20"/>
        </w:rPr>
        <w:t>a</w:t>
      </w:r>
      <w:r w:rsidRPr="006E799B">
        <w:rPr>
          <w:rFonts w:ascii="Verdana" w:hAnsi="Verdana"/>
          <w:spacing w:val="-18"/>
          <w:sz w:val="20"/>
          <w:szCs w:val="20"/>
        </w:rPr>
        <w:t xml:space="preserve"> </w:t>
      </w:r>
      <w:r w:rsidRPr="006E799B">
        <w:rPr>
          <w:rFonts w:ascii="Verdana" w:hAnsi="Verdana"/>
          <w:sz w:val="20"/>
          <w:szCs w:val="20"/>
        </w:rPr>
        <w:t>pagarla</w:t>
      </w:r>
      <w:r w:rsidRPr="006E799B">
        <w:rPr>
          <w:rFonts w:ascii="Verdana" w:hAnsi="Verdana"/>
          <w:spacing w:val="-17"/>
          <w:sz w:val="20"/>
          <w:szCs w:val="20"/>
        </w:rPr>
        <w:t xml:space="preserve"> </w:t>
      </w:r>
      <w:r w:rsidRPr="006E799B">
        <w:rPr>
          <w:rFonts w:ascii="Verdana" w:hAnsi="Verdana"/>
          <w:sz w:val="20"/>
          <w:szCs w:val="20"/>
        </w:rPr>
        <w:t>en</w:t>
      </w:r>
      <w:r w:rsidRPr="006E799B">
        <w:rPr>
          <w:rFonts w:ascii="Verdana" w:hAnsi="Verdana"/>
          <w:spacing w:val="-18"/>
          <w:sz w:val="20"/>
          <w:szCs w:val="20"/>
        </w:rPr>
        <w:t xml:space="preserve"> </w:t>
      </w:r>
      <w:r w:rsidRPr="006E799B">
        <w:rPr>
          <w:rFonts w:ascii="Verdana" w:hAnsi="Verdana"/>
          <w:sz w:val="20"/>
          <w:szCs w:val="20"/>
        </w:rPr>
        <w:t>dinero.</w:t>
      </w:r>
      <w:r w:rsidRPr="006E799B">
        <w:rPr>
          <w:rFonts w:ascii="Verdana" w:hAnsi="Verdana"/>
          <w:spacing w:val="-17"/>
          <w:sz w:val="20"/>
          <w:szCs w:val="20"/>
        </w:rPr>
        <w:t xml:space="preserve"> </w:t>
      </w:r>
      <w:r w:rsidRPr="006E799B">
        <w:rPr>
          <w:rFonts w:ascii="Verdana" w:hAnsi="Verdana"/>
          <w:sz w:val="20"/>
          <w:szCs w:val="20"/>
        </w:rPr>
        <w:t>El</w:t>
      </w:r>
      <w:r w:rsidRPr="006E799B">
        <w:rPr>
          <w:rFonts w:ascii="Verdana" w:hAnsi="Verdana"/>
          <w:spacing w:val="-18"/>
          <w:sz w:val="20"/>
          <w:szCs w:val="20"/>
        </w:rPr>
        <w:t xml:space="preserve"> </w:t>
      </w:r>
      <w:r w:rsidRPr="006E799B">
        <w:rPr>
          <w:rFonts w:ascii="Verdana" w:hAnsi="Verdana"/>
          <w:sz w:val="20"/>
          <w:szCs w:val="20"/>
        </w:rPr>
        <w:t>dinero</w:t>
      </w:r>
      <w:r w:rsidRPr="006E799B">
        <w:rPr>
          <w:rFonts w:ascii="Verdana" w:hAnsi="Verdana"/>
          <w:spacing w:val="-18"/>
          <w:sz w:val="20"/>
          <w:szCs w:val="20"/>
        </w:rPr>
        <w:t xml:space="preserve"> </w:t>
      </w:r>
      <w:r w:rsidRPr="006E799B">
        <w:rPr>
          <w:rFonts w:ascii="Verdana" w:hAnsi="Verdana"/>
          <w:sz w:val="20"/>
          <w:szCs w:val="20"/>
        </w:rPr>
        <w:t>que</w:t>
      </w:r>
      <w:r w:rsidRPr="006E799B">
        <w:rPr>
          <w:rFonts w:ascii="Verdana" w:hAnsi="Verdana"/>
          <w:spacing w:val="-17"/>
          <w:sz w:val="20"/>
          <w:szCs w:val="20"/>
        </w:rPr>
        <w:t xml:space="preserve"> </w:t>
      </w:r>
      <w:r w:rsidRPr="006E799B">
        <w:rPr>
          <w:rFonts w:ascii="Verdana" w:hAnsi="Verdana"/>
          <w:sz w:val="20"/>
          <w:szCs w:val="20"/>
        </w:rPr>
        <w:t>el</w:t>
      </w:r>
      <w:r w:rsidRPr="006E799B">
        <w:rPr>
          <w:rFonts w:ascii="Verdana" w:hAnsi="Verdana"/>
          <w:spacing w:val="-18"/>
          <w:sz w:val="20"/>
          <w:szCs w:val="20"/>
        </w:rPr>
        <w:t xml:space="preserve"> </w:t>
      </w:r>
      <w:r w:rsidRPr="006E799B">
        <w:rPr>
          <w:rFonts w:ascii="Verdana" w:hAnsi="Verdana"/>
          <w:sz w:val="20"/>
          <w:szCs w:val="20"/>
        </w:rPr>
        <w:t>comprador</w:t>
      </w:r>
      <w:r w:rsidRPr="006E799B">
        <w:rPr>
          <w:rFonts w:ascii="Verdana" w:hAnsi="Verdana"/>
          <w:spacing w:val="-17"/>
          <w:sz w:val="20"/>
          <w:szCs w:val="20"/>
        </w:rPr>
        <w:t xml:space="preserve"> </w:t>
      </w:r>
      <w:r w:rsidRPr="006E799B">
        <w:rPr>
          <w:rFonts w:ascii="Verdana" w:hAnsi="Verdana"/>
          <w:sz w:val="20"/>
          <w:szCs w:val="20"/>
        </w:rPr>
        <w:t>da</w:t>
      </w:r>
      <w:r w:rsidRPr="006E799B">
        <w:rPr>
          <w:rFonts w:ascii="Verdana" w:hAnsi="Verdana"/>
          <w:spacing w:val="-18"/>
          <w:sz w:val="20"/>
          <w:szCs w:val="20"/>
        </w:rPr>
        <w:t xml:space="preserve"> </w:t>
      </w:r>
      <w:r w:rsidRPr="006E799B">
        <w:rPr>
          <w:rFonts w:ascii="Verdana" w:hAnsi="Verdana"/>
          <w:sz w:val="20"/>
          <w:szCs w:val="20"/>
        </w:rPr>
        <w:t>por</w:t>
      </w:r>
      <w:r w:rsidRPr="006E799B">
        <w:rPr>
          <w:rFonts w:ascii="Verdana" w:hAnsi="Verdana"/>
          <w:spacing w:val="-17"/>
          <w:sz w:val="20"/>
          <w:szCs w:val="20"/>
        </w:rPr>
        <w:t xml:space="preserve"> </w:t>
      </w:r>
      <w:r w:rsidRPr="006E799B">
        <w:rPr>
          <w:rFonts w:ascii="Verdana" w:hAnsi="Verdana"/>
          <w:sz w:val="20"/>
          <w:szCs w:val="20"/>
        </w:rPr>
        <w:t>la</w:t>
      </w:r>
      <w:r w:rsidRPr="006E799B">
        <w:rPr>
          <w:rFonts w:ascii="Verdana" w:hAnsi="Verdana"/>
          <w:spacing w:val="-18"/>
          <w:sz w:val="20"/>
          <w:szCs w:val="20"/>
        </w:rPr>
        <w:t xml:space="preserve"> </w:t>
      </w:r>
      <w:r w:rsidRPr="006E799B">
        <w:rPr>
          <w:rFonts w:ascii="Verdana" w:hAnsi="Verdana"/>
          <w:sz w:val="20"/>
          <w:szCs w:val="20"/>
        </w:rPr>
        <w:t>cosa</w:t>
      </w:r>
      <w:r w:rsidRPr="006E799B">
        <w:rPr>
          <w:rFonts w:ascii="Verdana" w:hAnsi="Verdana"/>
          <w:spacing w:val="-18"/>
          <w:sz w:val="20"/>
          <w:szCs w:val="20"/>
        </w:rPr>
        <w:t xml:space="preserve"> </w:t>
      </w:r>
      <w:r w:rsidRPr="006E799B">
        <w:rPr>
          <w:rFonts w:ascii="Verdana" w:hAnsi="Verdana"/>
          <w:sz w:val="20"/>
          <w:szCs w:val="20"/>
        </w:rPr>
        <w:t>vendida se llama precio.</w:t>
      </w:r>
    </w:p>
    <w:p w14:paraId="020BC68E" w14:textId="77777777" w:rsidR="0012522B" w:rsidRDefault="0012522B" w:rsidP="0012522B">
      <w:pPr>
        <w:pStyle w:val="Textoindependiente"/>
        <w:spacing w:after="120" w:line="276" w:lineRule="auto"/>
        <w:ind w:left="261" w:right="49" w:firstLine="709"/>
        <w:jc w:val="both"/>
      </w:pPr>
      <w:r>
        <w:t>A partir de esta definición, aunque incipiente, podría deducirse que para el ordenamiento jurídico colombiano el precio es lo que se entrega como retribución de un bien o servicio, es decir, no es lo que se anuncia o una parte de</w:t>
      </w:r>
      <w:r>
        <w:rPr>
          <w:spacing w:val="-13"/>
        </w:rPr>
        <w:t xml:space="preserve"> </w:t>
      </w:r>
      <w:r>
        <w:t>lo</w:t>
      </w:r>
      <w:r>
        <w:rPr>
          <w:spacing w:val="-13"/>
        </w:rPr>
        <w:t xml:space="preserve"> </w:t>
      </w:r>
      <w:r>
        <w:t>que</w:t>
      </w:r>
      <w:r>
        <w:rPr>
          <w:spacing w:val="-13"/>
        </w:rPr>
        <w:t xml:space="preserve"> </w:t>
      </w:r>
      <w:r>
        <w:t>vale</w:t>
      </w:r>
      <w:r>
        <w:rPr>
          <w:spacing w:val="-12"/>
        </w:rPr>
        <w:t xml:space="preserve"> </w:t>
      </w:r>
      <w:r>
        <w:t>el</w:t>
      </w:r>
      <w:r>
        <w:rPr>
          <w:spacing w:val="-13"/>
        </w:rPr>
        <w:t xml:space="preserve"> </w:t>
      </w:r>
      <w:r>
        <w:t>bien</w:t>
      </w:r>
      <w:r>
        <w:rPr>
          <w:spacing w:val="-12"/>
        </w:rPr>
        <w:t xml:space="preserve"> </w:t>
      </w:r>
      <w:r>
        <w:t>o</w:t>
      </w:r>
      <w:r>
        <w:rPr>
          <w:spacing w:val="-13"/>
        </w:rPr>
        <w:t xml:space="preserve"> </w:t>
      </w:r>
      <w:r>
        <w:t>servicio,</w:t>
      </w:r>
      <w:r>
        <w:rPr>
          <w:spacing w:val="-10"/>
        </w:rPr>
        <w:t xml:space="preserve"> </w:t>
      </w:r>
      <w:r>
        <w:t>sino</w:t>
      </w:r>
      <w:r>
        <w:rPr>
          <w:spacing w:val="-12"/>
        </w:rPr>
        <w:t xml:space="preserve"> </w:t>
      </w:r>
      <w:r>
        <w:t>lo</w:t>
      </w:r>
      <w:r>
        <w:rPr>
          <w:spacing w:val="-13"/>
        </w:rPr>
        <w:t xml:space="preserve"> </w:t>
      </w:r>
      <w:r>
        <w:t>que</w:t>
      </w:r>
      <w:r>
        <w:rPr>
          <w:spacing w:val="-13"/>
        </w:rPr>
        <w:t xml:space="preserve"> </w:t>
      </w:r>
      <w:r>
        <w:t>el</w:t>
      </w:r>
      <w:r>
        <w:rPr>
          <w:spacing w:val="-13"/>
        </w:rPr>
        <w:t xml:space="preserve"> </w:t>
      </w:r>
      <w:r>
        <w:t>comprador</w:t>
      </w:r>
      <w:r>
        <w:rPr>
          <w:spacing w:val="-11"/>
        </w:rPr>
        <w:t xml:space="preserve"> </w:t>
      </w:r>
      <w:r>
        <w:t>efectivamente</w:t>
      </w:r>
      <w:r>
        <w:rPr>
          <w:spacing w:val="-9"/>
        </w:rPr>
        <w:t xml:space="preserve"> </w:t>
      </w:r>
      <w:r>
        <w:t>entrega o paga como contraprestación por la cosa recibida.</w:t>
      </w:r>
    </w:p>
    <w:p w14:paraId="2CA460D9" w14:textId="77777777" w:rsidR="00346C69" w:rsidRDefault="00346C69" w:rsidP="00346C69">
      <w:pPr>
        <w:pStyle w:val="Textoindependiente"/>
        <w:spacing w:after="120" w:line="276" w:lineRule="auto"/>
        <w:ind w:left="261" w:right="49" w:firstLine="709"/>
        <w:jc w:val="both"/>
      </w:pPr>
      <w:r>
        <w:t>El Consejo de Estado explica que en el precio están incluidos todos los costos en que se incurre para vender un bien o prestar un servicio: “El precio cubre los costos en que incurre la entidad para prestar el servicio, incluyendo los gastos de funcionamiento y las previsiones para amortización y crecimiento de la inversión”</w:t>
      </w:r>
      <w:r>
        <w:rPr>
          <w:rStyle w:val="Refdenotaalpie"/>
        </w:rPr>
        <w:footnoteReference w:id="17"/>
      </w:r>
      <w:r>
        <w:t>.</w:t>
      </w:r>
    </w:p>
    <w:p w14:paraId="3924274B" w14:textId="77777777" w:rsidR="00346C69" w:rsidRDefault="00346C69" w:rsidP="00346C69">
      <w:pPr>
        <w:pStyle w:val="Textoindependiente"/>
        <w:spacing w:after="120" w:line="276" w:lineRule="auto"/>
        <w:ind w:left="261" w:right="49" w:firstLine="709"/>
        <w:jc w:val="both"/>
      </w:pPr>
      <w:r>
        <w:t>La doctrina también ha teorizado en torno a lo que se debe entender incluido en el precio en la contratación estatal. Así, se ha sostenido que dentro del</w:t>
      </w:r>
      <w:r>
        <w:rPr>
          <w:spacing w:val="-9"/>
        </w:rPr>
        <w:t xml:space="preserve"> </w:t>
      </w:r>
      <w:r>
        <w:t>precio</w:t>
      </w:r>
      <w:r>
        <w:rPr>
          <w:spacing w:val="-8"/>
        </w:rPr>
        <w:t xml:space="preserve"> </w:t>
      </w:r>
      <w:r>
        <w:t>se</w:t>
      </w:r>
      <w:r>
        <w:rPr>
          <w:spacing w:val="-10"/>
        </w:rPr>
        <w:t xml:space="preserve"> </w:t>
      </w:r>
      <w:r>
        <w:t>incluyen</w:t>
      </w:r>
      <w:r>
        <w:rPr>
          <w:spacing w:val="-7"/>
        </w:rPr>
        <w:t xml:space="preserve"> </w:t>
      </w:r>
      <w:r>
        <w:t>todos</w:t>
      </w:r>
      <w:r>
        <w:rPr>
          <w:spacing w:val="-9"/>
        </w:rPr>
        <w:t xml:space="preserve"> </w:t>
      </w:r>
      <w:r>
        <w:t>los</w:t>
      </w:r>
      <w:r>
        <w:rPr>
          <w:spacing w:val="-10"/>
        </w:rPr>
        <w:t xml:space="preserve"> </w:t>
      </w:r>
      <w:r>
        <w:t>costos</w:t>
      </w:r>
      <w:r>
        <w:rPr>
          <w:spacing w:val="-9"/>
        </w:rPr>
        <w:t xml:space="preserve"> </w:t>
      </w:r>
      <w:r>
        <w:t>en</w:t>
      </w:r>
      <w:r>
        <w:rPr>
          <w:spacing w:val="-10"/>
        </w:rPr>
        <w:t xml:space="preserve"> </w:t>
      </w:r>
      <w:r>
        <w:t>que</w:t>
      </w:r>
      <w:r>
        <w:rPr>
          <w:spacing w:val="-9"/>
        </w:rPr>
        <w:t xml:space="preserve"> </w:t>
      </w:r>
      <w:r>
        <w:t>incurre</w:t>
      </w:r>
      <w:r>
        <w:rPr>
          <w:spacing w:val="-8"/>
        </w:rPr>
        <w:t xml:space="preserve"> </w:t>
      </w:r>
      <w:r>
        <w:t>el</w:t>
      </w:r>
      <w:r>
        <w:rPr>
          <w:spacing w:val="-10"/>
        </w:rPr>
        <w:t xml:space="preserve"> </w:t>
      </w:r>
      <w:r>
        <w:t>contratista</w:t>
      </w:r>
      <w:r>
        <w:rPr>
          <w:spacing w:val="-7"/>
        </w:rPr>
        <w:t xml:space="preserve"> </w:t>
      </w:r>
      <w:r>
        <w:t>para</w:t>
      </w:r>
      <w:r>
        <w:rPr>
          <w:spacing w:val="-9"/>
        </w:rPr>
        <w:t xml:space="preserve"> </w:t>
      </w:r>
      <w:r>
        <w:t>cumplir con</w:t>
      </w:r>
      <w:r>
        <w:rPr>
          <w:spacing w:val="-11"/>
        </w:rPr>
        <w:t xml:space="preserve"> </w:t>
      </w:r>
      <w:r>
        <w:t>las</w:t>
      </w:r>
      <w:r>
        <w:rPr>
          <w:spacing w:val="-11"/>
        </w:rPr>
        <w:t xml:space="preserve"> </w:t>
      </w:r>
      <w:r>
        <w:t>obligaciones</w:t>
      </w:r>
      <w:r>
        <w:rPr>
          <w:spacing w:val="-9"/>
        </w:rPr>
        <w:t xml:space="preserve"> </w:t>
      </w:r>
      <w:r>
        <w:t>que</w:t>
      </w:r>
      <w:r>
        <w:rPr>
          <w:spacing w:val="-11"/>
        </w:rPr>
        <w:t xml:space="preserve"> </w:t>
      </w:r>
      <w:r>
        <w:t>va</w:t>
      </w:r>
      <w:r>
        <w:rPr>
          <w:spacing w:val="-11"/>
        </w:rPr>
        <w:t xml:space="preserve"> </w:t>
      </w:r>
      <w:r>
        <w:t>a</w:t>
      </w:r>
      <w:r>
        <w:rPr>
          <w:spacing w:val="-11"/>
        </w:rPr>
        <w:t xml:space="preserve"> </w:t>
      </w:r>
      <w:r>
        <w:t>adquirir</w:t>
      </w:r>
      <w:r>
        <w:rPr>
          <w:spacing w:val="-10"/>
        </w:rPr>
        <w:t xml:space="preserve"> </w:t>
      </w:r>
      <w:r>
        <w:t>y</w:t>
      </w:r>
      <w:r>
        <w:rPr>
          <w:spacing w:val="-11"/>
        </w:rPr>
        <w:t xml:space="preserve"> </w:t>
      </w:r>
      <w:r>
        <w:t>satisfacer</w:t>
      </w:r>
      <w:r>
        <w:rPr>
          <w:spacing w:val="-9"/>
        </w:rPr>
        <w:t xml:space="preserve"> </w:t>
      </w:r>
      <w:r>
        <w:t>su</w:t>
      </w:r>
      <w:r>
        <w:rPr>
          <w:spacing w:val="-11"/>
        </w:rPr>
        <w:t xml:space="preserve"> </w:t>
      </w:r>
      <w:r>
        <w:t>derecho</w:t>
      </w:r>
      <w:r>
        <w:rPr>
          <w:spacing w:val="-10"/>
        </w:rPr>
        <w:t xml:space="preserve"> </w:t>
      </w:r>
      <w:r>
        <w:t>a</w:t>
      </w:r>
      <w:r>
        <w:rPr>
          <w:spacing w:val="-11"/>
        </w:rPr>
        <w:t xml:space="preserve"> </w:t>
      </w:r>
      <w:r>
        <w:t>obtener</w:t>
      </w:r>
      <w:r>
        <w:rPr>
          <w:spacing w:val="-10"/>
        </w:rPr>
        <w:t xml:space="preserve"> </w:t>
      </w:r>
      <w:r>
        <w:t>utilidad:</w:t>
      </w:r>
    </w:p>
    <w:p w14:paraId="194E32FF" w14:textId="77777777" w:rsidR="00097D9F" w:rsidRPr="006E799B" w:rsidRDefault="00097D9F" w:rsidP="00097D9F">
      <w:pPr>
        <w:spacing w:before="160"/>
        <w:ind w:left="851" w:right="758"/>
        <w:jc w:val="both"/>
        <w:rPr>
          <w:rFonts w:ascii="Verdana" w:hAnsi="Verdana"/>
          <w:sz w:val="20"/>
        </w:rPr>
      </w:pPr>
      <w:r w:rsidRPr="006E799B">
        <w:rPr>
          <w:rFonts w:ascii="Verdana" w:hAnsi="Verdana"/>
          <w:sz w:val="20"/>
        </w:rPr>
        <w:t>En primer lugar, el precio debe incluir los costos en que incurrirá el contratista para</w:t>
      </w:r>
      <w:r w:rsidRPr="006E799B">
        <w:rPr>
          <w:rFonts w:ascii="Verdana" w:hAnsi="Verdana"/>
          <w:spacing w:val="-1"/>
          <w:sz w:val="20"/>
        </w:rPr>
        <w:t xml:space="preserve"> </w:t>
      </w:r>
      <w:r w:rsidRPr="006E799B">
        <w:rPr>
          <w:rFonts w:ascii="Verdana" w:hAnsi="Verdana"/>
          <w:sz w:val="20"/>
        </w:rPr>
        <w:t>cumplir sus</w:t>
      </w:r>
      <w:r w:rsidRPr="006E799B">
        <w:rPr>
          <w:rFonts w:ascii="Verdana" w:hAnsi="Verdana"/>
          <w:spacing w:val="-1"/>
          <w:sz w:val="20"/>
        </w:rPr>
        <w:t xml:space="preserve"> </w:t>
      </w:r>
      <w:r w:rsidRPr="006E799B">
        <w:rPr>
          <w:rFonts w:ascii="Verdana" w:hAnsi="Verdana"/>
          <w:sz w:val="20"/>
        </w:rPr>
        <w:t>obligaciones y</w:t>
      </w:r>
      <w:r w:rsidRPr="006E799B">
        <w:rPr>
          <w:rFonts w:ascii="Verdana" w:hAnsi="Verdana"/>
          <w:spacing w:val="-2"/>
          <w:sz w:val="20"/>
        </w:rPr>
        <w:t xml:space="preserve"> </w:t>
      </w:r>
      <w:r w:rsidRPr="006E799B">
        <w:rPr>
          <w:rFonts w:ascii="Verdana" w:hAnsi="Verdana"/>
          <w:sz w:val="20"/>
        </w:rPr>
        <w:t>obtener la</w:t>
      </w:r>
      <w:r w:rsidRPr="006E799B">
        <w:rPr>
          <w:rFonts w:ascii="Verdana" w:hAnsi="Verdana"/>
          <w:spacing w:val="-2"/>
          <w:sz w:val="20"/>
        </w:rPr>
        <w:t xml:space="preserve"> </w:t>
      </w:r>
      <w:r w:rsidRPr="006E799B">
        <w:rPr>
          <w:rFonts w:ascii="Verdana" w:hAnsi="Verdana"/>
          <w:sz w:val="20"/>
        </w:rPr>
        <w:t>utilidad</w:t>
      </w:r>
      <w:r w:rsidRPr="006E799B">
        <w:rPr>
          <w:rFonts w:ascii="Verdana" w:hAnsi="Verdana"/>
          <w:spacing w:val="-1"/>
          <w:sz w:val="20"/>
        </w:rPr>
        <w:t xml:space="preserve"> </w:t>
      </w:r>
      <w:r w:rsidRPr="006E799B">
        <w:rPr>
          <w:rFonts w:ascii="Verdana" w:hAnsi="Verdana"/>
          <w:sz w:val="20"/>
        </w:rPr>
        <w:t>que</w:t>
      </w:r>
      <w:r w:rsidRPr="006E799B">
        <w:rPr>
          <w:rFonts w:ascii="Verdana" w:hAnsi="Verdana"/>
          <w:spacing w:val="-2"/>
          <w:sz w:val="20"/>
        </w:rPr>
        <w:t xml:space="preserve"> </w:t>
      </w:r>
      <w:r w:rsidRPr="006E799B">
        <w:rPr>
          <w:rFonts w:ascii="Verdana" w:hAnsi="Verdana"/>
          <w:sz w:val="20"/>
        </w:rPr>
        <w:t>espera del negocio. Esto significa que hacen parte del precio las inversiones y gastos</w:t>
      </w:r>
      <w:r w:rsidRPr="006E799B">
        <w:rPr>
          <w:rFonts w:ascii="Verdana" w:hAnsi="Verdana"/>
          <w:spacing w:val="23"/>
          <w:sz w:val="20"/>
        </w:rPr>
        <w:t xml:space="preserve"> </w:t>
      </w:r>
      <w:r w:rsidRPr="006E799B">
        <w:rPr>
          <w:rFonts w:ascii="Verdana" w:hAnsi="Verdana"/>
          <w:sz w:val="20"/>
        </w:rPr>
        <w:t>que</w:t>
      </w:r>
      <w:r w:rsidRPr="006E799B">
        <w:rPr>
          <w:rFonts w:ascii="Verdana" w:hAnsi="Verdana"/>
          <w:spacing w:val="22"/>
          <w:sz w:val="20"/>
        </w:rPr>
        <w:t xml:space="preserve"> </w:t>
      </w:r>
      <w:r w:rsidRPr="006E799B">
        <w:rPr>
          <w:rFonts w:ascii="Verdana" w:hAnsi="Verdana"/>
          <w:sz w:val="20"/>
        </w:rPr>
        <w:t>deba</w:t>
      </w:r>
      <w:r w:rsidRPr="006E799B">
        <w:rPr>
          <w:rFonts w:ascii="Verdana" w:hAnsi="Verdana"/>
          <w:spacing w:val="23"/>
          <w:sz w:val="20"/>
        </w:rPr>
        <w:t xml:space="preserve"> </w:t>
      </w:r>
      <w:r w:rsidRPr="006E799B">
        <w:rPr>
          <w:rFonts w:ascii="Verdana" w:hAnsi="Verdana"/>
          <w:sz w:val="20"/>
        </w:rPr>
        <w:t>hacer,</w:t>
      </w:r>
      <w:r w:rsidRPr="006E799B">
        <w:rPr>
          <w:rFonts w:ascii="Verdana" w:hAnsi="Verdana"/>
          <w:spacing w:val="24"/>
          <w:sz w:val="20"/>
        </w:rPr>
        <w:t xml:space="preserve"> </w:t>
      </w:r>
      <w:r w:rsidRPr="006E799B">
        <w:rPr>
          <w:rFonts w:ascii="Verdana" w:hAnsi="Verdana"/>
          <w:sz w:val="20"/>
        </w:rPr>
        <w:t>más</w:t>
      </w:r>
      <w:r w:rsidRPr="006E799B">
        <w:rPr>
          <w:rFonts w:ascii="Verdana" w:hAnsi="Verdana"/>
          <w:spacing w:val="22"/>
          <w:sz w:val="20"/>
        </w:rPr>
        <w:t xml:space="preserve"> </w:t>
      </w:r>
      <w:r w:rsidRPr="006E799B">
        <w:rPr>
          <w:rFonts w:ascii="Verdana" w:hAnsi="Verdana"/>
          <w:sz w:val="20"/>
        </w:rPr>
        <w:t>la</w:t>
      </w:r>
      <w:r w:rsidRPr="006E799B">
        <w:rPr>
          <w:rFonts w:ascii="Verdana" w:hAnsi="Verdana"/>
          <w:spacing w:val="22"/>
          <w:sz w:val="20"/>
        </w:rPr>
        <w:t xml:space="preserve"> </w:t>
      </w:r>
      <w:r w:rsidRPr="006E799B">
        <w:rPr>
          <w:rFonts w:ascii="Verdana" w:hAnsi="Verdana"/>
          <w:sz w:val="20"/>
        </w:rPr>
        <w:t>utilidad</w:t>
      </w:r>
      <w:r w:rsidRPr="006E799B">
        <w:rPr>
          <w:rFonts w:ascii="Verdana" w:hAnsi="Verdana"/>
          <w:spacing w:val="23"/>
          <w:sz w:val="20"/>
        </w:rPr>
        <w:t xml:space="preserve"> </w:t>
      </w:r>
      <w:r w:rsidRPr="006E799B">
        <w:rPr>
          <w:rFonts w:ascii="Verdana" w:hAnsi="Verdana"/>
          <w:sz w:val="20"/>
        </w:rPr>
        <w:t>que</w:t>
      </w:r>
      <w:r w:rsidRPr="006E799B">
        <w:rPr>
          <w:rFonts w:ascii="Verdana" w:hAnsi="Verdana"/>
          <w:spacing w:val="22"/>
          <w:sz w:val="20"/>
        </w:rPr>
        <w:t xml:space="preserve"> </w:t>
      </w:r>
      <w:r w:rsidRPr="006E799B">
        <w:rPr>
          <w:rFonts w:ascii="Verdana" w:hAnsi="Verdana"/>
          <w:sz w:val="20"/>
        </w:rPr>
        <w:t>espera.</w:t>
      </w:r>
      <w:r w:rsidRPr="006E799B">
        <w:rPr>
          <w:rFonts w:ascii="Verdana" w:hAnsi="Verdana"/>
          <w:spacing w:val="24"/>
          <w:sz w:val="20"/>
        </w:rPr>
        <w:t xml:space="preserve"> </w:t>
      </w:r>
      <w:r w:rsidRPr="006E799B">
        <w:rPr>
          <w:rFonts w:ascii="Verdana" w:hAnsi="Verdana"/>
          <w:sz w:val="20"/>
        </w:rPr>
        <w:t>Entre</w:t>
      </w:r>
      <w:r w:rsidRPr="006E799B">
        <w:rPr>
          <w:rFonts w:ascii="Verdana" w:hAnsi="Verdana"/>
          <w:spacing w:val="23"/>
          <w:sz w:val="20"/>
        </w:rPr>
        <w:t xml:space="preserve"> </w:t>
      </w:r>
      <w:r w:rsidRPr="006E799B">
        <w:rPr>
          <w:rFonts w:ascii="Verdana" w:hAnsi="Verdana"/>
          <w:sz w:val="20"/>
        </w:rPr>
        <w:t>los</w:t>
      </w:r>
      <w:r w:rsidRPr="006E799B">
        <w:rPr>
          <w:rFonts w:ascii="Verdana" w:hAnsi="Verdana"/>
          <w:spacing w:val="22"/>
          <w:sz w:val="20"/>
        </w:rPr>
        <w:t xml:space="preserve"> </w:t>
      </w:r>
      <w:r w:rsidRPr="006E799B">
        <w:rPr>
          <w:rFonts w:ascii="Verdana" w:hAnsi="Verdana"/>
          <w:sz w:val="20"/>
        </w:rPr>
        <w:t>costos</w:t>
      </w:r>
      <w:r w:rsidRPr="006E799B">
        <w:rPr>
          <w:rFonts w:ascii="Verdana" w:hAnsi="Verdana"/>
          <w:spacing w:val="23"/>
          <w:sz w:val="20"/>
        </w:rPr>
        <w:t xml:space="preserve"> </w:t>
      </w:r>
      <w:r w:rsidRPr="006E799B">
        <w:rPr>
          <w:rFonts w:ascii="Verdana" w:hAnsi="Verdana"/>
          <w:sz w:val="20"/>
        </w:rPr>
        <w:t>se encuentran los impuestos que afectarán el contrato, por ejemplo, el IVA, la contribución especial, las estampillas, y otros. Esta precisión resulta</w:t>
      </w:r>
      <w:r w:rsidRPr="006E799B">
        <w:rPr>
          <w:rFonts w:ascii="Verdana" w:hAnsi="Verdana"/>
          <w:spacing w:val="40"/>
          <w:sz w:val="20"/>
        </w:rPr>
        <w:t xml:space="preserve"> </w:t>
      </w:r>
      <w:r w:rsidRPr="006E799B">
        <w:rPr>
          <w:rFonts w:ascii="Verdana" w:hAnsi="Verdana"/>
          <w:sz w:val="20"/>
        </w:rPr>
        <w:t>importante porque el valor, que incluye el impuesto, determina el precio final. Basta hacer una pregunta para entender la idea: ¿un bien gravado puede venderse sin el impuesto, sin violar las normas tributarias? Como no</w:t>
      </w:r>
      <w:r w:rsidRPr="006E799B">
        <w:rPr>
          <w:rFonts w:ascii="Verdana" w:hAnsi="Verdana"/>
          <w:spacing w:val="40"/>
          <w:sz w:val="20"/>
        </w:rPr>
        <w:t xml:space="preserve"> </w:t>
      </w:r>
      <w:r w:rsidRPr="006E799B">
        <w:rPr>
          <w:rFonts w:ascii="Verdana" w:hAnsi="Verdana"/>
          <w:sz w:val="20"/>
        </w:rPr>
        <w:t>es</w:t>
      </w:r>
      <w:r w:rsidRPr="006E799B">
        <w:rPr>
          <w:rFonts w:ascii="Verdana" w:hAnsi="Verdana"/>
          <w:spacing w:val="40"/>
          <w:sz w:val="20"/>
        </w:rPr>
        <w:t xml:space="preserve"> </w:t>
      </w:r>
      <w:r w:rsidRPr="006E799B">
        <w:rPr>
          <w:rFonts w:ascii="Verdana" w:hAnsi="Verdana"/>
          <w:sz w:val="20"/>
        </w:rPr>
        <w:t>posible,</w:t>
      </w:r>
      <w:r w:rsidRPr="006E799B">
        <w:rPr>
          <w:rFonts w:ascii="Verdana" w:hAnsi="Verdana"/>
          <w:spacing w:val="40"/>
          <w:sz w:val="20"/>
        </w:rPr>
        <w:t xml:space="preserve"> </w:t>
      </w:r>
      <w:r w:rsidRPr="006E799B">
        <w:rPr>
          <w:rFonts w:ascii="Verdana" w:hAnsi="Verdana"/>
          <w:sz w:val="20"/>
        </w:rPr>
        <w:t>entonces</w:t>
      </w:r>
      <w:r w:rsidRPr="006E799B">
        <w:rPr>
          <w:rFonts w:ascii="Verdana" w:hAnsi="Verdana"/>
          <w:spacing w:val="40"/>
          <w:sz w:val="20"/>
        </w:rPr>
        <w:t xml:space="preserve"> </w:t>
      </w:r>
      <w:r w:rsidRPr="006E799B">
        <w:rPr>
          <w:rFonts w:ascii="Verdana" w:hAnsi="Verdana"/>
          <w:sz w:val="20"/>
        </w:rPr>
        <w:t>es</w:t>
      </w:r>
      <w:r w:rsidRPr="006E799B">
        <w:rPr>
          <w:rFonts w:ascii="Verdana" w:hAnsi="Verdana"/>
          <w:spacing w:val="40"/>
          <w:sz w:val="20"/>
        </w:rPr>
        <w:t xml:space="preserve"> </w:t>
      </w:r>
      <w:r w:rsidRPr="006E799B">
        <w:rPr>
          <w:rFonts w:ascii="Verdana" w:hAnsi="Verdana"/>
          <w:sz w:val="20"/>
        </w:rPr>
        <w:t>inevitable</w:t>
      </w:r>
      <w:r w:rsidRPr="006E799B">
        <w:rPr>
          <w:rFonts w:ascii="Verdana" w:hAnsi="Verdana"/>
          <w:spacing w:val="40"/>
          <w:sz w:val="20"/>
        </w:rPr>
        <w:t xml:space="preserve"> </w:t>
      </w:r>
      <w:r w:rsidRPr="006E799B">
        <w:rPr>
          <w:rFonts w:ascii="Verdana" w:hAnsi="Verdana"/>
          <w:sz w:val="20"/>
        </w:rPr>
        <w:t>incorporarlo</w:t>
      </w:r>
      <w:r w:rsidRPr="006E799B">
        <w:rPr>
          <w:rFonts w:ascii="Verdana" w:hAnsi="Verdana"/>
          <w:spacing w:val="40"/>
          <w:sz w:val="20"/>
        </w:rPr>
        <w:t xml:space="preserve"> </w:t>
      </w:r>
      <w:r w:rsidRPr="006E799B">
        <w:rPr>
          <w:rFonts w:ascii="Verdana" w:hAnsi="Verdana"/>
          <w:sz w:val="20"/>
        </w:rPr>
        <w:t>al</w:t>
      </w:r>
      <w:r w:rsidRPr="006E799B">
        <w:rPr>
          <w:rFonts w:ascii="Verdana" w:hAnsi="Verdana"/>
          <w:spacing w:val="40"/>
          <w:sz w:val="20"/>
        </w:rPr>
        <w:t xml:space="preserve"> </w:t>
      </w:r>
      <w:r w:rsidRPr="006E799B">
        <w:rPr>
          <w:rFonts w:ascii="Verdana" w:hAnsi="Verdana"/>
          <w:sz w:val="20"/>
        </w:rPr>
        <w:t>costo,</w:t>
      </w:r>
      <w:r w:rsidRPr="006E799B">
        <w:rPr>
          <w:rFonts w:ascii="Verdana" w:hAnsi="Verdana"/>
          <w:spacing w:val="40"/>
          <w:sz w:val="20"/>
        </w:rPr>
        <w:t xml:space="preserve"> </w:t>
      </w:r>
      <w:r w:rsidRPr="006E799B">
        <w:rPr>
          <w:rFonts w:ascii="Verdana" w:hAnsi="Verdana"/>
          <w:sz w:val="20"/>
        </w:rPr>
        <w:t>porque</w:t>
      </w:r>
      <w:r w:rsidRPr="006E799B">
        <w:rPr>
          <w:rFonts w:ascii="Verdana" w:hAnsi="Verdana"/>
          <w:spacing w:val="40"/>
          <w:sz w:val="20"/>
        </w:rPr>
        <w:t xml:space="preserve"> </w:t>
      </w:r>
      <w:r w:rsidRPr="006E799B">
        <w:rPr>
          <w:rFonts w:ascii="Verdana" w:hAnsi="Verdana"/>
          <w:sz w:val="20"/>
        </w:rPr>
        <w:t>el oferente -futuro contratista- inevitablemente debe incurrir en él, so pena de no poder cobrarlo luego. En otras palabras, es absurdo presentar una oferta</w:t>
      </w:r>
      <w:r w:rsidRPr="006E799B">
        <w:rPr>
          <w:rFonts w:ascii="Verdana" w:hAnsi="Verdana"/>
          <w:spacing w:val="-18"/>
          <w:sz w:val="20"/>
        </w:rPr>
        <w:t xml:space="preserve"> </w:t>
      </w:r>
      <w:r w:rsidRPr="006E799B">
        <w:rPr>
          <w:rFonts w:ascii="Verdana" w:hAnsi="Verdana"/>
          <w:sz w:val="20"/>
        </w:rPr>
        <w:t>que</w:t>
      </w:r>
      <w:r w:rsidRPr="006E799B">
        <w:rPr>
          <w:rFonts w:ascii="Verdana" w:hAnsi="Verdana"/>
          <w:spacing w:val="-18"/>
          <w:sz w:val="20"/>
        </w:rPr>
        <w:t xml:space="preserve"> </w:t>
      </w:r>
      <w:r w:rsidRPr="006E799B">
        <w:rPr>
          <w:rFonts w:ascii="Verdana" w:hAnsi="Verdana"/>
          <w:sz w:val="20"/>
        </w:rPr>
        <w:t>no</w:t>
      </w:r>
      <w:r w:rsidRPr="006E799B">
        <w:rPr>
          <w:rFonts w:ascii="Verdana" w:hAnsi="Verdana"/>
          <w:spacing w:val="-17"/>
          <w:sz w:val="20"/>
        </w:rPr>
        <w:t xml:space="preserve"> </w:t>
      </w:r>
      <w:r w:rsidRPr="006E799B">
        <w:rPr>
          <w:rFonts w:ascii="Verdana" w:hAnsi="Verdana"/>
          <w:sz w:val="20"/>
        </w:rPr>
        <w:t>incluya</w:t>
      </w:r>
      <w:r w:rsidRPr="006E799B">
        <w:rPr>
          <w:rFonts w:ascii="Verdana" w:hAnsi="Verdana"/>
          <w:spacing w:val="-18"/>
          <w:sz w:val="20"/>
        </w:rPr>
        <w:t xml:space="preserve"> </w:t>
      </w:r>
      <w:r w:rsidRPr="006E799B">
        <w:rPr>
          <w:rFonts w:ascii="Verdana" w:hAnsi="Verdana"/>
          <w:sz w:val="20"/>
        </w:rPr>
        <w:t>los</w:t>
      </w:r>
      <w:r w:rsidRPr="006E799B">
        <w:rPr>
          <w:rFonts w:ascii="Verdana" w:hAnsi="Verdana"/>
          <w:spacing w:val="-17"/>
          <w:sz w:val="20"/>
        </w:rPr>
        <w:t xml:space="preserve"> </w:t>
      </w:r>
      <w:r w:rsidRPr="006E799B">
        <w:rPr>
          <w:rFonts w:ascii="Verdana" w:hAnsi="Verdana"/>
          <w:sz w:val="20"/>
        </w:rPr>
        <w:t>impuestos</w:t>
      </w:r>
      <w:r w:rsidRPr="006E799B">
        <w:rPr>
          <w:rFonts w:ascii="Verdana" w:hAnsi="Verdana"/>
          <w:spacing w:val="-18"/>
          <w:sz w:val="20"/>
        </w:rPr>
        <w:t xml:space="preserve"> </w:t>
      </w:r>
      <w:r w:rsidRPr="006E799B">
        <w:rPr>
          <w:rFonts w:ascii="Verdana" w:hAnsi="Verdana"/>
          <w:sz w:val="20"/>
        </w:rPr>
        <w:t>que</w:t>
      </w:r>
      <w:r w:rsidRPr="006E799B">
        <w:rPr>
          <w:rFonts w:ascii="Verdana" w:hAnsi="Verdana"/>
          <w:spacing w:val="-18"/>
          <w:sz w:val="20"/>
        </w:rPr>
        <w:t xml:space="preserve"> </w:t>
      </w:r>
      <w:r w:rsidRPr="006E799B">
        <w:rPr>
          <w:rFonts w:ascii="Verdana" w:hAnsi="Verdana"/>
          <w:sz w:val="20"/>
        </w:rPr>
        <w:t>gravan</w:t>
      </w:r>
      <w:r w:rsidRPr="006E799B">
        <w:rPr>
          <w:rFonts w:ascii="Verdana" w:hAnsi="Verdana"/>
          <w:spacing w:val="-17"/>
          <w:sz w:val="20"/>
        </w:rPr>
        <w:t xml:space="preserve"> </w:t>
      </w:r>
      <w:r w:rsidRPr="006E799B">
        <w:rPr>
          <w:rFonts w:ascii="Verdana" w:hAnsi="Verdana"/>
          <w:sz w:val="20"/>
        </w:rPr>
        <w:t>la</w:t>
      </w:r>
      <w:r w:rsidRPr="006E799B">
        <w:rPr>
          <w:rFonts w:ascii="Verdana" w:hAnsi="Verdana"/>
          <w:spacing w:val="-18"/>
          <w:sz w:val="20"/>
        </w:rPr>
        <w:t xml:space="preserve"> </w:t>
      </w:r>
      <w:r w:rsidRPr="006E799B">
        <w:rPr>
          <w:rFonts w:ascii="Verdana" w:hAnsi="Verdana"/>
          <w:sz w:val="20"/>
        </w:rPr>
        <w:t>actividad</w:t>
      </w:r>
      <w:r w:rsidRPr="006E799B">
        <w:rPr>
          <w:rFonts w:ascii="Verdana" w:hAnsi="Verdana"/>
          <w:spacing w:val="-17"/>
          <w:sz w:val="20"/>
        </w:rPr>
        <w:t xml:space="preserve"> </w:t>
      </w:r>
      <w:r w:rsidRPr="006E799B">
        <w:rPr>
          <w:rFonts w:ascii="Verdana" w:hAnsi="Verdana"/>
          <w:sz w:val="20"/>
        </w:rPr>
        <w:t>o</w:t>
      </w:r>
      <w:r w:rsidRPr="006E799B">
        <w:rPr>
          <w:rFonts w:ascii="Verdana" w:hAnsi="Verdana"/>
          <w:spacing w:val="-18"/>
          <w:sz w:val="20"/>
        </w:rPr>
        <w:t xml:space="preserve"> </w:t>
      </w:r>
      <w:r w:rsidRPr="006E799B">
        <w:rPr>
          <w:rFonts w:ascii="Verdana" w:hAnsi="Verdana"/>
          <w:sz w:val="20"/>
        </w:rPr>
        <w:t>los</w:t>
      </w:r>
      <w:r w:rsidRPr="006E799B">
        <w:rPr>
          <w:rFonts w:ascii="Verdana" w:hAnsi="Verdana"/>
          <w:spacing w:val="-17"/>
          <w:sz w:val="20"/>
        </w:rPr>
        <w:t xml:space="preserve"> </w:t>
      </w:r>
      <w:r w:rsidRPr="006E799B">
        <w:rPr>
          <w:rFonts w:ascii="Verdana" w:hAnsi="Verdana"/>
          <w:sz w:val="20"/>
        </w:rPr>
        <w:t>productos, guardando la esperanza de que se adjudique el contrato por ese precio - que será bajo-, y confiando en que posteriormente se podrá facturar el impuesto, so pretexto de que al fin y</w:t>
      </w:r>
      <w:r w:rsidRPr="006E799B">
        <w:rPr>
          <w:rFonts w:ascii="Verdana" w:hAnsi="Verdana"/>
          <w:spacing w:val="-1"/>
          <w:sz w:val="20"/>
        </w:rPr>
        <w:t xml:space="preserve"> </w:t>
      </w:r>
      <w:r w:rsidRPr="006E799B">
        <w:rPr>
          <w:rFonts w:ascii="Verdana" w:hAnsi="Verdana"/>
          <w:sz w:val="20"/>
        </w:rPr>
        <w:t>al cabo la ley grava la actividad. Por el contrario, el oferente tiene la obligación de incluir todos los gastos en que</w:t>
      </w:r>
      <w:r w:rsidRPr="006E799B">
        <w:rPr>
          <w:rFonts w:ascii="Verdana" w:hAnsi="Verdana"/>
          <w:spacing w:val="-10"/>
          <w:sz w:val="20"/>
        </w:rPr>
        <w:t xml:space="preserve"> </w:t>
      </w:r>
      <w:r w:rsidRPr="006E799B">
        <w:rPr>
          <w:rFonts w:ascii="Verdana" w:hAnsi="Verdana"/>
          <w:sz w:val="20"/>
        </w:rPr>
        <w:t>incurrirá</w:t>
      </w:r>
      <w:r w:rsidRPr="006E799B">
        <w:rPr>
          <w:rFonts w:ascii="Verdana" w:hAnsi="Verdana"/>
          <w:spacing w:val="-8"/>
          <w:sz w:val="20"/>
        </w:rPr>
        <w:t xml:space="preserve"> </w:t>
      </w:r>
      <w:r w:rsidRPr="006E799B">
        <w:rPr>
          <w:rFonts w:ascii="Verdana" w:hAnsi="Verdana"/>
          <w:sz w:val="20"/>
        </w:rPr>
        <w:t>para</w:t>
      </w:r>
      <w:r w:rsidRPr="006E799B">
        <w:rPr>
          <w:rFonts w:ascii="Verdana" w:hAnsi="Verdana"/>
          <w:spacing w:val="-10"/>
          <w:sz w:val="20"/>
        </w:rPr>
        <w:t xml:space="preserve"> </w:t>
      </w:r>
      <w:r w:rsidRPr="006E799B">
        <w:rPr>
          <w:rFonts w:ascii="Verdana" w:hAnsi="Verdana"/>
          <w:sz w:val="20"/>
        </w:rPr>
        <w:t>vender</w:t>
      </w:r>
      <w:r w:rsidRPr="006E799B">
        <w:rPr>
          <w:rFonts w:ascii="Verdana" w:hAnsi="Verdana"/>
          <w:spacing w:val="-9"/>
          <w:sz w:val="20"/>
        </w:rPr>
        <w:t xml:space="preserve"> </w:t>
      </w:r>
      <w:r w:rsidRPr="006E799B">
        <w:rPr>
          <w:rFonts w:ascii="Verdana" w:hAnsi="Verdana"/>
          <w:sz w:val="20"/>
        </w:rPr>
        <w:t>sus</w:t>
      </w:r>
      <w:r w:rsidRPr="006E799B">
        <w:rPr>
          <w:rFonts w:ascii="Verdana" w:hAnsi="Verdana"/>
          <w:spacing w:val="-10"/>
          <w:sz w:val="20"/>
        </w:rPr>
        <w:t xml:space="preserve"> </w:t>
      </w:r>
      <w:r w:rsidRPr="006E799B">
        <w:rPr>
          <w:rFonts w:ascii="Verdana" w:hAnsi="Verdana"/>
          <w:sz w:val="20"/>
        </w:rPr>
        <w:t>bienes</w:t>
      </w:r>
      <w:r w:rsidRPr="006E799B">
        <w:rPr>
          <w:rFonts w:ascii="Verdana" w:hAnsi="Verdana"/>
          <w:spacing w:val="-9"/>
          <w:sz w:val="20"/>
        </w:rPr>
        <w:t xml:space="preserve"> </w:t>
      </w:r>
      <w:r w:rsidRPr="006E799B">
        <w:rPr>
          <w:rFonts w:ascii="Verdana" w:hAnsi="Verdana"/>
          <w:sz w:val="20"/>
        </w:rPr>
        <w:t>o</w:t>
      </w:r>
      <w:r w:rsidRPr="006E799B">
        <w:rPr>
          <w:rFonts w:ascii="Verdana" w:hAnsi="Verdana"/>
          <w:spacing w:val="-11"/>
          <w:sz w:val="20"/>
        </w:rPr>
        <w:t xml:space="preserve"> </w:t>
      </w:r>
      <w:r w:rsidRPr="006E799B">
        <w:rPr>
          <w:rFonts w:ascii="Verdana" w:hAnsi="Verdana"/>
          <w:sz w:val="20"/>
        </w:rPr>
        <w:t>servicios,</w:t>
      </w:r>
      <w:r w:rsidRPr="006E799B">
        <w:rPr>
          <w:rFonts w:ascii="Verdana" w:hAnsi="Verdana"/>
          <w:spacing w:val="-8"/>
          <w:sz w:val="20"/>
        </w:rPr>
        <w:t xml:space="preserve"> </w:t>
      </w:r>
      <w:r w:rsidRPr="006E799B">
        <w:rPr>
          <w:rFonts w:ascii="Verdana" w:hAnsi="Verdana"/>
          <w:sz w:val="20"/>
        </w:rPr>
        <w:t>so</w:t>
      </w:r>
      <w:r w:rsidRPr="006E799B">
        <w:rPr>
          <w:rFonts w:ascii="Verdana" w:hAnsi="Verdana"/>
          <w:spacing w:val="-10"/>
          <w:sz w:val="20"/>
        </w:rPr>
        <w:t xml:space="preserve"> </w:t>
      </w:r>
      <w:r w:rsidRPr="006E799B">
        <w:rPr>
          <w:rFonts w:ascii="Verdana" w:hAnsi="Verdana"/>
          <w:sz w:val="20"/>
        </w:rPr>
        <w:t>pena</w:t>
      </w:r>
      <w:r w:rsidRPr="006E799B">
        <w:rPr>
          <w:rFonts w:ascii="Verdana" w:hAnsi="Verdana"/>
          <w:spacing w:val="-10"/>
          <w:sz w:val="20"/>
        </w:rPr>
        <w:t xml:space="preserve"> </w:t>
      </w:r>
      <w:r w:rsidRPr="006E799B">
        <w:rPr>
          <w:rFonts w:ascii="Verdana" w:hAnsi="Verdana"/>
          <w:sz w:val="20"/>
        </w:rPr>
        <w:t>de</w:t>
      </w:r>
      <w:r w:rsidRPr="006E799B">
        <w:rPr>
          <w:rFonts w:ascii="Verdana" w:hAnsi="Verdana"/>
          <w:spacing w:val="-11"/>
          <w:sz w:val="20"/>
        </w:rPr>
        <w:t xml:space="preserve"> </w:t>
      </w:r>
      <w:r w:rsidRPr="006E799B">
        <w:rPr>
          <w:rFonts w:ascii="Verdana" w:hAnsi="Verdana"/>
          <w:sz w:val="20"/>
        </w:rPr>
        <w:t>que</w:t>
      </w:r>
      <w:r w:rsidRPr="006E799B">
        <w:rPr>
          <w:rFonts w:ascii="Verdana" w:hAnsi="Verdana"/>
          <w:spacing w:val="-10"/>
          <w:sz w:val="20"/>
        </w:rPr>
        <w:t xml:space="preserve"> </w:t>
      </w:r>
      <w:r w:rsidRPr="006E799B">
        <w:rPr>
          <w:rFonts w:ascii="Verdana" w:hAnsi="Verdana"/>
          <w:sz w:val="20"/>
        </w:rPr>
        <w:t>la</w:t>
      </w:r>
      <w:r w:rsidRPr="006E799B">
        <w:rPr>
          <w:rFonts w:ascii="Verdana" w:hAnsi="Verdana"/>
          <w:spacing w:val="-11"/>
          <w:sz w:val="20"/>
        </w:rPr>
        <w:t xml:space="preserve"> </w:t>
      </w:r>
      <w:r w:rsidRPr="006E799B">
        <w:rPr>
          <w:rFonts w:ascii="Verdana" w:hAnsi="Verdana"/>
          <w:sz w:val="20"/>
        </w:rPr>
        <w:t>entidad entienda que el precio ofrecido los incluye, y luego sólo pagará el precio ofertado, pues allí se debieron incluir -es lo lógico y así debe entenderse- todos los gastos en que incurrirá el proponente</w:t>
      </w:r>
      <w:r>
        <w:rPr>
          <w:rStyle w:val="Refdenotaalpie"/>
          <w:rFonts w:ascii="Verdana" w:hAnsi="Verdana"/>
          <w:sz w:val="20"/>
        </w:rPr>
        <w:footnoteReference w:id="18"/>
      </w:r>
      <w:r w:rsidRPr="006E799B">
        <w:rPr>
          <w:rFonts w:ascii="Verdana" w:hAnsi="Verdana"/>
          <w:sz w:val="20"/>
        </w:rPr>
        <w:t>.</w:t>
      </w:r>
    </w:p>
    <w:p w14:paraId="67EEFEA9" w14:textId="77777777" w:rsidR="0039373C" w:rsidRDefault="0039373C" w:rsidP="0039373C">
      <w:pPr>
        <w:pStyle w:val="Textoindependiente"/>
        <w:spacing w:after="120" w:line="276" w:lineRule="auto"/>
        <w:ind w:left="261" w:right="49" w:firstLine="709"/>
        <w:jc w:val="both"/>
      </w:pPr>
      <w:r>
        <w:t>Así</w:t>
      </w:r>
      <w:r>
        <w:rPr>
          <w:spacing w:val="-11"/>
        </w:rPr>
        <w:t xml:space="preserve"> </w:t>
      </w:r>
      <w:r>
        <w:t>las</w:t>
      </w:r>
      <w:r>
        <w:rPr>
          <w:spacing w:val="-11"/>
        </w:rPr>
        <w:t xml:space="preserve"> </w:t>
      </w:r>
      <w:r>
        <w:t>cosas,</w:t>
      </w:r>
      <w:r>
        <w:rPr>
          <w:spacing w:val="-10"/>
        </w:rPr>
        <w:t xml:space="preserve"> </w:t>
      </w:r>
      <w:r>
        <w:t>podemos</w:t>
      </w:r>
      <w:r>
        <w:rPr>
          <w:spacing w:val="-11"/>
        </w:rPr>
        <w:t xml:space="preserve"> </w:t>
      </w:r>
      <w:r>
        <w:t>afirmar</w:t>
      </w:r>
      <w:r>
        <w:rPr>
          <w:spacing w:val="-10"/>
        </w:rPr>
        <w:t xml:space="preserve"> </w:t>
      </w:r>
      <w:r>
        <w:t>que</w:t>
      </w:r>
      <w:r>
        <w:rPr>
          <w:spacing w:val="-11"/>
        </w:rPr>
        <w:t xml:space="preserve"> </w:t>
      </w:r>
      <w:r>
        <w:t>el</w:t>
      </w:r>
      <w:r>
        <w:rPr>
          <w:spacing w:val="-12"/>
        </w:rPr>
        <w:t xml:space="preserve"> </w:t>
      </w:r>
      <w:r>
        <w:t>precio</w:t>
      </w:r>
      <w:r>
        <w:rPr>
          <w:spacing w:val="-10"/>
        </w:rPr>
        <w:t xml:space="preserve"> </w:t>
      </w:r>
      <w:r>
        <w:t>es</w:t>
      </w:r>
      <w:r>
        <w:rPr>
          <w:spacing w:val="-12"/>
        </w:rPr>
        <w:t xml:space="preserve"> </w:t>
      </w:r>
      <w:r>
        <w:t>el</w:t>
      </w:r>
      <w:r>
        <w:rPr>
          <w:spacing w:val="-12"/>
        </w:rPr>
        <w:t xml:space="preserve"> </w:t>
      </w:r>
      <w:r>
        <w:t>total</w:t>
      </w:r>
      <w:r>
        <w:rPr>
          <w:spacing w:val="-11"/>
        </w:rPr>
        <w:t xml:space="preserve"> </w:t>
      </w:r>
      <w:r>
        <w:t>del</w:t>
      </w:r>
      <w:r>
        <w:rPr>
          <w:spacing w:val="-11"/>
        </w:rPr>
        <w:t xml:space="preserve"> </w:t>
      </w:r>
      <w:r>
        <w:t>valor</w:t>
      </w:r>
      <w:r>
        <w:rPr>
          <w:spacing w:val="-11"/>
        </w:rPr>
        <w:t xml:space="preserve"> </w:t>
      </w:r>
      <w:r>
        <w:t>que</w:t>
      </w:r>
      <w:r>
        <w:rPr>
          <w:spacing w:val="-11"/>
        </w:rPr>
        <w:t xml:space="preserve"> </w:t>
      </w:r>
      <w:r>
        <w:t>paga el</w:t>
      </w:r>
      <w:r>
        <w:rPr>
          <w:spacing w:val="-17"/>
        </w:rPr>
        <w:t xml:space="preserve"> </w:t>
      </w:r>
      <w:r>
        <w:t>comprador</w:t>
      </w:r>
      <w:r>
        <w:rPr>
          <w:spacing w:val="-15"/>
        </w:rPr>
        <w:t xml:space="preserve"> </w:t>
      </w:r>
      <w:r>
        <w:t>por</w:t>
      </w:r>
      <w:r>
        <w:rPr>
          <w:spacing w:val="-17"/>
        </w:rPr>
        <w:t xml:space="preserve"> </w:t>
      </w:r>
      <w:r>
        <w:t>un</w:t>
      </w:r>
      <w:r>
        <w:rPr>
          <w:spacing w:val="-17"/>
        </w:rPr>
        <w:t xml:space="preserve"> </w:t>
      </w:r>
      <w:r>
        <w:t>bien</w:t>
      </w:r>
      <w:r>
        <w:rPr>
          <w:spacing w:val="-16"/>
        </w:rPr>
        <w:t xml:space="preserve"> </w:t>
      </w:r>
      <w:r>
        <w:t>o</w:t>
      </w:r>
      <w:r>
        <w:rPr>
          <w:spacing w:val="-17"/>
        </w:rPr>
        <w:t xml:space="preserve"> </w:t>
      </w:r>
      <w:r>
        <w:t>servicio,</w:t>
      </w:r>
      <w:r>
        <w:rPr>
          <w:spacing w:val="-14"/>
        </w:rPr>
        <w:t xml:space="preserve"> </w:t>
      </w:r>
      <w:r>
        <w:t>y</w:t>
      </w:r>
      <w:r>
        <w:rPr>
          <w:spacing w:val="-17"/>
        </w:rPr>
        <w:t xml:space="preserve"> </w:t>
      </w:r>
      <w:r>
        <w:t>eso</w:t>
      </w:r>
      <w:r>
        <w:rPr>
          <w:spacing w:val="-16"/>
        </w:rPr>
        <w:t xml:space="preserve"> </w:t>
      </w:r>
      <w:r>
        <w:t>incluye</w:t>
      </w:r>
      <w:r>
        <w:rPr>
          <w:spacing w:val="-15"/>
        </w:rPr>
        <w:t xml:space="preserve"> </w:t>
      </w:r>
      <w:r>
        <w:t>los</w:t>
      </w:r>
      <w:r>
        <w:rPr>
          <w:spacing w:val="-17"/>
        </w:rPr>
        <w:t xml:space="preserve"> </w:t>
      </w:r>
      <w:r>
        <w:t>impuestos,</w:t>
      </w:r>
      <w:r>
        <w:rPr>
          <w:spacing w:val="-14"/>
        </w:rPr>
        <w:t xml:space="preserve"> </w:t>
      </w:r>
      <w:r>
        <w:t>por</w:t>
      </w:r>
      <w:r>
        <w:rPr>
          <w:spacing w:val="-17"/>
        </w:rPr>
        <w:t xml:space="preserve"> </w:t>
      </w:r>
      <w:r>
        <w:t>una</w:t>
      </w:r>
      <w:r>
        <w:rPr>
          <w:spacing w:val="-16"/>
        </w:rPr>
        <w:t xml:space="preserve"> </w:t>
      </w:r>
      <w:r>
        <w:t>sencilla razón, ningún comprador podrá hacerse a la propiedad de una cosa o beneficiarse de</w:t>
      </w:r>
      <w:r>
        <w:rPr>
          <w:spacing w:val="-1"/>
        </w:rPr>
        <w:t xml:space="preserve"> </w:t>
      </w:r>
      <w:r>
        <w:t>un</w:t>
      </w:r>
      <w:r>
        <w:rPr>
          <w:spacing w:val="-1"/>
        </w:rPr>
        <w:t xml:space="preserve"> </w:t>
      </w:r>
      <w:r>
        <w:t>servicio sino</w:t>
      </w:r>
      <w:r>
        <w:rPr>
          <w:spacing w:val="-1"/>
        </w:rPr>
        <w:t xml:space="preserve"> </w:t>
      </w:r>
      <w:r>
        <w:t>paga</w:t>
      </w:r>
      <w:r>
        <w:rPr>
          <w:spacing w:val="-1"/>
        </w:rPr>
        <w:t xml:space="preserve"> </w:t>
      </w:r>
      <w:r>
        <w:t>la</w:t>
      </w:r>
      <w:r>
        <w:rPr>
          <w:spacing w:val="-1"/>
        </w:rPr>
        <w:t xml:space="preserve"> </w:t>
      </w:r>
      <w:r>
        <w:t>totalidad de</w:t>
      </w:r>
      <w:r>
        <w:rPr>
          <w:spacing w:val="-1"/>
        </w:rPr>
        <w:t xml:space="preserve"> </w:t>
      </w:r>
      <w:r>
        <w:t>lo</w:t>
      </w:r>
      <w:r>
        <w:rPr>
          <w:spacing w:val="-1"/>
        </w:rPr>
        <w:t xml:space="preserve"> </w:t>
      </w:r>
      <w:r>
        <w:t>que</w:t>
      </w:r>
      <w:r>
        <w:rPr>
          <w:spacing w:val="-1"/>
        </w:rPr>
        <w:t xml:space="preserve"> </w:t>
      </w:r>
      <w:r>
        <w:t>incluye el</w:t>
      </w:r>
      <w:r>
        <w:rPr>
          <w:spacing w:val="-1"/>
        </w:rPr>
        <w:t xml:space="preserve"> </w:t>
      </w:r>
      <w:r>
        <w:t>precio. En otros términos, si la venta de determinado bien o servicio está gravado con impuestos, estos se entienden incluidos en el precio, pues no se podrá tener acceso al bien si no se paga la totalidad de lo que vale.</w:t>
      </w:r>
    </w:p>
    <w:p w14:paraId="56AC884A" w14:textId="77777777" w:rsidR="0039373C" w:rsidRDefault="0039373C" w:rsidP="0039373C">
      <w:pPr>
        <w:pStyle w:val="Textoindependiente"/>
        <w:spacing w:after="120" w:line="276" w:lineRule="auto"/>
        <w:ind w:left="261" w:right="49" w:firstLine="709"/>
        <w:jc w:val="both"/>
      </w:pPr>
      <w:r>
        <w:t>Piénsese,</w:t>
      </w:r>
      <w:r>
        <w:rPr>
          <w:spacing w:val="-4"/>
        </w:rPr>
        <w:t xml:space="preserve"> </w:t>
      </w:r>
      <w:r>
        <w:t>por</w:t>
      </w:r>
      <w:r>
        <w:rPr>
          <w:spacing w:val="-6"/>
        </w:rPr>
        <w:t xml:space="preserve"> </w:t>
      </w:r>
      <w:r>
        <w:t>ejemplo,</w:t>
      </w:r>
      <w:r>
        <w:rPr>
          <w:spacing w:val="-4"/>
        </w:rPr>
        <w:t xml:space="preserve"> </w:t>
      </w:r>
      <w:r>
        <w:t>que</w:t>
      </w:r>
      <w:r>
        <w:rPr>
          <w:spacing w:val="-6"/>
        </w:rPr>
        <w:t xml:space="preserve"> </w:t>
      </w:r>
      <w:r>
        <w:t>una</w:t>
      </w:r>
      <w:r>
        <w:rPr>
          <w:spacing w:val="-6"/>
        </w:rPr>
        <w:t xml:space="preserve"> </w:t>
      </w:r>
      <w:r>
        <w:t>persona</w:t>
      </w:r>
      <w:r>
        <w:rPr>
          <w:spacing w:val="-5"/>
        </w:rPr>
        <w:t xml:space="preserve"> </w:t>
      </w:r>
      <w:r>
        <w:t>quiere</w:t>
      </w:r>
      <w:r>
        <w:rPr>
          <w:spacing w:val="-5"/>
        </w:rPr>
        <w:t xml:space="preserve"> </w:t>
      </w:r>
      <w:r>
        <w:t>comprar</w:t>
      </w:r>
      <w:r>
        <w:rPr>
          <w:spacing w:val="-5"/>
        </w:rPr>
        <w:t xml:space="preserve"> </w:t>
      </w:r>
      <w:r>
        <w:t>una</w:t>
      </w:r>
      <w:r>
        <w:rPr>
          <w:spacing w:val="-6"/>
        </w:rPr>
        <w:t xml:space="preserve"> </w:t>
      </w:r>
      <w:r>
        <w:t>camisa</w:t>
      </w:r>
      <w:r>
        <w:rPr>
          <w:spacing w:val="-5"/>
        </w:rPr>
        <w:t xml:space="preserve"> </w:t>
      </w:r>
      <w:r>
        <w:t>cuyo precio es de 100 mil pesos más IVA, ello quiere decir que el precio real de la camisa no es 100 mil pesos, sino 119 mil pesos, pues el comprador tendrá que sufragar la</w:t>
      </w:r>
      <w:r>
        <w:rPr>
          <w:spacing w:val="-2"/>
        </w:rPr>
        <w:t xml:space="preserve"> </w:t>
      </w:r>
      <w:r>
        <w:t>totalidad</w:t>
      </w:r>
      <w:r>
        <w:rPr>
          <w:spacing w:val="-1"/>
        </w:rPr>
        <w:t xml:space="preserve"> </w:t>
      </w:r>
      <w:r>
        <w:t>de</w:t>
      </w:r>
      <w:r>
        <w:rPr>
          <w:spacing w:val="-2"/>
        </w:rPr>
        <w:t xml:space="preserve"> </w:t>
      </w:r>
      <w:r>
        <w:t>ese</w:t>
      </w:r>
      <w:r>
        <w:rPr>
          <w:spacing w:val="-2"/>
        </w:rPr>
        <w:t xml:space="preserve"> </w:t>
      </w:r>
      <w:r>
        <w:t>monto</w:t>
      </w:r>
      <w:r>
        <w:rPr>
          <w:spacing w:val="-1"/>
        </w:rPr>
        <w:t xml:space="preserve"> </w:t>
      </w:r>
      <w:r>
        <w:t>‒</w:t>
      </w:r>
      <w:r>
        <w:rPr>
          <w:spacing w:val="-3"/>
        </w:rPr>
        <w:t xml:space="preserve"> </w:t>
      </w:r>
      <w:r>
        <w:t>que</w:t>
      </w:r>
      <w:r>
        <w:rPr>
          <w:spacing w:val="-2"/>
        </w:rPr>
        <w:t xml:space="preserve"> </w:t>
      </w:r>
      <w:r>
        <w:t>incluye el</w:t>
      </w:r>
      <w:r>
        <w:rPr>
          <w:spacing w:val="-2"/>
        </w:rPr>
        <w:t xml:space="preserve"> </w:t>
      </w:r>
      <w:r>
        <w:t>IVA</w:t>
      </w:r>
      <w:r>
        <w:rPr>
          <w:spacing w:val="-2"/>
        </w:rPr>
        <w:t xml:space="preserve"> </w:t>
      </w:r>
      <w:r>
        <w:t>‒</w:t>
      </w:r>
      <w:r>
        <w:rPr>
          <w:spacing w:val="-3"/>
        </w:rPr>
        <w:t xml:space="preserve"> </w:t>
      </w:r>
      <w:r>
        <w:t>para</w:t>
      </w:r>
      <w:r>
        <w:rPr>
          <w:spacing w:val="-2"/>
        </w:rPr>
        <w:t xml:space="preserve"> </w:t>
      </w:r>
      <w:r>
        <w:t>poder</w:t>
      </w:r>
      <w:r>
        <w:rPr>
          <w:spacing w:val="-1"/>
        </w:rPr>
        <w:t xml:space="preserve"> </w:t>
      </w:r>
      <w:r>
        <w:t>adquirirla, de lo contrario no podrá hacerlo.</w:t>
      </w:r>
    </w:p>
    <w:p w14:paraId="33F55221" w14:textId="77777777" w:rsidR="0039373C" w:rsidRDefault="0039373C" w:rsidP="0039373C">
      <w:pPr>
        <w:pStyle w:val="Textoindependiente"/>
        <w:spacing w:after="120" w:line="276" w:lineRule="auto"/>
        <w:ind w:left="261" w:right="49" w:firstLine="709"/>
        <w:jc w:val="both"/>
      </w:pPr>
      <w:r>
        <w:t>Teniendo en cuenta que el IVA hace parte del precio, se hace necesario observar</w:t>
      </w:r>
      <w:r>
        <w:rPr>
          <w:spacing w:val="-5"/>
        </w:rPr>
        <w:t xml:space="preserve"> </w:t>
      </w:r>
      <w:r>
        <w:t>el</w:t>
      </w:r>
      <w:r>
        <w:rPr>
          <w:spacing w:val="-7"/>
        </w:rPr>
        <w:t xml:space="preserve"> </w:t>
      </w:r>
      <w:r>
        <w:t>principio</w:t>
      </w:r>
      <w:r>
        <w:rPr>
          <w:spacing w:val="-4"/>
        </w:rPr>
        <w:t xml:space="preserve"> </w:t>
      </w:r>
      <w:r>
        <w:t>de</w:t>
      </w:r>
      <w:r>
        <w:rPr>
          <w:spacing w:val="-7"/>
        </w:rPr>
        <w:t xml:space="preserve"> </w:t>
      </w:r>
      <w:r>
        <w:t>selección</w:t>
      </w:r>
      <w:r>
        <w:rPr>
          <w:spacing w:val="-4"/>
        </w:rPr>
        <w:t xml:space="preserve"> </w:t>
      </w:r>
      <w:r>
        <w:t>objetiva</w:t>
      </w:r>
      <w:r>
        <w:rPr>
          <w:spacing w:val="-5"/>
        </w:rPr>
        <w:t xml:space="preserve"> </w:t>
      </w:r>
      <w:r>
        <w:t>y</w:t>
      </w:r>
      <w:r>
        <w:rPr>
          <w:spacing w:val="-7"/>
        </w:rPr>
        <w:t xml:space="preserve"> </w:t>
      </w:r>
      <w:r>
        <w:t>de</w:t>
      </w:r>
      <w:r>
        <w:rPr>
          <w:spacing w:val="-7"/>
        </w:rPr>
        <w:t xml:space="preserve"> </w:t>
      </w:r>
      <w:r>
        <w:t>la</w:t>
      </w:r>
      <w:r>
        <w:rPr>
          <w:spacing w:val="-7"/>
        </w:rPr>
        <w:t xml:space="preserve"> </w:t>
      </w:r>
      <w:r>
        <w:t>igualdad</w:t>
      </w:r>
      <w:r>
        <w:rPr>
          <w:spacing w:val="-5"/>
        </w:rPr>
        <w:t xml:space="preserve"> </w:t>
      </w:r>
      <w:r>
        <w:t>en</w:t>
      </w:r>
      <w:r>
        <w:rPr>
          <w:spacing w:val="-7"/>
        </w:rPr>
        <w:t xml:space="preserve"> </w:t>
      </w:r>
      <w:r>
        <w:t>el</w:t>
      </w:r>
      <w:r>
        <w:rPr>
          <w:spacing w:val="-7"/>
        </w:rPr>
        <w:t xml:space="preserve"> </w:t>
      </w:r>
      <w:r>
        <w:t>sentido</w:t>
      </w:r>
      <w:r>
        <w:rPr>
          <w:spacing w:val="-5"/>
        </w:rPr>
        <w:t xml:space="preserve"> </w:t>
      </w:r>
      <w:r>
        <w:t>si</w:t>
      </w:r>
      <w:r>
        <w:rPr>
          <w:spacing w:val="-7"/>
        </w:rPr>
        <w:t xml:space="preserve"> </w:t>
      </w:r>
      <w:r>
        <w:t>estos van acordes con concepto del precio explicado o desde este énfasis la oferta económica se debe analizar excluyendo el IVA del precio. A continuación, profundizaremos sobre estos principios:</w:t>
      </w:r>
    </w:p>
    <w:p w14:paraId="655C8E42" w14:textId="77777777" w:rsidR="0039373C" w:rsidRDefault="0039373C" w:rsidP="0039373C">
      <w:pPr>
        <w:pStyle w:val="Textoindependiente"/>
        <w:spacing w:after="120" w:line="276" w:lineRule="auto"/>
        <w:ind w:left="261" w:right="49" w:firstLine="709"/>
        <w:jc w:val="both"/>
      </w:pPr>
      <w:r>
        <w:t>El</w:t>
      </w:r>
      <w:r>
        <w:rPr>
          <w:spacing w:val="-20"/>
        </w:rPr>
        <w:t xml:space="preserve"> </w:t>
      </w:r>
      <w:r>
        <w:t>principio</w:t>
      </w:r>
      <w:r>
        <w:rPr>
          <w:spacing w:val="-19"/>
        </w:rPr>
        <w:t xml:space="preserve"> </w:t>
      </w:r>
      <w:r>
        <w:t>de</w:t>
      </w:r>
      <w:r>
        <w:rPr>
          <w:spacing w:val="-19"/>
        </w:rPr>
        <w:t xml:space="preserve"> </w:t>
      </w:r>
      <w:r>
        <w:t>selección</w:t>
      </w:r>
      <w:r>
        <w:rPr>
          <w:spacing w:val="-17"/>
        </w:rPr>
        <w:t xml:space="preserve"> </w:t>
      </w:r>
      <w:r>
        <w:t>objetiva</w:t>
      </w:r>
      <w:r>
        <w:rPr>
          <w:spacing w:val="-18"/>
        </w:rPr>
        <w:t xml:space="preserve"> </w:t>
      </w:r>
      <w:r>
        <w:t>se</w:t>
      </w:r>
      <w:r>
        <w:rPr>
          <w:spacing w:val="-20"/>
        </w:rPr>
        <w:t xml:space="preserve"> </w:t>
      </w:r>
      <w:r>
        <w:t>encontraba</w:t>
      </w:r>
      <w:r>
        <w:rPr>
          <w:spacing w:val="-17"/>
        </w:rPr>
        <w:t xml:space="preserve"> </w:t>
      </w:r>
      <w:r>
        <w:t>regulado,</w:t>
      </w:r>
      <w:r>
        <w:rPr>
          <w:spacing w:val="-18"/>
        </w:rPr>
        <w:t xml:space="preserve"> </w:t>
      </w:r>
      <w:r>
        <w:t>en</w:t>
      </w:r>
      <w:r>
        <w:rPr>
          <w:spacing w:val="-20"/>
        </w:rPr>
        <w:t xml:space="preserve"> </w:t>
      </w:r>
      <w:r>
        <w:t>un</w:t>
      </w:r>
      <w:r>
        <w:rPr>
          <w:spacing w:val="-19"/>
        </w:rPr>
        <w:t xml:space="preserve"> </w:t>
      </w:r>
      <w:r>
        <w:t>primer</w:t>
      </w:r>
      <w:r>
        <w:rPr>
          <w:spacing w:val="-18"/>
        </w:rPr>
        <w:t xml:space="preserve"> </w:t>
      </w:r>
      <w:r>
        <w:t>momento, en el artículo 29 de la Ley 80 de 1993, el cual fue derogado y sustituido por el artículo 5 de la Ley 1150 de 2007, cuyo texto es el siguiente:</w:t>
      </w:r>
    </w:p>
    <w:p w14:paraId="0042E6CD" w14:textId="77777777" w:rsidR="00DE0C68" w:rsidRDefault="00DE0C68" w:rsidP="00DE0C68">
      <w:pPr>
        <w:tabs>
          <w:tab w:val="left" w:pos="8222"/>
        </w:tabs>
        <w:ind w:left="970" w:right="616"/>
        <w:jc w:val="both"/>
        <w:rPr>
          <w:rFonts w:ascii="Verdana" w:hAnsi="Verdana"/>
          <w:sz w:val="20"/>
        </w:rPr>
      </w:pPr>
      <w:r w:rsidRPr="006E799B">
        <w:rPr>
          <w:rFonts w:ascii="Verdana" w:hAnsi="Verdana"/>
          <w:sz w:val="20"/>
        </w:rPr>
        <w:t>Artículo 5°.</w:t>
      </w:r>
      <w:r w:rsidRPr="006E799B">
        <w:rPr>
          <w:rFonts w:ascii="Verdana" w:hAnsi="Verdana"/>
          <w:spacing w:val="-3"/>
          <w:sz w:val="20"/>
        </w:rPr>
        <w:t xml:space="preserve"> </w:t>
      </w:r>
      <w:r w:rsidRPr="006E799B">
        <w:rPr>
          <w:rFonts w:ascii="Verdana" w:hAnsi="Verdana"/>
          <w:sz w:val="20"/>
        </w:rPr>
        <w:t>De la selección objetiva.</w:t>
      </w:r>
      <w:r w:rsidRPr="006E799B">
        <w:rPr>
          <w:rFonts w:ascii="Verdana" w:hAnsi="Verdana"/>
          <w:spacing w:val="-2"/>
          <w:sz w:val="20"/>
        </w:rPr>
        <w:t xml:space="preserve"> </w:t>
      </w:r>
      <w:r w:rsidRPr="006E799B">
        <w:rPr>
          <w:rFonts w:ascii="Verdana" w:hAnsi="Verdana"/>
          <w:sz w:val="20"/>
        </w:rPr>
        <w:t>Es objetiva la selección en la cual la escogencia</w:t>
      </w:r>
      <w:r w:rsidRPr="006E799B">
        <w:rPr>
          <w:rFonts w:ascii="Verdana" w:hAnsi="Verdana"/>
          <w:spacing w:val="-11"/>
          <w:sz w:val="20"/>
        </w:rPr>
        <w:t xml:space="preserve"> </w:t>
      </w:r>
      <w:r w:rsidRPr="006E799B">
        <w:rPr>
          <w:rFonts w:ascii="Verdana" w:hAnsi="Verdana"/>
          <w:sz w:val="20"/>
        </w:rPr>
        <w:t>se</w:t>
      </w:r>
      <w:r w:rsidRPr="006E799B">
        <w:rPr>
          <w:rFonts w:ascii="Verdana" w:hAnsi="Verdana"/>
          <w:spacing w:val="-13"/>
          <w:sz w:val="20"/>
        </w:rPr>
        <w:t xml:space="preserve"> </w:t>
      </w:r>
      <w:r w:rsidRPr="006E799B">
        <w:rPr>
          <w:rFonts w:ascii="Verdana" w:hAnsi="Verdana"/>
          <w:sz w:val="20"/>
        </w:rPr>
        <w:t>haga</w:t>
      </w:r>
      <w:r w:rsidRPr="006E799B">
        <w:rPr>
          <w:rFonts w:ascii="Verdana" w:hAnsi="Verdana"/>
          <w:spacing w:val="-13"/>
          <w:sz w:val="20"/>
        </w:rPr>
        <w:t xml:space="preserve"> </w:t>
      </w:r>
      <w:r w:rsidRPr="006E799B">
        <w:rPr>
          <w:rFonts w:ascii="Verdana" w:hAnsi="Verdana"/>
          <w:sz w:val="20"/>
        </w:rPr>
        <w:t>al</w:t>
      </w:r>
      <w:r w:rsidRPr="006E799B">
        <w:rPr>
          <w:rFonts w:ascii="Verdana" w:hAnsi="Verdana"/>
          <w:spacing w:val="-14"/>
          <w:sz w:val="20"/>
        </w:rPr>
        <w:t xml:space="preserve"> </w:t>
      </w:r>
      <w:r w:rsidRPr="006E799B">
        <w:rPr>
          <w:rFonts w:ascii="Verdana" w:hAnsi="Verdana"/>
          <w:sz w:val="20"/>
        </w:rPr>
        <w:t>ofrecimiento</w:t>
      </w:r>
      <w:r w:rsidRPr="006E799B">
        <w:rPr>
          <w:rFonts w:ascii="Verdana" w:hAnsi="Verdana"/>
          <w:spacing w:val="-10"/>
          <w:sz w:val="20"/>
        </w:rPr>
        <w:t xml:space="preserve"> </w:t>
      </w:r>
      <w:r w:rsidRPr="006E799B">
        <w:rPr>
          <w:rFonts w:ascii="Verdana" w:hAnsi="Verdana"/>
          <w:sz w:val="20"/>
        </w:rPr>
        <w:t>más</w:t>
      </w:r>
      <w:r w:rsidRPr="006E799B">
        <w:rPr>
          <w:rFonts w:ascii="Verdana" w:hAnsi="Verdana"/>
          <w:spacing w:val="-13"/>
          <w:sz w:val="20"/>
        </w:rPr>
        <w:t xml:space="preserve"> </w:t>
      </w:r>
      <w:r w:rsidRPr="006E799B">
        <w:rPr>
          <w:rFonts w:ascii="Verdana" w:hAnsi="Verdana"/>
          <w:sz w:val="20"/>
        </w:rPr>
        <w:t>favorable</w:t>
      </w:r>
      <w:r w:rsidRPr="006E799B">
        <w:rPr>
          <w:rFonts w:ascii="Verdana" w:hAnsi="Verdana"/>
          <w:spacing w:val="-11"/>
          <w:sz w:val="20"/>
        </w:rPr>
        <w:t xml:space="preserve"> </w:t>
      </w:r>
      <w:r w:rsidRPr="006E799B">
        <w:rPr>
          <w:rFonts w:ascii="Verdana" w:hAnsi="Verdana"/>
          <w:sz w:val="20"/>
        </w:rPr>
        <w:t>a</w:t>
      </w:r>
      <w:r w:rsidRPr="006E799B">
        <w:rPr>
          <w:rFonts w:ascii="Verdana" w:hAnsi="Verdana"/>
          <w:spacing w:val="-14"/>
          <w:sz w:val="20"/>
        </w:rPr>
        <w:t xml:space="preserve"> </w:t>
      </w:r>
      <w:r w:rsidRPr="006E799B">
        <w:rPr>
          <w:rFonts w:ascii="Verdana" w:hAnsi="Verdana"/>
          <w:sz w:val="20"/>
        </w:rPr>
        <w:t>la</w:t>
      </w:r>
      <w:r w:rsidRPr="006E799B">
        <w:rPr>
          <w:rFonts w:ascii="Verdana" w:hAnsi="Verdana"/>
          <w:spacing w:val="-14"/>
          <w:sz w:val="20"/>
        </w:rPr>
        <w:t xml:space="preserve"> </w:t>
      </w:r>
      <w:r w:rsidRPr="006E799B">
        <w:rPr>
          <w:rFonts w:ascii="Verdana" w:hAnsi="Verdana"/>
          <w:sz w:val="20"/>
        </w:rPr>
        <w:t>entidad</w:t>
      </w:r>
      <w:r w:rsidRPr="006E799B">
        <w:rPr>
          <w:rFonts w:ascii="Verdana" w:hAnsi="Verdana"/>
          <w:spacing w:val="-12"/>
          <w:sz w:val="20"/>
        </w:rPr>
        <w:t xml:space="preserve"> </w:t>
      </w:r>
      <w:r w:rsidRPr="006E799B">
        <w:rPr>
          <w:rFonts w:ascii="Verdana" w:hAnsi="Verdana"/>
          <w:sz w:val="20"/>
        </w:rPr>
        <w:t>y</w:t>
      </w:r>
      <w:r w:rsidRPr="006E799B">
        <w:rPr>
          <w:rFonts w:ascii="Verdana" w:hAnsi="Verdana"/>
          <w:spacing w:val="-14"/>
          <w:sz w:val="20"/>
        </w:rPr>
        <w:t xml:space="preserve"> </w:t>
      </w:r>
      <w:r w:rsidRPr="006E799B">
        <w:rPr>
          <w:rFonts w:ascii="Verdana" w:hAnsi="Verdana"/>
          <w:sz w:val="20"/>
        </w:rPr>
        <w:t>a</w:t>
      </w:r>
      <w:r w:rsidRPr="006E799B">
        <w:rPr>
          <w:rFonts w:ascii="Verdana" w:hAnsi="Verdana"/>
          <w:spacing w:val="-14"/>
          <w:sz w:val="20"/>
        </w:rPr>
        <w:t xml:space="preserve"> </w:t>
      </w:r>
      <w:r w:rsidRPr="006E799B">
        <w:rPr>
          <w:rFonts w:ascii="Verdana" w:hAnsi="Verdana"/>
          <w:sz w:val="20"/>
        </w:rPr>
        <w:t>los</w:t>
      </w:r>
      <w:r w:rsidRPr="006E799B">
        <w:rPr>
          <w:rFonts w:ascii="Verdana" w:hAnsi="Verdana"/>
          <w:spacing w:val="-13"/>
          <w:sz w:val="20"/>
        </w:rPr>
        <w:t xml:space="preserve"> </w:t>
      </w:r>
      <w:r w:rsidRPr="006E799B">
        <w:rPr>
          <w:rFonts w:ascii="Verdana" w:hAnsi="Verdana"/>
          <w:sz w:val="20"/>
        </w:rPr>
        <w:t>fines que ella busca, sin tener en consideración factores de afecto o de interés y, en general, cualquier clase de motivación subjetiva. En consecuencia, los</w:t>
      </w:r>
      <w:r w:rsidRPr="006E799B">
        <w:rPr>
          <w:rFonts w:ascii="Verdana" w:hAnsi="Verdana"/>
          <w:spacing w:val="-1"/>
          <w:sz w:val="20"/>
        </w:rPr>
        <w:t xml:space="preserve"> </w:t>
      </w:r>
      <w:r w:rsidRPr="006E799B">
        <w:rPr>
          <w:rFonts w:ascii="Verdana" w:hAnsi="Verdana"/>
          <w:sz w:val="20"/>
        </w:rPr>
        <w:t>factores</w:t>
      </w:r>
      <w:r w:rsidRPr="006E799B">
        <w:rPr>
          <w:rFonts w:ascii="Verdana" w:hAnsi="Verdana"/>
          <w:spacing w:val="-1"/>
          <w:sz w:val="20"/>
        </w:rPr>
        <w:t xml:space="preserve"> </w:t>
      </w:r>
      <w:r w:rsidRPr="006E799B">
        <w:rPr>
          <w:rFonts w:ascii="Verdana" w:hAnsi="Verdana"/>
          <w:sz w:val="20"/>
        </w:rPr>
        <w:t>de</w:t>
      </w:r>
      <w:r w:rsidRPr="006E799B">
        <w:rPr>
          <w:rFonts w:ascii="Verdana" w:hAnsi="Verdana"/>
          <w:spacing w:val="-1"/>
          <w:sz w:val="20"/>
        </w:rPr>
        <w:t xml:space="preserve"> </w:t>
      </w:r>
      <w:r w:rsidRPr="006E799B">
        <w:rPr>
          <w:rFonts w:ascii="Verdana" w:hAnsi="Verdana"/>
          <w:sz w:val="20"/>
        </w:rPr>
        <w:t>escogencia y</w:t>
      </w:r>
      <w:r w:rsidRPr="006E799B">
        <w:rPr>
          <w:rFonts w:ascii="Verdana" w:hAnsi="Verdana"/>
          <w:spacing w:val="-2"/>
          <w:sz w:val="20"/>
        </w:rPr>
        <w:t xml:space="preserve"> </w:t>
      </w:r>
      <w:r w:rsidRPr="006E799B">
        <w:rPr>
          <w:rFonts w:ascii="Verdana" w:hAnsi="Verdana"/>
          <w:sz w:val="20"/>
        </w:rPr>
        <w:t>calificación que</w:t>
      </w:r>
      <w:r w:rsidRPr="006E799B">
        <w:rPr>
          <w:rFonts w:ascii="Verdana" w:hAnsi="Verdana"/>
          <w:spacing w:val="-1"/>
          <w:sz w:val="20"/>
        </w:rPr>
        <w:t xml:space="preserve"> </w:t>
      </w:r>
      <w:r w:rsidRPr="006E799B">
        <w:rPr>
          <w:rFonts w:ascii="Verdana" w:hAnsi="Verdana"/>
          <w:sz w:val="20"/>
        </w:rPr>
        <w:t>establezcan las</w:t>
      </w:r>
      <w:r w:rsidRPr="006E799B">
        <w:rPr>
          <w:rFonts w:ascii="Verdana" w:hAnsi="Verdana"/>
          <w:spacing w:val="-1"/>
          <w:sz w:val="20"/>
        </w:rPr>
        <w:t xml:space="preserve"> </w:t>
      </w:r>
      <w:r w:rsidRPr="006E799B">
        <w:rPr>
          <w:rFonts w:ascii="Verdana" w:hAnsi="Verdana"/>
          <w:sz w:val="20"/>
        </w:rPr>
        <w:t xml:space="preserve">entidades en los pliegos de condiciones o sus </w:t>
      </w:r>
      <w:proofErr w:type="gramStart"/>
      <w:r w:rsidRPr="006E799B">
        <w:rPr>
          <w:rFonts w:ascii="Verdana" w:hAnsi="Verdana"/>
          <w:sz w:val="20"/>
        </w:rPr>
        <w:t>equivalentes,</w:t>
      </w:r>
      <w:proofErr w:type="gramEnd"/>
      <w:r w:rsidRPr="006E799B">
        <w:rPr>
          <w:rFonts w:ascii="Verdana" w:hAnsi="Verdana"/>
          <w:sz w:val="20"/>
        </w:rPr>
        <w:t xml:space="preserve"> tendrán en cuenta los siguientes criterios […] 2.</w:t>
      </w:r>
      <w:r w:rsidRPr="006E799B">
        <w:rPr>
          <w:rFonts w:ascii="Verdana" w:hAnsi="Verdana"/>
          <w:spacing w:val="-3"/>
          <w:sz w:val="20"/>
        </w:rPr>
        <w:t xml:space="preserve"> </w:t>
      </w:r>
      <w:r w:rsidRPr="006E799B">
        <w:rPr>
          <w:rFonts w:ascii="Verdana" w:hAnsi="Verdana"/>
          <w:sz w:val="20"/>
        </w:rPr>
        <w:t>La oferta más favorable será aquella que, teniendo en</w:t>
      </w:r>
      <w:r w:rsidRPr="006E799B">
        <w:rPr>
          <w:rFonts w:ascii="Verdana" w:hAnsi="Verdana"/>
          <w:spacing w:val="-2"/>
          <w:sz w:val="20"/>
        </w:rPr>
        <w:t xml:space="preserve"> </w:t>
      </w:r>
      <w:r w:rsidRPr="006E799B">
        <w:rPr>
          <w:rFonts w:ascii="Verdana" w:hAnsi="Verdana"/>
          <w:sz w:val="20"/>
        </w:rPr>
        <w:t>cuenta</w:t>
      </w:r>
      <w:r w:rsidRPr="006E799B">
        <w:rPr>
          <w:rFonts w:ascii="Verdana" w:hAnsi="Verdana"/>
          <w:spacing w:val="-1"/>
          <w:sz w:val="20"/>
        </w:rPr>
        <w:t xml:space="preserve"> </w:t>
      </w:r>
      <w:r w:rsidRPr="006E799B">
        <w:rPr>
          <w:rFonts w:ascii="Verdana" w:hAnsi="Verdana"/>
          <w:sz w:val="20"/>
        </w:rPr>
        <w:t>los</w:t>
      </w:r>
      <w:r w:rsidRPr="006E799B">
        <w:rPr>
          <w:rFonts w:ascii="Verdana" w:hAnsi="Verdana"/>
          <w:spacing w:val="-2"/>
          <w:sz w:val="20"/>
        </w:rPr>
        <w:t xml:space="preserve"> </w:t>
      </w:r>
      <w:r w:rsidRPr="006E799B">
        <w:rPr>
          <w:rFonts w:ascii="Verdana" w:hAnsi="Verdana"/>
          <w:sz w:val="20"/>
        </w:rPr>
        <w:t>factores técnicos y</w:t>
      </w:r>
      <w:r w:rsidRPr="006E799B">
        <w:rPr>
          <w:rFonts w:ascii="Verdana" w:hAnsi="Verdana"/>
          <w:spacing w:val="-2"/>
          <w:sz w:val="20"/>
        </w:rPr>
        <w:t xml:space="preserve"> </w:t>
      </w:r>
      <w:r w:rsidRPr="006E799B">
        <w:rPr>
          <w:rFonts w:ascii="Verdana" w:hAnsi="Verdana"/>
          <w:sz w:val="20"/>
        </w:rPr>
        <w:t>económicos de</w:t>
      </w:r>
      <w:r w:rsidRPr="006E799B">
        <w:rPr>
          <w:rFonts w:ascii="Verdana" w:hAnsi="Verdana"/>
          <w:spacing w:val="-2"/>
          <w:sz w:val="20"/>
        </w:rPr>
        <w:t xml:space="preserve"> </w:t>
      </w:r>
      <w:r w:rsidRPr="006E799B">
        <w:rPr>
          <w:rFonts w:ascii="Verdana" w:hAnsi="Verdana"/>
          <w:sz w:val="20"/>
        </w:rPr>
        <w:t>escogencia y</w:t>
      </w:r>
      <w:r w:rsidRPr="006E799B">
        <w:rPr>
          <w:rFonts w:ascii="Verdana" w:hAnsi="Verdana"/>
          <w:spacing w:val="-2"/>
          <w:sz w:val="20"/>
        </w:rPr>
        <w:t xml:space="preserve"> </w:t>
      </w:r>
      <w:r w:rsidRPr="006E799B">
        <w:rPr>
          <w:rFonts w:ascii="Verdana" w:hAnsi="Verdana"/>
          <w:sz w:val="20"/>
        </w:rPr>
        <w:t>la ponderación</w:t>
      </w:r>
      <w:r w:rsidRPr="006E799B">
        <w:rPr>
          <w:rFonts w:ascii="Verdana" w:hAnsi="Verdana"/>
          <w:spacing w:val="-9"/>
          <w:sz w:val="20"/>
        </w:rPr>
        <w:t xml:space="preserve"> </w:t>
      </w:r>
      <w:r w:rsidRPr="006E799B">
        <w:rPr>
          <w:rFonts w:ascii="Verdana" w:hAnsi="Verdana"/>
          <w:sz w:val="20"/>
        </w:rPr>
        <w:t>precisa</w:t>
      </w:r>
      <w:r w:rsidRPr="006E799B">
        <w:rPr>
          <w:rFonts w:ascii="Verdana" w:hAnsi="Verdana"/>
          <w:spacing w:val="-11"/>
          <w:sz w:val="20"/>
        </w:rPr>
        <w:t xml:space="preserve"> </w:t>
      </w:r>
      <w:r w:rsidRPr="006E799B">
        <w:rPr>
          <w:rFonts w:ascii="Verdana" w:hAnsi="Verdana"/>
          <w:sz w:val="20"/>
        </w:rPr>
        <w:t>y</w:t>
      </w:r>
      <w:r w:rsidRPr="006E799B">
        <w:rPr>
          <w:rFonts w:ascii="Verdana" w:hAnsi="Verdana"/>
          <w:spacing w:val="-12"/>
          <w:sz w:val="20"/>
        </w:rPr>
        <w:t xml:space="preserve"> </w:t>
      </w:r>
      <w:r w:rsidRPr="006E799B">
        <w:rPr>
          <w:rFonts w:ascii="Verdana" w:hAnsi="Verdana"/>
          <w:sz w:val="20"/>
        </w:rPr>
        <w:t>detallada</w:t>
      </w:r>
      <w:r w:rsidRPr="006E799B">
        <w:rPr>
          <w:rFonts w:ascii="Verdana" w:hAnsi="Verdana"/>
          <w:spacing w:val="-10"/>
          <w:sz w:val="20"/>
        </w:rPr>
        <w:t xml:space="preserve"> </w:t>
      </w:r>
      <w:r w:rsidRPr="006E799B">
        <w:rPr>
          <w:rFonts w:ascii="Verdana" w:hAnsi="Verdana"/>
          <w:sz w:val="20"/>
        </w:rPr>
        <w:t>de</w:t>
      </w:r>
      <w:r w:rsidRPr="006E799B">
        <w:rPr>
          <w:rFonts w:ascii="Verdana" w:hAnsi="Verdana"/>
          <w:spacing w:val="-12"/>
          <w:sz w:val="20"/>
        </w:rPr>
        <w:t xml:space="preserve"> </w:t>
      </w:r>
      <w:r w:rsidRPr="006E799B">
        <w:rPr>
          <w:rFonts w:ascii="Verdana" w:hAnsi="Verdana"/>
          <w:sz w:val="20"/>
        </w:rPr>
        <w:t>los</w:t>
      </w:r>
      <w:r w:rsidRPr="006E799B">
        <w:rPr>
          <w:rFonts w:ascii="Verdana" w:hAnsi="Verdana"/>
          <w:spacing w:val="-12"/>
          <w:sz w:val="20"/>
        </w:rPr>
        <w:t xml:space="preserve"> </w:t>
      </w:r>
      <w:r w:rsidRPr="006E799B">
        <w:rPr>
          <w:rFonts w:ascii="Verdana" w:hAnsi="Verdana"/>
          <w:sz w:val="20"/>
        </w:rPr>
        <w:t>mismos</w:t>
      </w:r>
      <w:r w:rsidRPr="006E799B">
        <w:rPr>
          <w:rFonts w:ascii="Verdana" w:hAnsi="Verdana"/>
          <w:spacing w:val="-11"/>
          <w:sz w:val="20"/>
        </w:rPr>
        <w:t xml:space="preserve"> </w:t>
      </w:r>
      <w:r w:rsidRPr="006E799B">
        <w:rPr>
          <w:rFonts w:ascii="Verdana" w:hAnsi="Verdana"/>
          <w:sz w:val="20"/>
        </w:rPr>
        <w:t>contenida</w:t>
      </w:r>
      <w:r w:rsidRPr="006E799B">
        <w:rPr>
          <w:rFonts w:ascii="Verdana" w:hAnsi="Verdana"/>
          <w:spacing w:val="-10"/>
          <w:sz w:val="20"/>
        </w:rPr>
        <w:t xml:space="preserve"> </w:t>
      </w:r>
      <w:r w:rsidRPr="006E799B">
        <w:rPr>
          <w:rFonts w:ascii="Verdana" w:hAnsi="Verdana"/>
          <w:sz w:val="20"/>
        </w:rPr>
        <w:t>en</w:t>
      </w:r>
      <w:r w:rsidRPr="006E799B">
        <w:rPr>
          <w:rFonts w:ascii="Verdana" w:hAnsi="Verdana"/>
          <w:spacing w:val="-12"/>
          <w:sz w:val="20"/>
        </w:rPr>
        <w:t xml:space="preserve"> </w:t>
      </w:r>
      <w:r w:rsidRPr="006E799B">
        <w:rPr>
          <w:rFonts w:ascii="Verdana" w:hAnsi="Verdana"/>
          <w:sz w:val="20"/>
        </w:rPr>
        <w:t>los</w:t>
      </w:r>
      <w:r w:rsidRPr="006E799B">
        <w:rPr>
          <w:rFonts w:ascii="Verdana" w:hAnsi="Verdana"/>
          <w:spacing w:val="-12"/>
          <w:sz w:val="20"/>
        </w:rPr>
        <w:t xml:space="preserve"> </w:t>
      </w:r>
      <w:r w:rsidRPr="006E799B">
        <w:rPr>
          <w:rFonts w:ascii="Verdana" w:hAnsi="Verdana"/>
          <w:sz w:val="20"/>
        </w:rPr>
        <w:t>pliegos</w:t>
      </w:r>
      <w:r w:rsidRPr="006E799B">
        <w:rPr>
          <w:rFonts w:ascii="Verdana" w:hAnsi="Verdana"/>
          <w:spacing w:val="-11"/>
          <w:sz w:val="20"/>
        </w:rPr>
        <w:t xml:space="preserve"> </w:t>
      </w:r>
      <w:r w:rsidRPr="006E799B">
        <w:rPr>
          <w:rFonts w:ascii="Verdana" w:hAnsi="Verdana"/>
          <w:sz w:val="20"/>
        </w:rPr>
        <w:t>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w:t>
      </w:r>
      <w:r w:rsidRPr="006E799B">
        <w:rPr>
          <w:rFonts w:ascii="Verdana" w:hAnsi="Verdana"/>
          <w:spacing w:val="-10"/>
          <w:sz w:val="20"/>
        </w:rPr>
        <w:t xml:space="preserve"> </w:t>
      </w:r>
      <w:r w:rsidRPr="006E799B">
        <w:rPr>
          <w:rFonts w:ascii="Verdana" w:hAnsi="Verdana"/>
          <w:sz w:val="20"/>
        </w:rPr>
        <w:t>y</w:t>
      </w:r>
      <w:r w:rsidRPr="006E799B">
        <w:rPr>
          <w:rFonts w:ascii="Verdana" w:hAnsi="Verdana"/>
          <w:spacing w:val="-12"/>
          <w:sz w:val="20"/>
        </w:rPr>
        <w:t xml:space="preserve"> </w:t>
      </w:r>
      <w:r w:rsidRPr="006E799B">
        <w:rPr>
          <w:rFonts w:ascii="Verdana" w:hAnsi="Verdana"/>
          <w:sz w:val="20"/>
        </w:rPr>
        <w:t>la</w:t>
      </w:r>
      <w:r w:rsidRPr="006E799B">
        <w:rPr>
          <w:rFonts w:ascii="Verdana" w:hAnsi="Verdana"/>
          <w:spacing w:val="-11"/>
          <w:sz w:val="20"/>
        </w:rPr>
        <w:t xml:space="preserve"> </w:t>
      </w:r>
      <w:r w:rsidRPr="006E799B">
        <w:rPr>
          <w:rFonts w:ascii="Verdana" w:hAnsi="Verdana"/>
          <w:sz w:val="20"/>
        </w:rPr>
        <w:t>consulta</w:t>
      </w:r>
      <w:r w:rsidRPr="006E799B">
        <w:rPr>
          <w:rFonts w:ascii="Verdana" w:hAnsi="Verdana"/>
          <w:spacing w:val="-10"/>
          <w:sz w:val="20"/>
        </w:rPr>
        <w:t xml:space="preserve"> </w:t>
      </w:r>
      <w:r w:rsidRPr="006E799B">
        <w:rPr>
          <w:rFonts w:ascii="Verdana" w:hAnsi="Verdana"/>
          <w:sz w:val="20"/>
        </w:rPr>
        <w:t>de</w:t>
      </w:r>
      <w:r w:rsidRPr="006E799B">
        <w:rPr>
          <w:rFonts w:ascii="Verdana" w:hAnsi="Verdana"/>
          <w:spacing w:val="-11"/>
          <w:sz w:val="20"/>
        </w:rPr>
        <w:t xml:space="preserve"> </w:t>
      </w:r>
      <w:r w:rsidRPr="006E799B">
        <w:rPr>
          <w:rFonts w:ascii="Verdana" w:hAnsi="Verdana"/>
          <w:sz w:val="20"/>
        </w:rPr>
        <w:t>precios</w:t>
      </w:r>
      <w:r w:rsidRPr="006E799B">
        <w:rPr>
          <w:rFonts w:ascii="Verdana" w:hAnsi="Verdana"/>
          <w:spacing w:val="-10"/>
          <w:sz w:val="20"/>
        </w:rPr>
        <w:t xml:space="preserve"> </w:t>
      </w:r>
      <w:r w:rsidRPr="006E799B">
        <w:rPr>
          <w:rFonts w:ascii="Verdana" w:hAnsi="Verdana"/>
          <w:sz w:val="20"/>
        </w:rPr>
        <w:t>o</w:t>
      </w:r>
      <w:r w:rsidRPr="006E799B">
        <w:rPr>
          <w:rFonts w:ascii="Verdana" w:hAnsi="Verdana"/>
          <w:spacing w:val="-12"/>
          <w:sz w:val="20"/>
        </w:rPr>
        <w:t xml:space="preserve"> </w:t>
      </w:r>
      <w:r w:rsidRPr="006E799B">
        <w:rPr>
          <w:rFonts w:ascii="Verdana" w:hAnsi="Verdana"/>
          <w:sz w:val="20"/>
        </w:rPr>
        <w:t>condiciones</w:t>
      </w:r>
      <w:r w:rsidRPr="006E799B">
        <w:rPr>
          <w:rFonts w:ascii="Verdana" w:hAnsi="Verdana"/>
          <w:spacing w:val="-9"/>
          <w:sz w:val="20"/>
        </w:rPr>
        <w:t xml:space="preserve"> </w:t>
      </w:r>
      <w:r w:rsidRPr="006E799B">
        <w:rPr>
          <w:rFonts w:ascii="Verdana" w:hAnsi="Verdana"/>
          <w:sz w:val="20"/>
        </w:rPr>
        <w:t>del</w:t>
      </w:r>
      <w:r w:rsidRPr="006E799B">
        <w:rPr>
          <w:rFonts w:ascii="Verdana" w:hAnsi="Verdana"/>
          <w:spacing w:val="-11"/>
          <w:sz w:val="20"/>
        </w:rPr>
        <w:t xml:space="preserve"> </w:t>
      </w:r>
      <w:r w:rsidRPr="006E799B">
        <w:rPr>
          <w:rFonts w:ascii="Verdana" w:hAnsi="Verdana"/>
          <w:sz w:val="20"/>
        </w:rPr>
        <w:t>mercado</w:t>
      </w:r>
      <w:r w:rsidRPr="006E799B">
        <w:rPr>
          <w:rFonts w:ascii="Verdana" w:hAnsi="Verdana"/>
          <w:spacing w:val="-10"/>
          <w:sz w:val="20"/>
        </w:rPr>
        <w:t xml:space="preserve"> </w:t>
      </w:r>
      <w:r w:rsidRPr="006E799B">
        <w:rPr>
          <w:rFonts w:ascii="Verdana" w:hAnsi="Verdana"/>
          <w:sz w:val="20"/>
        </w:rPr>
        <w:t>y</w:t>
      </w:r>
      <w:r w:rsidRPr="006E799B">
        <w:rPr>
          <w:rFonts w:ascii="Verdana" w:hAnsi="Verdana"/>
          <w:spacing w:val="-12"/>
          <w:sz w:val="20"/>
        </w:rPr>
        <w:t xml:space="preserve"> </w:t>
      </w:r>
      <w:r w:rsidRPr="006E799B">
        <w:rPr>
          <w:rFonts w:ascii="Verdana" w:hAnsi="Verdana"/>
          <w:sz w:val="20"/>
        </w:rPr>
        <w:t>los</w:t>
      </w:r>
      <w:r w:rsidRPr="006E799B">
        <w:rPr>
          <w:rFonts w:ascii="Verdana" w:hAnsi="Verdana"/>
          <w:spacing w:val="-11"/>
          <w:sz w:val="20"/>
        </w:rPr>
        <w:t xml:space="preserve"> </w:t>
      </w:r>
      <w:r w:rsidRPr="006E799B">
        <w:rPr>
          <w:rFonts w:ascii="Verdana" w:hAnsi="Verdana"/>
          <w:sz w:val="20"/>
        </w:rPr>
        <w:t>estudios y deducciones de la entidad o de los organismos consultores o asesores designados para ello […].</w:t>
      </w:r>
    </w:p>
    <w:p w14:paraId="308C84E5" w14:textId="77777777" w:rsidR="000C25A4" w:rsidRDefault="000C25A4" w:rsidP="000C25A4">
      <w:pPr>
        <w:pStyle w:val="Textoindependiente"/>
        <w:spacing w:after="120" w:line="276" w:lineRule="auto"/>
        <w:ind w:left="261" w:right="49" w:firstLine="709"/>
        <w:jc w:val="both"/>
      </w:pPr>
      <w:r>
        <w:t>El Consejo de Estado, al interpretar el derogado artículo 29 de la Ley 80 de 1993, señaló que el ofrecimiento más favorable es el resultante de la ponderación de los factores contenidos en el pliego de condiciones, tales como experiencia, organización, equipos, plazos, precio, entre otros:</w:t>
      </w:r>
    </w:p>
    <w:p w14:paraId="19D30E66" w14:textId="77777777" w:rsidR="000C25A4" w:rsidRDefault="000C25A4" w:rsidP="000C25A4">
      <w:pPr>
        <w:spacing w:before="267"/>
        <w:ind w:left="851" w:right="758"/>
        <w:jc w:val="both"/>
        <w:rPr>
          <w:rFonts w:ascii="Verdana" w:hAnsi="Verdana"/>
          <w:sz w:val="20"/>
        </w:rPr>
      </w:pPr>
      <w:r w:rsidRPr="006E799B">
        <w:rPr>
          <w:rFonts w:ascii="Verdana" w:hAnsi="Verdana"/>
          <w:sz w:val="20"/>
        </w:rPr>
        <w:t xml:space="preserve">La misma norma se ocupa de definir </w:t>
      </w:r>
      <w:proofErr w:type="spellStart"/>
      <w:r w:rsidRPr="006E799B">
        <w:rPr>
          <w:rFonts w:ascii="Verdana" w:hAnsi="Verdana"/>
          <w:sz w:val="20"/>
        </w:rPr>
        <w:t>que</w:t>
      </w:r>
      <w:proofErr w:type="spellEnd"/>
      <w:r w:rsidRPr="006E799B">
        <w:rPr>
          <w:rFonts w:ascii="Verdana" w:hAnsi="Verdana"/>
          <w:sz w:val="20"/>
        </w:rPr>
        <w:t xml:space="preserve"> se entiende por ofrecimiento más favorable, aquel que resulte ser el mejor a la luz de los factores o criterios de selección contenidos en los pliegos de condiciones que sirven de fundamento para la comparación de ofertas y la selección del contratista; entre ellos se enuncian, el cumplimiento, la experiencia, la organización, los equipos ofrecidos, los plazos propuestos, el precio y la ponderación detallada y concreta de los mismos, sin que la favorabilidad pueda resultar de factores no previstos en los pliegos. Estos aspectos, al tenor de la citada norma, deberán tenerse en cuenta no solo cuando la selección se</w:t>
      </w:r>
      <w:r w:rsidRPr="006E799B">
        <w:rPr>
          <w:rFonts w:ascii="Verdana" w:hAnsi="Verdana"/>
          <w:spacing w:val="-3"/>
          <w:sz w:val="20"/>
        </w:rPr>
        <w:t xml:space="preserve"> </w:t>
      </w:r>
      <w:r w:rsidRPr="006E799B">
        <w:rPr>
          <w:rFonts w:ascii="Verdana" w:hAnsi="Verdana"/>
          <w:sz w:val="20"/>
        </w:rPr>
        <w:t>hace</w:t>
      </w:r>
      <w:r w:rsidRPr="006E799B">
        <w:rPr>
          <w:rFonts w:ascii="Verdana" w:hAnsi="Verdana"/>
          <w:spacing w:val="-2"/>
          <w:sz w:val="20"/>
        </w:rPr>
        <w:t xml:space="preserve"> </w:t>
      </w:r>
      <w:r w:rsidRPr="006E799B">
        <w:rPr>
          <w:rFonts w:ascii="Verdana" w:hAnsi="Verdana"/>
          <w:sz w:val="20"/>
        </w:rPr>
        <w:t>mediante</w:t>
      </w:r>
      <w:r w:rsidRPr="006E799B">
        <w:rPr>
          <w:rFonts w:ascii="Verdana" w:hAnsi="Verdana"/>
          <w:spacing w:val="-1"/>
          <w:sz w:val="20"/>
        </w:rPr>
        <w:t xml:space="preserve"> </w:t>
      </w:r>
      <w:r w:rsidRPr="006E799B">
        <w:rPr>
          <w:rFonts w:ascii="Verdana" w:hAnsi="Verdana"/>
          <w:sz w:val="20"/>
        </w:rPr>
        <w:t>el</w:t>
      </w:r>
      <w:r w:rsidRPr="006E799B">
        <w:rPr>
          <w:rFonts w:ascii="Verdana" w:hAnsi="Verdana"/>
          <w:spacing w:val="-3"/>
          <w:sz w:val="20"/>
        </w:rPr>
        <w:t xml:space="preserve"> </w:t>
      </w:r>
      <w:r w:rsidRPr="006E799B">
        <w:rPr>
          <w:rFonts w:ascii="Verdana" w:hAnsi="Verdana"/>
          <w:sz w:val="20"/>
        </w:rPr>
        <w:t>procedimiento de</w:t>
      </w:r>
      <w:r w:rsidRPr="006E799B">
        <w:rPr>
          <w:rFonts w:ascii="Verdana" w:hAnsi="Verdana"/>
          <w:spacing w:val="-3"/>
          <w:sz w:val="20"/>
        </w:rPr>
        <w:t xml:space="preserve"> </w:t>
      </w:r>
      <w:r w:rsidRPr="006E799B">
        <w:rPr>
          <w:rFonts w:ascii="Verdana" w:hAnsi="Verdana"/>
          <w:sz w:val="20"/>
        </w:rPr>
        <w:t>la</w:t>
      </w:r>
      <w:r w:rsidRPr="006E799B">
        <w:rPr>
          <w:rFonts w:ascii="Verdana" w:hAnsi="Verdana"/>
          <w:spacing w:val="-3"/>
          <w:sz w:val="20"/>
        </w:rPr>
        <w:t xml:space="preserve"> </w:t>
      </w:r>
      <w:r w:rsidRPr="006E799B">
        <w:rPr>
          <w:rFonts w:ascii="Verdana" w:hAnsi="Verdana"/>
          <w:sz w:val="20"/>
        </w:rPr>
        <w:t>licitación o</w:t>
      </w:r>
      <w:r w:rsidRPr="006E799B">
        <w:rPr>
          <w:rFonts w:ascii="Verdana" w:hAnsi="Verdana"/>
          <w:spacing w:val="-4"/>
          <w:sz w:val="20"/>
        </w:rPr>
        <w:t xml:space="preserve"> </w:t>
      </w:r>
      <w:r w:rsidRPr="006E799B">
        <w:rPr>
          <w:rFonts w:ascii="Verdana" w:hAnsi="Verdana"/>
          <w:sz w:val="20"/>
        </w:rPr>
        <w:t>el</w:t>
      </w:r>
      <w:r w:rsidRPr="006E799B">
        <w:rPr>
          <w:rFonts w:ascii="Verdana" w:hAnsi="Verdana"/>
          <w:spacing w:val="-3"/>
          <w:sz w:val="20"/>
        </w:rPr>
        <w:t xml:space="preserve"> </w:t>
      </w:r>
      <w:r w:rsidRPr="006E799B">
        <w:rPr>
          <w:rFonts w:ascii="Verdana" w:hAnsi="Verdana"/>
          <w:sz w:val="20"/>
        </w:rPr>
        <w:t xml:space="preserve">concurso públicos, sino también cuando ésta se adelanta mediante contratación </w:t>
      </w:r>
      <w:r w:rsidRPr="006E799B">
        <w:rPr>
          <w:rFonts w:ascii="Verdana" w:hAnsi="Verdana"/>
          <w:spacing w:val="-2"/>
          <w:sz w:val="20"/>
        </w:rPr>
        <w:t>directa.</w:t>
      </w:r>
    </w:p>
    <w:p w14:paraId="50DC244A" w14:textId="77777777" w:rsidR="000C25A4" w:rsidRDefault="000C25A4" w:rsidP="000C25A4">
      <w:pPr>
        <w:spacing w:before="267"/>
        <w:ind w:left="851" w:right="758"/>
        <w:jc w:val="both"/>
        <w:rPr>
          <w:rFonts w:ascii="Verdana" w:hAnsi="Verdana"/>
          <w:sz w:val="20"/>
        </w:rPr>
      </w:pPr>
      <w:r w:rsidRPr="006E799B">
        <w:rPr>
          <w:rFonts w:ascii="Verdana" w:hAnsi="Verdana"/>
          <w:sz w:val="20"/>
        </w:rPr>
        <w:t>Resulta entonces claro que, en aplicación de este principio, la oferta que sea seleccionada deberá ser aquella que haya obtenido la más alta calificación</w:t>
      </w:r>
      <w:r w:rsidRPr="006E799B">
        <w:rPr>
          <w:rFonts w:ascii="Verdana" w:hAnsi="Verdana"/>
          <w:spacing w:val="-18"/>
          <w:sz w:val="20"/>
        </w:rPr>
        <w:t xml:space="preserve"> </w:t>
      </w:r>
      <w:r w:rsidRPr="006E799B">
        <w:rPr>
          <w:rFonts w:ascii="Verdana" w:hAnsi="Verdana"/>
          <w:sz w:val="20"/>
        </w:rPr>
        <w:t>como</w:t>
      </w:r>
      <w:r w:rsidRPr="006E799B">
        <w:rPr>
          <w:rFonts w:ascii="Verdana" w:hAnsi="Verdana"/>
          <w:spacing w:val="-18"/>
          <w:sz w:val="20"/>
        </w:rPr>
        <w:t xml:space="preserve"> </w:t>
      </w:r>
      <w:r w:rsidRPr="006E799B">
        <w:rPr>
          <w:rFonts w:ascii="Verdana" w:hAnsi="Verdana"/>
          <w:sz w:val="20"/>
        </w:rPr>
        <w:t>resultado</w:t>
      </w:r>
      <w:r w:rsidRPr="006E799B">
        <w:rPr>
          <w:rFonts w:ascii="Verdana" w:hAnsi="Verdana"/>
          <w:spacing w:val="-17"/>
          <w:sz w:val="20"/>
        </w:rPr>
        <w:t xml:space="preserve"> </w:t>
      </w:r>
      <w:r w:rsidRPr="006E799B">
        <w:rPr>
          <w:rFonts w:ascii="Verdana" w:hAnsi="Verdana"/>
          <w:sz w:val="20"/>
        </w:rPr>
        <w:t>de</w:t>
      </w:r>
      <w:r w:rsidRPr="006E799B">
        <w:rPr>
          <w:rFonts w:ascii="Verdana" w:hAnsi="Verdana"/>
          <w:spacing w:val="-18"/>
          <w:sz w:val="20"/>
        </w:rPr>
        <w:t xml:space="preserve"> </w:t>
      </w:r>
      <w:r w:rsidRPr="006E799B">
        <w:rPr>
          <w:rFonts w:ascii="Verdana" w:hAnsi="Verdana"/>
          <w:sz w:val="20"/>
        </w:rPr>
        <w:t>ponderar</w:t>
      </w:r>
      <w:r w:rsidRPr="006E799B">
        <w:rPr>
          <w:rFonts w:ascii="Verdana" w:hAnsi="Verdana"/>
          <w:spacing w:val="-17"/>
          <w:sz w:val="20"/>
        </w:rPr>
        <w:t xml:space="preserve"> </w:t>
      </w:r>
      <w:r w:rsidRPr="006E799B">
        <w:rPr>
          <w:rFonts w:ascii="Verdana" w:hAnsi="Verdana"/>
          <w:sz w:val="20"/>
        </w:rPr>
        <w:t>los</w:t>
      </w:r>
      <w:r w:rsidRPr="006E799B">
        <w:rPr>
          <w:rFonts w:ascii="Verdana" w:hAnsi="Verdana"/>
          <w:spacing w:val="-18"/>
          <w:sz w:val="20"/>
        </w:rPr>
        <w:t xml:space="preserve"> </w:t>
      </w:r>
      <w:r w:rsidRPr="006E799B">
        <w:rPr>
          <w:rFonts w:ascii="Verdana" w:hAnsi="Verdana"/>
          <w:sz w:val="20"/>
        </w:rPr>
        <w:t>factores</w:t>
      </w:r>
      <w:r w:rsidRPr="006E799B">
        <w:rPr>
          <w:rFonts w:ascii="Verdana" w:hAnsi="Verdana"/>
          <w:spacing w:val="-18"/>
          <w:sz w:val="20"/>
        </w:rPr>
        <w:t xml:space="preserve"> </w:t>
      </w:r>
      <w:r w:rsidRPr="006E799B">
        <w:rPr>
          <w:rFonts w:ascii="Verdana" w:hAnsi="Verdana"/>
          <w:sz w:val="20"/>
        </w:rPr>
        <w:t>o</w:t>
      </w:r>
      <w:r w:rsidRPr="006E799B">
        <w:rPr>
          <w:rFonts w:ascii="Verdana" w:hAnsi="Verdana"/>
          <w:spacing w:val="-17"/>
          <w:sz w:val="20"/>
        </w:rPr>
        <w:t xml:space="preserve"> </w:t>
      </w:r>
      <w:r w:rsidRPr="006E799B">
        <w:rPr>
          <w:rFonts w:ascii="Verdana" w:hAnsi="Verdana"/>
          <w:sz w:val="20"/>
        </w:rPr>
        <w:t>criterios</w:t>
      </w:r>
      <w:r w:rsidRPr="006E799B">
        <w:rPr>
          <w:rFonts w:ascii="Verdana" w:hAnsi="Verdana"/>
          <w:spacing w:val="-18"/>
          <w:sz w:val="20"/>
        </w:rPr>
        <w:t xml:space="preserve"> </w:t>
      </w:r>
      <w:r w:rsidRPr="006E799B">
        <w:rPr>
          <w:rFonts w:ascii="Verdana" w:hAnsi="Verdana"/>
          <w:sz w:val="20"/>
        </w:rPr>
        <w:t>de</w:t>
      </w:r>
      <w:r w:rsidRPr="006E799B">
        <w:rPr>
          <w:rFonts w:ascii="Verdana" w:hAnsi="Verdana"/>
          <w:spacing w:val="-17"/>
          <w:sz w:val="20"/>
        </w:rPr>
        <w:t xml:space="preserve"> </w:t>
      </w:r>
      <w:r w:rsidRPr="006E799B">
        <w:rPr>
          <w:rFonts w:ascii="Verdana" w:hAnsi="Verdana"/>
          <w:sz w:val="20"/>
        </w:rPr>
        <w:t>selección establecidos en los documentos de la licitación, concurso o contratación directa; en consecuencia, la escogencia de un ofrecimiento que no haya logrado la máxima puntuación, obedecería a criterios diferentes a los plasmados</w:t>
      </w:r>
      <w:r w:rsidRPr="006E799B">
        <w:rPr>
          <w:rFonts w:ascii="Verdana" w:hAnsi="Verdana"/>
          <w:spacing w:val="-4"/>
          <w:sz w:val="20"/>
        </w:rPr>
        <w:t xml:space="preserve"> </w:t>
      </w:r>
      <w:r w:rsidRPr="006E799B">
        <w:rPr>
          <w:rFonts w:ascii="Verdana" w:hAnsi="Verdana"/>
          <w:sz w:val="20"/>
        </w:rPr>
        <w:t>en</w:t>
      </w:r>
      <w:r w:rsidRPr="006E799B">
        <w:rPr>
          <w:rFonts w:ascii="Verdana" w:hAnsi="Verdana"/>
          <w:spacing w:val="-6"/>
          <w:sz w:val="20"/>
        </w:rPr>
        <w:t xml:space="preserve"> </w:t>
      </w:r>
      <w:r w:rsidRPr="006E799B">
        <w:rPr>
          <w:rFonts w:ascii="Verdana" w:hAnsi="Verdana"/>
          <w:sz w:val="20"/>
        </w:rPr>
        <w:t>los</w:t>
      </w:r>
      <w:r w:rsidRPr="006E799B">
        <w:rPr>
          <w:rFonts w:ascii="Verdana" w:hAnsi="Verdana"/>
          <w:spacing w:val="-6"/>
          <w:sz w:val="20"/>
        </w:rPr>
        <w:t xml:space="preserve"> </w:t>
      </w:r>
      <w:r w:rsidRPr="006E799B">
        <w:rPr>
          <w:rFonts w:ascii="Verdana" w:hAnsi="Verdana"/>
          <w:sz w:val="20"/>
        </w:rPr>
        <w:t>documentos</w:t>
      </w:r>
      <w:r w:rsidRPr="006E799B">
        <w:rPr>
          <w:rFonts w:ascii="Verdana" w:hAnsi="Verdana"/>
          <w:spacing w:val="-4"/>
          <w:sz w:val="20"/>
        </w:rPr>
        <w:t xml:space="preserve"> </w:t>
      </w:r>
      <w:r w:rsidRPr="006E799B">
        <w:rPr>
          <w:rFonts w:ascii="Verdana" w:hAnsi="Verdana"/>
          <w:sz w:val="20"/>
        </w:rPr>
        <w:t>que</w:t>
      </w:r>
      <w:r w:rsidRPr="006E799B">
        <w:rPr>
          <w:rFonts w:ascii="Verdana" w:hAnsi="Verdana"/>
          <w:spacing w:val="-5"/>
          <w:sz w:val="20"/>
        </w:rPr>
        <w:t xml:space="preserve"> </w:t>
      </w:r>
      <w:r w:rsidRPr="006E799B">
        <w:rPr>
          <w:rFonts w:ascii="Verdana" w:hAnsi="Verdana"/>
          <w:sz w:val="20"/>
        </w:rPr>
        <w:t>rigieron</w:t>
      </w:r>
      <w:r w:rsidRPr="006E799B">
        <w:rPr>
          <w:rFonts w:ascii="Verdana" w:hAnsi="Verdana"/>
          <w:spacing w:val="-4"/>
          <w:sz w:val="20"/>
        </w:rPr>
        <w:t xml:space="preserve"> </w:t>
      </w:r>
      <w:r w:rsidRPr="006E799B">
        <w:rPr>
          <w:rFonts w:ascii="Verdana" w:hAnsi="Verdana"/>
          <w:sz w:val="20"/>
        </w:rPr>
        <w:t>la</w:t>
      </w:r>
      <w:r w:rsidRPr="006E799B">
        <w:rPr>
          <w:rFonts w:ascii="Verdana" w:hAnsi="Verdana"/>
          <w:spacing w:val="-6"/>
          <w:sz w:val="20"/>
        </w:rPr>
        <w:t xml:space="preserve"> </w:t>
      </w:r>
      <w:r w:rsidRPr="006E799B">
        <w:rPr>
          <w:rFonts w:ascii="Verdana" w:hAnsi="Verdana"/>
          <w:sz w:val="20"/>
        </w:rPr>
        <w:t>selección,</w:t>
      </w:r>
      <w:r w:rsidRPr="006E799B">
        <w:rPr>
          <w:rFonts w:ascii="Verdana" w:hAnsi="Verdana"/>
          <w:spacing w:val="-3"/>
          <w:sz w:val="20"/>
        </w:rPr>
        <w:t xml:space="preserve"> </w:t>
      </w:r>
      <w:r w:rsidRPr="006E799B">
        <w:rPr>
          <w:rFonts w:ascii="Verdana" w:hAnsi="Verdana"/>
          <w:sz w:val="20"/>
        </w:rPr>
        <w:t>lo</w:t>
      </w:r>
      <w:r w:rsidRPr="006E799B">
        <w:rPr>
          <w:rFonts w:ascii="Verdana" w:hAnsi="Verdana"/>
          <w:spacing w:val="-6"/>
          <w:sz w:val="20"/>
        </w:rPr>
        <w:t xml:space="preserve"> </w:t>
      </w:r>
      <w:r w:rsidRPr="006E799B">
        <w:rPr>
          <w:rFonts w:ascii="Verdana" w:hAnsi="Verdana"/>
          <w:sz w:val="20"/>
        </w:rPr>
        <w:t>cual</w:t>
      </w:r>
      <w:r w:rsidRPr="006E799B">
        <w:rPr>
          <w:rFonts w:ascii="Verdana" w:hAnsi="Verdana"/>
          <w:spacing w:val="-5"/>
          <w:sz w:val="20"/>
        </w:rPr>
        <w:t xml:space="preserve"> </w:t>
      </w:r>
      <w:r w:rsidRPr="006E799B">
        <w:rPr>
          <w:rFonts w:ascii="Verdana" w:hAnsi="Verdana"/>
          <w:sz w:val="20"/>
        </w:rPr>
        <w:t>viciaría</w:t>
      </w:r>
      <w:r w:rsidRPr="006E799B">
        <w:rPr>
          <w:rFonts w:ascii="Verdana" w:hAnsi="Verdana"/>
          <w:spacing w:val="-4"/>
          <w:sz w:val="20"/>
        </w:rPr>
        <w:t xml:space="preserve"> </w:t>
      </w:r>
      <w:r w:rsidRPr="006E799B">
        <w:rPr>
          <w:rFonts w:ascii="Verdana" w:hAnsi="Verdana"/>
          <w:sz w:val="20"/>
        </w:rPr>
        <w:t xml:space="preserve">de </w:t>
      </w:r>
      <w:r w:rsidRPr="006E799B">
        <w:rPr>
          <w:rFonts w:ascii="Verdana" w:hAnsi="Verdana"/>
          <w:spacing w:val="-2"/>
          <w:sz w:val="20"/>
        </w:rPr>
        <w:t>nulidad</w:t>
      </w:r>
      <w:r w:rsidRPr="006E799B">
        <w:rPr>
          <w:rFonts w:ascii="Verdana" w:hAnsi="Verdana"/>
          <w:spacing w:val="-9"/>
          <w:sz w:val="20"/>
        </w:rPr>
        <w:t xml:space="preserve"> </w:t>
      </w:r>
      <w:r w:rsidRPr="006E799B">
        <w:rPr>
          <w:rFonts w:ascii="Verdana" w:hAnsi="Verdana"/>
          <w:spacing w:val="-2"/>
          <w:sz w:val="20"/>
        </w:rPr>
        <w:t>tanto</w:t>
      </w:r>
      <w:r w:rsidRPr="006E799B">
        <w:rPr>
          <w:rFonts w:ascii="Verdana" w:hAnsi="Verdana"/>
          <w:spacing w:val="-10"/>
          <w:sz w:val="20"/>
        </w:rPr>
        <w:t xml:space="preserve"> </w:t>
      </w:r>
      <w:r w:rsidRPr="006E799B">
        <w:rPr>
          <w:rFonts w:ascii="Verdana" w:hAnsi="Verdana"/>
          <w:spacing w:val="-2"/>
          <w:sz w:val="20"/>
        </w:rPr>
        <w:t>el</w:t>
      </w:r>
      <w:r w:rsidRPr="006E799B">
        <w:rPr>
          <w:rFonts w:ascii="Verdana" w:hAnsi="Verdana"/>
          <w:spacing w:val="-10"/>
          <w:sz w:val="20"/>
        </w:rPr>
        <w:t xml:space="preserve"> </w:t>
      </w:r>
      <w:r w:rsidRPr="006E799B">
        <w:rPr>
          <w:rFonts w:ascii="Verdana" w:hAnsi="Verdana"/>
          <w:spacing w:val="-2"/>
          <w:sz w:val="20"/>
        </w:rPr>
        <w:t>acto</w:t>
      </w:r>
      <w:r w:rsidRPr="006E799B">
        <w:rPr>
          <w:rFonts w:ascii="Verdana" w:hAnsi="Verdana"/>
          <w:spacing w:val="-10"/>
          <w:sz w:val="20"/>
        </w:rPr>
        <w:t xml:space="preserve"> </w:t>
      </w:r>
      <w:r w:rsidRPr="006E799B">
        <w:rPr>
          <w:rFonts w:ascii="Verdana" w:hAnsi="Verdana"/>
          <w:spacing w:val="-2"/>
          <w:sz w:val="20"/>
        </w:rPr>
        <w:t>de</w:t>
      </w:r>
      <w:r w:rsidRPr="006E799B">
        <w:rPr>
          <w:rFonts w:ascii="Verdana" w:hAnsi="Verdana"/>
          <w:spacing w:val="-10"/>
          <w:sz w:val="20"/>
        </w:rPr>
        <w:t xml:space="preserve"> </w:t>
      </w:r>
      <w:r w:rsidRPr="006E799B">
        <w:rPr>
          <w:rFonts w:ascii="Verdana" w:hAnsi="Verdana"/>
          <w:spacing w:val="-2"/>
          <w:sz w:val="20"/>
        </w:rPr>
        <w:t>adjudicación</w:t>
      </w:r>
      <w:r w:rsidRPr="006E799B">
        <w:rPr>
          <w:rFonts w:ascii="Verdana" w:hAnsi="Verdana"/>
          <w:spacing w:val="-7"/>
          <w:sz w:val="20"/>
        </w:rPr>
        <w:t xml:space="preserve"> </w:t>
      </w:r>
      <w:r w:rsidRPr="006E799B">
        <w:rPr>
          <w:rFonts w:ascii="Verdana" w:hAnsi="Verdana"/>
          <w:spacing w:val="-2"/>
          <w:sz w:val="20"/>
        </w:rPr>
        <w:t>como</w:t>
      </w:r>
      <w:r w:rsidRPr="006E799B">
        <w:rPr>
          <w:rFonts w:ascii="Verdana" w:hAnsi="Verdana"/>
          <w:spacing w:val="-10"/>
          <w:sz w:val="20"/>
        </w:rPr>
        <w:t xml:space="preserve"> </w:t>
      </w:r>
      <w:r w:rsidRPr="006E799B">
        <w:rPr>
          <w:rFonts w:ascii="Verdana" w:hAnsi="Verdana"/>
          <w:spacing w:val="-2"/>
          <w:sz w:val="20"/>
        </w:rPr>
        <w:t>el</w:t>
      </w:r>
      <w:r w:rsidRPr="006E799B">
        <w:rPr>
          <w:rFonts w:ascii="Verdana" w:hAnsi="Verdana"/>
          <w:spacing w:val="-10"/>
          <w:sz w:val="20"/>
        </w:rPr>
        <w:t xml:space="preserve"> </w:t>
      </w:r>
      <w:r w:rsidRPr="006E799B">
        <w:rPr>
          <w:rFonts w:ascii="Verdana" w:hAnsi="Verdana"/>
          <w:spacing w:val="-2"/>
          <w:sz w:val="20"/>
        </w:rPr>
        <w:t>contrato</w:t>
      </w:r>
      <w:r w:rsidRPr="006E799B">
        <w:rPr>
          <w:rFonts w:ascii="Verdana" w:hAnsi="Verdana"/>
          <w:spacing w:val="-9"/>
          <w:sz w:val="20"/>
        </w:rPr>
        <w:t xml:space="preserve"> </w:t>
      </w:r>
      <w:r w:rsidRPr="006E799B">
        <w:rPr>
          <w:rFonts w:ascii="Verdana" w:hAnsi="Verdana"/>
          <w:spacing w:val="-2"/>
          <w:sz w:val="20"/>
        </w:rPr>
        <w:t>celebrado</w:t>
      </w:r>
      <w:r w:rsidRPr="006E799B">
        <w:rPr>
          <w:rFonts w:ascii="Verdana" w:hAnsi="Verdana"/>
          <w:spacing w:val="-8"/>
          <w:sz w:val="20"/>
        </w:rPr>
        <w:t xml:space="preserve"> </w:t>
      </w:r>
      <w:r w:rsidRPr="006E799B">
        <w:rPr>
          <w:rFonts w:ascii="Verdana" w:hAnsi="Verdana"/>
          <w:spacing w:val="-2"/>
          <w:sz w:val="20"/>
        </w:rPr>
        <w:t>bajo</w:t>
      </w:r>
      <w:r w:rsidRPr="006E799B">
        <w:rPr>
          <w:rFonts w:ascii="Verdana" w:hAnsi="Verdana"/>
          <w:spacing w:val="-10"/>
          <w:sz w:val="20"/>
        </w:rPr>
        <w:t xml:space="preserve"> </w:t>
      </w:r>
      <w:r w:rsidRPr="006E799B">
        <w:rPr>
          <w:rFonts w:ascii="Verdana" w:hAnsi="Verdana"/>
          <w:spacing w:val="-2"/>
          <w:sz w:val="20"/>
        </w:rPr>
        <w:t xml:space="preserve">estas </w:t>
      </w:r>
      <w:r w:rsidRPr="006E799B">
        <w:rPr>
          <w:rFonts w:ascii="Verdana" w:hAnsi="Verdana"/>
          <w:sz w:val="20"/>
        </w:rPr>
        <w:t xml:space="preserve">condiciones, en razón de haberse desconocido el principio de selección </w:t>
      </w:r>
      <w:r w:rsidRPr="006E799B">
        <w:rPr>
          <w:rFonts w:ascii="Verdana" w:hAnsi="Verdana"/>
          <w:spacing w:val="-2"/>
          <w:sz w:val="20"/>
        </w:rPr>
        <w:t>objetiva</w:t>
      </w:r>
      <w:r>
        <w:rPr>
          <w:rStyle w:val="Refdenotaalpie"/>
          <w:rFonts w:ascii="Verdana" w:hAnsi="Verdana"/>
          <w:spacing w:val="-2"/>
          <w:sz w:val="20"/>
        </w:rPr>
        <w:footnoteReference w:id="19"/>
      </w:r>
      <w:r w:rsidRPr="006E799B">
        <w:rPr>
          <w:rFonts w:ascii="Verdana" w:hAnsi="Verdana"/>
          <w:spacing w:val="-2"/>
          <w:sz w:val="20"/>
        </w:rPr>
        <w:t>.</w:t>
      </w:r>
    </w:p>
    <w:p w14:paraId="2FE2BE71" w14:textId="77777777" w:rsidR="00D9437F" w:rsidRDefault="00D9437F" w:rsidP="00D9437F">
      <w:pPr>
        <w:pStyle w:val="Textoindependiente"/>
        <w:spacing w:after="120" w:line="276" w:lineRule="auto"/>
        <w:ind w:left="261" w:right="51" w:firstLine="709"/>
        <w:jc w:val="both"/>
      </w:pPr>
      <w:r>
        <w:t>Teniendo en cuenta que el principio de selección objetiva busca que la entidad adjudique el contrato al oferente con la propuesta más favorable, la norma define este concepto como la propuesta más ventajosa, luego de ponderar los factores técnicos y económicos. Así las cosas, para que la entidad pueda determinar cuál es la oferta que más ventaja le reporta, lo lógico es que la comparación de precios se haga sobre los que finalmente tendrá que pagar, es</w:t>
      </w:r>
      <w:r>
        <w:rPr>
          <w:spacing w:val="-18"/>
        </w:rPr>
        <w:t xml:space="preserve"> </w:t>
      </w:r>
      <w:r>
        <w:t>decir,</w:t>
      </w:r>
      <w:r>
        <w:rPr>
          <w:spacing w:val="-16"/>
        </w:rPr>
        <w:t xml:space="preserve"> </w:t>
      </w:r>
      <w:r>
        <w:t>no</w:t>
      </w:r>
      <w:r>
        <w:rPr>
          <w:spacing w:val="-18"/>
        </w:rPr>
        <w:t xml:space="preserve"> </w:t>
      </w:r>
      <w:r>
        <w:t>puede</w:t>
      </w:r>
      <w:r>
        <w:rPr>
          <w:spacing w:val="-17"/>
        </w:rPr>
        <w:t xml:space="preserve"> </w:t>
      </w:r>
      <w:r>
        <w:t>realizarse</w:t>
      </w:r>
      <w:r>
        <w:rPr>
          <w:spacing w:val="-15"/>
        </w:rPr>
        <w:t xml:space="preserve"> </w:t>
      </w:r>
      <w:r>
        <w:t>una</w:t>
      </w:r>
      <w:r>
        <w:rPr>
          <w:spacing w:val="-17"/>
        </w:rPr>
        <w:t xml:space="preserve"> </w:t>
      </w:r>
      <w:r>
        <w:t>ponderación</w:t>
      </w:r>
      <w:r>
        <w:rPr>
          <w:spacing w:val="-15"/>
        </w:rPr>
        <w:t xml:space="preserve"> </w:t>
      </w:r>
      <w:r>
        <w:t>adecuada,</w:t>
      </w:r>
      <w:r>
        <w:rPr>
          <w:spacing w:val="-15"/>
        </w:rPr>
        <w:t xml:space="preserve"> </w:t>
      </w:r>
      <w:r>
        <w:t>en</w:t>
      </w:r>
      <w:r>
        <w:rPr>
          <w:spacing w:val="-18"/>
        </w:rPr>
        <w:t xml:space="preserve"> </w:t>
      </w:r>
      <w:r>
        <w:t>el</w:t>
      </w:r>
      <w:r>
        <w:rPr>
          <w:spacing w:val="-18"/>
        </w:rPr>
        <w:t xml:space="preserve"> </w:t>
      </w:r>
      <w:r>
        <w:t>factor</w:t>
      </w:r>
      <w:r>
        <w:rPr>
          <w:spacing w:val="-16"/>
        </w:rPr>
        <w:t xml:space="preserve"> </w:t>
      </w:r>
      <w:r>
        <w:t>económico, si</w:t>
      </w:r>
      <w:r>
        <w:rPr>
          <w:spacing w:val="-6"/>
        </w:rPr>
        <w:t xml:space="preserve"> </w:t>
      </w:r>
      <w:r>
        <w:t>la</w:t>
      </w:r>
      <w:r>
        <w:rPr>
          <w:spacing w:val="-6"/>
        </w:rPr>
        <w:t xml:space="preserve"> </w:t>
      </w:r>
      <w:r>
        <w:t>entidad</w:t>
      </w:r>
      <w:r>
        <w:rPr>
          <w:spacing w:val="-5"/>
        </w:rPr>
        <w:t xml:space="preserve"> </w:t>
      </w:r>
      <w:r>
        <w:t>compara</w:t>
      </w:r>
      <w:r>
        <w:rPr>
          <w:spacing w:val="-4"/>
        </w:rPr>
        <w:t xml:space="preserve"> </w:t>
      </w:r>
      <w:r>
        <w:t>precios</w:t>
      </w:r>
      <w:r>
        <w:rPr>
          <w:spacing w:val="-5"/>
        </w:rPr>
        <w:t xml:space="preserve"> </w:t>
      </w:r>
      <w:r>
        <w:t>que</w:t>
      </w:r>
      <w:r>
        <w:rPr>
          <w:spacing w:val="-6"/>
        </w:rPr>
        <w:t xml:space="preserve"> </w:t>
      </w:r>
      <w:r>
        <w:t>no</w:t>
      </w:r>
      <w:r>
        <w:rPr>
          <w:spacing w:val="-6"/>
        </w:rPr>
        <w:t xml:space="preserve"> </w:t>
      </w:r>
      <w:r>
        <w:t>son</w:t>
      </w:r>
      <w:r>
        <w:rPr>
          <w:spacing w:val="-6"/>
        </w:rPr>
        <w:t xml:space="preserve"> </w:t>
      </w:r>
      <w:r>
        <w:t>reales,</w:t>
      </w:r>
      <w:r>
        <w:rPr>
          <w:spacing w:val="-4"/>
        </w:rPr>
        <w:t xml:space="preserve"> </w:t>
      </w:r>
      <w:r>
        <w:t>pues</w:t>
      </w:r>
      <w:r>
        <w:rPr>
          <w:spacing w:val="-5"/>
        </w:rPr>
        <w:t xml:space="preserve"> </w:t>
      </w:r>
      <w:r>
        <w:t>ello</w:t>
      </w:r>
      <w:r>
        <w:rPr>
          <w:spacing w:val="-6"/>
        </w:rPr>
        <w:t xml:space="preserve"> </w:t>
      </w:r>
      <w:r>
        <w:t>es</w:t>
      </w:r>
      <w:r>
        <w:rPr>
          <w:spacing w:val="-6"/>
        </w:rPr>
        <w:t xml:space="preserve"> </w:t>
      </w:r>
      <w:r>
        <w:t>lo</w:t>
      </w:r>
      <w:r>
        <w:rPr>
          <w:spacing w:val="-6"/>
        </w:rPr>
        <w:t xml:space="preserve"> </w:t>
      </w:r>
      <w:r>
        <w:t>que</w:t>
      </w:r>
      <w:r>
        <w:rPr>
          <w:spacing w:val="-6"/>
        </w:rPr>
        <w:t xml:space="preserve"> </w:t>
      </w:r>
      <w:r>
        <w:t>ocurre</w:t>
      </w:r>
      <w:r>
        <w:rPr>
          <w:spacing w:val="-5"/>
        </w:rPr>
        <w:t xml:space="preserve"> </w:t>
      </w:r>
      <w:r>
        <w:t>si</w:t>
      </w:r>
      <w:r>
        <w:rPr>
          <w:spacing w:val="-6"/>
        </w:rPr>
        <w:t xml:space="preserve"> </w:t>
      </w:r>
      <w:r>
        <w:t>en dicha comparación se toman precios que no serán los que finalmente pagará, porque no se encuentra incluido el IVA o cualquier otro impuesto.</w:t>
      </w:r>
    </w:p>
    <w:p w14:paraId="28B0D51C" w14:textId="77777777" w:rsidR="00D9437F" w:rsidRDefault="00D9437F" w:rsidP="00D9437F">
      <w:pPr>
        <w:pStyle w:val="Textoindependiente"/>
        <w:spacing w:after="120" w:line="276" w:lineRule="auto"/>
        <w:ind w:left="261" w:right="51" w:firstLine="709"/>
        <w:jc w:val="both"/>
      </w:pPr>
      <w:r>
        <w:t>El principio de selección objetiva, antes que permitir que la entidad compare las ofertas económicas sin tener en cuenta el IVA, busca que la comparación se haga sobre la realidad de lo ofrecido por cada proponente, es decir,</w:t>
      </w:r>
      <w:r>
        <w:rPr>
          <w:spacing w:val="-4"/>
        </w:rPr>
        <w:t xml:space="preserve"> </w:t>
      </w:r>
      <w:r>
        <w:t>el</w:t>
      </w:r>
      <w:r>
        <w:rPr>
          <w:spacing w:val="-5"/>
        </w:rPr>
        <w:t xml:space="preserve"> </w:t>
      </w:r>
      <w:r>
        <w:t>valor</w:t>
      </w:r>
      <w:r>
        <w:rPr>
          <w:spacing w:val="-4"/>
        </w:rPr>
        <w:t xml:space="preserve"> </w:t>
      </w:r>
      <w:r>
        <w:t>total</w:t>
      </w:r>
      <w:r>
        <w:rPr>
          <w:spacing w:val="-5"/>
        </w:rPr>
        <w:t xml:space="preserve"> </w:t>
      </w:r>
      <w:r>
        <w:t>de</w:t>
      </w:r>
      <w:r>
        <w:rPr>
          <w:spacing w:val="-5"/>
        </w:rPr>
        <w:t xml:space="preserve"> </w:t>
      </w:r>
      <w:r>
        <w:t>lo</w:t>
      </w:r>
      <w:r>
        <w:rPr>
          <w:spacing w:val="-6"/>
        </w:rPr>
        <w:t xml:space="preserve"> </w:t>
      </w:r>
      <w:r>
        <w:t>que</w:t>
      </w:r>
      <w:r>
        <w:rPr>
          <w:spacing w:val="-5"/>
        </w:rPr>
        <w:t xml:space="preserve"> </w:t>
      </w:r>
      <w:r>
        <w:t>terminará</w:t>
      </w:r>
      <w:r>
        <w:rPr>
          <w:spacing w:val="-3"/>
        </w:rPr>
        <w:t xml:space="preserve"> </w:t>
      </w:r>
      <w:r>
        <w:t>pagando</w:t>
      </w:r>
      <w:r>
        <w:rPr>
          <w:spacing w:val="-4"/>
        </w:rPr>
        <w:t xml:space="preserve"> </w:t>
      </w:r>
      <w:r>
        <w:t>la</w:t>
      </w:r>
      <w:r>
        <w:rPr>
          <w:spacing w:val="-5"/>
        </w:rPr>
        <w:t xml:space="preserve"> </w:t>
      </w:r>
      <w:r>
        <w:t>entidad</w:t>
      </w:r>
      <w:r>
        <w:rPr>
          <w:spacing w:val="-4"/>
        </w:rPr>
        <w:t xml:space="preserve"> </w:t>
      </w:r>
      <w:r>
        <w:t>cuando</w:t>
      </w:r>
      <w:r>
        <w:rPr>
          <w:spacing w:val="-4"/>
        </w:rPr>
        <w:t xml:space="preserve"> </w:t>
      </w:r>
      <w:r>
        <w:t>adjudique</w:t>
      </w:r>
      <w:r>
        <w:rPr>
          <w:spacing w:val="-3"/>
        </w:rPr>
        <w:t xml:space="preserve"> </w:t>
      </w:r>
      <w:r>
        <w:t xml:space="preserve">el </w:t>
      </w:r>
      <w:r>
        <w:rPr>
          <w:spacing w:val="-2"/>
        </w:rPr>
        <w:t>contrato.</w:t>
      </w:r>
    </w:p>
    <w:p w14:paraId="22EC67C5" w14:textId="77777777" w:rsidR="00D9437F" w:rsidRDefault="00D9437F" w:rsidP="00D9437F">
      <w:pPr>
        <w:pStyle w:val="Textoindependiente"/>
        <w:spacing w:after="120" w:line="276" w:lineRule="auto"/>
        <w:ind w:left="261" w:right="51" w:firstLine="709"/>
        <w:jc w:val="both"/>
      </w:pPr>
      <w:r>
        <w:t>Ahora</w:t>
      </w:r>
      <w:r>
        <w:rPr>
          <w:spacing w:val="-10"/>
        </w:rPr>
        <w:t xml:space="preserve"> </w:t>
      </w:r>
      <w:r>
        <w:t>bien,</w:t>
      </w:r>
      <w:r>
        <w:rPr>
          <w:spacing w:val="-10"/>
        </w:rPr>
        <w:t xml:space="preserve"> </w:t>
      </w:r>
      <w:r>
        <w:t>en</w:t>
      </w:r>
      <w:r>
        <w:rPr>
          <w:spacing w:val="-11"/>
        </w:rPr>
        <w:t xml:space="preserve"> </w:t>
      </w:r>
      <w:r>
        <w:t>el</w:t>
      </w:r>
      <w:r>
        <w:rPr>
          <w:spacing w:val="-11"/>
        </w:rPr>
        <w:t xml:space="preserve"> </w:t>
      </w:r>
      <w:r>
        <w:t>escenario</w:t>
      </w:r>
      <w:r>
        <w:rPr>
          <w:spacing w:val="-8"/>
        </w:rPr>
        <w:t xml:space="preserve"> </w:t>
      </w:r>
      <w:r>
        <w:t>de</w:t>
      </w:r>
      <w:r>
        <w:rPr>
          <w:spacing w:val="-11"/>
        </w:rPr>
        <w:t xml:space="preserve"> </w:t>
      </w:r>
      <w:r>
        <w:t>un</w:t>
      </w:r>
      <w:r>
        <w:rPr>
          <w:spacing w:val="-11"/>
        </w:rPr>
        <w:t xml:space="preserve"> </w:t>
      </w:r>
      <w:r>
        <w:t>procedimiento</w:t>
      </w:r>
      <w:r>
        <w:rPr>
          <w:spacing w:val="-7"/>
        </w:rPr>
        <w:t xml:space="preserve"> </w:t>
      </w:r>
      <w:r>
        <w:t>de</w:t>
      </w:r>
      <w:r>
        <w:rPr>
          <w:spacing w:val="-11"/>
        </w:rPr>
        <w:t xml:space="preserve"> </w:t>
      </w:r>
      <w:r>
        <w:t>selección</w:t>
      </w:r>
      <w:r>
        <w:rPr>
          <w:spacing w:val="-8"/>
        </w:rPr>
        <w:t xml:space="preserve"> </w:t>
      </w:r>
      <w:r>
        <w:t>en</w:t>
      </w:r>
      <w:r>
        <w:rPr>
          <w:spacing w:val="-11"/>
        </w:rPr>
        <w:t xml:space="preserve"> </w:t>
      </w:r>
      <w:r>
        <w:t>el</w:t>
      </w:r>
      <w:r>
        <w:rPr>
          <w:spacing w:val="-11"/>
        </w:rPr>
        <w:t xml:space="preserve"> </w:t>
      </w:r>
      <w:r>
        <w:t>que</w:t>
      </w:r>
      <w:r>
        <w:rPr>
          <w:spacing w:val="-10"/>
        </w:rPr>
        <w:t xml:space="preserve"> </w:t>
      </w:r>
      <w:r>
        <w:t>se presentan varios oferentes, unos que según su régimen tributario son responsables de IVA y otros que no, hay que preguntarse ¿el principio de igualdad obliga a que la entidad evalúe las ofertas económicas sin tener en cuenta</w:t>
      </w:r>
      <w:r>
        <w:rPr>
          <w:spacing w:val="-11"/>
        </w:rPr>
        <w:t xml:space="preserve"> </w:t>
      </w:r>
      <w:r>
        <w:t>el</w:t>
      </w:r>
      <w:r>
        <w:rPr>
          <w:spacing w:val="-13"/>
        </w:rPr>
        <w:t xml:space="preserve"> </w:t>
      </w:r>
      <w:r>
        <w:t>mencionado</w:t>
      </w:r>
      <w:r>
        <w:rPr>
          <w:spacing w:val="-10"/>
        </w:rPr>
        <w:t xml:space="preserve"> </w:t>
      </w:r>
      <w:r>
        <w:t>impuesto</w:t>
      </w:r>
      <w:r>
        <w:rPr>
          <w:spacing w:val="-11"/>
        </w:rPr>
        <w:t xml:space="preserve"> </w:t>
      </w:r>
      <w:r>
        <w:t>en</w:t>
      </w:r>
      <w:r>
        <w:rPr>
          <w:spacing w:val="-13"/>
        </w:rPr>
        <w:t xml:space="preserve"> </w:t>
      </w:r>
      <w:r>
        <w:t>el</w:t>
      </w:r>
      <w:r>
        <w:rPr>
          <w:spacing w:val="-13"/>
        </w:rPr>
        <w:t xml:space="preserve"> </w:t>
      </w:r>
      <w:r>
        <w:t>precio</w:t>
      </w:r>
      <w:r>
        <w:rPr>
          <w:spacing w:val="-11"/>
        </w:rPr>
        <w:t xml:space="preserve"> </w:t>
      </w:r>
      <w:r>
        <w:t>ofertado?</w:t>
      </w:r>
      <w:r>
        <w:rPr>
          <w:spacing w:val="-10"/>
        </w:rPr>
        <w:t xml:space="preserve"> </w:t>
      </w:r>
      <w:r>
        <w:t>La</w:t>
      </w:r>
      <w:r>
        <w:rPr>
          <w:spacing w:val="-13"/>
        </w:rPr>
        <w:t xml:space="preserve"> </w:t>
      </w:r>
      <w:r>
        <w:t>respuesta</w:t>
      </w:r>
      <w:r>
        <w:rPr>
          <w:spacing w:val="-10"/>
        </w:rPr>
        <w:t xml:space="preserve"> </w:t>
      </w:r>
      <w:r>
        <w:t>es</w:t>
      </w:r>
      <w:r>
        <w:rPr>
          <w:spacing w:val="-13"/>
        </w:rPr>
        <w:t xml:space="preserve"> </w:t>
      </w:r>
      <w:r>
        <w:t>negativa.</w:t>
      </w:r>
    </w:p>
    <w:p w14:paraId="6255A6D0" w14:textId="77777777" w:rsidR="00D9437F" w:rsidRDefault="00D9437F" w:rsidP="00D9437F">
      <w:pPr>
        <w:pStyle w:val="Textoindependiente"/>
        <w:spacing w:after="120" w:line="276" w:lineRule="auto"/>
        <w:ind w:left="261" w:right="51" w:firstLine="709"/>
        <w:jc w:val="both"/>
      </w:pPr>
      <w:r>
        <w:t>La posición que adopta la Subdirección de Gestión Contractual es que el IVA</w:t>
      </w:r>
      <w:r>
        <w:rPr>
          <w:spacing w:val="-11"/>
        </w:rPr>
        <w:t xml:space="preserve"> </w:t>
      </w:r>
      <w:r>
        <w:t>hace</w:t>
      </w:r>
      <w:r>
        <w:rPr>
          <w:spacing w:val="-10"/>
        </w:rPr>
        <w:t xml:space="preserve"> </w:t>
      </w:r>
      <w:r>
        <w:t>parte</w:t>
      </w:r>
      <w:r>
        <w:rPr>
          <w:spacing w:val="-10"/>
        </w:rPr>
        <w:t xml:space="preserve"> </w:t>
      </w:r>
      <w:r>
        <w:t>del</w:t>
      </w:r>
      <w:r>
        <w:rPr>
          <w:spacing w:val="-11"/>
        </w:rPr>
        <w:t xml:space="preserve"> </w:t>
      </w:r>
      <w:r>
        <w:t>precio</w:t>
      </w:r>
      <w:r>
        <w:rPr>
          <w:spacing w:val="-10"/>
        </w:rPr>
        <w:t xml:space="preserve"> </w:t>
      </w:r>
      <w:r>
        <w:t>que</w:t>
      </w:r>
      <w:r>
        <w:rPr>
          <w:spacing w:val="-11"/>
        </w:rPr>
        <w:t xml:space="preserve"> </w:t>
      </w:r>
      <w:r>
        <w:t>ofrece</w:t>
      </w:r>
      <w:r>
        <w:rPr>
          <w:spacing w:val="-10"/>
        </w:rPr>
        <w:t xml:space="preserve"> </w:t>
      </w:r>
      <w:r>
        <w:t>cada</w:t>
      </w:r>
      <w:r>
        <w:rPr>
          <w:spacing w:val="-10"/>
        </w:rPr>
        <w:t xml:space="preserve"> </w:t>
      </w:r>
      <w:r>
        <w:t>proponente,</w:t>
      </w:r>
      <w:r>
        <w:rPr>
          <w:spacing w:val="-8"/>
        </w:rPr>
        <w:t xml:space="preserve"> </w:t>
      </w:r>
      <w:r>
        <w:t>y</w:t>
      </w:r>
      <w:r>
        <w:rPr>
          <w:spacing w:val="-11"/>
        </w:rPr>
        <w:t xml:space="preserve"> </w:t>
      </w:r>
      <w:r>
        <w:t>así</w:t>
      </w:r>
      <w:r>
        <w:rPr>
          <w:spacing w:val="-11"/>
        </w:rPr>
        <w:t xml:space="preserve"> </w:t>
      </w:r>
      <w:r>
        <w:t>debe</w:t>
      </w:r>
      <w:r>
        <w:rPr>
          <w:spacing w:val="-10"/>
        </w:rPr>
        <w:t xml:space="preserve"> </w:t>
      </w:r>
      <w:r>
        <w:t>ser</w:t>
      </w:r>
      <w:r>
        <w:rPr>
          <w:spacing w:val="-11"/>
        </w:rPr>
        <w:t xml:space="preserve"> </w:t>
      </w:r>
      <w:r>
        <w:t>ponderado al</w:t>
      </w:r>
      <w:r>
        <w:rPr>
          <w:spacing w:val="-8"/>
        </w:rPr>
        <w:t xml:space="preserve"> </w:t>
      </w:r>
      <w:r>
        <w:t>momento</w:t>
      </w:r>
      <w:r>
        <w:rPr>
          <w:spacing w:val="-6"/>
        </w:rPr>
        <w:t xml:space="preserve"> </w:t>
      </w:r>
      <w:r>
        <w:t>de</w:t>
      </w:r>
      <w:r>
        <w:rPr>
          <w:spacing w:val="-8"/>
        </w:rPr>
        <w:t xml:space="preserve"> </w:t>
      </w:r>
      <w:r>
        <w:t>la</w:t>
      </w:r>
      <w:r>
        <w:rPr>
          <w:spacing w:val="-8"/>
        </w:rPr>
        <w:t xml:space="preserve"> </w:t>
      </w:r>
      <w:r>
        <w:t>evaluación</w:t>
      </w:r>
      <w:r>
        <w:rPr>
          <w:spacing w:val="-5"/>
        </w:rPr>
        <w:t xml:space="preserve"> </w:t>
      </w:r>
      <w:r>
        <w:t>de</w:t>
      </w:r>
      <w:r>
        <w:rPr>
          <w:spacing w:val="-8"/>
        </w:rPr>
        <w:t xml:space="preserve"> </w:t>
      </w:r>
      <w:r>
        <w:t>las</w:t>
      </w:r>
      <w:r>
        <w:rPr>
          <w:spacing w:val="-8"/>
        </w:rPr>
        <w:t xml:space="preserve"> </w:t>
      </w:r>
      <w:r>
        <w:t>ofertas.</w:t>
      </w:r>
      <w:r>
        <w:rPr>
          <w:spacing w:val="-6"/>
        </w:rPr>
        <w:t xml:space="preserve"> </w:t>
      </w:r>
      <w:r>
        <w:t>Si</w:t>
      </w:r>
      <w:r>
        <w:rPr>
          <w:spacing w:val="-8"/>
        </w:rPr>
        <w:t xml:space="preserve"> </w:t>
      </w:r>
      <w:r>
        <w:t>un</w:t>
      </w:r>
      <w:r>
        <w:rPr>
          <w:spacing w:val="-8"/>
        </w:rPr>
        <w:t xml:space="preserve"> </w:t>
      </w:r>
      <w:r>
        <w:t>proponente</w:t>
      </w:r>
      <w:r>
        <w:rPr>
          <w:spacing w:val="-6"/>
        </w:rPr>
        <w:t xml:space="preserve"> </w:t>
      </w:r>
      <w:r>
        <w:t>está</w:t>
      </w:r>
      <w:r>
        <w:rPr>
          <w:spacing w:val="-7"/>
        </w:rPr>
        <w:t xml:space="preserve"> </w:t>
      </w:r>
      <w:r>
        <w:t>en</w:t>
      </w:r>
      <w:r>
        <w:rPr>
          <w:spacing w:val="-8"/>
        </w:rPr>
        <w:t xml:space="preserve"> </w:t>
      </w:r>
      <w:r>
        <w:t>capacidad de ofrecer un precio menor porque, según su régimen tributario, no es responsable de IVA, entonces eso hace parte de las condiciones de su oferta, y evidentemente</w:t>
      </w:r>
      <w:r>
        <w:rPr>
          <w:spacing w:val="-20"/>
        </w:rPr>
        <w:t xml:space="preserve"> </w:t>
      </w:r>
      <w:r>
        <w:t>podría</w:t>
      </w:r>
      <w:r>
        <w:rPr>
          <w:spacing w:val="-19"/>
        </w:rPr>
        <w:t xml:space="preserve"> </w:t>
      </w:r>
      <w:r>
        <w:t>estar</w:t>
      </w:r>
      <w:r>
        <w:rPr>
          <w:spacing w:val="-19"/>
        </w:rPr>
        <w:t xml:space="preserve"> </w:t>
      </w:r>
      <w:r>
        <w:t>en</w:t>
      </w:r>
      <w:r>
        <w:rPr>
          <w:spacing w:val="-20"/>
        </w:rPr>
        <w:t xml:space="preserve"> </w:t>
      </w:r>
      <w:r>
        <w:t>ventaja,</w:t>
      </w:r>
      <w:r>
        <w:rPr>
          <w:spacing w:val="-19"/>
        </w:rPr>
        <w:t xml:space="preserve"> </w:t>
      </w:r>
      <w:r>
        <w:t>en</w:t>
      </w:r>
      <w:r>
        <w:rPr>
          <w:spacing w:val="-20"/>
        </w:rPr>
        <w:t xml:space="preserve"> </w:t>
      </w:r>
      <w:r>
        <w:t>lo</w:t>
      </w:r>
      <w:r>
        <w:rPr>
          <w:spacing w:val="-19"/>
        </w:rPr>
        <w:t xml:space="preserve"> </w:t>
      </w:r>
      <w:r>
        <w:t>que</w:t>
      </w:r>
      <w:r>
        <w:rPr>
          <w:spacing w:val="-19"/>
        </w:rPr>
        <w:t xml:space="preserve"> </w:t>
      </w:r>
      <w:r>
        <w:t>respecta</w:t>
      </w:r>
      <w:r>
        <w:rPr>
          <w:spacing w:val="-20"/>
        </w:rPr>
        <w:t xml:space="preserve"> </w:t>
      </w:r>
      <w:r>
        <w:t>al</w:t>
      </w:r>
      <w:r>
        <w:rPr>
          <w:spacing w:val="-19"/>
        </w:rPr>
        <w:t xml:space="preserve"> </w:t>
      </w:r>
      <w:r>
        <w:t>precio,</w:t>
      </w:r>
      <w:r>
        <w:rPr>
          <w:spacing w:val="-19"/>
        </w:rPr>
        <w:t xml:space="preserve"> </w:t>
      </w:r>
      <w:r>
        <w:t>frente</w:t>
      </w:r>
      <w:r>
        <w:rPr>
          <w:spacing w:val="-20"/>
        </w:rPr>
        <w:t xml:space="preserve"> </w:t>
      </w:r>
      <w:r>
        <w:t>a</w:t>
      </w:r>
      <w:r>
        <w:rPr>
          <w:spacing w:val="-19"/>
        </w:rPr>
        <w:t xml:space="preserve"> </w:t>
      </w:r>
      <w:r>
        <w:t>otro proponente</w:t>
      </w:r>
      <w:r>
        <w:rPr>
          <w:spacing w:val="-11"/>
        </w:rPr>
        <w:t xml:space="preserve"> </w:t>
      </w:r>
      <w:r>
        <w:t>que</w:t>
      </w:r>
      <w:r>
        <w:rPr>
          <w:spacing w:val="-12"/>
        </w:rPr>
        <w:t xml:space="preserve"> </w:t>
      </w:r>
      <w:r>
        <w:t>sea</w:t>
      </w:r>
      <w:r>
        <w:rPr>
          <w:spacing w:val="-12"/>
        </w:rPr>
        <w:t xml:space="preserve"> </w:t>
      </w:r>
      <w:r>
        <w:t>responsable</w:t>
      </w:r>
      <w:r>
        <w:rPr>
          <w:spacing w:val="-10"/>
        </w:rPr>
        <w:t xml:space="preserve"> </w:t>
      </w:r>
      <w:r>
        <w:t>del</w:t>
      </w:r>
      <w:r>
        <w:rPr>
          <w:spacing w:val="-12"/>
        </w:rPr>
        <w:t xml:space="preserve"> </w:t>
      </w:r>
      <w:r>
        <w:t>pago</w:t>
      </w:r>
      <w:r>
        <w:rPr>
          <w:spacing w:val="-11"/>
        </w:rPr>
        <w:t xml:space="preserve"> </w:t>
      </w:r>
      <w:r>
        <w:t>del</w:t>
      </w:r>
      <w:r>
        <w:rPr>
          <w:spacing w:val="-12"/>
        </w:rPr>
        <w:t xml:space="preserve"> </w:t>
      </w:r>
      <w:r>
        <w:t>impuesto,</w:t>
      </w:r>
      <w:r>
        <w:rPr>
          <w:spacing w:val="-11"/>
        </w:rPr>
        <w:t xml:space="preserve"> </w:t>
      </w:r>
      <w:r>
        <w:t>pero</w:t>
      </w:r>
      <w:r>
        <w:rPr>
          <w:spacing w:val="-11"/>
        </w:rPr>
        <w:t xml:space="preserve"> </w:t>
      </w:r>
      <w:r>
        <w:t>ello</w:t>
      </w:r>
      <w:r>
        <w:rPr>
          <w:spacing w:val="-12"/>
        </w:rPr>
        <w:t xml:space="preserve"> </w:t>
      </w:r>
      <w:r>
        <w:t>no</w:t>
      </w:r>
      <w:r>
        <w:rPr>
          <w:spacing w:val="-12"/>
        </w:rPr>
        <w:t xml:space="preserve"> </w:t>
      </w:r>
      <w:r>
        <w:rPr>
          <w:spacing w:val="-2"/>
        </w:rPr>
        <w:t>representa</w:t>
      </w:r>
      <w:r>
        <w:t xml:space="preserve"> un trato desigual que imponga la entidad, pues es el precio que puede ofrecer cada proponente.</w:t>
      </w:r>
    </w:p>
    <w:p w14:paraId="0AED66E3" w14:textId="77777777" w:rsidR="00D9437F" w:rsidRDefault="00D9437F" w:rsidP="00D9437F">
      <w:pPr>
        <w:pStyle w:val="Textoindependiente"/>
        <w:spacing w:after="120" w:line="276" w:lineRule="auto"/>
        <w:ind w:left="261" w:right="51" w:firstLine="709"/>
        <w:jc w:val="both"/>
      </w:pPr>
      <w:r>
        <w:t>La misma reflexión cabría, por ejemplo, si un proponente es capaz de ofertar a unos precios significativamente inferiores que el resto de los competidores porque su estructura de costos se lo permite, o porque tiene acceso a créditos a una tasa de interés más baja que el resto o porque es propietario de la maquinaria y no debe pagar alquiler. Todas estas situaciones, incluida</w:t>
      </w:r>
      <w:r>
        <w:rPr>
          <w:spacing w:val="-11"/>
        </w:rPr>
        <w:t xml:space="preserve"> </w:t>
      </w:r>
      <w:r>
        <w:t>la</w:t>
      </w:r>
      <w:r>
        <w:rPr>
          <w:spacing w:val="-13"/>
        </w:rPr>
        <w:t xml:space="preserve"> </w:t>
      </w:r>
      <w:r>
        <w:t>del</w:t>
      </w:r>
      <w:r>
        <w:rPr>
          <w:spacing w:val="-13"/>
        </w:rPr>
        <w:t xml:space="preserve"> </w:t>
      </w:r>
      <w:r>
        <w:t>IVA,</w:t>
      </w:r>
      <w:r>
        <w:rPr>
          <w:spacing w:val="-12"/>
        </w:rPr>
        <w:t xml:space="preserve"> </w:t>
      </w:r>
      <w:r>
        <w:t>son</w:t>
      </w:r>
      <w:r>
        <w:rPr>
          <w:spacing w:val="-13"/>
        </w:rPr>
        <w:t xml:space="preserve"> </w:t>
      </w:r>
      <w:r>
        <w:t>aspectos</w:t>
      </w:r>
      <w:r>
        <w:rPr>
          <w:spacing w:val="-11"/>
        </w:rPr>
        <w:t xml:space="preserve"> </w:t>
      </w:r>
      <w:r>
        <w:t>que</w:t>
      </w:r>
      <w:r>
        <w:rPr>
          <w:spacing w:val="-13"/>
        </w:rPr>
        <w:t xml:space="preserve"> </w:t>
      </w:r>
      <w:r>
        <w:t>inciden</w:t>
      </w:r>
      <w:r>
        <w:rPr>
          <w:spacing w:val="-11"/>
        </w:rPr>
        <w:t xml:space="preserve"> </w:t>
      </w:r>
      <w:r>
        <w:t>en</w:t>
      </w:r>
      <w:r>
        <w:rPr>
          <w:spacing w:val="-13"/>
        </w:rPr>
        <w:t xml:space="preserve"> </w:t>
      </w:r>
      <w:r>
        <w:t>el</w:t>
      </w:r>
      <w:r>
        <w:rPr>
          <w:spacing w:val="-13"/>
        </w:rPr>
        <w:t xml:space="preserve"> </w:t>
      </w:r>
      <w:r>
        <w:t>precio</w:t>
      </w:r>
      <w:r>
        <w:rPr>
          <w:spacing w:val="-12"/>
        </w:rPr>
        <w:t xml:space="preserve"> </w:t>
      </w:r>
      <w:r>
        <w:t>que</w:t>
      </w:r>
      <w:r>
        <w:rPr>
          <w:spacing w:val="-13"/>
        </w:rPr>
        <w:t xml:space="preserve"> </w:t>
      </w:r>
      <w:r>
        <w:t>puede</w:t>
      </w:r>
      <w:r>
        <w:rPr>
          <w:spacing w:val="-12"/>
        </w:rPr>
        <w:t xml:space="preserve"> </w:t>
      </w:r>
      <w:r>
        <w:t>ofrecer</w:t>
      </w:r>
      <w:r>
        <w:rPr>
          <w:spacing w:val="-11"/>
        </w:rPr>
        <w:t xml:space="preserve"> </w:t>
      </w:r>
      <w:r>
        <w:t>cada proponente y en la calidad de su oferta.</w:t>
      </w:r>
    </w:p>
    <w:p w14:paraId="5090C677" w14:textId="77777777" w:rsidR="00D9437F" w:rsidRDefault="00D9437F" w:rsidP="00D9437F">
      <w:pPr>
        <w:pStyle w:val="Textoindependiente"/>
        <w:spacing w:after="120" w:line="276" w:lineRule="auto"/>
        <w:ind w:left="261" w:right="51" w:firstLine="709"/>
        <w:jc w:val="both"/>
      </w:pPr>
      <w:r>
        <w:t>No puede alegarse que se viola el principio de igualdad cuando una entidad compara el precio real que ofrece cada proponente, pues la jurisprudencia</w:t>
      </w:r>
      <w:r>
        <w:rPr>
          <w:spacing w:val="-3"/>
        </w:rPr>
        <w:t xml:space="preserve"> </w:t>
      </w:r>
      <w:r>
        <w:t>constitucional</w:t>
      </w:r>
      <w:r>
        <w:rPr>
          <w:spacing w:val="-3"/>
        </w:rPr>
        <w:t xml:space="preserve"> </w:t>
      </w:r>
      <w:r>
        <w:t>tiene</w:t>
      </w:r>
      <w:r>
        <w:rPr>
          <w:spacing w:val="-6"/>
        </w:rPr>
        <w:t xml:space="preserve"> </w:t>
      </w:r>
      <w:r>
        <w:t>bien</w:t>
      </w:r>
      <w:r>
        <w:rPr>
          <w:spacing w:val="-7"/>
        </w:rPr>
        <w:t xml:space="preserve"> </w:t>
      </w:r>
      <w:r>
        <w:t>determinado</w:t>
      </w:r>
      <w:r>
        <w:rPr>
          <w:spacing w:val="-4"/>
        </w:rPr>
        <w:t xml:space="preserve"> </w:t>
      </w:r>
      <w:r>
        <w:t>que</w:t>
      </w:r>
      <w:r>
        <w:rPr>
          <w:spacing w:val="-7"/>
        </w:rPr>
        <w:t xml:space="preserve"> </w:t>
      </w:r>
      <w:r>
        <w:t>la</w:t>
      </w:r>
      <w:r>
        <w:rPr>
          <w:spacing w:val="-7"/>
        </w:rPr>
        <w:t xml:space="preserve"> </w:t>
      </w:r>
      <w:r>
        <w:t>igualdad</w:t>
      </w:r>
      <w:r>
        <w:rPr>
          <w:spacing w:val="-6"/>
        </w:rPr>
        <w:t xml:space="preserve"> </w:t>
      </w:r>
      <w:r>
        <w:t>de</w:t>
      </w:r>
      <w:r>
        <w:rPr>
          <w:spacing w:val="-7"/>
        </w:rPr>
        <w:t xml:space="preserve"> </w:t>
      </w:r>
      <w:r>
        <w:t>trato</w:t>
      </w:r>
      <w:r>
        <w:rPr>
          <w:spacing w:val="-6"/>
        </w:rPr>
        <w:t xml:space="preserve"> </w:t>
      </w:r>
      <w:r>
        <w:t>se predica</w:t>
      </w:r>
      <w:r>
        <w:rPr>
          <w:spacing w:val="-2"/>
        </w:rPr>
        <w:t xml:space="preserve"> </w:t>
      </w:r>
      <w:r>
        <w:t>entre</w:t>
      </w:r>
      <w:r>
        <w:rPr>
          <w:spacing w:val="-2"/>
        </w:rPr>
        <w:t xml:space="preserve"> </w:t>
      </w:r>
      <w:r>
        <w:t>iguales.</w:t>
      </w:r>
      <w:r>
        <w:rPr>
          <w:spacing w:val="-1"/>
        </w:rPr>
        <w:t xml:space="preserve"> </w:t>
      </w:r>
      <w:r>
        <w:t>En</w:t>
      </w:r>
      <w:r>
        <w:rPr>
          <w:spacing w:val="-4"/>
        </w:rPr>
        <w:t xml:space="preserve"> </w:t>
      </w:r>
      <w:r>
        <w:t>otras</w:t>
      </w:r>
      <w:r>
        <w:rPr>
          <w:spacing w:val="-3"/>
        </w:rPr>
        <w:t xml:space="preserve"> </w:t>
      </w:r>
      <w:r>
        <w:t>palabras,</w:t>
      </w:r>
      <w:r>
        <w:rPr>
          <w:spacing w:val="-1"/>
        </w:rPr>
        <w:t xml:space="preserve"> </w:t>
      </w:r>
      <w:r>
        <w:t>para</w:t>
      </w:r>
      <w:r>
        <w:rPr>
          <w:spacing w:val="-3"/>
        </w:rPr>
        <w:t xml:space="preserve"> </w:t>
      </w:r>
      <w:r>
        <w:t>que</w:t>
      </w:r>
      <w:r>
        <w:rPr>
          <w:spacing w:val="-3"/>
        </w:rPr>
        <w:t xml:space="preserve"> </w:t>
      </w:r>
      <w:r>
        <w:t>se</w:t>
      </w:r>
      <w:r>
        <w:rPr>
          <w:spacing w:val="-3"/>
        </w:rPr>
        <w:t xml:space="preserve"> </w:t>
      </w:r>
      <w:r>
        <w:t>pueda</w:t>
      </w:r>
      <w:r>
        <w:rPr>
          <w:spacing w:val="-3"/>
        </w:rPr>
        <w:t xml:space="preserve"> </w:t>
      </w:r>
      <w:r>
        <w:t>exigir</w:t>
      </w:r>
      <w:r>
        <w:rPr>
          <w:spacing w:val="-2"/>
        </w:rPr>
        <w:t xml:space="preserve"> </w:t>
      </w:r>
      <w:r>
        <w:t>el</w:t>
      </w:r>
      <w:r>
        <w:rPr>
          <w:spacing w:val="-4"/>
        </w:rPr>
        <w:t xml:space="preserve"> </w:t>
      </w:r>
      <w:r>
        <w:t>respeto</w:t>
      </w:r>
      <w:r>
        <w:rPr>
          <w:spacing w:val="-2"/>
        </w:rPr>
        <w:t xml:space="preserve"> </w:t>
      </w:r>
      <w:r>
        <w:t>de la</w:t>
      </w:r>
      <w:r>
        <w:rPr>
          <w:spacing w:val="-5"/>
        </w:rPr>
        <w:t xml:space="preserve"> </w:t>
      </w:r>
      <w:r>
        <w:t>igualdad</w:t>
      </w:r>
      <w:r>
        <w:rPr>
          <w:spacing w:val="-4"/>
        </w:rPr>
        <w:t xml:space="preserve"> </w:t>
      </w:r>
      <w:r>
        <w:t>hay</w:t>
      </w:r>
      <w:r>
        <w:rPr>
          <w:spacing w:val="-5"/>
        </w:rPr>
        <w:t xml:space="preserve"> </w:t>
      </w:r>
      <w:r>
        <w:t>que</w:t>
      </w:r>
      <w:r>
        <w:rPr>
          <w:spacing w:val="-5"/>
        </w:rPr>
        <w:t xml:space="preserve"> </w:t>
      </w:r>
      <w:r>
        <w:t>demostrar</w:t>
      </w:r>
      <w:r>
        <w:rPr>
          <w:spacing w:val="-3"/>
        </w:rPr>
        <w:t xml:space="preserve"> </w:t>
      </w:r>
      <w:r>
        <w:t>que</w:t>
      </w:r>
      <w:r>
        <w:rPr>
          <w:spacing w:val="-5"/>
        </w:rPr>
        <w:t xml:space="preserve"> </w:t>
      </w:r>
      <w:r>
        <w:t>se</w:t>
      </w:r>
      <w:r>
        <w:rPr>
          <w:spacing w:val="-5"/>
        </w:rPr>
        <w:t xml:space="preserve"> </w:t>
      </w:r>
      <w:r>
        <w:t>está</w:t>
      </w:r>
      <w:r>
        <w:rPr>
          <w:spacing w:val="-4"/>
        </w:rPr>
        <w:t xml:space="preserve"> </w:t>
      </w:r>
      <w:r>
        <w:t>en</w:t>
      </w:r>
      <w:r>
        <w:rPr>
          <w:spacing w:val="-5"/>
        </w:rPr>
        <w:t xml:space="preserve"> </w:t>
      </w:r>
      <w:r>
        <w:t>la</w:t>
      </w:r>
      <w:r>
        <w:rPr>
          <w:spacing w:val="-5"/>
        </w:rPr>
        <w:t xml:space="preserve"> </w:t>
      </w:r>
      <w:r>
        <w:t>misma</w:t>
      </w:r>
      <w:r>
        <w:rPr>
          <w:spacing w:val="-4"/>
        </w:rPr>
        <w:t xml:space="preserve"> </w:t>
      </w:r>
      <w:r>
        <w:t>situación</w:t>
      </w:r>
      <w:r>
        <w:rPr>
          <w:spacing w:val="-2"/>
        </w:rPr>
        <w:t xml:space="preserve"> </w:t>
      </w:r>
      <w:r>
        <w:t>de</w:t>
      </w:r>
      <w:r>
        <w:rPr>
          <w:spacing w:val="-5"/>
        </w:rPr>
        <w:t xml:space="preserve"> </w:t>
      </w:r>
      <w:r>
        <w:t>hecho</w:t>
      </w:r>
      <w:r>
        <w:rPr>
          <w:spacing w:val="-4"/>
        </w:rPr>
        <w:t xml:space="preserve"> </w:t>
      </w:r>
      <w:r>
        <w:t>y</w:t>
      </w:r>
      <w:r>
        <w:rPr>
          <w:spacing w:val="-5"/>
        </w:rPr>
        <w:t xml:space="preserve"> </w:t>
      </w:r>
      <w:r>
        <w:t xml:space="preserve">de </w:t>
      </w:r>
      <w:r>
        <w:rPr>
          <w:spacing w:val="-2"/>
        </w:rPr>
        <w:t>derecho.</w:t>
      </w:r>
    </w:p>
    <w:p w14:paraId="5D1A9F51" w14:textId="77777777" w:rsidR="00D9437F" w:rsidRDefault="00D9437F" w:rsidP="00D9437F">
      <w:pPr>
        <w:pStyle w:val="Textoindependiente"/>
        <w:spacing w:after="120" w:line="276" w:lineRule="auto"/>
        <w:ind w:left="261" w:right="51" w:firstLine="709"/>
        <w:jc w:val="both"/>
      </w:pPr>
      <w:r>
        <w:t>Además, debe tenerse presente que la definición del régimen tributario aplicable a los proponentes que se presentan al procedimiento de selección no es</w:t>
      </w:r>
      <w:r>
        <w:rPr>
          <w:spacing w:val="-18"/>
        </w:rPr>
        <w:t xml:space="preserve"> </w:t>
      </w:r>
      <w:r>
        <w:t>realizada</w:t>
      </w:r>
      <w:r>
        <w:rPr>
          <w:spacing w:val="-17"/>
        </w:rPr>
        <w:t xml:space="preserve"> </w:t>
      </w:r>
      <w:r>
        <w:t>por</w:t>
      </w:r>
      <w:r>
        <w:rPr>
          <w:spacing w:val="-18"/>
        </w:rPr>
        <w:t xml:space="preserve"> </w:t>
      </w:r>
      <w:r>
        <w:t>la</w:t>
      </w:r>
      <w:r>
        <w:rPr>
          <w:spacing w:val="-19"/>
        </w:rPr>
        <w:t xml:space="preserve"> </w:t>
      </w:r>
      <w:r>
        <w:t>entidad</w:t>
      </w:r>
      <w:r>
        <w:rPr>
          <w:spacing w:val="-17"/>
        </w:rPr>
        <w:t xml:space="preserve"> </w:t>
      </w:r>
      <w:r>
        <w:t>estatal,</w:t>
      </w:r>
      <w:r>
        <w:rPr>
          <w:spacing w:val="-16"/>
        </w:rPr>
        <w:t xml:space="preserve"> </w:t>
      </w:r>
      <w:r>
        <w:t>sino</w:t>
      </w:r>
      <w:r>
        <w:rPr>
          <w:spacing w:val="-18"/>
        </w:rPr>
        <w:t xml:space="preserve"> </w:t>
      </w:r>
      <w:r>
        <w:t>que</w:t>
      </w:r>
      <w:r>
        <w:rPr>
          <w:spacing w:val="-18"/>
        </w:rPr>
        <w:t xml:space="preserve"> </w:t>
      </w:r>
      <w:r>
        <w:t>es</w:t>
      </w:r>
      <w:r>
        <w:rPr>
          <w:spacing w:val="-18"/>
        </w:rPr>
        <w:t xml:space="preserve"> </w:t>
      </w:r>
      <w:r>
        <w:t>un</w:t>
      </w:r>
      <w:r>
        <w:rPr>
          <w:spacing w:val="-19"/>
        </w:rPr>
        <w:t xml:space="preserve"> </w:t>
      </w:r>
      <w:r>
        <w:t>tema</w:t>
      </w:r>
      <w:r>
        <w:rPr>
          <w:spacing w:val="-18"/>
        </w:rPr>
        <w:t xml:space="preserve"> </w:t>
      </w:r>
      <w:r>
        <w:t>definido</w:t>
      </w:r>
      <w:r>
        <w:rPr>
          <w:spacing w:val="-17"/>
        </w:rPr>
        <w:t xml:space="preserve"> </w:t>
      </w:r>
      <w:r>
        <w:t>por</w:t>
      </w:r>
      <w:r>
        <w:rPr>
          <w:spacing w:val="-18"/>
        </w:rPr>
        <w:t xml:space="preserve"> </w:t>
      </w:r>
      <w:r>
        <w:t>el</w:t>
      </w:r>
      <w:r>
        <w:rPr>
          <w:spacing w:val="-19"/>
        </w:rPr>
        <w:t xml:space="preserve"> </w:t>
      </w:r>
      <w:r>
        <w:t>legislador, quien</w:t>
      </w:r>
      <w:r>
        <w:rPr>
          <w:spacing w:val="-6"/>
        </w:rPr>
        <w:t xml:space="preserve"> </w:t>
      </w:r>
      <w:r>
        <w:t>optó</w:t>
      </w:r>
      <w:r>
        <w:rPr>
          <w:spacing w:val="-7"/>
        </w:rPr>
        <w:t xml:space="preserve"> </w:t>
      </w:r>
      <w:r>
        <w:t>por</w:t>
      </w:r>
      <w:r>
        <w:rPr>
          <w:spacing w:val="-7"/>
        </w:rPr>
        <w:t xml:space="preserve"> </w:t>
      </w:r>
      <w:r>
        <w:t>establecer</w:t>
      </w:r>
      <w:r>
        <w:rPr>
          <w:spacing w:val="-4"/>
        </w:rPr>
        <w:t xml:space="preserve"> </w:t>
      </w:r>
      <w:r>
        <w:t>ciertas</w:t>
      </w:r>
      <w:r>
        <w:rPr>
          <w:spacing w:val="-6"/>
        </w:rPr>
        <w:t xml:space="preserve"> </w:t>
      </w:r>
      <w:r>
        <w:t>cargas</w:t>
      </w:r>
      <w:r>
        <w:rPr>
          <w:spacing w:val="-6"/>
        </w:rPr>
        <w:t xml:space="preserve"> </w:t>
      </w:r>
      <w:r>
        <w:t>a</w:t>
      </w:r>
      <w:r>
        <w:rPr>
          <w:spacing w:val="-8"/>
        </w:rPr>
        <w:t xml:space="preserve"> </w:t>
      </w:r>
      <w:r>
        <w:t>algunos</w:t>
      </w:r>
      <w:r>
        <w:rPr>
          <w:spacing w:val="-6"/>
        </w:rPr>
        <w:t xml:space="preserve"> </w:t>
      </w:r>
      <w:r>
        <w:t>sujetos</w:t>
      </w:r>
      <w:r>
        <w:rPr>
          <w:spacing w:val="-6"/>
        </w:rPr>
        <w:t xml:space="preserve"> </w:t>
      </w:r>
      <w:r>
        <w:t>y</w:t>
      </w:r>
      <w:r>
        <w:rPr>
          <w:spacing w:val="-8"/>
        </w:rPr>
        <w:t xml:space="preserve"> </w:t>
      </w:r>
      <w:r>
        <w:t>a</w:t>
      </w:r>
      <w:r>
        <w:rPr>
          <w:spacing w:val="-8"/>
        </w:rPr>
        <w:t xml:space="preserve"> </w:t>
      </w:r>
      <w:r>
        <w:t>otros</w:t>
      </w:r>
      <w:r>
        <w:rPr>
          <w:spacing w:val="-7"/>
        </w:rPr>
        <w:t xml:space="preserve"> </w:t>
      </w:r>
      <w:r>
        <w:t>no.</w:t>
      </w:r>
      <w:r>
        <w:rPr>
          <w:spacing w:val="-7"/>
        </w:rPr>
        <w:t xml:space="preserve"> </w:t>
      </w:r>
      <w:r>
        <w:t>Es</w:t>
      </w:r>
      <w:r>
        <w:rPr>
          <w:spacing w:val="-7"/>
        </w:rPr>
        <w:t xml:space="preserve"> </w:t>
      </w:r>
      <w:r>
        <w:t>decir que la distinción o discriminación fue realizada por el legislador.</w:t>
      </w:r>
    </w:p>
    <w:p w14:paraId="615EC954" w14:textId="77777777" w:rsidR="00D9437F" w:rsidRDefault="00D9437F" w:rsidP="00D9437F">
      <w:pPr>
        <w:pStyle w:val="Textoindependiente"/>
        <w:spacing w:after="120" w:line="276" w:lineRule="auto"/>
        <w:ind w:left="261" w:right="51" w:firstLine="709"/>
        <w:jc w:val="both"/>
        <w:rPr>
          <w:spacing w:val="-2"/>
        </w:rPr>
      </w:pPr>
      <w:r>
        <w:t>La Corte Constitucional ha señalado que un correcto entendimiento del derecho a la igualdad parte de la consideración de tratar igual a quienes estén en</w:t>
      </w:r>
      <w:r>
        <w:rPr>
          <w:spacing w:val="-18"/>
        </w:rPr>
        <w:t xml:space="preserve"> </w:t>
      </w:r>
      <w:r>
        <w:t>situaciones</w:t>
      </w:r>
      <w:r>
        <w:rPr>
          <w:spacing w:val="-16"/>
        </w:rPr>
        <w:t xml:space="preserve"> </w:t>
      </w:r>
      <w:r>
        <w:t>esencialmente</w:t>
      </w:r>
      <w:r>
        <w:rPr>
          <w:spacing w:val="-14"/>
        </w:rPr>
        <w:t xml:space="preserve"> </w:t>
      </w:r>
      <w:r>
        <w:t>similares</w:t>
      </w:r>
      <w:r>
        <w:rPr>
          <w:spacing w:val="-16"/>
        </w:rPr>
        <w:t xml:space="preserve"> </w:t>
      </w:r>
      <w:r>
        <w:t>y</w:t>
      </w:r>
      <w:r>
        <w:rPr>
          <w:spacing w:val="-19"/>
        </w:rPr>
        <w:t xml:space="preserve"> </w:t>
      </w:r>
      <w:r>
        <w:t>desigual</w:t>
      </w:r>
      <w:r>
        <w:rPr>
          <w:spacing w:val="-16"/>
        </w:rPr>
        <w:t xml:space="preserve"> </w:t>
      </w:r>
      <w:r>
        <w:t>a</w:t>
      </w:r>
      <w:r>
        <w:rPr>
          <w:spacing w:val="-19"/>
        </w:rPr>
        <w:t xml:space="preserve"> </w:t>
      </w:r>
      <w:r>
        <w:t>quienes</w:t>
      </w:r>
      <w:r>
        <w:rPr>
          <w:spacing w:val="-17"/>
        </w:rPr>
        <w:t xml:space="preserve"> </w:t>
      </w:r>
      <w:r>
        <w:t>estén</w:t>
      </w:r>
      <w:r>
        <w:rPr>
          <w:spacing w:val="-17"/>
        </w:rPr>
        <w:t xml:space="preserve"> </w:t>
      </w:r>
      <w:r>
        <w:t>en</w:t>
      </w:r>
      <w:r>
        <w:rPr>
          <w:spacing w:val="-18"/>
        </w:rPr>
        <w:t xml:space="preserve"> </w:t>
      </w:r>
      <w:r>
        <w:t xml:space="preserve">situaciones </w:t>
      </w:r>
      <w:r>
        <w:rPr>
          <w:spacing w:val="-2"/>
        </w:rPr>
        <w:t>diferentes:</w:t>
      </w:r>
    </w:p>
    <w:p w14:paraId="28582118" w14:textId="77777777" w:rsidR="00F70969" w:rsidRPr="00774814" w:rsidRDefault="00F70969" w:rsidP="00F70969">
      <w:pPr>
        <w:spacing w:before="256"/>
        <w:ind w:left="851" w:right="758"/>
        <w:jc w:val="both"/>
        <w:rPr>
          <w:rFonts w:ascii="Verdana" w:hAnsi="Verdana"/>
          <w:sz w:val="20"/>
        </w:rPr>
      </w:pPr>
      <w:r w:rsidRPr="0016572D">
        <w:rPr>
          <w:rFonts w:ascii="Verdana" w:hAnsi="Verdana"/>
          <w:sz w:val="20"/>
        </w:rPr>
        <w:t>La</w:t>
      </w:r>
      <w:r w:rsidRPr="0016572D">
        <w:rPr>
          <w:rFonts w:ascii="Verdana" w:hAnsi="Verdana"/>
          <w:spacing w:val="-12"/>
          <w:sz w:val="20"/>
        </w:rPr>
        <w:t xml:space="preserve"> </w:t>
      </w:r>
      <w:r w:rsidRPr="0016572D">
        <w:rPr>
          <w:rFonts w:ascii="Verdana" w:hAnsi="Verdana"/>
          <w:sz w:val="20"/>
        </w:rPr>
        <w:t>correcta</w:t>
      </w:r>
      <w:r w:rsidRPr="0016572D">
        <w:rPr>
          <w:rFonts w:ascii="Verdana" w:hAnsi="Verdana"/>
          <w:spacing w:val="-11"/>
          <w:sz w:val="20"/>
        </w:rPr>
        <w:t xml:space="preserve"> </w:t>
      </w:r>
      <w:r w:rsidRPr="0016572D">
        <w:rPr>
          <w:rFonts w:ascii="Verdana" w:hAnsi="Verdana"/>
          <w:sz w:val="20"/>
        </w:rPr>
        <w:t>aplicación</w:t>
      </w:r>
      <w:r w:rsidRPr="0016572D">
        <w:rPr>
          <w:rFonts w:ascii="Verdana" w:hAnsi="Verdana"/>
          <w:spacing w:val="-10"/>
          <w:sz w:val="20"/>
        </w:rPr>
        <w:t xml:space="preserve"> </w:t>
      </w:r>
      <w:r w:rsidRPr="0016572D">
        <w:rPr>
          <w:rFonts w:ascii="Verdana" w:hAnsi="Verdana"/>
          <w:sz w:val="20"/>
        </w:rPr>
        <w:t>del</w:t>
      </w:r>
      <w:r w:rsidRPr="0016572D">
        <w:rPr>
          <w:rFonts w:ascii="Verdana" w:hAnsi="Verdana"/>
          <w:spacing w:val="-12"/>
          <w:sz w:val="20"/>
        </w:rPr>
        <w:t xml:space="preserve"> </w:t>
      </w:r>
      <w:r w:rsidRPr="0016572D">
        <w:rPr>
          <w:rFonts w:ascii="Verdana" w:hAnsi="Verdana"/>
          <w:sz w:val="20"/>
        </w:rPr>
        <w:t>derecho</w:t>
      </w:r>
      <w:r w:rsidRPr="0016572D">
        <w:rPr>
          <w:rFonts w:ascii="Verdana" w:hAnsi="Verdana"/>
          <w:spacing w:val="-11"/>
          <w:sz w:val="20"/>
        </w:rPr>
        <w:t xml:space="preserve"> </w:t>
      </w:r>
      <w:r w:rsidRPr="0016572D">
        <w:rPr>
          <w:rFonts w:ascii="Verdana" w:hAnsi="Verdana"/>
          <w:sz w:val="20"/>
        </w:rPr>
        <w:t>a</w:t>
      </w:r>
      <w:r w:rsidRPr="0016572D">
        <w:rPr>
          <w:rFonts w:ascii="Verdana" w:hAnsi="Verdana"/>
          <w:spacing w:val="-13"/>
          <w:sz w:val="20"/>
        </w:rPr>
        <w:t xml:space="preserve"> </w:t>
      </w:r>
      <w:r w:rsidRPr="0016572D">
        <w:rPr>
          <w:rFonts w:ascii="Verdana" w:hAnsi="Verdana"/>
          <w:sz w:val="20"/>
        </w:rPr>
        <w:t>la</w:t>
      </w:r>
      <w:r w:rsidRPr="0016572D">
        <w:rPr>
          <w:rFonts w:ascii="Verdana" w:hAnsi="Verdana"/>
          <w:spacing w:val="-13"/>
          <w:sz w:val="20"/>
        </w:rPr>
        <w:t xml:space="preserve"> </w:t>
      </w:r>
      <w:r w:rsidRPr="0016572D">
        <w:rPr>
          <w:rFonts w:ascii="Verdana" w:hAnsi="Verdana"/>
          <w:sz w:val="20"/>
        </w:rPr>
        <w:t>igualdad</w:t>
      </w:r>
      <w:r w:rsidRPr="0016572D">
        <w:rPr>
          <w:rFonts w:ascii="Verdana" w:hAnsi="Verdana"/>
          <w:spacing w:val="-11"/>
          <w:sz w:val="20"/>
        </w:rPr>
        <w:t xml:space="preserve"> </w:t>
      </w:r>
      <w:r w:rsidRPr="0016572D">
        <w:rPr>
          <w:rFonts w:ascii="Verdana" w:hAnsi="Verdana"/>
          <w:sz w:val="20"/>
        </w:rPr>
        <w:t>no</w:t>
      </w:r>
      <w:r w:rsidRPr="0016572D">
        <w:rPr>
          <w:rFonts w:ascii="Verdana" w:hAnsi="Verdana"/>
          <w:spacing w:val="-13"/>
          <w:sz w:val="20"/>
        </w:rPr>
        <w:t xml:space="preserve"> </w:t>
      </w:r>
      <w:r w:rsidRPr="0016572D">
        <w:rPr>
          <w:rFonts w:ascii="Verdana" w:hAnsi="Verdana"/>
          <w:sz w:val="20"/>
        </w:rPr>
        <w:t>sólo</w:t>
      </w:r>
      <w:r w:rsidRPr="0016572D">
        <w:rPr>
          <w:rFonts w:ascii="Verdana" w:hAnsi="Verdana"/>
          <w:spacing w:val="-12"/>
          <w:sz w:val="20"/>
        </w:rPr>
        <w:t xml:space="preserve"> </w:t>
      </w:r>
      <w:r w:rsidRPr="0016572D">
        <w:rPr>
          <w:rFonts w:ascii="Verdana" w:hAnsi="Verdana"/>
          <w:sz w:val="20"/>
        </w:rPr>
        <w:t>supone</w:t>
      </w:r>
      <w:r w:rsidRPr="0016572D">
        <w:rPr>
          <w:rFonts w:ascii="Verdana" w:hAnsi="Verdana"/>
          <w:spacing w:val="-11"/>
          <w:sz w:val="20"/>
        </w:rPr>
        <w:t xml:space="preserve"> </w:t>
      </w:r>
      <w:r w:rsidRPr="0016572D">
        <w:rPr>
          <w:rFonts w:ascii="Verdana" w:hAnsi="Verdana"/>
          <w:sz w:val="20"/>
        </w:rPr>
        <w:t>la</w:t>
      </w:r>
      <w:r w:rsidRPr="0016572D">
        <w:rPr>
          <w:rFonts w:ascii="Verdana" w:hAnsi="Verdana"/>
          <w:spacing w:val="-13"/>
          <w:sz w:val="20"/>
        </w:rPr>
        <w:t xml:space="preserve"> </w:t>
      </w:r>
      <w:r w:rsidRPr="0016572D">
        <w:rPr>
          <w:rFonts w:ascii="Verdana" w:hAnsi="Verdana"/>
          <w:sz w:val="20"/>
        </w:rPr>
        <w:t>igualdad de trato respecto de los privilegios, oportunidades y cargas entre los iguales,</w:t>
      </w:r>
      <w:r w:rsidRPr="0016572D">
        <w:rPr>
          <w:rFonts w:ascii="Verdana" w:hAnsi="Verdana"/>
          <w:spacing w:val="-5"/>
          <w:sz w:val="20"/>
        </w:rPr>
        <w:t xml:space="preserve"> </w:t>
      </w:r>
      <w:r w:rsidRPr="0016572D">
        <w:rPr>
          <w:rFonts w:ascii="Verdana" w:hAnsi="Verdana"/>
          <w:sz w:val="20"/>
        </w:rPr>
        <w:t>sino</w:t>
      </w:r>
      <w:r w:rsidRPr="0016572D">
        <w:rPr>
          <w:rFonts w:ascii="Verdana" w:hAnsi="Verdana"/>
          <w:spacing w:val="-4"/>
          <w:sz w:val="20"/>
        </w:rPr>
        <w:t xml:space="preserve"> </w:t>
      </w:r>
      <w:r w:rsidRPr="0016572D">
        <w:rPr>
          <w:rFonts w:ascii="Verdana" w:hAnsi="Verdana"/>
          <w:sz w:val="20"/>
        </w:rPr>
        <w:t>también</w:t>
      </w:r>
      <w:r w:rsidRPr="0016572D">
        <w:rPr>
          <w:rFonts w:ascii="Verdana" w:hAnsi="Verdana"/>
          <w:spacing w:val="-4"/>
          <w:sz w:val="20"/>
        </w:rPr>
        <w:t xml:space="preserve"> </w:t>
      </w:r>
      <w:r w:rsidRPr="0016572D">
        <w:rPr>
          <w:rFonts w:ascii="Verdana" w:hAnsi="Verdana"/>
          <w:sz w:val="20"/>
        </w:rPr>
        <w:t>el</w:t>
      </w:r>
      <w:r w:rsidRPr="0016572D">
        <w:rPr>
          <w:rFonts w:ascii="Verdana" w:hAnsi="Verdana"/>
          <w:spacing w:val="-4"/>
          <w:sz w:val="20"/>
        </w:rPr>
        <w:t xml:space="preserve"> </w:t>
      </w:r>
      <w:r w:rsidRPr="0016572D">
        <w:rPr>
          <w:rFonts w:ascii="Verdana" w:hAnsi="Verdana"/>
          <w:sz w:val="20"/>
        </w:rPr>
        <w:t>tratamiento</w:t>
      </w:r>
      <w:r w:rsidRPr="0016572D">
        <w:rPr>
          <w:rFonts w:ascii="Verdana" w:hAnsi="Verdana"/>
          <w:spacing w:val="-4"/>
          <w:sz w:val="20"/>
        </w:rPr>
        <w:t xml:space="preserve"> </w:t>
      </w:r>
      <w:r w:rsidRPr="0016572D">
        <w:rPr>
          <w:rFonts w:ascii="Verdana" w:hAnsi="Verdana"/>
          <w:sz w:val="20"/>
        </w:rPr>
        <w:t>desigual</w:t>
      </w:r>
      <w:r w:rsidRPr="0016572D">
        <w:rPr>
          <w:rFonts w:ascii="Verdana" w:hAnsi="Verdana"/>
          <w:spacing w:val="-4"/>
          <w:sz w:val="20"/>
        </w:rPr>
        <w:t xml:space="preserve"> </w:t>
      </w:r>
      <w:r w:rsidRPr="0016572D">
        <w:rPr>
          <w:rFonts w:ascii="Verdana" w:hAnsi="Verdana"/>
          <w:sz w:val="20"/>
        </w:rPr>
        <w:t>entre</w:t>
      </w:r>
      <w:r w:rsidRPr="0016572D">
        <w:rPr>
          <w:rFonts w:ascii="Verdana" w:hAnsi="Verdana"/>
          <w:spacing w:val="-4"/>
          <w:sz w:val="20"/>
        </w:rPr>
        <w:t xml:space="preserve"> </w:t>
      </w:r>
      <w:r w:rsidRPr="0016572D">
        <w:rPr>
          <w:rFonts w:ascii="Verdana" w:hAnsi="Verdana"/>
          <w:sz w:val="20"/>
        </w:rPr>
        <w:t>supuestos</w:t>
      </w:r>
      <w:r w:rsidRPr="0016572D">
        <w:rPr>
          <w:rFonts w:ascii="Verdana" w:hAnsi="Verdana"/>
          <w:spacing w:val="-4"/>
          <w:sz w:val="20"/>
        </w:rPr>
        <w:t xml:space="preserve"> </w:t>
      </w:r>
      <w:r w:rsidRPr="0016572D">
        <w:rPr>
          <w:rFonts w:ascii="Verdana" w:hAnsi="Verdana"/>
          <w:sz w:val="20"/>
        </w:rPr>
        <w:t>disímiles</w:t>
      </w:r>
      <w:r w:rsidRPr="0016572D">
        <w:rPr>
          <w:rFonts w:ascii="Verdana" w:hAnsi="Verdana"/>
          <w:spacing w:val="-49"/>
          <w:sz w:val="20"/>
        </w:rPr>
        <w:t xml:space="preserve"> </w:t>
      </w:r>
      <w:r>
        <w:rPr>
          <w:rStyle w:val="Refdenotaalpie"/>
          <w:rFonts w:ascii="Verdana" w:hAnsi="Verdana"/>
          <w:spacing w:val="-49"/>
          <w:sz w:val="20"/>
        </w:rPr>
        <w:footnoteReference w:id="20"/>
      </w:r>
      <w:r w:rsidRPr="0016572D">
        <w:rPr>
          <w:rFonts w:ascii="Verdana" w:hAnsi="Verdana"/>
          <w:sz w:val="20"/>
        </w:rPr>
        <w:t>.</w:t>
      </w:r>
    </w:p>
    <w:p w14:paraId="57FA4B5E" w14:textId="77777777" w:rsidR="00F70969" w:rsidRDefault="00F70969" w:rsidP="00F70969">
      <w:pPr>
        <w:pStyle w:val="Textoindependiente"/>
        <w:spacing w:after="120" w:line="276" w:lineRule="auto"/>
        <w:ind w:left="260" w:right="49" w:firstLine="709"/>
        <w:jc w:val="both"/>
      </w:pPr>
      <w:r>
        <w:t>Así las cosas, no puede predicarse igualdad de trato frente a quienes no se</w:t>
      </w:r>
      <w:r>
        <w:rPr>
          <w:spacing w:val="-8"/>
        </w:rPr>
        <w:t xml:space="preserve"> </w:t>
      </w:r>
      <w:r>
        <w:t>encuentran</w:t>
      </w:r>
      <w:r>
        <w:rPr>
          <w:spacing w:val="-5"/>
        </w:rPr>
        <w:t xml:space="preserve"> </w:t>
      </w:r>
      <w:r>
        <w:t>en</w:t>
      </w:r>
      <w:r>
        <w:rPr>
          <w:spacing w:val="-8"/>
        </w:rPr>
        <w:t xml:space="preserve"> </w:t>
      </w:r>
      <w:r>
        <w:t>la</w:t>
      </w:r>
      <w:r>
        <w:rPr>
          <w:spacing w:val="-9"/>
        </w:rPr>
        <w:t xml:space="preserve"> </w:t>
      </w:r>
      <w:r>
        <w:t>misma</w:t>
      </w:r>
      <w:r>
        <w:rPr>
          <w:spacing w:val="-7"/>
        </w:rPr>
        <w:t xml:space="preserve"> </w:t>
      </w:r>
      <w:r>
        <w:t>situación.</w:t>
      </w:r>
      <w:r>
        <w:rPr>
          <w:spacing w:val="-5"/>
        </w:rPr>
        <w:t xml:space="preserve"> </w:t>
      </w:r>
      <w:r>
        <w:t>Entonces,</w:t>
      </w:r>
      <w:r>
        <w:rPr>
          <w:spacing w:val="-6"/>
        </w:rPr>
        <w:t xml:space="preserve"> </w:t>
      </w:r>
      <w:r>
        <w:t>no</w:t>
      </w:r>
      <w:r>
        <w:rPr>
          <w:spacing w:val="-9"/>
        </w:rPr>
        <w:t xml:space="preserve"> </w:t>
      </w:r>
      <w:r>
        <w:t>podría</w:t>
      </w:r>
      <w:r>
        <w:rPr>
          <w:spacing w:val="-8"/>
        </w:rPr>
        <w:t xml:space="preserve"> </w:t>
      </w:r>
      <w:r>
        <w:t>justificarse</w:t>
      </w:r>
      <w:r>
        <w:rPr>
          <w:spacing w:val="-5"/>
        </w:rPr>
        <w:t xml:space="preserve"> </w:t>
      </w:r>
      <w:r>
        <w:t>que</w:t>
      </w:r>
      <w:r>
        <w:rPr>
          <w:spacing w:val="-8"/>
        </w:rPr>
        <w:t xml:space="preserve"> </w:t>
      </w:r>
      <w:r>
        <w:t>en</w:t>
      </w:r>
      <w:r>
        <w:rPr>
          <w:spacing w:val="-8"/>
        </w:rPr>
        <w:t xml:space="preserve"> </w:t>
      </w:r>
      <w:r>
        <w:t>un proceso de selección donde existen oferentes que proponen un precio con IVA, por ser responsables de este, y otros que no, la ponderación de propuestas se haga descontando el IVA para todos, pues ello, antes que ir acorde el principio de igualdad, lo violenta, y afectaría la selección objetiva.</w:t>
      </w:r>
    </w:p>
    <w:p w14:paraId="382A3116" w14:textId="77777777" w:rsidR="00F70969" w:rsidRDefault="00F70969" w:rsidP="00F70969">
      <w:pPr>
        <w:pStyle w:val="Textoindependiente"/>
        <w:spacing w:after="120" w:line="276" w:lineRule="auto"/>
        <w:ind w:left="260" w:right="49" w:firstLine="709"/>
        <w:jc w:val="both"/>
      </w:pPr>
      <w:r>
        <w:t>Es claro señala que, efectivamente no se encuentran en la misma situación quienes ofrecen un</w:t>
      </w:r>
      <w:r>
        <w:rPr>
          <w:spacing w:val="-1"/>
        </w:rPr>
        <w:t xml:space="preserve"> </w:t>
      </w:r>
      <w:r>
        <w:t>precio con</w:t>
      </w:r>
      <w:r>
        <w:rPr>
          <w:spacing w:val="-1"/>
        </w:rPr>
        <w:t xml:space="preserve"> </w:t>
      </w:r>
      <w:r>
        <w:t>IVA</w:t>
      </w:r>
      <w:r>
        <w:rPr>
          <w:spacing w:val="-1"/>
        </w:rPr>
        <w:t xml:space="preserve"> </w:t>
      </w:r>
      <w:r>
        <w:t>y</w:t>
      </w:r>
      <w:r>
        <w:rPr>
          <w:spacing w:val="-2"/>
        </w:rPr>
        <w:t xml:space="preserve"> </w:t>
      </w:r>
      <w:r>
        <w:t>quienes son</w:t>
      </w:r>
      <w:r>
        <w:rPr>
          <w:spacing w:val="-1"/>
        </w:rPr>
        <w:t xml:space="preserve"> </w:t>
      </w:r>
      <w:r>
        <w:t>capaces de</w:t>
      </w:r>
      <w:r>
        <w:rPr>
          <w:spacing w:val="-1"/>
        </w:rPr>
        <w:t xml:space="preserve"> </w:t>
      </w:r>
      <w:r>
        <w:t>ofrecerle a</w:t>
      </w:r>
      <w:r>
        <w:rPr>
          <w:spacing w:val="-3"/>
        </w:rPr>
        <w:t xml:space="preserve"> </w:t>
      </w:r>
      <w:r>
        <w:t>la</w:t>
      </w:r>
      <w:r>
        <w:rPr>
          <w:spacing w:val="-3"/>
        </w:rPr>
        <w:t xml:space="preserve"> </w:t>
      </w:r>
      <w:r>
        <w:t>entidad</w:t>
      </w:r>
      <w:r>
        <w:rPr>
          <w:spacing w:val="-2"/>
        </w:rPr>
        <w:t xml:space="preserve"> </w:t>
      </w:r>
      <w:r>
        <w:t>ese</w:t>
      </w:r>
      <w:r>
        <w:rPr>
          <w:spacing w:val="-3"/>
        </w:rPr>
        <w:t xml:space="preserve"> </w:t>
      </w:r>
      <w:r>
        <w:t>precio</w:t>
      </w:r>
      <w:r>
        <w:rPr>
          <w:spacing w:val="-2"/>
        </w:rPr>
        <w:t xml:space="preserve"> </w:t>
      </w:r>
      <w:r>
        <w:t>sin</w:t>
      </w:r>
      <w:r>
        <w:rPr>
          <w:spacing w:val="-3"/>
        </w:rPr>
        <w:t xml:space="preserve"> </w:t>
      </w:r>
      <w:r>
        <w:t>el</w:t>
      </w:r>
      <w:r>
        <w:rPr>
          <w:spacing w:val="-3"/>
        </w:rPr>
        <w:t xml:space="preserve"> </w:t>
      </w:r>
      <w:r>
        <w:t>impuesto,</w:t>
      </w:r>
      <w:r>
        <w:rPr>
          <w:spacing w:val="-1"/>
        </w:rPr>
        <w:t xml:space="preserve"> </w:t>
      </w:r>
      <w:r>
        <w:t>porque</w:t>
      </w:r>
      <w:r>
        <w:rPr>
          <w:spacing w:val="-2"/>
        </w:rPr>
        <w:t xml:space="preserve"> </w:t>
      </w:r>
      <w:r>
        <w:t>no</w:t>
      </w:r>
      <w:r>
        <w:rPr>
          <w:spacing w:val="-3"/>
        </w:rPr>
        <w:t xml:space="preserve"> </w:t>
      </w:r>
      <w:r>
        <w:t>tienen</w:t>
      </w:r>
      <w:r>
        <w:rPr>
          <w:spacing w:val="-2"/>
        </w:rPr>
        <w:t xml:space="preserve"> </w:t>
      </w:r>
      <w:r>
        <w:t>que</w:t>
      </w:r>
      <w:r>
        <w:rPr>
          <w:spacing w:val="-3"/>
        </w:rPr>
        <w:t xml:space="preserve"> </w:t>
      </w:r>
      <w:r>
        <w:t>pagarlo.</w:t>
      </w:r>
      <w:r>
        <w:rPr>
          <w:spacing w:val="-1"/>
        </w:rPr>
        <w:t xml:space="preserve"> </w:t>
      </w:r>
      <w:r>
        <w:t>Frente</w:t>
      </w:r>
      <w:r>
        <w:rPr>
          <w:spacing w:val="-2"/>
        </w:rPr>
        <w:t xml:space="preserve"> </w:t>
      </w:r>
      <w:r>
        <w:t>al criterio de comparación, en este caso, el precio, los oferentes estarían en situaciones</w:t>
      </w:r>
      <w:r>
        <w:rPr>
          <w:spacing w:val="-13"/>
        </w:rPr>
        <w:t xml:space="preserve"> </w:t>
      </w:r>
      <w:r>
        <w:t>diferentes,</w:t>
      </w:r>
      <w:r>
        <w:rPr>
          <w:spacing w:val="-13"/>
        </w:rPr>
        <w:t xml:space="preserve"> </w:t>
      </w:r>
      <w:r>
        <w:t>y</w:t>
      </w:r>
      <w:r>
        <w:rPr>
          <w:spacing w:val="-16"/>
        </w:rPr>
        <w:t xml:space="preserve"> </w:t>
      </w:r>
      <w:r>
        <w:t>no</w:t>
      </w:r>
      <w:r>
        <w:rPr>
          <w:spacing w:val="-16"/>
        </w:rPr>
        <w:t xml:space="preserve"> </w:t>
      </w:r>
      <w:r>
        <w:t>por</w:t>
      </w:r>
      <w:r>
        <w:rPr>
          <w:spacing w:val="-16"/>
        </w:rPr>
        <w:t xml:space="preserve"> </w:t>
      </w:r>
      <w:r>
        <w:t>un</w:t>
      </w:r>
      <w:r>
        <w:rPr>
          <w:spacing w:val="-16"/>
        </w:rPr>
        <w:t xml:space="preserve"> </w:t>
      </w:r>
      <w:r>
        <w:t>criterio</w:t>
      </w:r>
      <w:r>
        <w:rPr>
          <w:spacing w:val="-14"/>
        </w:rPr>
        <w:t xml:space="preserve"> </w:t>
      </w:r>
      <w:r>
        <w:t>que</w:t>
      </w:r>
      <w:r>
        <w:rPr>
          <w:spacing w:val="-16"/>
        </w:rPr>
        <w:t xml:space="preserve"> </w:t>
      </w:r>
      <w:r>
        <w:t>hubiere</w:t>
      </w:r>
      <w:r>
        <w:rPr>
          <w:spacing w:val="-14"/>
        </w:rPr>
        <w:t xml:space="preserve"> </w:t>
      </w:r>
      <w:r>
        <w:t>adoptado</w:t>
      </w:r>
      <w:r>
        <w:rPr>
          <w:spacing w:val="-14"/>
        </w:rPr>
        <w:t xml:space="preserve"> </w:t>
      </w:r>
      <w:r>
        <w:t>la</w:t>
      </w:r>
      <w:r>
        <w:rPr>
          <w:spacing w:val="-16"/>
        </w:rPr>
        <w:t xml:space="preserve"> </w:t>
      </w:r>
      <w:r>
        <w:t>entidad,</w:t>
      </w:r>
      <w:r>
        <w:rPr>
          <w:spacing w:val="-14"/>
        </w:rPr>
        <w:t xml:space="preserve"> </w:t>
      </w:r>
      <w:r>
        <w:t>sino por</w:t>
      </w:r>
      <w:r>
        <w:rPr>
          <w:spacing w:val="-6"/>
        </w:rPr>
        <w:t xml:space="preserve"> </w:t>
      </w:r>
      <w:r>
        <w:t>un</w:t>
      </w:r>
      <w:r>
        <w:rPr>
          <w:spacing w:val="-6"/>
        </w:rPr>
        <w:t xml:space="preserve"> </w:t>
      </w:r>
      <w:r>
        <w:t>aspecto</w:t>
      </w:r>
      <w:r>
        <w:rPr>
          <w:spacing w:val="-4"/>
        </w:rPr>
        <w:t xml:space="preserve"> </w:t>
      </w:r>
      <w:r>
        <w:t>que</w:t>
      </w:r>
      <w:r>
        <w:rPr>
          <w:spacing w:val="-6"/>
        </w:rPr>
        <w:t xml:space="preserve"> </w:t>
      </w:r>
      <w:r>
        <w:t>le</w:t>
      </w:r>
      <w:r>
        <w:rPr>
          <w:spacing w:val="-7"/>
        </w:rPr>
        <w:t xml:space="preserve"> </w:t>
      </w:r>
      <w:r>
        <w:t>es</w:t>
      </w:r>
      <w:r>
        <w:rPr>
          <w:spacing w:val="-6"/>
        </w:rPr>
        <w:t xml:space="preserve"> </w:t>
      </w:r>
      <w:r>
        <w:t>propio</w:t>
      </w:r>
      <w:r>
        <w:rPr>
          <w:spacing w:val="-5"/>
        </w:rPr>
        <w:t xml:space="preserve"> </w:t>
      </w:r>
      <w:r>
        <w:t>a</w:t>
      </w:r>
      <w:r>
        <w:rPr>
          <w:spacing w:val="-7"/>
        </w:rPr>
        <w:t xml:space="preserve"> </w:t>
      </w:r>
      <w:r>
        <w:t>cada</w:t>
      </w:r>
      <w:r>
        <w:rPr>
          <w:spacing w:val="-6"/>
        </w:rPr>
        <w:t xml:space="preserve"> </w:t>
      </w:r>
      <w:r>
        <w:t>oferente,</w:t>
      </w:r>
      <w:r>
        <w:rPr>
          <w:spacing w:val="-4"/>
        </w:rPr>
        <w:t xml:space="preserve"> </w:t>
      </w:r>
      <w:r>
        <w:t>como</w:t>
      </w:r>
      <w:r>
        <w:rPr>
          <w:spacing w:val="-6"/>
        </w:rPr>
        <w:t xml:space="preserve"> </w:t>
      </w:r>
      <w:r>
        <w:t>es</w:t>
      </w:r>
      <w:r>
        <w:rPr>
          <w:spacing w:val="-6"/>
        </w:rPr>
        <w:t xml:space="preserve"> </w:t>
      </w:r>
      <w:r>
        <w:t>su</w:t>
      </w:r>
      <w:r>
        <w:rPr>
          <w:spacing w:val="-6"/>
        </w:rPr>
        <w:t xml:space="preserve"> </w:t>
      </w:r>
      <w:r>
        <w:t>régimen</w:t>
      </w:r>
      <w:r>
        <w:rPr>
          <w:spacing w:val="-5"/>
        </w:rPr>
        <w:t xml:space="preserve"> </w:t>
      </w:r>
      <w:r>
        <w:t>tributario.</w:t>
      </w:r>
    </w:p>
    <w:p w14:paraId="45A9EDF6" w14:textId="77777777" w:rsidR="00F70969" w:rsidRDefault="00F70969" w:rsidP="00F70969">
      <w:pPr>
        <w:pStyle w:val="Textoindependiente"/>
        <w:spacing w:after="120" w:line="276" w:lineRule="auto"/>
        <w:ind w:left="260" w:right="49" w:firstLine="709"/>
        <w:jc w:val="both"/>
      </w:pPr>
      <w:r>
        <w:t>Como</w:t>
      </w:r>
      <w:r>
        <w:rPr>
          <w:spacing w:val="-5"/>
        </w:rPr>
        <w:t xml:space="preserve"> </w:t>
      </w:r>
      <w:r>
        <w:t>ya</w:t>
      </w:r>
      <w:r>
        <w:rPr>
          <w:spacing w:val="-5"/>
        </w:rPr>
        <w:t xml:space="preserve"> </w:t>
      </w:r>
      <w:r>
        <w:t>se</w:t>
      </w:r>
      <w:r>
        <w:rPr>
          <w:spacing w:val="-5"/>
        </w:rPr>
        <w:t xml:space="preserve"> </w:t>
      </w:r>
      <w:r>
        <w:t>señaló</w:t>
      </w:r>
      <w:r>
        <w:rPr>
          <w:spacing w:val="-4"/>
        </w:rPr>
        <w:t xml:space="preserve"> </w:t>
      </w:r>
      <w:r>
        <w:t>los</w:t>
      </w:r>
      <w:r>
        <w:rPr>
          <w:spacing w:val="-5"/>
        </w:rPr>
        <w:t xml:space="preserve"> </w:t>
      </w:r>
      <w:r>
        <w:t>impuestos</w:t>
      </w:r>
      <w:r>
        <w:rPr>
          <w:spacing w:val="-3"/>
        </w:rPr>
        <w:t xml:space="preserve"> </w:t>
      </w:r>
      <w:r>
        <w:t>son</w:t>
      </w:r>
      <w:r>
        <w:rPr>
          <w:spacing w:val="-5"/>
        </w:rPr>
        <w:t xml:space="preserve"> </w:t>
      </w:r>
      <w:r>
        <w:t>parte</w:t>
      </w:r>
      <w:r>
        <w:rPr>
          <w:spacing w:val="-4"/>
        </w:rPr>
        <w:t xml:space="preserve"> </w:t>
      </w:r>
      <w:r>
        <w:t>integral</w:t>
      </w:r>
      <w:r>
        <w:rPr>
          <w:spacing w:val="-3"/>
        </w:rPr>
        <w:t xml:space="preserve"> </w:t>
      </w:r>
      <w:r>
        <w:t>del</w:t>
      </w:r>
      <w:r>
        <w:rPr>
          <w:spacing w:val="-5"/>
        </w:rPr>
        <w:t xml:space="preserve"> </w:t>
      </w:r>
      <w:r>
        <w:t>precio,</w:t>
      </w:r>
      <w:r>
        <w:rPr>
          <w:spacing w:val="-4"/>
        </w:rPr>
        <w:t xml:space="preserve"> </w:t>
      </w:r>
      <w:r>
        <w:t>pues</w:t>
      </w:r>
      <w:r>
        <w:rPr>
          <w:spacing w:val="-5"/>
        </w:rPr>
        <w:t xml:space="preserve"> </w:t>
      </w:r>
      <w:r>
        <w:t>es</w:t>
      </w:r>
      <w:r>
        <w:rPr>
          <w:spacing w:val="-5"/>
        </w:rPr>
        <w:t xml:space="preserve"> </w:t>
      </w:r>
      <w:r>
        <w:t>lo que</w:t>
      </w:r>
      <w:r>
        <w:rPr>
          <w:spacing w:val="-6"/>
        </w:rPr>
        <w:t xml:space="preserve"> </w:t>
      </w:r>
      <w:r>
        <w:t>finalmente</w:t>
      </w:r>
      <w:r>
        <w:rPr>
          <w:spacing w:val="-3"/>
        </w:rPr>
        <w:t xml:space="preserve"> </w:t>
      </w:r>
      <w:r>
        <w:t>terminará</w:t>
      </w:r>
      <w:r>
        <w:rPr>
          <w:spacing w:val="-4"/>
        </w:rPr>
        <w:t xml:space="preserve"> </w:t>
      </w:r>
      <w:r>
        <w:t>pagando</w:t>
      </w:r>
      <w:r>
        <w:rPr>
          <w:spacing w:val="-4"/>
        </w:rPr>
        <w:t xml:space="preserve"> </w:t>
      </w:r>
      <w:r>
        <w:t>la</w:t>
      </w:r>
      <w:r>
        <w:rPr>
          <w:spacing w:val="-6"/>
        </w:rPr>
        <w:t xml:space="preserve"> </w:t>
      </w:r>
      <w:r>
        <w:t>entidad</w:t>
      </w:r>
      <w:r>
        <w:rPr>
          <w:spacing w:val="-5"/>
        </w:rPr>
        <w:t xml:space="preserve"> </w:t>
      </w:r>
      <w:r>
        <w:t>cuando</w:t>
      </w:r>
      <w:r>
        <w:rPr>
          <w:spacing w:val="-4"/>
        </w:rPr>
        <w:t xml:space="preserve"> </w:t>
      </w:r>
      <w:r>
        <w:t>adjudique</w:t>
      </w:r>
      <w:r>
        <w:rPr>
          <w:spacing w:val="-4"/>
        </w:rPr>
        <w:t xml:space="preserve"> </w:t>
      </w:r>
      <w:r>
        <w:t>el</w:t>
      </w:r>
      <w:r>
        <w:rPr>
          <w:spacing w:val="-6"/>
        </w:rPr>
        <w:t xml:space="preserve"> </w:t>
      </w:r>
      <w:r>
        <w:t>contrato</w:t>
      </w:r>
      <w:r>
        <w:rPr>
          <w:spacing w:val="-4"/>
        </w:rPr>
        <w:t xml:space="preserve"> </w:t>
      </w:r>
      <w:r>
        <w:t>y</w:t>
      </w:r>
      <w:r>
        <w:rPr>
          <w:spacing w:val="-6"/>
        </w:rPr>
        <w:t xml:space="preserve"> </w:t>
      </w:r>
      <w:r>
        <w:t>es por</w:t>
      </w:r>
      <w:r>
        <w:rPr>
          <w:spacing w:val="-7"/>
        </w:rPr>
        <w:t xml:space="preserve"> </w:t>
      </w:r>
      <w:r>
        <w:t>esto</w:t>
      </w:r>
      <w:r>
        <w:rPr>
          <w:spacing w:val="-6"/>
        </w:rPr>
        <w:t xml:space="preserve"> </w:t>
      </w:r>
      <w:proofErr w:type="gramStart"/>
      <w:r>
        <w:t>que</w:t>
      </w:r>
      <w:proofErr w:type="gramEnd"/>
      <w:r>
        <w:t>,</w:t>
      </w:r>
      <w:r>
        <w:rPr>
          <w:spacing w:val="-7"/>
        </w:rPr>
        <w:t xml:space="preserve"> </w:t>
      </w:r>
      <w:r>
        <w:t>en</w:t>
      </w:r>
      <w:r>
        <w:rPr>
          <w:spacing w:val="-7"/>
        </w:rPr>
        <w:t xml:space="preserve"> </w:t>
      </w:r>
      <w:r>
        <w:t>aplicación</w:t>
      </w:r>
      <w:r>
        <w:rPr>
          <w:spacing w:val="-4"/>
        </w:rPr>
        <w:t xml:space="preserve"> </w:t>
      </w:r>
      <w:r>
        <w:t>de</w:t>
      </w:r>
      <w:r>
        <w:rPr>
          <w:spacing w:val="-7"/>
        </w:rPr>
        <w:t xml:space="preserve"> </w:t>
      </w:r>
      <w:r>
        <w:t>los</w:t>
      </w:r>
      <w:r>
        <w:rPr>
          <w:spacing w:val="-7"/>
        </w:rPr>
        <w:t xml:space="preserve"> </w:t>
      </w:r>
      <w:r>
        <w:t>principios</w:t>
      </w:r>
      <w:r>
        <w:rPr>
          <w:spacing w:val="-5"/>
        </w:rPr>
        <w:t xml:space="preserve"> </w:t>
      </w:r>
      <w:r>
        <w:t>de</w:t>
      </w:r>
      <w:r>
        <w:rPr>
          <w:spacing w:val="-7"/>
        </w:rPr>
        <w:t xml:space="preserve"> </w:t>
      </w:r>
      <w:r>
        <w:t>selección</w:t>
      </w:r>
      <w:r>
        <w:rPr>
          <w:spacing w:val="-4"/>
        </w:rPr>
        <w:t xml:space="preserve"> </w:t>
      </w:r>
      <w:r>
        <w:t>objetiva</w:t>
      </w:r>
      <w:r>
        <w:rPr>
          <w:spacing w:val="-5"/>
        </w:rPr>
        <w:t xml:space="preserve"> </w:t>
      </w:r>
      <w:r>
        <w:t>y</w:t>
      </w:r>
      <w:r>
        <w:rPr>
          <w:spacing w:val="-7"/>
        </w:rPr>
        <w:t xml:space="preserve"> </w:t>
      </w:r>
      <w:r>
        <w:t>de</w:t>
      </w:r>
      <w:r>
        <w:rPr>
          <w:spacing w:val="-7"/>
        </w:rPr>
        <w:t xml:space="preserve"> </w:t>
      </w:r>
      <w:r>
        <w:t>igualdad, la</w:t>
      </w:r>
      <w:r>
        <w:rPr>
          <w:spacing w:val="-6"/>
        </w:rPr>
        <w:t xml:space="preserve"> </w:t>
      </w:r>
      <w:r>
        <w:t>entidad</w:t>
      </w:r>
      <w:r>
        <w:rPr>
          <w:spacing w:val="-4"/>
        </w:rPr>
        <w:t xml:space="preserve"> </w:t>
      </w:r>
      <w:r>
        <w:t>contratante</w:t>
      </w:r>
      <w:r>
        <w:rPr>
          <w:spacing w:val="-3"/>
        </w:rPr>
        <w:t xml:space="preserve"> </w:t>
      </w:r>
      <w:r>
        <w:t>debe</w:t>
      </w:r>
      <w:r>
        <w:rPr>
          <w:spacing w:val="-5"/>
        </w:rPr>
        <w:t xml:space="preserve"> </w:t>
      </w:r>
      <w:r>
        <w:t>evaluar</w:t>
      </w:r>
      <w:r>
        <w:rPr>
          <w:spacing w:val="-4"/>
        </w:rPr>
        <w:t xml:space="preserve"> </w:t>
      </w:r>
      <w:r>
        <w:t>las</w:t>
      </w:r>
      <w:r>
        <w:rPr>
          <w:spacing w:val="-5"/>
        </w:rPr>
        <w:t xml:space="preserve"> </w:t>
      </w:r>
      <w:r>
        <w:t>ofertas</w:t>
      </w:r>
      <w:r>
        <w:rPr>
          <w:spacing w:val="-4"/>
        </w:rPr>
        <w:t xml:space="preserve"> </w:t>
      </w:r>
      <w:r>
        <w:t>con</w:t>
      </w:r>
      <w:r>
        <w:rPr>
          <w:spacing w:val="-5"/>
        </w:rPr>
        <w:t xml:space="preserve"> </w:t>
      </w:r>
      <w:r>
        <w:t>base</w:t>
      </w:r>
      <w:r>
        <w:rPr>
          <w:spacing w:val="-5"/>
        </w:rPr>
        <w:t xml:space="preserve"> </w:t>
      </w:r>
      <w:r>
        <w:t>en</w:t>
      </w:r>
      <w:r>
        <w:rPr>
          <w:spacing w:val="-6"/>
        </w:rPr>
        <w:t xml:space="preserve"> </w:t>
      </w:r>
      <w:r>
        <w:t>el</w:t>
      </w:r>
      <w:r>
        <w:rPr>
          <w:spacing w:val="-6"/>
        </w:rPr>
        <w:t xml:space="preserve"> </w:t>
      </w:r>
      <w:r>
        <w:t>precio</w:t>
      </w:r>
      <w:r>
        <w:rPr>
          <w:spacing w:val="-4"/>
        </w:rPr>
        <w:t xml:space="preserve"> </w:t>
      </w:r>
      <w:r>
        <w:t>final</w:t>
      </w:r>
      <w:r>
        <w:rPr>
          <w:spacing w:val="-4"/>
        </w:rPr>
        <w:t xml:space="preserve"> </w:t>
      </w:r>
      <w:r>
        <w:t>o</w:t>
      </w:r>
      <w:r>
        <w:rPr>
          <w:spacing w:val="-6"/>
        </w:rPr>
        <w:t xml:space="preserve"> </w:t>
      </w:r>
      <w:r>
        <w:t>real que ofrezca cada proponente, toda vez que de esa evaluación surgirá la oferta más favorable o ventajosa para el Estado.</w:t>
      </w:r>
    </w:p>
    <w:p w14:paraId="231ACF76" w14:textId="77777777" w:rsidR="00F70969" w:rsidRDefault="00F70969" w:rsidP="00F70969">
      <w:pPr>
        <w:pStyle w:val="Textoindependiente"/>
        <w:spacing w:after="120" w:line="276" w:lineRule="auto"/>
        <w:ind w:left="260" w:right="49" w:firstLine="709"/>
        <w:jc w:val="both"/>
      </w:pPr>
      <w:r>
        <w:t>Considerando</w:t>
      </w:r>
      <w:r>
        <w:rPr>
          <w:spacing w:val="-16"/>
        </w:rPr>
        <w:t xml:space="preserve"> </w:t>
      </w:r>
      <w:r>
        <w:t>lo</w:t>
      </w:r>
      <w:r>
        <w:rPr>
          <w:spacing w:val="-20"/>
        </w:rPr>
        <w:t xml:space="preserve"> </w:t>
      </w:r>
      <w:r>
        <w:t>anterior,</w:t>
      </w:r>
      <w:r>
        <w:rPr>
          <w:spacing w:val="-16"/>
        </w:rPr>
        <w:t xml:space="preserve"> </w:t>
      </w:r>
      <w:r>
        <w:t>en</w:t>
      </w:r>
      <w:r>
        <w:rPr>
          <w:spacing w:val="-19"/>
        </w:rPr>
        <w:t xml:space="preserve"> </w:t>
      </w:r>
      <w:r>
        <w:t>primer</w:t>
      </w:r>
      <w:r>
        <w:rPr>
          <w:spacing w:val="-18"/>
        </w:rPr>
        <w:t xml:space="preserve"> </w:t>
      </w:r>
      <w:r>
        <w:t>orden</w:t>
      </w:r>
      <w:r>
        <w:rPr>
          <w:spacing w:val="-18"/>
        </w:rPr>
        <w:t xml:space="preserve"> </w:t>
      </w:r>
      <w:r>
        <w:t>que</w:t>
      </w:r>
      <w:r>
        <w:rPr>
          <w:spacing w:val="-19"/>
        </w:rPr>
        <w:t xml:space="preserve"> </w:t>
      </w:r>
      <w:r>
        <w:t>el</w:t>
      </w:r>
      <w:r>
        <w:rPr>
          <w:spacing w:val="-19"/>
        </w:rPr>
        <w:t xml:space="preserve"> </w:t>
      </w:r>
      <w:r>
        <w:t>IVA</w:t>
      </w:r>
      <w:r>
        <w:rPr>
          <w:spacing w:val="-19"/>
        </w:rPr>
        <w:t xml:space="preserve"> </w:t>
      </w:r>
      <w:r>
        <w:t>hace</w:t>
      </w:r>
      <w:r>
        <w:rPr>
          <w:spacing w:val="-18"/>
        </w:rPr>
        <w:t xml:space="preserve"> </w:t>
      </w:r>
      <w:r>
        <w:t>parte</w:t>
      </w:r>
      <w:r>
        <w:rPr>
          <w:spacing w:val="-18"/>
        </w:rPr>
        <w:t xml:space="preserve"> </w:t>
      </w:r>
      <w:r>
        <w:t>del</w:t>
      </w:r>
      <w:r>
        <w:rPr>
          <w:spacing w:val="-19"/>
        </w:rPr>
        <w:t xml:space="preserve"> </w:t>
      </w:r>
      <w:r>
        <w:t>precio del bien o servicio, en segundo orden que de acuerdo con el principio de la selección</w:t>
      </w:r>
      <w:r>
        <w:rPr>
          <w:spacing w:val="-6"/>
        </w:rPr>
        <w:t xml:space="preserve"> </w:t>
      </w:r>
      <w:r>
        <w:t>objetiva</w:t>
      </w:r>
      <w:r>
        <w:rPr>
          <w:spacing w:val="-7"/>
        </w:rPr>
        <w:t xml:space="preserve"> </w:t>
      </w:r>
      <w:r>
        <w:t>y</w:t>
      </w:r>
      <w:r>
        <w:rPr>
          <w:spacing w:val="-9"/>
        </w:rPr>
        <w:t xml:space="preserve"> </w:t>
      </w:r>
      <w:r>
        <w:t>el</w:t>
      </w:r>
      <w:r>
        <w:rPr>
          <w:spacing w:val="-9"/>
        </w:rPr>
        <w:t xml:space="preserve"> </w:t>
      </w:r>
      <w:r>
        <w:t>principio</w:t>
      </w:r>
      <w:r>
        <w:rPr>
          <w:spacing w:val="-6"/>
        </w:rPr>
        <w:t xml:space="preserve"> </w:t>
      </w:r>
      <w:r>
        <w:t>de</w:t>
      </w:r>
      <w:r>
        <w:rPr>
          <w:spacing w:val="-9"/>
        </w:rPr>
        <w:t xml:space="preserve"> </w:t>
      </w:r>
      <w:r>
        <w:t>la</w:t>
      </w:r>
      <w:r>
        <w:rPr>
          <w:spacing w:val="-9"/>
        </w:rPr>
        <w:t xml:space="preserve"> </w:t>
      </w:r>
      <w:r>
        <w:t>igualdad</w:t>
      </w:r>
      <w:r>
        <w:rPr>
          <w:spacing w:val="-7"/>
        </w:rPr>
        <w:t xml:space="preserve"> </w:t>
      </w:r>
      <w:r>
        <w:t>la</w:t>
      </w:r>
      <w:r>
        <w:rPr>
          <w:spacing w:val="-9"/>
        </w:rPr>
        <w:t xml:space="preserve"> </w:t>
      </w:r>
      <w:r>
        <w:t>entidad</w:t>
      </w:r>
      <w:r>
        <w:rPr>
          <w:spacing w:val="-7"/>
        </w:rPr>
        <w:t xml:space="preserve"> </w:t>
      </w:r>
      <w:r>
        <w:t>estatal</w:t>
      </w:r>
      <w:r>
        <w:rPr>
          <w:spacing w:val="-7"/>
        </w:rPr>
        <w:t xml:space="preserve"> </w:t>
      </w:r>
      <w:r>
        <w:t>debe</w:t>
      </w:r>
      <w:r>
        <w:rPr>
          <w:spacing w:val="-8"/>
        </w:rPr>
        <w:t xml:space="preserve"> </w:t>
      </w:r>
      <w:r>
        <w:t>analizar</w:t>
      </w:r>
      <w:r>
        <w:rPr>
          <w:spacing w:val="-7"/>
        </w:rPr>
        <w:t xml:space="preserve"> </w:t>
      </w:r>
      <w:r>
        <w:t>el precio total del bien o servicio incluyendo el IVA, ya que es el valor real que la entidad va a pagar en el proceso contractual.</w:t>
      </w:r>
    </w:p>
    <w:p w14:paraId="508AF810" w14:textId="77777777" w:rsidR="008763E4" w:rsidRPr="00774814" w:rsidRDefault="008763E4" w:rsidP="008763E4">
      <w:pPr>
        <w:pStyle w:val="Textoindependiente"/>
        <w:spacing w:after="120" w:line="276" w:lineRule="auto"/>
        <w:ind w:left="260" w:right="49" w:firstLine="709"/>
        <w:jc w:val="both"/>
      </w:pPr>
      <w:r>
        <w:t>De esta forma las propuestas económicas deben evaluarse incluyendo el IVA</w:t>
      </w:r>
      <w:r>
        <w:rPr>
          <w:spacing w:val="-8"/>
        </w:rPr>
        <w:t xml:space="preserve"> </w:t>
      </w:r>
      <w:r>
        <w:t>en</w:t>
      </w:r>
      <w:r>
        <w:rPr>
          <w:spacing w:val="-9"/>
        </w:rPr>
        <w:t xml:space="preserve"> </w:t>
      </w:r>
      <w:r>
        <w:t>el</w:t>
      </w:r>
      <w:r>
        <w:rPr>
          <w:spacing w:val="-9"/>
        </w:rPr>
        <w:t xml:space="preserve"> </w:t>
      </w:r>
      <w:r>
        <w:t>precio</w:t>
      </w:r>
      <w:r>
        <w:rPr>
          <w:spacing w:val="-8"/>
        </w:rPr>
        <w:t xml:space="preserve"> </w:t>
      </w:r>
      <w:r>
        <w:t>total</w:t>
      </w:r>
      <w:r>
        <w:rPr>
          <w:spacing w:val="-8"/>
        </w:rPr>
        <w:t xml:space="preserve"> </w:t>
      </w:r>
      <w:r>
        <w:t>del</w:t>
      </w:r>
      <w:r>
        <w:rPr>
          <w:spacing w:val="-9"/>
        </w:rPr>
        <w:t xml:space="preserve"> </w:t>
      </w:r>
      <w:r>
        <w:t>producto,</w:t>
      </w:r>
      <w:r>
        <w:rPr>
          <w:spacing w:val="-8"/>
        </w:rPr>
        <w:t xml:space="preserve"> </w:t>
      </w:r>
      <w:r>
        <w:t>el</w:t>
      </w:r>
      <w:r>
        <w:rPr>
          <w:spacing w:val="-9"/>
        </w:rPr>
        <w:t xml:space="preserve"> </w:t>
      </w:r>
      <w:r>
        <w:t>cual</w:t>
      </w:r>
      <w:r>
        <w:rPr>
          <w:spacing w:val="-8"/>
        </w:rPr>
        <w:t xml:space="preserve"> </w:t>
      </w:r>
      <w:r>
        <w:t>no</w:t>
      </w:r>
      <w:r>
        <w:rPr>
          <w:spacing w:val="-9"/>
        </w:rPr>
        <w:t xml:space="preserve"> </w:t>
      </w:r>
      <w:r>
        <w:t>se</w:t>
      </w:r>
      <w:r>
        <w:rPr>
          <w:spacing w:val="-9"/>
        </w:rPr>
        <w:t xml:space="preserve"> </w:t>
      </w:r>
      <w:r>
        <w:t>puede</w:t>
      </w:r>
      <w:r>
        <w:rPr>
          <w:spacing w:val="-8"/>
        </w:rPr>
        <w:t xml:space="preserve"> </w:t>
      </w:r>
      <w:r>
        <w:t>excluir.</w:t>
      </w:r>
      <w:r>
        <w:rPr>
          <w:spacing w:val="-8"/>
        </w:rPr>
        <w:t xml:space="preserve"> </w:t>
      </w:r>
      <w:r>
        <w:t>En</w:t>
      </w:r>
      <w:r>
        <w:rPr>
          <w:spacing w:val="-9"/>
        </w:rPr>
        <w:t xml:space="preserve"> </w:t>
      </w:r>
      <w:r>
        <w:t>este</w:t>
      </w:r>
      <w:r>
        <w:rPr>
          <w:spacing w:val="-8"/>
        </w:rPr>
        <w:t xml:space="preserve"> </w:t>
      </w:r>
      <w:r>
        <w:t>orden</w:t>
      </w:r>
      <w:r>
        <w:rPr>
          <w:spacing w:val="-8"/>
        </w:rPr>
        <w:t xml:space="preserve"> </w:t>
      </w:r>
      <w:r>
        <w:t>de ideas, conociendo que el precio es un factor que asigna puntaje en la mayoría de los procesos de contratación excepto en el concurso de mérito, ante una errónea</w:t>
      </w:r>
      <w:r>
        <w:rPr>
          <w:spacing w:val="-6"/>
        </w:rPr>
        <w:t xml:space="preserve"> </w:t>
      </w:r>
      <w:r>
        <w:t>estructuración</w:t>
      </w:r>
      <w:r>
        <w:rPr>
          <w:spacing w:val="-3"/>
        </w:rPr>
        <w:t xml:space="preserve"> </w:t>
      </w:r>
      <w:r>
        <w:t>del</w:t>
      </w:r>
      <w:r>
        <w:rPr>
          <w:spacing w:val="-7"/>
        </w:rPr>
        <w:t xml:space="preserve"> </w:t>
      </w:r>
      <w:r>
        <w:t>IVA</w:t>
      </w:r>
      <w:r>
        <w:rPr>
          <w:spacing w:val="-7"/>
        </w:rPr>
        <w:t xml:space="preserve"> </w:t>
      </w:r>
      <w:r>
        <w:t>en</w:t>
      </w:r>
      <w:r>
        <w:rPr>
          <w:spacing w:val="-7"/>
        </w:rPr>
        <w:t xml:space="preserve"> </w:t>
      </w:r>
      <w:r>
        <w:t>la</w:t>
      </w:r>
      <w:r>
        <w:rPr>
          <w:spacing w:val="-8"/>
        </w:rPr>
        <w:t xml:space="preserve"> </w:t>
      </w:r>
      <w:r>
        <w:t>oferta</w:t>
      </w:r>
      <w:r>
        <w:rPr>
          <w:spacing w:val="-6"/>
        </w:rPr>
        <w:t xml:space="preserve"> </w:t>
      </w:r>
      <w:r>
        <w:t>económica</w:t>
      </w:r>
      <w:r>
        <w:rPr>
          <w:spacing w:val="-5"/>
        </w:rPr>
        <w:t xml:space="preserve"> </w:t>
      </w:r>
      <w:r>
        <w:t>se</w:t>
      </w:r>
      <w:r>
        <w:rPr>
          <w:spacing w:val="-7"/>
        </w:rPr>
        <w:t xml:space="preserve"> </w:t>
      </w:r>
      <w:r>
        <w:t>podría</w:t>
      </w:r>
      <w:r>
        <w:rPr>
          <w:spacing w:val="-7"/>
        </w:rPr>
        <w:t xml:space="preserve"> </w:t>
      </w:r>
      <w:r>
        <w:t>subsanar:</w:t>
      </w:r>
      <w:r>
        <w:rPr>
          <w:spacing w:val="-5"/>
        </w:rPr>
        <w:t xml:space="preserve"> </w:t>
      </w:r>
      <w:r>
        <w:t>1)</w:t>
      </w:r>
      <w:r>
        <w:rPr>
          <w:spacing w:val="-8"/>
        </w:rPr>
        <w:t xml:space="preserve"> </w:t>
      </w:r>
      <w:r>
        <w:t>Si el valor total del precio de la oferta económica no surte modificación, en este caso</w:t>
      </w:r>
      <w:r>
        <w:rPr>
          <w:spacing w:val="-8"/>
        </w:rPr>
        <w:t xml:space="preserve"> </w:t>
      </w:r>
      <w:r>
        <w:t>el</w:t>
      </w:r>
      <w:r>
        <w:rPr>
          <w:spacing w:val="-9"/>
        </w:rPr>
        <w:t xml:space="preserve"> </w:t>
      </w:r>
      <w:r>
        <w:t>puntaje</w:t>
      </w:r>
      <w:r>
        <w:rPr>
          <w:spacing w:val="-8"/>
        </w:rPr>
        <w:t xml:space="preserve"> </w:t>
      </w:r>
      <w:r>
        <w:t>no</w:t>
      </w:r>
      <w:r>
        <w:rPr>
          <w:spacing w:val="-9"/>
        </w:rPr>
        <w:t xml:space="preserve"> </w:t>
      </w:r>
      <w:r>
        <w:t>tendría</w:t>
      </w:r>
      <w:r>
        <w:rPr>
          <w:spacing w:val="-8"/>
        </w:rPr>
        <w:t xml:space="preserve"> </w:t>
      </w:r>
      <w:r>
        <w:t>modificación</w:t>
      </w:r>
      <w:r>
        <w:rPr>
          <w:spacing w:val="-6"/>
        </w:rPr>
        <w:t xml:space="preserve"> </w:t>
      </w:r>
      <w:r>
        <w:t>y</w:t>
      </w:r>
      <w:r>
        <w:rPr>
          <w:spacing w:val="-10"/>
        </w:rPr>
        <w:t xml:space="preserve"> </w:t>
      </w:r>
      <w:r>
        <w:t>por</w:t>
      </w:r>
      <w:r>
        <w:rPr>
          <w:spacing w:val="-9"/>
        </w:rPr>
        <w:t xml:space="preserve"> </w:t>
      </w:r>
      <w:r>
        <w:t>consiguiente</w:t>
      </w:r>
      <w:r>
        <w:rPr>
          <w:spacing w:val="-6"/>
        </w:rPr>
        <w:t xml:space="preserve"> </w:t>
      </w:r>
      <w:r>
        <w:t>puede</w:t>
      </w:r>
      <w:r>
        <w:rPr>
          <w:spacing w:val="-8"/>
        </w:rPr>
        <w:t xml:space="preserve"> </w:t>
      </w:r>
      <w:r>
        <w:t>ser</w:t>
      </w:r>
      <w:r>
        <w:rPr>
          <w:spacing w:val="-9"/>
        </w:rPr>
        <w:t xml:space="preserve"> </w:t>
      </w:r>
      <w:r>
        <w:t>subsanado según</w:t>
      </w:r>
      <w:r>
        <w:rPr>
          <w:spacing w:val="-6"/>
        </w:rPr>
        <w:t xml:space="preserve"> </w:t>
      </w:r>
      <w:r>
        <w:t>la</w:t>
      </w:r>
      <w:r>
        <w:rPr>
          <w:spacing w:val="-7"/>
        </w:rPr>
        <w:t xml:space="preserve"> </w:t>
      </w:r>
      <w:r>
        <w:t>regla</w:t>
      </w:r>
      <w:r>
        <w:rPr>
          <w:spacing w:val="-6"/>
        </w:rPr>
        <w:t xml:space="preserve"> </w:t>
      </w:r>
      <w:r>
        <w:t>descrita.</w:t>
      </w:r>
      <w:r>
        <w:rPr>
          <w:spacing w:val="-4"/>
        </w:rPr>
        <w:t xml:space="preserve"> </w:t>
      </w:r>
      <w:r>
        <w:t>2)</w:t>
      </w:r>
      <w:r>
        <w:rPr>
          <w:spacing w:val="-7"/>
        </w:rPr>
        <w:t xml:space="preserve"> </w:t>
      </w:r>
      <w:r>
        <w:t>En</w:t>
      </w:r>
      <w:r>
        <w:rPr>
          <w:spacing w:val="-7"/>
        </w:rPr>
        <w:t xml:space="preserve"> </w:t>
      </w:r>
      <w:r>
        <w:t>los</w:t>
      </w:r>
      <w:r>
        <w:rPr>
          <w:spacing w:val="-7"/>
        </w:rPr>
        <w:t xml:space="preserve"> </w:t>
      </w:r>
      <w:r>
        <w:t>procesos</w:t>
      </w:r>
      <w:r>
        <w:rPr>
          <w:spacing w:val="-5"/>
        </w:rPr>
        <w:t xml:space="preserve"> </w:t>
      </w:r>
      <w:r>
        <w:t>contractuales</w:t>
      </w:r>
      <w:r>
        <w:rPr>
          <w:spacing w:val="-3"/>
        </w:rPr>
        <w:t xml:space="preserve"> </w:t>
      </w:r>
      <w:r>
        <w:t>donde</w:t>
      </w:r>
      <w:r>
        <w:rPr>
          <w:spacing w:val="-6"/>
        </w:rPr>
        <w:t xml:space="preserve"> </w:t>
      </w:r>
      <w:r>
        <w:t>el</w:t>
      </w:r>
      <w:r>
        <w:rPr>
          <w:spacing w:val="-7"/>
        </w:rPr>
        <w:t xml:space="preserve"> </w:t>
      </w:r>
      <w:r>
        <w:t>contratista</w:t>
      </w:r>
      <w:r>
        <w:rPr>
          <w:spacing w:val="-4"/>
        </w:rPr>
        <w:t xml:space="preserve"> </w:t>
      </w:r>
      <w:r>
        <w:t>es seleccionado</w:t>
      </w:r>
      <w:r>
        <w:rPr>
          <w:spacing w:val="-3"/>
        </w:rPr>
        <w:t xml:space="preserve"> </w:t>
      </w:r>
      <w:r>
        <w:t>por</w:t>
      </w:r>
      <w:r>
        <w:rPr>
          <w:spacing w:val="-7"/>
        </w:rPr>
        <w:t xml:space="preserve"> </w:t>
      </w:r>
      <w:r>
        <w:t>concurso</w:t>
      </w:r>
      <w:r>
        <w:rPr>
          <w:spacing w:val="-4"/>
        </w:rPr>
        <w:t xml:space="preserve"> </w:t>
      </w:r>
      <w:r>
        <w:t>de</w:t>
      </w:r>
      <w:r>
        <w:rPr>
          <w:spacing w:val="-7"/>
        </w:rPr>
        <w:t xml:space="preserve"> </w:t>
      </w:r>
      <w:r>
        <w:t>méritos,</w:t>
      </w:r>
      <w:r>
        <w:rPr>
          <w:spacing w:val="-5"/>
        </w:rPr>
        <w:t xml:space="preserve"> </w:t>
      </w:r>
      <w:r>
        <w:t>en</w:t>
      </w:r>
      <w:r>
        <w:rPr>
          <w:spacing w:val="-7"/>
        </w:rPr>
        <w:t xml:space="preserve"> </w:t>
      </w:r>
      <w:r>
        <w:t>este</w:t>
      </w:r>
      <w:r>
        <w:rPr>
          <w:spacing w:val="-6"/>
        </w:rPr>
        <w:t xml:space="preserve"> </w:t>
      </w:r>
      <w:r>
        <w:t>caso</w:t>
      </w:r>
      <w:r>
        <w:rPr>
          <w:spacing w:val="-6"/>
        </w:rPr>
        <w:t xml:space="preserve"> </w:t>
      </w:r>
      <w:r>
        <w:t>el</w:t>
      </w:r>
      <w:r>
        <w:rPr>
          <w:spacing w:val="-7"/>
        </w:rPr>
        <w:t xml:space="preserve"> </w:t>
      </w:r>
      <w:r>
        <w:t>precio</w:t>
      </w:r>
      <w:r>
        <w:rPr>
          <w:spacing w:val="-5"/>
        </w:rPr>
        <w:t xml:space="preserve"> </w:t>
      </w:r>
      <w:r>
        <w:t>no</w:t>
      </w:r>
      <w:r>
        <w:rPr>
          <w:spacing w:val="-7"/>
        </w:rPr>
        <w:t xml:space="preserve"> </w:t>
      </w:r>
      <w:r>
        <w:t>asigna</w:t>
      </w:r>
      <w:r>
        <w:rPr>
          <w:spacing w:val="-5"/>
        </w:rPr>
        <w:t xml:space="preserve"> </w:t>
      </w:r>
      <w:r>
        <w:t>puntaje, siendo factible su modificación.</w:t>
      </w:r>
    </w:p>
    <w:p w14:paraId="7E5B4CA2" w14:textId="77777777" w:rsidR="008763E4" w:rsidRPr="0086590B" w:rsidRDefault="008763E4" w:rsidP="008763E4">
      <w:pPr>
        <w:spacing w:after="120" w:line="276" w:lineRule="auto"/>
        <w:ind w:right="49" w:firstLine="709"/>
        <w:jc w:val="both"/>
        <w:rPr>
          <w:rFonts w:ascii="Verdana" w:hAnsi="Verdana" w:cs="Arial"/>
          <w:lang w:val="es-ES"/>
        </w:rPr>
      </w:pPr>
      <w:r w:rsidRPr="0086590B">
        <w:rPr>
          <w:rFonts w:ascii="Verdana" w:eastAsia="Arial" w:hAnsi="Verdana" w:cs="Arial"/>
          <w:lang w:val="es-ES"/>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0F97E65B" w14:textId="77777777" w:rsidR="008763E4" w:rsidRDefault="008763E4" w:rsidP="008763E4">
      <w:pPr>
        <w:spacing w:after="120" w:line="276" w:lineRule="auto"/>
        <w:ind w:right="49" w:firstLine="709"/>
        <w:jc w:val="both"/>
        <w:rPr>
          <w:rFonts w:ascii="Verdana" w:eastAsia="Arial" w:hAnsi="Verdana" w:cs="Arial"/>
          <w:lang w:val="es-ES"/>
        </w:rPr>
      </w:pPr>
      <w:r w:rsidRPr="0086590B">
        <w:rPr>
          <w:rFonts w:ascii="Verdana" w:eastAsia="Arial" w:hAnsi="Verdana" w:cs="Arial"/>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41D4A0BF" w14:textId="77777777" w:rsidR="00E53145" w:rsidRPr="00774814" w:rsidRDefault="00E53145" w:rsidP="00E53145">
      <w:pPr>
        <w:spacing w:after="0" w:line="240" w:lineRule="auto"/>
        <w:ind w:right="1293" w:firstLine="709"/>
        <w:jc w:val="both"/>
        <w:rPr>
          <w:rFonts w:ascii="Verdana" w:eastAsia="Arial" w:hAnsi="Verdana" w:cs="Arial"/>
          <w:lang w:val="es-ES"/>
        </w:rPr>
      </w:pPr>
    </w:p>
    <w:p w14:paraId="152786A5" w14:textId="49B50842" w:rsidR="00E53145" w:rsidRPr="00367720" w:rsidRDefault="00367720" w:rsidP="00367720">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4. </w:t>
      </w:r>
      <w:r w:rsidR="00E53145" w:rsidRPr="00367720">
        <w:rPr>
          <w:rFonts w:ascii="Verdana" w:eastAsia="Century Gothic" w:hAnsi="Verdana" w:cs="Century Gothic"/>
          <w:b/>
          <w:bCs/>
        </w:rPr>
        <w:t>Referencias normativas, jurisprudenciales y otras fuentes:</w:t>
      </w:r>
    </w:p>
    <w:p w14:paraId="286537D1" w14:textId="77777777" w:rsidR="00E53145" w:rsidRPr="0086590B" w:rsidRDefault="00E53145" w:rsidP="00E53145">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53145" w:rsidRPr="0086590B" w14:paraId="1CBE198A" w14:textId="77777777" w:rsidTr="001B063F">
        <w:trPr>
          <w:trHeight w:val="870"/>
        </w:trPr>
        <w:tc>
          <w:tcPr>
            <w:tcW w:w="8647" w:type="dxa"/>
          </w:tcPr>
          <w:p w14:paraId="01C417F6" w14:textId="77777777" w:rsidR="00473608" w:rsidRDefault="00473608" w:rsidP="00E30CD8">
            <w:pPr>
              <w:pStyle w:val="Prrafodelista"/>
              <w:widowControl w:val="0"/>
              <w:numPr>
                <w:ilvl w:val="0"/>
                <w:numId w:val="21"/>
              </w:numPr>
              <w:autoSpaceDE w:val="0"/>
              <w:autoSpaceDN w:val="0"/>
              <w:spacing w:after="120" w:line="276" w:lineRule="auto"/>
              <w:ind w:left="714" w:hanging="357"/>
              <w:jc w:val="both"/>
              <w:rPr>
                <w:rFonts w:ascii="Verdana" w:hAnsi="Verdana" w:cs="Arial"/>
              </w:rPr>
            </w:pPr>
            <w:r>
              <w:rPr>
                <w:rFonts w:ascii="Verdana" w:hAnsi="Verdana" w:cs="Arial"/>
              </w:rPr>
              <w:t xml:space="preserve">Constitución Política. Artículo 208. </w:t>
            </w:r>
          </w:p>
          <w:p w14:paraId="3FE48C36" w14:textId="76A71E90" w:rsidR="00571C93" w:rsidRDefault="00571C93" w:rsidP="00E30CD8">
            <w:pPr>
              <w:pStyle w:val="Prrafodelista"/>
              <w:widowControl w:val="0"/>
              <w:numPr>
                <w:ilvl w:val="0"/>
                <w:numId w:val="21"/>
              </w:numPr>
              <w:autoSpaceDE w:val="0"/>
              <w:autoSpaceDN w:val="0"/>
              <w:spacing w:after="120" w:line="276" w:lineRule="auto"/>
              <w:ind w:left="714" w:hanging="357"/>
              <w:jc w:val="both"/>
              <w:rPr>
                <w:rFonts w:ascii="Verdana" w:hAnsi="Verdana" w:cs="Arial"/>
              </w:rPr>
            </w:pPr>
            <w:r>
              <w:rPr>
                <w:rFonts w:ascii="Verdana" w:hAnsi="Verdana" w:cs="Arial"/>
              </w:rPr>
              <w:t>Código Civil. Artículo 1849.</w:t>
            </w:r>
          </w:p>
          <w:p w14:paraId="034D367E" w14:textId="602F1E44" w:rsidR="00571C93" w:rsidRDefault="00CE011F" w:rsidP="00E30CD8">
            <w:pPr>
              <w:pStyle w:val="Prrafodelista"/>
              <w:widowControl w:val="0"/>
              <w:numPr>
                <w:ilvl w:val="0"/>
                <w:numId w:val="21"/>
              </w:numPr>
              <w:autoSpaceDE w:val="0"/>
              <w:autoSpaceDN w:val="0"/>
              <w:spacing w:after="120" w:line="276" w:lineRule="auto"/>
              <w:ind w:left="714" w:hanging="357"/>
              <w:jc w:val="both"/>
              <w:rPr>
                <w:rFonts w:ascii="Verdana" w:hAnsi="Verdana" w:cs="Arial"/>
              </w:rPr>
            </w:pPr>
            <w:r>
              <w:rPr>
                <w:rFonts w:ascii="Verdana" w:hAnsi="Verdana" w:cs="Arial"/>
              </w:rPr>
              <w:t>Código de Comercio. Artículo 905.</w:t>
            </w:r>
          </w:p>
          <w:p w14:paraId="1C8E7F3A" w14:textId="78DAED07" w:rsidR="00E53145" w:rsidRDefault="00473608" w:rsidP="00E30CD8">
            <w:pPr>
              <w:pStyle w:val="Prrafodelista"/>
              <w:widowControl w:val="0"/>
              <w:numPr>
                <w:ilvl w:val="0"/>
                <w:numId w:val="21"/>
              </w:numPr>
              <w:autoSpaceDE w:val="0"/>
              <w:autoSpaceDN w:val="0"/>
              <w:spacing w:after="120" w:line="276" w:lineRule="auto"/>
              <w:ind w:left="714" w:hanging="357"/>
              <w:jc w:val="both"/>
              <w:rPr>
                <w:rFonts w:ascii="Verdana" w:hAnsi="Verdana" w:cs="Arial"/>
              </w:rPr>
            </w:pPr>
            <w:r w:rsidRPr="00473608">
              <w:rPr>
                <w:rFonts w:ascii="Verdana" w:hAnsi="Verdana" w:cs="Arial"/>
              </w:rPr>
              <w:t>Decreto</w:t>
            </w:r>
            <w:r>
              <w:rPr>
                <w:rFonts w:ascii="Verdana" w:hAnsi="Verdana" w:cs="Arial"/>
              </w:rPr>
              <w:t xml:space="preserve"> Ley 150 de 1976.</w:t>
            </w:r>
          </w:p>
          <w:p w14:paraId="521DED79" w14:textId="77777777" w:rsidR="00473608" w:rsidRDefault="00473608" w:rsidP="00E30CD8">
            <w:pPr>
              <w:pStyle w:val="Prrafodelista"/>
              <w:widowControl w:val="0"/>
              <w:numPr>
                <w:ilvl w:val="0"/>
                <w:numId w:val="21"/>
              </w:numPr>
              <w:autoSpaceDE w:val="0"/>
              <w:autoSpaceDN w:val="0"/>
              <w:spacing w:after="120" w:line="276" w:lineRule="auto"/>
              <w:ind w:left="714" w:hanging="357"/>
              <w:jc w:val="both"/>
              <w:rPr>
                <w:rFonts w:ascii="Verdana" w:hAnsi="Verdana" w:cs="Arial"/>
              </w:rPr>
            </w:pPr>
            <w:r>
              <w:rPr>
                <w:rFonts w:ascii="Verdana" w:hAnsi="Verdana" w:cs="Arial"/>
              </w:rPr>
              <w:t xml:space="preserve">Decreto 222 de 1983. </w:t>
            </w:r>
          </w:p>
          <w:p w14:paraId="2BF0512E" w14:textId="59864C6E" w:rsidR="00473608" w:rsidRDefault="00473608" w:rsidP="00E30CD8">
            <w:pPr>
              <w:pStyle w:val="Prrafodelista"/>
              <w:widowControl w:val="0"/>
              <w:numPr>
                <w:ilvl w:val="0"/>
                <w:numId w:val="21"/>
              </w:numPr>
              <w:autoSpaceDE w:val="0"/>
              <w:autoSpaceDN w:val="0"/>
              <w:spacing w:after="120" w:line="276" w:lineRule="auto"/>
              <w:ind w:left="714" w:hanging="357"/>
              <w:jc w:val="both"/>
              <w:rPr>
                <w:rFonts w:ascii="Verdana" w:hAnsi="Verdana" w:cs="Arial"/>
              </w:rPr>
            </w:pPr>
            <w:r>
              <w:rPr>
                <w:rFonts w:ascii="Verdana" w:hAnsi="Verdana" w:cs="Arial"/>
              </w:rPr>
              <w:t>Ley 80 de 1993. Artículo</w:t>
            </w:r>
            <w:r w:rsidR="00B83250">
              <w:rPr>
                <w:rFonts w:ascii="Verdana" w:hAnsi="Verdana" w:cs="Arial"/>
              </w:rPr>
              <w:t>s</w:t>
            </w:r>
            <w:r>
              <w:rPr>
                <w:rFonts w:ascii="Verdana" w:hAnsi="Verdana" w:cs="Arial"/>
              </w:rPr>
              <w:t xml:space="preserve"> 25 numeral 15</w:t>
            </w:r>
            <w:r w:rsidR="00B83250">
              <w:rPr>
                <w:rFonts w:ascii="Verdana" w:hAnsi="Verdana" w:cs="Arial"/>
              </w:rPr>
              <w:t>, 30 numerales 7 y 8</w:t>
            </w:r>
            <w:r w:rsidR="00AF5564">
              <w:rPr>
                <w:rFonts w:ascii="Verdana" w:hAnsi="Verdana" w:cs="Arial"/>
              </w:rPr>
              <w:t>, 25</w:t>
            </w:r>
            <w:r w:rsidR="007B5EE2">
              <w:rPr>
                <w:rFonts w:ascii="Verdana" w:hAnsi="Verdana" w:cs="Arial"/>
              </w:rPr>
              <w:t>, 19</w:t>
            </w:r>
            <w:r w:rsidR="00B83250">
              <w:rPr>
                <w:rFonts w:ascii="Verdana" w:hAnsi="Verdana" w:cs="Arial"/>
              </w:rPr>
              <w:t xml:space="preserve">. </w:t>
            </w:r>
            <w:r>
              <w:rPr>
                <w:rFonts w:ascii="Verdana" w:hAnsi="Verdana" w:cs="Arial"/>
              </w:rPr>
              <w:t xml:space="preserve"> </w:t>
            </w:r>
          </w:p>
          <w:p w14:paraId="76750F1A" w14:textId="22F9109F" w:rsidR="00473608" w:rsidRDefault="00714CD0" w:rsidP="00E30CD8">
            <w:pPr>
              <w:pStyle w:val="Prrafodelista"/>
              <w:widowControl w:val="0"/>
              <w:numPr>
                <w:ilvl w:val="0"/>
                <w:numId w:val="21"/>
              </w:numPr>
              <w:autoSpaceDE w:val="0"/>
              <w:autoSpaceDN w:val="0"/>
              <w:spacing w:after="120" w:line="276" w:lineRule="auto"/>
              <w:ind w:left="714" w:hanging="357"/>
              <w:jc w:val="both"/>
              <w:rPr>
                <w:rFonts w:ascii="Verdana" w:hAnsi="Verdana" w:cs="Arial"/>
              </w:rPr>
            </w:pPr>
            <w:r>
              <w:rPr>
                <w:rFonts w:ascii="Verdana" w:hAnsi="Verdana" w:cs="Arial"/>
              </w:rPr>
              <w:t xml:space="preserve">Ley 1150 de 2007. Artículo 5 parágrafo 1. </w:t>
            </w:r>
          </w:p>
          <w:p w14:paraId="5087305B" w14:textId="18F3B44D" w:rsidR="00432EA2" w:rsidRDefault="00432EA2" w:rsidP="00E30CD8">
            <w:pPr>
              <w:pStyle w:val="Prrafodelista"/>
              <w:widowControl w:val="0"/>
              <w:numPr>
                <w:ilvl w:val="0"/>
                <w:numId w:val="21"/>
              </w:numPr>
              <w:autoSpaceDE w:val="0"/>
              <w:autoSpaceDN w:val="0"/>
              <w:spacing w:after="120" w:line="276" w:lineRule="auto"/>
              <w:ind w:left="714" w:hanging="357"/>
              <w:jc w:val="both"/>
              <w:rPr>
                <w:rFonts w:ascii="Verdana" w:hAnsi="Verdana" w:cs="Arial"/>
              </w:rPr>
            </w:pPr>
            <w:r w:rsidRPr="00432EA2">
              <w:rPr>
                <w:rFonts w:ascii="Verdana" w:hAnsi="Verdana" w:cs="Arial"/>
              </w:rPr>
              <w:t>Decreto 2474 de 2008</w:t>
            </w:r>
            <w:r>
              <w:rPr>
                <w:rFonts w:ascii="Verdana" w:hAnsi="Verdana" w:cs="Arial"/>
              </w:rPr>
              <w:t xml:space="preserve">. Artículo 10. </w:t>
            </w:r>
          </w:p>
          <w:p w14:paraId="0AB43A8B" w14:textId="12748AC9" w:rsidR="00CB7837" w:rsidRPr="00CA742D" w:rsidRDefault="00CB7837" w:rsidP="00E30CD8">
            <w:pPr>
              <w:pStyle w:val="Prrafodelista"/>
              <w:widowControl w:val="0"/>
              <w:numPr>
                <w:ilvl w:val="0"/>
                <w:numId w:val="21"/>
              </w:numPr>
              <w:autoSpaceDE w:val="0"/>
              <w:autoSpaceDN w:val="0"/>
              <w:spacing w:after="120" w:line="276" w:lineRule="auto"/>
              <w:ind w:left="714" w:hanging="357"/>
              <w:jc w:val="both"/>
              <w:rPr>
                <w:rFonts w:ascii="Verdana" w:hAnsi="Verdana" w:cs="Arial"/>
              </w:rPr>
            </w:pPr>
            <w:r w:rsidRPr="0086590B">
              <w:rPr>
                <w:rFonts w:ascii="Verdana" w:eastAsia="Arial" w:hAnsi="Verdana" w:cs="Arial"/>
                <w:color w:val="000000" w:themeColor="text1"/>
              </w:rPr>
              <w:t>Ley 1882 de 2018</w:t>
            </w:r>
            <w:r>
              <w:rPr>
                <w:rFonts w:ascii="Verdana" w:eastAsia="Arial" w:hAnsi="Verdana" w:cs="Arial"/>
                <w:color w:val="000000" w:themeColor="text1"/>
              </w:rPr>
              <w:t xml:space="preserve">. Artículo 5. </w:t>
            </w:r>
          </w:p>
          <w:p w14:paraId="72384B47" w14:textId="53983937" w:rsidR="00CA742D" w:rsidRDefault="00CA742D" w:rsidP="00E30CD8">
            <w:pPr>
              <w:pStyle w:val="Prrafodelista"/>
              <w:widowControl w:val="0"/>
              <w:numPr>
                <w:ilvl w:val="0"/>
                <w:numId w:val="21"/>
              </w:numPr>
              <w:autoSpaceDE w:val="0"/>
              <w:autoSpaceDN w:val="0"/>
              <w:spacing w:after="120" w:line="276" w:lineRule="auto"/>
              <w:ind w:left="714" w:hanging="357"/>
              <w:jc w:val="both"/>
              <w:rPr>
                <w:rFonts w:ascii="Verdana" w:hAnsi="Verdana" w:cs="Arial"/>
              </w:rPr>
            </w:pPr>
            <w:r w:rsidRPr="00CA742D">
              <w:rPr>
                <w:rFonts w:ascii="Verdana" w:hAnsi="Verdana" w:cs="Arial"/>
              </w:rPr>
              <w:t>Decreto 1082 de 2015 “Artículo 2.2.1.1.2.1.3.</w:t>
            </w:r>
          </w:p>
          <w:p w14:paraId="72579F8C" w14:textId="77777777" w:rsidR="003E0051" w:rsidRDefault="00EE5E34" w:rsidP="00E30CD8">
            <w:pPr>
              <w:pStyle w:val="Prrafodelista"/>
              <w:numPr>
                <w:ilvl w:val="0"/>
                <w:numId w:val="21"/>
              </w:numPr>
              <w:spacing w:after="120" w:line="276" w:lineRule="auto"/>
              <w:ind w:left="714" w:hanging="357"/>
              <w:jc w:val="both"/>
              <w:rPr>
                <w:rFonts w:ascii="Verdana" w:hAnsi="Verdana" w:cs="Arial"/>
              </w:rPr>
            </w:pPr>
            <w:r w:rsidRPr="00EE5E34">
              <w:rPr>
                <w:rFonts w:ascii="Verdana" w:hAnsi="Verdana" w:cs="Arial"/>
              </w:rPr>
              <w:t>Consejo de Estado. Sala de lo Contencioso Administrativo</w:t>
            </w:r>
            <w:r>
              <w:rPr>
                <w:rFonts w:ascii="Verdana" w:hAnsi="Verdana" w:cs="Arial"/>
              </w:rPr>
              <w:t>.</w:t>
            </w:r>
            <w:r w:rsidRPr="00EE5E34">
              <w:rPr>
                <w:rFonts w:ascii="Verdana" w:hAnsi="Verdana" w:cs="Arial"/>
              </w:rPr>
              <w:t xml:space="preserve"> Sección Tercera. Subsección C. Sentencia del 26 de febrero de 2014. Radicado: 1999-00113-01 (25.804). C.P. Enrique Gil Botero. </w:t>
            </w:r>
          </w:p>
          <w:p w14:paraId="53CEB72B" w14:textId="60E84B88" w:rsidR="00E30CD8" w:rsidRDefault="00E30CD8" w:rsidP="00E30CD8">
            <w:pPr>
              <w:pStyle w:val="Prrafodelista"/>
              <w:numPr>
                <w:ilvl w:val="0"/>
                <w:numId w:val="21"/>
              </w:numPr>
              <w:spacing w:after="120" w:line="276" w:lineRule="auto"/>
              <w:ind w:left="714" w:hanging="357"/>
              <w:jc w:val="both"/>
              <w:rPr>
                <w:rFonts w:ascii="Verdana" w:hAnsi="Verdana" w:cs="Arial"/>
              </w:rPr>
            </w:pPr>
            <w:r w:rsidRPr="00E30CD8">
              <w:rPr>
                <w:rFonts w:ascii="Verdana" w:hAnsi="Verdana" w:cs="Arial"/>
              </w:rPr>
              <w:t>Consejo de Estado. Sala de Consulta y Servicio Civil</w:t>
            </w:r>
            <w:r w:rsidR="00C83285">
              <w:rPr>
                <w:rFonts w:ascii="Verdana" w:hAnsi="Verdana" w:cs="Arial"/>
              </w:rPr>
              <w:t xml:space="preserve">. Concepto </w:t>
            </w:r>
            <w:r w:rsidRPr="00E30CD8">
              <w:rPr>
                <w:rFonts w:ascii="Verdana" w:hAnsi="Verdana" w:cs="Arial"/>
              </w:rPr>
              <w:t>del 6 de noviembre de 2008. Rad. 2008-00079-00 (1927). C.P. William Zambrano Cetina.</w:t>
            </w:r>
          </w:p>
          <w:p w14:paraId="0D0D00A3" w14:textId="673BE511" w:rsidR="00B3578B" w:rsidRDefault="00B3578B" w:rsidP="00E30CD8">
            <w:pPr>
              <w:pStyle w:val="Prrafodelista"/>
              <w:numPr>
                <w:ilvl w:val="0"/>
                <w:numId w:val="21"/>
              </w:numPr>
              <w:spacing w:after="120" w:line="276" w:lineRule="auto"/>
              <w:ind w:left="714" w:hanging="357"/>
              <w:jc w:val="both"/>
              <w:rPr>
                <w:rFonts w:ascii="Verdana" w:hAnsi="Verdana" w:cs="Arial"/>
              </w:rPr>
            </w:pPr>
            <w:r w:rsidRPr="00B3578B">
              <w:rPr>
                <w:rFonts w:ascii="Verdana" w:hAnsi="Verdana" w:cs="Arial"/>
              </w:rPr>
              <w:t xml:space="preserve">Consejo de Estado. Sala de lo Contencioso Administrativo. Sección Tercera, Subsección C. Sentencia del 26 de febrero de 2011. Radicado: 11001-03-26-000-2009-00018-00 (36.408). C.P. Jaime Orlando Santofimio.   </w:t>
            </w:r>
          </w:p>
          <w:p w14:paraId="5BAD316E" w14:textId="2A5D7CED" w:rsidR="00B3578B" w:rsidRDefault="00C87A69" w:rsidP="00E30CD8">
            <w:pPr>
              <w:pStyle w:val="Prrafodelista"/>
              <w:numPr>
                <w:ilvl w:val="0"/>
                <w:numId w:val="21"/>
              </w:numPr>
              <w:spacing w:after="120" w:line="276" w:lineRule="auto"/>
              <w:ind w:left="714" w:hanging="357"/>
              <w:jc w:val="both"/>
              <w:rPr>
                <w:rFonts w:ascii="Verdana" w:hAnsi="Verdana" w:cs="Arial"/>
              </w:rPr>
            </w:pPr>
            <w:r w:rsidRPr="00C87A69">
              <w:rPr>
                <w:rFonts w:ascii="Verdana" w:hAnsi="Verdana" w:cs="Arial"/>
              </w:rPr>
              <w:t>Consejo de Estado</w:t>
            </w:r>
            <w:r w:rsidR="00C83285">
              <w:rPr>
                <w:rFonts w:ascii="Verdana" w:hAnsi="Verdana" w:cs="Arial"/>
              </w:rPr>
              <w:t xml:space="preserve">, </w:t>
            </w:r>
            <w:r w:rsidR="00C83285" w:rsidRPr="00EE5E34">
              <w:rPr>
                <w:rFonts w:ascii="Verdana" w:hAnsi="Verdana" w:cs="Arial"/>
              </w:rPr>
              <w:t>Sala de lo Contencioso Administrativo</w:t>
            </w:r>
            <w:r w:rsidR="00C83285">
              <w:rPr>
                <w:rFonts w:ascii="Verdana" w:hAnsi="Verdana" w:cs="Arial"/>
              </w:rPr>
              <w:t>.</w:t>
            </w:r>
            <w:r w:rsidR="00C83285" w:rsidRPr="00C87A69">
              <w:rPr>
                <w:rFonts w:ascii="Verdana" w:hAnsi="Verdana" w:cs="Arial"/>
              </w:rPr>
              <w:t xml:space="preserve"> </w:t>
            </w:r>
            <w:r w:rsidRPr="00C87A69">
              <w:rPr>
                <w:rFonts w:ascii="Verdana" w:hAnsi="Verdana" w:cs="Arial"/>
              </w:rPr>
              <w:t>Sección Tercera</w:t>
            </w:r>
            <w:r w:rsidR="00C83285">
              <w:rPr>
                <w:rFonts w:ascii="Verdana" w:hAnsi="Verdana" w:cs="Arial"/>
              </w:rPr>
              <w:t>.</w:t>
            </w:r>
            <w:r w:rsidRPr="00C87A69">
              <w:rPr>
                <w:rFonts w:ascii="Verdana" w:hAnsi="Verdana" w:cs="Arial"/>
              </w:rPr>
              <w:t xml:space="preserve"> Subsección C. Sentencia del 26 de febrero de 2014.  Radicado: 13001-23-31-000-1999-00113-01 (25.804). </w:t>
            </w:r>
            <w:r w:rsidR="00C83285">
              <w:rPr>
                <w:rFonts w:ascii="Verdana" w:hAnsi="Verdana" w:cs="Arial"/>
              </w:rPr>
              <w:t>C</w:t>
            </w:r>
            <w:r w:rsidRPr="00C87A69">
              <w:rPr>
                <w:rFonts w:ascii="Verdana" w:hAnsi="Verdana" w:cs="Arial"/>
              </w:rPr>
              <w:t xml:space="preserve">.P: Enrique Gil Botero.   </w:t>
            </w:r>
          </w:p>
          <w:p w14:paraId="747D2AF0" w14:textId="52E833A6" w:rsidR="00C550AA" w:rsidRDefault="00C550AA" w:rsidP="00E30CD8">
            <w:pPr>
              <w:pStyle w:val="Prrafodelista"/>
              <w:numPr>
                <w:ilvl w:val="0"/>
                <w:numId w:val="21"/>
              </w:numPr>
              <w:spacing w:after="120" w:line="276" w:lineRule="auto"/>
              <w:ind w:left="714" w:hanging="357"/>
              <w:jc w:val="both"/>
              <w:rPr>
                <w:rFonts w:ascii="Verdana" w:hAnsi="Verdana" w:cs="Arial"/>
              </w:rPr>
            </w:pPr>
            <w:r w:rsidRPr="00C550AA">
              <w:rPr>
                <w:rFonts w:ascii="Verdana" w:hAnsi="Verdana" w:cs="Arial"/>
              </w:rPr>
              <w:t>Consejo de Estado. Sala de Consulta y Servicio Civil. Concepto del 20 de mayo de 2010. Rad. 2010-00034-00 (1992). C.P. Enrique José Arboleda Perdomo.</w:t>
            </w:r>
          </w:p>
          <w:p w14:paraId="45BAA5BC" w14:textId="21517D4A" w:rsidR="00E3676F" w:rsidRDefault="00E3676F" w:rsidP="00E30CD8">
            <w:pPr>
              <w:pStyle w:val="Prrafodelista"/>
              <w:numPr>
                <w:ilvl w:val="0"/>
                <w:numId w:val="21"/>
              </w:numPr>
              <w:spacing w:after="120" w:line="276" w:lineRule="auto"/>
              <w:ind w:left="714" w:hanging="357"/>
              <w:jc w:val="both"/>
              <w:rPr>
                <w:rFonts w:ascii="Verdana" w:hAnsi="Verdana" w:cs="Arial"/>
              </w:rPr>
            </w:pPr>
            <w:r w:rsidRPr="00E3676F">
              <w:rPr>
                <w:rFonts w:ascii="Verdana" w:hAnsi="Verdana" w:cs="Arial"/>
              </w:rPr>
              <w:t>Consejo de Estado. Sala de lo Contencioso Administrativo. Sección Tercera Subsección B. Sentencia del 27 de abril de 2011. Radicado: 25000-23-26-000-1997-03924-01 (18.293). C.P.: Ruth Stella Correa Palacio.</w:t>
            </w:r>
          </w:p>
          <w:p w14:paraId="6A8B912B" w14:textId="5F8E60F2" w:rsidR="00571C93" w:rsidRDefault="00571C93" w:rsidP="00E30CD8">
            <w:pPr>
              <w:pStyle w:val="Prrafodelista"/>
              <w:numPr>
                <w:ilvl w:val="0"/>
                <w:numId w:val="21"/>
              </w:numPr>
              <w:spacing w:after="120" w:line="276" w:lineRule="auto"/>
              <w:ind w:left="714" w:hanging="357"/>
              <w:jc w:val="both"/>
              <w:rPr>
                <w:rFonts w:ascii="Verdana" w:hAnsi="Verdana" w:cs="Arial"/>
              </w:rPr>
            </w:pPr>
            <w:r w:rsidRPr="00571C93">
              <w:rPr>
                <w:rFonts w:ascii="Verdana" w:hAnsi="Verdana" w:cs="Arial"/>
              </w:rPr>
              <w:t xml:space="preserve">Consejo de Estado. </w:t>
            </w:r>
            <w:r w:rsidR="00072976">
              <w:rPr>
                <w:rFonts w:ascii="Verdana" w:hAnsi="Verdana" w:cs="Arial"/>
              </w:rPr>
              <w:t>Sala de lo Contencioso Administrativo</w:t>
            </w:r>
            <w:r w:rsidR="00F44DF6">
              <w:rPr>
                <w:rFonts w:ascii="Verdana" w:hAnsi="Verdana" w:cs="Arial"/>
              </w:rPr>
              <w:t>.</w:t>
            </w:r>
            <w:r w:rsidR="00C83285">
              <w:rPr>
                <w:rFonts w:ascii="Verdana" w:hAnsi="Verdana" w:cs="Arial"/>
              </w:rPr>
              <w:t xml:space="preserve"> </w:t>
            </w:r>
            <w:r w:rsidRPr="00571C93">
              <w:rPr>
                <w:rFonts w:ascii="Verdana" w:hAnsi="Verdana" w:cs="Arial"/>
              </w:rPr>
              <w:t>Sección Tercera. Sentencia del 21 de noviembre de 2013. Radicado 25000-23-26-000-1999-01850-01 (25.397). C.P. Carlos Alberto Zambrano Barrera.</w:t>
            </w:r>
          </w:p>
          <w:p w14:paraId="7C6880D6" w14:textId="60468D0A" w:rsidR="00257D6B" w:rsidRDefault="00257D6B" w:rsidP="00E30CD8">
            <w:pPr>
              <w:pStyle w:val="Prrafodelista"/>
              <w:numPr>
                <w:ilvl w:val="0"/>
                <w:numId w:val="21"/>
              </w:numPr>
              <w:spacing w:after="120" w:line="276" w:lineRule="auto"/>
              <w:ind w:left="714" w:hanging="357"/>
              <w:jc w:val="both"/>
              <w:rPr>
                <w:rFonts w:ascii="Verdana" w:hAnsi="Verdana" w:cs="Arial"/>
              </w:rPr>
            </w:pPr>
            <w:r w:rsidRPr="00257D6B">
              <w:rPr>
                <w:rFonts w:ascii="Verdana" w:hAnsi="Verdana" w:cs="Arial"/>
              </w:rPr>
              <w:t xml:space="preserve">Consejo de Estado. </w:t>
            </w:r>
            <w:r w:rsidR="00072976">
              <w:rPr>
                <w:rFonts w:ascii="Verdana" w:hAnsi="Verdana" w:cs="Arial"/>
              </w:rPr>
              <w:t xml:space="preserve">Sala de lo Contencioso Administrativo. </w:t>
            </w:r>
            <w:r w:rsidRPr="00257D6B">
              <w:rPr>
                <w:rFonts w:ascii="Verdana" w:hAnsi="Verdana" w:cs="Arial"/>
              </w:rPr>
              <w:t xml:space="preserve">Sección Cuarta. Sentencia del 24 de octubre de 2002. </w:t>
            </w:r>
            <w:proofErr w:type="spellStart"/>
            <w:r w:rsidRPr="00257D6B">
              <w:rPr>
                <w:rFonts w:ascii="Verdana" w:hAnsi="Verdana" w:cs="Arial"/>
              </w:rPr>
              <w:t>Exp</w:t>
            </w:r>
            <w:proofErr w:type="spellEnd"/>
            <w:r w:rsidRPr="00257D6B">
              <w:rPr>
                <w:rFonts w:ascii="Verdana" w:hAnsi="Verdana" w:cs="Arial"/>
              </w:rPr>
              <w:t xml:space="preserve"> 13.408. C.P. Ligia López Díaz.</w:t>
            </w:r>
          </w:p>
          <w:p w14:paraId="07147795" w14:textId="7EB9A204" w:rsidR="00072976" w:rsidRDefault="00072976" w:rsidP="00E30CD8">
            <w:pPr>
              <w:pStyle w:val="Prrafodelista"/>
              <w:numPr>
                <w:ilvl w:val="0"/>
                <w:numId w:val="21"/>
              </w:numPr>
              <w:spacing w:after="120" w:line="276" w:lineRule="auto"/>
              <w:ind w:left="714" w:hanging="357"/>
              <w:jc w:val="both"/>
              <w:rPr>
                <w:rFonts w:ascii="Verdana" w:hAnsi="Verdana" w:cs="Arial"/>
              </w:rPr>
            </w:pPr>
            <w:r w:rsidRPr="00072976">
              <w:rPr>
                <w:rFonts w:ascii="Verdana" w:hAnsi="Verdana" w:cs="Arial"/>
              </w:rPr>
              <w:t>Consejo de Estado.</w:t>
            </w:r>
            <w:r>
              <w:rPr>
                <w:rFonts w:ascii="Verdana" w:hAnsi="Verdana" w:cs="Arial"/>
              </w:rPr>
              <w:t xml:space="preserve"> Sala de lo Contencioso Administrativo. </w:t>
            </w:r>
            <w:r w:rsidRPr="00072976">
              <w:rPr>
                <w:rFonts w:ascii="Verdana" w:hAnsi="Verdana" w:cs="Arial"/>
              </w:rPr>
              <w:t>Sección Tercera. Sentencia del 29 de agosto de 2007. Rad. 1996-00309- 01 (15.324). C.P. Mauricio Fajardo Gómez.</w:t>
            </w:r>
          </w:p>
          <w:p w14:paraId="5ECB8C2B" w14:textId="7FF9B764" w:rsidR="00F457C2" w:rsidRPr="00FF6F71" w:rsidRDefault="00F457C2" w:rsidP="0049663C">
            <w:pPr>
              <w:pStyle w:val="Prrafodelista"/>
              <w:numPr>
                <w:ilvl w:val="0"/>
                <w:numId w:val="21"/>
              </w:numPr>
              <w:jc w:val="both"/>
              <w:rPr>
                <w:rFonts w:ascii="Verdana" w:hAnsi="Verdana" w:cs="Arial"/>
              </w:rPr>
            </w:pPr>
            <w:r w:rsidRPr="00F457C2">
              <w:rPr>
                <w:rFonts w:ascii="Verdana" w:hAnsi="Verdana" w:cs="Arial"/>
              </w:rPr>
              <w:t>Corte Constitucional. Sentencia C-862 de 2008. M.P. Marco Gerardo Monroy Cabra.</w:t>
            </w:r>
          </w:p>
          <w:p w14:paraId="0C201C80" w14:textId="77777777" w:rsidR="00AF5564" w:rsidRPr="00AF5564" w:rsidRDefault="003E0051" w:rsidP="00AF5564">
            <w:pPr>
              <w:pStyle w:val="Prrafodelista"/>
              <w:numPr>
                <w:ilvl w:val="0"/>
                <w:numId w:val="21"/>
              </w:numPr>
              <w:spacing w:after="120" w:line="276" w:lineRule="auto"/>
              <w:ind w:left="714" w:hanging="357"/>
              <w:jc w:val="both"/>
              <w:rPr>
                <w:rFonts w:ascii="Verdana" w:hAnsi="Verdana" w:cs="Arial"/>
              </w:rPr>
            </w:pPr>
            <w:r w:rsidRPr="003E0051">
              <w:rPr>
                <w:rFonts w:ascii="Verdana" w:hAnsi="Verdana" w:cs="Arial"/>
              </w:rPr>
              <w:t xml:space="preserve">Circular Única Externa. Disponible en </w:t>
            </w:r>
            <w:hyperlink r:id="rId12" w:history="1">
              <w:r w:rsidRPr="003E0051">
                <w:rPr>
                  <w:rStyle w:val="Hipervnculo"/>
                  <w:rFonts w:ascii="Verdana" w:hAnsi="Verdana"/>
                  <w:lang w:val="es-CO"/>
                </w:rPr>
                <w:t>circular_externa_unica_version_3_vf49.pdf</w:t>
              </w:r>
            </w:hyperlink>
          </w:p>
          <w:p w14:paraId="58A64E7C" w14:textId="67142D70" w:rsidR="00AF5564" w:rsidRPr="00AF5564" w:rsidRDefault="005E72B4" w:rsidP="00AF5564">
            <w:pPr>
              <w:pStyle w:val="Prrafodelista"/>
              <w:numPr>
                <w:ilvl w:val="0"/>
                <w:numId w:val="21"/>
              </w:numPr>
              <w:spacing w:after="120" w:line="276" w:lineRule="auto"/>
              <w:ind w:left="714" w:hanging="357"/>
              <w:jc w:val="both"/>
              <w:rPr>
                <w:rFonts w:ascii="Verdana" w:hAnsi="Verdana" w:cs="Arial"/>
              </w:rPr>
            </w:pPr>
            <w:r w:rsidRPr="00AF5564">
              <w:rPr>
                <w:rFonts w:ascii="Verdana" w:eastAsia="Calibri" w:hAnsi="Verdana" w:cs="Arial"/>
              </w:rPr>
              <w:t>Manual para determinar y verificar los requisitos habilitantes en los Procesos de Contratación</w:t>
            </w:r>
            <w:r w:rsidR="00AF5564" w:rsidRPr="00AF5564">
              <w:rPr>
                <w:rFonts w:ascii="Verdana" w:eastAsia="Calibri" w:hAnsi="Verdana" w:cs="Arial"/>
              </w:rPr>
              <w:t xml:space="preserve">. </w:t>
            </w:r>
            <w:r w:rsidR="00AF5564" w:rsidRPr="00AF5564">
              <w:rPr>
                <w:rFonts w:ascii="Verdana" w:hAnsi="Verdana"/>
                <w:lang w:val="es-CO"/>
              </w:rPr>
              <w:t xml:space="preserve">Disponible en </w:t>
            </w:r>
            <w:hyperlink r:id="rId13" w:history="1">
              <w:r w:rsidR="00AF5564" w:rsidRPr="00AF5564">
                <w:rPr>
                  <w:rStyle w:val="Hipervnculo"/>
                  <w:rFonts w:ascii="Verdana" w:hAnsi="Verdana"/>
                  <w:lang w:val="es-CO"/>
                </w:rPr>
                <w:t>cce-eicp-ma-04._manual_requisitos_habilitantes_v3_29-09-2023.pdf</w:t>
              </w:r>
            </w:hyperlink>
          </w:p>
          <w:p w14:paraId="7442C445" w14:textId="77777777" w:rsidR="00473608" w:rsidRDefault="002F2C75" w:rsidP="00473608">
            <w:pPr>
              <w:pStyle w:val="Prrafodelista"/>
              <w:widowControl w:val="0"/>
              <w:numPr>
                <w:ilvl w:val="0"/>
                <w:numId w:val="21"/>
              </w:numPr>
              <w:autoSpaceDE w:val="0"/>
              <w:autoSpaceDN w:val="0"/>
              <w:spacing w:line="276" w:lineRule="auto"/>
              <w:jc w:val="both"/>
              <w:rPr>
                <w:rFonts w:ascii="Verdana" w:hAnsi="Verdana" w:cs="Arial"/>
              </w:rPr>
            </w:pPr>
            <w:r w:rsidRPr="002F2C75">
              <w:rPr>
                <w:rFonts w:ascii="Verdana" w:hAnsi="Verdana" w:cs="Arial"/>
              </w:rPr>
              <w:t xml:space="preserve">RODRÍGUEZ TAMAYO, Mauricio Fernando. Evaluación y rechazo de ofertas en la Ley 80 de 1993. Medellín: Librería Jurídica Sánchez, 2016. </w:t>
            </w:r>
          </w:p>
          <w:p w14:paraId="0088D773" w14:textId="3A8FCC6E" w:rsidR="00257D6B" w:rsidRPr="00473608" w:rsidRDefault="00890741" w:rsidP="00473608">
            <w:pPr>
              <w:pStyle w:val="Prrafodelista"/>
              <w:widowControl w:val="0"/>
              <w:numPr>
                <w:ilvl w:val="0"/>
                <w:numId w:val="21"/>
              </w:numPr>
              <w:autoSpaceDE w:val="0"/>
              <w:autoSpaceDN w:val="0"/>
              <w:spacing w:line="276" w:lineRule="auto"/>
              <w:jc w:val="both"/>
              <w:rPr>
                <w:rFonts w:ascii="Verdana" w:hAnsi="Verdana" w:cs="Arial"/>
              </w:rPr>
            </w:pPr>
            <w:r w:rsidRPr="00890741">
              <w:rPr>
                <w:rFonts w:ascii="Verdana" w:hAnsi="Verdana" w:cs="Arial"/>
              </w:rPr>
              <w:t>MARÍN CORTÉS, Fabián G. El precio. Librería Jurídica Sánchez R. Ltda. Medellín, 2012</w:t>
            </w:r>
            <w:r>
              <w:rPr>
                <w:rFonts w:ascii="Verdana" w:hAnsi="Verdana" w:cs="Arial"/>
              </w:rPr>
              <w:t>.</w:t>
            </w:r>
          </w:p>
        </w:tc>
      </w:tr>
    </w:tbl>
    <w:p w14:paraId="43E696E7" w14:textId="77777777" w:rsidR="00E53145" w:rsidRPr="0086590B" w:rsidRDefault="00E53145" w:rsidP="00E53145">
      <w:pPr>
        <w:widowControl w:val="0"/>
        <w:autoSpaceDE w:val="0"/>
        <w:autoSpaceDN w:val="0"/>
        <w:spacing w:after="0" w:line="276" w:lineRule="auto"/>
        <w:jc w:val="both"/>
        <w:rPr>
          <w:rFonts w:ascii="Verdana" w:hAnsi="Verdana" w:cs="Arial"/>
        </w:rPr>
      </w:pPr>
    </w:p>
    <w:p w14:paraId="40399FC8" w14:textId="49FE4E98" w:rsidR="00367720" w:rsidRPr="00367720" w:rsidRDefault="00367720" w:rsidP="00367720">
      <w:pPr>
        <w:tabs>
          <w:tab w:val="left" w:pos="142"/>
          <w:tab w:val="left" w:pos="284"/>
        </w:tabs>
        <w:spacing w:after="0" w:line="276" w:lineRule="auto"/>
        <w:jc w:val="both"/>
        <w:rPr>
          <w:rFonts w:ascii="Verdana" w:eastAsia="Century Gothic" w:hAnsi="Verdana" w:cs="Arial"/>
          <w:b/>
          <w:bCs/>
        </w:rPr>
      </w:pPr>
      <w:r>
        <w:rPr>
          <w:rFonts w:ascii="Verdana" w:eastAsia="Century Gothic" w:hAnsi="Verdana" w:cs="Arial"/>
          <w:b/>
          <w:bCs/>
        </w:rPr>
        <w:t xml:space="preserve">5. </w:t>
      </w:r>
      <w:r w:rsidRPr="00367720">
        <w:rPr>
          <w:rFonts w:ascii="Verdana" w:eastAsia="Century Gothic" w:hAnsi="Verdana" w:cs="Arial"/>
          <w:b/>
          <w:bCs/>
        </w:rPr>
        <w:t>Doctrina de la Agencia Nacional de Contratación Pública:</w:t>
      </w:r>
    </w:p>
    <w:p w14:paraId="7DB3859B" w14:textId="77777777" w:rsidR="00367720" w:rsidRPr="0086590B" w:rsidRDefault="00367720" w:rsidP="00367720">
      <w:pPr>
        <w:widowControl w:val="0"/>
        <w:autoSpaceDE w:val="0"/>
        <w:autoSpaceDN w:val="0"/>
        <w:spacing w:after="0" w:line="276" w:lineRule="auto"/>
        <w:jc w:val="both"/>
        <w:rPr>
          <w:rFonts w:ascii="Verdana" w:hAnsi="Verdana" w:cs="Arial"/>
        </w:rPr>
      </w:pPr>
    </w:p>
    <w:p w14:paraId="6B199639" w14:textId="77777777" w:rsidR="00367720" w:rsidRDefault="00367720" w:rsidP="00367720">
      <w:pPr>
        <w:widowControl w:val="0"/>
        <w:autoSpaceDE w:val="0"/>
        <w:autoSpaceDN w:val="0"/>
        <w:spacing w:after="120" w:line="276" w:lineRule="auto"/>
        <w:ind w:right="51"/>
        <w:jc w:val="both"/>
        <w:rPr>
          <w:rFonts w:ascii="Verdana" w:hAnsi="Verdana" w:cs="Arial"/>
          <w:shd w:val="clear" w:color="auto" w:fill="FFFFFF"/>
        </w:rPr>
      </w:pPr>
      <w:r w:rsidRPr="0086590B">
        <w:rPr>
          <w:rFonts w:ascii="Verdana" w:hAnsi="Verdana" w:cs="Arial"/>
          <w:shd w:val="clear" w:color="auto" w:fill="FFFFFF"/>
        </w:rPr>
        <w:t xml:space="preserve">Sobre la regla de </w:t>
      </w:r>
      <w:proofErr w:type="spellStart"/>
      <w:r w:rsidRPr="0086590B">
        <w:rPr>
          <w:rFonts w:ascii="Verdana" w:hAnsi="Verdana" w:cs="Arial"/>
          <w:shd w:val="clear" w:color="auto" w:fill="FFFFFF"/>
        </w:rPr>
        <w:t>subsanabilidad</w:t>
      </w:r>
      <w:proofErr w:type="spellEnd"/>
      <w:r w:rsidRPr="0086590B">
        <w:rPr>
          <w:rFonts w:ascii="Verdana" w:hAnsi="Verdana" w:cs="Arial"/>
          <w:shd w:val="clear" w:color="auto" w:fill="FFFFFF"/>
        </w:rPr>
        <w:t xml:space="preserve"> en los procesos de selección, se pronunció esta Subdirección en los conceptos CU-060 del 20 de febrero de 2020, C-282 del 22 de junio de 2021, C-285 del 20 de mayo de 2022, C-882 del 21 de diciembre de 2022, C-965 de 2023, C-447 del 19 de septiembre de 2024 y C-1009 de 2024, </w:t>
      </w:r>
      <w:r w:rsidRPr="0086590B">
        <w:rPr>
          <w:rStyle w:val="normaltextrun"/>
          <w:rFonts w:ascii="Verdana" w:hAnsi="Verdana" w:cs="Arial"/>
          <w:shd w:val="clear" w:color="auto" w:fill="FFFFFF"/>
          <w:lang w:val="es-ES"/>
        </w:rPr>
        <w:t xml:space="preserve">C-051 del 21 de febrero de 2025, </w:t>
      </w:r>
      <w:r w:rsidRPr="0086590B">
        <w:rPr>
          <w:rFonts w:ascii="Verdana" w:hAnsi="Verdana" w:cs="Arial"/>
          <w:shd w:val="clear" w:color="auto" w:fill="FFFFFF"/>
        </w:rPr>
        <w:t xml:space="preserve">C-289 del 14 de abril de 2025, </w:t>
      </w:r>
      <w:r w:rsidRPr="0086590B">
        <w:rPr>
          <w:rStyle w:val="normaltextrun"/>
          <w:rFonts w:ascii="Verdana" w:hAnsi="Verdana" w:cs="Arial"/>
          <w:shd w:val="clear" w:color="auto" w:fill="FFFFFF"/>
          <w:lang w:val="es-ES"/>
        </w:rPr>
        <w:t xml:space="preserve">C-293 del 16 de abril de 2025, C-295 del 16 de abril de 2025, C-678 del 9 de julio de 2025, </w:t>
      </w:r>
      <w:r w:rsidRPr="0086590B">
        <w:rPr>
          <w:rFonts w:ascii="Verdana" w:hAnsi="Verdana" w:cs="Arial"/>
          <w:shd w:val="clear" w:color="auto" w:fill="FFFFFF"/>
        </w:rPr>
        <w:t xml:space="preserve">C-846 del 6 de agosto de 2025, C-1347 del 15 de octubre de 2025, </w:t>
      </w:r>
      <w:r w:rsidRPr="0086590B">
        <w:rPr>
          <w:rStyle w:val="normaltextrun"/>
          <w:rFonts w:ascii="Verdana" w:hAnsi="Verdana" w:cs="Arial"/>
          <w:shd w:val="clear" w:color="auto" w:fill="FFFFFF"/>
          <w:lang w:val="es-ES"/>
        </w:rPr>
        <w:t xml:space="preserve">C- 1363 del 30 de octubre de 2025, C-1376 del 31 de octubre de 2025, </w:t>
      </w:r>
      <w:r w:rsidRPr="0086590B">
        <w:rPr>
          <w:rFonts w:ascii="Verdana" w:hAnsi="Verdana" w:cs="Arial"/>
          <w:shd w:val="clear" w:color="auto" w:fill="FFFFFF"/>
        </w:rPr>
        <w:t>C-1625 del 15 de diciembre del 2025</w:t>
      </w:r>
      <w:r>
        <w:rPr>
          <w:rFonts w:ascii="Verdana" w:hAnsi="Verdana" w:cs="Arial"/>
          <w:shd w:val="clear" w:color="auto" w:fill="FFFFFF"/>
        </w:rPr>
        <w:t>,</w:t>
      </w:r>
      <w:r w:rsidRPr="0086590B">
        <w:rPr>
          <w:rFonts w:ascii="Verdana" w:hAnsi="Verdana" w:cs="Arial"/>
          <w:shd w:val="clear" w:color="auto" w:fill="FFFFFF"/>
        </w:rPr>
        <w:t xml:space="preserve"> C- 1771 del 28 de diciembre del 2025</w:t>
      </w:r>
      <w:r>
        <w:rPr>
          <w:rFonts w:ascii="Verdana" w:hAnsi="Verdana" w:cs="Arial"/>
          <w:shd w:val="clear" w:color="auto" w:fill="FFFFFF"/>
        </w:rPr>
        <w:t>, C-057 del 24 de febrero de 2026</w:t>
      </w:r>
      <w:r w:rsidRPr="0086590B">
        <w:rPr>
          <w:rFonts w:ascii="Verdana" w:hAnsi="Verdana" w:cs="Arial"/>
          <w:shd w:val="clear" w:color="auto" w:fill="FFFFFF"/>
        </w:rPr>
        <w:t>.</w:t>
      </w:r>
    </w:p>
    <w:p w14:paraId="4FA4FFEB" w14:textId="77777777" w:rsidR="00367720" w:rsidRDefault="00367720" w:rsidP="00367720">
      <w:pPr>
        <w:widowControl w:val="0"/>
        <w:autoSpaceDE w:val="0"/>
        <w:autoSpaceDN w:val="0"/>
        <w:spacing w:after="120" w:line="276" w:lineRule="auto"/>
        <w:ind w:right="51"/>
        <w:jc w:val="both"/>
        <w:rPr>
          <w:rStyle w:val="normaltextrun"/>
          <w:rFonts w:ascii="Verdana" w:hAnsi="Verdana" w:cs="Arial"/>
          <w:shd w:val="clear" w:color="auto" w:fill="FFFFFF"/>
          <w:lang w:val="es-ES"/>
        </w:rPr>
      </w:pPr>
      <w:r w:rsidRPr="0086590B">
        <w:rPr>
          <w:rStyle w:val="normaltextrun"/>
          <w:rFonts w:ascii="Verdana" w:hAnsi="Verdana" w:cs="Arial"/>
          <w:shd w:val="clear" w:color="auto" w:fill="FFFFFF"/>
          <w:lang w:val="es-ES"/>
        </w:rPr>
        <w:t xml:space="preserve">Sobre las causales de rechazo contempladas en el pliego de condiciones, esta Subdirección se ha pronunciado en los conceptos </w:t>
      </w:r>
      <w:r w:rsidRPr="0086590B">
        <w:rPr>
          <w:rFonts w:ascii="Verdana" w:eastAsia="Calibri" w:hAnsi="Verdana" w:cs="Arial"/>
          <w:shd w:val="clear" w:color="auto" w:fill="FFFFFF"/>
          <w:lang w:val="es-ES"/>
        </w:rPr>
        <w:t xml:space="preserve">2201913000007117 del 25 de septiembre de 2019, 2201913000009538 del 23 de diciembre de 2019, C- 716 del 30 de octubre de 2020, C-096 del 24 de marzo de 2021, C-056 del 20 de abril de 2021, C-078 del 15 de marzo de 2022, C-321 del 17 de mayo de 2022, C-113 del 22 de marzo de 2022, C-178, C-186 del 12 de abril de 2022, C-406 del 2 de octubre de 2023, C-244 del 13 de agosto de 2024, C- 848 del 4 de agosto de 2025, </w:t>
      </w:r>
      <w:r>
        <w:rPr>
          <w:rFonts w:ascii="Verdana" w:eastAsia="Calibri" w:hAnsi="Verdana" w:cs="Arial"/>
          <w:shd w:val="clear" w:color="auto" w:fill="FFFFFF"/>
          <w:lang w:val="es-ES"/>
        </w:rPr>
        <w:t xml:space="preserve">C- 191 del 18 de marzo de 2026, C-301 del 9 de abril de 2026, </w:t>
      </w:r>
      <w:r w:rsidRPr="0086590B">
        <w:rPr>
          <w:rFonts w:ascii="Verdana" w:eastAsia="Calibri" w:hAnsi="Verdana" w:cs="Arial"/>
          <w:shd w:val="clear" w:color="auto" w:fill="FFFFFF"/>
          <w:lang w:val="es-ES"/>
        </w:rPr>
        <w:t>entre otros.</w:t>
      </w:r>
      <w:r w:rsidRPr="0086590B">
        <w:rPr>
          <w:rStyle w:val="normaltextrun"/>
          <w:rFonts w:ascii="Verdana" w:hAnsi="Verdana" w:cs="Arial"/>
          <w:shd w:val="clear" w:color="auto" w:fill="FFFFFF"/>
          <w:lang w:val="es-ES"/>
        </w:rPr>
        <w:t xml:space="preserve"> </w:t>
      </w:r>
    </w:p>
    <w:p w14:paraId="11D82069" w14:textId="77777777" w:rsidR="00B4363E" w:rsidRDefault="00367720" w:rsidP="00B4363E">
      <w:pPr>
        <w:widowControl w:val="0"/>
        <w:autoSpaceDE w:val="0"/>
        <w:autoSpaceDN w:val="0"/>
        <w:spacing w:after="120" w:line="276" w:lineRule="auto"/>
        <w:ind w:right="51"/>
        <w:jc w:val="both"/>
        <w:rPr>
          <w:rFonts w:ascii="Verdana" w:hAnsi="Verdana" w:cs="Arial"/>
          <w:color w:val="FF0000"/>
          <w:shd w:val="clear" w:color="auto" w:fill="FFFFFF"/>
        </w:rPr>
      </w:pPr>
      <w:r w:rsidRPr="007B0A2F">
        <w:rPr>
          <w:rFonts w:ascii="Verdana" w:hAnsi="Verdana"/>
          <w:lang w:val="es-ES"/>
        </w:rPr>
        <w:t xml:space="preserve">Por su parte, la Agencia Nacional de Contratación Pública se ha pronunciado </w:t>
      </w:r>
      <w:r w:rsidR="00B4363E">
        <w:rPr>
          <w:rFonts w:ascii="Verdana" w:hAnsi="Verdana"/>
          <w:lang w:val="es-ES"/>
        </w:rPr>
        <w:t>sobre</w:t>
      </w:r>
      <w:r w:rsidRPr="007B0A2F">
        <w:rPr>
          <w:rFonts w:ascii="Verdana" w:hAnsi="Verdana"/>
        </w:rPr>
        <w:t xml:space="preserve"> la inclusión del IVA en el precio de los contratos estatales y en la evaluación de las ofertas económicas con radicado No. </w:t>
      </w:r>
      <w:hyperlink r:id="rId14">
        <w:r w:rsidRPr="007B0A2F">
          <w:rPr>
            <w:rFonts w:ascii="Verdana" w:hAnsi="Verdana"/>
          </w:rPr>
          <w:t>2201913000008566</w:t>
        </w:r>
      </w:hyperlink>
      <w:r w:rsidRPr="007B0A2F">
        <w:rPr>
          <w:rFonts w:ascii="Verdana" w:hAnsi="Verdana"/>
        </w:rPr>
        <w:t xml:space="preserve"> del 18 de noviembre de 2019 y en los conceptos CU−182 del 31 de marzo de 2020, C−204 del 31 de marzo de 20, C−439 del 27 de septiembre de 2020, C−469 del 27 de septiembre de 2020, C−480 del 16 de septiembre de 2020, C – 059 de 2021, C-786 del 9 de diciembre de 2024. </w:t>
      </w:r>
      <w:r w:rsidRPr="007B0A2F">
        <w:rPr>
          <w:rFonts w:ascii="Verdana" w:hAnsi="Verdana" w:cs="Arial"/>
        </w:rPr>
        <w:t>Estos y otros conceptos se encuentran disponibles para consulta en el Sistema de relatoría de la Agencia, al cual se puede acceder a través del siguiente enlace:</w:t>
      </w:r>
      <w:r w:rsidRPr="007B0A2F">
        <w:rPr>
          <w:rFonts w:ascii="Verdana" w:hAnsi="Verdana" w:cs="Arial"/>
          <w:shd w:val="clear" w:color="auto" w:fill="FFFFFF"/>
        </w:rPr>
        <w:t xml:space="preserve"> </w:t>
      </w:r>
      <w:hyperlink r:id="rId15" w:history="1">
        <w:r w:rsidRPr="007B0A2F">
          <w:rPr>
            <w:rStyle w:val="Hipervnculo"/>
            <w:rFonts w:ascii="Verdana" w:hAnsi="Verdana" w:cs="Arial"/>
            <w:shd w:val="clear" w:color="auto" w:fill="FFFFFF"/>
          </w:rPr>
          <w:t>https://relatoria.colombiacompra.gov.co/busqueda/conceptos</w:t>
        </w:r>
      </w:hyperlink>
      <w:r w:rsidRPr="007B0A2F">
        <w:rPr>
          <w:rFonts w:ascii="Verdana" w:hAnsi="Verdana" w:cs="Arial"/>
          <w:shd w:val="clear" w:color="auto" w:fill="FFFFFF"/>
        </w:rPr>
        <w:t>.</w:t>
      </w:r>
    </w:p>
    <w:p w14:paraId="215DA040" w14:textId="77777777" w:rsidR="00B4363E" w:rsidRDefault="00B4363E" w:rsidP="00B4363E">
      <w:pPr>
        <w:widowControl w:val="0"/>
        <w:autoSpaceDE w:val="0"/>
        <w:autoSpaceDN w:val="0"/>
        <w:spacing w:after="0" w:line="240" w:lineRule="auto"/>
        <w:ind w:right="51"/>
        <w:jc w:val="both"/>
        <w:rPr>
          <w:rFonts w:ascii="Verdana" w:hAnsi="Verdana" w:cs="Arial"/>
          <w:color w:val="FF0000"/>
          <w:shd w:val="clear" w:color="auto" w:fill="FFFFFF"/>
        </w:rPr>
      </w:pPr>
    </w:p>
    <w:p w14:paraId="20F4FB29" w14:textId="2B601DA2" w:rsidR="006515A6" w:rsidRPr="00B4363E" w:rsidRDefault="006515A6" w:rsidP="00B4363E">
      <w:pPr>
        <w:widowControl w:val="0"/>
        <w:autoSpaceDE w:val="0"/>
        <w:autoSpaceDN w:val="0"/>
        <w:spacing w:after="120" w:line="276" w:lineRule="auto"/>
        <w:ind w:right="51"/>
        <w:jc w:val="both"/>
        <w:rPr>
          <w:rFonts w:ascii="Verdana" w:hAnsi="Verdana" w:cs="Arial"/>
          <w:color w:val="000000" w:themeColor="text1"/>
          <w:shd w:val="clear" w:color="auto" w:fill="FFFFFF"/>
        </w:rPr>
      </w:pPr>
      <w:r w:rsidRPr="0086590B">
        <w:rPr>
          <w:rFonts w:ascii="Verdana" w:hAnsi="Verdana" w:cs="Arial"/>
        </w:rPr>
        <w:t xml:space="preserve">La sostenibilidad no es una opción, es una obligación. Por ello, la Agencia Nacional de Contratación Pública –Colombia Compra Eficiente– te invita a realizar el </w:t>
      </w:r>
      <w:r w:rsidRPr="0086590B">
        <w:rPr>
          <w:rFonts w:ascii="Verdana" w:hAnsi="Verdana" w:cs="Arial"/>
          <w:b/>
          <w:bCs/>
        </w:rPr>
        <w:t>Curso de Contratación Pública Sostenible y Socialmente Responsable</w:t>
      </w:r>
      <w:r w:rsidRPr="0086590B">
        <w:rPr>
          <w:rFonts w:ascii="Verdana"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86590B">
        <w:rPr>
          <w:rFonts w:ascii="Verdana" w:hAnsi="Verdana" w:cs="Arial"/>
        </w:rPr>
        <w:br/>
      </w:r>
      <w:hyperlink r:id="rId16" w:tgtFrame="_new" w:history="1">
        <w:r w:rsidRPr="0086590B">
          <w:rPr>
            <w:rStyle w:val="Hipervnculo"/>
            <w:rFonts w:ascii="Verdana" w:hAnsi="Verdana" w:cs="Arial"/>
          </w:rPr>
          <w:t>https://formacionvirtual.colombiacompra.gov.co/mod/page/view.php?id=3718</w:t>
        </w:r>
      </w:hyperlink>
    </w:p>
    <w:p w14:paraId="724998EC" w14:textId="77777777" w:rsidR="00FE6BCF" w:rsidRDefault="00FE6BCF" w:rsidP="00FE6BCF">
      <w:pPr>
        <w:spacing w:after="0" w:line="240" w:lineRule="auto"/>
        <w:ind w:right="51"/>
        <w:jc w:val="both"/>
        <w:rPr>
          <w:rFonts w:ascii="Verdana" w:hAnsi="Verdana" w:cs="Arial"/>
        </w:rPr>
      </w:pPr>
    </w:p>
    <w:p w14:paraId="7154220B" w14:textId="2A073A05" w:rsidR="006515A6" w:rsidRPr="0086590B" w:rsidRDefault="006515A6" w:rsidP="006515A6">
      <w:pPr>
        <w:spacing w:after="120" w:line="276" w:lineRule="auto"/>
        <w:ind w:right="49"/>
        <w:jc w:val="both"/>
        <w:rPr>
          <w:rFonts w:ascii="Verdana" w:hAnsi="Verdana" w:cs="Arial"/>
        </w:rPr>
      </w:pPr>
      <w:r w:rsidRPr="0086590B">
        <w:rPr>
          <w:rFonts w:ascii="Verdana" w:hAnsi="Verdana" w:cs="Arial"/>
        </w:rPr>
        <w:t xml:space="preserve">De otro lado, te contamos que esta Agencia ha da un paso decisivo en la estandarización y modernización del </w:t>
      </w:r>
      <w:r w:rsidRPr="0086590B">
        <w:rPr>
          <w:rFonts w:ascii="Verdana" w:hAnsi="Verdana" w:cs="Arial"/>
          <w:b/>
          <w:bCs/>
        </w:rPr>
        <w:t>sector  social</w:t>
      </w:r>
      <w:r w:rsidRPr="0086590B">
        <w:rPr>
          <w:rFonts w:ascii="Verdana" w:hAnsi="Verdana" w:cs="Arial"/>
        </w:rPr>
        <w:t xml:space="preserve"> con la expedición de las </w:t>
      </w:r>
      <w:r w:rsidRPr="0086590B">
        <w:rPr>
          <w:rFonts w:ascii="Verdana" w:hAnsi="Verdana" w:cs="Arial"/>
          <w:b/>
          <w:bCs/>
        </w:rPr>
        <w:t>Resoluciones 539, 540, 541, 952 y 953 de 2025</w:t>
      </w:r>
      <w:r w:rsidRPr="0086590B">
        <w:rPr>
          <w:rFonts w:ascii="Verdana" w:hAnsi="Verdana" w:cs="Arial"/>
        </w:rPr>
        <w:t xml:space="preserve">, </w:t>
      </w:r>
      <w:r w:rsidRPr="0086590B">
        <w:rPr>
          <w:rFonts w:ascii="Verdana" w:hAnsi="Verdana" w:cs="Arial"/>
          <w:b/>
          <w:bCs/>
        </w:rPr>
        <w:t>mediante las cuales adoptó Documentos Tipo</w:t>
      </w:r>
      <w:r w:rsidRPr="0086590B">
        <w:rPr>
          <w:rFonts w:ascii="Verdana" w:hAnsi="Verdana" w:cs="Arial"/>
        </w:rPr>
        <w:t xml:space="preserve"> para las modalidades de selección de</w:t>
      </w:r>
      <w:r w:rsidRPr="0086590B">
        <w:rPr>
          <w:rFonts w:ascii="Verdana" w:hAnsi="Verdana" w:cs="Arial"/>
          <w:b/>
          <w:bCs/>
        </w:rPr>
        <w:t xml:space="preserve"> licitación pública (versión 2), selección abreviada de menor cuantía, mínima cuantía, consultoría e interventoría</w:t>
      </w:r>
      <w:r w:rsidRPr="0086590B">
        <w:rPr>
          <w:rFonts w:ascii="Verdana"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7" w:tgtFrame="_new" w:history="1">
        <w:r w:rsidRPr="0086590B">
          <w:rPr>
            <w:rStyle w:val="Hipervnculo"/>
            <w:rFonts w:ascii="Verdana" w:hAnsi="Verdana" w:cs="Arial"/>
          </w:rPr>
          <w:t>https://www.colombiacompra.gov.co/normativa-y-relatoria/documentos-tipo</w:t>
        </w:r>
      </w:hyperlink>
    </w:p>
    <w:p w14:paraId="72202F51" w14:textId="77777777" w:rsidR="00FE6BCF" w:rsidRDefault="00FE6BCF" w:rsidP="00FE6BCF">
      <w:pPr>
        <w:spacing w:after="0" w:line="240" w:lineRule="auto"/>
        <w:ind w:right="51"/>
        <w:jc w:val="both"/>
        <w:rPr>
          <w:rFonts w:ascii="Verdana" w:hAnsi="Verdana" w:cs="Arial"/>
        </w:rPr>
      </w:pPr>
    </w:p>
    <w:p w14:paraId="43AAEB25" w14:textId="2328DFD8" w:rsidR="006515A6" w:rsidRPr="0086590B" w:rsidRDefault="006515A6" w:rsidP="006515A6">
      <w:pPr>
        <w:spacing w:after="120" w:line="276" w:lineRule="auto"/>
        <w:ind w:right="49"/>
        <w:jc w:val="both"/>
        <w:rPr>
          <w:rFonts w:ascii="Verdana" w:hAnsi="Verdana" w:cs="Arial"/>
        </w:rPr>
      </w:pPr>
      <w:r w:rsidRPr="0086590B">
        <w:rPr>
          <w:rFonts w:ascii="Verdana" w:hAnsi="Verdana" w:cs="Arial"/>
        </w:rPr>
        <w:t xml:space="preserve">Si quieres conocer más sobre la aplicación de Documentos Tipo puedes consultar la última versión de la </w:t>
      </w:r>
      <w:r w:rsidRPr="0086590B">
        <w:rPr>
          <w:rFonts w:ascii="Verdana" w:hAnsi="Verdana" w:cs="Arial"/>
          <w:b/>
          <w:bCs/>
        </w:rPr>
        <w:t>Guía para la comprensión e implementación de los Documentos Tipo de obra pública de infraestructura de transporte</w:t>
      </w:r>
      <w:r w:rsidRPr="0086590B">
        <w:rPr>
          <w:rFonts w:ascii="Verdana"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86590B">
        <w:rPr>
          <w:rFonts w:ascii="Verdana" w:hAnsi="Verdana" w:cs="Arial"/>
        </w:rPr>
        <w:br/>
      </w:r>
      <w:hyperlink r:id="rId18" w:tgtFrame="_new" w:history="1">
        <w:r w:rsidRPr="0086590B">
          <w:rPr>
            <w:rStyle w:val="Hipervnculo"/>
            <w:rFonts w:ascii="Verdana" w:hAnsi="Verdana" w:cs="Arial"/>
          </w:rPr>
          <w:t>https://www.colombiacompra.gov.co/archivos/manual/guia-para-la-comprension-e-implementacion-de-los-documentos-tipo-de-obra-publica-de-infraestructura-de-transporte-bajo-las-diferentes-modalidades-de-contratacion-vigentes</w:t>
        </w:r>
      </w:hyperlink>
    </w:p>
    <w:p w14:paraId="04732D6E" w14:textId="77777777" w:rsidR="000516DE" w:rsidRPr="0086590B" w:rsidRDefault="000516DE" w:rsidP="000516DE">
      <w:pPr>
        <w:spacing w:after="120" w:line="276" w:lineRule="auto"/>
        <w:ind w:right="49"/>
        <w:jc w:val="both"/>
        <w:rPr>
          <w:rFonts w:ascii="Verdana" w:hAnsi="Verdana" w:cs="Arial"/>
        </w:rPr>
      </w:pPr>
      <w:r w:rsidRPr="0086590B">
        <w:rPr>
          <w:rFonts w:ascii="Verdana" w:hAnsi="Verdana" w:cs="Arial"/>
        </w:rPr>
        <w:t xml:space="preserve">Por último, lo invitamos a seguirnos en las redes sociales en las cuales se difunde información institucional: </w:t>
      </w:r>
    </w:p>
    <w:p w14:paraId="51A28EE1" w14:textId="77777777" w:rsidR="000516DE" w:rsidRPr="0086590B" w:rsidRDefault="000516DE" w:rsidP="000516DE">
      <w:pPr>
        <w:spacing w:after="0" w:line="276" w:lineRule="auto"/>
        <w:ind w:right="49"/>
        <w:jc w:val="both"/>
        <w:rPr>
          <w:rFonts w:ascii="Verdana" w:hAnsi="Verdana" w:cs="Arial"/>
        </w:rPr>
      </w:pPr>
      <w:r w:rsidRPr="0086590B">
        <w:rPr>
          <w:rFonts w:ascii="Verdana" w:hAnsi="Verdana" w:cs="Arial"/>
        </w:rPr>
        <w:t xml:space="preserve">Twitter: </w:t>
      </w:r>
      <w:r w:rsidRPr="0086590B">
        <w:rPr>
          <w:rStyle w:val="Hipervnculo"/>
          <w:rFonts w:ascii="Verdana" w:hAnsi="Verdana" w:cs="Arial"/>
          <w:color w:val="4472C4" w:themeColor="accent1"/>
        </w:rPr>
        <w:t>@colombiacompra</w:t>
      </w:r>
      <w:r w:rsidRPr="0086590B">
        <w:rPr>
          <w:rFonts w:ascii="Verdana" w:hAnsi="Verdana" w:cs="Arial"/>
          <w:color w:val="4472C4" w:themeColor="accent1"/>
        </w:rPr>
        <w:t xml:space="preserve"> </w:t>
      </w:r>
    </w:p>
    <w:p w14:paraId="6450373C" w14:textId="77777777" w:rsidR="000516DE" w:rsidRPr="0086590B" w:rsidRDefault="000516DE" w:rsidP="000516DE">
      <w:pPr>
        <w:spacing w:after="0" w:line="276" w:lineRule="auto"/>
        <w:ind w:right="49"/>
        <w:jc w:val="both"/>
        <w:rPr>
          <w:rFonts w:ascii="Verdana" w:hAnsi="Verdana" w:cs="Arial"/>
        </w:rPr>
      </w:pPr>
      <w:r w:rsidRPr="0086590B">
        <w:rPr>
          <w:rFonts w:ascii="Verdana" w:hAnsi="Verdana" w:cs="Arial"/>
        </w:rPr>
        <w:t xml:space="preserve">Facebook: </w:t>
      </w:r>
      <w:proofErr w:type="spellStart"/>
      <w:r w:rsidRPr="0086590B">
        <w:rPr>
          <w:rStyle w:val="Hipervnculo"/>
          <w:rFonts w:ascii="Verdana" w:hAnsi="Verdana" w:cs="Arial"/>
          <w:color w:val="4472C4" w:themeColor="accent1"/>
        </w:rPr>
        <w:t>ColombiaCompraEficiente</w:t>
      </w:r>
      <w:proofErr w:type="spellEnd"/>
    </w:p>
    <w:p w14:paraId="7463EF68" w14:textId="77777777" w:rsidR="000516DE" w:rsidRPr="0086590B" w:rsidRDefault="000516DE" w:rsidP="000516DE">
      <w:pPr>
        <w:spacing w:after="0" w:line="276" w:lineRule="auto"/>
        <w:ind w:right="49"/>
        <w:jc w:val="both"/>
        <w:rPr>
          <w:rStyle w:val="Hipervnculo"/>
          <w:rFonts w:ascii="Verdana" w:hAnsi="Verdana" w:cs="Arial"/>
          <w:color w:val="4472C4" w:themeColor="accent1"/>
        </w:rPr>
      </w:pPr>
      <w:r w:rsidRPr="0086590B">
        <w:rPr>
          <w:rFonts w:ascii="Verdana" w:hAnsi="Verdana" w:cs="Arial"/>
        </w:rPr>
        <w:t xml:space="preserve">LinkedIn: </w:t>
      </w:r>
      <w:r w:rsidRPr="0086590B">
        <w:rPr>
          <w:rStyle w:val="Hipervnculo"/>
          <w:rFonts w:ascii="Verdana" w:hAnsi="Verdana" w:cs="Arial"/>
          <w:color w:val="4472C4" w:themeColor="accent1"/>
        </w:rPr>
        <w:t>Agencia Nacional de Contratación Pública - Colombia Compra Eficiente</w:t>
      </w:r>
      <w:r w:rsidRPr="0086590B">
        <w:rPr>
          <w:rFonts w:ascii="Verdana" w:hAnsi="Verdana" w:cs="Arial"/>
          <w:color w:val="4472C4" w:themeColor="accent1"/>
        </w:rPr>
        <w:t xml:space="preserve"> </w:t>
      </w:r>
      <w:r w:rsidRPr="0086590B">
        <w:rPr>
          <w:rFonts w:ascii="Verdana" w:hAnsi="Verdana" w:cs="Arial"/>
        </w:rPr>
        <w:t xml:space="preserve">Instagram: </w:t>
      </w:r>
      <w:r w:rsidRPr="0086590B">
        <w:rPr>
          <w:rStyle w:val="Hipervnculo"/>
          <w:rFonts w:ascii="Verdana" w:hAnsi="Verdana" w:cs="Arial"/>
          <w:color w:val="4472C4" w:themeColor="accent1"/>
        </w:rPr>
        <w:t>@colombiacompraeficiente_cce</w:t>
      </w:r>
    </w:p>
    <w:p w14:paraId="38E4573A" w14:textId="77777777" w:rsidR="000516DE" w:rsidRPr="0086590B" w:rsidRDefault="000516DE" w:rsidP="000516DE">
      <w:pPr>
        <w:spacing w:after="0" w:line="276" w:lineRule="auto"/>
        <w:ind w:right="49"/>
        <w:jc w:val="both"/>
        <w:rPr>
          <w:rStyle w:val="Hipervnculo"/>
          <w:rFonts w:ascii="Verdana" w:hAnsi="Verdana" w:cs="Arial"/>
          <w:color w:val="4472C4" w:themeColor="accent1"/>
        </w:rPr>
      </w:pPr>
    </w:p>
    <w:p w14:paraId="2AF31C05" w14:textId="77777777" w:rsidR="000516DE" w:rsidRPr="007B0A2F" w:rsidRDefault="000516DE" w:rsidP="000516DE">
      <w:pPr>
        <w:widowControl w:val="0"/>
        <w:autoSpaceDE w:val="0"/>
        <w:autoSpaceDN w:val="0"/>
        <w:spacing w:after="120" w:line="276" w:lineRule="auto"/>
        <w:ind w:right="49"/>
        <w:jc w:val="both"/>
        <w:rPr>
          <w:rFonts w:ascii="Verdana" w:hAnsi="Verdana" w:cs="Arial"/>
          <w:lang w:val="es-ES_tradnl"/>
        </w:rPr>
      </w:pPr>
      <w:r w:rsidRPr="0086590B">
        <w:rPr>
          <w:rFonts w:ascii="Verdana" w:hAnsi="Verdana" w:cs="Arial"/>
        </w:rPr>
        <w:t xml:space="preserve">Este concepto tiene el alcance previsto en el artículo 28 del Código de Procedimiento Administrativo y de lo Contencioso Administrativo </w:t>
      </w:r>
      <w:r w:rsidRPr="0086590B">
        <w:rPr>
          <w:rFonts w:ascii="Verdana" w:hAnsi="Verdana" w:cs="Arial"/>
          <w:lang w:val="es-ES_tradnl"/>
        </w:rPr>
        <w:t>y las expresiones aquí utilizadas con mayúscula inicial deben ser entendidas con el significado que les otorga el artículo 2.2.1.1.1.3.1. del Decreto 1082 de 2015.</w:t>
      </w:r>
    </w:p>
    <w:p w14:paraId="637A42AC" w14:textId="373635C7" w:rsidR="00505C0E" w:rsidRPr="00FE6BCF" w:rsidRDefault="000516DE" w:rsidP="00FE6BCF">
      <w:pPr>
        <w:spacing w:after="0" w:line="276" w:lineRule="auto"/>
        <w:ind w:right="49"/>
        <w:jc w:val="both"/>
        <w:rPr>
          <w:rFonts w:ascii="Verdana" w:hAnsi="Verdana" w:cs="Arial"/>
          <w:lang w:eastAsia="es-CO"/>
        </w:rPr>
      </w:pPr>
      <w:r w:rsidRPr="0086590B">
        <w:rPr>
          <w:rFonts w:ascii="Verdana" w:eastAsia="Times New Roman" w:hAnsi="Verdana" w:cs="Arial"/>
          <w:lang w:eastAsia="es-CO"/>
        </w:rPr>
        <w:t>Atentamente,</w:t>
      </w:r>
      <w:r w:rsidRPr="0086590B">
        <w:rPr>
          <w:rFonts w:ascii="Verdana" w:hAnsi="Verdana" w:cs="Arial"/>
          <w:lang w:eastAsia="es-CO"/>
        </w:rPr>
        <w:t xml:space="preserve"> </w:t>
      </w:r>
    </w:p>
    <w:p w14:paraId="2470C489" w14:textId="0668EF67" w:rsidR="00505C0E" w:rsidRDefault="00505C0E" w:rsidP="003B59B5">
      <w:pPr>
        <w:spacing w:after="120" w:line="276" w:lineRule="auto"/>
        <w:ind w:right="49" w:firstLine="709"/>
        <w:jc w:val="center"/>
        <w:rPr>
          <w:rFonts w:ascii="Verdana" w:eastAsia="Arial" w:hAnsi="Verdana" w:cs="Arial"/>
          <w:lang w:val="es-ES_tradnl"/>
        </w:rPr>
      </w:pPr>
    </w:p>
    <w:p w14:paraId="188528BB" w14:textId="0EE1C48A" w:rsidR="008763E4" w:rsidRPr="000056B9" w:rsidRDefault="00AD54B8" w:rsidP="003B59B5">
      <w:pPr>
        <w:spacing w:after="120" w:line="276" w:lineRule="auto"/>
        <w:ind w:right="49" w:firstLine="709"/>
        <w:jc w:val="center"/>
        <w:rPr>
          <w:rFonts w:ascii="Verdana" w:eastAsia="Arial" w:hAnsi="Verdana" w:cs="Arial"/>
          <w:lang w:val="es-ES_tradnl"/>
        </w:rPr>
      </w:pPr>
      <w:r w:rsidRPr="0065791A">
        <w:rPr>
          <w:rFonts w:ascii="Century Gothic" w:hAnsi="Century Gothic"/>
          <w:noProof/>
        </w:rPr>
        <w:drawing>
          <wp:inline distT="0" distB="0" distL="0" distR="0" wp14:anchorId="063D917E" wp14:editId="2B3FBF7D">
            <wp:extent cx="2931367" cy="1381125"/>
            <wp:effectExtent l="0" t="0" r="254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9"/>
                    <a:stretch>
                      <a:fillRect/>
                    </a:stretch>
                  </pic:blipFill>
                  <pic:spPr>
                    <a:xfrm>
                      <a:off x="0" y="0"/>
                      <a:ext cx="2936322" cy="1383460"/>
                    </a:xfrm>
                    <a:prstGeom prst="rect">
                      <a:avLst/>
                    </a:prstGeom>
                  </pic:spPr>
                </pic:pic>
              </a:graphicData>
            </a:graphic>
          </wp:inline>
        </w:drawing>
      </w:r>
    </w:p>
    <w:p w14:paraId="79CB0905" w14:textId="77777777" w:rsidR="00F70969" w:rsidRDefault="00F70969" w:rsidP="00F70969">
      <w:pPr>
        <w:pStyle w:val="Textoindependiente"/>
        <w:spacing w:after="120" w:line="276" w:lineRule="auto"/>
        <w:ind w:left="260" w:right="49" w:firstLine="709"/>
        <w:jc w:val="both"/>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82828" w:rsidRPr="0086590B" w14:paraId="406A3485" w14:textId="77777777" w:rsidTr="001B063F">
        <w:trPr>
          <w:trHeight w:val="315"/>
        </w:trPr>
        <w:tc>
          <w:tcPr>
            <w:tcW w:w="893" w:type="dxa"/>
            <w:vAlign w:val="center"/>
            <w:hideMark/>
          </w:tcPr>
          <w:p w14:paraId="3E430518" w14:textId="77777777" w:rsidR="00C82828" w:rsidRPr="0086590B" w:rsidRDefault="00C82828" w:rsidP="001B063F">
            <w:pPr>
              <w:contextualSpacing/>
              <w:rPr>
                <w:rFonts w:ascii="Verdana" w:hAnsi="Verdana" w:cs="Arial"/>
                <w:sz w:val="16"/>
                <w:szCs w:val="16"/>
                <w:lang w:val="es-ES" w:eastAsia="es-ES"/>
              </w:rPr>
            </w:pPr>
            <w:r w:rsidRPr="0086590B">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C27322D" w14:textId="77777777" w:rsidR="00C82828" w:rsidRPr="0086590B" w:rsidRDefault="00C82828" w:rsidP="001B063F">
            <w:pPr>
              <w:contextualSpacing/>
              <w:rPr>
                <w:rFonts w:ascii="Verdana" w:eastAsia="Arial" w:hAnsi="Verdana" w:cs="Arial"/>
                <w:sz w:val="16"/>
                <w:szCs w:val="16"/>
              </w:rPr>
            </w:pPr>
            <w:r>
              <w:rPr>
                <w:rFonts w:ascii="Verdana" w:eastAsia="Arial" w:hAnsi="Verdana" w:cs="Arial"/>
                <w:sz w:val="16"/>
                <w:szCs w:val="16"/>
              </w:rPr>
              <w:t xml:space="preserve">Esperanza Contreras P </w:t>
            </w:r>
          </w:p>
          <w:p w14:paraId="76BCB49F" w14:textId="77777777" w:rsidR="00C82828" w:rsidRPr="0086590B" w:rsidRDefault="00C82828" w:rsidP="001B063F">
            <w:pPr>
              <w:contextualSpacing/>
              <w:rPr>
                <w:rFonts w:ascii="Verdana" w:eastAsia="Arial" w:hAnsi="Verdana" w:cs="Arial"/>
                <w:sz w:val="16"/>
                <w:szCs w:val="16"/>
              </w:rPr>
            </w:pPr>
            <w:r w:rsidRPr="0086590B">
              <w:rPr>
                <w:rStyle w:val="normaltextrun"/>
                <w:rFonts w:ascii="Verdana" w:eastAsia="Arial" w:hAnsi="Verdana" w:cs="Arial"/>
                <w:sz w:val="16"/>
                <w:szCs w:val="16"/>
              </w:rPr>
              <w:t>C</w:t>
            </w:r>
            <w:r w:rsidRPr="0086590B">
              <w:rPr>
                <w:rStyle w:val="normaltextrun"/>
                <w:rFonts w:ascii="Verdana" w:hAnsi="Verdana"/>
                <w:sz w:val="16"/>
                <w:szCs w:val="16"/>
              </w:rPr>
              <w:t>ontratista</w:t>
            </w:r>
            <w:r w:rsidRPr="0086590B">
              <w:rPr>
                <w:rStyle w:val="normaltextrun"/>
                <w:rFonts w:ascii="Verdana" w:eastAsia="Arial" w:hAnsi="Verdana" w:cs="Arial"/>
                <w:sz w:val="16"/>
                <w:szCs w:val="16"/>
              </w:rPr>
              <w:t xml:space="preserve"> de la Subdirección de Gestión Contractual</w:t>
            </w:r>
          </w:p>
        </w:tc>
      </w:tr>
      <w:tr w:rsidR="00C82828" w:rsidRPr="0086590B" w14:paraId="6855FD94" w14:textId="77777777" w:rsidTr="001B063F">
        <w:trPr>
          <w:trHeight w:val="330"/>
        </w:trPr>
        <w:tc>
          <w:tcPr>
            <w:tcW w:w="893" w:type="dxa"/>
            <w:vAlign w:val="center"/>
            <w:hideMark/>
          </w:tcPr>
          <w:p w14:paraId="456D966D" w14:textId="77777777" w:rsidR="00C82828" w:rsidRPr="0086590B" w:rsidRDefault="00C82828" w:rsidP="001B063F">
            <w:pPr>
              <w:contextualSpacing/>
              <w:rPr>
                <w:rFonts w:ascii="Verdana" w:hAnsi="Verdana" w:cs="Arial"/>
                <w:sz w:val="16"/>
                <w:szCs w:val="16"/>
                <w:lang w:val="es-ES" w:eastAsia="es-ES"/>
              </w:rPr>
            </w:pPr>
            <w:r w:rsidRPr="0086590B">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830B1B6" w14:textId="77777777" w:rsidR="00C82828" w:rsidRPr="0086590B" w:rsidRDefault="00C82828" w:rsidP="001B063F">
            <w:pPr>
              <w:pStyle w:val="paragraph"/>
              <w:spacing w:before="0" w:beforeAutospacing="0" w:after="0" w:afterAutospacing="0"/>
              <w:contextualSpacing/>
              <w:textAlignment w:val="baseline"/>
              <w:rPr>
                <w:rFonts w:ascii="Verdana" w:hAnsi="Verdana" w:cs="Arial"/>
                <w:sz w:val="16"/>
                <w:szCs w:val="16"/>
              </w:rPr>
            </w:pPr>
            <w:r w:rsidRPr="0086590B">
              <w:rPr>
                <w:rFonts w:ascii="Verdana" w:hAnsi="Verdana" w:cs="Arial"/>
                <w:sz w:val="16"/>
                <w:szCs w:val="16"/>
              </w:rPr>
              <w:t>Diana Lucia Saavedra Castañeda</w:t>
            </w:r>
          </w:p>
          <w:p w14:paraId="1F1E4BFD" w14:textId="77777777" w:rsidR="00C82828" w:rsidRPr="0086590B" w:rsidRDefault="00C82828" w:rsidP="001B063F">
            <w:pPr>
              <w:pStyle w:val="paragraph"/>
              <w:spacing w:before="0" w:beforeAutospacing="0" w:after="0" w:afterAutospacing="0"/>
              <w:contextualSpacing/>
              <w:textAlignment w:val="baseline"/>
              <w:rPr>
                <w:rFonts w:ascii="Verdana" w:hAnsi="Verdana" w:cs="Arial"/>
                <w:sz w:val="16"/>
                <w:szCs w:val="16"/>
              </w:rPr>
            </w:pPr>
            <w:r w:rsidRPr="0086590B">
              <w:rPr>
                <w:rStyle w:val="normaltextrun"/>
                <w:rFonts w:ascii="Verdana" w:eastAsia="Arial" w:hAnsi="Verdana" w:cs="Arial"/>
                <w:sz w:val="16"/>
                <w:szCs w:val="16"/>
              </w:rPr>
              <w:t>C</w:t>
            </w:r>
            <w:r w:rsidRPr="0086590B">
              <w:rPr>
                <w:rStyle w:val="normaltextrun"/>
                <w:rFonts w:ascii="Verdana" w:hAnsi="Verdana"/>
                <w:sz w:val="16"/>
                <w:szCs w:val="16"/>
              </w:rPr>
              <w:t>ontratista</w:t>
            </w:r>
            <w:r w:rsidRPr="0086590B">
              <w:rPr>
                <w:rStyle w:val="normaltextrun"/>
                <w:rFonts w:ascii="Verdana" w:eastAsia="Arial" w:hAnsi="Verdana" w:cs="Arial"/>
                <w:sz w:val="16"/>
                <w:szCs w:val="16"/>
              </w:rPr>
              <w:t xml:space="preserve"> de la Subdirección de Gestión Contractual</w:t>
            </w:r>
          </w:p>
        </w:tc>
      </w:tr>
      <w:tr w:rsidR="00C82828" w:rsidRPr="0086590B" w14:paraId="584DC0FC" w14:textId="77777777" w:rsidTr="001B063F">
        <w:trPr>
          <w:trHeight w:val="300"/>
        </w:trPr>
        <w:tc>
          <w:tcPr>
            <w:tcW w:w="893" w:type="dxa"/>
            <w:vAlign w:val="center"/>
          </w:tcPr>
          <w:p w14:paraId="45EDFA58" w14:textId="77777777" w:rsidR="00C82828" w:rsidRPr="0086590B" w:rsidRDefault="00C82828" w:rsidP="001B063F">
            <w:pPr>
              <w:contextualSpacing/>
              <w:rPr>
                <w:rFonts w:ascii="Verdana" w:hAnsi="Verdana" w:cs="Arial"/>
                <w:sz w:val="16"/>
                <w:szCs w:val="16"/>
                <w:lang w:val="es-ES" w:eastAsia="es-ES"/>
              </w:rPr>
            </w:pPr>
            <w:r w:rsidRPr="0086590B">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5A9EB2B" w14:textId="77777777" w:rsidR="00C82828" w:rsidRPr="0086590B" w:rsidRDefault="00C82828" w:rsidP="001B063F">
            <w:pPr>
              <w:contextualSpacing/>
              <w:rPr>
                <w:rFonts w:ascii="Verdana" w:eastAsia="Calibri" w:hAnsi="Verdana" w:cs="Arial"/>
                <w:sz w:val="16"/>
                <w:szCs w:val="16"/>
                <w:lang w:val="pt-BR" w:eastAsia="es-ES"/>
              </w:rPr>
            </w:pPr>
            <w:r w:rsidRPr="0086590B">
              <w:rPr>
                <w:rFonts w:ascii="Verdana" w:eastAsia="Calibri" w:hAnsi="Verdana" w:cs="Arial"/>
                <w:sz w:val="16"/>
                <w:szCs w:val="16"/>
                <w:lang w:val="pt-BR" w:eastAsia="es-ES"/>
              </w:rPr>
              <w:t xml:space="preserve">Carolina Quintero </w:t>
            </w:r>
            <w:proofErr w:type="spellStart"/>
            <w:r w:rsidRPr="0086590B">
              <w:rPr>
                <w:rFonts w:ascii="Verdana" w:eastAsia="Calibri" w:hAnsi="Verdana" w:cs="Arial"/>
                <w:sz w:val="16"/>
                <w:szCs w:val="16"/>
                <w:lang w:val="pt-BR" w:eastAsia="es-ES"/>
              </w:rPr>
              <w:t>Gacharná</w:t>
            </w:r>
            <w:proofErr w:type="spellEnd"/>
          </w:p>
          <w:p w14:paraId="72AFAB5B" w14:textId="77777777" w:rsidR="00C82828" w:rsidRPr="0086590B" w:rsidRDefault="00C82828" w:rsidP="001B063F">
            <w:pPr>
              <w:contextualSpacing/>
              <w:rPr>
                <w:rFonts w:ascii="Verdana" w:eastAsia="Calibri" w:hAnsi="Verdana" w:cs="Arial"/>
                <w:sz w:val="16"/>
                <w:szCs w:val="16"/>
                <w:lang w:val="pt-BR" w:eastAsia="es-ES"/>
              </w:rPr>
            </w:pPr>
            <w:r w:rsidRPr="0086590B">
              <w:rPr>
                <w:rFonts w:ascii="Verdana" w:eastAsia="Calibri" w:hAnsi="Verdana" w:cs="Arial"/>
                <w:sz w:val="16"/>
                <w:szCs w:val="16"/>
                <w:lang w:eastAsia="es-ES"/>
              </w:rPr>
              <w:t>Subdirectora</w:t>
            </w:r>
            <w:r w:rsidRPr="0086590B">
              <w:rPr>
                <w:rFonts w:ascii="Verdana" w:eastAsia="Calibri" w:hAnsi="Verdana" w:cs="Arial"/>
                <w:sz w:val="16"/>
                <w:szCs w:val="16"/>
                <w:lang w:val="pt-BR" w:eastAsia="es-ES"/>
              </w:rPr>
              <w:t xml:space="preserve"> de Gestión </w:t>
            </w:r>
            <w:proofErr w:type="spellStart"/>
            <w:r w:rsidRPr="0086590B">
              <w:rPr>
                <w:rFonts w:ascii="Verdana" w:eastAsia="Calibri" w:hAnsi="Verdana" w:cs="Arial"/>
                <w:sz w:val="16"/>
                <w:szCs w:val="16"/>
                <w:lang w:val="pt-BR" w:eastAsia="es-ES"/>
              </w:rPr>
              <w:t>Contractual</w:t>
            </w:r>
            <w:proofErr w:type="spellEnd"/>
            <w:r w:rsidRPr="0086590B">
              <w:rPr>
                <w:rFonts w:ascii="Verdana" w:eastAsia="Calibri" w:hAnsi="Verdana" w:cs="Arial"/>
                <w:sz w:val="16"/>
                <w:szCs w:val="16"/>
                <w:lang w:val="pt-BR" w:eastAsia="es-ES"/>
              </w:rPr>
              <w:t xml:space="preserve"> ANCP – CCE</w:t>
            </w:r>
          </w:p>
        </w:tc>
      </w:tr>
      <w:bookmarkEnd w:id="0"/>
    </w:tbl>
    <w:p w14:paraId="12443EE0" w14:textId="0D7AC9DC" w:rsidR="00C15139" w:rsidRPr="00FE6BCF" w:rsidRDefault="00C15139" w:rsidP="00FE6BCF">
      <w:pPr>
        <w:rPr>
          <w:rFonts w:ascii="Verdana" w:eastAsia="Arial" w:hAnsi="Verdana" w:cs="Arial"/>
          <w:sz w:val="20"/>
          <w:szCs w:val="20"/>
          <w:lang w:val="es-ES"/>
        </w:rPr>
      </w:pPr>
    </w:p>
    <w:sectPr w:rsidR="00C15139" w:rsidRPr="00FE6BCF"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0469AB" w14:textId="77777777" w:rsidR="00E3724F" w:rsidRDefault="00E3724F" w:rsidP="004A1847">
      <w:pPr>
        <w:spacing w:after="0" w:line="240" w:lineRule="auto"/>
      </w:pPr>
      <w:r>
        <w:separator/>
      </w:r>
    </w:p>
  </w:endnote>
  <w:endnote w:type="continuationSeparator" w:id="0">
    <w:p w14:paraId="5211C111" w14:textId="77777777" w:rsidR="00E3724F" w:rsidRDefault="00E3724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F19545" w14:textId="77777777" w:rsidR="00E3724F" w:rsidRDefault="00E3724F" w:rsidP="004A1847">
      <w:pPr>
        <w:spacing w:after="0" w:line="240" w:lineRule="auto"/>
      </w:pPr>
      <w:r>
        <w:separator/>
      </w:r>
    </w:p>
  </w:footnote>
  <w:footnote w:type="continuationSeparator" w:id="0">
    <w:p w14:paraId="6AE4C295" w14:textId="77777777" w:rsidR="00E3724F" w:rsidRDefault="00E3724F" w:rsidP="004A1847">
      <w:pPr>
        <w:spacing w:after="0" w:line="240" w:lineRule="auto"/>
      </w:pPr>
      <w:r>
        <w:continuationSeparator/>
      </w:r>
    </w:p>
  </w:footnote>
  <w:footnote w:id="1">
    <w:p w14:paraId="1DFCFF84" w14:textId="77777777" w:rsidR="000079FA" w:rsidRDefault="000079FA" w:rsidP="00245925">
      <w:pPr>
        <w:pBdr>
          <w:top w:val="nil"/>
          <w:left w:val="nil"/>
          <w:bottom w:val="nil"/>
          <w:right w:val="nil"/>
          <w:between w:val="nil"/>
        </w:pBdr>
        <w:spacing w:after="0" w:line="240" w:lineRule="auto"/>
        <w:ind w:right="49" w:firstLine="709"/>
        <w:jc w:val="both"/>
        <w:rPr>
          <w:rFonts w:ascii="Verdana" w:eastAsia="Arial" w:hAnsi="Verdana" w:cs="Arial"/>
          <w:color w:val="000000"/>
          <w:sz w:val="16"/>
          <w:szCs w:val="16"/>
        </w:rPr>
      </w:pPr>
      <w:r w:rsidRPr="008E25BA">
        <w:rPr>
          <w:rFonts w:ascii="Verdana" w:hAnsi="Verdana" w:cs="Arial"/>
          <w:sz w:val="16"/>
          <w:szCs w:val="16"/>
          <w:vertAlign w:val="superscript"/>
        </w:rPr>
        <w:footnoteRef/>
      </w:r>
      <w:r w:rsidRPr="008E25BA">
        <w:rPr>
          <w:rFonts w:ascii="Verdana" w:eastAsia="Arial" w:hAnsi="Verdana" w:cs="Arial"/>
          <w:color w:val="000000"/>
          <w:sz w:val="16"/>
          <w:szCs w:val="16"/>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p w14:paraId="0DE3215B" w14:textId="77777777" w:rsidR="000079FA" w:rsidRPr="008E25BA" w:rsidRDefault="000079FA" w:rsidP="00245925">
      <w:pPr>
        <w:pBdr>
          <w:top w:val="nil"/>
          <w:left w:val="nil"/>
          <w:bottom w:val="nil"/>
          <w:right w:val="nil"/>
          <w:between w:val="nil"/>
        </w:pBdr>
        <w:spacing w:after="0" w:line="240" w:lineRule="auto"/>
        <w:ind w:right="49" w:firstLine="709"/>
        <w:jc w:val="both"/>
        <w:rPr>
          <w:rFonts w:ascii="Verdana" w:eastAsia="Arial" w:hAnsi="Verdana" w:cs="Arial"/>
          <w:color w:val="000000"/>
          <w:sz w:val="16"/>
          <w:szCs w:val="16"/>
        </w:rPr>
      </w:pPr>
    </w:p>
  </w:footnote>
  <w:footnote w:id="2">
    <w:p w14:paraId="5D834E96" w14:textId="77777777" w:rsidR="000079FA" w:rsidRPr="008E25BA" w:rsidRDefault="000079FA" w:rsidP="00245925">
      <w:pPr>
        <w:pBdr>
          <w:top w:val="nil"/>
          <w:left w:val="nil"/>
          <w:bottom w:val="nil"/>
          <w:right w:val="nil"/>
          <w:between w:val="nil"/>
        </w:pBdr>
        <w:spacing w:after="0" w:line="240" w:lineRule="auto"/>
        <w:ind w:right="49" w:firstLine="709"/>
        <w:jc w:val="both"/>
        <w:rPr>
          <w:rFonts w:ascii="Verdana" w:eastAsia="Arial" w:hAnsi="Verdana" w:cs="Arial"/>
          <w:color w:val="000000"/>
          <w:sz w:val="16"/>
          <w:szCs w:val="16"/>
        </w:rPr>
      </w:pPr>
      <w:r w:rsidRPr="008E25BA">
        <w:rPr>
          <w:rFonts w:ascii="Verdana" w:hAnsi="Verdana" w:cs="Arial"/>
          <w:sz w:val="16"/>
          <w:szCs w:val="16"/>
          <w:vertAlign w:val="superscript"/>
        </w:rPr>
        <w:footnoteRef/>
      </w:r>
      <w:r w:rsidRPr="008E25BA">
        <w:rPr>
          <w:rFonts w:ascii="Verdana" w:eastAsia="Arial" w:hAnsi="Verdana" w:cs="Arial"/>
          <w:color w:val="000000"/>
          <w:sz w:val="16"/>
          <w:szCs w:val="16"/>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3">
    <w:p w14:paraId="42BDF3C1" w14:textId="77777777" w:rsidR="005748B0" w:rsidRDefault="005748B0" w:rsidP="005748B0">
      <w:pPr>
        <w:pBdr>
          <w:top w:val="nil"/>
          <w:left w:val="nil"/>
          <w:bottom w:val="nil"/>
          <w:right w:val="nil"/>
          <w:between w:val="nil"/>
        </w:pBdr>
        <w:spacing w:after="0" w:line="240" w:lineRule="auto"/>
        <w:ind w:right="49" w:firstLine="709"/>
        <w:jc w:val="both"/>
        <w:rPr>
          <w:rFonts w:ascii="Verdana" w:eastAsia="Arial" w:hAnsi="Verdana" w:cs="Arial"/>
          <w:color w:val="000000"/>
          <w:sz w:val="16"/>
          <w:szCs w:val="16"/>
        </w:rPr>
      </w:pPr>
      <w:r w:rsidRPr="008E25BA">
        <w:rPr>
          <w:rFonts w:ascii="Verdana" w:hAnsi="Verdana" w:cs="Arial"/>
          <w:sz w:val="16"/>
          <w:szCs w:val="16"/>
          <w:vertAlign w:val="superscript"/>
        </w:rPr>
        <w:footnoteRef/>
      </w:r>
      <w:r w:rsidRPr="008E25BA">
        <w:rPr>
          <w:rFonts w:ascii="Verdana" w:eastAsia="Arial" w:hAnsi="Verdana" w:cs="Arial"/>
          <w:color w:val="000000"/>
          <w:sz w:val="16"/>
          <w:szCs w:val="16"/>
        </w:rPr>
        <w:t xml:space="preserve"> Consejo de Estado. Sala de lo Contencioso Administrativo Sección Tercera</w:t>
      </w:r>
      <w:r>
        <w:rPr>
          <w:rFonts w:ascii="Verdana" w:eastAsia="Arial" w:hAnsi="Verdana" w:cs="Arial"/>
          <w:color w:val="000000"/>
          <w:sz w:val="16"/>
          <w:szCs w:val="16"/>
        </w:rPr>
        <w:t>.</w:t>
      </w:r>
      <w:r w:rsidRPr="008E25BA">
        <w:rPr>
          <w:rFonts w:ascii="Verdana" w:eastAsia="Arial" w:hAnsi="Verdana" w:cs="Arial"/>
          <w:color w:val="000000"/>
          <w:sz w:val="16"/>
          <w:szCs w:val="16"/>
        </w:rPr>
        <w:t xml:space="preserve"> Subsección C. Sentencia del 26 de febrero de 2014. Radicado: 1999-00113-01 (25.804). C.P. Enrique Gil Botero. </w:t>
      </w:r>
    </w:p>
    <w:p w14:paraId="0C3D02C4" w14:textId="77777777" w:rsidR="005748B0" w:rsidRPr="008E25BA" w:rsidRDefault="005748B0" w:rsidP="005748B0">
      <w:pPr>
        <w:pBdr>
          <w:top w:val="nil"/>
          <w:left w:val="nil"/>
          <w:bottom w:val="nil"/>
          <w:right w:val="nil"/>
          <w:between w:val="nil"/>
        </w:pBdr>
        <w:spacing w:after="0" w:line="240" w:lineRule="auto"/>
        <w:ind w:right="49" w:firstLine="709"/>
        <w:jc w:val="both"/>
        <w:rPr>
          <w:rFonts w:ascii="Verdana" w:eastAsia="Arial" w:hAnsi="Verdana" w:cs="Arial"/>
          <w:color w:val="000000"/>
          <w:sz w:val="16"/>
          <w:szCs w:val="16"/>
        </w:rPr>
      </w:pPr>
    </w:p>
  </w:footnote>
  <w:footnote w:id="4">
    <w:p w14:paraId="1B9FCFE7" w14:textId="77777777" w:rsidR="005748B0" w:rsidRPr="008E25BA" w:rsidRDefault="005748B0" w:rsidP="005748B0">
      <w:pPr>
        <w:pStyle w:val="Textonotapie"/>
        <w:ind w:right="49" w:firstLine="709"/>
        <w:jc w:val="both"/>
        <w:rPr>
          <w:rFonts w:ascii="Verdana" w:hAnsi="Verdana"/>
          <w:sz w:val="16"/>
          <w:szCs w:val="16"/>
        </w:rPr>
      </w:pPr>
      <w:r w:rsidRPr="008E25BA">
        <w:rPr>
          <w:rStyle w:val="Refdenotaalpie"/>
          <w:rFonts w:ascii="Verdana" w:hAnsi="Verdana"/>
          <w:sz w:val="16"/>
          <w:szCs w:val="16"/>
        </w:rPr>
        <w:footnoteRef/>
      </w:r>
      <w:r w:rsidRPr="008E25BA">
        <w:rPr>
          <w:rFonts w:ascii="Verdana" w:hAnsi="Verdana"/>
          <w:sz w:val="16"/>
          <w:szCs w:val="16"/>
        </w:rPr>
        <w:t xml:space="preserve"> En </w:t>
      </w:r>
      <w:hyperlink r:id="rId1" w:history="1">
        <w:r w:rsidRPr="008E25BA">
          <w:rPr>
            <w:rStyle w:val="Hipervnculo"/>
            <w:rFonts w:ascii="Verdana" w:hAnsi="Verdana"/>
            <w:sz w:val="16"/>
            <w:szCs w:val="16"/>
            <w:lang w:val="es-CO"/>
          </w:rPr>
          <w:t>circular_externa_unica_version_3_vf49.pdf</w:t>
        </w:r>
      </w:hyperlink>
    </w:p>
  </w:footnote>
  <w:footnote w:id="5">
    <w:p w14:paraId="5B72B009" w14:textId="77777777" w:rsidR="00584778" w:rsidRPr="00FF6F71" w:rsidRDefault="00584778" w:rsidP="00584778">
      <w:pPr>
        <w:pBdr>
          <w:top w:val="nil"/>
          <w:left w:val="nil"/>
          <w:bottom w:val="nil"/>
          <w:right w:val="nil"/>
          <w:between w:val="nil"/>
        </w:pBdr>
        <w:spacing w:after="0" w:line="240" w:lineRule="auto"/>
        <w:ind w:right="49" w:firstLine="709"/>
        <w:jc w:val="both"/>
        <w:rPr>
          <w:rFonts w:ascii="Verdana" w:eastAsia="Arial" w:hAnsi="Verdana" w:cs="Arial"/>
          <w:color w:val="000000"/>
          <w:sz w:val="16"/>
          <w:szCs w:val="16"/>
        </w:rPr>
      </w:pPr>
      <w:r w:rsidRPr="00FF6F71">
        <w:rPr>
          <w:rFonts w:ascii="Verdana" w:hAnsi="Verdana" w:cs="Arial"/>
          <w:sz w:val="16"/>
          <w:szCs w:val="16"/>
          <w:vertAlign w:val="superscript"/>
        </w:rPr>
        <w:footnoteRef/>
      </w:r>
      <w:r w:rsidRPr="00FF6F71">
        <w:rPr>
          <w:rFonts w:ascii="Verdana" w:eastAsia="Arial" w:hAnsi="Verdana" w:cs="Arial"/>
          <w:color w:val="000000"/>
          <w:sz w:val="16"/>
          <w:szCs w:val="16"/>
          <w:vertAlign w:val="superscript"/>
        </w:rPr>
        <w:t xml:space="preserve"> </w:t>
      </w:r>
      <w:r w:rsidRPr="00FF6F71">
        <w:rPr>
          <w:rFonts w:ascii="Verdana" w:eastAsia="Arial"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footnote>
  <w:footnote w:id="6">
    <w:p w14:paraId="098F5F52" w14:textId="77777777" w:rsidR="001C6B29" w:rsidRPr="00FF6F71" w:rsidRDefault="001C6B29" w:rsidP="001C6B29">
      <w:pPr>
        <w:spacing w:after="0" w:line="240" w:lineRule="auto"/>
        <w:ind w:right="49" w:firstLine="709"/>
        <w:jc w:val="both"/>
        <w:rPr>
          <w:rFonts w:ascii="Verdana" w:eastAsia="Arial" w:hAnsi="Verdana" w:cs="Arial"/>
          <w:color w:val="000000"/>
          <w:sz w:val="16"/>
          <w:szCs w:val="16"/>
        </w:rPr>
      </w:pPr>
      <w:r w:rsidRPr="00FF6F71">
        <w:rPr>
          <w:rFonts w:ascii="Verdana" w:hAnsi="Verdana" w:cs="Arial"/>
          <w:sz w:val="16"/>
          <w:szCs w:val="16"/>
          <w:vertAlign w:val="superscript"/>
        </w:rPr>
        <w:footnoteRef/>
      </w:r>
      <w:r w:rsidRPr="00FF6F71">
        <w:rPr>
          <w:rFonts w:ascii="Verdana" w:eastAsia="Arial" w:hAnsi="Verdana" w:cs="Arial"/>
          <w:color w:val="000000"/>
          <w:sz w:val="16"/>
          <w:szCs w:val="16"/>
        </w:rPr>
        <w:t xml:space="preserve"> Decreto 2474 de 2008 (DEROGADO): “art. 10. Reglas de </w:t>
      </w:r>
      <w:proofErr w:type="spellStart"/>
      <w:r w:rsidRPr="00FF6F71">
        <w:rPr>
          <w:rFonts w:ascii="Verdana" w:eastAsia="Arial" w:hAnsi="Verdana" w:cs="Arial"/>
          <w:color w:val="000000"/>
          <w:sz w:val="16"/>
          <w:szCs w:val="16"/>
        </w:rPr>
        <w:t>subsanabilidad</w:t>
      </w:r>
      <w:proofErr w:type="spellEnd"/>
      <w:r w:rsidRPr="00FF6F71">
        <w:rPr>
          <w:rFonts w:ascii="Verdana" w:eastAsia="Arial" w:hAnsi="Verdana" w:cs="Arial"/>
          <w:color w:val="000000"/>
          <w:sz w:val="16"/>
          <w:szCs w:val="16"/>
        </w:rPr>
        <w:t>. En todo proceso de selección de contratistas primará lo sustancial sobre lo formal. En consecuencia no podrá rechazarse una propuesta por la ausencia de requisitos o la falta de documentos que verifiquen las condiciones del proponente o soporten el contenido de la oferta, y que no constituyan los factores de escogencia establecidos por la entidad en el pliego de condiciones, de conformidad con lo previsto en los numerales 2º, 3º y 4º del artículo 5º de la </w:t>
      </w:r>
      <w:hyperlink r:id="rId2">
        <w:r w:rsidRPr="00FF6F71">
          <w:rPr>
            <w:rFonts w:ascii="Verdana" w:eastAsia="Arial" w:hAnsi="Verdana" w:cs="Arial"/>
            <w:color w:val="000000"/>
            <w:sz w:val="16"/>
            <w:szCs w:val="16"/>
          </w:rPr>
          <w:t>Ley 1150 de 2007</w:t>
        </w:r>
      </w:hyperlink>
      <w:r w:rsidRPr="00FF6F71">
        <w:rPr>
          <w:rFonts w:ascii="Verdana" w:eastAsia="Arial" w:hAnsi="Verdana" w:cs="Arial"/>
          <w:color w:val="000000"/>
          <w:sz w:val="16"/>
          <w:szCs w:val="16"/>
        </w:rPr>
        <w:t> y en el presente decreto.</w:t>
      </w:r>
    </w:p>
    <w:p w14:paraId="5C48703B" w14:textId="77777777" w:rsidR="001C6B29" w:rsidRPr="00FF6F71" w:rsidRDefault="001C6B29" w:rsidP="0079177E">
      <w:pPr>
        <w:spacing w:after="0" w:line="240" w:lineRule="auto"/>
        <w:ind w:right="49" w:firstLine="709"/>
        <w:jc w:val="both"/>
        <w:rPr>
          <w:rFonts w:ascii="Verdana" w:eastAsia="Arial" w:hAnsi="Verdana" w:cs="Arial"/>
          <w:color w:val="000000"/>
          <w:sz w:val="16"/>
          <w:szCs w:val="16"/>
        </w:rPr>
      </w:pPr>
      <w:r w:rsidRPr="00FF6F71">
        <w:rPr>
          <w:rFonts w:ascii="Verdana" w:eastAsia="Arial" w:hAnsi="Verdana" w:cs="Arial"/>
          <w:color w:val="000000"/>
          <w:sz w:val="16"/>
          <w:szCs w:val="16"/>
        </w:rPr>
        <w:t>Tales requisitos o documentos podrán ser requeridos por la entidad en condiciones de igualdad para todos los proponentes hasta la adjudicación, o hasta el momento en que la entidad lo establezca en los pliegos de condiciones, sin que tal previsión haga nugatorio el principio contemplado en el inciso anterior.</w:t>
      </w:r>
    </w:p>
    <w:p w14:paraId="62065E0D" w14:textId="77777777" w:rsidR="001C6B29" w:rsidRPr="00FF6F71" w:rsidRDefault="001C6B29" w:rsidP="0079177E">
      <w:pPr>
        <w:spacing w:after="0" w:line="240" w:lineRule="auto"/>
        <w:ind w:right="49" w:firstLine="709"/>
        <w:jc w:val="both"/>
        <w:rPr>
          <w:rFonts w:ascii="Verdana" w:eastAsia="Arial" w:hAnsi="Verdana" w:cs="Arial"/>
          <w:color w:val="000000"/>
          <w:sz w:val="16"/>
          <w:szCs w:val="16"/>
        </w:rPr>
      </w:pPr>
      <w:r w:rsidRPr="00FF6F71">
        <w:rPr>
          <w:rFonts w:ascii="Verdana" w:eastAsia="Arial" w:hAnsi="Verdana" w:cs="Arial"/>
          <w:color w:val="000000"/>
          <w:sz w:val="16"/>
          <w:szCs w:val="16"/>
        </w:rPr>
        <w:t>Será rechazada la oferta del proponente que dentro del término previsto en el pliego o en la solicitud, no responda al requerimiento que le haga la entidad para subsanarla.</w:t>
      </w:r>
    </w:p>
    <w:p w14:paraId="2952F1AA" w14:textId="77777777" w:rsidR="001C6B29" w:rsidRPr="00FF6F71" w:rsidRDefault="001C6B29" w:rsidP="0079177E">
      <w:pPr>
        <w:spacing w:after="0" w:line="240" w:lineRule="auto"/>
        <w:ind w:right="49" w:firstLine="709"/>
        <w:jc w:val="both"/>
        <w:rPr>
          <w:rFonts w:ascii="Verdana" w:eastAsia="Arial" w:hAnsi="Verdana" w:cs="Arial"/>
          <w:color w:val="000000"/>
          <w:sz w:val="16"/>
          <w:szCs w:val="16"/>
        </w:rPr>
      </w:pPr>
      <w:r w:rsidRPr="00FF6F71">
        <w:rPr>
          <w:rFonts w:ascii="Verdana" w:eastAsia="Arial" w:hAnsi="Verdana" w:cs="Arial"/>
          <w:color w:val="000000"/>
          <w:sz w:val="16"/>
          <w:szCs w:val="16"/>
        </w:rPr>
        <w:t>Cuando se utilice el mecanismo de subasta esta posibilidad deberá ejercerse hasta el momento previo a su realización, de conformidad con el artículo 22 del presente decreto.</w:t>
      </w:r>
    </w:p>
    <w:p w14:paraId="6E0DD189" w14:textId="77777777" w:rsidR="001C6B29" w:rsidRPr="00FF6F71" w:rsidRDefault="001C6B29" w:rsidP="0079177E">
      <w:pPr>
        <w:spacing w:after="0" w:line="240" w:lineRule="auto"/>
        <w:ind w:right="49" w:firstLine="709"/>
        <w:jc w:val="both"/>
        <w:rPr>
          <w:rFonts w:ascii="Verdana" w:eastAsia="Arial" w:hAnsi="Verdana" w:cs="Arial"/>
          <w:color w:val="000000"/>
          <w:sz w:val="16"/>
          <w:szCs w:val="16"/>
        </w:rPr>
      </w:pPr>
      <w:r w:rsidRPr="00FF6F71">
        <w:rPr>
          <w:rFonts w:ascii="Verdana" w:eastAsia="Arial" w:hAnsi="Verdana" w:cs="Arial"/>
          <w:color w:val="000000"/>
          <w:sz w:val="16"/>
          <w:szCs w:val="16"/>
        </w:rPr>
        <w:t xml:space="preserve">En ningún caso la entidad podrá señalar taxativamente los requisitos o documentos subsanables o no subsanables en el pliego de condiciones, </w:t>
      </w:r>
      <w:r w:rsidRPr="00FF6F71">
        <w:rPr>
          <w:rFonts w:ascii="Verdana" w:eastAsia="Arial" w:hAnsi="Verdana" w:cs="Arial"/>
          <w:i/>
          <w:color w:val="000000"/>
          <w:sz w:val="16"/>
          <w:szCs w:val="16"/>
        </w:rPr>
        <w:t>ni permitir que se subsane la falta de capacidad para presentar la oferta, ni que se acrediten circunstancias ocurridas con posterioridad al cierre del proceso</w:t>
      </w:r>
      <w:r w:rsidRPr="00FF6F71">
        <w:rPr>
          <w:rFonts w:ascii="Verdana" w:eastAsia="Arial" w:hAnsi="Verdana" w:cs="Arial"/>
          <w:color w:val="000000"/>
          <w:sz w:val="16"/>
          <w:szCs w:val="16"/>
        </w:rPr>
        <w:t xml:space="preserve">”. (Cursivas fuera de texto). </w:t>
      </w:r>
    </w:p>
    <w:p w14:paraId="232C5940" w14:textId="77777777" w:rsidR="001C6B29" w:rsidRPr="008E25BA" w:rsidRDefault="001C6B29" w:rsidP="0079177E">
      <w:pPr>
        <w:spacing w:after="0" w:line="240" w:lineRule="auto"/>
        <w:ind w:right="49" w:firstLine="709"/>
        <w:jc w:val="both"/>
        <w:rPr>
          <w:rFonts w:ascii="Verdana" w:eastAsia="Arial" w:hAnsi="Verdana" w:cs="Arial"/>
          <w:color w:val="000000"/>
          <w:sz w:val="16"/>
          <w:szCs w:val="16"/>
        </w:rPr>
      </w:pPr>
    </w:p>
  </w:footnote>
  <w:footnote w:id="7">
    <w:p w14:paraId="6910B94E" w14:textId="2A9B26C2" w:rsidR="0079177E" w:rsidRPr="008E25BA" w:rsidRDefault="0079177E" w:rsidP="0079177E">
      <w:pPr>
        <w:pBdr>
          <w:top w:val="nil"/>
          <w:left w:val="nil"/>
          <w:bottom w:val="nil"/>
          <w:right w:val="nil"/>
          <w:between w:val="nil"/>
        </w:pBdr>
        <w:spacing w:after="0" w:line="240" w:lineRule="auto"/>
        <w:ind w:right="49" w:firstLine="709"/>
        <w:jc w:val="both"/>
        <w:rPr>
          <w:rFonts w:ascii="Verdana" w:eastAsia="Arial" w:hAnsi="Verdana" w:cs="Arial"/>
          <w:color w:val="000000"/>
          <w:sz w:val="16"/>
          <w:szCs w:val="16"/>
        </w:rPr>
      </w:pPr>
      <w:r w:rsidRPr="008E25BA">
        <w:rPr>
          <w:rFonts w:ascii="Verdana" w:hAnsi="Verdana" w:cs="Arial"/>
          <w:sz w:val="16"/>
          <w:szCs w:val="16"/>
          <w:vertAlign w:val="superscript"/>
        </w:rPr>
        <w:footnoteRef/>
      </w:r>
      <w:r w:rsidRPr="008E25BA">
        <w:rPr>
          <w:rFonts w:ascii="Verdana" w:eastAsia="Arial" w:hAnsi="Verdana" w:cs="Arial"/>
          <w:color w:val="000000"/>
          <w:sz w:val="16"/>
          <w:szCs w:val="16"/>
        </w:rPr>
        <w:t xml:space="preserve"> Consejo de Estado. Sala de Consulta y Servicio Civil</w:t>
      </w:r>
      <w:r w:rsidR="00FF6F71">
        <w:rPr>
          <w:rFonts w:ascii="Verdana" w:eastAsia="Arial" w:hAnsi="Verdana" w:cs="Arial"/>
          <w:color w:val="000000"/>
          <w:sz w:val="16"/>
          <w:szCs w:val="16"/>
        </w:rPr>
        <w:t xml:space="preserve"> Concepto </w:t>
      </w:r>
      <w:r w:rsidRPr="008E25BA">
        <w:rPr>
          <w:rFonts w:ascii="Verdana" w:eastAsia="Arial" w:hAnsi="Verdana" w:cs="Arial"/>
          <w:color w:val="000000"/>
          <w:sz w:val="16"/>
          <w:szCs w:val="16"/>
        </w:rPr>
        <w:t>del 6 de noviembre de 2008. Rad. 2008-00079-00 (1927). C.P. William Zambrano Cetina.</w:t>
      </w:r>
    </w:p>
  </w:footnote>
  <w:footnote w:id="8">
    <w:p w14:paraId="7918AA02" w14:textId="58CAB37B" w:rsidR="00FB7850" w:rsidRDefault="00FB7850" w:rsidP="00C95595">
      <w:pPr>
        <w:pBdr>
          <w:top w:val="nil"/>
          <w:left w:val="nil"/>
          <w:bottom w:val="nil"/>
          <w:right w:val="nil"/>
          <w:between w:val="nil"/>
        </w:pBdr>
        <w:spacing w:after="0" w:line="240" w:lineRule="auto"/>
        <w:ind w:right="49" w:firstLine="709"/>
        <w:jc w:val="both"/>
        <w:rPr>
          <w:rFonts w:ascii="Verdana" w:eastAsia="Arial" w:hAnsi="Verdana" w:cs="Arial"/>
          <w:color w:val="000000"/>
          <w:sz w:val="16"/>
          <w:szCs w:val="16"/>
        </w:rPr>
      </w:pPr>
      <w:r w:rsidRPr="008E25BA">
        <w:rPr>
          <w:rFonts w:ascii="Verdana" w:hAnsi="Verdana" w:cs="Arial"/>
          <w:sz w:val="16"/>
          <w:szCs w:val="16"/>
          <w:vertAlign w:val="superscript"/>
        </w:rPr>
        <w:footnoteRef/>
      </w:r>
      <w:r w:rsidRPr="008E25BA">
        <w:rPr>
          <w:rFonts w:ascii="Verdana" w:eastAsia="Arial" w:hAnsi="Verdana" w:cs="Arial"/>
          <w:color w:val="000000"/>
          <w:sz w:val="16"/>
          <w:szCs w:val="16"/>
        </w:rPr>
        <w:t xml:space="preserve"> Consejo de Estado. Sala de lo Contencioso Administrativo. Sección Tercera, Subsección C. Sentencia del 26 de febrero de 2011. Radicado: 11001-03-26-000-2009-00018-00 (36.408). C.P. Jaime Orlando Santofimio.   </w:t>
      </w:r>
    </w:p>
    <w:p w14:paraId="423EF980" w14:textId="77777777" w:rsidR="00FB7850" w:rsidRPr="008E25BA" w:rsidRDefault="00FB7850" w:rsidP="00C95595">
      <w:pPr>
        <w:pBdr>
          <w:top w:val="nil"/>
          <w:left w:val="nil"/>
          <w:bottom w:val="nil"/>
          <w:right w:val="nil"/>
          <w:between w:val="nil"/>
        </w:pBdr>
        <w:spacing w:after="0" w:line="240" w:lineRule="auto"/>
        <w:ind w:right="49" w:firstLine="709"/>
        <w:jc w:val="both"/>
        <w:rPr>
          <w:rFonts w:ascii="Verdana" w:eastAsia="Arial" w:hAnsi="Verdana" w:cs="Arial"/>
          <w:color w:val="000000"/>
          <w:sz w:val="16"/>
          <w:szCs w:val="16"/>
        </w:rPr>
      </w:pPr>
    </w:p>
  </w:footnote>
  <w:footnote w:id="9">
    <w:p w14:paraId="04F67733" w14:textId="388D03F8" w:rsidR="00FB7850" w:rsidRDefault="00FB7850" w:rsidP="00C95595">
      <w:pPr>
        <w:pBdr>
          <w:top w:val="nil"/>
          <w:left w:val="nil"/>
          <w:bottom w:val="nil"/>
          <w:right w:val="nil"/>
          <w:between w:val="nil"/>
        </w:pBdr>
        <w:spacing w:after="0" w:line="240" w:lineRule="auto"/>
        <w:ind w:right="49" w:firstLine="709"/>
        <w:jc w:val="both"/>
        <w:rPr>
          <w:rFonts w:ascii="Verdana" w:eastAsia="Arial" w:hAnsi="Verdana" w:cs="Arial"/>
          <w:color w:val="000000"/>
          <w:sz w:val="16"/>
          <w:szCs w:val="16"/>
        </w:rPr>
      </w:pPr>
      <w:r w:rsidRPr="008E25BA">
        <w:rPr>
          <w:rFonts w:ascii="Verdana" w:hAnsi="Verdana" w:cs="Arial"/>
          <w:sz w:val="16"/>
          <w:szCs w:val="16"/>
          <w:vertAlign w:val="superscript"/>
        </w:rPr>
        <w:footnoteRef/>
      </w:r>
      <w:r w:rsidRPr="008E25BA">
        <w:rPr>
          <w:rFonts w:ascii="Verdana" w:eastAsia="Arial" w:hAnsi="Verdana" w:cs="Arial"/>
          <w:color w:val="000000"/>
          <w:sz w:val="16"/>
          <w:szCs w:val="16"/>
        </w:rPr>
        <w:t xml:space="preserve"> Consejo de Estado</w:t>
      </w:r>
      <w:r w:rsidR="00C83285">
        <w:rPr>
          <w:rFonts w:ascii="Verdana" w:eastAsia="Arial" w:hAnsi="Verdana" w:cs="Arial"/>
          <w:color w:val="000000"/>
          <w:sz w:val="16"/>
          <w:szCs w:val="16"/>
        </w:rPr>
        <w:t xml:space="preserve">. </w:t>
      </w:r>
      <w:r w:rsidR="00C83285" w:rsidRPr="008E25BA">
        <w:rPr>
          <w:rFonts w:ascii="Verdana" w:eastAsia="Arial" w:hAnsi="Verdana" w:cs="Arial"/>
          <w:color w:val="000000"/>
          <w:sz w:val="16"/>
          <w:szCs w:val="16"/>
        </w:rPr>
        <w:t>Sala de lo Contencioso Administrativo</w:t>
      </w:r>
      <w:r w:rsidR="00C83285">
        <w:rPr>
          <w:rFonts w:ascii="Verdana" w:eastAsia="Arial" w:hAnsi="Verdana" w:cs="Arial"/>
          <w:color w:val="000000"/>
          <w:sz w:val="16"/>
          <w:szCs w:val="16"/>
        </w:rPr>
        <w:t>.</w:t>
      </w:r>
      <w:r w:rsidRPr="008E25BA">
        <w:rPr>
          <w:rFonts w:ascii="Verdana" w:eastAsia="Arial" w:hAnsi="Verdana" w:cs="Arial"/>
          <w:color w:val="000000"/>
          <w:sz w:val="16"/>
          <w:szCs w:val="16"/>
        </w:rPr>
        <w:t xml:space="preserve"> Sección Tercera</w:t>
      </w:r>
      <w:r w:rsidR="00C83285">
        <w:rPr>
          <w:rFonts w:ascii="Verdana" w:eastAsia="Arial" w:hAnsi="Verdana" w:cs="Arial"/>
          <w:color w:val="000000"/>
          <w:sz w:val="16"/>
          <w:szCs w:val="16"/>
        </w:rPr>
        <w:t>.</w:t>
      </w:r>
      <w:r w:rsidRPr="008E25BA">
        <w:rPr>
          <w:rFonts w:ascii="Verdana" w:eastAsia="Arial" w:hAnsi="Verdana" w:cs="Arial"/>
          <w:color w:val="000000"/>
          <w:sz w:val="16"/>
          <w:szCs w:val="16"/>
        </w:rPr>
        <w:t xml:space="preserve"> Subsección C. Sentencia del 26 de febrero de 2014. Radicado: 13001-23-31-000-1999-00113-01 (25.804). </w:t>
      </w:r>
      <w:r w:rsidR="00C83285">
        <w:rPr>
          <w:rFonts w:ascii="Verdana" w:eastAsia="Arial" w:hAnsi="Verdana" w:cs="Arial"/>
          <w:color w:val="000000"/>
          <w:sz w:val="16"/>
          <w:szCs w:val="16"/>
        </w:rPr>
        <w:t>C</w:t>
      </w:r>
      <w:r w:rsidRPr="008E25BA">
        <w:rPr>
          <w:rFonts w:ascii="Verdana" w:eastAsia="Arial" w:hAnsi="Verdana" w:cs="Arial"/>
          <w:color w:val="000000"/>
          <w:sz w:val="16"/>
          <w:szCs w:val="16"/>
        </w:rPr>
        <w:t xml:space="preserve">.P: Enrique Gil Botero.   </w:t>
      </w:r>
    </w:p>
    <w:p w14:paraId="49154305" w14:textId="77777777" w:rsidR="00C83285" w:rsidRPr="008E25BA" w:rsidRDefault="00C83285" w:rsidP="00C95595">
      <w:pPr>
        <w:pBdr>
          <w:top w:val="nil"/>
          <w:left w:val="nil"/>
          <w:bottom w:val="nil"/>
          <w:right w:val="nil"/>
          <w:between w:val="nil"/>
        </w:pBdr>
        <w:spacing w:after="0" w:line="240" w:lineRule="auto"/>
        <w:ind w:right="49" w:firstLine="709"/>
        <w:jc w:val="both"/>
        <w:rPr>
          <w:rFonts w:ascii="Verdana" w:eastAsia="Arial" w:hAnsi="Verdana" w:cs="Arial"/>
          <w:color w:val="000000"/>
          <w:sz w:val="16"/>
          <w:szCs w:val="16"/>
        </w:rPr>
      </w:pPr>
    </w:p>
  </w:footnote>
  <w:footnote w:id="10">
    <w:p w14:paraId="5199342F" w14:textId="77777777" w:rsidR="000A4818" w:rsidRDefault="000A4818" w:rsidP="00C95595">
      <w:pPr>
        <w:pBdr>
          <w:top w:val="nil"/>
          <w:left w:val="nil"/>
          <w:bottom w:val="nil"/>
          <w:right w:val="nil"/>
          <w:between w:val="nil"/>
        </w:pBdr>
        <w:spacing w:after="0" w:line="240" w:lineRule="auto"/>
        <w:ind w:right="49" w:firstLine="709"/>
        <w:jc w:val="both"/>
        <w:rPr>
          <w:rFonts w:ascii="Verdana" w:eastAsia="Arial" w:hAnsi="Verdana" w:cs="Arial"/>
          <w:color w:val="000000"/>
          <w:sz w:val="16"/>
          <w:szCs w:val="16"/>
        </w:rPr>
      </w:pPr>
      <w:r w:rsidRPr="00DD4CE3">
        <w:rPr>
          <w:rFonts w:ascii="Verdana" w:hAnsi="Verdana" w:cs="Arial"/>
          <w:sz w:val="16"/>
          <w:szCs w:val="16"/>
          <w:vertAlign w:val="superscript"/>
        </w:rPr>
        <w:footnoteRef/>
      </w:r>
      <w:r w:rsidRPr="00DD4CE3">
        <w:rPr>
          <w:rFonts w:ascii="Verdana" w:eastAsia="Arial" w:hAnsi="Verdana" w:cs="Arial"/>
          <w:color w:val="000000"/>
          <w:sz w:val="16"/>
          <w:szCs w:val="16"/>
        </w:rPr>
        <w:t xml:space="preserve"> Consejo de Estado. Sala de Consulta y Servicio Civil. Concepto del 20 de mayo de 2010. Rad. 2010-00034-00 (1992). C.P. Enrique José Arboleda Perdomo.</w:t>
      </w:r>
    </w:p>
    <w:p w14:paraId="7D73D799" w14:textId="77777777" w:rsidR="000A4818" w:rsidRPr="00DD4CE3" w:rsidRDefault="000A4818" w:rsidP="000A4818">
      <w:pPr>
        <w:pBdr>
          <w:top w:val="nil"/>
          <w:left w:val="nil"/>
          <w:bottom w:val="nil"/>
          <w:right w:val="nil"/>
          <w:between w:val="nil"/>
        </w:pBdr>
        <w:spacing w:after="0" w:line="240" w:lineRule="auto"/>
        <w:ind w:right="1291" w:firstLine="709"/>
        <w:jc w:val="both"/>
        <w:rPr>
          <w:rFonts w:ascii="Verdana" w:eastAsia="Arial" w:hAnsi="Verdana" w:cs="Arial"/>
          <w:color w:val="000000"/>
          <w:sz w:val="16"/>
          <w:szCs w:val="16"/>
        </w:rPr>
      </w:pPr>
    </w:p>
  </w:footnote>
  <w:footnote w:id="11">
    <w:p w14:paraId="11288E46" w14:textId="77777777" w:rsidR="00AC25CB" w:rsidRPr="00C83285" w:rsidRDefault="00AC25CB" w:rsidP="00AC25CB">
      <w:pPr>
        <w:pStyle w:val="Textonotapie"/>
        <w:ind w:right="1291" w:firstLine="709"/>
        <w:jc w:val="both"/>
        <w:rPr>
          <w:rFonts w:ascii="Verdana" w:hAnsi="Verdana"/>
          <w:sz w:val="16"/>
          <w:szCs w:val="16"/>
          <w:lang w:val="es-CO"/>
        </w:rPr>
      </w:pPr>
      <w:r w:rsidRPr="00DD4CE3">
        <w:rPr>
          <w:rStyle w:val="Refdenotaalpie"/>
          <w:rFonts w:ascii="Verdana" w:hAnsi="Verdana"/>
          <w:sz w:val="16"/>
          <w:szCs w:val="16"/>
        </w:rPr>
        <w:footnoteRef/>
      </w:r>
      <w:r w:rsidRPr="00DD4CE3">
        <w:rPr>
          <w:rFonts w:ascii="Verdana" w:hAnsi="Verdana"/>
          <w:sz w:val="16"/>
          <w:szCs w:val="16"/>
          <w:lang w:val="es-CO"/>
        </w:rPr>
        <w:t xml:space="preserve"> </w:t>
      </w:r>
      <w:r w:rsidRPr="00C83285">
        <w:rPr>
          <w:rFonts w:ascii="Verdana" w:hAnsi="Verdana"/>
          <w:sz w:val="16"/>
          <w:szCs w:val="16"/>
          <w:lang w:val="es-CO"/>
        </w:rPr>
        <w:t xml:space="preserve">Disponible en </w:t>
      </w:r>
      <w:hyperlink r:id="rId3" w:history="1">
        <w:r w:rsidRPr="00C83285">
          <w:rPr>
            <w:rStyle w:val="Hipervnculo"/>
            <w:rFonts w:ascii="Verdana" w:hAnsi="Verdana"/>
            <w:sz w:val="16"/>
            <w:szCs w:val="16"/>
            <w:lang w:val="es-CO"/>
          </w:rPr>
          <w:t>cce-eicp-ma-04._manual_requisitos_habilitantes_v3_29-09-2023.pdf</w:t>
        </w:r>
      </w:hyperlink>
    </w:p>
  </w:footnote>
  <w:footnote w:id="12">
    <w:p w14:paraId="5BE6C196" w14:textId="77777777" w:rsidR="00AC25CB" w:rsidRPr="00C83285" w:rsidRDefault="00AC25CB" w:rsidP="00AC25CB">
      <w:pPr>
        <w:pBdr>
          <w:top w:val="nil"/>
          <w:left w:val="nil"/>
          <w:bottom w:val="nil"/>
          <w:right w:val="nil"/>
          <w:between w:val="nil"/>
        </w:pBdr>
        <w:spacing w:after="0" w:line="240" w:lineRule="auto"/>
        <w:ind w:right="49" w:firstLine="709"/>
        <w:jc w:val="both"/>
        <w:rPr>
          <w:rFonts w:ascii="Verdana" w:eastAsia="Arial" w:hAnsi="Verdana" w:cs="Arial"/>
          <w:color w:val="000000" w:themeColor="text1"/>
          <w:sz w:val="16"/>
          <w:szCs w:val="16"/>
        </w:rPr>
      </w:pPr>
      <w:r w:rsidRPr="00C83285">
        <w:rPr>
          <w:rFonts w:ascii="Verdana" w:hAnsi="Verdana" w:cs="Arial"/>
          <w:color w:val="000000" w:themeColor="text1"/>
          <w:sz w:val="16"/>
          <w:szCs w:val="16"/>
          <w:vertAlign w:val="superscript"/>
        </w:rPr>
        <w:footnoteRef/>
      </w:r>
      <w:r w:rsidRPr="00C83285">
        <w:rPr>
          <w:rFonts w:ascii="Verdana" w:eastAsia="Arial" w:hAnsi="Verdana" w:cs="Arial"/>
          <w:color w:val="000000" w:themeColor="text1"/>
          <w:sz w:val="16"/>
          <w:szCs w:val="16"/>
        </w:rPr>
        <w:t xml:space="preserve">  RODRÍGUEZ TAMAYO, Mauricio Fernando. Evaluación y rechazo de ofertas en la Ley 80 de 1993. Medellín: Librería Jurídica Sánchez, 2016. p. 190. </w:t>
      </w:r>
    </w:p>
    <w:p w14:paraId="3E9D6D23" w14:textId="77777777" w:rsidR="00AC25CB" w:rsidRPr="00C83285" w:rsidRDefault="00AC25CB" w:rsidP="00AC25CB">
      <w:pPr>
        <w:pBdr>
          <w:top w:val="nil"/>
          <w:left w:val="nil"/>
          <w:bottom w:val="nil"/>
          <w:right w:val="nil"/>
          <w:between w:val="nil"/>
        </w:pBdr>
        <w:spacing w:after="0" w:line="240" w:lineRule="auto"/>
        <w:ind w:right="49" w:firstLine="709"/>
        <w:jc w:val="both"/>
        <w:rPr>
          <w:rFonts w:ascii="Verdana" w:eastAsia="Arial" w:hAnsi="Verdana" w:cs="Arial"/>
          <w:color w:val="000000" w:themeColor="text1"/>
          <w:sz w:val="16"/>
          <w:szCs w:val="16"/>
        </w:rPr>
      </w:pPr>
    </w:p>
  </w:footnote>
  <w:footnote w:id="13">
    <w:p w14:paraId="3870A2CB" w14:textId="77777777" w:rsidR="00AC25CB" w:rsidRPr="00C83285" w:rsidRDefault="00AC25CB" w:rsidP="00AC25CB">
      <w:pPr>
        <w:pBdr>
          <w:top w:val="nil"/>
          <w:left w:val="nil"/>
          <w:bottom w:val="nil"/>
          <w:right w:val="nil"/>
          <w:between w:val="nil"/>
        </w:pBdr>
        <w:spacing w:after="0" w:line="240" w:lineRule="auto"/>
        <w:ind w:right="49" w:firstLine="709"/>
        <w:jc w:val="both"/>
        <w:rPr>
          <w:rFonts w:ascii="Verdana" w:eastAsia="Arial" w:hAnsi="Verdana" w:cs="Arial"/>
          <w:color w:val="000000" w:themeColor="text1"/>
          <w:sz w:val="16"/>
          <w:szCs w:val="16"/>
        </w:rPr>
      </w:pPr>
      <w:r w:rsidRPr="00C83285">
        <w:rPr>
          <w:rFonts w:ascii="Verdana" w:hAnsi="Verdana" w:cs="Arial"/>
          <w:color w:val="000000" w:themeColor="text1"/>
          <w:sz w:val="16"/>
          <w:szCs w:val="16"/>
          <w:vertAlign w:val="superscript"/>
        </w:rPr>
        <w:footnoteRef/>
      </w:r>
      <w:r w:rsidRPr="00C83285">
        <w:rPr>
          <w:rFonts w:ascii="Verdana" w:eastAsia="Arial" w:hAnsi="Verdana" w:cs="Arial"/>
          <w:color w:val="000000" w:themeColor="text1"/>
          <w:sz w:val="16"/>
          <w:szCs w:val="16"/>
        </w:rPr>
        <w:t xml:space="preserve">  Ley 80 de 1993 “</w:t>
      </w:r>
      <w:r w:rsidRPr="00C83285">
        <w:rPr>
          <w:rFonts w:ascii="Verdana" w:eastAsia="Arial" w:hAnsi="Verdana" w:cs="Arial"/>
          <w:bCs/>
          <w:color w:val="000000" w:themeColor="text1"/>
          <w:sz w:val="16"/>
          <w:szCs w:val="16"/>
        </w:rPr>
        <w:t>Articulo 24. Del principio de transparencia. </w:t>
      </w:r>
      <w:r w:rsidRPr="00C83285">
        <w:rPr>
          <w:rFonts w:ascii="Verdana" w:eastAsia="Arial" w:hAnsi="Verdana" w:cs="Arial"/>
          <w:color w:val="000000" w:themeColor="text1"/>
          <w:sz w:val="16"/>
          <w:szCs w:val="16"/>
        </w:rPr>
        <w:t xml:space="preserve">En virtud de este principio: </w:t>
      </w:r>
    </w:p>
    <w:p w14:paraId="54221FBC" w14:textId="77777777" w:rsidR="00AC25CB" w:rsidRPr="00C83285" w:rsidRDefault="00AC25CB" w:rsidP="00AC25CB">
      <w:pPr>
        <w:pBdr>
          <w:top w:val="nil"/>
          <w:left w:val="nil"/>
          <w:bottom w:val="nil"/>
          <w:right w:val="nil"/>
          <w:between w:val="nil"/>
        </w:pBdr>
        <w:spacing w:after="0" w:line="240" w:lineRule="auto"/>
        <w:ind w:right="49" w:firstLine="709"/>
        <w:jc w:val="both"/>
        <w:rPr>
          <w:rFonts w:ascii="Verdana" w:eastAsia="Arial" w:hAnsi="Verdana" w:cs="Arial"/>
          <w:color w:val="000000" w:themeColor="text1"/>
          <w:sz w:val="16"/>
          <w:szCs w:val="16"/>
        </w:rPr>
      </w:pPr>
      <w:r w:rsidRPr="00C83285">
        <w:rPr>
          <w:rFonts w:ascii="Verdana" w:eastAsia="Arial" w:hAnsi="Verdana" w:cs="Arial"/>
          <w:color w:val="000000" w:themeColor="text1"/>
          <w:sz w:val="16"/>
          <w:szCs w:val="16"/>
        </w:rPr>
        <w:t>[…]</w:t>
      </w:r>
    </w:p>
    <w:p w14:paraId="3C284EE8" w14:textId="77777777" w:rsidR="00AC25CB" w:rsidRPr="00C83285" w:rsidRDefault="00AC25CB" w:rsidP="00AC25CB">
      <w:pPr>
        <w:spacing w:after="0" w:line="240" w:lineRule="auto"/>
        <w:ind w:right="49" w:firstLine="709"/>
        <w:jc w:val="both"/>
        <w:rPr>
          <w:rFonts w:ascii="Verdana" w:eastAsia="Arial" w:hAnsi="Verdana" w:cs="Arial"/>
          <w:color w:val="000000" w:themeColor="text1"/>
          <w:sz w:val="16"/>
          <w:szCs w:val="16"/>
        </w:rPr>
      </w:pPr>
      <w:r w:rsidRPr="00C83285">
        <w:rPr>
          <w:rFonts w:ascii="Verdana" w:eastAsia="Arial" w:hAnsi="Verdana" w:cs="Arial"/>
          <w:color w:val="000000" w:themeColor="text1"/>
          <w:sz w:val="16"/>
          <w:szCs w:val="16"/>
        </w:rPr>
        <w:t>5o. En los pliegos de condiciones:</w:t>
      </w:r>
    </w:p>
    <w:p w14:paraId="7167EB6D" w14:textId="77777777" w:rsidR="00AC25CB" w:rsidRPr="00C83285" w:rsidRDefault="00AC25CB" w:rsidP="00AC25CB">
      <w:pPr>
        <w:spacing w:after="0" w:line="240" w:lineRule="auto"/>
        <w:ind w:right="49" w:firstLine="709"/>
        <w:jc w:val="both"/>
        <w:rPr>
          <w:rFonts w:ascii="Verdana" w:eastAsia="Arial" w:hAnsi="Verdana" w:cs="Arial"/>
          <w:color w:val="000000" w:themeColor="text1"/>
          <w:sz w:val="16"/>
          <w:szCs w:val="16"/>
        </w:rPr>
      </w:pPr>
      <w:r w:rsidRPr="00C83285">
        <w:rPr>
          <w:rFonts w:ascii="Verdana" w:eastAsia="Arial" w:hAnsi="Verdana" w:cs="Arial"/>
          <w:color w:val="000000" w:themeColor="text1"/>
          <w:sz w:val="16"/>
          <w:szCs w:val="16"/>
        </w:rPr>
        <w:t>[…]</w:t>
      </w:r>
    </w:p>
    <w:p w14:paraId="3ABFA9F0" w14:textId="77777777" w:rsidR="00AC25CB" w:rsidRPr="00C83285" w:rsidRDefault="00AC25CB" w:rsidP="00AC25CB">
      <w:pPr>
        <w:spacing w:after="0" w:line="240" w:lineRule="auto"/>
        <w:ind w:right="49" w:firstLine="709"/>
        <w:jc w:val="both"/>
        <w:rPr>
          <w:rFonts w:ascii="Verdana" w:eastAsia="Arial" w:hAnsi="Verdana" w:cs="Arial"/>
          <w:color w:val="000000" w:themeColor="text1"/>
          <w:sz w:val="16"/>
          <w:szCs w:val="16"/>
        </w:rPr>
      </w:pPr>
      <w:r w:rsidRPr="00C83285">
        <w:rPr>
          <w:rFonts w:ascii="Verdana" w:eastAsia="Arial" w:hAnsi="Verdana" w:cs="Arial"/>
          <w:color w:val="000000" w:themeColor="text1"/>
          <w:sz w:val="16"/>
          <w:szCs w:val="16"/>
        </w:rPr>
        <w:t>b) Se definirán reglas objetivas, justas, claras y completas que permitan la confección de ofrecimientos de la misma índole, aseguren una escogencia objetiva y eviten la declaratoria de desierta de la licitación […]”.</w:t>
      </w:r>
    </w:p>
    <w:p w14:paraId="65E7210B" w14:textId="77777777" w:rsidR="00AC25CB" w:rsidRPr="00DD4CE3" w:rsidRDefault="00AC25CB" w:rsidP="00AC25CB">
      <w:pPr>
        <w:spacing w:after="0" w:line="240" w:lineRule="auto"/>
        <w:ind w:right="49" w:firstLine="709"/>
        <w:jc w:val="both"/>
        <w:rPr>
          <w:rFonts w:ascii="Verdana" w:eastAsia="Arial" w:hAnsi="Verdana" w:cs="Arial"/>
          <w:color w:val="000000" w:themeColor="text1"/>
          <w:sz w:val="16"/>
          <w:szCs w:val="16"/>
        </w:rPr>
      </w:pPr>
    </w:p>
  </w:footnote>
  <w:footnote w:id="14">
    <w:p w14:paraId="6EEBA06C" w14:textId="77777777" w:rsidR="00AC25CB" w:rsidRPr="00DD4CE3" w:rsidRDefault="00AC25CB" w:rsidP="00AC25CB">
      <w:pPr>
        <w:pBdr>
          <w:top w:val="nil"/>
          <w:left w:val="nil"/>
          <w:bottom w:val="nil"/>
          <w:right w:val="nil"/>
          <w:between w:val="nil"/>
        </w:pBdr>
        <w:spacing w:after="0" w:line="240" w:lineRule="auto"/>
        <w:ind w:right="49" w:firstLine="709"/>
        <w:jc w:val="both"/>
        <w:rPr>
          <w:rFonts w:ascii="Verdana" w:eastAsia="Arial" w:hAnsi="Verdana" w:cs="Arial"/>
          <w:color w:val="000000" w:themeColor="text1"/>
          <w:sz w:val="16"/>
          <w:szCs w:val="16"/>
        </w:rPr>
      </w:pPr>
      <w:r w:rsidRPr="00DD4CE3">
        <w:rPr>
          <w:rFonts w:ascii="Verdana" w:hAnsi="Verdana" w:cs="Arial"/>
          <w:color w:val="000000" w:themeColor="text1"/>
          <w:sz w:val="16"/>
          <w:szCs w:val="16"/>
          <w:vertAlign w:val="superscript"/>
        </w:rPr>
        <w:footnoteRef/>
      </w:r>
      <w:r w:rsidRPr="00DD4CE3">
        <w:rPr>
          <w:rFonts w:ascii="Verdana" w:eastAsia="Arial" w:hAnsi="Verdana" w:cs="Arial"/>
          <w:color w:val="000000" w:themeColor="text1"/>
          <w:sz w:val="16"/>
          <w:szCs w:val="16"/>
        </w:rPr>
        <w:t xml:space="preserve"> Decreto 1082 de 2015 “Artículo 2.2.1.1.2.1.3. Pliegos de condiciones. Los pliegos de condiciones deben contener por lo menos la siguiente información</w:t>
      </w:r>
    </w:p>
    <w:p w14:paraId="607651FC" w14:textId="77777777" w:rsidR="00AC25CB" w:rsidRPr="00DD4CE3" w:rsidRDefault="00AC25CB" w:rsidP="00AC25CB">
      <w:pPr>
        <w:pBdr>
          <w:top w:val="nil"/>
          <w:left w:val="nil"/>
          <w:bottom w:val="nil"/>
          <w:right w:val="nil"/>
          <w:between w:val="nil"/>
        </w:pBdr>
        <w:spacing w:after="0" w:line="240" w:lineRule="auto"/>
        <w:ind w:right="49" w:firstLine="709"/>
        <w:jc w:val="both"/>
        <w:rPr>
          <w:rFonts w:ascii="Verdana" w:eastAsia="Arial" w:hAnsi="Verdana" w:cs="Arial"/>
          <w:color w:val="000000" w:themeColor="text1"/>
          <w:sz w:val="16"/>
          <w:szCs w:val="16"/>
        </w:rPr>
      </w:pPr>
      <w:r w:rsidRPr="00DD4CE3">
        <w:rPr>
          <w:rFonts w:ascii="Verdana" w:eastAsia="Arial" w:hAnsi="Verdana" w:cs="Arial"/>
          <w:color w:val="000000" w:themeColor="text1"/>
          <w:sz w:val="16"/>
          <w:szCs w:val="16"/>
        </w:rPr>
        <w:t>[…]</w:t>
      </w:r>
    </w:p>
    <w:p w14:paraId="3634090A" w14:textId="77777777" w:rsidR="00AC25CB" w:rsidRPr="00DD4CE3" w:rsidRDefault="00AC25CB" w:rsidP="00AC25CB">
      <w:pPr>
        <w:pBdr>
          <w:top w:val="nil"/>
          <w:left w:val="nil"/>
          <w:bottom w:val="nil"/>
          <w:right w:val="nil"/>
          <w:between w:val="nil"/>
        </w:pBdr>
        <w:spacing w:after="0" w:line="240" w:lineRule="auto"/>
        <w:ind w:right="49" w:firstLine="709"/>
        <w:jc w:val="both"/>
        <w:rPr>
          <w:rFonts w:ascii="Verdana" w:eastAsia="Arial" w:hAnsi="Verdana" w:cs="Arial"/>
          <w:color w:val="000000" w:themeColor="text1"/>
          <w:sz w:val="16"/>
          <w:szCs w:val="16"/>
        </w:rPr>
      </w:pPr>
      <w:r w:rsidRPr="00DD4CE3">
        <w:rPr>
          <w:rFonts w:ascii="Verdana" w:eastAsia="Arial" w:hAnsi="Verdana" w:cs="Arial"/>
          <w:color w:val="000000" w:themeColor="text1"/>
          <w:sz w:val="16"/>
          <w:szCs w:val="16"/>
        </w:rPr>
        <w:t>6. Las causas que dan lugar a rechazar una oferta […]”.</w:t>
      </w:r>
    </w:p>
  </w:footnote>
  <w:footnote w:id="15">
    <w:p w14:paraId="48CE8D9B" w14:textId="77777777" w:rsidR="00FD49A2" w:rsidRDefault="00FD49A2" w:rsidP="00FD49A2">
      <w:pPr>
        <w:pBdr>
          <w:top w:val="nil"/>
          <w:left w:val="nil"/>
          <w:bottom w:val="nil"/>
          <w:right w:val="nil"/>
          <w:between w:val="nil"/>
        </w:pBdr>
        <w:spacing w:after="0" w:line="240" w:lineRule="auto"/>
        <w:ind w:right="49" w:firstLine="709"/>
        <w:jc w:val="both"/>
        <w:rPr>
          <w:rFonts w:ascii="Verdana" w:eastAsia="Arial" w:hAnsi="Verdana" w:cs="Arial"/>
          <w:color w:val="000000" w:themeColor="text1"/>
          <w:sz w:val="16"/>
          <w:szCs w:val="16"/>
        </w:rPr>
      </w:pPr>
      <w:r w:rsidRPr="00DD4CE3">
        <w:rPr>
          <w:rFonts w:ascii="Verdana" w:hAnsi="Verdana" w:cs="Arial"/>
          <w:color w:val="000000" w:themeColor="text1"/>
          <w:sz w:val="16"/>
          <w:szCs w:val="16"/>
          <w:vertAlign w:val="superscript"/>
        </w:rPr>
        <w:footnoteRef/>
      </w:r>
      <w:r w:rsidRPr="00DD4CE3">
        <w:rPr>
          <w:rFonts w:ascii="Verdana" w:eastAsia="Arial" w:hAnsi="Verdana" w:cs="Arial"/>
          <w:color w:val="000000" w:themeColor="text1"/>
          <w:sz w:val="16"/>
          <w:szCs w:val="16"/>
        </w:rPr>
        <w:t xml:space="preserve"> Consejo de Estado. Sala de lo Contencioso Administrativo. Sección Tercera Subsección B. Sentencia del 27 de abril de 2011. Radicado: 25000-23-26-000-1997-03924-01 (18.293). C.P.: Ruth Stella Correa Palacio. </w:t>
      </w:r>
    </w:p>
    <w:p w14:paraId="371B3C5D" w14:textId="77777777" w:rsidR="00FD49A2" w:rsidRPr="00DD4CE3" w:rsidRDefault="00FD49A2" w:rsidP="00FD49A2">
      <w:pPr>
        <w:pBdr>
          <w:top w:val="nil"/>
          <w:left w:val="nil"/>
          <w:bottom w:val="nil"/>
          <w:right w:val="nil"/>
          <w:between w:val="nil"/>
        </w:pBdr>
        <w:spacing w:after="0" w:line="240" w:lineRule="auto"/>
        <w:ind w:right="49" w:firstLine="709"/>
        <w:jc w:val="both"/>
        <w:rPr>
          <w:rFonts w:ascii="Verdana" w:eastAsia="Arial" w:hAnsi="Verdana" w:cs="Arial"/>
          <w:color w:val="000000" w:themeColor="text1"/>
          <w:sz w:val="16"/>
          <w:szCs w:val="16"/>
        </w:rPr>
      </w:pPr>
    </w:p>
  </w:footnote>
  <w:footnote w:id="16">
    <w:p w14:paraId="291EC797" w14:textId="00F2C444" w:rsidR="00B6760A" w:rsidRPr="00DD4CE3" w:rsidRDefault="00B6760A" w:rsidP="00345387">
      <w:pPr>
        <w:pStyle w:val="Textonotapie"/>
        <w:ind w:right="333" w:firstLine="709"/>
        <w:jc w:val="both"/>
        <w:rPr>
          <w:rFonts w:ascii="Verdana" w:eastAsia="Times New Roman" w:hAnsi="Verdana" w:cs="Arial"/>
          <w:sz w:val="16"/>
          <w:szCs w:val="16"/>
          <w:lang w:val="es-CO" w:eastAsia="es-CO"/>
        </w:rPr>
      </w:pPr>
      <w:r w:rsidRPr="00DD4CE3">
        <w:rPr>
          <w:rStyle w:val="Refdenotaalpie"/>
          <w:rFonts w:ascii="Verdana" w:hAnsi="Verdana" w:cs="Arial"/>
          <w:sz w:val="16"/>
          <w:szCs w:val="16"/>
        </w:rPr>
        <w:footnoteRef/>
      </w:r>
      <w:r w:rsidRPr="00DD4CE3">
        <w:rPr>
          <w:rFonts w:ascii="Verdana" w:hAnsi="Verdana" w:cs="Arial"/>
          <w:sz w:val="16"/>
          <w:szCs w:val="16"/>
        </w:rPr>
        <w:t xml:space="preserve"> </w:t>
      </w:r>
      <w:r w:rsidRPr="00DD4CE3">
        <w:rPr>
          <w:rFonts w:ascii="Verdana" w:eastAsia="Times New Roman" w:hAnsi="Verdana" w:cs="Arial"/>
          <w:sz w:val="16"/>
          <w:szCs w:val="16"/>
          <w:lang w:val="es-CO" w:eastAsia="es-CO"/>
        </w:rPr>
        <w:t xml:space="preserve">Consejo de Estado. </w:t>
      </w:r>
      <w:r w:rsidR="00C83285">
        <w:rPr>
          <w:rFonts w:ascii="Verdana" w:eastAsia="Times New Roman" w:hAnsi="Verdana" w:cs="Arial"/>
          <w:sz w:val="16"/>
          <w:szCs w:val="16"/>
          <w:lang w:val="es-CO" w:eastAsia="es-CO"/>
        </w:rPr>
        <w:t xml:space="preserve">Sala de lo Contencioso Administrativo. </w:t>
      </w:r>
      <w:r w:rsidRPr="00DD4CE3">
        <w:rPr>
          <w:rFonts w:ascii="Verdana" w:eastAsia="Times New Roman" w:hAnsi="Verdana" w:cs="Arial"/>
          <w:sz w:val="16"/>
          <w:szCs w:val="16"/>
          <w:lang w:val="es-CO" w:eastAsia="es-CO"/>
        </w:rPr>
        <w:t>Sección Tercera. Sentencia del 21 de noviembre de 2013. Radicado 25000-23-26-000-1999-01850-01 (25.397). C.P. Carlos Alberto Zambrano Barrera.</w:t>
      </w:r>
    </w:p>
  </w:footnote>
  <w:footnote w:id="17">
    <w:p w14:paraId="3B044682" w14:textId="7C60164D" w:rsidR="00346C69" w:rsidRPr="006E799B" w:rsidRDefault="00346C69" w:rsidP="00346C69">
      <w:pPr>
        <w:spacing w:before="120" w:line="232" w:lineRule="auto"/>
        <w:ind w:left="260" w:right="49" w:firstLine="708"/>
        <w:jc w:val="both"/>
        <w:rPr>
          <w:rFonts w:ascii="Verdana" w:hAnsi="Verdana"/>
          <w:sz w:val="16"/>
          <w:szCs w:val="16"/>
        </w:rPr>
      </w:pPr>
      <w:r w:rsidRPr="006E799B">
        <w:rPr>
          <w:rStyle w:val="Refdenotaalpie"/>
          <w:rFonts w:ascii="Verdana" w:hAnsi="Verdana"/>
          <w:sz w:val="16"/>
          <w:szCs w:val="16"/>
        </w:rPr>
        <w:footnoteRef/>
      </w:r>
      <w:r w:rsidRPr="006E799B">
        <w:rPr>
          <w:rFonts w:ascii="Verdana" w:hAnsi="Verdana"/>
          <w:sz w:val="16"/>
          <w:szCs w:val="16"/>
        </w:rPr>
        <w:t xml:space="preserve"> Consejo de Estado. </w:t>
      </w:r>
      <w:r>
        <w:rPr>
          <w:rFonts w:ascii="Verdana" w:hAnsi="Verdana"/>
          <w:sz w:val="16"/>
          <w:szCs w:val="16"/>
        </w:rPr>
        <w:t xml:space="preserve">Sala de lo Contencioso Administrativo. </w:t>
      </w:r>
      <w:r w:rsidRPr="006E799B">
        <w:rPr>
          <w:rFonts w:ascii="Verdana" w:hAnsi="Verdana"/>
          <w:sz w:val="16"/>
          <w:szCs w:val="16"/>
        </w:rPr>
        <w:t xml:space="preserve">Sección Cuarta. Sentencia del 24 de octubre de 2002. </w:t>
      </w:r>
      <w:proofErr w:type="spellStart"/>
      <w:r w:rsidRPr="006E799B">
        <w:rPr>
          <w:rFonts w:ascii="Verdana" w:hAnsi="Verdana"/>
          <w:sz w:val="16"/>
          <w:szCs w:val="16"/>
        </w:rPr>
        <w:t>Exp</w:t>
      </w:r>
      <w:proofErr w:type="spellEnd"/>
      <w:r w:rsidRPr="006E799B">
        <w:rPr>
          <w:rFonts w:ascii="Verdana" w:hAnsi="Verdana"/>
          <w:sz w:val="16"/>
          <w:szCs w:val="16"/>
        </w:rPr>
        <w:t xml:space="preserve"> 13.408. C.P. Ligia López Díaz.</w:t>
      </w:r>
    </w:p>
  </w:footnote>
  <w:footnote w:id="18">
    <w:p w14:paraId="68072ABD" w14:textId="595CB059" w:rsidR="00097D9F" w:rsidRPr="006E799B" w:rsidRDefault="00097D9F" w:rsidP="00C95595">
      <w:pPr>
        <w:spacing w:before="115"/>
        <w:ind w:right="51" w:firstLine="709"/>
        <w:jc w:val="both"/>
        <w:rPr>
          <w:rFonts w:ascii="Verdana" w:hAnsi="Verdana"/>
          <w:sz w:val="16"/>
          <w:szCs w:val="16"/>
        </w:rPr>
      </w:pPr>
      <w:r w:rsidRPr="006E799B">
        <w:rPr>
          <w:rStyle w:val="Refdenotaalpie"/>
          <w:rFonts w:ascii="Verdana" w:hAnsi="Verdana"/>
          <w:sz w:val="16"/>
          <w:szCs w:val="16"/>
        </w:rPr>
        <w:footnoteRef/>
      </w:r>
      <w:r w:rsidRPr="006E799B">
        <w:rPr>
          <w:rFonts w:ascii="Verdana" w:hAnsi="Verdana"/>
          <w:sz w:val="16"/>
          <w:szCs w:val="16"/>
        </w:rPr>
        <w:t xml:space="preserve"> </w:t>
      </w:r>
      <w:r w:rsidR="00C83285" w:rsidRPr="006E799B">
        <w:rPr>
          <w:rFonts w:ascii="Verdana" w:hAnsi="Verdana"/>
          <w:sz w:val="16"/>
          <w:szCs w:val="16"/>
        </w:rPr>
        <w:t>MARÍN</w:t>
      </w:r>
      <w:r w:rsidR="00C83285" w:rsidRPr="006E799B">
        <w:rPr>
          <w:rFonts w:ascii="Verdana" w:hAnsi="Verdana"/>
          <w:spacing w:val="-7"/>
          <w:sz w:val="16"/>
          <w:szCs w:val="16"/>
        </w:rPr>
        <w:t xml:space="preserve"> </w:t>
      </w:r>
      <w:r w:rsidR="00C83285" w:rsidRPr="006E799B">
        <w:rPr>
          <w:rFonts w:ascii="Verdana" w:hAnsi="Verdana"/>
          <w:sz w:val="16"/>
          <w:szCs w:val="16"/>
        </w:rPr>
        <w:t>CORTÉS,</w:t>
      </w:r>
      <w:r w:rsidR="00C83285" w:rsidRPr="006E799B">
        <w:rPr>
          <w:rFonts w:ascii="Verdana" w:hAnsi="Verdana"/>
          <w:spacing w:val="-8"/>
          <w:sz w:val="16"/>
          <w:szCs w:val="16"/>
        </w:rPr>
        <w:t xml:space="preserve"> </w:t>
      </w:r>
      <w:r w:rsidRPr="006E799B">
        <w:rPr>
          <w:rFonts w:ascii="Verdana" w:hAnsi="Verdana"/>
          <w:sz w:val="16"/>
          <w:szCs w:val="16"/>
        </w:rPr>
        <w:t>Fabián</w:t>
      </w:r>
      <w:r w:rsidRPr="006E799B">
        <w:rPr>
          <w:rFonts w:ascii="Verdana" w:hAnsi="Verdana"/>
          <w:spacing w:val="-8"/>
          <w:sz w:val="16"/>
          <w:szCs w:val="16"/>
        </w:rPr>
        <w:t xml:space="preserve"> </w:t>
      </w:r>
      <w:r w:rsidRPr="006E799B">
        <w:rPr>
          <w:rFonts w:ascii="Verdana" w:hAnsi="Verdana"/>
          <w:sz w:val="16"/>
          <w:szCs w:val="16"/>
        </w:rPr>
        <w:t>G.</w:t>
      </w:r>
      <w:r w:rsidRPr="006E799B">
        <w:rPr>
          <w:rFonts w:ascii="Verdana" w:hAnsi="Verdana"/>
          <w:spacing w:val="-2"/>
          <w:sz w:val="16"/>
          <w:szCs w:val="16"/>
        </w:rPr>
        <w:t xml:space="preserve"> </w:t>
      </w:r>
      <w:r w:rsidRPr="006E799B">
        <w:rPr>
          <w:rFonts w:ascii="Verdana" w:hAnsi="Verdana"/>
          <w:i/>
          <w:sz w:val="16"/>
          <w:szCs w:val="16"/>
        </w:rPr>
        <w:t>El</w:t>
      </w:r>
      <w:r w:rsidRPr="006E799B">
        <w:rPr>
          <w:rFonts w:ascii="Verdana" w:hAnsi="Verdana"/>
          <w:i/>
          <w:spacing w:val="-7"/>
          <w:sz w:val="16"/>
          <w:szCs w:val="16"/>
        </w:rPr>
        <w:t xml:space="preserve"> </w:t>
      </w:r>
      <w:r w:rsidRPr="006E799B">
        <w:rPr>
          <w:rFonts w:ascii="Verdana" w:hAnsi="Verdana"/>
          <w:i/>
          <w:sz w:val="16"/>
          <w:szCs w:val="16"/>
        </w:rPr>
        <w:t>precio</w:t>
      </w:r>
      <w:r w:rsidRPr="006E799B">
        <w:rPr>
          <w:rFonts w:ascii="Verdana" w:hAnsi="Verdana"/>
          <w:sz w:val="16"/>
          <w:szCs w:val="16"/>
        </w:rPr>
        <w:t>.</w:t>
      </w:r>
      <w:r w:rsidRPr="006E799B">
        <w:rPr>
          <w:rFonts w:ascii="Verdana" w:hAnsi="Verdana"/>
          <w:spacing w:val="-8"/>
          <w:sz w:val="16"/>
          <w:szCs w:val="16"/>
        </w:rPr>
        <w:t xml:space="preserve"> </w:t>
      </w:r>
      <w:r w:rsidRPr="006E799B">
        <w:rPr>
          <w:rFonts w:ascii="Verdana" w:hAnsi="Verdana"/>
          <w:sz w:val="16"/>
          <w:szCs w:val="16"/>
        </w:rPr>
        <w:t>Librería</w:t>
      </w:r>
      <w:r w:rsidRPr="006E799B">
        <w:rPr>
          <w:rFonts w:ascii="Verdana" w:hAnsi="Verdana"/>
          <w:spacing w:val="-8"/>
          <w:sz w:val="16"/>
          <w:szCs w:val="16"/>
        </w:rPr>
        <w:t xml:space="preserve"> </w:t>
      </w:r>
      <w:r w:rsidRPr="006E799B">
        <w:rPr>
          <w:rFonts w:ascii="Verdana" w:hAnsi="Verdana"/>
          <w:sz w:val="16"/>
          <w:szCs w:val="16"/>
        </w:rPr>
        <w:t>Jurídica</w:t>
      </w:r>
      <w:r w:rsidRPr="006E799B">
        <w:rPr>
          <w:rFonts w:ascii="Verdana" w:hAnsi="Verdana"/>
          <w:spacing w:val="-8"/>
          <w:sz w:val="16"/>
          <w:szCs w:val="16"/>
        </w:rPr>
        <w:t xml:space="preserve"> </w:t>
      </w:r>
      <w:r w:rsidRPr="006E799B">
        <w:rPr>
          <w:rFonts w:ascii="Verdana" w:hAnsi="Verdana"/>
          <w:sz w:val="16"/>
          <w:szCs w:val="16"/>
        </w:rPr>
        <w:t>Sánchez</w:t>
      </w:r>
      <w:r w:rsidRPr="006E799B">
        <w:rPr>
          <w:rFonts w:ascii="Verdana" w:hAnsi="Verdana"/>
          <w:spacing w:val="-7"/>
          <w:sz w:val="16"/>
          <w:szCs w:val="16"/>
        </w:rPr>
        <w:t xml:space="preserve"> </w:t>
      </w:r>
      <w:r w:rsidRPr="006E799B">
        <w:rPr>
          <w:rFonts w:ascii="Verdana" w:hAnsi="Verdana"/>
          <w:sz w:val="16"/>
          <w:szCs w:val="16"/>
        </w:rPr>
        <w:t>R.</w:t>
      </w:r>
      <w:r w:rsidRPr="006E799B">
        <w:rPr>
          <w:rFonts w:ascii="Verdana" w:hAnsi="Verdana"/>
          <w:spacing w:val="-8"/>
          <w:sz w:val="16"/>
          <w:szCs w:val="16"/>
        </w:rPr>
        <w:t xml:space="preserve"> </w:t>
      </w:r>
      <w:r w:rsidRPr="006E799B">
        <w:rPr>
          <w:rFonts w:ascii="Verdana" w:hAnsi="Verdana"/>
          <w:sz w:val="16"/>
          <w:szCs w:val="16"/>
        </w:rPr>
        <w:t>Ltda.</w:t>
      </w:r>
      <w:r w:rsidRPr="006E799B">
        <w:rPr>
          <w:rFonts w:ascii="Verdana" w:hAnsi="Verdana"/>
          <w:spacing w:val="-8"/>
          <w:sz w:val="16"/>
          <w:szCs w:val="16"/>
        </w:rPr>
        <w:t xml:space="preserve"> </w:t>
      </w:r>
      <w:r w:rsidRPr="006E799B">
        <w:rPr>
          <w:rFonts w:ascii="Verdana" w:hAnsi="Verdana"/>
          <w:sz w:val="16"/>
          <w:szCs w:val="16"/>
        </w:rPr>
        <w:t>Medellín,</w:t>
      </w:r>
      <w:r w:rsidRPr="006E799B">
        <w:rPr>
          <w:rFonts w:ascii="Verdana" w:hAnsi="Verdana"/>
          <w:spacing w:val="-8"/>
          <w:sz w:val="16"/>
          <w:szCs w:val="16"/>
        </w:rPr>
        <w:t xml:space="preserve"> </w:t>
      </w:r>
      <w:r w:rsidRPr="006E799B">
        <w:rPr>
          <w:rFonts w:ascii="Verdana" w:hAnsi="Verdana"/>
          <w:sz w:val="16"/>
          <w:szCs w:val="16"/>
        </w:rPr>
        <w:t>2012,</w:t>
      </w:r>
      <w:r w:rsidRPr="006E799B">
        <w:rPr>
          <w:rFonts w:ascii="Verdana" w:hAnsi="Verdana"/>
          <w:spacing w:val="-7"/>
          <w:sz w:val="16"/>
          <w:szCs w:val="16"/>
        </w:rPr>
        <w:t xml:space="preserve"> </w:t>
      </w:r>
      <w:r w:rsidRPr="006E799B">
        <w:rPr>
          <w:rFonts w:ascii="Verdana" w:hAnsi="Verdana"/>
          <w:sz w:val="16"/>
          <w:szCs w:val="16"/>
        </w:rPr>
        <w:t>p.</w:t>
      </w:r>
      <w:r w:rsidRPr="006E799B">
        <w:rPr>
          <w:rFonts w:ascii="Verdana" w:hAnsi="Verdana"/>
          <w:spacing w:val="-8"/>
          <w:sz w:val="16"/>
          <w:szCs w:val="16"/>
        </w:rPr>
        <w:t xml:space="preserve"> </w:t>
      </w:r>
      <w:r w:rsidRPr="006E799B">
        <w:rPr>
          <w:rFonts w:ascii="Verdana" w:hAnsi="Verdana"/>
          <w:spacing w:val="-5"/>
          <w:sz w:val="16"/>
          <w:szCs w:val="16"/>
        </w:rPr>
        <w:t>60.</w:t>
      </w:r>
    </w:p>
    <w:p w14:paraId="75FF8726" w14:textId="77777777" w:rsidR="00097D9F" w:rsidRPr="006E799B" w:rsidRDefault="00097D9F" w:rsidP="00097D9F">
      <w:pPr>
        <w:pStyle w:val="Textonotapie"/>
        <w:rPr>
          <w:lang w:val="es-ES"/>
        </w:rPr>
      </w:pPr>
    </w:p>
  </w:footnote>
  <w:footnote w:id="19">
    <w:p w14:paraId="2868FE6E" w14:textId="517961C0" w:rsidR="000C25A4" w:rsidRPr="006E799B" w:rsidRDefault="000C25A4" w:rsidP="00D9437F">
      <w:pPr>
        <w:spacing w:before="120" w:line="232" w:lineRule="auto"/>
        <w:ind w:left="260" w:right="49" w:firstLine="708"/>
        <w:jc w:val="both"/>
        <w:rPr>
          <w:rFonts w:ascii="Verdana" w:hAnsi="Verdana"/>
          <w:sz w:val="16"/>
          <w:szCs w:val="16"/>
        </w:rPr>
      </w:pPr>
      <w:r w:rsidRPr="006E799B">
        <w:rPr>
          <w:rStyle w:val="Refdenotaalpie"/>
          <w:rFonts w:ascii="Verdana" w:hAnsi="Verdana"/>
          <w:sz w:val="16"/>
          <w:szCs w:val="16"/>
        </w:rPr>
        <w:footnoteRef/>
      </w:r>
      <w:r w:rsidRPr="006E799B">
        <w:rPr>
          <w:rFonts w:ascii="Verdana" w:hAnsi="Verdana"/>
          <w:sz w:val="16"/>
          <w:szCs w:val="16"/>
        </w:rPr>
        <w:t xml:space="preserve"> Consejo de Estado. </w:t>
      </w:r>
      <w:r w:rsidR="00C83285">
        <w:rPr>
          <w:rFonts w:ascii="Verdana" w:hAnsi="Verdana"/>
          <w:sz w:val="16"/>
          <w:szCs w:val="16"/>
        </w:rPr>
        <w:t xml:space="preserve">Sala de lo Contencioso Administrativo. </w:t>
      </w:r>
      <w:r w:rsidRPr="006E799B">
        <w:rPr>
          <w:rFonts w:ascii="Verdana" w:hAnsi="Verdana"/>
          <w:sz w:val="16"/>
          <w:szCs w:val="16"/>
        </w:rPr>
        <w:t>Sección Tercera. Sentencia del 29 de agosto de 2007. Rad. 1996-00309- 01 (15.324). C.P. Mauricio Fajardo Gómez.</w:t>
      </w:r>
    </w:p>
    <w:p w14:paraId="5EF589BE" w14:textId="77777777" w:rsidR="000C25A4" w:rsidRPr="006E799B" w:rsidRDefault="000C25A4" w:rsidP="000C25A4">
      <w:pPr>
        <w:pStyle w:val="Textonotapie"/>
        <w:ind w:right="1291"/>
        <w:rPr>
          <w:lang w:val="es-ES"/>
        </w:rPr>
      </w:pPr>
    </w:p>
  </w:footnote>
  <w:footnote w:id="20">
    <w:p w14:paraId="56959438" w14:textId="77777777" w:rsidR="00F70969" w:rsidRPr="00774814" w:rsidRDefault="00F70969" w:rsidP="00C95595">
      <w:pPr>
        <w:spacing w:before="115"/>
        <w:ind w:right="51" w:firstLine="709"/>
        <w:jc w:val="both"/>
        <w:rPr>
          <w:rFonts w:ascii="Verdana" w:hAnsi="Verdana"/>
          <w:sz w:val="16"/>
          <w:szCs w:val="16"/>
        </w:rPr>
      </w:pPr>
      <w:r w:rsidRPr="00774814">
        <w:rPr>
          <w:rStyle w:val="Refdenotaalpie"/>
          <w:rFonts w:ascii="Verdana" w:hAnsi="Verdana"/>
          <w:sz w:val="16"/>
          <w:szCs w:val="16"/>
        </w:rPr>
        <w:footnoteRef/>
      </w:r>
      <w:r w:rsidRPr="00774814">
        <w:rPr>
          <w:rFonts w:ascii="Verdana" w:hAnsi="Verdana"/>
          <w:sz w:val="16"/>
          <w:szCs w:val="16"/>
        </w:rPr>
        <w:t xml:space="preserve"> Corte</w:t>
      </w:r>
      <w:r w:rsidRPr="00774814">
        <w:rPr>
          <w:rFonts w:ascii="Verdana" w:hAnsi="Verdana"/>
          <w:spacing w:val="-10"/>
          <w:sz w:val="16"/>
          <w:szCs w:val="16"/>
        </w:rPr>
        <w:t xml:space="preserve"> </w:t>
      </w:r>
      <w:r w:rsidRPr="00774814">
        <w:rPr>
          <w:rFonts w:ascii="Verdana" w:hAnsi="Verdana"/>
          <w:sz w:val="16"/>
          <w:szCs w:val="16"/>
        </w:rPr>
        <w:t>Constitucional.</w:t>
      </w:r>
      <w:r w:rsidRPr="00774814">
        <w:rPr>
          <w:rFonts w:ascii="Verdana" w:hAnsi="Verdana"/>
          <w:spacing w:val="-9"/>
          <w:sz w:val="16"/>
          <w:szCs w:val="16"/>
        </w:rPr>
        <w:t xml:space="preserve"> </w:t>
      </w:r>
      <w:r w:rsidRPr="00774814">
        <w:rPr>
          <w:rFonts w:ascii="Verdana" w:hAnsi="Verdana"/>
          <w:sz w:val="16"/>
          <w:szCs w:val="16"/>
        </w:rPr>
        <w:t>Sentencia</w:t>
      </w:r>
      <w:r w:rsidRPr="00774814">
        <w:rPr>
          <w:rFonts w:ascii="Verdana" w:hAnsi="Verdana"/>
          <w:spacing w:val="-10"/>
          <w:sz w:val="16"/>
          <w:szCs w:val="16"/>
        </w:rPr>
        <w:t xml:space="preserve"> </w:t>
      </w:r>
      <w:r w:rsidRPr="00774814">
        <w:rPr>
          <w:rFonts w:ascii="Verdana" w:hAnsi="Verdana"/>
          <w:sz w:val="16"/>
          <w:szCs w:val="16"/>
        </w:rPr>
        <w:t>C-862</w:t>
      </w:r>
      <w:r w:rsidRPr="00774814">
        <w:rPr>
          <w:rFonts w:ascii="Verdana" w:hAnsi="Verdana"/>
          <w:spacing w:val="-10"/>
          <w:sz w:val="16"/>
          <w:szCs w:val="16"/>
        </w:rPr>
        <w:t xml:space="preserve"> </w:t>
      </w:r>
      <w:r w:rsidRPr="00774814">
        <w:rPr>
          <w:rFonts w:ascii="Verdana" w:hAnsi="Verdana"/>
          <w:sz w:val="16"/>
          <w:szCs w:val="16"/>
        </w:rPr>
        <w:t>de</w:t>
      </w:r>
      <w:r w:rsidRPr="00774814">
        <w:rPr>
          <w:rFonts w:ascii="Verdana" w:hAnsi="Verdana"/>
          <w:spacing w:val="-10"/>
          <w:sz w:val="16"/>
          <w:szCs w:val="16"/>
        </w:rPr>
        <w:t xml:space="preserve"> </w:t>
      </w:r>
      <w:r w:rsidRPr="00774814">
        <w:rPr>
          <w:rFonts w:ascii="Verdana" w:hAnsi="Verdana"/>
          <w:sz w:val="16"/>
          <w:szCs w:val="16"/>
        </w:rPr>
        <w:t>2008.</w:t>
      </w:r>
      <w:r w:rsidRPr="00774814">
        <w:rPr>
          <w:rFonts w:ascii="Verdana" w:hAnsi="Verdana"/>
          <w:spacing w:val="-10"/>
          <w:sz w:val="16"/>
          <w:szCs w:val="16"/>
        </w:rPr>
        <w:t xml:space="preserve"> </w:t>
      </w:r>
      <w:r w:rsidRPr="00774814">
        <w:rPr>
          <w:rFonts w:ascii="Verdana" w:hAnsi="Verdana"/>
          <w:sz w:val="16"/>
          <w:szCs w:val="16"/>
        </w:rPr>
        <w:t>M.P.</w:t>
      </w:r>
      <w:r w:rsidRPr="00774814">
        <w:rPr>
          <w:rFonts w:ascii="Verdana" w:hAnsi="Verdana"/>
          <w:spacing w:val="-10"/>
          <w:sz w:val="16"/>
          <w:szCs w:val="16"/>
        </w:rPr>
        <w:t xml:space="preserve"> </w:t>
      </w:r>
      <w:r w:rsidRPr="00774814">
        <w:rPr>
          <w:rFonts w:ascii="Verdana" w:hAnsi="Verdana"/>
          <w:sz w:val="16"/>
          <w:szCs w:val="16"/>
        </w:rPr>
        <w:t>Marco</w:t>
      </w:r>
      <w:r w:rsidRPr="00774814">
        <w:rPr>
          <w:rFonts w:ascii="Verdana" w:hAnsi="Verdana"/>
          <w:spacing w:val="-10"/>
          <w:sz w:val="16"/>
          <w:szCs w:val="16"/>
        </w:rPr>
        <w:t xml:space="preserve"> </w:t>
      </w:r>
      <w:r w:rsidRPr="00774814">
        <w:rPr>
          <w:rFonts w:ascii="Verdana" w:hAnsi="Verdana"/>
          <w:sz w:val="16"/>
          <w:szCs w:val="16"/>
        </w:rPr>
        <w:t>Gerardo</w:t>
      </w:r>
      <w:r w:rsidRPr="00774814">
        <w:rPr>
          <w:rFonts w:ascii="Verdana" w:hAnsi="Verdana"/>
          <w:spacing w:val="-9"/>
          <w:sz w:val="16"/>
          <w:szCs w:val="16"/>
        </w:rPr>
        <w:t xml:space="preserve"> </w:t>
      </w:r>
      <w:r w:rsidRPr="00774814">
        <w:rPr>
          <w:rFonts w:ascii="Verdana" w:hAnsi="Verdana"/>
          <w:sz w:val="16"/>
          <w:szCs w:val="16"/>
        </w:rPr>
        <w:t>Monroy</w:t>
      </w:r>
      <w:r w:rsidRPr="00774814">
        <w:rPr>
          <w:rFonts w:ascii="Verdana" w:hAnsi="Verdana"/>
          <w:spacing w:val="-10"/>
          <w:sz w:val="16"/>
          <w:szCs w:val="16"/>
        </w:rPr>
        <w:t xml:space="preserve"> </w:t>
      </w:r>
      <w:r w:rsidRPr="00774814">
        <w:rPr>
          <w:rFonts w:ascii="Verdana" w:hAnsi="Verdana"/>
          <w:spacing w:val="-2"/>
          <w:sz w:val="16"/>
          <w:szCs w:val="16"/>
        </w:rPr>
        <w:t>Cabra.</w:t>
      </w:r>
    </w:p>
    <w:p w14:paraId="43640495" w14:textId="77777777" w:rsidR="00F70969" w:rsidRPr="00774814" w:rsidRDefault="00F70969" w:rsidP="00F70969">
      <w:pPr>
        <w:pStyle w:val="Textonotapie"/>
        <w:rPr>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DED7A7F"/>
    <w:multiLevelType w:val="hybridMultilevel"/>
    <w:tmpl w:val="6C64A8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3850961"/>
    <w:multiLevelType w:val="hybridMultilevel"/>
    <w:tmpl w:val="A8E25D32"/>
    <w:lvl w:ilvl="0" w:tplc="FE92E19C">
      <w:start w:val="5"/>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5" w15:restartNumberingAfterBreak="0">
    <w:nsid w:val="172D5458"/>
    <w:multiLevelType w:val="hybridMultilevel"/>
    <w:tmpl w:val="220469D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47704AE8"/>
    <w:multiLevelType w:val="hybridMultilevel"/>
    <w:tmpl w:val="EA9885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9"/>
  </w:num>
  <w:num w:numId="2" w16cid:durableId="19822139">
    <w:abstractNumId w:val="2"/>
  </w:num>
  <w:num w:numId="3" w16cid:durableId="876742304">
    <w:abstractNumId w:val="7"/>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8"/>
  </w:num>
  <w:num w:numId="7" w16cid:durableId="1946422806">
    <w:abstractNumId w:val="8"/>
  </w:num>
  <w:num w:numId="8" w16cid:durableId="152644682">
    <w:abstractNumId w:val="17"/>
  </w:num>
  <w:num w:numId="9" w16cid:durableId="1317221377">
    <w:abstractNumId w:val="10"/>
  </w:num>
  <w:num w:numId="10" w16cid:durableId="1471245386">
    <w:abstractNumId w:val="16"/>
  </w:num>
  <w:num w:numId="11" w16cid:durableId="289172385">
    <w:abstractNumId w:val="11"/>
  </w:num>
  <w:num w:numId="12" w16cid:durableId="1470781324">
    <w:abstractNumId w:val="1"/>
  </w:num>
  <w:num w:numId="13" w16cid:durableId="1512908409">
    <w:abstractNumId w:val="6"/>
  </w:num>
  <w:num w:numId="14" w16cid:durableId="895897244">
    <w:abstractNumId w:val="19"/>
  </w:num>
  <w:num w:numId="15" w16cid:durableId="390349800">
    <w:abstractNumId w:val="15"/>
  </w:num>
  <w:num w:numId="16" w16cid:durableId="341274352">
    <w:abstractNumId w:val="0"/>
  </w:num>
  <w:num w:numId="17" w16cid:durableId="1542086715">
    <w:abstractNumId w:val="12"/>
  </w:num>
  <w:num w:numId="18" w16cid:durableId="1723482334">
    <w:abstractNumId w:val="14"/>
  </w:num>
  <w:num w:numId="19" w16cid:durableId="1044058059">
    <w:abstractNumId w:val="4"/>
  </w:num>
  <w:num w:numId="20" w16cid:durableId="1991859341">
    <w:abstractNumId w:val="13"/>
  </w:num>
  <w:num w:numId="21" w16cid:durableId="1092819909">
    <w:abstractNumId w:val="3"/>
  </w:num>
  <w:num w:numId="22" w16cid:durableId="12945603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6B9"/>
    <w:rsid w:val="000079FA"/>
    <w:rsid w:val="00016F78"/>
    <w:rsid w:val="000322C5"/>
    <w:rsid w:val="00046945"/>
    <w:rsid w:val="000506A5"/>
    <w:rsid w:val="000516DE"/>
    <w:rsid w:val="000618E6"/>
    <w:rsid w:val="00061B2A"/>
    <w:rsid w:val="00071E18"/>
    <w:rsid w:val="00072976"/>
    <w:rsid w:val="00082362"/>
    <w:rsid w:val="00097D9F"/>
    <w:rsid w:val="000A4818"/>
    <w:rsid w:val="000A683E"/>
    <w:rsid w:val="000B19B9"/>
    <w:rsid w:val="000C03E3"/>
    <w:rsid w:val="000C25A4"/>
    <w:rsid w:val="000D0334"/>
    <w:rsid w:val="000D3E25"/>
    <w:rsid w:val="000D5DA7"/>
    <w:rsid w:val="000F6486"/>
    <w:rsid w:val="000F69A2"/>
    <w:rsid w:val="00116940"/>
    <w:rsid w:val="00125105"/>
    <w:rsid w:val="0012522B"/>
    <w:rsid w:val="00127233"/>
    <w:rsid w:val="001418DF"/>
    <w:rsid w:val="0015699B"/>
    <w:rsid w:val="0015796A"/>
    <w:rsid w:val="001A33BF"/>
    <w:rsid w:val="001C6B29"/>
    <w:rsid w:val="001D1EE8"/>
    <w:rsid w:val="001E4177"/>
    <w:rsid w:val="001F0B24"/>
    <w:rsid w:val="001F7DC6"/>
    <w:rsid w:val="0022400B"/>
    <w:rsid w:val="002421BB"/>
    <w:rsid w:val="00245925"/>
    <w:rsid w:val="0025796E"/>
    <w:rsid w:val="00257D6B"/>
    <w:rsid w:val="002707A2"/>
    <w:rsid w:val="002951A0"/>
    <w:rsid w:val="0029585C"/>
    <w:rsid w:val="002962BC"/>
    <w:rsid w:val="002A0642"/>
    <w:rsid w:val="002A093D"/>
    <w:rsid w:val="002A0DD0"/>
    <w:rsid w:val="002A49AC"/>
    <w:rsid w:val="002A64FD"/>
    <w:rsid w:val="002C51DE"/>
    <w:rsid w:val="002C7A84"/>
    <w:rsid w:val="002E2BF8"/>
    <w:rsid w:val="002E4FD9"/>
    <w:rsid w:val="002F2C75"/>
    <w:rsid w:val="0030657A"/>
    <w:rsid w:val="00317AA9"/>
    <w:rsid w:val="00322A85"/>
    <w:rsid w:val="00324168"/>
    <w:rsid w:val="00330834"/>
    <w:rsid w:val="003448F4"/>
    <w:rsid w:val="00345387"/>
    <w:rsid w:val="00346C69"/>
    <w:rsid w:val="0035721D"/>
    <w:rsid w:val="00367720"/>
    <w:rsid w:val="00374F5E"/>
    <w:rsid w:val="00377E3E"/>
    <w:rsid w:val="0039373C"/>
    <w:rsid w:val="003968C2"/>
    <w:rsid w:val="003A779E"/>
    <w:rsid w:val="003B4F3B"/>
    <w:rsid w:val="003B59B5"/>
    <w:rsid w:val="003D0F4D"/>
    <w:rsid w:val="003D5B0D"/>
    <w:rsid w:val="003D7FB0"/>
    <w:rsid w:val="003E0051"/>
    <w:rsid w:val="003E00A0"/>
    <w:rsid w:val="003E0499"/>
    <w:rsid w:val="003E4F80"/>
    <w:rsid w:val="003E6439"/>
    <w:rsid w:val="003E7EA8"/>
    <w:rsid w:val="003F3941"/>
    <w:rsid w:val="00406575"/>
    <w:rsid w:val="00414C74"/>
    <w:rsid w:val="0042722E"/>
    <w:rsid w:val="00432EA2"/>
    <w:rsid w:val="00435F44"/>
    <w:rsid w:val="0044528D"/>
    <w:rsid w:val="0046293A"/>
    <w:rsid w:val="00466E39"/>
    <w:rsid w:val="00473608"/>
    <w:rsid w:val="004822FC"/>
    <w:rsid w:val="0049663C"/>
    <w:rsid w:val="004A1847"/>
    <w:rsid w:val="004A305D"/>
    <w:rsid w:val="004F21C4"/>
    <w:rsid w:val="004F685F"/>
    <w:rsid w:val="00505C0E"/>
    <w:rsid w:val="00543A04"/>
    <w:rsid w:val="005566E8"/>
    <w:rsid w:val="00567342"/>
    <w:rsid w:val="0056795F"/>
    <w:rsid w:val="00571C93"/>
    <w:rsid w:val="00574867"/>
    <w:rsid w:val="005748B0"/>
    <w:rsid w:val="00584778"/>
    <w:rsid w:val="00591460"/>
    <w:rsid w:val="005A5A0D"/>
    <w:rsid w:val="005A65E0"/>
    <w:rsid w:val="005C3777"/>
    <w:rsid w:val="005C5CDC"/>
    <w:rsid w:val="005C7014"/>
    <w:rsid w:val="005D476C"/>
    <w:rsid w:val="005E0451"/>
    <w:rsid w:val="005E72B4"/>
    <w:rsid w:val="005E7F84"/>
    <w:rsid w:val="005F533B"/>
    <w:rsid w:val="006200BF"/>
    <w:rsid w:val="006219F8"/>
    <w:rsid w:val="006302F7"/>
    <w:rsid w:val="00631265"/>
    <w:rsid w:val="00646B9F"/>
    <w:rsid w:val="006515A6"/>
    <w:rsid w:val="00656CFA"/>
    <w:rsid w:val="00665D70"/>
    <w:rsid w:val="006900D9"/>
    <w:rsid w:val="00697ECC"/>
    <w:rsid w:val="006E72DD"/>
    <w:rsid w:val="007041A5"/>
    <w:rsid w:val="00706C16"/>
    <w:rsid w:val="00714CD0"/>
    <w:rsid w:val="007340C3"/>
    <w:rsid w:val="0075235A"/>
    <w:rsid w:val="00756841"/>
    <w:rsid w:val="007622B1"/>
    <w:rsid w:val="007649AB"/>
    <w:rsid w:val="00771D0C"/>
    <w:rsid w:val="007833AC"/>
    <w:rsid w:val="0079177E"/>
    <w:rsid w:val="007B268C"/>
    <w:rsid w:val="007B5EE2"/>
    <w:rsid w:val="007B7171"/>
    <w:rsid w:val="007C0C0F"/>
    <w:rsid w:val="007C0E37"/>
    <w:rsid w:val="007C3DC2"/>
    <w:rsid w:val="007E5497"/>
    <w:rsid w:val="00806F5F"/>
    <w:rsid w:val="00820278"/>
    <w:rsid w:val="008258C9"/>
    <w:rsid w:val="00844AE9"/>
    <w:rsid w:val="00867F95"/>
    <w:rsid w:val="008763E4"/>
    <w:rsid w:val="008816C0"/>
    <w:rsid w:val="008843B6"/>
    <w:rsid w:val="00890741"/>
    <w:rsid w:val="00891928"/>
    <w:rsid w:val="008A2D28"/>
    <w:rsid w:val="008A446D"/>
    <w:rsid w:val="008B25F1"/>
    <w:rsid w:val="008D180B"/>
    <w:rsid w:val="008F0EA7"/>
    <w:rsid w:val="00923EEF"/>
    <w:rsid w:val="00933558"/>
    <w:rsid w:val="009419F9"/>
    <w:rsid w:val="0094320B"/>
    <w:rsid w:val="0095685E"/>
    <w:rsid w:val="00961B09"/>
    <w:rsid w:val="00965334"/>
    <w:rsid w:val="0097093E"/>
    <w:rsid w:val="009811C3"/>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72147"/>
    <w:rsid w:val="00A74316"/>
    <w:rsid w:val="00AB0ADB"/>
    <w:rsid w:val="00AC25CB"/>
    <w:rsid w:val="00AD54B8"/>
    <w:rsid w:val="00AF5564"/>
    <w:rsid w:val="00B00C0E"/>
    <w:rsid w:val="00B01B1A"/>
    <w:rsid w:val="00B02C86"/>
    <w:rsid w:val="00B0381D"/>
    <w:rsid w:val="00B17B76"/>
    <w:rsid w:val="00B3578B"/>
    <w:rsid w:val="00B4363E"/>
    <w:rsid w:val="00B436AB"/>
    <w:rsid w:val="00B44A47"/>
    <w:rsid w:val="00B6760A"/>
    <w:rsid w:val="00B704F5"/>
    <w:rsid w:val="00B72CD3"/>
    <w:rsid w:val="00B72FFF"/>
    <w:rsid w:val="00B83250"/>
    <w:rsid w:val="00BC3D36"/>
    <w:rsid w:val="00BC405E"/>
    <w:rsid w:val="00BD33DE"/>
    <w:rsid w:val="00BD54A6"/>
    <w:rsid w:val="00BD7F72"/>
    <w:rsid w:val="00BF7425"/>
    <w:rsid w:val="00C04FB3"/>
    <w:rsid w:val="00C11D8B"/>
    <w:rsid w:val="00C12320"/>
    <w:rsid w:val="00C15139"/>
    <w:rsid w:val="00C24473"/>
    <w:rsid w:val="00C330EB"/>
    <w:rsid w:val="00C50D69"/>
    <w:rsid w:val="00C5365C"/>
    <w:rsid w:val="00C550AA"/>
    <w:rsid w:val="00C754BE"/>
    <w:rsid w:val="00C76B1C"/>
    <w:rsid w:val="00C82828"/>
    <w:rsid w:val="00C83285"/>
    <w:rsid w:val="00C83E8D"/>
    <w:rsid w:val="00C87A69"/>
    <w:rsid w:val="00C925AC"/>
    <w:rsid w:val="00C95595"/>
    <w:rsid w:val="00CA742D"/>
    <w:rsid w:val="00CB6357"/>
    <w:rsid w:val="00CB7837"/>
    <w:rsid w:val="00CC1B26"/>
    <w:rsid w:val="00CE011F"/>
    <w:rsid w:val="00CF1418"/>
    <w:rsid w:val="00D045F4"/>
    <w:rsid w:val="00D17C05"/>
    <w:rsid w:val="00D361FD"/>
    <w:rsid w:val="00D423A2"/>
    <w:rsid w:val="00D44E26"/>
    <w:rsid w:val="00D520D8"/>
    <w:rsid w:val="00D63AC2"/>
    <w:rsid w:val="00D7383B"/>
    <w:rsid w:val="00D7788A"/>
    <w:rsid w:val="00D9437F"/>
    <w:rsid w:val="00DA231B"/>
    <w:rsid w:val="00DC1E49"/>
    <w:rsid w:val="00DC39FC"/>
    <w:rsid w:val="00DE0C68"/>
    <w:rsid w:val="00DF5254"/>
    <w:rsid w:val="00E02524"/>
    <w:rsid w:val="00E16408"/>
    <w:rsid w:val="00E173E1"/>
    <w:rsid w:val="00E20894"/>
    <w:rsid w:val="00E245AB"/>
    <w:rsid w:val="00E2764C"/>
    <w:rsid w:val="00E27F2E"/>
    <w:rsid w:val="00E30CD8"/>
    <w:rsid w:val="00E3676F"/>
    <w:rsid w:val="00E3724F"/>
    <w:rsid w:val="00E40EC3"/>
    <w:rsid w:val="00E41D30"/>
    <w:rsid w:val="00E50AFE"/>
    <w:rsid w:val="00E53145"/>
    <w:rsid w:val="00E73656"/>
    <w:rsid w:val="00E75C92"/>
    <w:rsid w:val="00E771DC"/>
    <w:rsid w:val="00E8772A"/>
    <w:rsid w:val="00E90F6B"/>
    <w:rsid w:val="00E92C27"/>
    <w:rsid w:val="00EA0E3D"/>
    <w:rsid w:val="00EC38A7"/>
    <w:rsid w:val="00ED0E0A"/>
    <w:rsid w:val="00EE1AA8"/>
    <w:rsid w:val="00EE5E34"/>
    <w:rsid w:val="00F23FEA"/>
    <w:rsid w:val="00F31EDC"/>
    <w:rsid w:val="00F44DF6"/>
    <w:rsid w:val="00F457C2"/>
    <w:rsid w:val="00F462B3"/>
    <w:rsid w:val="00F5664F"/>
    <w:rsid w:val="00F60181"/>
    <w:rsid w:val="00F666C4"/>
    <w:rsid w:val="00F70969"/>
    <w:rsid w:val="00F76AFC"/>
    <w:rsid w:val="00F8475E"/>
    <w:rsid w:val="00FA47C0"/>
    <w:rsid w:val="00FB5DD1"/>
    <w:rsid w:val="00FB7850"/>
    <w:rsid w:val="00FC2B5D"/>
    <w:rsid w:val="00FC3F32"/>
    <w:rsid w:val="00FD49A2"/>
    <w:rsid w:val="00FE6BCF"/>
    <w:rsid w:val="00FF1449"/>
    <w:rsid w:val="00FF429D"/>
    <w:rsid w:val="00FF6F71"/>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811C3"/>
    <w:rPr>
      <w:rFonts w:ascii="Geomanist Light" w:hAnsi="Geomanist Light"/>
      <w:lang w:val="es-ES"/>
    </w:rPr>
  </w:style>
  <w:style w:type="paragraph" w:customStyle="1" w:styleId="Appelnotedebasde">
    <w:name w:val="Appel note de bas de..."/>
    <w:basedOn w:val="Normal"/>
    <w:link w:val="Refdenotaalpie"/>
    <w:uiPriority w:val="99"/>
    <w:rsid w:val="005748B0"/>
    <w:pPr>
      <w:spacing w:line="240" w:lineRule="exact"/>
    </w:pPr>
    <w:rPr>
      <w:vertAlign w:val="superscript"/>
    </w:rPr>
  </w:style>
  <w:style w:type="paragraph" w:styleId="Textoindependiente">
    <w:name w:val="Body Text"/>
    <w:basedOn w:val="Normal"/>
    <w:link w:val="TextoindependienteCar"/>
    <w:uiPriority w:val="1"/>
    <w:qFormat/>
    <w:rsid w:val="00543A0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543A04"/>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wp-content/uploads/2024/08/cce-eicp-ma-04._manual_requisitos_habilitantes_v3_29-09-2023.pdf" TargetMode="External"/><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www.colombiacompra.gov.co/wp-content/uploads/2024/08/circular_externa_unica_version_3_vf49.pdf" TargetMode="External"/><Relationship Id="rId17" Type="http://schemas.openxmlformats.org/officeDocument/2006/relationships/hyperlink" Target="https://www.colombiacompra.gov.co/normativa-y-relatoria/documentos-tipo" TargetMode="Externa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struyendo.sinergia.sas@gmail.com"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poxta2.colombiacompra.gov.co/sites/docs/_layouts/15/listform.aspx?PageType=6&amp;ListId=%7b41406f67-8aaf-444a-8f23-f6b9ad006b34%7d&amp;ID=91046"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4/08/cce-eicp-ma-04._manual_requisitos_habilitantes_v3_29-09-2023.pdf" TargetMode="External"/><Relationship Id="rId2" Type="http://schemas.openxmlformats.org/officeDocument/2006/relationships/hyperlink" Target="http://www.lexbase.biz/lexbase/normas/leyes/2007/L1150de2007.htm" TargetMode="External"/><Relationship Id="rId1" Type="http://schemas.openxmlformats.org/officeDocument/2006/relationships/hyperlink" Target="https://www.colombiacompra.gov.co/wp-content/uploads/2024/08/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377BFFA-CDD6-44AF-A7D9-0CB72C27B5C3}"/>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21</TotalTime>
  <Pages>32</Pages>
  <Words>10922</Words>
  <Characters>60073</Characters>
  <Application>Microsoft Office Word</Application>
  <DocSecurity>0</DocSecurity>
  <Lines>500</Lines>
  <Paragraphs>141</Paragraphs>
  <ScaleCrop>false</ScaleCrop>
  <HeadingPairs>
    <vt:vector size="4" baseType="variant">
      <vt:variant>
        <vt:lpstr>Título</vt:lpstr>
      </vt:variant>
      <vt:variant>
        <vt:i4>1</vt:i4>
      </vt:variant>
      <vt:variant>
        <vt:lpstr>Títulos</vt:lpstr>
      </vt:variant>
      <vt:variant>
        <vt:i4>1</vt:i4>
      </vt:variant>
    </vt:vector>
  </HeadingPairs>
  <TitlesOfParts>
    <vt:vector size="2" baseType="lpstr">
      <vt:lpstr/>
      <vt:lpstr>3. Razones de la respuesta:</vt:lpstr>
    </vt:vector>
  </TitlesOfParts>
  <Company/>
  <LinksUpToDate>false</LinksUpToDate>
  <CharactersWithSpaces>70854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3</cp:revision>
  <cp:lastPrinted>2023-01-10T21:18:00Z</cp:lastPrinted>
  <dcterms:created xsi:type="dcterms:W3CDTF">2026-05-08T20:04:00Z</dcterms:created>
  <dcterms:modified xsi:type="dcterms:W3CDTF">2026-05-09T12:18:00Z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