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9456E7" w14:textId="77777777" w:rsidR="002859E5" w:rsidRPr="0003247F" w:rsidRDefault="002859E5" w:rsidP="002859E5">
      <w:pPr>
        <w:spacing w:after="0" w:line="240" w:lineRule="auto"/>
        <w:jc w:val="both"/>
        <w:rPr>
          <w:rFonts w:ascii="Verdana" w:eastAsia="Calibri" w:hAnsi="Verdana" w:cs="Arial"/>
          <w:sz w:val="20"/>
          <w:szCs w:val="20"/>
          <w:lang w:val="es-ES_tradnl" w:eastAsia="es-ES"/>
        </w:rPr>
      </w:pPr>
    </w:p>
    <w:p w14:paraId="45D6B6CE" w14:textId="77777777" w:rsidR="002859E5" w:rsidRPr="0003247F" w:rsidRDefault="002859E5" w:rsidP="002859E5">
      <w:pPr>
        <w:spacing w:after="0" w:line="240" w:lineRule="auto"/>
        <w:jc w:val="both"/>
        <w:rPr>
          <w:rFonts w:ascii="Verdana" w:eastAsia="Calibri" w:hAnsi="Verdana" w:cs="Arial"/>
          <w:b/>
          <w:bCs/>
          <w:color w:val="000000" w:themeColor="text1"/>
          <w:lang w:val="es-ES"/>
        </w:rPr>
      </w:pPr>
      <w:r w:rsidRPr="0003247F">
        <w:rPr>
          <w:rFonts w:ascii="Verdana" w:eastAsia="Calibri" w:hAnsi="Verdana" w:cs="Arial"/>
          <w:b/>
          <w:bCs/>
          <w:color w:val="000000" w:themeColor="text1"/>
          <w:lang w:val="es-ES"/>
        </w:rPr>
        <w:t xml:space="preserve">BIENES Y SERVICIOS </w:t>
      </w:r>
      <w:r w:rsidRPr="0003247F">
        <w:rPr>
          <w:rFonts w:ascii="Verdana" w:eastAsia="Arial" w:hAnsi="Verdana" w:cs="Arial"/>
          <w:b/>
          <w:bCs/>
        </w:rPr>
        <w:t>–</w:t>
      </w:r>
      <w:r w:rsidRPr="0003247F">
        <w:rPr>
          <w:rFonts w:ascii="Verdana" w:eastAsia="Calibri" w:hAnsi="Verdana" w:cs="Arial"/>
          <w:b/>
          <w:bCs/>
          <w:color w:val="000000" w:themeColor="text1"/>
          <w:lang w:val="es-ES"/>
        </w:rPr>
        <w:t xml:space="preserve"> Defensa y seguridad nacional </w:t>
      </w:r>
      <w:r w:rsidRPr="0003247F">
        <w:rPr>
          <w:rFonts w:ascii="Verdana" w:eastAsia="Arial" w:hAnsi="Verdana" w:cs="Arial"/>
          <w:b/>
          <w:bCs/>
        </w:rPr>
        <w:t>–</w:t>
      </w:r>
      <w:r w:rsidRPr="0003247F">
        <w:rPr>
          <w:rFonts w:ascii="Verdana" w:eastAsia="Calibri" w:hAnsi="Verdana" w:cs="Arial"/>
          <w:b/>
          <w:bCs/>
          <w:color w:val="000000" w:themeColor="text1"/>
          <w:lang w:val="es-ES"/>
        </w:rPr>
        <w:t xml:space="preserve"> Adquisición </w:t>
      </w:r>
      <w:r w:rsidRPr="0003247F">
        <w:rPr>
          <w:rFonts w:ascii="Verdana" w:eastAsia="Arial" w:hAnsi="Verdana" w:cs="Arial"/>
          <w:b/>
          <w:bCs/>
        </w:rPr>
        <w:t>–</w:t>
      </w:r>
      <w:r w:rsidRPr="0003247F">
        <w:rPr>
          <w:rFonts w:ascii="Verdana" w:eastAsia="Calibri" w:hAnsi="Verdana" w:cs="Arial"/>
          <w:b/>
          <w:bCs/>
          <w:color w:val="000000" w:themeColor="text1"/>
          <w:lang w:val="es-ES"/>
        </w:rPr>
        <w:t xml:space="preserve"> Ley 1089 de 2006</w:t>
      </w:r>
    </w:p>
    <w:p w14:paraId="592FE356" w14:textId="77777777" w:rsidR="002859E5" w:rsidRPr="0003247F" w:rsidRDefault="002859E5" w:rsidP="002859E5">
      <w:pPr>
        <w:spacing w:after="0" w:line="240" w:lineRule="auto"/>
        <w:jc w:val="both"/>
        <w:rPr>
          <w:rFonts w:ascii="Verdana" w:hAnsi="Verdana" w:cs="Arial"/>
          <w:color w:val="000000" w:themeColor="text1"/>
          <w:sz w:val="20"/>
          <w:szCs w:val="20"/>
          <w:lang w:val="es-ES_tradnl"/>
        </w:rPr>
      </w:pPr>
    </w:p>
    <w:p w14:paraId="1D3146AA" w14:textId="77777777" w:rsidR="002859E5" w:rsidRPr="0003247F" w:rsidRDefault="002859E5" w:rsidP="002859E5">
      <w:pPr>
        <w:spacing w:after="0" w:line="240" w:lineRule="auto"/>
        <w:jc w:val="both"/>
        <w:rPr>
          <w:rFonts w:ascii="Verdana" w:hAnsi="Verdana" w:cs="Arial"/>
          <w:color w:val="000000" w:themeColor="text1"/>
          <w:sz w:val="20"/>
          <w:szCs w:val="20"/>
          <w:lang w:val="es-ES_tradnl"/>
        </w:rPr>
      </w:pPr>
      <w:r w:rsidRPr="0003247F">
        <w:rPr>
          <w:rFonts w:ascii="Verdana" w:hAnsi="Verdana" w:cs="Arial"/>
          <w:color w:val="000000" w:themeColor="text1"/>
          <w:sz w:val="20"/>
          <w:szCs w:val="20"/>
          <w:lang w:val="es-ES_tradnl"/>
        </w:rPr>
        <w:t xml:space="preserve">La adquisición de bienes o servicios requeridos para la actividad de defensa y seguridad nacional, en la redacción original de la Ley 80 de 1993, se consideró una causal de contratación directa. En este contexto, en el que, como acaba de indicarse, la contratación directa era la modalidad de selección del proveedor de tales bienes o servicios, se expidió la Ley 1089 de 2006, </w:t>
      </w:r>
      <w:r>
        <w:rPr>
          <w:rFonts w:ascii="Verdana" w:hAnsi="Verdana" w:cs="Arial"/>
          <w:color w:val="000000" w:themeColor="text1"/>
          <w:sz w:val="20"/>
          <w:szCs w:val="20"/>
          <w:lang w:val="es-ES_tradnl"/>
        </w:rPr>
        <w:t>“</w:t>
      </w:r>
      <w:r w:rsidRPr="0003247F">
        <w:rPr>
          <w:rFonts w:ascii="Verdana" w:hAnsi="Verdana" w:cs="Arial"/>
          <w:color w:val="000000" w:themeColor="text1"/>
          <w:sz w:val="20"/>
          <w:szCs w:val="20"/>
          <w:lang w:val="es-ES_tradnl"/>
        </w:rPr>
        <w:t>Por medio de la cual se regula la adquisición de bienes y servicios destinados a la defensa y seguridad nacional</w:t>
      </w:r>
      <w:r>
        <w:rPr>
          <w:rFonts w:ascii="Verdana" w:hAnsi="Verdana" w:cs="Arial"/>
          <w:color w:val="000000" w:themeColor="text1"/>
          <w:sz w:val="20"/>
          <w:szCs w:val="20"/>
          <w:lang w:val="es-ES_tradnl"/>
        </w:rPr>
        <w:t>”</w:t>
      </w:r>
      <w:r w:rsidRPr="0003247F">
        <w:rPr>
          <w:rFonts w:ascii="Verdana" w:hAnsi="Verdana" w:cs="Arial"/>
          <w:color w:val="000000" w:themeColor="text1"/>
          <w:sz w:val="20"/>
          <w:szCs w:val="20"/>
          <w:lang w:val="es-ES_tradnl"/>
        </w:rPr>
        <w:t>. Esta Ley benefició a la industria nacional, otorgándole exclusividad relativa en la adquisición de tales bienes, pero con algunas excepciones, […].</w:t>
      </w:r>
    </w:p>
    <w:p w14:paraId="0670BB3B" w14:textId="77777777" w:rsidR="002859E5" w:rsidRPr="0003247F" w:rsidRDefault="002859E5" w:rsidP="002859E5">
      <w:pPr>
        <w:spacing w:after="0" w:line="240" w:lineRule="auto"/>
        <w:jc w:val="both"/>
        <w:rPr>
          <w:rFonts w:ascii="Verdana" w:hAnsi="Verdana" w:cs="Arial"/>
          <w:color w:val="000000" w:themeColor="text1"/>
          <w:sz w:val="20"/>
          <w:szCs w:val="20"/>
          <w:lang w:val="es-ES_tradnl"/>
        </w:rPr>
      </w:pPr>
    </w:p>
    <w:p w14:paraId="2DCB873F" w14:textId="77777777" w:rsidR="002859E5" w:rsidRPr="0003247F" w:rsidRDefault="002859E5" w:rsidP="002859E5">
      <w:pPr>
        <w:spacing w:after="0" w:line="240" w:lineRule="auto"/>
        <w:jc w:val="both"/>
        <w:rPr>
          <w:rFonts w:ascii="Verdana" w:hAnsi="Verdana" w:cs="Arial"/>
          <w:color w:val="000000" w:themeColor="text1"/>
          <w:sz w:val="20"/>
          <w:szCs w:val="20"/>
          <w:lang w:val="es-ES_tradnl"/>
        </w:rPr>
      </w:pPr>
      <w:r w:rsidRPr="0003247F">
        <w:rPr>
          <w:rFonts w:ascii="Verdana" w:hAnsi="Verdana" w:cs="Arial"/>
          <w:color w:val="000000" w:themeColor="text1"/>
          <w:sz w:val="20"/>
          <w:szCs w:val="20"/>
          <w:lang w:val="es-ES_tradnl"/>
        </w:rPr>
        <w:t xml:space="preserve">El artículo 32 de la Ley 1150 de 2007 derogó el numeral 1 del artículo 24 de la Ley 80 de 1993, que, como se expuso, establecía que la adquisición de bienes y servicios requeridos para la defensa y seguridad nacional era causal de contratación directa; causal que pasó a ser de selección abreviada, de conformidad con el artículo 2, numeral 2, literal i), de la mencionada Ley 1150, salvo los que requieran reserva para su adquisición, frente a los cuales esta Ley mantuvo, en el artículo 2, numeral 4, literales d) y j), la posibilidad de contratación directa. Ahora bien, el cambio en la modalidad de contratación de los bienes y servicios requeridos para la defensa y seguridad nacional, introducido por la Ley 1150 de 2007, no puede interpretarse como una derogatoria de la Ley 1089 de 2006, ya que lo que se modificó fue la causal, más no los requisitos especiales de contratación previstos en la Ley 1089. En otras palabras, en principio, la modalidad de selección abreviada no obsta para que la compra o suministro de tales bienes y servicios se realice con productores nacionales, ya que el artículo 1 de la referida Ley establece que el Ministerio de Comercio, Industria y Turismo debe certificar que la producción de aquellos se efectúa en </w:t>
      </w:r>
      <w:r>
        <w:rPr>
          <w:rFonts w:ascii="Verdana" w:hAnsi="Verdana" w:cs="Arial"/>
          <w:color w:val="000000" w:themeColor="text1"/>
          <w:sz w:val="20"/>
          <w:szCs w:val="20"/>
          <w:lang w:val="es-ES_tradnl"/>
        </w:rPr>
        <w:t>“</w:t>
      </w:r>
      <w:r w:rsidRPr="0003247F">
        <w:rPr>
          <w:rFonts w:ascii="Verdana" w:hAnsi="Verdana" w:cs="Arial"/>
          <w:color w:val="000000" w:themeColor="text1"/>
          <w:sz w:val="20"/>
          <w:szCs w:val="20"/>
          <w:lang w:val="es-ES_tradnl"/>
        </w:rPr>
        <w:t>en términos de competencia abierta</w:t>
      </w:r>
      <w:r>
        <w:rPr>
          <w:rFonts w:ascii="Verdana" w:hAnsi="Verdana" w:cs="Arial"/>
          <w:color w:val="000000" w:themeColor="text1"/>
          <w:sz w:val="20"/>
          <w:szCs w:val="20"/>
          <w:lang w:val="es-ES_tradnl"/>
        </w:rPr>
        <w:t>”</w:t>
      </w:r>
      <w:r w:rsidRPr="0003247F">
        <w:rPr>
          <w:rFonts w:ascii="Verdana" w:hAnsi="Verdana" w:cs="Arial"/>
          <w:color w:val="000000" w:themeColor="text1"/>
          <w:sz w:val="20"/>
          <w:szCs w:val="20"/>
          <w:lang w:val="es-ES_tradnl"/>
        </w:rPr>
        <w:t>.</w:t>
      </w:r>
    </w:p>
    <w:p w14:paraId="74105A4B" w14:textId="77777777" w:rsidR="002859E5" w:rsidRPr="0003247F" w:rsidRDefault="002859E5" w:rsidP="002859E5">
      <w:pPr>
        <w:spacing w:after="0" w:line="240" w:lineRule="auto"/>
        <w:jc w:val="both"/>
        <w:rPr>
          <w:rFonts w:ascii="Verdana" w:hAnsi="Verdana" w:cs="Arial"/>
          <w:color w:val="000000" w:themeColor="text1"/>
          <w:sz w:val="20"/>
          <w:szCs w:val="20"/>
          <w:lang w:val="es-ES_tradnl"/>
        </w:rPr>
      </w:pPr>
    </w:p>
    <w:p w14:paraId="3264EA5B" w14:textId="77777777" w:rsidR="002859E5" w:rsidRPr="0003247F" w:rsidRDefault="002859E5" w:rsidP="002859E5">
      <w:pPr>
        <w:spacing w:after="0" w:line="240" w:lineRule="auto"/>
        <w:jc w:val="both"/>
        <w:rPr>
          <w:rFonts w:ascii="Verdana" w:eastAsia="Calibri" w:hAnsi="Verdana" w:cs="Arial"/>
          <w:b/>
          <w:bCs/>
          <w:color w:val="000000" w:themeColor="text1"/>
          <w:lang w:val="es-ES"/>
        </w:rPr>
      </w:pPr>
      <w:r w:rsidRPr="0003247F">
        <w:rPr>
          <w:rFonts w:ascii="Verdana" w:eastAsia="Calibri" w:hAnsi="Verdana" w:cs="Arial"/>
          <w:b/>
          <w:bCs/>
          <w:color w:val="000000" w:themeColor="text1"/>
          <w:lang w:val="es-ES"/>
        </w:rPr>
        <w:t xml:space="preserve">BIENES Y SERVICIOS </w:t>
      </w:r>
      <w:r w:rsidRPr="0003247F">
        <w:rPr>
          <w:rFonts w:ascii="Verdana" w:eastAsia="Arial" w:hAnsi="Verdana" w:cs="Arial"/>
          <w:b/>
          <w:bCs/>
        </w:rPr>
        <w:t>–</w:t>
      </w:r>
      <w:r w:rsidRPr="0003247F">
        <w:rPr>
          <w:rFonts w:ascii="Verdana" w:eastAsia="Calibri" w:hAnsi="Verdana" w:cs="Arial"/>
          <w:b/>
          <w:bCs/>
          <w:color w:val="000000" w:themeColor="text1"/>
          <w:lang w:val="es-ES"/>
        </w:rPr>
        <w:t xml:space="preserve"> Defensa y seguridad nacional </w:t>
      </w:r>
      <w:r w:rsidRPr="0003247F">
        <w:rPr>
          <w:rFonts w:ascii="Verdana" w:eastAsia="Arial" w:hAnsi="Verdana" w:cs="Arial"/>
          <w:b/>
          <w:bCs/>
        </w:rPr>
        <w:t>–</w:t>
      </w:r>
      <w:r w:rsidRPr="0003247F">
        <w:rPr>
          <w:rFonts w:ascii="Verdana" w:eastAsia="Calibri" w:hAnsi="Verdana" w:cs="Arial"/>
          <w:b/>
          <w:bCs/>
          <w:color w:val="000000" w:themeColor="text1"/>
          <w:lang w:val="es-ES"/>
        </w:rPr>
        <w:t xml:space="preserve"> Preferencia – Productores nacionales </w:t>
      </w:r>
      <w:r w:rsidRPr="0003247F">
        <w:rPr>
          <w:rFonts w:ascii="Verdana" w:eastAsia="Arial" w:hAnsi="Verdana" w:cs="Arial"/>
          <w:b/>
          <w:bCs/>
        </w:rPr>
        <w:t>–</w:t>
      </w:r>
      <w:r w:rsidRPr="0003247F">
        <w:rPr>
          <w:rFonts w:ascii="Verdana" w:eastAsia="Calibri" w:hAnsi="Verdana" w:cs="Arial"/>
          <w:b/>
          <w:bCs/>
          <w:color w:val="000000" w:themeColor="text1"/>
          <w:lang w:val="es-ES"/>
        </w:rPr>
        <w:t xml:space="preserve"> Ley 1089 de 2006</w:t>
      </w:r>
    </w:p>
    <w:p w14:paraId="647F6951" w14:textId="77777777" w:rsidR="002859E5" w:rsidRPr="0003247F" w:rsidRDefault="002859E5" w:rsidP="002859E5">
      <w:pPr>
        <w:spacing w:after="0" w:line="240" w:lineRule="auto"/>
        <w:jc w:val="both"/>
        <w:rPr>
          <w:rFonts w:ascii="Verdana" w:hAnsi="Verdana" w:cs="Arial"/>
          <w:color w:val="000000" w:themeColor="text1"/>
          <w:sz w:val="20"/>
          <w:szCs w:val="20"/>
          <w:lang w:val="es-ES_tradnl"/>
        </w:rPr>
      </w:pPr>
    </w:p>
    <w:p w14:paraId="06F8347A" w14:textId="77777777" w:rsidR="002859E5" w:rsidRPr="0003247F" w:rsidRDefault="002859E5" w:rsidP="002859E5">
      <w:pPr>
        <w:spacing w:after="0" w:line="240" w:lineRule="auto"/>
        <w:jc w:val="both"/>
        <w:rPr>
          <w:rFonts w:ascii="Verdana" w:hAnsi="Verdana" w:cs="Arial"/>
          <w:color w:val="000000" w:themeColor="text1"/>
          <w:sz w:val="20"/>
          <w:szCs w:val="20"/>
          <w:lang w:val="es-ES_tradnl"/>
        </w:rPr>
      </w:pPr>
      <w:r w:rsidRPr="0003247F">
        <w:rPr>
          <w:rFonts w:ascii="Verdana" w:hAnsi="Verdana" w:cs="Arial"/>
          <w:color w:val="000000" w:themeColor="text1"/>
          <w:sz w:val="20"/>
          <w:szCs w:val="20"/>
          <w:lang w:val="es-ES_tradnl"/>
        </w:rPr>
        <w:t xml:space="preserve">Como se observa, esta disposición estableció que los bienes o servicios destinados a la defensa y seguridad nacional deben adquirirse en principio con los productores nacionales, según certificación expedida por el Ministerio de Comercio, Industria y Turismo, pero, a su vez, faculta a las entidades estatales para obtener dichos bienes o servicios con productores extranjeros, si la conveniencia así lo justifica; lo que permite concluir que en modo alguno la Ley 1089 de 2006 estableció una regla de exclusividad absoluta a favor de los productores nacionales, ni derogó lo dispuesto en el artículo 20 de la Ley 80 de 1993, en relación con la posibilidad de que los oferentes, bienes y servicios extranjeros se beneficien con el trato nacional. En efecto, tal conclusión se ratifica con lo señalado en el artículo 3º de la Ley 1089, en los siguientes términos: </w:t>
      </w:r>
      <w:r>
        <w:rPr>
          <w:rFonts w:ascii="Verdana" w:hAnsi="Verdana" w:cs="Arial"/>
          <w:color w:val="000000" w:themeColor="text1"/>
          <w:sz w:val="20"/>
          <w:szCs w:val="20"/>
          <w:lang w:val="es-ES_tradnl"/>
        </w:rPr>
        <w:t>“</w:t>
      </w:r>
      <w:r w:rsidRPr="0003247F">
        <w:rPr>
          <w:rFonts w:ascii="Verdana" w:hAnsi="Verdana" w:cs="Arial"/>
          <w:color w:val="000000" w:themeColor="text1"/>
          <w:sz w:val="20"/>
          <w:szCs w:val="20"/>
          <w:lang w:val="es-ES_tradnl"/>
        </w:rPr>
        <w:t>Esta ley se aplicará sin perjuicio de lo establecido en los tratados internacionales aprobados por el Congreso de la República</w:t>
      </w:r>
      <w:r>
        <w:rPr>
          <w:rFonts w:ascii="Verdana" w:hAnsi="Verdana" w:cs="Arial"/>
          <w:color w:val="000000" w:themeColor="text1"/>
          <w:sz w:val="20"/>
          <w:szCs w:val="20"/>
          <w:lang w:val="es-ES_tradnl"/>
        </w:rPr>
        <w:t>”</w:t>
      </w:r>
      <w:r w:rsidRPr="0003247F">
        <w:rPr>
          <w:rFonts w:ascii="Verdana" w:hAnsi="Verdana" w:cs="Arial"/>
          <w:color w:val="000000" w:themeColor="text1"/>
          <w:sz w:val="20"/>
          <w:szCs w:val="20"/>
          <w:lang w:val="es-ES_tradnl"/>
        </w:rPr>
        <w:t>.</w:t>
      </w:r>
    </w:p>
    <w:p w14:paraId="7B01DCF2" w14:textId="77777777" w:rsidR="002859E5" w:rsidRPr="0003247F" w:rsidRDefault="002859E5" w:rsidP="002859E5">
      <w:pPr>
        <w:spacing w:after="0" w:line="240" w:lineRule="auto"/>
        <w:jc w:val="both"/>
        <w:rPr>
          <w:rFonts w:ascii="Verdana" w:hAnsi="Verdana" w:cs="Arial"/>
          <w:noProof/>
          <w:color w:val="000000" w:themeColor="text1"/>
          <w:sz w:val="20"/>
          <w:szCs w:val="20"/>
          <w:lang w:val="es-ES_tradnl"/>
        </w:rPr>
      </w:pPr>
    </w:p>
    <w:p w14:paraId="11862BB3" w14:textId="77777777" w:rsidR="002859E5" w:rsidRPr="00760536" w:rsidRDefault="002859E5" w:rsidP="002859E5">
      <w:pPr>
        <w:spacing w:after="0" w:line="240" w:lineRule="auto"/>
        <w:jc w:val="both"/>
        <w:rPr>
          <w:rFonts w:ascii="Verdana" w:hAnsi="Verdana" w:cs="Arial"/>
          <w:b/>
          <w:lang w:val="es-ES"/>
        </w:rPr>
      </w:pPr>
      <w:r w:rsidRPr="0003247F">
        <w:rPr>
          <w:rFonts w:ascii="Verdana" w:eastAsia="Calibri" w:hAnsi="Verdana" w:cs="Arial"/>
          <w:b/>
          <w:bCs/>
          <w:color w:val="000000" w:themeColor="text1"/>
          <w:lang w:val="es-ES"/>
        </w:rPr>
        <w:lastRenderedPageBreak/>
        <w:t xml:space="preserve">BIENES Y SERVICIOS </w:t>
      </w:r>
      <w:r w:rsidRPr="0003247F">
        <w:rPr>
          <w:rFonts w:ascii="Verdana" w:eastAsia="Arial" w:hAnsi="Verdana" w:cs="Arial"/>
          <w:b/>
          <w:bCs/>
        </w:rPr>
        <w:t>–</w:t>
      </w:r>
      <w:r w:rsidRPr="0003247F">
        <w:rPr>
          <w:rFonts w:ascii="Verdana" w:eastAsia="Calibri" w:hAnsi="Verdana" w:cs="Arial"/>
          <w:b/>
          <w:bCs/>
          <w:color w:val="000000" w:themeColor="text1"/>
          <w:lang w:val="es-ES"/>
        </w:rPr>
        <w:t xml:space="preserve"> Defensa y seguridad nacional </w:t>
      </w:r>
      <w:r w:rsidRPr="0003247F">
        <w:rPr>
          <w:rFonts w:ascii="Verdana" w:eastAsia="Arial" w:hAnsi="Verdana" w:cs="Arial"/>
          <w:b/>
          <w:bCs/>
        </w:rPr>
        <w:t>–</w:t>
      </w:r>
      <w:r>
        <w:rPr>
          <w:rFonts w:ascii="Verdana" w:eastAsia="Arial" w:hAnsi="Verdana" w:cs="Arial"/>
          <w:b/>
          <w:bCs/>
        </w:rPr>
        <w:t xml:space="preserve"> Ley 1150 de 2007 – Contratación directa – Modificaciones – </w:t>
      </w:r>
      <w:r w:rsidRPr="0003247F">
        <w:rPr>
          <w:rFonts w:ascii="Verdana" w:eastAsia="Calibri" w:hAnsi="Verdana" w:cs="Arial"/>
          <w:b/>
          <w:bCs/>
          <w:color w:val="000000" w:themeColor="text1"/>
          <w:lang w:val="es-ES"/>
        </w:rPr>
        <w:t>Ley 1089 de 2006</w:t>
      </w:r>
      <w:r>
        <w:rPr>
          <w:rFonts w:ascii="Verdana" w:eastAsia="Calibri" w:hAnsi="Verdana" w:cs="Arial"/>
          <w:b/>
          <w:bCs/>
          <w:color w:val="000000" w:themeColor="text1"/>
          <w:lang w:val="es-ES"/>
        </w:rPr>
        <w:t xml:space="preserve"> – Ausencia de derogación</w:t>
      </w:r>
    </w:p>
    <w:p w14:paraId="63472833" w14:textId="77777777" w:rsidR="002859E5" w:rsidRPr="00760536" w:rsidRDefault="002859E5" w:rsidP="002859E5">
      <w:pPr>
        <w:spacing w:after="0" w:line="240" w:lineRule="auto"/>
        <w:jc w:val="both"/>
        <w:rPr>
          <w:rFonts w:ascii="Verdana" w:hAnsi="Verdana" w:cs="Arial"/>
          <w:b/>
          <w:sz w:val="20"/>
          <w:szCs w:val="20"/>
          <w:lang w:val="es-ES"/>
        </w:rPr>
      </w:pPr>
    </w:p>
    <w:p w14:paraId="3BDE12E1" w14:textId="77777777" w:rsidR="002859E5" w:rsidRDefault="002859E5" w:rsidP="002859E5">
      <w:pPr>
        <w:spacing w:after="0" w:line="240" w:lineRule="auto"/>
        <w:jc w:val="both"/>
        <w:textAlignment w:val="baseline"/>
        <w:rPr>
          <w:rFonts w:ascii="Verdana" w:hAnsi="Verdana" w:cs="Arial"/>
          <w:bCs/>
          <w:sz w:val="20"/>
          <w:szCs w:val="20"/>
          <w:lang w:val="es-ES_tradnl" w:eastAsia="es-CO"/>
        </w:rPr>
      </w:pPr>
      <w:r>
        <w:rPr>
          <w:rFonts w:ascii="Verdana" w:hAnsi="Verdana" w:cs="Arial"/>
          <w:bCs/>
          <w:sz w:val="20"/>
          <w:szCs w:val="20"/>
          <w:lang w:val="es-ES_tradnl" w:eastAsia="es-CO"/>
        </w:rPr>
        <w:t>E</w:t>
      </w:r>
      <w:r w:rsidRPr="00E81337">
        <w:rPr>
          <w:rFonts w:ascii="Verdana" w:hAnsi="Verdana" w:cs="Arial"/>
          <w:bCs/>
          <w:sz w:val="20"/>
          <w:szCs w:val="20"/>
          <w:lang w:val="es-ES_tradnl" w:eastAsia="es-CO"/>
        </w:rPr>
        <w:t>l cambio en la modalidad de contratación de los bienes y servicios requeridos para la defensa y seguridad nacional, introducido por la Ley 1150 de 2007, no puede interpretarse como una derogatoria de la Ley 1089 de 2006, ya que lo que se modificó fue la causal, más no los requisitos especiales de contratación previstos en la Ley 1089 de 2006. En otras palabras, en principio, la modalidad de selección abreviada no obsta para que la compra o suministro de tales bienes y servicios se realice con productores nacionales, ya que el artículo 1 de la referida Ley establece que el Ministerio de Comercio, Industria y Turismo debe certificar que la producción de aquellos se efectúa en “en términos de competencia abierta”.</w:t>
      </w:r>
    </w:p>
    <w:p w14:paraId="51872039" w14:textId="77777777" w:rsidR="002859E5" w:rsidRPr="00E81337" w:rsidRDefault="002859E5" w:rsidP="002859E5">
      <w:pPr>
        <w:spacing w:after="0" w:line="240" w:lineRule="auto"/>
        <w:jc w:val="both"/>
        <w:textAlignment w:val="baseline"/>
        <w:rPr>
          <w:rFonts w:ascii="Verdana" w:hAnsi="Verdana" w:cs="Arial"/>
          <w:bCs/>
          <w:sz w:val="20"/>
          <w:szCs w:val="20"/>
          <w:lang w:val="es-ES_tradnl" w:eastAsia="es-CO"/>
        </w:rPr>
      </w:pPr>
    </w:p>
    <w:p w14:paraId="47EC066B" w14:textId="77777777" w:rsidR="002859E5" w:rsidRPr="002C0402" w:rsidRDefault="002859E5" w:rsidP="002859E5">
      <w:pPr>
        <w:spacing w:after="0" w:line="240" w:lineRule="auto"/>
        <w:jc w:val="both"/>
        <w:textAlignment w:val="baseline"/>
        <w:rPr>
          <w:rFonts w:ascii="Verdana" w:hAnsi="Verdana" w:cs="Arial"/>
          <w:bCs/>
          <w:sz w:val="20"/>
          <w:szCs w:val="20"/>
          <w:lang w:val="es-ES_tradnl" w:eastAsia="es-CO"/>
        </w:rPr>
      </w:pPr>
      <w:r w:rsidRPr="00E81337">
        <w:rPr>
          <w:rFonts w:ascii="Verdana" w:hAnsi="Verdana" w:cs="Arial"/>
          <w:bCs/>
          <w:sz w:val="20"/>
          <w:szCs w:val="20"/>
          <w:lang w:val="es-ES_tradnl" w:eastAsia="es-CO"/>
        </w:rPr>
        <w:t xml:space="preserve">En este contexto, pese a las modificaciones introducidas a la causal de contratación directa del otrora </w:t>
      </w:r>
      <w:r w:rsidRPr="00915E9F">
        <w:rPr>
          <w:rFonts w:ascii="Verdana" w:hAnsi="Verdana" w:cs="Arial"/>
          <w:bCs/>
          <w:sz w:val="20"/>
          <w:szCs w:val="20"/>
          <w:lang w:val="es-ES" w:eastAsia="es-CO"/>
        </w:rPr>
        <w:t>literal i) del artículo 24</w:t>
      </w:r>
      <w:r w:rsidRPr="00E81337">
        <w:rPr>
          <w:rFonts w:ascii="Verdana" w:hAnsi="Verdana" w:cs="Arial"/>
          <w:bCs/>
          <w:sz w:val="20"/>
          <w:szCs w:val="20"/>
          <w:lang w:val="es-ES" w:eastAsia="es-CO"/>
        </w:rPr>
        <w:t>.1</w:t>
      </w:r>
      <w:r w:rsidRPr="00915E9F">
        <w:rPr>
          <w:rFonts w:ascii="Verdana" w:hAnsi="Verdana" w:cs="Arial"/>
          <w:bCs/>
          <w:sz w:val="20"/>
          <w:szCs w:val="20"/>
          <w:lang w:val="es-ES" w:eastAsia="es-CO"/>
        </w:rPr>
        <w:t xml:space="preserve"> de la Ley 80 de 1993</w:t>
      </w:r>
      <w:r w:rsidRPr="00E81337">
        <w:rPr>
          <w:rFonts w:ascii="Verdana" w:hAnsi="Verdana" w:cs="Arial"/>
          <w:bCs/>
          <w:sz w:val="20"/>
          <w:szCs w:val="20"/>
          <w:lang w:val="es-ES_tradnl" w:eastAsia="es-CO"/>
        </w:rPr>
        <w:t xml:space="preserve"> y pese a que no existe listado para determinar los bienes y servicios relacionados con la defensa y seguridad nacional respecto a los </w:t>
      </w:r>
      <w:r w:rsidRPr="0068083E">
        <w:rPr>
          <w:rFonts w:ascii="Verdana" w:hAnsi="Verdana" w:cs="Arial"/>
          <w:bCs/>
          <w:sz w:val="20"/>
          <w:szCs w:val="20"/>
          <w:lang w:val="es-ES_tradnl" w:eastAsia="es-CO"/>
        </w:rPr>
        <w:t>literales d) y j)</w:t>
      </w:r>
      <w:r w:rsidRPr="00E81337">
        <w:rPr>
          <w:rFonts w:ascii="Verdana" w:hAnsi="Verdana" w:cs="Arial"/>
          <w:bCs/>
          <w:sz w:val="20"/>
          <w:szCs w:val="20"/>
          <w:lang w:val="es-ES_tradnl" w:eastAsia="es-CO"/>
        </w:rPr>
        <w:t xml:space="preserve"> d</w:t>
      </w:r>
      <w:r w:rsidRPr="0068083E">
        <w:rPr>
          <w:rFonts w:ascii="Verdana" w:hAnsi="Verdana" w:cs="Arial"/>
          <w:bCs/>
          <w:sz w:val="20"/>
          <w:szCs w:val="20"/>
          <w:lang w:val="es-ES_tradnl" w:eastAsia="es-CO"/>
        </w:rPr>
        <w:t>el artículo 2</w:t>
      </w:r>
      <w:r w:rsidRPr="00E81337">
        <w:rPr>
          <w:rFonts w:ascii="Verdana" w:hAnsi="Verdana" w:cs="Arial"/>
          <w:bCs/>
          <w:sz w:val="20"/>
          <w:szCs w:val="20"/>
          <w:lang w:val="es-ES_tradnl" w:eastAsia="es-CO"/>
        </w:rPr>
        <w:t xml:space="preserve">.4 de la Ley 1150, estas circunstancias no impiden la vigencia de la Ley 1089 de 2006. Si bien el artículo 2.1 </w:t>
      </w:r>
      <w:r w:rsidRPr="00E81337">
        <w:rPr>
          <w:rFonts w:ascii="Verdana" w:hAnsi="Verdana" w:cs="Arial"/>
          <w:bCs/>
          <w:i/>
          <w:iCs/>
          <w:sz w:val="20"/>
          <w:szCs w:val="20"/>
          <w:lang w:val="es-ES_tradnl" w:eastAsia="es-CO"/>
        </w:rPr>
        <w:t xml:space="preserve">ibidem </w:t>
      </w:r>
      <w:r w:rsidRPr="00E81337">
        <w:rPr>
          <w:rFonts w:ascii="Verdana" w:hAnsi="Verdana" w:cs="Arial"/>
          <w:bCs/>
          <w:sz w:val="20"/>
          <w:szCs w:val="20"/>
          <w:lang w:val="es-ES_tradnl" w:eastAsia="es-CO"/>
        </w:rPr>
        <w:t xml:space="preserve">sujetaba el alcance de estos bienes y servicios a lo establecido en los derogados Decretos 855 de 1994, 219 de 2006 </w:t>
      </w:r>
      <w:r w:rsidRPr="00E81337">
        <w:rPr>
          <w:rFonts w:ascii="Verdana" w:hAnsi="Verdana" w:cs="Arial"/>
          <w:bCs/>
          <w:sz w:val="20"/>
          <w:szCs w:val="20"/>
          <w:lang w:eastAsia="es-CO"/>
        </w:rPr>
        <w:t>y las normas que los modifiquen o sustituyan, el artículo 2.2 de la Ley 1089 de 2006 también incluye “[…] los bienes y servicios que sean calificados por el Gobierno Nacional como necesarios para garantizar intereses esenciales de seguridad y defensa, así como aquellos que tengan por propósito asegurar el abastecimiento de la Fuerza Pública”. Por tanto, los procesos de contratación que se realicen para la adquisición de Bienes para la seguridad y defensa nacional pueden restringirse a productores colombianos que cuenten con el registro de productor nacional.</w:t>
      </w:r>
      <w:r w:rsidRPr="002C0402">
        <w:rPr>
          <w:rFonts w:ascii="Verdana" w:hAnsi="Verdana" w:cs="Arial"/>
          <w:bCs/>
          <w:sz w:val="20"/>
          <w:szCs w:val="20"/>
          <w:lang w:val="es-ES_tradnl" w:eastAsia="es-CO"/>
        </w:rPr>
        <w:t xml:space="preserve">  </w:t>
      </w:r>
    </w:p>
    <w:p w14:paraId="44BF1D4C" w14:textId="77777777" w:rsidR="002859E5" w:rsidRDefault="002859E5" w:rsidP="002859E5">
      <w:pPr>
        <w:spacing w:after="0" w:line="240" w:lineRule="auto"/>
        <w:rPr>
          <w:rFonts w:ascii="Verdana" w:eastAsia="Calibri" w:hAnsi="Verdana" w:cs="Arial"/>
          <w:b/>
          <w:color w:val="000000" w:themeColor="text1"/>
          <w:lang w:val="es-ES"/>
        </w:rPr>
      </w:pPr>
    </w:p>
    <w:p w14:paraId="72D3D20F" w14:textId="77777777" w:rsidR="002859E5" w:rsidRDefault="002859E5" w:rsidP="002859E5">
      <w:pPr>
        <w:spacing w:after="0" w:line="240" w:lineRule="auto"/>
        <w:rPr>
          <w:rFonts w:ascii="Verdana" w:eastAsia="Calibri" w:hAnsi="Verdana" w:cs="Arial"/>
          <w:b/>
          <w:color w:val="000000" w:themeColor="text1"/>
          <w:lang w:val="es-ES"/>
        </w:rPr>
      </w:pPr>
    </w:p>
    <w:p w14:paraId="432E8767" w14:textId="77777777" w:rsidR="002859E5" w:rsidRDefault="002859E5" w:rsidP="002859E5">
      <w:pPr>
        <w:spacing w:after="0" w:line="240" w:lineRule="auto"/>
        <w:rPr>
          <w:rFonts w:ascii="Verdana" w:eastAsia="Calibri" w:hAnsi="Verdana" w:cs="Arial"/>
          <w:b/>
          <w:color w:val="000000" w:themeColor="text1"/>
          <w:lang w:val="es-ES"/>
        </w:rPr>
      </w:pPr>
    </w:p>
    <w:p w14:paraId="6B0D614B" w14:textId="77777777" w:rsidR="002859E5" w:rsidRDefault="002859E5" w:rsidP="002859E5">
      <w:pPr>
        <w:spacing w:after="0" w:line="240" w:lineRule="auto"/>
        <w:rPr>
          <w:rFonts w:ascii="Verdana" w:eastAsia="Calibri" w:hAnsi="Verdana" w:cs="Arial"/>
          <w:b/>
          <w:color w:val="000000" w:themeColor="text1"/>
          <w:lang w:val="es-ES"/>
        </w:rPr>
      </w:pPr>
    </w:p>
    <w:p w14:paraId="7B5A6324" w14:textId="77777777" w:rsidR="002859E5" w:rsidRDefault="002859E5" w:rsidP="002859E5">
      <w:pPr>
        <w:spacing w:after="0" w:line="240" w:lineRule="auto"/>
        <w:rPr>
          <w:rFonts w:ascii="Verdana" w:eastAsia="Calibri" w:hAnsi="Verdana" w:cs="Arial"/>
          <w:b/>
          <w:color w:val="000000" w:themeColor="text1"/>
          <w:lang w:val="es-ES"/>
        </w:rPr>
      </w:pPr>
    </w:p>
    <w:p w14:paraId="559A67AB" w14:textId="77777777" w:rsidR="002859E5" w:rsidRDefault="002859E5" w:rsidP="002859E5">
      <w:pPr>
        <w:spacing w:after="0" w:line="240" w:lineRule="auto"/>
        <w:rPr>
          <w:rFonts w:ascii="Verdana" w:eastAsia="Calibri" w:hAnsi="Verdana" w:cs="Arial"/>
          <w:b/>
          <w:color w:val="000000" w:themeColor="text1"/>
          <w:lang w:val="es-ES"/>
        </w:rPr>
      </w:pPr>
    </w:p>
    <w:p w14:paraId="1F87F43F" w14:textId="77777777" w:rsidR="002859E5" w:rsidRDefault="002859E5" w:rsidP="002859E5">
      <w:pPr>
        <w:spacing w:after="0" w:line="240" w:lineRule="auto"/>
        <w:rPr>
          <w:rFonts w:ascii="Verdana" w:eastAsia="Calibri" w:hAnsi="Verdana" w:cs="Arial"/>
          <w:b/>
          <w:color w:val="000000" w:themeColor="text1"/>
          <w:lang w:val="es-ES"/>
        </w:rPr>
      </w:pPr>
    </w:p>
    <w:p w14:paraId="3DB1E8A8" w14:textId="77777777" w:rsidR="002859E5" w:rsidRDefault="002859E5" w:rsidP="002859E5">
      <w:pPr>
        <w:spacing w:after="0" w:line="240" w:lineRule="auto"/>
        <w:rPr>
          <w:rFonts w:ascii="Verdana" w:eastAsia="Calibri" w:hAnsi="Verdana" w:cs="Arial"/>
          <w:b/>
          <w:color w:val="000000" w:themeColor="text1"/>
          <w:lang w:val="es-ES"/>
        </w:rPr>
      </w:pPr>
    </w:p>
    <w:p w14:paraId="6D3751B7" w14:textId="77777777" w:rsidR="002859E5" w:rsidRDefault="002859E5" w:rsidP="002859E5">
      <w:pPr>
        <w:spacing w:after="0" w:line="240" w:lineRule="auto"/>
        <w:rPr>
          <w:rFonts w:ascii="Verdana" w:eastAsia="Calibri" w:hAnsi="Verdana" w:cs="Arial"/>
          <w:b/>
          <w:color w:val="000000" w:themeColor="text1"/>
          <w:lang w:val="es-ES"/>
        </w:rPr>
      </w:pPr>
    </w:p>
    <w:p w14:paraId="7E46CDC4" w14:textId="77777777" w:rsidR="002859E5" w:rsidRDefault="002859E5" w:rsidP="002859E5">
      <w:pPr>
        <w:spacing w:after="0" w:line="240" w:lineRule="auto"/>
        <w:rPr>
          <w:rFonts w:ascii="Verdana" w:eastAsia="Calibri" w:hAnsi="Verdana" w:cs="Arial"/>
          <w:b/>
          <w:color w:val="000000" w:themeColor="text1"/>
          <w:lang w:val="es-ES"/>
        </w:rPr>
      </w:pPr>
    </w:p>
    <w:p w14:paraId="7D50D4CE" w14:textId="77777777" w:rsidR="002859E5" w:rsidRDefault="002859E5" w:rsidP="002859E5">
      <w:pPr>
        <w:spacing w:after="0" w:line="240" w:lineRule="auto"/>
        <w:rPr>
          <w:rFonts w:ascii="Verdana" w:eastAsia="Calibri" w:hAnsi="Verdana" w:cs="Arial"/>
          <w:b/>
          <w:color w:val="000000" w:themeColor="text1"/>
          <w:lang w:val="es-ES"/>
        </w:rPr>
      </w:pPr>
    </w:p>
    <w:p w14:paraId="2100E5BD" w14:textId="77777777" w:rsidR="002859E5" w:rsidRDefault="002859E5" w:rsidP="002859E5">
      <w:pPr>
        <w:spacing w:after="0" w:line="240" w:lineRule="auto"/>
        <w:rPr>
          <w:rFonts w:ascii="Verdana" w:eastAsia="Calibri" w:hAnsi="Verdana" w:cs="Arial"/>
          <w:b/>
          <w:color w:val="000000" w:themeColor="text1"/>
          <w:lang w:val="es-ES"/>
        </w:rPr>
      </w:pPr>
    </w:p>
    <w:p w14:paraId="3A7A43B9" w14:textId="77777777" w:rsidR="002859E5" w:rsidRDefault="002859E5" w:rsidP="002859E5">
      <w:pPr>
        <w:spacing w:after="0" w:line="240" w:lineRule="auto"/>
        <w:rPr>
          <w:rFonts w:ascii="Verdana" w:eastAsia="Calibri" w:hAnsi="Verdana" w:cs="Arial"/>
          <w:b/>
          <w:color w:val="000000" w:themeColor="text1"/>
          <w:lang w:val="es-ES"/>
        </w:rPr>
      </w:pPr>
    </w:p>
    <w:p w14:paraId="7F84F5A8" w14:textId="77777777" w:rsidR="002859E5" w:rsidRDefault="002859E5" w:rsidP="002859E5">
      <w:pPr>
        <w:spacing w:after="0" w:line="240" w:lineRule="auto"/>
        <w:rPr>
          <w:rFonts w:ascii="Verdana" w:eastAsia="Calibri" w:hAnsi="Verdana" w:cs="Arial"/>
          <w:b/>
          <w:color w:val="000000" w:themeColor="text1"/>
          <w:lang w:val="es-ES"/>
        </w:rPr>
      </w:pPr>
    </w:p>
    <w:p w14:paraId="2AD12BFD" w14:textId="77777777" w:rsidR="002859E5" w:rsidRDefault="002859E5" w:rsidP="002859E5">
      <w:pPr>
        <w:spacing w:after="0" w:line="240" w:lineRule="auto"/>
        <w:rPr>
          <w:rFonts w:ascii="Verdana" w:eastAsia="Calibri" w:hAnsi="Verdana" w:cs="Arial"/>
          <w:b/>
          <w:color w:val="000000" w:themeColor="text1"/>
          <w:lang w:val="es-ES"/>
        </w:rPr>
      </w:pPr>
    </w:p>
    <w:p w14:paraId="36E74321" w14:textId="77777777" w:rsidR="002859E5" w:rsidRDefault="002859E5" w:rsidP="00F55A1F">
      <w:pPr>
        <w:spacing w:after="0" w:line="240" w:lineRule="auto"/>
        <w:rPr>
          <w:rFonts w:ascii="Verdana" w:eastAsia="Calibri" w:hAnsi="Verdana" w:cs="Arial"/>
          <w:b/>
          <w:color w:val="000000" w:themeColor="text1"/>
          <w:lang w:val="es-ES"/>
        </w:rPr>
      </w:pPr>
    </w:p>
    <w:p w14:paraId="70DAB933" w14:textId="30368709" w:rsidR="00F55A1F" w:rsidRPr="00593A5F" w:rsidRDefault="00F55A1F" w:rsidP="00F55A1F">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7505A0" w:rsidRPr="007505A0">
        <w:rPr>
          <w:rFonts w:ascii="Verdana" w:eastAsia="Geomanist Light" w:hAnsi="Verdana" w:cs="Arial"/>
          <w:color w:val="000000" w:themeColor="text1"/>
          <w:lang w:val="es-MX"/>
        </w:rPr>
        <w:t>11 de Mayo de 2026</w:t>
      </w:r>
    </w:p>
    <w:p w14:paraId="11FFBE62" w14:textId="77777777" w:rsidR="00F55A1F" w:rsidRDefault="00F55A1F" w:rsidP="00F55A1F">
      <w:pPr>
        <w:spacing w:after="0" w:line="240" w:lineRule="auto"/>
        <w:jc w:val="both"/>
        <w:rPr>
          <w:rFonts w:ascii="Verdana" w:eastAsia="Calibri" w:hAnsi="Verdana" w:cs="Arial"/>
          <w:color w:val="000000"/>
          <w:lang w:val="es-ES"/>
        </w:rPr>
      </w:pPr>
    </w:p>
    <w:p w14:paraId="1B377BD0" w14:textId="77E8070E" w:rsidR="00F55A1F" w:rsidRDefault="007505A0" w:rsidP="007505A0">
      <w:pPr>
        <w:spacing w:after="0" w:line="240" w:lineRule="auto"/>
        <w:jc w:val="right"/>
        <w:rPr>
          <w:rFonts w:ascii="Verdana" w:eastAsia="Calibri" w:hAnsi="Verdana" w:cs="Arial"/>
          <w:color w:val="000000"/>
          <w:lang w:val="es-ES"/>
        </w:rPr>
      </w:pPr>
      <w:r w:rsidRPr="007505A0">
        <w:rPr>
          <w:rFonts w:ascii="Verdana" w:eastAsia="Calibri" w:hAnsi="Verdana" w:cs="Arial"/>
          <w:noProof/>
          <w:color w:val="000000"/>
          <w:lang w:val="es-ES"/>
        </w:rPr>
        <w:drawing>
          <wp:inline distT="0" distB="0" distL="0" distR="0" wp14:anchorId="1B6398C0" wp14:editId="56E7D08B">
            <wp:extent cx="2400300" cy="622300"/>
            <wp:effectExtent l="0" t="0" r="0" b="0"/>
            <wp:docPr id="10300090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009047" name=""/>
                    <pic:cNvPicPr/>
                  </pic:nvPicPr>
                  <pic:blipFill>
                    <a:blip r:embed="rId10"/>
                    <a:stretch>
                      <a:fillRect/>
                    </a:stretch>
                  </pic:blipFill>
                  <pic:spPr>
                    <a:xfrm>
                      <a:off x="0" y="0"/>
                      <a:ext cx="2400300" cy="622300"/>
                    </a:xfrm>
                    <a:prstGeom prst="rect">
                      <a:avLst/>
                    </a:prstGeom>
                  </pic:spPr>
                </pic:pic>
              </a:graphicData>
            </a:graphic>
          </wp:inline>
        </w:drawing>
      </w:r>
    </w:p>
    <w:p w14:paraId="2B1FB7D5" w14:textId="77777777" w:rsidR="007505A0" w:rsidRPr="00593A5F" w:rsidRDefault="007505A0" w:rsidP="00F55A1F">
      <w:pPr>
        <w:spacing w:after="0" w:line="240" w:lineRule="auto"/>
        <w:jc w:val="both"/>
        <w:rPr>
          <w:rFonts w:ascii="Verdana" w:eastAsia="Calibri" w:hAnsi="Verdana" w:cs="Arial"/>
          <w:color w:val="000000"/>
          <w:lang w:val="es-ES"/>
        </w:rPr>
      </w:pPr>
    </w:p>
    <w:p w14:paraId="3A95959B" w14:textId="77777777" w:rsidR="00F55A1F" w:rsidRPr="00B96799" w:rsidRDefault="00F55A1F" w:rsidP="00F55A1F">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17993A3F" w14:textId="77777777" w:rsidR="00F55A1F" w:rsidRPr="00D459B0" w:rsidRDefault="00F55A1F" w:rsidP="00F55A1F">
      <w:pPr>
        <w:spacing w:after="0" w:line="240" w:lineRule="auto"/>
        <w:rPr>
          <w:rFonts w:ascii="Verdana" w:eastAsia="Calibri" w:hAnsi="Verdana" w:cs="Arial"/>
          <w:b/>
          <w:lang w:val="es-ES_tradnl" w:eastAsia="es-ES_tradnl"/>
        </w:rPr>
      </w:pPr>
      <w:r w:rsidRPr="00D459B0">
        <w:rPr>
          <w:rFonts w:ascii="Verdana" w:eastAsia="Calibri" w:hAnsi="Verdana" w:cs="Arial"/>
          <w:b/>
          <w:lang w:val="es-ES_tradnl" w:eastAsia="es-ES_tradnl"/>
        </w:rPr>
        <w:t>Adriana Margarita Bautista Conde</w:t>
      </w:r>
    </w:p>
    <w:p w14:paraId="6C5C3BAE" w14:textId="77777777" w:rsidR="00F55A1F" w:rsidRPr="00D459B0" w:rsidRDefault="00F55A1F" w:rsidP="00F55A1F">
      <w:pPr>
        <w:spacing w:after="0" w:line="240" w:lineRule="auto"/>
        <w:rPr>
          <w:rFonts w:ascii="Verdana" w:eastAsia="Calibri" w:hAnsi="Verdana" w:cs="Arial"/>
          <w:bCs/>
          <w:lang w:val="es-ES" w:eastAsia="es-ES"/>
        </w:rPr>
      </w:pPr>
      <w:hyperlink r:id="rId11" w:history="1">
        <w:r w:rsidRPr="00AE7557">
          <w:rPr>
            <w:rStyle w:val="Hipervnculo"/>
            <w:rFonts w:ascii="Verdana" w:eastAsia="Calibri" w:hAnsi="Verdana" w:cs="Arial"/>
            <w:bCs/>
            <w:lang w:val="es-ES_tradnl" w:eastAsia="es-ES_tradnl"/>
          </w:rPr>
          <w:t>abogadosbautistaconde@gmail.com</w:t>
        </w:r>
      </w:hyperlink>
      <w:r>
        <w:rPr>
          <w:rFonts w:ascii="Verdana" w:eastAsia="Calibri" w:hAnsi="Verdana" w:cs="Arial"/>
          <w:bCs/>
          <w:lang w:val="es-ES_tradnl" w:eastAsia="es-ES_tradnl"/>
        </w:rPr>
        <w:t xml:space="preserve"> </w:t>
      </w:r>
      <w:r w:rsidRPr="00D459B0">
        <w:rPr>
          <w:rFonts w:ascii="Verdana" w:hAnsi="Verdana"/>
          <w:bCs/>
        </w:rPr>
        <w:t xml:space="preserve">                    </w:t>
      </w:r>
      <w:r w:rsidRPr="00D459B0">
        <w:rPr>
          <w:rFonts w:ascii="Verdana" w:eastAsia="Calibri" w:hAnsi="Verdana" w:cs="Arial"/>
          <w:bCs/>
          <w:lang w:val="es-ES" w:eastAsia="es-ES"/>
        </w:rPr>
        <w:t xml:space="preserve">    </w:t>
      </w:r>
    </w:p>
    <w:p w14:paraId="296A7647" w14:textId="77777777" w:rsidR="00F55A1F" w:rsidRDefault="00F55A1F" w:rsidP="00F55A1F">
      <w:pPr>
        <w:spacing w:after="0" w:line="240" w:lineRule="auto"/>
        <w:rPr>
          <w:rFonts w:ascii="Verdana" w:eastAsia="Calibri" w:hAnsi="Verdana" w:cs="Arial"/>
          <w:lang w:val="es-ES" w:eastAsia="es-ES"/>
        </w:rPr>
      </w:pPr>
      <w:r w:rsidRPr="00B74548">
        <w:rPr>
          <w:rFonts w:ascii="Verdana" w:eastAsia="Calibri" w:hAnsi="Verdana" w:cs="Arial"/>
          <w:lang w:val="es-ES" w:eastAsia="es-ES"/>
        </w:rPr>
        <w:t>Bogotá D.C.</w:t>
      </w:r>
      <w:r>
        <w:rPr>
          <w:rFonts w:ascii="Verdana" w:eastAsia="Calibri" w:hAnsi="Verdana" w:cs="Arial"/>
          <w:lang w:val="es-ES" w:eastAsia="es-ES"/>
        </w:rPr>
        <w:t xml:space="preserve"> </w:t>
      </w:r>
    </w:p>
    <w:p w14:paraId="74484334" w14:textId="77777777" w:rsidR="00F55A1F" w:rsidRPr="00593A5F" w:rsidRDefault="00F55A1F" w:rsidP="00F55A1F">
      <w:pPr>
        <w:spacing w:after="0" w:line="240" w:lineRule="auto"/>
        <w:rPr>
          <w:rFonts w:ascii="Verdana" w:eastAsia="Calibri" w:hAnsi="Verdana" w:cs="Arial"/>
          <w:b/>
          <w:bCs/>
          <w:color w:val="000000"/>
          <w:lang w:val="es-ES_tradnl" w:eastAsia="es-ES_tradnl"/>
        </w:rPr>
      </w:pPr>
    </w:p>
    <w:p w14:paraId="134711B0" w14:textId="77777777" w:rsidR="00F55A1F" w:rsidRPr="00593A5F" w:rsidRDefault="00F55A1F" w:rsidP="00F55A1F">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55A1F" w:rsidRPr="00593A5F" w14:paraId="30B309AA" w14:textId="77777777" w:rsidTr="00200273">
        <w:trPr>
          <w:trHeight w:val="884"/>
        </w:trPr>
        <w:tc>
          <w:tcPr>
            <w:tcW w:w="2689" w:type="dxa"/>
          </w:tcPr>
          <w:p w14:paraId="287E40B7" w14:textId="77777777" w:rsidR="00F55A1F" w:rsidRPr="00C00976" w:rsidRDefault="00F55A1F" w:rsidP="00200273">
            <w:pPr>
              <w:jc w:val="both"/>
              <w:rPr>
                <w:rFonts w:ascii="Verdana" w:eastAsia="Calibri" w:hAnsi="Verdana" w:cs="Arial"/>
                <w:b/>
                <w:bCs/>
                <w:color w:val="7030A0"/>
                <w:lang w:val="es-ES_tradnl" w:eastAsia="es-ES_tradnl"/>
              </w:rPr>
            </w:pPr>
          </w:p>
        </w:tc>
        <w:tc>
          <w:tcPr>
            <w:tcW w:w="6100" w:type="dxa"/>
          </w:tcPr>
          <w:p w14:paraId="0E8573AA" w14:textId="77777777" w:rsidR="00F55A1F" w:rsidRPr="00C00976" w:rsidRDefault="00F55A1F" w:rsidP="00200273">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509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F55A1F" w:rsidRPr="00593A5F" w14:paraId="0FE27338" w14:textId="77777777" w:rsidTr="00200273">
        <w:trPr>
          <w:trHeight w:val="884"/>
        </w:trPr>
        <w:tc>
          <w:tcPr>
            <w:tcW w:w="2689" w:type="dxa"/>
          </w:tcPr>
          <w:p w14:paraId="5F868E7B" w14:textId="77777777" w:rsidR="00F55A1F" w:rsidRPr="00593A5F" w:rsidRDefault="00F55A1F" w:rsidP="0020027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814E8B6" w14:textId="77777777" w:rsidR="00F55A1F" w:rsidRPr="00A11406" w:rsidRDefault="00F55A1F" w:rsidP="00200273">
            <w:pPr>
              <w:spacing w:line="276" w:lineRule="auto"/>
              <w:jc w:val="both"/>
              <w:rPr>
                <w:rFonts w:ascii="Verdana" w:eastAsia="Calibri" w:hAnsi="Verdana" w:cs="Arial"/>
                <w:lang w:val="es-ES" w:eastAsia="es-ES"/>
              </w:rPr>
            </w:pPr>
            <w:r w:rsidRPr="00E81337">
              <w:rPr>
                <w:rFonts w:ascii="Verdana" w:eastAsia="Calibri" w:hAnsi="Verdana" w:cs="Arial"/>
                <w:lang w:val="es-ES" w:eastAsia="es-ES"/>
              </w:rPr>
              <w:t>BIENES Y SERVICIOS – Defensa y seguridad nacional – Adquisición – Ley 1089 de 2006</w:t>
            </w:r>
            <w:r>
              <w:rPr>
                <w:rFonts w:ascii="Verdana" w:eastAsia="Calibri" w:hAnsi="Verdana" w:cs="Arial"/>
                <w:lang w:val="es-ES" w:eastAsia="es-ES"/>
              </w:rPr>
              <w:t xml:space="preserve"> / </w:t>
            </w:r>
            <w:r w:rsidRPr="00E81337">
              <w:rPr>
                <w:rFonts w:ascii="Verdana" w:eastAsia="Calibri" w:hAnsi="Verdana" w:cs="Arial"/>
                <w:lang w:val="es-ES" w:eastAsia="es-ES"/>
              </w:rPr>
              <w:t>BIENES Y SERVICIOS – Defensa y seguridad nacional – Preferencia – Productores nacionales – Ley 1089 de 2006</w:t>
            </w:r>
            <w:r>
              <w:rPr>
                <w:rFonts w:ascii="Verdana" w:eastAsia="Calibri" w:hAnsi="Verdana" w:cs="Arial"/>
                <w:lang w:val="es-ES" w:eastAsia="es-ES"/>
              </w:rPr>
              <w:t xml:space="preserve"> / </w:t>
            </w:r>
            <w:r w:rsidRPr="00E81337">
              <w:rPr>
                <w:rFonts w:ascii="Verdana" w:eastAsia="Calibri" w:hAnsi="Verdana" w:cs="Arial"/>
                <w:lang w:val="es-ES" w:eastAsia="es-ES"/>
              </w:rPr>
              <w:t>BIENES Y SERVICIOS – Defensa y seguridad nacional – Ley 1150 de 2007 – Contratación directa – Modificaciones – Ley 1089 de 2006 – Ausencia de derogación</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5307AC3" w14:textId="77777777" w:rsidR="00F55A1F" w:rsidRPr="00593A5F" w:rsidRDefault="00F55A1F" w:rsidP="00200273">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F55A1F" w:rsidRPr="008E6AD9" w14:paraId="277FEA69" w14:textId="77777777" w:rsidTr="00200273">
        <w:tc>
          <w:tcPr>
            <w:tcW w:w="2689" w:type="dxa"/>
          </w:tcPr>
          <w:p w14:paraId="7D6ADFCA" w14:textId="77777777" w:rsidR="00F55A1F" w:rsidRPr="008E6AD9" w:rsidRDefault="00F55A1F" w:rsidP="0020027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8184E49" w14:textId="647D197F" w:rsidR="00F55A1F" w:rsidRPr="00B92340" w:rsidRDefault="00F55A1F" w:rsidP="00200273">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No.</w:t>
            </w:r>
            <w:r>
              <w:rPr>
                <w:rFonts w:ascii="Verdana" w:eastAsia="Calibri" w:hAnsi="Verdana" w:cs="Arial"/>
                <w:lang w:val="es-ES_tradnl" w:eastAsia="es-ES_tradnl"/>
              </w:rPr>
              <w:t xml:space="preserve"> </w:t>
            </w:r>
            <w:r w:rsidRPr="00A266E6">
              <w:rPr>
                <w:rFonts w:ascii="Verdana" w:eastAsia="Calibri" w:hAnsi="Verdana" w:cs="Arial"/>
                <w:lang w:val="es-ES_tradnl" w:eastAsia="es-ES_tradnl"/>
              </w:rPr>
              <w:t>1_2026_03_27_004247</w:t>
            </w:r>
            <w:r w:rsidR="00C5332D">
              <w:rPr>
                <w:rFonts w:ascii="Verdana" w:eastAsia="Calibri" w:hAnsi="Verdana" w:cs="Arial"/>
                <w:lang w:val="es-ES_tradnl" w:eastAsia="es-ES_tradnl"/>
              </w:rPr>
              <w:t>,</w:t>
            </w:r>
            <w:r>
              <w:rPr>
                <w:rFonts w:ascii="Verdana" w:eastAsia="Calibri" w:hAnsi="Verdana" w:cs="Arial"/>
                <w:lang w:val="es-ES_tradnl" w:eastAsia="es-ES_tradnl"/>
              </w:rPr>
              <w:t xml:space="preserve"> </w:t>
            </w:r>
            <w:r w:rsidRPr="00A266E6">
              <w:rPr>
                <w:rFonts w:ascii="Verdana" w:eastAsia="Calibri" w:hAnsi="Verdana" w:cs="Arial"/>
                <w:lang w:val="es-ES_tradnl" w:eastAsia="es-ES_tradnl"/>
              </w:rPr>
              <w:t>1_2026_03_27_004248</w:t>
            </w:r>
            <w:r w:rsidR="00C5332D">
              <w:rPr>
                <w:rFonts w:ascii="Verdana" w:eastAsia="Calibri" w:hAnsi="Verdana" w:cs="Arial"/>
                <w:lang w:val="es-ES_tradnl" w:eastAsia="es-ES_tradnl"/>
              </w:rPr>
              <w:t xml:space="preserve"> y </w:t>
            </w:r>
            <w:r w:rsidR="00C5332D" w:rsidRPr="00C5332D">
              <w:rPr>
                <w:rFonts w:ascii="Verdana" w:eastAsia="Calibri" w:hAnsi="Verdana" w:cs="Arial"/>
                <w:lang w:val="es-ES_tradnl" w:eastAsia="es-ES_tradnl"/>
              </w:rPr>
              <w:t>1_2026_04_29_005860</w:t>
            </w:r>
            <w:r w:rsidR="00C5332D">
              <w:rPr>
                <w:rFonts w:ascii="Verdana" w:eastAsia="Calibri" w:hAnsi="Verdana" w:cs="Arial"/>
                <w:lang w:val="es-ES_tradnl" w:eastAsia="es-ES_tradnl"/>
              </w:rPr>
              <w:t xml:space="preserve"> </w:t>
            </w:r>
            <w:r>
              <w:rPr>
                <w:rFonts w:ascii="Verdana" w:eastAsia="Calibri" w:hAnsi="Verdana" w:cs="Arial"/>
                <w:lang w:val="es-ES_tradnl" w:eastAsia="es-ES_tradnl"/>
              </w:rPr>
              <w:t>–Acumuladas–</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71509835" w14:textId="77777777" w:rsidR="00F55A1F" w:rsidRPr="00593A5F" w:rsidRDefault="00F55A1F" w:rsidP="00F55A1F">
      <w:pPr>
        <w:spacing w:after="0" w:line="240" w:lineRule="auto"/>
        <w:jc w:val="both"/>
        <w:rPr>
          <w:rFonts w:ascii="Verdana" w:eastAsia="Calibri" w:hAnsi="Verdana" w:cs="Arial"/>
          <w:color w:val="000000"/>
          <w:lang w:val="es-ES_tradnl" w:eastAsia="es-ES_tradnl"/>
        </w:rPr>
      </w:pPr>
    </w:p>
    <w:p w14:paraId="3BEC0FD5" w14:textId="77777777" w:rsidR="00F55A1F" w:rsidRPr="00593A5F" w:rsidRDefault="00F55A1F" w:rsidP="00F55A1F">
      <w:pPr>
        <w:spacing w:after="0" w:line="240" w:lineRule="auto"/>
        <w:jc w:val="both"/>
        <w:rPr>
          <w:rFonts w:ascii="Verdana" w:eastAsia="Calibri" w:hAnsi="Verdana" w:cs="Arial"/>
          <w:color w:val="000000"/>
          <w:lang w:val="es-ES_tradnl" w:eastAsia="es-ES_tradnl"/>
        </w:rPr>
      </w:pPr>
    </w:p>
    <w:p w14:paraId="6A282B7A" w14:textId="77777777" w:rsidR="00F55A1F" w:rsidRPr="008E6AD9" w:rsidRDefault="00F55A1F" w:rsidP="00F55A1F">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B74548">
        <w:rPr>
          <w:rFonts w:ascii="Verdana" w:eastAsia="Calibri" w:hAnsi="Verdana" w:cs="Arial"/>
          <w:lang w:val="es-ES" w:eastAsia="es-ES"/>
        </w:rPr>
        <w:t>Bautista Conde</w:t>
      </w:r>
      <w:r w:rsidRPr="008E6AD9">
        <w:rPr>
          <w:rFonts w:ascii="Verdana" w:eastAsia="Calibri" w:hAnsi="Verdana" w:cs="Arial"/>
          <w:lang w:val="es-ES" w:eastAsia="es-ES"/>
        </w:rPr>
        <w:t xml:space="preserve">: </w:t>
      </w:r>
    </w:p>
    <w:p w14:paraId="2218E401" w14:textId="77777777" w:rsidR="00F55A1F" w:rsidRDefault="00F55A1F" w:rsidP="00F55A1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FEFB76E" w14:textId="2ACD923F" w:rsidR="00F55A1F" w:rsidRPr="00593A5F" w:rsidRDefault="00F55A1F" w:rsidP="00F55A1F">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w:t>
      </w:r>
      <w:r w:rsidR="00C5332D">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sidR="00C5332D">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27 de marzo</w:t>
      </w:r>
      <w:r w:rsidR="00FE5C5A">
        <w:rPr>
          <w:rFonts w:ascii="Verdana" w:eastAsia="Calibri" w:hAnsi="Verdana" w:cs="Arial"/>
          <w:lang w:val="es-ES" w:eastAsia="es-ES"/>
        </w:rPr>
        <w:t xml:space="preserve"> y 29 de abril</w:t>
      </w:r>
      <w:r>
        <w:rPr>
          <w:rFonts w:ascii="Verdana" w:eastAsia="Calibri" w:hAnsi="Verdana" w:cs="Arial"/>
          <w:lang w:val="es-ES" w:eastAsia="es-ES"/>
        </w:rPr>
        <w:t xml:space="preserve"> de 2026, donde –conforme a la regulación establecida en la Ley 1089 de 2006– solicita</w:t>
      </w:r>
      <w:r w:rsidRPr="008E6AD9">
        <w:rPr>
          <w:rFonts w:ascii="Verdana" w:eastAsia="Calibri" w:hAnsi="Verdana" w:cs="Arial"/>
          <w:lang w:val="es-ES" w:eastAsia="es-ES"/>
        </w:rPr>
        <w:t xml:space="preserve">: </w:t>
      </w:r>
    </w:p>
    <w:p w14:paraId="1A5CD23A" w14:textId="77777777" w:rsidR="00F55A1F" w:rsidRPr="00272A7B" w:rsidRDefault="00F55A1F" w:rsidP="00F55A1F">
      <w:pPr>
        <w:pStyle w:val="Prrafodelista"/>
        <w:tabs>
          <w:tab w:val="left" w:pos="142"/>
          <w:tab w:val="left" w:pos="284"/>
        </w:tabs>
        <w:spacing w:after="0" w:line="276" w:lineRule="auto"/>
        <w:ind w:left="0"/>
        <w:jc w:val="both"/>
        <w:rPr>
          <w:rFonts w:ascii="Verdana" w:eastAsia="Century Gothic" w:hAnsi="Verdana" w:cs="Century Gothic"/>
          <w:b/>
          <w:bCs/>
        </w:rPr>
      </w:pPr>
    </w:p>
    <w:p w14:paraId="75F9B7AF" w14:textId="77777777" w:rsidR="00F55A1F" w:rsidRPr="008E6AD9" w:rsidRDefault="00F55A1F" w:rsidP="00F55A1F">
      <w:pPr>
        <w:spacing w:after="0" w:line="240" w:lineRule="auto"/>
        <w:ind w:left="709" w:right="709"/>
        <w:jc w:val="both"/>
        <w:rPr>
          <w:rFonts w:ascii="Verdana" w:eastAsia="Century Gothic" w:hAnsi="Verdana" w:cs="Century Gothic"/>
          <w:b/>
          <w:bCs/>
        </w:rPr>
      </w:pPr>
      <w:bookmarkStart w:id="0" w:name="_Hlk95313578"/>
      <w:r w:rsidRPr="001904AF">
        <w:rPr>
          <w:rFonts w:ascii="Verdana" w:eastAsia="Century Gothic" w:hAnsi="Verdana" w:cs="Century Gothic"/>
          <w:sz w:val="20"/>
          <w:szCs w:val="20"/>
          <w:lang w:val="es-ES"/>
        </w:rPr>
        <w:lastRenderedPageBreak/>
        <w:t>“</w:t>
      </w:r>
      <w:bookmarkEnd w:id="0"/>
      <w:r w:rsidRPr="007C63F9">
        <w:rPr>
          <w:rFonts w:ascii="Verdana" w:eastAsia="Century Gothic" w:hAnsi="Verdana" w:cs="Century Gothic"/>
          <w:sz w:val="20"/>
          <w:szCs w:val="20"/>
          <w:lang w:val="es-ES"/>
        </w:rPr>
        <w:t>Que la Agencia Nacional Colombia Compra Eficiente</w:t>
      </w:r>
      <w:r>
        <w:rPr>
          <w:rFonts w:ascii="Verdana" w:eastAsia="Century Gothic" w:hAnsi="Verdana" w:cs="Century Gothic"/>
          <w:sz w:val="20"/>
          <w:szCs w:val="20"/>
          <w:lang w:val="es-ES"/>
        </w:rPr>
        <w:t xml:space="preserve"> […]</w:t>
      </w:r>
      <w:r w:rsidRPr="007C63F9">
        <w:rPr>
          <w:rFonts w:ascii="Verdana" w:eastAsia="Century Gothic" w:hAnsi="Verdana" w:cs="Century Gothic"/>
          <w:sz w:val="20"/>
          <w:szCs w:val="20"/>
          <w:lang w:val="es-ES"/>
        </w:rPr>
        <w:t xml:space="preserve"> desglose y determine bajo los parámetros de ley y misionalidad de esta, si para los procesos de contratación que se realicen para la adquisición de Bienes para la seguridad y defensa nacional, se puede restringir solamente a Productores Nacionales que cuenten con el Registro de Productor Nacional ante el VUCE</w:t>
      </w:r>
      <w:r>
        <w:rPr>
          <w:rFonts w:ascii="Verdana" w:eastAsia="Century Gothic" w:hAnsi="Verdana" w:cs="Century Gothic"/>
          <w:sz w:val="20"/>
          <w:szCs w:val="20"/>
          <w:lang w:val="es-ES"/>
        </w:rPr>
        <w:t>”.</w:t>
      </w:r>
    </w:p>
    <w:p w14:paraId="0808B2C2" w14:textId="77777777" w:rsidR="00F55A1F" w:rsidRDefault="00F55A1F" w:rsidP="00F55A1F">
      <w:pPr>
        <w:spacing w:after="0" w:line="276" w:lineRule="auto"/>
        <w:ind w:firstLine="709"/>
        <w:jc w:val="both"/>
        <w:rPr>
          <w:rFonts w:ascii="Verdana" w:eastAsia="Calibri" w:hAnsi="Verdana" w:cs="Arial"/>
          <w:color w:val="000000"/>
          <w:lang w:val="es-ES" w:eastAsia="es-ES"/>
        </w:rPr>
      </w:pPr>
    </w:p>
    <w:p w14:paraId="50BE6B75" w14:textId="70DABB2E" w:rsidR="00F55A1F" w:rsidRPr="00A652FF" w:rsidRDefault="00F55A1F" w:rsidP="00F55A1F">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623FD4">
        <w:rPr>
          <w:rFonts w:ascii="Verdana" w:eastAsia="Calibri" w:hAnsi="Verdana" w:cs="Arial"/>
          <w:color w:val="000000"/>
          <w:lang w:val="es-ES" w:eastAsia="es-ES"/>
        </w:rPr>
        <w:t xml:space="preserve">la Agencia Nacional de Contratación Pública - </w:t>
      </w:r>
      <w:r w:rsidRPr="00593A5F">
        <w:rPr>
          <w:rFonts w:ascii="Verdana" w:eastAsia="Calibri" w:hAnsi="Verdana" w:cs="Arial"/>
          <w:color w:val="000000"/>
          <w:lang w:val="es-ES" w:eastAsia="es-ES"/>
        </w:rPr>
        <w:t xml:space="preserve">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42D3D13" w14:textId="343F7E75" w:rsidR="00F55A1F" w:rsidRDefault="00F55A1F" w:rsidP="00F55A1F">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w:t>
      </w:r>
      <w:r w:rsidR="00CC1174">
        <w:rPr>
          <w:rFonts w:ascii="Verdana" w:eastAsia="Calibri" w:hAnsi="Verdana" w:cs="Arial"/>
          <w:color w:val="000000"/>
          <w:lang w:val="es-ES" w:eastAsia="es-ES"/>
        </w:rPr>
        <w:t>señalando</w:t>
      </w:r>
      <w:r w:rsidR="00CC1174" w:rsidRPr="00593A5F">
        <w:rPr>
          <w:rFonts w:ascii="Verdana" w:eastAsia="Calibri" w:hAnsi="Verdana" w:cs="Arial"/>
          <w:color w:val="000000"/>
          <w:lang w:val="es-ES" w:eastAsia="es-ES"/>
        </w:rPr>
        <w:t xml:space="preserve"> </w:t>
      </w:r>
      <w:r w:rsidR="00CC1174">
        <w:rPr>
          <w:rFonts w:ascii="Verdana" w:eastAsia="Calibri" w:hAnsi="Verdana" w:cs="Arial"/>
          <w:color w:val="000000"/>
          <w:lang w:val="es-ES" w:eastAsia="es-ES"/>
        </w:rPr>
        <w:t>alg</w:t>
      </w:r>
      <w:r w:rsidRPr="00593A5F">
        <w:rPr>
          <w:rFonts w:ascii="Verdana" w:eastAsia="Calibri" w:hAnsi="Verdana" w:cs="Arial"/>
          <w:color w:val="000000"/>
          <w:lang w:val="es-ES" w:eastAsia="es-ES"/>
        </w:rPr>
        <w:t xml:space="preserve">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468CC603" w14:textId="77777777" w:rsidR="00F55A1F" w:rsidRPr="00593A5F" w:rsidRDefault="00F55A1F" w:rsidP="00F55A1F">
      <w:pPr>
        <w:spacing w:after="0" w:line="276" w:lineRule="auto"/>
        <w:ind w:firstLine="709"/>
        <w:jc w:val="both"/>
        <w:rPr>
          <w:rFonts w:ascii="Verdana" w:eastAsia="Calibri" w:hAnsi="Verdana" w:cs="Arial"/>
          <w:color w:val="000000"/>
          <w:lang w:val="es-ES" w:eastAsia="es-ES"/>
        </w:rPr>
      </w:pPr>
    </w:p>
    <w:p w14:paraId="21953F34" w14:textId="77777777" w:rsidR="00F55A1F" w:rsidRPr="00593A5F" w:rsidRDefault="00F55A1F" w:rsidP="00F55A1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5A666C2" w14:textId="77777777" w:rsidR="00F55A1F" w:rsidRPr="00593A5F" w:rsidRDefault="00F55A1F" w:rsidP="00F55A1F">
      <w:pPr>
        <w:tabs>
          <w:tab w:val="left" w:pos="426"/>
        </w:tabs>
        <w:spacing w:after="0" w:line="276" w:lineRule="auto"/>
        <w:jc w:val="both"/>
        <w:rPr>
          <w:rFonts w:ascii="Verdana" w:eastAsia="Century Gothic" w:hAnsi="Verdana" w:cs="Century Gothic"/>
          <w:lang w:val="es-ES"/>
        </w:rPr>
      </w:pPr>
    </w:p>
    <w:p w14:paraId="0BC11B83" w14:textId="400201CD" w:rsidR="00F55A1F" w:rsidRPr="00593A5F" w:rsidRDefault="00F55A1F" w:rsidP="00F55A1F">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7B7390">
        <w:rPr>
          <w:rFonts w:ascii="Verdana" w:eastAsia="Century Gothic" w:hAnsi="Verdana" w:cs="Century Gothic"/>
        </w:rPr>
        <w:t xml:space="preserve">¿cuál </w:t>
      </w:r>
      <w:r>
        <w:rPr>
          <w:rFonts w:ascii="Verdana" w:eastAsia="Century Gothic" w:hAnsi="Verdana" w:cs="Century Gothic"/>
        </w:rPr>
        <w:t xml:space="preserve">es el alcance del </w:t>
      </w:r>
      <w:r w:rsidR="00E72965">
        <w:rPr>
          <w:rFonts w:ascii="Verdana" w:eastAsia="Century Gothic" w:hAnsi="Verdana" w:cs="Century Gothic"/>
        </w:rPr>
        <w:t xml:space="preserve">Registro </w:t>
      </w:r>
      <w:r>
        <w:rPr>
          <w:rFonts w:ascii="Verdana" w:eastAsia="Century Gothic" w:hAnsi="Verdana" w:cs="Century Gothic"/>
        </w:rPr>
        <w:t xml:space="preserve">de </w:t>
      </w:r>
      <w:r w:rsidR="00E72965">
        <w:rPr>
          <w:rFonts w:ascii="Verdana" w:eastAsia="Century Gothic" w:hAnsi="Verdana" w:cs="Century Gothic"/>
        </w:rPr>
        <w:t xml:space="preserve">Productores Nacionales </w:t>
      </w:r>
      <w:r>
        <w:rPr>
          <w:rFonts w:ascii="Verdana" w:eastAsia="Century Gothic" w:hAnsi="Verdana" w:cs="Century Gothic"/>
        </w:rPr>
        <w:t>previsto en la Ley 1089 de 2006 para los bienes y servicios relacionados con la defensa y seguridad nacional respecto a las modificaciones introducidas por la Ley 1150 de 2007</w:t>
      </w:r>
      <w:r w:rsidRPr="007B7390">
        <w:rPr>
          <w:rFonts w:ascii="Verdana" w:eastAsia="Century Gothic" w:hAnsi="Verdana" w:cs="Century Gothic"/>
        </w:rPr>
        <w:t>?</w:t>
      </w:r>
      <w:r>
        <w:rPr>
          <w:rFonts w:ascii="Verdana" w:eastAsia="Century Gothic" w:hAnsi="Verdana" w:cs="Century Gothic"/>
        </w:rPr>
        <w:t xml:space="preserve"> </w:t>
      </w:r>
    </w:p>
    <w:p w14:paraId="0A492DCF" w14:textId="77777777" w:rsidR="00F55A1F" w:rsidRPr="004B140F" w:rsidRDefault="00F55A1F" w:rsidP="00F55A1F">
      <w:pPr>
        <w:spacing w:after="0" w:line="276" w:lineRule="auto"/>
        <w:jc w:val="both"/>
        <w:rPr>
          <w:rFonts w:ascii="Verdana" w:eastAsia="Calibri" w:hAnsi="Verdana" w:cs="Arial"/>
          <w:color w:val="7030A0"/>
        </w:rPr>
      </w:pPr>
    </w:p>
    <w:p w14:paraId="346F2109" w14:textId="77777777" w:rsidR="00F55A1F" w:rsidRPr="00593A5F" w:rsidRDefault="00F55A1F" w:rsidP="00F55A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6533102" w14:textId="77777777" w:rsidR="00F55A1F" w:rsidRPr="00593A5F" w:rsidRDefault="00F55A1F" w:rsidP="00F55A1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55A1F" w:rsidRPr="00593A5F" w14:paraId="148E7CD6" w14:textId="77777777" w:rsidTr="00200273">
        <w:trPr>
          <w:jc w:val="center"/>
        </w:trPr>
        <w:tc>
          <w:tcPr>
            <w:tcW w:w="8828" w:type="dxa"/>
          </w:tcPr>
          <w:p w14:paraId="608BF24A" w14:textId="06C26D24" w:rsidR="00F55A1F" w:rsidRPr="0053156B" w:rsidRDefault="00F55A1F" w:rsidP="00200273">
            <w:pPr>
              <w:tabs>
                <w:tab w:val="left" w:pos="426"/>
              </w:tabs>
              <w:spacing w:after="120" w:line="276" w:lineRule="auto"/>
              <w:jc w:val="both"/>
              <w:rPr>
                <w:rFonts w:ascii="Verdana" w:eastAsia="Arial" w:hAnsi="Verdana" w:cs="Arial"/>
                <w:lang w:val="es-MX" w:eastAsia="es-ES" w:bidi="es-ES"/>
              </w:rPr>
            </w:pPr>
            <w:bookmarkStart w:id="1" w:name="_Hlk171694685"/>
            <w:r w:rsidRPr="000955E3">
              <w:rPr>
                <w:rFonts w:ascii="Verdana" w:eastAsia="Calibri" w:hAnsi="Verdana" w:cs="Arial"/>
                <w:bCs/>
                <w:color w:val="000000" w:themeColor="text1"/>
              </w:rPr>
              <w:lastRenderedPageBreak/>
              <w:t>Conforme a la interpretación general de las normas del sistema de compras</w:t>
            </w:r>
            <w:r w:rsidR="00A461EB">
              <w:rPr>
                <w:rFonts w:ascii="Verdana" w:eastAsia="Calibri" w:hAnsi="Verdana" w:cs="Arial"/>
                <w:bCs/>
                <w:color w:val="000000" w:themeColor="text1"/>
              </w:rPr>
              <w:t xml:space="preserve"> y contratación</w:t>
            </w:r>
            <w:r w:rsidRPr="000955E3">
              <w:rPr>
                <w:rFonts w:ascii="Verdana" w:eastAsia="Calibri" w:hAnsi="Verdana" w:cs="Arial"/>
                <w:bCs/>
                <w:color w:val="000000" w:themeColor="text1"/>
              </w:rPr>
              <w:t xml:space="preserve"> pública</w:t>
            </w:r>
            <w:r w:rsidRPr="000955E3">
              <w:rPr>
                <w:rFonts w:ascii="Verdana" w:eastAsia="Arial" w:hAnsi="Verdana" w:cs="Arial"/>
                <w:lang w:val="es-MX" w:eastAsia="es-ES" w:bidi="es-ES"/>
              </w:rPr>
              <w:t>,</w:t>
            </w:r>
            <w:r>
              <w:rPr>
                <w:rFonts w:ascii="Verdana" w:eastAsia="Arial" w:hAnsi="Verdana" w:cs="Arial"/>
                <w:lang w:val="es-MX" w:eastAsia="es-ES" w:bidi="es-ES"/>
              </w:rPr>
              <w:t xml:space="preserve"> e</w:t>
            </w:r>
            <w:r w:rsidRPr="0068083E">
              <w:rPr>
                <w:rFonts w:ascii="Verdana" w:eastAsia="Calibri" w:hAnsi="Verdana" w:cs="Arial"/>
                <w:bCs/>
                <w:color w:val="000000" w:themeColor="text1"/>
                <w:lang w:val="es-ES_tradnl"/>
              </w:rPr>
              <w:t>l artículo 32 de la Ley 1150 de 2007 derogó el artículo 24</w:t>
            </w:r>
            <w:r>
              <w:rPr>
                <w:rFonts w:ascii="Verdana" w:eastAsia="Calibri" w:hAnsi="Verdana" w:cs="Arial"/>
                <w:bCs/>
                <w:color w:val="000000" w:themeColor="text1"/>
                <w:lang w:val="es-ES_tradnl"/>
              </w:rPr>
              <w:t>.1</w:t>
            </w:r>
            <w:r w:rsidRPr="0068083E">
              <w:rPr>
                <w:rFonts w:ascii="Verdana" w:eastAsia="Calibri" w:hAnsi="Verdana" w:cs="Arial"/>
                <w:bCs/>
                <w:color w:val="000000" w:themeColor="text1"/>
                <w:lang w:val="es-ES_tradnl"/>
              </w:rPr>
              <w:t xml:space="preserve"> de la Ley 80 de 1993, e</w:t>
            </w:r>
            <w:r w:rsidR="00920673">
              <w:rPr>
                <w:rFonts w:ascii="Verdana" w:eastAsia="Calibri" w:hAnsi="Verdana" w:cs="Arial"/>
                <w:bCs/>
                <w:color w:val="000000" w:themeColor="text1"/>
                <w:lang w:val="es-ES_tradnl"/>
              </w:rPr>
              <w:t>l cual</w:t>
            </w:r>
            <w:r w:rsidRPr="0068083E">
              <w:rPr>
                <w:rFonts w:ascii="Verdana" w:eastAsia="Calibri" w:hAnsi="Verdana" w:cs="Arial"/>
                <w:bCs/>
                <w:color w:val="000000" w:themeColor="text1"/>
                <w:lang w:val="es-ES_tradnl"/>
              </w:rPr>
              <w:t xml:space="preserve"> establecía que la adquisición de bienes y servicios requeridos para la defensa y seguridad nacional era causal de contratación directa</w:t>
            </w:r>
            <w:r w:rsidR="001A4DC2">
              <w:rPr>
                <w:rFonts w:ascii="Verdana" w:eastAsia="Calibri" w:hAnsi="Verdana" w:cs="Arial"/>
                <w:bCs/>
                <w:color w:val="000000" w:themeColor="text1"/>
                <w:lang w:val="es-ES_tradnl"/>
              </w:rPr>
              <w:t xml:space="preserve">. Dicha </w:t>
            </w:r>
            <w:r w:rsidRPr="0068083E">
              <w:rPr>
                <w:rFonts w:ascii="Verdana" w:eastAsia="Calibri" w:hAnsi="Verdana" w:cs="Arial"/>
                <w:bCs/>
                <w:color w:val="000000" w:themeColor="text1"/>
                <w:lang w:val="es-ES_tradnl"/>
              </w:rPr>
              <w:t>causal que pasó a ser de</w:t>
            </w:r>
            <w:r w:rsidR="001A4DC2">
              <w:rPr>
                <w:rFonts w:ascii="Verdana" w:eastAsia="Calibri" w:hAnsi="Verdana" w:cs="Arial"/>
                <w:bCs/>
                <w:color w:val="000000" w:themeColor="text1"/>
                <w:lang w:val="es-ES_tradnl"/>
              </w:rPr>
              <w:t xml:space="preserve"> la modalidad de</w:t>
            </w:r>
            <w:r w:rsidRPr="0068083E">
              <w:rPr>
                <w:rFonts w:ascii="Verdana" w:eastAsia="Calibri" w:hAnsi="Verdana" w:cs="Arial"/>
                <w:bCs/>
                <w:color w:val="000000" w:themeColor="text1"/>
                <w:lang w:val="es-ES_tradnl"/>
              </w:rPr>
              <w:t xml:space="preserve"> </w:t>
            </w:r>
            <w:r w:rsidRPr="0068083E">
              <w:rPr>
                <w:rFonts w:ascii="Verdana" w:eastAsia="Calibri" w:hAnsi="Verdana" w:cs="Arial"/>
                <w:bCs/>
                <w:i/>
                <w:iCs/>
                <w:color w:val="000000" w:themeColor="text1"/>
                <w:lang w:val="es-ES_tradnl"/>
              </w:rPr>
              <w:t>selección abreviada</w:t>
            </w:r>
            <w:r w:rsidRPr="0068083E">
              <w:rPr>
                <w:rFonts w:ascii="Verdana" w:eastAsia="Calibri" w:hAnsi="Verdana" w:cs="Arial"/>
                <w:bCs/>
                <w:color w:val="000000" w:themeColor="text1"/>
                <w:lang w:val="es-ES_tradnl"/>
              </w:rPr>
              <w:t>, de conformidad con el</w:t>
            </w:r>
            <w:r>
              <w:rPr>
                <w:rFonts w:ascii="Verdana" w:eastAsia="Calibri" w:hAnsi="Verdana" w:cs="Arial"/>
                <w:bCs/>
                <w:color w:val="000000" w:themeColor="text1"/>
                <w:lang w:val="es-ES_tradnl"/>
              </w:rPr>
              <w:t xml:space="preserve"> literal i) del</w:t>
            </w:r>
            <w:r w:rsidRPr="0068083E">
              <w:rPr>
                <w:rFonts w:ascii="Verdana" w:eastAsia="Calibri" w:hAnsi="Verdana" w:cs="Arial"/>
                <w:bCs/>
                <w:color w:val="000000" w:themeColor="text1"/>
                <w:lang w:val="es-ES_tradnl"/>
              </w:rPr>
              <w:t xml:space="preserve"> artículo 2</w:t>
            </w:r>
            <w:r>
              <w:rPr>
                <w:rFonts w:ascii="Verdana" w:eastAsia="Calibri" w:hAnsi="Verdana" w:cs="Arial"/>
                <w:bCs/>
                <w:color w:val="000000" w:themeColor="text1"/>
                <w:lang w:val="es-ES_tradnl"/>
              </w:rPr>
              <w:t>.2</w:t>
            </w:r>
            <w:r w:rsidRPr="0068083E">
              <w:rPr>
                <w:rFonts w:ascii="Verdana" w:eastAsia="Calibri" w:hAnsi="Verdana" w:cs="Arial"/>
                <w:bCs/>
                <w:color w:val="000000" w:themeColor="text1"/>
                <w:lang w:val="es-ES_tradnl"/>
              </w:rPr>
              <w:t xml:space="preserve"> de la mencionada Ley 1150</w:t>
            </w:r>
            <w:r>
              <w:rPr>
                <w:rFonts w:ascii="Verdana" w:eastAsia="Calibri" w:hAnsi="Verdana" w:cs="Arial"/>
                <w:bCs/>
                <w:color w:val="000000" w:themeColor="text1"/>
                <w:lang w:val="es-ES_tradnl"/>
              </w:rPr>
              <w:t xml:space="preserve"> de 2007</w:t>
            </w:r>
            <w:r w:rsidRPr="0068083E">
              <w:rPr>
                <w:rFonts w:ascii="Verdana" w:eastAsia="Calibri" w:hAnsi="Verdana" w:cs="Arial"/>
                <w:bCs/>
                <w:color w:val="000000" w:themeColor="text1"/>
                <w:lang w:val="es-ES_tradnl"/>
              </w:rPr>
              <w:t>, salvo</w:t>
            </w:r>
            <w:r w:rsidR="001A4DC2">
              <w:rPr>
                <w:rFonts w:ascii="Verdana" w:eastAsia="Calibri" w:hAnsi="Verdana" w:cs="Arial"/>
                <w:bCs/>
                <w:color w:val="000000" w:themeColor="text1"/>
                <w:lang w:val="es-ES_tradnl"/>
              </w:rPr>
              <w:t xml:space="preserve"> en aquel</w:t>
            </w:r>
            <w:r w:rsidRPr="0068083E">
              <w:rPr>
                <w:rFonts w:ascii="Verdana" w:eastAsia="Calibri" w:hAnsi="Verdana" w:cs="Arial"/>
                <w:bCs/>
                <w:color w:val="000000" w:themeColor="text1"/>
                <w:lang w:val="es-ES_tradnl"/>
              </w:rPr>
              <w:t xml:space="preserve">los </w:t>
            </w:r>
            <w:r w:rsidR="0011707C">
              <w:rPr>
                <w:rFonts w:ascii="Verdana" w:eastAsia="Calibri" w:hAnsi="Verdana" w:cs="Arial"/>
                <w:bCs/>
                <w:color w:val="000000" w:themeColor="text1"/>
                <w:lang w:val="es-ES_tradnl"/>
              </w:rPr>
              <w:t xml:space="preserve">casos en los </w:t>
            </w:r>
            <w:r w:rsidRPr="0068083E">
              <w:rPr>
                <w:rFonts w:ascii="Verdana" w:eastAsia="Calibri" w:hAnsi="Verdana" w:cs="Arial"/>
                <w:bCs/>
                <w:color w:val="000000" w:themeColor="text1"/>
                <w:lang w:val="es-ES_tradnl"/>
              </w:rPr>
              <w:t xml:space="preserve">que </w:t>
            </w:r>
            <w:r w:rsidR="0011707C">
              <w:rPr>
                <w:rFonts w:ascii="Verdana" w:eastAsia="Calibri" w:hAnsi="Verdana" w:cs="Arial"/>
                <w:bCs/>
                <w:color w:val="000000" w:themeColor="text1"/>
                <w:lang w:val="es-ES_tradnl"/>
              </w:rPr>
              <w:t xml:space="preserve">la naturaleza de los bienes o servicios </w:t>
            </w:r>
            <w:r w:rsidRPr="0068083E">
              <w:rPr>
                <w:rFonts w:ascii="Verdana" w:eastAsia="Calibri" w:hAnsi="Verdana" w:cs="Arial"/>
                <w:bCs/>
                <w:color w:val="000000" w:themeColor="text1"/>
                <w:lang w:val="es-ES_tradnl"/>
              </w:rPr>
              <w:t xml:space="preserve">requieran reserva para su adquisición, frente a los cuales mantuvo, en </w:t>
            </w:r>
            <w:r>
              <w:rPr>
                <w:rFonts w:ascii="Verdana" w:eastAsia="Calibri" w:hAnsi="Verdana" w:cs="Arial"/>
                <w:bCs/>
                <w:color w:val="000000" w:themeColor="text1"/>
                <w:lang w:val="es-ES_tradnl"/>
              </w:rPr>
              <w:t xml:space="preserve">los </w:t>
            </w:r>
            <w:r w:rsidRPr="0068083E">
              <w:rPr>
                <w:rFonts w:ascii="Verdana" w:eastAsia="Calibri" w:hAnsi="Verdana" w:cs="Arial"/>
                <w:bCs/>
                <w:color w:val="000000" w:themeColor="text1"/>
                <w:lang w:val="es-ES_tradnl"/>
              </w:rPr>
              <w:t>literales d) y j)</w:t>
            </w:r>
            <w:r>
              <w:rPr>
                <w:rFonts w:ascii="Verdana" w:eastAsia="Calibri" w:hAnsi="Verdana" w:cs="Arial"/>
                <w:bCs/>
                <w:color w:val="000000" w:themeColor="text1"/>
                <w:lang w:val="es-ES_tradnl"/>
              </w:rPr>
              <w:t xml:space="preserve"> d</w:t>
            </w:r>
            <w:r w:rsidRPr="0068083E">
              <w:rPr>
                <w:rFonts w:ascii="Verdana" w:eastAsia="Calibri" w:hAnsi="Verdana" w:cs="Arial"/>
                <w:bCs/>
                <w:color w:val="000000" w:themeColor="text1"/>
                <w:lang w:val="es-ES_tradnl"/>
              </w:rPr>
              <w:t>el artículo 2</w:t>
            </w:r>
            <w:r>
              <w:rPr>
                <w:rFonts w:ascii="Verdana" w:eastAsia="Calibri" w:hAnsi="Verdana" w:cs="Arial"/>
                <w:bCs/>
                <w:color w:val="000000" w:themeColor="text1"/>
                <w:lang w:val="es-ES_tradnl"/>
              </w:rPr>
              <w:t xml:space="preserve">.4 </w:t>
            </w:r>
            <w:r w:rsidRPr="00340449">
              <w:rPr>
                <w:rFonts w:ascii="Verdana" w:eastAsia="Calibri" w:hAnsi="Verdana" w:cs="Arial"/>
                <w:bCs/>
                <w:i/>
                <w:iCs/>
                <w:color w:val="000000" w:themeColor="text1"/>
                <w:lang w:val="es-ES_tradnl"/>
              </w:rPr>
              <w:t>ibidem</w:t>
            </w:r>
            <w:r w:rsidRPr="0068083E">
              <w:rPr>
                <w:rFonts w:ascii="Verdana" w:eastAsia="Calibri" w:hAnsi="Verdana" w:cs="Arial"/>
                <w:bCs/>
                <w:color w:val="000000" w:themeColor="text1"/>
                <w:lang w:val="es-ES_tradnl"/>
              </w:rPr>
              <w:t xml:space="preserve">, la posibilidad de </w:t>
            </w:r>
            <w:r w:rsidRPr="0068083E">
              <w:rPr>
                <w:rFonts w:ascii="Verdana" w:eastAsia="Calibri" w:hAnsi="Verdana" w:cs="Arial"/>
                <w:bCs/>
                <w:i/>
                <w:iCs/>
                <w:color w:val="000000" w:themeColor="text1"/>
                <w:lang w:val="es-ES_tradnl"/>
              </w:rPr>
              <w:t>contratación directa</w:t>
            </w:r>
            <w:r w:rsidRPr="0068083E">
              <w:rPr>
                <w:rFonts w:ascii="Verdana" w:eastAsia="Calibri" w:hAnsi="Verdana" w:cs="Arial"/>
                <w:bCs/>
                <w:color w:val="000000" w:themeColor="text1"/>
                <w:lang w:val="es-ES_tradnl"/>
              </w:rPr>
              <w:t xml:space="preserve">. </w:t>
            </w:r>
            <w:r>
              <w:rPr>
                <w:rFonts w:ascii="Verdana" w:eastAsia="Calibri" w:hAnsi="Verdana" w:cs="Arial"/>
                <w:bCs/>
                <w:color w:val="000000" w:themeColor="text1"/>
                <w:lang w:val="es-ES_tradnl"/>
              </w:rPr>
              <w:t xml:space="preserve">Actualmente, dichos procedimientos de selección se sujetan a las condiciones establecidas en los artículos </w:t>
            </w:r>
            <w:r w:rsidRPr="00D524F8">
              <w:rPr>
                <w:rFonts w:ascii="Verdana" w:eastAsia="Calibri" w:hAnsi="Verdana" w:cs="Arial"/>
                <w:bCs/>
                <w:color w:val="000000" w:themeColor="text1"/>
                <w:lang w:val="es-ES_tradnl"/>
              </w:rPr>
              <w:t>2.2.1.2.1.2.26</w:t>
            </w:r>
            <w:r>
              <w:rPr>
                <w:rFonts w:ascii="Verdana" w:eastAsia="Calibri" w:hAnsi="Verdana" w:cs="Arial"/>
                <w:bCs/>
                <w:color w:val="000000" w:themeColor="text1"/>
                <w:lang w:val="es-ES_tradnl"/>
              </w:rPr>
              <w:t xml:space="preserve"> y </w:t>
            </w:r>
            <w:r w:rsidRPr="00D524F8">
              <w:rPr>
                <w:rFonts w:ascii="Verdana" w:eastAsia="Calibri" w:hAnsi="Verdana" w:cs="Arial"/>
                <w:bCs/>
                <w:color w:val="000000" w:themeColor="text1"/>
                <w:lang w:val="es-ES_tradnl"/>
              </w:rPr>
              <w:t>2.2.1.2.1.4.6</w:t>
            </w:r>
            <w:r>
              <w:rPr>
                <w:rFonts w:ascii="Verdana" w:eastAsia="Calibri" w:hAnsi="Verdana" w:cs="Arial"/>
                <w:bCs/>
                <w:color w:val="000000" w:themeColor="text1"/>
                <w:lang w:val="es-ES_tradnl"/>
              </w:rPr>
              <w:t xml:space="preserve"> del Decreto 1082 de 2015.</w:t>
            </w:r>
          </w:p>
          <w:p w14:paraId="73DAF58B" w14:textId="6BE1B5D3" w:rsidR="00F55A1F" w:rsidRPr="0053156B" w:rsidRDefault="00F55A1F" w:rsidP="00200273">
            <w:pPr>
              <w:tabs>
                <w:tab w:val="left" w:pos="426"/>
              </w:tabs>
              <w:spacing w:after="120" w:line="276" w:lineRule="auto"/>
              <w:ind w:firstLine="737"/>
              <w:jc w:val="both"/>
              <w:rPr>
                <w:rFonts w:ascii="Verdana" w:eastAsia="Calibri" w:hAnsi="Verdana" w:cs="Arial"/>
                <w:bCs/>
                <w:color w:val="000000" w:themeColor="text1"/>
                <w:lang w:val="es-ES_tradnl"/>
              </w:rPr>
            </w:pPr>
            <w:r w:rsidRPr="0068083E">
              <w:rPr>
                <w:rFonts w:ascii="Verdana" w:eastAsia="Calibri" w:hAnsi="Verdana" w:cs="Arial"/>
                <w:bCs/>
                <w:color w:val="000000" w:themeColor="text1"/>
                <w:lang w:val="es-ES_tradnl"/>
              </w:rPr>
              <w:t>Ahora bien, el cambio en la modalidad de contratación de los bienes y servicios requeridos para la defensa y seguridad nacional, introducido por la Ley 1150 de 2007, no puede interpretarse como una derogatoria de la Ley 1089 de 2006, ya que lo que se modificó fue la causal, más no los requisitos especiales de contratación previstos en la Ley 1089</w:t>
            </w:r>
            <w:r>
              <w:rPr>
                <w:rFonts w:ascii="Verdana" w:eastAsia="Calibri" w:hAnsi="Verdana" w:cs="Arial"/>
                <w:bCs/>
                <w:color w:val="000000" w:themeColor="text1"/>
                <w:lang w:val="es-ES_tradnl"/>
              </w:rPr>
              <w:t xml:space="preserve"> de 2006</w:t>
            </w:r>
            <w:r w:rsidRPr="0068083E">
              <w:rPr>
                <w:rFonts w:ascii="Verdana" w:eastAsia="Calibri" w:hAnsi="Verdana" w:cs="Arial"/>
                <w:bCs/>
                <w:color w:val="000000" w:themeColor="text1"/>
                <w:lang w:val="es-ES_tradnl"/>
              </w:rPr>
              <w:t xml:space="preserve">. En otras palabras, en principio, la modalidad de selección abreviada no obsta para que la compra o suministro de tales bienes y servicios se realice con productores nacionales, </w:t>
            </w:r>
            <w:r w:rsidR="001F1DD0">
              <w:rPr>
                <w:rFonts w:ascii="Verdana" w:eastAsia="Calibri" w:hAnsi="Verdana" w:cs="Arial"/>
                <w:bCs/>
                <w:color w:val="000000" w:themeColor="text1"/>
                <w:lang w:val="es-ES_tradnl"/>
              </w:rPr>
              <w:t>toda vez</w:t>
            </w:r>
            <w:r w:rsidR="001F1DD0" w:rsidRPr="0068083E">
              <w:rPr>
                <w:rFonts w:ascii="Verdana" w:eastAsia="Calibri" w:hAnsi="Verdana" w:cs="Arial"/>
                <w:bCs/>
                <w:color w:val="000000" w:themeColor="text1"/>
                <w:lang w:val="es-ES_tradnl"/>
              </w:rPr>
              <w:t xml:space="preserve"> </w:t>
            </w:r>
            <w:r w:rsidRPr="0068083E">
              <w:rPr>
                <w:rFonts w:ascii="Verdana" w:eastAsia="Calibri" w:hAnsi="Verdana" w:cs="Arial"/>
                <w:bCs/>
                <w:color w:val="000000" w:themeColor="text1"/>
                <w:lang w:val="es-ES_tradnl"/>
              </w:rPr>
              <w:t xml:space="preserve">que el artículo 1 de la referida Ley establece que el Ministerio de Comercio, Industria y Turismo debe certificar que la producción de aquellos se efectúa en </w:t>
            </w:r>
            <w:r>
              <w:rPr>
                <w:rFonts w:ascii="Verdana" w:eastAsia="Calibri" w:hAnsi="Verdana" w:cs="Arial"/>
                <w:bCs/>
                <w:color w:val="000000" w:themeColor="text1"/>
                <w:lang w:val="es-ES_tradnl"/>
              </w:rPr>
              <w:t>“</w:t>
            </w:r>
            <w:r w:rsidRPr="0068083E">
              <w:rPr>
                <w:rFonts w:ascii="Verdana" w:eastAsia="Calibri" w:hAnsi="Verdana" w:cs="Arial"/>
                <w:bCs/>
                <w:color w:val="000000" w:themeColor="text1"/>
                <w:lang w:val="es-ES_tradnl"/>
              </w:rPr>
              <w:t>en términos de competencia abierta</w:t>
            </w:r>
            <w:r>
              <w:rPr>
                <w:rFonts w:ascii="Verdana" w:eastAsia="Calibri" w:hAnsi="Verdana" w:cs="Arial"/>
                <w:bCs/>
                <w:color w:val="000000" w:themeColor="text1"/>
                <w:lang w:val="es-ES_tradnl"/>
              </w:rPr>
              <w:t>”</w:t>
            </w:r>
            <w:r w:rsidRPr="0068083E">
              <w:rPr>
                <w:rFonts w:ascii="Verdana" w:eastAsia="Calibri" w:hAnsi="Verdana" w:cs="Arial"/>
                <w:bCs/>
                <w:color w:val="000000" w:themeColor="text1"/>
                <w:lang w:val="es-ES_tradnl"/>
              </w:rPr>
              <w:t>.</w:t>
            </w:r>
          </w:p>
          <w:p w14:paraId="320ACE95" w14:textId="76BE5F35" w:rsidR="00F55A1F" w:rsidRDefault="00F55A1F" w:rsidP="00200273">
            <w:pPr>
              <w:tabs>
                <w:tab w:val="left" w:pos="426"/>
              </w:tabs>
              <w:spacing w:after="120" w:line="276" w:lineRule="auto"/>
              <w:ind w:firstLine="737"/>
              <w:jc w:val="both"/>
              <w:rPr>
                <w:rStyle w:val="s15"/>
                <w:rFonts w:ascii="Verdana" w:eastAsia="Arial" w:hAnsi="Verdana" w:cs="Arial"/>
                <w:color w:val="000000"/>
                <w:lang w:val="es-MX" w:eastAsia="es-ES" w:bidi="es-ES"/>
              </w:rPr>
            </w:pPr>
            <w:r>
              <w:rPr>
                <w:rFonts w:ascii="Verdana" w:hAnsi="Verdana" w:cs="Arial"/>
                <w:color w:val="000000" w:themeColor="text1"/>
                <w:lang w:val="es-ES_tradnl"/>
              </w:rPr>
              <w:t xml:space="preserve">En este contexto, pese a las modificaciones introducidas a la causal de contratación directa del otrora </w:t>
            </w:r>
            <w:r w:rsidRPr="00915E9F">
              <w:rPr>
                <w:rFonts w:ascii="Verdana" w:eastAsia="Calibri" w:hAnsi="Verdana" w:cs="Arial"/>
                <w:bCs/>
                <w:color w:val="000000" w:themeColor="text1"/>
                <w:lang w:val="es-ES"/>
              </w:rPr>
              <w:t>literal i) del artículo 24</w:t>
            </w:r>
            <w:r>
              <w:rPr>
                <w:rFonts w:ascii="Verdana" w:eastAsia="Calibri" w:hAnsi="Verdana" w:cs="Arial"/>
                <w:bCs/>
                <w:color w:val="000000" w:themeColor="text1"/>
                <w:lang w:val="es-ES"/>
              </w:rPr>
              <w:t>.1</w:t>
            </w:r>
            <w:r w:rsidRPr="00915E9F">
              <w:rPr>
                <w:rFonts w:ascii="Verdana" w:eastAsia="Calibri" w:hAnsi="Verdana" w:cs="Arial"/>
                <w:bCs/>
                <w:color w:val="000000" w:themeColor="text1"/>
                <w:lang w:val="es-ES"/>
              </w:rPr>
              <w:t xml:space="preserve"> de la Ley 80 de 1993</w:t>
            </w:r>
            <w:r>
              <w:rPr>
                <w:rFonts w:ascii="Verdana" w:hAnsi="Verdana" w:cs="Arial"/>
                <w:color w:val="000000" w:themeColor="text1"/>
                <w:lang w:val="es-ES_tradnl"/>
              </w:rPr>
              <w:t xml:space="preserve"> y pese a que no existe listado para determinar los bienes y servicios relacionados con la defensa y seguridad nacional respecto a los</w:t>
            </w:r>
            <w:r>
              <w:rPr>
                <w:rFonts w:ascii="Verdana" w:eastAsia="Calibri" w:hAnsi="Verdana" w:cs="Arial"/>
                <w:bCs/>
                <w:color w:val="000000" w:themeColor="text1"/>
                <w:lang w:val="es-ES_tradnl"/>
              </w:rPr>
              <w:t xml:space="preserve"> </w:t>
            </w:r>
            <w:r w:rsidRPr="0068083E">
              <w:rPr>
                <w:rFonts w:ascii="Verdana" w:eastAsia="Calibri" w:hAnsi="Verdana" w:cs="Arial"/>
                <w:bCs/>
                <w:color w:val="000000" w:themeColor="text1"/>
                <w:lang w:val="es-ES_tradnl"/>
              </w:rPr>
              <w:t>literales d) y j)</w:t>
            </w:r>
            <w:r>
              <w:rPr>
                <w:rFonts w:ascii="Verdana" w:eastAsia="Calibri" w:hAnsi="Verdana" w:cs="Arial"/>
                <w:bCs/>
                <w:color w:val="000000" w:themeColor="text1"/>
                <w:lang w:val="es-ES_tradnl"/>
              </w:rPr>
              <w:t xml:space="preserve"> d</w:t>
            </w:r>
            <w:r w:rsidRPr="0068083E">
              <w:rPr>
                <w:rFonts w:ascii="Verdana" w:eastAsia="Calibri" w:hAnsi="Verdana" w:cs="Arial"/>
                <w:bCs/>
                <w:color w:val="000000" w:themeColor="text1"/>
                <w:lang w:val="es-ES_tradnl"/>
              </w:rPr>
              <w:t>el artículo 2</w:t>
            </w:r>
            <w:r>
              <w:rPr>
                <w:rFonts w:ascii="Verdana" w:eastAsia="Calibri" w:hAnsi="Verdana" w:cs="Arial"/>
                <w:bCs/>
                <w:color w:val="000000" w:themeColor="text1"/>
                <w:lang w:val="es-ES_tradnl"/>
              </w:rPr>
              <w:t xml:space="preserve">.4 de la Ley 1150, estas circunstancias no impiden la vigencia de la Ley </w:t>
            </w:r>
            <w:r w:rsidRPr="0022369F">
              <w:rPr>
                <w:rFonts w:ascii="Verdana" w:eastAsia="Calibri" w:hAnsi="Verdana" w:cs="Arial"/>
                <w:bCs/>
                <w:color w:val="000000" w:themeColor="text1"/>
                <w:lang w:val="es-ES_tradnl"/>
              </w:rPr>
              <w:t>1089 de 2006</w:t>
            </w:r>
            <w:r>
              <w:rPr>
                <w:rFonts w:ascii="Verdana" w:eastAsia="Calibri" w:hAnsi="Verdana" w:cs="Arial"/>
                <w:bCs/>
                <w:color w:val="000000" w:themeColor="text1"/>
                <w:lang w:val="es-ES_tradnl"/>
              </w:rPr>
              <w:t xml:space="preserve">. Si bien el artículo 2.1 </w:t>
            </w:r>
            <w:r w:rsidRPr="00634FF4">
              <w:rPr>
                <w:rFonts w:ascii="Verdana" w:eastAsia="Calibri" w:hAnsi="Verdana" w:cs="Arial"/>
                <w:bCs/>
                <w:i/>
                <w:iCs/>
                <w:color w:val="000000" w:themeColor="text1"/>
                <w:lang w:val="es-ES_tradnl"/>
              </w:rPr>
              <w:t>ibidem</w:t>
            </w:r>
            <w:r>
              <w:rPr>
                <w:rFonts w:ascii="Verdana" w:eastAsia="Calibri" w:hAnsi="Verdana" w:cs="Arial"/>
                <w:bCs/>
                <w:i/>
                <w:iCs/>
                <w:color w:val="000000" w:themeColor="text1"/>
                <w:lang w:val="es-ES_tradnl"/>
              </w:rPr>
              <w:t xml:space="preserve"> </w:t>
            </w:r>
            <w:r>
              <w:rPr>
                <w:rFonts w:ascii="Verdana" w:eastAsia="Calibri" w:hAnsi="Verdana" w:cs="Arial"/>
                <w:bCs/>
                <w:color w:val="000000" w:themeColor="text1"/>
                <w:lang w:val="es-ES_tradnl"/>
              </w:rPr>
              <w:t xml:space="preserve">sujetaba el alcance de estos bienes y servicios a lo establecido en los derogados Decretos 855 de 1994, 219 de 2006 </w:t>
            </w:r>
            <w:r>
              <w:rPr>
                <w:rFonts w:ascii="Verdana" w:hAnsi="Verdana"/>
                <w:color w:val="000000"/>
              </w:rPr>
              <w:t xml:space="preserve">y las normas que los modifiquen o sustituyan, el artículo 2.2 de la Ley 1089 de 2006 </w:t>
            </w:r>
            <w:r w:rsidR="00BF137D">
              <w:rPr>
                <w:rFonts w:ascii="Verdana" w:hAnsi="Verdana"/>
                <w:color w:val="000000"/>
              </w:rPr>
              <w:t xml:space="preserve">amplió su ámbito al </w:t>
            </w:r>
            <w:r>
              <w:rPr>
                <w:rFonts w:ascii="Verdana" w:hAnsi="Verdana"/>
                <w:color w:val="000000"/>
              </w:rPr>
              <w:t>inclu</w:t>
            </w:r>
            <w:r w:rsidR="00BF137D">
              <w:rPr>
                <w:rFonts w:ascii="Verdana" w:hAnsi="Verdana"/>
                <w:color w:val="000000"/>
              </w:rPr>
              <w:t>ir, además,</w:t>
            </w:r>
            <w:r>
              <w:rPr>
                <w:rFonts w:ascii="Verdana" w:hAnsi="Verdana"/>
                <w:color w:val="000000"/>
              </w:rPr>
              <w:t xml:space="preserve"> “[…] los bienes y servicios que sean calificados por el Gobierno Nacional como necesarios para garantizar intereses esenciales de seguridad y defensa, así como aquellos que tengan por propósito asegurar el abastecimiento de la Fuerza Pública”. Por tanto, l</w:t>
            </w:r>
            <w:r w:rsidRPr="00D13A69">
              <w:rPr>
                <w:rFonts w:ascii="Verdana" w:hAnsi="Verdana"/>
                <w:color w:val="000000"/>
              </w:rPr>
              <w:t xml:space="preserve">os procesos de contratación que se realicen para </w:t>
            </w:r>
            <w:r w:rsidRPr="00D13A69">
              <w:rPr>
                <w:rFonts w:ascii="Verdana" w:hAnsi="Verdana"/>
                <w:color w:val="000000"/>
              </w:rPr>
              <w:lastRenderedPageBreak/>
              <w:t>la adquisición de Bienes para la seguridad y defensa nacional puede</w:t>
            </w:r>
            <w:r>
              <w:rPr>
                <w:rFonts w:ascii="Verdana" w:hAnsi="Verdana"/>
                <w:color w:val="000000"/>
              </w:rPr>
              <w:t>n</w:t>
            </w:r>
            <w:r w:rsidRPr="00D13A69">
              <w:rPr>
                <w:rFonts w:ascii="Verdana" w:hAnsi="Verdana"/>
                <w:color w:val="000000"/>
              </w:rPr>
              <w:t xml:space="preserve"> restringir</w:t>
            </w:r>
            <w:r>
              <w:rPr>
                <w:rFonts w:ascii="Verdana" w:hAnsi="Verdana"/>
                <w:color w:val="000000"/>
              </w:rPr>
              <w:t>se</w:t>
            </w:r>
            <w:r w:rsidRPr="00D13A69">
              <w:rPr>
                <w:rFonts w:ascii="Verdana" w:hAnsi="Verdana"/>
                <w:color w:val="000000"/>
              </w:rPr>
              <w:t xml:space="preserve"> a </w:t>
            </w:r>
            <w:r>
              <w:rPr>
                <w:rFonts w:ascii="Verdana" w:hAnsi="Verdana"/>
                <w:color w:val="000000"/>
              </w:rPr>
              <w:t>p</w:t>
            </w:r>
            <w:r w:rsidRPr="00D13A69">
              <w:rPr>
                <w:rFonts w:ascii="Verdana" w:hAnsi="Verdana"/>
                <w:color w:val="000000"/>
              </w:rPr>
              <w:t xml:space="preserve">roductores </w:t>
            </w:r>
            <w:r>
              <w:rPr>
                <w:rFonts w:ascii="Verdana" w:hAnsi="Verdana"/>
                <w:color w:val="000000"/>
              </w:rPr>
              <w:t>colombianos</w:t>
            </w:r>
            <w:r w:rsidRPr="00D13A69">
              <w:rPr>
                <w:rFonts w:ascii="Verdana" w:hAnsi="Verdana"/>
                <w:color w:val="000000"/>
              </w:rPr>
              <w:t xml:space="preserve"> que cuenten con el </w:t>
            </w:r>
            <w:r w:rsidR="00D41B9B" w:rsidRPr="00D13A69">
              <w:rPr>
                <w:rFonts w:ascii="Verdana" w:hAnsi="Verdana"/>
                <w:color w:val="000000"/>
              </w:rPr>
              <w:t xml:space="preserve">Registro </w:t>
            </w:r>
            <w:r w:rsidRPr="00D13A69">
              <w:rPr>
                <w:rFonts w:ascii="Verdana" w:hAnsi="Verdana"/>
                <w:color w:val="000000"/>
              </w:rPr>
              <w:t xml:space="preserve">de </w:t>
            </w:r>
            <w:r w:rsidR="00D41B9B" w:rsidRPr="00D13A69">
              <w:rPr>
                <w:rFonts w:ascii="Verdana" w:hAnsi="Verdana"/>
                <w:color w:val="000000"/>
              </w:rPr>
              <w:t>Productor Nacional</w:t>
            </w:r>
            <w:r>
              <w:rPr>
                <w:rFonts w:ascii="Verdana" w:hAnsi="Verdana"/>
                <w:color w:val="000000"/>
              </w:rPr>
              <w:t>.</w:t>
            </w:r>
          </w:p>
          <w:p w14:paraId="63A3F1FC" w14:textId="77777777" w:rsidR="00F55A1F" w:rsidRDefault="00F55A1F" w:rsidP="00200273">
            <w:pPr>
              <w:tabs>
                <w:tab w:val="left" w:pos="426"/>
              </w:tabs>
              <w:spacing w:after="120" w:line="276" w:lineRule="auto"/>
              <w:ind w:firstLine="737"/>
              <w:jc w:val="both"/>
              <w:rPr>
                <w:rStyle w:val="s15"/>
                <w:rFonts w:ascii="Verdana" w:hAnsi="Verdana"/>
                <w:color w:val="000000"/>
              </w:rPr>
            </w:pPr>
            <w:r w:rsidRPr="00A47393">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238731CE" w14:textId="77777777" w:rsidR="00F55A1F" w:rsidRPr="001941FD" w:rsidRDefault="00F55A1F" w:rsidP="00200273">
            <w:pPr>
              <w:tabs>
                <w:tab w:val="left" w:pos="426"/>
              </w:tabs>
              <w:spacing w:line="276" w:lineRule="auto"/>
              <w:ind w:firstLine="737"/>
              <w:jc w:val="both"/>
              <w:rPr>
                <w:rFonts w:ascii="Verdana" w:eastAsia="Calibri" w:hAnsi="Verdana" w:cs="Arial"/>
                <w:bCs/>
                <w:color w:val="000000" w:themeColor="text1"/>
              </w:rPr>
            </w:pPr>
            <w:r>
              <w:rPr>
                <w:rFonts w:ascii="Verdana" w:eastAsia="Calibri" w:hAnsi="Verdana" w:cs="Arial"/>
                <w:bCs/>
                <w:color w:val="000000" w:themeColor="text1"/>
              </w:rPr>
              <w:t xml:space="preserve">Conforme al artículo 2.25 del Decreto Ley 210 de 2003, cualquier inquietud adicional relacionada con la operatividad del registro contemplado en la Ley </w:t>
            </w:r>
            <w:r>
              <w:rPr>
                <w:rFonts w:ascii="Verdana" w:hAnsi="Verdana"/>
                <w:color w:val="000000"/>
              </w:rPr>
              <w:t xml:space="preserve">1089 de 2006 debe ser planteada a la </w:t>
            </w:r>
            <w:r w:rsidRPr="00313455">
              <w:rPr>
                <w:rFonts w:ascii="Verdana" w:hAnsi="Verdana"/>
                <w:color w:val="000000"/>
              </w:rPr>
              <w:t>Subdirección de Diseño y Administración de Operaciones</w:t>
            </w:r>
            <w:r>
              <w:rPr>
                <w:rFonts w:ascii="Verdana" w:hAnsi="Verdana"/>
                <w:color w:val="000000"/>
              </w:rPr>
              <w:t xml:space="preserve"> </w:t>
            </w:r>
            <w:r w:rsidRPr="00313455">
              <w:rPr>
                <w:rFonts w:ascii="Verdana" w:hAnsi="Verdana"/>
                <w:color w:val="000000"/>
              </w:rPr>
              <w:t>del Ministerio de Comercio, Industria y Turismo</w:t>
            </w:r>
            <w:r>
              <w:rPr>
                <w:rFonts w:ascii="Verdana" w:hAnsi="Verdana"/>
                <w:color w:val="000000"/>
              </w:rPr>
              <w:t xml:space="preserve">. Ello en la medida que, de acuerdo con el artículo 19 </w:t>
            </w:r>
            <w:r w:rsidRPr="00CB5119">
              <w:rPr>
                <w:rFonts w:ascii="Verdana" w:hAnsi="Verdana"/>
                <w:i/>
                <w:iCs/>
                <w:color w:val="000000"/>
              </w:rPr>
              <w:t>ibidem</w:t>
            </w:r>
            <w:r>
              <w:rPr>
                <w:rFonts w:ascii="Verdana" w:hAnsi="Verdana"/>
                <w:color w:val="000000"/>
              </w:rPr>
              <w:t>, dicha dependencia tiene las funciones de “</w:t>
            </w:r>
            <w:r w:rsidRPr="00313455">
              <w:rPr>
                <w:rFonts w:ascii="Verdana" w:hAnsi="Verdana"/>
                <w:color w:val="000000"/>
              </w:rPr>
              <w:t>Administrar el registro de productores nacionales con el fin de recopilar información sobre la producción existente en el país, expedir los conceptos sobre existencia de producción nacional, entre otras finalidades con destino a las licitaciones públicas y a la expedición de licencias previas de importación, y expedir las demás certificaciones requeridas relacionadas con la materia</w:t>
            </w:r>
            <w:r>
              <w:rPr>
                <w:rFonts w:ascii="Verdana" w:hAnsi="Verdana"/>
                <w:color w:val="000000"/>
              </w:rPr>
              <w:t>” –numeral 1–, así como de “</w:t>
            </w:r>
            <w:r w:rsidRPr="00CB5119">
              <w:rPr>
                <w:rFonts w:ascii="Verdana" w:hAnsi="Verdana"/>
                <w:color w:val="000000"/>
              </w:rPr>
              <w:t>Diseñar y administrar, con el apoyo de la Oficina de Sistemas de Información, el sistema de información sobre los exportadores de bienes y servicios y sobre la producción nacional registrada</w:t>
            </w:r>
            <w:r>
              <w:rPr>
                <w:rFonts w:ascii="Verdana" w:hAnsi="Verdana"/>
                <w:color w:val="000000"/>
              </w:rPr>
              <w:t>” –numeral 11–</w:t>
            </w:r>
            <w:r w:rsidRPr="00CB5119">
              <w:rPr>
                <w:rFonts w:ascii="Verdana" w:hAnsi="Verdana"/>
                <w:color w:val="000000"/>
              </w:rPr>
              <w:t>.</w:t>
            </w:r>
          </w:p>
        </w:tc>
      </w:tr>
    </w:tbl>
    <w:p w14:paraId="3957DEC8" w14:textId="77777777" w:rsidR="00F55A1F" w:rsidRPr="00593A5F" w:rsidRDefault="00F55A1F" w:rsidP="00F55A1F">
      <w:pPr>
        <w:tabs>
          <w:tab w:val="left" w:pos="142"/>
          <w:tab w:val="left" w:pos="284"/>
        </w:tabs>
        <w:spacing w:after="0" w:line="276" w:lineRule="auto"/>
        <w:jc w:val="both"/>
        <w:rPr>
          <w:rFonts w:ascii="Verdana" w:eastAsia="Century Gothic" w:hAnsi="Verdana" w:cs="Century Gothic"/>
          <w:b/>
          <w:bCs/>
          <w:lang w:val="es-ES"/>
        </w:rPr>
      </w:pPr>
    </w:p>
    <w:bookmarkEnd w:id="1"/>
    <w:p w14:paraId="7B0A6B9B" w14:textId="77777777" w:rsidR="00F55A1F" w:rsidRPr="00593A5F" w:rsidRDefault="00F55A1F" w:rsidP="00F55A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9CF080D" w14:textId="77777777" w:rsidR="00F55A1F" w:rsidRPr="00593A5F" w:rsidRDefault="00F55A1F" w:rsidP="00F55A1F">
      <w:pPr>
        <w:spacing w:after="0" w:line="276" w:lineRule="auto"/>
        <w:jc w:val="both"/>
        <w:rPr>
          <w:rFonts w:ascii="Verdana" w:eastAsia="Calibri" w:hAnsi="Verdana" w:cs="Arial"/>
          <w:color w:val="7030A0"/>
          <w:lang w:val="es-ES"/>
        </w:rPr>
      </w:pPr>
    </w:p>
    <w:p w14:paraId="7674C664" w14:textId="77777777" w:rsidR="00F55A1F" w:rsidRDefault="00F55A1F" w:rsidP="00F55A1F">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78EBEB34" w14:textId="77777777" w:rsidR="00F55A1F" w:rsidRPr="00415608" w:rsidRDefault="00F55A1F" w:rsidP="00F55A1F">
      <w:pPr>
        <w:spacing w:after="0" w:line="276" w:lineRule="auto"/>
        <w:jc w:val="both"/>
        <w:rPr>
          <w:rFonts w:ascii="Verdana" w:eastAsia="Calibri" w:hAnsi="Verdana" w:cs="Arial"/>
          <w:lang w:val="es-ES"/>
        </w:rPr>
      </w:pPr>
    </w:p>
    <w:p w14:paraId="0DAB13EB" w14:textId="77777777" w:rsidR="00F55A1F" w:rsidRPr="00915E9F" w:rsidRDefault="00F55A1F" w:rsidP="00F55A1F">
      <w:pPr>
        <w:spacing w:after="0" w:line="276" w:lineRule="auto"/>
        <w:jc w:val="both"/>
        <w:rPr>
          <w:rFonts w:ascii="Verdana" w:eastAsia="Calibri" w:hAnsi="Verdana" w:cs="Arial"/>
          <w:bCs/>
          <w:color w:val="000000" w:themeColor="text1"/>
          <w:lang w:val="es-ES_tradnl"/>
        </w:rPr>
      </w:pPr>
      <w:r w:rsidRPr="00915E9F">
        <w:rPr>
          <w:rFonts w:ascii="Verdana" w:eastAsia="Calibri" w:hAnsi="Verdana" w:cs="Arial"/>
          <w:bCs/>
          <w:color w:val="000000" w:themeColor="text1"/>
          <w:lang w:val="es-ES_tradnl"/>
        </w:rPr>
        <w:t>La adquisición de bienes o servicios requeridos para la actividad de defensa y seguridad nacional, en la redacción original de la Ley 80 de 1993, se consideró una causal de contratación directa</w:t>
      </w:r>
      <w:r w:rsidRPr="00915E9F">
        <w:rPr>
          <w:rStyle w:val="Refdenotaalpie"/>
          <w:rFonts w:ascii="Verdana" w:eastAsia="Calibri" w:hAnsi="Verdana" w:cs="Arial"/>
          <w:bCs/>
          <w:color w:val="000000" w:themeColor="text1"/>
          <w:lang w:val="es-ES_tradnl"/>
        </w:rPr>
        <w:footnoteReference w:id="1"/>
      </w:r>
      <w:r w:rsidRPr="00915E9F">
        <w:rPr>
          <w:rFonts w:ascii="Verdana" w:eastAsia="Calibri" w:hAnsi="Verdana" w:cs="Arial"/>
          <w:bCs/>
          <w:color w:val="000000" w:themeColor="text1"/>
          <w:lang w:val="es-ES_tradnl"/>
        </w:rPr>
        <w:t xml:space="preserve">. En este contexto, en el que, como acaba de </w:t>
      </w:r>
      <w:r w:rsidRPr="00915E9F">
        <w:rPr>
          <w:rFonts w:ascii="Verdana" w:eastAsia="Calibri" w:hAnsi="Verdana" w:cs="Arial"/>
          <w:bCs/>
          <w:color w:val="000000" w:themeColor="text1"/>
          <w:lang w:val="es-ES_tradnl"/>
        </w:rPr>
        <w:lastRenderedPageBreak/>
        <w:t xml:space="preserve">indicarse, la contratación directa era la modalidad de selección del proveedor de tales bienes o servicios, se expidió la Ley 1089 de 2006, </w:t>
      </w:r>
      <w:r>
        <w:rPr>
          <w:rFonts w:ascii="Verdana" w:eastAsia="Calibri" w:hAnsi="Verdana" w:cs="Arial"/>
          <w:bCs/>
          <w:color w:val="000000" w:themeColor="text1"/>
          <w:lang w:val="es-ES_tradnl"/>
        </w:rPr>
        <w:t>“</w:t>
      </w:r>
      <w:r w:rsidRPr="00915E9F">
        <w:rPr>
          <w:rFonts w:ascii="Verdana" w:eastAsia="Calibri" w:hAnsi="Verdana" w:cs="Arial"/>
          <w:bCs/>
          <w:color w:val="000000" w:themeColor="text1"/>
          <w:lang w:val="es-ES_tradnl"/>
        </w:rPr>
        <w:t>Por medio de la cual se regula la adquisición de bienes y servicios destinados a la defensa y seguridad nacional</w:t>
      </w:r>
      <w:r>
        <w:rPr>
          <w:rFonts w:ascii="Verdana" w:eastAsia="Calibri" w:hAnsi="Verdana" w:cs="Arial"/>
          <w:bCs/>
          <w:color w:val="000000" w:themeColor="text1"/>
          <w:lang w:val="es-ES_tradnl"/>
        </w:rPr>
        <w:t>”</w:t>
      </w:r>
      <w:r w:rsidRPr="00915E9F">
        <w:rPr>
          <w:rFonts w:ascii="Verdana" w:eastAsia="Calibri" w:hAnsi="Verdana" w:cs="Arial"/>
          <w:bCs/>
          <w:color w:val="000000" w:themeColor="text1"/>
          <w:lang w:val="es-ES_tradnl"/>
        </w:rPr>
        <w:t xml:space="preserve">. Esta Ley benefició a la industria nacional, otorgándole </w:t>
      </w:r>
      <w:r w:rsidRPr="00915E9F">
        <w:rPr>
          <w:rFonts w:ascii="Verdana" w:eastAsia="Calibri" w:hAnsi="Verdana" w:cs="Arial"/>
          <w:bCs/>
          <w:i/>
          <w:iCs/>
          <w:color w:val="000000" w:themeColor="text1"/>
          <w:lang w:val="es-ES_tradnl"/>
        </w:rPr>
        <w:t>exclusividad relativa</w:t>
      </w:r>
      <w:r w:rsidRPr="00915E9F">
        <w:rPr>
          <w:rFonts w:ascii="Verdana" w:eastAsia="Calibri" w:hAnsi="Verdana" w:cs="Arial"/>
          <w:bCs/>
          <w:color w:val="000000" w:themeColor="text1"/>
          <w:lang w:val="es-ES_tradnl"/>
        </w:rPr>
        <w:t xml:space="preserve"> en la adquisición de tales bienes, pero con algunas excepciones, y es en este sentido que debe leerse el artículo 1, que reza:</w:t>
      </w:r>
    </w:p>
    <w:p w14:paraId="7727D2BE" w14:textId="77777777" w:rsidR="00F55A1F" w:rsidRPr="00915E9F" w:rsidRDefault="00F55A1F" w:rsidP="00F55A1F">
      <w:pPr>
        <w:tabs>
          <w:tab w:val="left" w:pos="0"/>
        </w:tabs>
        <w:spacing w:after="0" w:line="276" w:lineRule="auto"/>
        <w:ind w:left="709" w:right="709"/>
        <w:jc w:val="both"/>
        <w:rPr>
          <w:rFonts w:ascii="Verdana" w:eastAsia="Calibri" w:hAnsi="Verdana" w:cs="Arial"/>
          <w:bCs/>
          <w:color w:val="000000" w:themeColor="text1"/>
          <w:lang w:val="es-ES_tradnl"/>
        </w:rPr>
      </w:pPr>
    </w:p>
    <w:p w14:paraId="4DCCC1F4" w14:textId="77777777" w:rsidR="00F55A1F" w:rsidRPr="00915E9F" w:rsidRDefault="00F55A1F" w:rsidP="00F55A1F">
      <w:pPr>
        <w:tabs>
          <w:tab w:val="left" w:pos="0"/>
        </w:tabs>
        <w:spacing w:after="120" w:line="240" w:lineRule="auto"/>
        <w:ind w:left="709" w:right="709"/>
        <w:jc w:val="both"/>
        <w:rPr>
          <w:rFonts w:ascii="Verdana" w:eastAsia="Calibri" w:hAnsi="Verdana" w:cs="Arial"/>
          <w:bCs/>
          <w:color w:val="000000" w:themeColor="text1"/>
          <w:sz w:val="20"/>
          <w:szCs w:val="20"/>
          <w:lang w:val="es-ES_tradnl"/>
        </w:rPr>
      </w:pPr>
      <w:r w:rsidRPr="00915E9F">
        <w:rPr>
          <w:rFonts w:ascii="Verdana" w:eastAsia="Calibri" w:hAnsi="Verdana" w:cs="Arial"/>
          <w:bCs/>
          <w:color w:val="000000" w:themeColor="text1"/>
          <w:sz w:val="20"/>
          <w:szCs w:val="20"/>
          <w:lang w:val="es-ES_tradnl"/>
        </w:rPr>
        <w:t>“La adquisición de bienes y servicios destinados a la seguridad y defensa nacional, que sean de producción nacional, en la cantidad, calidad y oportunidad requerida se efectuará con los productores nacionales. El Ministerio de Comercio, Industria y Turismo, certificará la existencia de su producción, dentro del territorio nacional y la comprobación de que esta se lleva a cabo en términos de competencia abierta.</w:t>
      </w:r>
    </w:p>
    <w:p w14:paraId="43397BF1" w14:textId="77777777" w:rsidR="00F55A1F" w:rsidRPr="00915E9F" w:rsidRDefault="00F55A1F" w:rsidP="00F55A1F">
      <w:pPr>
        <w:tabs>
          <w:tab w:val="left" w:pos="0"/>
        </w:tabs>
        <w:spacing w:after="0" w:line="240" w:lineRule="auto"/>
        <w:ind w:left="709" w:right="709"/>
        <w:jc w:val="both"/>
        <w:rPr>
          <w:rFonts w:ascii="Verdana" w:eastAsia="Calibri" w:hAnsi="Verdana" w:cs="Arial"/>
          <w:bCs/>
          <w:color w:val="000000" w:themeColor="text1"/>
          <w:sz w:val="21"/>
          <w:szCs w:val="21"/>
          <w:lang w:val="es-ES_tradnl"/>
        </w:rPr>
      </w:pPr>
      <w:r w:rsidRPr="00915E9F">
        <w:rPr>
          <w:rFonts w:ascii="Verdana" w:eastAsia="Calibri" w:hAnsi="Verdana" w:cs="Arial"/>
          <w:color w:val="000000" w:themeColor="text1"/>
          <w:sz w:val="20"/>
          <w:szCs w:val="20"/>
          <w:lang w:val="es-ES_tradnl"/>
        </w:rPr>
        <w:t>PARÁGRAFO.</w:t>
      </w:r>
      <w:r w:rsidRPr="00915E9F">
        <w:rPr>
          <w:rFonts w:ascii="Verdana" w:eastAsia="Calibri" w:hAnsi="Verdana" w:cs="Arial"/>
          <w:bCs/>
          <w:color w:val="000000" w:themeColor="text1"/>
          <w:sz w:val="20"/>
          <w:szCs w:val="20"/>
          <w:lang w:val="es-ES_tradnl"/>
        </w:rPr>
        <w:t> El Estado podrá adquirir bienes y servicios que se produzcan en el país a productores extranjeros, cuando los intereses de seguridad y defensor nacional señalen su conveniencia”.</w:t>
      </w:r>
    </w:p>
    <w:p w14:paraId="0F549F46" w14:textId="77777777" w:rsidR="00F55A1F" w:rsidRPr="00915E9F" w:rsidRDefault="00F55A1F" w:rsidP="00F55A1F">
      <w:pPr>
        <w:spacing w:after="0" w:line="276" w:lineRule="auto"/>
        <w:ind w:firstLine="709"/>
        <w:jc w:val="both"/>
        <w:rPr>
          <w:rFonts w:ascii="Verdana" w:eastAsia="Calibri" w:hAnsi="Verdana" w:cs="Arial"/>
          <w:bCs/>
          <w:color w:val="000000" w:themeColor="text1"/>
          <w:lang w:val="es-ES_tradnl"/>
        </w:rPr>
      </w:pPr>
    </w:p>
    <w:p w14:paraId="3C6F0849" w14:textId="77777777" w:rsidR="00F55A1F" w:rsidRDefault="00F55A1F" w:rsidP="00F55A1F">
      <w:pPr>
        <w:spacing w:line="276" w:lineRule="auto"/>
        <w:ind w:firstLine="708"/>
        <w:jc w:val="both"/>
        <w:rPr>
          <w:rFonts w:ascii="Verdana" w:eastAsia="Calibri" w:hAnsi="Verdana" w:cs="Arial"/>
          <w:bCs/>
          <w:color w:val="000000" w:themeColor="text1"/>
          <w:lang w:val="es-ES_tradnl"/>
        </w:rPr>
      </w:pPr>
      <w:r w:rsidRPr="00915E9F">
        <w:rPr>
          <w:rFonts w:ascii="Verdana" w:eastAsia="Calibri" w:hAnsi="Verdana" w:cs="Arial"/>
          <w:bCs/>
          <w:color w:val="000000" w:themeColor="text1"/>
          <w:lang w:val="es-ES_tradnl"/>
        </w:rPr>
        <w:t xml:space="preserve">Como se observa, esta disposición estableció que los bienes o servicios destinados a la defensa y seguridad nacional deben adquirirse en principio con los productores nacionales, según certificación expedida por el Ministerio de Comercio, Industria y Turismo, pero, a su vez, faculta a las entidades estatales para obtener dichos bienes o servicios con productores extranjeros, si la conveniencia así lo justifica; lo que permite concluir que en modo alguno la Ley 1089 de 2006 estableció una regla de </w:t>
      </w:r>
      <w:r w:rsidRPr="00915E9F">
        <w:rPr>
          <w:rFonts w:ascii="Verdana" w:eastAsia="Calibri" w:hAnsi="Verdana" w:cs="Arial"/>
          <w:bCs/>
          <w:i/>
          <w:iCs/>
          <w:color w:val="000000" w:themeColor="text1"/>
          <w:lang w:val="es-ES_tradnl"/>
        </w:rPr>
        <w:t>exclusividad absoluta</w:t>
      </w:r>
      <w:r w:rsidRPr="00915E9F">
        <w:rPr>
          <w:rFonts w:ascii="Verdana" w:eastAsia="Calibri" w:hAnsi="Verdana" w:cs="Arial"/>
          <w:bCs/>
          <w:color w:val="000000" w:themeColor="text1"/>
          <w:lang w:val="es-ES_tradnl"/>
        </w:rPr>
        <w:t xml:space="preserve"> a favor de los productores nacionales, ni derogó lo dispuesto en el artículo 20 de la Ley 80 de 1993, en relación con la posibilidad de que los oferentes, bienes y servicios extranjeros se beneficien con el trato nacional. En efecto, tal conclusión se ratifica con lo señalado en el artículo 3º de la Ley 1089</w:t>
      </w:r>
      <w:r>
        <w:rPr>
          <w:rFonts w:ascii="Verdana" w:eastAsia="Calibri" w:hAnsi="Verdana" w:cs="Arial"/>
          <w:bCs/>
          <w:color w:val="000000" w:themeColor="text1"/>
          <w:lang w:val="es-ES_tradnl"/>
        </w:rPr>
        <w:t xml:space="preserve"> de 2006</w:t>
      </w:r>
      <w:r w:rsidRPr="00915E9F">
        <w:rPr>
          <w:rFonts w:ascii="Verdana" w:eastAsia="Calibri" w:hAnsi="Verdana" w:cs="Arial"/>
          <w:bCs/>
          <w:color w:val="000000" w:themeColor="text1"/>
          <w:lang w:val="es-ES_tradnl"/>
        </w:rPr>
        <w:t xml:space="preserve">, en los siguientes términos: </w:t>
      </w:r>
      <w:r>
        <w:rPr>
          <w:rFonts w:ascii="Verdana" w:eastAsia="Calibri" w:hAnsi="Verdana" w:cs="Arial"/>
          <w:bCs/>
          <w:color w:val="000000" w:themeColor="text1"/>
          <w:lang w:val="es-ES_tradnl"/>
        </w:rPr>
        <w:t>“</w:t>
      </w:r>
      <w:r w:rsidRPr="00915E9F">
        <w:rPr>
          <w:rFonts w:ascii="Verdana" w:eastAsia="Calibri" w:hAnsi="Verdana" w:cs="Arial"/>
          <w:bCs/>
          <w:color w:val="000000" w:themeColor="text1"/>
          <w:lang w:val="es-ES_tradnl"/>
        </w:rPr>
        <w:t>Esta ley se aplicará sin perjuicio de lo establecido en los tratados internacionales aprobados por el Congreso de la República</w:t>
      </w:r>
      <w:r>
        <w:rPr>
          <w:rFonts w:ascii="Verdana" w:eastAsia="Calibri" w:hAnsi="Verdana" w:cs="Arial"/>
          <w:bCs/>
          <w:color w:val="000000" w:themeColor="text1"/>
          <w:lang w:val="es-ES_tradnl"/>
        </w:rPr>
        <w:t>”</w:t>
      </w:r>
      <w:r w:rsidRPr="00915E9F">
        <w:rPr>
          <w:rFonts w:ascii="Verdana" w:eastAsia="Calibri" w:hAnsi="Verdana" w:cs="Arial"/>
          <w:bCs/>
          <w:color w:val="000000" w:themeColor="text1"/>
          <w:lang w:val="es-ES_tradnl"/>
        </w:rPr>
        <w:t xml:space="preserve">. </w:t>
      </w:r>
    </w:p>
    <w:p w14:paraId="0A9DB9C8" w14:textId="77777777" w:rsidR="00F55A1F" w:rsidRDefault="00F55A1F" w:rsidP="00F55A1F">
      <w:pPr>
        <w:spacing w:line="276" w:lineRule="auto"/>
        <w:ind w:firstLine="708"/>
        <w:jc w:val="both"/>
        <w:rPr>
          <w:rFonts w:ascii="Verdana" w:eastAsia="Calibri" w:hAnsi="Verdana" w:cs="Arial"/>
          <w:bCs/>
          <w:color w:val="000000" w:themeColor="text1"/>
          <w:lang w:val="es-ES"/>
        </w:rPr>
      </w:pPr>
      <w:r>
        <w:rPr>
          <w:rFonts w:ascii="Verdana" w:eastAsia="Calibri" w:hAnsi="Verdana" w:cs="Arial"/>
          <w:bCs/>
          <w:color w:val="000000" w:themeColor="text1"/>
          <w:lang w:val="es-ES"/>
        </w:rPr>
        <w:t>E</w:t>
      </w:r>
      <w:r w:rsidRPr="00915E9F">
        <w:rPr>
          <w:rFonts w:ascii="Verdana" w:eastAsia="Calibri" w:hAnsi="Verdana" w:cs="Arial"/>
          <w:bCs/>
          <w:color w:val="000000" w:themeColor="text1"/>
          <w:lang w:val="es-ES"/>
        </w:rPr>
        <w:t xml:space="preserve">l artículo 2 </w:t>
      </w:r>
      <w:r w:rsidRPr="00915E9F">
        <w:rPr>
          <w:rFonts w:ascii="Verdana" w:eastAsia="Calibri" w:hAnsi="Verdana" w:cs="Arial"/>
          <w:bCs/>
          <w:i/>
          <w:iCs/>
          <w:color w:val="000000" w:themeColor="text1"/>
          <w:lang w:val="es-ES"/>
        </w:rPr>
        <w:t>ibidem</w:t>
      </w:r>
      <w:r>
        <w:rPr>
          <w:rFonts w:ascii="Verdana" w:eastAsia="Calibri" w:hAnsi="Verdana" w:cs="Arial"/>
          <w:bCs/>
          <w:color w:val="000000" w:themeColor="text1"/>
          <w:lang w:val="es-ES"/>
        </w:rPr>
        <w:t xml:space="preserve"> </w:t>
      </w:r>
      <w:r w:rsidRPr="00915E9F">
        <w:rPr>
          <w:rFonts w:ascii="Verdana" w:eastAsia="Calibri" w:hAnsi="Verdana" w:cs="Arial"/>
          <w:bCs/>
          <w:color w:val="000000" w:themeColor="text1"/>
          <w:lang w:val="es-ES"/>
        </w:rPr>
        <w:t>estableció de la siguiente manera los criterios para la consideración de los bienes y servicios para la defensa y seguridad nacional como de productores nacionales</w:t>
      </w:r>
      <w:r>
        <w:rPr>
          <w:rFonts w:ascii="Verdana" w:eastAsia="Calibri" w:hAnsi="Verdana" w:cs="Arial"/>
          <w:bCs/>
          <w:color w:val="000000" w:themeColor="text1"/>
          <w:lang w:val="es-ES"/>
        </w:rPr>
        <w:t xml:space="preserve">. </w:t>
      </w:r>
      <w:r w:rsidRPr="0068083E">
        <w:rPr>
          <w:rFonts w:ascii="Verdana" w:eastAsia="Calibri" w:hAnsi="Verdana" w:cs="Arial"/>
          <w:bCs/>
          <w:i/>
          <w:iCs/>
          <w:color w:val="000000" w:themeColor="text1"/>
          <w:lang w:val="es-ES"/>
        </w:rPr>
        <w:t>Conforme al numeral 1</w:t>
      </w:r>
      <w:r>
        <w:rPr>
          <w:rFonts w:ascii="Verdana" w:eastAsia="Calibri" w:hAnsi="Verdana" w:cs="Arial"/>
          <w:bCs/>
          <w:color w:val="000000" w:themeColor="text1"/>
          <w:lang w:val="es-ES"/>
        </w:rPr>
        <w:t>, “</w:t>
      </w:r>
      <w:r w:rsidRPr="00915E9F">
        <w:rPr>
          <w:rFonts w:ascii="Verdana" w:eastAsia="Calibri" w:hAnsi="Verdana" w:cs="Arial"/>
          <w:bCs/>
          <w:color w:val="000000" w:themeColor="text1"/>
          <w:lang w:val="es-ES"/>
        </w:rPr>
        <w:t>Se incluirán los bienes y servicios destinados a seguridad y defensa nacional expresamente enlistados en los Decretos 855 de 1994 y 219 de enero 26 de 2006, reglamentarios del numeral 1, literal i) del artículo 24 de la Ley 80 de 1993 y las normas que los modifiquen o sustituyan</w:t>
      </w:r>
      <w:r>
        <w:rPr>
          <w:rFonts w:ascii="Verdana" w:eastAsia="Calibri" w:hAnsi="Verdana" w:cs="Arial"/>
          <w:bCs/>
          <w:color w:val="000000" w:themeColor="text1"/>
          <w:lang w:val="es-ES"/>
        </w:rPr>
        <w:t>”</w:t>
      </w:r>
      <w:r w:rsidRPr="00915E9F">
        <w:rPr>
          <w:rFonts w:ascii="Verdana" w:eastAsia="Calibri" w:hAnsi="Verdana" w:cs="Arial"/>
          <w:bCs/>
          <w:color w:val="000000" w:themeColor="text1"/>
          <w:lang w:val="es-ES"/>
        </w:rPr>
        <w:t>.</w:t>
      </w:r>
      <w:r>
        <w:rPr>
          <w:rFonts w:ascii="Verdana" w:eastAsia="Calibri" w:hAnsi="Verdana" w:cs="Arial"/>
          <w:bCs/>
          <w:color w:val="000000" w:themeColor="text1"/>
          <w:lang w:val="es-ES"/>
        </w:rPr>
        <w:t xml:space="preserve"> </w:t>
      </w:r>
      <w:r w:rsidRPr="0068083E">
        <w:rPr>
          <w:rFonts w:ascii="Verdana" w:eastAsia="Calibri" w:hAnsi="Verdana" w:cs="Arial"/>
          <w:bCs/>
          <w:i/>
          <w:iCs/>
          <w:color w:val="000000" w:themeColor="text1"/>
          <w:lang w:val="es-ES"/>
        </w:rPr>
        <w:t>De acuerdo con el numeral 2</w:t>
      </w:r>
      <w:r>
        <w:rPr>
          <w:rFonts w:ascii="Verdana" w:eastAsia="Calibri" w:hAnsi="Verdana" w:cs="Arial"/>
          <w:bCs/>
          <w:color w:val="000000" w:themeColor="text1"/>
          <w:lang w:val="es-ES"/>
        </w:rPr>
        <w:t>, también “</w:t>
      </w:r>
      <w:r w:rsidRPr="00915E9F">
        <w:rPr>
          <w:rFonts w:ascii="Verdana" w:eastAsia="Calibri" w:hAnsi="Verdana" w:cs="Arial"/>
          <w:bCs/>
          <w:color w:val="000000" w:themeColor="text1"/>
          <w:lang w:val="es-ES"/>
        </w:rPr>
        <w:t xml:space="preserve">Se incluirán </w:t>
      </w:r>
      <w:r w:rsidRPr="00915E9F">
        <w:rPr>
          <w:rFonts w:ascii="Verdana" w:eastAsia="Calibri" w:hAnsi="Verdana" w:cs="Arial"/>
          <w:bCs/>
          <w:color w:val="000000" w:themeColor="text1"/>
          <w:lang w:val="es-ES"/>
        </w:rPr>
        <w:lastRenderedPageBreak/>
        <w:t>los bienes y servicios que sean calificados por el Gobierno Nacional como necesarios para garantizar intereses esenciales de seguridad y defensa, así como aquellos que tengan por propósito asegurar el abastecimiento de la Fuerza Pública</w:t>
      </w:r>
      <w:r>
        <w:rPr>
          <w:rFonts w:ascii="Verdana" w:eastAsia="Calibri" w:hAnsi="Verdana" w:cs="Arial"/>
          <w:bCs/>
          <w:color w:val="000000" w:themeColor="text1"/>
          <w:lang w:val="es-ES"/>
        </w:rPr>
        <w:t>”</w:t>
      </w:r>
      <w:r w:rsidRPr="00915E9F">
        <w:rPr>
          <w:rFonts w:ascii="Verdana" w:eastAsia="Calibri" w:hAnsi="Verdana" w:cs="Arial"/>
          <w:bCs/>
          <w:color w:val="000000" w:themeColor="text1"/>
          <w:lang w:val="es-ES"/>
        </w:rPr>
        <w:t>.</w:t>
      </w:r>
    </w:p>
    <w:p w14:paraId="5FECD84A" w14:textId="77777777" w:rsidR="00F55A1F" w:rsidRPr="0068083E" w:rsidRDefault="00F55A1F" w:rsidP="00F55A1F">
      <w:pPr>
        <w:spacing w:line="276" w:lineRule="auto"/>
        <w:ind w:firstLine="708"/>
        <w:jc w:val="both"/>
        <w:rPr>
          <w:rFonts w:ascii="Verdana" w:eastAsia="Calibri" w:hAnsi="Verdana" w:cs="Arial"/>
          <w:bCs/>
          <w:color w:val="000000" w:themeColor="text1"/>
          <w:lang w:val="es-ES_tradnl"/>
        </w:rPr>
      </w:pPr>
      <w:r w:rsidRPr="0068083E">
        <w:rPr>
          <w:rFonts w:ascii="Verdana" w:eastAsia="Calibri" w:hAnsi="Verdana" w:cs="Arial"/>
          <w:bCs/>
          <w:color w:val="000000" w:themeColor="text1"/>
          <w:lang w:val="es-ES_tradnl"/>
        </w:rPr>
        <w:t>El artículo 32 de la Ley 1150 de 2007 derogó el artículo 24</w:t>
      </w:r>
      <w:r>
        <w:rPr>
          <w:rFonts w:ascii="Verdana" w:eastAsia="Calibri" w:hAnsi="Verdana" w:cs="Arial"/>
          <w:bCs/>
          <w:color w:val="000000" w:themeColor="text1"/>
          <w:lang w:val="es-ES_tradnl"/>
        </w:rPr>
        <w:t>.1</w:t>
      </w:r>
      <w:r w:rsidRPr="0068083E">
        <w:rPr>
          <w:rFonts w:ascii="Verdana" w:eastAsia="Calibri" w:hAnsi="Verdana" w:cs="Arial"/>
          <w:bCs/>
          <w:color w:val="000000" w:themeColor="text1"/>
          <w:lang w:val="es-ES_tradnl"/>
        </w:rPr>
        <w:t xml:space="preserve"> de la Ley 80 de 1993, que, como se expuso, establecía que la adquisición de bienes y servicios requeridos para la defensa y seguridad nacional era causal de contratación directa; causal que pasó a ser de </w:t>
      </w:r>
      <w:r w:rsidRPr="0068083E">
        <w:rPr>
          <w:rFonts w:ascii="Verdana" w:eastAsia="Calibri" w:hAnsi="Verdana" w:cs="Arial"/>
          <w:bCs/>
          <w:i/>
          <w:iCs/>
          <w:color w:val="000000" w:themeColor="text1"/>
          <w:lang w:val="es-ES_tradnl"/>
        </w:rPr>
        <w:t>selección abreviada</w:t>
      </w:r>
      <w:r w:rsidRPr="0068083E">
        <w:rPr>
          <w:rFonts w:ascii="Verdana" w:eastAsia="Calibri" w:hAnsi="Verdana" w:cs="Arial"/>
          <w:bCs/>
          <w:color w:val="000000" w:themeColor="text1"/>
          <w:lang w:val="es-ES_tradnl"/>
        </w:rPr>
        <w:t>, de conformidad con el</w:t>
      </w:r>
      <w:r>
        <w:rPr>
          <w:rFonts w:ascii="Verdana" w:eastAsia="Calibri" w:hAnsi="Verdana" w:cs="Arial"/>
          <w:bCs/>
          <w:color w:val="000000" w:themeColor="text1"/>
          <w:lang w:val="es-ES_tradnl"/>
        </w:rPr>
        <w:t xml:space="preserve"> literal i) del</w:t>
      </w:r>
      <w:r w:rsidRPr="0068083E">
        <w:rPr>
          <w:rFonts w:ascii="Verdana" w:eastAsia="Calibri" w:hAnsi="Verdana" w:cs="Arial"/>
          <w:bCs/>
          <w:color w:val="000000" w:themeColor="text1"/>
          <w:lang w:val="es-ES_tradnl"/>
        </w:rPr>
        <w:t xml:space="preserve"> artículo 2</w:t>
      </w:r>
      <w:r>
        <w:rPr>
          <w:rFonts w:ascii="Verdana" w:eastAsia="Calibri" w:hAnsi="Verdana" w:cs="Arial"/>
          <w:bCs/>
          <w:color w:val="000000" w:themeColor="text1"/>
          <w:lang w:val="es-ES_tradnl"/>
        </w:rPr>
        <w:t>.2</w:t>
      </w:r>
      <w:r w:rsidRPr="0068083E">
        <w:rPr>
          <w:rFonts w:ascii="Verdana" w:eastAsia="Calibri" w:hAnsi="Verdana" w:cs="Arial"/>
          <w:bCs/>
          <w:color w:val="000000" w:themeColor="text1"/>
          <w:lang w:val="es-ES_tradnl"/>
        </w:rPr>
        <w:t xml:space="preserve"> de la mencionada Ley 1150</w:t>
      </w:r>
      <w:r>
        <w:rPr>
          <w:rFonts w:ascii="Verdana" w:eastAsia="Calibri" w:hAnsi="Verdana" w:cs="Arial"/>
          <w:bCs/>
          <w:color w:val="000000" w:themeColor="text1"/>
          <w:lang w:val="es-ES_tradnl"/>
        </w:rPr>
        <w:t xml:space="preserve"> de 2007</w:t>
      </w:r>
      <w:r w:rsidRPr="0068083E">
        <w:rPr>
          <w:rFonts w:ascii="Verdana" w:eastAsia="Calibri" w:hAnsi="Verdana" w:cs="Arial"/>
          <w:bCs/>
          <w:color w:val="000000" w:themeColor="text1"/>
          <w:lang w:val="es-ES_tradnl"/>
        </w:rPr>
        <w:t xml:space="preserve">, salvo los que requieran reserva para su adquisición, frente a los cuales mantuvo, en </w:t>
      </w:r>
      <w:r>
        <w:rPr>
          <w:rFonts w:ascii="Verdana" w:eastAsia="Calibri" w:hAnsi="Verdana" w:cs="Arial"/>
          <w:bCs/>
          <w:color w:val="000000" w:themeColor="text1"/>
          <w:lang w:val="es-ES_tradnl"/>
        </w:rPr>
        <w:t xml:space="preserve">los </w:t>
      </w:r>
      <w:r w:rsidRPr="0068083E">
        <w:rPr>
          <w:rFonts w:ascii="Verdana" w:eastAsia="Calibri" w:hAnsi="Verdana" w:cs="Arial"/>
          <w:bCs/>
          <w:color w:val="000000" w:themeColor="text1"/>
          <w:lang w:val="es-ES_tradnl"/>
        </w:rPr>
        <w:t>literales d) y j)</w:t>
      </w:r>
      <w:r>
        <w:rPr>
          <w:rFonts w:ascii="Verdana" w:eastAsia="Calibri" w:hAnsi="Verdana" w:cs="Arial"/>
          <w:bCs/>
          <w:color w:val="000000" w:themeColor="text1"/>
          <w:lang w:val="es-ES_tradnl"/>
        </w:rPr>
        <w:t xml:space="preserve"> d</w:t>
      </w:r>
      <w:r w:rsidRPr="0068083E">
        <w:rPr>
          <w:rFonts w:ascii="Verdana" w:eastAsia="Calibri" w:hAnsi="Verdana" w:cs="Arial"/>
          <w:bCs/>
          <w:color w:val="000000" w:themeColor="text1"/>
          <w:lang w:val="es-ES_tradnl"/>
        </w:rPr>
        <w:t>el artículo 2</w:t>
      </w:r>
      <w:r>
        <w:rPr>
          <w:rFonts w:ascii="Verdana" w:eastAsia="Calibri" w:hAnsi="Verdana" w:cs="Arial"/>
          <w:bCs/>
          <w:color w:val="000000" w:themeColor="text1"/>
          <w:lang w:val="es-ES_tradnl"/>
        </w:rPr>
        <w:t xml:space="preserve">.4 </w:t>
      </w:r>
      <w:r w:rsidRPr="00340449">
        <w:rPr>
          <w:rFonts w:ascii="Verdana" w:eastAsia="Calibri" w:hAnsi="Verdana" w:cs="Arial"/>
          <w:bCs/>
          <w:i/>
          <w:iCs/>
          <w:color w:val="000000" w:themeColor="text1"/>
          <w:lang w:val="es-ES_tradnl"/>
        </w:rPr>
        <w:t>ibidem</w:t>
      </w:r>
      <w:r w:rsidRPr="0068083E">
        <w:rPr>
          <w:rFonts w:ascii="Verdana" w:eastAsia="Calibri" w:hAnsi="Verdana" w:cs="Arial"/>
          <w:bCs/>
          <w:color w:val="000000" w:themeColor="text1"/>
          <w:lang w:val="es-ES_tradnl"/>
        </w:rPr>
        <w:t xml:space="preserve">, la posibilidad de </w:t>
      </w:r>
      <w:r w:rsidRPr="0068083E">
        <w:rPr>
          <w:rFonts w:ascii="Verdana" w:eastAsia="Calibri" w:hAnsi="Verdana" w:cs="Arial"/>
          <w:bCs/>
          <w:i/>
          <w:iCs/>
          <w:color w:val="000000" w:themeColor="text1"/>
          <w:lang w:val="es-ES_tradnl"/>
        </w:rPr>
        <w:t>contratación directa</w:t>
      </w:r>
      <w:r w:rsidRPr="00DE2F55">
        <w:rPr>
          <w:rStyle w:val="Refdenotaalpie"/>
          <w:rFonts w:ascii="Verdana" w:eastAsia="Times New Roman" w:hAnsi="Verdana" w:cs="Arial"/>
          <w:lang w:eastAsia="es-MX"/>
        </w:rPr>
        <w:footnoteReference w:id="2"/>
      </w:r>
      <w:r w:rsidRPr="0068083E">
        <w:rPr>
          <w:rFonts w:ascii="Verdana" w:eastAsia="Calibri" w:hAnsi="Verdana" w:cs="Arial"/>
          <w:bCs/>
          <w:color w:val="000000" w:themeColor="text1"/>
          <w:lang w:val="es-ES_tradnl"/>
        </w:rPr>
        <w:t>. Ahora bien, el cambio en la modalidad de contratación de los bienes y servicios requeridos para la defensa y seguridad nacional, introducido por la Ley 1150 de 2007, no puede interpretarse como una derogatoria de la Ley 1089 de 2006, ya que lo que se modificó fue la causal, más no los requisitos especiales de contratación previstos en la Ley 1089</w:t>
      </w:r>
      <w:r>
        <w:rPr>
          <w:rFonts w:ascii="Verdana" w:eastAsia="Calibri" w:hAnsi="Verdana" w:cs="Arial"/>
          <w:bCs/>
          <w:color w:val="000000" w:themeColor="text1"/>
          <w:lang w:val="es-ES_tradnl"/>
        </w:rPr>
        <w:t xml:space="preserve"> de 2006</w:t>
      </w:r>
      <w:r w:rsidRPr="0068083E">
        <w:rPr>
          <w:rFonts w:ascii="Verdana" w:eastAsia="Calibri" w:hAnsi="Verdana" w:cs="Arial"/>
          <w:bCs/>
          <w:color w:val="000000" w:themeColor="text1"/>
          <w:lang w:val="es-ES_tradnl"/>
        </w:rPr>
        <w:t xml:space="preserve">. En otras palabras, en principio, la modalidad de selección abreviada no obsta para que la compra o suministro de tales bienes y servicios se realice con productores nacionales, ya que el artículo 1 de la referida Ley establece que el Ministerio de Comercio, Industria y Turismo debe certificar que la producción de aquellos se efectúa en </w:t>
      </w:r>
      <w:r>
        <w:rPr>
          <w:rFonts w:ascii="Verdana" w:eastAsia="Calibri" w:hAnsi="Verdana" w:cs="Arial"/>
          <w:bCs/>
          <w:color w:val="000000" w:themeColor="text1"/>
          <w:lang w:val="es-ES_tradnl"/>
        </w:rPr>
        <w:t>“</w:t>
      </w:r>
      <w:r w:rsidRPr="0068083E">
        <w:rPr>
          <w:rFonts w:ascii="Verdana" w:eastAsia="Calibri" w:hAnsi="Verdana" w:cs="Arial"/>
          <w:bCs/>
          <w:color w:val="000000" w:themeColor="text1"/>
          <w:lang w:val="es-ES_tradnl"/>
        </w:rPr>
        <w:t>en términos de competencia abierta</w:t>
      </w:r>
      <w:r>
        <w:rPr>
          <w:rFonts w:ascii="Verdana" w:eastAsia="Calibri" w:hAnsi="Verdana" w:cs="Arial"/>
          <w:bCs/>
          <w:color w:val="000000" w:themeColor="text1"/>
          <w:lang w:val="es-ES_tradnl"/>
        </w:rPr>
        <w:t>”</w:t>
      </w:r>
      <w:r w:rsidRPr="0068083E">
        <w:rPr>
          <w:rFonts w:ascii="Verdana" w:eastAsia="Calibri" w:hAnsi="Verdana" w:cs="Arial"/>
          <w:bCs/>
          <w:color w:val="000000" w:themeColor="text1"/>
          <w:lang w:val="es-ES_tradnl"/>
        </w:rPr>
        <w:t xml:space="preserve">. </w:t>
      </w:r>
    </w:p>
    <w:p w14:paraId="1C327649" w14:textId="77777777" w:rsidR="00F55A1F" w:rsidRDefault="00F55A1F" w:rsidP="00F55A1F">
      <w:pPr>
        <w:spacing w:line="276" w:lineRule="auto"/>
        <w:ind w:firstLine="708"/>
        <w:jc w:val="both"/>
        <w:rPr>
          <w:rFonts w:ascii="Verdana" w:eastAsia="Calibri" w:hAnsi="Verdana" w:cs="Arial"/>
          <w:bCs/>
          <w:color w:val="000000" w:themeColor="text1"/>
          <w:lang w:val="es-ES_tradnl"/>
        </w:rPr>
      </w:pPr>
      <w:r w:rsidRPr="009F2805">
        <w:rPr>
          <w:rFonts w:ascii="Verdana" w:eastAsia="Calibri" w:hAnsi="Verdana" w:cs="Arial"/>
          <w:bCs/>
          <w:color w:val="000000" w:themeColor="text1"/>
          <w:lang w:val="es-ES_tradnl"/>
        </w:rPr>
        <w:t>El artículo 2</w:t>
      </w:r>
      <w:r>
        <w:rPr>
          <w:rFonts w:ascii="Verdana" w:eastAsia="Calibri" w:hAnsi="Verdana" w:cs="Arial"/>
          <w:bCs/>
          <w:color w:val="000000" w:themeColor="text1"/>
          <w:lang w:val="es-ES_tradnl"/>
        </w:rPr>
        <w:t>.1</w:t>
      </w:r>
      <w:r w:rsidRPr="009F2805">
        <w:rPr>
          <w:rFonts w:ascii="Verdana" w:eastAsia="Calibri" w:hAnsi="Verdana" w:cs="Arial"/>
          <w:bCs/>
          <w:color w:val="000000" w:themeColor="text1"/>
          <w:lang w:val="es-ES_tradnl"/>
        </w:rPr>
        <w:t xml:space="preserve"> de la Ley 1089 de 2006 hacía referencia a los bienes y servicios para la defensa y seguridad nacional enlistados </w:t>
      </w:r>
      <w:r>
        <w:rPr>
          <w:rFonts w:ascii="Verdana" w:eastAsia="Calibri" w:hAnsi="Verdana" w:cs="Arial"/>
          <w:bCs/>
          <w:color w:val="000000" w:themeColor="text1"/>
          <w:lang w:val="es-ES_tradnl"/>
        </w:rPr>
        <w:t>en el artículo 4 del Decreto 855 de 1994, “P</w:t>
      </w:r>
      <w:r w:rsidRPr="00046244">
        <w:rPr>
          <w:rFonts w:ascii="Verdana" w:eastAsia="Calibri" w:hAnsi="Verdana" w:cs="Arial"/>
          <w:bCs/>
          <w:color w:val="000000" w:themeColor="text1"/>
          <w:lang w:val="es-ES_tradnl"/>
        </w:rPr>
        <w:t>or el cual se reglamenta parcialmente la Ley 80 de 1993 en materia de contratación directa</w:t>
      </w:r>
      <w:r>
        <w:rPr>
          <w:rFonts w:ascii="Verdana" w:eastAsia="Calibri" w:hAnsi="Verdana" w:cs="Arial"/>
          <w:bCs/>
          <w:color w:val="000000" w:themeColor="text1"/>
          <w:lang w:val="es-ES_tradnl"/>
        </w:rPr>
        <w:t xml:space="preserve">”. Esta disposición fue modificada por los Decretos 329 y 1275 de 1995, 2964 de 1997, 2334 de 1999, 626 de 2001, 3740 de 2004, 219 de 2006 y 499 de 2007. Sin embargo, el Decreto 855 de 1994 fue derogado </w:t>
      </w:r>
      <w:r w:rsidRPr="00D35271">
        <w:rPr>
          <w:rFonts w:ascii="Verdana" w:eastAsia="Calibri" w:hAnsi="Verdana" w:cs="Arial"/>
          <w:bCs/>
          <w:color w:val="000000" w:themeColor="text1"/>
          <w:lang w:val="es-ES_tradnl"/>
        </w:rPr>
        <w:t xml:space="preserve">por el artículo 83 del Decreto 66 de 2008, el cual fue derogado también por el artículo 9.2 del Decreto 734 de 2012 y este asimismo por el artículo 163 </w:t>
      </w:r>
      <w:r w:rsidRPr="00D35271">
        <w:rPr>
          <w:rFonts w:ascii="Verdana" w:eastAsia="Calibri" w:hAnsi="Verdana" w:cs="Arial"/>
          <w:bCs/>
          <w:color w:val="000000" w:themeColor="text1"/>
          <w:lang w:val="es-ES_tradnl"/>
        </w:rPr>
        <w:lastRenderedPageBreak/>
        <w:t>del Decreto 1510 de 2013, que fue a su vez derogado y compilado por el Decreto 1082 de 2015, vigente en la actualidad</w:t>
      </w:r>
      <w:r>
        <w:rPr>
          <w:rFonts w:ascii="Verdana" w:eastAsia="Calibri" w:hAnsi="Verdana" w:cs="Arial"/>
          <w:bCs/>
          <w:color w:val="000000" w:themeColor="text1"/>
          <w:lang w:val="es-ES_tradnl"/>
        </w:rPr>
        <w:t xml:space="preserve">. </w:t>
      </w:r>
    </w:p>
    <w:p w14:paraId="56F09B78" w14:textId="77777777" w:rsidR="00F55A1F" w:rsidRDefault="00F55A1F" w:rsidP="00F55A1F">
      <w:pPr>
        <w:spacing w:line="276" w:lineRule="auto"/>
        <w:ind w:firstLine="708"/>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 xml:space="preserve">Para efectos de los </w:t>
      </w:r>
      <w:r w:rsidRPr="0068083E">
        <w:rPr>
          <w:rFonts w:ascii="Verdana" w:eastAsia="Calibri" w:hAnsi="Verdana" w:cs="Arial"/>
          <w:bCs/>
          <w:color w:val="000000" w:themeColor="text1"/>
          <w:lang w:val="es-ES_tradnl"/>
        </w:rPr>
        <w:t>literales d) y j)</w:t>
      </w:r>
      <w:r>
        <w:rPr>
          <w:rFonts w:ascii="Verdana" w:eastAsia="Calibri" w:hAnsi="Verdana" w:cs="Arial"/>
          <w:bCs/>
          <w:color w:val="000000" w:themeColor="text1"/>
          <w:lang w:val="es-ES_tradnl"/>
        </w:rPr>
        <w:t xml:space="preserve"> d</w:t>
      </w:r>
      <w:r w:rsidRPr="0068083E">
        <w:rPr>
          <w:rFonts w:ascii="Verdana" w:eastAsia="Calibri" w:hAnsi="Verdana" w:cs="Arial"/>
          <w:bCs/>
          <w:color w:val="000000" w:themeColor="text1"/>
          <w:lang w:val="es-ES_tradnl"/>
        </w:rPr>
        <w:t>el artículo 2</w:t>
      </w:r>
      <w:r>
        <w:rPr>
          <w:rFonts w:ascii="Verdana" w:eastAsia="Calibri" w:hAnsi="Verdana" w:cs="Arial"/>
          <w:bCs/>
          <w:color w:val="000000" w:themeColor="text1"/>
          <w:lang w:val="es-ES_tradnl"/>
        </w:rPr>
        <w:t xml:space="preserve">.4 de la Ley 1150 de 2007, el inciso segundo del artículo 78 del Decreto 1510 de 2013 establecía el listado de bienes y servicios relacionados con la defensa y seguridad nacional que requerían reserva para su adquisición. El mismo </w:t>
      </w:r>
      <w:r>
        <w:rPr>
          <w:rFonts w:ascii="Verdana" w:eastAsia="Times New Roman" w:hAnsi="Verdana" w:cs="Arial"/>
          <w:lang w:eastAsia="es-MX"/>
        </w:rPr>
        <w:t xml:space="preserve">fue anulado por la Subsección A de la Sección Tercera del Consejo de Estado en Sentencia del 24 de mayo de 2018, </w:t>
      </w:r>
      <w:proofErr w:type="spellStart"/>
      <w:r>
        <w:rPr>
          <w:rFonts w:ascii="Verdana" w:eastAsia="Times New Roman" w:hAnsi="Verdana" w:cs="Arial"/>
          <w:lang w:eastAsia="es-MX"/>
        </w:rPr>
        <w:t>Exp</w:t>
      </w:r>
      <w:proofErr w:type="spellEnd"/>
      <w:r>
        <w:rPr>
          <w:rFonts w:ascii="Verdana" w:eastAsia="Times New Roman" w:hAnsi="Verdana" w:cs="Arial"/>
          <w:lang w:eastAsia="es-MX"/>
        </w:rPr>
        <w:t xml:space="preserve">. 50222, con ponencia de la Consejera </w:t>
      </w:r>
      <w:r w:rsidRPr="00D25821">
        <w:rPr>
          <w:rFonts w:ascii="Verdana" w:eastAsia="Times New Roman" w:hAnsi="Verdana" w:cs="Arial"/>
          <w:lang w:eastAsia="es-MX"/>
        </w:rPr>
        <w:t>Marta Nubia Velásquez Rico</w:t>
      </w:r>
      <w:r>
        <w:rPr>
          <w:rFonts w:ascii="Verdana" w:eastAsia="Times New Roman" w:hAnsi="Verdana" w:cs="Arial"/>
          <w:lang w:eastAsia="es-MX"/>
        </w:rPr>
        <w:t xml:space="preserve">, bajo el argumento de que el Gobierno Nacional “[…] </w:t>
      </w:r>
      <w:r w:rsidRPr="008F68A8">
        <w:rPr>
          <w:rFonts w:ascii="Verdana" w:eastAsia="Times New Roman" w:hAnsi="Verdana" w:cs="Arial"/>
          <w:lang w:eastAsia="es-MX"/>
        </w:rPr>
        <w:t>desbordó la potestad reglamentaria al limitar el derecho fundamental de acceso a la información pública tratándose de bienes y servicios a adquirir por vía de la modalidad de selección de la contratación directa, limitación que por corresponder a la reserva legal, está en cabeza del legislador</w:t>
      </w:r>
      <w:r>
        <w:rPr>
          <w:rFonts w:ascii="Verdana" w:eastAsia="Times New Roman" w:hAnsi="Verdana" w:cs="Arial"/>
          <w:lang w:eastAsia="es-MX"/>
        </w:rPr>
        <w:t>”.</w:t>
      </w:r>
      <w:r>
        <w:rPr>
          <w:rFonts w:ascii="Verdana" w:eastAsia="Calibri" w:hAnsi="Verdana" w:cs="Arial"/>
          <w:bCs/>
          <w:color w:val="000000" w:themeColor="text1"/>
          <w:lang w:val="es-ES_tradnl"/>
        </w:rPr>
        <w:t xml:space="preserve"> </w:t>
      </w:r>
    </w:p>
    <w:p w14:paraId="67893956" w14:textId="77777777" w:rsidR="00F55A1F" w:rsidRDefault="00F55A1F" w:rsidP="00F55A1F">
      <w:pPr>
        <w:spacing w:line="276" w:lineRule="auto"/>
        <w:ind w:firstLine="708"/>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Dicha decisión también condicionó la legalidad del listado contenido en el artículo 65 del Decreto 1510 de 2013, el cual se expidió en desarrollo del literal i) del</w:t>
      </w:r>
      <w:r w:rsidRPr="0068083E">
        <w:rPr>
          <w:rFonts w:ascii="Verdana" w:eastAsia="Calibri" w:hAnsi="Verdana" w:cs="Arial"/>
          <w:bCs/>
          <w:color w:val="000000" w:themeColor="text1"/>
          <w:lang w:val="es-ES_tradnl"/>
        </w:rPr>
        <w:t xml:space="preserve"> artículo 2</w:t>
      </w:r>
      <w:r>
        <w:rPr>
          <w:rFonts w:ascii="Verdana" w:eastAsia="Calibri" w:hAnsi="Verdana" w:cs="Arial"/>
          <w:bCs/>
          <w:color w:val="000000" w:themeColor="text1"/>
          <w:lang w:val="es-ES_tradnl"/>
        </w:rPr>
        <w:t>.2</w:t>
      </w:r>
      <w:r w:rsidRPr="0068083E">
        <w:rPr>
          <w:rFonts w:ascii="Verdana" w:eastAsia="Calibri" w:hAnsi="Verdana" w:cs="Arial"/>
          <w:bCs/>
          <w:color w:val="000000" w:themeColor="text1"/>
          <w:lang w:val="es-ES_tradnl"/>
        </w:rPr>
        <w:t xml:space="preserve"> </w:t>
      </w:r>
      <w:r>
        <w:rPr>
          <w:rFonts w:ascii="Verdana" w:eastAsia="Calibri" w:hAnsi="Verdana" w:cs="Arial"/>
          <w:bCs/>
          <w:color w:val="000000" w:themeColor="text1"/>
          <w:lang w:val="es-ES_tradnl"/>
        </w:rPr>
        <w:t>de la</w:t>
      </w:r>
      <w:r w:rsidRPr="0068083E">
        <w:rPr>
          <w:rFonts w:ascii="Verdana" w:eastAsia="Calibri" w:hAnsi="Verdana" w:cs="Arial"/>
          <w:bCs/>
          <w:color w:val="000000" w:themeColor="text1"/>
          <w:lang w:val="es-ES_tradnl"/>
        </w:rPr>
        <w:t xml:space="preserve"> Ley 1150</w:t>
      </w:r>
      <w:r>
        <w:rPr>
          <w:rFonts w:ascii="Verdana" w:eastAsia="Calibri" w:hAnsi="Verdana" w:cs="Arial"/>
          <w:bCs/>
          <w:color w:val="000000" w:themeColor="text1"/>
          <w:lang w:val="es-ES_tradnl"/>
        </w:rPr>
        <w:t xml:space="preserve"> de 2007. Lo anterior en el sentido que –con excepción del numeral 17 que fue anulado– “[…] </w:t>
      </w:r>
      <w:r w:rsidRPr="00631DFC">
        <w:rPr>
          <w:rFonts w:ascii="Verdana" w:eastAsia="Calibri" w:hAnsi="Verdana" w:cs="Arial"/>
          <w:bCs/>
          <w:color w:val="000000" w:themeColor="text1"/>
          <w:lang w:val="es-ES_tradnl"/>
        </w:rPr>
        <w:t>la entidad pública del orden nacional que acuda a esta modalidad de contratación, a más de dar estricto cumplimiento a lo establecido en el parágrafo 1 del artículo 2 de la Ley 1150 de 2007, establezca la relación existente entre los bienes y servicios a adquirir, la satisfacción de las necesidades que ellos procurarán para la defensa y seguridad nacional y las funciones a su cargo</w:t>
      </w:r>
      <w:r>
        <w:rPr>
          <w:rFonts w:ascii="Verdana" w:eastAsia="Calibri" w:hAnsi="Verdana" w:cs="Arial"/>
          <w:bCs/>
          <w:color w:val="000000" w:themeColor="text1"/>
          <w:lang w:val="es-ES_tradnl"/>
        </w:rPr>
        <w:t>”</w:t>
      </w:r>
      <w:r>
        <w:rPr>
          <w:rStyle w:val="Refdenotaalpie"/>
          <w:rFonts w:ascii="Verdana" w:eastAsia="Calibri" w:hAnsi="Verdana" w:cs="Arial"/>
          <w:bCs/>
          <w:color w:val="000000" w:themeColor="text1"/>
          <w:lang w:val="es-ES_tradnl"/>
        </w:rPr>
        <w:footnoteReference w:id="3"/>
      </w:r>
      <w:r w:rsidRPr="00631DFC">
        <w:rPr>
          <w:rFonts w:ascii="Verdana" w:eastAsia="Calibri" w:hAnsi="Verdana" w:cs="Arial"/>
          <w:bCs/>
          <w:color w:val="000000" w:themeColor="text1"/>
          <w:lang w:val="es-ES_tradnl"/>
        </w:rPr>
        <w:t>.</w:t>
      </w:r>
      <w:r>
        <w:rPr>
          <w:rFonts w:ascii="Verdana" w:eastAsia="Calibri" w:hAnsi="Verdana" w:cs="Arial"/>
          <w:bCs/>
          <w:color w:val="000000" w:themeColor="text1"/>
          <w:lang w:val="es-ES_tradnl"/>
        </w:rPr>
        <w:t xml:space="preserve"> </w:t>
      </w:r>
    </w:p>
    <w:p w14:paraId="166983EB" w14:textId="77777777" w:rsidR="00F55A1F" w:rsidRPr="0068083E" w:rsidRDefault="00F55A1F" w:rsidP="00F55A1F">
      <w:pPr>
        <w:spacing w:line="276" w:lineRule="auto"/>
        <w:ind w:firstLine="708"/>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En la actualidad, la selección abreviada y la contratación directa para bienes y servicios relacionados con la defensa y seguridad nacional no cuentan con un listado que delimite tanto el alcance del tanto del literal i) del</w:t>
      </w:r>
      <w:r w:rsidRPr="0068083E">
        <w:rPr>
          <w:rFonts w:ascii="Verdana" w:eastAsia="Calibri" w:hAnsi="Verdana" w:cs="Arial"/>
          <w:bCs/>
          <w:color w:val="000000" w:themeColor="text1"/>
          <w:lang w:val="es-ES_tradnl"/>
        </w:rPr>
        <w:t xml:space="preserve"> artículo 2</w:t>
      </w:r>
      <w:r>
        <w:rPr>
          <w:rFonts w:ascii="Verdana" w:eastAsia="Calibri" w:hAnsi="Verdana" w:cs="Arial"/>
          <w:bCs/>
          <w:color w:val="000000" w:themeColor="text1"/>
          <w:lang w:val="es-ES_tradnl"/>
        </w:rPr>
        <w:t>.2</w:t>
      </w:r>
      <w:r w:rsidRPr="0068083E">
        <w:rPr>
          <w:rFonts w:ascii="Verdana" w:eastAsia="Calibri" w:hAnsi="Verdana" w:cs="Arial"/>
          <w:bCs/>
          <w:color w:val="000000" w:themeColor="text1"/>
          <w:lang w:val="es-ES_tradnl"/>
        </w:rPr>
        <w:t xml:space="preserve"> </w:t>
      </w:r>
      <w:r>
        <w:rPr>
          <w:rFonts w:ascii="Verdana" w:eastAsia="Calibri" w:hAnsi="Verdana" w:cs="Arial"/>
          <w:bCs/>
          <w:color w:val="000000" w:themeColor="text1"/>
          <w:lang w:val="es-ES_tradnl"/>
        </w:rPr>
        <w:t>de la</w:t>
      </w:r>
      <w:r w:rsidRPr="0068083E">
        <w:rPr>
          <w:rFonts w:ascii="Verdana" w:eastAsia="Calibri" w:hAnsi="Verdana" w:cs="Arial"/>
          <w:bCs/>
          <w:color w:val="000000" w:themeColor="text1"/>
          <w:lang w:val="es-ES_tradnl"/>
        </w:rPr>
        <w:t xml:space="preserve"> Ley 1150</w:t>
      </w:r>
      <w:r>
        <w:rPr>
          <w:rFonts w:ascii="Verdana" w:eastAsia="Calibri" w:hAnsi="Verdana" w:cs="Arial"/>
          <w:bCs/>
          <w:color w:val="000000" w:themeColor="text1"/>
          <w:lang w:val="es-ES_tradnl"/>
        </w:rPr>
        <w:t xml:space="preserve"> de 2007 como de los </w:t>
      </w:r>
      <w:r w:rsidRPr="0068083E">
        <w:rPr>
          <w:rFonts w:ascii="Verdana" w:eastAsia="Calibri" w:hAnsi="Verdana" w:cs="Arial"/>
          <w:bCs/>
          <w:color w:val="000000" w:themeColor="text1"/>
          <w:lang w:val="es-ES_tradnl"/>
        </w:rPr>
        <w:t>literales d) y j)</w:t>
      </w:r>
      <w:r>
        <w:rPr>
          <w:rFonts w:ascii="Verdana" w:eastAsia="Calibri" w:hAnsi="Verdana" w:cs="Arial"/>
          <w:bCs/>
          <w:color w:val="000000" w:themeColor="text1"/>
          <w:lang w:val="es-ES_tradnl"/>
        </w:rPr>
        <w:t xml:space="preserve"> d</w:t>
      </w:r>
      <w:r w:rsidRPr="0068083E">
        <w:rPr>
          <w:rFonts w:ascii="Verdana" w:eastAsia="Calibri" w:hAnsi="Verdana" w:cs="Arial"/>
          <w:bCs/>
          <w:color w:val="000000" w:themeColor="text1"/>
          <w:lang w:val="es-ES_tradnl"/>
        </w:rPr>
        <w:t>el artículo 2</w:t>
      </w:r>
      <w:r>
        <w:rPr>
          <w:rFonts w:ascii="Verdana" w:eastAsia="Calibri" w:hAnsi="Verdana" w:cs="Arial"/>
          <w:bCs/>
          <w:color w:val="000000" w:themeColor="text1"/>
          <w:lang w:val="es-ES_tradnl"/>
        </w:rPr>
        <w:t xml:space="preserve">.4 </w:t>
      </w:r>
      <w:r w:rsidRPr="004858ED">
        <w:rPr>
          <w:rFonts w:ascii="Verdana" w:eastAsia="Calibri" w:hAnsi="Verdana" w:cs="Arial"/>
          <w:bCs/>
          <w:i/>
          <w:iCs/>
          <w:color w:val="000000" w:themeColor="text1"/>
          <w:lang w:val="es-ES_tradnl"/>
        </w:rPr>
        <w:t>ibidem</w:t>
      </w:r>
      <w:r>
        <w:rPr>
          <w:rFonts w:ascii="Verdana" w:eastAsia="Calibri" w:hAnsi="Verdana" w:cs="Arial"/>
          <w:bCs/>
          <w:color w:val="000000" w:themeColor="text1"/>
          <w:lang w:val="es-ES_tradnl"/>
        </w:rPr>
        <w:t xml:space="preserve">. Con la derogatoria del Decreto 1510 de 2013, dichos procedimientos de selección se sujetan a las condiciones establecidas en los artículos </w:t>
      </w:r>
      <w:r w:rsidRPr="00D524F8">
        <w:rPr>
          <w:rFonts w:ascii="Verdana" w:eastAsia="Calibri" w:hAnsi="Verdana" w:cs="Arial"/>
          <w:bCs/>
          <w:color w:val="000000" w:themeColor="text1"/>
          <w:lang w:val="es-ES_tradnl"/>
        </w:rPr>
        <w:t>2.2.1.2.1.2.26</w:t>
      </w:r>
      <w:r>
        <w:rPr>
          <w:rFonts w:ascii="Verdana" w:eastAsia="Calibri" w:hAnsi="Verdana" w:cs="Arial"/>
          <w:bCs/>
          <w:color w:val="000000" w:themeColor="text1"/>
          <w:lang w:val="es-ES_tradnl"/>
        </w:rPr>
        <w:t xml:space="preserve"> y </w:t>
      </w:r>
      <w:r w:rsidRPr="00D524F8">
        <w:rPr>
          <w:rFonts w:ascii="Verdana" w:eastAsia="Calibri" w:hAnsi="Verdana" w:cs="Arial"/>
          <w:bCs/>
          <w:color w:val="000000" w:themeColor="text1"/>
          <w:lang w:val="es-ES_tradnl"/>
        </w:rPr>
        <w:t>2.2.1.2.1.4.6</w:t>
      </w:r>
      <w:r>
        <w:rPr>
          <w:rFonts w:ascii="Verdana" w:eastAsia="Calibri" w:hAnsi="Verdana" w:cs="Arial"/>
          <w:bCs/>
          <w:color w:val="000000" w:themeColor="text1"/>
          <w:lang w:val="es-ES_tradnl"/>
        </w:rPr>
        <w:t xml:space="preserve"> del Decreto 1082 de 2015</w:t>
      </w:r>
      <w:r>
        <w:rPr>
          <w:rStyle w:val="Refdenotaalpie"/>
          <w:rFonts w:ascii="Verdana" w:eastAsia="Calibri" w:hAnsi="Verdana" w:cs="Arial"/>
          <w:bCs/>
          <w:color w:val="000000" w:themeColor="text1"/>
          <w:lang w:val="es-ES_tradnl"/>
        </w:rPr>
        <w:footnoteReference w:id="4"/>
      </w:r>
      <w:r>
        <w:rPr>
          <w:rFonts w:ascii="Verdana" w:eastAsia="Calibri" w:hAnsi="Verdana" w:cs="Arial"/>
          <w:bCs/>
          <w:color w:val="000000" w:themeColor="text1"/>
          <w:lang w:val="es-ES_tradnl"/>
        </w:rPr>
        <w:t xml:space="preserve">. </w:t>
      </w:r>
    </w:p>
    <w:p w14:paraId="68F68285" w14:textId="77777777" w:rsidR="00F55A1F" w:rsidRPr="0022369F" w:rsidRDefault="00F55A1F" w:rsidP="00F55A1F">
      <w:pPr>
        <w:tabs>
          <w:tab w:val="left" w:pos="0"/>
        </w:tabs>
        <w:spacing w:before="120" w:line="276" w:lineRule="auto"/>
        <w:ind w:firstLine="709"/>
        <w:jc w:val="both"/>
        <w:rPr>
          <w:rFonts w:ascii="Verdana" w:eastAsia="Calibri" w:hAnsi="Verdana" w:cs="Arial"/>
          <w:bCs/>
          <w:color w:val="000000" w:themeColor="text1"/>
          <w:lang w:val="es-ES_tradnl"/>
        </w:rPr>
      </w:pPr>
      <w:r w:rsidRPr="0022369F">
        <w:rPr>
          <w:rFonts w:ascii="Verdana" w:eastAsia="Calibri" w:hAnsi="Verdana" w:cs="Arial"/>
          <w:bCs/>
          <w:color w:val="000000" w:themeColor="text1"/>
          <w:lang w:val="es-ES_tradnl"/>
        </w:rPr>
        <w:lastRenderedPageBreak/>
        <w:t xml:space="preserve">En todo caso, el gobierno nacional expidió el Decreto 660 de 2007, por el cual reglamentó parcialmente la Ley 1089 de 2006. Dicho </w:t>
      </w:r>
      <w:r>
        <w:rPr>
          <w:rFonts w:ascii="Verdana" w:eastAsia="Calibri" w:hAnsi="Verdana" w:cs="Arial"/>
          <w:bCs/>
          <w:color w:val="000000" w:themeColor="text1"/>
          <w:lang w:val="es-ES_tradnl"/>
        </w:rPr>
        <w:t>reglamento</w:t>
      </w:r>
      <w:r w:rsidRPr="0022369F">
        <w:rPr>
          <w:rFonts w:ascii="Verdana" w:eastAsia="Calibri" w:hAnsi="Verdana" w:cs="Arial"/>
          <w:bCs/>
          <w:color w:val="000000" w:themeColor="text1"/>
          <w:lang w:val="es-ES_tradnl"/>
        </w:rPr>
        <w:t xml:space="preserve"> se encuentra actualmente compilado en el Decreto 1074 de 2015</w:t>
      </w:r>
      <w:r>
        <w:rPr>
          <w:rFonts w:ascii="Verdana" w:eastAsia="Calibri" w:hAnsi="Verdana" w:cs="Arial"/>
          <w:bCs/>
          <w:color w:val="000000" w:themeColor="text1"/>
          <w:lang w:val="es-ES_tradnl"/>
        </w:rPr>
        <w:t>, “P</w:t>
      </w:r>
      <w:r w:rsidRPr="0022369F">
        <w:rPr>
          <w:rFonts w:ascii="Verdana" w:eastAsia="Calibri" w:hAnsi="Verdana" w:cs="Arial"/>
          <w:bCs/>
          <w:color w:val="000000" w:themeColor="text1"/>
          <w:lang w:val="es-ES_tradnl"/>
        </w:rPr>
        <w:t>or medio del cual se expide el Decreto Único Reglamentario del Sector Comercio, Industria y Turismo</w:t>
      </w:r>
      <w:r>
        <w:rPr>
          <w:rFonts w:ascii="Verdana" w:eastAsia="Calibri" w:hAnsi="Verdana" w:cs="Arial"/>
          <w:bCs/>
          <w:color w:val="000000" w:themeColor="text1"/>
          <w:lang w:val="es-ES_tradnl"/>
        </w:rPr>
        <w:t>”,</w:t>
      </w:r>
      <w:r w:rsidRPr="0022369F">
        <w:rPr>
          <w:rFonts w:ascii="Verdana" w:eastAsia="Calibri" w:hAnsi="Verdana" w:cs="Arial"/>
          <w:bCs/>
          <w:color w:val="000000" w:themeColor="text1"/>
          <w:lang w:val="es-ES_tradnl"/>
        </w:rPr>
        <w:t xml:space="preserve"> el cual establece varias exigencias para la adquisición de los bienes y servicios destinados a la defensa y seguridad nacional:</w:t>
      </w:r>
    </w:p>
    <w:p w14:paraId="53FA1257" w14:textId="77777777" w:rsidR="00F55A1F" w:rsidRPr="0022369F" w:rsidRDefault="00F55A1F" w:rsidP="00F55A1F">
      <w:pPr>
        <w:tabs>
          <w:tab w:val="left" w:pos="0"/>
        </w:tabs>
        <w:spacing w:before="120" w:line="276" w:lineRule="auto"/>
        <w:ind w:firstLine="709"/>
        <w:jc w:val="both"/>
        <w:rPr>
          <w:rFonts w:ascii="Verdana" w:eastAsia="Calibri" w:hAnsi="Verdana" w:cs="Arial"/>
          <w:bCs/>
          <w:color w:val="000000" w:themeColor="text1"/>
          <w:lang w:val="es-ES_tradnl"/>
        </w:rPr>
      </w:pPr>
      <w:r w:rsidRPr="0022369F">
        <w:rPr>
          <w:rFonts w:ascii="Verdana" w:eastAsia="Calibri" w:hAnsi="Verdana" w:cs="Arial"/>
          <w:bCs/>
          <w:color w:val="000000" w:themeColor="text1"/>
          <w:lang w:val="es-ES_tradnl"/>
        </w:rPr>
        <w:t>a) Obliga al Ministerio de Defensa a solicitar al Ministerio de Comercio, Industria y Turismo, la certificación sobre la existencia o no de producción nacional de dichos bienes y servicios</w:t>
      </w:r>
      <w:r w:rsidRPr="0022369F">
        <w:rPr>
          <w:rStyle w:val="Refdenotaalpie"/>
          <w:rFonts w:ascii="Verdana" w:eastAsia="Calibri" w:hAnsi="Verdana" w:cs="Arial"/>
          <w:bCs/>
          <w:color w:val="000000" w:themeColor="text1"/>
          <w:lang w:val="es-ES_tradnl"/>
        </w:rPr>
        <w:footnoteReference w:id="5"/>
      </w:r>
      <w:r w:rsidRPr="0022369F">
        <w:rPr>
          <w:rFonts w:ascii="Verdana" w:eastAsia="Calibri" w:hAnsi="Verdana" w:cs="Arial"/>
          <w:bCs/>
          <w:color w:val="000000" w:themeColor="text1"/>
          <w:lang w:val="es-ES_tradnl"/>
        </w:rPr>
        <w:t>.</w:t>
      </w:r>
    </w:p>
    <w:p w14:paraId="3B9E6E45" w14:textId="77777777" w:rsidR="00F55A1F" w:rsidRPr="0022369F" w:rsidRDefault="00F55A1F" w:rsidP="00F55A1F">
      <w:pPr>
        <w:tabs>
          <w:tab w:val="left" w:pos="0"/>
        </w:tabs>
        <w:spacing w:before="120" w:line="276" w:lineRule="auto"/>
        <w:ind w:firstLine="709"/>
        <w:jc w:val="both"/>
        <w:rPr>
          <w:rFonts w:ascii="Verdana" w:eastAsia="Calibri" w:hAnsi="Verdana" w:cs="Arial"/>
          <w:bCs/>
          <w:color w:val="000000" w:themeColor="text1"/>
          <w:lang w:val="es-ES_tradnl"/>
        </w:rPr>
      </w:pPr>
      <w:r w:rsidRPr="0022369F">
        <w:rPr>
          <w:rFonts w:ascii="Verdana" w:eastAsia="Calibri" w:hAnsi="Verdana" w:cs="Arial"/>
          <w:bCs/>
          <w:color w:val="000000" w:themeColor="text1"/>
          <w:lang w:val="es-ES_tradnl"/>
        </w:rPr>
        <w:t>b) Manda que la solicitud de la mencionada certificación se haga durante la primera quincena de enero y julio de cada año, indicando los datos técnicos y económicos correspondientes</w:t>
      </w:r>
      <w:r w:rsidRPr="0022369F">
        <w:rPr>
          <w:rStyle w:val="Refdenotaalpie"/>
          <w:rFonts w:ascii="Verdana" w:eastAsia="Calibri" w:hAnsi="Verdana" w:cs="Arial"/>
          <w:bCs/>
          <w:color w:val="000000" w:themeColor="text1"/>
          <w:lang w:val="es-ES_tradnl"/>
        </w:rPr>
        <w:footnoteReference w:id="6"/>
      </w:r>
      <w:r w:rsidRPr="0022369F">
        <w:rPr>
          <w:rFonts w:ascii="Verdana" w:eastAsia="Calibri" w:hAnsi="Verdana" w:cs="Arial"/>
          <w:bCs/>
          <w:color w:val="000000" w:themeColor="text1"/>
          <w:lang w:val="es-ES_tradnl"/>
        </w:rPr>
        <w:t>.</w:t>
      </w:r>
    </w:p>
    <w:p w14:paraId="47F91EAA" w14:textId="77777777" w:rsidR="00F55A1F" w:rsidRPr="0022369F" w:rsidRDefault="00F55A1F" w:rsidP="00F55A1F">
      <w:pPr>
        <w:tabs>
          <w:tab w:val="left" w:pos="0"/>
        </w:tabs>
        <w:spacing w:before="120" w:line="276" w:lineRule="auto"/>
        <w:ind w:firstLine="709"/>
        <w:jc w:val="both"/>
        <w:rPr>
          <w:rFonts w:ascii="Verdana" w:eastAsia="Calibri" w:hAnsi="Verdana" w:cs="Arial"/>
          <w:bCs/>
          <w:color w:val="000000" w:themeColor="text1"/>
          <w:lang w:val="es-ES_tradnl"/>
        </w:rPr>
      </w:pPr>
      <w:r w:rsidRPr="0022369F">
        <w:rPr>
          <w:rFonts w:ascii="Verdana" w:eastAsia="Calibri" w:hAnsi="Verdana" w:cs="Arial"/>
          <w:bCs/>
          <w:color w:val="000000" w:themeColor="text1"/>
          <w:lang w:val="es-ES_tradnl"/>
        </w:rPr>
        <w:t xml:space="preserve">c) Determina la metodología con arreglo a la cual el Ministerio de Comercio, Industria y Turismo debe cotejar el listado remitido por el Ministerio de Defensa Nacional, para certificar la existencia o no de producción nacional de </w:t>
      </w:r>
      <w:r w:rsidRPr="0022369F">
        <w:rPr>
          <w:rFonts w:ascii="Verdana" w:eastAsia="Calibri" w:hAnsi="Verdana" w:cs="Arial"/>
          <w:bCs/>
          <w:color w:val="000000" w:themeColor="text1"/>
          <w:lang w:val="es-ES_tradnl"/>
        </w:rPr>
        <w:lastRenderedPageBreak/>
        <w:t>los bienes y servicios requeridos para la defensa y seguridad nacional, así como los criterios para acreditar la competencia abierta</w:t>
      </w:r>
      <w:r w:rsidRPr="0022369F">
        <w:rPr>
          <w:rStyle w:val="Refdenotaalpie"/>
          <w:rFonts w:ascii="Verdana" w:eastAsia="Calibri" w:hAnsi="Verdana" w:cs="Arial"/>
          <w:bCs/>
          <w:color w:val="000000" w:themeColor="text1"/>
          <w:lang w:val="es-ES_tradnl"/>
        </w:rPr>
        <w:footnoteReference w:id="7"/>
      </w:r>
      <w:r w:rsidRPr="0022369F">
        <w:rPr>
          <w:rFonts w:ascii="Verdana" w:eastAsia="Calibri" w:hAnsi="Verdana" w:cs="Arial"/>
          <w:bCs/>
          <w:color w:val="000000" w:themeColor="text1"/>
          <w:lang w:val="es-ES_tradnl"/>
        </w:rPr>
        <w:t>.</w:t>
      </w:r>
    </w:p>
    <w:p w14:paraId="3B1A322E" w14:textId="77777777" w:rsidR="00F55A1F" w:rsidRPr="0022369F" w:rsidRDefault="00F55A1F" w:rsidP="00F55A1F">
      <w:pPr>
        <w:tabs>
          <w:tab w:val="left" w:pos="0"/>
        </w:tabs>
        <w:spacing w:before="120" w:line="276" w:lineRule="auto"/>
        <w:ind w:firstLine="709"/>
        <w:jc w:val="both"/>
        <w:rPr>
          <w:rFonts w:ascii="Verdana" w:eastAsia="Calibri" w:hAnsi="Verdana" w:cs="Arial"/>
          <w:bCs/>
          <w:color w:val="000000" w:themeColor="text1"/>
          <w:lang w:val="es-ES_tradnl"/>
        </w:rPr>
      </w:pPr>
      <w:r w:rsidRPr="0022369F">
        <w:rPr>
          <w:rFonts w:ascii="Verdana" w:eastAsia="Calibri" w:hAnsi="Verdana" w:cs="Arial"/>
          <w:bCs/>
          <w:color w:val="000000" w:themeColor="text1"/>
          <w:lang w:val="es-ES_tradnl"/>
        </w:rPr>
        <w:t>d) Dispone que, una vez certificada la existencia de producción nacional y de competencia abierta, el procedimiento de selección se realizará con productores nacionales, sin perjuicio de poderse efectuar la adquisición con productores extranjeros, por razones de conveniencia</w:t>
      </w:r>
      <w:r w:rsidRPr="0022369F">
        <w:rPr>
          <w:rStyle w:val="Refdenotaalpie"/>
          <w:rFonts w:ascii="Verdana" w:eastAsia="Calibri" w:hAnsi="Verdana" w:cs="Arial"/>
          <w:bCs/>
          <w:color w:val="000000" w:themeColor="text1"/>
          <w:lang w:val="es-ES_tradnl"/>
        </w:rPr>
        <w:footnoteReference w:id="8"/>
      </w:r>
      <w:r w:rsidRPr="0022369F">
        <w:rPr>
          <w:rFonts w:ascii="Verdana" w:eastAsia="Calibri" w:hAnsi="Verdana" w:cs="Arial"/>
          <w:bCs/>
          <w:color w:val="000000" w:themeColor="text1"/>
          <w:lang w:val="es-ES_tradnl"/>
        </w:rPr>
        <w:t>.</w:t>
      </w:r>
    </w:p>
    <w:p w14:paraId="7703E10E" w14:textId="77777777" w:rsidR="00F55A1F" w:rsidRPr="00D13A69" w:rsidRDefault="00F55A1F" w:rsidP="00F55A1F">
      <w:pPr>
        <w:tabs>
          <w:tab w:val="left" w:pos="709"/>
        </w:tabs>
        <w:spacing w:after="180" w:line="276" w:lineRule="auto"/>
        <w:jc w:val="both"/>
        <w:rPr>
          <w:rFonts w:ascii="Verdana" w:hAnsi="Verdana" w:cs="Arial"/>
          <w:color w:val="000000" w:themeColor="text1"/>
          <w:lang w:val="es-ES_tradnl"/>
        </w:rPr>
      </w:pPr>
      <w:r>
        <w:rPr>
          <w:rFonts w:ascii="Verdana" w:hAnsi="Verdana" w:cs="Arial"/>
          <w:color w:val="000000" w:themeColor="text1"/>
          <w:lang w:val="es-ES_tradnl"/>
        </w:rPr>
        <w:tab/>
        <w:t xml:space="preserve">En este contexto, pese a las modificaciones introducidas a la causal de contratación directa del otrora </w:t>
      </w:r>
      <w:r w:rsidRPr="00915E9F">
        <w:rPr>
          <w:rFonts w:ascii="Verdana" w:eastAsia="Calibri" w:hAnsi="Verdana" w:cs="Arial"/>
          <w:bCs/>
          <w:color w:val="000000" w:themeColor="text1"/>
          <w:lang w:val="es-ES"/>
        </w:rPr>
        <w:t>literal i) del artículo 24</w:t>
      </w:r>
      <w:r>
        <w:rPr>
          <w:rFonts w:ascii="Verdana" w:eastAsia="Calibri" w:hAnsi="Verdana" w:cs="Arial"/>
          <w:bCs/>
          <w:color w:val="000000" w:themeColor="text1"/>
          <w:lang w:val="es-ES"/>
        </w:rPr>
        <w:t>.1</w:t>
      </w:r>
      <w:r w:rsidRPr="00915E9F">
        <w:rPr>
          <w:rFonts w:ascii="Verdana" w:eastAsia="Calibri" w:hAnsi="Verdana" w:cs="Arial"/>
          <w:bCs/>
          <w:color w:val="000000" w:themeColor="text1"/>
          <w:lang w:val="es-ES"/>
        </w:rPr>
        <w:t xml:space="preserve"> de la Ley 80 de 1993</w:t>
      </w:r>
      <w:r>
        <w:rPr>
          <w:rFonts w:ascii="Verdana" w:hAnsi="Verdana" w:cs="Arial"/>
          <w:color w:val="000000" w:themeColor="text1"/>
          <w:lang w:val="es-ES_tradnl"/>
        </w:rPr>
        <w:t xml:space="preserve"> y pese a que no existe listado para determinar los bienes y servicios relacionados con la defensa y seguridad nacional respecto a los</w:t>
      </w:r>
      <w:r>
        <w:rPr>
          <w:rFonts w:ascii="Verdana" w:eastAsia="Calibri" w:hAnsi="Verdana" w:cs="Arial"/>
          <w:bCs/>
          <w:color w:val="000000" w:themeColor="text1"/>
          <w:lang w:val="es-ES_tradnl"/>
        </w:rPr>
        <w:t xml:space="preserve"> </w:t>
      </w:r>
      <w:r w:rsidRPr="0068083E">
        <w:rPr>
          <w:rFonts w:ascii="Verdana" w:eastAsia="Calibri" w:hAnsi="Verdana" w:cs="Arial"/>
          <w:bCs/>
          <w:color w:val="000000" w:themeColor="text1"/>
          <w:lang w:val="es-ES_tradnl"/>
        </w:rPr>
        <w:t>literales d) y j)</w:t>
      </w:r>
      <w:r>
        <w:rPr>
          <w:rFonts w:ascii="Verdana" w:eastAsia="Calibri" w:hAnsi="Verdana" w:cs="Arial"/>
          <w:bCs/>
          <w:color w:val="000000" w:themeColor="text1"/>
          <w:lang w:val="es-ES_tradnl"/>
        </w:rPr>
        <w:t xml:space="preserve"> d</w:t>
      </w:r>
      <w:r w:rsidRPr="0068083E">
        <w:rPr>
          <w:rFonts w:ascii="Verdana" w:eastAsia="Calibri" w:hAnsi="Verdana" w:cs="Arial"/>
          <w:bCs/>
          <w:color w:val="000000" w:themeColor="text1"/>
          <w:lang w:val="es-ES_tradnl"/>
        </w:rPr>
        <w:t>el artículo 2</w:t>
      </w:r>
      <w:r>
        <w:rPr>
          <w:rFonts w:ascii="Verdana" w:eastAsia="Calibri" w:hAnsi="Verdana" w:cs="Arial"/>
          <w:bCs/>
          <w:color w:val="000000" w:themeColor="text1"/>
          <w:lang w:val="es-ES_tradnl"/>
        </w:rPr>
        <w:t xml:space="preserve">.4 de la Ley 1150, estas circunstancias no impiden la vigencia de la Ley </w:t>
      </w:r>
      <w:r w:rsidRPr="0022369F">
        <w:rPr>
          <w:rFonts w:ascii="Verdana" w:eastAsia="Calibri" w:hAnsi="Verdana" w:cs="Arial"/>
          <w:bCs/>
          <w:color w:val="000000" w:themeColor="text1"/>
          <w:lang w:val="es-ES_tradnl"/>
        </w:rPr>
        <w:t>1089 de 2006</w:t>
      </w:r>
      <w:r>
        <w:rPr>
          <w:rFonts w:ascii="Verdana" w:eastAsia="Calibri" w:hAnsi="Verdana" w:cs="Arial"/>
          <w:bCs/>
          <w:color w:val="000000" w:themeColor="text1"/>
          <w:lang w:val="es-ES_tradnl"/>
        </w:rPr>
        <w:t xml:space="preserve">. Si bien el artículo 2.1 </w:t>
      </w:r>
      <w:r w:rsidRPr="00634FF4">
        <w:rPr>
          <w:rFonts w:ascii="Verdana" w:eastAsia="Calibri" w:hAnsi="Verdana" w:cs="Arial"/>
          <w:bCs/>
          <w:i/>
          <w:iCs/>
          <w:color w:val="000000" w:themeColor="text1"/>
          <w:lang w:val="es-ES_tradnl"/>
        </w:rPr>
        <w:t>ibidem</w:t>
      </w:r>
      <w:r>
        <w:rPr>
          <w:rFonts w:ascii="Verdana" w:eastAsia="Calibri" w:hAnsi="Verdana" w:cs="Arial"/>
          <w:bCs/>
          <w:i/>
          <w:iCs/>
          <w:color w:val="000000" w:themeColor="text1"/>
          <w:lang w:val="es-ES_tradnl"/>
        </w:rPr>
        <w:t xml:space="preserve"> </w:t>
      </w:r>
      <w:r>
        <w:rPr>
          <w:rFonts w:ascii="Verdana" w:eastAsia="Calibri" w:hAnsi="Verdana" w:cs="Arial"/>
          <w:bCs/>
          <w:color w:val="000000" w:themeColor="text1"/>
          <w:lang w:val="es-ES_tradnl"/>
        </w:rPr>
        <w:t xml:space="preserve">sujetaba el alcance de estos bienes y servicios a lo establecido en los derogados Decretos 855 de 1994, 219 de 2006 </w:t>
      </w:r>
      <w:r>
        <w:rPr>
          <w:rFonts w:ascii="Verdana" w:hAnsi="Verdana"/>
          <w:color w:val="000000"/>
        </w:rPr>
        <w:t>y las normas que los modifiquen o sustituyan, el artículo 2.2 de la Ley 1089 de 2006 también incluye “[…] los bienes y servicios que sean calificados por el Gobierno Nacional como necesarios para garantizar intereses esenciales de seguridad y defensa, así como aquellos que tengan por propósito asegurar el abastecimiento de la Fuerza Pública”. Por tanto, l</w:t>
      </w:r>
      <w:r w:rsidRPr="00D13A69">
        <w:rPr>
          <w:rFonts w:ascii="Verdana" w:hAnsi="Verdana"/>
          <w:color w:val="000000"/>
        </w:rPr>
        <w:t>os procesos de contratación que se realicen para la adquisición de Bienes para la seguridad y defensa nacional puede restringir</w:t>
      </w:r>
      <w:r>
        <w:rPr>
          <w:rFonts w:ascii="Verdana" w:hAnsi="Verdana"/>
          <w:color w:val="000000"/>
        </w:rPr>
        <w:t>se</w:t>
      </w:r>
      <w:r w:rsidRPr="00D13A69">
        <w:rPr>
          <w:rFonts w:ascii="Verdana" w:hAnsi="Verdana"/>
          <w:color w:val="000000"/>
        </w:rPr>
        <w:t xml:space="preserve"> a </w:t>
      </w:r>
      <w:r>
        <w:rPr>
          <w:rFonts w:ascii="Verdana" w:hAnsi="Verdana"/>
          <w:color w:val="000000"/>
        </w:rPr>
        <w:t>p</w:t>
      </w:r>
      <w:r w:rsidRPr="00D13A69">
        <w:rPr>
          <w:rFonts w:ascii="Verdana" w:hAnsi="Verdana"/>
          <w:color w:val="000000"/>
        </w:rPr>
        <w:t xml:space="preserve">roductores </w:t>
      </w:r>
      <w:r>
        <w:rPr>
          <w:rFonts w:ascii="Verdana" w:hAnsi="Verdana"/>
          <w:color w:val="000000"/>
        </w:rPr>
        <w:t>colombianos</w:t>
      </w:r>
      <w:r w:rsidRPr="00D13A69">
        <w:rPr>
          <w:rFonts w:ascii="Verdana" w:hAnsi="Verdana"/>
          <w:color w:val="000000"/>
        </w:rPr>
        <w:t xml:space="preserve"> que cuenten con el registro de productor nacional</w:t>
      </w:r>
      <w:r>
        <w:rPr>
          <w:rFonts w:ascii="Verdana" w:hAnsi="Verdana"/>
          <w:color w:val="000000"/>
        </w:rPr>
        <w:t>.</w:t>
      </w:r>
      <w:r>
        <w:rPr>
          <w:rFonts w:ascii="Verdana" w:eastAsia="Calibri" w:hAnsi="Verdana" w:cs="Arial"/>
          <w:bCs/>
          <w:color w:val="000000" w:themeColor="text1"/>
          <w:lang w:val="es-ES_tradnl"/>
        </w:rPr>
        <w:t xml:space="preserve"> </w:t>
      </w:r>
    </w:p>
    <w:p w14:paraId="6ADDC7D3" w14:textId="77777777" w:rsidR="00F55A1F" w:rsidRPr="00A47393" w:rsidRDefault="00F55A1F" w:rsidP="00F55A1F">
      <w:pPr>
        <w:tabs>
          <w:tab w:val="left" w:pos="709"/>
        </w:tabs>
        <w:spacing w:after="180" w:line="276" w:lineRule="auto"/>
        <w:jc w:val="both"/>
        <w:rPr>
          <w:rFonts w:ascii="Verdana" w:eastAsia="Calibri" w:hAnsi="Verdana" w:cs="Arial"/>
          <w:bCs/>
          <w:color w:val="000000" w:themeColor="text1"/>
        </w:rPr>
      </w:pPr>
      <w:r>
        <w:rPr>
          <w:rFonts w:ascii="Verdana" w:eastAsia="Calibri" w:hAnsi="Verdana" w:cs="Arial"/>
          <w:bCs/>
          <w:color w:val="000000" w:themeColor="text1"/>
        </w:rPr>
        <w:lastRenderedPageBreak/>
        <w:tab/>
      </w:r>
      <w:r w:rsidRPr="00A47393">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947DF83" w14:textId="77777777" w:rsidR="00F55A1F" w:rsidRDefault="00F55A1F" w:rsidP="00F55A1F">
      <w:pPr>
        <w:tabs>
          <w:tab w:val="left" w:pos="709"/>
        </w:tabs>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5569A27" w14:textId="77777777" w:rsidR="00F55A1F" w:rsidRDefault="00F55A1F" w:rsidP="00F55A1F">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t xml:space="preserve">Conforme al artículo 2.25 del Decreto Ley 210 de 2003, cualquier inquietud adicional relacionada con la operatividad del registro contemplado en la Ley </w:t>
      </w:r>
      <w:r>
        <w:rPr>
          <w:rFonts w:ascii="Verdana" w:hAnsi="Verdana"/>
          <w:color w:val="000000"/>
        </w:rPr>
        <w:t xml:space="preserve">1089 de 2006 debe ser planteada a la </w:t>
      </w:r>
      <w:r w:rsidRPr="00313455">
        <w:rPr>
          <w:rFonts w:ascii="Verdana" w:hAnsi="Verdana"/>
          <w:color w:val="000000"/>
        </w:rPr>
        <w:t>Subdirección de Diseño y Administración de Operaciones</w:t>
      </w:r>
      <w:r>
        <w:rPr>
          <w:rFonts w:ascii="Verdana" w:hAnsi="Verdana"/>
          <w:color w:val="000000"/>
        </w:rPr>
        <w:t xml:space="preserve"> </w:t>
      </w:r>
      <w:r w:rsidRPr="00313455">
        <w:rPr>
          <w:rFonts w:ascii="Verdana" w:hAnsi="Verdana"/>
          <w:color w:val="000000"/>
        </w:rPr>
        <w:t>del Ministerio de Comercio, Industria y Turismo</w:t>
      </w:r>
      <w:r>
        <w:rPr>
          <w:rFonts w:ascii="Verdana" w:hAnsi="Verdana"/>
          <w:color w:val="000000"/>
        </w:rPr>
        <w:t xml:space="preserve">. Ello en la medida que, de acuerdo con el artículo 19 </w:t>
      </w:r>
      <w:r w:rsidRPr="00CB5119">
        <w:rPr>
          <w:rFonts w:ascii="Verdana" w:hAnsi="Verdana"/>
          <w:i/>
          <w:iCs/>
          <w:color w:val="000000"/>
        </w:rPr>
        <w:t>ibidem</w:t>
      </w:r>
      <w:r>
        <w:rPr>
          <w:rFonts w:ascii="Verdana" w:hAnsi="Verdana"/>
          <w:color w:val="000000"/>
        </w:rPr>
        <w:t>, dicha dependencia tiene las funciones de “</w:t>
      </w:r>
      <w:r w:rsidRPr="00313455">
        <w:rPr>
          <w:rFonts w:ascii="Verdana" w:hAnsi="Verdana"/>
          <w:color w:val="000000"/>
        </w:rPr>
        <w:t>Administrar el registro de productores nacionales con el fin de recopilar información sobre la producción existente en el país, expedir los conceptos sobre existencia de producción nacional, entre otras finalidades con destino a las licitaciones públicas y a la expedición de licencias previas de importación, y expedir las demás certificaciones requeridas relacionadas con la materia</w:t>
      </w:r>
      <w:r>
        <w:rPr>
          <w:rFonts w:ascii="Verdana" w:hAnsi="Verdana"/>
          <w:color w:val="000000"/>
        </w:rPr>
        <w:t>” –numeral 1–, así como de “</w:t>
      </w:r>
      <w:r w:rsidRPr="00CB5119">
        <w:rPr>
          <w:rFonts w:ascii="Verdana" w:hAnsi="Verdana"/>
          <w:color w:val="000000"/>
        </w:rPr>
        <w:t>Diseñar y administrar, con el apoyo de la Oficina de Sistemas de Información, el sistema de información sobre los exportadores de bienes y servicios y sobre la producción nacional registrada</w:t>
      </w:r>
      <w:r>
        <w:rPr>
          <w:rFonts w:ascii="Verdana" w:hAnsi="Verdana"/>
          <w:color w:val="000000"/>
        </w:rPr>
        <w:t>” –numeral 11–</w:t>
      </w:r>
      <w:r w:rsidRPr="00CB5119">
        <w:rPr>
          <w:rFonts w:ascii="Verdana" w:hAnsi="Verdana"/>
          <w:color w:val="000000"/>
        </w:rPr>
        <w:t>.</w:t>
      </w:r>
    </w:p>
    <w:p w14:paraId="5664A3C8" w14:textId="77777777" w:rsidR="00F55A1F" w:rsidRPr="00CB5119" w:rsidRDefault="00F55A1F" w:rsidP="00F55A1F">
      <w:pPr>
        <w:tabs>
          <w:tab w:val="left" w:pos="709"/>
        </w:tabs>
        <w:spacing w:after="0" w:line="276" w:lineRule="auto"/>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 </w:t>
      </w:r>
    </w:p>
    <w:p w14:paraId="6DEC12C9" w14:textId="77777777" w:rsidR="00F55A1F" w:rsidRPr="00593A5F" w:rsidRDefault="00F55A1F" w:rsidP="00F55A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14998EC6" w14:textId="77777777" w:rsidR="00F55A1F" w:rsidRPr="00593A5F" w:rsidRDefault="00F55A1F" w:rsidP="00F55A1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55A1F" w:rsidRPr="002407CE" w14:paraId="32A6343A" w14:textId="77777777" w:rsidTr="00200273">
        <w:trPr>
          <w:trHeight w:val="56"/>
          <w:jc w:val="center"/>
        </w:trPr>
        <w:tc>
          <w:tcPr>
            <w:tcW w:w="8647" w:type="dxa"/>
          </w:tcPr>
          <w:p w14:paraId="62070F07" w14:textId="77777777" w:rsidR="00F55A1F" w:rsidRDefault="00F55A1F" w:rsidP="00F55A1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20 y 24.</w:t>
            </w:r>
            <w:r w:rsidRPr="00B87E7A">
              <w:rPr>
                <w:rFonts w:ascii="Verdana" w:hAnsi="Verdana" w:cs="Arial"/>
              </w:rPr>
              <w:t xml:space="preserve"> </w:t>
            </w:r>
          </w:p>
          <w:p w14:paraId="43D87C39" w14:textId="77777777" w:rsidR="00F55A1F" w:rsidRDefault="00F55A1F" w:rsidP="00F55A1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1089 de 2006, artículos 1, 2 y 3.</w:t>
            </w:r>
          </w:p>
          <w:p w14:paraId="63227A23" w14:textId="77777777" w:rsidR="00F55A1F" w:rsidRDefault="00F55A1F" w:rsidP="00F55A1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 y 32.</w:t>
            </w:r>
          </w:p>
          <w:p w14:paraId="3CB46BFA" w14:textId="77777777" w:rsidR="00F55A1F" w:rsidRDefault="00F55A1F" w:rsidP="00F55A1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eastAsia="Calibri" w:hAnsi="Verdana" w:cs="Arial"/>
                <w:bCs/>
                <w:color w:val="000000" w:themeColor="text1"/>
              </w:rPr>
              <w:t>Decreto Ley 210 de 2003, artículos 2 y 19.</w:t>
            </w:r>
          </w:p>
          <w:p w14:paraId="709F38CC" w14:textId="77777777" w:rsidR="00F55A1F" w:rsidRDefault="00F55A1F" w:rsidP="00F55A1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22369F">
              <w:rPr>
                <w:rFonts w:ascii="Verdana" w:eastAsia="Calibri" w:hAnsi="Verdana" w:cs="Arial"/>
                <w:bCs/>
                <w:color w:val="000000" w:themeColor="text1"/>
                <w:lang w:val="es-ES_tradnl"/>
              </w:rPr>
              <w:t>Decreto 1074 de 2015</w:t>
            </w:r>
            <w:r>
              <w:rPr>
                <w:rFonts w:ascii="Verdana" w:eastAsia="Calibri" w:hAnsi="Verdana" w:cs="Arial"/>
                <w:bCs/>
                <w:color w:val="000000" w:themeColor="text1"/>
                <w:lang w:val="es-ES_tradnl"/>
              </w:rPr>
              <w:t xml:space="preserve">, artículos </w:t>
            </w:r>
            <w:r w:rsidRPr="00414D81">
              <w:rPr>
                <w:rFonts w:ascii="Verdana" w:eastAsia="Calibri" w:hAnsi="Verdana" w:cs="Arial"/>
                <w:bCs/>
                <w:color w:val="000000" w:themeColor="text1"/>
                <w:lang w:val="es-ES_tradnl"/>
              </w:rPr>
              <w:t>2.2.3.3.2.1</w:t>
            </w:r>
            <w:r>
              <w:rPr>
                <w:rFonts w:ascii="Verdana" w:eastAsia="Calibri" w:hAnsi="Verdana" w:cs="Arial"/>
                <w:bCs/>
                <w:color w:val="000000" w:themeColor="text1"/>
                <w:lang w:val="es-ES_tradnl"/>
              </w:rPr>
              <w:t xml:space="preserve"> a </w:t>
            </w:r>
            <w:r w:rsidRPr="00414D81">
              <w:rPr>
                <w:rFonts w:ascii="Verdana" w:eastAsia="Calibri" w:hAnsi="Verdana" w:cs="Arial"/>
                <w:bCs/>
                <w:color w:val="000000" w:themeColor="text1"/>
                <w:lang w:val="es-ES_tradnl"/>
              </w:rPr>
              <w:t>2.2.3.3.2.</w:t>
            </w:r>
            <w:r>
              <w:rPr>
                <w:rFonts w:ascii="Verdana" w:eastAsia="Calibri" w:hAnsi="Verdana" w:cs="Arial"/>
                <w:bCs/>
                <w:color w:val="000000" w:themeColor="text1"/>
                <w:lang w:val="es-ES_tradnl"/>
              </w:rPr>
              <w:t>4.</w:t>
            </w:r>
          </w:p>
          <w:p w14:paraId="2752E84A" w14:textId="77777777" w:rsidR="00F55A1F" w:rsidRPr="006F01ED" w:rsidRDefault="00F55A1F" w:rsidP="00F55A1F">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eastAsia="Calibri" w:hAnsi="Verdana" w:cs="Arial"/>
                <w:bCs/>
                <w:color w:val="000000" w:themeColor="text1"/>
                <w:lang w:val="es-ES_tradnl"/>
              </w:rPr>
              <w:t xml:space="preserve">Decreto 1082 de 2015, artículos </w:t>
            </w:r>
            <w:r w:rsidRPr="00D524F8">
              <w:rPr>
                <w:rFonts w:ascii="Verdana" w:eastAsia="Calibri" w:hAnsi="Verdana" w:cs="Arial"/>
                <w:bCs/>
                <w:color w:val="000000" w:themeColor="text1"/>
                <w:lang w:val="es-ES_tradnl"/>
              </w:rPr>
              <w:t>2.2.1.2.1.2.26</w:t>
            </w:r>
            <w:r>
              <w:rPr>
                <w:rFonts w:ascii="Verdana" w:eastAsia="Calibri" w:hAnsi="Verdana" w:cs="Arial"/>
                <w:bCs/>
                <w:color w:val="000000" w:themeColor="text1"/>
                <w:lang w:val="es-ES_tradnl"/>
              </w:rPr>
              <w:t xml:space="preserve"> y </w:t>
            </w:r>
            <w:r w:rsidRPr="00D524F8">
              <w:rPr>
                <w:rFonts w:ascii="Verdana" w:eastAsia="Calibri" w:hAnsi="Verdana" w:cs="Arial"/>
                <w:bCs/>
                <w:color w:val="000000" w:themeColor="text1"/>
                <w:lang w:val="es-ES_tradnl"/>
              </w:rPr>
              <w:t>2.2.1.2.1.4.6</w:t>
            </w:r>
          </w:p>
        </w:tc>
      </w:tr>
    </w:tbl>
    <w:p w14:paraId="2D2E6AA4" w14:textId="77777777" w:rsidR="00F55A1F" w:rsidRPr="002407CE" w:rsidRDefault="00F55A1F" w:rsidP="00F55A1F">
      <w:pPr>
        <w:widowControl w:val="0"/>
        <w:autoSpaceDE w:val="0"/>
        <w:autoSpaceDN w:val="0"/>
        <w:spacing w:after="0" w:line="276" w:lineRule="auto"/>
        <w:jc w:val="both"/>
        <w:rPr>
          <w:rFonts w:ascii="Verdana" w:hAnsi="Verdana" w:cs="Arial"/>
        </w:rPr>
      </w:pPr>
    </w:p>
    <w:p w14:paraId="68BDD9B0" w14:textId="77777777" w:rsidR="00F55A1F" w:rsidRPr="00593A5F" w:rsidRDefault="00F55A1F" w:rsidP="00F55A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655130C" w14:textId="77777777" w:rsidR="00F55A1F" w:rsidRPr="00593A5F" w:rsidRDefault="00F55A1F" w:rsidP="00F55A1F">
      <w:pPr>
        <w:widowControl w:val="0"/>
        <w:autoSpaceDE w:val="0"/>
        <w:autoSpaceDN w:val="0"/>
        <w:spacing w:after="0" w:line="276" w:lineRule="auto"/>
        <w:jc w:val="both"/>
        <w:rPr>
          <w:rFonts w:ascii="Verdana" w:hAnsi="Verdana" w:cs="Arial"/>
        </w:rPr>
      </w:pPr>
    </w:p>
    <w:p w14:paraId="18C89299" w14:textId="77777777" w:rsidR="00F55A1F" w:rsidRPr="00ED0098" w:rsidRDefault="00F55A1F" w:rsidP="00F55A1F">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w:t>
      </w:r>
      <w:r w:rsidRPr="00502997">
        <w:rPr>
          <w:rStyle w:val="normaltextrun"/>
          <w:rFonts w:ascii="Verdana" w:hAnsi="Verdana" w:cs="Arial"/>
          <w:shd w:val="clear" w:color="auto" w:fill="FFFFFF"/>
        </w:rPr>
        <w:t xml:space="preserve">sobre </w:t>
      </w:r>
      <w:r>
        <w:rPr>
          <w:rStyle w:val="normaltextrun"/>
          <w:rFonts w:ascii="Verdana" w:hAnsi="Verdana" w:cs="Arial"/>
          <w:shd w:val="clear" w:color="auto" w:fill="FFFFFF"/>
        </w:rPr>
        <w:t>el alcance de la Ley 1089 de 2006 en los Conceptos C-360 y C-417 del 16 de julio de 2020</w:t>
      </w:r>
      <w:r>
        <w:rPr>
          <w:rFonts w:ascii="Verdana" w:eastAsia="Calibri" w:hAnsi="Verdana" w:cs="Arial"/>
          <w:shd w:val="clear" w:color="auto" w:fill="FFFFFF"/>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1ACA5E3" w14:textId="77777777" w:rsidR="00F55A1F" w:rsidRPr="00096788" w:rsidRDefault="00F55A1F" w:rsidP="00F55A1F">
      <w:pPr>
        <w:widowControl w:val="0"/>
        <w:autoSpaceDE w:val="0"/>
        <w:autoSpaceDN w:val="0"/>
        <w:spacing w:after="0" w:line="276" w:lineRule="auto"/>
        <w:jc w:val="both"/>
        <w:rPr>
          <w:rFonts w:ascii="Verdana" w:hAnsi="Verdana" w:cs="Arial"/>
          <w:color w:val="000000" w:themeColor="text1"/>
          <w:shd w:val="clear" w:color="auto" w:fill="FFFFFF"/>
        </w:rPr>
      </w:pPr>
    </w:p>
    <w:p w14:paraId="3764D90C" w14:textId="77777777" w:rsidR="00F55A1F" w:rsidRDefault="00F55A1F" w:rsidP="00F55A1F">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32E76432" w14:textId="77777777" w:rsidR="00F55A1F" w:rsidRPr="009A385A" w:rsidRDefault="00F55A1F" w:rsidP="00F55A1F">
      <w:pPr>
        <w:spacing w:after="0"/>
        <w:jc w:val="both"/>
        <w:rPr>
          <w:rFonts w:ascii="Verdana" w:hAnsi="Verdana"/>
        </w:rPr>
      </w:pPr>
    </w:p>
    <w:p w14:paraId="71FBACE6" w14:textId="77777777" w:rsidR="00F55A1F" w:rsidRDefault="00F55A1F" w:rsidP="00F55A1F">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5F24F27B" w14:textId="77777777" w:rsidR="00F55A1F" w:rsidRDefault="00F55A1F" w:rsidP="00F55A1F">
      <w:pPr>
        <w:spacing w:after="0"/>
        <w:jc w:val="both"/>
        <w:rPr>
          <w:rFonts w:ascii="Verdana" w:hAnsi="Verdana"/>
        </w:rPr>
      </w:pPr>
    </w:p>
    <w:p w14:paraId="27774D59" w14:textId="77777777" w:rsidR="00F55A1F" w:rsidRPr="008E1CD7" w:rsidRDefault="00F55A1F" w:rsidP="00F55A1F">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6DF220E" w14:textId="77777777" w:rsidR="00F55A1F" w:rsidRDefault="00F55A1F" w:rsidP="00F55A1F">
      <w:pPr>
        <w:shd w:val="clear" w:color="auto" w:fill="FFFFFF"/>
        <w:spacing w:after="0" w:line="276" w:lineRule="auto"/>
        <w:jc w:val="both"/>
        <w:rPr>
          <w:rFonts w:ascii="Verdana" w:hAnsi="Verdana"/>
          <w:color w:val="000000"/>
          <w:u w:val="single"/>
        </w:rPr>
      </w:pPr>
    </w:p>
    <w:p w14:paraId="592A3AF1" w14:textId="77777777" w:rsidR="00F55A1F" w:rsidRPr="00116940" w:rsidRDefault="00F55A1F" w:rsidP="00F55A1F">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442410CF" w14:textId="77777777" w:rsidR="00F55A1F" w:rsidRPr="00116940" w:rsidRDefault="00F55A1F" w:rsidP="00F55A1F">
      <w:pPr>
        <w:spacing w:after="0"/>
        <w:jc w:val="both"/>
        <w:rPr>
          <w:rFonts w:ascii="Verdana" w:hAnsi="Verdana"/>
        </w:rPr>
      </w:pPr>
    </w:p>
    <w:p w14:paraId="36A5A633" w14:textId="77777777" w:rsidR="00F55A1F" w:rsidRPr="00116940" w:rsidRDefault="00F55A1F" w:rsidP="00F55A1F">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BE5B392" w14:textId="77777777" w:rsidR="00F55A1F" w:rsidRPr="00116940" w:rsidRDefault="00F55A1F" w:rsidP="00F55A1F">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06268EA2" w14:textId="77777777" w:rsidR="00F55A1F" w:rsidRPr="00116940" w:rsidRDefault="00F55A1F" w:rsidP="00F55A1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103A7EDF" w14:textId="77777777" w:rsidR="00F55A1F" w:rsidRPr="00116940" w:rsidRDefault="00F55A1F" w:rsidP="00F55A1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2F21F652" w14:textId="77777777" w:rsidR="00F55A1F" w:rsidRPr="00116940" w:rsidRDefault="00F55A1F" w:rsidP="00F55A1F">
      <w:pPr>
        <w:spacing w:after="0" w:line="240" w:lineRule="auto"/>
        <w:ind w:left="720"/>
        <w:jc w:val="both"/>
        <w:rPr>
          <w:rFonts w:ascii="Verdana" w:hAnsi="Verdana"/>
        </w:rPr>
      </w:pPr>
    </w:p>
    <w:p w14:paraId="44F3824D" w14:textId="77777777" w:rsidR="00F55A1F" w:rsidRPr="00116940" w:rsidRDefault="00F55A1F" w:rsidP="00F55A1F">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4CDAADFF" w14:textId="77777777" w:rsidR="00F55A1F" w:rsidRPr="00116940" w:rsidRDefault="00F55A1F" w:rsidP="00F55A1F">
      <w:pPr>
        <w:spacing w:after="0" w:line="240" w:lineRule="auto"/>
        <w:rPr>
          <w:rFonts w:ascii="Verdana" w:hAnsi="Verdana"/>
        </w:rPr>
      </w:pPr>
    </w:p>
    <w:p w14:paraId="7C51EA4C" w14:textId="77777777" w:rsidR="00F55A1F" w:rsidRPr="00116940" w:rsidRDefault="00F55A1F" w:rsidP="00F55A1F">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D965D91" w14:textId="77777777" w:rsidR="00F55A1F" w:rsidRPr="00116940" w:rsidRDefault="00F55A1F" w:rsidP="00F55A1F">
      <w:pPr>
        <w:spacing w:after="0" w:line="240" w:lineRule="auto"/>
        <w:jc w:val="both"/>
        <w:rPr>
          <w:rFonts w:ascii="Verdana" w:hAnsi="Verdana"/>
        </w:rPr>
      </w:pPr>
    </w:p>
    <w:p w14:paraId="3C907C89" w14:textId="77777777" w:rsidR="00F55A1F" w:rsidRPr="00116940" w:rsidRDefault="00F55A1F" w:rsidP="00F55A1F">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E066D2A" w14:textId="77777777" w:rsidR="00F55A1F" w:rsidRPr="00116940" w:rsidRDefault="00F55A1F" w:rsidP="00F55A1F">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7968C1F" w14:textId="77777777" w:rsidR="00F55A1F" w:rsidRPr="00116940" w:rsidRDefault="00F55A1F" w:rsidP="00F55A1F">
      <w:pPr>
        <w:spacing w:after="0" w:line="240" w:lineRule="auto"/>
        <w:jc w:val="both"/>
        <w:rPr>
          <w:rFonts w:ascii="Verdana" w:hAnsi="Verdana"/>
        </w:rPr>
      </w:pPr>
      <w:r w:rsidRPr="00116940">
        <w:rPr>
          <w:rFonts w:ascii="Verdana" w:hAnsi="Verdana"/>
        </w:rPr>
        <w:lastRenderedPageBreak/>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58A4D03" w14:textId="77777777" w:rsidR="00F55A1F" w:rsidRPr="009C4035" w:rsidRDefault="00F55A1F" w:rsidP="00F55A1F">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35B95E6E" w14:textId="77777777" w:rsidR="00F55A1F" w:rsidRPr="00593A5F" w:rsidRDefault="00F55A1F" w:rsidP="00F55A1F">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36882D8" w14:textId="77777777" w:rsidR="00F55A1F" w:rsidRPr="00593A5F" w:rsidRDefault="00F55A1F" w:rsidP="00F55A1F">
      <w:pPr>
        <w:widowControl w:val="0"/>
        <w:autoSpaceDE w:val="0"/>
        <w:autoSpaceDN w:val="0"/>
        <w:spacing w:after="0" w:line="276" w:lineRule="auto"/>
        <w:jc w:val="both"/>
        <w:rPr>
          <w:rFonts w:ascii="Verdana" w:hAnsi="Verdana" w:cs="Arial"/>
        </w:rPr>
      </w:pPr>
    </w:p>
    <w:p w14:paraId="7B706CFC" w14:textId="77777777" w:rsidR="00F55A1F" w:rsidRPr="00593A5F" w:rsidRDefault="00F55A1F" w:rsidP="00F55A1F">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311FB8E" w14:textId="4D0AC554" w:rsidR="00F55A1F" w:rsidRPr="00593A5F" w:rsidRDefault="009637CC" w:rsidP="00F55A1F">
      <w:pPr>
        <w:spacing w:line="276" w:lineRule="auto"/>
        <w:jc w:val="center"/>
        <w:rPr>
          <w:rFonts w:ascii="Verdana" w:hAnsi="Verdana" w:cs="Arial"/>
          <w:color w:val="000000"/>
          <w:lang w:val="es-ES_tradnl" w:eastAsia="es-CO"/>
        </w:rPr>
      </w:pPr>
      <w:r>
        <w:rPr>
          <w:noProof/>
        </w:rPr>
        <w:drawing>
          <wp:inline distT="0" distB="0" distL="0" distR="0" wp14:anchorId="31410FBE" wp14:editId="2805B8E7">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55A1F" w:rsidRPr="00593A5F" w14:paraId="68098DFC" w14:textId="77777777" w:rsidTr="00200273">
        <w:trPr>
          <w:trHeight w:val="315"/>
        </w:trPr>
        <w:tc>
          <w:tcPr>
            <w:tcW w:w="893" w:type="dxa"/>
            <w:vAlign w:val="center"/>
            <w:hideMark/>
          </w:tcPr>
          <w:p w14:paraId="03EC41BE" w14:textId="77777777" w:rsidR="00F55A1F" w:rsidRPr="003751C7" w:rsidRDefault="00F55A1F" w:rsidP="0020027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9A2D09F" w14:textId="77777777" w:rsidR="00F55A1F" w:rsidRPr="00254A7A" w:rsidRDefault="00F55A1F" w:rsidP="00200273">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62A18E4" w14:textId="77777777" w:rsidR="00F55A1F" w:rsidRPr="00254A7A" w:rsidRDefault="00F55A1F" w:rsidP="00200273">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F55A1F" w:rsidRPr="00593A5F" w14:paraId="4CA4047E" w14:textId="77777777" w:rsidTr="00200273">
        <w:trPr>
          <w:trHeight w:val="330"/>
        </w:trPr>
        <w:tc>
          <w:tcPr>
            <w:tcW w:w="893" w:type="dxa"/>
            <w:vAlign w:val="center"/>
            <w:hideMark/>
          </w:tcPr>
          <w:p w14:paraId="5198EE5D" w14:textId="77777777" w:rsidR="00F55A1F" w:rsidRPr="003751C7" w:rsidRDefault="00F55A1F" w:rsidP="0020027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2FD3C40" w14:textId="77777777" w:rsidR="00F55A1F" w:rsidRPr="00A40FD0" w:rsidRDefault="00F55A1F" w:rsidP="00200273">
            <w:pPr>
              <w:pStyle w:val="paragraph"/>
              <w:spacing w:after="0"/>
              <w:contextualSpacing/>
              <w:textAlignment w:val="baseline"/>
              <w:rPr>
                <w:rStyle w:val="normaltextrun"/>
                <w:rFonts w:ascii="Verdana" w:hAnsi="Verdana" w:cs="Arial"/>
                <w:sz w:val="16"/>
                <w:szCs w:val="16"/>
                <w:lang w:val="es-ES_tradnl"/>
              </w:rPr>
            </w:pPr>
            <w:r w:rsidRPr="00A40FD0">
              <w:rPr>
                <w:rStyle w:val="normaltextrun"/>
                <w:rFonts w:ascii="Verdana" w:hAnsi="Verdana" w:cs="Arial"/>
                <w:sz w:val="16"/>
                <w:szCs w:val="16"/>
                <w:lang w:val="es-ES_tradnl"/>
              </w:rPr>
              <w:t>Diana Lucia Saavedra Castañeda</w:t>
            </w:r>
          </w:p>
          <w:p w14:paraId="77FD549D" w14:textId="77777777" w:rsidR="00F55A1F" w:rsidRPr="00A40FD0" w:rsidRDefault="00F55A1F" w:rsidP="00200273">
            <w:pPr>
              <w:pStyle w:val="paragraph"/>
              <w:spacing w:before="0" w:beforeAutospacing="0" w:after="0" w:afterAutospacing="0"/>
              <w:contextualSpacing/>
              <w:textAlignment w:val="baseline"/>
              <w:rPr>
                <w:rFonts w:ascii="Verdana" w:hAnsi="Verdana" w:cs="Segoe UI"/>
                <w:sz w:val="16"/>
                <w:szCs w:val="16"/>
              </w:rPr>
            </w:pPr>
            <w:r w:rsidRPr="00A40FD0">
              <w:rPr>
                <w:rStyle w:val="normaltextrun"/>
                <w:rFonts w:ascii="Verdana" w:hAnsi="Verdana" w:cs="Arial"/>
                <w:sz w:val="16"/>
                <w:szCs w:val="16"/>
                <w:lang w:val="es-ES_tradnl"/>
              </w:rPr>
              <w:t>Contratista de la Subdirección de Gestión Contractual</w:t>
            </w:r>
          </w:p>
        </w:tc>
      </w:tr>
      <w:tr w:rsidR="00F55A1F" w:rsidRPr="00593A5F" w14:paraId="1FA79F92" w14:textId="77777777" w:rsidTr="00200273">
        <w:trPr>
          <w:trHeight w:val="300"/>
        </w:trPr>
        <w:tc>
          <w:tcPr>
            <w:tcW w:w="893" w:type="dxa"/>
            <w:vAlign w:val="center"/>
          </w:tcPr>
          <w:p w14:paraId="4B4D408C" w14:textId="77777777" w:rsidR="00F55A1F" w:rsidRPr="003751C7" w:rsidRDefault="00F55A1F" w:rsidP="00200273">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DB20E7A" w14:textId="77777777" w:rsidR="00F55A1F" w:rsidRPr="00FE00BE" w:rsidRDefault="00F55A1F" w:rsidP="00200273">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62E2536E" w14:textId="77777777" w:rsidR="00F55A1F" w:rsidRPr="00FE00BE" w:rsidRDefault="00F55A1F" w:rsidP="00200273">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7CA15A22" w14:textId="77777777" w:rsidR="00F55A1F" w:rsidRDefault="00F55A1F" w:rsidP="00F55A1F"/>
    <w:p w14:paraId="550BD019" w14:textId="28C8F780" w:rsidR="00F55A1F" w:rsidRPr="00543BFE" w:rsidRDefault="00F55A1F" w:rsidP="00F55A1F"/>
    <w:p w14:paraId="0F293BF4" w14:textId="1B9F9367" w:rsidR="00127233" w:rsidRPr="00F55A1F" w:rsidRDefault="00127233" w:rsidP="00F55A1F"/>
    <w:sectPr w:rsidR="00127233" w:rsidRPr="00F55A1F"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7ABE9A" w14:textId="77777777" w:rsidR="006D639E" w:rsidRDefault="006D639E" w:rsidP="004A1847">
      <w:pPr>
        <w:spacing w:after="0" w:line="240" w:lineRule="auto"/>
      </w:pPr>
      <w:r>
        <w:separator/>
      </w:r>
    </w:p>
  </w:endnote>
  <w:endnote w:type="continuationSeparator" w:id="0">
    <w:p w14:paraId="6E170E31" w14:textId="77777777" w:rsidR="006D639E" w:rsidRDefault="006D639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D52FF7" w14:textId="77777777" w:rsidR="006D639E" w:rsidRDefault="006D639E" w:rsidP="004A1847">
      <w:pPr>
        <w:spacing w:after="0" w:line="240" w:lineRule="auto"/>
      </w:pPr>
      <w:r>
        <w:separator/>
      </w:r>
    </w:p>
  </w:footnote>
  <w:footnote w:type="continuationSeparator" w:id="0">
    <w:p w14:paraId="7AECF335" w14:textId="77777777" w:rsidR="006D639E" w:rsidRDefault="006D639E" w:rsidP="004A1847">
      <w:pPr>
        <w:spacing w:after="0" w:line="240" w:lineRule="auto"/>
      </w:pPr>
      <w:r>
        <w:continuationSeparator/>
      </w:r>
    </w:p>
  </w:footnote>
  <w:footnote w:id="1">
    <w:p w14:paraId="70BAF0E9" w14:textId="77777777" w:rsidR="00F55A1F" w:rsidRPr="0022369F" w:rsidRDefault="00F55A1F" w:rsidP="00F55A1F">
      <w:pPr>
        <w:pStyle w:val="Textonotapie"/>
        <w:ind w:firstLine="709"/>
        <w:jc w:val="both"/>
        <w:rPr>
          <w:rFonts w:ascii="Verdana" w:hAnsi="Verdana" w:cs="Arial"/>
          <w:sz w:val="16"/>
          <w:szCs w:val="16"/>
          <w:lang w:val="es-ES"/>
        </w:rPr>
      </w:pPr>
      <w:r w:rsidRPr="0022369F">
        <w:rPr>
          <w:rStyle w:val="Refdenotaalpie"/>
          <w:rFonts w:ascii="Verdana" w:hAnsi="Verdana" w:cs="Arial"/>
          <w:sz w:val="16"/>
          <w:szCs w:val="16"/>
        </w:rPr>
        <w:footnoteRef/>
      </w:r>
      <w:r w:rsidRPr="0022369F">
        <w:rPr>
          <w:rFonts w:ascii="Verdana" w:hAnsi="Verdana" w:cs="Arial"/>
          <w:sz w:val="16"/>
          <w:szCs w:val="16"/>
        </w:rPr>
        <w:t xml:space="preserve"> </w:t>
      </w:r>
      <w:r w:rsidRPr="0022369F">
        <w:rPr>
          <w:rFonts w:ascii="Verdana" w:hAnsi="Verdana" w:cs="Arial"/>
          <w:sz w:val="16"/>
          <w:szCs w:val="16"/>
          <w:lang w:val="es-ES"/>
        </w:rPr>
        <w:t>En efecto, el artículo 24, numeral 1º, literal i), así lo establecía.</w:t>
      </w:r>
    </w:p>
  </w:footnote>
  <w:footnote w:id="2">
    <w:p w14:paraId="4EB8FE73" w14:textId="77777777" w:rsidR="00F55A1F" w:rsidRPr="0022369F" w:rsidRDefault="00F55A1F" w:rsidP="00F55A1F">
      <w:pPr>
        <w:pStyle w:val="Textonotapie"/>
        <w:ind w:firstLine="708"/>
        <w:jc w:val="both"/>
        <w:rPr>
          <w:rFonts w:ascii="Verdana" w:hAnsi="Verdana"/>
          <w:sz w:val="16"/>
          <w:szCs w:val="16"/>
        </w:rPr>
      </w:pPr>
      <w:r w:rsidRPr="0022369F">
        <w:rPr>
          <w:rStyle w:val="Refdenotaalpie"/>
          <w:rFonts w:ascii="Verdana" w:hAnsi="Verdana"/>
          <w:sz w:val="16"/>
          <w:szCs w:val="16"/>
        </w:rPr>
        <w:footnoteRef/>
      </w:r>
      <w:r w:rsidRPr="0022369F">
        <w:rPr>
          <w:rFonts w:ascii="Verdana" w:hAnsi="Verdana"/>
          <w:sz w:val="16"/>
          <w:szCs w:val="16"/>
        </w:rPr>
        <w:t xml:space="preserve"> Respecto a la causal de selección abrevida del literal i) del artículo 2.2 de la Ley 1150 de 2007, la doctrina explica que “El legislador decidió, entonces, para contribuir a la pulcritud de los procedimientos de selección a cargo del sector defensa, abrir la causal en dos. Por un lado, aquellos bienes que si bien son requeridos para la defensa y seguridad del Estado, pueden tener una contratación pública, los cuales sometió al procedimiento especial de selección abreviada, y los que, por su naturaleza, deben ser adquiridos de forma reservada […]” (Cfr. ESTRADA SÁNCHEZ, Juan Pablo. Contratación directa, convenios interadministrativos y contratos de cooperación internacional. En: Contratación estatal. Estudios sobre la reforma del Estatuto Contractual Ley 1150 de 2007. Bogotá: Universidad Externado de Colombia, 2009. p. 309).</w:t>
      </w:r>
    </w:p>
  </w:footnote>
  <w:footnote w:id="3">
    <w:p w14:paraId="2A065985" w14:textId="77777777" w:rsidR="00F55A1F" w:rsidRPr="0022369F" w:rsidRDefault="00F55A1F" w:rsidP="00F55A1F">
      <w:pPr>
        <w:pStyle w:val="Textonotapie"/>
        <w:ind w:firstLine="708"/>
        <w:jc w:val="both"/>
        <w:rPr>
          <w:rFonts w:ascii="Verdana" w:hAnsi="Verdana"/>
          <w:sz w:val="16"/>
          <w:szCs w:val="16"/>
        </w:rPr>
      </w:pPr>
      <w:r w:rsidRPr="0022369F">
        <w:rPr>
          <w:rStyle w:val="Refdenotaalpie"/>
          <w:rFonts w:ascii="Verdana" w:hAnsi="Verdana"/>
          <w:sz w:val="16"/>
          <w:szCs w:val="16"/>
        </w:rPr>
        <w:footnoteRef/>
      </w:r>
      <w:r w:rsidRPr="0022369F">
        <w:rPr>
          <w:rFonts w:ascii="Verdana" w:hAnsi="Verdana"/>
          <w:sz w:val="16"/>
          <w:szCs w:val="16"/>
        </w:rPr>
        <w:t xml:space="preserve"> El parágrafo 1 del artículo 2 de la Ley 1150 de 2007 obliga a las entidades estatales a “[…] justificar de manera previa a la apertura del proceso de selección de que se trate, los fundamentos jurídicos que soportan la modalidad de selección que se propone adelantar”.</w:t>
      </w:r>
    </w:p>
  </w:footnote>
  <w:footnote w:id="4">
    <w:p w14:paraId="50A511B1" w14:textId="77777777" w:rsidR="00F55A1F" w:rsidRPr="0022369F" w:rsidRDefault="00F55A1F" w:rsidP="00F55A1F">
      <w:pPr>
        <w:pStyle w:val="Textonotapie"/>
        <w:ind w:firstLine="708"/>
        <w:jc w:val="both"/>
        <w:rPr>
          <w:rFonts w:ascii="Verdana" w:hAnsi="Verdana"/>
          <w:sz w:val="16"/>
          <w:szCs w:val="16"/>
        </w:rPr>
      </w:pPr>
      <w:r w:rsidRPr="0022369F">
        <w:rPr>
          <w:rStyle w:val="Refdenotaalpie"/>
          <w:rFonts w:ascii="Verdana" w:hAnsi="Verdana"/>
          <w:sz w:val="16"/>
          <w:szCs w:val="16"/>
        </w:rPr>
        <w:footnoteRef/>
      </w:r>
      <w:r w:rsidRPr="0022369F">
        <w:rPr>
          <w:rFonts w:ascii="Verdana" w:hAnsi="Verdana"/>
          <w:sz w:val="16"/>
          <w:szCs w:val="16"/>
        </w:rPr>
        <w:t xml:space="preserve"> Por un lado, el artículo 2.2.1.2.1.2.26 del Decreto 1082 de 2015 establece que “Las Entidades Estatales que requieran contratar Bienes y Servicios para la Defensa y Seguridad Nacional deben hacerlo a través del procedimiento para la selección abreviada de menor cuantía señalado en el artículo 2.2.1.2.1.2.20 del presente decreto.</w:t>
      </w:r>
    </w:p>
    <w:p w14:paraId="67A48CFD" w14:textId="77777777" w:rsidR="00F55A1F" w:rsidRPr="0022369F" w:rsidRDefault="00F55A1F" w:rsidP="00F55A1F">
      <w:pPr>
        <w:pStyle w:val="Textonotapie"/>
        <w:ind w:firstLine="708"/>
        <w:jc w:val="both"/>
        <w:rPr>
          <w:rFonts w:ascii="Verdana" w:hAnsi="Verdana"/>
          <w:sz w:val="16"/>
          <w:szCs w:val="16"/>
        </w:rPr>
      </w:pPr>
      <w:r w:rsidRPr="0022369F">
        <w:rPr>
          <w:rFonts w:ascii="Verdana" w:hAnsi="Verdana"/>
          <w:sz w:val="16"/>
          <w:szCs w:val="16"/>
        </w:rPr>
        <w:t>Si los bienes y servicios que se requieran para la defensa y seguridad nacional son Bienes y Servicios de Características Técnicas Uniformes o no uniformes en los términos del presente decreto, la Entidad Estatal deberá utilizar el procedimiento de subasta inversa, compra por Catálogo derivado de la celebración de Acuerdos Marco de Precios o a través de bolsa de productos.</w:t>
      </w:r>
    </w:p>
    <w:p w14:paraId="2EC1B003" w14:textId="77777777" w:rsidR="00F55A1F" w:rsidRPr="0022369F" w:rsidRDefault="00F55A1F" w:rsidP="00F55A1F">
      <w:pPr>
        <w:pStyle w:val="Textonotapie"/>
        <w:ind w:firstLine="708"/>
        <w:jc w:val="both"/>
        <w:rPr>
          <w:rFonts w:ascii="Verdana" w:hAnsi="Verdana"/>
          <w:sz w:val="16"/>
          <w:szCs w:val="16"/>
        </w:rPr>
      </w:pPr>
      <w:r w:rsidRPr="0022369F">
        <w:rPr>
          <w:rFonts w:ascii="Verdana" w:hAnsi="Verdana"/>
          <w:sz w:val="16"/>
          <w:szCs w:val="16"/>
        </w:rPr>
        <w:t>Las Entidades Estatales deben consignar en los Documentos del Proceso las razones por las cuales los bienes o servicios objeto del Proceso de Contratación son requeridos para la defensa y seguridad nacional”.</w:t>
      </w:r>
    </w:p>
    <w:p w14:paraId="578A1E5B" w14:textId="77777777" w:rsidR="00F55A1F" w:rsidRPr="0022369F" w:rsidRDefault="00F55A1F" w:rsidP="00F55A1F">
      <w:pPr>
        <w:spacing w:after="0"/>
        <w:ind w:firstLine="708"/>
        <w:jc w:val="both"/>
        <w:rPr>
          <w:rFonts w:ascii="Verdana" w:hAnsi="Verdana"/>
          <w:sz w:val="16"/>
          <w:szCs w:val="16"/>
          <w:lang w:val="es-MX"/>
        </w:rPr>
      </w:pPr>
      <w:r w:rsidRPr="0022369F">
        <w:rPr>
          <w:rFonts w:ascii="Verdana" w:hAnsi="Verdana"/>
          <w:sz w:val="16"/>
          <w:szCs w:val="16"/>
        </w:rPr>
        <w:t xml:space="preserve">Por otra parte, el artículo 2.2.1.2.1.4.6 </w:t>
      </w:r>
      <w:r w:rsidRPr="0022369F">
        <w:rPr>
          <w:rFonts w:ascii="Verdana" w:hAnsi="Verdana"/>
          <w:i/>
          <w:iCs/>
          <w:sz w:val="16"/>
          <w:szCs w:val="16"/>
        </w:rPr>
        <w:t>ibidem</w:t>
      </w:r>
      <w:r w:rsidRPr="0022369F">
        <w:rPr>
          <w:rFonts w:ascii="Verdana" w:hAnsi="Verdana"/>
          <w:sz w:val="16"/>
          <w:szCs w:val="16"/>
        </w:rPr>
        <w:t xml:space="preserve"> precisa lo siguiente: “</w:t>
      </w:r>
      <w:r w:rsidRPr="0022369F">
        <w:rPr>
          <w:rFonts w:ascii="Verdana" w:hAnsi="Verdana"/>
          <w:sz w:val="16"/>
          <w:szCs w:val="16"/>
          <w:lang w:val="es-MX"/>
        </w:rPr>
        <w:t>Las Entidades Estatales no están obligadas a publicar los Documentos del Proceso para adquirir bienes y servicios en el Sector Defensa, la Dirección Nacional de Inteligencia y la Unidad Nacional de Protección que requieren reserva. En estos procesos de contratación la adquisición debe hacerse en condiciones de mercado sin que sea necesario recibir varias ofertas”.</w:t>
      </w:r>
    </w:p>
  </w:footnote>
  <w:footnote w:id="5">
    <w:p w14:paraId="68BB7CE5" w14:textId="77777777" w:rsidR="00F55A1F" w:rsidRPr="0022369F" w:rsidRDefault="00F55A1F" w:rsidP="00F55A1F">
      <w:pPr>
        <w:spacing w:after="0"/>
        <w:ind w:firstLine="709"/>
        <w:jc w:val="both"/>
        <w:rPr>
          <w:rFonts w:ascii="Verdana" w:hAnsi="Verdana" w:cs="Arial"/>
          <w:sz w:val="16"/>
          <w:szCs w:val="16"/>
          <w:lang w:val="es-ES"/>
        </w:rPr>
      </w:pPr>
      <w:r w:rsidRPr="0022369F">
        <w:rPr>
          <w:rStyle w:val="Refdenotaalpie"/>
          <w:rFonts w:ascii="Verdana" w:hAnsi="Verdana" w:cs="Arial"/>
          <w:sz w:val="16"/>
          <w:szCs w:val="16"/>
        </w:rPr>
        <w:footnoteRef/>
      </w:r>
      <w:r w:rsidRPr="0022369F">
        <w:rPr>
          <w:rFonts w:ascii="Verdana" w:hAnsi="Verdana" w:cs="Arial"/>
          <w:sz w:val="16"/>
          <w:szCs w:val="16"/>
        </w:rPr>
        <w:t xml:space="preserve"> </w:t>
      </w:r>
      <w:r>
        <w:rPr>
          <w:rFonts w:ascii="Verdana" w:hAnsi="Verdana" w:cs="Arial"/>
          <w:sz w:val="16"/>
          <w:szCs w:val="16"/>
          <w:lang w:val="es-ES"/>
        </w:rPr>
        <w:t>“</w:t>
      </w:r>
      <w:r w:rsidRPr="0022369F">
        <w:rPr>
          <w:rFonts w:ascii="Verdana" w:hAnsi="Verdana" w:cs="Arial"/>
          <w:sz w:val="16"/>
          <w:szCs w:val="16"/>
          <w:lang w:val="es-ES"/>
        </w:rPr>
        <w:t>Artículo 2.2.3.3.2.1. Adquisición de bienes y servicios destinados a la seguridad y defensa nacional. Para la adquisición de bienes y servicios destinados a la seguridad y defensa nacional, el Ministerio de Defensa Nacional deberá solicitar al Ministerio de Comercio, Industria y Turismo, en la forma prevista en el presente capítulo, certificación sobre la existencia o no de producción nacional en términos de competencia abierta, de los bienes y servicios que se pretendan adquirir para la seguridad y defensa nacional previstos en la Ley 1089 de 2006</w:t>
      </w:r>
      <w:r>
        <w:rPr>
          <w:rFonts w:ascii="Verdana" w:hAnsi="Verdana" w:cs="Arial"/>
          <w:sz w:val="16"/>
          <w:szCs w:val="16"/>
          <w:lang w:val="es-ES"/>
        </w:rPr>
        <w:t>”</w:t>
      </w:r>
      <w:r w:rsidRPr="0022369F">
        <w:rPr>
          <w:rFonts w:ascii="Verdana" w:hAnsi="Verdana" w:cs="Arial"/>
          <w:sz w:val="16"/>
          <w:szCs w:val="16"/>
          <w:lang w:val="es-ES"/>
        </w:rPr>
        <w:t xml:space="preserve">. </w:t>
      </w:r>
    </w:p>
  </w:footnote>
  <w:footnote w:id="6">
    <w:p w14:paraId="7BB35659" w14:textId="77777777" w:rsidR="00F55A1F" w:rsidRPr="0022369F" w:rsidRDefault="00F55A1F" w:rsidP="00F55A1F">
      <w:pPr>
        <w:pStyle w:val="Textonotapie"/>
        <w:ind w:firstLine="709"/>
        <w:jc w:val="both"/>
        <w:rPr>
          <w:rFonts w:ascii="Verdana" w:hAnsi="Verdana" w:cs="Arial"/>
          <w:sz w:val="16"/>
          <w:szCs w:val="16"/>
          <w:lang w:val="es-ES"/>
        </w:rPr>
      </w:pPr>
      <w:r w:rsidRPr="0022369F">
        <w:rPr>
          <w:rStyle w:val="Refdenotaalpie"/>
          <w:rFonts w:ascii="Verdana" w:hAnsi="Verdana" w:cs="Arial"/>
          <w:sz w:val="16"/>
          <w:szCs w:val="16"/>
        </w:rPr>
        <w:footnoteRef/>
      </w:r>
      <w:r w:rsidRPr="0022369F">
        <w:rPr>
          <w:rFonts w:ascii="Verdana" w:hAnsi="Verdana" w:cs="Arial"/>
          <w:sz w:val="16"/>
          <w:szCs w:val="16"/>
        </w:rPr>
        <w:t xml:space="preserve"> </w:t>
      </w:r>
      <w:r>
        <w:rPr>
          <w:rFonts w:ascii="Verdana" w:hAnsi="Verdana" w:cs="Arial"/>
          <w:sz w:val="16"/>
          <w:szCs w:val="16"/>
          <w:lang w:val="es-ES"/>
        </w:rPr>
        <w:t>“</w:t>
      </w:r>
      <w:r w:rsidRPr="0022369F">
        <w:rPr>
          <w:rFonts w:ascii="Verdana" w:hAnsi="Verdana" w:cs="Arial"/>
          <w:sz w:val="16"/>
          <w:szCs w:val="16"/>
          <w:lang w:val="es-ES"/>
        </w:rPr>
        <w:t xml:space="preserve">Artículo 2.2.3.3.2.2. Solicitud de certificación de existencia o no de producción nacional. La solicitud a la que se refiere el artículo 2.2.3.3.2.1. del presente decreto, deberá efectuarse dentro de los quince primeros días de los meses de enero y julio de cada año, señalando expresamente las subpartidas arancelarias dentro de las cuales se clasifiquen los bienes, la descripción técnica de los bienes o servicios a adquirir, y la existencia o no de variedad de precios al consumidor final que exista en el mercado, respecto de los mismos. </w:t>
      </w:r>
    </w:p>
    <w:p w14:paraId="2A048986" w14:textId="77777777" w:rsidR="00F55A1F" w:rsidRPr="0022369F" w:rsidRDefault="00F55A1F" w:rsidP="00F55A1F">
      <w:pPr>
        <w:pStyle w:val="Textonotapie"/>
        <w:ind w:firstLine="709"/>
        <w:jc w:val="both"/>
        <w:rPr>
          <w:rFonts w:ascii="Verdana" w:hAnsi="Verdana" w:cs="Arial"/>
          <w:sz w:val="16"/>
          <w:szCs w:val="16"/>
          <w:lang w:val="es-ES"/>
        </w:rPr>
      </w:pPr>
      <w:r w:rsidRPr="0022369F">
        <w:rPr>
          <w:rFonts w:ascii="Verdana" w:hAnsi="Verdana" w:cs="Arial"/>
          <w:sz w:val="16"/>
          <w:szCs w:val="16"/>
          <w:lang w:val="es-ES"/>
        </w:rPr>
        <w:t>Parágrafo. En caso de existir modificación en el listado remitido, el Ministerio de Defensa Nacional lo informará oportunamente al Ministerio de Comercio, Industria y Turismo</w:t>
      </w:r>
      <w:r>
        <w:rPr>
          <w:rFonts w:ascii="Verdana" w:hAnsi="Verdana" w:cs="Arial"/>
          <w:sz w:val="16"/>
          <w:szCs w:val="16"/>
          <w:lang w:val="es-ES"/>
        </w:rPr>
        <w:t>”</w:t>
      </w:r>
      <w:r w:rsidRPr="0022369F">
        <w:rPr>
          <w:rFonts w:ascii="Verdana" w:hAnsi="Verdana" w:cs="Arial"/>
          <w:sz w:val="16"/>
          <w:szCs w:val="16"/>
          <w:lang w:val="es-ES"/>
        </w:rPr>
        <w:t>.</w:t>
      </w:r>
    </w:p>
  </w:footnote>
  <w:footnote w:id="7">
    <w:p w14:paraId="0B1C9075" w14:textId="77777777" w:rsidR="00F55A1F" w:rsidRPr="0022369F" w:rsidRDefault="00F55A1F" w:rsidP="00F55A1F">
      <w:pPr>
        <w:pStyle w:val="Textonotapie"/>
        <w:ind w:firstLine="709"/>
        <w:jc w:val="both"/>
        <w:rPr>
          <w:rFonts w:ascii="Verdana" w:hAnsi="Verdana" w:cs="Arial"/>
          <w:sz w:val="16"/>
          <w:szCs w:val="16"/>
          <w:lang w:val="es-ES"/>
        </w:rPr>
      </w:pPr>
      <w:r w:rsidRPr="0022369F">
        <w:rPr>
          <w:rStyle w:val="Refdenotaalpie"/>
          <w:rFonts w:ascii="Verdana" w:hAnsi="Verdana" w:cs="Arial"/>
          <w:sz w:val="16"/>
          <w:szCs w:val="16"/>
        </w:rPr>
        <w:footnoteRef/>
      </w:r>
      <w:r w:rsidRPr="0022369F">
        <w:rPr>
          <w:rFonts w:ascii="Verdana" w:hAnsi="Verdana" w:cs="Arial"/>
          <w:sz w:val="16"/>
          <w:szCs w:val="16"/>
        </w:rPr>
        <w:t xml:space="preserve"> </w:t>
      </w:r>
      <w:r>
        <w:rPr>
          <w:rFonts w:ascii="Verdana" w:hAnsi="Verdana" w:cs="Arial"/>
          <w:sz w:val="16"/>
          <w:szCs w:val="16"/>
          <w:lang w:val="es-ES"/>
        </w:rPr>
        <w:t>“</w:t>
      </w:r>
      <w:r w:rsidRPr="0022369F">
        <w:rPr>
          <w:rFonts w:ascii="Verdana" w:hAnsi="Verdana" w:cs="Arial"/>
          <w:sz w:val="16"/>
          <w:szCs w:val="16"/>
          <w:lang w:val="es-ES"/>
        </w:rPr>
        <w:t xml:space="preserve">Artículo 2.2.3.3.2.3. Certificación de existencia o no de producción nacional. El Ministerio de Comercio, Industria y Turismo expedirá la certificación, confrontando el listado remitido por el Ministerio de Defensa Nacional, con la información contenida en su Registro de Productores de Bienes Nacionales. </w:t>
      </w:r>
    </w:p>
    <w:p w14:paraId="61DE8383" w14:textId="77777777" w:rsidR="00F55A1F" w:rsidRPr="0022369F" w:rsidRDefault="00F55A1F" w:rsidP="00F55A1F">
      <w:pPr>
        <w:pStyle w:val="Textonotapie"/>
        <w:ind w:firstLine="709"/>
        <w:jc w:val="both"/>
        <w:rPr>
          <w:rFonts w:ascii="Verdana" w:hAnsi="Verdana" w:cs="Arial"/>
          <w:sz w:val="16"/>
          <w:szCs w:val="16"/>
          <w:lang w:val="es-ES"/>
        </w:rPr>
      </w:pPr>
      <w:r w:rsidRPr="0022369F">
        <w:rPr>
          <w:rFonts w:ascii="Verdana" w:hAnsi="Verdana" w:cs="Arial"/>
          <w:sz w:val="16"/>
          <w:szCs w:val="16"/>
          <w:lang w:val="es-ES"/>
        </w:rPr>
        <w:t xml:space="preserve">Para este efecto, se entiende que existe competencia abierta en la producción de un bien o servicio destinado a la seguridad y defensa nacional, cuando: </w:t>
      </w:r>
    </w:p>
    <w:p w14:paraId="30681C78" w14:textId="77777777" w:rsidR="00F55A1F" w:rsidRPr="0022369F" w:rsidRDefault="00F55A1F" w:rsidP="00F55A1F">
      <w:pPr>
        <w:pStyle w:val="Textonotapie"/>
        <w:ind w:firstLine="709"/>
        <w:jc w:val="both"/>
        <w:rPr>
          <w:rFonts w:ascii="Verdana" w:hAnsi="Verdana" w:cs="Arial"/>
          <w:sz w:val="16"/>
          <w:szCs w:val="16"/>
          <w:lang w:val="es-ES"/>
        </w:rPr>
      </w:pPr>
      <w:r w:rsidRPr="0022369F">
        <w:rPr>
          <w:rFonts w:ascii="Verdana" w:hAnsi="Verdana" w:cs="Arial"/>
          <w:sz w:val="16"/>
          <w:szCs w:val="16"/>
          <w:lang w:val="es-ES"/>
        </w:rPr>
        <w:t>1. La producción esté siendo desarrollada por dos o más empresas no subordinadas entre sí o que no pertenezcan a un mismo grupo empresarial, conforme al Registro Único Empresarial y Social (RUES), o 2. Para el mismo producto o servicio exista en el mercado variedad de precios al consumidor final, conforme a la información remitida por el Ministerio de Defensa Nacional al Ministerio de Comercio, Industria y Turismo</w:t>
      </w:r>
      <w:r>
        <w:rPr>
          <w:rFonts w:ascii="Verdana" w:hAnsi="Verdana" w:cs="Arial"/>
          <w:sz w:val="16"/>
          <w:szCs w:val="16"/>
          <w:lang w:val="es-ES"/>
        </w:rPr>
        <w:t>”</w:t>
      </w:r>
      <w:r w:rsidRPr="0022369F">
        <w:rPr>
          <w:rFonts w:ascii="Verdana" w:hAnsi="Verdana" w:cs="Arial"/>
          <w:sz w:val="16"/>
          <w:szCs w:val="16"/>
          <w:lang w:val="es-ES"/>
        </w:rPr>
        <w:t>.</w:t>
      </w:r>
    </w:p>
  </w:footnote>
  <w:footnote w:id="8">
    <w:p w14:paraId="2519064E" w14:textId="77777777" w:rsidR="00F55A1F" w:rsidRPr="0022369F" w:rsidRDefault="00F55A1F" w:rsidP="00F55A1F">
      <w:pPr>
        <w:pStyle w:val="Textonotapie"/>
        <w:ind w:firstLine="709"/>
        <w:jc w:val="both"/>
        <w:rPr>
          <w:rFonts w:ascii="Verdana" w:hAnsi="Verdana" w:cs="Arial"/>
          <w:sz w:val="16"/>
          <w:szCs w:val="16"/>
          <w:lang w:val="es-ES"/>
        </w:rPr>
      </w:pPr>
      <w:r w:rsidRPr="0022369F">
        <w:rPr>
          <w:rStyle w:val="Refdenotaalpie"/>
          <w:rFonts w:ascii="Verdana" w:hAnsi="Verdana" w:cs="Arial"/>
          <w:sz w:val="16"/>
          <w:szCs w:val="16"/>
        </w:rPr>
        <w:footnoteRef/>
      </w:r>
      <w:r w:rsidRPr="0022369F">
        <w:rPr>
          <w:rFonts w:ascii="Verdana" w:hAnsi="Verdana" w:cs="Arial"/>
          <w:sz w:val="16"/>
          <w:szCs w:val="16"/>
        </w:rPr>
        <w:t xml:space="preserve"> </w:t>
      </w:r>
      <w:r>
        <w:rPr>
          <w:rFonts w:ascii="Verdana" w:hAnsi="Verdana" w:cs="Arial"/>
          <w:sz w:val="16"/>
          <w:szCs w:val="16"/>
          <w:lang w:val="es-ES"/>
        </w:rPr>
        <w:t>“</w:t>
      </w:r>
      <w:r w:rsidRPr="0022369F">
        <w:rPr>
          <w:rFonts w:ascii="Verdana" w:hAnsi="Verdana" w:cs="Arial"/>
          <w:sz w:val="16"/>
          <w:szCs w:val="16"/>
          <w:lang w:val="es-ES"/>
        </w:rPr>
        <w:t xml:space="preserve">Artículo 2.2.3.3.2.4. Capacidad para atender la adquisición de los bienes y servicios destinados a la seguridad y defensa nacional. En los casos en que la certificación señale la existencia de producción nacional en términos de competencia abierta, de los bienes o servicios objeto del proceso contractual, la entidad competente para la adquisición solicitará por escrito a los correspondientes productores nacionales, información sobre su capacidad de atender la adquisición en la cantidad, calidad y oportunidad requeridas. </w:t>
      </w:r>
    </w:p>
    <w:p w14:paraId="4C13A897" w14:textId="77777777" w:rsidR="00F55A1F" w:rsidRPr="0022369F" w:rsidRDefault="00F55A1F" w:rsidP="00F55A1F">
      <w:pPr>
        <w:pStyle w:val="Textonotapie"/>
        <w:ind w:firstLine="709"/>
        <w:jc w:val="both"/>
        <w:rPr>
          <w:rFonts w:ascii="Verdana" w:hAnsi="Verdana" w:cs="Arial"/>
          <w:sz w:val="16"/>
          <w:szCs w:val="16"/>
          <w:lang w:val="es-ES"/>
        </w:rPr>
      </w:pPr>
      <w:r w:rsidRPr="0022369F">
        <w:rPr>
          <w:rFonts w:ascii="Verdana" w:hAnsi="Verdana" w:cs="Arial"/>
          <w:sz w:val="16"/>
          <w:szCs w:val="16"/>
          <w:lang w:val="es-ES"/>
        </w:rPr>
        <w:t xml:space="preserve">Cuando una o varias de las respuestas se ajusten a las mencionadas cantidades, calidades y oportunidades, el proceso contractual se dirigirá únicamente a los productores nacionales, conforme a lo dispuesto por la Ley 1089 de 2006. </w:t>
      </w:r>
    </w:p>
    <w:p w14:paraId="293782EC" w14:textId="77777777" w:rsidR="00F55A1F" w:rsidRPr="0022369F" w:rsidRDefault="00F55A1F" w:rsidP="00F55A1F">
      <w:pPr>
        <w:pStyle w:val="Textonotapie"/>
        <w:ind w:firstLine="709"/>
        <w:jc w:val="both"/>
        <w:rPr>
          <w:rFonts w:ascii="Verdana" w:hAnsi="Verdana" w:cs="Arial"/>
          <w:sz w:val="16"/>
          <w:szCs w:val="16"/>
          <w:lang w:val="es-ES"/>
        </w:rPr>
      </w:pPr>
      <w:r w:rsidRPr="0022369F">
        <w:rPr>
          <w:rFonts w:ascii="Verdana" w:hAnsi="Verdana" w:cs="Arial"/>
          <w:sz w:val="16"/>
          <w:szCs w:val="16"/>
          <w:lang w:val="es-ES"/>
        </w:rPr>
        <w:t>Parágrafo. No obstante, conforme a lo dispuesto por el parágrafo del artículo 1° de la Ley 1089 de 2006, la adquisición de los bienes y servicios a los que se refiere la presente sección, podrá efectuarse a productores extranjeros cuando los intereses de seguridad y defensa nacional señalen su conveniencia</w:t>
      </w:r>
      <w:r>
        <w:rPr>
          <w:rFonts w:ascii="Verdana" w:hAnsi="Verdana" w:cs="Arial"/>
          <w:sz w:val="16"/>
          <w:szCs w:val="16"/>
          <w:lang w:val="es-ES"/>
        </w:rPr>
        <w:t>”</w:t>
      </w:r>
      <w:r w:rsidRPr="0022369F">
        <w:rPr>
          <w:rFonts w:ascii="Verdana" w:hAnsi="Verdana" w:cs="Arial"/>
          <w:sz w:val="16"/>
          <w:szCs w:val="16"/>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BEA"/>
    <w:rsid w:val="00016F78"/>
    <w:rsid w:val="00046945"/>
    <w:rsid w:val="00061B2A"/>
    <w:rsid w:val="00082362"/>
    <w:rsid w:val="000A683E"/>
    <w:rsid w:val="000B19B9"/>
    <w:rsid w:val="000D0334"/>
    <w:rsid w:val="000D5DA7"/>
    <w:rsid w:val="000F6486"/>
    <w:rsid w:val="00110029"/>
    <w:rsid w:val="00116940"/>
    <w:rsid w:val="0011707C"/>
    <w:rsid w:val="00125105"/>
    <w:rsid w:val="00127233"/>
    <w:rsid w:val="0015699B"/>
    <w:rsid w:val="001A33BF"/>
    <w:rsid w:val="001A4DC2"/>
    <w:rsid w:val="001E4177"/>
    <w:rsid w:val="001F0B24"/>
    <w:rsid w:val="001F1DD0"/>
    <w:rsid w:val="001F7DC6"/>
    <w:rsid w:val="0022400B"/>
    <w:rsid w:val="002421BB"/>
    <w:rsid w:val="0025796E"/>
    <w:rsid w:val="002707A2"/>
    <w:rsid w:val="002859E5"/>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7092"/>
    <w:rsid w:val="00466E39"/>
    <w:rsid w:val="004906A0"/>
    <w:rsid w:val="004A1847"/>
    <w:rsid w:val="004A305D"/>
    <w:rsid w:val="004F21C4"/>
    <w:rsid w:val="004F685F"/>
    <w:rsid w:val="005446A7"/>
    <w:rsid w:val="005566E8"/>
    <w:rsid w:val="005630DC"/>
    <w:rsid w:val="00574867"/>
    <w:rsid w:val="00591460"/>
    <w:rsid w:val="005A65E0"/>
    <w:rsid w:val="005C3777"/>
    <w:rsid w:val="005C5CDC"/>
    <w:rsid w:val="005D476C"/>
    <w:rsid w:val="006200BF"/>
    <w:rsid w:val="006219F8"/>
    <w:rsid w:val="00623FD4"/>
    <w:rsid w:val="006302F7"/>
    <w:rsid w:val="00646B9F"/>
    <w:rsid w:val="00665D70"/>
    <w:rsid w:val="006900D9"/>
    <w:rsid w:val="006D639E"/>
    <w:rsid w:val="00706C16"/>
    <w:rsid w:val="00717255"/>
    <w:rsid w:val="007340C3"/>
    <w:rsid w:val="007505A0"/>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0673"/>
    <w:rsid w:val="00923EEF"/>
    <w:rsid w:val="009419F9"/>
    <w:rsid w:val="0095685E"/>
    <w:rsid w:val="00961B09"/>
    <w:rsid w:val="009637CC"/>
    <w:rsid w:val="00965334"/>
    <w:rsid w:val="0097093E"/>
    <w:rsid w:val="009A0DFA"/>
    <w:rsid w:val="009A1C6F"/>
    <w:rsid w:val="009B2D26"/>
    <w:rsid w:val="009C71FA"/>
    <w:rsid w:val="009C72E7"/>
    <w:rsid w:val="009C7F7E"/>
    <w:rsid w:val="009D3058"/>
    <w:rsid w:val="009F24B6"/>
    <w:rsid w:val="009F3A13"/>
    <w:rsid w:val="00A122D3"/>
    <w:rsid w:val="00A14468"/>
    <w:rsid w:val="00A17F13"/>
    <w:rsid w:val="00A20739"/>
    <w:rsid w:val="00A23AF9"/>
    <w:rsid w:val="00A33C78"/>
    <w:rsid w:val="00A461EB"/>
    <w:rsid w:val="00A763E1"/>
    <w:rsid w:val="00AB0ADB"/>
    <w:rsid w:val="00AC1E78"/>
    <w:rsid w:val="00B00C0E"/>
    <w:rsid w:val="00B01B1A"/>
    <w:rsid w:val="00B0381D"/>
    <w:rsid w:val="00B44A47"/>
    <w:rsid w:val="00B72CD3"/>
    <w:rsid w:val="00B72FFF"/>
    <w:rsid w:val="00BC3D36"/>
    <w:rsid w:val="00BD54A6"/>
    <w:rsid w:val="00BD7F72"/>
    <w:rsid w:val="00BF137D"/>
    <w:rsid w:val="00BF7425"/>
    <w:rsid w:val="00C04FB3"/>
    <w:rsid w:val="00C11D8B"/>
    <w:rsid w:val="00C15139"/>
    <w:rsid w:val="00C330EB"/>
    <w:rsid w:val="00C50D69"/>
    <w:rsid w:val="00C5332D"/>
    <w:rsid w:val="00C5365C"/>
    <w:rsid w:val="00C754BE"/>
    <w:rsid w:val="00C76B1C"/>
    <w:rsid w:val="00C800BF"/>
    <w:rsid w:val="00C925AC"/>
    <w:rsid w:val="00CA2EAE"/>
    <w:rsid w:val="00CB6357"/>
    <w:rsid w:val="00CC1174"/>
    <w:rsid w:val="00CC1B26"/>
    <w:rsid w:val="00D10A4B"/>
    <w:rsid w:val="00D361FD"/>
    <w:rsid w:val="00D41B9B"/>
    <w:rsid w:val="00D423A2"/>
    <w:rsid w:val="00D44E26"/>
    <w:rsid w:val="00D520D8"/>
    <w:rsid w:val="00D63AC2"/>
    <w:rsid w:val="00D7383B"/>
    <w:rsid w:val="00D7788A"/>
    <w:rsid w:val="00DA231B"/>
    <w:rsid w:val="00DC39FC"/>
    <w:rsid w:val="00DD26A0"/>
    <w:rsid w:val="00DF5254"/>
    <w:rsid w:val="00E02524"/>
    <w:rsid w:val="00E14106"/>
    <w:rsid w:val="00E16408"/>
    <w:rsid w:val="00E20894"/>
    <w:rsid w:val="00E245AB"/>
    <w:rsid w:val="00E2764C"/>
    <w:rsid w:val="00E27F2E"/>
    <w:rsid w:val="00E50AFE"/>
    <w:rsid w:val="00E72965"/>
    <w:rsid w:val="00E75C92"/>
    <w:rsid w:val="00E771DC"/>
    <w:rsid w:val="00E8772A"/>
    <w:rsid w:val="00E90F6B"/>
    <w:rsid w:val="00E92C27"/>
    <w:rsid w:val="00EA0E3D"/>
    <w:rsid w:val="00EC38A7"/>
    <w:rsid w:val="00EE1AA8"/>
    <w:rsid w:val="00F23FEA"/>
    <w:rsid w:val="00F31EDC"/>
    <w:rsid w:val="00F462B3"/>
    <w:rsid w:val="00F55A1F"/>
    <w:rsid w:val="00F5664F"/>
    <w:rsid w:val="00F666C4"/>
    <w:rsid w:val="00F76AFC"/>
    <w:rsid w:val="00FA47C0"/>
    <w:rsid w:val="00FB5DD1"/>
    <w:rsid w:val="00FC2B5D"/>
    <w:rsid w:val="00FE5C5A"/>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55A1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55A1F"/>
    <w:rPr>
      <w:rFonts w:ascii="Geomanist Light" w:hAnsi="Geomanist Light"/>
      <w:lang w:val="es-ES"/>
    </w:rPr>
  </w:style>
  <w:style w:type="character" w:customStyle="1" w:styleId="s15">
    <w:name w:val="s15"/>
    <w:basedOn w:val="Fuentedeprrafopredeter"/>
    <w:rsid w:val="00F55A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ogadosbautistaconde@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7D6F5C28-7286-45C2-9A49-32DA5CEBB4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15</Pages>
  <Words>4698</Words>
  <Characters>25844</Characters>
  <Application>Microsoft Office Word</Application>
  <DocSecurity>0</DocSecurity>
  <Lines>215</Lines>
  <Paragraphs>60</Paragraphs>
  <ScaleCrop>false</ScaleCrop>
  <Company/>
  <LinksUpToDate>false</LinksUpToDate>
  <CharactersWithSpaces>30482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2026-05-10T19:56:00Z</dcterms:created>
  <dcterms:modified xsi:type="dcterms:W3CDTF">2026-05-11T23:46:00Z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