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CBE8BE" w14:textId="77777777" w:rsidR="00D42FCF" w:rsidRPr="00A944AF" w:rsidRDefault="00D42FCF" w:rsidP="00D42FCF">
      <w:pPr>
        <w:spacing w:after="0" w:line="276" w:lineRule="auto"/>
        <w:jc w:val="both"/>
        <w:rPr>
          <w:rFonts w:ascii="Verdana" w:eastAsia="Calibri" w:hAnsi="Verdana" w:cs="Arial"/>
          <w:b/>
          <w:bCs/>
          <w:lang w:val="es-ES_tradnl"/>
        </w:rPr>
      </w:pPr>
      <w:bookmarkStart w:id="0" w:name="_Hlk143780582"/>
      <w:r w:rsidRPr="00A944AF">
        <w:rPr>
          <w:rFonts w:ascii="Verdana" w:eastAsia="Calibri" w:hAnsi="Verdana" w:cs="Arial"/>
          <w:b/>
          <w:bCs/>
          <w:lang w:val="es-ES_tradnl"/>
        </w:rPr>
        <w:t xml:space="preserve">DOCUMENTOS TIPO – Fundamento normativo – Obligatoriedad </w:t>
      </w:r>
    </w:p>
    <w:p w14:paraId="09ACB4A4" w14:textId="77777777" w:rsidR="00D42FCF" w:rsidRPr="00A944AF" w:rsidRDefault="00D42FCF" w:rsidP="00D42FCF">
      <w:pPr>
        <w:spacing w:after="0" w:line="276" w:lineRule="auto"/>
        <w:jc w:val="both"/>
        <w:rPr>
          <w:rFonts w:ascii="Verdana" w:eastAsia="Calibri" w:hAnsi="Verdana" w:cs="Arial"/>
          <w:b/>
          <w:bCs/>
          <w:sz w:val="20"/>
          <w:szCs w:val="20"/>
          <w:lang w:val="es-ES_tradnl"/>
        </w:rPr>
      </w:pPr>
    </w:p>
    <w:p w14:paraId="419AB578" w14:textId="77777777" w:rsidR="00D42FCF" w:rsidRPr="00A944AF" w:rsidRDefault="00D42FCF" w:rsidP="00D42FCF">
      <w:pPr>
        <w:tabs>
          <w:tab w:val="left" w:pos="709"/>
        </w:tabs>
        <w:spacing w:after="0" w:line="240" w:lineRule="auto"/>
        <w:jc w:val="both"/>
        <w:rPr>
          <w:rFonts w:ascii="Verdana" w:eastAsia="Calibri" w:hAnsi="Verdana" w:cs="Arial"/>
          <w:sz w:val="20"/>
          <w:szCs w:val="20"/>
          <w:lang w:val="es-ES"/>
        </w:rPr>
      </w:pPr>
      <w:r w:rsidRPr="00A944AF">
        <w:rPr>
          <w:rFonts w:ascii="Verdana" w:eastAsia="Calibri" w:hAnsi="Verdana" w:cs="Arial"/>
          <w:sz w:val="20"/>
          <w:szCs w:val="20"/>
          <w:lang w:val="es-ES"/>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 […]</w:t>
      </w:r>
    </w:p>
    <w:p w14:paraId="673097C8" w14:textId="77777777" w:rsidR="00D42FCF" w:rsidRPr="00A944AF" w:rsidRDefault="00D42FCF" w:rsidP="00D42FCF">
      <w:pPr>
        <w:spacing w:after="0" w:line="240" w:lineRule="auto"/>
        <w:jc w:val="both"/>
        <w:rPr>
          <w:rFonts w:ascii="Verdana" w:eastAsia="Calibri" w:hAnsi="Verdana" w:cs="Arial"/>
          <w:b/>
          <w:bCs/>
          <w:lang w:val="es-ES_tradnl"/>
        </w:rPr>
      </w:pPr>
    </w:p>
    <w:p w14:paraId="4E3BAFAB" w14:textId="77777777" w:rsidR="00D42FCF" w:rsidRPr="00A944AF" w:rsidRDefault="00D42FCF" w:rsidP="00D42FCF">
      <w:pPr>
        <w:spacing w:after="0" w:line="240" w:lineRule="auto"/>
        <w:jc w:val="both"/>
        <w:rPr>
          <w:rFonts w:ascii="Verdana" w:eastAsia="Calibri" w:hAnsi="Verdana" w:cs="Arial"/>
          <w:b/>
          <w:bCs/>
          <w:lang w:val="es-ES_tradnl"/>
        </w:rPr>
      </w:pPr>
      <w:r w:rsidRPr="00A944AF">
        <w:rPr>
          <w:rFonts w:ascii="Verdana" w:eastAsia="Calibri" w:hAnsi="Verdana" w:cs="Arial"/>
          <w:b/>
          <w:bCs/>
          <w:lang w:val="es-ES_tradnl"/>
        </w:rPr>
        <w:t>DOCUMENTOS TIPO – Regla de inalterabilidad - Alcance</w:t>
      </w:r>
    </w:p>
    <w:p w14:paraId="62CF0F0E" w14:textId="77777777" w:rsidR="00D42FCF" w:rsidRPr="00A944AF" w:rsidRDefault="00D42FCF" w:rsidP="00D42FCF">
      <w:pPr>
        <w:tabs>
          <w:tab w:val="left" w:pos="709"/>
        </w:tabs>
        <w:spacing w:after="0" w:line="240" w:lineRule="auto"/>
        <w:jc w:val="both"/>
        <w:rPr>
          <w:rFonts w:ascii="Verdana" w:eastAsia="Calibri" w:hAnsi="Verdana" w:cs="Arial"/>
          <w:sz w:val="20"/>
          <w:szCs w:val="20"/>
          <w:lang w:val="es-ES"/>
        </w:rPr>
      </w:pPr>
    </w:p>
    <w:p w14:paraId="3C81876B" w14:textId="77777777" w:rsidR="00D42FCF" w:rsidRPr="00A944AF" w:rsidRDefault="00D42FCF" w:rsidP="00D42FCF">
      <w:pPr>
        <w:tabs>
          <w:tab w:val="left" w:pos="709"/>
        </w:tabs>
        <w:spacing w:after="0" w:line="240" w:lineRule="auto"/>
        <w:jc w:val="both"/>
        <w:rPr>
          <w:rFonts w:ascii="Verdana" w:eastAsia="Times New Roman" w:hAnsi="Verdana" w:cs="Arial"/>
          <w:sz w:val="20"/>
          <w:szCs w:val="20"/>
          <w:shd w:val="clear" w:color="auto" w:fill="FFFFFF"/>
          <w:lang w:val="es-ES" w:eastAsia="es-ES"/>
        </w:rPr>
      </w:pPr>
      <w:r w:rsidRPr="00A944AF">
        <w:rPr>
          <w:rFonts w:ascii="Verdana" w:eastAsia="Times New Roman" w:hAnsi="Verdana" w:cs="Arial"/>
          <w:sz w:val="20"/>
          <w:szCs w:val="20"/>
          <w:shd w:val="clear" w:color="auto" w:fill="FFFFFF"/>
          <w:lang w:val="es-ES" w:eastAsia="es-ES"/>
        </w:rPr>
        <w:t xml:space="preserve">[…] Es importante resaltar que, en virtud de la regla de inalterabilidad, los documentos tipo solo pueden ser modificados en los aspectos en que estos lo permitan. Esto corresponde a aquellos aspectos que se encuentran entre corchetes y resaltados en gris </w:t>
      </w:r>
      <w:r w:rsidRPr="00A944AF">
        <w:rPr>
          <w:rFonts w:ascii="Verdana" w:eastAsia="Times New Roman" w:hAnsi="Verdana" w:cs="Arial"/>
          <w:sz w:val="20"/>
          <w:szCs w:val="20"/>
          <w:highlight w:val="lightGray"/>
          <w:shd w:val="clear" w:color="auto" w:fill="FFFFFF"/>
          <w:lang w:val="es-ES" w:eastAsia="es-ES"/>
        </w:rPr>
        <w:t>–[texto]–</w:t>
      </w:r>
      <w:r w:rsidRPr="00A944AF">
        <w:rPr>
          <w:rFonts w:ascii="Verdana" w:eastAsia="Times New Roman" w:hAnsi="Verdana" w:cs="Arial"/>
          <w:sz w:val="20"/>
          <w:szCs w:val="20"/>
          <w:shd w:val="clear" w:color="auto" w:fill="FFFFFF"/>
          <w:lang w:val="es-ES" w:eastAsia="es-ES"/>
        </w:rPr>
        <w:t>, para lo cual deberán observarse las instrucciones contenidas en los mismos para su diligenciamiento.</w:t>
      </w:r>
    </w:p>
    <w:p w14:paraId="5034ECF6" w14:textId="77777777" w:rsidR="00D42FCF" w:rsidRPr="00A944AF" w:rsidRDefault="00D42FCF" w:rsidP="00D42FCF">
      <w:pPr>
        <w:tabs>
          <w:tab w:val="left" w:pos="709"/>
        </w:tabs>
        <w:spacing w:after="0" w:line="240" w:lineRule="auto"/>
        <w:jc w:val="both"/>
        <w:rPr>
          <w:rFonts w:ascii="Verdana" w:eastAsia="Times New Roman" w:hAnsi="Verdana" w:cs="Arial"/>
          <w:sz w:val="20"/>
          <w:szCs w:val="20"/>
          <w:shd w:val="clear" w:color="auto" w:fill="FFFFFF"/>
          <w:lang w:val="es-ES_tradnl" w:eastAsia="es-ES_tradnl"/>
        </w:rPr>
      </w:pPr>
    </w:p>
    <w:p w14:paraId="19737216" w14:textId="77777777" w:rsidR="00D42FCF" w:rsidRPr="00A944AF" w:rsidRDefault="00D42FCF" w:rsidP="00D42FCF">
      <w:pPr>
        <w:tabs>
          <w:tab w:val="left" w:pos="709"/>
        </w:tabs>
        <w:spacing w:after="0" w:line="240" w:lineRule="auto"/>
        <w:jc w:val="both"/>
        <w:rPr>
          <w:rFonts w:ascii="Verdana" w:eastAsia="Calibri" w:hAnsi="Verdana" w:cs="Arial"/>
          <w:sz w:val="18"/>
          <w:szCs w:val="18"/>
          <w:lang w:val="es-ES"/>
        </w:rPr>
      </w:pPr>
      <w:r w:rsidRPr="00A944AF">
        <w:rPr>
          <w:rFonts w:ascii="Verdana" w:eastAsia="Times New Roman" w:hAnsi="Verdana" w:cs="Arial"/>
          <w:sz w:val="20"/>
          <w:szCs w:val="20"/>
          <w:shd w:val="clear" w:color="auto" w:fill="FFFFFF"/>
          <w:lang w:val="es-ES_tradnl" w:eastAsia="es-ES_tradnl"/>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 </w:t>
      </w:r>
    </w:p>
    <w:p w14:paraId="7CEC6BDD" w14:textId="77777777" w:rsidR="00D42FCF" w:rsidRPr="00A944AF" w:rsidRDefault="00D42FCF" w:rsidP="00D42FCF">
      <w:pPr>
        <w:spacing w:after="0" w:line="240" w:lineRule="auto"/>
        <w:jc w:val="both"/>
        <w:rPr>
          <w:rFonts w:ascii="Verdana" w:eastAsia="Verdana" w:hAnsi="Verdana" w:cs="Verdana"/>
          <w:b/>
          <w:sz w:val="20"/>
          <w:lang w:val="es-ES"/>
        </w:rPr>
      </w:pPr>
    </w:p>
    <w:p w14:paraId="14F2EE21" w14:textId="77777777" w:rsidR="00D42FCF" w:rsidRPr="00A944AF" w:rsidRDefault="00D42FCF" w:rsidP="00D42FCF">
      <w:pPr>
        <w:spacing w:after="0" w:line="240" w:lineRule="auto"/>
        <w:jc w:val="both"/>
        <w:rPr>
          <w:rFonts w:ascii="Verdana" w:eastAsia="Calibri" w:hAnsi="Verdana" w:cs="Arial"/>
          <w:b/>
          <w:bCs/>
          <w:lang w:val="es-ES_tradnl"/>
        </w:rPr>
      </w:pPr>
      <w:r w:rsidRPr="00A944AF">
        <w:rPr>
          <w:rFonts w:ascii="Verdana" w:eastAsia="Calibri" w:hAnsi="Verdana" w:cs="Arial"/>
          <w:b/>
          <w:bCs/>
          <w:lang w:val="es-ES_tradnl"/>
        </w:rPr>
        <w:t>DOCUMENTOS TIPO – Infraestructura social – Clases de documentos tipo</w:t>
      </w:r>
    </w:p>
    <w:p w14:paraId="46A630BE" w14:textId="77777777" w:rsidR="00D42FCF" w:rsidRPr="00A944AF" w:rsidRDefault="00D42FCF" w:rsidP="00D42FCF">
      <w:pPr>
        <w:spacing w:after="0" w:line="276" w:lineRule="auto"/>
        <w:jc w:val="both"/>
        <w:rPr>
          <w:rFonts w:ascii="Verdana" w:eastAsia="Calibri" w:hAnsi="Verdana" w:cs="Arial"/>
          <w:b/>
          <w:bCs/>
          <w:lang w:val="es-ES_tradnl"/>
        </w:rPr>
      </w:pPr>
    </w:p>
    <w:p w14:paraId="70A8D12C" w14:textId="77777777" w:rsidR="00D42FCF" w:rsidRPr="00A944AF" w:rsidRDefault="00D42FCF" w:rsidP="00D42FCF">
      <w:pPr>
        <w:spacing w:after="0" w:line="240" w:lineRule="auto"/>
        <w:jc w:val="both"/>
        <w:rPr>
          <w:rFonts w:ascii="Verdana" w:eastAsia="Calibri" w:hAnsi="Verdana" w:cs="Arial"/>
          <w:sz w:val="20"/>
          <w:szCs w:val="20"/>
          <w:lang w:val="es-ES"/>
        </w:rPr>
      </w:pPr>
      <w:r w:rsidRPr="00A944AF">
        <w:rPr>
          <w:rFonts w:ascii="Verdana" w:eastAsia="Calibri" w:hAnsi="Verdana" w:cs="Arial"/>
          <w:sz w:val="20"/>
          <w:szCs w:val="20"/>
          <w:lang w:val="es-ES"/>
        </w:rPr>
        <w:t>[…] la Agencia Nacional de Contratación Pública – Colombia Compra Eficiente expidió la Resolución 219 del 6 de agosto de 2021, “Por la cual se adoptan los documentos tipo para los procesos de licitación de obra pública de infraestructura social”. Mediante esta Resolución, se adoptaron los documentos tipo que aplican de forma transversal a los proyectos de infraestructura social en los sectores educativo, salud, cultura, recreación y deporte. Dichos documentos comprenden el documento base, los anexos, los formatos, los formularios y las matrices, los cuales se complementarán con cada una de las resoluciones que adoptan las matrices de experiencia y los anexos de glosario para cada uno de los sectores, definiendo así su alcance y vigencia.</w:t>
      </w:r>
    </w:p>
    <w:p w14:paraId="176D7142" w14:textId="77777777" w:rsidR="00D42FCF" w:rsidRPr="00A944AF" w:rsidRDefault="00D42FCF" w:rsidP="00D42FCF">
      <w:pPr>
        <w:spacing w:after="0" w:line="240" w:lineRule="auto"/>
        <w:jc w:val="both"/>
        <w:rPr>
          <w:rFonts w:ascii="Verdana" w:eastAsia="Calibri" w:hAnsi="Verdana" w:cs="Arial"/>
          <w:sz w:val="20"/>
          <w:szCs w:val="20"/>
          <w:lang w:val="es-ES"/>
        </w:rPr>
      </w:pPr>
    </w:p>
    <w:p w14:paraId="5C9EB695" w14:textId="77777777" w:rsidR="00D42FCF" w:rsidRPr="00A944AF" w:rsidRDefault="00D42FCF" w:rsidP="00D42FCF">
      <w:pPr>
        <w:spacing w:after="0" w:line="240" w:lineRule="auto"/>
        <w:jc w:val="both"/>
        <w:rPr>
          <w:rFonts w:ascii="Verdana" w:eastAsia="Calibri" w:hAnsi="Verdana" w:cs="Arial"/>
          <w:sz w:val="20"/>
          <w:szCs w:val="20"/>
          <w:lang w:val="es-ES"/>
        </w:rPr>
      </w:pPr>
      <w:r w:rsidRPr="00A944AF">
        <w:rPr>
          <w:rFonts w:ascii="Verdana" w:eastAsia="Calibri" w:hAnsi="Verdana" w:cs="Arial"/>
          <w:sz w:val="20"/>
          <w:szCs w:val="20"/>
          <w:lang w:val="es-ES"/>
        </w:rPr>
        <w:t>En consecuencia, en materia de infraestructura social debe tenerse en cuenta que existen dos (2) clases de documentos tipo que se integran en cada proceso: i) los documentos transversales a todos los sectores de infraestructura social, es decir, el documento base, los anexos, los formatos, los formularios y las matrices adoptados mediante la Resolución No. 219 de 2021; y ii) los documentos tipo complementarios, referentes a la matriz de experiencia y el glosario, los cuales han sido adoptados en la resolución para cada sector específico. […]</w:t>
      </w:r>
    </w:p>
    <w:p w14:paraId="4FCF6884" w14:textId="77777777" w:rsidR="00D42FCF" w:rsidRPr="00A944AF" w:rsidRDefault="00D42FCF" w:rsidP="00D42FCF">
      <w:pPr>
        <w:spacing w:after="0" w:line="240" w:lineRule="auto"/>
        <w:jc w:val="both"/>
        <w:rPr>
          <w:rFonts w:ascii="Verdana" w:eastAsia="Calibri" w:hAnsi="Verdana" w:cs="Arial"/>
          <w:sz w:val="20"/>
          <w:szCs w:val="20"/>
          <w:lang w:val="es-ES"/>
        </w:rPr>
      </w:pPr>
    </w:p>
    <w:p w14:paraId="62E9697E" w14:textId="77777777" w:rsidR="00D42FCF" w:rsidRPr="00A944AF" w:rsidRDefault="00D42FCF" w:rsidP="00D42FCF">
      <w:pPr>
        <w:spacing w:after="0" w:line="276" w:lineRule="auto"/>
        <w:jc w:val="both"/>
        <w:rPr>
          <w:rFonts w:ascii="Verdana" w:eastAsia="Calibri" w:hAnsi="Verdana" w:cs="Arial"/>
          <w:b/>
          <w:bCs/>
          <w:lang w:val="es-ES_tradnl"/>
        </w:rPr>
      </w:pPr>
      <w:r w:rsidRPr="00A944AF">
        <w:rPr>
          <w:rFonts w:ascii="Verdana" w:eastAsia="Calibri" w:hAnsi="Verdana" w:cs="Arial"/>
          <w:b/>
          <w:bCs/>
          <w:lang w:val="es-ES_tradnl"/>
        </w:rPr>
        <w:t>DOCUMENTOS TIPO – Infraestructura social – Sector educativo</w:t>
      </w:r>
    </w:p>
    <w:p w14:paraId="2F80E2F0" w14:textId="77777777" w:rsidR="00D42FCF" w:rsidRPr="00A944AF" w:rsidRDefault="00D42FCF" w:rsidP="00D42FCF">
      <w:pPr>
        <w:tabs>
          <w:tab w:val="left" w:pos="709"/>
        </w:tabs>
        <w:spacing w:after="0" w:line="240" w:lineRule="auto"/>
        <w:jc w:val="both"/>
        <w:rPr>
          <w:rFonts w:ascii="Verdana" w:eastAsia="Calibri" w:hAnsi="Verdana" w:cs="Arial"/>
          <w:sz w:val="20"/>
          <w:szCs w:val="20"/>
          <w:lang w:val="es-ES"/>
        </w:rPr>
      </w:pPr>
    </w:p>
    <w:p w14:paraId="7E8ED4B2" w14:textId="77777777" w:rsidR="00D42FCF" w:rsidRPr="00A944AF" w:rsidRDefault="00D42FCF" w:rsidP="00D42FCF">
      <w:pPr>
        <w:tabs>
          <w:tab w:val="left" w:pos="709"/>
        </w:tabs>
        <w:spacing w:after="0" w:line="240" w:lineRule="auto"/>
        <w:jc w:val="both"/>
        <w:rPr>
          <w:rFonts w:ascii="Verdana" w:eastAsia="Calibri" w:hAnsi="Verdana" w:cs="Arial"/>
          <w:sz w:val="20"/>
          <w:szCs w:val="20"/>
          <w:lang w:val="es-ES"/>
        </w:rPr>
      </w:pPr>
      <w:r w:rsidRPr="00A944AF">
        <w:rPr>
          <w:rFonts w:ascii="Verdana" w:eastAsia="Calibri" w:hAnsi="Verdana" w:cs="Arial"/>
          <w:sz w:val="20"/>
          <w:szCs w:val="20"/>
          <w:lang w:val="es-ES"/>
        </w:rPr>
        <w:lastRenderedPageBreak/>
        <w:t xml:space="preserve"> […] </w:t>
      </w:r>
      <w:r w:rsidRPr="00A944AF">
        <w:rPr>
          <w:rFonts w:ascii="Verdana" w:eastAsia="Calibri" w:hAnsi="Verdana" w:cs="Arial"/>
          <w:sz w:val="20"/>
          <w:szCs w:val="20"/>
        </w:rPr>
        <w:t xml:space="preserve">la Agencia expidió Resolución 220 del 6 de agosto de 2021, mediante la cual, adoptó los documentos tipo complementarios para los procesos de licitación de obra pública de infraestructura social relacionados con el sector educativo. Por su parte, por medio de la Resolución 392 del 18 de noviembre de 2021, se adoptaron los documentos tipo complementarios relacionados con el sector salud. Finalmente, con la expedición de la Resolución 454 del 16 de diciembre de 2021, se acogieron los documentos tipo complementarios aplicables al sector cultura, recreación y deporte.  </w:t>
      </w:r>
      <w:r w:rsidRPr="00A944AF">
        <w:rPr>
          <w:rFonts w:ascii="Verdana" w:eastAsia="Aptos" w:hAnsi="Verdana" w:cs="Times New Roman"/>
          <w:sz w:val="20"/>
          <w:szCs w:val="20"/>
        </w:rPr>
        <w:t>Estas Resolución, en el artículo 2, adoptan el "</w:t>
      </w:r>
      <w:r w:rsidRPr="00A944AF">
        <w:rPr>
          <w:rFonts w:ascii="Verdana" w:eastAsia="Aptos" w:hAnsi="Verdana" w:cs="Times New Roman"/>
          <w:i/>
          <w:iCs/>
          <w:sz w:val="20"/>
          <w:szCs w:val="20"/>
        </w:rPr>
        <w:t xml:space="preserve">Anexo -Glosario" y la "Matriz – Experiencia” </w:t>
      </w:r>
      <w:r w:rsidRPr="00A944AF">
        <w:rPr>
          <w:rFonts w:ascii="Verdana" w:eastAsia="Aptos" w:hAnsi="Verdana" w:cs="Times New Roman"/>
          <w:sz w:val="20"/>
          <w:szCs w:val="20"/>
        </w:rPr>
        <w:t>para proyectos de infraestructura social en cada uno de los sectores señalados</w:t>
      </w:r>
      <w:r w:rsidRPr="00A944AF">
        <w:rPr>
          <w:rFonts w:ascii="Verdana" w:eastAsia="Aptos" w:hAnsi="Verdana" w:cs="Times New Roman"/>
          <w:bCs/>
          <w:sz w:val="20"/>
          <w:szCs w:val="20"/>
        </w:rPr>
        <w:t xml:space="preserve">. </w:t>
      </w:r>
      <w:r w:rsidRPr="00A944AF">
        <w:rPr>
          <w:rFonts w:ascii="Verdana" w:eastAsia="Aptos" w:hAnsi="Verdana" w:cs="Times New Roman"/>
          <w:sz w:val="20"/>
          <w:szCs w:val="20"/>
        </w:rPr>
        <w:t>Estos dos (2) documentos definen el alcance para cada sector específicamente. […]</w:t>
      </w:r>
    </w:p>
    <w:p w14:paraId="4882A3C1" w14:textId="77777777" w:rsidR="00D42FCF" w:rsidRPr="00A944AF" w:rsidRDefault="00D42FCF" w:rsidP="00D42FCF">
      <w:pPr>
        <w:spacing w:after="0" w:line="240" w:lineRule="auto"/>
        <w:jc w:val="both"/>
        <w:rPr>
          <w:rFonts w:ascii="Verdana" w:eastAsia="Calibri" w:hAnsi="Verdana" w:cs="Arial"/>
          <w:sz w:val="20"/>
          <w:szCs w:val="20"/>
          <w:lang w:val="es-ES"/>
        </w:rPr>
      </w:pPr>
    </w:p>
    <w:p w14:paraId="56D0FCF4" w14:textId="77777777" w:rsidR="00D42FCF" w:rsidRPr="00A944AF" w:rsidRDefault="00D42FCF" w:rsidP="00D42FCF">
      <w:pPr>
        <w:spacing w:after="0" w:line="240" w:lineRule="auto"/>
        <w:jc w:val="both"/>
        <w:rPr>
          <w:rFonts w:ascii="Verdana" w:eastAsia="Calibri" w:hAnsi="Verdana" w:cs="Arial"/>
          <w:sz w:val="20"/>
          <w:szCs w:val="20"/>
          <w:lang w:val="es-ES"/>
        </w:rPr>
      </w:pPr>
    </w:p>
    <w:p w14:paraId="2A84EE50" w14:textId="77777777" w:rsidR="00D42FCF" w:rsidRPr="00A944AF" w:rsidRDefault="00D42FCF" w:rsidP="00D42FCF">
      <w:pPr>
        <w:spacing w:after="0" w:line="276" w:lineRule="auto"/>
        <w:jc w:val="both"/>
        <w:rPr>
          <w:rFonts w:ascii="Verdana" w:eastAsia="Calibri" w:hAnsi="Verdana" w:cs="Arial"/>
          <w:b/>
          <w:bCs/>
          <w:lang w:val="es-ES_tradnl"/>
        </w:rPr>
      </w:pPr>
      <w:r w:rsidRPr="00A944AF">
        <w:rPr>
          <w:rFonts w:ascii="Verdana" w:eastAsia="Calibri" w:hAnsi="Verdana" w:cs="Arial"/>
          <w:b/>
          <w:bCs/>
          <w:lang w:val="es-ES_tradnl"/>
        </w:rPr>
        <w:t>DOCUMENTOS TIPO – Infraestructura social – Sector educativo – Acreditación de la experiencia requerida</w:t>
      </w:r>
    </w:p>
    <w:p w14:paraId="48B74C74" w14:textId="77777777" w:rsidR="00D42FCF" w:rsidRPr="00A944AF" w:rsidRDefault="00D42FCF" w:rsidP="00D42FCF">
      <w:pPr>
        <w:spacing w:after="0" w:line="276" w:lineRule="auto"/>
        <w:jc w:val="both"/>
        <w:rPr>
          <w:rFonts w:ascii="Verdana" w:eastAsia="Calibri" w:hAnsi="Verdana" w:cs="Arial"/>
          <w:b/>
          <w:bCs/>
          <w:lang w:val="es-ES_tradnl"/>
        </w:rPr>
      </w:pPr>
    </w:p>
    <w:p w14:paraId="3AFCCC5E" w14:textId="77777777" w:rsidR="00D42FCF" w:rsidRPr="00A944AF" w:rsidRDefault="00D42FCF" w:rsidP="00D42FCF">
      <w:pPr>
        <w:spacing w:after="0" w:line="240" w:lineRule="auto"/>
        <w:jc w:val="both"/>
        <w:rPr>
          <w:rFonts w:ascii="Verdana" w:eastAsia="Times New Roman" w:hAnsi="Verdana" w:cs="Times New Roman"/>
          <w:sz w:val="20"/>
          <w:szCs w:val="20"/>
          <w:lang w:eastAsia="es-CO"/>
        </w:rPr>
      </w:pPr>
      <w:r w:rsidRPr="00A944AF">
        <w:rPr>
          <w:rFonts w:ascii="Verdana" w:eastAsia="Calibri" w:hAnsi="Verdana" w:cs="Arial"/>
          <w:sz w:val="20"/>
          <w:szCs w:val="20"/>
          <w:lang w:val="es-ES_tradnl"/>
        </w:rPr>
        <w:t xml:space="preserve">“ […] </w:t>
      </w:r>
      <w:r w:rsidRPr="00A944AF">
        <w:rPr>
          <w:rFonts w:ascii="Verdana" w:eastAsia="Times New Roman" w:hAnsi="Verdana" w:cs="Times New Roman"/>
          <w:sz w:val="20"/>
          <w:szCs w:val="20"/>
          <w:lang w:eastAsia="es-CO"/>
        </w:rPr>
        <w:t>En este contexto, el numeral 3.5 del documento base</w:t>
      </w:r>
      <w:r w:rsidRPr="00A944AF">
        <w:rPr>
          <w:rFonts w:ascii="Verdana" w:eastAsia="Calibri" w:hAnsi="Verdana" w:cs="Arial"/>
          <w:sz w:val="20"/>
          <w:szCs w:val="20"/>
          <w:lang w:val="es-ES"/>
        </w:rPr>
        <w:t xml:space="preserve"> de los documentos tipo de licitación de obra pública de infraestructura social</w:t>
      </w:r>
      <w:r w:rsidRPr="00A944AF">
        <w:rPr>
          <w:rFonts w:ascii="Verdana" w:eastAsia="Times New Roman" w:hAnsi="Verdana" w:cs="Times New Roman"/>
          <w:sz w:val="20"/>
          <w:szCs w:val="20"/>
          <w:lang w:eastAsia="es-CO"/>
        </w:rPr>
        <w:t>, indica que “los Proponentes deben acreditar su experiencia a través de: (i) la información consignada en el RUP para aquellos que estén obligados a tenerlo, (ii) la presentación el Formato 3 – Experiencia para todos los Proponentes y (iii) alguno de los documentos válidos para la acreditación de la experiencia señalados en el numeral 3.5.5 cuando se requiera la verificación de información del Proponente adicional a la contenida en el RUP.</w:t>
      </w:r>
    </w:p>
    <w:p w14:paraId="0F38FDE7" w14:textId="77777777" w:rsidR="00D42FCF" w:rsidRPr="00A944AF" w:rsidRDefault="00D42FCF" w:rsidP="00D42FCF">
      <w:pPr>
        <w:spacing w:after="0" w:line="240" w:lineRule="auto"/>
        <w:jc w:val="both"/>
        <w:rPr>
          <w:rFonts w:ascii="Verdana" w:eastAsia="Calibri" w:hAnsi="Verdana" w:cs="Arial"/>
          <w:sz w:val="20"/>
          <w:szCs w:val="20"/>
          <w:lang w:val="es-ES_tradnl"/>
        </w:rPr>
      </w:pPr>
    </w:p>
    <w:p w14:paraId="187152E6" w14:textId="77777777" w:rsidR="00D42FCF" w:rsidRPr="00A944AF" w:rsidRDefault="00D42FCF" w:rsidP="00D42FCF">
      <w:pPr>
        <w:spacing w:after="0" w:line="240" w:lineRule="auto"/>
        <w:jc w:val="both"/>
        <w:rPr>
          <w:rFonts w:ascii="Verdana" w:eastAsia="Calibri" w:hAnsi="Verdana" w:cs="Arial"/>
          <w:sz w:val="18"/>
          <w:szCs w:val="18"/>
          <w:lang w:val="es-ES"/>
        </w:rPr>
      </w:pPr>
      <w:r w:rsidRPr="00A944AF">
        <w:rPr>
          <w:rFonts w:ascii="Verdana" w:eastAsia="Calibri" w:hAnsi="Verdana" w:cs="Arial"/>
          <w:sz w:val="20"/>
          <w:szCs w:val="20"/>
          <w:lang w:val="es-ES"/>
        </w:rPr>
        <w:t>En armonía con lo anterior, el numeral 3.5.5. “</w:t>
      </w:r>
      <w:r w:rsidRPr="00A944AF">
        <w:rPr>
          <w:rFonts w:ascii="Verdana" w:eastAsia="Arial" w:hAnsi="Verdana" w:cs="Arial"/>
          <w:kern w:val="2"/>
          <w:sz w:val="20"/>
          <w:szCs w:val="20"/>
          <w14:ligatures w14:val="standardContextual"/>
        </w:rPr>
        <w:t>Documentos válidos para la acreditación de la experiencia requerida</w:t>
      </w:r>
      <w:r w:rsidRPr="00A944AF">
        <w:rPr>
          <w:rFonts w:ascii="Verdana" w:eastAsia="Calibri" w:hAnsi="Verdana" w:cs="Arial"/>
          <w:sz w:val="20"/>
          <w:szCs w:val="20"/>
          <w:lang w:val="es-ES"/>
        </w:rPr>
        <w:t xml:space="preserve">” del Documento Base, </w:t>
      </w:r>
      <w:r w:rsidRPr="00A944AF">
        <w:rPr>
          <w:rFonts w:ascii="Verdana" w:eastAsia="Arial" w:hAnsi="Verdana" w:cs="Arial"/>
          <w:kern w:val="2"/>
          <w:sz w:val="20"/>
          <w:szCs w:val="20"/>
          <w14:ligatures w14:val="standardContextual"/>
        </w:rPr>
        <w:t>establece</w:t>
      </w:r>
      <w:r w:rsidRPr="00A944AF">
        <w:rPr>
          <w:rFonts w:ascii="Verdana" w:eastAsia="Calibri" w:hAnsi="Verdana" w:cs="Arial"/>
          <w:kern w:val="2"/>
          <w:sz w:val="20"/>
          <w:szCs w:val="20"/>
          <w:lang w:val="es-MX"/>
          <w14:ligatures w14:val="standardContextual"/>
        </w:rPr>
        <w:t xml:space="preserve"> los documentos a los que se acudirá cuando la entidad requiera verificar información adicional a la contenida en el mismo, señalando los documentos válidos para acreditar la experiencia requerida, de modo que la entidad estatal pueda realizar la verificación de manera directa. Así mismo, cuando en </w:t>
      </w:r>
      <w:r w:rsidRPr="00A944AF">
        <w:rPr>
          <w:rFonts w:ascii="Verdana" w:hAnsi="Verdana"/>
          <w:sz w:val="20"/>
          <w:szCs w:val="20"/>
          <w:lang w:val="es-MX"/>
        </w:rPr>
        <w:t>caso de existir discrepancias entre dos (2) o más documentos aportados por el Proponente para la acreditación de la experiencia, se tendrá en cuenta el orden de prevalencia indicado […]”</w:t>
      </w:r>
    </w:p>
    <w:p w14:paraId="4E85FC13" w14:textId="77777777" w:rsidR="00D42FCF" w:rsidRPr="00A944AF" w:rsidRDefault="00D42FCF" w:rsidP="00D42FCF">
      <w:pPr>
        <w:spacing w:after="0" w:line="240" w:lineRule="auto"/>
        <w:jc w:val="both"/>
        <w:rPr>
          <w:rFonts w:ascii="Verdana" w:eastAsia="Calibri" w:hAnsi="Verdana" w:cs="Arial"/>
          <w:sz w:val="20"/>
          <w:szCs w:val="20"/>
          <w:lang w:val="es-ES"/>
        </w:rPr>
      </w:pPr>
    </w:p>
    <w:p w14:paraId="0524396D" w14:textId="77777777" w:rsidR="00D42FCF" w:rsidRPr="00A944AF" w:rsidRDefault="00D42FCF" w:rsidP="00D42FCF">
      <w:pPr>
        <w:spacing w:after="0" w:line="240" w:lineRule="auto"/>
        <w:jc w:val="both"/>
        <w:rPr>
          <w:rFonts w:ascii="Verdana" w:eastAsia="Calibri" w:hAnsi="Verdana" w:cs="Arial"/>
          <w:sz w:val="20"/>
          <w:szCs w:val="20"/>
          <w:lang w:val="es-ES"/>
        </w:rPr>
      </w:pPr>
    </w:p>
    <w:p w14:paraId="59BBB9E0" w14:textId="77777777" w:rsidR="00D42FCF" w:rsidRPr="00A944AF" w:rsidRDefault="00D42FCF" w:rsidP="00D42FCF">
      <w:pPr>
        <w:spacing w:after="0" w:line="240" w:lineRule="auto"/>
        <w:jc w:val="both"/>
        <w:rPr>
          <w:rFonts w:ascii="Verdana" w:eastAsia="Calibri" w:hAnsi="Verdana" w:cs="Arial"/>
          <w:sz w:val="20"/>
          <w:szCs w:val="20"/>
          <w:lang w:val="es-ES"/>
        </w:rPr>
      </w:pPr>
    </w:p>
    <w:p w14:paraId="11D6B7D2" w14:textId="77777777" w:rsidR="00D42FCF" w:rsidRPr="00A944AF" w:rsidRDefault="00D42FCF" w:rsidP="00D42FCF">
      <w:pPr>
        <w:spacing w:after="0" w:line="240" w:lineRule="auto"/>
        <w:jc w:val="both"/>
        <w:rPr>
          <w:rFonts w:ascii="Verdana" w:eastAsia="Calibri" w:hAnsi="Verdana" w:cs="Arial"/>
          <w:sz w:val="20"/>
          <w:szCs w:val="20"/>
          <w:lang w:val="es-ES"/>
        </w:rPr>
      </w:pPr>
    </w:p>
    <w:p w14:paraId="7556A6E9" w14:textId="77777777" w:rsidR="00D42FCF" w:rsidRPr="00A944AF" w:rsidRDefault="00D42FCF" w:rsidP="00D42FCF">
      <w:pPr>
        <w:spacing w:after="0" w:line="240" w:lineRule="auto"/>
        <w:jc w:val="both"/>
        <w:rPr>
          <w:rFonts w:ascii="Verdana" w:eastAsia="Calibri" w:hAnsi="Verdana" w:cs="Arial"/>
          <w:sz w:val="20"/>
          <w:szCs w:val="20"/>
          <w:lang w:val="es-ES"/>
        </w:rPr>
      </w:pPr>
    </w:p>
    <w:p w14:paraId="184E3E9E" w14:textId="77777777" w:rsidR="00D42FCF" w:rsidRPr="00A944AF" w:rsidRDefault="00D42FCF" w:rsidP="00D42FCF">
      <w:pPr>
        <w:spacing w:after="0" w:line="240" w:lineRule="auto"/>
        <w:jc w:val="both"/>
        <w:rPr>
          <w:rFonts w:ascii="Verdana" w:eastAsia="Calibri" w:hAnsi="Verdana" w:cs="Arial"/>
          <w:sz w:val="20"/>
          <w:szCs w:val="20"/>
          <w:lang w:val="es-ES"/>
        </w:rPr>
      </w:pPr>
    </w:p>
    <w:p w14:paraId="0CC5048D" w14:textId="77777777" w:rsidR="00D42FCF" w:rsidRPr="00A944AF" w:rsidRDefault="00D42FCF" w:rsidP="00D42FCF">
      <w:pPr>
        <w:spacing w:after="0" w:line="240" w:lineRule="auto"/>
        <w:jc w:val="both"/>
        <w:rPr>
          <w:rFonts w:ascii="Verdana" w:eastAsia="Calibri" w:hAnsi="Verdana" w:cs="Arial"/>
          <w:sz w:val="20"/>
          <w:szCs w:val="20"/>
          <w:lang w:val="es-ES"/>
        </w:rPr>
      </w:pPr>
    </w:p>
    <w:p w14:paraId="7D4C3DD5" w14:textId="77777777" w:rsidR="00D42FCF" w:rsidRPr="00A944AF" w:rsidRDefault="00D42FCF" w:rsidP="00D42FCF">
      <w:pPr>
        <w:spacing w:after="0" w:line="240" w:lineRule="auto"/>
        <w:jc w:val="both"/>
        <w:rPr>
          <w:rFonts w:ascii="Verdana" w:eastAsia="Calibri" w:hAnsi="Verdana" w:cs="Arial"/>
          <w:sz w:val="20"/>
          <w:szCs w:val="20"/>
          <w:lang w:val="es-ES"/>
        </w:rPr>
      </w:pPr>
    </w:p>
    <w:p w14:paraId="70ECFF73" w14:textId="77777777" w:rsidR="00D42FCF" w:rsidRPr="00A944AF" w:rsidRDefault="00D42FCF" w:rsidP="00D42FCF">
      <w:pPr>
        <w:spacing w:after="0" w:line="240" w:lineRule="auto"/>
        <w:jc w:val="both"/>
        <w:rPr>
          <w:rFonts w:ascii="Verdana" w:eastAsia="Calibri" w:hAnsi="Verdana" w:cs="Arial"/>
          <w:sz w:val="20"/>
          <w:szCs w:val="20"/>
          <w:lang w:val="es-ES"/>
        </w:rPr>
      </w:pPr>
    </w:p>
    <w:p w14:paraId="4F10CE58" w14:textId="77777777" w:rsidR="00D42FCF" w:rsidRPr="00A944AF" w:rsidRDefault="00D42FCF" w:rsidP="00D42FCF">
      <w:pPr>
        <w:spacing w:after="0" w:line="240" w:lineRule="auto"/>
        <w:jc w:val="both"/>
        <w:rPr>
          <w:rFonts w:ascii="Verdana" w:eastAsia="Calibri" w:hAnsi="Verdana" w:cs="Arial"/>
          <w:sz w:val="20"/>
          <w:szCs w:val="20"/>
          <w:lang w:val="es-ES"/>
        </w:rPr>
      </w:pPr>
    </w:p>
    <w:p w14:paraId="52C8F1A4" w14:textId="77777777" w:rsidR="00D42FCF" w:rsidRPr="00A944AF" w:rsidRDefault="00D42FCF" w:rsidP="00D42FCF">
      <w:pPr>
        <w:spacing w:after="0" w:line="240" w:lineRule="auto"/>
        <w:jc w:val="both"/>
        <w:rPr>
          <w:rFonts w:ascii="Verdana" w:eastAsia="Calibri" w:hAnsi="Verdana" w:cs="Arial"/>
          <w:sz w:val="20"/>
          <w:szCs w:val="20"/>
          <w:lang w:val="es-ES"/>
        </w:rPr>
      </w:pPr>
    </w:p>
    <w:p w14:paraId="01EAFB18" w14:textId="77777777" w:rsidR="00D42FCF" w:rsidRPr="00A944AF" w:rsidRDefault="00D42FCF" w:rsidP="00D42FCF">
      <w:pPr>
        <w:spacing w:after="0" w:line="240" w:lineRule="auto"/>
        <w:jc w:val="both"/>
        <w:rPr>
          <w:rFonts w:ascii="Verdana" w:eastAsia="Calibri" w:hAnsi="Verdana" w:cs="Arial"/>
          <w:sz w:val="20"/>
          <w:szCs w:val="20"/>
          <w:lang w:val="es-ES"/>
        </w:rPr>
      </w:pPr>
    </w:p>
    <w:p w14:paraId="2EAF8B61" w14:textId="77777777" w:rsidR="00D42FCF" w:rsidRPr="00A944AF" w:rsidRDefault="00D42FCF" w:rsidP="00D42FCF">
      <w:pPr>
        <w:spacing w:after="0" w:line="240" w:lineRule="auto"/>
        <w:jc w:val="both"/>
        <w:rPr>
          <w:rFonts w:ascii="Verdana" w:eastAsia="Calibri" w:hAnsi="Verdana" w:cs="Arial"/>
          <w:sz w:val="20"/>
          <w:szCs w:val="20"/>
          <w:lang w:val="es-ES"/>
        </w:rPr>
      </w:pPr>
    </w:p>
    <w:p w14:paraId="1F82E2E8" w14:textId="77777777" w:rsidR="00D42FCF" w:rsidRPr="00A944AF" w:rsidRDefault="00D42FCF" w:rsidP="00D42FCF">
      <w:pPr>
        <w:spacing w:after="0" w:line="240" w:lineRule="auto"/>
        <w:jc w:val="both"/>
        <w:rPr>
          <w:rFonts w:ascii="Verdana" w:eastAsia="Calibri" w:hAnsi="Verdana" w:cs="Arial"/>
          <w:sz w:val="20"/>
          <w:szCs w:val="20"/>
          <w:lang w:val="es-ES"/>
        </w:rPr>
      </w:pPr>
    </w:p>
    <w:p w14:paraId="05E5D7AD" w14:textId="3BF034A3" w:rsidR="00D42FCF" w:rsidRDefault="00D42FCF" w:rsidP="00D42FCF">
      <w:pPr>
        <w:spacing w:after="0"/>
        <w:rPr>
          <w:rFonts w:ascii="Verdana" w:hAnsi="Verdana"/>
        </w:rPr>
      </w:pPr>
      <w:r w:rsidRPr="00E906C8">
        <w:rPr>
          <w:rFonts w:ascii="Verdana" w:hAnsi="Verdana"/>
        </w:rPr>
        <w:lastRenderedPageBreak/>
        <w:t xml:space="preserve">Bogotá D.C., </w:t>
      </w:r>
      <w:r w:rsidR="00A23D7C">
        <w:rPr>
          <w:rFonts w:ascii="Verdana" w:hAnsi="Verdana"/>
        </w:rPr>
        <w:t>12 Mayo 2026</w:t>
      </w:r>
    </w:p>
    <w:p w14:paraId="57186369" w14:textId="092020CB" w:rsidR="00A23D7C" w:rsidRPr="00E906C8" w:rsidRDefault="00037FA0" w:rsidP="00D42FCF">
      <w:pPr>
        <w:spacing w:after="0"/>
        <w:rPr>
          <w:rFonts w:ascii="Verdana" w:hAnsi="Verdana"/>
          <w:lang w:val="es-ES"/>
        </w:rPr>
      </w:pPr>
      <w:r w:rsidRPr="00037FA0">
        <w:rPr>
          <w:rFonts w:ascii="Verdana" w:hAnsi="Verdana"/>
          <w:noProof/>
        </w:rPr>
        <w:drawing>
          <wp:anchor distT="0" distB="0" distL="114300" distR="114300" simplePos="0" relativeHeight="251659264" behindDoc="1" locked="0" layoutInCell="1" allowOverlap="1" wp14:anchorId="016EFF67" wp14:editId="7CAC26C5">
            <wp:simplePos x="0" y="0"/>
            <wp:positionH relativeFrom="margin">
              <wp:posOffset>3411110</wp:posOffset>
            </wp:positionH>
            <wp:positionV relativeFrom="paragraph">
              <wp:posOffset>9221</wp:posOffset>
            </wp:positionV>
            <wp:extent cx="2433100" cy="654834"/>
            <wp:effectExtent l="0" t="0" r="5715" b="0"/>
            <wp:wrapNone/>
            <wp:docPr id="6768563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685639" name=""/>
                    <pic:cNvPicPr/>
                  </pic:nvPicPr>
                  <pic:blipFill>
                    <a:blip r:embed="rId10">
                      <a:extLst>
                        <a:ext uri="{28A0092B-C50C-407E-A947-70E740481C1C}">
                          <a14:useLocalDpi xmlns:a14="http://schemas.microsoft.com/office/drawing/2010/main" val="0"/>
                        </a:ext>
                      </a:extLst>
                    </a:blip>
                    <a:stretch>
                      <a:fillRect/>
                    </a:stretch>
                  </pic:blipFill>
                  <pic:spPr>
                    <a:xfrm>
                      <a:off x="0" y="0"/>
                      <a:ext cx="2433100" cy="654834"/>
                    </a:xfrm>
                    <a:prstGeom prst="rect">
                      <a:avLst/>
                    </a:prstGeom>
                  </pic:spPr>
                </pic:pic>
              </a:graphicData>
            </a:graphic>
            <wp14:sizeRelH relativeFrom="margin">
              <wp14:pctWidth>0</wp14:pctWidth>
            </wp14:sizeRelH>
            <wp14:sizeRelV relativeFrom="margin">
              <wp14:pctHeight>0</wp14:pctHeight>
            </wp14:sizeRelV>
          </wp:anchor>
        </w:drawing>
      </w:r>
    </w:p>
    <w:p w14:paraId="5D8FB4BA" w14:textId="77777777" w:rsidR="00D42FCF" w:rsidRPr="00E906C8" w:rsidRDefault="00D42FCF" w:rsidP="00D42FCF">
      <w:pPr>
        <w:spacing w:after="0" w:line="240" w:lineRule="auto"/>
        <w:rPr>
          <w:rFonts w:ascii="Verdana" w:hAnsi="Verdana"/>
          <w:lang w:val="es-ES"/>
        </w:rPr>
      </w:pPr>
      <w:r w:rsidRPr="00E906C8">
        <w:rPr>
          <w:rFonts w:ascii="Verdana" w:eastAsia="Calibri" w:hAnsi="Verdana" w:cs="Arial"/>
          <w:lang w:val="es-ES" w:eastAsia="es-ES"/>
        </w:rPr>
        <w:t>Señor</w:t>
      </w:r>
    </w:p>
    <w:p w14:paraId="6D153C34" w14:textId="77777777" w:rsidR="00D42FCF" w:rsidRPr="00E906C8" w:rsidRDefault="00D42FCF" w:rsidP="00D42FCF">
      <w:pPr>
        <w:spacing w:after="0"/>
        <w:rPr>
          <w:rFonts w:ascii="Verdana" w:eastAsia="Calibri" w:hAnsi="Verdana" w:cs="Arial"/>
          <w:b/>
          <w:bCs/>
          <w:lang w:eastAsia="es-ES"/>
        </w:rPr>
      </w:pPr>
      <w:r w:rsidRPr="00E906C8">
        <w:rPr>
          <w:rFonts w:ascii="Verdana" w:eastAsia="Calibri" w:hAnsi="Verdana" w:cs="Arial"/>
          <w:b/>
          <w:bCs/>
          <w:lang w:eastAsia="es-ES"/>
        </w:rPr>
        <w:t>Carlos Alberto Córdoba Muñoz</w:t>
      </w:r>
    </w:p>
    <w:p w14:paraId="62B381A9" w14:textId="77777777" w:rsidR="00D42FCF" w:rsidRPr="0077589D" w:rsidRDefault="00D42FCF" w:rsidP="00D42FCF">
      <w:pPr>
        <w:spacing w:after="0"/>
        <w:rPr>
          <w:rFonts w:ascii="Verdana" w:eastAsia="Calibri" w:hAnsi="Verdana" w:cs="Arial"/>
          <w:color w:val="7030A0"/>
          <w:lang w:eastAsia="es-ES"/>
        </w:rPr>
      </w:pPr>
      <w:hyperlink r:id="rId11" w:history="1">
        <w:r w:rsidRPr="00160841">
          <w:rPr>
            <w:rStyle w:val="Hipervnculo"/>
            <w:rFonts w:ascii="Verdana" w:hAnsi="Verdana"/>
          </w:rPr>
          <w:t>carco3037@gmail.com</w:t>
        </w:r>
      </w:hyperlink>
      <w:r>
        <w:rPr>
          <w:rFonts w:ascii="Verdana" w:hAnsi="Verdana"/>
          <w:color w:val="7030A0"/>
        </w:rPr>
        <w:t xml:space="preserve"> </w:t>
      </w:r>
    </w:p>
    <w:p w14:paraId="1B822A75" w14:textId="77777777" w:rsidR="00D42FCF" w:rsidRPr="00E906C8" w:rsidRDefault="00D42FCF" w:rsidP="00D42FCF">
      <w:pPr>
        <w:spacing w:after="0"/>
        <w:rPr>
          <w:rFonts w:ascii="Verdana" w:eastAsia="Calibri" w:hAnsi="Verdana" w:cs="Arial"/>
          <w:lang w:eastAsia="es-ES"/>
        </w:rPr>
      </w:pPr>
      <w:r>
        <w:rPr>
          <w:rFonts w:ascii="Verdana" w:eastAsia="Calibri" w:hAnsi="Verdana" w:cs="Arial"/>
          <w:lang w:eastAsia="es-ES"/>
        </w:rPr>
        <w:t>Popayán, Cauca</w:t>
      </w:r>
    </w:p>
    <w:p w14:paraId="6BA379DB" w14:textId="77777777" w:rsidR="00D42FCF" w:rsidRPr="0077589D" w:rsidRDefault="00D42FCF" w:rsidP="00D42FCF">
      <w:pPr>
        <w:spacing w:after="0"/>
        <w:rPr>
          <w:rFonts w:ascii="Verdana" w:eastAsia="Calibri" w:hAnsi="Verdana" w:cs="Arial"/>
          <w:color w:val="7030A0"/>
          <w:lang w:val="es-ES" w:eastAsia="es-ES"/>
        </w:rPr>
      </w:pPr>
    </w:p>
    <w:p w14:paraId="7986BEF7" w14:textId="77777777" w:rsidR="00D42FCF" w:rsidRPr="0077589D" w:rsidRDefault="00D42FCF" w:rsidP="00D42FCF">
      <w:pPr>
        <w:spacing w:after="0" w:line="240" w:lineRule="auto"/>
        <w:rPr>
          <w:rFonts w:ascii="Verdana" w:eastAsia="Calibri" w:hAnsi="Verdana" w:cs="Arial"/>
          <w:b/>
          <w:bCs/>
          <w:color w:val="7030A0"/>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D42FCF" w:rsidRPr="0077589D" w14:paraId="5370449D" w14:textId="77777777" w:rsidTr="0072767F">
        <w:trPr>
          <w:trHeight w:val="300"/>
        </w:trPr>
        <w:tc>
          <w:tcPr>
            <w:tcW w:w="2410" w:type="dxa"/>
          </w:tcPr>
          <w:p w14:paraId="41590609" w14:textId="77777777" w:rsidR="00D42FCF" w:rsidRPr="0077589D" w:rsidRDefault="00D42FCF" w:rsidP="0072767F">
            <w:pPr>
              <w:ind w:left="-142"/>
              <w:jc w:val="both"/>
              <w:rPr>
                <w:rFonts w:ascii="Verdana" w:eastAsia="Calibri" w:hAnsi="Verdana" w:cs="Arial"/>
                <w:b/>
                <w:bCs/>
                <w:color w:val="7030A0"/>
                <w:lang w:val="es-ES" w:eastAsia="es-ES_tradnl"/>
              </w:rPr>
            </w:pPr>
          </w:p>
        </w:tc>
        <w:tc>
          <w:tcPr>
            <w:tcW w:w="6100" w:type="dxa"/>
          </w:tcPr>
          <w:p w14:paraId="0F496E4D" w14:textId="77777777" w:rsidR="00D42FCF" w:rsidRPr="0083070E" w:rsidRDefault="00D42FCF" w:rsidP="0072767F">
            <w:pPr>
              <w:ind w:left="3"/>
              <w:jc w:val="both"/>
              <w:rPr>
                <w:rFonts w:ascii="Verdana" w:eastAsia="Calibri" w:hAnsi="Verdana" w:cs="Arial"/>
                <w:b/>
                <w:bCs/>
                <w:lang w:val="es-ES" w:eastAsia="es-ES"/>
              </w:rPr>
            </w:pPr>
            <w:r w:rsidRPr="0083070E">
              <w:rPr>
                <w:rFonts w:ascii="Verdana" w:eastAsia="Calibri" w:hAnsi="Verdana" w:cs="Arial"/>
                <w:b/>
                <w:bCs/>
                <w:lang w:val="es-ES" w:eastAsia="es-ES"/>
              </w:rPr>
              <w:t>Concepto C-515 de 2026</w:t>
            </w:r>
          </w:p>
          <w:p w14:paraId="0F192A16" w14:textId="77777777" w:rsidR="00D42FCF" w:rsidRPr="0077589D" w:rsidRDefault="00D42FCF" w:rsidP="0072767F">
            <w:pPr>
              <w:ind w:left="3"/>
              <w:jc w:val="both"/>
              <w:rPr>
                <w:rFonts w:ascii="Verdana" w:eastAsia="Calibri" w:hAnsi="Verdana" w:cs="Arial"/>
                <w:b/>
                <w:bCs/>
                <w:color w:val="7030A0"/>
                <w:lang w:val="es-ES" w:eastAsia="es-ES"/>
              </w:rPr>
            </w:pPr>
          </w:p>
        </w:tc>
      </w:tr>
      <w:tr w:rsidR="00D42FCF" w:rsidRPr="0077589D" w14:paraId="64B3B6A2" w14:textId="77777777" w:rsidTr="0072767F">
        <w:trPr>
          <w:trHeight w:val="300"/>
        </w:trPr>
        <w:tc>
          <w:tcPr>
            <w:tcW w:w="2410" w:type="dxa"/>
          </w:tcPr>
          <w:p w14:paraId="150524D6" w14:textId="77777777" w:rsidR="00D42FCF" w:rsidRPr="0077589D" w:rsidRDefault="00D42FCF" w:rsidP="0072767F">
            <w:pPr>
              <w:ind w:left="424" w:firstLine="137"/>
              <w:jc w:val="both"/>
              <w:rPr>
                <w:rFonts w:ascii="Verdana" w:eastAsia="Calibri" w:hAnsi="Verdana" w:cs="Arial"/>
                <w:color w:val="7030A0"/>
                <w:lang w:val="es-ES" w:eastAsia="es-ES_tradnl"/>
              </w:rPr>
            </w:pPr>
            <w:r w:rsidRPr="0083070E">
              <w:rPr>
                <w:rFonts w:ascii="Verdana" w:eastAsia="Calibri" w:hAnsi="Verdana" w:cs="Arial"/>
                <w:b/>
                <w:lang w:val="es-ES" w:eastAsia="es-ES_tradnl"/>
              </w:rPr>
              <w:t>Temas:</w:t>
            </w:r>
            <w:r w:rsidRPr="0083070E">
              <w:rPr>
                <w:rFonts w:ascii="Verdana" w:eastAsia="Calibri" w:hAnsi="Verdana" w:cs="Arial"/>
                <w:lang w:val="es-ES" w:eastAsia="es-ES_tradnl"/>
              </w:rPr>
              <w:t xml:space="preserve">                  </w:t>
            </w:r>
          </w:p>
        </w:tc>
        <w:tc>
          <w:tcPr>
            <w:tcW w:w="6100" w:type="dxa"/>
          </w:tcPr>
          <w:p w14:paraId="0162EB81" w14:textId="77777777" w:rsidR="00D42FCF" w:rsidRPr="00010F7A" w:rsidRDefault="00D42FCF" w:rsidP="0072767F">
            <w:pPr>
              <w:jc w:val="both"/>
              <w:rPr>
                <w:rFonts w:ascii="Verdana" w:eastAsia="Calibri" w:hAnsi="Verdana" w:cs="Arial"/>
                <w:lang w:val="es-MX"/>
              </w:rPr>
            </w:pPr>
            <w:r w:rsidRPr="00010F7A">
              <w:rPr>
                <w:rFonts w:ascii="Verdana" w:eastAsia="Calibri" w:hAnsi="Verdana" w:cs="Arial"/>
                <w:lang w:val="es-MX"/>
              </w:rPr>
              <w:t xml:space="preserve">DOCUMENTOS TIPO – Fundamento normativo – Obligatoriedad / DOCUMENTOS TIPO – Regla de inalterabilidad - Alcance / DOCUMENTOS TIPO – Infraestructura social – Clases de documentos tipo / </w:t>
            </w:r>
          </w:p>
          <w:p w14:paraId="4AF16B76" w14:textId="77777777" w:rsidR="00D42FCF" w:rsidRPr="00010F7A" w:rsidRDefault="00D42FCF" w:rsidP="0072767F">
            <w:pPr>
              <w:jc w:val="both"/>
              <w:rPr>
                <w:rFonts w:ascii="Verdana" w:eastAsia="Calibri" w:hAnsi="Verdana" w:cs="Arial"/>
                <w:lang w:val="es-MX"/>
              </w:rPr>
            </w:pPr>
            <w:r w:rsidRPr="00010F7A">
              <w:rPr>
                <w:rFonts w:ascii="Verdana" w:eastAsia="Calibri" w:hAnsi="Verdana" w:cs="Arial"/>
                <w:lang w:val="es-MX"/>
              </w:rPr>
              <w:t>DOCUMENTOS TIPO – Infraestructura social – Sector educativo / DOCUMENTOS TIPO – Infraestructura social – Sector educativo – Acreditación de la experiencia requerida</w:t>
            </w:r>
          </w:p>
          <w:p w14:paraId="2AB45F2B" w14:textId="77777777" w:rsidR="00D42FCF" w:rsidRPr="00010F7A" w:rsidRDefault="00D42FCF" w:rsidP="0072767F">
            <w:pPr>
              <w:jc w:val="both"/>
              <w:rPr>
                <w:rFonts w:ascii="Verdana" w:hAnsi="Verdana"/>
                <w:lang w:val="es-ES"/>
              </w:rPr>
            </w:pPr>
          </w:p>
        </w:tc>
      </w:tr>
      <w:tr w:rsidR="00D42FCF" w:rsidRPr="0077589D" w14:paraId="6172D36C" w14:textId="77777777" w:rsidTr="0072767F">
        <w:trPr>
          <w:trHeight w:val="80"/>
        </w:trPr>
        <w:tc>
          <w:tcPr>
            <w:tcW w:w="2410" w:type="dxa"/>
          </w:tcPr>
          <w:p w14:paraId="5D723FAA" w14:textId="77777777" w:rsidR="00D42FCF" w:rsidRPr="0083070E" w:rsidRDefault="00D42FCF" w:rsidP="0072767F">
            <w:pPr>
              <w:ind w:left="561"/>
              <w:jc w:val="both"/>
              <w:rPr>
                <w:rFonts w:ascii="Verdana" w:eastAsia="Calibri" w:hAnsi="Verdana" w:cs="Arial"/>
                <w:b/>
                <w:lang w:val="es-ES" w:eastAsia="es-ES_tradnl"/>
              </w:rPr>
            </w:pPr>
            <w:r w:rsidRPr="0083070E">
              <w:rPr>
                <w:rFonts w:ascii="Verdana" w:eastAsia="Calibri" w:hAnsi="Verdana" w:cs="Arial"/>
                <w:b/>
                <w:lang w:val="es-ES" w:eastAsia="es-ES_tradnl"/>
              </w:rPr>
              <w:t>Radicación:</w:t>
            </w:r>
            <w:r w:rsidRPr="0083070E">
              <w:rPr>
                <w:rFonts w:ascii="Verdana" w:eastAsia="Calibri" w:hAnsi="Verdana" w:cs="Arial"/>
                <w:lang w:val="es-ES" w:eastAsia="es-ES_tradnl"/>
              </w:rPr>
              <w:t xml:space="preserve">              </w:t>
            </w:r>
          </w:p>
        </w:tc>
        <w:tc>
          <w:tcPr>
            <w:tcW w:w="6100" w:type="dxa"/>
          </w:tcPr>
          <w:p w14:paraId="03013C4C" w14:textId="77777777" w:rsidR="00D42FCF" w:rsidRPr="0083070E" w:rsidRDefault="00D42FCF" w:rsidP="0072767F">
            <w:pPr>
              <w:ind w:left="3"/>
              <w:jc w:val="both"/>
              <w:rPr>
                <w:rFonts w:ascii="Verdana" w:hAnsi="Verdana"/>
                <w:lang w:val="es-ES"/>
              </w:rPr>
            </w:pPr>
            <w:r w:rsidRPr="0083070E">
              <w:rPr>
                <w:rFonts w:ascii="Verdana" w:eastAsia="Calibri" w:hAnsi="Verdana" w:cs="Arial"/>
                <w:lang w:val="es-ES" w:eastAsia="es-ES"/>
              </w:rPr>
              <w:t>Respuesta a consulta con radicado No. 1_2026_03_27_004312</w:t>
            </w:r>
          </w:p>
        </w:tc>
      </w:tr>
    </w:tbl>
    <w:p w14:paraId="0D25CFB3" w14:textId="77777777" w:rsidR="00D42FCF" w:rsidRPr="0077589D" w:rsidRDefault="00D42FCF" w:rsidP="00D42FCF">
      <w:pPr>
        <w:spacing w:after="0" w:line="276" w:lineRule="auto"/>
        <w:jc w:val="both"/>
        <w:rPr>
          <w:rFonts w:ascii="Verdana" w:eastAsia="Calibri" w:hAnsi="Verdana" w:cs="Arial"/>
          <w:color w:val="7030A0"/>
          <w:lang w:val="es-ES" w:eastAsia="es-ES"/>
        </w:rPr>
      </w:pPr>
    </w:p>
    <w:p w14:paraId="7E9DBB00" w14:textId="77777777" w:rsidR="00D42FCF" w:rsidRPr="00FF0780" w:rsidRDefault="00D42FCF" w:rsidP="00D42FCF">
      <w:pPr>
        <w:spacing w:after="0" w:line="276" w:lineRule="auto"/>
        <w:jc w:val="both"/>
        <w:rPr>
          <w:rFonts w:ascii="Verdana" w:eastAsia="Calibri" w:hAnsi="Verdana" w:cs="Arial"/>
          <w:lang w:val="es-ES" w:eastAsia="es-ES"/>
        </w:rPr>
      </w:pPr>
    </w:p>
    <w:p w14:paraId="041BD8F4" w14:textId="77777777" w:rsidR="00D42FCF" w:rsidRPr="00FF0780" w:rsidRDefault="00D42FCF" w:rsidP="00D42FCF">
      <w:pPr>
        <w:spacing w:after="0" w:line="276" w:lineRule="auto"/>
        <w:jc w:val="both"/>
        <w:rPr>
          <w:rFonts w:ascii="Verdana" w:eastAsia="Calibri" w:hAnsi="Verdana" w:cs="Arial"/>
          <w:lang w:val="es-ES" w:eastAsia="es-ES"/>
        </w:rPr>
      </w:pPr>
      <w:r w:rsidRPr="00FF0780">
        <w:rPr>
          <w:rFonts w:ascii="Verdana" w:eastAsia="Calibri" w:hAnsi="Verdana" w:cs="Arial"/>
          <w:lang w:val="es-ES" w:eastAsia="es-ES"/>
        </w:rPr>
        <w:t>Estimado señor Córdoba,</w:t>
      </w:r>
    </w:p>
    <w:p w14:paraId="3B5EB61F" w14:textId="77777777" w:rsidR="00D42FCF" w:rsidRPr="00FF0780" w:rsidRDefault="00D42FCF" w:rsidP="00D42FCF">
      <w:pPr>
        <w:spacing w:after="0" w:line="276" w:lineRule="auto"/>
        <w:jc w:val="both"/>
        <w:rPr>
          <w:rFonts w:ascii="Verdana" w:eastAsia="Calibri" w:hAnsi="Verdana" w:cs="Arial"/>
          <w:lang w:val="es-ES" w:eastAsia="es-ES"/>
        </w:rPr>
      </w:pPr>
      <w:r w:rsidRPr="00FF0780">
        <w:rPr>
          <w:rFonts w:ascii="Verdana" w:eastAsia="Calibri" w:hAnsi="Verdana" w:cs="Arial"/>
          <w:lang w:val="es-ES" w:eastAsia="es-ES"/>
        </w:rPr>
        <w:t xml:space="preserve"> </w:t>
      </w:r>
    </w:p>
    <w:p w14:paraId="3B7DA6EB" w14:textId="77777777" w:rsidR="00D42FCF" w:rsidRPr="00FF0780" w:rsidRDefault="00D42FCF" w:rsidP="00D42FCF">
      <w:pPr>
        <w:tabs>
          <w:tab w:val="left" w:pos="3768"/>
        </w:tabs>
        <w:spacing w:after="0" w:line="276" w:lineRule="auto"/>
        <w:jc w:val="both"/>
        <w:rPr>
          <w:rFonts w:ascii="Verdana" w:eastAsia="Calibri" w:hAnsi="Verdana" w:cs="Arial"/>
          <w:lang w:eastAsia="es-ES"/>
        </w:rPr>
      </w:pPr>
      <w:r w:rsidRPr="00FF0780">
        <w:rPr>
          <w:rFonts w:ascii="Verdana" w:eastAsia="Calibri" w:hAnsi="Verdana" w:cs="Arial"/>
          <w:lang w:eastAsia="es-ES"/>
        </w:rPr>
        <w:t xml:space="preserve">En ejercicio de la competencia otorgada por los artículos 3, numeral 5º, y 11, numeral 8º, del Decreto Ley 4170 de 2011, así como lo establecido por la Resolución 469 de 2025 expedida por esta Entidad, la Agencia Nacional de Contratación Pública – Colombia Compra Eficiente– responde su solicitud de consulta de fecha 27 de marzo de 2026, en la cual manifiesta lo siguiente: </w:t>
      </w:r>
    </w:p>
    <w:p w14:paraId="5E794F2D" w14:textId="77777777" w:rsidR="00D42FCF" w:rsidRPr="00FF0780" w:rsidRDefault="00D42FCF" w:rsidP="00D42FCF">
      <w:pPr>
        <w:tabs>
          <w:tab w:val="left" w:pos="142"/>
          <w:tab w:val="left" w:pos="284"/>
        </w:tabs>
        <w:spacing w:after="0" w:line="276" w:lineRule="auto"/>
        <w:contextualSpacing/>
        <w:jc w:val="both"/>
        <w:rPr>
          <w:rFonts w:ascii="Verdana" w:eastAsia="Century Gothic" w:hAnsi="Verdana" w:cs="Century Gothic"/>
          <w:b/>
          <w:bCs/>
        </w:rPr>
      </w:pPr>
    </w:p>
    <w:p w14:paraId="6EDF47F6" w14:textId="77777777" w:rsidR="00D42FCF" w:rsidRPr="00CC09E1" w:rsidRDefault="00D42FCF" w:rsidP="00D42FCF">
      <w:pPr>
        <w:spacing w:after="0" w:line="240" w:lineRule="auto"/>
        <w:ind w:left="709" w:right="709"/>
        <w:jc w:val="both"/>
        <w:rPr>
          <w:rFonts w:ascii="Verdana" w:eastAsia="Calibri" w:hAnsi="Verdana" w:cs="Arial"/>
          <w:sz w:val="20"/>
          <w:szCs w:val="20"/>
          <w:lang w:eastAsia="es-ES"/>
        </w:rPr>
      </w:pPr>
      <w:r w:rsidRPr="00CC09E1">
        <w:rPr>
          <w:rFonts w:ascii="Verdana" w:eastAsia="Century Gothic" w:hAnsi="Verdana" w:cs="Century Gothic"/>
          <w:i/>
          <w:iCs/>
          <w:sz w:val="20"/>
          <w:szCs w:val="20"/>
          <w:lang w:val="es-ES"/>
        </w:rPr>
        <w:t>“</w:t>
      </w:r>
      <w:r w:rsidRPr="00CC09E1">
        <w:rPr>
          <w:rFonts w:ascii="Verdana" w:eastAsia="Calibri" w:hAnsi="Verdana" w:cs="Arial"/>
          <w:sz w:val="20"/>
          <w:szCs w:val="20"/>
          <w:lang w:eastAsia="es-ES"/>
        </w:rPr>
        <w:t>[…] Por lo aquí manifestado y en procura de la garantía de los principios de la contratación estatal, tales como el principio de transparencia y selección objetiva, respetuosamente solicito a Agencia Nacional de Contratación Pública - Colombia Compra Eficiente emitir respuesta y/o concepto frente a los siguientes cuestionamientos:</w:t>
      </w:r>
    </w:p>
    <w:p w14:paraId="06D8A7AD" w14:textId="77777777" w:rsidR="00D42FCF" w:rsidRPr="00CC09E1" w:rsidRDefault="00D42FCF" w:rsidP="00D42FCF">
      <w:pPr>
        <w:spacing w:after="0" w:line="240" w:lineRule="auto"/>
        <w:ind w:left="709" w:right="709"/>
        <w:jc w:val="both"/>
        <w:rPr>
          <w:rFonts w:ascii="Verdana" w:eastAsia="Calibri" w:hAnsi="Verdana" w:cs="Arial"/>
          <w:sz w:val="20"/>
          <w:szCs w:val="20"/>
          <w:lang w:eastAsia="es-ES"/>
        </w:rPr>
      </w:pPr>
    </w:p>
    <w:p w14:paraId="40A53C57" w14:textId="77777777" w:rsidR="00D42FCF" w:rsidRPr="00CC09E1" w:rsidRDefault="00D42FCF" w:rsidP="00D42FCF">
      <w:pPr>
        <w:spacing w:after="0" w:line="240" w:lineRule="auto"/>
        <w:ind w:left="709" w:right="709"/>
        <w:jc w:val="both"/>
        <w:rPr>
          <w:rFonts w:ascii="Verdana" w:eastAsia="Calibri" w:hAnsi="Verdana" w:cs="Arial"/>
          <w:sz w:val="20"/>
          <w:szCs w:val="20"/>
          <w:lang w:eastAsia="es-ES"/>
        </w:rPr>
      </w:pPr>
      <w:r w:rsidRPr="00CC09E1">
        <w:rPr>
          <w:rFonts w:ascii="Verdana" w:eastAsia="Calibri" w:hAnsi="Verdana" w:cs="Arial"/>
          <w:sz w:val="20"/>
          <w:szCs w:val="20"/>
          <w:lang w:eastAsia="es-ES"/>
        </w:rPr>
        <w:t>1. ¿Pueden las Entidades dar una interpretación extensiva a los requisitos de experiencia establecidos en el pliego de condiciones de documento tipo?</w:t>
      </w:r>
    </w:p>
    <w:p w14:paraId="1E089AB1" w14:textId="77777777" w:rsidR="00D42FCF" w:rsidRPr="00CC09E1" w:rsidRDefault="00D42FCF" w:rsidP="00D42FCF">
      <w:pPr>
        <w:spacing w:after="0" w:line="240" w:lineRule="auto"/>
        <w:ind w:left="709" w:right="709"/>
        <w:jc w:val="both"/>
        <w:rPr>
          <w:rFonts w:ascii="Verdana" w:eastAsia="Calibri" w:hAnsi="Verdana" w:cs="Arial"/>
          <w:sz w:val="20"/>
          <w:szCs w:val="20"/>
          <w:lang w:eastAsia="es-ES"/>
        </w:rPr>
      </w:pPr>
    </w:p>
    <w:p w14:paraId="4B233DE9" w14:textId="77777777" w:rsidR="00D42FCF" w:rsidRPr="00CC09E1" w:rsidRDefault="00D42FCF" w:rsidP="00D42FCF">
      <w:pPr>
        <w:spacing w:after="0" w:line="240" w:lineRule="auto"/>
        <w:ind w:left="709" w:right="709"/>
        <w:jc w:val="both"/>
        <w:rPr>
          <w:rFonts w:ascii="Verdana" w:eastAsia="Calibri" w:hAnsi="Verdana" w:cs="Arial"/>
          <w:sz w:val="20"/>
          <w:szCs w:val="20"/>
          <w:lang w:eastAsia="es-ES"/>
        </w:rPr>
      </w:pPr>
      <w:r w:rsidRPr="3ADB0DA1">
        <w:rPr>
          <w:rFonts w:ascii="Verdana" w:eastAsia="Calibri" w:hAnsi="Verdana" w:cs="Arial"/>
          <w:sz w:val="20"/>
          <w:szCs w:val="20"/>
          <w:lang w:eastAsia="es-ES"/>
        </w:rPr>
        <w:lastRenderedPageBreak/>
        <w:t>2. ¿Es posible para una Entidad obviar las causales de invalidación de experiencia establecidas en el pliego de condiciones de documento tipo y dar a ellas una interpretación diferente a la indicada en los documentos del proceso?</w:t>
      </w:r>
    </w:p>
    <w:p w14:paraId="220AE3AC" w14:textId="77777777" w:rsidR="00D42FCF" w:rsidRPr="00CC09E1" w:rsidRDefault="00D42FCF" w:rsidP="00D42FCF">
      <w:pPr>
        <w:spacing w:after="0" w:line="240" w:lineRule="auto"/>
        <w:ind w:left="709" w:right="709"/>
        <w:jc w:val="both"/>
        <w:rPr>
          <w:rFonts w:ascii="Verdana" w:eastAsia="Calibri" w:hAnsi="Verdana" w:cs="Arial"/>
          <w:sz w:val="20"/>
          <w:szCs w:val="20"/>
          <w:lang w:eastAsia="es-ES"/>
        </w:rPr>
      </w:pPr>
    </w:p>
    <w:p w14:paraId="16CCF0AA" w14:textId="77777777" w:rsidR="00D42FCF" w:rsidRPr="00CC09E1" w:rsidRDefault="00D42FCF" w:rsidP="00D42FCF">
      <w:pPr>
        <w:spacing w:after="0" w:line="240" w:lineRule="auto"/>
        <w:ind w:left="709" w:right="709"/>
        <w:jc w:val="both"/>
        <w:rPr>
          <w:rFonts w:ascii="Verdana" w:eastAsia="Calibri" w:hAnsi="Verdana" w:cs="Arial"/>
          <w:sz w:val="20"/>
          <w:szCs w:val="20"/>
          <w:lang w:eastAsia="es-ES"/>
        </w:rPr>
      </w:pPr>
      <w:r w:rsidRPr="3ADB0DA1">
        <w:rPr>
          <w:rFonts w:ascii="Verdana" w:eastAsia="Calibri" w:hAnsi="Verdana" w:cs="Arial"/>
          <w:sz w:val="20"/>
          <w:szCs w:val="20"/>
          <w:lang w:eastAsia="es-ES"/>
        </w:rPr>
        <w:t>3. ¿Si el pliego de condiciones establece que no será válida la experiencia acreditada para edificaciones que se encuentre relacionada con la ejecución de obras cuyo objeto o alcance sea obras hidráulicas (represas, alcantarillados, acueductos, diques, canales, plantas de tratamiento), es posible tener como valida experiencia aportada cuyo objeto y/o alcance es CONSTRUCCIÓN DEL CERRAMIENTO PARA LA CENTRAL HIDROELECTICA CUCUANA?</w:t>
      </w:r>
    </w:p>
    <w:p w14:paraId="4F395F8E" w14:textId="77777777" w:rsidR="00D42FCF" w:rsidRPr="00CC09E1" w:rsidRDefault="00D42FCF" w:rsidP="00D42FCF">
      <w:pPr>
        <w:spacing w:after="0" w:line="240" w:lineRule="auto"/>
        <w:ind w:left="709" w:right="709"/>
        <w:jc w:val="both"/>
        <w:rPr>
          <w:rFonts w:ascii="Verdana" w:eastAsia="Calibri" w:hAnsi="Verdana" w:cs="Arial"/>
          <w:sz w:val="20"/>
          <w:szCs w:val="20"/>
          <w:lang w:eastAsia="es-ES"/>
        </w:rPr>
      </w:pPr>
    </w:p>
    <w:p w14:paraId="6713B475" w14:textId="77777777" w:rsidR="00D42FCF" w:rsidRPr="00CC09E1" w:rsidRDefault="00D42FCF" w:rsidP="00D42FCF">
      <w:pPr>
        <w:spacing w:after="0" w:line="240" w:lineRule="auto"/>
        <w:ind w:left="709" w:right="709"/>
        <w:jc w:val="both"/>
        <w:rPr>
          <w:rFonts w:ascii="Verdana" w:eastAsia="Calibri" w:hAnsi="Verdana" w:cs="Arial"/>
          <w:sz w:val="20"/>
          <w:szCs w:val="20"/>
          <w:lang w:eastAsia="es-ES"/>
        </w:rPr>
      </w:pPr>
      <w:r w:rsidRPr="00CC09E1">
        <w:rPr>
          <w:rFonts w:ascii="Verdana" w:eastAsia="Calibri" w:hAnsi="Verdana" w:cs="Arial"/>
          <w:sz w:val="20"/>
          <w:szCs w:val="20"/>
          <w:lang w:eastAsia="es-ES"/>
        </w:rPr>
        <w:t>4. ¿En caso de discrepancia entre la información contenida en el RUP y el acta de liquidación, qué información prevalece? Teniendo en cuenta que la discrepancia se presenta en los salarios mínimos ejecutados y que el acta de liquidación se encuentra debidamente suscrita por las partes. [...]</w:t>
      </w:r>
    </w:p>
    <w:p w14:paraId="79FEDF97" w14:textId="77777777" w:rsidR="00D42FCF" w:rsidRPr="009D5A93" w:rsidRDefault="00D42FCF" w:rsidP="00D42FCF">
      <w:pPr>
        <w:tabs>
          <w:tab w:val="left" w:pos="1624"/>
        </w:tabs>
        <w:spacing w:after="0" w:line="240" w:lineRule="auto"/>
        <w:ind w:left="709" w:right="709"/>
        <w:jc w:val="both"/>
        <w:rPr>
          <w:rFonts w:ascii="Verdana" w:eastAsia="Calibri" w:hAnsi="Verdana" w:cs="Arial"/>
          <w:sz w:val="20"/>
          <w:szCs w:val="20"/>
          <w:lang w:eastAsia="es-ES"/>
        </w:rPr>
      </w:pPr>
    </w:p>
    <w:p w14:paraId="41D4A40F" w14:textId="77777777" w:rsidR="00D42FCF" w:rsidRPr="009D5A93" w:rsidRDefault="00D42FCF" w:rsidP="00D42FCF">
      <w:pPr>
        <w:spacing w:after="120" w:line="276" w:lineRule="auto"/>
        <w:ind w:firstLine="708"/>
        <w:jc w:val="both"/>
        <w:rPr>
          <w:rFonts w:ascii="Verdana" w:eastAsia="Calibri" w:hAnsi="Verdana" w:cs="Arial"/>
          <w:lang w:val="es-ES" w:eastAsia="es-ES"/>
        </w:rPr>
      </w:pPr>
      <w:r w:rsidRPr="009D5A93">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D5A93">
        <w:rPr>
          <w:rFonts w:ascii="Verdana" w:hAnsi="Verdana"/>
          <w:lang w:val="es-ES"/>
        </w:rPr>
        <w:tab/>
      </w:r>
    </w:p>
    <w:p w14:paraId="15A6A533" w14:textId="77777777" w:rsidR="00D42FCF" w:rsidRPr="009D5A93" w:rsidRDefault="00D42FCF" w:rsidP="00D42FCF">
      <w:pPr>
        <w:spacing w:after="0" w:line="276" w:lineRule="auto"/>
        <w:ind w:firstLine="709"/>
        <w:jc w:val="both"/>
        <w:rPr>
          <w:rFonts w:ascii="Verdana" w:eastAsia="Calibri" w:hAnsi="Verdana" w:cs="Arial"/>
          <w:lang w:val="es-ES" w:eastAsia="es-ES"/>
        </w:rPr>
      </w:pPr>
      <w:r w:rsidRPr="009D5A93">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w:t>
      </w:r>
      <w:r w:rsidRPr="009D5A93">
        <w:rPr>
          <w:rFonts w:ascii="Verdana" w:eastAsia="Calibri" w:hAnsi="Verdana" w:cs="Arial"/>
          <w:lang w:eastAsia="es-ES"/>
        </w:rPr>
        <w:t xml:space="preserve">pero señalando algunas </w:t>
      </w:r>
      <w:r w:rsidRPr="009D5A93">
        <w:rPr>
          <w:rFonts w:ascii="Verdana" w:eastAsia="Calibri" w:hAnsi="Verdana" w:cs="Arial"/>
          <w:lang w:val="es-ES" w:eastAsia="es-ES"/>
        </w:rPr>
        <w:t xml:space="preserve">consideraciones sobre las normas generales relacionadas con </w:t>
      </w:r>
      <w:r>
        <w:rPr>
          <w:rFonts w:ascii="Verdana" w:eastAsia="Calibri" w:hAnsi="Verdana" w:cs="Arial"/>
          <w:lang w:val="es-ES" w:eastAsia="es-ES"/>
        </w:rPr>
        <w:t xml:space="preserve">los </w:t>
      </w:r>
      <w:r w:rsidRPr="009D5A93">
        <w:rPr>
          <w:rFonts w:ascii="Verdana" w:eastAsia="Calibri" w:hAnsi="Verdana" w:cs="Arial"/>
          <w:lang w:val="es-ES" w:eastAsia="es-ES"/>
        </w:rPr>
        <w:t>problema</w:t>
      </w:r>
      <w:r>
        <w:rPr>
          <w:rFonts w:ascii="Verdana" w:eastAsia="Calibri" w:hAnsi="Verdana" w:cs="Arial"/>
          <w:lang w:val="es-ES" w:eastAsia="es-ES"/>
        </w:rPr>
        <w:t>s</w:t>
      </w:r>
      <w:r w:rsidRPr="009D5A93">
        <w:rPr>
          <w:rFonts w:ascii="Verdana" w:eastAsia="Calibri" w:hAnsi="Verdana" w:cs="Arial"/>
          <w:lang w:val="es-ES" w:eastAsia="es-ES"/>
        </w:rPr>
        <w:t xml:space="preserve"> jurídico</w:t>
      </w:r>
      <w:r>
        <w:rPr>
          <w:rFonts w:ascii="Verdana" w:eastAsia="Calibri" w:hAnsi="Verdana" w:cs="Arial"/>
          <w:lang w:val="es-ES" w:eastAsia="es-ES"/>
        </w:rPr>
        <w:t>s</w:t>
      </w:r>
      <w:r w:rsidRPr="009D5A93">
        <w:rPr>
          <w:rFonts w:ascii="Verdana" w:eastAsia="Calibri" w:hAnsi="Verdana" w:cs="Arial"/>
          <w:lang w:val="es-ES" w:eastAsia="es-ES"/>
        </w:rPr>
        <w:t xml:space="preserve"> de su consulta. </w:t>
      </w:r>
    </w:p>
    <w:p w14:paraId="351C4F86" w14:textId="77777777" w:rsidR="00D42FCF" w:rsidRPr="009D5A93" w:rsidRDefault="00D42FCF" w:rsidP="00D42FCF">
      <w:pPr>
        <w:spacing w:after="0" w:line="276" w:lineRule="auto"/>
        <w:ind w:firstLine="709"/>
        <w:jc w:val="both"/>
        <w:rPr>
          <w:rFonts w:ascii="Verdana" w:eastAsia="Calibri" w:hAnsi="Verdana" w:cs="Arial"/>
          <w:lang w:val="es-ES" w:eastAsia="es-ES"/>
        </w:rPr>
      </w:pPr>
    </w:p>
    <w:p w14:paraId="1A2391C9" w14:textId="77777777" w:rsidR="00D42FCF" w:rsidRPr="009D5A93" w:rsidRDefault="00D42FCF" w:rsidP="00D42FCF">
      <w:pPr>
        <w:tabs>
          <w:tab w:val="left" w:pos="142"/>
          <w:tab w:val="left" w:pos="284"/>
        </w:tabs>
        <w:spacing w:after="0" w:line="276" w:lineRule="auto"/>
        <w:contextualSpacing/>
        <w:jc w:val="both"/>
        <w:rPr>
          <w:rFonts w:ascii="Verdana" w:eastAsia="Century Gothic" w:hAnsi="Verdana" w:cs="Century Gothic"/>
          <w:b/>
          <w:lang w:val="es-ES"/>
        </w:rPr>
      </w:pPr>
      <w:r w:rsidRPr="009D5A93">
        <w:rPr>
          <w:rFonts w:ascii="Verdana" w:eastAsia="Century Gothic" w:hAnsi="Verdana" w:cs="Century Gothic"/>
          <w:b/>
          <w:lang w:val="es-ES"/>
        </w:rPr>
        <w:t>1. Problema</w:t>
      </w:r>
      <w:r>
        <w:rPr>
          <w:rFonts w:ascii="Verdana" w:eastAsia="Century Gothic" w:hAnsi="Verdana" w:cs="Century Gothic"/>
          <w:b/>
          <w:lang w:val="es-ES"/>
        </w:rPr>
        <w:t>s</w:t>
      </w:r>
      <w:r w:rsidRPr="009D5A93">
        <w:rPr>
          <w:rFonts w:ascii="Verdana" w:eastAsia="Century Gothic" w:hAnsi="Verdana" w:cs="Century Gothic"/>
          <w:b/>
          <w:lang w:val="es-ES"/>
        </w:rPr>
        <w:t xml:space="preserve"> planteado</w:t>
      </w:r>
      <w:r>
        <w:rPr>
          <w:rFonts w:ascii="Verdana" w:eastAsia="Century Gothic" w:hAnsi="Verdana" w:cs="Century Gothic"/>
          <w:b/>
          <w:lang w:val="es-ES"/>
        </w:rPr>
        <w:t>s</w:t>
      </w:r>
      <w:r w:rsidRPr="009D5A93">
        <w:rPr>
          <w:rFonts w:ascii="Verdana" w:eastAsia="Century Gothic" w:hAnsi="Verdana" w:cs="Century Gothic"/>
          <w:b/>
          <w:lang w:val="es-ES"/>
        </w:rPr>
        <w:t>:</w:t>
      </w:r>
    </w:p>
    <w:p w14:paraId="619C9825" w14:textId="77777777" w:rsidR="00D42FCF" w:rsidRPr="0077589D" w:rsidRDefault="00D42FCF" w:rsidP="00D42FCF">
      <w:pPr>
        <w:tabs>
          <w:tab w:val="left" w:pos="426"/>
        </w:tabs>
        <w:spacing w:after="0" w:line="276" w:lineRule="auto"/>
        <w:jc w:val="both"/>
        <w:rPr>
          <w:rFonts w:ascii="Verdana" w:eastAsia="Century Gothic" w:hAnsi="Verdana" w:cs="Century Gothic"/>
          <w:color w:val="7030A0"/>
          <w:lang w:val="es-ES"/>
        </w:rPr>
      </w:pPr>
    </w:p>
    <w:p w14:paraId="4F85B242" w14:textId="77777777" w:rsidR="00D42FCF" w:rsidRPr="00EE7D30" w:rsidRDefault="00D42FCF" w:rsidP="00D42FCF">
      <w:pPr>
        <w:spacing w:after="0" w:line="276" w:lineRule="auto"/>
        <w:jc w:val="both"/>
        <w:rPr>
          <w:rFonts w:ascii="Verdana" w:eastAsia="Century Gothic" w:hAnsi="Verdana" w:cs="Century Gothic"/>
        </w:rPr>
      </w:pPr>
      <w:r w:rsidRPr="3ADB0DA1">
        <w:rPr>
          <w:rFonts w:ascii="Verdana" w:eastAsia="Century Gothic" w:hAnsi="Verdana" w:cs="Century Gothic"/>
          <w:lang w:val="es-ES"/>
        </w:rPr>
        <w:lastRenderedPageBreak/>
        <w:t>De acuerdo con el contenido de su solicitud, esta Agencia resolverá los siguientes problemas jurídicos</w:t>
      </w:r>
      <w:r w:rsidRPr="00F971FF">
        <w:rPr>
          <w:rFonts w:ascii="Verdana" w:eastAsia="Century Gothic" w:hAnsi="Verdana" w:cs="Century Gothic"/>
          <w:lang w:val="es-ES"/>
        </w:rPr>
        <w:t xml:space="preserve">: </w:t>
      </w:r>
      <w:r w:rsidRPr="00F971FF">
        <w:rPr>
          <w:rFonts w:ascii="Verdana" w:eastAsia="Century Gothic" w:hAnsi="Verdana" w:cs="Century Gothic"/>
        </w:rPr>
        <w:t>i) ¿Pueden las Entidades interpretar extensivamente u obviar las causales de invalidación de los requisitos de experiencia previstas en los documentos tipo? ii) ¿Si el pliego de condiciones establece que no será válida la experiencia acreditada</w:t>
      </w:r>
      <w:r w:rsidRPr="00CC73DA">
        <w:rPr>
          <w:rFonts w:ascii="Verdana" w:eastAsia="Century Gothic" w:hAnsi="Verdana" w:cs="Century Gothic"/>
        </w:rPr>
        <w:t xml:space="preserve"> para edificaciones que se encuentre relacionada con la ejecución de obras cuyo objeto o alcance sea obras hidráulicas (represas, alcantarillados, acueductos, diques, canales, plantas de tratamiento), es posible tener </w:t>
      </w:r>
      <w:r w:rsidRPr="00E44F0A">
        <w:rPr>
          <w:rFonts w:ascii="Verdana" w:eastAsia="Century Gothic" w:hAnsi="Verdana" w:cs="Century Gothic"/>
        </w:rPr>
        <w:t>como valida experiencia aportada cuyo objeto y/o alcance es CONSTRUCCIÓN DEL CERRAMIENTO PARA LA CENTRAL HIDROELECTRICA CUCUANA? iii) ¿Cuál información prevalece en caso de discrepancia entre el RUP y el acta de liquidación, respecto de los salarios mínimos ejecutados?</w:t>
      </w:r>
    </w:p>
    <w:p w14:paraId="5714809E" w14:textId="77777777" w:rsidR="00D42FCF" w:rsidRPr="0077589D" w:rsidRDefault="00D42FCF" w:rsidP="00D42FCF">
      <w:pPr>
        <w:spacing w:after="0" w:line="276" w:lineRule="auto"/>
        <w:jc w:val="both"/>
        <w:rPr>
          <w:rFonts w:ascii="Verdana" w:eastAsia="Century Gothic" w:hAnsi="Verdana" w:cs="Century Gothic"/>
          <w:color w:val="7030A0"/>
        </w:rPr>
      </w:pPr>
    </w:p>
    <w:p w14:paraId="489703CA" w14:textId="77777777" w:rsidR="00D42FCF" w:rsidRPr="009D5A93" w:rsidRDefault="00D42FCF" w:rsidP="00D42FCF">
      <w:pPr>
        <w:tabs>
          <w:tab w:val="left" w:pos="142"/>
          <w:tab w:val="left" w:pos="284"/>
        </w:tabs>
        <w:spacing w:after="0" w:line="276" w:lineRule="auto"/>
        <w:jc w:val="both"/>
        <w:rPr>
          <w:rFonts w:ascii="Verdana" w:eastAsia="Century Gothic" w:hAnsi="Verdana" w:cs="Century Gothic"/>
          <w:b/>
          <w:lang w:val="es-ES"/>
        </w:rPr>
      </w:pPr>
      <w:r w:rsidRPr="009D5A93">
        <w:rPr>
          <w:rFonts w:ascii="Verdana" w:eastAsia="Century Gothic" w:hAnsi="Verdana" w:cs="Century Gothic"/>
          <w:b/>
          <w:lang w:val="es-ES"/>
        </w:rPr>
        <w:t>2. Respuesta:</w:t>
      </w:r>
    </w:p>
    <w:p w14:paraId="647946C7" w14:textId="77777777" w:rsidR="00D42FCF" w:rsidRPr="0077589D" w:rsidRDefault="00D42FCF" w:rsidP="00D42FCF">
      <w:pPr>
        <w:tabs>
          <w:tab w:val="left" w:pos="142"/>
          <w:tab w:val="left" w:pos="284"/>
        </w:tabs>
        <w:spacing w:after="0" w:line="276" w:lineRule="auto"/>
        <w:jc w:val="both"/>
        <w:rPr>
          <w:rFonts w:ascii="Verdana" w:eastAsia="Century Gothic" w:hAnsi="Verdana" w:cs="Century Gothic"/>
          <w:b/>
          <w:bCs/>
          <w:color w:val="7030A0"/>
          <w:lang w:val="es-ES"/>
        </w:rPr>
      </w:pPr>
    </w:p>
    <w:tbl>
      <w:tblPr>
        <w:tblStyle w:val="Tablaconcuadrcula"/>
        <w:tblW w:w="8852"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52"/>
      </w:tblGrid>
      <w:tr w:rsidR="00D42FCF" w:rsidRPr="0077589D" w14:paraId="7B489837" w14:textId="77777777" w:rsidTr="0072767F">
        <w:tc>
          <w:tcPr>
            <w:tcW w:w="8852" w:type="dxa"/>
          </w:tcPr>
          <w:p w14:paraId="24F4CEDD" w14:textId="77777777" w:rsidR="002C44D9" w:rsidRPr="005221DB" w:rsidRDefault="00D42FCF" w:rsidP="002C44D9">
            <w:pPr>
              <w:spacing w:before="120" w:after="120" w:line="276" w:lineRule="auto"/>
              <w:jc w:val="both"/>
              <w:rPr>
                <w:rFonts w:ascii="Verdana" w:eastAsia="Calibri" w:hAnsi="Verdana" w:cs="Arial"/>
                <w:color w:val="000000"/>
                <w:lang w:val="es-ES_tradnl"/>
              </w:rPr>
            </w:pPr>
            <w:r w:rsidRPr="00E44F0A">
              <w:rPr>
                <w:rFonts w:ascii="Verdana" w:eastAsia="Calibri" w:hAnsi="Verdana" w:cs="Times New Roman"/>
                <w:lang w:val="es-ES"/>
              </w:rPr>
              <w:t xml:space="preserve">i. </w:t>
            </w:r>
            <w:r w:rsidR="002C44D9" w:rsidRPr="005221DB">
              <w:rPr>
                <w:rFonts w:ascii="Verdana" w:eastAsia="Calibri" w:hAnsi="Verdana" w:cs="Arial"/>
                <w:color w:val="000000"/>
                <w:lang w:val="es-ES_tradnl"/>
              </w:rPr>
              <w:t xml:space="preserve">En relación con el problema jurídico planteado en la solicitud, debe indicarse que 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002C44D9" w:rsidRPr="005221DB">
              <w:rPr>
                <w:rFonts w:ascii="Verdana" w:eastAsia="Calibri" w:hAnsi="Verdana" w:cs="Arial"/>
                <w:i/>
                <w:iCs/>
                <w:color w:val="000000"/>
                <w:lang w:val="es-ES_tradnl"/>
              </w:rPr>
              <w:t>Documentos del Proceso</w:t>
            </w:r>
            <w:r w:rsidR="002C44D9" w:rsidRPr="005221DB">
              <w:rPr>
                <w:rFonts w:ascii="Verdana" w:eastAsia="Calibri" w:hAnsi="Verdana" w:cs="Arial"/>
                <w:color w:val="000000"/>
                <w:lang w:val="es-ES_tradnl"/>
              </w:rPr>
              <w:t xml:space="preserve"> las condiciones habilitantes, los factores técnicos y económicos de escogencia y los sistemas de ponderación distintos a los señalados en los documentos tipo. </w:t>
            </w:r>
          </w:p>
          <w:p w14:paraId="5EB0AA02" w14:textId="77777777" w:rsidR="002C44D9" w:rsidRPr="005221DB" w:rsidRDefault="002C44D9" w:rsidP="002C44D9">
            <w:pPr>
              <w:spacing w:after="120" w:line="276" w:lineRule="auto"/>
              <w:ind w:firstLine="709"/>
              <w:jc w:val="both"/>
              <w:rPr>
                <w:rFonts w:ascii="Verdana" w:eastAsia="Aptos" w:hAnsi="Verdana" w:cs="Times New Roman"/>
                <w:lang w:val="es-ES"/>
              </w:rPr>
            </w:pPr>
            <w:r w:rsidRPr="5B0C25C3">
              <w:rPr>
                <w:rFonts w:ascii="Verdana" w:eastAsia="Aptos" w:hAnsi="Verdana" w:cs="Times New Roman"/>
                <w:lang w:val="es-ES"/>
              </w:rPr>
              <w:t xml:space="preserve"> La parte introductoria de los documentos base de los documentos tipo disponen que los aspectos incluidos en corchetes y resaltados en gris </w:t>
            </w:r>
            <w:r w:rsidRPr="5B0C25C3">
              <w:rPr>
                <w:rFonts w:ascii="Verdana" w:eastAsia="Aptos" w:hAnsi="Verdana" w:cs="Times New Roman"/>
                <w:highlight w:val="lightGray"/>
                <w:lang w:val="es-ES"/>
              </w:rPr>
              <w:t>–[texto de ejemplo]–</w:t>
            </w:r>
            <w:r w:rsidRPr="5B0C25C3">
              <w:rPr>
                <w:rFonts w:ascii="Verdana" w:eastAsia="Aptos" w:hAnsi="Verdana" w:cs="Times New Roman"/>
                <w:lang w:val="es-ES"/>
              </w:rPr>
              <w:t xml:space="preserve"> 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3A76F1A2" w14:textId="77777777" w:rsidR="002C44D9" w:rsidRPr="005221DB" w:rsidRDefault="002C44D9" w:rsidP="002C44D9">
            <w:pPr>
              <w:spacing w:before="120" w:after="120" w:line="276" w:lineRule="auto"/>
              <w:ind w:firstLine="709"/>
              <w:jc w:val="both"/>
              <w:rPr>
                <w:rFonts w:ascii="Verdana" w:eastAsia="Calibri" w:hAnsi="Verdana" w:cs="Arial"/>
                <w:bCs/>
                <w:lang w:val="es-MX"/>
              </w:rPr>
            </w:pPr>
            <w:r w:rsidRPr="005221DB">
              <w:rPr>
                <w:rFonts w:ascii="Verdana" w:eastAsia="Calibri" w:hAnsi="Verdana" w:cs="Arial"/>
                <w:bCs/>
                <w:lang w:val="es-MX"/>
              </w:rPr>
              <w:t xml:space="preserve">Esta regla de inalterabilidad </w:t>
            </w:r>
            <w:r w:rsidRPr="005221DB">
              <w:rPr>
                <w:rFonts w:ascii="Verdana" w:eastAsia="Calibri" w:hAnsi="Verdana" w:cs="Arial"/>
                <w:bCs/>
                <w:i/>
                <w:iCs/>
                <w:lang w:val="es-MX"/>
              </w:rPr>
              <w:t>también aplica a los formatos, formularios, anexos y matrices</w:t>
            </w:r>
            <w:r w:rsidRPr="005221DB">
              <w:rPr>
                <w:rFonts w:ascii="Verdana" w:eastAsia="Calibri" w:hAnsi="Verdana" w:cs="Arial"/>
                <w:bCs/>
                <w:lang w:val="es-MX"/>
              </w:rPr>
              <w:t xml:space="preserve"> implementados junto con el “Documento Base”, los cuales deben usarse en el procedimiento de contratación. Estos, al igual que el “Documento Base”, contienen apartes entre corchetes y resaltados en gris, los </w:t>
            </w:r>
            <w:r w:rsidRPr="005221DB">
              <w:rPr>
                <w:rFonts w:ascii="Verdana" w:eastAsia="Calibri" w:hAnsi="Verdana" w:cs="Arial"/>
                <w:bCs/>
                <w:lang w:val="es-MX"/>
              </w:rPr>
              <w:lastRenderedPageBreak/>
              <w:t xml:space="preserve">cuales deben ser diligenciados por la entidad, al igual que otros aspectos relativos a información que debe ser completada por los oferentes al hacer uso del formato. </w:t>
            </w:r>
          </w:p>
          <w:p w14:paraId="0020A4B4" w14:textId="77777777" w:rsidR="002C44D9" w:rsidRPr="005221DB" w:rsidRDefault="002C44D9" w:rsidP="002C44D9">
            <w:pPr>
              <w:spacing w:before="120" w:after="120" w:line="276" w:lineRule="auto"/>
              <w:ind w:firstLine="709"/>
              <w:jc w:val="both"/>
              <w:rPr>
                <w:rFonts w:ascii="Verdana" w:eastAsia="Calibri" w:hAnsi="Verdana" w:cs="Arial"/>
                <w:lang w:val="es-MX"/>
              </w:rPr>
            </w:pPr>
            <w:r w:rsidRPr="005221DB">
              <w:rPr>
                <w:rFonts w:ascii="Verdana" w:eastAsia="Calibri" w:hAnsi="Verdana" w:cs="Arial"/>
                <w:lang w:val="es-MX"/>
              </w:rPr>
              <w:t xml:space="preserve">Con todo, la regla de inalterabilidad de los documentos tipo debe armonizarse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el proceso contractual le rinda culto a las “formas”, pues, en últimas, el deber que le asiste es el de tener en cuenta y aplicar los aspectos sustanciales de los documentos tipo, sin distingo de la formalidad de la que se sirva para ello los actores de la contratación pública. </w:t>
            </w:r>
          </w:p>
          <w:p w14:paraId="7F5B407D" w14:textId="77777777" w:rsidR="002C44D9" w:rsidRPr="005221DB" w:rsidRDefault="002C44D9" w:rsidP="002C44D9">
            <w:pPr>
              <w:spacing w:before="120" w:after="120" w:line="276" w:lineRule="auto"/>
              <w:ind w:firstLine="709"/>
              <w:jc w:val="both"/>
              <w:rPr>
                <w:rFonts w:ascii="Verdana" w:eastAsia="Calibri" w:hAnsi="Verdana" w:cs="Arial"/>
                <w:lang w:val="es-MX"/>
              </w:rPr>
            </w:pPr>
            <w:r w:rsidRPr="005221DB">
              <w:rPr>
                <w:rFonts w:ascii="Verdana" w:eastAsia="Calibri" w:hAnsi="Verdana" w:cs="Arial"/>
                <w:lang w:val="es-MX"/>
              </w:rPr>
              <w:t>El carácter inalterable de los documentos tipo no puede, por tanto, hacerse extensivo a los aspectos meramente formales de tales documentos, esto es, el tamaño y tipo de letra, las márgenes o las expresiones que pretenden hacer más comprensible el documento, como es el caso de aquellas que informan que una expresión larga será referida con otra similar pero más corta. Lo anterior considerando que estos aspectos en nada afectan la aplicación y alcance de los documentos tipos, es decir, no afectan su contenido esencial y, mucho menos, las obligaciones, deberes y derechos que se derivan para las partes contratantes.</w:t>
            </w:r>
          </w:p>
          <w:p w14:paraId="1B9D3DCD" w14:textId="2AE2F39D" w:rsidR="00D42FCF" w:rsidRPr="00CC3E5C" w:rsidRDefault="002C44D9" w:rsidP="00CC3E5C">
            <w:pPr>
              <w:spacing w:before="120" w:after="120" w:line="276" w:lineRule="auto"/>
              <w:ind w:firstLine="709"/>
              <w:jc w:val="both"/>
              <w:rPr>
                <w:rFonts w:ascii="Verdana" w:eastAsia="Calibri" w:hAnsi="Verdana" w:cs="Arial"/>
                <w:color w:val="000000"/>
                <w:lang w:val="es-ES_tradnl"/>
              </w:rPr>
            </w:pPr>
            <w:r w:rsidRPr="005221DB">
              <w:rPr>
                <w:rFonts w:ascii="Verdana" w:eastAsia="Calibri" w:hAnsi="Verdana" w:cs="Arial"/>
              </w:rPr>
              <w:t xml:space="preserve">Bajo este entendimiento principialístico, la inclusión o supresión de </w:t>
            </w:r>
            <w:r w:rsidRPr="005221DB">
              <w:rPr>
                <w:rFonts w:ascii="Verdana" w:eastAsia="Calibri" w:hAnsi="Verdana" w:cs="Arial"/>
                <w:lang w:val="es-MX"/>
              </w:rPr>
              <w:t>expresiones</w:t>
            </w:r>
            <w:r w:rsidRPr="005221DB">
              <w:rPr>
                <w:rFonts w:ascii="Verdana" w:eastAsia="Calibri" w:hAnsi="Verdana" w:cs="Arial"/>
              </w:rPr>
              <w:t xml:space="preserve"> en los formatos y anexos de los documentos tipo no generan </w:t>
            </w:r>
            <w:r w:rsidRPr="005221DB">
              <w:rPr>
                <w:rFonts w:ascii="Verdana" w:eastAsia="Calibri" w:hAnsi="Verdana" w:cs="Arial"/>
                <w:i/>
              </w:rPr>
              <w:t>per se</w:t>
            </w:r>
            <w:r w:rsidRPr="005221DB">
              <w:rPr>
                <w:rFonts w:ascii="Verdana" w:eastAsia="Calibri" w:hAnsi="Verdana" w:cs="Arial"/>
              </w:rPr>
              <w:t xml:space="preserve"> un rechazo de la oferta, toda vez que lo importante es que lo expresado en el documento sea necesario dentro del proceso de contratación. Por ello, en aras de garantizar la primacía de lo sustancial sobre la forma no podrá rechazarse la oferta por cuestiones formales, ya sea en esta o en los anexos. Así pues, teniendo en cuenta las preguntas motivo de consulta, aquellas modificaciones formales en los diferentes formatos y anexos de los documentos no son un argumento suficiente para un rechazo de la oferta, pues lo que debe garantizarse es el principio de selección objetiva y la libre concurrencia de los proponentes.</w:t>
            </w:r>
            <w:r w:rsidR="00D42FCF" w:rsidRPr="005221DB">
              <w:rPr>
                <w:rFonts w:ascii="Verdana" w:eastAsia="Calibri" w:hAnsi="Verdana" w:cs="Arial"/>
                <w:color w:val="000000"/>
                <w:lang w:val="es-ES_tradnl"/>
              </w:rPr>
              <w:t xml:space="preserve"> </w:t>
            </w:r>
          </w:p>
          <w:p w14:paraId="782DE8B6" w14:textId="1E3FFCE1" w:rsidR="00C020E1" w:rsidRPr="00C020E1" w:rsidRDefault="00595DE4" w:rsidP="00C020E1">
            <w:pPr>
              <w:widowControl w:val="0"/>
              <w:autoSpaceDE w:val="0"/>
              <w:autoSpaceDN w:val="0"/>
              <w:spacing w:after="120" w:line="276" w:lineRule="auto"/>
              <w:jc w:val="both"/>
              <w:rPr>
                <w:rFonts w:ascii="Verdana" w:eastAsia="Times New Roman" w:hAnsi="Verdana" w:cs="Times New Roman"/>
                <w:lang w:eastAsia="es-CO"/>
              </w:rPr>
            </w:pPr>
            <w:r>
              <w:rPr>
                <w:rFonts w:ascii="Verdana" w:eastAsia="Times New Roman" w:hAnsi="Verdana" w:cs="Times New Roman"/>
                <w:lang w:eastAsia="es-CO"/>
              </w:rPr>
              <w:t xml:space="preserve">          </w:t>
            </w:r>
            <w:r w:rsidR="00C020E1" w:rsidRPr="00C020E1">
              <w:rPr>
                <w:rFonts w:ascii="Verdana" w:eastAsia="Times New Roman" w:hAnsi="Verdana" w:cs="Times New Roman"/>
                <w:lang w:eastAsia="es-CO"/>
              </w:rPr>
              <w:t xml:space="preserve">En ese orden de ideas, en ningún caso los espacios que se encuentran entre corchetes para ser diligenciados por las entidades podrán utilizarse para incorporar reglas adicionales o contrarias a las previstas en los documentos </w:t>
            </w:r>
            <w:r w:rsidR="00C020E1" w:rsidRPr="00C020E1">
              <w:rPr>
                <w:rFonts w:ascii="Verdana" w:eastAsia="Times New Roman" w:hAnsi="Verdana" w:cs="Times New Roman"/>
                <w:lang w:eastAsia="es-CO"/>
              </w:rPr>
              <w:lastRenderedPageBreak/>
              <w:t>tipo, ni para crear nuevas causales de rechazo distintas de las expresamente establecidas en dichos documentos. Lo anterior, por cuanto ello desbordaría la competencia reglada de las entidades estatales y podría afectar principios fundamentales de la contratación pública, tales como la selección objetiva, la transparencia, la igualdad entre proponentes y la libre concurrencia.</w:t>
            </w:r>
          </w:p>
          <w:p w14:paraId="3824C361" w14:textId="24AF3CE5" w:rsidR="00D433A1" w:rsidRPr="008B7A51" w:rsidRDefault="00595DE4" w:rsidP="008B7A51">
            <w:pPr>
              <w:widowControl w:val="0"/>
              <w:autoSpaceDE w:val="0"/>
              <w:autoSpaceDN w:val="0"/>
              <w:spacing w:after="120" w:line="276" w:lineRule="auto"/>
              <w:jc w:val="both"/>
              <w:rPr>
                <w:rFonts w:ascii="Verdana" w:eastAsia="Times New Roman" w:hAnsi="Verdana" w:cs="Times New Roman"/>
                <w:lang w:eastAsia="es-CO"/>
              </w:rPr>
            </w:pPr>
            <w:r>
              <w:rPr>
                <w:rFonts w:ascii="Verdana" w:eastAsia="Times New Roman" w:hAnsi="Verdana" w:cs="Times New Roman"/>
                <w:lang w:eastAsia="es-CO"/>
              </w:rPr>
              <w:t xml:space="preserve">          </w:t>
            </w:r>
            <w:r w:rsidR="00C020E1" w:rsidRPr="00C020E1">
              <w:rPr>
                <w:rFonts w:ascii="Verdana" w:eastAsia="Times New Roman" w:hAnsi="Verdana" w:cs="Times New Roman"/>
                <w:lang w:eastAsia="es-CO"/>
              </w:rPr>
              <w:t>En conclusión, las entidades estatales obligadas a aplicar documentos tipo no pueden alterarlos, modificarlos ni introducir requisitos, condiciones o causales de rechazo diferentes a las definidas por esta Agencia. En consecuencia, cualquier interpretación o actuación de la entidad contratante debe orientarse a garantizar la uniformidad en la aplicación de los documentos tipo y la prevalencia del contenido sustancial sobre las exigencias meramente formales, evitando restricciones injustificadas a la participación de los oferentes y salvaguardando los principios que rigen la contratación estatal.</w:t>
            </w:r>
          </w:p>
          <w:p w14:paraId="34C40F87" w14:textId="77777777" w:rsidR="00D42FCF" w:rsidRPr="00E44F0A" w:rsidRDefault="00D42FCF" w:rsidP="0072767F">
            <w:pPr>
              <w:jc w:val="both"/>
              <w:rPr>
                <w:rFonts w:ascii="Verdana" w:hAnsi="Verdana" w:cstheme="minorHAnsi"/>
                <w:b/>
                <w:bCs/>
                <w:i/>
                <w:iCs/>
              </w:rPr>
            </w:pPr>
            <w:r w:rsidRPr="00E44F0A">
              <w:rPr>
                <w:rFonts w:ascii="Verdana" w:eastAsia="Calibri" w:hAnsi="Verdana" w:cs="Arial"/>
                <w:color w:val="000000" w:themeColor="text1"/>
              </w:rPr>
              <w:t xml:space="preserve">ii. Por otra parte, con respecto al segundo problema jurídico, es importante señalar que </w:t>
            </w:r>
            <w:r w:rsidRPr="00E44F0A">
              <w:rPr>
                <w:rFonts w:ascii="Verdana" w:hAnsi="Verdana" w:cstheme="minorHAnsi"/>
              </w:rPr>
              <w:t>respecto de la experiencia aportada relacionada con la</w:t>
            </w:r>
            <w:r w:rsidRPr="00E44F0A">
              <w:rPr>
                <w:rFonts w:ascii="Verdana" w:hAnsi="Verdana" w:cstheme="minorHAnsi"/>
                <w:i/>
                <w:iCs/>
              </w:rPr>
              <w:t xml:space="preserve"> “CONSTRUCCIÓN DEL CERRAMIENTO PARA LA CENTRAL HIDROELECTRICA (…)“,</w:t>
            </w:r>
            <w:r w:rsidRPr="00E44F0A">
              <w:rPr>
                <w:rFonts w:ascii="Verdana" w:hAnsi="Verdana" w:cstheme="minorHAnsi"/>
              </w:rPr>
              <w:t xml:space="preserve"> en primer lugar resulta pertinente establecer y determinar el contexto del alcance de la nota contenida en el documento base que el peticionario relaciona como “</w:t>
            </w:r>
            <w:r w:rsidRPr="00E44F0A">
              <w:rPr>
                <w:rFonts w:ascii="Verdana" w:hAnsi="Verdana" w:cstheme="minorHAnsi"/>
                <w:b/>
                <w:bCs/>
                <w:i/>
                <w:iCs/>
              </w:rPr>
              <w:t>no será válida la experiencia acreditada para edificaciones que se encuentre relacionada con la ejecución de obras cuyo objeto o alcance sea obras hidráulicas (represas, alcantarillados, acueductos, diques, canales, plantas de tratamiento).</w:t>
            </w:r>
          </w:p>
          <w:p w14:paraId="60946EDB" w14:textId="77777777" w:rsidR="00D42FCF" w:rsidRPr="00E44F0A" w:rsidRDefault="00D42FCF" w:rsidP="0072767F">
            <w:pPr>
              <w:jc w:val="both"/>
              <w:rPr>
                <w:rFonts w:ascii="Verdana" w:hAnsi="Verdana" w:cstheme="minorHAnsi"/>
                <w:b/>
                <w:bCs/>
                <w:i/>
                <w:iCs/>
              </w:rPr>
            </w:pPr>
          </w:p>
          <w:p w14:paraId="396DA5F8" w14:textId="77777777" w:rsidR="00D42FCF" w:rsidRPr="00E44F0A" w:rsidRDefault="00D42FCF" w:rsidP="0072767F">
            <w:pPr>
              <w:ind w:firstLine="709"/>
              <w:jc w:val="both"/>
              <w:rPr>
                <w:rFonts w:ascii="Verdana" w:hAnsi="Verdana"/>
                <w:color w:val="000000" w:themeColor="text1"/>
                <w:lang w:val="es-MX"/>
              </w:rPr>
            </w:pPr>
            <w:r w:rsidRPr="00E44F0A">
              <w:rPr>
                <w:rFonts w:ascii="Verdana" w:hAnsi="Verdana" w:cstheme="minorHAnsi"/>
              </w:rPr>
              <w:t>El numeral 3.5.1 CARACTERÍSTICAS DE LOS CONTRATOS PRESENTADOS PARA ACREDITAR LA EXPERIENCIA EXIGIDA, del documento base, en el literal N, señala los eventos en los cuales no será válida la experiencia para proyectos de “edificaciones” que se relacione con el objeto o alcance relacionado con actividades de:</w:t>
            </w:r>
            <w:r w:rsidRPr="00E44F0A">
              <w:rPr>
                <w:rFonts w:ascii="Verdana" w:hAnsi="Verdana"/>
                <w:color w:val="000000" w:themeColor="text1"/>
                <w:lang w:val="es-MX"/>
              </w:rPr>
              <w:t xml:space="preserve"> </w:t>
            </w:r>
          </w:p>
          <w:p w14:paraId="3E84EFD7" w14:textId="77777777" w:rsidR="00D42FCF" w:rsidRPr="00E44F0A" w:rsidRDefault="00D42FCF" w:rsidP="0072767F">
            <w:pPr>
              <w:jc w:val="both"/>
              <w:rPr>
                <w:rFonts w:ascii="Verdana" w:hAnsi="Verdana"/>
                <w:color w:val="000000" w:themeColor="text1"/>
                <w:lang w:val="es-MX"/>
              </w:rPr>
            </w:pPr>
          </w:p>
          <w:p w14:paraId="0CF1CF4B" w14:textId="77777777" w:rsidR="00D42FCF" w:rsidRPr="00E44F0A" w:rsidRDefault="00D42FCF" w:rsidP="0072767F">
            <w:pPr>
              <w:pStyle w:val="Prrafodelista"/>
              <w:numPr>
                <w:ilvl w:val="0"/>
                <w:numId w:val="19"/>
              </w:numPr>
              <w:ind w:left="1066" w:right="709" w:hanging="357"/>
              <w:jc w:val="both"/>
              <w:rPr>
                <w:rFonts w:ascii="Verdana" w:hAnsi="Verdana" w:cstheme="minorHAnsi"/>
                <w:i/>
                <w:iCs/>
                <w:sz w:val="20"/>
                <w:szCs w:val="20"/>
                <w:lang w:val="es-MX"/>
              </w:rPr>
            </w:pPr>
            <w:r w:rsidRPr="00E44F0A">
              <w:rPr>
                <w:rFonts w:ascii="Verdana" w:hAnsi="Verdana" w:cstheme="minorHAnsi"/>
                <w:i/>
                <w:iCs/>
                <w:sz w:val="20"/>
                <w:szCs w:val="20"/>
                <w:lang w:val="es-MX"/>
              </w:rPr>
              <w:t>Certificaciones de estudios técnicos y diseños</w:t>
            </w:r>
          </w:p>
          <w:p w14:paraId="33AA2EF6" w14:textId="77777777" w:rsidR="00D42FCF" w:rsidRPr="00E44F0A" w:rsidRDefault="00D42FCF" w:rsidP="0072767F">
            <w:pPr>
              <w:numPr>
                <w:ilvl w:val="0"/>
                <w:numId w:val="19"/>
              </w:numPr>
              <w:ind w:left="1066" w:right="709" w:hanging="357"/>
              <w:jc w:val="both"/>
              <w:rPr>
                <w:rFonts w:ascii="Verdana" w:hAnsi="Verdana" w:cstheme="minorHAnsi"/>
                <w:i/>
                <w:iCs/>
                <w:sz w:val="20"/>
                <w:szCs w:val="20"/>
                <w:lang w:val="es-MX"/>
              </w:rPr>
            </w:pPr>
            <w:r w:rsidRPr="00E44F0A">
              <w:rPr>
                <w:rFonts w:ascii="Verdana" w:hAnsi="Verdana" w:cstheme="minorHAnsi"/>
                <w:i/>
                <w:iCs/>
                <w:sz w:val="20"/>
                <w:szCs w:val="20"/>
                <w:lang w:val="es-MX"/>
              </w:rPr>
              <w:t>Construcción de estaciones de servicios o campamentos</w:t>
            </w:r>
          </w:p>
          <w:p w14:paraId="22D86E7B" w14:textId="77777777" w:rsidR="00D42FCF" w:rsidRPr="00E44F0A" w:rsidRDefault="00D42FCF" w:rsidP="0072767F">
            <w:pPr>
              <w:numPr>
                <w:ilvl w:val="0"/>
                <w:numId w:val="19"/>
              </w:numPr>
              <w:ind w:left="1066" w:right="709" w:hanging="357"/>
              <w:jc w:val="both"/>
              <w:rPr>
                <w:rFonts w:ascii="Verdana" w:hAnsi="Verdana" w:cstheme="minorHAnsi"/>
                <w:i/>
                <w:iCs/>
                <w:sz w:val="20"/>
                <w:szCs w:val="20"/>
                <w:lang w:val="es-MX"/>
              </w:rPr>
            </w:pPr>
            <w:r w:rsidRPr="00E44F0A">
              <w:rPr>
                <w:rFonts w:ascii="Verdana" w:hAnsi="Verdana" w:cstheme="minorHAnsi"/>
                <w:i/>
                <w:iCs/>
                <w:sz w:val="20"/>
                <w:szCs w:val="20"/>
                <w:lang w:val="es-MX"/>
              </w:rPr>
              <w:t xml:space="preserve">Parqueaderos de un (1) piso (como uso exclusivo), salvo que el Proceso de Contratación expresamente lo determine como válido. Infraestructura de transporte, salvo que el Proceso de Contratación implique el mantenimiento de vías de circulación internas. </w:t>
            </w:r>
          </w:p>
          <w:p w14:paraId="641339BA" w14:textId="77777777" w:rsidR="00D42FCF" w:rsidRPr="00E44F0A" w:rsidRDefault="00D42FCF" w:rsidP="0072767F">
            <w:pPr>
              <w:numPr>
                <w:ilvl w:val="0"/>
                <w:numId w:val="19"/>
              </w:numPr>
              <w:ind w:left="1066" w:right="709" w:hanging="357"/>
              <w:jc w:val="both"/>
              <w:rPr>
                <w:rFonts w:ascii="Verdana" w:hAnsi="Verdana" w:cstheme="minorHAnsi"/>
                <w:sz w:val="20"/>
                <w:szCs w:val="20"/>
                <w:lang w:val="es-MX"/>
              </w:rPr>
            </w:pPr>
            <w:r w:rsidRPr="00E44F0A">
              <w:rPr>
                <w:rFonts w:ascii="Verdana" w:hAnsi="Verdana" w:cstheme="minorHAnsi"/>
                <w:i/>
                <w:iCs/>
                <w:sz w:val="20"/>
                <w:szCs w:val="20"/>
                <w:lang w:val="es-MX"/>
              </w:rPr>
              <w:t>Obras hidráulicas (represas, alcantarillados, acueductos, diques, canales, plantas de tratamiento).</w:t>
            </w:r>
          </w:p>
          <w:p w14:paraId="509A74A1" w14:textId="77777777" w:rsidR="00D42FCF" w:rsidRPr="00E44F0A" w:rsidRDefault="00D42FCF" w:rsidP="0072767F">
            <w:pPr>
              <w:ind w:left="1428"/>
              <w:jc w:val="both"/>
              <w:rPr>
                <w:rFonts w:ascii="Verdana" w:hAnsi="Verdana" w:cstheme="minorHAnsi"/>
                <w:sz w:val="20"/>
                <w:szCs w:val="20"/>
                <w:lang w:val="es-MX"/>
              </w:rPr>
            </w:pPr>
          </w:p>
          <w:p w14:paraId="50791915" w14:textId="23AF98A7" w:rsidR="00D42FCF" w:rsidRPr="00E44F0A" w:rsidRDefault="00984828" w:rsidP="0072767F">
            <w:pPr>
              <w:ind w:firstLine="709"/>
              <w:jc w:val="both"/>
              <w:rPr>
                <w:rFonts w:ascii="Verdana" w:hAnsi="Verdana" w:cstheme="minorHAnsi"/>
              </w:rPr>
            </w:pPr>
            <w:r>
              <w:rPr>
                <w:rFonts w:ascii="Verdana" w:hAnsi="Verdana" w:cstheme="minorHAnsi"/>
              </w:rPr>
              <w:t>E</w:t>
            </w:r>
            <w:r w:rsidR="00D42FCF" w:rsidRPr="00E44F0A">
              <w:rPr>
                <w:rFonts w:ascii="Verdana" w:hAnsi="Verdana" w:cstheme="minorHAnsi"/>
              </w:rPr>
              <w:t>n adición a lo anterior, dicho literal señala dos notas (nota 11 y 12) y en particular la nota 11 precisa dicho alcance:</w:t>
            </w:r>
          </w:p>
          <w:p w14:paraId="50C4173D" w14:textId="77777777" w:rsidR="00D42FCF" w:rsidRPr="00E44F0A" w:rsidRDefault="00D42FCF" w:rsidP="0072767F">
            <w:pPr>
              <w:jc w:val="both"/>
              <w:rPr>
                <w:rFonts w:ascii="Verdana" w:hAnsi="Verdana" w:cstheme="minorHAnsi"/>
              </w:rPr>
            </w:pPr>
          </w:p>
          <w:p w14:paraId="0DBC6C7C" w14:textId="77777777" w:rsidR="00D42FCF" w:rsidRPr="00E44F0A" w:rsidRDefault="00D42FCF" w:rsidP="0072767F">
            <w:pPr>
              <w:spacing w:line="240" w:lineRule="atLeast"/>
              <w:ind w:left="709" w:right="709"/>
              <w:jc w:val="both"/>
              <w:rPr>
                <w:rFonts w:ascii="Verdana" w:hAnsi="Verdana" w:cstheme="minorHAnsi"/>
                <w:i/>
                <w:iCs/>
                <w:sz w:val="20"/>
                <w:szCs w:val="20"/>
              </w:rPr>
            </w:pPr>
            <w:r w:rsidRPr="00E44F0A">
              <w:rPr>
                <w:rFonts w:ascii="Verdana" w:hAnsi="Verdana" w:cstheme="minorHAnsi"/>
                <w:i/>
                <w:iCs/>
                <w:sz w:val="20"/>
                <w:szCs w:val="20"/>
              </w:rPr>
              <w:t>“Las consideraciones previamente relacionadas aplican para las actividades a contratar que correspondan a la intervención de edificaciones verticales únicamente. “</w:t>
            </w:r>
          </w:p>
          <w:p w14:paraId="109A850D" w14:textId="77777777" w:rsidR="00D42FCF" w:rsidRPr="00E44F0A" w:rsidRDefault="00D42FCF" w:rsidP="0072767F">
            <w:pPr>
              <w:spacing w:line="240" w:lineRule="atLeast"/>
              <w:ind w:left="709" w:right="709"/>
              <w:jc w:val="both"/>
              <w:rPr>
                <w:rFonts w:ascii="Verdana" w:hAnsi="Verdana" w:cstheme="minorHAnsi"/>
                <w:i/>
                <w:iCs/>
                <w:sz w:val="20"/>
                <w:szCs w:val="20"/>
              </w:rPr>
            </w:pPr>
          </w:p>
          <w:p w14:paraId="12EEF973" w14:textId="77777777" w:rsidR="00D42FCF" w:rsidRPr="00E44F0A" w:rsidRDefault="00D42FCF" w:rsidP="0072767F">
            <w:pPr>
              <w:ind w:firstLine="709"/>
              <w:jc w:val="both"/>
              <w:rPr>
                <w:rFonts w:ascii="Verdana" w:hAnsi="Verdana" w:cstheme="minorHAnsi"/>
                <w:lang w:val="es-MX"/>
              </w:rPr>
            </w:pPr>
            <w:r w:rsidRPr="00E44F0A">
              <w:rPr>
                <w:rFonts w:ascii="Verdana" w:hAnsi="Verdana" w:cstheme="minorHAnsi"/>
              </w:rPr>
              <w:t>En concordancia con la nota señalada, y en virtud de la petición planteada, la aplicación de la restricción de acreditación de la experiencia que señala: “</w:t>
            </w:r>
            <w:r w:rsidRPr="00E44F0A">
              <w:rPr>
                <w:rFonts w:ascii="Verdana" w:hAnsi="Verdana" w:cstheme="minorHAnsi"/>
                <w:i/>
                <w:iCs/>
                <w:lang w:val="es-MX"/>
              </w:rPr>
              <w:t>Obras hidráulicas (represas, alcantarillados, acueductos, diques, canales, plantas de tratamiento)”</w:t>
            </w:r>
            <w:r w:rsidRPr="00E44F0A">
              <w:rPr>
                <w:rFonts w:ascii="Verdana" w:hAnsi="Verdana" w:cstheme="minorHAnsi"/>
                <w:lang w:val="es-MX"/>
              </w:rPr>
              <w:t xml:space="preserve"> aplica solo para los eventos en que dicha experiencia se acredite para las actividades relacionadas con intervenciones de “edificaciones verticales”.</w:t>
            </w:r>
          </w:p>
          <w:p w14:paraId="74E46D51" w14:textId="77777777" w:rsidR="00D42FCF" w:rsidRPr="00E44F0A" w:rsidRDefault="00D42FCF" w:rsidP="0072767F">
            <w:pPr>
              <w:jc w:val="both"/>
              <w:rPr>
                <w:rFonts w:ascii="Verdana" w:hAnsi="Verdana" w:cstheme="minorHAnsi"/>
                <w:lang w:val="es-MX"/>
              </w:rPr>
            </w:pPr>
          </w:p>
          <w:p w14:paraId="7A42B3A2" w14:textId="77777777" w:rsidR="00D42FCF" w:rsidRPr="00E44F0A" w:rsidRDefault="00D42FCF" w:rsidP="0072767F">
            <w:pPr>
              <w:ind w:firstLine="709"/>
              <w:jc w:val="both"/>
              <w:rPr>
                <w:rFonts w:ascii="Verdana" w:hAnsi="Verdana" w:cstheme="minorHAnsi"/>
                <w:lang w:val="es-MX"/>
              </w:rPr>
            </w:pPr>
            <w:r w:rsidRPr="00E44F0A">
              <w:rPr>
                <w:rFonts w:ascii="Verdana" w:hAnsi="Verdana" w:cstheme="minorHAnsi"/>
                <w:lang w:val="es-MX"/>
              </w:rPr>
              <w:t>Ahora bien, para el caso particular de la petición, la experiencia que se solicita es sobre la “</w:t>
            </w:r>
            <w:r w:rsidRPr="00E44F0A">
              <w:rPr>
                <w:rFonts w:ascii="Verdana" w:hAnsi="Verdana" w:cstheme="minorHAnsi"/>
                <w:i/>
                <w:iCs/>
                <w:lang w:val="es-MX"/>
              </w:rPr>
              <w:t>construcción de cerramientos</w:t>
            </w:r>
            <w:r w:rsidRPr="00E44F0A">
              <w:rPr>
                <w:rFonts w:ascii="Verdana" w:hAnsi="Verdana" w:cstheme="minorHAnsi"/>
                <w:lang w:val="es-MX"/>
              </w:rPr>
              <w:t>”, que no necesariamente se deba dar de manera exclusiva sobre edificaciones educativas, por esta razón, la matriz de experiencia solicita para la experiencia especifica, que pueda darse en intervenciones relacionadas con “</w:t>
            </w:r>
            <w:r w:rsidRPr="00E44F0A">
              <w:rPr>
                <w:rFonts w:ascii="Verdana" w:hAnsi="Verdana" w:cstheme="minorHAnsi"/>
                <w:i/>
                <w:iCs/>
              </w:rPr>
              <w:t>edificaciones y/o lotes y/o inmuebles”.</w:t>
            </w:r>
          </w:p>
          <w:p w14:paraId="25D039EB" w14:textId="77777777" w:rsidR="009B1CD1" w:rsidRDefault="009B1CD1" w:rsidP="0072767F">
            <w:pPr>
              <w:jc w:val="both"/>
              <w:rPr>
                <w:rFonts w:ascii="Verdana" w:hAnsi="Verdana" w:cstheme="minorHAnsi"/>
              </w:rPr>
            </w:pPr>
          </w:p>
          <w:p w14:paraId="6BF24DC0" w14:textId="306ECD8C" w:rsidR="00D42FCF" w:rsidRPr="00E44F0A" w:rsidRDefault="00D42FCF" w:rsidP="0072767F">
            <w:pPr>
              <w:jc w:val="both"/>
              <w:rPr>
                <w:rFonts w:ascii="Verdana" w:hAnsi="Verdana" w:cstheme="minorHAnsi"/>
              </w:rPr>
            </w:pPr>
            <w:r w:rsidRPr="00E44F0A">
              <w:rPr>
                <w:rFonts w:ascii="Verdana" w:hAnsi="Verdana" w:cstheme="minorHAnsi"/>
              </w:rPr>
              <w:t>De manera adicional, resulta conveniente precisar lo señalado en el numeral 2.35 del Anexo 5 – Glosario que define un cerramiento como:</w:t>
            </w:r>
          </w:p>
          <w:p w14:paraId="499DC15A" w14:textId="77777777" w:rsidR="00D42FCF" w:rsidRPr="00E44F0A" w:rsidRDefault="00D42FCF" w:rsidP="0072767F">
            <w:pPr>
              <w:jc w:val="both"/>
              <w:rPr>
                <w:rFonts w:ascii="Verdana" w:hAnsi="Verdana" w:cstheme="minorHAnsi"/>
              </w:rPr>
            </w:pPr>
          </w:p>
          <w:p w14:paraId="440F6440" w14:textId="77777777" w:rsidR="00D42FCF" w:rsidRPr="00E44F0A" w:rsidRDefault="00D42FCF" w:rsidP="0072767F">
            <w:pPr>
              <w:pStyle w:val="Prrafodelista"/>
              <w:spacing w:after="240"/>
              <w:ind w:left="709" w:right="709"/>
              <w:jc w:val="both"/>
              <w:rPr>
                <w:rFonts w:ascii="Verdana" w:hAnsi="Verdana" w:cstheme="minorHAnsi"/>
                <w:i/>
                <w:iCs/>
                <w:sz w:val="20"/>
                <w:szCs w:val="20"/>
              </w:rPr>
            </w:pPr>
            <w:r w:rsidRPr="00E44F0A">
              <w:rPr>
                <w:rFonts w:ascii="Verdana" w:hAnsi="Verdana" w:cstheme="minorHAnsi"/>
                <w:i/>
                <w:iCs/>
                <w:sz w:val="20"/>
                <w:szCs w:val="20"/>
              </w:rPr>
              <w:t>“Muro localizado en el paramento del lote de terreno y que se encuentra separado de la edificación en la dirección perpendicular al paramento del lote de terreno, que no hace parte del sistema estructural de soporte de la edificación. “</w:t>
            </w:r>
          </w:p>
          <w:p w14:paraId="1D85BAD4" w14:textId="77777777" w:rsidR="00D42FCF" w:rsidRPr="00E44F0A" w:rsidRDefault="00D42FCF" w:rsidP="0072767F">
            <w:pPr>
              <w:spacing w:after="160" w:line="259" w:lineRule="auto"/>
              <w:ind w:firstLine="709"/>
              <w:jc w:val="both"/>
              <w:rPr>
                <w:rFonts w:ascii="Verdana" w:hAnsi="Verdana" w:cstheme="minorHAnsi"/>
              </w:rPr>
            </w:pPr>
            <w:r w:rsidRPr="00E44F0A">
              <w:rPr>
                <w:rFonts w:ascii="Verdana" w:hAnsi="Verdana" w:cstheme="minorHAnsi"/>
              </w:rPr>
              <w:t>En tal contexto, el cerramiento es un elemento que no hace parte de la edificación, por tal razón, la aplicación del literal N mencionado previamente no procederá para la aplicación de experiencia en este tipo de intervenciones, es decir en la “construcción de un cerramiento”.</w:t>
            </w:r>
          </w:p>
          <w:p w14:paraId="2E5D06BF" w14:textId="77777777" w:rsidR="00D42FCF" w:rsidRPr="00E44F0A" w:rsidRDefault="00D42FCF" w:rsidP="0072767F">
            <w:pPr>
              <w:widowControl w:val="0"/>
              <w:autoSpaceDE w:val="0"/>
              <w:autoSpaceDN w:val="0"/>
              <w:spacing w:after="120" w:line="276" w:lineRule="auto"/>
              <w:jc w:val="both"/>
              <w:rPr>
                <w:rFonts w:ascii="Verdana" w:eastAsia="Calibri" w:hAnsi="Verdana" w:cs="Arial"/>
                <w:color w:val="000000" w:themeColor="text1"/>
              </w:rPr>
            </w:pPr>
            <w:r w:rsidRPr="00E44F0A">
              <w:rPr>
                <w:rFonts w:ascii="Verdana" w:eastAsia="Calibri" w:hAnsi="Verdana" w:cs="Arial"/>
                <w:color w:val="000000" w:themeColor="text1"/>
              </w:rPr>
              <w:t xml:space="preserve">iii) Finalmente, con respecto al tercer problema jurídico, la Ley 1150 de 2007, en sus artículos 5 y 6, establece que la capacidad jurídica, las condiciones de experiencia, así como la capacidad financiera y de organización de los proponentes, constituyen requisitos habilitantes que deben ser verificados por las entidades estatales para la participación en los procesos de selección. </w:t>
            </w:r>
          </w:p>
          <w:p w14:paraId="41D89BE9" w14:textId="77777777" w:rsidR="00D42FCF" w:rsidRPr="00E44F0A" w:rsidRDefault="00D42FCF" w:rsidP="0072767F">
            <w:pPr>
              <w:widowControl w:val="0"/>
              <w:autoSpaceDE w:val="0"/>
              <w:autoSpaceDN w:val="0"/>
              <w:spacing w:after="120" w:line="276" w:lineRule="auto"/>
              <w:ind w:firstLine="709"/>
              <w:jc w:val="both"/>
              <w:rPr>
                <w:rFonts w:ascii="Verdana" w:eastAsia="Calibri" w:hAnsi="Verdana" w:cs="Arial"/>
                <w:color w:val="7030A0"/>
              </w:rPr>
            </w:pPr>
            <w:r w:rsidRPr="00E44F0A">
              <w:rPr>
                <w:rFonts w:ascii="Verdana" w:eastAsia="Calibri" w:hAnsi="Verdana" w:cs="Arial"/>
                <w:color w:val="000000" w:themeColor="text1"/>
              </w:rPr>
              <w:t xml:space="preserve">Para estos efectos, la norma dispone que todas las personas naturales o jurídicas, nacionales o extranjeras, domiciliadas o con sucursal en Colombia, que aspiren a celebrar contratos con entidades estatales, deben estar inscritas en el Registro Único de Proponentes (RUP), el cual constituye plena prueba de dicha información y permite verificar que el proponente cuenta con experiencia </w:t>
            </w:r>
            <w:r w:rsidRPr="00E44F0A">
              <w:rPr>
                <w:rFonts w:ascii="Verdana" w:eastAsia="Calibri" w:hAnsi="Verdana" w:cs="Arial"/>
                <w:color w:val="000000" w:themeColor="text1"/>
              </w:rPr>
              <w:lastRenderedPageBreak/>
              <w:t>en la ejecución de objetos contractuales requeridos por la entidad.</w:t>
            </w:r>
          </w:p>
          <w:p w14:paraId="2DE22146" w14:textId="77777777" w:rsidR="00D42FCF" w:rsidRPr="00E44F0A" w:rsidRDefault="00D42FCF" w:rsidP="0072767F">
            <w:pPr>
              <w:shd w:val="clear" w:color="auto" w:fill="FFFFFF"/>
              <w:spacing w:after="120" w:line="276" w:lineRule="auto"/>
              <w:ind w:firstLine="709"/>
              <w:jc w:val="both"/>
              <w:textAlignment w:val="baseline"/>
              <w:rPr>
                <w:rFonts w:ascii="Verdana" w:eastAsia="Times New Roman" w:hAnsi="Verdana" w:cs="Times New Roman"/>
                <w:lang w:eastAsia="es-CO"/>
              </w:rPr>
            </w:pPr>
            <w:r w:rsidRPr="00E44F0A">
              <w:rPr>
                <w:rFonts w:ascii="Verdana" w:eastAsia="Times New Roman" w:hAnsi="Verdana" w:cs="Times New Roman"/>
                <w:color w:val="000000"/>
                <w:lang w:eastAsia="es-CO"/>
              </w:rPr>
              <w:t>En este contexto, el numeral 3.5 del documento base</w:t>
            </w:r>
            <w:r w:rsidRPr="00E44F0A">
              <w:rPr>
                <w:rFonts w:ascii="Verdana" w:eastAsia="Calibri" w:hAnsi="Verdana" w:cs="Arial"/>
                <w:lang w:val="es-ES"/>
              </w:rPr>
              <w:t xml:space="preserve"> de los documentos tipo de licitación de obra pública de infraestructura social</w:t>
            </w:r>
            <w:r w:rsidRPr="00E44F0A">
              <w:rPr>
                <w:rFonts w:ascii="Verdana" w:eastAsia="Times New Roman" w:hAnsi="Verdana" w:cs="Times New Roman"/>
                <w:color w:val="000000"/>
                <w:lang w:eastAsia="es-CO"/>
              </w:rPr>
              <w:t xml:space="preserve">, indica que “los Proponentes deben acreditar su experiencia a través de: (i) la información consignada en el RUP para aquellos que estén obligados a tenerlo, (ii) la presentación el Formato 3 – Experiencia para todos los Proponentes y (iii) alguno de los documentos válidos para la acreditación de la experiencia señalados en el numeral 3.5.5 cuando se requiera la verificación de información del Proponente </w:t>
            </w:r>
            <w:r w:rsidRPr="00E44F0A">
              <w:rPr>
                <w:rFonts w:ascii="Verdana" w:eastAsia="Times New Roman" w:hAnsi="Verdana" w:cs="Times New Roman"/>
                <w:lang w:eastAsia="es-CO"/>
              </w:rPr>
              <w:t>adicional a la contenida en el RUP.</w:t>
            </w:r>
          </w:p>
          <w:p w14:paraId="572335EC" w14:textId="77777777" w:rsidR="00D42FCF" w:rsidRPr="00E44F0A" w:rsidRDefault="00D42FCF" w:rsidP="0072767F">
            <w:pPr>
              <w:shd w:val="clear" w:color="auto" w:fill="FFFFFF"/>
              <w:spacing w:after="120" w:line="276" w:lineRule="auto"/>
              <w:ind w:firstLine="709"/>
              <w:jc w:val="both"/>
              <w:textAlignment w:val="baseline"/>
              <w:rPr>
                <w:rFonts w:ascii="Verdana" w:hAnsi="Verdana"/>
                <w:lang w:val="es-MX"/>
              </w:rPr>
            </w:pPr>
            <w:r w:rsidRPr="00E44F0A">
              <w:rPr>
                <w:rFonts w:ascii="Verdana" w:eastAsia="Calibri" w:hAnsi="Verdana" w:cs="Arial"/>
                <w:lang w:val="es-ES"/>
              </w:rPr>
              <w:t>En armonía con lo anterior, el numeral 3.5.5. “</w:t>
            </w:r>
            <w:r w:rsidRPr="00E44F0A">
              <w:rPr>
                <w:rFonts w:ascii="Verdana" w:eastAsia="Arial" w:hAnsi="Verdana" w:cs="Arial"/>
                <w:kern w:val="2"/>
                <w14:ligatures w14:val="standardContextual"/>
              </w:rPr>
              <w:t>Documentos válidos para la acreditación de la experiencia requerida</w:t>
            </w:r>
            <w:r w:rsidRPr="00E44F0A">
              <w:rPr>
                <w:rFonts w:ascii="Verdana" w:eastAsia="Calibri" w:hAnsi="Verdana" w:cs="Arial"/>
                <w:lang w:val="es-ES"/>
              </w:rPr>
              <w:t xml:space="preserve">” del Documento Base, </w:t>
            </w:r>
            <w:r w:rsidRPr="00E44F0A">
              <w:rPr>
                <w:rFonts w:ascii="Verdana" w:eastAsia="Arial" w:hAnsi="Verdana" w:cs="Arial"/>
                <w:kern w:val="2"/>
                <w14:ligatures w14:val="standardContextual"/>
              </w:rPr>
              <w:t>establece</w:t>
            </w:r>
            <w:r w:rsidRPr="00E44F0A">
              <w:rPr>
                <w:rFonts w:ascii="Verdana" w:eastAsia="Calibri" w:hAnsi="Verdana" w:cs="Arial"/>
                <w:kern w:val="2"/>
                <w:lang w:val="es-MX"/>
                <w14:ligatures w14:val="standardContextual"/>
              </w:rPr>
              <w:t xml:space="preserve"> los documentos a los que se acudirá cuando la entidad requiera verificar información adicional a la contenida en el mismo, señalando los documentos válidos para acreditar la experiencia requerida, de modo que la entidad estatal pueda realizar la verificación de manera directa. Así mismo, cuando en </w:t>
            </w:r>
            <w:r w:rsidRPr="00E44F0A">
              <w:rPr>
                <w:rFonts w:ascii="Verdana" w:hAnsi="Verdana"/>
                <w:lang w:val="es-MX"/>
              </w:rPr>
              <w:t>caso de existir discrepancias entre dos (2) o más documentos aportados por el Proponente para la acreditación de la experiencia, se tendrá en cuenta el orden de prevalencia indicado a continuación:</w:t>
            </w:r>
          </w:p>
          <w:p w14:paraId="7CD8811D" w14:textId="77777777" w:rsidR="00D42FCF" w:rsidRPr="00E44F0A" w:rsidRDefault="00D42FCF" w:rsidP="0072767F">
            <w:pPr>
              <w:shd w:val="clear" w:color="auto" w:fill="FFFFFF"/>
              <w:spacing w:after="120" w:line="276" w:lineRule="auto"/>
              <w:ind w:firstLine="709"/>
              <w:jc w:val="both"/>
              <w:textAlignment w:val="baseline"/>
              <w:rPr>
                <w:rFonts w:ascii="Verdana" w:eastAsia="Calibri" w:hAnsi="Verdana" w:cs="Arial"/>
                <w:kern w:val="2"/>
                <w:lang w:val="es-MX"/>
                <w14:ligatures w14:val="standardContextual"/>
              </w:rPr>
            </w:pPr>
            <w:r w:rsidRPr="00E44F0A">
              <w:rPr>
                <w:rFonts w:ascii="Verdana" w:hAnsi="Verdana"/>
                <w:lang w:val="es-MX"/>
              </w:rPr>
              <w:t>“ […]</w:t>
            </w:r>
          </w:p>
          <w:p w14:paraId="18DE2255" w14:textId="77777777" w:rsidR="00D42FCF" w:rsidRPr="00E44F0A" w:rsidRDefault="00D42FCF" w:rsidP="0072767F">
            <w:pPr>
              <w:pStyle w:val="Prrafodelista"/>
              <w:numPr>
                <w:ilvl w:val="0"/>
                <w:numId w:val="18"/>
              </w:numPr>
              <w:spacing w:after="120"/>
              <w:ind w:left="1134" w:right="709" w:hanging="425"/>
              <w:jc w:val="both"/>
              <w:rPr>
                <w:rFonts w:ascii="Verdana" w:hAnsi="Verdana"/>
                <w:sz w:val="20"/>
                <w:szCs w:val="20"/>
                <w:lang w:val="es-MX"/>
              </w:rPr>
            </w:pPr>
            <w:r w:rsidRPr="00E44F0A">
              <w:rPr>
                <w:rFonts w:ascii="Verdana" w:hAnsi="Verdana"/>
                <w:sz w:val="20"/>
                <w:szCs w:val="20"/>
                <w:lang w:val="es-MX"/>
              </w:rPr>
              <w:t>Acta de liquidación.</w:t>
            </w:r>
          </w:p>
          <w:p w14:paraId="1CD7E6D4" w14:textId="77777777" w:rsidR="00D42FCF" w:rsidRPr="00E44F0A" w:rsidRDefault="00D42FCF" w:rsidP="0072767F">
            <w:pPr>
              <w:pStyle w:val="Prrafodelista"/>
              <w:numPr>
                <w:ilvl w:val="0"/>
                <w:numId w:val="18"/>
              </w:numPr>
              <w:spacing w:after="120"/>
              <w:ind w:left="1069" w:right="709"/>
              <w:jc w:val="both"/>
              <w:rPr>
                <w:rFonts w:ascii="Verdana" w:hAnsi="Verdana"/>
                <w:sz w:val="20"/>
                <w:szCs w:val="20"/>
                <w:lang w:val="es-MX"/>
              </w:rPr>
            </w:pPr>
            <w:r w:rsidRPr="00E44F0A">
              <w:rPr>
                <w:rFonts w:ascii="Verdana" w:hAnsi="Verdana"/>
                <w:sz w:val="20"/>
                <w:szCs w:val="20"/>
                <w:lang w:val="es-MX"/>
              </w:rPr>
              <w:t xml:space="preserve">Acta de entrega, terminación, final o de recibo definitivo. </w:t>
            </w:r>
          </w:p>
          <w:p w14:paraId="21BF2597" w14:textId="77777777" w:rsidR="00D42FCF" w:rsidRPr="00E44F0A" w:rsidRDefault="00D42FCF" w:rsidP="0072767F">
            <w:pPr>
              <w:pStyle w:val="Prrafodelista"/>
              <w:numPr>
                <w:ilvl w:val="0"/>
                <w:numId w:val="18"/>
              </w:numPr>
              <w:spacing w:after="120"/>
              <w:ind w:left="1069" w:right="709"/>
              <w:jc w:val="both"/>
              <w:rPr>
                <w:rFonts w:ascii="Verdana" w:hAnsi="Verdana"/>
                <w:sz w:val="20"/>
                <w:szCs w:val="20"/>
                <w:lang w:val="es-MX"/>
              </w:rPr>
            </w:pPr>
            <w:r w:rsidRPr="00E44F0A">
              <w:rPr>
                <w:rFonts w:ascii="Verdana" w:hAnsi="Verdana"/>
                <w:sz w:val="20"/>
                <w:szCs w:val="20"/>
                <w:lang w:val="es-MX"/>
              </w:rPr>
              <w:t>Certificación de experiencia. Expedida con posterioridad a la fecha de terminación del Contrato en la que conste el recibo a satisfacción de la obra contratada debidamente suscrita por quien esté en capacidad u obligación de hacerlo.</w:t>
            </w:r>
          </w:p>
          <w:p w14:paraId="3D11CBC7" w14:textId="77777777" w:rsidR="00D42FCF" w:rsidRPr="00E44F0A" w:rsidRDefault="00D42FCF" w:rsidP="0072767F">
            <w:pPr>
              <w:pStyle w:val="Prrafodelista"/>
              <w:numPr>
                <w:ilvl w:val="0"/>
                <w:numId w:val="18"/>
              </w:numPr>
              <w:spacing w:after="120"/>
              <w:ind w:left="1069" w:right="709"/>
              <w:jc w:val="both"/>
              <w:rPr>
                <w:rFonts w:ascii="Verdana" w:hAnsi="Verdana"/>
                <w:sz w:val="20"/>
                <w:szCs w:val="20"/>
                <w:lang w:val="es-MX"/>
              </w:rPr>
            </w:pPr>
            <w:r w:rsidRPr="00E44F0A">
              <w:rPr>
                <w:rFonts w:ascii="Verdana" w:hAnsi="Verdana"/>
                <w:sz w:val="20"/>
                <w:szCs w:val="20"/>
                <w:lang w:val="es-MX"/>
              </w:rPr>
              <w:t>Acta de inicio o la orden de inicio. La misma solo será válida para efectos de acreditar la fecha de inicio.</w:t>
            </w:r>
          </w:p>
          <w:p w14:paraId="6EC3546D" w14:textId="77777777" w:rsidR="00D42FCF" w:rsidRPr="00E44F0A" w:rsidRDefault="00D42FCF" w:rsidP="0072767F">
            <w:pPr>
              <w:pStyle w:val="Prrafodelista"/>
              <w:numPr>
                <w:ilvl w:val="0"/>
                <w:numId w:val="18"/>
              </w:numPr>
              <w:spacing w:after="120"/>
              <w:ind w:left="1069" w:right="709"/>
              <w:jc w:val="both"/>
              <w:rPr>
                <w:rFonts w:ascii="Verdana" w:hAnsi="Verdana"/>
                <w:sz w:val="20"/>
                <w:szCs w:val="20"/>
                <w:lang w:val="es-MX"/>
              </w:rPr>
            </w:pPr>
            <w:r w:rsidRPr="00E44F0A">
              <w:rPr>
                <w:rFonts w:ascii="Verdana" w:hAnsi="Verdana"/>
                <w:sz w:val="20"/>
                <w:szCs w:val="20"/>
                <w:lang w:val="es-MX"/>
              </w:rPr>
              <w:t>[Para los proyectos de edificaciones emplee este literal, de lo contrario eliminarlo.] Copia de la licencia de construcción y/o licencia de urbanismo.</w:t>
            </w:r>
          </w:p>
          <w:p w14:paraId="568AD035" w14:textId="77777777" w:rsidR="00D42FCF" w:rsidRPr="00E44F0A" w:rsidRDefault="00D42FCF" w:rsidP="0072767F">
            <w:pPr>
              <w:pStyle w:val="Prrafodelista"/>
              <w:numPr>
                <w:ilvl w:val="0"/>
                <w:numId w:val="18"/>
              </w:numPr>
              <w:spacing w:after="120"/>
              <w:ind w:left="1069" w:right="709"/>
              <w:jc w:val="both"/>
              <w:rPr>
                <w:rFonts w:ascii="Verdana" w:hAnsi="Verdana"/>
                <w:sz w:val="20"/>
                <w:szCs w:val="20"/>
                <w:lang w:val="es-MX"/>
              </w:rPr>
            </w:pPr>
            <w:r w:rsidRPr="00E44F0A">
              <w:rPr>
                <w:rFonts w:ascii="Verdana" w:hAnsi="Verdana"/>
                <w:sz w:val="20"/>
                <w:szCs w:val="20"/>
                <w:lang w:val="es-MX"/>
              </w:rPr>
              <w:t>Planos récord finales de obra.</w:t>
            </w:r>
          </w:p>
          <w:p w14:paraId="26626FC6" w14:textId="77777777" w:rsidR="00D42FCF" w:rsidRPr="00E44F0A" w:rsidRDefault="00D42FCF" w:rsidP="0072767F">
            <w:pPr>
              <w:pStyle w:val="Prrafodelista"/>
              <w:numPr>
                <w:ilvl w:val="0"/>
                <w:numId w:val="18"/>
              </w:numPr>
              <w:spacing w:after="120"/>
              <w:ind w:left="1069" w:right="709"/>
              <w:jc w:val="both"/>
              <w:rPr>
                <w:rFonts w:ascii="Verdana" w:hAnsi="Verdana"/>
                <w:sz w:val="20"/>
                <w:szCs w:val="20"/>
                <w:lang w:val="es-MX"/>
              </w:rPr>
            </w:pPr>
            <w:r w:rsidRPr="00E44F0A">
              <w:rPr>
                <w:rFonts w:ascii="Verdana" w:hAnsi="Verdana"/>
                <w:sz w:val="20"/>
                <w:szCs w:val="20"/>
                <w:lang w:val="es-MX"/>
              </w:rPr>
              <w:t>Para los contratos que hayan sido objeto de cesión, el Contrato deberá encontrarse inscrito y clasificado en el RUP o en uno o alguno de los documentos considerados como válidos para la acreditación de experiencia de la persona jurídica o natural cesionaria, según aplique. La experiencia se admitirá para el cesionario y no se reconocerá experiencia alguna al cedente.</w:t>
            </w:r>
          </w:p>
          <w:p w14:paraId="2966D5B3" w14:textId="77777777" w:rsidR="00D42FCF" w:rsidRPr="00E44F0A" w:rsidRDefault="00D42FCF" w:rsidP="0072767F">
            <w:pPr>
              <w:pStyle w:val="Prrafodelista"/>
              <w:numPr>
                <w:ilvl w:val="0"/>
                <w:numId w:val="18"/>
              </w:numPr>
              <w:spacing w:after="120"/>
              <w:ind w:left="1069" w:right="709"/>
              <w:jc w:val="both"/>
              <w:rPr>
                <w:rFonts w:ascii="Verdana" w:hAnsi="Verdana"/>
                <w:sz w:val="20"/>
                <w:szCs w:val="20"/>
                <w:lang w:val="es-MX"/>
              </w:rPr>
            </w:pPr>
            <w:r w:rsidRPr="00E44F0A">
              <w:rPr>
                <w:rFonts w:ascii="Verdana" w:hAnsi="Verdana"/>
                <w:sz w:val="20"/>
                <w:szCs w:val="20"/>
                <w:lang w:val="es-MX"/>
              </w:rPr>
              <w:t xml:space="preserve">Cualquier otro documento idóneo que acredite la experiencia exigida, tales como: el Contrato y/o los Documentos del Proceso Contractual, </w:t>
            </w:r>
            <w:r w:rsidRPr="00E44F0A">
              <w:rPr>
                <w:rFonts w:ascii="Verdana" w:hAnsi="Verdana"/>
                <w:sz w:val="20"/>
                <w:szCs w:val="20"/>
                <w:lang w:val="es-MX"/>
              </w:rPr>
              <w:lastRenderedPageBreak/>
              <w:t>los cuales deben estar suscritos por las personas que intervinieron en su formación o estar publicados en el SECOP.</w:t>
            </w:r>
          </w:p>
          <w:p w14:paraId="6920F48A" w14:textId="77777777" w:rsidR="00D42FCF" w:rsidRPr="00E44F0A" w:rsidRDefault="00D42FCF" w:rsidP="0072767F">
            <w:pPr>
              <w:pStyle w:val="Prrafodelista"/>
              <w:spacing w:after="120"/>
              <w:ind w:left="1069" w:right="709"/>
              <w:jc w:val="both"/>
              <w:rPr>
                <w:rFonts w:ascii="Verdana" w:hAnsi="Verdana"/>
                <w:sz w:val="20"/>
                <w:szCs w:val="20"/>
                <w:lang w:val="es-MX"/>
              </w:rPr>
            </w:pPr>
          </w:p>
          <w:p w14:paraId="30523B09" w14:textId="77777777" w:rsidR="00D42FCF" w:rsidRPr="00E44F0A" w:rsidRDefault="00D42FCF" w:rsidP="0072767F">
            <w:pPr>
              <w:pStyle w:val="Prrafodelista"/>
              <w:spacing w:after="120"/>
              <w:ind w:left="1069" w:right="709"/>
              <w:jc w:val="both"/>
              <w:rPr>
                <w:rFonts w:ascii="Verdana" w:hAnsi="Verdana"/>
                <w:sz w:val="20"/>
                <w:szCs w:val="20"/>
                <w:lang w:val="es-MX"/>
              </w:rPr>
            </w:pPr>
            <w:r w:rsidRPr="00E44F0A">
              <w:rPr>
                <w:rFonts w:ascii="Verdana" w:hAnsi="Verdana"/>
                <w:sz w:val="20"/>
                <w:szCs w:val="20"/>
                <w:lang w:val="es-MX"/>
              </w:rPr>
              <w:t>Para efectos de acreditación de experiencia entre particulares, el Proponente deberá aportar, además, la certificación de facturación expedida con posterioridad a la fecha de terminación del Contrato emitida por el revisor fiscal o contador público del Proponente que acredita la experiencia, según corresponda, con la copia de la tarjeta profesional y certificado de antecedente disciplinarios vigente, de la Junta Central de Contadores, o los documentos equivalentes que hagan sus veces en el país donde se expide el documento del profesional […]”</w:t>
            </w:r>
          </w:p>
          <w:p w14:paraId="096FA7EB" w14:textId="7BFB293A" w:rsidR="00975F69" w:rsidRDefault="00D42FCF" w:rsidP="008B7A51">
            <w:pPr>
              <w:shd w:val="clear" w:color="auto" w:fill="FFFFFF"/>
              <w:spacing w:after="120" w:line="276" w:lineRule="auto"/>
              <w:ind w:firstLine="709"/>
              <w:jc w:val="both"/>
              <w:textAlignment w:val="baseline"/>
              <w:rPr>
                <w:rFonts w:ascii="Verdana" w:eastAsia="Calibri" w:hAnsi="Verdana" w:cs="Arial"/>
                <w:color w:val="000000" w:themeColor="text1"/>
                <w:kern w:val="2"/>
                <w14:ligatures w14:val="standardContextual"/>
              </w:rPr>
            </w:pPr>
            <w:r w:rsidRPr="00E44F0A">
              <w:rPr>
                <w:rFonts w:ascii="Verdana" w:eastAsia="Calibri" w:hAnsi="Verdana" w:cs="Arial"/>
                <w:color w:val="000000" w:themeColor="text1"/>
                <w:kern w:val="2"/>
                <w14:ligatures w14:val="standardContextual"/>
              </w:rPr>
              <w:t>Dicho lo anterior, el Registro Único de Proponentes (RUP) constituye el instrumento principal para la verificación de los requisitos habilitantes, en tanto contiene la información certificada sobre la experiencia, así como la capacidad jurídica, financiera y de organización del proponente. No obstante, los documentos adicionales previstos en los documentos tipo cumplen una función complementaria, en la medida en que permiten a la entidad verificar o aclarar información cuando se requiera un mayor nivel de detalle o cuando se presenten inconsistencias.</w:t>
            </w:r>
          </w:p>
          <w:p w14:paraId="22315A25" w14:textId="60AAB3D6" w:rsidR="00F6685B" w:rsidRPr="00E44F0A" w:rsidRDefault="00F6685B" w:rsidP="00CC3E5C">
            <w:pPr>
              <w:shd w:val="clear" w:color="auto" w:fill="FFFFFF"/>
              <w:spacing w:after="120" w:line="276" w:lineRule="auto"/>
              <w:jc w:val="both"/>
              <w:textAlignment w:val="baseline"/>
              <w:rPr>
                <w:rFonts w:ascii="Verdana" w:eastAsia="Calibri" w:hAnsi="Verdana" w:cs="Arial"/>
                <w:color w:val="000000" w:themeColor="text1"/>
                <w:kern w:val="2"/>
                <w14:ligatures w14:val="standardContextual"/>
              </w:rPr>
            </w:pPr>
            <w:r>
              <w:rPr>
                <w:rFonts w:ascii="Verdana" w:eastAsia="Calibri" w:hAnsi="Verdana" w:cs="Arial"/>
                <w:color w:val="000000" w:themeColor="text1"/>
                <w:kern w:val="2"/>
                <w14:ligatures w14:val="standardContextual"/>
              </w:rPr>
              <w:t xml:space="preserve">         </w:t>
            </w:r>
            <w:r w:rsidR="00547377" w:rsidRPr="00547377">
              <w:rPr>
                <w:rFonts w:ascii="Verdana" w:eastAsia="Calibri" w:hAnsi="Verdana" w:cs="Arial"/>
                <w:color w:val="000000" w:themeColor="text1"/>
                <w:kern w:val="2"/>
                <w14:ligatures w14:val="standardContextual"/>
              </w:rPr>
              <w:t>No obstante, la información que reposa en el RUP y en el acta de liquidación debe coincidir para que dicha experiencia pueda ser tenida en cuenta. En consecuencia, corresponde a la entidad analizar, requerir y adelantar las actuaciones que considere necesarias con el fin de verificar los soportes allegados por los proponentes dentro del proceso de contratación</w:t>
            </w:r>
          </w:p>
          <w:p w14:paraId="31E00C67" w14:textId="77777777" w:rsidR="00D42FCF" w:rsidRPr="00E44F0A" w:rsidRDefault="00D42FCF" w:rsidP="0072767F">
            <w:pPr>
              <w:shd w:val="clear" w:color="auto" w:fill="FFFFFF"/>
              <w:spacing w:after="120" w:line="276" w:lineRule="auto"/>
              <w:ind w:firstLine="709"/>
              <w:jc w:val="both"/>
              <w:textAlignment w:val="baseline"/>
              <w:rPr>
                <w:rFonts w:ascii="Verdana" w:eastAsia="Calibri" w:hAnsi="Verdana" w:cs="Arial"/>
                <w:color w:val="000000" w:themeColor="text1"/>
                <w:kern w:val="2"/>
                <w14:ligatures w14:val="standardContextual"/>
              </w:rPr>
            </w:pPr>
            <w:r w:rsidRPr="00E44F0A">
              <w:rPr>
                <w:rFonts w:ascii="Verdana" w:eastAsia="Calibri" w:hAnsi="Verdana" w:cs="Arial"/>
                <w:color w:val="000000" w:themeColor="text1"/>
                <w:kern w:val="2"/>
                <w14:ligatures w14:val="standardContextual"/>
              </w:rPr>
              <w:t>En todo caso, corresponde a cada entidad estatal adelantar la verificación integral de los requisitos habilitantes, de conformidad con las reglas previstas en la normativa vigente y en los documentos del proceso, así como efectuar las solicitudes de aclaración a las que haya lugar, garantizando el respeto de los principios de transparencia y selección objetiva.</w:t>
            </w:r>
          </w:p>
        </w:tc>
      </w:tr>
    </w:tbl>
    <w:p w14:paraId="2B047D27" w14:textId="77777777" w:rsidR="00D42FCF" w:rsidRPr="0077589D" w:rsidRDefault="00D42FCF" w:rsidP="00D42FCF">
      <w:pPr>
        <w:tabs>
          <w:tab w:val="left" w:pos="142"/>
          <w:tab w:val="left" w:pos="284"/>
        </w:tabs>
        <w:spacing w:after="0" w:line="276" w:lineRule="auto"/>
        <w:jc w:val="both"/>
        <w:rPr>
          <w:rFonts w:ascii="Verdana" w:eastAsia="Century Gothic" w:hAnsi="Verdana" w:cs="Century Gothic"/>
          <w:b/>
          <w:bCs/>
          <w:color w:val="7030A0"/>
          <w:lang w:val="es-ES"/>
        </w:rPr>
      </w:pPr>
    </w:p>
    <w:p w14:paraId="66420EB7" w14:textId="77777777" w:rsidR="00D42FCF" w:rsidRPr="009D5A93" w:rsidRDefault="00D42FCF" w:rsidP="00D42FCF">
      <w:pPr>
        <w:tabs>
          <w:tab w:val="left" w:pos="142"/>
          <w:tab w:val="left" w:pos="284"/>
        </w:tabs>
        <w:spacing w:after="0" w:line="276" w:lineRule="auto"/>
        <w:jc w:val="both"/>
        <w:rPr>
          <w:rFonts w:ascii="Verdana" w:eastAsia="Century Gothic" w:hAnsi="Verdana" w:cs="Century Gothic"/>
          <w:b/>
          <w:lang w:val="es-ES"/>
        </w:rPr>
      </w:pPr>
      <w:r w:rsidRPr="009D5A93">
        <w:rPr>
          <w:rFonts w:ascii="Verdana" w:eastAsia="Century Gothic" w:hAnsi="Verdana" w:cs="Century Gothic"/>
          <w:b/>
          <w:lang w:val="es-ES"/>
        </w:rPr>
        <w:t>3. Razones de la respuesta:</w:t>
      </w:r>
    </w:p>
    <w:p w14:paraId="0F3B829C" w14:textId="77777777" w:rsidR="00D42FCF" w:rsidRPr="009D5A93" w:rsidRDefault="00D42FCF" w:rsidP="00D42FCF">
      <w:pPr>
        <w:tabs>
          <w:tab w:val="left" w:pos="142"/>
          <w:tab w:val="left" w:pos="284"/>
        </w:tabs>
        <w:spacing w:after="0" w:line="276" w:lineRule="auto"/>
        <w:jc w:val="both"/>
        <w:rPr>
          <w:rFonts w:ascii="Verdana" w:eastAsia="Century Gothic" w:hAnsi="Verdana" w:cs="Century Gothic"/>
          <w:b/>
          <w:lang w:val="es-ES"/>
        </w:rPr>
      </w:pPr>
    </w:p>
    <w:p w14:paraId="790E655F" w14:textId="77777777" w:rsidR="00D42FCF" w:rsidRDefault="00D42FCF" w:rsidP="00D42FCF">
      <w:pPr>
        <w:spacing w:after="0" w:line="276" w:lineRule="auto"/>
        <w:jc w:val="both"/>
        <w:rPr>
          <w:rFonts w:ascii="Verdana" w:eastAsia="Calibri" w:hAnsi="Verdana" w:cs="Arial"/>
          <w:lang w:val="es-ES"/>
        </w:rPr>
      </w:pPr>
      <w:r w:rsidRPr="009D5A93">
        <w:rPr>
          <w:rFonts w:ascii="Verdana" w:eastAsia="Calibri" w:hAnsi="Verdana" w:cs="Arial"/>
          <w:lang w:val="es-ES"/>
        </w:rPr>
        <w:t>Lo anterior se sustenta en las siguientes consideraciones:</w:t>
      </w:r>
      <w:bookmarkStart w:id="1" w:name="_Hlk102983874"/>
      <w:bookmarkStart w:id="2" w:name="_Hlk102388095"/>
    </w:p>
    <w:p w14:paraId="3853F163" w14:textId="77777777" w:rsidR="00D42FCF" w:rsidRPr="0050222D" w:rsidRDefault="00D42FCF" w:rsidP="00D42FCF">
      <w:pPr>
        <w:spacing w:after="0" w:line="276" w:lineRule="auto"/>
        <w:jc w:val="both"/>
        <w:rPr>
          <w:rFonts w:ascii="Verdana" w:eastAsia="Calibri" w:hAnsi="Verdana" w:cs="Arial"/>
          <w:lang w:val="es-ES"/>
        </w:rPr>
      </w:pPr>
    </w:p>
    <w:p w14:paraId="076030D2" w14:textId="77777777" w:rsidR="00D42FCF" w:rsidRPr="006930B1" w:rsidRDefault="00D42FCF" w:rsidP="00D42FCF">
      <w:pPr>
        <w:spacing w:after="120" w:line="276" w:lineRule="auto"/>
        <w:jc w:val="both"/>
        <w:rPr>
          <w:rFonts w:ascii="Verdana" w:eastAsia="Aptos" w:hAnsi="Verdana" w:cs="Arial"/>
        </w:rPr>
      </w:pPr>
      <w:bookmarkStart w:id="3" w:name="_Hlk198934308"/>
      <w:r w:rsidRPr="00D42FCF">
        <w:rPr>
          <w:rFonts w:ascii="Verdana" w:eastAsia="Aptos" w:hAnsi="Verdana" w:cs="Arial"/>
        </w:rPr>
        <w:t xml:space="preserve">i. El artículo 1 de la Ley 2022 de 2020 “Por la cual modifica el artículo 4 de la Ley 1882 de 2018 y se dictan otras disposiciones” otorga a la Agencia Nacional </w:t>
      </w:r>
      <w:r w:rsidRPr="00D42FCF">
        <w:rPr>
          <w:rFonts w:ascii="Verdana" w:eastAsia="Aptos" w:hAnsi="Verdana" w:cs="Arial"/>
        </w:rPr>
        <w:lastRenderedPageBreak/>
        <w:t>de Contratación Pública – Colombia Compra Eficiente la competencia para</w:t>
      </w:r>
      <w:r w:rsidRPr="0050222D">
        <w:rPr>
          <w:rFonts w:ascii="Verdana" w:eastAsia="Aptos" w:hAnsi="Verdana" w:cs="Arial"/>
        </w:rPr>
        <w:t xml:space="preserve"> </w:t>
      </w:r>
      <w:r w:rsidRPr="006930B1">
        <w:rPr>
          <w:rFonts w:ascii="Verdana" w:eastAsia="Aptos" w:hAnsi="Verdana" w:cs="Arial"/>
        </w:rPr>
        <w:t>adoptar los documentos tipo que serán de obligatorio cumplimiento en la actividad contractual de todas las entidades sometidas al Estatuto General de la Administración Pública.</w:t>
      </w:r>
    </w:p>
    <w:p w14:paraId="103D9134" w14:textId="77777777" w:rsidR="00D42FCF" w:rsidRPr="00224F0C" w:rsidRDefault="00D42FCF" w:rsidP="00D42FCF">
      <w:pPr>
        <w:spacing w:after="120" w:line="276" w:lineRule="auto"/>
        <w:ind w:firstLine="708"/>
        <w:jc w:val="both"/>
        <w:rPr>
          <w:rFonts w:ascii="Verdana" w:eastAsia="Aptos" w:hAnsi="Verdana" w:cs="Arial"/>
        </w:rPr>
      </w:pPr>
      <w:r w:rsidRPr="006930B1">
        <w:rPr>
          <w:rFonts w:ascii="Verdana" w:eastAsia="Aptos" w:hAnsi="Verdana" w:cs="Arial"/>
          <w:lang w:val="es-ES"/>
        </w:rPr>
        <w:t xml:space="preserve">Con sustento en esta competencia, esta Agencia expidió diversos grupos de documentos tipo aplicables principalmente a la contratación de obras públicas de infraestructura de transporte, de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w:t>
      </w:r>
      <w:r w:rsidRPr="00224F0C">
        <w:rPr>
          <w:rFonts w:ascii="Verdana" w:eastAsia="Aptos" w:hAnsi="Verdana" w:cs="Arial"/>
          <w:lang w:val="es-ES"/>
        </w:rPr>
        <w:t>concurso de méritos y contratación directa.</w:t>
      </w:r>
    </w:p>
    <w:p w14:paraId="24F8321D" w14:textId="77777777" w:rsidR="00D42FCF" w:rsidRPr="00224F0C" w:rsidRDefault="00D42FCF" w:rsidP="00D42FCF">
      <w:pPr>
        <w:spacing w:after="120" w:line="276" w:lineRule="auto"/>
        <w:ind w:firstLine="708"/>
        <w:jc w:val="both"/>
        <w:rPr>
          <w:rFonts w:ascii="Verdana" w:eastAsia="Calibri" w:hAnsi="Verdana" w:cs="Arial"/>
        </w:rPr>
      </w:pPr>
      <w:r w:rsidRPr="00224F0C">
        <w:rPr>
          <w:rFonts w:ascii="Verdana" w:eastAsia="Aptos" w:hAnsi="Verdana" w:cs="Arial"/>
        </w:rPr>
        <w:t xml:space="preserve">En relación con su solicitud, debe indicarse que, </w:t>
      </w:r>
      <w:r w:rsidRPr="00224F0C">
        <w:rPr>
          <w:rFonts w:ascii="Verdana" w:eastAsia="Calibri" w:hAnsi="Verdana" w:cs="Arial"/>
          <w:lang w:val="es-MX"/>
        </w:rPr>
        <w:t xml:space="preserve">la Agencia Nacional de Contratación Pública – Colombia Compra </w:t>
      </w:r>
      <w:r w:rsidRPr="00224F0C">
        <w:rPr>
          <w:rFonts w:ascii="Verdana" w:eastAsia="Calibri" w:hAnsi="Verdana" w:cs="Arial"/>
        </w:rPr>
        <w:t xml:space="preserve">Eficiente expidió la Resolución 219 </w:t>
      </w:r>
      <w:r w:rsidRPr="00224F0C">
        <w:rPr>
          <w:rFonts w:ascii="Verdana" w:eastAsia="Calibri" w:hAnsi="Verdana" w:cs="Arial"/>
          <w:bCs/>
        </w:rPr>
        <w:t xml:space="preserve">del 6 de agosto </w:t>
      </w:r>
      <w:r w:rsidRPr="00224F0C">
        <w:rPr>
          <w:rFonts w:ascii="Verdana" w:eastAsia="Calibri" w:hAnsi="Verdana" w:cs="Arial"/>
        </w:rPr>
        <w:t xml:space="preserve">de 2021, </w:t>
      </w:r>
      <w:r w:rsidRPr="00224F0C">
        <w:rPr>
          <w:rFonts w:ascii="Verdana" w:eastAsia="Calibri" w:hAnsi="Verdana" w:cs="Arial"/>
          <w:i/>
          <w:iCs/>
        </w:rPr>
        <w:t xml:space="preserve">“Por la cual se adoptan los documentos tipo para los procesos de licitación de obra pública de infraestructura social”. </w:t>
      </w:r>
      <w:r w:rsidRPr="00224F0C">
        <w:rPr>
          <w:rFonts w:ascii="Verdana" w:eastAsia="Calibri" w:hAnsi="Verdana" w:cs="Arial"/>
        </w:rPr>
        <w:t xml:space="preserve">Mediante esta Resolución, </w:t>
      </w:r>
      <w:r w:rsidRPr="00224F0C">
        <w:rPr>
          <w:rFonts w:ascii="Verdana" w:eastAsia="Calibri" w:hAnsi="Verdana" w:cs="Arial"/>
          <w:bCs/>
        </w:rPr>
        <w:t xml:space="preserve">se adoptaron los documentos tipo que aplican </w:t>
      </w:r>
      <w:r w:rsidRPr="00224F0C">
        <w:rPr>
          <w:rFonts w:ascii="Verdana" w:eastAsia="Calibri" w:hAnsi="Verdana" w:cs="Arial"/>
        </w:rPr>
        <w:t>de forma transversal a los proyectos de infraestructura social en los sectores educativo, salud, cultura, recreación y deporte. Dichos documentos comprenden el documento base, los anexos, los formatos, los formularios y las matrices, los cuales se complementarán con cada una de las resoluciones que adoptan las matrices de experiencia y los anexos de glosario para cada uno de los sectores, definiendo así su alcance y vigencia.</w:t>
      </w:r>
    </w:p>
    <w:p w14:paraId="60A73B2E" w14:textId="77777777" w:rsidR="00D42FCF" w:rsidRPr="00F0547E" w:rsidRDefault="00D42FCF" w:rsidP="00D42FCF">
      <w:pPr>
        <w:spacing w:after="120" w:line="276" w:lineRule="auto"/>
        <w:ind w:firstLine="708"/>
        <w:jc w:val="both"/>
        <w:rPr>
          <w:rFonts w:ascii="Verdana" w:eastAsia="Aptos" w:hAnsi="Verdana" w:cs="Arial"/>
        </w:rPr>
      </w:pPr>
      <w:r w:rsidRPr="00F0547E">
        <w:rPr>
          <w:rFonts w:ascii="Verdana" w:eastAsia="Calibri" w:hAnsi="Verdana" w:cs="Arial"/>
        </w:rPr>
        <w:t xml:space="preserve">En consecuencia, en materia de infraestructura social debe tenerse en cuenta que existen dos (2) clases de documentos tipo que se integran en cada proceso: i) los documentos </w:t>
      </w:r>
      <w:r w:rsidRPr="00F0547E">
        <w:rPr>
          <w:rFonts w:ascii="Verdana" w:eastAsia="Calibri" w:hAnsi="Verdana" w:cs="Arial"/>
          <w:i/>
        </w:rPr>
        <w:t>transversales</w:t>
      </w:r>
      <w:r w:rsidRPr="00F0547E">
        <w:rPr>
          <w:rFonts w:ascii="Verdana" w:eastAsia="Calibri" w:hAnsi="Verdana" w:cs="Arial"/>
        </w:rPr>
        <w:t xml:space="preserve"> a todos los sectores de infraestructura social, es decir, el documento base, los anexos, los formatos, los formularios y las matrices adoptados mediante la Resolución No. 219 de 2021; y ii) los documentos tipo </w:t>
      </w:r>
      <w:r w:rsidRPr="00F0547E">
        <w:rPr>
          <w:rFonts w:ascii="Verdana" w:eastAsia="Calibri" w:hAnsi="Verdana" w:cs="Arial"/>
          <w:i/>
        </w:rPr>
        <w:t>complementarios</w:t>
      </w:r>
      <w:r w:rsidRPr="00F0547E">
        <w:rPr>
          <w:rFonts w:ascii="Verdana" w:eastAsia="Calibri" w:hAnsi="Verdana" w:cs="Arial"/>
          <w:iCs/>
        </w:rPr>
        <w:t>,</w:t>
      </w:r>
      <w:r w:rsidRPr="00F0547E">
        <w:rPr>
          <w:rFonts w:ascii="Verdana" w:eastAsia="Calibri" w:hAnsi="Verdana" w:cs="Arial"/>
          <w:i/>
        </w:rPr>
        <w:t xml:space="preserve"> </w:t>
      </w:r>
      <w:r w:rsidRPr="00F0547E">
        <w:rPr>
          <w:rFonts w:ascii="Verdana" w:eastAsia="Calibri" w:hAnsi="Verdana" w:cs="Arial"/>
        </w:rPr>
        <w:t xml:space="preserve">referentes a la matriz de experiencia y el glosario, los cuales han sido adoptados en la resolución para cada sector específico. </w:t>
      </w:r>
    </w:p>
    <w:p w14:paraId="0A9639D7" w14:textId="77777777" w:rsidR="00D42FCF" w:rsidRDefault="00D42FCF" w:rsidP="00D42FCF">
      <w:pPr>
        <w:spacing w:after="120" w:line="276" w:lineRule="auto"/>
        <w:ind w:firstLine="708"/>
        <w:jc w:val="both"/>
        <w:rPr>
          <w:rFonts w:ascii="Verdana" w:eastAsia="Aptos" w:hAnsi="Verdana" w:cs="Times New Roman"/>
        </w:rPr>
      </w:pPr>
      <w:r w:rsidRPr="00F0547E">
        <w:rPr>
          <w:rFonts w:ascii="Verdana" w:eastAsia="Calibri" w:hAnsi="Verdana" w:cs="Arial"/>
        </w:rPr>
        <w:t xml:space="preserve">En este orden de ideas, la Agencia expidió Resolución 220 del 6 de agosto de 2021, mediante la cual, adoptó los documentos tipo complementarios para </w:t>
      </w:r>
      <w:r w:rsidRPr="00F0547E">
        <w:rPr>
          <w:rFonts w:ascii="Verdana" w:eastAsia="Calibri" w:hAnsi="Verdana" w:cs="Arial"/>
        </w:rPr>
        <w:lastRenderedPageBreak/>
        <w:t xml:space="preserve">los procesos de licitación de obra pública de infraestructura social relacionados con el sector educativo. Por su parte, por medio de la Resolución 392 del 18 de noviembre de 2021, se adoptaron los documentos tipo complementarios relacionados con el sector salud. Finalmente, con la expedición de la Resolución 454 del 16 de diciembre de 2021, se acogieron los documentos tipo complementarios aplicables al sector cultura, recreación y deporte.  </w:t>
      </w:r>
      <w:r w:rsidRPr="00F0547E">
        <w:rPr>
          <w:rFonts w:ascii="Verdana" w:eastAsia="Aptos" w:hAnsi="Verdana" w:cs="Times New Roman"/>
        </w:rPr>
        <w:t>Estas Resolución, en el artículo 2, adoptan el "</w:t>
      </w:r>
      <w:r w:rsidRPr="00F0547E">
        <w:rPr>
          <w:rFonts w:ascii="Verdana" w:eastAsia="Aptos" w:hAnsi="Verdana" w:cs="Times New Roman"/>
          <w:i/>
          <w:iCs/>
        </w:rPr>
        <w:t xml:space="preserve">Anexo -Glosario" y la "Matriz – Experiencia” </w:t>
      </w:r>
      <w:r w:rsidRPr="00F0547E">
        <w:rPr>
          <w:rFonts w:ascii="Verdana" w:eastAsia="Aptos" w:hAnsi="Verdana" w:cs="Times New Roman"/>
        </w:rPr>
        <w:t>para proyectos de infraestructura social en cada uno de los sectores señalados</w:t>
      </w:r>
      <w:r w:rsidRPr="00F0547E">
        <w:rPr>
          <w:rFonts w:ascii="Verdana" w:eastAsia="Aptos" w:hAnsi="Verdana" w:cs="Times New Roman"/>
          <w:bCs/>
        </w:rPr>
        <w:t xml:space="preserve">. </w:t>
      </w:r>
      <w:r w:rsidRPr="00F0547E">
        <w:rPr>
          <w:rFonts w:ascii="Verdana" w:eastAsia="Aptos" w:hAnsi="Verdana" w:cs="Times New Roman"/>
        </w:rPr>
        <w:t xml:space="preserve">Estos dos (2) documentos definen el alcance para cada sector específicamente. </w:t>
      </w:r>
    </w:p>
    <w:p w14:paraId="4035B6AF" w14:textId="77777777" w:rsidR="00D42FCF" w:rsidRDefault="00D42FCF" w:rsidP="00D42FCF">
      <w:pPr>
        <w:widowControl w:val="0"/>
        <w:autoSpaceDE w:val="0"/>
        <w:autoSpaceDN w:val="0"/>
        <w:spacing w:after="120" w:line="276" w:lineRule="auto"/>
        <w:ind w:firstLine="708"/>
        <w:jc w:val="both"/>
        <w:rPr>
          <w:rFonts w:ascii="Verdana" w:eastAsia="Calibri" w:hAnsi="Verdana" w:cs="Times New Roman"/>
          <w:lang w:val="es-ES"/>
        </w:rPr>
      </w:pPr>
      <w:r w:rsidRPr="00F0547E">
        <w:rPr>
          <w:rFonts w:ascii="Verdana" w:eastAsia="Calibri" w:hAnsi="Verdana" w:cs="Times New Roman"/>
          <w:lang w:val="es-ES"/>
        </w:rPr>
        <w:t xml:space="preserve">Es importante resaltar que, en virtud de la regla de inalterabilidad, los documentos tipo solo pueden ser modificados en los aspectos en que estos lo permitan. Esto corresponde a aquellos aspectos que se encuentran entre corchetes y resaltados en gris </w:t>
      </w:r>
      <w:r w:rsidRPr="00F0547E">
        <w:rPr>
          <w:rFonts w:ascii="Verdana" w:eastAsia="Calibri" w:hAnsi="Verdana" w:cs="Times New Roman"/>
          <w:shd w:val="clear" w:color="auto" w:fill="E8E8E8"/>
          <w:lang w:val="es-ES"/>
        </w:rPr>
        <w:t>–[texto]–,</w:t>
      </w:r>
      <w:r w:rsidRPr="00F0547E">
        <w:rPr>
          <w:rFonts w:ascii="Verdana" w:eastAsia="Calibri" w:hAnsi="Verdana" w:cs="Times New Roman"/>
          <w:lang w:val="es-ES"/>
        </w:rPr>
        <w:t xml:space="preserve"> para lo cual deberán observarse las instrucciones contenidas en los mismos para su diligenciamiento.</w:t>
      </w:r>
    </w:p>
    <w:p w14:paraId="67AE3FA6" w14:textId="77777777" w:rsidR="00D42FCF" w:rsidRPr="00E42A65" w:rsidRDefault="00D42FCF" w:rsidP="00D42FCF">
      <w:pPr>
        <w:widowControl w:val="0"/>
        <w:autoSpaceDE w:val="0"/>
        <w:autoSpaceDN w:val="0"/>
        <w:spacing w:after="120" w:line="276" w:lineRule="auto"/>
        <w:ind w:firstLine="708"/>
        <w:jc w:val="both"/>
        <w:rPr>
          <w:rFonts w:ascii="Verdana" w:eastAsia="Calibri" w:hAnsi="Verdana" w:cs="Times New Roman"/>
          <w:lang w:val="es-ES"/>
        </w:rPr>
      </w:pPr>
      <w:r w:rsidRPr="00F0547E">
        <w:rPr>
          <w:rFonts w:ascii="Verdana" w:eastAsia="Calibri" w:hAnsi="Verdana" w:cs="Times New Roman"/>
          <w:lang w:val="es-ES"/>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22CCA89C" w14:textId="77777777" w:rsidR="00D42FCF" w:rsidRPr="00E42A65" w:rsidRDefault="00D42FCF" w:rsidP="00D42FCF">
      <w:pPr>
        <w:pStyle w:val="NormalWeb"/>
        <w:spacing w:before="0" w:beforeAutospacing="0" w:after="120" w:afterAutospacing="0" w:line="276" w:lineRule="auto"/>
        <w:ind w:firstLine="708"/>
        <w:jc w:val="both"/>
        <w:rPr>
          <w:rFonts w:ascii="Verdana" w:hAnsi="Verdana"/>
          <w:sz w:val="22"/>
          <w:szCs w:val="22"/>
        </w:rPr>
      </w:pPr>
      <w:r w:rsidRPr="00E42A65">
        <w:rPr>
          <w:rFonts w:ascii="Verdana" w:hAnsi="Verdana"/>
          <w:sz w:val="22"/>
          <w:szCs w:val="22"/>
        </w:rPr>
        <w:t>E</w:t>
      </w:r>
      <w:r w:rsidRPr="00E42A65">
        <w:rPr>
          <w:rFonts w:ascii="Verdana" w:eastAsia="Calibri" w:hAnsi="Verdana" w:cs="Arial"/>
          <w:kern w:val="2"/>
          <w:sz w:val="22"/>
          <w:szCs w:val="22"/>
          <w:lang w:val="es-ES_tradnl"/>
          <w14:ligatures w14:val="standardContextual"/>
        </w:rPr>
        <w:t>s importante señalar que, las causales de rechazo son las establecidas en la ley y las fijadas por la Entidad Estatal en los pliegos de condiciones. Sin embargo, en ejercicio de dicha facultad, a las entidades no les es dable fijar causales de rechazo que soslayen o afecten la selección objetiva en la contratación. Sobre el particular, el Consejo de Estado</w:t>
      </w:r>
      <w:r w:rsidRPr="00E42A65">
        <w:rPr>
          <w:rFonts w:ascii="Verdana" w:eastAsia="Calibri" w:hAnsi="Verdana" w:cs="Arial"/>
          <w:i/>
          <w:iCs/>
          <w:kern w:val="2"/>
          <w:sz w:val="22"/>
          <w:szCs w:val="22"/>
          <w:vertAlign w:val="superscript"/>
          <w:lang w:val="es-ES_tradnl"/>
          <w14:ligatures w14:val="standardContextual"/>
        </w:rPr>
        <w:footnoteReference w:id="1"/>
      </w:r>
      <w:r w:rsidRPr="00E42A65">
        <w:rPr>
          <w:rFonts w:ascii="Verdana" w:eastAsia="Calibri" w:hAnsi="Verdana" w:cs="Arial"/>
          <w:kern w:val="2"/>
          <w:sz w:val="22"/>
          <w:szCs w:val="22"/>
          <w:lang w:val="es-ES_tradnl"/>
          <w14:ligatures w14:val="standardContextual"/>
        </w:rPr>
        <w:t xml:space="preserve"> señala:</w:t>
      </w:r>
    </w:p>
    <w:p w14:paraId="206D3254" w14:textId="77777777" w:rsidR="00D42FCF" w:rsidRPr="00E42A65" w:rsidRDefault="00D42FCF" w:rsidP="00D42FCF">
      <w:pPr>
        <w:tabs>
          <w:tab w:val="left" w:pos="709"/>
        </w:tabs>
        <w:spacing w:after="0" w:line="240" w:lineRule="auto"/>
        <w:ind w:left="709" w:right="709"/>
        <w:jc w:val="both"/>
        <w:rPr>
          <w:rFonts w:ascii="Verdana" w:eastAsia="Calibri" w:hAnsi="Verdana" w:cs="Arial"/>
          <w:kern w:val="2"/>
          <w:sz w:val="20"/>
          <w:szCs w:val="20"/>
          <w:lang w:val="es-ES"/>
          <w14:ligatures w14:val="standardContextual"/>
        </w:rPr>
      </w:pPr>
      <w:r w:rsidRPr="00E42A65">
        <w:rPr>
          <w:rFonts w:ascii="Verdana" w:eastAsia="Calibri" w:hAnsi="Verdana" w:cs="Arial"/>
          <w:kern w:val="2"/>
          <w:sz w:val="20"/>
          <w:szCs w:val="20"/>
          <w:lang w:val="es-ES"/>
          <w14:ligatures w14:val="standardContextual"/>
        </w:rPr>
        <w:t xml:space="preserve">“Quiere con esto destacar la Sala que las causales de rechazo de las propuestas pueden ser legales y por lo mismo generan el efecto del descarte o exclusión de la oferta ope legis, sin necesidad de que se haga referencia a las mismas en el pliego de condiciones; o también pueden las causales de rechazo de las propuestas ser establecidas expresamente por la entidad en el respectivo pliego de condiciones. Lo cierto es que, sea que las causales de rechazo de la oferta emanen directamente de la ley o del pliego de condiciones, en uno y en otro caso se refieren a defectos, omisiones o circunstancias impeditivas que permiten deducir que la misma </w:t>
      </w:r>
      <w:r w:rsidRPr="00E42A65">
        <w:rPr>
          <w:rFonts w:ascii="Verdana" w:eastAsia="Calibri" w:hAnsi="Verdana" w:cs="Arial"/>
          <w:kern w:val="2"/>
          <w:sz w:val="20"/>
          <w:szCs w:val="20"/>
          <w:lang w:val="es-ES"/>
          <w14:ligatures w14:val="standardContextual"/>
        </w:rPr>
        <w:lastRenderedPageBreak/>
        <w:t>no resulta favorable para los intereses de la entidad y los fines de la contratación y que de soslayarse se comprometería el cumplimiento de los principios de transparencia, economía y responsabilidad, así como el deber de selección objetiva en la contratación.”</w:t>
      </w:r>
    </w:p>
    <w:p w14:paraId="18308933" w14:textId="77777777" w:rsidR="00D42FCF" w:rsidRPr="00E42A65" w:rsidRDefault="00D42FCF" w:rsidP="00D42FCF">
      <w:pPr>
        <w:spacing w:after="0" w:line="276" w:lineRule="auto"/>
        <w:ind w:firstLine="708"/>
        <w:jc w:val="both"/>
        <w:rPr>
          <w:rFonts w:ascii="Verdana" w:eastAsia="Calibri" w:hAnsi="Verdana" w:cs="Arial"/>
          <w:kern w:val="2"/>
          <w:lang w:val="es-ES_tradnl"/>
          <w14:ligatures w14:val="standardContextual"/>
        </w:rPr>
      </w:pPr>
    </w:p>
    <w:p w14:paraId="190C2459" w14:textId="77777777" w:rsidR="00D42FCF" w:rsidRPr="00E42A65" w:rsidRDefault="00D42FCF" w:rsidP="00D42FCF">
      <w:pPr>
        <w:snapToGrid w:val="0"/>
        <w:spacing w:after="0" w:line="276" w:lineRule="auto"/>
        <w:ind w:firstLine="709"/>
        <w:jc w:val="both"/>
        <w:rPr>
          <w:rFonts w:ascii="Verdana" w:eastAsia="Calibri" w:hAnsi="Verdana" w:cs="Arial"/>
          <w:kern w:val="2"/>
          <w:lang w:val="es-ES_tradnl"/>
          <w14:ligatures w14:val="standardContextual"/>
        </w:rPr>
      </w:pPr>
      <w:bookmarkStart w:id="4" w:name="_Hlk207200434"/>
      <w:r w:rsidRPr="00E42A65">
        <w:rPr>
          <w:rFonts w:ascii="Verdana" w:eastAsia="Calibri" w:hAnsi="Verdana" w:cs="Arial"/>
          <w:kern w:val="2"/>
          <w:lang w:val="es-ES_tradnl"/>
          <w14:ligatures w14:val="standardContextual"/>
        </w:rPr>
        <w:t>De igual forma, esta Agencia ha reiterado la postura del Consejo de Estado, según la cual, por la naturaleza propia de las causales de rechazo, su aplicación es estricta y restrictiva, lo que significa que su interpretación gramatical prevalece sobre una interpretación extensiva o de otra índole, mediante la cual se pretenda ampliar su alcance. Al respecto, el Consejo de Estado</w:t>
      </w:r>
      <w:r w:rsidRPr="00E42A65">
        <w:rPr>
          <w:rFonts w:ascii="Verdana" w:eastAsia="Aptos" w:hAnsi="Verdana" w:cs="Times New Roman"/>
          <w:i/>
          <w:kern w:val="2"/>
          <w:vertAlign w:val="superscript"/>
          <w:lang w:val="es-ES_tradnl"/>
          <w14:ligatures w14:val="standardContextual"/>
        </w:rPr>
        <w:footnoteReference w:id="2"/>
      </w:r>
      <w:r w:rsidRPr="00E42A65">
        <w:rPr>
          <w:rFonts w:ascii="Verdana" w:eastAsia="Calibri" w:hAnsi="Verdana" w:cs="Arial"/>
          <w:kern w:val="2"/>
          <w:lang w:val="es-ES_tradnl"/>
          <w14:ligatures w14:val="standardContextual"/>
        </w:rPr>
        <w:t xml:space="preserve"> sostuvo: </w:t>
      </w:r>
    </w:p>
    <w:bookmarkEnd w:id="4"/>
    <w:p w14:paraId="01DB345E" w14:textId="77777777" w:rsidR="00D42FCF" w:rsidRPr="00E42A65" w:rsidRDefault="00D42FCF" w:rsidP="00D42FCF">
      <w:pPr>
        <w:spacing w:after="0" w:line="276" w:lineRule="auto"/>
        <w:ind w:left="709" w:right="709"/>
        <w:jc w:val="both"/>
        <w:rPr>
          <w:rFonts w:ascii="Verdana" w:eastAsia="Times New Roman" w:hAnsi="Verdana" w:cs="Arial"/>
          <w:bCs/>
          <w:iCs/>
          <w:kern w:val="2"/>
          <w:sz w:val="20"/>
          <w:szCs w:val="20"/>
          <w:lang w:val="es-ES_tradnl" w:eastAsia="es-MX"/>
          <w14:ligatures w14:val="standardContextual"/>
        </w:rPr>
      </w:pPr>
    </w:p>
    <w:p w14:paraId="517498F1" w14:textId="77777777" w:rsidR="00D42FCF" w:rsidRPr="00E42A65" w:rsidRDefault="00D42FCF" w:rsidP="00D42FCF">
      <w:pPr>
        <w:spacing w:after="0" w:line="240" w:lineRule="auto"/>
        <w:ind w:left="709" w:right="709"/>
        <w:jc w:val="both"/>
        <w:rPr>
          <w:rFonts w:ascii="Verdana" w:eastAsia="Times New Roman" w:hAnsi="Verdana" w:cs="Arial"/>
          <w:bCs/>
          <w:iCs/>
          <w:kern w:val="2"/>
          <w:sz w:val="20"/>
          <w:szCs w:val="20"/>
          <w:lang w:val="es-ES_tradnl" w:eastAsia="es-MX"/>
          <w14:ligatures w14:val="standardContextual"/>
        </w:rPr>
      </w:pPr>
      <w:r w:rsidRPr="00E42A65">
        <w:rPr>
          <w:rFonts w:ascii="Verdana" w:eastAsia="Times New Roman" w:hAnsi="Verdana" w:cs="Arial"/>
          <w:bCs/>
          <w:iCs/>
          <w:kern w:val="2"/>
          <w:sz w:val="20"/>
          <w:szCs w:val="20"/>
          <w:lang w:val="es-ES_tradnl" w:eastAsia="es-MX"/>
          <w14:ligatures w14:val="standardContextual"/>
        </w:rPr>
        <w:t>“En esta línea de pensamiento, resulta claro que el rechazo o la descalificación de ofertas no puede depender de la libre discrecionalidad de la administración, en la medida en que el oferente, por el hecho de participar en el proceso licitatorio,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establecidas en la ley, deriven del incumplimiento de requisitos de la propuesta o de la omisión de documentos referentes a la futura contratación que sean necesarios para la comparación de las propuestas, de conformidad con lo establecido en el numeral 15 del artículo 25 de la Ley 80 de 1993, puesto que la causa excluyente debe ser razonable, esencial y proporcionada, toda vez que no tendría justificación excluir una propuesta por una deficiencia que no tenga incidencia alguna en la contratación.”</w:t>
      </w:r>
    </w:p>
    <w:p w14:paraId="011C487F" w14:textId="77777777" w:rsidR="00D42FCF" w:rsidRPr="00E42A65" w:rsidRDefault="00D42FCF" w:rsidP="00D42FCF">
      <w:pPr>
        <w:spacing w:after="0" w:line="276" w:lineRule="auto"/>
        <w:ind w:left="709" w:right="709"/>
        <w:jc w:val="both"/>
        <w:rPr>
          <w:rFonts w:ascii="Verdana" w:eastAsia="Times New Roman" w:hAnsi="Verdana" w:cs="Arial"/>
          <w:bCs/>
          <w:iCs/>
          <w:kern w:val="2"/>
          <w:lang w:val="es-ES_tradnl" w:eastAsia="es-MX"/>
          <w14:ligatures w14:val="standardContextual"/>
        </w:rPr>
      </w:pPr>
    </w:p>
    <w:p w14:paraId="3515ECAE" w14:textId="77777777" w:rsidR="00D42FCF" w:rsidRPr="00E42A65" w:rsidRDefault="00D42FCF" w:rsidP="00D42FCF">
      <w:pPr>
        <w:snapToGrid w:val="0"/>
        <w:spacing w:after="120" w:line="276" w:lineRule="auto"/>
        <w:ind w:firstLine="709"/>
        <w:jc w:val="both"/>
        <w:rPr>
          <w:rFonts w:ascii="Verdana" w:eastAsia="Calibri" w:hAnsi="Verdana" w:cs="Arial"/>
          <w:kern w:val="2"/>
          <w:lang w:val="es-ES"/>
          <w14:ligatures w14:val="standardContextual"/>
        </w:rPr>
      </w:pPr>
      <w:r w:rsidRPr="00E42A65">
        <w:rPr>
          <w:rFonts w:ascii="Verdana" w:eastAsia="Calibri" w:hAnsi="Verdana" w:cs="Arial"/>
          <w:kern w:val="2"/>
          <w:lang w:val="es-ES"/>
          <w14:ligatures w14:val="standardContextual"/>
        </w:rPr>
        <w:t>Por lo expuesto, las causales de rechazo deben estar necesariamente nominadas en la ley o en el pliego de condiciones, y no puede realizarse, frente a su redacción, ninguna interpretación extensiva. Por esta razón si el Estatuto General de Contratación de la Administración Pública o el pliego de condiciones no establecen de manera literal una causal de rechazo, en los términos expuestos, no podrán rechazarse las propuestas.</w:t>
      </w:r>
    </w:p>
    <w:p w14:paraId="2525A010" w14:textId="77777777" w:rsidR="00D42FCF" w:rsidRDefault="00D42FCF" w:rsidP="00D42FCF">
      <w:pPr>
        <w:spacing w:after="120" w:line="276" w:lineRule="auto"/>
        <w:ind w:firstLine="709"/>
        <w:jc w:val="both"/>
        <w:rPr>
          <w:rFonts w:ascii="Verdana" w:eastAsia="Calibri" w:hAnsi="Verdana" w:cs="Arial"/>
          <w:lang w:val="es-MX" w:eastAsia="es-MX"/>
        </w:rPr>
      </w:pPr>
      <w:r w:rsidRPr="00E42A65">
        <w:rPr>
          <w:rFonts w:ascii="Verdana" w:eastAsia="Calibri" w:hAnsi="Verdana" w:cs="Arial"/>
          <w:lang w:val="es-MX" w:eastAsia="es-MX"/>
        </w:rPr>
        <w:t xml:space="preserve">Adicionalmente, la Agencia Nacional de Contratación Pública – Colombia Compra Eficiente, mediante los conceptos con radicados Nos. 2201913000007117 del 25 de septiembre de 2019, 2201913000009538 del 23 </w:t>
      </w:r>
      <w:r w:rsidRPr="00E42A65">
        <w:rPr>
          <w:rFonts w:ascii="Verdana" w:eastAsia="Calibri" w:hAnsi="Verdana" w:cs="Arial"/>
          <w:lang w:val="es-MX" w:eastAsia="es-MX"/>
        </w:rPr>
        <w:lastRenderedPageBreak/>
        <w:t>de diciembre de 2019, C-716 del 30 de octubre de 2020 y C-128 del 2 de agosto de 2024, entre otros, ha señalado que las causales de rechazo de las ofertas establecidas en los documentos tipo son taxativas, descartándose que la entidad introduzca nuevas, salvo las contempladas directamente en la ley. Igualmente, por la naturaleza de las causales de rechazo, su aplicación es estricta, lo que –a juicio de la Agencia Nacional de Contratación Pública– significa que su interpretación gramatical prevalece sobre una interpretación extensiva o de otra índole, mediante la cual se pretenda ampliar su alcance.</w:t>
      </w:r>
    </w:p>
    <w:p w14:paraId="2F7A446B" w14:textId="77777777" w:rsidR="00D42FCF" w:rsidRPr="007A571F" w:rsidRDefault="00D42FCF" w:rsidP="00D42FCF">
      <w:pPr>
        <w:jc w:val="both"/>
        <w:rPr>
          <w:rFonts w:cstheme="minorHAnsi"/>
          <w:i/>
          <w:iCs/>
        </w:rPr>
      </w:pPr>
      <w:r w:rsidRPr="00D567E4">
        <w:rPr>
          <w:rFonts w:ascii="Verdana" w:eastAsia="Calibri" w:hAnsi="Verdana" w:cs="Arial"/>
          <w:lang w:val="es-MX" w:eastAsia="es-MX"/>
        </w:rPr>
        <w:t>ii. Para responder el segundo problema jurídico, en primer lugar</w:t>
      </w:r>
      <w:r w:rsidRPr="00D567E4">
        <w:rPr>
          <w:rFonts w:ascii="Verdana" w:hAnsi="Verdana" w:cstheme="minorHAnsi"/>
        </w:rPr>
        <w:t>, resulta pertinente establecer que la Matriz - Experiencia "Sector Educativo" (versión 3) determina para</w:t>
      </w:r>
      <w:r w:rsidRPr="00282B29">
        <w:rPr>
          <w:rFonts w:ascii="Verdana" w:hAnsi="Verdana" w:cstheme="minorHAnsi"/>
        </w:rPr>
        <w:t xml:space="preserve"> el objeto indicado en la petición “</w:t>
      </w:r>
      <w:r w:rsidRPr="00282B29">
        <w:rPr>
          <w:rFonts w:ascii="Verdana" w:hAnsi="Verdana" w:cstheme="minorHAnsi"/>
          <w:i/>
          <w:iCs/>
        </w:rPr>
        <w:t>Construcción de cerramientos en 10 establecimientos educativos (…)”</w:t>
      </w:r>
      <w:r w:rsidRPr="00282B29">
        <w:rPr>
          <w:rFonts w:ascii="Verdana" w:hAnsi="Verdana" w:cstheme="minorHAnsi"/>
        </w:rPr>
        <w:t xml:space="preserve"> en el capítulo 1. OBRAS EN INFRAESTRUCTURA DE EDUCACIÓN, incluye la actividad “</w:t>
      </w:r>
      <w:r w:rsidRPr="00282B29">
        <w:rPr>
          <w:rFonts w:ascii="Verdana" w:hAnsi="Verdana" w:cstheme="minorHAnsi"/>
          <w:i/>
          <w:iCs/>
        </w:rPr>
        <w:t xml:space="preserve">1.3. Proyectos de demolición y/o </w:t>
      </w:r>
      <w:r w:rsidRPr="00282B29">
        <w:rPr>
          <w:rFonts w:ascii="Verdana" w:hAnsi="Verdana" w:cstheme="minorHAnsi"/>
          <w:b/>
          <w:bCs/>
          <w:i/>
          <w:iCs/>
        </w:rPr>
        <w:t>construcción</w:t>
      </w:r>
      <w:r w:rsidRPr="00282B29">
        <w:rPr>
          <w:rFonts w:ascii="Verdana" w:hAnsi="Verdana" w:cstheme="minorHAnsi"/>
          <w:i/>
          <w:iCs/>
        </w:rPr>
        <w:t xml:space="preserve">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cerramiento para </w:t>
      </w:r>
      <w:r w:rsidRPr="00282B29">
        <w:rPr>
          <w:rFonts w:ascii="Verdana" w:hAnsi="Verdana" w:cstheme="minorHAnsi"/>
          <w:b/>
          <w:bCs/>
          <w:i/>
          <w:iCs/>
        </w:rPr>
        <w:t>infraestructura educativa</w:t>
      </w:r>
      <w:r w:rsidRPr="00282B29">
        <w:rPr>
          <w:rFonts w:ascii="Verdana" w:hAnsi="Verdana" w:cstheme="minorHAnsi"/>
          <w:i/>
          <w:iCs/>
        </w:rPr>
        <w:t xml:space="preserve">”, </w:t>
      </w:r>
      <w:r w:rsidRPr="00282B29">
        <w:rPr>
          <w:rFonts w:ascii="Verdana" w:hAnsi="Verdana" w:cstheme="minorHAnsi"/>
        </w:rPr>
        <w:t>sobre que probablemente pudo recaer dicho objeto contractual y sobre el cual se solicita la siguiente experiencia:</w:t>
      </w:r>
    </w:p>
    <w:p w14:paraId="009F7A5B" w14:textId="77777777" w:rsidR="00D42FCF" w:rsidRPr="007A571F" w:rsidRDefault="00D42FCF" w:rsidP="00D42FCF">
      <w:pPr>
        <w:ind w:left="709" w:right="709"/>
        <w:jc w:val="both"/>
        <w:rPr>
          <w:rFonts w:ascii="Verdana" w:hAnsi="Verdana" w:cstheme="minorHAnsi"/>
          <w:i/>
          <w:iCs/>
          <w:sz w:val="20"/>
          <w:szCs w:val="20"/>
          <w:u w:val="single"/>
        </w:rPr>
      </w:pPr>
      <w:r w:rsidRPr="007A571F">
        <w:rPr>
          <w:rFonts w:ascii="Verdana" w:hAnsi="Verdana" w:cstheme="minorHAnsi"/>
          <w:i/>
          <w:iCs/>
          <w:sz w:val="20"/>
          <w:szCs w:val="20"/>
          <w:u w:val="single"/>
        </w:rPr>
        <w:t>General:</w:t>
      </w:r>
    </w:p>
    <w:p w14:paraId="012596BE" w14:textId="77777777" w:rsidR="00D42FCF" w:rsidRPr="007A571F" w:rsidRDefault="00D42FCF" w:rsidP="00D42FCF">
      <w:pPr>
        <w:ind w:left="709" w:right="709"/>
        <w:jc w:val="both"/>
        <w:rPr>
          <w:rFonts w:ascii="Verdana" w:hAnsi="Verdana" w:cstheme="minorHAnsi"/>
          <w:i/>
          <w:iCs/>
          <w:sz w:val="20"/>
          <w:szCs w:val="20"/>
        </w:rPr>
      </w:pPr>
      <w:r w:rsidRPr="007A571F">
        <w:rPr>
          <w:rFonts w:ascii="Verdana" w:hAnsi="Verdana" w:cstheme="minorHAnsi"/>
          <w:i/>
          <w:iCs/>
          <w:sz w:val="20"/>
          <w:szCs w:val="20"/>
        </w:rPr>
        <w:t>“PROYECTOS QUE CORRESPONDAN Y/O CONTEMPLEN ACTIVIDADES DE: DEMOLICION TOTAL Y/O DEMOLICION PARCIAL DE EDIFICACIONES Y/O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CERRAMIENTO DE EDIFICACIONES”</w:t>
      </w:r>
    </w:p>
    <w:p w14:paraId="1A14B029" w14:textId="77777777" w:rsidR="00D42FCF" w:rsidRPr="007A571F" w:rsidRDefault="00D42FCF" w:rsidP="00D42FCF">
      <w:pPr>
        <w:ind w:left="709" w:right="709"/>
        <w:jc w:val="both"/>
        <w:rPr>
          <w:rFonts w:ascii="Verdana" w:hAnsi="Verdana" w:cstheme="minorHAnsi"/>
          <w:i/>
          <w:iCs/>
          <w:sz w:val="20"/>
          <w:szCs w:val="20"/>
          <w:u w:val="single"/>
        </w:rPr>
      </w:pPr>
      <w:r w:rsidRPr="007A571F">
        <w:rPr>
          <w:rFonts w:ascii="Verdana" w:hAnsi="Verdana" w:cstheme="minorHAnsi"/>
          <w:i/>
          <w:iCs/>
          <w:sz w:val="20"/>
          <w:szCs w:val="20"/>
          <w:u w:val="single"/>
        </w:rPr>
        <w:t>Especifica:</w:t>
      </w:r>
    </w:p>
    <w:p w14:paraId="26B6D3E9" w14:textId="77777777" w:rsidR="00D42FCF" w:rsidRPr="007A571F" w:rsidRDefault="00D42FCF" w:rsidP="00D42FCF">
      <w:pPr>
        <w:ind w:left="709" w:right="709"/>
        <w:jc w:val="both"/>
        <w:rPr>
          <w:rFonts w:ascii="Verdana" w:hAnsi="Verdana" w:cstheme="minorHAnsi"/>
          <w:i/>
          <w:iCs/>
          <w:sz w:val="20"/>
          <w:szCs w:val="20"/>
        </w:rPr>
      </w:pPr>
      <w:r w:rsidRPr="007A571F">
        <w:rPr>
          <w:rFonts w:ascii="Verdana" w:hAnsi="Verdana" w:cstheme="minorHAnsi"/>
          <w:i/>
          <w:iCs/>
          <w:sz w:val="20"/>
          <w:szCs w:val="20"/>
        </w:rPr>
        <w:t xml:space="preserve">En caso de requerirse solo la demolición: Por lo menos uno (1) de los contratos válidos aportados como experiencia general deben contemplar actividades de demolición total y/o parcial de edificaciones y sus elementos estructurales y contemplar un área intervenida que sea igual y/o superior al (F%) del total de metros cuadrados del proceso de </w:t>
      </w:r>
      <w:r w:rsidRPr="007A571F">
        <w:rPr>
          <w:rFonts w:ascii="Verdana" w:hAnsi="Verdana" w:cstheme="minorHAnsi"/>
          <w:i/>
          <w:iCs/>
          <w:sz w:val="20"/>
          <w:szCs w:val="20"/>
        </w:rPr>
        <w:lastRenderedPageBreak/>
        <w:t>selección, el cual corresponde a [</w:t>
      </w:r>
      <w:r w:rsidRPr="007A571F">
        <w:rPr>
          <w:rFonts w:ascii="Verdana" w:hAnsi="Verdana" w:cstheme="minorHAnsi"/>
          <w:b/>
          <w:bCs/>
          <w:i/>
          <w:iCs/>
          <w:sz w:val="20"/>
          <w:szCs w:val="20"/>
        </w:rPr>
        <w:t>la entidad indicará los metros cuadrados para el proceso de selección</w:t>
      </w:r>
      <w:r w:rsidRPr="007A571F">
        <w:rPr>
          <w:rFonts w:ascii="Verdana" w:hAnsi="Verdana" w:cstheme="minorHAnsi"/>
          <w:i/>
          <w:iCs/>
          <w:sz w:val="20"/>
          <w:szCs w:val="20"/>
        </w:rPr>
        <w:t>]</w:t>
      </w:r>
    </w:p>
    <w:p w14:paraId="4EEC4B44" w14:textId="77777777" w:rsidR="00D42FCF" w:rsidRDefault="00D42FCF" w:rsidP="00D42FCF">
      <w:pPr>
        <w:ind w:left="709" w:right="709"/>
        <w:jc w:val="both"/>
        <w:rPr>
          <w:rFonts w:ascii="Verdana" w:hAnsi="Verdana" w:cstheme="minorHAnsi"/>
          <w:i/>
          <w:iCs/>
          <w:sz w:val="20"/>
          <w:szCs w:val="20"/>
        </w:rPr>
      </w:pPr>
      <w:r w:rsidRPr="007A571F">
        <w:rPr>
          <w:rFonts w:ascii="Verdana" w:hAnsi="Verdana" w:cstheme="minorHAnsi"/>
          <w:b/>
          <w:bCs/>
          <w:i/>
          <w:iCs/>
          <w:sz w:val="20"/>
          <w:szCs w:val="20"/>
        </w:rPr>
        <w:t>En caso de requerirse solo el</w:t>
      </w:r>
      <w:r w:rsidRPr="007A571F">
        <w:rPr>
          <w:rFonts w:ascii="Verdana" w:hAnsi="Verdana" w:cstheme="minorHAnsi"/>
          <w:i/>
          <w:iCs/>
          <w:sz w:val="20"/>
          <w:szCs w:val="20"/>
        </w:rPr>
        <w:t xml:space="preserve"> </w:t>
      </w:r>
      <w:r w:rsidRPr="007A571F">
        <w:rPr>
          <w:rFonts w:ascii="Verdana" w:hAnsi="Verdana" w:cstheme="minorHAnsi"/>
          <w:b/>
          <w:bCs/>
          <w:i/>
          <w:iCs/>
          <w:sz w:val="20"/>
          <w:szCs w:val="20"/>
        </w:rPr>
        <w:t>cerramiento</w:t>
      </w:r>
      <w:r w:rsidRPr="007A571F">
        <w:rPr>
          <w:rFonts w:ascii="Verdana" w:hAnsi="Verdana" w:cstheme="minorHAnsi"/>
          <w:i/>
          <w:iCs/>
          <w:sz w:val="20"/>
          <w:szCs w:val="20"/>
        </w:rPr>
        <w:t>: Por lo menos uno (1) de los contratos válidos aportados como experiencia general deben contemplar actividades de cerramiento de edificaciones y/o lotes y/o inmuebles y contemplar un área y/o longitud intervenida que sea igual y/o superior al (F%) del total de metros cuadrados y/o metros lineales del proceso de selección, el cual corresponde a [la entidad indicará los metros cuadrados y/o metros lineales para el proceso de selección].</w:t>
      </w:r>
      <w:r w:rsidRPr="007A571F">
        <w:rPr>
          <w:rFonts w:ascii="Verdana" w:hAnsi="Verdana" w:cstheme="minorHAnsi"/>
          <w:i/>
          <w:iCs/>
          <w:sz w:val="20"/>
          <w:szCs w:val="20"/>
        </w:rPr>
        <w:tab/>
      </w:r>
    </w:p>
    <w:p w14:paraId="5A103D54" w14:textId="77777777" w:rsidR="00D42FCF" w:rsidRPr="007A571F" w:rsidRDefault="00D42FCF" w:rsidP="00D42FCF">
      <w:pPr>
        <w:ind w:left="709" w:right="709"/>
        <w:jc w:val="both"/>
        <w:rPr>
          <w:rFonts w:ascii="Verdana" w:hAnsi="Verdana" w:cstheme="minorHAnsi"/>
          <w:i/>
          <w:iCs/>
          <w:sz w:val="20"/>
          <w:szCs w:val="20"/>
        </w:rPr>
      </w:pPr>
      <w:r w:rsidRPr="007A571F">
        <w:rPr>
          <w:rFonts w:ascii="Verdana" w:hAnsi="Verdana" w:cstheme="minorHAnsi"/>
          <w:i/>
          <w:iCs/>
          <w:sz w:val="20"/>
          <w:szCs w:val="20"/>
        </w:rPr>
        <w:t>Nota General: en caso de requerirse las dos intervenciones (Demolición y Cerramiento), se solicitarán los dos requerimientos en hasta máximo dos contratos válidos aportados como experiencia general, con los requisitos planteados.</w:t>
      </w:r>
      <w:r w:rsidRPr="007A571F">
        <w:rPr>
          <w:rFonts w:ascii="Verdana" w:hAnsi="Verdana" w:cstheme="minorHAnsi"/>
          <w:i/>
          <w:iCs/>
          <w:sz w:val="20"/>
          <w:szCs w:val="20"/>
        </w:rPr>
        <w:tab/>
      </w:r>
      <w:r w:rsidRPr="007A571F">
        <w:rPr>
          <w:rFonts w:ascii="Verdana" w:hAnsi="Verdana" w:cstheme="minorHAnsi"/>
          <w:i/>
          <w:iCs/>
          <w:sz w:val="20"/>
          <w:szCs w:val="20"/>
        </w:rPr>
        <w:tab/>
      </w:r>
      <w:r w:rsidRPr="007A571F">
        <w:rPr>
          <w:rFonts w:ascii="Verdana" w:hAnsi="Verdana" w:cstheme="minorHAnsi"/>
          <w:i/>
          <w:iCs/>
          <w:sz w:val="20"/>
          <w:szCs w:val="20"/>
        </w:rPr>
        <w:tab/>
      </w:r>
      <w:r w:rsidRPr="007A571F">
        <w:rPr>
          <w:rFonts w:ascii="Verdana" w:hAnsi="Verdana" w:cstheme="minorHAnsi"/>
          <w:i/>
          <w:iCs/>
          <w:sz w:val="20"/>
          <w:szCs w:val="20"/>
        </w:rPr>
        <w:tab/>
      </w:r>
      <w:r w:rsidRPr="007A571F">
        <w:rPr>
          <w:rFonts w:ascii="Verdana" w:hAnsi="Verdana" w:cstheme="minorHAnsi"/>
          <w:i/>
          <w:iCs/>
          <w:sz w:val="20"/>
          <w:szCs w:val="20"/>
        </w:rPr>
        <w:tab/>
      </w:r>
    </w:p>
    <w:p w14:paraId="3C0DA040" w14:textId="77777777" w:rsidR="00D42FCF" w:rsidRPr="007A571F" w:rsidRDefault="00D42FCF" w:rsidP="00D42FCF">
      <w:pPr>
        <w:ind w:left="709" w:right="709"/>
        <w:jc w:val="both"/>
        <w:rPr>
          <w:rFonts w:ascii="Verdana" w:hAnsi="Verdana" w:cstheme="minorHAnsi"/>
          <w:i/>
          <w:iCs/>
          <w:sz w:val="20"/>
          <w:szCs w:val="20"/>
        </w:rPr>
      </w:pPr>
      <w:r w:rsidRPr="007A571F">
        <w:rPr>
          <w:rFonts w:ascii="Verdana" w:hAnsi="Verdana" w:cstheme="minorHAnsi"/>
          <w:i/>
          <w:iCs/>
          <w:sz w:val="20"/>
          <w:szCs w:val="20"/>
        </w:rPr>
        <w:t>"Nota: En caso de que la intervención a realizar corresponda a un proyecto en materiales como madera, guadua y/o bahareque, adobe y/o tapia pisada, adicionalmente, deberá exigirse el siguiente requisito de experiencia específica, al cual NO le es aplicable el ""% DE DIMENSIONAMIENTO"":</w:t>
      </w:r>
    </w:p>
    <w:p w14:paraId="71C97DD4" w14:textId="77777777" w:rsidR="00D42FCF" w:rsidRPr="00E44F0A" w:rsidRDefault="00D42FCF" w:rsidP="00D42FCF">
      <w:pPr>
        <w:ind w:left="709" w:right="709"/>
        <w:jc w:val="both"/>
        <w:rPr>
          <w:rFonts w:cstheme="minorHAnsi"/>
          <w:i/>
          <w:iCs/>
        </w:rPr>
      </w:pPr>
      <w:r w:rsidRPr="00E44F0A">
        <w:rPr>
          <w:rFonts w:ascii="Verdana" w:hAnsi="Verdana" w:cstheme="minorHAnsi"/>
          <w:i/>
          <w:iCs/>
          <w:sz w:val="20"/>
          <w:szCs w:val="20"/>
        </w:rPr>
        <w:t>Por lo menos uno (1) de los contratos válidos aportados como experiencia general deben contemplar la Demolición total y/o demolición parcial DE EDIFICACIONES y/o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CERRAMIENTO DE EDIFICACIONES en alguno o algunos de los siguientes materiales como predominante: madera, guadua y/o bahareque, adobe y/o tapia pisada.</w:t>
      </w:r>
    </w:p>
    <w:p w14:paraId="59ED3243" w14:textId="77777777" w:rsidR="00D42FCF" w:rsidRPr="00E44F0A" w:rsidRDefault="00D42FCF" w:rsidP="00D42FCF">
      <w:pPr>
        <w:jc w:val="both"/>
        <w:rPr>
          <w:rFonts w:ascii="Verdana" w:hAnsi="Verdana" w:cstheme="minorHAnsi"/>
        </w:rPr>
      </w:pPr>
      <w:r w:rsidRPr="00E44F0A">
        <w:rPr>
          <w:rFonts w:ascii="Verdana" w:hAnsi="Verdana" w:cstheme="minorHAnsi"/>
        </w:rPr>
        <w:t xml:space="preserve">Lo anterior hace mención de la solicitud de experiencia especifica en los casos en que el proyecto incluya actividades de demolición o de cerramiento y/o las dos de manera simultánea y establece las consideraciones en estos tres eventos. </w:t>
      </w:r>
    </w:p>
    <w:p w14:paraId="7BAE251B" w14:textId="77777777" w:rsidR="00D42FCF" w:rsidRPr="00E44F0A" w:rsidRDefault="00D42FCF" w:rsidP="00D42FCF">
      <w:pPr>
        <w:jc w:val="both"/>
        <w:rPr>
          <w:rFonts w:ascii="Verdana" w:hAnsi="Verdana" w:cstheme="minorHAnsi"/>
        </w:rPr>
      </w:pPr>
      <w:r w:rsidRPr="00E44F0A">
        <w:rPr>
          <w:rFonts w:ascii="Verdana" w:hAnsi="Verdana" w:cstheme="minorHAnsi"/>
        </w:rPr>
        <w:t xml:space="preserve">Para el caso del objeto del proceso de selección señalado en la petición, dicho proyecto correspondería a actividades relacionadas solamente con la construcción del cerramiento, en tal sentido, se establece que uno (1) de los contratos válidos presentados para acreditar la experiencia general deben contemplar o incluir actividades de cerramiento para: a) edificaciones y/o, b)  lotes y/o, c) inmuebles y contemplar un área y/o longitud intervenida que sea igual y/o superior al (F%) del total de metros cuadrados y/o metros lineales, y </w:t>
      </w:r>
      <w:r w:rsidRPr="00E44F0A">
        <w:rPr>
          <w:rFonts w:ascii="Verdana" w:hAnsi="Verdana" w:cstheme="minorHAnsi"/>
        </w:rPr>
        <w:lastRenderedPageBreak/>
        <w:t>en este aspecto la variable (F%) corresponde al dimensionamiento determinado por la entidad en función de los estudios previos del proceso de selección.</w:t>
      </w:r>
    </w:p>
    <w:p w14:paraId="62D264CF" w14:textId="77777777" w:rsidR="00D42FCF" w:rsidRPr="00E44F0A" w:rsidRDefault="00D42FCF" w:rsidP="00D42FCF">
      <w:pPr>
        <w:jc w:val="both"/>
        <w:rPr>
          <w:rFonts w:ascii="Verdana" w:hAnsi="Verdana" w:cstheme="minorHAnsi"/>
        </w:rPr>
      </w:pPr>
      <w:r w:rsidRPr="00E44F0A">
        <w:rPr>
          <w:rFonts w:ascii="Verdana" w:hAnsi="Verdana" w:cstheme="minorHAnsi"/>
        </w:rPr>
        <w:t>Ahora bien, respecto de la experiencia aportada relacionada con la</w:t>
      </w:r>
      <w:r w:rsidRPr="00E44F0A">
        <w:rPr>
          <w:rFonts w:ascii="Verdana" w:hAnsi="Verdana" w:cstheme="minorHAnsi"/>
          <w:i/>
          <w:iCs/>
        </w:rPr>
        <w:t xml:space="preserve"> “CONSTRUCCIÓN DEL CERRAMIENTO PARA LA CENTRAL HIDROELECTRICA (…)“,</w:t>
      </w:r>
      <w:r w:rsidRPr="00E44F0A">
        <w:rPr>
          <w:rFonts w:ascii="Verdana" w:hAnsi="Verdana" w:cstheme="minorHAnsi"/>
        </w:rPr>
        <w:t xml:space="preserve"> en primer lugar resulta pertinente establecer y determinar el contexto del alcance de la nota contenida en el documento base que el peticionario relaciona como “</w:t>
      </w:r>
      <w:r w:rsidRPr="00E44F0A">
        <w:rPr>
          <w:rFonts w:ascii="Verdana" w:hAnsi="Verdana" w:cstheme="minorHAnsi"/>
          <w:b/>
          <w:bCs/>
          <w:i/>
          <w:iCs/>
        </w:rPr>
        <w:t>no será válida la experiencia acreditada para edificaciones que se encuentre relacionada con la ejecución de obras cuyo objeto o alcance sea obras hidráulicas (represas, alcantarillados, acueductos, diques, canales, plantas de tratamiento).</w:t>
      </w:r>
    </w:p>
    <w:p w14:paraId="3C723789" w14:textId="77777777" w:rsidR="00D42FCF" w:rsidRPr="00E44F0A" w:rsidRDefault="00D42FCF" w:rsidP="00D42FCF">
      <w:pPr>
        <w:jc w:val="both"/>
        <w:rPr>
          <w:rFonts w:ascii="Verdana" w:hAnsi="Verdana"/>
          <w:color w:val="000000" w:themeColor="text1"/>
          <w:lang w:val="es-MX"/>
        </w:rPr>
      </w:pPr>
      <w:r w:rsidRPr="00E44F0A">
        <w:rPr>
          <w:rFonts w:ascii="Verdana" w:hAnsi="Verdana" w:cstheme="minorHAnsi"/>
        </w:rPr>
        <w:t>El numeral 3.5.1 CARACTERÍSTICAS DE LOS CONTRATOS PRESENTADOS PARA ACREDITAR LA EXPERIENCIA EXIGIDA, del documento base, en el literal N, señala los eventos en los cuales no será válida la experiencia para proyectos de “edificaciones” que se relacione con el objeto o alcance relacionado con actividades de:</w:t>
      </w:r>
      <w:r w:rsidRPr="00E44F0A">
        <w:rPr>
          <w:rFonts w:ascii="Verdana" w:hAnsi="Verdana"/>
          <w:color w:val="000000" w:themeColor="text1"/>
          <w:lang w:val="es-MX"/>
        </w:rPr>
        <w:t xml:space="preserve"> </w:t>
      </w:r>
    </w:p>
    <w:p w14:paraId="04C9508D" w14:textId="77777777" w:rsidR="00D42FCF" w:rsidRPr="00E44F0A" w:rsidRDefault="00D42FCF" w:rsidP="00D42FCF">
      <w:pPr>
        <w:pStyle w:val="Prrafodelista"/>
        <w:numPr>
          <w:ilvl w:val="0"/>
          <w:numId w:val="19"/>
        </w:numPr>
        <w:spacing w:after="0" w:line="240" w:lineRule="auto"/>
        <w:ind w:left="1066" w:right="709" w:hanging="357"/>
        <w:jc w:val="both"/>
        <w:rPr>
          <w:rFonts w:ascii="Verdana" w:hAnsi="Verdana" w:cstheme="minorHAnsi"/>
          <w:i/>
          <w:iCs/>
          <w:sz w:val="20"/>
          <w:szCs w:val="20"/>
          <w:lang w:val="es-MX"/>
        </w:rPr>
      </w:pPr>
      <w:r w:rsidRPr="00E44F0A">
        <w:rPr>
          <w:rFonts w:ascii="Verdana" w:hAnsi="Verdana" w:cstheme="minorHAnsi"/>
          <w:i/>
          <w:iCs/>
          <w:sz w:val="20"/>
          <w:szCs w:val="20"/>
          <w:lang w:val="es-MX"/>
        </w:rPr>
        <w:t>Certificaciones de estudios técnicos y diseños</w:t>
      </w:r>
    </w:p>
    <w:p w14:paraId="3A23D32A" w14:textId="77777777" w:rsidR="00D42FCF" w:rsidRPr="00E44F0A" w:rsidRDefault="00D42FCF" w:rsidP="00D42FCF">
      <w:pPr>
        <w:numPr>
          <w:ilvl w:val="0"/>
          <w:numId w:val="19"/>
        </w:numPr>
        <w:spacing w:after="0" w:line="240" w:lineRule="auto"/>
        <w:ind w:left="1066" w:right="709" w:hanging="357"/>
        <w:jc w:val="both"/>
        <w:rPr>
          <w:rFonts w:ascii="Verdana" w:hAnsi="Verdana" w:cstheme="minorHAnsi"/>
          <w:i/>
          <w:iCs/>
          <w:sz w:val="20"/>
          <w:szCs w:val="20"/>
          <w:lang w:val="es-MX"/>
        </w:rPr>
      </w:pPr>
      <w:r w:rsidRPr="00E44F0A">
        <w:rPr>
          <w:rFonts w:ascii="Verdana" w:hAnsi="Verdana" w:cstheme="minorHAnsi"/>
          <w:i/>
          <w:iCs/>
          <w:sz w:val="20"/>
          <w:szCs w:val="20"/>
          <w:lang w:val="es-MX"/>
        </w:rPr>
        <w:t>Construcción de estaciones de servicios o campamentos</w:t>
      </w:r>
    </w:p>
    <w:p w14:paraId="0B68D6F7" w14:textId="77777777" w:rsidR="00D42FCF" w:rsidRPr="00E44F0A" w:rsidRDefault="00D42FCF" w:rsidP="00D42FCF">
      <w:pPr>
        <w:numPr>
          <w:ilvl w:val="0"/>
          <w:numId w:val="19"/>
        </w:numPr>
        <w:spacing w:after="0" w:line="240" w:lineRule="auto"/>
        <w:ind w:left="1066" w:right="709" w:hanging="357"/>
        <w:jc w:val="both"/>
        <w:rPr>
          <w:rFonts w:ascii="Verdana" w:hAnsi="Verdana" w:cstheme="minorHAnsi"/>
          <w:i/>
          <w:iCs/>
          <w:sz w:val="20"/>
          <w:szCs w:val="20"/>
          <w:lang w:val="es-MX"/>
        </w:rPr>
      </w:pPr>
      <w:r w:rsidRPr="00E44F0A">
        <w:rPr>
          <w:rFonts w:ascii="Verdana" w:hAnsi="Verdana" w:cstheme="minorHAnsi"/>
          <w:i/>
          <w:iCs/>
          <w:sz w:val="20"/>
          <w:szCs w:val="20"/>
          <w:lang w:val="es-MX"/>
        </w:rPr>
        <w:t xml:space="preserve">Parqueaderos de un (1) piso (como uso exclusivo), salvo que el Proceso de Contratación expresamente lo determine como válido. Infraestructura de transporte, salvo que el Proceso de Contratación implique el mantenimiento de vías de circulación internas. </w:t>
      </w:r>
    </w:p>
    <w:p w14:paraId="500B7A00" w14:textId="77777777" w:rsidR="00D42FCF" w:rsidRPr="00E44F0A" w:rsidRDefault="00D42FCF" w:rsidP="00D42FCF">
      <w:pPr>
        <w:numPr>
          <w:ilvl w:val="0"/>
          <w:numId w:val="19"/>
        </w:numPr>
        <w:spacing w:after="0" w:line="240" w:lineRule="auto"/>
        <w:ind w:left="1066" w:right="709" w:hanging="357"/>
        <w:jc w:val="both"/>
        <w:rPr>
          <w:rFonts w:ascii="Verdana" w:hAnsi="Verdana" w:cstheme="minorHAnsi"/>
          <w:sz w:val="20"/>
          <w:szCs w:val="20"/>
          <w:lang w:val="es-MX"/>
        </w:rPr>
      </w:pPr>
      <w:r w:rsidRPr="00E44F0A">
        <w:rPr>
          <w:rFonts w:ascii="Verdana" w:hAnsi="Verdana" w:cstheme="minorHAnsi"/>
          <w:i/>
          <w:iCs/>
          <w:sz w:val="20"/>
          <w:szCs w:val="20"/>
          <w:lang w:val="es-MX"/>
        </w:rPr>
        <w:t>Obras hidráulicas (represas, alcantarillados, acueductos, diques, canales, plantas de tratamiento).</w:t>
      </w:r>
    </w:p>
    <w:p w14:paraId="63543BA6" w14:textId="77777777" w:rsidR="00D42FCF" w:rsidRPr="00E44F0A" w:rsidRDefault="00D42FCF" w:rsidP="00D42FCF">
      <w:pPr>
        <w:spacing w:after="0" w:line="240" w:lineRule="auto"/>
        <w:ind w:left="1428"/>
        <w:jc w:val="both"/>
        <w:rPr>
          <w:rFonts w:ascii="Verdana" w:hAnsi="Verdana" w:cstheme="minorHAnsi"/>
          <w:sz w:val="20"/>
          <w:szCs w:val="20"/>
          <w:lang w:val="es-MX"/>
        </w:rPr>
      </w:pPr>
    </w:p>
    <w:p w14:paraId="31812D7E" w14:textId="77777777" w:rsidR="00D42FCF" w:rsidRPr="00E44F0A" w:rsidRDefault="00D42FCF" w:rsidP="00D42FCF">
      <w:pPr>
        <w:jc w:val="both"/>
        <w:rPr>
          <w:rFonts w:ascii="Verdana" w:hAnsi="Verdana" w:cstheme="minorHAnsi"/>
        </w:rPr>
      </w:pPr>
      <w:r w:rsidRPr="00E44F0A">
        <w:rPr>
          <w:rFonts w:ascii="Verdana" w:hAnsi="Verdana" w:cstheme="minorHAnsi"/>
        </w:rPr>
        <w:t>Y en adición a lo anterior, dicho literal señala dos notas (nota 11 y 12) y en particular la nota 11 precisa dicho alcance:</w:t>
      </w:r>
    </w:p>
    <w:p w14:paraId="43BAFA9D" w14:textId="77777777" w:rsidR="00D42FCF" w:rsidRPr="00E44F0A" w:rsidRDefault="00D42FCF" w:rsidP="00D42FCF">
      <w:pPr>
        <w:spacing w:line="240" w:lineRule="atLeast"/>
        <w:ind w:left="709" w:right="709"/>
        <w:jc w:val="both"/>
        <w:rPr>
          <w:rFonts w:ascii="Verdana" w:hAnsi="Verdana" w:cstheme="minorHAnsi"/>
          <w:i/>
          <w:iCs/>
          <w:sz w:val="20"/>
          <w:szCs w:val="20"/>
        </w:rPr>
      </w:pPr>
      <w:r w:rsidRPr="00E44F0A">
        <w:rPr>
          <w:rFonts w:ascii="Verdana" w:hAnsi="Verdana" w:cstheme="minorHAnsi"/>
          <w:i/>
          <w:iCs/>
          <w:sz w:val="20"/>
          <w:szCs w:val="20"/>
        </w:rPr>
        <w:t>“Las consideraciones previamente relacionadas aplican para las actividades a contratar que correspondan a la intervención de edificaciones verticales únicamente. “</w:t>
      </w:r>
    </w:p>
    <w:p w14:paraId="772D2994" w14:textId="77777777" w:rsidR="00D42FCF" w:rsidRPr="00E44F0A" w:rsidRDefault="00D42FCF" w:rsidP="00D42FCF">
      <w:pPr>
        <w:jc w:val="both"/>
        <w:rPr>
          <w:rFonts w:ascii="Verdana" w:hAnsi="Verdana" w:cstheme="minorHAnsi"/>
          <w:lang w:val="es-MX"/>
        </w:rPr>
      </w:pPr>
      <w:r w:rsidRPr="00E44F0A">
        <w:rPr>
          <w:rFonts w:ascii="Verdana" w:hAnsi="Verdana" w:cstheme="minorHAnsi"/>
        </w:rPr>
        <w:t>En concordancia con la nota señalada, y en virtud de la petición planteada, la aplicación de la restricción de acreditación de la experiencia que señala: “</w:t>
      </w:r>
      <w:r w:rsidRPr="00E44F0A">
        <w:rPr>
          <w:rFonts w:ascii="Verdana" w:hAnsi="Verdana" w:cstheme="minorHAnsi"/>
          <w:i/>
          <w:iCs/>
          <w:lang w:val="es-MX"/>
        </w:rPr>
        <w:t>Obras hidráulicas (represas, alcantarillados, acueductos, diques, canales, plantas de tratamiento)”</w:t>
      </w:r>
      <w:r w:rsidRPr="00E44F0A">
        <w:rPr>
          <w:rFonts w:ascii="Verdana" w:hAnsi="Verdana" w:cstheme="minorHAnsi"/>
          <w:lang w:val="es-MX"/>
        </w:rPr>
        <w:t xml:space="preserve"> aplica solo para los eventos en que dicha experiencia se acredite para las actividades relacionadas con intervenciones de “edificaciones verticales”.</w:t>
      </w:r>
    </w:p>
    <w:p w14:paraId="1AA11D16" w14:textId="77777777" w:rsidR="00D42FCF" w:rsidRPr="00E44F0A" w:rsidRDefault="00D42FCF" w:rsidP="00D42FCF">
      <w:pPr>
        <w:jc w:val="both"/>
        <w:rPr>
          <w:rFonts w:ascii="Verdana" w:hAnsi="Verdana" w:cstheme="minorHAnsi"/>
          <w:lang w:val="es-MX"/>
        </w:rPr>
      </w:pPr>
      <w:r w:rsidRPr="00E44F0A">
        <w:rPr>
          <w:rFonts w:ascii="Verdana" w:hAnsi="Verdana" w:cstheme="minorHAnsi"/>
          <w:lang w:val="es-MX"/>
        </w:rPr>
        <w:t>Ahora bien, para el caso particular de la petición, la experiencia que se solicita es sobre la “</w:t>
      </w:r>
      <w:r w:rsidRPr="00E44F0A">
        <w:rPr>
          <w:rFonts w:ascii="Verdana" w:hAnsi="Verdana" w:cstheme="minorHAnsi"/>
          <w:i/>
          <w:iCs/>
          <w:lang w:val="es-MX"/>
        </w:rPr>
        <w:t>construcción de cerramientos</w:t>
      </w:r>
      <w:r w:rsidRPr="00E44F0A">
        <w:rPr>
          <w:rFonts w:ascii="Verdana" w:hAnsi="Verdana" w:cstheme="minorHAnsi"/>
          <w:lang w:val="es-MX"/>
        </w:rPr>
        <w:t xml:space="preserve">”, que no necesariamente se deba dar </w:t>
      </w:r>
      <w:r w:rsidRPr="00E44F0A">
        <w:rPr>
          <w:rFonts w:ascii="Verdana" w:hAnsi="Verdana" w:cstheme="minorHAnsi"/>
          <w:lang w:val="es-MX"/>
        </w:rPr>
        <w:lastRenderedPageBreak/>
        <w:t>de manera exclusiva sobre edificaciones educativas, por esta razón, la matriz de experiencia solicita para la experiencia especifica, que pueda darse en intervenciones relacionadas con “</w:t>
      </w:r>
      <w:r w:rsidRPr="00E44F0A">
        <w:rPr>
          <w:rFonts w:ascii="Verdana" w:hAnsi="Verdana" w:cstheme="minorHAnsi"/>
          <w:i/>
          <w:iCs/>
        </w:rPr>
        <w:t>edificaciones y/o lotes y/o inmuebles”.</w:t>
      </w:r>
    </w:p>
    <w:p w14:paraId="31E59475" w14:textId="77777777" w:rsidR="00D42FCF" w:rsidRPr="00E44F0A" w:rsidRDefault="00D42FCF" w:rsidP="00D42FCF">
      <w:pPr>
        <w:jc w:val="both"/>
        <w:rPr>
          <w:rFonts w:ascii="Verdana" w:hAnsi="Verdana" w:cstheme="minorHAnsi"/>
        </w:rPr>
      </w:pPr>
      <w:r w:rsidRPr="00E44F0A">
        <w:rPr>
          <w:rFonts w:ascii="Verdana" w:hAnsi="Verdana" w:cstheme="minorHAnsi"/>
        </w:rPr>
        <w:t>De manera adicional, resulta conveniente precisar lo señalado en el numeral 2.35 del Anexo 5 – Glosario que define un cerramiento como:</w:t>
      </w:r>
    </w:p>
    <w:p w14:paraId="4F7D2093" w14:textId="77777777" w:rsidR="00D42FCF" w:rsidRPr="00E44F0A" w:rsidRDefault="00D42FCF" w:rsidP="00D42FCF">
      <w:pPr>
        <w:pStyle w:val="Prrafodelista"/>
        <w:spacing w:after="240"/>
        <w:ind w:left="709" w:right="709"/>
        <w:jc w:val="both"/>
        <w:rPr>
          <w:rFonts w:ascii="Verdana" w:hAnsi="Verdana" w:cstheme="minorHAnsi"/>
          <w:i/>
          <w:iCs/>
          <w:sz w:val="20"/>
          <w:szCs w:val="20"/>
        </w:rPr>
      </w:pPr>
      <w:r w:rsidRPr="00E44F0A">
        <w:rPr>
          <w:rFonts w:ascii="Verdana" w:hAnsi="Verdana" w:cstheme="minorHAnsi"/>
          <w:i/>
          <w:iCs/>
          <w:sz w:val="20"/>
          <w:szCs w:val="20"/>
        </w:rPr>
        <w:t>“Muro localizado en el paramento del lote de terreno y que se encuentra separado de la edificación en la dirección perpendicular al paramento del lote de terreno, que no hace parte del sistema estructural de soporte de la edificación. “</w:t>
      </w:r>
    </w:p>
    <w:p w14:paraId="0E57799A" w14:textId="77777777" w:rsidR="00D42FCF" w:rsidRPr="00E44F0A" w:rsidRDefault="00D42FCF" w:rsidP="00D42FCF">
      <w:pPr>
        <w:jc w:val="both"/>
        <w:rPr>
          <w:rFonts w:ascii="Verdana" w:hAnsi="Verdana" w:cstheme="minorHAnsi"/>
        </w:rPr>
      </w:pPr>
      <w:r w:rsidRPr="00E44F0A">
        <w:rPr>
          <w:rFonts w:ascii="Verdana" w:hAnsi="Verdana" w:cstheme="minorHAnsi"/>
        </w:rPr>
        <w:t>En tal contexto, el cerramiento es un elemento que no hace parte de la edificación, por tal razón, la aplicación del literal N mencionado previamente no procederá para la aplicación de experiencia en este tipo de intervenciones, es decir en la “construcción de un cerramiento”.</w:t>
      </w:r>
    </w:p>
    <w:p w14:paraId="4CE0C663" w14:textId="77777777" w:rsidR="00D42FCF" w:rsidRPr="00E44F0A" w:rsidRDefault="00D42FCF" w:rsidP="00D42FCF">
      <w:pPr>
        <w:spacing w:after="120" w:line="276" w:lineRule="auto"/>
        <w:jc w:val="both"/>
        <w:rPr>
          <w:rFonts w:ascii="Verdana" w:eastAsia="Calibri" w:hAnsi="Verdana" w:cs="Arial"/>
        </w:rPr>
      </w:pPr>
      <w:r w:rsidRPr="00E44F0A">
        <w:rPr>
          <w:rFonts w:ascii="Verdana" w:eastAsia="Times New Roman" w:hAnsi="Verdana" w:cs="Times New Roman"/>
          <w:color w:val="000000"/>
          <w:lang w:eastAsia="es-CO"/>
        </w:rPr>
        <w:t xml:space="preserve">iii. Por otra parte, con respecto al tercer problema jurídico, es importante mencionar </w:t>
      </w:r>
      <w:bookmarkStart w:id="5" w:name="_Hlk91599456"/>
      <w:r w:rsidRPr="00E44F0A">
        <w:rPr>
          <w:rFonts w:ascii="Verdana" w:eastAsia="Times New Roman" w:hAnsi="Verdana" w:cs="Times New Roman"/>
          <w:color w:val="000000"/>
          <w:lang w:eastAsia="es-CO"/>
        </w:rPr>
        <w:t xml:space="preserve">que, </w:t>
      </w:r>
      <w:r w:rsidRPr="00E44F0A">
        <w:rPr>
          <w:rFonts w:ascii="Verdana" w:eastAsia="Calibri" w:hAnsi="Verdana" w:cs="Arial"/>
        </w:rPr>
        <w:t xml:space="preserve">la Ley 1150 de 2007, en el artículo 5, </w:t>
      </w:r>
      <w:r w:rsidRPr="00E44F0A">
        <w:rPr>
          <w:rFonts w:ascii="Verdana" w:hAnsi="Verdana" w:cs="Arial"/>
        </w:rPr>
        <w:t xml:space="preserve">dispone que </w:t>
      </w:r>
      <w:r w:rsidRPr="00E44F0A">
        <w:rPr>
          <w:rFonts w:ascii="Verdana" w:eastAsia="Calibri" w:hAnsi="Verdana" w:cs="Arial"/>
        </w:rPr>
        <w:t xml:space="preserve">la capacidad jurídica y las condiciones de experiencia, así como la capacidad financiera y de organización de los proponentes, serán objeto de verificación por parte de las entidades como requisitos habilitantes para participar en los procesos de selección y no otorgarán puntaje. </w:t>
      </w:r>
    </w:p>
    <w:p w14:paraId="66279BB4" w14:textId="77777777" w:rsidR="00D42FCF" w:rsidRPr="00E44F0A" w:rsidRDefault="00D42FCF" w:rsidP="00D42FCF">
      <w:pPr>
        <w:spacing w:after="120" w:line="276" w:lineRule="auto"/>
        <w:ind w:firstLine="709"/>
        <w:jc w:val="both"/>
        <w:rPr>
          <w:rFonts w:ascii="Verdana" w:eastAsia="Calibri" w:hAnsi="Verdana" w:cs="Arial"/>
        </w:rPr>
      </w:pPr>
      <w:r w:rsidRPr="00E44F0A">
        <w:rPr>
          <w:rFonts w:ascii="Verdana" w:eastAsia="Calibri" w:hAnsi="Verdana" w:cs="Arial"/>
        </w:rPr>
        <w:t xml:space="preserve">Para ello, </w:t>
      </w:r>
      <w:r w:rsidRPr="00E44F0A">
        <w:rPr>
          <w:rFonts w:ascii="Verdana" w:hAnsi="Verdana" w:cs="Arial"/>
        </w:rPr>
        <w:t>el artículo 6 de la Ley 1150 de 2007 señala que todas las personas naturales o jurídicas, nacionales o extranjeras, domiciliadas o con sucursal en Colombia, que aspiren celebrar contratos con las entidades estatales deberán estar inscritas en el Registro Único de Proponentes (RUP). En dicho registro constará la información relacionada con la experiencia, la capacidad jurídica, financiera y de organización del proponente y su clasificación.</w:t>
      </w:r>
      <w:r w:rsidRPr="00E44F0A">
        <w:rPr>
          <w:rFonts w:ascii="Verdana" w:eastAsia="Calibri" w:hAnsi="Verdana" w:cs="Arial"/>
        </w:rPr>
        <w:t xml:space="preserve"> </w:t>
      </w:r>
      <w:bookmarkEnd w:id="5"/>
      <w:r w:rsidRPr="00E44F0A">
        <w:rPr>
          <w:rFonts w:ascii="Verdana" w:eastAsia="Calibri" w:hAnsi="Verdana" w:cs="Arial"/>
        </w:rPr>
        <w:t>En este registro constan los requisitos habilitantes que se evalúan exclusivamente con este documento, que es plena prueba, sin que la entidad o el proponente puedan, en principio, solicitar o aportar otra documentación</w:t>
      </w:r>
      <w:r w:rsidRPr="00E44F0A">
        <w:rPr>
          <w:rStyle w:val="Refdenotaalpie"/>
          <w:rFonts w:ascii="Verdana" w:eastAsia="Calibri" w:hAnsi="Verdana" w:cs="Arial"/>
        </w:rPr>
        <w:footnoteReference w:id="3"/>
      </w:r>
      <w:r w:rsidRPr="00E44F0A">
        <w:rPr>
          <w:rFonts w:ascii="Verdana" w:eastAsia="Calibri" w:hAnsi="Verdana" w:cs="Arial"/>
        </w:rPr>
        <w:t>.</w:t>
      </w:r>
    </w:p>
    <w:p w14:paraId="188D3D22" w14:textId="77777777" w:rsidR="00D42FCF" w:rsidRPr="00E44F0A" w:rsidRDefault="00D42FCF" w:rsidP="00D42FCF">
      <w:pPr>
        <w:spacing w:after="120" w:line="276" w:lineRule="auto"/>
        <w:ind w:firstLine="709"/>
        <w:jc w:val="both"/>
        <w:rPr>
          <w:rFonts w:ascii="Verdana" w:eastAsia="Calibri" w:hAnsi="Verdana" w:cs="Arial"/>
        </w:rPr>
      </w:pPr>
      <w:r w:rsidRPr="00E44F0A">
        <w:rPr>
          <w:rFonts w:ascii="Verdana" w:eastAsia="Calibri" w:hAnsi="Verdana" w:cs="Arial"/>
        </w:rPr>
        <w:lastRenderedPageBreak/>
        <w:t>La experiencia debe inscribirse, renovarse o actualizarse en el RUP con copia de los contratos o con certificados de los contratos celebrados por el proponente con diferentes contratantes. Estos terceros expiden dichas certificaciones cuando el contrato fue ejecutado y recibieron los bienes, obras o servicios de parte del proponente</w:t>
      </w:r>
      <w:r w:rsidRPr="00E44F0A">
        <w:rPr>
          <w:rStyle w:val="Refdenotaalpie"/>
          <w:rFonts w:ascii="Verdana" w:eastAsia="Calibri" w:hAnsi="Verdana" w:cs="Arial"/>
        </w:rPr>
        <w:footnoteReference w:id="4"/>
      </w:r>
      <w:r w:rsidRPr="00E44F0A">
        <w:rPr>
          <w:rFonts w:ascii="Verdana" w:eastAsia="Calibri" w:hAnsi="Verdana" w:cs="Arial"/>
        </w:rPr>
        <w:t xml:space="preserve">. De esta manera, con el RUP se verifica que el proponente tenga experiencia en la ejecución del objeto que pretende contratar la entidad, esto es, que haya celebrado y ejecutado contratos que se asimilen a la necesidad que la entidad requiere satisfacer con el procedimiento contractual, sin que sea necesario que su objeto sea idéntico. </w:t>
      </w:r>
    </w:p>
    <w:p w14:paraId="7D6EF4AD" w14:textId="77777777" w:rsidR="00D42FCF" w:rsidRPr="00E44F0A" w:rsidRDefault="00D42FCF" w:rsidP="00D42FCF">
      <w:pPr>
        <w:shd w:val="clear" w:color="auto" w:fill="FFFFFF"/>
        <w:spacing w:after="120" w:line="276" w:lineRule="auto"/>
        <w:ind w:firstLine="709"/>
        <w:jc w:val="both"/>
        <w:textAlignment w:val="baseline"/>
        <w:rPr>
          <w:rFonts w:ascii="Verdana" w:eastAsia="Times New Roman" w:hAnsi="Verdana" w:cs="Times New Roman"/>
          <w:lang w:eastAsia="es-CO"/>
        </w:rPr>
      </w:pPr>
      <w:r w:rsidRPr="00E44F0A">
        <w:rPr>
          <w:rFonts w:ascii="Verdana" w:eastAsia="Times New Roman" w:hAnsi="Verdana" w:cs="Times New Roman"/>
          <w:color w:val="000000"/>
          <w:lang w:eastAsia="es-CO"/>
        </w:rPr>
        <w:t>En este contexto, el numeral 3.5 del documento base</w:t>
      </w:r>
      <w:r w:rsidRPr="00E44F0A">
        <w:rPr>
          <w:rFonts w:ascii="Verdana" w:eastAsia="Calibri" w:hAnsi="Verdana" w:cs="Arial"/>
          <w:lang w:val="es-ES"/>
        </w:rPr>
        <w:t xml:space="preserve"> de los documentos tipo de licitación de obra pública de infraestructura social</w:t>
      </w:r>
      <w:r w:rsidRPr="00E44F0A">
        <w:rPr>
          <w:rFonts w:ascii="Verdana" w:eastAsia="Times New Roman" w:hAnsi="Verdana" w:cs="Times New Roman"/>
          <w:color w:val="000000"/>
          <w:lang w:eastAsia="es-CO"/>
        </w:rPr>
        <w:t xml:space="preserve">, indica que “los Proponentes deben acreditar su experiencia a través de: (i) la información consignada en el RUP para aquellos que estén obligados a tenerlo, (ii) la presentación el Formato 3 – Experiencia para todos los Proponentes y (iii) alguno de los documentos válidos para la acreditación de la experiencia señalados en el numeral 3.5.5 cuando se requiera la verificación de información del Proponente </w:t>
      </w:r>
      <w:r w:rsidRPr="00E44F0A">
        <w:rPr>
          <w:rFonts w:ascii="Verdana" w:eastAsia="Times New Roman" w:hAnsi="Verdana" w:cs="Times New Roman"/>
          <w:lang w:eastAsia="es-CO"/>
        </w:rPr>
        <w:t>adicional a la contenida en el RUP.</w:t>
      </w:r>
    </w:p>
    <w:p w14:paraId="24AD7AF3" w14:textId="77777777" w:rsidR="00D42FCF" w:rsidRPr="00E44F0A" w:rsidRDefault="00D42FCF" w:rsidP="00D42FCF">
      <w:pPr>
        <w:shd w:val="clear" w:color="auto" w:fill="FFFFFF"/>
        <w:spacing w:after="120" w:line="276" w:lineRule="auto"/>
        <w:ind w:firstLine="709"/>
        <w:jc w:val="both"/>
        <w:textAlignment w:val="baseline"/>
        <w:rPr>
          <w:rFonts w:ascii="Verdana" w:hAnsi="Verdana"/>
          <w:lang w:val="es-MX"/>
        </w:rPr>
      </w:pPr>
      <w:r w:rsidRPr="00E44F0A">
        <w:rPr>
          <w:rFonts w:ascii="Verdana" w:eastAsia="Calibri" w:hAnsi="Verdana" w:cs="Arial"/>
          <w:lang w:val="es-ES"/>
        </w:rPr>
        <w:t>En armonía con lo anterior, el numeral 3.5.5. “</w:t>
      </w:r>
      <w:bookmarkStart w:id="6" w:name="_Toc184177109"/>
      <w:r w:rsidRPr="00E44F0A">
        <w:rPr>
          <w:rFonts w:ascii="Verdana" w:eastAsia="Arial" w:hAnsi="Verdana" w:cs="Arial"/>
          <w:kern w:val="2"/>
          <w14:ligatures w14:val="standardContextual"/>
        </w:rPr>
        <w:t>Documentos válidos para la acreditación de la experiencia requerida</w:t>
      </w:r>
      <w:bookmarkEnd w:id="6"/>
      <w:r w:rsidRPr="00E44F0A">
        <w:rPr>
          <w:rFonts w:ascii="Verdana" w:eastAsia="Calibri" w:hAnsi="Verdana" w:cs="Arial"/>
          <w:lang w:val="es-ES"/>
        </w:rPr>
        <w:t xml:space="preserve">” del Documento Base, </w:t>
      </w:r>
      <w:r w:rsidRPr="00E44F0A">
        <w:rPr>
          <w:rFonts w:ascii="Verdana" w:eastAsia="Arial" w:hAnsi="Verdana" w:cs="Arial"/>
          <w:kern w:val="2"/>
          <w14:ligatures w14:val="standardContextual"/>
        </w:rPr>
        <w:t>establece</w:t>
      </w:r>
      <w:r w:rsidRPr="00E44F0A">
        <w:rPr>
          <w:rFonts w:ascii="Verdana" w:eastAsia="Calibri" w:hAnsi="Verdana" w:cs="Arial"/>
          <w:kern w:val="2"/>
          <w:lang w:val="es-MX"/>
          <w14:ligatures w14:val="standardContextual"/>
        </w:rPr>
        <w:t xml:space="preserve"> los documentos a los que se acudirá cuando la entidad requiera verificar información adicional a la contenida en el mismo, señalando los documentos válidos para acreditar la experiencia requerida, de modo que la entidad estatal pueda realizar </w:t>
      </w:r>
      <w:r w:rsidRPr="00E44F0A">
        <w:rPr>
          <w:rFonts w:ascii="Verdana" w:eastAsia="Calibri" w:hAnsi="Verdana" w:cs="Arial"/>
          <w:kern w:val="2"/>
          <w:lang w:val="es-MX"/>
          <w14:ligatures w14:val="standardContextual"/>
        </w:rPr>
        <w:lastRenderedPageBreak/>
        <w:t xml:space="preserve">la verificación de manera directa. Así mismo, cuando en </w:t>
      </w:r>
      <w:r w:rsidRPr="00E44F0A">
        <w:rPr>
          <w:rFonts w:ascii="Verdana" w:hAnsi="Verdana"/>
          <w:lang w:val="es-MX"/>
        </w:rPr>
        <w:t>caso de existir discrepancias entre dos (2) o más documentos aportados por el Proponente para la acreditación de la experiencia, se tendrá en cuenta el orden de prevalencia indicado a continuación:</w:t>
      </w:r>
    </w:p>
    <w:p w14:paraId="2E52778C" w14:textId="77777777" w:rsidR="00D42FCF" w:rsidRPr="00E44F0A" w:rsidRDefault="00D42FCF" w:rsidP="00D42FCF">
      <w:pPr>
        <w:shd w:val="clear" w:color="auto" w:fill="FFFFFF"/>
        <w:spacing w:after="120" w:line="276" w:lineRule="auto"/>
        <w:ind w:firstLine="709"/>
        <w:jc w:val="both"/>
        <w:textAlignment w:val="baseline"/>
        <w:rPr>
          <w:rFonts w:ascii="Verdana" w:eastAsia="Calibri" w:hAnsi="Verdana" w:cs="Arial"/>
          <w:kern w:val="2"/>
          <w:lang w:val="es-MX"/>
          <w14:ligatures w14:val="standardContextual"/>
        </w:rPr>
      </w:pPr>
      <w:r w:rsidRPr="00E44F0A">
        <w:rPr>
          <w:rFonts w:ascii="Verdana" w:hAnsi="Verdana"/>
          <w:lang w:val="es-MX"/>
        </w:rPr>
        <w:t>“ […]</w:t>
      </w:r>
    </w:p>
    <w:p w14:paraId="2CC10356" w14:textId="77777777" w:rsidR="00D42FCF" w:rsidRPr="00E44F0A" w:rsidRDefault="00D42FCF" w:rsidP="00D42FCF">
      <w:pPr>
        <w:pStyle w:val="Prrafodelista"/>
        <w:numPr>
          <w:ilvl w:val="0"/>
          <w:numId w:val="18"/>
        </w:numPr>
        <w:spacing w:after="120" w:line="240" w:lineRule="auto"/>
        <w:ind w:left="1134" w:right="709" w:hanging="425"/>
        <w:jc w:val="both"/>
        <w:rPr>
          <w:rFonts w:ascii="Verdana" w:hAnsi="Verdana"/>
          <w:sz w:val="20"/>
          <w:szCs w:val="20"/>
          <w:lang w:val="es-MX"/>
        </w:rPr>
      </w:pPr>
      <w:r w:rsidRPr="00E44F0A">
        <w:rPr>
          <w:rFonts w:ascii="Verdana" w:hAnsi="Verdana"/>
          <w:sz w:val="20"/>
          <w:szCs w:val="20"/>
          <w:lang w:val="es-MX"/>
        </w:rPr>
        <w:t>Acta de liquidación.</w:t>
      </w:r>
    </w:p>
    <w:p w14:paraId="03A9CD0B" w14:textId="77777777" w:rsidR="00D42FCF" w:rsidRPr="00E44F0A" w:rsidRDefault="00D42FCF" w:rsidP="00D42FCF">
      <w:pPr>
        <w:pStyle w:val="Prrafodelista"/>
        <w:numPr>
          <w:ilvl w:val="0"/>
          <w:numId w:val="18"/>
        </w:numPr>
        <w:spacing w:after="120" w:line="240" w:lineRule="auto"/>
        <w:ind w:left="1069" w:right="709"/>
        <w:jc w:val="both"/>
        <w:rPr>
          <w:rFonts w:ascii="Verdana" w:hAnsi="Verdana"/>
          <w:sz w:val="20"/>
          <w:szCs w:val="20"/>
          <w:lang w:val="es-MX"/>
        </w:rPr>
      </w:pPr>
      <w:r w:rsidRPr="00E44F0A">
        <w:rPr>
          <w:rFonts w:ascii="Verdana" w:hAnsi="Verdana"/>
          <w:sz w:val="20"/>
          <w:szCs w:val="20"/>
          <w:lang w:val="es-MX"/>
        </w:rPr>
        <w:t xml:space="preserve">Acta de entrega, terminación, final o de recibo definitivo. </w:t>
      </w:r>
    </w:p>
    <w:p w14:paraId="242BC776" w14:textId="77777777" w:rsidR="00D42FCF" w:rsidRPr="00E44F0A" w:rsidRDefault="00D42FCF" w:rsidP="00D42FCF">
      <w:pPr>
        <w:pStyle w:val="Prrafodelista"/>
        <w:numPr>
          <w:ilvl w:val="0"/>
          <w:numId w:val="18"/>
        </w:numPr>
        <w:spacing w:after="120" w:line="240" w:lineRule="auto"/>
        <w:ind w:left="1069" w:right="709"/>
        <w:jc w:val="both"/>
        <w:rPr>
          <w:rFonts w:ascii="Verdana" w:hAnsi="Verdana"/>
          <w:sz w:val="20"/>
          <w:szCs w:val="20"/>
          <w:lang w:val="es-MX"/>
        </w:rPr>
      </w:pPr>
      <w:r w:rsidRPr="00E44F0A">
        <w:rPr>
          <w:rFonts w:ascii="Verdana" w:hAnsi="Verdana"/>
          <w:sz w:val="20"/>
          <w:szCs w:val="20"/>
          <w:lang w:val="es-MX"/>
        </w:rPr>
        <w:t>Certificación de experiencia. Expedida con posterioridad a la fecha de terminación del Contrato en la que conste el recibo a satisfacción de la obra contratada debidamente suscrita por quien esté en capacidad u obligación de hacerlo.</w:t>
      </w:r>
    </w:p>
    <w:p w14:paraId="3E8FB0A4" w14:textId="77777777" w:rsidR="00D42FCF" w:rsidRPr="00E44F0A" w:rsidRDefault="00D42FCF" w:rsidP="00D42FCF">
      <w:pPr>
        <w:pStyle w:val="Prrafodelista"/>
        <w:numPr>
          <w:ilvl w:val="0"/>
          <w:numId w:val="18"/>
        </w:numPr>
        <w:spacing w:after="120" w:line="240" w:lineRule="auto"/>
        <w:ind w:left="1069" w:right="709"/>
        <w:jc w:val="both"/>
        <w:rPr>
          <w:rFonts w:ascii="Verdana" w:hAnsi="Verdana"/>
          <w:sz w:val="20"/>
          <w:szCs w:val="20"/>
          <w:lang w:val="es-MX"/>
        </w:rPr>
      </w:pPr>
      <w:r w:rsidRPr="00E44F0A">
        <w:rPr>
          <w:rFonts w:ascii="Verdana" w:hAnsi="Verdana"/>
          <w:sz w:val="20"/>
          <w:szCs w:val="20"/>
          <w:lang w:val="es-MX"/>
        </w:rPr>
        <w:t>Acta de inicio o la orden de inicio. La misma solo será válida para efectos de acreditar la fecha de inicio.</w:t>
      </w:r>
    </w:p>
    <w:p w14:paraId="297854F4" w14:textId="77777777" w:rsidR="00D42FCF" w:rsidRPr="00E44F0A" w:rsidRDefault="00D42FCF" w:rsidP="00D42FCF">
      <w:pPr>
        <w:pStyle w:val="Prrafodelista"/>
        <w:numPr>
          <w:ilvl w:val="0"/>
          <w:numId w:val="18"/>
        </w:numPr>
        <w:spacing w:after="120" w:line="240" w:lineRule="auto"/>
        <w:ind w:left="1069" w:right="709"/>
        <w:jc w:val="both"/>
        <w:rPr>
          <w:rFonts w:ascii="Verdana" w:hAnsi="Verdana"/>
          <w:sz w:val="20"/>
          <w:szCs w:val="20"/>
          <w:lang w:val="es-MX"/>
        </w:rPr>
      </w:pPr>
      <w:r w:rsidRPr="00E44F0A">
        <w:rPr>
          <w:rFonts w:ascii="Verdana" w:hAnsi="Verdana"/>
          <w:sz w:val="20"/>
          <w:szCs w:val="20"/>
          <w:lang w:val="es-MX"/>
        </w:rPr>
        <w:t>[Para los proyectos de edificaciones emplee este literal, de lo contrario eliminarlo.] Copia de la licencia de construcción y/o licencia de urbanismo.</w:t>
      </w:r>
    </w:p>
    <w:p w14:paraId="085FD229" w14:textId="77777777" w:rsidR="00D42FCF" w:rsidRPr="00E44F0A" w:rsidRDefault="00D42FCF" w:rsidP="00D42FCF">
      <w:pPr>
        <w:pStyle w:val="Prrafodelista"/>
        <w:numPr>
          <w:ilvl w:val="0"/>
          <w:numId w:val="18"/>
        </w:numPr>
        <w:spacing w:after="120" w:line="240" w:lineRule="auto"/>
        <w:ind w:left="1069" w:right="709"/>
        <w:jc w:val="both"/>
        <w:rPr>
          <w:rFonts w:ascii="Verdana" w:hAnsi="Verdana"/>
          <w:sz w:val="20"/>
          <w:szCs w:val="20"/>
          <w:lang w:val="es-MX"/>
        </w:rPr>
      </w:pPr>
      <w:r w:rsidRPr="00E44F0A">
        <w:rPr>
          <w:rFonts w:ascii="Verdana" w:hAnsi="Verdana"/>
          <w:sz w:val="20"/>
          <w:szCs w:val="20"/>
          <w:lang w:val="es-MX"/>
        </w:rPr>
        <w:t>Planos récord finales de obra.</w:t>
      </w:r>
    </w:p>
    <w:p w14:paraId="5F0E273D" w14:textId="77777777" w:rsidR="00D42FCF" w:rsidRPr="00E44F0A" w:rsidRDefault="00D42FCF" w:rsidP="00D42FCF">
      <w:pPr>
        <w:pStyle w:val="Prrafodelista"/>
        <w:numPr>
          <w:ilvl w:val="0"/>
          <w:numId w:val="18"/>
        </w:numPr>
        <w:spacing w:after="120" w:line="240" w:lineRule="auto"/>
        <w:ind w:left="1069" w:right="709"/>
        <w:jc w:val="both"/>
        <w:rPr>
          <w:rFonts w:ascii="Verdana" w:hAnsi="Verdana"/>
          <w:sz w:val="20"/>
          <w:szCs w:val="20"/>
          <w:lang w:val="es-MX"/>
        </w:rPr>
      </w:pPr>
      <w:r w:rsidRPr="00E44F0A">
        <w:rPr>
          <w:rFonts w:ascii="Verdana" w:hAnsi="Verdana"/>
          <w:sz w:val="20"/>
          <w:szCs w:val="20"/>
          <w:lang w:val="es-MX"/>
        </w:rPr>
        <w:t>Para los contratos que hayan sido objeto de cesión, el Contrato deberá encontrarse inscrito y clasificado en el RUP o en uno o alguno de los documentos considerados como válidos para la acreditación de experiencia de la persona jurídica o natural cesionaria, según aplique. La experiencia se admitirá para el cesionario y no se reconocerá experiencia alguna al cedente.</w:t>
      </w:r>
    </w:p>
    <w:p w14:paraId="3D043FC7" w14:textId="77777777" w:rsidR="00D42FCF" w:rsidRPr="00E44F0A" w:rsidRDefault="00D42FCF" w:rsidP="00D42FCF">
      <w:pPr>
        <w:pStyle w:val="Prrafodelista"/>
        <w:numPr>
          <w:ilvl w:val="0"/>
          <w:numId w:val="18"/>
        </w:numPr>
        <w:spacing w:after="120" w:line="240" w:lineRule="auto"/>
        <w:ind w:left="1069" w:right="709"/>
        <w:jc w:val="both"/>
        <w:rPr>
          <w:rFonts w:ascii="Verdana" w:hAnsi="Verdana"/>
          <w:sz w:val="20"/>
          <w:szCs w:val="20"/>
          <w:lang w:val="es-MX"/>
        </w:rPr>
      </w:pPr>
      <w:r w:rsidRPr="00E44F0A">
        <w:rPr>
          <w:rFonts w:ascii="Verdana" w:hAnsi="Verdana"/>
          <w:sz w:val="20"/>
          <w:szCs w:val="20"/>
          <w:lang w:val="es-MX"/>
        </w:rPr>
        <w:t>Cualquier otro documento idóneo que acredite la experiencia exigida, tales como: el Contrato y/o los Documentos del Proceso Contractual, los cuales deben estar suscritos por las personas que intervinieron en su formación o estar publicados en el SECOP.</w:t>
      </w:r>
    </w:p>
    <w:p w14:paraId="670F8F5B" w14:textId="77777777" w:rsidR="00D42FCF" w:rsidRPr="00E44F0A" w:rsidRDefault="00D42FCF" w:rsidP="00D42FCF">
      <w:pPr>
        <w:pStyle w:val="Prrafodelista"/>
        <w:spacing w:after="120" w:line="240" w:lineRule="auto"/>
        <w:ind w:left="1069" w:right="709"/>
        <w:jc w:val="both"/>
        <w:rPr>
          <w:rFonts w:ascii="Verdana" w:hAnsi="Verdana"/>
          <w:sz w:val="20"/>
          <w:szCs w:val="20"/>
          <w:lang w:val="es-MX"/>
        </w:rPr>
      </w:pPr>
    </w:p>
    <w:p w14:paraId="5AFB7CA2" w14:textId="77777777" w:rsidR="00D42FCF" w:rsidRPr="00E44F0A" w:rsidRDefault="00D42FCF" w:rsidP="00D42FCF">
      <w:pPr>
        <w:pStyle w:val="Prrafodelista"/>
        <w:spacing w:after="120" w:line="240" w:lineRule="auto"/>
        <w:ind w:left="1069" w:right="709"/>
        <w:jc w:val="both"/>
        <w:rPr>
          <w:rFonts w:ascii="Verdana" w:hAnsi="Verdana"/>
          <w:sz w:val="20"/>
          <w:szCs w:val="20"/>
          <w:lang w:val="es-MX"/>
        </w:rPr>
      </w:pPr>
      <w:r w:rsidRPr="00E44F0A">
        <w:rPr>
          <w:rFonts w:ascii="Verdana" w:hAnsi="Verdana"/>
          <w:sz w:val="20"/>
          <w:szCs w:val="20"/>
          <w:lang w:val="es-MX"/>
        </w:rPr>
        <w:t>Para efectos de acreditación de experiencia entre particulares, el Proponente deberá aportar, además, la certificación de facturación expedida con posterioridad a la fecha de terminación del Contrato emitida por el revisor fiscal o contador público del Proponente que acredita la experiencia, según corresponda, con la copia de la tarjeta profesional y certificado de antecedente disciplinarios vigente, de la Junta Central de Contadores, o los documentos equivalentes que hagan sus veces en el país donde se expide el documento del profesional […]”</w:t>
      </w:r>
    </w:p>
    <w:p w14:paraId="7CE9463D" w14:textId="77777777" w:rsidR="00D42FCF" w:rsidRPr="00E44F0A" w:rsidRDefault="00D42FCF" w:rsidP="00D42FCF">
      <w:pPr>
        <w:shd w:val="clear" w:color="auto" w:fill="FFFFFF"/>
        <w:spacing w:after="120" w:line="276" w:lineRule="auto"/>
        <w:ind w:firstLine="709"/>
        <w:jc w:val="both"/>
        <w:textAlignment w:val="baseline"/>
        <w:rPr>
          <w:rFonts w:ascii="Verdana" w:eastAsia="Calibri" w:hAnsi="Verdana" w:cs="Arial"/>
          <w:color w:val="000000" w:themeColor="text1"/>
          <w:kern w:val="2"/>
          <w14:ligatures w14:val="standardContextual"/>
        </w:rPr>
      </w:pPr>
      <w:r w:rsidRPr="00E44F0A">
        <w:rPr>
          <w:rFonts w:ascii="Verdana" w:eastAsia="Calibri" w:hAnsi="Verdana" w:cs="Arial"/>
          <w:kern w:val="2"/>
          <w:lang w:val="es-MX"/>
          <w14:ligatures w14:val="standardContextual"/>
        </w:rPr>
        <w:t xml:space="preserve"> </w:t>
      </w:r>
      <w:r w:rsidRPr="00E44F0A">
        <w:rPr>
          <w:rFonts w:ascii="Verdana" w:eastAsia="Calibri" w:hAnsi="Verdana" w:cs="Arial"/>
          <w:color w:val="000000" w:themeColor="text1"/>
          <w:kern w:val="2"/>
          <w14:ligatures w14:val="standardContextual"/>
        </w:rPr>
        <w:t xml:space="preserve">Dicho lo anterior, el Registro Único de Proponentes (RUP) constituye el instrumento principal para la verificación de los requisitos habilitantes, en tanto contiene la información certificada sobre la experiencia, así como la capacidad jurídica, financiera y de organización del proponente. No obstante, los documentos adicionales previstos en los documentos tipo cumplen una función </w:t>
      </w:r>
      <w:r w:rsidRPr="00E44F0A">
        <w:rPr>
          <w:rFonts w:ascii="Verdana" w:eastAsia="Calibri" w:hAnsi="Verdana" w:cs="Arial"/>
          <w:color w:val="000000" w:themeColor="text1"/>
          <w:kern w:val="2"/>
          <w14:ligatures w14:val="standardContextual"/>
        </w:rPr>
        <w:lastRenderedPageBreak/>
        <w:t>complementaria, en la medida en que permiten a la entidad verificar o aclarar información cuando se requiera un mayor nivel de detalle o cuando se presenten inconsistencias.</w:t>
      </w:r>
    </w:p>
    <w:p w14:paraId="1C3887E0" w14:textId="77777777" w:rsidR="00D42FCF" w:rsidRPr="00105170" w:rsidRDefault="00D42FCF" w:rsidP="00D42FCF">
      <w:pPr>
        <w:shd w:val="clear" w:color="auto" w:fill="FFFFFF"/>
        <w:spacing w:after="120" w:line="276" w:lineRule="auto"/>
        <w:ind w:firstLine="709"/>
        <w:jc w:val="both"/>
        <w:textAlignment w:val="baseline"/>
        <w:rPr>
          <w:rFonts w:ascii="Verdana" w:eastAsia="Calibri" w:hAnsi="Verdana" w:cs="Arial"/>
          <w:color w:val="000000" w:themeColor="text1"/>
          <w:kern w:val="2"/>
          <w14:ligatures w14:val="standardContextual"/>
        </w:rPr>
      </w:pPr>
      <w:r w:rsidRPr="00E44F0A">
        <w:rPr>
          <w:rFonts w:ascii="Verdana" w:eastAsia="Calibri" w:hAnsi="Verdana" w:cs="Arial"/>
          <w:color w:val="000000" w:themeColor="text1"/>
          <w:kern w:val="2"/>
          <w14:ligatures w14:val="standardContextual"/>
        </w:rPr>
        <w:t>En todo caso, corresponde a cada entidad estatal adelantar la verificación integral de los requisitos habilitantes, de conformidad con las reglas previstas en la normativa vigente y en los documentos del proceso, así como efectuar las solicitudes de aclaración a las que haya lugar, garantizando el respeto de los principios de transparencia y selección objetiva.</w:t>
      </w:r>
    </w:p>
    <w:p w14:paraId="3FC15DA3" w14:textId="77777777" w:rsidR="00D42FCF" w:rsidRPr="003A4B34" w:rsidRDefault="00D42FCF" w:rsidP="00D42FCF">
      <w:pPr>
        <w:spacing w:after="120" w:line="276" w:lineRule="auto"/>
        <w:jc w:val="both"/>
        <w:rPr>
          <w:rFonts w:ascii="Verdana" w:eastAsia="Calibri" w:hAnsi="Verdana" w:cs="Arial"/>
        </w:rPr>
      </w:pPr>
      <w:r w:rsidRPr="003142F7">
        <w:rPr>
          <w:rFonts w:ascii="Verdana" w:hAnsi="Verdana" w:cs="Arial"/>
        </w:rPr>
        <w:t>i</w:t>
      </w:r>
      <w:r>
        <w:rPr>
          <w:rFonts w:ascii="Verdana" w:hAnsi="Verdana" w:cs="Arial"/>
        </w:rPr>
        <w:t>v</w:t>
      </w:r>
      <w:r w:rsidRPr="003142F7">
        <w:rPr>
          <w:rFonts w:ascii="Verdana" w:hAnsi="Verdana" w:cs="Arial"/>
        </w:rPr>
        <w:t xml:space="preserve">. </w:t>
      </w:r>
      <w:r w:rsidRPr="00476248">
        <w:rPr>
          <w:rFonts w:ascii="Verdana" w:eastAsia="Calibri" w:hAnsi="Verdana" w:cs="Arial"/>
        </w:rPr>
        <w:t xml:space="preserve">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  </w:t>
      </w:r>
      <w:r w:rsidRPr="00476248">
        <w:rPr>
          <w:rFonts w:ascii="Verdana" w:eastAsia="Times New Roman" w:hAnsi="Verdana" w:cs="Times New Roman"/>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p>
    <w:bookmarkEnd w:id="1"/>
    <w:bookmarkEnd w:id="2"/>
    <w:bookmarkEnd w:id="3"/>
    <w:p w14:paraId="78321811" w14:textId="77777777" w:rsidR="00D42FCF" w:rsidRPr="009D5A93" w:rsidRDefault="00D42FCF" w:rsidP="00D42FCF">
      <w:pPr>
        <w:spacing w:after="0" w:line="276" w:lineRule="auto"/>
        <w:ind w:firstLine="709"/>
        <w:jc w:val="both"/>
        <w:rPr>
          <w:rFonts w:ascii="Verdana" w:eastAsia="Times New Roman" w:hAnsi="Verdana" w:cs="Times New Roman"/>
          <w:lang w:eastAsia="es-ES"/>
        </w:rPr>
      </w:pPr>
    </w:p>
    <w:p w14:paraId="34D24CEC" w14:textId="77777777" w:rsidR="00D42FCF" w:rsidRPr="009D5A93" w:rsidRDefault="00D42FCF" w:rsidP="00D42FCF">
      <w:pPr>
        <w:spacing w:after="0" w:line="276" w:lineRule="auto"/>
        <w:jc w:val="both"/>
        <w:rPr>
          <w:rFonts w:ascii="Verdana" w:eastAsia="Century Gothic" w:hAnsi="Verdana" w:cs="Century Gothic"/>
          <w:b/>
          <w:lang w:val="es-ES"/>
        </w:rPr>
      </w:pPr>
      <w:r w:rsidRPr="009D5A93">
        <w:rPr>
          <w:rFonts w:ascii="Verdana" w:eastAsia="Century Gothic" w:hAnsi="Verdana" w:cs="Century Gothic"/>
          <w:b/>
          <w:lang w:val="es-ES"/>
        </w:rPr>
        <w:t>4. Referencias normativas, jurisprudenciales y otras fuentes:</w:t>
      </w:r>
    </w:p>
    <w:p w14:paraId="02DDC03F" w14:textId="77777777" w:rsidR="00D42FCF" w:rsidRPr="009E3874" w:rsidRDefault="00D42FCF" w:rsidP="00D42FCF">
      <w:pPr>
        <w:spacing w:after="0" w:line="276" w:lineRule="auto"/>
        <w:jc w:val="both"/>
        <w:rPr>
          <w:rFonts w:ascii="Verdana" w:eastAsia="Century Gothic" w:hAnsi="Verdana" w:cs="Century Gothic"/>
          <w:b/>
          <w:color w:val="7030A0"/>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42FCF" w:rsidRPr="009E3874" w14:paraId="2F4F35CA" w14:textId="77777777" w:rsidTr="0072767F">
        <w:trPr>
          <w:trHeight w:val="737"/>
        </w:trPr>
        <w:tc>
          <w:tcPr>
            <w:tcW w:w="8647" w:type="dxa"/>
          </w:tcPr>
          <w:p w14:paraId="1024E172" w14:textId="77777777" w:rsidR="00D42FCF" w:rsidRPr="002635E5" w:rsidRDefault="00D42FCF" w:rsidP="0072767F">
            <w:pPr>
              <w:widowControl w:val="0"/>
              <w:numPr>
                <w:ilvl w:val="0"/>
                <w:numId w:val="16"/>
              </w:numPr>
              <w:autoSpaceDE w:val="0"/>
              <w:autoSpaceDN w:val="0"/>
              <w:spacing w:line="276" w:lineRule="auto"/>
              <w:jc w:val="both"/>
              <w:rPr>
                <w:rFonts w:ascii="Verdana" w:eastAsia="Arial MT" w:hAnsi="Verdana" w:cs="Arial"/>
                <w:bCs/>
                <w:lang w:eastAsia="es-ES" w:bidi="es-ES"/>
              </w:rPr>
            </w:pPr>
            <w:r w:rsidRPr="00474EC1">
              <w:rPr>
                <w:rFonts w:ascii="Verdana" w:eastAsia="Arial MT" w:hAnsi="Verdana" w:cs="Arial"/>
                <w:bCs/>
                <w:lang w:eastAsia="es-ES" w:bidi="es-ES"/>
              </w:rPr>
              <w:t>Le</w:t>
            </w:r>
            <w:r w:rsidRPr="002635E5">
              <w:rPr>
                <w:rFonts w:ascii="Verdana" w:eastAsia="Arial MT" w:hAnsi="Verdana" w:cs="Arial"/>
                <w:bCs/>
                <w:lang w:eastAsia="es-ES" w:bidi="es-ES"/>
              </w:rPr>
              <w:t>y 1150 de 2007. Artículos 2 y 5</w:t>
            </w:r>
          </w:p>
          <w:p w14:paraId="71E97A80" w14:textId="77777777" w:rsidR="00D42FCF" w:rsidRPr="002635E5" w:rsidRDefault="00D42FCF" w:rsidP="0072767F">
            <w:pPr>
              <w:widowControl w:val="0"/>
              <w:numPr>
                <w:ilvl w:val="0"/>
                <w:numId w:val="16"/>
              </w:numPr>
              <w:autoSpaceDE w:val="0"/>
              <w:autoSpaceDN w:val="0"/>
              <w:spacing w:line="276" w:lineRule="auto"/>
              <w:jc w:val="both"/>
              <w:rPr>
                <w:rFonts w:ascii="Verdana" w:eastAsia="Arial MT" w:hAnsi="Verdana" w:cs="Arial"/>
                <w:bCs/>
                <w:lang w:eastAsia="es-ES" w:bidi="es-ES"/>
              </w:rPr>
            </w:pPr>
            <w:r w:rsidRPr="002635E5">
              <w:rPr>
                <w:rFonts w:ascii="Verdana" w:eastAsia="Arial MT" w:hAnsi="Verdana" w:cs="Arial"/>
                <w:bCs/>
                <w:lang w:eastAsia="es-ES" w:bidi="es-ES"/>
              </w:rPr>
              <w:t>Ley 2022 de 202. Artículo 1</w:t>
            </w:r>
          </w:p>
          <w:p w14:paraId="250D782A" w14:textId="77777777" w:rsidR="00D42FCF" w:rsidRPr="002635E5" w:rsidRDefault="00D42FCF" w:rsidP="0072767F">
            <w:pPr>
              <w:widowControl w:val="0"/>
              <w:numPr>
                <w:ilvl w:val="0"/>
                <w:numId w:val="16"/>
              </w:numPr>
              <w:autoSpaceDE w:val="0"/>
              <w:autoSpaceDN w:val="0"/>
              <w:spacing w:line="276" w:lineRule="auto"/>
              <w:jc w:val="both"/>
              <w:rPr>
                <w:rFonts w:ascii="Verdana" w:eastAsia="Arial MT" w:hAnsi="Verdana" w:cs="Arial"/>
                <w:bCs/>
                <w:lang w:eastAsia="es-ES" w:bidi="es-ES"/>
              </w:rPr>
            </w:pPr>
            <w:r w:rsidRPr="002635E5">
              <w:rPr>
                <w:rFonts w:ascii="Verdana" w:hAnsi="Verdana" w:cs="Arial"/>
              </w:rPr>
              <w:t>Decreto 1082 de 2015. Artículo 2.2.1.1.1.5.2</w:t>
            </w:r>
          </w:p>
          <w:p w14:paraId="10C799E2" w14:textId="77777777" w:rsidR="00D42FCF" w:rsidRPr="002635E5" w:rsidRDefault="00D42FCF" w:rsidP="0072767F">
            <w:pPr>
              <w:widowControl w:val="0"/>
              <w:numPr>
                <w:ilvl w:val="0"/>
                <w:numId w:val="16"/>
              </w:numPr>
              <w:autoSpaceDE w:val="0"/>
              <w:autoSpaceDN w:val="0"/>
              <w:spacing w:line="276" w:lineRule="auto"/>
              <w:jc w:val="both"/>
              <w:rPr>
                <w:rFonts w:ascii="Verdana" w:eastAsia="Arial MT" w:hAnsi="Verdana" w:cs="Arial"/>
                <w:bCs/>
                <w:lang w:eastAsia="es-ES" w:bidi="es-ES"/>
              </w:rPr>
            </w:pPr>
            <w:r w:rsidRPr="002635E5">
              <w:rPr>
                <w:rFonts w:ascii="Verdana" w:eastAsia="Times New Roman" w:hAnsi="Verdana" w:cs="Arial"/>
                <w:lang w:eastAsia="es-CO"/>
              </w:rPr>
              <w:t>Consejo de Estado. Sección Tercera. Sentencia del 27 de abril de 2011. Exp. 18.293. C.P. Ruth Stella Correa Palacio.</w:t>
            </w:r>
          </w:p>
          <w:p w14:paraId="54673689" w14:textId="77777777" w:rsidR="00D42FCF" w:rsidRPr="002635E5" w:rsidRDefault="00D42FCF" w:rsidP="0072767F">
            <w:pPr>
              <w:widowControl w:val="0"/>
              <w:numPr>
                <w:ilvl w:val="0"/>
                <w:numId w:val="16"/>
              </w:numPr>
              <w:autoSpaceDE w:val="0"/>
              <w:autoSpaceDN w:val="0"/>
              <w:spacing w:line="276" w:lineRule="auto"/>
              <w:jc w:val="both"/>
              <w:rPr>
                <w:rFonts w:ascii="Verdana" w:eastAsia="Arial MT" w:hAnsi="Verdana" w:cs="Arial"/>
                <w:bCs/>
                <w:lang w:eastAsia="es-ES" w:bidi="es-ES"/>
              </w:rPr>
            </w:pPr>
            <w:r w:rsidRPr="002635E5">
              <w:rPr>
                <w:rFonts w:ascii="Verdana" w:eastAsia="Times New Roman" w:hAnsi="Verdana" w:cs="Arial"/>
                <w:lang w:eastAsia="es-CO"/>
              </w:rPr>
              <w:t>Consejo de Estado. Sección Tercera. Sentencia del 21 de noviembre de 2013. Exp. 25397. C.P. Carlos Alberto Zambrano Barrera.</w:t>
            </w:r>
          </w:p>
          <w:p w14:paraId="16A411E5" w14:textId="77777777" w:rsidR="00D42FCF" w:rsidRPr="00474EC1" w:rsidRDefault="00D42FCF" w:rsidP="0072767F">
            <w:pPr>
              <w:widowControl w:val="0"/>
              <w:numPr>
                <w:ilvl w:val="0"/>
                <w:numId w:val="16"/>
              </w:numPr>
              <w:autoSpaceDE w:val="0"/>
              <w:autoSpaceDN w:val="0"/>
              <w:spacing w:line="276" w:lineRule="auto"/>
              <w:jc w:val="both"/>
              <w:rPr>
                <w:rFonts w:ascii="Verdana" w:eastAsia="Arial MT" w:hAnsi="Verdana" w:cs="Arial"/>
                <w:bCs/>
                <w:color w:val="7030A0"/>
                <w:lang w:eastAsia="es-ES" w:bidi="es-ES"/>
              </w:rPr>
            </w:pPr>
            <w:r w:rsidRPr="002635E5">
              <w:rPr>
                <w:rFonts w:ascii="Verdana" w:eastAsia="Arial MT" w:hAnsi="Verdana" w:cs="Arial"/>
                <w:bCs/>
                <w:lang w:eastAsia="es-ES" w:bidi="es-ES"/>
              </w:rPr>
              <w:t>Agencia Nacional de Contratación Pública. Documentos Tipo</w:t>
            </w:r>
            <w:r w:rsidRPr="002635E5">
              <w:rPr>
                <w:rFonts w:ascii="Verdana" w:eastAsia="Arial MT" w:hAnsi="Verdana" w:cs="Arial"/>
                <w:bCs/>
                <w:color w:val="7030A0"/>
                <w:lang w:eastAsia="es-ES" w:bidi="es-ES"/>
              </w:rPr>
              <w:t xml:space="preserve">. </w:t>
            </w:r>
            <w:hyperlink r:id="rId12" w:history="1">
              <w:r w:rsidRPr="002635E5">
                <w:rPr>
                  <w:rStyle w:val="Hipervnculo"/>
                  <w:rFonts w:ascii="Verdana" w:eastAsia="Arial MT" w:hAnsi="Verdana" w:cs="Arial"/>
                  <w:bCs/>
                  <w:lang w:eastAsia="es-ES" w:bidi="es-ES"/>
                </w:rPr>
                <w:t>https://www.colombiacompra.gov.co/documentos-tipo/documentos-tipo</w:t>
              </w:r>
            </w:hyperlink>
            <w:r w:rsidRPr="009E3874">
              <w:rPr>
                <w:rFonts w:ascii="Verdana" w:eastAsia="Arial MT" w:hAnsi="Verdana" w:cs="Arial"/>
                <w:bCs/>
                <w:color w:val="7030A0"/>
                <w:lang w:eastAsia="es-ES" w:bidi="es-ES"/>
              </w:rPr>
              <w:t xml:space="preserve">  </w:t>
            </w:r>
          </w:p>
        </w:tc>
      </w:tr>
    </w:tbl>
    <w:p w14:paraId="0CCF57AF" w14:textId="77777777" w:rsidR="00D42FCF" w:rsidRPr="005E6352" w:rsidRDefault="00D42FCF" w:rsidP="00D42FCF">
      <w:pPr>
        <w:widowControl w:val="0"/>
        <w:autoSpaceDE w:val="0"/>
        <w:autoSpaceDN w:val="0"/>
        <w:spacing w:after="0" w:line="276" w:lineRule="auto"/>
        <w:jc w:val="both"/>
        <w:rPr>
          <w:rFonts w:ascii="Verdana" w:hAnsi="Verdana" w:cs="Arial"/>
          <w:lang w:val="es-ES"/>
        </w:rPr>
      </w:pPr>
    </w:p>
    <w:p w14:paraId="09638B20" w14:textId="77777777" w:rsidR="00D42FCF" w:rsidRPr="005E6352" w:rsidRDefault="00D42FCF" w:rsidP="00D42FCF">
      <w:pPr>
        <w:tabs>
          <w:tab w:val="left" w:pos="142"/>
          <w:tab w:val="left" w:pos="284"/>
        </w:tabs>
        <w:spacing w:after="0" w:line="276" w:lineRule="auto"/>
        <w:jc w:val="both"/>
        <w:rPr>
          <w:rFonts w:ascii="Verdana" w:eastAsia="Century Gothic" w:hAnsi="Verdana" w:cs="Century Gothic"/>
          <w:b/>
          <w:lang w:val="es-ES"/>
        </w:rPr>
      </w:pPr>
      <w:r w:rsidRPr="005E6352">
        <w:rPr>
          <w:rFonts w:ascii="Verdana" w:eastAsia="Century Gothic" w:hAnsi="Verdana" w:cs="Century Gothic"/>
          <w:b/>
          <w:lang w:val="es-ES"/>
        </w:rPr>
        <w:lastRenderedPageBreak/>
        <w:t>5. Doctrina de la Agencia Nacional de Contratación Pública:</w:t>
      </w:r>
    </w:p>
    <w:p w14:paraId="4ADD0718" w14:textId="77777777" w:rsidR="00D42FCF" w:rsidRPr="0077589D" w:rsidRDefault="00D42FCF" w:rsidP="00D42FCF">
      <w:pPr>
        <w:widowControl w:val="0"/>
        <w:autoSpaceDE w:val="0"/>
        <w:autoSpaceDN w:val="0"/>
        <w:spacing w:after="0" w:line="276" w:lineRule="auto"/>
        <w:jc w:val="both"/>
        <w:rPr>
          <w:rFonts w:ascii="Verdana" w:hAnsi="Verdana" w:cs="Arial"/>
          <w:color w:val="7030A0"/>
          <w:lang w:val="es-ES"/>
        </w:rPr>
      </w:pPr>
    </w:p>
    <w:p w14:paraId="1C65ED9A" w14:textId="77777777" w:rsidR="00D42FCF" w:rsidRPr="003B5DF5" w:rsidRDefault="00D42FCF" w:rsidP="00D42FCF">
      <w:pPr>
        <w:spacing w:after="0" w:line="276" w:lineRule="auto"/>
        <w:jc w:val="both"/>
        <w:rPr>
          <w:rFonts w:ascii="Verdana" w:eastAsia="Calibri" w:hAnsi="Verdana" w:cs="Arial"/>
          <w:shd w:val="clear" w:color="auto" w:fill="FFFFFF"/>
          <w:lang w:val="es-ES"/>
        </w:rPr>
      </w:pPr>
      <w:r w:rsidRPr="004A60A3">
        <w:rPr>
          <w:rFonts w:ascii="Verdana" w:eastAsia="Calibri" w:hAnsi="Verdana" w:cs="Arial"/>
          <w:color w:val="000000" w:themeColor="text1"/>
          <w:lang w:val="es-ES"/>
        </w:rPr>
        <w:t xml:space="preserve">La Agencia Nacional de Contratación Pública – Colombia Compra Eficiente se ha referido </w:t>
      </w:r>
      <w:r w:rsidRPr="004A60A3">
        <w:rPr>
          <w:rFonts w:ascii="Verdana" w:hAnsi="Verdana" w:cs="Arial"/>
          <w:color w:val="000000" w:themeColor="text1"/>
          <w:shd w:val="clear" w:color="auto" w:fill="FFFFFF"/>
          <w:lang w:val="es-ES"/>
        </w:rPr>
        <w:t xml:space="preserve">sobre </w:t>
      </w:r>
      <w:r w:rsidRPr="004A60A3">
        <w:rPr>
          <w:rFonts w:ascii="Verdana" w:eastAsia="Calibri" w:hAnsi="Verdana" w:cs="Arial"/>
          <w:color w:val="000000" w:themeColor="text1"/>
          <w:shd w:val="clear" w:color="auto" w:fill="FFFFFF"/>
          <w:lang w:val="es-ES"/>
        </w:rPr>
        <w:t>el ámbito de aplicación de los documentos tipo de infraestructura social, en los conceptos C-375 del 27 de septiembre de 2021</w:t>
      </w:r>
      <w:r w:rsidRPr="00F0547E">
        <w:rPr>
          <w:rFonts w:ascii="Verdana" w:eastAsia="Calibri" w:hAnsi="Verdana" w:cs="Arial"/>
          <w:shd w:val="clear" w:color="auto" w:fill="FFFFFF"/>
          <w:lang w:val="es-ES"/>
        </w:rPr>
        <w:t>,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Pr>
          <w:rFonts w:ascii="Verdana" w:eastAsia="Calibri" w:hAnsi="Verdana" w:cs="Arial"/>
          <w:shd w:val="clear" w:color="auto" w:fill="FFFFFF"/>
          <w:lang w:val="es-ES"/>
        </w:rPr>
        <w:t xml:space="preserve"> </w:t>
      </w:r>
      <w:r w:rsidRPr="00F0547E">
        <w:rPr>
          <w:rFonts w:ascii="Verdana" w:eastAsia="Calibri" w:hAnsi="Verdana" w:cs="Arial"/>
          <w:shd w:val="clear" w:color="auto" w:fill="FFFFFF"/>
          <w:lang w:val="es-ES"/>
        </w:rPr>
        <w:t xml:space="preserve">C-636 del 1 de noviembre de 2024, C-777 del 9 de diciembre de 2024, C-971 del 21 de enero de 2025, </w:t>
      </w:r>
      <w:r>
        <w:rPr>
          <w:rFonts w:ascii="Verdana" w:eastAsia="Calibri" w:hAnsi="Verdana" w:cs="Arial"/>
          <w:shd w:val="clear" w:color="auto" w:fill="FFFFFF"/>
          <w:lang w:val="es-ES"/>
        </w:rPr>
        <w:t xml:space="preserve">C-1522 del 25 de noviembre de 2025, C-1821 del 30 de diciembre de 2025, </w:t>
      </w:r>
      <w:r w:rsidRPr="00F0547E">
        <w:rPr>
          <w:rFonts w:ascii="Verdana" w:eastAsia="Calibri" w:hAnsi="Verdana" w:cs="Arial"/>
          <w:shd w:val="clear" w:color="auto" w:fill="FFFFFF"/>
          <w:lang w:val="es-ES"/>
        </w:rPr>
        <w:t>entre otros.</w:t>
      </w:r>
    </w:p>
    <w:p w14:paraId="0D58E42C" w14:textId="77777777" w:rsidR="00D42FCF" w:rsidRPr="00872AF5" w:rsidRDefault="00D42FCF" w:rsidP="00D42FCF">
      <w:pPr>
        <w:spacing w:after="0" w:line="276" w:lineRule="auto"/>
        <w:jc w:val="both"/>
        <w:rPr>
          <w:rStyle w:val="normaltextrun"/>
          <w:rFonts w:ascii="Verdana" w:hAnsi="Verdana" w:cs="Arial"/>
          <w:color w:val="7030A0"/>
          <w:shd w:val="clear" w:color="auto" w:fill="FFFFFF"/>
          <w:lang w:val="es-ES"/>
        </w:rPr>
      </w:pPr>
    </w:p>
    <w:p w14:paraId="26361A71" w14:textId="77777777" w:rsidR="00D42FCF" w:rsidRPr="0076466E" w:rsidRDefault="00D42FCF" w:rsidP="00D42FCF">
      <w:pPr>
        <w:spacing w:after="0" w:line="276" w:lineRule="auto"/>
        <w:jc w:val="both"/>
        <w:rPr>
          <w:rFonts w:ascii="Verdana" w:hAnsi="Verdana"/>
          <w:color w:val="EE0000"/>
        </w:rPr>
      </w:pPr>
      <w:r w:rsidRPr="00FD551E">
        <w:rPr>
          <w:rFonts w:ascii="Verdana" w:hAnsi="Verdana" w:cs="Arial"/>
          <w:shd w:val="clear" w:color="auto" w:fill="FFFFFF"/>
          <w:lang w:val="es-ES"/>
        </w:rPr>
        <w:t>Estos</w:t>
      </w:r>
      <w:r w:rsidRPr="00FD551E">
        <w:rPr>
          <w:rFonts w:ascii="Verdana" w:hAnsi="Verdana"/>
          <w:lang w:val="es-ES"/>
        </w:rPr>
        <w:t xml:space="preserve"> y otros se encuentran disponibles para consulta en el Sistema de relatoría de la Agencia, al cual se puede acceder a través del siguiente enlace:</w:t>
      </w:r>
      <w:r w:rsidRPr="00FD551E">
        <w:rPr>
          <w:rFonts w:ascii="Verdana" w:hAnsi="Verdana" w:cs="Arial"/>
          <w:shd w:val="clear" w:color="auto" w:fill="FFFFFF"/>
          <w:lang w:val="es-ES"/>
        </w:rPr>
        <w:t xml:space="preserve"> </w:t>
      </w:r>
      <w:hyperlink r:id="rId13" w:history="1">
        <w:r w:rsidRPr="00FD551E">
          <w:rPr>
            <w:rStyle w:val="Hipervnculo"/>
            <w:rFonts w:ascii="Verdana" w:hAnsi="Verdana" w:cs="Arial"/>
            <w:shd w:val="clear" w:color="auto" w:fill="FFFFFF"/>
            <w:lang w:val="es-ES"/>
          </w:rPr>
          <w:t>https://relatoria.colombiacompra.gov.co/busqueda/conceptos</w:t>
        </w:r>
      </w:hyperlink>
    </w:p>
    <w:p w14:paraId="04A12C35" w14:textId="77777777" w:rsidR="00D42FCF" w:rsidRPr="0076466E" w:rsidRDefault="00D42FCF" w:rsidP="00D42FCF">
      <w:pPr>
        <w:spacing w:after="0" w:line="276" w:lineRule="auto"/>
        <w:jc w:val="both"/>
        <w:rPr>
          <w:rStyle w:val="normaltextrun"/>
          <w:rFonts w:ascii="Verdana" w:hAnsi="Verdana" w:cs="Arial"/>
          <w:color w:val="EE0000"/>
          <w:shd w:val="clear" w:color="auto" w:fill="FFFFFF"/>
        </w:rPr>
      </w:pPr>
    </w:p>
    <w:p w14:paraId="3629A7D9" w14:textId="77777777" w:rsidR="00D42FCF" w:rsidRPr="0076466E" w:rsidRDefault="00D42FCF" w:rsidP="00D42FCF">
      <w:pPr>
        <w:spacing w:after="0" w:line="276" w:lineRule="auto"/>
        <w:jc w:val="both"/>
        <w:rPr>
          <w:rFonts w:ascii="Verdana" w:hAnsi="Verdana"/>
          <w:color w:val="EE0000"/>
        </w:rPr>
      </w:pPr>
      <w:r w:rsidRPr="00FD551E">
        <w:rPr>
          <w:rFonts w:ascii="Verdana" w:hAnsi="Verdana"/>
        </w:rPr>
        <w:t xml:space="preserve">La sostenibilidad no es una opción, es una obligación. Por ello, la Agencia Nacional de Contratación Pública –Colombia Compra Eficiente– te invita a realizar el </w:t>
      </w:r>
      <w:r w:rsidRPr="00FD551E">
        <w:rPr>
          <w:rFonts w:ascii="Verdana" w:hAnsi="Verdana"/>
          <w:b/>
          <w:bCs/>
        </w:rPr>
        <w:t>Curso de Contratación Pública Sostenible y Socialmente Responsable</w:t>
      </w:r>
      <w:r w:rsidRPr="00FD551E">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76466E">
        <w:rPr>
          <w:rFonts w:ascii="Verdana" w:hAnsi="Verdana"/>
          <w:color w:val="EE0000"/>
        </w:rPr>
        <w:br/>
      </w:r>
      <w:hyperlink r:id="rId14" w:tgtFrame="_new" w:history="1">
        <w:r w:rsidRPr="00FD551E">
          <w:rPr>
            <w:rStyle w:val="Hipervnculo"/>
            <w:rFonts w:ascii="Verdana" w:hAnsi="Verdana"/>
          </w:rPr>
          <w:t>https://formacionvirtual.colombiacompra.gov.co/mod/page/view.php?id=3718</w:t>
        </w:r>
      </w:hyperlink>
    </w:p>
    <w:p w14:paraId="77190B51" w14:textId="77777777" w:rsidR="00D42FCF" w:rsidRPr="0076466E" w:rsidRDefault="00D42FCF" w:rsidP="00D42FCF">
      <w:pPr>
        <w:spacing w:after="0" w:line="276" w:lineRule="auto"/>
        <w:jc w:val="both"/>
        <w:rPr>
          <w:rFonts w:ascii="Verdana" w:hAnsi="Verdana"/>
          <w:color w:val="EE0000"/>
        </w:rPr>
      </w:pPr>
    </w:p>
    <w:p w14:paraId="16D41A50" w14:textId="77777777" w:rsidR="00D42FCF" w:rsidRPr="0076466E" w:rsidRDefault="00D42FCF" w:rsidP="00D42FCF">
      <w:pPr>
        <w:spacing w:after="0" w:line="276" w:lineRule="auto"/>
        <w:jc w:val="both"/>
        <w:rPr>
          <w:rFonts w:ascii="Verdana" w:hAnsi="Verdana"/>
          <w:color w:val="EE0000"/>
        </w:rPr>
      </w:pPr>
      <w:r w:rsidRPr="00FD551E">
        <w:rPr>
          <w:rFonts w:ascii="Verdana" w:hAnsi="Verdana"/>
        </w:rPr>
        <w:t xml:space="preserve">De otro lado, te contamos que esta Agencia ha da un paso decisivo en la estandarización y modernización del </w:t>
      </w:r>
      <w:r w:rsidRPr="00FD551E">
        <w:rPr>
          <w:rFonts w:ascii="Verdana" w:hAnsi="Verdana"/>
          <w:b/>
          <w:bCs/>
        </w:rPr>
        <w:t>sector  social</w:t>
      </w:r>
      <w:r w:rsidRPr="00FD551E">
        <w:rPr>
          <w:rFonts w:ascii="Verdana" w:hAnsi="Verdana"/>
        </w:rPr>
        <w:t xml:space="preserve"> con la expedición de las </w:t>
      </w:r>
      <w:r w:rsidRPr="00FD551E">
        <w:rPr>
          <w:rFonts w:ascii="Verdana" w:hAnsi="Verdana"/>
          <w:b/>
          <w:bCs/>
        </w:rPr>
        <w:t>Resoluciones 539, 540, 541, 952 y 953 de 2025</w:t>
      </w:r>
      <w:r w:rsidRPr="00FD551E">
        <w:rPr>
          <w:rFonts w:ascii="Verdana" w:hAnsi="Verdana"/>
        </w:rPr>
        <w:t xml:space="preserve">, </w:t>
      </w:r>
      <w:r w:rsidRPr="00FD551E">
        <w:rPr>
          <w:rFonts w:ascii="Verdana" w:hAnsi="Verdana"/>
          <w:b/>
          <w:bCs/>
        </w:rPr>
        <w:t>mediante las cuales adoptó Documentos Tipo</w:t>
      </w:r>
      <w:r w:rsidRPr="00FD551E">
        <w:rPr>
          <w:rFonts w:ascii="Verdana" w:hAnsi="Verdana"/>
        </w:rPr>
        <w:t xml:space="preserve"> para las modalidades de selección de</w:t>
      </w:r>
      <w:r w:rsidRPr="00FD551E">
        <w:rPr>
          <w:rFonts w:ascii="Verdana" w:hAnsi="Verdana"/>
          <w:b/>
          <w:bCs/>
        </w:rPr>
        <w:t xml:space="preserve"> licitación pública (versión 2), selección abreviada de menor cuantía, mínima cuantía, consultoría e interventoría</w:t>
      </w:r>
      <w:r w:rsidRPr="00FD551E">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FD551E">
          <w:rPr>
            <w:rStyle w:val="Hipervnculo"/>
            <w:rFonts w:ascii="Verdana" w:hAnsi="Verdana"/>
          </w:rPr>
          <w:t>https://www.colombiacompra.gov.co/normativa-y-relatoria/documentos-tipo</w:t>
        </w:r>
      </w:hyperlink>
    </w:p>
    <w:p w14:paraId="62023A83" w14:textId="77777777" w:rsidR="00D42FCF" w:rsidRPr="0076466E" w:rsidRDefault="00D42FCF" w:rsidP="00D42FCF">
      <w:pPr>
        <w:spacing w:after="0" w:line="276" w:lineRule="auto"/>
        <w:jc w:val="both"/>
        <w:rPr>
          <w:rFonts w:ascii="Verdana" w:hAnsi="Verdana"/>
          <w:color w:val="EE0000"/>
        </w:rPr>
      </w:pPr>
    </w:p>
    <w:p w14:paraId="0A8BB06D" w14:textId="77777777" w:rsidR="00D42FCF" w:rsidRPr="0076466E" w:rsidRDefault="00D42FCF" w:rsidP="00D42FCF">
      <w:pPr>
        <w:spacing w:after="0" w:line="276" w:lineRule="auto"/>
        <w:jc w:val="both"/>
        <w:rPr>
          <w:rFonts w:ascii="Verdana" w:hAnsi="Verdana"/>
          <w:color w:val="EE0000"/>
        </w:rPr>
      </w:pPr>
      <w:r w:rsidRPr="00FD551E">
        <w:rPr>
          <w:rFonts w:ascii="Verdana" w:hAnsi="Verdana"/>
        </w:rPr>
        <w:t xml:space="preserve">Si quieres conocer más sobre la aplicación de Documentos Tipo puedes consultar la última versión de la </w:t>
      </w:r>
      <w:r w:rsidRPr="00FD551E">
        <w:rPr>
          <w:rFonts w:ascii="Verdana" w:hAnsi="Verdana"/>
          <w:b/>
          <w:bCs/>
        </w:rPr>
        <w:t>Guía para la comprensión e implementación de los Documentos Tipo de obra pública de infraestructura de transporte</w:t>
      </w:r>
      <w:r w:rsidRPr="00FD551E">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76466E">
        <w:rPr>
          <w:rFonts w:ascii="Verdana" w:hAnsi="Verdana"/>
          <w:color w:val="EE0000"/>
        </w:rPr>
        <w:br/>
      </w:r>
      <w:hyperlink r:id="rId16" w:tgtFrame="_new" w:history="1">
        <w:r w:rsidRPr="00FD551E">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2BFBEA3D" w14:textId="77777777" w:rsidR="00D42FCF" w:rsidRPr="0076466E" w:rsidRDefault="00D42FCF" w:rsidP="00D42FCF">
      <w:pPr>
        <w:spacing w:after="0" w:line="276" w:lineRule="auto"/>
        <w:jc w:val="both"/>
        <w:rPr>
          <w:rFonts w:ascii="Verdana" w:hAnsi="Verdana" w:cs="Arial"/>
          <w:color w:val="EE0000"/>
          <w:shd w:val="clear" w:color="auto" w:fill="FFFFFF"/>
        </w:rPr>
      </w:pPr>
    </w:p>
    <w:p w14:paraId="7A55F92D" w14:textId="77777777" w:rsidR="00D42FCF" w:rsidRPr="00116940" w:rsidRDefault="00D42FCF" w:rsidP="00D42FCF">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4F453D71" w14:textId="77777777" w:rsidR="00D42FCF" w:rsidRPr="00116940" w:rsidRDefault="00D42FCF" w:rsidP="00D42FCF">
      <w:pPr>
        <w:spacing w:after="0"/>
        <w:jc w:val="both"/>
        <w:rPr>
          <w:rFonts w:ascii="Verdana" w:hAnsi="Verdana"/>
        </w:rPr>
      </w:pPr>
    </w:p>
    <w:p w14:paraId="2E52E8E6" w14:textId="77777777" w:rsidR="00D42FCF" w:rsidRPr="00116940" w:rsidRDefault="00D42FCF" w:rsidP="00D42FCF">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3DBD9905" w14:textId="77777777" w:rsidR="00D42FCF" w:rsidRPr="00116940" w:rsidRDefault="00D42FCF" w:rsidP="00D42FCF">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2DA42A03" w14:textId="77777777" w:rsidR="00D42FCF" w:rsidRPr="00116940" w:rsidRDefault="00D42FCF" w:rsidP="00D42FCF">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7">
        <w:r w:rsidRPr="00116940">
          <w:rPr>
            <w:rStyle w:val="Hipervnculo"/>
            <w:rFonts w:ascii="Verdana" w:eastAsia="Verdana" w:hAnsi="Verdana" w:cs="Verdana"/>
            <w:lang w:val="es-MX"/>
          </w:rPr>
          <w:t>ventanilladeradicacion@colombiacompra.gov.co</w:t>
        </w:r>
      </w:hyperlink>
    </w:p>
    <w:p w14:paraId="0DEC7CBA" w14:textId="77777777" w:rsidR="00D42FCF" w:rsidRPr="00116940" w:rsidRDefault="00D42FCF" w:rsidP="00D42FCF">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8">
        <w:r w:rsidRPr="00116940">
          <w:rPr>
            <w:rStyle w:val="Hipervnculo"/>
            <w:rFonts w:ascii="Verdana" w:eastAsia="Verdana" w:hAnsi="Verdana" w:cs="Verdana"/>
            <w:lang w:val="es-MX"/>
          </w:rPr>
          <w:t>https://www.colombiacompra.gov.co/pqrsd/informacion-importante-antes-de-formular-una-pqrsd</w:t>
        </w:r>
      </w:hyperlink>
    </w:p>
    <w:p w14:paraId="4479918F" w14:textId="77777777" w:rsidR="00D42FCF" w:rsidRPr="00116940" w:rsidRDefault="00D42FCF" w:rsidP="00D42FCF">
      <w:pPr>
        <w:spacing w:after="0" w:line="240" w:lineRule="auto"/>
        <w:ind w:left="720"/>
        <w:jc w:val="both"/>
        <w:rPr>
          <w:rFonts w:ascii="Verdana" w:hAnsi="Verdana"/>
        </w:rPr>
      </w:pPr>
    </w:p>
    <w:p w14:paraId="06D1F850" w14:textId="77777777" w:rsidR="00D42FCF" w:rsidRPr="00116940" w:rsidRDefault="00D42FCF" w:rsidP="00D42FCF">
      <w:pPr>
        <w:spacing w:after="0" w:line="240" w:lineRule="auto"/>
        <w:jc w:val="both"/>
        <w:rPr>
          <w:rFonts w:ascii="Verdana" w:hAnsi="Verdana"/>
        </w:rPr>
      </w:pPr>
      <w:r w:rsidRPr="00116940">
        <w:rPr>
          <w:rFonts w:ascii="Verdana" w:hAnsi="Verdana"/>
        </w:rPr>
        <w:t>Evalúa el servicio que ofrece la Agencia por el canal de atención de PQRSD en el siguiente enlace:</w:t>
      </w:r>
      <w:r>
        <w:rPr>
          <w:rFonts w:ascii="Verdana" w:hAnsi="Verdana"/>
        </w:rPr>
        <w:t xml:space="preserve"> </w:t>
      </w:r>
      <w:hyperlink r:id="rId19" w:history="1">
        <w:r w:rsidRPr="00FB4AC0">
          <w:rPr>
            <w:rStyle w:val="Hipervnculo"/>
            <w:rFonts w:ascii="Verdana" w:hAnsi="Verdana"/>
          </w:rPr>
          <w:t>https://forms.office.com/r/pPHyWVs2SZ</w:t>
        </w:r>
      </w:hyperlink>
      <w:r w:rsidRPr="00116940">
        <w:rPr>
          <w:rFonts w:ascii="Verdana" w:hAnsi="Verdana"/>
        </w:rPr>
        <w:t xml:space="preserve"> .¡Ayúdanos a</w:t>
      </w:r>
      <w:r>
        <w:rPr>
          <w:rFonts w:ascii="Verdana" w:hAnsi="Verdana"/>
        </w:rPr>
        <w:t xml:space="preserve"> </w:t>
      </w:r>
      <w:r w:rsidRPr="00116940">
        <w:rPr>
          <w:rFonts w:ascii="Verdana" w:hAnsi="Verdana"/>
        </w:rPr>
        <w:t>mejorar porque el compromiso es de todos!</w:t>
      </w:r>
    </w:p>
    <w:p w14:paraId="402FD4FA" w14:textId="77777777" w:rsidR="00D42FCF" w:rsidRPr="00116940" w:rsidRDefault="00D42FCF" w:rsidP="00D42FCF">
      <w:pPr>
        <w:spacing w:after="0" w:line="240" w:lineRule="auto"/>
        <w:rPr>
          <w:rFonts w:ascii="Verdana" w:hAnsi="Verdana"/>
        </w:rPr>
      </w:pPr>
    </w:p>
    <w:p w14:paraId="060A5257" w14:textId="77777777" w:rsidR="00D42FCF" w:rsidRPr="00116940" w:rsidRDefault="00D42FCF" w:rsidP="00D42FCF">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55058D13" w14:textId="77777777" w:rsidR="00D42FCF" w:rsidRPr="00116940" w:rsidRDefault="00D42FCF" w:rsidP="00D42FCF">
      <w:pPr>
        <w:spacing w:after="0" w:line="240" w:lineRule="auto"/>
        <w:jc w:val="both"/>
        <w:rPr>
          <w:rFonts w:ascii="Verdana" w:hAnsi="Verdana"/>
        </w:rPr>
      </w:pPr>
    </w:p>
    <w:p w14:paraId="5101F7F4" w14:textId="77777777" w:rsidR="00D42FCF" w:rsidRPr="00116940" w:rsidRDefault="00D42FCF" w:rsidP="00D42FCF">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5392349D" w14:textId="77777777" w:rsidR="00D42FCF" w:rsidRPr="00116940" w:rsidRDefault="00D42FCF" w:rsidP="00D42FCF">
      <w:pPr>
        <w:spacing w:after="0" w:line="240" w:lineRule="auto"/>
        <w:jc w:val="both"/>
        <w:rPr>
          <w:rFonts w:ascii="Verdana" w:hAnsi="Verdana"/>
        </w:rPr>
      </w:pPr>
      <w:r w:rsidRPr="00116940">
        <w:rPr>
          <w:rFonts w:ascii="Verdana" w:hAnsi="Verdana"/>
        </w:rPr>
        <w:lastRenderedPageBreak/>
        <w:t xml:space="preserve">Facebook: </w:t>
      </w:r>
      <w:r w:rsidRPr="00116940">
        <w:rPr>
          <w:rStyle w:val="Hipervnculo"/>
          <w:rFonts w:ascii="Verdana" w:hAnsi="Verdana"/>
        </w:rPr>
        <w:t>ColombiaCompraEficiente</w:t>
      </w:r>
    </w:p>
    <w:p w14:paraId="2AF9573C" w14:textId="77777777" w:rsidR="00D42FCF" w:rsidRPr="00116940" w:rsidRDefault="00D42FCF" w:rsidP="00D42FCF">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3A94575D" w14:textId="77777777" w:rsidR="00D42FCF" w:rsidRPr="00CC060C" w:rsidRDefault="00D42FCF" w:rsidP="00D42FCF">
      <w:pPr>
        <w:widowControl w:val="0"/>
        <w:autoSpaceDE w:val="0"/>
        <w:autoSpaceDN w:val="0"/>
        <w:spacing w:after="0" w:line="276" w:lineRule="auto"/>
        <w:jc w:val="both"/>
        <w:rPr>
          <w:rFonts w:ascii="Verdana" w:hAnsi="Verdana" w:cs="Arial"/>
        </w:rPr>
      </w:pPr>
    </w:p>
    <w:p w14:paraId="67E857F6" w14:textId="77777777" w:rsidR="00D42FCF" w:rsidRPr="00FD551E" w:rsidRDefault="00D42FCF" w:rsidP="00D42FCF">
      <w:pPr>
        <w:widowControl w:val="0"/>
        <w:autoSpaceDE w:val="0"/>
        <w:autoSpaceDN w:val="0"/>
        <w:spacing w:after="0" w:line="276" w:lineRule="auto"/>
        <w:jc w:val="both"/>
        <w:rPr>
          <w:rFonts w:ascii="Verdana" w:hAnsi="Verdana" w:cs="Arial"/>
          <w:lang w:val="es-ES"/>
        </w:rPr>
      </w:pPr>
      <w:r w:rsidRPr="00FD551E">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78355A7" w14:textId="77777777" w:rsidR="00D42FCF" w:rsidRPr="00FD551E" w:rsidRDefault="00D42FCF" w:rsidP="00D42FCF">
      <w:pPr>
        <w:widowControl w:val="0"/>
        <w:autoSpaceDE w:val="0"/>
        <w:autoSpaceDN w:val="0"/>
        <w:spacing w:after="0" w:line="276" w:lineRule="auto"/>
        <w:jc w:val="both"/>
        <w:rPr>
          <w:rFonts w:ascii="Verdana" w:hAnsi="Verdana" w:cs="Arial"/>
          <w:lang w:val="es-ES"/>
        </w:rPr>
      </w:pPr>
    </w:p>
    <w:p w14:paraId="72A471F0" w14:textId="1AB52C98" w:rsidR="00D42FCF" w:rsidRDefault="00D42FCF" w:rsidP="00E327B1">
      <w:pPr>
        <w:spacing w:after="0" w:line="276" w:lineRule="auto"/>
        <w:rPr>
          <w:rFonts w:ascii="Verdana" w:hAnsi="Verdana" w:cs="Arial"/>
          <w:lang w:val="es-ES" w:eastAsia="es-CO"/>
        </w:rPr>
      </w:pPr>
      <w:r w:rsidRPr="00FD551E">
        <w:rPr>
          <w:rFonts w:ascii="Verdana" w:eastAsia="Times New Roman" w:hAnsi="Verdana" w:cs="Arial"/>
          <w:lang w:val="es-ES" w:eastAsia="es-CO"/>
        </w:rPr>
        <w:t>Atentamente,</w:t>
      </w:r>
      <w:r w:rsidRPr="00FD551E">
        <w:rPr>
          <w:rFonts w:ascii="Verdana" w:hAnsi="Verdana" w:cs="Arial"/>
          <w:lang w:val="es-ES" w:eastAsia="es-CO"/>
        </w:rPr>
        <w:t xml:space="preserve"> </w:t>
      </w:r>
    </w:p>
    <w:p w14:paraId="4AFEC406" w14:textId="77777777" w:rsidR="00F804C4" w:rsidRPr="00F804C4" w:rsidRDefault="00F804C4" w:rsidP="00E327B1">
      <w:pPr>
        <w:spacing w:after="0" w:line="276" w:lineRule="auto"/>
        <w:rPr>
          <w:rFonts w:ascii="Verdana" w:hAnsi="Verdana" w:cs="Arial"/>
          <w:lang w:val="es-ES" w:eastAsia="es-CO"/>
        </w:rPr>
      </w:pPr>
    </w:p>
    <w:p w14:paraId="714E3317" w14:textId="7A10FD63" w:rsidR="00E327B1" w:rsidRPr="00E327B1" w:rsidRDefault="00E327B1" w:rsidP="00F804C4">
      <w:pPr>
        <w:spacing w:after="0" w:line="276" w:lineRule="auto"/>
        <w:jc w:val="center"/>
        <w:rPr>
          <w:rFonts w:ascii="Verdana" w:hAnsi="Verdana"/>
          <w:noProof/>
          <w:color w:val="EE0000"/>
        </w:rPr>
      </w:pPr>
      <w:r w:rsidRPr="00E327B1">
        <w:rPr>
          <w:rFonts w:ascii="Verdana" w:hAnsi="Verdana"/>
          <w:noProof/>
          <w:color w:val="EE0000"/>
        </w:rPr>
        <w:drawing>
          <wp:inline distT="0" distB="0" distL="0" distR="0" wp14:anchorId="05E15809" wp14:editId="75654442">
            <wp:extent cx="2581274" cy="963350"/>
            <wp:effectExtent l="0" t="0" r="0" b="8255"/>
            <wp:docPr id="194821564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8215640" name=""/>
                    <pic:cNvPicPr/>
                  </pic:nvPicPr>
                  <pic:blipFill rotWithShape="1">
                    <a:blip r:embed="rId20"/>
                    <a:srcRect t="13556"/>
                    <a:stretch>
                      <a:fillRect/>
                    </a:stretch>
                  </pic:blipFill>
                  <pic:spPr bwMode="auto">
                    <a:xfrm>
                      <a:off x="0" y="0"/>
                      <a:ext cx="2581635" cy="963485"/>
                    </a:xfrm>
                    <a:prstGeom prst="rect">
                      <a:avLst/>
                    </a:prstGeom>
                    <a:ln>
                      <a:noFill/>
                    </a:ln>
                    <a:extLst>
                      <a:ext uri="{53640926-AAD7-44D8-BBD7-CCE9431645EC}">
                        <a14:shadowObscured xmlns:a14="http://schemas.microsoft.com/office/drawing/2010/main"/>
                      </a:ext>
                    </a:extLst>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42FCF" w:rsidRPr="0076466E" w14:paraId="5E0DFE1E" w14:textId="77777777" w:rsidTr="0072767F">
        <w:trPr>
          <w:trHeight w:val="315"/>
        </w:trPr>
        <w:tc>
          <w:tcPr>
            <w:tcW w:w="893" w:type="dxa"/>
            <w:vAlign w:val="center"/>
            <w:hideMark/>
          </w:tcPr>
          <w:p w14:paraId="75416A21" w14:textId="77777777" w:rsidR="00D42FCF" w:rsidRPr="00FD551E" w:rsidRDefault="00D42FCF" w:rsidP="0072767F">
            <w:pPr>
              <w:contextualSpacing/>
              <w:rPr>
                <w:rFonts w:ascii="Verdana" w:hAnsi="Verdana" w:cs="Arial"/>
                <w:sz w:val="16"/>
                <w:szCs w:val="16"/>
                <w:lang w:val="es-ES" w:eastAsia="es-ES"/>
              </w:rPr>
            </w:pPr>
            <w:r w:rsidRPr="00FD551E">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99173AA" w14:textId="77777777" w:rsidR="00D42FCF" w:rsidRPr="00FD551E" w:rsidRDefault="00D42FCF" w:rsidP="0072767F">
            <w:pPr>
              <w:rPr>
                <w:rFonts w:ascii="Verdana" w:eastAsia="Times New Roman" w:hAnsi="Verdana" w:cs="Arial"/>
                <w:sz w:val="16"/>
                <w:szCs w:val="16"/>
                <w:lang w:eastAsia="es-ES"/>
              </w:rPr>
            </w:pPr>
            <w:r w:rsidRPr="00FD551E">
              <w:rPr>
                <w:rFonts w:ascii="Verdana" w:eastAsia="Times New Roman" w:hAnsi="Verdana" w:cs="Arial"/>
                <w:sz w:val="16"/>
                <w:szCs w:val="16"/>
                <w:lang w:eastAsia="es-ES"/>
              </w:rPr>
              <w:t>Camila Alejandra Naranjo Gómez</w:t>
            </w:r>
          </w:p>
          <w:p w14:paraId="0C0F2E62" w14:textId="77777777" w:rsidR="00D42FCF" w:rsidRDefault="00D42FCF" w:rsidP="0072767F">
            <w:pPr>
              <w:contextualSpacing/>
              <w:rPr>
                <w:rFonts w:ascii="Verdana" w:eastAsia="Times New Roman" w:hAnsi="Verdana" w:cs="Arial"/>
                <w:sz w:val="16"/>
                <w:szCs w:val="16"/>
                <w:lang w:eastAsia="es-ES"/>
              </w:rPr>
            </w:pPr>
            <w:r w:rsidRPr="00FD551E">
              <w:rPr>
                <w:rFonts w:ascii="Verdana" w:eastAsia="Times New Roman" w:hAnsi="Verdana" w:cs="Arial"/>
                <w:sz w:val="16"/>
                <w:szCs w:val="16"/>
                <w:lang w:eastAsia="es-ES"/>
              </w:rPr>
              <w:t>Analista T2-02 de la Subdirección de Gestión Contractual</w:t>
            </w:r>
          </w:p>
          <w:p w14:paraId="3D730F1D" w14:textId="77777777" w:rsidR="00D42FCF" w:rsidRDefault="00D42FCF" w:rsidP="0072767F">
            <w:pPr>
              <w:contextualSpacing/>
              <w:rPr>
                <w:rFonts w:ascii="Verdana" w:eastAsia="Arial" w:hAnsi="Verdana" w:cs="Arial"/>
                <w:sz w:val="16"/>
                <w:szCs w:val="16"/>
                <w:lang w:val="es-ES"/>
              </w:rPr>
            </w:pPr>
            <w:r w:rsidRPr="00290997">
              <w:rPr>
                <w:rFonts w:ascii="Verdana" w:eastAsia="Arial" w:hAnsi="Verdana" w:cs="Arial"/>
                <w:sz w:val="16"/>
                <w:szCs w:val="16"/>
                <w:lang w:val="es-ES"/>
              </w:rPr>
              <w:t>Lida Milena Guanumen Pacheco</w:t>
            </w:r>
          </w:p>
          <w:p w14:paraId="02179724" w14:textId="77777777" w:rsidR="00D42FCF" w:rsidRPr="00FD551E" w:rsidRDefault="00D42FCF" w:rsidP="0072767F">
            <w:pPr>
              <w:contextualSpacing/>
              <w:rPr>
                <w:rFonts w:ascii="Verdana" w:eastAsia="Arial" w:hAnsi="Verdana" w:cs="Arial"/>
                <w:sz w:val="16"/>
                <w:szCs w:val="16"/>
                <w:lang w:val="es-ES"/>
              </w:rPr>
            </w:pPr>
            <w:r>
              <w:rPr>
                <w:rFonts w:ascii="Verdana" w:eastAsia="Arial" w:hAnsi="Verdana" w:cs="Arial"/>
                <w:sz w:val="16"/>
                <w:szCs w:val="16"/>
                <w:lang w:val="es-ES"/>
              </w:rPr>
              <w:t xml:space="preserve">Contratista </w:t>
            </w:r>
            <w:r w:rsidRPr="00FD551E">
              <w:rPr>
                <w:rFonts w:ascii="Verdana" w:eastAsia="Times New Roman" w:hAnsi="Verdana" w:cs="Arial"/>
                <w:sz w:val="16"/>
                <w:szCs w:val="16"/>
                <w:lang w:eastAsia="es-ES"/>
              </w:rPr>
              <w:t>de la Subdirección de Gestión Contractual</w:t>
            </w:r>
          </w:p>
        </w:tc>
      </w:tr>
      <w:tr w:rsidR="00D42FCF" w:rsidRPr="0076466E" w14:paraId="747DE316" w14:textId="77777777" w:rsidTr="0072767F">
        <w:trPr>
          <w:trHeight w:val="330"/>
        </w:trPr>
        <w:tc>
          <w:tcPr>
            <w:tcW w:w="893" w:type="dxa"/>
            <w:vAlign w:val="center"/>
            <w:hideMark/>
          </w:tcPr>
          <w:p w14:paraId="59DAAE06" w14:textId="77777777" w:rsidR="00D42FCF" w:rsidRPr="00FD551E" w:rsidRDefault="00D42FCF" w:rsidP="0072767F">
            <w:pPr>
              <w:contextualSpacing/>
              <w:rPr>
                <w:rFonts w:ascii="Verdana" w:hAnsi="Verdana" w:cs="Arial"/>
                <w:sz w:val="16"/>
                <w:szCs w:val="16"/>
                <w:lang w:val="es-ES" w:eastAsia="es-ES"/>
              </w:rPr>
            </w:pPr>
            <w:r w:rsidRPr="00FD551E">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55306F4" w14:textId="77777777" w:rsidR="00D42FCF" w:rsidRPr="00C0721A" w:rsidRDefault="00D42FCF" w:rsidP="0072767F">
            <w:pPr>
              <w:rPr>
                <w:rFonts w:ascii="Verdana" w:eastAsia="Times New Roman" w:hAnsi="Verdana" w:cs="Arial"/>
                <w:sz w:val="16"/>
                <w:szCs w:val="16"/>
                <w:lang w:eastAsia="es-ES"/>
              </w:rPr>
            </w:pPr>
            <w:r w:rsidRPr="00C0721A">
              <w:rPr>
                <w:rFonts w:ascii="Verdana" w:eastAsia="Times New Roman" w:hAnsi="Verdana" w:cs="Arial"/>
                <w:sz w:val="16"/>
                <w:szCs w:val="16"/>
                <w:lang w:eastAsia="es-ES"/>
              </w:rPr>
              <w:t>Martha Alicia Romero Vargas</w:t>
            </w:r>
          </w:p>
          <w:p w14:paraId="4D3E9243" w14:textId="77777777" w:rsidR="00D42FCF" w:rsidRPr="00FD551E" w:rsidRDefault="00D42FCF" w:rsidP="0072767F">
            <w:pPr>
              <w:pStyle w:val="paragraph"/>
              <w:spacing w:before="0" w:beforeAutospacing="0" w:after="0" w:afterAutospacing="0"/>
              <w:contextualSpacing/>
              <w:textAlignment w:val="baseline"/>
              <w:rPr>
                <w:rFonts w:ascii="Verdana" w:hAnsi="Verdana" w:cs="Segoe UI"/>
                <w:sz w:val="16"/>
                <w:szCs w:val="16"/>
                <w:lang w:val="es-ES"/>
              </w:rPr>
            </w:pPr>
            <w:r w:rsidRPr="00C0721A">
              <w:rPr>
                <w:rFonts w:ascii="Verdana" w:hAnsi="Verdana" w:cs="Arial"/>
                <w:sz w:val="16"/>
                <w:szCs w:val="16"/>
                <w:lang w:eastAsia="es-ES"/>
              </w:rPr>
              <w:t>Gestor T1 ‒ 15 de la Subdirección de Gestión Contractual</w:t>
            </w:r>
          </w:p>
        </w:tc>
      </w:tr>
      <w:tr w:rsidR="00D42FCF" w:rsidRPr="0076466E" w14:paraId="1A48956D" w14:textId="77777777" w:rsidTr="0072767F">
        <w:trPr>
          <w:trHeight w:val="300"/>
        </w:trPr>
        <w:tc>
          <w:tcPr>
            <w:tcW w:w="893" w:type="dxa"/>
            <w:vAlign w:val="center"/>
          </w:tcPr>
          <w:p w14:paraId="1C7DBF87" w14:textId="77777777" w:rsidR="00D42FCF" w:rsidRPr="00FD551E" w:rsidRDefault="00D42FCF" w:rsidP="0072767F">
            <w:pPr>
              <w:contextualSpacing/>
              <w:rPr>
                <w:rFonts w:ascii="Verdana" w:hAnsi="Verdana" w:cs="Arial"/>
                <w:sz w:val="16"/>
                <w:szCs w:val="16"/>
                <w:lang w:val="es-ES" w:eastAsia="es-ES"/>
              </w:rPr>
            </w:pPr>
            <w:r w:rsidRPr="00FD551E">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F294D53" w14:textId="77777777" w:rsidR="00D42FCF" w:rsidRPr="00FD551E" w:rsidRDefault="00D42FCF" w:rsidP="0072767F">
            <w:pPr>
              <w:contextualSpacing/>
              <w:rPr>
                <w:rFonts w:ascii="Verdana" w:eastAsia="Calibri" w:hAnsi="Verdana" w:cs="Arial"/>
                <w:sz w:val="16"/>
                <w:szCs w:val="16"/>
                <w:lang w:val="es-ES" w:eastAsia="es-ES"/>
              </w:rPr>
            </w:pPr>
            <w:r w:rsidRPr="00FD551E">
              <w:rPr>
                <w:rFonts w:ascii="Verdana" w:eastAsia="Calibri" w:hAnsi="Verdana" w:cs="Arial"/>
                <w:sz w:val="16"/>
                <w:szCs w:val="16"/>
                <w:lang w:val="es-ES" w:eastAsia="es-ES"/>
              </w:rPr>
              <w:t>Carolina Quintero Gacharná</w:t>
            </w:r>
          </w:p>
          <w:p w14:paraId="0E88343C" w14:textId="77777777" w:rsidR="00D42FCF" w:rsidRPr="00FD551E" w:rsidRDefault="00D42FCF" w:rsidP="0072767F">
            <w:pPr>
              <w:contextualSpacing/>
              <w:rPr>
                <w:rFonts w:ascii="Verdana" w:eastAsia="Calibri" w:hAnsi="Verdana" w:cs="Arial"/>
                <w:sz w:val="16"/>
                <w:szCs w:val="16"/>
                <w:lang w:val="es-ES" w:eastAsia="es-ES"/>
              </w:rPr>
            </w:pPr>
            <w:r w:rsidRPr="00FD551E">
              <w:rPr>
                <w:rFonts w:ascii="Verdana" w:eastAsia="Calibri" w:hAnsi="Verdana" w:cs="Arial"/>
                <w:sz w:val="16"/>
                <w:szCs w:val="16"/>
                <w:lang w:val="es-ES" w:eastAsia="es-ES"/>
              </w:rPr>
              <w:t>Subdirectora de Gestión Contractual ANCP – CCE</w:t>
            </w:r>
          </w:p>
        </w:tc>
      </w:tr>
    </w:tbl>
    <w:p w14:paraId="6D992FD7" w14:textId="77777777" w:rsidR="00D42FCF" w:rsidRPr="0076466E" w:rsidRDefault="00D42FCF" w:rsidP="00D42FCF">
      <w:pPr>
        <w:spacing w:after="0" w:line="240" w:lineRule="auto"/>
        <w:jc w:val="both"/>
        <w:textAlignment w:val="baseline"/>
        <w:rPr>
          <w:rFonts w:ascii="Verdana" w:eastAsia="Verdana" w:hAnsi="Verdana" w:cs="Verdana"/>
          <w:color w:val="EE0000"/>
          <w:lang w:eastAsia="es-CO"/>
        </w:rPr>
      </w:pPr>
    </w:p>
    <w:p w14:paraId="28CD429E" w14:textId="155D70BD" w:rsidR="00D42FCF" w:rsidRPr="0084775B" w:rsidRDefault="00D42FCF" w:rsidP="00D42FCF">
      <w:pPr>
        <w:spacing w:after="0" w:line="240" w:lineRule="auto"/>
        <w:textAlignment w:val="baseline"/>
        <w:rPr>
          <w:rFonts w:ascii="Verdana" w:eastAsia="Verdana" w:hAnsi="Verdana" w:cs="Verdana"/>
          <w:color w:val="EE0000"/>
          <w:lang w:eastAsia="es-CO"/>
        </w:rPr>
      </w:pPr>
      <w:r w:rsidRPr="0076466E">
        <w:rPr>
          <w:rFonts w:ascii="Verdana" w:eastAsia="Verdana" w:hAnsi="Verdana" w:cs="Verdana"/>
          <w:color w:val="EE0000"/>
          <w:lang w:eastAsia="es-CO"/>
        </w:rPr>
        <w:t> </w:t>
      </w:r>
      <w:bookmarkEnd w:id="0"/>
    </w:p>
    <w:p w14:paraId="65817672" w14:textId="77777777" w:rsidR="00D42FCF" w:rsidRPr="00416127" w:rsidRDefault="00D42FCF" w:rsidP="00D42FCF"/>
    <w:p w14:paraId="0F293BF4" w14:textId="35FD3DB4" w:rsidR="00127233" w:rsidRPr="00D42FCF" w:rsidRDefault="00127233" w:rsidP="00D42FCF"/>
    <w:sectPr w:rsidR="00127233" w:rsidRPr="00D42FCF"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488A03" w14:textId="77777777" w:rsidR="004D3872" w:rsidRDefault="004D3872" w:rsidP="004A1847">
      <w:pPr>
        <w:spacing w:after="0" w:line="240" w:lineRule="auto"/>
      </w:pPr>
      <w:r>
        <w:separator/>
      </w:r>
    </w:p>
  </w:endnote>
  <w:endnote w:type="continuationSeparator" w:id="0">
    <w:p w14:paraId="76697416" w14:textId="77777777" w:rsidR="004D3872" w:rsidRDefault="004D387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87F45A" w14:textId="77777777" w:rsidR="004D3872" w:rsidRDefault="004D3872" w:rsidP="004A1847">
      <w:pPr>
        <w:spacing w:after="0" w:line="240" w:lineRule="auto"/>
      </w:pPr>
      <w:r>
        <w:separator/>
      </w:r>
    </w:p>
  </w:footnote>
  <w:footnote w:type="continuationSeparator" w:id="0">
    <w:p w14:paraId="3DAFBE95" w14:textId="77777777" w:rsidR="004D3872" w:rsidRDefault="004D3872" w:rsidP="004A1847">
      <w:pPr>
        <w:spacing w:after="0" w:line="240" w:lineRule="auto"/>
      </w:pPr>
      <w:r>
        <w:continuationSeparator/>
      </w:r>
    </w:p>
  </w:footnote>
  <w:footnote w:id="1">
    <w:p w14:paraId="0C19C3F4" w14:textId="77777777" w:rsidR="00D42FCF" w:rsidRPr="00C472FF" w:rsidRDefault="00D42FCF" w:rsidP="00D42FCF">
      <w:pPr>
        <w:pStyle w:val="Textonotapie"/>
        <w:ind w:firstLine="709"/>
        <w:jc w:val="both"/>
        <w:rPr>
          <w:rFonts w:ascii="Verdana" w:eastAsia="Times New Roman" w:hAnsi="Verdana" w:cs="Arial"/>
          <w:sz w:val="18"/>
          <w:szCs w:val="18"/>
          <w:lang w:val="es-CO" w:eastAsia="es-CO"/>
        </w:rPr>
      </w:pPr>
      <w:r w:rsidRPr="00C472FF">
        <w:rPr>
          <w:rStyle w:val="Refdenotaalpie"/>
          <w:rFonts w:ascii="Verdana" w:hAnsi="Verdana" w:cs="Arial"/>
          <w:sz w:val="18"/>
          <w:szCs w:val="18"/>
        </w:rPr>
        <w:footnoteRef/>
      </w:r>
      <w:r w:rsidRPr="00C472FF">
        <w:rPr>
          <w:rFonts w:ascii="Verdana" w:hAnsi="Verdana" w:cs="Arial"/>
          <w:sz w:val="18"/>
          <w:szCs w:val="18"/>
        </w:rPr>
        <w:t xml:space="preserve"> </w:t>
      </w:r>
      <w:r w:rsidRPr="00C472FF">
        <w:rPr>
          <w:rFonts w:ascii="Verdana" w:eastAsia="Times New Roman" w:hAnsi="Verdana" w:cs="Arial"/>
          <w:sz w:val="18"/>
          <w:szCs w:val="18"/>
          <w:lang w:val="es-CO" w:eastAsia="es-CO"/>
        </w:rPr>
        <w:t>Consejo de Estado. Sección Tercera. Sentencia del 27 de abril de 2011. Exp. 18.293. C.P. Ruth Stella Correa Palacio.</w:t>
      </w:r>
    </w:p>
  </w:footnote>
  <w:footnote w:id="2">
    <w:p w14:paraId="537F20F6" w14:textId="77777777" w:rsidR="00D42FCF" w:rsidRPr="00C472FF" w:rsidRDefault="00D42FCF" w:rsidP="00D42FCF">
      <w:pPr>
        <w:pStyle w:val="Textonotapie"/>
        <w:ind w:firstLine="709"/>
        <w:jc w:val="both"/>
        <w:rPr>
          <w:rFonts w:ascii="Verdana" w:eastAsia="Times New Roman" w:hAnsi="Verdana" w:cs="Arial"/>
          <w:sz w:val="18"/>
          <w:szCs w:val="18"/>
          <w:lang w:val="es-CO" w:eastAsia="es-CO"/>
        </w:rPr>
      </w:pPr>
      <w:r w:rsidRPr="00C472FF">
        <w:rPr>
          <w:rStyle w:val="Refdenotaalpie"/>
          <w:rFonts w:ascii="Verdana" w:hAnsi="Verdana" w:cs="Arial"/>
          <w:sz w:val="18"/>
          <w:szCs w:val="18"/>
        </w:rPr>
        <w:footnoteRef/>
      </w:r>
      <w:r w:rsidRPr="00C472FF">
        <w:rPr>
          <w:rFonts w:ascii="Verdana" w:hAnsi="Verdana" w:cs="Arial"/>
          <w:sz w:val="18"/>
          <w:szCs w:val="18"/>
        </w:rPr>
        <w:t xml:space="preserve"> </w:t>
      </w:r>
      <w:r w:rsidRPr="00C472FF">
        <w:rPr>
          <w:rFonts w:ascii="Verdana" w:eastAsia="Times New Roman" w:hAnsi="Verdana" w:cs="Arial"/>
          <w:sz w:val="18"/>
          <w:szCs w:val="18"/>
          <w:lang w:val="es-CO" w:eastAsia="es-CO"/>
        </w:rPr>
        <w:t>Consejo de Estado. Sección Tercera. Sentencia del 21 de noviembre de 2013. Exp. 25397. C.P. Carlos Alberto Zambrano Barrera.</w:t>
      </w:r>
    </w:p>
    <w:p w14:paraId="4F20557B" w14:textId="77777777" w:rsidR="00D42FCF" w:rsidRPr="00C472FF" w:rsidRDefault="00D42FCF" w:rsidP="00D42FCF">
      <w:pPr>
        <w:pStyle w:val="Textonotapie"/>
        <w:ind w:firstLine="709"/>
        <w:jc w:val="both"/>
        <w:rPr>
          <w:rFonts w:ascii="Verdana" w:eastAsia="Calibri" w:hAnsi="Verdana" w:cs="Arial"/>
          <w:sz w:val="18"/>
          <w:szCs w:val="18"/>
          <w:lang w:val="es-CO"/>
        </w:rPr>
      </w:pPr>
    </w:p>
  </w:footnote>
  <w:footnote w:id="3">
    <w:p w14:paraId="267C40E7" w14:textId="77777777" w:rsidR="00D42FCF" w:rsidRPr="00A05CE8" w:rsidRDefault="00D42FCF" w:rsidP="00D42FCF">
      <w:pPr>
        <w:pStyle w:val="Textonotapie"/>
        <w:ind w:firstLine="709"/>
        <w:jc w:val="both"/>
        <w:rPr>
          <w:rFonts w:ascii="Verdana" w:hAnsi="Verdana" w:cs="Arial"/>
          <w:sz w:val="16"/>
          <w:szCs w:val="16"/>
        </w:rPr>
      </w:pPr>
      <w:r w:rsidRPr="00A05CE8">
        <w:rPr>
          <w:rStyle w:val="Refdenotaalpie"/>
          <w:rFonts w:ascii="Verdana" w:hAnsi="Verdana" w:cs="Arial"/>
          <w:sz w:val="16"/>
          <w:szCs w:val="16"/>
        </w:rPr>
        <w:footnoteRef/>
      </w:r>
      <w:r w:rsidRPr="00A05CE8">
        <w:rPr>
          <w:rFonts w:ascii="Verdana" w:hAnsi="Verdana" w:cs="Arial"/>
          <w:sz w:val="16"/>
          <w:szCs w:val="16"/>
        </w:rPr>
        <w:t xml:space="preserve"> Ley 1150 de 2007: “Artículo 6. De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07D2A301" w14:textId="77777777" w:rsidR="00D42FCF" w:rsidRPr="00A05CE8" w:rsidRDefault="00D42FCF" w:rsidP="00D42FCF">
      <w:pPr>
        <w:pStyle w:val="Textonotapie"/>
        <w:ind w:firstLine="709"/>
        <w:jc w:val="both"/>
        <w:rPr>
          <w:rFonts w:ascii="Verdana" w:hAnsi="Verdana" w:cs="Arial"/>
          <w:sz w:val="16"/>
          <w:szCs w:val="16"/>
        </w:rPr>
      </w:pPr>
      <w:r w:rsidRPr="00A05CE8">
        <w:rPr>
          <w:rFonts w:ascii="Verdana" w:hAnsi="Verdana" w:cs="Arial"/>
          <w:sz w:val="16"/>
          <w:szCs w:val="16"/>
        </w:rPr>
        <w:t>[...]</w:t>
      </w:r>
    </w:p>
    <w:p w14:paraId="36C422F9" w14:textId="77777777" w:rsidR="00D42FCF" w:rsidRPr="00A05CE8" w:rsidRDefault="00D42FCF" w:rsidP="00D42FCF">
      <w:pPr>
        <w:pStyle w:val="Textonotapie"/>
        <w:ind w:firstLine="709"/>
        <w:jc w:val="both"/>
        <w:rPr>
          <w:rFonts w:ascii="Verdana" w:hAnsi="Verdana" w:cs="Arial"/>
          <w:sz w:val="16"/>
          <w:szCs w:val="16"/>
        </w:rPr>
      </w:pPr>
      <w:r w:rsidRPr="00A05CE8">
        <w:rPr>
          <w:rFonts w:ascii="Verdana" w:hAnsi="Verdana" w:cs="Arial"/>
          <w:sz w:val="16"/>
          <w:szCs w:val="16"/>
        </w:rPr>
        <w:t>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p w14:paraId="1D7E7A7C" w14:textId="77777777" w:rsidR="00D42FCF" w:rsidRPr="00A05CE8" w:rsidRDefault="00D42FCF" w:rsidP="00D42FCF">
      <w:pPr>
        <w:pStyle w:val="Textonotapie"/>
        <w:ind w:firstLine="709"/>
        <w:jc w:val="both"/>
        <w:rPr>
          <w:rFonts w:ascii="Verdana" w:hAnsi="Verdana" w:cs="Arial"/>
          <w:sz w:val="16"/>
          <w:szCs w:val="16"/>
        </w:rPr>
      </w:pPr>
      <w:r w:rsidRPr="00A05CE8">
        <w:rPr>
          <w:rFonts w:ascii="Verdana" w:hAnsi="Verdana" w:cs="Arial"/>
          <w:sz w:val="16"/>
          <w:szCs w:val="16"/>
        </w:rPr>
        <w:t>No obstante, lo anterior, sólo en aquellos casos en que por las características del objeto a contratar se requiera la verificación de requisitos del proponente adicionales a los contenidos en el Registro, la entidad podrá hacer tal verificación en forma directa”.</w:t>
      </w:r>
    </w:p>
    <w:p w14:paraId="182D9A3A" w14:textId="77777777" w:rsidR="00D42FCF" w:rsidRPr="00A05CE8" w:rsidRDefault="00D42FCF" w:rsidP="00D42FCF">
      <w:pPr>
        <w:pStyle w:val="Textonotapie"/>
        <w:ind w:firstLine="709"/>
        <w:jc w:val="both"/>
        <w:rPr>
          <w:rFonts w:ascii="Verdana" w:hAnsi="Verdana" w:cs="Arial"/>
          <w:sz w:val="16"/>
          <w:szCs w:val="16"/>
        </w:rPr>
      </w:pPr>
    </w:p>
  </w:footnote>
  <w:footnote w:id="4">
    <w:p w14:paraId="288258DF" w14:textId="77777777" w:rsidR="00D42FCF" w:rsidRPr="00A05CE8" w:rsidRDefault="00D42FCF" w:rsidP="00D42FCF">
      <w:pPr>
        <w:pStyle w:val="Textonotapie"/>
        <w:ind w:firstLine="709"/>
        <w:jc w:val="both"/>
        <w:rPr>
          <w:rFonts w:ascii="Verdana" w:hAnsi="Verdana" w:cs="Arial"/>
          <w:sz w:val="16"/>
          <w:szCs w:val="16"/>
        </w:rPr>
      </w:pPr>
      <w:r w:rsidRPr="00A05CE8">
        <w:rPr>
          <w:rStyle w:val="Refdenotaalpie"/>
          <w:rFonts w:ascii="Verdana" w:hAnsi="Verdana" w:cs="Arial"/>
          <w:sz w:val="16"/>
          <w:szCs w:val="16"/>
        </w:rPr>
        <w:footnoteRef/>
      </w:r>
      <w:r w:rsidRPr="00A05CE8">
        <w:rPr>
          <w:rFonts w:ascii="Verdana" w:hAnsi="Verdana" w:cs="Arial"/>
          <w:sz w:val="16"/>
          <w:szCs w:val="16"/>
        </w:rPr>
        <w:t xml:space="preserve"> Decreto 1082 de 2015: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2B982686" w14:textId="77777777" w:rsidR="00D42FCF" w:rsidRPr="00536240" w:rsidRDefault="00D42FCF" w:rsidP="00D42FCF">
      <w:pPr>
        <w:pStyle w:val="Textonotapie"/>
        <w:ind w:firstLine="709"/>
        <w:jc w:val="both"/>
        <w:rPr>
          <w:rFonts w:ascii="Verdana" w:hAnsi="Verdana" w:cs="Arial"/>
          <w:sz w:val="16"/>
          <w:szCs w:val="16"/>
        </w:rPr>
      </w:pPr>
      <w:r w:rsidRPr="00536240">
        <w:rPr>
          <w:rFonts w:ascii="Verdana" w:hAnsi="Verdana" w:cs="Arial"/>
          <w:sz w:val="16"/>
          <w:szCs w:val="16"/>
        </w:rPr>
        <w:t>1.    Si es una persona natural:</w:t>
      </w:r>
    </w:p>
    <w:p w14:paraId="070AAF69" w14:textId="77777777" w:rsidR="00D42FCF" w:rsidRPr="00536240" w:rsidRDefault="00D42FCF" w:rsidP="00D42FCF">
      <w:pPr>
        <w:pStyle w:val="Textonotapie"/>
        <w:ind w:firstLine="709"/>
        <w:jc w:val="both"/>
        <w:rPr>
          <w:rFonts w:ascii="Verdana" w:hAnsi="Verdana" w:cs="Arial"/>
          <w:sz w:val="16"/>
          <w:szCs w:val="16"/>
        </w:rPr>
      </w:pPr>
      <w:r w:rsidRPr="00536240">
        <w:rPr>
          <w:rFonts w:ascii="Verdana" w:hAnsi="Verdana" w:cs="Arial"/>
          <w:sz w:val="16"/>
          <w:szCs w:val="16"/>
        </w:rPr>
        <w:t>1.1. Bienes, obras y servicios que ofrecerá a las Entidades Estatales, identificados con el Clasificador de Bienes y Servicios en el tercer nivel.</w:t>
      </w:r>
    </w:p>
    <w:p w14:paraId="3FF8029F" w14:textId="77777777" w:rsidR="00D42FCF" w:rsidRPr="00536240" w:rsidRDefault="00D42FCF" w:rsidP="00D42FCF">
      <w:pPr>
        <w:pStyle w:val="Textonotapie"/>
        <w:ind w:firstLine="709"/>
        <w:jc w:val="both"/>
        <w:rPr>
          <w:rFonts w:ascii="Verdana" w:hAnsi="Verdana" w:cs="Arial"/>
          <w:sz w:val="16"/>
          <w:szCs w:val="16"/>
        </w:rPr>
      </w:pPr>
      <w:r w:rsidRPr="00536240">
        <w:rPr>
          <w:rFonts w:ascii="Verdana" w:hAnsi="Verdana" w:cs="Arial"/>
          <w:sz w:val="16"/>
          <w:szCs w:val="16"/>
        </w:rPr>
        <w:t>1.2.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w:t>
      </w:r>
    </w:p>
    <w:p w14:paraId="28895F6F" w14:textId="77777777" w:rsidR="00D42FCF" w:rsidRPr="00AD6C0E" w:rsidRDefault="00D42FCF" w:rsidP="00D42FCF">
      <w:pPr>
        <w:pStyle w:val="Textonotapie"/>
        <w:ind w:firstLine="709"/>
        <w:jc w:val="both"/>
        <w:rPr>
          <w:rFonts w:ascii="Verdana" w:hAnsi="Verdana" w:cs="Arial"/>
          <w:sz w:val="14"/>
          <w:szCs w:val="14"/>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7513ED"/>
    <w:multiLevelType w:val="hybridMultilevel"/>
    <w:tmpl w:val="960486C2"/>
    <w:lvl w:ilvl="0" w:tplc="FFFFFFFF">
      <w:start w:val="1"/>
      <w:numFmt w:val="upperLetter"/>
      <w:lvlText w:val="%1."/>
      <w:lvlJc w:val="left"/>
      <w:pPr>
        <w:ind w:left="1430" w:hanging="360"/>
      </w:pPr>
      <w:rPr>
        <w:rFonts w:hint="default"/>
      </w:rPr>
    </w:lvl>
    <w:lvl w:ilvl="1" w:tplc="FFFFFFFF" w:tentative="1">
      <w:start w:val="1"/>
      <w:numFmt w:val="bullet"/>
      <w:lvlText w:val="o"/>
      <w:lvlJc w:val="left"/>
      <w:pPr>
        <w:ind w:left="2150" w:hanging="360"/>
      </w:pPr>
      <w:rPr>
        <w:rFonts w:ascii="Courier New" w:hAnsi="Courier New" w:cs="Courier New" w:hint="default"/>
      </w:rPr>
    </w:lvl>
    <w:lvl w:ilvl="2" w:tplc="FFFFFFFF" w:tentative="1">
      <w:start w:val="1"/>
      <w:numFmt w:val="bullet"/>
      <w:lvlText w:val=""/>
      <w:lvlJc w:val="left"/>
      <w:pPr>
        <w:ind w:left="2870" w:hanging="360"/>
      </w:pPr>
      <w:rPr>
        <w:rFonts w:ascii="Wingdings" w:hAnsi="Wingdings" w:hint="default"/>
      </w:rPr>
    </w:lvl>
    <w:lvl w:ilvl="3" w:tplc="FFFFFFFF" w:tentative="1">
      <w:start w:val="1"/>
      <w:numFmt w:val="bullet"/>
      <w:lvlText w:val=""/>
      <w:lvlJc w:val="left"/>
      <w:pPr>
        <w:ind w:left="3590" w:hanging="360"/>
      </w:pPr>
      <w:rPr>
        <w:rFonts w:ascii="Symbol" w:hAnsi="Symbol" w:hint="default"/>
      </w:rPr>
    </w:lvl>
    <w:lvl w:ilvl="4" w:tplc="FFFFFFFF" w:tentative="1">
      <w:start w:val="1"/>
      <w:numFmt w:val="bullet"/>
      <w:lvlText w:val="o"/>
      <w:lvlJc w:val="left"/>
      <w:pPr>
        <w:ind w:left="4310" w:hanging="360"/>
      </w:pPr>
      <w:rPr>
        <w:rFonts w:ascii="Courier New" w:hAnsi="Courier New" w:cs="Courier New" w:hint="default"/>
      </w:rPr>
    </w:lvl>
    <w:lvl w:ilvl="5" w:tplc="FFFFFFFF" w:tentative="1">
      <w:start w:val="1"/>
      <w:numFmt w:val="bullet"/>
      <w:lvlText w:val=""/>
      <w:lvlJc w:val="left"/>
      <w:pPr>
        <w:ind w:left="5030" w:hanging="360"/>
      </w:pPr>
      <w:rPr>
        <w:rFonts w:ascii="Wingdings" w:hAnsi="Wingdings" w:hint="default"/>
      </w:rPr>
    </w:lvl>
    <w:lvl w:ilvl="6" w:tplc="FFFFFFFF" w:tentative="1">
      <w:start w:val="1"/>
      <w:numFmt w:val="bullet"/>
      <w:lvlText w:val=""/>
      <w:lvlJc w:val="left"/>
      <w:pPr>
        <w:ind w:left="5750" w:hanging="360"/>
      </w:pPr>
      <w:rPr>
        <w:rFonts w:ascii="Symbol" w:hAnsi="Symbol" w:hint="default"/>
      </w:rPr>
    </w:lvl>
    <w:lvl w:ilvl="7" w:tplc="FFFFFFFF" w:tentative="1">
      <w:start w:val="1"/>
      <w:numFmt w:val="bullet"/>
      <w:lvlText w:val="o"/>
      <w:lvlJc w:val="left"/>
      <w:pPr>
        <w:ind w:left="6470" w:hanging="360"/>
      </w:pPr>
      <w:rPr>
        <w:rFonts w:ascii="Courier New" w:hAnsi="Courier New" w:cs="Courier New" w:hint="default"/>
      </w:rPr>
    </w:lvl>
    <w:lvl w:ilvl="8" w:tplc="FFFFFFFF" w:tentative="1">
      <w:start w:val="1"/>
      <w:numFmt w:val="bullet"/>
      <w:lvlText w:val=""/>
      <w:lvlJc w:val="left"/>
      <w:pPr>
        <w:ind w:left="7190" w:hanging="360"/>
      </w:pPr>
      <w:rPr>
        <w:rFonts w:ascii="Wingdings" w:hAnsi="Wingdings" w:hint="default"/>
      </w:r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4EC0C1E"/>
    <w:multiLevelType w:val="hybridMultilevel"/>
    <w:tmpl w:val="37263BE0"/>
    <w:lvl w:ilvl="0" w:tplc="63C84E22">
      <w:start w:val="6"/>
      <w:numFmt w:val="bullet"/>
      <w:lvlText w:val="•"/>
      <w:lvlJc w:val="left"/>
      <w:pPr>
        <w:ind w:left="1428" w:hanging="360"/>
      </w:pPr>
      <w:rPr>
        <w:rFonts w:ascii="Arial" w:hAnsi="Aria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18679D0"/>
    <w:multiLevelType w:val="hybridMultilevel"/>
    <w:tmpl w:val="2C6ECA9C"/>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4CF2202F"/>
    <w:multiLevelType w:val="hybridMultilevel"/>
    <w:tmpl w:val="960486C2"/>
    <w:lvl w:ilvl="0" w:tplc="240A0015">
      <w:start w:val="1"/>
      <w:numFmt w:val="upperLetter"/>
      <w:lvlText w:val="%1."/>
      <w:lvlJc w:val="left"/>
      <w:pPr>
        <w:ind w:left="1430" w:hanging="360"/>
      </w:pPr>
      <w:rPr>
        <w:rFonts w:hint="default"/>
      </w:rPr>
    </w:lvl>
    <w:lvl w:ilvl="1" w:tplc="240A0003" w:tentative="1">
      <w:start w:val="1"/>
      <w:numFmt w:val="bullet"/>
      <w:lvlText w:val="o"/>
      <w:lvlJc w:val="left"/>
      <w:pPr>
        <w:ind w:left="2150" w:hanging="360"/>
      </w:pPr>
      <w:rPr>
        <w:rFonts w:ascii="Courier New" w:hAnsi="Courier New" w:cs="Courier New" w:hint="default"/>
      </w:rPr>
    </w:lvl>
    <w:lvl w:ilvl="2" w:tplc="240A0005" w:tentative="1">
      <w:start w:val="1"/>
      <w:numFmt w:val="bullet"/>
      <w:lvlText w:val=""/>
      <w:lvlJc w:val="left"/>
      <w:pPr>
        <w:ind w:left="2870" w:hanging="360"/>
      </w:pPr>
      <w:rPr>
        <w:rFonts w:ascii="Wingdings" w:hAnsi="Wingdings" w:hint="default"/>
      </w:rPr>
    </w:lvl>
    <w:lvl w:ilvl="3" w:tplc="240A0001" w:tentative="1">
      <w:start w:val="1"/>
      <w:numFmt w:val="bullet"/>
      <w:lvlText w:val=""/>
      <w:lvlJc w:val="left"/>
      <w:pPr>
        <w:ind w:left="3590" w:hanging="360"/>
      </w:pPr>
      <w:rPr>
        <w:rFonts w:ascii="Symbol" w:hAnsi="Symbol" w:hint="default"/>
      </w:rPr>
    </w:lvl>
    <w:lvl w:ilvl="4" w:tplc="240A0003" w:tentative="1">
      <w:start w:val="1"/>
      <w:numFmt w:val="bullet"/>
      <w:lvlText w:val="o"/>
      <w:lvlJc w:val="left"/>
      <w:pPr>
        <w:ind w:left="4310" w:hanging="360"/>
      </w:pPr>
      <w:rPr>
        <w:rFonts w:ascii="Courier New" w:hAnsi="Courier New" w:cs="Courier New" w:hint="default"/>
      </w:rPr>
    </w:lvl>
    <w:lvl w:ilvl="5" w:tplc="240A0005" w:tentative="1">
      <w:start w:val="1"/>
      <w:numFmt w:val="bullet"/>
      <w:lvlText w:val=""/>
      <w:lvlJc w:val="left"/>
      <w:pPr>
        <w:ind w:left="5030" w:hanging="360"/>
      </w:pPr>
      <w:rPr>
        <w:rFonts w:ascii="Wingdings" w:hAnsi="Wingdings" w:hint="default"/>
      </w:rPr>
    </w:lvl>
    <w:lvl w:ilvl="6" w:tplc="240A0001" w:tentative="1">
      <w:start w:val="1"/>
      <w:numFmt w:val="bullet"/>
      <w:lvlText w:val=""/>
      <w:lvlJc w:val="left"/>
      <w:pPr>
        <w:ind w:left="5750" w:hanging="360"/>
      </w:pPr>
      <w:rPr>
        <w:rFonts w:ascii="Symbol" w:hAnsi="Symbol" w:hint="default"/>
      </w:rPr>
    </w:lvl>
    <w:lvl w:ilvl="7" w:tplc="240A0003" w:tentative="1">
      <w:start w:val="1"/>
      <w:numFmt w:val="bullet"/>
      <w:lvlText w:val="o"/>
      <w:lvlJc w:val="left"/>
      <w:pPr>
        <w:ind w:left="6470" w:hanging="360"/>
      </w:pPr>
      <w:rPr>
        <w:rFonts w:ascii="Courier New" w:hAnsi="Courier New" w:cs="Courier New" w:hint="default"/>
      </w:rPr>
    </w:lvl>
    <w:lvl w:ilvl="8" w:tplc="240A0005" w:tentative="1">
      <w:start w:val="1"/>
      <w:numFmt w:val="bullet"/>
      <w:lvlText w:val=""/>
      <w:lvlJc w:val="left"/>
      <w:pPr>
        <w:ind w:left="7190" w:hanging="360"/>
      </w:pPr>
      <w:rPr>
        <w:rFonts w:ascii="Wingdings" w:hAnsi="Wingdings" w:hint="default"/>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5"/>
  </w:num>
  <w:num w:numId="8" w16cid:durableId="152644682">
    <w:abstractNumId w:val="14"/>
  </w:num>
  <w:num w:numId="9" w16cid:durableId="1317221377">
    <w:abstractNumId w:val="8"/>
  </w:num>
  <w:num w:numId="10" w16cid:durableId="1471245386">
    <w:abstractNumId w:val="13"/>
  </w:num>
  <w:num w:numId="11" w16cid:durableId="289172385">
    <w:abstractNumId w:val="9"/>
  </w:num>
  <w:num w:numId="12" w16cid:durableId="1470781324">
    <w:abstractNumId w:val="1"/>
  </w:num>
  <w:num w:numId="13" w16cid:durableId="1512908409">
    <w:abstractNumId w:val="3"/>
  </w:num>
  <w:num w:numId="14" w16cid:durableId="895897244">
    <w:abstractNumId w:val="16"/>
  </w:num>
  <w:num w:numId="15" w16cid:durableId="390349800">
    <w:abstractNumId w:val="12"/>
  </w:num>
  <w:num w:numId="16" w16cid:durableId="153255849">
    <w:abstractNumId w:val="10"/>
  </w:num>
  <w:num w:numId="17" w16cid:durableId="774057320">
    <w:abstractNumId w:val="11"/>
  </w:num>
  <w:num w:numId="18" w16cid:durableId="563833838">
    <w:abstractNumId w:val="0"/>
  </w:num>
  <w:num w:numId="19" w16cid:durableId="184250036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7FA0"/>
    <w:rsid w:val="000437F7"/>
    <w:rsid w:val="00046945"/>
    <w:rsid w:val="00061B2A"/>
    <w:rsid w:val="00072AB2"/>
    <w:rsid w:val="00082362"/>
    <w:rsid w:val="00090704"/>
    <w:rsid w:val="000A683E"/>
    <w:rsid w:val="000B19B9"/>
    <w:rsid w:val="000D0334"/>
    <w:rsid w:val="000D5DA7"/>
    <w:rsid w:val="000F6486"/>
    <w:rsid w:val="00116940"/>
    <w:rsid w:val="00125105"/>
    <w:rsid w:val="00127233"/>
    <w:rsid w:val="0015699B"/>
    <w:rsid w:val="00164583"/>
    <w:rsid w:val="00195E98"/>
    <w:rsid w:val="001A33BF"/>
    <w:rsid w:val="001B60D7"/>
    <w:rsid w:val="001E4177"/>
    <w:rsid w:val="001F0B24"/>
    <w:rsid w:val="001F791F"/>
    <w:rsid w:val="001F7DC6"/>
    <w:rsid w:val="00207AAF"/>
    <w:rsid w:val="0022400B"/>
    <w:rsid w:val="002421BB"/>
    <w:rsid w:val="002470CF"/>
    <w:rsid w:val="00251B7C"/>
    <w:rsid w:val="0025796E"/>
    <w:rsid w:val="002707A2"/>
    <w:rsid w:val="002919B5"/>
    <w:rsid w:val="002951A0"/>
    <w:rsid w:val="002962BC"/>
    <w:rsid w:val="002A093D"/>
    <w:rsid w:val="002A0DD0"/>
    <w:rsid w:val="002A49AC"/>
    <w:rsid w:val="002A64FD"/>
    <w:rsid w:val="002C44D9"/>
    <w:rsid w:val="002C7A84"/>
    <w:rsid w:val="002E2BF8"/>
    <w:rsid w:val="002E4FD9"/>
    <w:rsid w:val="0030657A"/>
    <w:rsid w:val="00322A85"/>
    <w:rsid w:val="00324168"/>
    <w:rsid w:val="00330834"/>
    <w:rsid w:val="003448F4"/>
    <w:rsid w:val="00366580"/>
    <w:rsid w:val="00374F5E"/>
    <w:rsid w:val="00377E3E"/>
    <w:rsid w:val="003A779E"/>
    <w:rsid w:val="003D0F4D"/>
    <w:rsid w:val="003D5B0D"/>
    <w:rsid w:val="003E0499"/>
    <w:rsid w:val="003E4F80"/>
    <w:rsid w:val="003E6439"/>
    <w:rsid w:val="003F3941"/>
    <w:rsid w:val="00406575"/>
    <w:rsid w:val="00414C74"/>
    <w:rsid w:val="00416127"/>
    <w:rsid w:val="0042722E"/>
    <w:rsid w:val="0044528D"/>
    <w:rsid w:val="00446BCC"/>
    <w:rsid w:val="0046232D"/>
    <w:rsid w:val="00466E39"/>
    <w:rsid w:val="0049338E"/>
    <w:rsid w:val="004A1847"/>
    <w:rsid w:val="004A305D"/>
    <w:rsid w:val="004D3872"/>
    <w:rsid w:val="004F21C4"/>
    <w:rsid w:val="004F685F"/>
    <w:rsid w:val="005414CA"/>
    <w:rsid w:val="00547377"/>
    <w:rsid w:val="00551DCB"/>
    <w:rsid w:val="005566E8"/>
    <w:rsid w:val="00574867"/>
    <w:rsid w:val="005805BA"/>
    <w:rsid w:val="005841B2"/>
    <w:rsid w:val="00591460"/>
    <w:rsid w:val="00595DE4"/>
    <w:rsid w:val="005A65E0"/>
    <w:rsid w:val="005C3777"/>
    <w:rsid w:val="005C5CDC"/>
    <w:rsid w:val="005D476C"/>
    <w:rsid w:val="006200BF"/>
    <w:rsid w:val="006219F8"/>
    <w:rsid w:val="006302F7"/>
    <w:rsid w:val="00646B9F"/>
    <w:rsid w:val="00665D70"/>
    <w:rsid w:val="006900D9"/>
    <w:rsid w:val="00706C16"/>
    <w:rsid w:val="00716D22"/>
    <w:rsid w:val="00731F70"/>
    <w:rsid w:val="007340C3"/>
    <w:rsid w:val="007439BF"/>
    <w:rsid w:val="0075235A"/>
    <w:rsid w:val="00756841"/>
    <w:rsid w:val="007649AB"/>
    <w:rsid w:val="00771D0C"/>
    <w:rsid w:val="00773FDE"/>
    <w:rsid w:val="007833AC"/>
    <w:rsid w:val="007B268C"/>
    <w:rsid w:val="007B7171"/>
    <w:rsid w:val="007C0C0F"/>
    <w:rsid w:val="007C3DC2"/>
    <w:rsid w:val="007E5497"/>
    <w:rsid w:val="00806F5F"/>
    <w:rsid w:val="00820278"/>
    <w:rsid w:val="008258C9"/>
    <w:rsid w:val="00831758"/>
    <w:rsid w:val="008414F4"/>
    <w:rsid w:val="00844AE9"/>
    <w:rsid w:val="00867F95"/>
    <w:rsid w:val="008843B6"/>
    <w:rsid w:val="00891928"/>
    <w:rsid w:val="008A446D"/>
    <w:rsid w:val="008B25F1"/>
    <w:rsid w:val="008B7A51"/>
    <w:rsid w:val="008C67EA"/>
    <w:rsid w:val="008D180B"/>
    <w:rsid w:val="008F0EA7"/>
    <w:rsid w:val="00902D76"/>
    <w:rsid w:val="00923EEF"/>
    <w:rsid w:val="009419F9"/>
    <w:rsid w:val="009538B6"/>
    <w:rsid w:val="0095685E"/>
    <w:rsid w:val="00961B09"/>
    <w:rsid w:val="00965334"/>
    <w:rsid w:val="0097093E"/>
    <w:rsid w:val="00975F69"/>
    <w:rsid w:val="00984828"/>
    <w:rsid w:val="009A0DFA"/>
    <w:rsid w:val="009A1C6F"/>
    <w:rsid w:val="009B1CD1"/>
    <w:rsid w:val="009B2D26"/>
    <w:rsid w:val="009C71FA"/>
    <w:rsid w:val="009C72E7"/>
    <w:rsid w:val="009C7F7E"/>
    <w:rsid w:val="009D3058"/>
    <w:rsid w:val="009F3A13"/>
    <w:rsid w:val="00A122D3"/>
    <w:rsid w:val="00A14468"/>
    <w:rsid w:val="00A17F13"/>
    <w:rsid w:val="00A20739"/>
    <w:rsid w:val="00A23AF9"/>
    <w:rsid w:val="00A23D7C"/>
    <w:rsid w:val="00A33C78"/>
    <w:rsid w:val="00AB0ADB"/>
    <w:rsid w:val="00AC282A"/>
    <w:rsid w:val="00AF472D"/>
    <w:rsid w:val="00B00C0E"/>
    <w:rsid w:val="00B01B1A"/>
    <w:rsid w:val="00B0381D"/>
    <w:rsid w:val="00B17A0E"/>
    <w:rsid w:val="00B44A47"/>
    <w:rsid w:val="00B72CD3"/>
    <w:rsid w:val="00B72FFF"/>
    <w:rsid w:val="00BC3D36"/>
    <w:rsid w:val="00BD54A6"/>
    <w:rsid w:val="00BD7F72"/>
    <w:rsid w:val="00BF7425"/>
    <w:rsid w:val="00BF7B50"/>
    <w:rsid w:val="00C020E1"/>
    <w:rsid w:val="00C04FB3"/>
    <w:rsid w:val="00C11D8B"/>
    <w:rsid w:val="00C15139"/>
    <w:rsid w:val="00C330EB"/>
    <w:rsid w:val="00C50733"/>
    <w:rsid w:val="00C50D69"/>
    <w:rsid w:val="00C527DA"/>
    <w:rsid w:val="00C5365C"/>
    <w:rsid w:val="00C754BE"/>
    <w:rsid w:val="00C76B1C"/>
    <w:rsid w:val="00C925AC"/>
    <w:rsid w:val="00CB6357"/>
    <w:rsid w:val="00CC1B26"/>
    <w:rsid w:val="00CC3E5C"/>
    <w:rsid w:val="00D361FD"/>
    <w:rsid w:val="00D423A2"/>
    <w:rsid w:val="00D42FCF"/>
    <w:rsid w:val="00D433A1"/>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327B1"/>
    <w:rsid w:val="00E50AFE"/>
    <w:rsid w:val="00E75C92"/>
    <w:rsid w:val="00E771DC"/>
    <w:rsid w:val="00E80A96"/>
    <w:rsid w:val="00E8772A"/>
    <w:rsid w:val="00E90F6B"/>
    <w:rsid w:val="00E92C27"/>
    <w:rsid w:val="00EA0E3D"/>
    <w:rsid w:val="00EC38A7"/>
    <w:rsid w:val="00EE1AA8"/>
    <w:rsid w:val="00F23FEA"/>
    <w:rsid w:val="00F31EDC"/>
    <w:rsid w:val="00F414F5"/>
    <w:rsid w:val="00F462B3"/>
    <w:rsid w:val="00F5664F"/>
    <w:rsid w:val="00F666C4"/>
    <w:rsid w:val="00F6685B"/>
    <w:rsid w:val="00F74F3E"/>
    <w:rsid w:val="00F76AFC"/>
    <w:rsid w:val="00F804C4"/>
    <w:rsid w:val="00F93A06"/>
    <w:rsid w:val="00FA47C0"/>
    <w:rsid w:val="00FB5DD1"/>
    <w:rsid w:val="00FC2B5D"/>
    <w:rsid w:val="00FF1449"/>
    <w:rsid w:val="00FF7963"/>
    <w:rsid w:val="03ED3CDD"/>
    <w:rsid w:val="071B8F93"/>
    <w:rsid w:val="07C73DD1"/>
    <w:rsid w:val="09908A09"/>
    <w:rsid w:val="0EFE6349"/>
    <w:rsid w:val="0FF4CCA8"/>
    <w:rsid w:val="13CFC91B"/>
    <w:rsid w:val="183DD438"/>
    <w:rsid w:val="19A2EC2C"/>
    <w:rsid w:val="21779BE6"/>
    <w:rsid w:val="2220A92A"/>
    <w:rsid w:val="2859CA1B"/>
    <w:rsid w:val="2C4D2425"/>
    <w:rsid w:val="2EE1E026"/>
    <w:rsid w:val="2F44F38F"/>
    <w:rsid w:val="30821638"/>
    <w:rsid w:val="32A4F9CF"/>
    <w:rsid w:val="33A1FF93"/>
    <w:rsid w:val="356CEDFD"/>
    <w:rsid w:val="390F1A83"/>
    <w:rsid w:val="3ADB0DA1"/>
    <w:rsid w:val="3C591AFD"/>
    <w:rsid w:val="42183F0A"/>
    <w:rsid w:val="545B112A"/>
    <w:rsid w:val="5BEB1497"/>
    <w:rsid w:val="62DBA93A"/>
    <w:rsid w:val="6651F591"/>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1,Foot,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164583"/>
    <w:pPr>
      <w:spacing w:line="240" w:lineRule="exact"/>
    </w:pPr>
    <w:rPr>
      <w:vertAlign w:val="superscript"/>
    </w:rPr>
  </w:style>
  <w:style w:type="character" w:customStyle="1" w:styleId="NormalWebCar">
    <w:name w:val="Normal (Web) Car"/>
    <w:link w:val="NormalWeb"/>
    <w:uiPriority w:val="99"/>
    <w:locked/>
    <w:rsid w:val="00164583"/>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rsid w:val="00164583"/>
    <w:rPr>
      <w:rFonts w:ascii="Geomanist Light" w:hAnsi="Geomanist Light"/>
      <w:lang w:val="es-ES"/>
    </w:rPr>
  </w:style>
  <w:style w:type="character" w:styleId="Fuerte">
    <w:name w:val="Strong"/>
    <w:basedOn w:val="Fuentedeprrafopredeter"/>
    <w:uiPriority w:val="22"/>
    <w:qFormat/>
    <w:rsid w:val="00164583"/>
    <w:rPr>
      <w:b/>
      <w:bCs/>
    </w:rPr>
  </w:style>
  <w:style w:type="paragraph" w:styleId="Textocomentario">
    <w:name w:val="annotation text"/>
    <w:basedOn w:val="Normal"/>
    <w:link w:val="TextocomentarioCar"/>
    <w:uiPriority w:val="99"/>
    <w:semiHidden/>
    <w:unhideWhenUsed/>
    <w:rsid w:val="00C527D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C527DA"/>
    <w:rPr>
      <w:sz w:val="20"/>
      <w:szCs w:val="20"/>
    </w:rPr>
  </w:style>
  <w:style w:type="character" w:styleId="Refdecomentario">
    <w:name w:val="annotation reference"/>
    <w:basedOn w:val="Fuentedeprrafopredeter"/>
    <w:uiPriority w:val="99"/>
    <w:semiHidden/>
    <w:unhideWhenUsed/>
    <w:rsid w:val="00C527DA"/>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https://www.colombiacompra.gov.co/documentos-tipo/documentos-tipo"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arco3037@gmail.com"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forms.office.com/r/pPHyWVs2SZ"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FAE59E6-C5A2-4EF8-BA56-00BBE30075F0}"/>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15</TotalTime>
  <Pages>23</Pages>
  <Words>7879</Words>
  <Characters>43340</Characters>
  <Application>Microsoft Office Word</Application>
  <DocSecurity>0</DocSecurity>
  <Lines>361</Lines>
  <Paragraphs>102</Paragraphs>
  <ScaleCrop>false</ScaleCrop>
  <Company/>
  <LinksUpToDate>false</LinksUpToDate>
  <CharactersWithSpaces>51117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Camila Alejandra Naranjo Gómez</cp:lastModifiedBy>
  <cp:revision>10</cp:revision>
  <cp:lastPrinted>2023-01-10T21:18:00Z</cp:lastPrinted>
  <dcterms:created xsi:type="dcterms:W3CDTF">2026-05-12T20:57:00Z</dcterms:created>
  <dcterms:modified xsi:type="dcterms:W3CDTF">2026-05-13T13:18:00Z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