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F6F08" w14:textId="77777777" w:rsidR="004E067F" w:rsidRPr="0005583D" w:rsidRDefault="004E067F" w:rsidP="004E067F">
      <w:pPr>
        <w:spacing w:after="0" w:line="240" w:lineRule="auto"/>
        <w:jc w:val="both"/>
        <w:rPr>
          <w:rFonts w:ascii="Verdana" w:eastAsia="Calibri" w:hAnsi="Verdana" w:cs="Arial"/>
          <w:b/>
          <w:bCs/>
          <w:lang w:val="es-ES" w:eastAsia="es-ES"/>
        </w:rPr>
      </w:pPr>
      <w:bookmarkStart w:id="0" w:name="_Hlk143780582"/>
      <w:r w:rsidRPr="0005583D">
        <w:rPr>
          <w:rFonts w:ascii="Verdana" w:eastAsia="Calibri" w:hAnsi="Verdana" w:cs="Arial"/>
          <w:b/>
          <w:bCs/>
          <w:lang w:val="es-ES" w:eastAsia="es-ES"/>
        </w:rPr>
        <w:t>SUBSANABILIDAD – Aplicación – R</w:t>
      </w:r>
      <w:r w:rsidRPr="0005583D">
        <w:rPr>
          <w:rFonts w:ascii="Verdana" w:eastAsia="Calibri" w:hAnsi="Verdana"/>
          <w:b/>
          <w:bCs/>
          <w:lang w:val="es-ES" w:eastAsia="es-ES"/>
        </w:rPr>
        <w:t>egla general</w:t>
      </w:r>
      <w:r w:rsidRPr="0005583D">
        <w:rPr>
          <w:rFonts w:ascii="Verdana" w:eastAsia="Calibri" w:hAnsi="Verdana" w:cs="Arial"/>
          <w:b/>
          <w:bCs/>
          <w:lang w:val="es-ES" w:eastAsia="es-ES"/>
        </w:rPr>
        <w:t xml:space="preserve"> – Excepciones </w:t>
      </w:r>
    </w:p>
    <w:p w14:paraId="3B436F8E" w14:textId="77777777" w:rsidR="004E067F" w:rsidRPr="0005583D" w:rsidRDefault="004E067F" w:rsidP="004E067F">
      <w:pPr>
        <w:tabs>
          <w:tab w:val="left" w:pos="426"/>
        </w:tabs>
        <w:spacing w:after="0" w:line="240" w:lineRule="auto"/>
        <w:jc w:val="both"/>
        <w:rPr>
          <w:rFonts w:ascii="Verdana" w:hAnsi="Verdana" w:cs="Arial"/>
          <w:b/>
          <w:sz w:val="20"/>
          <w:szCs w:val="20"/>
          <w:lang w:eastAsia="es-CO"/>
        </w:rPr>
      </w:pPr>
    </w:p>
    <w:p w14:paraId="251B78C6" w14:textId="77777777" w:rsidR="004E067F" w:rsidRPr="0005583D" w:rsidRDefault="004E067F" w:rsidP="004E067F">
      <w:pPr>
        <w:spacing w:after="0" w:line="240" w:lineRule="auto"/>
        <w:jc w:val="both"/>
        <w:rPr>
          <w:rFonts w:ascii="Verdana" w:hAnsi="Verdana" w:cs="Arial"/>
          <w:bCs/>
          <w:sz w:val="20"/>
          <w:szCs w:val="20"/>
          <w:lang w:eastAsia="es-CO"/>
        </w:rPr>
      </w:pPr>
      <w:r w:rsidRPr="0005583D">
        <w:rPr>
          <w:rFonts w:ascii="Verdana" w:hAnsi="Verdana" w:cs="Arial"/>
          <w:bCs/>
          <w:sz w:val="20"/>
          <w:szCs w:val="20"/>
          <w:lang w:eastAsia="es-CO"/>
        </w:rPr>
        <w:t>La regla de la subsanabilidad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29F503C5" w14:textId="77777777" w:rsidR="004E067F" w:rsidRPr="0005583D" w:rsidRDefault="004E067F" w:rsidP="004E067F">
      <w:pPr>
        <w:spacing w:after="0" w:line="240" w:lineRule="auto"/>
        <w:jc w:val="both"/>
        <w:rPr>
          <w:rFonts w:ascii="Verdana" w:hAnsi="Verdana" w:cs="Arial"/>
          <w:bCs/>
          <w:sz w:val="20"/>
          <w:szCs w:val="20"/>
          <w:lang w:val="es-ES_tradnl" w:eastAsia="es-CO"/>
        </w:rPr>
      </w:pPr>
    </w:p>
    <w:p w14:paraId="379E6D1D" w14:textId="77777777" w:rsidR="004E067F" w:rsidRPr="0005583D" w:rsidRDefault="004E067F" w:rsidP="004E067F">
      <w:pPr>
        <w:spacing w:after="0" w:line="240" w:lineRule="auto"/>
        <w:jc w:val="both"/>
        <w:rPr>
          <w:rFonts w:ascii="Verdana" w:eastAsia="Calibri" w:hAnsi="Verdana" w:cs="Arial"/>
          <w:b/>
          <w:bCs/>
          <w:lang w:val="es-ES" w:eastAsia="es-ES"/>
        </w:rPr>
      </w:pPr>
      <w:r w:rsidRPr="0005583D">
        <w:rPr>
          <w:rFonts w:ascii="Verdana" w:eastAsia="Calibri" w:hAnsi="Verdana" w:cs="Arial"/>
          <w:b/>
          <w:bCs/>
          <w:lang w:val="es-ES" w:eastAsia="es-ES"/>
        </w:rPr>
        <w:t xml:space="preserve">SUBSANABILIDAD – Ley 1882 de 2018 </w:t>
      </w:r>
    </w:p>
    <w:p w14:paraId="53CCD57D" w14:textId="77777777" w:rsidR="004E067F" w:rsidRPr="0005583D" w:rsidRDefault="004E067F" w:rsidP="004E067F">
      <w:pPr>
        <w:spacing w:after="0" w:line="240" w:lineRule="auto"/>
        <w:jc w:val="both"/>
        <w:rPr>
          <w:rFonts w:ascii="Verdana" w:eastAsia="Times New Roman" w:hAnsi="Verdana" w:cs="Arial"/>
          <w:lang w:val="es-ES" w:eastAsia="es-ES_tradnl"/>
        </w:rPr>
      </w:pPr>
    </w:p>
    <w:p w14:paraId="74270216" w14:textId="77777777" w:rsidR="004E067F" w:rsidRPr="0005583D" w:rsidRDefault="004E067F" w:rsidP="004E067F">
      <w:pPr>
        <w:spacing w:after="0" w:line="240" w:lineRule="auto"/>
        <w:jc w:val="both"/>
        <w:rPr>
          <w:rFonts w:ascii="Verdana" w:hAnsi="Verdana" w:cs="Arial"/>
          <w:bCs/>
          <w:sz w:val="20"/>
          <w:szCs w:val="20"/>
          <w:lang w:eastAsia="es-CO"/>
        </w:rPr>
      </w:pPr>
      <w:r w:rsidRPr="0005583D">
        <w:rPr>
          <w:rFonts w:ascii="Verdana" w:hAnsi="Verdana" w:cs="Arial"/>
          <w:bCs/>
          <w:sz w:val="20"/>
          <w:szCs w:val="20"/>
          <w:lang w:eastAsia="es-CO"/>
        </w:rPr>
        <w:t>[…]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e, iii) introduce modificaciones en relación con algunos aspectos que se analizarán a continuación.</w:t>
      </w:r>
    </w:p>
    <w:p w14:paraId="1787F27E" w14:textId="77777777" w:rsidR="004E067F" w:rsidRPr="0005583D" w:rsidRDefault="004E067F" w:rsidP="004E067F">
      <w:pPr>
        <w:spacing w:after="0" w:line="240" w:lineRule="auto"/>
        <w:jc w:val="both"/>
        <w:rPr>
          <w:rFonts w:ascii="Verdana" w:eastAsia="Calibri" w:hAnsi="Verdana" w:cs="Arial"/>
          <w:b/>
          <w:bCs/>
          <w:lang w:eastAsia="es-ES"/>
        </w:rPr>
      </w:pPr>
    </w:p>
    <w:p w14:paraId="556E7FD9" w14:textId="77777777" w:rsidR="004E067F" w:rsidRPr="0005583D" w:rsidRDefault="004E067F" w:rsidP="004E067F">
      <w:pPr>
        <w:widowControl w:val="0"/>
        <w:autoSpaceDE w:val="0"/>
        <w:autoSpaceDN w:val="0"/>
        <w:spacing w:after="0"/>
        <w:ind w:right="102"/>
        <w:jc w:val="both"/>
        <w:rPr>
          <w:rFonts w:ascii="Verdana" w:eastAsia="Calibri" w:hAnsi="Verdana" w:cs="Arial"/>
          <w:b/>
          <w:bCs/>
          <w:lang w:val="es-ES" w:eastAsia="es-ES"/>
        </w:rPr>
      </w:pPr>
      <w:r w:rsidRPr="0005583D">
        <w:rPr>
          <w:rFonts w:ascii="Verdana" w:eastAsia="Calibri" w:hAnsi="Verdana" w:cs="Arial"/>
          <w:b/>
          <w:bCs/>
          <w:lang w:val="es-ES" w:eastAsia="es-ES"/>
        </w:rPr>
        <w:t xml:space="preserve">FORMATO </w:t>
      </w:r>
      <w:r>
        <w:rPr>
          <w:rFonts w:ascii="Verdana" w:eastAsia="Calibri" w:hAnsi="Verdana" w:cs="Arial"/>
          <w:b/>
          <w:bCs/>
          <w:lang w:val="es-ES" w:eastAsia="es-ES"/>
        </w:rPr>
        <w:t>5</w:t>
      </w:r>
      <w:r w:rsidRPr="0005583D">
        <w:rPr>
          <w:rFonts w:ascii="Verdana" w:eastAsia="Calibri" w:hAnsi="Verdana" w:cs="Arial"/>
          <w:b/>
          <w:bCs/>
          <w:lang w:val="es-ES" w:eastAsia="es-ES"/>
        </w:rPr>
        <w:t xml:space="preserve"> – Subsanabilidad – Circunstancias – Anterioridad al cierre</w:t>
      </w:r>
    </w:p>
    <w:p w14:paraId="0B2B8AE4" w14:textId="77777777" w:rsidR="004E067F" w:rsidRPr="005F6BCE" w:rsidRDefault="004E067F" w:rsidP="004E067F">
      <w:pPr>
        <w:spacing w:before="120" w:after="120" w:line="240" w:lineRule="auto"/>
        <w:jc w:val="both"/>
        <w:rPr>
          <w:rFonts w:ascii="Verdana" w:eastAsia="Calibri" w:hAnsi="Verdana"/>
          <w:sz w:val="20"/>
          <w:szCs w:val="20"/>
        </w:rPr>
      </w:pPr>
      <w:r w:rsidRPr="005F6BCE">
        <w:rPr>
          <w:rFonts w:ascii="Verdana" w:eastAsia="Calibri" w:hAnsi="Verdana"/>
          <w:sz w:val="20"/>
          <w:szCs w:val="20"/>
        </w:rPr>
        <w:t>Concretamente, frente al “Formato 5 – Capacidad Residual”, y específicamente respecto de la certificación de saldos de contratos en ejecución (SCE), debe indicarse que este constituye un documento relacionado con la verificación de un requisito habilitante y no con factores de evaluación o ponderación de la oferta. Por esta razón, los errores en su diligenciamiento, inconsistencias en la información reportada o imprecisiones advertidas por la entidad pueden ser objeto de aclaración o subsanación, siempre que no impliquen modificar la capacidad residual realmente existente al momento del cierre del proceso.</w:t>
      </w:r>
    </w:p>
    <w:p w14:paraId="207C0540" w14:textId="77777777" w:rsidR="004E067F" w:rsidRDefault="004E067F" w:rsidP="004E067F">
      <w:pPr>
        <w:spacing w:before="120" w:after="120"/>
        <w:jc w:val="both"/>
        <w:rPr>
          <w:rFonts w:ascii="Verdana" w:eastAsia="Calibri" w:hAnsi="Verdana"/>
          <w:sz w:val="20"/>
          <w:szCs w:val="20"/>
        </w:rPr>
      </w:pPr>
      <w:r w:rsidRPr="005F6BCE">
        <w:rPr>
          <w:rFonts w:ascii="Verdana" w:eastAsia="Calibri" w:hAnsi="Verdana"/>
          <w:sz w:val="20"/>
          <w:szCs w:val="20"/>
        </w:rPr>
        <w:t>En consecuencia, el hecho de que la entidad haya realizado un primer requerimiento de subsanación respecto del Formato 5 no impide que posteriormente pueda efectuar un nuevo requerimiento si advierte una inconsistencia distinta que no había sido solicitada inicialmente. Lo relevante no es el número de requerimientos realizados, sino que la corrección recaiga sobre aspectos subsanables y relativos a circunstancias existentes antes del cierre del proceso.</w:t>
      </w:r>
    </w:p>
    <w:p w14:paraId="50E23979" w14:textId="77777777" w:rsidR="004E067F" w:rsidRPr="005F6BCE" w:rsidRDefault="004E067F" w:rsidP="004E067F">
      <w:pPr>
        <w:spacing w:before="120" w:after="120" w:line="240" w:lineRule="auto"/>
        <w:jc w:val="both"/>
        <w:rPr>
          <w:rFonts w:ascii="Verdana" w:eastAsia="Calibri" w:hAnsi="Verdana"/>
          <w:sz w:val="20"/>
          <w:szCs w:val="20"/>
        </w:rPr>
      </w:pPr>
      <w:r w:rsidRPr="005F6BCE">
        <w:rPr>
          <w:rFonts w:ascii="Verdana" w:eastAsia="Calibri" w:hAnsi="Verdana"/>
          <w:sz w:val="20"/>
          <w:szCs w:val="20"/>
        </w:rPr>
        <w:t>Por tanto, si el proponente corrige o aclara nuevamente la información del “Formato 5 – Capacidad Residual” con fundamento en contratos en  ejecución y saldos existentes al momento de presentación de la oferta, la entidad deberá valorar dicha subsanación y no podrá rechazar la propuesta únicamente por el hecho de haberse efectuado una subsanación previa.</w:t>
      </w:r>
    </w:p>
    <w:p w14:paraId="11C3ACE7" w14:textId="77777777" w:rsidR="004E067F" w:rsidRDefault="004E067F" w:rsidP="004E067F">
      <w:pPr>
        <w:rPr>
          <w:rFonts w:ascii="Verdana" w:hAnsi="Verdana"/>
          <w:sz w:val="20"/>
          <w:szCs w:val="20"/>
          <w:lang w:val="es-ES_tradnl"/>
        </w:rPr>
      </w:pPr>
    </w:p>
    <w:p w14:paraId="1ACCDA82" w14:textId="77777777" w:rsidR="004E067F" w:rsidRDefault="004E067F" w:rsidP="004E067F">
      <w:pPr>
        <w:rPr>
          <w:rFonts w:ascii="Verdana" w:hAnsi="Verdana"/>
          <w:sz w:val="20"/>
          <w:szCs w:val="20"/>
          <w:lang w:val="es-ES_tradnl"/>
        </w:rPr>
      </w:pPr>
    </w:p>
    <w:p w14:paraId="3FE776BB" w14:textId="77777777" w:rsidR="004E067F" w:rsidRPr="005F6BCE" w:rsidRDefault="004E067F" w:rsidP="004E067F">
      <w:pPr>
        <w:rPr>
          <w:rFonts w:ascii="Verdana" w:hAnsi="Verdana"/>
          <w:sz w:val="20"/>
          <w:szCs w:val="20"/>
          <w:lang w:val="es-ES_tradnl"/>
        </w:rPr>
      </w:pPr>
    </w:p>
    <w:p w14:paraId="2DC2C50B" w14:textId="77777777" w:rsidR="004E067F" w:rsidRPr="005F6BCE" w:rsidRDefault="004E067F" w:rsidP="004E067F">
      <w:pPr>
        <w:spacing w:after="0"/>
        <w:rPr>
          <w:rFonts w:ascii="Verdana" w:hAnsi="Verdana"/>
          <w:sz w:val="20"/>
          <w:szCs w:val="20"/>
        </w:rPr>
      </w:pPr>
    </w:p>
    <w:p w14:paraId="240DFA0F" w14:textId="77777777" w:rsidR="004E067F" w:rsidRPr="005F6BCE" w:rsidRDefault="004E067F" w:rsidP="004E067F">
      <w:pPr>
        <w:spacing w:after="0"/>
        <w:rPr>
          <w:rFonts w:ascii="Verdana" w:hAnsi="Verdana"/>
          <w:sz w:val="20"/>
          <w:szCs w:val="20"/>
        </w:rPr>
      </w:pPr>
    </w:p>
    <w:p w14:paraId="473EDABB" w14:textId="01E18DCF" w:rsidR="004E067F" w:rsidRPr="00E31648" w:rsidRDefault="004E067F" w:rsidP="004E067F">
      <w:pPr>
        <w:spacing w:after="0" w:line="240" w:lineRule="auto"/>
      </w:pPr>
      <w:r w:rsidRPr="00C562D4">
        <w:rPr>
          <w:rFonts w:ascii="Verdana" w:eastAsia="Calibri" w:hAnsi="Verdana" w:cs="Arial"/>
          <w:color w:val="000000" w:themeColor="text1"/>
        </w:rPr>
        <w:t xml:space="preserve">Bogotá D.C., </w:t>
      </w:r>
      <w:r w:rsidR="006613B5">
        <w:rPr>
          <w:rFonts w:ascii="Verdana" w:eastAsia="Calibri" w:hAnsi="Verdana" w:cs="Arial"/>
          <w:color w:val="000000" w:themeColor="text1"/>
        </w:rPr>
        <w:t>1</w:t>
      </w:r>
      <w:r w:rsidR="00C7116B">
        <w:rPr>
          <w:rFonts w:ascii="Verdana" w:eastAsia="Calibri" w:hAnsi="Verdana" w:cs="Arial"/>
          <w:color w:val="000000" w:themeColor="text1"/>
        </w:rPr>
        <w:t>2</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15A0423" w14:textId="77777777" w:rsidR="004E067F" w:rsidRDefault="004E067F" w:rsidP="004E067F">
      <w:pPr>
        <w:spacing w:after="0" w:line="240" w:lineRule="auto"/>
        <w:jc w:val="both"/>
        <w:rPr>
          <w:rFonts w:ascii="Verdana" w:eastAsia="Calibri" w:hAnsi="Verdana" w:cs="Arial"/>
          <w:color w:val="000000" w:themeColor="text1"/>
          <w:lang w:val="es-ES"/>
        </w:rPr>
      </w:pPr>
    </w:p>
    <w:p w14:paraId="58497E96" w14:textId="7F574FA8" w:rsidR="00C7116B" w:rsidRDefault="00C7116B" w:rsidP="00C7116B">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2E99A3B5" wp14:editId="3B10674A">
            <wp:extent cx="2238375" cy="714375"/>
            <wp:effectExtent l="0" t="0" r="9525" b="9525"/>
            <wp:docPr id="202872866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8375" cy="714375"/>
                    </a:xfrm>
                    <a:prstGeom prst="rect">
                      <a:avLst/>
                    </a:prstGeom>
                    <a:noFill/>
                    <a:ln>
                      <a:noFill/>
                    </a:ln>
                  </pic:spPr>
                </pic:pic>
              </a:graphicData>
            </a:graphic>
          </wp:inline>
        </w:drawing>
      </w:r>
    </w:p>
    <w:p w14:paraId="055D8225" w14:textId="77777777" w:rsidR="004E067F" w:rsidRDefault="004E067F" w:rsidP="004E067F">
      <w:pPr>
        <w:spacing w:after="0" w:line="240" w:lineRule="auto"/>
        <w:jc w:val="both"/>
        <w:rPr>
          <w:rFonts w:ascii="Verdana" w:eastAsia="Calibri" w:hAnsi="Verdana" w:cs="Arial"/>
          <w:color w:val="000000" w:themeColor="text1"/>
          <w:lang w:val="es-ES" w:eastAsia="es-ES"/>
        </w:rPr>
      </w:pPr>
    </w:p>
    <w:p w14:paraId="6F56673B" w14:textId="77777777" w:rsidR="004E067F" w:rsidRPr="0046108F" w:rsidRDefault="004E067F" w:rsidP="004E067F">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60C33F90" w14:textId="77777777" w:rsidR="004E067F" w:rsidRDefault="004E067F" w:rsidP="004E067F">
      <w:pPr>
        <w:spacing w:after="0" w:line="240" w:lineRule="auto"/>
        <w:rPr>
          <w:rFonts w:ascii="Verdana" w:eastAsia="Calibri" w:hAnsi="Verdana" w:cs="Arial"/>
          <w:b/>
          <w:bCs/>
          <w:lang w:val="es-ES" w:eastAsia="es-ES"/>
        </w:rPr>
      </w:pPr>
      <w:r w:rsidRPr="00F9394E">
        <w:rPr>
          <w:rFonts w:ascii="Verdana" w:eastAsia="Calibri" w:hAnsi="Verdana" w:cs="Arial"/>
          <w:b/>
          <w:bCs/>
          <w:lang w:eastAsia="es-ES"/>
        </w:rPr>
        <w:t>JUAN FELIPE BONILLA QUINTANA</w:t>
      </w:r>
      <w:r w:rsidRPr="00F9394E">
        <w:rPr>
          <w:rFonts w:ascii="Verdana" w:eastAsia="Calibri" w:hAnsi="Verdana" w:cs="Arial"/>
          <w:b/>
          <w:bCs/>
          <w:lang w:val="es-ES" w:eastAsia="es-ES"/>
        </w:rPr>
        <w:t xml:space="preserve"> </w:t>
      </w:r>
    </w:p>
    <w:p w14:paraId="3D6A5E57" w14:textId="77777777" w:rsidR="004E067F" w:rsidRDefault="004E067F" w:rsidP="004E067F">
      <w:pPr>
        <w:spacing w:after="0" w:line="240" w:lineRule="auto"/>
        <w:rPr>
          <w:rFonts w:ascii="Verdana" w:eastAsia="Calibri" w:hAnsi="Verdana" w:cs="Arial"/>
          <w:lang w:val="es-ES" w:eastAsia="es-ES"/>
        </w:rPr>
      </w:pPr>
      <w:hyperlink r:id="rId11" w:history="1">
        <w:r w:rsidRPr="00203CAC">
          <w:rPr>
            <w:rStyle w:val="Hipervnculo"/>
            <w:rFonts w:ascii="Verdana" w:eastAsia="Calibri" w:hAnsi="Verdana" w:cs="Arial"/>
            <w:lang w:eastAsia="es-ES"/>
          </w:rPr>
          <w:t>jfelipebonilla@gmail.com</w:t>
        </w:r>
      </w:hyperlink>
      <w:r>
        <w:rPr>
          <w:rFonts w:ascii="Verdana" w:eastAsia="Calibri" w:hAnsi="Verdana" w:cs="Arial"/>
          <w:lang w:eastAsia="es-ES"/>
        </w:rPr>
        <w:t xml:space="preserve"> </w:t>
      </w:r>
    </w:p>
    <w:p w14:paraId="34B20014" w14:textId="77777777" w:rsidR="004E067F" w:rsidRPr="006B17A7" w:rsidRDefault="004E067F" w:rsidP="004E067F">
      <w:pPr>
        <w:spacing w:after="0" w:line="240" w:lineRule="auto"/>
        <w:rPr>
          <w:rFonts w:ascii="Verdana" w:eastAsia="Calibri" w:hAnsi="Verdana" w:cs="Arial"/>
          <w:b/>
          <w:bCs/>
          <w:lang w:val="es-ES" w:eastAsia="es-ES"/>
        </w:rPr>
      </w:pPr>
      <w:r>
        <w:rPr>
          <w:rFonts w:ascii="Verdana" w:eastAsia="Calibri" w:hAnsi="Verdana" w:cs="Arial"/>
          <w:lang w:val="es-ES" w:eastAsia="es-ES"/>
        </w:rPr>
        <w:t>Ciudad</w:t>
      </w:r>
    </w:p>
    <w:p w14:paraId="2BB9DC41" w14:textId="77777777" w:rsidR="004E067F" w:rsidRPr="00CB7ABE" w:rsidRDefault="004E067F" w:rsidP="004E067F">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4E067F" w:rsidRPr="00115E3D" w14:paraId="2231B9A5" w14:textId="77777777" w:rsidTr="00E20F5C">
        <w:trPr>
          <w:trHeight w:val="615"/>
        </w:trPr>
        <w:tc>
          <w:tcPr>
            <w:tcW w:w="2270" w:type="dxa"/>
          </w:tcPr>
          <w:p w14:paraId="14436D0D" w14:textId="77777777" w:rsidR="004E067F" w:rsidRPr="00CB7ABE" w:rsidRDefault="004E067F" w:rsidP="00E20F5C">
            <w:pPr>
              <w:jc w:val="both"/>
              <w:rPr>
                <w:rFonts w:ascii="Verdana" w:eastAsia="Calibri" w:hAnsi="Verdana" w:cs="Arial"/>
                <w:b/>
                <w:bCs/>
                <w:color w:val="000000" w:themeColor="text1"/>
                <w:lang w:eastAsia="es-ES_tradnl"/>
              </w:rPr>
            </w:pPr>
          </w:p>
        </w:tc>
        <w:tc>
          <w:tcPr>
            <w:tcW w:w="6547" w:type="dxa"/>
          </w:tcPr>
          <w:p w14:paraId="79BB517A" w14:textId="77777777" w:rsidR="004E067F" w:rsidRPr="008A209A" w:rsidRDefault="004E067F" w:rsidP="00E20F5C">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517</w:t>
            </w:r>
            <w:r w:rsidRPr="008A209A">
              <w:rPr>
                <w:rFonts w:ascii="Verdana" w:eastAsia="Calibri" w:hAnsi="Verdana" w:cs="Arial"/>
                <w:b/>
                <w:bCs/>
                <w:color w:val="000000" w:themeColor="text1"/>
                <w:lang w:val="es-ES" w:eastAsia="es-ES"/>
              </w:rPr>
              <w:t xml:space="preserve"> de 2026</w:t>
            </w:r>
          </w:p>
        </w:tc>
      </w:tr>
      <w:tr w:rsidR="004E067F" w:rsidRPr="007E403E" w14:paraId="08FD78A8" w14:textId="77777777" w:rsidTr="00E20F5C">
        <w:trPr>
          <w:trHeight w:val="1071"/>
        </w:trPr>
        <w:tc>
          <w:tcPr>
            <w:tcW w:w="2270" w:type="dxa"/>
          </w:tcPr>
          <w:p w14:paraId="68ABC063" w14:textId="77777777" w:rsidR="004E067F" w:rsidRPr="001B36DA" w:rsidRDefault="004E067F" w:rsidP="00E20F5C">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00080D1" w14:textId="77777777" w:rsidR="004E067F" w:rsidRPr="0099708A" w:rsidRDefault="004E067F" w:rsidP="00E20F5C">
            <w:pPr>
              <w:jc w:val="both"/>
              <w:rPr>
                <w:rFonts w:ascii="Verdana" w:eastAsia="Calibri" w:hAnsi="Verdana" w:cs="Arial"/>
                <w:lang w:val="es-ES" w:eastAsia="es-ES"/>
              </w:rPr>
            </w:pPr>
            <w:r w:rsidRPr="0063746A">
              <w:rPr>
                <w:rFonts w:ascii="Verdana" w:eastAsia="Calibri" w:hAnsi="Verdana" w:cs="Arial"/>
                <w:lang w:val="es-ES" w:eastAsia="es-ES"/>
              </w:rPr>
              <w:t>SUBSANABILIDAD –</w:t>
            </w:r>
            <w:r>
              <w:rPr>
                <w:rFonts w:ascii="Verdana" w:eastAsia="Calibri" w:hAnsi="Verdana" w:cs="Arial"/>
                <w:lang w:val="es-ES" w:eastAsia="es-ES"/>
              </w:rPr>
              <w:t xml:space="preserve"> </w:t>
            </w:r>
            <w:r w:rsidRPr="0063746A">
              <w:rPr>
                <w:rFonts w:ascii="Verdana" w:eastAsia="Calibri" w:hAnsi="Verdana" w:cs="Arial"/>
                <w:lang w:val="es-ES" w:eastAsia="es-ES"/>
              </w:rPr>
              <w:t xml:space="preserve">Aplicación – </w:t>
            </w:r>
            <w:r>
              <w:rPr>
                <w:rFonts w:ascii="Verdana" w:eastAsia="Calibri" w:hAnsi="Verdana" w:cs="Arial"/>
                <w:lang w:val="es-ES" w:eastAsia="es-ES"/>
              </w:rPr>
              <w:t>R</w:t>
            </w:r>
            <w:r w:rsidRPr="008D5D4A">
              <w:rPr>
                <w:rFonts w:ascii="Verdana" w:eastAsia="Calibri" w:hAnsi="Verdana" w:cs="Arial"/>
                <w:lang w:val="es-ES" w:eastAsia="es-ES"/>
              </w:rPr>
              <w:t>egla general</w:t>
            </w:r>
            <w:r w:rsidRPr="0063746A">
              <w:rPr>
                <w:rFonts w:ascii="Verdana" w:eastAsia="Calibri" w:hAnsi="Verdana" w:cs="Arial"/>
                <w:lang w:val="es-ES" w:eastAsia="es-ES"/>
              </w:rPr>
              <w:t xml:space="preserve"> –</w:t>
            </w:r>
            <w:r>
              <w:rPr>
                <w:rFonts w:ascii="Verdana" w:eastAsia="Calibri" w:hAnsi="Verdana" w:cs="Arial"/>
                <w:lang w:val="es-ES" w:eastAsia="es-ES"/>
              </w:rPr>
              <w:t xml:space="preserve"> Excepciones / </w:t>
            </w:r>
            <w:r w:rsidRPr="0063746A">
              <w:rPr>
                <w:rFonts w:ascii="Verdana" w:eastAsia="Calibri" w:hAnsi="Verdana" w:cs="Arial"/>
                <w:lang w:val="es-ES" w:eastAsia="es-ES"/>
              </w:rPr>
              <w:t xml:space="preserve">SUBSANABILIDAD – Circunstancias posteriores – Cierre del proceso- Ley 1882 de 2018 / </w:t>
            </w:r>
            <w:r w:rsidRPr="005F6BCE">
              <w:rPr>
                <w:rFonts w:ascii="Verdana" w:eastAsia="Calibri" w:hAnsi="Verdana" w:cs="Arial"/>
                <w:lang w:val="es-ES" w:eastAsia="es-ES"/>
              </w:rPr>
              <w:t>FORMATO 5 – Subsanabilidad – Circunstancias – Anterioridad al cierre</w:t>
            </w:r>
            <w:r>
              <w:rPr>
                <w:rFonts w:ascii="Verdana" w:eastAsia="Calibri" w:hAnsi="Verdana" w:cs="Arial"/>
                <w:lang w:val="es-ES" w:eastAsia="es-ES"/>
              </w:rPr>
              <w:t>.</w:t>
            </w:r>
          </w:p>
          <w:p w14:paraId="4E5A8626" w14:textId="77777777" w:rsidR="004E067F" w:rsidRDefault="004E067F" w:rsidP="00E20F5C">
            <w:pPr>
              <w:spacing w:line="276" w:lineRule="auto"/>
              <w:jc w:val="both"/>
              <w:rPr>
                <w:rFonts w:ascii="Verdana" w:eastAsia="Arial" w:hAnsi="Verdana" w:cs="Arial"/>
                <w:lang w:val="es-MX"/>
              </w:rPr>
            </w:pPr>
          </w:p>
          <w:p w14:paraId="01D950CD" w14:textId="77777777" w:rsidR="004E067F" w:rsidRPr="005E256F" w:rsidRDefault="004E067F" w:rsidP="00E20F5C">
            <w:pPr>
              <w:spacing w:line="276" w:lineRule="auto"/>
              <w:jc w:val="both"/>
              <w:rPr>
                <w:rFonts w:ascii="Verdana" w:eastAsia="Calibri" w:hAnsi="Verdana" w:cs="Arial"/>
                <w:color w:val="000000" w:themeColor="text1"/>
                <w:highlight w:val="yellow"/>
                <w:lang w:val="es-ES" w:eastAsia="es-ES"/>
              </w:rPr>
            </w:pPr>
          </w:p>
        </w:tc>
      </w:tr>
      <w:tr w:rsidR="004E067F" w:rsidRPr="00115E3D" w14:paraId="0B93D2DD" w14:textId="77777777" w:rsidTr="00E20F5C">
        <w:trPr>
          <w:trHeight w:val="653"/>
        </w:trPr>
        <w:tc>
          <w:tcPr>
            <w:tcW w:w="2270" w:type="dxa"/>
          </w:tcPr>
          <w:p w14:paraId="7F0A70A3" w14:textId="77777777" w:rsidR="004E067F" w:rsidRPr="00CB7ABE" w:rsidRDefault="004E067F" w:rsidP="00E20F5C">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E902978" w14:textId="77777777" w:rsidR="004E067F" w:rsidRPr="00CB7ABE" w:rsidRDefault="004E067F" w:rsidP="00E20F5C">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BF4FCD">
              <w:rPr>
                <w:rFonts w:ascii="Verdana" w:hAnsi="Verdana"/>
                <w:color w:val="000000" w:themeColor="text1"/>
              </w:rPr>
              <w:t>1_2026_03_27_004317.</w:t>
            </w:r>
          </w:p>
        </w:tc>
      </w:tr>
      <w:tr w:rsidR="004E067F" w:rsidRPr="00115E3D" w14:paraId="0A61B9E0" w14:textId="77777777" w:rsidTr="00E20F5C">
        <w:trPr>
          <w:trHeight w:val="653"/>
        </w:trPr>
        <w:tc>
          <w:tcPr>
            <w:tcW w:w="2270" w:type="dxa"/>
          </w:tcPr>
          <w:p w14:paraId="410D1BD6" w14:textId="77777777" w:rsidR="004E067F" w:rsidRPr="00CB7ABE" w:rsidRDefault="004E067F" w:rsidP="00E20F5C">
            <w:pPr>
              <w:jc w:val="both"/>
              <w:rPr>
                <w:rFonts w:ascii="Verdana" w:eastAsia="Calibri" w:hAnsi="Verdana" w:cs="Arial"/>
                <w:b/>
                <w:color w:val="000000" w:themeColor="text1"/>
                <w:lang w:val="es-ES_tradnl" w:eastAsia="es-ES_tradnl"/>
              </w:rPr>
            </w:pPr>
          </w:p>
        </w:tc>
        <w:tc>
          <w:tcPr>
            <w:tcW w:w="6547" w:type="dxa"/>
          </w:tcPr>
          <w:p w14:paraId="2EF1B962" w14:textId="77777777" w:rsidR="004E067F" w:rsidRPr="00CB7ABE" w:rsidRDefault="004E067F" w:rsidP="00E20F5C">
            <w:pPr>
              <w:ind w:right="1"/>
              <w:jc w:val="both"/>
              <w:rPr>
                <w:rFonts w:ascii="Verdana" w:eastAsia="Calibri" w:hAnsi="Verdana" w:cs="Arial"/>
                <w:color w:val="000000" w:themeColor="text1"/>
                <w:lang w:val="es-ES_tradnl" w:eastAsia="es-ES_tradnl"/>
              </w:rPr>
            </w:pPr>
          </w:p>
        </w:tc>
      </w:tr>
    </w:tbl>
    <w:p w14:paraId="62246E9C" w14:textId="77777777" w:rsidR="004E067F" w:rsidRPr="00115E3D" w:rsidRDefault="004E067F" w:rsidP="004E067F">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Bonilla;</w:t>
      </w:r>
    </w:p>
    <w:p w14:paraId="2AB44545" w14:textId="77777777" w:rsidR="004E067F" w:rsidRPr="00115E3D" w:rsidRDefault="004E067F" w:rsidP="004E067F">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0D21F70" w14:textId="77777777" w:rsidR="004E067F" w:rsidRPr="00115E3D" w:rsidRDefault="004E067F" w:rsidP="004E067F">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w:t>
      </w:r>
      <w:r w:rsidRPr="00115E3D">
        <w:rPr>
          <w:rFonts w:ascii="Verdana" w:eastAsia="Calibri" w:hAnsi="Verdana" w:cs="Arial"/>
          <w:color w:val="000000" w:themeColor="text1"/>
          <w:lang w:val="es-ES" w:eastAsia="es-ES"/>
        </w:rPr>
        <w:t xml:space="preserve"> su solicitud</w:t>
      </w:r>
      <w:r>
        <w:rPr>
          <w:rFonts w:ascii="Verdana" w:eastAsia="Calibri" w:hAnsi="Verdana" w:cs="Arial"/>
          <w:color w:val="000000" w:themeColor="text1"/>
          <w:lang w:val="es-ES" w:eastAsia="es-ES"/>
        </w:rPr>
        <w:t xml:space="preserve"> radicada ante esta entidad el 27 de marzo de 2026 </w:t>
      </w:r>
      <w:r w:rsidRPr="00115E3D">
        <w:rPr>
          <w:rFonts w:ascii="Verdana" w:eastAsia="Calibri" w:hAnsi="Verdana" w:cs="Arial"/>
          <w:color w:val="000000" w:themeColor="text1"/>
          <w:lang w:val="es-ES" w:eastAsia="es-ES"/>
        </w:rPr>
        <w:t xml:space="preserve">en la cual manifiesta lo siguiente: </w:t>
      </w:r>
    </w:p>
    <w:p w14:paraId="780CEE71" w14:textId="77777777" w:rsidR="004E067F" w:rsidRDefault="004E067F" w:rsidP="004E067F">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3244E54" w14:textId="77777777" w:rsidR="004E067F" w:rsidRPr="00F9394E" w:rsidRDefault="004E067F" w:rsidP="004E067F">
      <w:pPr>
        <w:spacing w:after="0" w:line="240" w:lineRule="auto"/>
        <w:ind w:left="709" w:right="709"/>
        <w:jc w:val="both"/>
        <w:rPr>
          <w:rFonts w:ascii="Verdana" w:eastAsia="Century Gothic" w:hAnsi="Verdana" w:cs="Century Gothic"/>
          <w:i/>
          <w:iCs/>
          <w:color w:val="000000" w:themeColor="text1"/>
          <w:sz w:val="20"/>
          <w:szCs w:val="20"/>
          <w:lang w:val="es-MX"/>
        </w:rPr>
      </w:pPr>
      <w:r w:rsidRPr="00104557">
        <w:rPr>
          <w:rFonts w:ascii="Verdana" w:eastAsia="Century Gothic" w:hAnsi="Verdana" w:cs="Century Gothic"/>
          <w:i/>
          <w:iCs/>
          <w:color w:val="000000" w:themeColor="text1"/>
          <w:sz w:val="20"/>
          <w:szCs w:val="20"/>
          <w:lang w:val="es-ES"/>
        </w:rPr>
        <w:t>“</w:t>
      </w:r>
      <w:r w:rsidRPr="00F9394E">
        <w:rPr>
          <w:rFonts w:ascii="Verdana" w:eastAsia="Century Gothic" w:hAnsi="Verdana" w:cs="Century Gothic"/>
          <w:i/>
          <w:iCs/>
          <w:color w:val="000000" w:themeColor="text1"/>
          <w:sz w:val="20"/>
          <w:szCs w:val="20"/>
        </w:rPr>
        <w:t xml:space="preserve">Si un proponente presenta un formato de </w:t>
      </w:r>
      <w:r>
        <w:rPr>
          <w:rFonts w:ascii="Verdana" w:eastAsia="Century Gothic" w:hAnsi="Verdana" w:cs="Century Gothic"/>
          <w:i/>
          <w:iCs/>
          <w:color w:val="000000" w:themeColor="text1"/>
          <w:sz w:val="20"/>
          <w:szCs w:val="20"/>
        </w:rPr>
        <w:t>s</w:t>
      </w:r>
      <w:r w:rsidRPr="00F9394E">
        <w:rPr>
          <w:rFonts w:ascii="Verdana" w:eastAsia="Century Gothic" w:hAnsi="Verdana" w:cs="Century Gothic"/>
          <w:i/>
          <w:iCs/>
          <w:color w:val="000000" w:themeColor="text1"/>
          <w:sz w:val="20"/>
          <w:szCs w:val="20"/>
        </w:rPr>
        <w:t>aldo de contratos en</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ejecución y este contiene un error en un dato presentado que</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puede ser subsanado, la entidad lo requiere y subsana dicho</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error en debida forma; pero posteriormente se evidencia un</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 xml:space="preserve">error diferente al anterior que se ha </w:t>
      </w:r>
      <w:r w:rsidRPr="00F9394E">
        <w:rPr>
          <w:rFonts w:ascii="Verdana" w:eastAsia="Century Gothic" w:hAnsi="Verdana" w:cs="Century Gothic"/>
          <w:i/>
          <w:iCs/>
          <w:color w:val="000000" w:themeColor="text1"/>
          <w:sz w:val="20"/>
          <w:szCs w:val="20"/>
        </w:rPr>
        <w:lastRenderedPageBreak/>
        <w:t>mantenido tanto en la</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propuesta inicial como en la subsanación y que no fue</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solicitado para ajustar previamente, ¿Deberá la entidad</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requerir nuevamente al proponente y darle opción de aclarar o</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subsanar, o por haber subsanado previamente el formato deberá</w:t>
      </w:r>
      <w:r>
        <w:rPr>
          <w:rFonts w:ascii="Verdana" w:eastAsia="Century Gothic" w:hAnsi="Verdana" w:cs="Century Gothic"/>
          <w:i/>
          <w:iCs/>
          <w:color w:val="000000" w:themeColor="text1"/>
          <w:sz w:val="20"/>
          <w:szCs w:val="20"/>
        </w:rPr>
        <w:t xml:space="preserve"> </w:t>
      </w:r>
      <w:r w:rsidRPr="00F9394E">
        <w:rPr>
          <w:rFonts w:ascii="Verdana" w:eastAsia="Century Gothic" w:hAnsi="Verdana" w:cs="Century Gothic"/>
          <w:i/>
          <w:iCs/>
          <w:color w:val="000000" w:themeColor="text1"/>
          <w:sz w:val="20"/>
          <w:szCs w:val="20"/>
        </w:rPr>
        <w:t>ser rechazada la propuesta?</w:t>
      </w:r>
      <w:r w:rsidRPr="00F9394E">
        <w:rPr>
          <w:rFonts w:ascii="Verdana" w:eastAsia="Century Gothic" w:hAnsi="Verdana" w:cs="Century Gothic"/>
          <w:i/>
          <w:iCs/>
          <w:color w:val="000000" w:themeColor="text1"/>
          <w:sz w:val="20"/>
          <w:szCs w:val="20"/>
          <w:lang w:val="es-MX"/>
        </w:rPr>
        <w:t xml:space="preserve"> </w:t>
      </w:r>
      <w:r>
        <w:rPr>
          <w:rFonts w:ascii="Verdana" w:eastAsia="Century Gothic" w:hAnsi="Verdana" w:cs="Century Gothic"/>
          <w:i/>
          <w:iCs/>
          <w:color w:val="000000" w:themeColor="text1"/>
          <w:sz w:val="20"/>
          <w:szCs w:val="20"/>
          <w:lang w:val="es-MX"/>
        </w:rPr>
        <w:t>“</w:t>
      </w:r>
    </w:p>
    <w:p w14:paraId="42DDA7EF" w14:textId="77777777" w:rsidR="004E067F" w:rsidRDefault="004E067F" w:rsidP="004E067F">
      <w:pPr>
        <w:spacing w:after="0" w:line="240" w:lineRule="auto"/>
        <w:ind w:left="709" w:right="709"/>
        <w:jc w:val="both"/>
        <w:rPr>
          <w:rFonts w:ascii="Verdana" w:eastAsia="Century Gothic" w:hAnsi="Verdana" w:cs="Century Gothic"/>
          <w:i/>
          <w:iCs/>
          <w:color w:val="000000" w:themeColor="text1"/>
          <w:sz w:val="20"/>
          <w:szCs w:val="20"/>
          <w:lang w:val="es-ES"/>
        </w:rPr>
      </w:pPr>
    </w:p>
    <w:p w14:paraId="4C80573C" w14:textId="77777777" w:rsidR="004E067F" w:rsidRDefault="004E067F" w:rsidP="004E067F">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729F89B6" w14:textId="77777777" w:rsidR="004E067F" w:rsidRPr="00115E3D" w:rsidRDefault="004E067F" w:rsidP="004E067F">
      <w:pPr>
        <w:spacing w:after="0" w:line="240" w:lineRule="auto"/>
        <w:ind w:right="49"/>
        <w:jc w:val="both"/>
        <w:rPr>
          <w:rFonts w:ascii="Verdana" w:eastAsia="Calibri" w:hAnsi="Verdana" w:cs="Arial"/>
          <w:color w:val="000000" w:themeColor="text1"/>
          <w:szCs w:val="24"/>
          <w:lang w:val="es-ES_tradnl" w:eastAsia="es-ES_tradnl"/>
        </w:rPr>
      </w:pPr>
    </w:p>
    <w:p w14:paraId="6D73010D" w14:textId="77777777" w:rsidR="004E067F" w:rsidRPr="00115E3D" w:rsidRDefault="004E067F" w:rsidP="004E067F">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6FFC4C53" w14:textId="77777777" w:rsidR="004E067F" w:rsidRPr="00115E3D" w:rsidRDefault="004E067F" w:rsidP="004E067F">
      <w:pPr>
        <w:spacing w:after="0" w:line="276" w:lineRule="auto"/>
        <w:ind w:firstLine="709"/>
        <w:jc w:val="both"/>
        <w:rPr>
          <w:rFonts w:ascii="Verdana" w:eastAsia="Calibri" w:hAnsi="Verdana" w:cs="Arial"/>
          <w:color w:val="000000" w:themeColor="text1"/>
          <w:lang w:val="es-ES" w:eastAsia="es-ES"/>
        </w:rPr>
      </w:pPr>
    </w:p>
    <w:p w14:paraId="3D090F0D" w14:textId="77777777" w:rsidR="004E067F" w:rsidRPr="00115E3D" w:rsidRDefault="004E067F" w:rsidP="004E067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F934C27" w14:textId="77777777" w:rsidR="004E067F" w:rsidRPr="00115E3D" w:rsidRDefault="004E067F" w:rsidP="004E067F">
      <w:pPr>
        <w:tabs>
          <w:tab w:val="left" w:pos="426"/>
        </w:tabs>
        <w:spacing w:after="0" w:line="276" w:lineRule="auto"/>
        <w:jc w:val="both"/>
        <w:rPr>
          <w:rFonts w:ascii="Verdana" w:eastAsia="Century Gothic" w:hAnsi="Verdana" w:cs="Century Gothic"/>
          <w:color w:val="000000" w:themeColor="text1"/>
          <w:lang w:val="es-ES"/>
        </w:rPr>
      </w:pPr>
    </w:p>
    <w:p w14:paraId="70DD3341" w14:textId="77777777" w:rsidR="004E067F" w:rsidRPr="00D47AC9" w:rsidRDefault="004E067F" w:rsidP="004E067F">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4B1A01">
        <w:rPr>
          <w:rFonts w:ascii="Verdana" w:hAnsi="Verdana"/>
        </w:rPr>
        <w:t>¿</w:t>
      </w:r>
      <w:r w:rsidRPr="00D47AC9">
        <w:rPr>
          <w:rFonts w:ascii="Times New Roman" w:eastAsia="Times New Roman" w:hAnsi="Times New Roman" w:cs="Times New Roman"/>
          <w:sz w:val="24"/>
          <w:szCs w:val="24"/>
          <w:lang w:eastAsia="es-CO"/>
        </w:rPr>
        <w:t xml:space="preserve"> </w:t>
      </w:r>
      <w:r w:rsidRPr="00D47AC9">
        <w:rPr>
          <w:rFonts w:ascii="Verdana" w:hAnsi="Verdana"/>
        </w:rPr>
        <w:t>En relación con el Formato 5 – Capacidad Residual de los documentos tipo, ¿es posible que el proponente subsane un nuevo error identificado por la entidad en la certificación de saldos de contratos en ejecución (SCE), aun cuando previamente hubiera subsanado otro error del mismo formato, o procede el rechazo de la oferta?</w:t>
      </w:r>
    </w:p>
    <w:p w14:paraId="71044291" w14:textId="77777777" w:rsidR="004E067F" w:rsidRDefault="004E067F" w:rsidP="004E067F">
      <w:pPr>
        <w:spacing w:after="0" w:line="276" w:lineRule="auto"/>
        <w:jc w:val="both"/>
        <w:rPr>
          <w:rFonts w:ascii="Verdana" w:hAnsi="Verdana"/>
        </w:rPr>
      </w:pPr>
      <w:r>
        <w:rPr>
          <w:rFonts w:ascii="Verdana" w:hAnsi="Verdana"/>
        </w:rPr>
        <w:t xml:space="preserve"> </w:t>
      </w:r>
    </w:p>
    <w:p w14:paraId="4B7A9B8D" w14:textId="77777777" w:rsidR="004E067F" w:rsidRPr="00115E3D" w:rsidRDefault="004E067F" w:rsidP="004E06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9AE5933" w14:textId="77777777" w:rsidR="004E067F" w:rsidRPr="00115E3D" w:rsidRDefault="004E067F" w:rsidP="004E067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067F" w:rsidRPr="00115E3D" w14:paraId="1EDE276C" w14:textId="77777777" w:rsidTr="00E20F5C">
        <w:trPr>
          <w:trHeight w:val="774"/>
        </w:trPr>
        <w:tc>
          <w:tcPr>
            <w:tcW w:w="8828" w:type="dxa"/>
          </w:tcPr>
          <w:p w14:paraId="70A0BF5C"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cs="Times New Roman"/>
              </w:rPr>
              <w:lastRenderedPageBreak/>
              <w:t xml:space="preserve">        </w:t>
            </w:r>
            <w:r w:rsidRPr="00B643B2">
              <w:rPr>
                <w:rFonts w:ascii="Verdana" w:eastAsia="Calibri" w:hAnsi="Verdana"/>
              </w:rPr>
              <w:t xml:space="preserve">De manera preliminar es pertinente indicar que </w:t>
            </w:r>
            <w:r>
              <w:rPr>
                <w:rFonts w:ascii="Verdana" w:eastAsia="Calibri" w:hAnsi="Verdana"/>
              </w:rPr>
              <w:t>l</w:t>
            </w:r>
            <w:r w:rsidRPr="006B1DE1">
              <w:rPr>
                <w:rFonts w:ascii="Verdana" w:eastAsia="Calibri" w:hAnsi="Verdana"/>
              </w:rPr>
              <w:t>a regla de subsanabilidad dispuesta en el artículo 5 de la Ley 1150 de 2007, es un mecanismo previsto en los procesos de contratación estatal sometidos al Estatuto General de Contratación de la Administración Pública, según el cual los proponentes pueden enmendar, corregir o aclarar los errores en los documentos que integran la oferta.</w:t>
            </w:r>
          </w:p>
          <w:p w14:paraId="61DA1159"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Conforme a dicha regla, los requisitos o documentos que no sean necesarios para la comparación de las ofertas pueden subsanarse y, en consecuencia, todo aquello que no afecte la asignación de puntaje no constituye causal suficiente para rechazar una propuesta.</w:t>
            </w:r>
          </w:p>
          <w:p w14:paraId="05D876F3"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De acuerdo con el artículo 5 de la Ley 1882 de 2018, lo subsanable corresponde a la prueba de circunstancias ocurridas antes del vencimiento del término para presentar ofertas. Esto significa que no es posible acreditar hechos o condiciones surgidas con posterioridad al cierre del proceso, ni modificar elementos sustanciales de la propuesta una vez presentada.</w:t>
            </w:r>
          </w:p>
          <w:p w14:paraId="5C58062B"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En ese sentido, para determinar si un requisito o documento puede subsanarse, la entidad debe verificar: i) si el aspecto omitido o errado afecta la asignación de puntaje y ii) si la circunstancia que pretende acreditarse existía antes del cierre del proceso de selección. Si el requisito no otorga puntaje y la información corresponde a hechos anteriores al cierre, la subsanación resulta procedente.</w:t>
            </w:r>
          </w:p>
          <w:p w14:paraId="37F17ACF"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Concretamente, frente al “Formato 5 – Capacidad Residual”, y específicamente respecto de la certificación de saldos de contratos en ejecución (SCE), debe indicarse que este constituye un documento relacionado con la verificación de un requisito habilitante y no con factores de evaluación o ponderación de la oferta. Por esta razón, los errores en su diligenciamiento, inconsistencias en la información reportada o imprecisiones advertidas por la entidad pueden ser objeto de aclaración o subsanación, siempre que no impliquen modificar la capacidad residual realmente existente al momento del cierre del proceso.</w:t>
            </w:r>
          </w:p>
          <w:p w14:paraId="46013336"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 xml:space="preserve">En consecuencia, el hecho de que la entidad haya realizado un primer requerimiento de subsanación respecto del Formato 5 no impide que posteriormente pueda efectuar un nuevo requerimiento si advierte una inconsistencia distinta que no había sido solicitada inicialmente. Lo relevante </w:t>
            </w:r>
            <w:r w:rsidRPr="006B1DE1">
              <w:rPr>
                <w:rFonts w:ascii="Verdana" w:eastAsia="Calibri" w:hAnsi="Verdana"/>
              </w:rPr>
              <w:lastRenderedPageBreak/>
              <w:t>no es el número de requerimientos realizados, sino que la corrección recaiga sobre aspectos subsanables y relativos a circunstancias existentes antes del cierre del proceso.</w:t>
            </w:r>
          </w:p>
          <w:p w14:paraId="37167A8E"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 xml:space="preserve">Por tanto, si el proponente corrige o aclara nuevamente la información del “Formato 5 – Capacidad Residual” con fundamento en contratos en </w:t>
            </w:r>
            <w:r>
              <w:rPr>
                <w:rFonts w:ascii="Verdana" w:eastAsia="Calibri" w:hAnsi="Verdana"/>
              </w:rPr>
              <w:t xml:space="preserve"> </w:t>
            </w:r>
            <w:r w:rsidRPr="006B1DE1">
              <w:rPr>
                <w:rFonts w:ascii="Verdana" w:eastAsia="Calibri" w:hAnsi="Verdana"/>
              </w:rPr>
              <w:t>ejecución y saldos existentes al momento de presentación de la oferta, la entidad deberá valorar dicha subsanación y no podrá rechazar la propuesta únicamente por el hecho de haberse efectuado una subsanación previa.</w:t>
            </w:r>
          </w:p>
          <w:p w14:paraId="74686E8D" w14:textId="77777777" w:rsidR="004E067F" w:rsidRPr="006B1DE1"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No obstante, la entidad sí podrá rechazar la oferta cuando la nueva información implique acreditar circunstancias ocurridas con posterioridad al cierre del proceso, modificar sustancialmente la oferta o alterar elementos que afecten la comparación objetiva entre proponentes.</w:t>
            </w:r>
          </w:p>
          <w:p w14:paraId="656616AC" w14:textId="77777777" w:rsidR="004E067F" w:rsidRPr="00B643B2" w:rsidRDefault="004E067F" w:rsidP="00E20F5C">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1880C3A4" w14:textId="77777777" w:rsidR="004E067F" w:rsidRPr="0029110A" w:rsidRDefault="004E067F" w:rsidP="00E20F5C">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4E067F" w:rsidRPr="00115E3D" w14:paraId="193E3034" w14:textId="77777777" w:rsidTr="00E20F5C">
        <w:trPr>
          <w:trHeight w:val="162"/>
        </w:trPr>
        <w:tc>
          <w:tcPr>
            <w:tcW w:w="8828" w:type="dxa"/>
          </w:tcPr>
          <w:p w14:paraId="4B9B2097" w14:textId="77777777" w:rsidR="004E067F" w:rsidRDefault="004E067F" w:rsidP="00E20F5C">
            <w:pPr>
              <w:spacing w:line="276" w:lineRule="auto"/>
              <w:jc w:val="both"/>
              <w:rPr>
                <w:rFonts w:ascii="Verdana" w:eastAsia="Calibri" w:hAnsi="Verdana" w:cs="Arial"/>
              </w:rPr>
            </w:pPr>
          </w:p>
        </w:tc>
      </w:tr>
    </w:tbl>
    <w:p w14:paraId="01CBEB39" w14:textId="77777777" w:rsidR="004E067F" w:rsidRDefault="004E067F" w:rsidP="004E067F">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70BA341" w14:textId="77777777" w:rsidR="004E067F" w:rsidRDefault="004E067F" w:rsidP="004E06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6482BB45" w14:textId="77777777" w:rsidR="004E067F" w:rsidRPr="00115E3D" w:rsidRDefault="004E067F" w:rsidP="004E067F">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65741EB" w14:textId="77777777" w:rsidR="004E067F" w:rsidRPr="0048565C" w:rsidRDefault="004E067F" w:rsidP="004E067F">
      <w:pPr>
        <w:spacing w:after="0" w:line="276" w:lineRule="auto"/>
        <w:jc w:val="both"/>
        <w:rPr>
          <w:rFonts w:ascii="Verdana" w:eastAsia="Calibri" w:hAnsi="Verdana" w:cs="Arial"/>
          <w:lang w:val="es-ES"/>
        </w:rPr>
      </w:pPr>
      <w:r w:rsidRPr="0048565C">
        <w:rPr>
          <w:rFonts w:ascii="Verdana" w:eastAsia="Calibri" w:hAnsi="Verdana" w:cs="Arial"/>
          <w:lang w:val="es-ES"/>
        </w:rPr>
        <w:t>Lo anterior se sustenta en las siguientes consideraciones:</w:t>
      </w:r>
    </w:p>
    <w:p w14:paraId="5C88823A" w14:textId="77777777" w:rsidR="004E067F" w:rsidRPr="0048565C" w:rsidRDefault="004E067F" w:rsidP="004E067F">
      <w:pPr>
        <w:spacing w:after="0" w:line="276" w:lineRule="auto"/>
        <w:jc w:val="both"/>
        <w:rPr>
          <w:rFonts w:ascii="Verdana" w:eastAsia="Calibri" w:hAnsi="Verdana" w:cs="Arial"/>
          <w:lang w:val="es-ES"/>
        </w:rPr>
      </w:pPr>
    </w:p>
    <w:p w14:paraId="7BF8CB33" w14:textId="77777777" w:rsidR="004E067F" w:rsidRDefault="004E067F" w:rsidP="004E067F">
      <w:pPr>
        <w:tabs>
          <w:tab w:val="left" w:pos="0"/>
        </w:tabs>
        <w:spacing w:after="0" w:line="276" w:lineRule="auto"/>
        <w:jc w:val="both"/>
        <w:rPr>
          <w:rFonts w:ascii="Verdana" w:eastAsia="Times New Roman" w:hAnsi="Verdana" w:cs="Arial"/>
          <w:lang w:val="es-ES_tradnl" w:eastAsia="es-ES_tradnl"/>
        </w:rPr>
      </w:pPr>
      <w:r>
        <w:rPr>
          <w:rFonts w:ascii="Verdana" w:hAnsi="Verdana" w:cs="Arial"/>
          <w:color w:val="000000" w:themeColor="text1"/>
        </w:rPr>
        <w:lastRenderedPageBreak/>
        <w:t>De manera preliminar es pertinente indicar que</w:t>
      </w:r>
      <w:r w:rsidRPr="0048565C">
        <w:rPr>
          <w:rFonts w:ascii="Verdana" w:hAnsi="Verdana" w:cs="Arial"/>
          <w:color w:val="000000" w:themeColor="text1"/>
        </w:rPr>
        <w:t xml:space="preserve"> </w:t>
      </w:r>
      <w:r>
        <w:rPr>
          <w:rFonts w:ascii="Verdana" w:hAnsi="Verdana" w:cs="Arial"/>
          <w:color w:val="000000" w:themeColor="text1"/>
        </w:rPr>
        <w:t>l</w:t>
      </w:r>
      <w:r w:rsidRPr="00D16A5E">
        <w:rPr>
          <w:rFonts w:ascii="Verdana" w:eastAsia="Times New Roman" w:hAnsi="Verdana" w:cs="Arial"/>
        </w:rPr>
        <w:t>a regla de la subsanabilidad de las ofertas en los procedimientos de selección</w:t>
      </w:r>
      <w:r w:rsidRPr="00D16A5E">
        <w:rPr>
          <w:rFonts w:ascii="Verdana" w:eastAsia="Times New Roman" w:hAnsi="Verdana" w:cs="Arial"/>
          <w:b/>
          <w:bCs/>
        </w:rPr>
        <w:t xml:space="preserve"> </w:t>
      </w:r>
      <w:r w:rsidRPr="00D16A5E">
        <w:rPr>
          <w:rFonts w:ascii="Verdana" w:eastAsia="Times New Roman" w:hAnsi="Verdana" w:cs="Arial"/>
          <w:lang w:val="es-ES_tradnl" w:eastAsia="es-ES_tradnl"/>
        </w:rPr>
        <w:t>indica que, por regla general, la falta de entrega y los defectos en la acreditación de los requisitos habilitantes son aspectos subsanables. La excepción</w:t>
      </w:r>
      <w:r>
        <w:rPr>
          <w:rFonts w:ascii="Verdana" w:eastAsia="Times New Roman" w:hAnsi="Verdana" w:cs="Arial"/>
          <w:lang w:val="es-ES_tradnl" w:eastAsia="es-ES_tradnl"/>
        </w:rPr>
        <w:t xml:space="preserve"> a esta regla </w:t>
      </w:r>
      <w:r w:rsidRPr="00D16A5E">
        <w:rPr>
          <w:rFonts w:ascii="Verdana" w:eastAsia="Times New Roman" w:hAnsi="Verdana" w:cs="Arial"/>
          <w:lang w:val="es-ES_tradnl" w:eastAsia="es-ES_tradnl"/>
        </w:rPr>
        <w:t xml:space="preserve">se encuentra en la prohibición de permitir </w:t>
      </w:r>
      <w:r>
        <w:rPr>
          <w:rFonts w:ascii="Verdana" w:eastAsia="Times New Roman" w:hAnsi="Verdana" w:cs="Arial"/>
          <w:lang w:val="es-ES_tradnl" w:eastAsia="es-ES_tradnl"/>
        </w:rPr>
        <w:t xml:space="preserve">que se subsanen aspectos que otorgan puntaje, </w:t>
      </w:r>
      <w:r w:rsidRPr="00D16A5E">
        <w:rPr>
          <w:rFonts w:ascii="Verdana" w:eastAsia="Times New Roman" w:hAnsi="Verdana" w:cs="Arial"/>
          <w:lang w:val="es-ES_tradnl" w:eastAsia="es-ES_tradnl"/>
        </w:rPr>
        <w:t>la acreditación de circunstancias ocurridas con posterioridad al cierre del proceso</w:t>
      </w:r>
      <w:r>
        <w:rPr>
          <w:rFonts w:ascii="Verdana" w:eastAsia="Times New Roman" w:hAnsi="Verdana" w:cs="Arial"/>
          <w:lang w:val="es-ES_tradnl" w:eastAsia="es-ES_tradnl"/>
        </w:rPr>
        <w:t xml:space="preserve"> y de permitir </w:t>
      </w:r>
      <w:r w:rsidRPr="00D16A5E">
        <w:rPr>
          <w:rFonts w:ascii="Verdana" w:eastAsia="Times New Roman" w:hAnsi="Verdana" w:cs="Arial"/>
          <w:lang w:val="es-ES_tradnl" w:eastAsia="es-ES_tradnl"/>
        </w:rPr>
        <w:t>la entrega de la garantía de seriedad de la oferta que no fue aportada con la propuesta</w:t>
      </w:r>
      <w:r>
        <w:rPr>
          <w:rFonts w:ascii="Verdana" w:eastAsia="Times New Roman" w:hAnsi="Verdana" w:cs="Arial"/>
          <w:lang w:val="es-ES_tradnl" w:eastAsia="es-ES_tradnl"/>
        </w:rPr>
        <w:t>.</w:t>
      </w:r>
    </w:p>
    <w:p w14:paraId="12986575" w14:textId="77777777" w:rsidR="004E067F" w:rsidRDefault="004E067F" w:rsidP="004E067F">
      <w:pPr>
        <w:spacing w:after="120" w:line="276" w:lineRule="auto"/>
        <w:ind w:firstLine="708"/>
        <w:jc w:val="both"/>
        <w:rPr>
          <w:rFonts w:ascii="Verdana" w:eastAsia="Times New Roman" w:hAnsi="Verdana" w:cs="Arial"/>
          <w:lang w:val="es-ES" w:eastAsia="es-ES"/>
        </w:rPr>
      </w:pPr>
      <w:r>
        <w:rPr>
          <w:rFonts w:ascii="Verdana" w:eastAsia="Times New Roman" w:hAnsi="Verdana" w:cs="Arial"/>
          <w:lang w:val="es-ES_tradnl" w:eastAsia="es-ES_tradnl"/>
        </w:rPr>
        <w:t>L</w:t>
      </w:r>
      <w:r w:rsidRPr="00D16A5E">
        <w:rPr>
          <w:rFonts w:ascii="Verdana" w:eastAsia="Times New Roman" w:hAnsi="Verdana" w:cs="Arial"/>
          <w:lang w:val="es-ES_tradnl" w:eastAsia="es-ES_tradnl"/>
        </w:rPr>
        <w:t>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_tradnl" w:eastAsia="es-ES_tradnl"/>
        </w:rPr>
        <w:t>, momentos que se han expuesto de manera detallada en conceptos como el C-285 del 20 de mayo de 2022</w:t>
      </w:r>
      <w:r>
        <w:rPr>
          <w:rStyle w:val="Refdenotaalpie"/>
          <w:rFonts w:ascii="Verdana" w:eastAsia="Times New Roman" w:hAnsi="Verdana" w:cs="Arial"/>
          <w:lang w:val="es-ES_tradnl" w:eastAsia="es-ES_tradnl"/>
        </w:rPr>
        <w:footnoteReference w:id="1"/>
      </w:r>
      <w:r>
        <w:rPr>
          <w:rFonts w:ascii="Verdana" w:eastAsia="Times New Roman" w:hAnsi="Verdana" w:cs="Arial"/>
          <w:lang w:val="es-ES_tradnl" w:eastAsia="es-ES_tradnl"/>
        </w:rPr>
        <w:t xml:space="preserve"> o el C-447 del 19 de septiembre de 2024</w:t>
      </w:r>
      <w:r>
        <w:rPr>
          <w:rStyle w:val="Refdenotaalpie"/>
          <w:rFonts w:ascii="Verdana" w:eastAsia="Times New Roman" w:hAnsi="Verdana" w:cs="Arial"/>
          <w:lang w:val="es-ES_tradnl" w:eastAsia="es-ES_tradnl"/>
        </w:rPr>
        <w:footnoteReference w:id="2"/>
      </w:r>
      <w:r>
        <w:rPr>
          <w:rFonts w:ascii="Verdana" w:eastAsia="Times New Roman" w:hAnsi="Verdana" w:cs="Arial"/>
          <w:lang w:val="es-ES_tradnl" w:eastAsia="es-ES_tradnl"/>
        </w:rPr>
        <w:t xml:space="preserve"> los cuales, en el evento en que tenga interés, podrá consultar en los enlaces de la nota al pie</w:t>
      </w:r>
      <w:r w:rsidRPr="00D16A5E">
        <w:rPr>
          <w:rFonts w:ascii="Verdana" w:eastAsia="Times New Roman" w:hAnsi="Verdana" w:cs="Arial"/>
          <w:lang w:val="es-ES_tradnl" w:eastAsia="es-ES_tradnl"/>
        </w:rPr>
        <w:t>.</w:t>
      </w:r>
      <w:r>
        <w:rPr>
          <w:rFonts w:ascii="Verdana" w:eastAsia="Times New Roman" w:hAnsi="Verdana" w:cs="Arial"/>
          <w:lang w:val="es-ES_tradnl" w:eastAsia="es-ES_tradnl"/>
        </w:rPr>
        <w:t xml:space="preserve"> Sin embargo</w:t>
      </w:r>
      <w:r w:rsidRPr="00D16A5E">
        <w:rPr>
          <w:rFonts w:ascii="Verdana" w:eastAsia="Times New Roman" w:hAnsi="Verdana" w:cs="Arial"/>
          <w:lang w:val="es-ES" w:eastAsia="es-ES"/>
        </w:rPr>
        <w:t xml:space="preserve">, a continuación, se hará referencia </w:t>
      </w:r>
      <w:r>
        <w:rPr>
          <w:rFonts w:ascii="Verdana" w:eastAsia="Times New Roman" w:hAnsi="Verdana" w:cs="Arial"/>
          <w:lang w:val="es-ES" w:eastAsia="es-ES"/>
        </w:rPr>
        <w:t>particularmente al último momento, que refleja la postura vigente</w:t>
      </w:r>
      <w:r w:rsidRPr="00D16A5E">
        <w:rPr>
          <w:rFonts w:ascii="Verdana" w:eastAsia="Times New Roman" w:hAnsi="Verdana" w:cs="Arial"/>
          <w:lang w:val="es-ES" w:eastAsia="es-ES"/>
        </w:rPr>
        <w:t xml:space="preserve"> en torno a la subsanabilidad</w:t>
      </w:r>
      <w:r>
        <w:rPr>
          <w:rFonts w:ascii="Verdana" w:eastAsia="Times New Roman" w:hAnsi="Verdana" w:cs="Arial"/>
          <w:lang w:val="es-ES" w:eastAsia="es-ES"/>
        </w:rPr>
        <w:t>:</w:t>
      </w:r>
    </w:p>
    <w:p w14:paraId="7B78EBC7" w14:textId="77777777" w:rsidR="004E067F" w:rsidRPr="00D16A5E" w:rsidRDefault="004E067F" w:rsidP="004E067F">
      <w:pPr>
        <w:tabs>
          <w:tab w:val="left" w:pos="284"/>
        </w:tabs>
        <w:spacing w:after="0" w:line="276" w:lineRule="auto"/>
        <w:ind w:firstLine="709"/>
        <w:jc w:val="both"/>
        <w:rPr>
          <w:rFonts w:ascii="Verdana" w:eastAsia="Times New Roman" w:hAnsi="Verdana" w:cs="Arial"/>
          <w:lang w:val="es-ES_tradnl" w:eastAsia="es-CO"/>
        </w:rPr>
      </w:pPr>
      <w:r>
        <w:rPr>
          <w:rFonts w:ascii="Verdana" w:eastAsia="Times New Roman" w:hAnsi="Verdana" w:cs="Arial"/>
          <w:lang w:val="es-ES_tradnl" w:eastAsia="es-ES_tradnl"/>
        </w:rPr>
        <w:t xml:space="preserve">La expedición de la Ley </w:t>
      </w:r>
      <w:r w:rsidRPr="00D16A5E">
        <w:rPr>
          <w:rFonts w:ascii="Verdana" w:eastAsia="Times New Roman" w:hAnsi="Verdana" w:cs="Arial"/>
          <w:lang w:val="es-ES_tradnl" w:eastAsia="es-CO"/>
        </w:rPr>
        <w:t>1882 de 2018</w:t>
      </w:r>
      <w:r>
        <w:rPr>
          <w:rFonts w:ascii="Verdana" w:eastAsia="Times New Roman" w:hAnsi="Verdana" w:cs="Arial"/>
          <w:lang w:val="es-ES_tradnl" w:eastAsia="es-CO"/>
        </w:rPr>
        <w:t xml:space="preserve"> tuvo por finalidad la de </w:t>
      </w:r>
      <w:r w:rsidRPr="00D16A5E">
        <w:rPr>
          <w:rFonts w:ascii="Verdana" w:eastAsia="Times New Roman" w:hAnsi="Verdana" w:cs="Arial"/>
          <w:lang w:val="es-ES_tradnl" w:eastAsia="es-CO"/>
        </w:rPr>
        <w:t>introducir cambios y ajustes para fortalecer la contratación pública</w:t>
      </w:r>
      <w:r>
        <w:rPr>
          <w:rFonts w:ascii="Verdana" w:eastAsia="Times New Roman" w:hAnsi="Verdana" w:cs="Arial"/>
          <w:lang w:val="es-ES_tradnl" w:eastAsia="es-CO"/>
        </w:rPr>
        <w:t xml:space="preserve">. En ese orden, mediante su </w:t>
      </w:r>
      <w:r w:rsidRPr="00D16A5E">
        <w:rPr>
          <w:rFonts w:ascii="Verdana" w:eastAsia="Times New Roman" w:hAnsi="Verdana" w:cs="Arial"/>
          <w:lang w:val="es-ES_tradnl" w:eastAsia="es-CO"/>
        </w:rPr>
        <w:t xml:space="preserve">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4° del artículo 5 de la Ley 1150 de 2007</w:t>
      </w:r>
      <w:r>
        <w:rPr>
          <w:rFonts w:ascii="Verdana" w:eastAsia="Times New Roman" w:hAnsi="Verdana" w:cs="Arial"/>
          <w:lang w:val="es-ES_tradnl" w:eastAsia="es-CO"/>
        </w:rPr>
        <w:t>, en los siguientes términos</w:t>
      </w:r>
      <w:r w:rsidRPr="00D16A5E">
        <w:rPr>
          <w:rFonts w:ascii="Verdana" w:eastAsia="Times New Roman" w:hAnsi="Verdana" w:cs="Arial"/>
          <w:lang w:val="es-ES_tradnl" w:eastAsia="es-CO"/>
        </w:rPr>
        <w:t xml:space="preserve">: </w:t>
      </w:r>
    </w:p>
    <w:p w14:paraId="68FA2CEC" w14:textId="77777777" w:rsidR="004E067F" w:rsidRPr="000D2E9F" w:rsidRDefault="004E067F" w:rsidP="004E067F">
      <w:pPr>
        <w:spacing w:after="0" w:line="276" w:lineRule="auto"/>
        <w:ind w:left="709" w:right="709"/>
        <w:jc w:val="both"/>
        <w:rPr>
          <w:rFonts w:ascii="Verdana" w:eastAsia="Times New Roman" w:hAnsi="Verdana" w:cs="Arial"/>
          <w:lang w:val="es-ES_tradnl" w:eastAsia="es-CO"/>
        </w:rPr>
      </w:pPr>
    </w:p>
    <w:p w14:paraId="609A4ED8" w14:textId="77777777" w:rsidR="004E067F" w:rsidRPr="00556BC7" w:rsidRDefault="004E067F" w:rsidP="004E067F">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Pr="00556BC7">
        <w:rPr>
          <w:rFonts w:ascii="Verdana" w:eastAsia="Times New Roman" w:hAnsi="Verdana" w:cs="Arial"/>
          <w:sz w:val="20"/>
          <w:szCs w:val="20"/>
          <w:lang w:val="es-ES_tradnl" w:eastAsia="es-CO"/>
        </w:rPr>
        <w:t xml:space="preserve">Artículo 5°. De la selección objetiva. </w:t>
      </w:r>
    </w:p>
    <w:p w14:paraId="1ACFB101" w14:textId="77777777" w:rsidR="004E067F" w:rsidRDefault="004E067F" w:rsidP="004E067F">
      <w:pPr>
        <w:pStyle w:val="paragraph"/>
        <w:spacing w:before="0" w:beforeAutospacing="0" w:after="0" w:afterAutospacing="0"/>
        <w:ind w:left="709" w:right="709"/>
        <w:jc w:val="both"/>
        <w:textAlignment w:val="baseline"/>
        <w:rPr>
          <w:rStyle w:val="normaltextrun"/>
          <w:rFonts w:ascii="Verdana" w:eastAsiaTheme="majorEastAsia" w:hAnsi="Verdana" w:cs="Arial"/>
          <w:color w:val="000000"/>
          <w:sz w:val="20"/>
          <w:szCs w:val="20"/>
          <w:lang w:val="es-ES"/>
        </w:rPr>
      </w:pPr>
    </w:p>
    <w:p w14:paraId="2CC6227F"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556BC7">
        <w:rPr>
          <w:rStyle w:val="eop"/>
          <w:rFonts w:ascii="Verdana" w:hAnsi="Verdana" w:cs="Arial"/>
          <w:color w:val="000000"/>
          <w:sz w:val="20"/>
          <w:szCs w:val="20"/>
        </w:rPr>
        <w:t> </w:t>
      </w:r>
    </w:p>
    <w:p w14:paraId="48261F47"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798AC905"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w:t>
      </w:r>
      <w:r w:rsidRPr="00556BC7">
        <w:rPr>
          <w:rStyle w:val="normaltextrun"/>
          <w:rFonts w:ascii="Verdana" w:eastAsiaTheme="majorEastAsia" w:hAnsi="Verdana" w:cs="Arial"/>
          <w:color w:val="000000"/>
          <w:sz w:val="20"/>
          <w:szCs w:val="20"/>
          <w:lang w:val="es-ES"/>
        </w:rPr>
        <w:lastRenderedPageBreak/>
        <w:t>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5C4ECA0A"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55A9B9F9"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6B506537"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p>
    <w:p w14:paraId="0647CE11"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0BB928FD"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p>
    <w:p w14:paraId="596617F9"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a) La ponderación de los elementos de calidad y precio soportados en puntajes o fórmulas señaladas en el pliego de condiciones; o</w:t>
      </w:r>
    </w:p>
    <w:p w14:paraId="3CB28FC9"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p>
    <w:p w14:paraId="2942F42D"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089E3A3E"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p>
    <w:p w14:paraId="392D1279"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112A7D68"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619C345"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4564E24B"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A4A21E0"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190264EB"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BE65D59"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eastAsiaTheme="majorEastAsia" w:hAnsi="Verdana" w:cs="Arial"/>
          <w:color w:val="000000"/>
          <w:sz w:val="20"/>
          <w:szCs w:val="20"/>
          <w:u w:val="single"/>
          <w:lang w:val="es-ES"/>
        </w:rPr>
        <w:lastRenderedPageBreak/>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eastAsiaTheme="majorEastAsi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eastAsiaTheme="majorEastAsi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1F97C7DF"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CDB73C1"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eastAsiaTheme="majorEastAsi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29F4805E"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3ED540B"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62BDDED2"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919FA4D" w14:textId="77777777" w:rsidR="004E067F" w:rsidRPr="005009EC" w:rsidRDefault="004E067F" w:rsidP="004E067F">
      <w:pPr>
        <w:pStyle w:val="paragraph"/>
        <w:spacing w:before="0" w:beforeAutospacing="0" w:after="0" w:afterAutospacing="0"/>
        <w:ind w:left="709" w:right="709"/>
        <w:jc w:val="both"/>
        <w:textAlignment w:val="baseline"/>
        <w:rPr>
          <w:rFonts w:ascii="Verdana" w:hAnsi="Verdana" w:cs="Segoe UI"/>
          <w:sz w:val="20"/>
          <w:szCs w:val="20"/>
          <w:u w:val="single"/>
        </w:rPr>
      </w:pPr>
      <w:r w:rsidRPr="005009EC">
        <w:rPr>
          <w:rStyle w:val="normaltextrun"/>
          <w:rFonts w:ascii="Verdana" w:eastAsiaTheme="majorEastAsia" w:hAnsi="Verdana" w:cs="Arial"/>
          <w:color w:val="000000"/>
          <w:sz w:val="20"/>
          <w:szCs w:val="20"/>
          <w:u w:val="single"/>
          <w:lang w:val="es-ES"/>
        </w:rPr>
        <w:t>PARÁGRAFO 3o. &lt;Parágrafo adicionado por el artículo 5 de la Ley 1882 de 2018. El nuevo texto es el siguiente:&gt; La no entrega de la garantía de seriedad junto con la propuesta no será subsanable y será causal de rechazo de la misma.</w:t>
      </w:r>
      <w:r w:rsidRPr="005009EC">
        <w:rPr>
          <w:rStyle w:val="eop"/>
          <w:rFonts w:ascii="Verdana" w:hAnsi="Verdana" w:cs="Arial"/>
          <w:color w:val="000000"/>
          <w:sz w:val="20"/>
          <w:szCs w:val="20"/>
          <w:u w:val="single"/>
        </w:rPr>
        <w:t> </w:t>
      </w:r>
    </w:p>
    <w:p w14:paraId="64A437E8"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B01BA9E"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556BC7">
        <w:rPr>
          <w:rStyle w:val="eop"/>
          <w:rFonts w:ascii="Verdana" w:hAnsi="Verdana" w:cs="Arial"/>
          <w:color w:val="000000"/>
          <w:sz w:val="20"/>
          <w:szCs w:val="20"/>
        </w:rPr>
        <w:t> </w:t>
      </w:r>
    </w:p>
    <w:p w14:paraId="5C60F220"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E358E58" w14:textId="77777777" w:rsidR="004E067F" w:rsidRPr="00556BC7" w:rsidRDefault="004E067F" w:rsidP="004E067F">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eastAsiaTheme="majorEastAsi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eastAsiaTheme="majorEastAsia" w:hAnsi="Verdana" w:cs="Arial"/>
          <w:color w:val="000000"/>
          <w:sz w:val="20"/>
          <w:szCs w:val="20"/>
          <w:lang w:val="es-ES"/>
        </w:rPr>
        <w:t>”. [Subrayado por fuera de texto original]</w:t>
      </w:r>
    </w:p>
    <w:p w14:paraId="37A27BD8" w14:textId="77777777" w:rsidR="004E067F" w:rsidRPr="00556BC7" w:rsidRDefault="004E067F" w:rsidP="004E067F">
      <w:pPr>
        <w:spacing w:after="0" w:line="276" w:lineRule="auto"/>
        <w:ind w:left="709" w:right="709"/>
        <w:jc w:val="both"/>
        <w:rPr>
          <w:rFonts w:ascii="Verdana" w:eastAsia="Times New Roman" w:hAnsi="Verdana" w:cs="Arial"/>
          <w:lang w:eastAsia="es-CO"/>
        </w:rPr>
      </w:pPr>
    </w:p>
    <w:p w14:paraId="6F75D7F2"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w:t>
      </w:r>
      <w:r w:rsidRPr="00D16A5E">
        <w:rPr>
          <w:rFonts w:ascii="Verdana" w:eastAsia="Times New Roman" w:hAnsi="Verdana" w:cs="Arial"/>
          <w:lang w:val="es-ES" w:eastAsia="es-ES"/>
        </w:rPr>
        <w:lastRenderedPageBreak/>
        <w:t xml:space="preserve">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iii) introduce modificaciones en relación con algunos aspectos que se analizarán a continuación. </w:t>
      </w:r>
    </w:p>
    <w:p w14:paraId="16EA4DE3" w14:textId="77777777" w:rsidR="004E067F" w:rsidRPr="00D16A5E" w:rsidRDefault="004E067F" w:rsidP="004E067F">
      <w:pPr>
        <w:spacing w:after="120" w:line="276" w:lineRule="auto"/>
        <w:ind w:right="51"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el ámbito temporal para ejercer la facultad de subsanar la oferta, pues la Ley 1882 de 2018 fijó una regla 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3"/>
      </w:r>
      <w:r>
        <w:rPr>
          <w:rFonts w:ascii="Verdana" w:eastAsia="Times New Roman" w:hAnsi="Verdana" w:cs="Arial"/>
          <w:lang w:val="es-ES_tradnl" w:eastAsia="es-ES_tradnl"/>
        </w:rPr>
        <w:t>.</w:t>
      </w:r>
    </w:p>
    <w:p w14:paraId="35BAB164"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2C80D0D5">
        <w:rPr>
          <w:rFonts w:ascii="Verdana" w:eastAsia="Times New Roman" w:hAnsi="Verdana" w:cs="Arial"/>
          <w:lang w:val="es-ES" w:eastAsia="es-ES"/>
        </w:rPr>
        <w:t>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2C80D0D5">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2C80D0D5">
        <w:rPr>
          <w:rFonts w:ascii="Verdana" w:eastAsia="Times New Roman" w:hAnsi="Verdana" w:cs="Arial"/>
          <w:lang w:val="es-ES" w:eastAsia="es-ES"/>
        </w:rPr>
        <w:t xml:space="preserve"> </w:t>
      </w:r>
    </w:p>
    <w:p w14:paraId="56341E72"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Sin perjuicio de lo expuesto</w:t>
      </w:r>
      <w:r w:rsidRPr="00D16A5E">
        <w:rPr>
          <w:rFonts w:ascii="Verdana" w:eastAsia="Times New Roman" w:hAnsi="Verdana" w:cs="Arial"/>
          <w:lang w:val="es-ES" w:eastAsia="es-ES"/>
        </w:rPr>
        <w:t xml:space="preserve">, de la lectura de este aparte podrían, en la práctica, darse dos interpretaciones que dan lugar a dos formas de proceder en los procesos de selección, en lo que a la subsanabilidad de las ofertas se refiere. </w:t>
      </w:r>
      <w:r w:rsidRPr="005D2410">
        <w:rPr>
          <w:rFonts w:ascii="Verdana" w:eastAsia="Times New Roman" w:hAnsi="Verdana" w:cs="Arial"/>
          <w:i/>
          <w:iCs/>
          <w:lang w:val="es-ES" w:eastAsia="es-ES"/>
        </w:rPr>
        <w:t>Primera</w:t>
      </w:r>
      <w:r w:rsidRPr="00D16A5E">
        <w:rPr>
          <w:rFonts w:ascii="Verdana" w:eastAsia="Times New Roman" w:hAnsi="Verdana" w:cs="Arial"/>
          <w:lang w:val="es-ES" w:eastAsia="es-ES"/>
        </w:rPr>
        <w:t>, que la posibilidad para subsanar de los oferentes es el término del traslado del informe de evaluación, ya que es en este documento donde la Administración consigna los requisitos o documentos omitidos que los oferentes deben subsanar, so pena de rechazo</w:t>
      </w:r>
      <w:r>
        <w:rPr>
          <w:rFonts w:ascii="Verdana" w:eastAsia="Times New Roman" w:hAnsi="Verdana" w:cs="Arial"/>
          <w:lang w:val="es-ES" w:eastAsia="es-ES"/>
        </w:rPr>
        <w:t xml:space="preserve">. </w:t>
      </w:r>
      <w:r w:rsidRPr="005D2410">
        <w:rPr>
          <w:rFonts w:ascii="Verdana" w:eastAsia="Times New Roman" w:hAnsi="Verdana" w:cs="Arial"/>
          <w:i/>
          <w:iCs/>
          <w:lang w:val="es-ES" w:eastAsia="es-ES"/>
        </w:rPr>
        <w:t>Segunda</w:t>
      </w:r>
      <w:r w:rsidRPr="00D16A5E">
        <w:rPr>
          <w:rFonts w:ascii="Verdana" w:eastAsia="Times New Roman" w:hAnsi="Verdana" w:cs="Arial"/>
          <w:lang w:val="es-ES" w:eastAsia="es-ES"/>
        </w:rPr>
        <w:t xml:space="preserve">,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2880E271" w14:textId="77777777" w:rsidR="004E067F" w:rsidRPr="00D16A5E" w:rsidRDefault="004E067F" w:rsidP="004E067F">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xml:space="preserve">. </w:t>
      </w:r>
      <w:r>
        <w:rPr>
          <w:rFonts w:ascii="Verdana" w:eastAsia="Times New Roman" w:hAnsi="Verdana" w:cs="Arial"/>
          <w:lang w:val="es-ES_tradnl" w:eastAsia="es-ES_tradnl"/>
        </w:rPr>
        <w:lastRenderedPageBreak/>
        <w:t>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737BD985" w14:textId="77777777" w:rsidR="004E067F" w:rsidRPr="00D16A5E" w:rsidRDefault="004E067F" w:rsidP="004E067F">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7154C6AA"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w:t>
      </w:r>
      <w:r>
        <w:rPr>
          <w:rFonts w:ascii="Verdana" w:eastAsia="Times New Roman" w:hAnsi="Verdana" w:cs="Arial"/>
          <w:lang w:val="es-ES" w:eastAsia="es-ES"/>
        </w:rPr>
        <w:t>,</w:t>
      </w:r>
      <w:r w:rsidRPr="00D16A5E">
        <w:rPr>
          <w:rFonts w:ascii="Verdana" w:eastAsia="Times New Roman" w:hAnsi="Verdana" w:cs="Arial"/>
          <w:lang w:val="es-ES" w:eastAsia="es-ES"/>
        </w:rPr>
        <w:t xml:space="preserve">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5C5651A1" w14:textId="77777777" w:rsidR="004E067F" w:rsidRPr="00D16A5E" w:rsidRDefault="004E067F" w:rsidP="004E067F">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 y segundo, qué es el cierre del proceso. </w:t>
      </w:r>
    </w:p>
    <w:p w14:paraId="768680A6"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w:t>
      </w:r>
      <w:r w:rsidRPr="00D16A5E">
        <w:rPr>
          <w:rFonts w:ascii="Verdana" w:eastAsia="Times New Roman" w:hAnsi="Verdana" w:cs="Arial"/>
          <w:lang w:val="es-ES" w:eastAsia="es-ES"/>
        </w:rPr>
        <w:lastRenderedPageBreak/>
        <w:t>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4"/>
      </w:r>
      <w:r w:rsidRPr="00D16A5E">
        <w:rPr>
          <w:rFonts w:ascii="Verdana" w:eastAsia="Times New Roman" w:hAnsi="Verdana" w:cs="Arial"/>
          <w:lang w:val="es-ES" w:eastAsia="es-ES"/>
        </w:rPr>
        <w:t>.</w:t>
      </w:r>
    </w:p>
    <w:p w14:paraId="2102677A" w14:textId="77777777" w:rsidR="004E067F" w:rsidRDefault="004E067F" w:rsidP="004E067F">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44880DE"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5"/>
      </w:r>
      <w:r w:rsidRPr="00D16A5E">
        <w:rPr>
          <w:rFonts w:ascii="Verdana" w:eastAsia="Times New Roman" w:hAnsi="Verdana" w:cs="Arial"/>
          <w:lang w:val="es-ES" w:eastAsia="es-ES"/>
        </w:rPr>
        <w:t xml:space="preserve">. </w:t>
      </w:r>
    </w:p>
    <w:p w14:paraId="1C84C4C7" w14:textId="77777777" w:rsidR="004E067F" w:rsidRPr="00D16A5E" w:rsidRDefault="004E067F" w:rsidP="004E067F">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6"/>
      </w:r>
      <w:r w:rsidRPr="00D16A5E">
        <w:rPr>
          <w:rFonts w:ascii="Verdana" w:eastAsia="Times New Roman" w:hAnsi="Verdana" w:cs="Arial"/>
          <w:lang w:val="es-ES" w:eastAsia="es-ES"/>
        </w:rPr>
        <w:t>; iii) si un oferente no anexó el Certificado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7"/>
      </w:r>
      <w:r w:rsidRPr="00D16A5E">
        <w:rPr>
          <w:rFonts w:ascii="Verdana" w:eastAsia="Times New Roman" w:hAnsi="Verdana" w:cs="Arial"/>
          <w:lang w:val="es-ES" w:eastAsia="es-ES"/>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2C7DD126" w14:textId="77777777" w:rsidR="004E067F" w:rsidRDefault="004E067F" w:rsidP="004E067F">
      <w:pPr>
        <w:spacing w:after="120" w:line="276" w:lineRule="auto"/>
        <w:ind w:firstLine="709"/>
        <w:jc w:val="both"/>
        <w:rPr>
          <w:rFonts w:ascii="Verdana" w:eastAsia="Times New Roman" w:hAnsi="Verdana" w:cs="Arial"/>
          <w:i/>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Pr>
          <w:rFonts w:ascii="Verdana" w:eastAsia="Times New Roman" w:hAnsi="Verdana" w:cs="Arial"/>
          <w:lang w:val="es-ES" w:eastAsia="es-ES"/>
        </w:rPr>
        <w:t>. E</w:t>
      </w:r>
      <w:r w:rsidRPr="00D16A5E">
        <w:rPr>
          <w:rFonts w:ascii="Verdana" w:eastAsia="Times New Roman" w:hAnsi="Verdana" w:cs="Arial"/>
          <w:lang w:val="es-ES" w:eastAsia="es-ES"/>
        </w:rPr>
        <w:t xml:space="preserv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w:t>
      </w:r>
      <w:r>
        <w:rPr>
          <w:rFonts w:ascii="Verdana" w:eastAsia="Times New Roman" w:hAnsi="Verdana" w:cs="Arial"/>
          <w:lang w:val="es-ES" w:eastAsia="es-ES"/>
        </w:rPr>
        <w:t>“</w:t>
      </w:r>
      <w:r w:rsidRPr="00D16A5E">
        <w:rPr>
          <w:rFonts w:ascii="Verdana" w:eastAsia="Times New Roman" w:hAnsi="Verdana" w:cs="Arial"/>
          <w:lang w:val="es-ES" w:eastAsia="es-ES"/>
        </w:rPr>
        <w:t xml:space="preserve">lo que se </w:t>
      </w:r>
      <w:r w:rsidRPr="00D16A5E">
        <w:rPr>
          <w:rFonts w:ascii="Verdana" w:eastAsia="Times New Roman" w:hAnsi="Verdana" w:cs="Arial"/>
          <w:lang w:val="es-ES" w:eastAsia="es-ES"/>
        </w:rPr>
        <w:lastRenderedPageBreak/>
        <w:t>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8"/>
      </w:r>
      <w:r w:rsidRPr="00D16A5E">
        <w:rPr>
          <w:rFonts w:ascii="Verdana" w:eastAsia="Times New Roman" w:hAnsi="Verdana" w:cs="Arial"/>
          <w:lang w:val="es-ES" w:eastAsia="es-ES"/>
        </w:rPr>
        <w:t>.</w:t>
      </w:r>
    </w:p>
    <w:p w14:paraId="71CD63E3" w14:textId="77777777" w:rsidR="004E067F" w:rsidRDefault="004E067F" w:rsidP="004E067F">
      <w:pPr>
        <w:spacing w:after="120" w:line="276" w:lineRule="auto"/>
        <w:ind w:firstLine="708"/>
        <w:jc w:val="both"/>
        <w:rPr>
          <w:rFonts w:ascii="Verdana" w:eastAsia="Times New Roman" w:hAnsi="Verdana" w:cs="Arial"/>
          <w:lang w:val="es-ES_tradnl" w:eastAsia="es-ES_tradnl"/>
        </w:rPr>
      </w:pPr>
      <w:r w:rsidRPr="00246D72">
        <w:rPr>
          <w:rFonts w:ascii="Verdana" w:eastAsia="Times New Roman" w:hAnsi="Verdana" w:cs="Arial"/>
          <w:iCs/>
          <w:lang w:val="es-ES" w:eastAsia="es-ES"/>
        </w:rPr>
        <w:t>Ahora bien,</w:t>
      </w:r>
      <w:r>
        <w:rPr>
          <w:rFonts w:ascii="Verdana" w:eastAsia="Times New Roman" w:hAnsi="Verdana" w:cs="Arial"/>
          <w:i/>
          <w:lang w:val="es-ES" w:eastAsia="es-ES"/>
        </w:rPr>
        <w:t xml:space="preserve"> 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la no entrega de la garantía de seriedad junto con la propuesta no será subsanable y será causal de rechazo de la misma</w:t>
      </w:r>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6F7DE76F" w14:textId="77777777" w:rsidR="004E067F" w:rsidRPr="006B1DE1" w:rsidRDefault="004E067F" w:rsidP="004E067F">
      <w:pPr>
        <w:spacing w:before="120" w:after="120" w:line="276" w:lineRule="auto"/>
        <w:jc w:val="both"/>
        <w:rPr>
          <w:rFonts w:ascii="Verdana" w:eastAsia="Calibri" w:hAnsi="Verdana"/>
        </w:rPr>
      </w:pPr>
      <w:r>
        <w:rPr>
          <w:rFonts w:ascii="Verdana" w:eastAsia="Calibri" w:hAnsi="Verdana"/>
        </w:rPr>
        <w:t xml:space="preserve">        </w:t>
      </w:r>
      <w:r w:rsidRPr="00581A90">
        <w:rPr>
          <w:rFonts w:ascii="Verdana" w:hAnsi="Verdana" w:cs="Arial"/>
          <w:noProof/>
          <w:lang w:val="es-ES_tradnl"/>
        </w:rPr>
        <w:t>Específicamente, para efectos de su consulta, debe señalarse que</w:t>
      </w:r>
      <w:r w:rsidRPr="006B1DE1">
        <w:rPr>
          <w:rFonts w:ascii="Verdana" w:eastAsia="Calibri" w:hAnsi="Verdana"/>
        </w:rPr>
        <w:t>, frente al “Formato 5 – Capacidad Residual”, y específicamente respecto de la certificación de saldos de contratos en ejecución (SCE), debe indicarse que este constituye un documento relacionado con la verificación de un requisito habilitante y no con factores de evaluación o ponderación de la oferta. Por esta razón, los errores en su diligenciamiento, inconsistencias en la información reportada o imprecisiones advertidas por la entidad pueden ser objeto de aclaración o subsanación, siempre que no impliquen modificar la capacidad residual realmente existente al momento del cierre del proceso.</w:t>
      </w:r>
    </w:p>
    <w:p w14:paraId="4C2483C9" w14:textId="77777777" w:rsidR="004E067F" w:rsidRPr="006B1DE1" w:rsidRDefault="004E067F" w:rsidP="004E067F">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En consecuencia, el hecho de que la entidad haya realizado un primer requerimiento de subsanación respecto del Formato 5 no impide que posteriormente pueda efectuar un nuevo requerimiento si advierte una inconsistencia distinta que no había sido solicitada inicialmente. Lo relevante no es el número de requerimientos realizados, sino que la corrección recaiga sobre aspectos subsanables y relativos a circunstancias existentes antes del cierre del proceso.</w:t>
      </w:r>
    </w:p>
    <w:p w14:paraId="2FE0969A" w14:textId="77777777" w:rsidR="004E067F" w:rsidRPr="006B1DE1" w:rsidRDefault="004E067F" w:rsidP="004E067F">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 xml:space="preserve">Por tanto, si el proponente corrige o aclara nuevamente la información del “Formato 5 – Capacidad Residual” con fundamento en contratos en </w:t>
      </w:r>
      <w:r>
        <w:rPr>
          <w:rFonts w:ascii="Verdana" w:eastAsia="Calibri" w:hAnsi="Verdana"/>
        </w:rPr>
        <w:t xml:space="preserve"> </w:t>
      </w:r>
      <w:r w:rsidRPr="006B1DE1">
        <w:rPr>
          <w:rFonts w:ascii="Verdana" w:eastAsia="Calibri" w:hAnsi="Verdana"/>
        </w:rPr>
        <w:t>ejecución y saldos existentes al momento de presentación de la oferta, la entidad deberá valorar dicha subsanación y no podrá rechazar la propuesta únicamente por el hecho de haberse efectuado una subsanación previa.</w:t>
      </w:r>
    </w:p>
    <w:p w14:paraId="55FE70F4" w14:textId="77777777" w:rsidR="004E067F" w:rsidRPr="006B1DE1" w:rsidRDefault="004E067F" w:rsidP="004E067F">
      <w:pPr>
        <w:spacing w:before="120" w:after="120" w:line="276" w:lineRule="auto"/>
        <w:jc w:val="both"/>
        <w:rPr>
          <w:rFonts w:ascii="Verdana" w:eastAsia="Calibri" w:hAnsi="Verdana"/>
        </w:rPr>
      </w:pPr>
      <w:r>
        <w:rPr>
          <w:rFonts w:ascii="Verdana" w:eastAsia="Calibri" w:hAnsi="Verdana"/>
        </w:rPr>
        <w:lastRenderedPageBreak/>
        <w:t xml:space="preserve">         </w:t>
      </w:r>
      <w:r w:rsidRPr="006B1DE1">
        <w:rPr>
          <w:rFonts w:ascii="Verdana" w:eastAsia="Calibri" w:hAnsi="Verdana"/>
        </w:rPr>
        <w:t>No obstante, la entidad sí podrá rechazar la oferta cuando la nueva información implique acreditar circunstancias ocurridas con posterioridad al cierre del proceso, modificar sustancialmente la oferta o alterar elementos que afecten la comparación objetiva entre proponentes.</w:t>
      </w:r>
    </w:p>
    <w:p w14:paraId="1D4026C5" w14:textId="77777777" w:rsidR="004E067F" w:rsidRPr="006B17A7" w:rsidRDefault="004E067F" w:rsidP="004E067F">
      <w:pPr>
        <w:spacing w:before="120" w:after="0" w:line="276" w:lineRule="auto"/>
        <w:ind w:firstLine="708"/>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11C1D25" w14:textId="77777777" w:rsidR="004E067F" w:rsidRPr="006B17A7" w:rsidRDefault="004E067F" w:rsidP="004E067F">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6E96FC84" w14:textId="77777777" w:rsidR="004E067F" w:rsidRPr="006B17A7" w:rsidRDefault="004E067F" w:rsidP="004E067F">
      <w:pPr>
        <w:spacing w:after="0" w:line="276" w:lineRule="auto"/>
        <w:ind w:firstLine="708"/>
        <w:jc w:val="both"/>
        <w:rPr>
          <w:rFonts w:ascii="Verdana" w:eastAsia="Calibri" w:hAnsi="Verdana" w:cs="Arial"/>
        </w:rPr>
      </w:pPr>
    </w:p>
    <w:p w14:paraId="31623942" w14:textId="77777777" w:rsidR="004E067F" w:rsidRPr="006B17A7" w:rsidRDefault="004E067F" w:rsidP="004E067F">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203B62A2" w14:textId="77777777" w:rsidR="004E067F" w:rsidRPr="006B17A7" w:rsidRDefault="004E067F" w:rsidP="004E067F">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067F" w:rsidRPr="006B17A7" w14:paraId="77FDED4A" w14:textId="77777777" w:rsidTr="00E20F5C">
        <w:trPr>
          <w:trHeight w:val="870"/>
        </w:trPr>
        <w:tc>
          <w:tcPr>
            <w:tcW w:w="8647" w:type="dxa"/>
          </w:tcPr>
          <w:p w14:paraId="2143A989" w14:textId="77777777" w:rsidR="004E067F" w:rsidRPr="00D16A5E" w:rsidRDefault="004E067F" w:rsidP="004E067F">
            <w:pPr>
              <w:pStyle w:val="Prrafodelista"/>
              <w:numPr>
                <w:ilvl w:val="0"/>
                <w:numId w:val="17"/>
              </w:numPr>
              <w:spacing w:after="120" w:line="276" w:lineRule="auto"/>
              <w:jc w:val="both"/>
              <w:rPr>
                <w:rFonts w:ascii="Verdana" w:hAnsi="Verdana" w:cs="Arial"/>
                <w:noProof/>
                <w:lang w:val="es-ES_tradnl"/>
              </w:rPr>
            </w:pPr>
            <w:r>
              <w:rPr>
                <w:rFonts w:ascii="Verdana" w:hAnsi="Verdana" w:cs="Arial"/>
                <w:noProof/>
                <w:lang w:val="es-ES_tradnl"/>
              </w:rPr>
              <w:t>A</w:t>
            </w:r>
            <w:r w:rsidRPr="009F4606">
              <w:rPr>
                <w:rFonts w:ascii="Verdana" w:hAnsi="Verdana" w:cs="Arial"/>
                <w:noProof/>
                <w:lang w:val="es-ES_tradnl"/>
              </w:rPr>
              <w:t>rtículo 5 de la Ley 1150 de 2007, modificado por la Ley 1882 de 2018, parágrafos 1, 3 y 4.</w:t>
            </w:r>
            <w:r>
              <w:rPr>
                <w:rFonts w:ascii="Verdana" w:hAnsi="Verdana" w:cs="Arial"/>
                <w:noProof/>
                <w:lang w:val="es-ES_tradnl"/>
              </w:rPr>
              <w:t xml:space="preserve"> </w:t>
            </w:r>
          </w:p>
          <w:p w14:paraId="3BCBA797" w14:textId="77777777" w:rsidR="004E067F" w:rsidRDefault="004E067F" w:rsidP="004E067F">
            <w:pPr>
              <w:pStyle w:val="Prrafodelista"/>
              <w:numPr>
                <w:ilvl w:val="0"/>
                <w:numId w:val="17"/>
              </w:numPr>
              <w:spacing w:after="120" w:line="276" w:lineRule="auto"/>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0EE915E3" w14:textId="77777777" w:rsidR="004E067F" w:rsidRDefault="004E067F" w:rsidP="004E067F">
            <w:pPr>
              <w:pStyle w:val="Prrafodelista"/>
              <w:numPr>
                <w:ilvl w:val="0"/>
                <w:numId w:val="17"/>
              </w:numPr>
              <w:spacing w:after="120" w:line="276" w:lineRule="auto"/>
              <w:jc w:val="both"/>
              <w:rPr>
                <w:rFonts w:ascii="Verdana" w:hAnsi="Verdana" w:cs="Arial"/>
                <w:noProof/>
                <w:lang w:val="es-ES_tradnl"/>
              </w:rPr>
            </w:pPr>
            <w:r w:rsidRPr="00F97212">
              <w:rPr>
                <w:rFonts w:ascii="Verdana" w:hAnsi="Verdana" w:cs="Arial"/>
                <w:noProof/>
                <w:lang w:val="es-ES_tradnl"/>
              </w:rPr>
              <w:t>Consejo De Estado. Sección Tercera. Subsección C. Sentencia del 26 de febrero de 2014. Expediente: 25.804. Consejero Ponente: Enrique Gil Botero</w:t>
            </w:r>
            <w:r>
              <w:rPr>
                <w:rFonts w:ascii="Verdana" w:hAnsi="Verdana" w:cs="Arial"/>
                <w:noProof/>
                <w:lang w:val="es-ES_tradnl"/>
              </w:rPr>
              <w:t>.</w:t>
            </w:r>
          </w:p>
          <w:p w14:paraId="1EF96AA0" w14:textId="77777777" w:rsidR="004E067F" w:rsidRPr="0080153E" w:rsidRDefault="004E067F" w:rsidP="004E067F">
            <w:pPr>
              <w:pStyle w:val="Prrafodelista"/>
              <w:numPr>
                <w:ilvl w:val="0"/>
                <w:numId w:val="17"/>
              </w:numPr>
              <w:spacing w:after="120" w:line="276" w:lineRule="auto"/>
              <w:jc w:val="both"/>
              <w:rPr>
                <w:rFonts w:ascii="Verdana" w:eastAsia="Aptos" w:hAnsi="Verdana" w:cs="Arial"/>
              </w:rPr>
            </w:pPr>
            <w:r w:rsidRPr="00F97212">
              <w:rPr>
                <w:rFonts w:ascii="Verdana" w:hAnsi="Verdana" w:cs="Arial"/>
                <w:noProof/>
                <w:lang w:val="es-ES_tradnl"/>
              </w:rPr>
              <w:t>Consejo De Estado, Sección Tercera, Subsección C. Sentencia del 26 de febrero de 2011. C.P. Jaime Orlando Santofimio. Rad. 36.408.</w:t>
            </w:r>
          </w:p>
          <w:p w14:paraId="617C48B3" w14:textId="77777777" w:rsidR="004E067F" w:rsidRPr="006B17A7" w:rsidRDefault="004E067F" w:rsidP="004E067F">
            <w:pPr>
              <w:pStyle w:val="Prrafodelista"/>
              <w:numPr>
                <w:ilvl w:val="0"/>
                <w:numId w:val="17"/>
              </w:numPr>
              <w:spacing w:after="120" w:line="276" w:lineRule="auto"/>
              <w:jc w:val="both"/>
              <w:rPr>
                <w:rFonts w:ascii="Verdana" w:eastAsia="Aptos" w:hAnsi="Verdana" w:cs="Arial"/>
              </w:rPr>
            </w:pPr>
            <w:r>
              <w:rPr>
                <w:rFonts w:ascii="Verdana" w:eastAsia="Calibri" w:hAnsi="Verdana" w:cs="Arial"/>
                <w:shd w:val="clear" w:color="auto" w:fill="FFFFFF"/>
              </w:rPr>
              <w:t xml:space="preserve">Documentos tipo de licitación de obra pública de infraestructura de transporte – Versión 3 con las modificación de la resolución 275 de </w:t>
            </w:r>
            <w:r>
              <w:rPr>
                <w:rFonts w:ascii="Verdana" w:eastAsia="Calibri" w:hAnsi="Verdana" w:cs="Arial"/>
                <w:shd w:val="clear" w:color="auto" w:fill="FFFFFF"/>
              </w:rPr>
              <w:lastRenderedPageBreak/>
              <w:t xml:space="preserve">2021. Consultar en </w:t>
            </w:r>
            <w:hyperlink r:id="rId12" w:history="1">
              <w:r w:rsidRPr="009B56DC">
                <w:rPr>
                  <w:rStyle w:val="Hipervnculo"/>
                  <w:rFonts w:ascii="Verdana" w:eastAsia="Calibri" w:hAnsi="Verdana" w:cs="Arial"/>
                  <w:shd w:val="clear" w:color="auto" w:fill="FFFFFF"/>
                </w:rPr>
                <w:t>https://www.colombiacompra.gov.co/content/04-documentos-tipo-para-licitacion-de-obra-publica-de-infraestructura-de-transporte-version</w:t>
              </w:r>
            </w:hyperlink>
          </w:p>
        </w:tc>
      </w:tr>
    </w:tbl>
    <w:p w14:paraId="63853028" w14:textId="77777777" w:rsidR="004E067F" w:rsidRPr="006B17A7" w:rsidRDefault="004E067F" w:rsidP="004E067F">
      <w:pPr>
        <w:widowControl w:val="0"/>
        <w:autoSpaceDE w:val="0"/>
        <w:autoSpaceDN w:val="0"/>
        <w:spacing w:after="0" w:line="276" w:lineRule="auto"/>
        <w:jc w:val="both"/>
        <w:rPr>
          <w:rFonts w:ascii="Verdana" w:eastAsia="Aptos" w:hAnsi="Verdana" w:cs="Arial"/>
        </w:rPr>
      </w:pPr>
    </w:p>
    <w:p w14:paraId="07956D8A" w14:textId="77777777" w:rsidR="004E067F" w:rsidRPr="006B17A7" w:rsidRDefault="004E067F" w:rsidP="004E067F">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0A97F60B" w14:textId="77777777" w:rsidR="004E067F" w:rsidRPr="006B17A7" w:rsidRDefault="004E067F" w:rsidP="004E067F">
      <w:pPr>
        <w:widowControl w:val="0"/>
        <w:autoSpaceDE w:val="0"/>
        <w:autoSpaceDN w:val="0"/>
        <w:spacing w:after="0" w:line="276" w:lineRule="auto"/>
        <w:jc w:val="both"/>
        <w:rPr>
          <w:rFonts w:ascii="Verdana" w:eastAsia="Aptos" w:hAnsi="Verdana" w:cs="Arial"/>
        </w:rPr>
      </w:pPr>
    </w:p>
    <w:p w14:paraId="02C6AC3D" w14:textId="77777777" w:rsidR="004E067F" w:rsidRPr="006B17A7" w:rsidRDefault="004E067F" w:rsidP="004E067F">
      <w:pPr>
        <w:widowControl w:val="0"/>
        <w:autoSpaceDE w:val="0"/>
        <w:autoSpaceDN w:val="0"/>
        <w:spacing w:after="0" w:line="276" w:lineRule="auto"/>
        <w:jc w:val="both"/>
        <w:rPr>
          <w:rFonts w:ascii="Verdana" w:eastAsia="Aptos" w:hAnsi="Verdana" w:cs="Arial"/>
          <w:shd w:val="clear" w:color="auto" w:fill="FFFFFF"/>
          <w:lang w:val="es-ES"/>
        </w:rPr>
      </w:pPr>
      <w:r w:rsidRPr="00D16A5E">
        <w:rPr>
          <w:rFonts w:ascii="Verdana" w:eastAsia="Calibri" w:hAnsi="Verdana" w:cs="Arial"/>
          <w:lang w:val="es-ES" w:eastAsia="es-ES"/>
        </w:rPr>
        <w:t xml:space="preserve">Sobre la </w:t>
      </w:r>
      <w:r w:rsidRPr="00D16A5E">
        <w:rPr>
          <w:rFonts w:ascii="Verdana" w:eastAsia="Calibri" w:hAnsi="Verdana" w:cs="Arial"/>
          <w:lang w:val="es-ES"/>
        </w:rPr>
        <w:t>regla de subsanabilidad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en los conceptos 4201913000007643 del 26 de diciembre de 2019, C-343 del 17 de junio de 2020, C-518 del 9 de septiembre de 2020, C-614 del 5 de octubre de 2022, C-882 del 21 de diciembre de 2022</w:t>
      </w:r>
      <w:r>
        <w:rPr>
          <w:rFonts w:ascii="Verdana" w:eastAsia="Calibri" w:hAnsi="Verdana" w:cs="Arial"/>
          <w:lang w:val="es-ES"/>
        </w:rPr>
        <w:t xml:space="preserve">, </w:t>
      </w:r>
      <w:r w:rsidRPr="00D16A5E">
        <w:rPr>
          <w:rFonts w:ascii="Verdana" w:eastAsia="Calibri" w:hAnsi="Verdana" w:cs="Arial"/>
          <w:lang w:val="es-ES"/>
        </w:rPr>
        <w:t>C-172 del 6 de junio de 2023</w:t>
      </w:r>
      <w:r>
        <w:rPr>
          <w:rFonts w:ascii="Verdana" w:eastAsia="Calibri" w:hAnsi="Verdana" w:cs="Arial"/>
          <w:lang w:val="es-ES"/>
        </w:rPr>
        <w:t xml:space="preserve"> y C-120 del 07 de marzo de 2025</w:t>
      </w:r>
      <w:r>
        <w:rPr>
          <w:rFonts w:ascii="Verdana" w:eastAsia="Calibri" w:hAnsi="Verdana" w:cs="Arial"/>
          <w:lang w:val="es-ES_tradnl" w:eastAsia="es-ES"/>
        </w:rPr>
        <w:t xml:space="preserve">, </w:t>
      </w:r>
      <w:r w:rsidRPr="00E87EA6">
        <w:rPr>
          <w:rFonts w:ascii="Verdana" w:eastAsia="Calibri" w:hAnsi="Verdana" w:cs="Arial"/>
          <w:shd w:val="clear" w:color="auto" w:fill="FFFFFF"/>
          <w:lang w:val="es-ES"/>
        </w:rPr>
        <w:t>entre otros</w:t>
      </w:r>
      <w:r w:rsidRPr="006B17A7">
        <w:rPr>
          <w:rFonts w:ascii="Verdana" w:eastAsia="Aptos" w:hAnsi="Verdana" w:cs="Arial"/>
          <w:shd w:val="clear" w:color="auto" w:fill="FFFFFF"/>
          <w:lang w:val="es-ES"/>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6B17A7">
          <w:rPr>
            <w:rFonts w:ascii="Verdana" w:eastAsia="Aptos" w:hAnsi="Verdana" w:cs="Arial"/>
            <w:color w:val="467886"/>
            <w:u w:val="single"/>
            <w:shd w:val="clear" w:color="auto" w:fill="FFFFFF"/>
            <w:lang w:val="es-ES"/>
          </w:rPr>
          <w:t>https://relatoria.colombiacompra.gov.co/</w:t>
        </w:r>
      </w:hyperlink>
      <w:r w:rsidRPr="006B17A7">
        <w:rPr>
          <w:rFonts w:ascii="Verdana" w:eastAsia="Aptos" w:hAnsi="Verdana" w:cs="Arial"/>
          <w:shd w:val="clear" w:color="auto" w:fill="FFFFFF"/>
          <w:lang w:val="es-ES"/>
        </w:rPr>
        <w:t xml:space="preserve">. </w:t>
      </w:r>
    </w:p>
    <w:p w14:paraId="1ACA4208" w14:textId="77777777" w:rsidR="004E067F" w:rsidRPr="00115E3D" w:rsidRDefault="004E067F" w:rsidP="004E067F">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5C53E447" w14:textId="77777777" w:rsidR="004E067F" w:rsidRPr="009A385A" w:rsidRDefault="004E067F" w:rsidP="004E067F">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1969718E" w14:textId="77777777" w:rsidR="004E067F" w:rsidRDefault="004E067F" w:rsidP="004E067F">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7D360E6D" w14:textId="77777777" w:rsidR="004E067F" w:rsidRPr="009A385A" w:rsidRDefault="004E067F" w:rsidP="004E067F">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DD4747E" w14:textId="77777777" w:rsidR="004E067F" w:rsidRPr="00115E3D" w:rsidRDefault="004E067F" w:rsidP="004E067F">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A85DA37" w14:textId="77777777" w:rsidR="004E067F" w:rsidRPr="00115E3D" w:rsidRDefault="004E067F" w:rsidP="004E067F">
      <w:pPr>
        <w:spacing w:after="0" w:line="240" w:lineRule="auto"/>
        <w:jc w:val="both"/>
        <w:rPr>
          <w:rFonts w:ascii="Verdana" w:hAnsi="Verdana"/>
          <w:color w:val="000000" w:themeColor="text1"/>
        </w:rPr>
      </w:pPr>
    </w:p>
    <w:p w14:paraId="7C116504" w14:textId="77777777" w:rsidR="004E067F" w:rsidRPr="00115E3D" w:rsidRDefault="004E067F" w:rsidP="004E067F">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425D402A" w14:textId="77777777" w:rsidR="004E067F" w:rsidRPr="00115E3D" w:rsidRDefault="004E067F" w:rsidP="004E067F">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0E7372E3" w14:textId="77777777" w:rsidR="004E067F" w:rsidRPr="00115E3D" w:rsidRDefault="004E067F" w:rsidP="004E067F">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7E0B29F4" w14:textId="77777777" w:rsidR="004E067F" w:rsidRPr="00115E3D" w:rsidRDefault="004E067F" w:rsidP="004E067F">
      <w:pPr>
        <w:widowControl w:val="0"/>
        <w:autoSpaceDE w:val="0"/>
        <w:autoSpaceDN w:val="0"/>
        <w:spacing w:after="0" w:line="276" w:lineRule="auto"/>
        <w:jc w:val="both"/>
        <w:rPr>
          <w:rFonts w:ascii="Verdana" w:hAnsi="Verdana" w:cs="Arial"/>
          <w:color w:val="000000" w:themeColor="text1"/>
        </w:rPr>
      </w:pPr>
    </w:p>
    <w:p w14:paraId="0D557E63" w14:textId="77777777" w:rsidR="004E067F" w:rsidRPr="00115E3D" w:rsidRDefault="004E067F" w:rsidP="004E067F">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3DE6279" w14:textId="77777777" w:rsidR="004E067F" w:rsidRDefault="004E067F" w:rsidP="004E067F">
      <w:pPr>
        <w:spacing w:after="0" w:line="240" w:lineRule="auto"/>
        <w:rPr>
          <w:rFonts w:ascii="Verdana" w:eastAsia="Times New Roman" w:hAnsi="Verdana" w:cs="Arial"/>
          <w:color w:val="000000" w:themeColor="text1"/>
          <w:lang w:eastAsia="es-CO"/>
        </w:rPr>
      </w:pPr>
    </w:p>
    <w:p w14:paraId="043369D4" w14:textId="77777777" w:rsidR="004E067F" w:rsidRPr="00115E3D" w:rsidRDefault="004E067F" w:rsidP="004E067F">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CFF50AE" w14:textId="2E3E8F85" w:rsidR="004E067F" w:rsidRDefault="004E067F" w:rsidP="004E067F">
      <w:pPr>
        <w:spacing w:line="276" w:lineRule="auto"/>
        <w:jc w:val="center"/>
        <w:rPr>
          <w:noProof/>
        </w:rPr>
      </w:pPr>
    </w:p>
    <w:p w14:paraId="7EBF545A" w14:textId="4FB625BF" w:rsidR="0093606B" w:rsidRDefault="0093606B" w:rsidP="004E067F">
      <w:pPr>
        <w:spacing w:line="276" w:lineRule="auto"/>
        <w:jc w:val="center"/>
        <w:rPr>
          <w:noProof/>
          <w:color w:val="000000" w:themeColor="text1"/>
          <w:lang w:val="es-ES_tradnl" w:eastAsia="es-CO"/>
        </w:rPr>
      </w:pPr>
      <w:r>
        <w:rPr>
          <w:noProof/>
        </w:rPr>
        <w:drawing>
          <wp:inline distT="0" distB="0" distL="0" distR="0" wp14:anchorId="7984F280" wp14:editId="7B11DB31">
            <wp:extent cx="3764280" cy="1615940"/>
            <wp:effectExtent l="0" t="0" r="7620" b="3810"/>
            <wp:docPr id="12797644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9210" cy="1622349"/>
                    </a:xfrm>
                    <a:prstGeom prst="rect">
                      <a:avLst/>
                    </a:prstGeom>
                    <a:noFill/>
                    <a:ln>
                      <a:noFill/>
                    </a:ln>
                  </pic:spPr>
                </pic:pic>
              </a:graphicData>
            </a:graphic>
          </wp:inline>
        </w:drawing>
      </w:r>
    </w:p>
    <w:p w14:paraId="295DB020" w14:textId="77777777" w:rsidR="0093606B" w:rsidRDefault="0093606B" w:rsidP="004E067F">
      <w:pPr>
        <w:spacing w:line="276" w:lineRule="auto"/>
        <w:jc w:val="center"/>
        <w:rPr>
          <w:noProof/>
          <w:color w:val="000000" w:themeColor="text1"/>
          <w:lang w:val="es-ES_tradnl" w:eastAsia="es-CO"/>
        </w:rPr>
      </w:pPr>
    </w:p>
    <w:p w14:paraId="007CD656" w14:textId="77777777" w:rsidR="0093606B" w:rsidRDefault="0093606B" w:rsidP="004E067F">
      <w:pPr>
        <w:spacing w:line="276" w:lineRule="auto"/>
        <w:jc w:val="center"/>
        <w:rPr>
          <w:noProof/>
          <w:color w:val="000000" w:themeColor="text1"/>
          <w:lang w:val="es-ES_tradnl" w:eastAsia="es-CO"/>
        </w:rPr>
      </w:pPr>
    </w:p>
    <w:p w14:paraId="7327A621" w14:textId="77777777" w:rsidR="0093606B" w:rsidRDefault="0093606B" w:rsidP="004E067F">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E067F" w:rsidRPr="00115E3D" w14:paraId="09571325" w14:textId="77777777" w:rsidTr="00E20F5C">
        <w:trPr>
          <w:trHeight w:val="315"/>
        </w:trPr>
        <w:tc>
          <w:tcPr>
            <w:tcW w:w="893" w:type="dxa"/>
            <w:vAlign w:val="center"/>
            <w:hideMark/>
          </w:tcPr>
          <w:p w14:paraId="59C6DEDA" w14:textId="77777777" w:rsidR="004E067F" w:rsidRPr="00115E3D" w:rsidRDefault="004E067F" w:rsidP="00E20F5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D604183" w14:textId="77777777" w:rsidR="004E067F" w:rsidRPr="00115E3D" w:rsidRDefault="004E067F" w:rsidP="00E20F5C">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0BE2325" w14:textId="77777777" w:rsidR="004E067F" w:rsidRPr="00115E3D" w:rsidRDefault="004E067F" w:rsidP="00E20F5C">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4E067F" w:rsidRPr="00115E3D" w14:paraId="112F9A69" w14:textId="77777777" w:rsidTr="00E20F5C">
        <w:trPr>
          <w:trHeight w:val="330"/>
        </w:trPr>
        <w:tc>
          <w:tcPr>
            <w:tcW w:w="893" w:type="dxa"/>
            <w:vAlign w:val="center"/>
            <w:hideMark/>
          </w:tcPr>
          <w:p w14:paraId="6C86179A" w14:textId="77777777" w:rsidR="004E067F" w:rsidRPr="00115E3D" w:rsidRDefault="004E067F" w:rsidP="00E20F5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4472BE" w14:textId="77777777" w:rsidR="004E067F" w:rsidRDefault="004E067F" w:rsidP="00E20F5C">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2FF2D058" w14:textId="77777777" w:rsidR="004E067F" w:rsidRPr="00115E3D" w:rsidRDefault="004E067F" w:rsidP="00E20F5C">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4E067F" w:rsidRPr="00115E3D" w14:paraId="0D79E4A6" w14:textId="77777777" w:rsidTr="00E20F5C">
        <w:trPr>
          <w:trHeight w:val="300"/>
        </w:trPr>
        <w:tc>
          <w:tcPr>
            <w:tcW w:w="893" w:type="dxa"/>
            <w:vAlign w:val="center"/>
          </w:tcPr>
          <w:p w14:paraId="6A436AD6" w14:textId="77777777" w:rsidR="004E067F" w:rsidRPr="00115E3D" w:rsidRDefault="004E067F" w:rsidP="00E20F5C">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667287" w14:textId="77777777" w:rsidR="004E067F" w:rsidRPr="00115E3D" w:rsidRDefault="004E067F" w:rsidP="00E20F5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70447643" w14:textId="77777777" w:rsidR="004E067F" w:rsidRPr="00115E3D" w:rsidRDefault="004E067F" w:rsidP="00E20F5C">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12DED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CA74B" w14:textId="77777777" w:rsidR="00991D92" w:rsidRDefault="00991D92" w:rsidP="004A1847">
      <w:pPr>
        <w:spacing w:after="0" w:line="240" w:lineRule="auto"/>
      </w:pPr>
      <w:r>
        <w:separator/>
      </w:r>
    </w:p>
  </w:endnote>
  <w:endnote w:type="continuationSeparator" w:id="0">
    <w:p w14:paraId="76DE80E6" w14:textId="77777777" w:rsidR="00991D92" w:rsidRDefault="00991D9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FE3D7" w14:textId="77777777" w:rsidR="00991D92" w:rsidRDefault="00991D92" w:rsidP="004A1847">
      <w:pPr>
        <w:spacing w:after="0" w:line="240" w:lineRule="auto"/>
      </w:pPr>
      <w:r>
        <w:separator/>
      </w:r>
    </w:p>
  </w:footnote>
  <w:footnote w:type="continuationSeparator" w:id="0">
    <w:p w14:paraId="4AE50873" w14:textId="77777777" w:rsidR="00991D92" w:rsidRDefault="00991D92" w:rsidP="004A1847">
      <w:pPr>
        <w:spacing w:after="0" w:line="240" w:lineRule="auto"/>
      </w:pPr>
      <w:r>
        <w:continuationSeparator/>
      </w:r>
    </w:p>
  </w:footnote>
  <w:footnote w:id="1">
    <w:p w14:paraId="36EBA632" w14:textId="77777777" w:rsidR="004E067F" w:rsidRPr="0080153E" w:rsidRDefault="004E067F" w:rsidP="004E067F">
      <w:pPr>
        <w:pStyle w:val="Textonotapie"/>
        <w:ind w:firstLine="708"/>
        <w:jc w:val="both"/>
        <w:rPr>
          <w:rFonts w:ascii="Verdana" w:hAnsi="Verdana"/>
          <w:sz w:val="16"/>
          <w:szCs w:val="16"/>
        </w:rPr>
      </w:pPr>
      <w:r w:rsidRPr="0080153E">
        <w:rPr>
          <w:rStyle w:val="Refdenotaalpie"/>
          <w:rFonts w:ascii="Verdana" w:hAnsi="Verdana"/>
          <w:sz w:val="16"/>
          <w:szCs w:val="16"/>
        </w:rPr>
        <w:footnoteRef/>
      </w:r>
      <w:r w:rsidRPr="0080153E">
        <w:rPr>
          <w:rFonts w:ascii="Verdana" w:hAnsi="Verdana"/>
          <w:sz w:val="16"/>
          <w:szCs w:val="16"/>
        </w:rPr>
        <w:t xml:space="preserve"> Agencia Nacional de Contratación Pública – Colombia Compra Eficiente. Concepto C-285 del 20 de mayo de 2022. Consultar en: </w:t>
      </w:r>
      <w:hyperlink r:id="rId1" w:history="1">
        <w:r w:rsidRPr="0080153E">
          <w:rPr>
            <w:rStyle w:val="Hipervnculo"/>
            <w:rFonts w:ascii="Verdana" w:hAnsi="Verdana"/>
            <w:sz w:val="16"/>
            <w:szCs w:val="16"/>
          </w:rPr>
          <w:t>https://relatoria.colombiacompra.gov.co/conceptos/c-285-de-2022/</w:t>
        </w:r>
      </w:hyperlink>
    </w:p>
    <w:p w14:paraId="095391ED" w14:textId="77777777" w:rsidR="004E067F" w:rsidRPr="0080153E" w:rsidRDefault="004E067F" w:rsidP="004E067F">
      <w:pPr>
        <w:pStyle w:val="Textonotapie"/>
        <w:ind w:firstLine="708"/>
        <w:jc w:val="both"/>
        <w:rPr>
          <w:rFonts w:ascii="Verdana" w:hAnsi="Verdana"/>
          <w:sz w:val="16"/>
          <w:szCs w:val="16"/>
          <w:lang w:val="es-CO"/>
        </w:rPr>
      </w:pPr>
      <w:r w:rsidRPr="0080153E">
        <w:rPr>
          <w:rFonts w:ascii="Verdana" w:hAnsi="Verdana"/>
          <w:sz w:val="16"/>
          <w:szCs w:val="16"/>
        </w:rPr>
        <w:t xml:space="preserve"> </w:t>
      </w:r>
    </w:p>
  </w:footnote>
  <w:footnote w:id="2">
    <w:p w14:paraId="6611E8B1" w14:textId="77777777" w:rsidR="004E067F" w:rsidRPr="0080153E" w:rsidRDefault="004E067F" w:rsidP="004E067F">
      <w:pPr>
        <w:pStyle w:val="Textonotapie"/>
        <w:ind w:firstLine="708"/>
        <w:jc w:val="both"/>
        <w:rPr>
          <w:rFonts w:ascii="Verdana" w:hAnsi="Verdana"/>
          <w:sz w:val="16"/>
          <w:szCs w:val="16"/>
        </w:rPr>
      </w:pPr>
      <w:r w:rsidRPr="0080153E">
        <w:rPr>
          <w:rStyle w:val="Refdenotaalpie"/>
          <w:rFonts w:ascii="Verdana" w:hAnsi="Verdana"/>
          <w:sz w:val="16"/>
          <w:szCs w:val="16"/>
        </w:rPr>
        <w:footnoteRef/>
      </w:r>
      <w:r w:rsidRPr="0080153E">
        <w:rPr>
          <w:rFonts w:ascii="Verdana" w:hAnsi="Verdana"/>
          <w:sz w:val="16"/>
          <w:szCs w:val="16"/>
        </w:rPr>
        <w:t xml:space="preserve"> Agencia Nacional de Contratación Pública – Colombia Compra Eficiente. Concepto C-447 del 19 de septiembre de 2024. Consultar en: </w:t>
      </w:r>
      <w:hyperlink r:id="rId2" w:history="1">
        <w:r w:rsidRPr="0080153E">
          <w:rPr>
            <w:rStyle w:val="Hipervnculo"/>
            <w:rFonts w:ascii="Verdana" w:hAnsi="Verdana"/>
            <w:sz w:val="16"/>
            <w:szCs w:val="16"/>
          </w:rPr>
          <w:t>https://relatoria.colombiacompra.gov.co/conceptos/c-447-de-2024/</w:t>
        </w:r>
      </w:hyperlink>
      <w:r w:rsidRPr="0080153E">
        <w:rPr>
          <w:rFonts w:ascii="Verdana" w:hAnsi="Verdana"/>
          <w:sz w:val="16"/>
          <w:szCs w:val="16"/>
        </w:rPr>
        <w:t xml:space="preserve"> </w:t>
      </w:r>
    </w:p>
    <w:p w14:paraId="5818C5F6" w14:textId="77777777" w:rsidR="004E067F" w:rsidRPr="0080153E" w:rsidRDefault="004E067F" w:rsidP="004E067F">
      <w:pPr>
        <w:pStyle w:val="Textonotapie"/>
        <w:rPr>
          <w:rFonts w:ascii="Verdana" w:hAnsi="Verdana"/>
          <w:sz w:val="16"/>
          <w:szCs w:val="16"/>
        </w:rPr>
      </w:pPr>
    </w:p>
  </w:footnote>
  <w:footnote w:id="3">
    <w:p w14:paraId="496F4B47" w14:textId="77777777" w:rsidR="004E067F" w:rsidRPr="0080153E" w:rsidRDefault="004E067F" w:rsidP="004E067F">
      <w:pPr>
        <w:pStyle w:val="Textonotapie"/>
        <w:ind w:firstLine="709"/>
        <w:jc w:val="both"/>
        <w:rPr>
          <w:rFonts w:ascii="Verdana" w:hAnsi="Verdana" w:cs="Arial"/>
          <w:color w:val="000000"/>
          <w:sz w:val="16"/>
          <w:szCs w:val="16"/>
        </w:rPr>
      </w:pPr>
      <w:r w:rsidRPr="0080153E">
        <w:rPr>
          <w:rStyle w:val="Refdenotaalpie"/>
          <w:rFonts w:ascii="Verdana" w:hAnsi="Verdana" w:cs="Arial"/>
          <w:color w:val="000000"/>
          <w:sz w:val="16"/>
          <w:szCs w:val="16"/>
        </w:rPr>
        <w:footnoteRef/>
      </w:r>
      <w:r w:rsidRPr="0080153E">
        <w:rPr>
          <w:rStyle w:val="Refdenotaalpie"/>
          <w:rFonts w:ascii="Verdana" w:hAnsi="Verdana" w:cs="Arial"/>
          <w:color w:val="000000"/>
          <w:sz w:val="16"/>
          <w:szCs w:val="16"/>
        </w:rPr>
        <w:t xml:space="preserve"> </w:t>
      </w:r>
      <w:r w:rsidRPr="0080153E">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4DA7C59F" w14:textId="77777777" w:rsidR="004E067F" w:rsidRPr="0080153E" w:rsidRDefault="004E067F" w:rsidP="004E067F">
      <w:pPr>
        <w:pStyle w:val="Textonotapie"/>
        <w:ind w:firstLine="709"/>
        <w:jc w:val="both"/>
        <w:rPr>
          <w:rFonts w:ascii="Verdana" w:hAnsi="Verdana" w:cs="Arial"/>
          <w:color w:val="000000"/>
          <w:sz w:val="16"/>
          <w:szCs w:val="16"/>
        </w:rPr>
      </w:pPr>
    </w:p>
  </w:footnote>
  <w:footnote w:id="4">
    <w:p w14:paraId="38555501" w14:textId="77777777" w:rsidR="004E067F" w:rsidRPr="0080153E" w:rsidRDefault="004E067F" w:rsidP="004E067F">
      <w:pPr>
        <w:pStyle w:val="Textonotapie"/>
        <w:ind w:firstLine="709"/>
        <w:jc w:val="both"/>
        <w:rPr>
          <w:rFonts w:ascii="Verdana" w:hAnsi="Verdana" w:cs="Arial"/>
          <w:color w:val="000000"/>
          <w:sz w:val="16"/>
          <w:szCs w:val="16"/>
        </w:rPr>
      </w:pPr>
      <w:r w:rsidRPr="0080153E">
        <w:rPr>
          <w:rStyle w:val="Refdenotaalpie"/>
          <w:rFonts w:ascii="Verdana" w:hAnsi="Verdana" w:cs="Arial"/>
          <w:color w:val="000000"/>
          <w:sz w:val="16"/>
          <w:szCs w:val="16"/>
        </w:rPr>
        <w:footnoteRef/>
      </w:r>
      <w:r w:rsidRPr="0080153E">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3CAAE4F3" w14:textId="77777777" w:rsidR="004E067F" w:rsidRPr="0080153E" w:rsidRDefault="004E067F" w:rsidP="004E067F">
      <w:pPr>
        <w:pStyle w:val="Textonotapie"/>
        <w:ind w:firstLine="709"/>
        <w:jc w:val="both"/>
        <w:rPr>
          <w:rFonts w:ascii="Verdana" w:hAnsi="Verdana" w:cs="Arial"/>
          <w:color w:val="000000"/>
          <w:sz w:val="16"/>
          <w:szCs w:val="16"/>
        </w:rPr>
      </w:pPr>
      <w:r w:rsidRPr="0080153E">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footnote>
  <w:footnote w:id="5">
    <w:p w14:paraId="031E131A" w14:textId="77777777" w:rsidR="004E067F" w:rsidRPr="0080153E" w:rsidRDefault="004E067F" w:rsidP="004E067F">
      <w:pPr>
        <w:pStyle w:val="Textonotapie"/>
        <w:ind w:firstLine="709"/>
        <w:jc w:val="both"/>
        <w:rPr>
          <w:rFonts w:ascii="Verdana" w:hAnsi="Verdana" w:cs="Arial"/>
          <w:color w:val="000000"/>
          <w:sz w:val="16"/>
          <w:szCs w:val="16"/>
        </w:rPr>
      </w:pPr>
      <w:r w:rsidRPr="0080153E">
        <w:rPr>
          <w:rStyle w:val="Refdenotaalpie"/>
          <w:rFonts w:ascii="Verdana" w:hAnsi="Verdana" w:cs="Arial"/>
          <w:sz w:val="16"/>
          <w:szCs w:val="16"/>
        </w:rPr>
        <w:footnoteRef/>
      </w:r>
      <w:r w:rsidRPr="0080153E">
        <w:rPr>
          <w:rFonts w:ascii="Verdana" w:hAnsi="Verdana" w:cs="Arial"/>
          <w:sz w:val="16"/>
          <w:szCs w:val="16"/>
        </w:rPr>
        <w:t xml:space="preserve"> </w:t>
      </w:r>
      <w:r w:rsidRPr="0080153E">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33CF713C" w14:textId="77777777" w:rsidR="004E067F" w:rsidRPr="0080153E" w:rsidRDefault="004E067F" w:rsidP="004E067F">
      <w:pPr>
        <w:pStyle w:val="Textonotapie"/>
        <w:ind w:firstLine="709"/>
        <w:jc w:val="both"/>
        <w:rPr>
          <w:rFonts w:ascii="Verdana" w:hAnsi="Verdana" w:cs="Arial"/>
          <w:color w:val="000000"/>
          <w:sz w:val="16"/>
          <w:szCs w:val="16"/>
        </w:rPr>
      </w:pPr>
      <w:r w:rsidRPr="0080153E">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3" w:history="1">
        <w:r w:rsidRPr="0080153E">
          <w:rPr>
            <w:rStyle w:val="Hipervnculo"/>
            <w:rFonts w:ascii="Verdana" w:hAnsi="Verdana" w:cs="Arial"/>
            <w:sz w:val="16"/>
            <w:szCs w:val="16"/>
          </w:rPr>
          <w:t>https://www.colombiacompra.gov.co/circulares?page=2</w:t>
        </w:r>
      </w:hyperlink>
      <w:r w:rsidRPr="0080153E">
        <w:rPr>
          <w:rStyle w:val="Hipervnculo"/>
          <w:rFonts w:ascii="Verdana" w:hAnsi="Verdana" w:cs="Arial"/>
          <w:color w:val="000000"/>
          <w:sz w:val="16"/>
          <w:szCs w:val="16"/>
        </w:rPr>
        <w:t xml:space="preserve"> </w:t>
      </w:r>
    </w:p>
    <w:p w14:paraId="3837EBC2" w14:textId="77777777" w:rsidR="004E067F" w:rsidRPr="0080153E" w:rsidRDefault="004E067F" w:rsidP="004E067F">
      <w:pPr>
        <w:pStyle w:val="Textonotapie"/>
        <w:ind w:firstLine="709"/>
        <w:jc w:val="both"/>
        <w:rPr>
          <w:rFonts w:ascii="Verdana" w:hAnsi="Verdana" w:cs="Arial"/>
          <w:color w:val="000000"/>
          <w:sz w:val="16"/>
          <w:szCs w:val="16"/>
        </w:rPr>
      </w:pPr>
    </w:p>
  </w:footnote>
  <w:footnote w:id="6">
    <w:p w14:paraId="545C3D9A" w14:textId="77777777" w:rsidR="004E067F" w:rsidRPr="0080153E" w:rsidRDefault="004E067F" w:rsidP="004E067F">
      <w:pPr>
        <w:pStyle w:val="Textonotapie"/>
        <w:ind w:firstLine="709"/>
        <w:jc w:val="both"/>
        <w:rPr>
          <w:rFonts w:ascii="Verdana" w:hAnsi="Verdana" w:cs="Arial"/>
          <w:color w:val="000000"/>
          <w:sz w:val="16"/>
          <w:szCs w:val="16"/>
        </w:rPr>
      </w:pPr>
      <w:r w:rsidRPr="0080153E">
        <w:rPr>
          <w:rStyle w:val="Refdenotaalpie"/>
          <w:rFonts w:ascii="Verdana" w:hAnsi="Verdana" w:cs="Arial"/>
          <w:color w:val="000000"/>
          <w:sz w:val="16"/>
          <w:szCs w:val="16"/>
        </w:rPr>
        <w:footnoteRef/>
      </w:r>
      <w:r w:rsidRPr="0080153E">
        <w:rPr>
          <w:rFonts w:ascii="Verdana" w:hAnsi="Verdana" w:cs="Arial"/>
          <w:color w:val="000000"/>
          <w:sz w:val="16"/>
          <w:szCs w:val="16"/>
        </w:rPr>
        <w:t xml:space="preserve"> Ver CONSEJO DE ESTADO, Sección Tercera, Subsección C. Sentencia del 26 de febrero de 2011. C.P. Jaime Orlando Santofimio. Rad. 36.408.</w:t>
      </w:r>
    </w:p>
  </w:footnote>
  <w:footnote w:id="7">
    <w:p w14:paraId="71B42BC3" w14:textId="77777777" w:rsidR="004E067F" w:rsidRPr="0080153E" w:rsidRDefault="004E067F" w:rsidP="004E067F">
      <w:pPr>
        <w:pStyle w:val="Textonotapie"/>
        <w:ind w:firstLine="709"/>
        <w:jc w:val="both"/>
        <w:rPr>
          <w:rFonts w:ascii="Verdana" w:hAnsi="Verdana" w:cs="Arial"/>
          <w:color w:val="000000"/>
          <w:sz w:val="16"/>
          <w:szCs w:val="16"/>
        </w:rPr>
      </w:pPr>
      <w:r w:rsidRPr="0080153E">
        <w:rPr>
          <w:rStyle w:val="Refdenotaalpie"/>
          <w:rFonts w:ascii="Verdana" w:hAnsi="Verdana" w:cs="Arial"/>
          <w:color w:val="000000"/>
          <w:sz w:val="16"/>
          <w:szCs w:val="16"/>
        </w:rPr>
        <w:footnoteRef/>
      </w:r>
      <w:r w:rsidRPr="0080153E">
        <w:rPr>
          <w:rFonts w:ascii="Verdana" w:hAnsi="Verdana" w:cs="Arial"/>
          <w:color w:val="000000"/>
          <w:sz w:val="16"/>
          <w:szCs w:val="16"/>
        </w:rPr>
        <w:t xml:space="preserve"> Ver CONSEJO DE ESTADO, Sección Tercera, Subsección C. Sentencia del 26 de febrero de 2014. C.P. Enrique Gil Botero. Rad. 25.804.</w:t>
      </w:r>
    </w:p>
  </w:footnote>
  <w:footnote w:id="8">
    <w:p w14:paraId="27FFCA7B" w14:textId="77777777" w:rsidR="004E067F" w:rsidRPr="0080153E" w:rsidRDefault="004E067F" w:rsidP="004E067F">
      <w:pPr>
        <w:pStyle w:val="Textonotapie"/>
        <w:ind w:firstLine="708"/>
        <w:jc w:val="both"/>
        <w:rPr>
          <w:rFonts w:ascii="Verdana" w:hAnsi="Verdana" w:cs="Arial"/>
          <w:color w:val="000000"/>
          <w:sz w:val="16"/>
          <w:szCs w:val="16"/>
        </w:rPr>
      </w:pPr>
      <w:r w:rsidRPr="0080153E">
        <w:rPr>
          <w:rStyle w:val="Refdenotaalpie"/>
          <w:rFonts w:ascii="Verdana" w:hAnsi="Verdana" w:cs="Arial"/>
          <w:color w:val="000000"/>
          <w:sz w:val="16"/>
          <w:szCs w:val="16"/>
        </w:rPr>
        <w:footnoteRef/>
      </w:r>
      <w:r w:rsidRPr="0080153E">
        <w:rPr>
          <w:rFonts w:ascii="Verdana" w:hAnsi="Verdana" w:cs="Arial"/>
          <w:color w:val="000000"/>
          <w:sz w:val="16"/>
          <w:szCs w:val="16"/>
        </w:rPr>
        <w:t xml:space="preserve"> CONSEJO DE ESTADO. Sala de Consulta y Servicio Civil. Concepto del 20 de mayo de 2010. Expediente: 1992. Consejero Ponente: Enrique José Arboleda Perdomo.</w:t>
      </w:r>
    </w:p>
    <w:p w14:paraId="1B07A73A" w14:textId="77777777" w:rsidR="004E067F" w:rsidRPr="0080153E" w:rsidRDefault="004E067F" w:rsidP="004E067F">
      <w:pPr>
        <w:pStyle w:val="Textonotapie"/>
        <w:ind w:firstLine="708"/>
        <w:jc w:val="both"/>
        <w:rPr>
          <w:rFonts w:ascii="Verdana" w:hAnsi="Verdana"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2072650747">
    <w:abstractNumId w:val="0"/>
  </w:num>
  <w:num w:numId="17" w16cid:durableId="3573971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1D55"/>
    <w:rsid w:val="00125105"/>
    <w:rsid w:val="00127233"/>
    <w:rsid w:val="0015699B"/>
    <w:rsid w:val="001A33BF"/>
    <w:rsid w:val="001E4177"/>
    <w:rsid w:val="001F0B24"/>
    <w:rsid w:val="001F7DC6"/>
    <w:rsid w:val="0022400B"/>
    <w:rsid w:val="00234927"/>
    <w:rsid w:val="002421BB"/>
    <w:rsid w:val="0025796E"/>
    <w:rsid w:val="002707A2"/>
    <w:rsid w:val="002951A0"/>
    <w:rsid w:val="002962BC"/>
    <w:rsid w:val="002A093D"/>
    <w:rsid w:val="002A0DD0"/>
    <w:rsid w:val="002A49AC"/>
    <w:rsid w:val="002A64FD"/>
    <w:rsid w:val="002C7A84"/>
    <w:rsid w:val="002D79F9"/>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067F"/>
    <w:rsid w:val="004F21C4"/>
    <w:rsid w:val="004F685F"/>
    <w:rsid w:val="005566E8"/>
    <w:rsid w:val="00574867"/>
    <w:rsid w:val="00591460"/>
    <w:rsid w:val="005A65E0"/>
    <w:rsid w:val="005C3777"/>
    <w:rsid w:val="005C5CDC"/>
    <w:rsid w:val="005D476C"/>
    <w:rsid w:val="006200BF"/>
    <w:rsid w:val="006219F8"/>
    <w:rsid w:val="006302F7"/>
    <w:rsid w:val="00646B9F"/>
    <w:rsid w:val="006613B5"/>
    <w:rsid w:val="00665D70"/>
    <w:rsid w:val="006900D9"/>
    <w:rsid w:val="00706C16"/>
    <w:rsid w:val="00711D2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606B"/>
    <w:rsid w:val="009419F9"/>
    <w:rsid w:val="0095685E"/>
    <w:rsid w:val="00961B09"/>
    <w:rsid w:val="00965334"/>
    <w:rsid w:val="0097093E"/>
    <w:rsid w:val="00991D9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C54"/>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116B"/>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E067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067F"/>
    <w:rPr>
      <w:rFonts w:ascii="Geomanist Light" w:hAnsi="Geomanist Light"/>
      <w:lang w:val="es-ES"/>
    </w:rPr>
  </w:style>
  <w:style w:type="character" w:customStyle="1" w:styleId="superscript">
    <w:name w:val="superscript"/>
    <w:basedOn w:val="Fuentedeprrafopredeter"/>
    <w:rsid w:val="004E06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content/04-documentos-tipo-para-licitacion-de-obra-publica-de-infraestructura-de-transporte-version"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felipebonilla@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circulares?page=2" TargetMode="External"/><Relationship Id="rId2" Type="http://schemas.openxmlformats.org/officeDocument/2006/relationships/hyperlink" Target="https://relatoria.colombiacompra.gov.co/conceptos/c-447-de-2024/" TargetMode="External"/><Relationship Id="rId1" Type="http://schemas.openxmlformats.org/officeDocument/2006/relationships/hyperlink" Target="https://relatoria.colombiacompra.gov.co/conceptos/c-285-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15F9763-DDA1-407A-A2D2-7724F88100A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17</Pages>
  <Words>5362</Words>
  <Characters>29494</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2026-05-19T17:17:00Z</dcterms:created>
  <dcterms:modified xsi:type="dcterms:W3CDTF">2026-05-19T17:27:00Z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