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B9744" w14:textId="5DB72CED" w:rsidR="001936F1" w:rsidRDefault="001936F1" w:rsidP="00271620">
      <w:pPr>
        <w:spacing w:line="240" w:lineRule="auto"/>
        <w:jc w:val="both"/>
        <w:rPr>
          <w:rFonts w:ascii="Verdana" w:eastAsia="Calibri" w:hAnsi="Verdana" w:cs="Arial"/>
          <w:b/>
          <w:bCs/>
          <w:color w:val="000000" w:themeColor="text1"/>
          <w:szCs w:val="24"/>
          <w:lang w:eastAsia="es-ES_tradnl"/>
        </w:rPr>
      </w:pPr>
      <w:bookmarkStart w:id="0" w:name="_Hlk143780582"/>
      <w:r w:rsidRPr="001936F1">
        <w:rPr>
          <w:rFonts w:ascii="Verdana" w:eastAsia="Calibri" w:hAnsi="Verdana" w:cs="Arial"/>
          <w:b/>
          <w:bCs/>
          <w:color w:val="000000" w:themeColor="text1"/>
          <w:szCs w:val="24"/>
          <w:lang w:eastAsia="es-ES_tradnl"/>
        </w:rPr>
        <w:t>REQUISITOS HABILITANTES – Concepto</w:t>
      </w:r>
    </w:p>
    <w:p w14:paraId="057E1EDC" w14:textId="2DD1EF1D" w:rsidR="00271620" w:rsidRPr="00271620" w:rsidRDefault="00271620" w:rsidP="00271620">
      <w:pPr>
        <w:spacing w:after="120" w:line="240" w:lineRule="auto"/>
        <w:jc w:val="both"/>
        <w:rPr>
          <w:rFonts w:ascii="Verdana" w:hAnsi="Verdana" w:cs="Arial"/>
          <w:bCs/>
          <w:sz w:val="20"/>
          <w:szCs w:val="20"/>
          <w:lang w:val="es-ES_tradnl" w:eastAsia="es-ES" w:bidi="es-ES"/>
        </w:rPr>
      </w:pPr>
      <w:r>
        <w:rPr>
          <w:rFonts w:ascii="Verdana" w:hAnsi="Verdana" w:cs="Arial"/>
          <w:bCs/>
          <w:sz w:val="20"/>
          <w:szCs w:val="20"/>
          <w:lang w:val="es-ES_tradnl" w:eastAsia="es-ES" w:bidi="es-ES"/>
        </w:rPr>
        <w:t>L</w:t>
      </w:r>
      <w:r w:rsidRPr="00271620">
        <w:rPr>
          <w:rFonts w:ascii="Verdana" w:hAnsi="Verdana" w:cs="Arial"/>
          <w:bCs/>
          <w:sz w:val="20"/>
          <w:szCs w:val="20"/>
          <w:lang w:val="es-ES_tradnl" w:eastAsia="es-ES" w:bidi="es-ES"/>
        </w:rPr>
        <w:t xml:space="preserve">os </w:t>
      </w:r>
      <w:r w:rsidRPr="00271620">
        <w:rPr>
          <w:rFonts w:ascii="Verdana" w:hAnsi="Verdana" w:cs="Arial"/>
          <w:bCs/>
          <w:i/>
          <w:iCs/>
          <w:sz w:val="20"/>
          <w:szCs w:val="20"/>
          <w:lang w:val="es-ES_tradnl" w:eastAsia="es-ES" w:bidi="es-ES"/>
        </w:rPr>
        <w:t>requisitos habilitantes</w:t>
      </w:r>
      <w:r w:rsidRPr="00271620">
        <w:rPr>
          <w:rFonts w:ascii="Verdana" w:hAnsi="Verdana" w:cs="Arial"/>
          <w:bCs/>
          <w:sz w:val="20"/>
          <w:szCs w:val="20"/>
          <w:lang w:val="es-ES_tradnl"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271620">
        <w:rPr>
          <w:rFonts w:ascii="Verdana" w:hAnsi="Verdana" w:cs="Arial"/>
          <w:bCs/>
          <w:i/>
          <w:iCs/>
          <w:sz w:val="20"/>
          <w:szCs w:val="20"/>
          <w:lang w:val="es-ES_tradnl" w:eastAsia="es-ES" w:bidi="es-ES"/>
        </w:rPr>
        <w:t>criterios de evaluación</w:t>
      </w:r>
      <w:r w:rsidRPr="00271620">
        <w:rPr>
          <w:rFonts w:ascii="Verdana" w:hAnsi="Verdana" w:cs="Arial"/>
          <w:bCs/>
          <w:sz w:val="20"/>
          <w:szCs w:val="20"/>
          <w:lang w:val="es-ES_tradnl" w:eastAsia="es-ES" w:bidi="es-ES"/>
        </w:rPr>
        <w:t xml:space="preserve"> –también conocidos como </w:t>
      </w:r>
      <w:r w:rsidRPr="00271620">
        <w:rPr>
          <w:rFonts w:ascii="Verdana" w:hAnsi="Verdana" w:cs="Arial"/>
          <w:bCs/>
          <w:i/>
          <w:iCs/>
          <w:sz w:val="20"/>
          <w:szCs w:val="20"/>
          <w:lang w:val="es-ES_tradnl" w:eastAsia="es-ES" w:bidi="es-ES"/>
        </w:rPr>
        <w:t>criterios de calificación</w:t>
      </w:r>
      <w:r w:rsidRPr="00271620">
        <w:rPr>
          <w:rFonts w:ascii="Verdana" w:hAnsi="Verdana" w:cs="Arial"/>
          <w:bCs/>
          <w:sz w:val="20"/>
          <w:szCs w:val="20"/>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26B4E9E8" w14:textId="52728C87" w:rsidR="00271620" w:rsidRPr="0097397F" w:rsidRDefault="00271620" w:rsidP="0097397F">
      <w:pPr>
        <w:spacing w:after="120" w:line="240" w:lineRule="auto"/>
        <w:ind w:right="51"/>
        <w:jc w:val="both"/>
        <w:rPr>
          <w:rFonts w:ascii="Verdana" w:eastAsia="Calibri" w:hAnsi="Verdana" w:cs="Arial"/>
          <w:bCs/>
          <w:sz w:val="20"/>
          <w:szCs w:val="20"/>
          <w:lang w:val="es-MX"/>
        </w:rPr>
      </w:pPr>
      <w:r w:rsidRPr="00271620">
        <w:rPr>
          <w:rFonts w:ascii="Verdana" w:eastAsia="Calibri" w:hAnsi="Verdana" w:cs="Arial"/>
          <w:sz w:val="20"/>
          <w:szCs w:val="20"/>
          <w:lang w:val="es-ES" w:eastAsia="es-MX"/>
        </w:rPr>
        <w:t xml:space="preserve">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w:t>
      </w:r>
      <w:r w:rsidRPr="0097397F">
        <w:rPr>
          <w:rFonts w:ascii="Verdana" w:eastAsia="Calibri" w:hAnsi="Verdana" w:cs="Arial"/>
          <w:sz w:val="20"/>
          <w:szCs w:val="20"/>
          <w:lang w:val="es-ES" w:eastAsia="es-MX"/>
        </w:rPr>
        <w:t xml:space="preserve">pueden continuar en el procedimiento de selección, es decir, incurren en causal de rechazo. Esto, sin perjuicio del derecho que tienen los </w:t>
      </w:r>
      <w:r w:rsidRPr="0097397F">
        <w:rPr>
          <w:rFonts w:ascii="Verdana" w:eastAsia="Calibri" w:hAnsi="Verdana" w:cs="Arial"/>
          <w:bCs/>
          <w:sz w:val="20"/>
          <w:szCs w:val="20"/>
          <w:lang w:val="es-MX"/>
        </w:rPr>
        <w:t>oferentes de subsanar los defectos que se presenten en la prueba de tales requisitos, de conformidad con el artículo 5, parágrafos 1º al 4º, de la Ley 1150 de 2007.</w:t>
      </w:r>
    </w:p>
    <w:p w14:paraId="65399E09" w14:textId="7E306FE5" w:rsidR="001936F1" w:rsidRPr="0097397F" w:rsidRDefault="001936F1" w:rsidP="0097397F">
      <w:pPr>
        <w:spacing w:after="120" w:line="240" w:lineRule="auto"/>
        <w:ind w:right="51"/>
        <w:jc w:val="both"/>
        <w:rPr>
          <w:rFonts w:ascii="Verdana" w:eastAsia="Calibri" w:hAnsi="Verdana" w:cs="Arial"/>
          <w:b/>
          <w:lang w:val="es-MX"/>
        </w:rPr>
      </w:pPr>
      <w:r w:rsidRPr="0097397F">
        <w:rPr>
          <w:rFonts w:ascii="Verdana" w:eastAsia="Calibri" w:hAnsi="Verdana" w:cs="Arial"/>
          <w:b/>
          <w:lang w:val="es-MX"/>
        </w:rPr>
        <w:t>REQUISITOS PONDERABLES – contenido</w:t>
      </w:r>
    </w:p>
    <w:p w14:paraId="5FF6D647" w14:textId="77777777" w:rsidR="0097397F" w:rsidRPr="0097397F" w:rsidRDefault="0097397F" w:rsidP="0097397F">
      <w:pPr>
        <w:spacing w:after="120" w:line="240" w:lineRule="auto"/>
        <w:ind w:right="51"/>
        <w:jc w:val="both"/>
        <w:rPr>
          <w:rFonts w:ascii="Verdana" w:eastAsia="Calibri" w:hAnsi="Verdana" w:cs="Arial"/>
          <w:bCs/>
          <w:sz w:val="20"/>
          <w:szCs w:val="20"/>
          <w:lang w:val="es-MX"/>
        </w:rPr>
      </w:pPr>
      <w:r w:rsidRPr="0097397F">
        <w:rPr>
          <w:rFonts w:ascii="Verdana" w:eastAsia="Calibri" w:hAnsi="Verdana" w:cs="Arial"/>
          <w:bCs/>
          <w:sz w:val="20"/>
          <w:szCs w:val="20"/>
          <w:lang w:val="es-MX"/>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w:t>
      </w:r>
      <w:r w:rsidRPr="0097397F">
        <w:rPr>
          <w:rFonts w:ascii="Verdana" w:eastAsia="Calibri" w:hAnsi="Verdana" w:cs="Arial"/>
          <w:bCs/>
          <w:i/>
          <w:iCs/>
          <w:sz w:val="20"/>
          <w:szCs w:val="20"/>
          <w:lang w:val="es-MX"/>
        </w:rPr>
        <w:t>puntajes o fórmulas</w:t>
      </w:r>
      <w:r w:rsidRPr="0097397F">
        <w:rPr>
          <w:rFonts w:ascii="Verdana" w:eastAsia="Calibri" w:hAnsi="Verdana" w:cs="Arial"/>
          <w:bCs/>
          <w:sz w:val="20"/>
          <w:szCs w:val="20"/>
          <w:lang w:val="es-MX"/>
        </w:rPr>
        <w:t xml:space="preserve">, mientras que el literal b) se refiere la elección de la oferta que represente la mejor relación </w:t>
      </w:r>
      <w:r w:rsidRPr="008D6247">
        <w:rPr>
          <w:rFonts w:ascii="Verdana" w:eastAsia="Calibri" w:hAnsi="Verdana" w:cs="Arial"/>
          <w:bCs/>
          <w:sz w:val="20"/>
          <w:szCs w:val="20"/>
          <w:lang w:val="es-MX"/>
        </w:rPr>
        <w:t>costo-beneficio</w:t>
      </w:r>
      <w:r w:rsidRPr="0097397F">
        <w:rPr>
          <w:rFonts w:ascii="Verdana" w:eastAsia="Calibri" w:hAnsi="Verdana" w:cs="Arial"/>
          <w:bCs/>
          <w:sz w:val="20"/>
          <w:szCs w:val="20"/>
          <w:lang w:val="es-MX"/>
        </w:rPr>
        <w:t xml:space="preserve"> para la entidad. </w:t>
      </w:r>
    </w:p>
    <w:p w14:paraId="0336ABF8" w14:textId="6AC6BC7B" w:rsidR="001936F1" w:rsidRPr="008D6247" w:rsidRDefault="001936F1" w:rsidP="008D6247">
      <w:pPr>
        <w:spacing w:after="120" w:line="240" w:lineRule="auto"/>
        <w:ind w:right="51"/>
        <w:jc w:val="both"/>
        <w:rPr>
          <w:rFonts w:ascii="Verdana" w:eastAsia="Calibri" w:hAnsi="Verdana" w:cs="Arial"/>
          <w:b/>
          <w:lang w:val="es-MX"/>
        </w:rPr>
      </w:pPr>
      <w:r w:rsidRPr="008D6247">
        <w:rPr>
          <w:rFonts w:ascii="Verdana" w:eastAsia="Calibri" w:hAnsi="Verdana" w:cs="Arial"/>
          <w:b/>
          <w:lang w:val="es-MX"/>
        </w:rPr>
        <w:t>SELECCIÓN OBJETIVA - Requisito habilitantes y ponderables</w:t>
      </w:r>
    </w:p>
    <w:p w14:paraId="47649A0C" w14:textId="77777777" w:rsidR="008D6247" w:rsidRPr="008D6247" w:rsidRDefault="008D6247" w:rsidP="008D6247">
      <w:pPr>
        <w:tabs>
          <w:tab w:val="left" w:pos="0"/>
        </w:tabs>
        <w:spacing w:after="120" w:line="240" w:lineRule="auto"/>
        <w:jc w:val="both"/>
        <w:rPr>
          <w:rFonts w:ascii="Verdana" w:eastAsia="Arial" w:hAnsi="Verdana" w:cs="Arial"/>
          <w:color w:val="000000"/>
          <w:sz w:val="20"/>
          <w:szCs w:val="20"/>
          <w:lang w:val="es-ES"/>
        </w:rPr>
      </w:pPr>
      <w:r w:rsidRPr="008D6247">
        <w:rPr>
          <w:rFonts w:ascii="Verdana" w:eastAsia="Arial" w:hAnsi="Verdana" w:cs="Arial"/>
          <w:color w:val="000000"/>
          <w:sz w:val="20"/>
          <w:szCs w:val="20"/>
          <w:lang w:val="es-ES"/>
        </w:rPr>
        <w:t xml:space="preserve">De acuerdo con el artículo 5 de la Ley 1150 de 2007, el deber de selección objetiva supone que las entidades escojan en los procesos de selección el “[…] </w:t>
      </w:r>
      <w:r w:rsidRPr="008D6247">
        <w:rPr>
          <w:rFonts w:ascii="Verdana" w:eastAsia="Arial" w:hAnsi="Verdana" w:cs="Arial"/>
          <w:i/>
          <w:iCs/>
          <w:color w:val="000000"/>
          <w:sz w:val="20"/>
          <w:szCs w:val="20"/>
          <w:u w:val="single"/>
          <w:lang w:val="es-ES"/>
        </w:rPr>
        <w:t>ofrecimiento más favorable a la entidad y a los fines que ella busca</w:t>
      </w:r>
      <w:r w:rsidRPr="008D6247">
        <w:rPr>
          <w:rFonts w:ascii="Verdana" w:eastAsia="Arial" w:hAnsi="Verdana" w:cs="Arial"/>
          <w:color w:val="000000"/>
          <w:sz w:val="20"/>
          <w:szCs w:val="20"/>
          <w:lang w:val="es-ES"/>
        </w:rPr>
        <w:t xml:space="preserve">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797695B9" w14:textId="18490D9A" w:rsidR="008D6247" w:rsidRPr="008D6247" w:rsidRDefault="008D6247" w:rsidP="008D6247">
      <w:pPr>
        <w:tabs>
          <w:tab w:val="left" w:pos="0"/>
        </w:tabs>
        <w:spacing w:after="120" w:line="240" w:lineRule="auto"/>
        <w:jc w:val="both"/>
        <w:rPr>
          <w:rFonts w:ascii="Verdana" w:eastAsia="Arial" w:hAnsi="Verdana" w:cs="Arial"/>
          <w:color w:val="000000"/>
          <w:sz w:val="20"/>
          <w:szCs w:val="20"/>
          <w:lang w:val="es-ES"/>
        </w:rPr>
      </w:pPr>
      <w:r w:rsidRPr="008D6247">
        <w:rPr>
          <w:rFonts w:ascii="Verdana" w:eastAsia="Arial" w:hAnsi="Verdana" w:cs="Arial"/>
          <w:color w:val="000000"/>
          <w:sz w:val="20"/>
          <w:szCs w:val="20"/>
          <w:lang w:val="es-ES"/>
        </w:rPr>
        <w:t xml:space="preserve">Al respecto, el numeral 1 del artículo 5 de la Ley 1150 de 2007 se refiere a algunos requisitos exigibles en la generalidad de procesos de selección adelantados conforme al </w:t>
      </w:r>
      <w:r w:rsidRPr="008D6247">
        <w:rPr>
          <w:rFonts w:ascii="Verdana" w:eastAsia="Arial" w:hAnsi="Verdana" w:cs="Arial"/>
          <w:color w:val="000000"/>
          <w:sz w:val="20"/>
          <w:szCs w:val="20"/>
          <w:lang w:val="es-ES"/>
        </w:rPr>
        <w:lastRenderedPageBreak/>
        <w:t>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8D6247">
        <w:rPr>
          <w:rFonts w:ascii="Verdana" w:eastAsia="Arial" w:hAnsi="Verdana" w:cs="Arial"/>
          <w:color w:val="000000"/>
          <w:sz w:val="20"/>
          <w:szCs w:val="20"/>
          <w:vertAlign w:val="superscript"/>
          <w:lang w:val="es-ES"/>
        </w:rPr>
        <w:footnoteReference w:id="1"/>
      </w:r>
      <w:r w:rsidRPr="008D6247">
        <w:rPr>
          <w:rFonts w:ascii="Verdana" w:eastAsia="Arial" w:hAnsi="Verdana" w:cs="Arial"/>
          <w:color w:val="000000"/>
          <w:sz w:val="20"/>
          <w:szCs w:val="20"/>
          <w:lang w:val="es-ES"/>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8D6247">
        <w:rPr>
          <w:rFonts w:ascii="Verdana" w:eastAsia="Arial" w:hAnsi="Verdana" w:cs="Arial"/>
          <w:i/>
          <w:color w:val="000000"/>
          <w:sz w:val="20"/>
          <w:szCs w:val="20"/>
          <w:lang w:val="es-ES"/>
        </w:rPr>
        <w:t xml:space="preserve">habilitantes </w:t>
      </w:r>
      <w:r w:rsidRPr="008D6247">
        <w:rPr>
          <w:rFonts w:ascii="Verdana" w:eastAsia="Arial" w:hAnsi="Verdana" w:cs="Arial"/>
          <w:color w:val="000000"/>
          <w:sz w:val="20"/>
          <w:szCs w:val="20"/>
          <w:lang w:val="es-ES"/>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1464980D" w14:textId="77777777" w:rsidR="004C3C81" w:rsidRDefault="004C3C81" w:rsidP="001936F1">
      <w:pPr>
        <w:spacing w:line="276" w:lineRule="auto"/>
        <w:jc w:val="both"/>
        <w:rPr>
          <w:rFonts w:ascii="Verdana" w:hAnsi="Verdana" w:cs="Arial"/>
          <w:b/>
          <w:bCs/>
          <w:lang w:val="es-ES" w:eastAsia="es-ES"/>
        </w:rPr>
      </w:pPr>
    </w:p>
    <w:p w14:paraId="1838B937" w14:textId="77777777" w:rsidR="0097397F" w:rsidRPr="001936F1" w:rsidRDefault="0097397F" w:rsidP="001936F1">
      <w:pPr>
        <w:spacing w:line="276" w:lineRule="auto"/>
        <w:jc w:val="both"/>
        <w:rPr>
          <w:rFonts w:ascii="Verdana" w:hAnsi="Verdana" w:cs="Arial"/>
          <w:b/>
          <w:bCs/>
          <w:lang w:val="es-ES" w:eastAsia="es-ES"/>
        </w:rPr>
      </w:pPr>
    </w:p>
    <w:p w14:paraId="29986077" w14:textId="77777777" w:rsidR="001936F1" w:rsidRDefault="001936F1">
      <w:pPr>
        <w:rPr>
          <w:rFonts w:ascii="Verdana" w:eastAsia="Verdana" w:hAnsi="Verdana" w:cs="Verdana"/>
        </w:rPr>
      </w:pPr>
      <w:r>
        <w:rPr>
          <w:rFonts w:ascii="Verdana" w:eastAsia="Verdana" w:hAnsi="Verdana" w:cs="Verdana"/>
        </w:rPr>
        <w:br w:type="page"/>
      </w:r>
    </w:p>
    <w:p w14:paraId="1468C46D" w14:textId="6B8006F9" w:rsidR="00C15139" w:rsidRPr="0024624F" w:rsidRDefault="007919FB" w:rsidP="00C0734E">
      <w:pPr>
        <w:spacing w:after="0"/>
        <w:jc w:val="both"/>
        <w:rPr>
          <w:rFonts w:ascii="Verdana" w:eastAsia="Verdana" w:hAnsi="Verdana" w:cs="Verdana"/>
        </w:rPr>
      </w:pPr>
      <w:r w:rsidRPr="007919FB">
        <w:rPr>
          <w:rFonts w:ascii="Verdana" w:hAnsi="Verdana" w:cs="Times New Roman"/>
          <w:b/>
          <w:bCs/>
          <w:noProof/>
        </w:rPr>
        <w:lastRenderedPageBreak/>
        <w:drawing>
          <wp:anchor distT="0" distB="0" distL="114300" distR="114300" simplePos="0" relativeHeight="251659264" behindDoc="1" locked="0" layoutInCell="1" allowOverlap="1" wp14:anchorId="46C0D6FF" wp14:editId="3DFA4D24">
            <wp:simplePos x="0" y="0"/>
            <wp:positionH relativeFrom="margin">
              <wp:posOffset>3353842</wp:posOffset>
            </wp:positionH>
            <wp:positionV relativeFrom="paragraph">
              <wp:posOffset>-17024</wp:posOffset>
            </wp:positionV>
            <wp:extent cx="2350344" cy="649682"/>
            <wp:effectExtent l="0" t="0" r="0" b="0"/>
            <wp:wrapNone/>
            <wp:docPr id="19796475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62476" cy="6530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14 Abril 2026</w:t>
      </w:r>
      <w:r w:rsidR="00C15139">
        <w:tab/>
      </w:r>
      <w:r w:rsidR="00C15139">
        <w:br/>
      </w:r>
      <w:r w:rsidR="00C15139">
        <w:tab/>
      </w:r>
    </w:p>
    <w:p w14:paraId="6D8E219D" w14:textId="6BFB6733" w:rsidR="00AE7AF2" w:rsidRPr="00A77871" w:rsidRDefault="00AE7AF2" w:rsidP="00C0734E">
      <w:pPr>
        <w:pStyle w:val="Sinespaciado"/>
        <w:jc w:val="both"/>
        <w:rPr>
          <w:rFonts w:ascii="Verdana" w:hAnsi="Verdana"/>
          <w:lang w:eastAsia="es-ES"/>
        </w:rPr>
      </w:pPr>
      <w:bookmarkStart w:id="1" w:name="_Hlk186494164"/>
      <w:r w:rsidRPr="00A77871">
        <w:rPr>
          <w:rFonts w:ascii="Verdana" w:hAnsi="Verdana"/>
          <w:lang w:eastAsia="es-ES"/>
        </w:rPr>
        <w:t>Señor</w:t>
      </w:r>
    </w:p>
    <w:p w14:paraId="74E12F56" w14:textId="11AAE548" w:rsidR="00AE7AF2" w:rsidRDefault="00874319" w:rsidP="00C0734E">
      <w:pPr>
        <w:pStyle w:val="Sinespaciado"/>
        <w:jc w:val="both"/>
        <w:rPr>
          <w:rFonts w:ascii="Verdana" w:hAnsi="Verdana" w:cs="Times New Roman"/>
          <w:b/>
          <w:bCs/>
        </w:rPr>
      </w:pPr>
      <w:r>
        <w:rPr>
          <w:rFonts w:ascii="Verdana" w:hAnsi="Verdana" w:cs="Times New Roman"/>
          <w:b/>
          <w:bCs/>
        </w:rPr>
        <w:t>Carlos Augusto Reyes Morales</w:t>
      </w:r>
    </w:p>
    <w:p w14:paraId="7655BFF7" w14:textId="707D00B9" w:rsidR="00874319" w:rsidRPr="003E2CB3" w:rsidRDefault="00874319" w:rsidP="00C0734E">
      <w:pPr>
        <w:pStyle w:val="Sinespaciado"/>
        <w:jc w:val="both"/>
        <w:rPr>
          <w:rFonts w:ascii="Verdana" w:hAnsi="Verdana" w:cs="Times New Roman"/>
        </w:rPr>
      </w:pPr>
      <w:hyperlink r:id="rId11" w:history="1">
        <w:r w:rsidRPr="003E2CB3">
          <w:rPr>
            <w:rStyle w:val="Hipervnculo"/>
            <w:rFonts w:ascii="Verdana" w:hAnsi="Verdana" w:cs="Times New Roman"/>
          </w:rPr>
          <w:t>ing.carlosreyesmorales@gmail.com</w:t>
        </w:r>
      </w:hyperlink>
    </w:p>
    <w:p w14:paraId="6214AA02" w14:textId="1DB5A4C9" w:rsidR="00874319" w:rsidRPr="003E2CB3" w:rsidRDefault="003E2CB3" w:rsidP="00C0734E">
      <w:pPr>
        <w:pStyle w:val="Sinespaciado"/>
        <w:jc w:val="both"/>
        <w:rPr>
          <w:rFonts w:ascii="Verdana" w:hAnsi="Verdana" w:cs="Times New Roman"/>
        </w:rPr>
      </w:pPr>
      <w:r w:rsidRPr="003E2CB3">
        <w:rPr>
          <w:rFonts w:ascii="Verdana" w:hAnsi="Verdana" w:cs="Times New Roman"/>
        </w:rPr>
        <w:t>Bucaramanga – Santander, Colombia</w:t>
      </w:r>
    </w:p>
    <w:p w14:paraId="7DE1EA3B" w14:textId="77777777" w:rsidR="00AE7AF2" w:rsidRPr="00A77871" w:rsidRDefault="00AE7AF2" w:rsidP="00C0734E">
      <w:pPr>
        <w:pStyle w:val="Sinespaciado"/>
        <w:jc w:val="both"/>
        <w:rPr>
          <w:rFonts w:ascii="Verdana" w:hAnsi="Verdana" w:cs="Times New Roman"/>
        </w:rPr>
      </w:pPr>
      <w:r w:rsidRPr="00A77871">
        <w:rPr>
          <w:rFonts w:ascii="Verdana" w:hAnsi="Verdana" w:cs="Times New Roman"/>
        </w:rPr>
        <w:t>Ciudad</w:t>
      </w:r>
    </w:p>
    <w:p w14:paraId="6324765C" w14:textId="77777777" w:rsidR="00AE7AF2" w:rsidRPr="00A77871" w:rsidRDefault="00AE7AF2" w:rsidP="00C0734E">
      <w:pPr>
        <w:spacing w:after="0" w:line="276" w:lineRule="auto"/>
        <w:ind w:left="2124" w:firstLine="708"/>
        <w:jc w:val="both"/>
        <w:rPr>
          <w:rFonts w:ascii="Verdana" w:eastAsia="Calibri" w:hAnsi="Verdana" w:cs="Arial"/>
          <w:b/>
          <w:bCs/>
          <w:color w:val="000000"/>
          <w:lang w:eastAsia="es-ES_tradnl"/>
        </w:rPr>
      </w:pPr>
    </w:p>
    <w:p w14:paraId="08DD9DD0" w14:textId="2B9B0CD8" w:rsidR="00AE7AF2" w:rsidRPr="00A77871" w:rsidRDefault="00AE7AF2" w:rsidP="00C0734E">
      <w:pPr>
        <w:spacing w:after="0" w:line="276" w:lineRule="auto"/>
        <w:jc w:val="both"/>
        <w:rPr>
          <w:rFonts w:ascii="Verdana" w:eastAsia="Calibri" w:hAnsi="Verdana" w:cs="Arial"/>
          <w:b/>
          <w:bCs/>
          <w:lang w:eastAsia="es-ES"/>
        </w:rPr>
      </w:pPr>
      <w:r w:rsidRPr="00A77871">
        <w:rPr>
          <w:rFonts w:ascii="Verdana" w:eastAsia="Calibri" w:hAnsi="Verdana" w:cs="Arial"/>
          <w:b/>
          <w:bCs/>
          <w:lang w:eastAsia="es-ES"/>
        </w:rPr>
        <w:t xml:space="preserve">                                    Concepto C-</w:t>
      </w:r>
      <w:r w:rsidR="00230A79">
        <w:rPr>
          <w:rFonts w:ascii="Verdana" w:eastAsia="Calibri" w:hAnsi="Verdana" w:cs="Arial"/>
          <w:b/>
          <w:bCs/>
          <w:lang w:eastAsia="es-ES"/>
        </w:rPr>
        <w:t>518</w:t>
      </w:r>
      <w:r w:rsidRPr="00A77871">
        <w:rPr>
          <w:rFonts w:ascii="Verdana" w:eastAsia="Calibri" w:hAnsi="Verdana" w:cs="Arial"/>
          <w:b/>
          <w:bCs/>
          <w:lang w:eastAsia="es-ES"/>
        </w:rPr>
        <w:t xml:space="preserve"> de 2026</w:t>
      </w:r>
    </w:p>
    <w:p w14:paraId="38FBE7BD" w14:textId="77777777" w:rsidR="00AE7AF2" w:rsidRPr="00A77871" w:rsidRDefault="00AE7AF2" w:rsidP="00C0734E">
      <w:pPr>
        <w:spacing w:after="0" w:line="276" w:lineRule="auto"/>
        <w:jc w:val="both"/>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E7AF2" w:rsidRPr="00A77871" w14:paraId="5C156762" w14:textId="77777777" w:rsidTr="001B0102">
        <w:trPr>
          <w:trHeight w:val="884"/>
        </w:trPr>
        <w:tc>
          <w:tcPr>
            <w:tcW w:w="2689" w:type="dxa"/>
          </w:tcPr>
          <w:p w14:paraId="32F619D3" w14:textId="77777777" w:rsidR="00AE7AF2" w:rsidRPr="00A77871" w:rsidRDefault="00AE7AF2" w:rsidP="00C0734E">
            <w:pPr>
              <w:spacing w:line="276" w:lineRule="auto"/>
              <w:jc w:val="both"/>
              <w:rPr>
                <w:rFonts w:ascii="Verdana" w:eastAsia="Calibri" w:hAnsi="Verdana" w:cs="Arial"/>
                <w:color w:val="000000"/>
                <w:lang w:eastAsia="es-ES_tradnl"/>
              </w:rPr>
            </w:pPr>
            <w:r w:rsidRPr="00A77871">
              <w:rPr>
                <w:rFonts w:ascii="Verdana" w:eastAsia="Calibri" w:hAnsi="Verdana" w:cs="Arial"/>
                <w:b/>
                <w:color w:val="000000"/>
                <w:lang w:eastAsia="es-ES_tradnl"/>
              </w:rPr>
              <w:t>Temas:</w:t>
            </w:r>
            <w:r w:rsidRPr="00A77871">
              <w:rPr>
                <w:rFonts w:ascii="Verdana" w:eastAsia="Calibri" w:hAnsi="Verdana" w:cs="Arial"/>
                <w:color w:val="000000"/>
                <w:lang w:eastAsia="es-ES_tradnl"/>
              </w:rPr>
              <w:t xml:space="preserve">                   </w:t>
            </w:r>
          </w:p>
        </w:tc>
        <w:tc>
          <w:tcPr>
            <w:tcW w:w="6100" w:type="dxa"/>
          </w:tcPr>
          <w:p w14:paraId="19B49416" w14:textId="675A420E" w:rsidR="00B44EC5" w:rsidRPr="00327CB4" w:rsidRDefault="00653DF8" w:rsidP="00C0734E">
            <w:pPr>
              <w:spacing w:line="276" w:lineRule="auto"/>
              <w:jc w:val="both"/>
              <w:rPr>
                <w:rFonts w:ascii="Verdana" w:hAnsi="Verdana" w:cs="Arial"/>
                <w:bCs/>
                <w:lang w:val="es-ES" w:eastAsia="es-ES"/>
              </w:rPr>
            </w:pPr>
            <w:r w:rsidRPr="00505991">
              <w:rPr>
                <w:rFonts w:ascii="Verdana" w:eastAsia="Calibri" w:hAnsi="Verdana" w:cs="Arial"/>
                <w:color w:val="000000" w:themeColor="text1"/>
                <w:szCs w:val="24"/>
                <w:lang w:eastAsia="es-ES_tradnl"/>
              </w:rPr>
              <w:t>REQUISITOS HABILITANTES – Con</w:t>
            </w:r>
            <w:r w:rsidR="00C322AD">
              <w:rPr>
                <w:rFonts w:ascii="Verdana" w:eastAsia="Calibri" w:hAnsi="Verdana" w:cs="Arial"/>
                <w:color w:val="000000" w:themeColor="text1"/>
                <w:szCs w:val="24"/>
                <w:lang w:eastAsia="es-ES_tradnl"/>
              </w:rPr>
              <w:t xml:space="preserve">cepto </w:t>
            </w:r>
            <w:r w:rsidR="00E66E9C">
              <w:rPr>
                <w:rFonts w:ascii="Verdana" w:eastAsia="Calibri" w:hAnsi="Verdana" w:cs="Arial"/>
                <w:color w:val="000000" w:themeColor="text1"/>
                <w:szCs w:val="24"/>
                <w:lang w:eastAsia="es-ES_tradnl"/>
              </w:rPr>
              <w:t xml:space="preserve">/ </w:t>
            </w:r>
            <w:r w:rsidR="00DE0202" w:rsidRPr="007A2068">
              <w:rPr>
                <w:rFonts w:ascii="Verdana" w:eastAsia="Calibri" w:hAnsi="Verdana" w:cs="Arial"/>
              </w:rPr>
              <w:t>REQUISITOS PONDERABLES –</w:t>
            </w:r>
            <w:r w:rsidR="00895BAC">
              <w:rPr>
                <w:rFonts w:ascii="Verdana" w:eastAsia="Calibri" w:hAnsi="Verdana" w:cs="Arial"/>
              </w:rPr>
              <w:t xml:space="preserve"> contenido</w:t>
            </w:r>
            <w:r w:rsidR="00DE0202" w:rsidRPr="007A2068">
              <w:rPr>
                <w:rFonts w:ascii="Verdana" w:eastAsia="Calibri" w:hAnsi="Verdana" w:cs="Arial"/>
              </w:rPr>
              <w:t xml:space="preserve"> </w:t>
            </w:r>
            <w:r w:rsidR="00635CF1">
              <w:rPr>
                <w:rFonts w:ascii="Verdana" w:eastAsia="Calibri" w:hAnsi="Verdana" w:cs="Arial"/>
              </w:rPr>
              <w:t xml:space="preserve">/ </w:t>
            </w:r>
            <w:r w:rsidR="001E0D74" w:rsidRPr="00327CB4">
              <w:rPr>
                <w:rFonts w:ascii="Verdana" w:hAnsi="Verdana" w:cs="Arial"/>
                <w:bCs/>
                <w:lang w:val="es-ES" w:eastAsia="es-ES"/>
              </w:rPr>
              <w:t xml:space="preserve">SELECCIÓN OBJETIVA </w:t>
            </w:r>
            <w:r w:rsidR="001E0D74">
              <w:rPr>
                <w:rFonts w:ascii="Verdana" w:hAnsi="Verdana" w:cs="Arial"/>
                <w:bCs/>
                <w:lang w:val="es-ES" w:eastAsia="es-ES"/>
              </w:rPr>
              <w:t xml:space="preserve">- </w:t>
            </w:r>
            <w:r w:rsidR="001E0D74" w:rsidRPr="00327CB4">
              <w:rPr>
                <w:rFonts w:ascii="Verdana" w:hAnsi="Verdana" w:cs="Arial"/>
                <w:bCs/>
                <w:lang w:val="es-ES" w:eastAsia="es-ES"/>
              </w:rPr>
              <w:t>Requisito habilitantes y ponderable</w:t>
            </w:r>
            <w:r w:rsidR="001E4F4F">
              <w:rPr>
                <w:rFonts w:ascii="Verdana" w:hAnsi="Verdana" w:cs="Arial"/>
                <w:bCs/>
                <w:lang w:val="es-ES" w:eastAsia="es-ES"/>
              </w:rPr>
              <w:t>s</w:t>
            </w:r>
          </w:p>
          <w:p w14:paraId="6B6D52FB" w14:textId="3FA1D12E" w:rsidR="00AE7AF2" w:rsidRPr="00A77871" w:rsidRDefault="00AE7AF2" w:rsidP="00C0734E">
            <w:pPr>
              <w:spacing w:line="276" w:lineRule="auto"/>
              <w:jc w:val="both"/>
              <w:rPr>
                <w:rFonts w:ascii="Verdana" w:eastAsia="Calibri" w:hAnsi="Verdana" w:cs="Arial"/>
                <w:lang w:eastAsia="es-ES"/>
              </w:rPr>
            </w:pPr>
          </w:p>
        </w:tc>
      </w:tr>
      <w:tr w:rsidR="00AE7AF2" w:rsidRPr="00A77871" w14:paraId="243D026D" w14:textId="77777777" w:rsidTr="001B0102">
        <w:tc>
          <w:tcPr>
            <w:tcW w:w="2689" w:type="dxa"/>
          </w:tcPr>
          <w:p w14:paraId="3C2C12B6" w14:textId="77777777" w:rsidR="00AE7AF2" w:rsidRPr="00A77871" w:rsidRDefault="00AE7AF2" w:rsidP="00C0734E">
            <w:pPr>
              <w:spacing w:line="276" w:lineRule="auto"/>
              <w:jc w:val="both"/>
              <w:rPr>
                <w:rFonts w:ascii="Verdana" w:eastAsia="Calibri" w:hAnsi="Verdana" w:cs="Arial"/>
                <w:b/>
                <w:lang w:eastAsia="es-ES_tradnl"/>
              </w:rPr>
            </w:pPr>
            <w:r w:rsidRPr="00A77871">
              <w:rPr>
                <w:rFonts w:ascii="Verdana" w:eastAsia="Calibri" w:hAnsi="Verdana" w:cs="Arial"/>
                <w:b/>
                <w:lang w:eastAsia="es-ES_tradnl"/>
              </w:rPr>
              <w:t xml:space="preserve"> Radicación:</w:t>
            </w:r>
            <w:r w:rsidRPr="00A77871">
              <w:rPr>
                <w:rFonts w:ascii="Verdana" w:eastAsia="Calibri" w:hAnsi="Verdana" w:cs="Arial"/>
                <w:lang w:eastAsia="es-ES_tradnl"/>
              </w:rPr>
              <w:t xml:space="preserve">               </w:t>
            </w:r>
          </w:p>
        </w:tc>
        <w:tc>
          <w:tcPr>
            <w:tcW w:w="6100" w:type="dxa"/>
          </w:tcPr>
          <w:p w14:paraId="01D6B07B" w14:textId="4823FAD6" w:rsidR="00AE7AF2" w:rsidRPr="00A77871" w:rsidRDefault="00AE7AF2" w:rsidP="00C0734E">
            <w:pPr>
              <w:spacing w:line="276" w:lineRule="auto"/>
              <w:jc w:val="both"/>
              <w:rPr>
                <w:rFonts w:ascii="Verdana" w:eastAsia="Calibri" w:hAnsi="Verdana" w:cs="Arial"/>
                <w:lang w:eastAsia="es-ES_tradnl"/>
              </w:rPr>
            </w:pPr>
            <w:r w:rsidRPr="00A77871">
              <w:rPr>
                <w:rFonts w:ascii="Verdana" w:eastAsia="Calibri" w:hAnsi="Verdana" w:cs="Arial"/>
                <w:lang w:eastAsia="es-ES_tradnl"/>
              </w:rPr>
              <w:t xml:space="preserve">Respuesta a consultas con radicado No. </w:t>
            </w:r>
            <w:r w:rsidR="00615F28" w:rsidRPr="00615F28">
              <w:rPr>
                <w:rFonts w:ascii="Verdana" w:eastAsia="Calibri" w:hAnsi="Verdana" w:cs="Arial"/>
                <w:lang w:eastAsia="es-ES_tradnl"/>
              </w:rPr>
              <w:t>1_2026_03_27_004318</w:t>
            </w:r>
          </w:p>
        </w:tc>
      </w:tr>
    </w:tbl>
    <w:p w14:paraId="5392DBBA" w14:textId="77777777" w:rsidR="00AE7AF2" w:rsidRPr="00A77871" w:rsidRDefault="00AE7AF2" w:rsidP="00C0734E">
      <w:pPr>
        <w:spacing w:after="0" w:line="276" w:lineRule="auto"/>
        <w:jc w:val="both"/>
        <w:rPr>
          <w:rFonts w:ascii="Verdana" w:eastAsia="Calibri" w:hAnsi="Verdana" w:cs="Arial"/>
          <w:color w:val="000000"/>
          <w:lang w:eastAsia="es-ES_tradnl"/>
        </w:rPr>
      </w:pPr>
    </w:p>
    <w:p w14:paraId="74324C1D" w14:textId="4C1CFDEB" w:rsidR="00AE7AF2" w:rsidRPr="00A77871" w:rsidRDefault="00AE7AF2" w:rsidP="00C0734E">
      <w:pPr>
        <w:spacing w:after="0" w:line="276" w:lineRule="auto"/>
        <w:jc w:val="both"/>
        <w:rPr>
          <w:rFonts w:ascii="Verdana" w:eastAsia="Calibri" w:hAnsi="Verdana" w:cs="Arial"/>
          <w:lang w:eastAsia="es-ES"/>
        </w:rPr>
      </w:pPr>
      <w:r w:rsidRPr="00A77871">
        <w:rPr>
          <w:rFonts w:ascii="Verdana" w:eastAsia="Calibri" w:hAnsi="Verdana" w:cs="Arial"/>
          <w:lang w:eastAsia="es-ES"/>
        </w:rPr>
        <w:t xml:space="preserve">Estimado </w:t>
      </w:r>
      <w:r w:rsidR="00615F28">
        <w:rPr>
          <w:rFonts w:ascii="Verdana" w:eastAsia="Calibri" w:hAnsi="Verdana" w:cs="Arial"/>
          <w:lang w:eastAsia="es-ES"/>
        </w:rPr>
        <w:t>señor Reyes</w:t>
      </w:r>
      <w:r w:rsidRPr="00A77871">
        <w:rPr>
          <w:rFonts w:ascii="Verdana" w:eastAsia="Calibri" w:hAnsi="Verdana" w:cs="Arial"/>
          <w:lang w:eastAsia="es-ES"/>
        </w:rPr>
        <w:t>, cordial saludo</w:t>
      </w:r>
    </w:p>
    <w:p w14:paraId="489EF21D" w14:textId="77777777" w:rsidR="00AE7AF2" w:rsidRPr="00A77871" w:rsidRDefault="00AE7AF2" w:rsidP="00C0734E">
      <w:pPr>
        <w:tabs>
          <w:tab w:val="left" w:pos="3768"/>
        </w:tabs>
        <w:spacing w:after="0" w:line="276" w:lineRule="auto"/>
        <w:jc w:val="both"/>
        <w:rPr>
          <w:rFonts w:ascii="Verdana" w:eastAsia="Calibri" w:hAnsi="Verdana" w:cs="Arial"/>
          <w:color w:val="000000"/>
          <w:lang w:eastAsia="es-ES"/>
        </w:rPr>
      </w:pPr>
      <w:r w:rsidRPr="00A77871">
        <w:rPr>
          <w:rFonts w:ascii="Verdana" w:eastAsia="Calibri" w:hAnsi="Verdana" w:cs="Arial"/>
          <w:color w:val="000000"/>
          <w:lang w:eastAsia="es-ES"/>
        </w:rPr>
        <w:tab/>
      </w:r>
    </w:p>
    <w:p w14:paraId="14BB2CDD" w14:textId="28CA6B2A" w:rsidR="00AE7AF2" w:rsidRPr="00A77871" w:rsidRDefault="00AE7AF2" w:rsidP="00C0734E">
      <w:pPr>
        <w:spacing w:line="276" w:lineRule="auto"/>
        <w:jc w:val="both"/>
        <w:rPr>
          <w:rFonts w:ascii="Verdana" w:eastAsia="Calibri" w:hAnsi="Verdana" w:cs="Arial"/>
          <w:i/>
          <w:iCs/>
          <w:lang w:eastAsia="es-ES"/>
        </w:rPr>
      </w:pPr>
      <w:r w:rsidRPr="00A77871">
        <w:rPr>
          <w:rFonts w:ascii="Verdana" w:eastAsia="Calibri" w:hAnsi="Verdana" w:cs="Arial"/>
          <w:color w:val="000000"/>
          <w:lang w:eastAsia="es-ES"/>
        </w:rPr>
        <w:t>En ejercicio de la competencia otorgada por los artículos 3, numeral 5º, y 11, numeral 8º, del Decreto Ley 4170 de 2011,</w:t>
      </w:r>
      <w:r w:rsidRPr="00A77871">
        <w:rPr>
          <w:rFonts w:ascii="Verdana" w:eastAsia="Arial MT" w:hAnsi="Verdana" w:cs="Arial MT"/>
          <w:lang w:eastAsia="es-ES"/>
        </w:rPr>
        <w:t xml:space="preserve"> </w:t>
      </w:r>
      <w:r w:rsidRPr="00A77871">
        <w:rPr>
          <w:rFonts w:ascii="Verdana" w:eastAsia="Calibri" w:hAnsi="Verdana" w:cs="Arial"/>
        </w:rPr>
        <w:t xml:space="preserve">así como lo establecido en el artículo 4 de la Resolución 1707 de 2018 expedida por esta Entidad, </w:t>
      </w:r>
      <w:r w:rsidRPr="00A77871">
        <w:rPr>
          <w:rFonts w:ascii="Verdana" w:eastAsia="Calibri" w:hAnsi="Verdana" w:cs="Arial"/>
          <w:color w:val="000000"/>
          <w:lang w:eastAsia="es-ES"/>
        </w:rPr>
        <w:t xml:space="preserve">la Agencia Nacional de Contratación Pública – Colombia Compra Eficiente responde su solicitud de concepto del </w:t>
      </w:r>
      <w:r w:rsidR="00D50F8A">
        <w:rPr>
          <w:rFonts w:ascii="Verdana" w:eastAsia="Calibri" w:hAnsi="Verdana" w:cs="Arial"/>
          <w:color w:val="000000"/>
          <w:lang w:eastAsia="es-ES"/>
        </w:rPr>
        <w:t>27</w:t>
      </w:r>
      <w:r w:rsidRPr="00A77871">
        <w:rPr>
          <w:rFonts w:ascii="Verdana" w:eastAsia="Calibri" w:hAnsi="Verdana" w:cs="Arial"/>
          <w:color w:val="000000"/>
          <w:lang w:eastAsia="es-ES"/>
        </w:rPr>
        <w:t xml:space="preserve"> de </w:t>
      </w:r>
      <w:r w:rsidR="00D50F8A">
        <w:rPr>
          <w:rFonts w:ascii="Verdana" w:eastAsia="Calibri" w:hAnsi="Verdana" w:cs="Arial"/>
          <w:color w:val="000000"/>
          <w:lang w:eastAsia="es-ES"/>
        </w:rPr>
        <w:t>marzo</w:t>
      </w:r>
      <w:r w:rsidRPr="00A77871">
        <w:rPr>
          <w:rFonts w:ascii="Verdana" w:eastAsia="Calibri" w:hAnsi="Verdana" w:cs="Arial"/>
          <w:color w:val="000000"/>
          <w:lang w:eastAsia="es-ES"/>
        </w:rPr>
        <w:t xml:space="preserve"> de 2026,</w:t>
      </w:r>
      <w:r w:rsidRPr="00A77871">
        <w:rPr>
          <w:rFonts w:ascii="Verdana" w:eastAsia="Calibri" w:hAnsi="Verdana" w:cs="Arial"/>
          <w:lang w:eastAsia="es-ES"/>
        </w:rPr>
        <w:t xml:space="preserve"> en la que manifiesta lo siguiente:</w:t>
      </w:r>
      <w:r w:rsidRPr="00A77871">
        <w:rPr>
          <w:rFonts w:ascii="Verdana" w:eastAsia="Calibri" w:hAnsi="Verdana" w:cs="Arial"/>
          <w:i/>
          <w:iCs/>
          <w:lang w:eastAsia="es-ES"/>
        </w:rPr>
        <w:t xml:space="preserve"> </w:t>
      </w:r>
      <w:bookmarkStart w:id="2" w:name="_Hlk95313578"/>
    </w:p>
    <w:bookmarkEnd w:id="2"/>
    <w:p w14:paraId="5B03C0D0" w14:textId="2D140E0C" w:rsidR="00A12D47" w:rsidRPr="00A12D47" w:rsidRDefault="00AE7AF2" w:rsidP="00C0734E">
      <w:pPr>
        <w:spacing w:after="0" w:line="240" w:lineRule="auto"/>
        <w:ind w:left="851" w:right="709"/>
        <w:jc w:val="both"/>
        <w:rPr>
          <w:rFonts w:ascii="Verdana" w:eastAsia="Aptos" w:hAnsi="Verdana" w:cs="Times New Roman"/>
          <w:i/>
          <w:iCs/>
          <w:kern w:val="2"/>
          <w:sz w:val="20"/>
          <w:szCs w:val="20"/>
          <w14:ligatures w14:val="standardContextual"/>
        </w:rPr>
      </w:pPr>
      <w:r w:rsidRPr="00B923DC">
        <w:rPr>
          <w:rFonts w:ascii="Verdana" w:eastAsia="Aptos" w:hAnsi="Verdana" w:cs="Times New Roman"/>
          <w:i/>
          <w:iCs/>
          <w:kern w:val="2"/>
          <w:sz w:val="20"/>
          <w:szCs w:val="20"/>
          <w14:ligatures w14:val="standardContextual"/>
        </w:rPr>
        <w:t>“</w:t>
      </w:r>
      <w:r w:rsidR="00A12D47">
        <w:rPr>
          <w:rFonts w:ascii="Verdana" w:eastAsia="Aptos" w:hAnsi="Verdana" w:cs="Times New Roman"/>
          <w:i/>
          <w:iCs/>
          <w:kern w:val="2"/>
          <w:sz w:val="20"/>
          <w:szCs w:val="20"/>
          <w14:ligatures w14:val="standardContextual"/>
        </w:rPr>
        <w:t>(…) s</w:t>
      </w:r>
      <w:r w:rsidR="00A12D47" w:rsidRPr="00A12D47">
        <w:rPr>
          <w:rFonts w:ascii="Verdana" w:eastAsia="Aptos" w:hAnsi="Verdana" w:cs="Times New Roman"/>
          <w:i/>
          <w:iCs/>
          <w:kern w:val="2"/>
          <w:sz w:val="20"/>
          <w:szCs w:val="20"/>
          <w14:ligatures w14:val="standardContextual"/>
        </w:rPr>
        <w:t>e solicita concepto técnico y jurídico, respecto en un concurso de méritos para contratar una consultoría modalidad interventoría en los pliegos proyectados por algunas entidades se está ponderando:</w:t>
      </w:r>
    </w:p>
    <w:p w14:paraId="3A08CFBE" w14:textId="77777777" w:rsidR="00A12D47" w:rsidRPr="00A12D47" w:rsidRDefault="00A12D47" w:rsidP="00C0734E">
      <w:pPr>
        <w:spacing w:after="0" w:line="240" w:lineRule="auto"/>
        <w:ind w:left="851" w:right="709"/>
        <w:jc w:val="both"/>
        <w:rPr>
          <w:rFonts w:ascii="Verdana" w:eastAsia="Aptos" w:hAnsi="Verdana" w:cs="Times New Roman"/>
          <w:i/>
          <w:iCs/>
          <w:kern w:val="2"/>
          <w:sz w:val="20"/>
          <w:szCs w:val="20"/>
          <w14:ligatures w14:val="standardContextual"/>
        </w:rPr>
      </w:pPr>
      <w:r w:rsidRPr="00A12D47">
        <w:rPr>
          <w:rFonts w:ascii="Verdana" w:eastAsia="Aptos" w:hAnsi="Verdana" w:cs="Times New Roman"/>
          <w:i/>
          <w:iCs/>
          <w:kern w:val="2"/>
          <w:sz w:val="20"/>
          <w:szCs w:val="20"/>
          <w14:ligatures w14:val="standardContextual"/>
        </w:rPr>
        <w:t>1.</w:t>
      </w:r>
      <w:r w:rsidRPr="00A12D47">
        <w:rPr>
          <w:rFonts w:ascii="Verdana" w:eastAsia="Aptos" w:hAnsi="Verdana" w:cs="Times New Roman"/>
          <w:i/>
          <w:iCs/>
          <w:kern w:val="2"/>
          <w:sz w:val="20"/>
          <w:szCs w:val="20"/>
          <w14:ligatures w14:val="standardContextual"/>
        </w:rPr>
        <w:tab/>
        <w:t xml:space="preserve">“INCENTIVO REGIONAL” hasta con 9% de la ponderación del concurso de méritos del personal presentado y ponderado del municipio donde se </w:t>
      </w:r>
      <w:proofErr w:type="gramStart"/>
      <w:r w:rsidRPr="00A12D47">
        <w:rPr>
          <w:rFonts w:ascii="Verdana" w:eastAsia="Aptos" w:hAnsi="Verdana" w:cs="Times New Roman"/>
          <w:i/>
          <w:iCs/>
          <w:kern w:val="2"/>
          <w:sz w:val="20"/>
          <w:szCs w:val="20"/>
          <w14:ligatures w14:val="standardContextual"/>
        </w:rPr>
        <w:t>va</w:t>
      </w:r>
      <w:proofErr w:type="gramEnd"/>
      <w:r w:rsidRPr="00A12D47">
        <w:rPr>
          <w:rFonts w:ascii="Verdana" w:eastAsia="Aptos" w:hAnsi="Verdana" w:cs="Times New Roman"/>
          <w:i/>
          <w:iCs/>
          <w:kern w:val="2"/>
          <w:sz w:val="20"/>
          <w:szCs w:val="20"/>
          <w14:ligatures w14:val="standardContextual"/>
        </w:rPr>
        <w:t xml:space="preserve"> ejecutar la interventoría, nuestra consulta es legal y existe algún decreto o ley que lo permita? </w:t>
      </w:r>
    </w:p>
    <w:p w14:paraId="6BB4C418" w14:textId="7F16803D" w:rsidR="00AE7AF2" w:rsidRPr="00193B04" w:rsidRDefault="00A12D47" w:rsidP="00C0734E">
      <w:pPr>
        <w:spacing w:after="0" w:line="240" w:lineRule="auto"/>
        <w:ind w:left="851" w:right="709"/>
        <w:jc w:val="both"/>
        <w:rPr>
          <w:rFonts w:ascii="Verdana" w:eastAsia="Aptos" w:hAnsi="Verdana" w:cs="Times New Roman"/>
          <w:kern w:val="2"/>
          <w:sz w:val="20"/>
          <w:szCs w:val="20"/>
          <w14:ligatures w14:val="standardContextual"/>
        </w:rPr>
      </w:pPr>
      <w:r w:rsidRPr="00A12D47">
        <w:rPr>
          <w:rFonts w:ascii="Verdana" w:eastAsia="Aptos" w:hAnsi="Verdana" w:cs="Times New Roman"/>
          <w:i/>
          <w:iCs/>
          <w:kern w:val="2"/>
          <w:sz w:val="20"/>
          <w:szCs w:val="20"/>
          <w14:ligatures w14:val="standardContextual"/>
        </w:rPr>
        <w:t>2.</w:t>
      </w:r>
      <w:r w:rsidRPr="00A12D47">
        <w:rPr>
          <w:rFonts w:ascii="Verdana" w:eastAsia="Aptos" w:hAnsi="Verdana" w:cs="Times New Roman"/>
          <w:i/>
          <w:iCs/>
          <w:kern w:val="2"/>
          <w:sz w:val="20"/>
          <w:szCs w:val="20"/>
          <w14:ligatures w14:val="standardContextual"/>
        </w:rPr>
        <w:tab/>
        <w:t xml:space="preserve">Plan de calidad para ejecución de interventoría, hasta con 18% de la ponderación del concurso de méritos la presentación del plan de calidad, que va en contravía con las “Consideraciones generales sobre los requisitos de calificación: En el concurso de méritos son: i) la experiencia del interesado y del equipo de trabajo y </w:t>
      </w:r>
      <w:proofErr w:type="spellStart"/>
      <w:r w:rsidRPr="00A12D47">
        <w:rPr>
          <w:rFonts w:ascii="Verdana" w:eastAsia="Aptos" w:hAnsi="Verdana" w:cs="Times New Roman"/>
          <w:i/>
          <w:iCs/>
          <w:kern w:val="2"/>
          <w:sz w:val="20"/>
          <w:szCs w:val="20"/>
          <w14:ligatures w14:val="standardContextual"/>
        </w:rPr>
        <w:t>ii</w:t>
      </w:r>
      <w:proofErr w:type="spellEnd"/>
      <w:r w:rsidRPr="00A12D47">
        <w:rPr>
          <w:rFonts w:ascii="Verdana" w:eastAsia="Aptos" w:hAnsi="Verdana" w:cs="Times New Roman"/>
          <w:i/>
          <w:iCs/>
          <w:kern w:val="2"/>
          <w:sz w:val="20"/>
          <w:szCs w:val="20"/>
          <w14:ligatures w14:val="standardContextual"/>
        </w:rPr>
        <w:t>) la formación académica y las publicaciones técnicas y científicas del equipo de trabajo, como lo estatuye el artículo 2.2.1.2.1.3.2 del Decreto 1082 de 2015. nuestra consulta es legal y existe algún decreto o ley</w:t>
      </w:r>
      <w:r w:rsidR="00AE7AF2" w:rsidRPr="00193B04">
        <w:rPr>
          <w:rFonts w:ascii="Verdana" w:eastAsia="Aptos" w:hAnsi="Verdana" w:cs="Times New Roman"/>
          <w:i/>
          <w:iCs/>
          <w:kern w:val="2"/>
          <w:sz w:val="20"/>
          <w:szCs w:val="20"/>
          <w14:ligatures w14:val="standardContextual"/>
        </w:rPr>
        <w:t>”. (sic)</w:t>
      </w:r>
    </w:p>
    <w:p w14:paraId="24B4B629" w14:textId="77777777" w:rsidR="00AE7AF2" w:rsidRPr="00A77871" w:rsidRDefault="00AE7AF2" w:rsidP="00C0734E">
      <w:pPr>
        <w:spacing w:before="240" w:after="120" w:line="276" w:lineRule="auto"/>
        <w:jc w:val="both"/>
        <w:rPr>
          <w:rFonts w:ascii="Verdana" w:eastAsia="Calibri" w:hAnsi="Verdana" w:cs="Arial"/>
          <w:color w:val="000000"/>
          <w:lang w:eastAsia="es-ES"/>
        </w:rPr>
      </w:pPr>
      <w:r w:rsidRPr="00A77871">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77871">
        <w:rPr>
          <w:rFonts w:ascii="Verdana" w:eastAsia="Calibri" w:hAnsi="Verdana" w:cs="Arial"/>
          <w:color w:val="000000"/>
          <w:lang w:eastAsia="es-ES_tradnl"/>
        </w:rPr>
        <w:tab/>
      </w:r>
    </w:p>
    <w:p w14:paraId="43BD0E1F" w14:textId="77777777" w:rsidR="00AE7AF2" w:rsidRPr="00A77871" w:rsidRDefault="00AE7AF2" w:rsidP="00C0734E">
      <w:pPr>
        <w:spacing w:line="276" w:lineRule="auto"/>
        <w:jc w:val="both"/>
        <w:rPr>
          <w:rFonts w:ascii="Verdana" w:eastAsia="Calibri" w:hAnsi="Verdana" w:cs="Arial"/>
          <w:b/>
          <w:bCs/>
          <w:color w:val="000000"/>
          <w:lang w:eastAsia="es-ES"/>
        </w:rPr>
      </w:pPr>
      <w:r w:rsidRPr="00A77871">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A77871">
        <w:rPr>
          <w:rFonts w:ascii="Verdana" w:eastAsia="Calibri" w:hAnsi="Verdana" w:cs="Arial"/>
          <w:color w:val="7030A0"/>
          <w:lang w:eastAsia="es-ES"/>
        </w:rPr>
        <w:t xml:space="preserve"> </w:t>
      </w:r>
      <w:r w:rsidRPr="00A77871">
        <w:rPr>
          <w:rFonts w:ascii="Verdana" w:eastAsia="Calibri" w:hAnsi="Verdana" w:cs="Arial"/>
          <w:color w:val="000000"/>
          <w:lang w:eastAsia="es-ES"/>
        </w:rPr>
        <w:t>problemas</w:t>
      </w:r>
      <w:r w:rsidRPr="00A77871">
        <w:rPr>
          <w:rFonts w:ascii="Verdana" w:eastAsia="Calibri" w:hAnsi="Verdana" w:cs="Arial"/>
          <w:color w:val="7030A0"/>
          <w:lang w:eastAsia="es-ES"/>
        </w:rPr>
        <w:t xml:space="preserve"> </w:t>
      </w:r>
      <w:r w:rsidRPr="00A77871">
        <w:rPr>
          <w:rFonts w:ascii="Verdana" w:eastAsia="Calibri" w:hAnsi="Verdana" w:cs="Arial"/>
          <w:color w:val="000000"/>
          <w:lang w:eastAsia="es-ES"/>
        </w:rPr>
        <w:t>jurídicos</w:t>
      </w:r>
      <w:r w:rsidRPr="00A77871">
        <w:rPr>
          <w:rFonts w:ascii="Verdana" w:eastAsia="Calibri" w:hAnsi="Verdana" w:cs="Arial"/>
          <w:color w:val="7030A0"/>
          <w:lang w:eastAsia="es-ES"/>
        </w:rPr>
        <w:t xml:space="preserve"> </w:t>
      </w:r>
      <w:r w:rsidRPr="00A77871">
        <w:rPr>
          <w:rFonts w:ascii="Verdana" w:eastAsia="Calibri" w:hAnsi="Verdana" w:cs="Arial"/>
          <w:color w:val="000000"/>
          <w:lang w:eastAsia="es-ES"/>
        </w:rPr>
        <w:t>de su consulta.</w:t>
      </w:r>
      <w:r w:rsidRPr="00A77871">
        <w:rPr>
          <w:rFonts w:ascii="Verdana" w:eastAsia="Calibri" w:hAnsi="Verdana" w:cs="Arial"/>
          <w:b/>
          <w:bCs/>
          <w:color w:val="000000"/>
          <w:lang w:eastAsia="es-ES"/>
        </w:rPr>
        <w:t xml:space="preserve"> </w:t>
      </w:r>
    </w:p>
    <w:p w14:paraId="46D3A330" w14:textId="77777777" w:rsidR="00AE7AF2" w:rsidRPr="001B415F" w:rsidRDefault="00AE7AF2" w:rsidP="00C0734E">
      <w:pPr>
        <w:numPr>
          <w:ilvl w:val="0"/>
          <w:numId w:val="16"/>
        </w:numPr>
        <w:tabs>
          <w:tab w:val="left" w:pos="142"/>
          <w:tab w:val="left" w:pos="284"/>
        </w:tabs>
        <w:spacing w:before="240" w:after="0" w:line="276" w:lineRule="auto"/>
        <w:contextualSpacing/>
        <w:jc w:val="both"/>
        <w:rPr>
          <w:rFonts w:ascii="Verdana" w:eastAsia="Century Gothic" w:hAnsi="Verdana" w:cs="Century Gothic"/>
        </w:rPr>
      </w:pPr>
      <w:r w:rsidRPr="001B415F">
        <w:rPr>
          <w:rFonts w:ascii="Verdana" w:eastAsia="Century Gothic" w:hAnsi="Verdana" w:cs="Century Gothic"/>
          <w:b/>
          <w:bCs/>
        </w:rPr>
        <w:t>Problema planteado:</w:t>
      </w:r>
    </w:p>
    <w:p w14:paraId="3E25D8CF" w14:textId="6550D860" w:rsidR="00B43515" w:rsidRDefault="00AE7AF2" w:rsidP="00C0734E">
      <w:pPr>
        <w:spacing w:before="240" w:line="276" w:lineRule="auto"/>
        <w:jc w:val="both"/>
        <w:rPr>
          <w:rFonts w:ascii="Verdana" w:eastAsia="Calibri" w:hAnsi="Verdana" w:cs="Arial"/>
          <w:color w:val="000000"/>
          <w:lang w:eastAsia="es-ES"/>
        </w:rPr>
      </w:pPr>
      <w:r w:rsidRPr="00A77871">
        <w:rPr>
          <w:rFonts w:ascii="Verdana" w:eastAsia="Century Gothic" w:hAnsi="Verdana" w:cs="Century Gothic"/>
        </w:rPr>
        <w:t>De acuerdo con el contenido de su solicitud, esta Agencia resolverá el siguiente problema jurídico</w:t>
      </w:r>
      <w:r w:rsidRPr="00DB251B">
        <w:rPr>
          <w:rFonts w:ascii="Verdana" w:eastAsia="Calibri" w:hAnsi="Verdana" w:cs="Arial"/>
          <w:color w:val="000000"/>
          <w:lang w:eastAsia="es-ES"/>
        </w:rPr>
        <w:t xml:space="preserve"> </w:t>
      </w:r>
      <w:r w:rsidR="0019555C" w:rsidRPr="00BC5D50">
        <w:rPr>
          <w:rFonts w:ascii="Verdana" w:eastAsia="Aptos" w:hAnsi="Verdana" w:cs="Times New Roman"/>
        </w:rPr>
        <w:t xml:space="preserve">¿Qué aspectos deben considerar las entidades estatales al definir los requisitos habilitantes </w:t>
      </w:r>
      <w:r w:rsidR="00844544" w:rsidRPr="00844544">
        <w:rPr>
          <w:rFonts w:ascii="Verdana" w:eastAsia="Calibri" w:hAnsi="Verdana" w:cs="Arial"/>
          <w:color w:val="000000"/>
          <w:lang w:eastAsia="es-ES"/>
        </w:rPr>
        <w:t>y los factores ponderables dentro de los procesos de selección?</w:t>
      </w:r>
    </w:p>
    <w:p w14:paraId="0D445B3B" w14:textId="523D6A67" w:rsidR="00AE7AF2" w:rsidRPr="00B43515" w:rsidRDefault="00AE7AF2" w:rsidP="00C0734E">
      <w:pPr>
        <w:pStyle w:val="Prrafodelista"/>
        <w:numPr>
          <w:ilvl w:val="0"/>
          <w:numId w:val="16"/>
        </w:numPr>
        <w:tabs>
          <w:tab w:val="left" w:pos="142"/>
          <w:tab w:val="left" w:pos="284"/>
        </w:tabs>
        <w:spacing w:before="240" w:line="276" w:lineRule="auto"/>
        <w:jc w:val="both"/>
        <w:rPr>
          <w:rFonts w:ascii="Verdana" w:eastAsia="Century Gothic" w:hAnsi="Verdana" w:cs="Century Gothic"/>
          <w:b/>
          <w:bCs/>
        </w:rPr>
      </w:pPr>
      <w:r w:rsidRPr="00B43515">
        <w:rPr>
          <w:rFonts w:ascii="Verdana" w:eastAsia="Century Gothic" w:hAnsi="Verdana" w:cs="Century Gothic"/>
          <w:b/>
          <w:bCs/>
        </w:rPr>
        <w:t>Respuesta:</w:t>
      </w: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E7AF2" w:rsidRPr="00A77871" w14:paraId="7538EEE0" w14:textId="77777777" w:rsidTr="001B0102">
        <w:trPr>
          <w:jc w:val="center"/>
        </w:trPr>
        <w:tc>
          <w:tcPr>
            <w:tcW w:w="8828" w:type="dxa"/>
          </w:tcPr>
          <w:p w14:paraId="7E7404F7" w14:textId="77777777" w:rsidR="00A85F0E" w:rsidRPr="008007FA" w:rsidRDefault="00A85F0E" w:rsidP="008007FA">
            <w:pPr>
              <w:spacing w:after="120" w:line="276" w:lineRule="auto"/>
              <w:ind w:right="51"/>
              <w:jc w:val="both"/>
              <w:rPr>
                <w:rFonts w:ascii="Verdana" w:eastAsia="Calibri" w:hAnsi="Verdana" w:cs="Arial"/>
                <w:bCs/>
                <w:lang w:val="es-MX"/>
              </w:rPr>
            </w:pPr>
            <w:bookmarkStart w:id="3" w:name="_Hlk171694685"/>
            <w:r w:rsidRPr="00C0734E">
              <w:rPr>
                <w:rFonts w:ascii="Verdana" w:eastAsia="Times New Roman" w:hAnsi="Verdana" w:cs="Times New Roman"/>
                <w:lang w:eastAsia="es-CO"/>
              </w:rPr>
              <w:t>Para dar respuesta a su consulta, es necesario precisar que los requisitos habilitantes se entienden como aquellas exigencias de participación en los procedimientos de selección, establecidas en disposiciones normativas de carácter legal o reglamentario, o contenidas en el acto administrativo que regula las reglas de la convocatoria —esto es, en el pliego de condiciones o en el documento que haga sus veces—, mediante las cuales se evalúa la aptitud del proponente para participar en un proceso de contratación.</w:t>
            </w:r>
          </w:p>
          <w:p w14:paraId="43EF6221" w14:textId="77777777" w:rsidR="00A85F0E" w:rsidRPr="008007FA" w:rsidRDefault="00A85F0E" w:rsidP="008007FA">
            <w:pPr>
              <w:spacing w:after="120" w:line="276" w:lineRule="auto"/>
              <w:ind w:right="51"/>
              <w:jc w:val="both"/>
              <w:rPr>
                <w:rFonts w:ascii="Verdana" w:eastAsia="Calibri" w:hAnsi="Verdana" w:cs="Arial"/>
                <w:bCs/>
                <w:lang w:val="es-MX"/>
              </w:rPr>
            </w:pPr>
            <w:r w:rsidRPr="00C0734E">
              <w:rPr>
                <w:rFonts w:ascii="Verdana" w:eastAsia="Times New Roman" w:hAnsi="Verdana" w:cs="Times New Roman"/>
                <w:lang w:eastAsia="es-CO"/>
              </w:rPr>
              <w:t xml:space="preserve">Ahora bien, los factores de escogencia y calificación que establezcan las Entidades en los pliegos de condiciones o sus documentos equivalentes </w:t>
            </w:r>
            <w:r w:rsidRPr="00C0734E">
              <w:rPr>
                <w:rFonts w:ascii="Verdana" w:eastAsia="Times New Roman" w:hAnsi="Verdana" w:cs="Times New Roman"/>
                <w:lang w:eastAsia="es-CO"/>
              </w:rPr>
              <w:lastRenderedPageBreak/>
              <w:t>deberán tener en cuenta el deber de selección objetiva. En particular la Ley dispone que los criterios habilitantes que determine la Entidad deberán ser adecuados y proporcionales tanto a la naturaleza del contrato a suscribir como a su valor. De esta manera, aquellas condiciones habilitantes que no resulten adecuadas para determinar la idoneidad o capacidad del proponente para ejecutar el objeto del contrato, o que sean desproporcionados frente a este, serán contrarias al deber de selección objetiva.</w:t>
            </w:r>
          </w:p>
          <w:p w14:paraId="02E8D1A4" w14:textId="77777777" w:rsidR="00A85F0E" w:rsidRPr="008007FA" w:rsidRDefault="00A85F0E" w:rsidP="008007FA">
            <w:pPr>
              <w:spacing w:after="120" w:line="276" w:lineRule="auto"/>
              <w:ind w:right="51"/>
              <w:jc w:val="both"/>
              <w:rPr>
                <w:rFonts w:ascii="Verdana" w:eastAsia="Calibri" w:hAnsi="Verdana" w:cs="Arial"/>
                <w:bCs/>
                <w:lang w:val="es-MX"/>
              </w:rPr>
            </w:pPr>
            <w:r w:rsidRPr="00C0734E">
              <w:rPr>
                <w:rFonts w:ascii="Verdana" w:eastAsia="Times New Roman" w:hAnsi="Verdana" w:cs="Times New Roman"/>
                <w:lang w:eastAsia="es-CO"/>
              </w:rPr>
              <w:t>En este sentido, si bien las Entidades Estatales gozan de autonomía para definir los requisitos habilitantes, tal facultad no puede ejercerse de manera arbitraria, caprichosa ni, mucho menos, con el ánimo de direccionar el proceso de contratación o favorecer a alguno de los proponentes. Por el contrario, dicha autonomía debe ser ejercida procurando establecer condiciones habilitantes de manera objetiva, de suerte que estas sirvan para determinar si los participantes del proceso de contratación cuentan con las capacidades que los hacen aptos para ejecutar el objeto contractual. Para ello, resulta indispensable que los requisitos establecidos por la entidad se fijen de manera adecuada y proporcional a las características del objeto a contratar, en estricta observancia de la normativa que resulte aplicable.</w:t>
            </w:r>
          </w:p>
          <w:p w14:paraId="5D1431FB" w14:textId="6B47DFA7" w:rsidR="005E10E9" w:rsidRPr="00C0734E" w:rsidRDefault="00665802" w:rsidP="00206580">
            <w:pPr>
              <w:spacing w:before="120" w:after="120" w:line="276" w:lineRule="auto"/>
              <w:jc w:val="both"/>
              <w:rPr>
                <w:rFonts w:ascii="Verdana" w:hAnsi="Verdana" w:cs="Arial"/>
              </w:rPr>
            </w:pPr>
            <w:r>
              <w:rPr>
                <w:rFonts w:ascii="Verdana" w:eastAsia="Calibri" w:hAnsi="Verdana" w:cs="Arial"/>
              </w:rPr>
              <w:t xml:space="preserve">Ahora bien, </w:t>
            </w:r>
            <w:r w:rsidR="005E10E9" w:rsidRPr="00C0734E">
              <w:rPr>
                <w:rFonts w:ascii="Verdana" w:eastAsia="Calibri" w:hAnsi="Verdana" w:cs="Arial"/>
              </w:rPr>
              <w:t xml:space="preserve">en contraposición a los requisitos habilitantes, </w:t>
            </w:r>
            <w:r w:rsidR="004F728F">
              <w:rPr>
                <w:rFonts w:ascii="Verdana" w:eastAsia="Calibri" w:hAnsi="Verdana" w:cs="Arial"/>
              </w:rPr>
              <w:t>tenemos</w:t>
            </w:r>
            <w:r w:rsidR="004F728F" w:rsidRPr="00C0734E">
              <w:rPr>
                <w:rFonts w:ascii="Verdana" w:eastAsia="Calibri" w:hAnsi="Verdana" w:cs="Arial"/>
              </w:rPr>
              <w:t xml:space="preserve"> los requisitos ponderables</w:t>
            </w:r>
            <w:r w:rsidR="004F728F">
              <w:rPr>
                <w:rFonts w:ascii="Verdana" w:eastAsia="Calibri" w:hAnsi="Verdana" w:cs="Arial"/>
              </w:rPr>
              <w:t>.</w:t>
            </w:r>
            <w:r w:rsidR="004F728F" w:rsidRPr="00C0734E">
              <w:rPr>
                <w:rFonts w:ascii="Verdana" w:eastAsia="Calibri" w:hAnsi="Verdana" w:cs="Arial"/>
              </w:rPr>
              <w:t xml:space="preserve"> </w:t>
            </w:r>
            <w:r w:rsidR="004F728F">
              <w:rPr>
                <w:rFonts w:ascii="Verdana" w:eastAsia="Calibri" w:hAnsi="Verdana" w:cs="Arial"/>
              </w:rPr>
              <w:t>E</w:t>
            </w:r>
            <w:r w:rsidR="005E10E9" w:rsidRPr="00C0734E">
              <w:rPr>
                <w:rFonts w:ascii="Verdana" w:eastAsia="Calibri" w:hAnsi="Verdana" w:cs="Arial"/>
              </w:rPr>
              <w:t xml:space="preserve">l artículo 5 de la Ley 1150 de 2007 regula los factores dirigidos a determinar cuál es la propuesta comparativamente más favorable. En ese sentido, el inciso primero dispone los factores de escogencia y calificación que deben indicarse en los pliegos de condiciones. El numeral 2 de esta norma establece que la oferta más favorable es aquella que resulte ser la más ventajosa para la entidad, una vez se realice la ponderación precisa y detallada de </w:t>
            </w:r>
            <w:r w:rsidR="005E10E9" w:rsidRPr="00C0734E">
              <w:rPr>
                <w:rFonts w:ascii="Verdana" w:hAnsi="Verdana" w:cs="Arial"/>
              </w:rPr>
              <w:t xml:space="preserve">los factores técnicos y económicos de escogencia, de acuerdo con los parámetros establecidos en los pliegos de 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 – beneficio para la entidad. </w:t>
            </w:r>
          </w:p>
          <w:p w14:paraId="6ACE4212" w14:textId="77777777" w:rsidR="005E10E9" w:rsidRPr="00C0734E" w:rsidRDefault="005E10E9" w:rsidP="00206580">
            <w:pPr>
              <w:spacing w:before="120" w:after="120" w:line="276" w:lineRule="auto"/>
              <w:jc w:val="both"/>
              <w:rPr>
                <w:rFonts w:ascii="Verdana" w:hAnsi="Verdana" w:cs="Arial"/>
              </w:rPr>
            </w:pPr>
            <w:r w:rsidRPr="00C0734E">
              <w:rPr>
                <w:rFonts w:ascii="Verdana" w:hAnsi="Verdana" w:cs="Arial"/>
              </w:rPr>
              <w:t xml:space="preserve">Conforme a lo anterior, el artículo 5 de la Ley 1150 de 2007 alude a diferentes conceptos como factores de escogencia, de calificación, técnicos y económicos </w:t>
            </w:r>
            <w:r w:rsidRPr="00C0734E">
              <w:rPr>
                <w:rFonts w:ascii="Verdana" w:hAnsi="Verdana" w:cs="Arial"/>
              </w:rPr>
              <w:lastRenderedPageBreak/>
              <w:t xml:space="preserve">de escogencia, de evaluación y calificación. Por ello, la doctrina define los requisitos o factores ponderables como </w:t>
            </w:r>
            <w:r w:rsidRPr="00C0734E">
              <w:rPr>
                <w:rFonts w:ascii="Verdana" w:hAnsi="Verdana" w:cs="Arial"/>
                <w:lang w:val="es-ES_tradnl"/>
              </w:rPr>
              <w:t>“[…]</w:t>
            </w:r>
            <w:r w:rsidRPr="00C0734E">
              <w:rPr>
                <w:rFonts w:ascii="Verdana" w:hAnsi="Verdana" w:cs="Arial"/>
              </w:rPr>
              <w:t xml:space="preserve"> aquellas condiciones de la oferta y no de quien la presenta, que sí entrarán a ser evaluadas por la Administración y que, en consecuencia, darán lugar a la escogencia objetiva de la mejor propuesta para la entidad”</w:t>
            </w:r>
            <w:r w:rsidRPr="00C0734E">
              <w:rPr>
                <w:rStyle w:val="Refdenotaalpie"/>
                <w:rFonts w:ascii="Verdana" w:hAnsi="Verdana" w:cs="Arial"/>
              </w:rPr>
              <w:footnoteReference w:id="2"/>
            </w:r>
            <w:r w:rsidRPr="00C0734E">
              <w:rPr>
                <w:rFonts w:ascii="Verdana" w:hAnsi="Verdana" w:cs="Arial"/>
              </w:rPr>
              <w:t>. Todas estas categorías designan los “</w:t>
            </w:r>
            <w:r w:rsidRPr="00C0734E">
              <w:rPr>
                <w:rFonts w:ascii="Verdana" w:hAnsi="Verdana" w:cs="Arial"/>
                <w:lang w:val="es-ES_tradnl"/>
              </w:rPr>
              <w:t>[…]</w:t>
            </w:r>
            <w:r w:rsidRPr="00C0734E">
              <w:rPr>
                <w:rFonts w:ascii="Verdana" w:hAnsi="Verdana" w:cs="Arial"/>
              </w:rPr>
              <w:t xml:space="preserve"> factores a los cuales cabe otorgarles puntajes o que pueden ser ponderados, precisamente, pues estos son los factores que en últimas permiten una comparación de ofertas y una diferenciación entre ellas”</w:t>
            </w:r>
            <w:r w:rsidRPr="00C0734E">
              <w:rPr>
                <w:rStyle w:val="Refdenotaalpie"/>
                <w:rFonts w:ascii="Verdana" w:hAnsi="Verdana" w:cs="Arial"/>
              </w:rPr>
              <w:footnoteReference w:id="3"/>
            </w:r>
            <w:r w:rsidRPr="00C0734E">
              <w:rPr>
                <w:rFonts w:ascii="Verdana" w:hAnsi="Verdana" w:cs="Arial"/>
              </w:rPr>
              <w:t>.</w:t>
            </w:r>
          </w:p>
          <w:p w14:paraId="64F51D6C" w14:textId="77777777" w:rsidR="00FF5155" w:rsidRDefault="005E10E9" w:rsidP="00206580">
            <w:pPr>
              <w:spacing w:before="120" w:after="120" w:line="276" w:lineRule="auto"/>
              <w:jc w:val="both"/>
              <w:rPr>
                <w:rFonts w:ascii="Verdana" w:eastAsia="Calibri" w:hAnsi="Verdana" w:cs="Arial"/>
              </w:rPr>
            </w:pPr>
            <w:r w:rsidRPr="00C0734E">
              <w:rPr>
                <w:rFonts w:ascii="Verdana" w:eastAsia="Calibri" w:hAnsi="Verdana" w:cs="Arial"/>
              </w:rPr>
              <w:t xml:space="preserve">En ese sentido, la asignación de puntaje es un mecanismo mediante el cual las entidades ponderan los factores de calificación </w:t>
            </w:r>
            <w:r w:rsidRPr="00C0734E">
              <w:rPr>
                <w:rFonts w:ascii="Arial" w:eastAsia="Calibri" w:hAnsi="Arial" w:cs="Arial"/>
              </w:rPr>
              <w:t>ꟷ</w:t>
            </w:r>
            <w:r w:rsidRPr="00C0734E">
              <w:rPr>
                <w:rFonts w:ascii="Verdana" w:eastAsia="Calibri" w:hAnsi="Verdana" w:cs="Arial"/>
                <w:i/>
              </w:rPr>
              <w:t>v.g.</w:t>
            </w:r>
            <w:r w:rsidRPr="00C0734E">
              <w:rPr>
                <w:rFonts w:ascii="Verdana" w:eastAsia="Calibri" w:hAnsi="Verdana" w:cs="Arial"/>
              </w:rPr>
              <w:t xml:space="preserve"> técnicos y económicos, de calidad y precio</w:t>
            </w:r>
            <w:r w:rsidRPr="00C0734E">
              <w:rPr>
                <w:rFonts w:ascii="Verdana" w:eastAsia="Calibri" w:hAnsi="Verdana" w:cs="Arial"/>
              </w:rPr>
              <w:softHyphen/>
              <w:t>, etc.</w:t>
            </w:r>
            <w:r w:rsidRPr="00C0734E">
              <w:rPr>
                <w:rFonts w:ascii="Arial" w:eastAsia="Calibri" w:hAnsi="Arial" w:cs="Arial"/>
              </w:rPr>
              <w:t>ꟷ</w:t>
            </w:r>
            <w:r w:rsidRPr="00C0734E">
              <w:rPr>
                <w:rFonts w:ascii="Verdana" w:eastAsia="Calibri" w:hAnsi="Verdana" w:cs="Arial"/>
              </w:rPr>
              <w:t xml:space="preserve"> en un determinado proceso de selecci</w:t>
            </w:r>
            <w:r w:rsidRPr="00C0734E">
              <w:rPr>
                <w:rFonts w:ascii="Verdana" w:eastAsia="Calibri" w:hAnsi="Verdana" w:cs="Verdana"/>
              </w:rPr>
              <w:t>ó</w:t>
            </w:r>
            <w:r w:rsidRPr="00C0734E">
              <w:rPr>
                <w:rFonts w:ascii="Verdana" w:eastAsia="Calibri" w:hAnsi="Verdana" w:cs="Arial"/>
              </w:rPr>
              <w:t>n, como se desprende del literal a) del numeral 2 del art</w:t>
            </w:r>
            <w:r w:rsidRPr="00C0734E">
              <w:rPr>
                <w:rFonts w:ascii="Verdana" w:eastAsia="Calibri" w:hAnsi="Verdana" w:cs="Verdana"/>
              </w:rPr>
              <w:t>í</w:t>
            </w:r>
            <w:r w:rsidRPr="00C0734E">
              <w:rPr>
                <w:rFonts w:ascii="Verdana" w:eastAsia="Calibri" w:hAnsi="Verdana" w:cs="Arial"/>
              </w:rPr>
              <w:t xml:space="preserve">culo 5 de la Ley 1150 de 2007, pero no es el </w:t>
            </w:r>
            <w:r w:rsidRPr="00C0734E">
              <w:rPr>
                <w:rFonts w:ascii="Verdana" w:eastAsia="Calibri" w:hAnsi="Verdana" w:cs="Verdana"/>
              </w:rPr>
              <w:t>ú</w:t>
            </w:r>
            <w:r w:rsidRPr="00C0734E">
              <w:rPr>
                <w:rFonts w:ascii="Verdana" w:eastAsia="Calibri" w:hAnsi="Verdana" w:cs="Arial"/>
              </w:rPr>
              <w:t>nico mecanismo ya que el literal b) trata de la relaci</w:t>
            </w:r>
            <w:r w:rsidRPr="00C0734E">
              <w:rPr>
                <w:rFonts w:ascii="Verdana" w:eastAsia="Calibri" w:hAnsi="Verdana" w:cs="Verdana"/>
              </w:rPr>
              <w:t>ó</w:t>
            </w:r>
            <w:r w:rsidRPr="00C0734E">
              <w:rPr>
                <w:rFonts w:ascii="Verdana" w:eastAsia="Calibri" w:hAnsi="Verdana" w:cs="Arial"/>
              </w:rPr>
              <w:t>n costo-beneficio donde no habría necesidad de acudir obligatoriamente a sistemas de asignación de puntaje. Además, en los procesos de selección de bienes y servicios de características técnicas uniformes y de común utilización, así como los de mínima cuantía, el único factor de selección es el menor precio ofertado, por lo que no hay lugar a ponderación mediante puntajes</w:t>
            </w:r>
            <w:r w:rsidRPr="00105C89">
              <w:rPr>
                <w:rFonts w:ascii="Verdana" w:eastAsia="Calibri" w:hAnsi="Verdana" w:cs="Arial"/>
              </w:rPr>
              <w:t>.</w:t>
            </w:r>
          </w:p>
          <w:p w14:paraId="017B7C60" w14:textId="77777777" w:rsidR="00D4133D" w:rsidRDefault="00F00CAF" w:rsidP="00206580">
            <w:pPr>
              <w:spacing w:before="120" w:after="120" w:line="276" w:lineRule="auto"/>
              <w:jc w:val="both"/>
              <w:rPr>
                <w:rFonts w:ascii="Verdana" w:eastAsia="Calibri" w:hAnsi="Verdana" w:cs="Arial"/>
                <w:bCs/>
                <w:lang w:val="es-MX"/>
              </w:rPr>
            </w:pPr>
            <w:r>
              <w:rPr>
                <w:rFonts w:ascii="Verdana" w:eastAsia="Calibri" w:hAnsi="Verdana" w:cs="Arial"/>
                <w:bCs/>
                <w:lang w:val="es-MX"/>
              </w:rPr>
              <w:t>En este contexto</w:t>
            </w:r>
            <w:r w:rsidR="00FF5155">
              <w:rPr>
                <w:rFonts w:ascii="Verdana" w:eastAsia="Calibri" w:hAnsi="Verdana" w:cs="Arial"/>
                <w:bCs/>
                <w:lang w:val="es-MX"/>
              </w:rPr>
              <w:t xml:space="preserve">, </w:t>
            </w:r>
            <w:r w:rsidR="00FF5155" w:rsidRPr="00BD4869">
              <w:rPr>
                <w:rFonts w:ascii="Verdana" w:eastAsia="Calibri" w:hAnsi="Verdana" w:cs="Arial"/>
                <w:bCs/>
                <w:lang w:val="es-MX"/>
              </w:rPr>
              <w:t>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w:t>
            </w:r>
            <w:r w:rsidR="00FF5155" w:rsidRPr="00BD4869">
              <w:rPr>
                <w:rFonts w:ascii="Verdana" w:eastAsia="Calibri" w:hAnsi="Verdana" w:cs="Arial"/>
                <w:bCs/>
                <w:vertAlign w:val="superscript"/>
                <w:lang w:val="es-MX"/>
              </w:rPr>
              <w:footnoteReference w:id="4"/>
            </w:r>
            <w:r w:rsidR="00FF5155" w:rsidRPr="00BD4869">
              <w:rPr>
                <w:rFonts w:ascii="Verdana" w:eastAsia="Calibri" w:hAnsi="Verdana" w:cs="Arial"/>
                <w:bCs/>
                <w:lang w:val="es-MX"/>
              </w:rPr>
              <w:t xml:space="preserve">. Todas estas categorías designan los “[…] factores a los cuales cabe otorgarles puntajes o que pueden ser ponderados, precisamente, pues </w:t>
            </w:r>
            <w:r w:rsidR="00FF5155" w:rsidRPr="00BD4869">
              <w:rPr>
                <w:rFonts w:ascii="Verdana" w:eastAsia="Calibri" w:hAnsi="Verdana" w:cs="Arial"/>
                <w:bCs/>
                <w:lang w:val="es-MX"/>
              </w:rPr>
              <w:lastRenderedPageBreak/>
              <w:t>estos son los factores que en últimas permiten una comparación de ofertas y una diferenciación entre ellas”</w:t>
            </w:r>
            <w:r w:rsidR="00FF5155" w:rsidRPr="00BD4869">
              <w:rPr>
                <w:rFonts w:ascii="Verdana" w:eastAsia="Calibri" w:hAnsi="Verdana" w:cs="Arial"/>
                <w:bCs/>
                <w:vertAlign w:val="superscript"/>
                <w:lang w:val="es-MX"/>
              </w:rPr>
              <w:footnoteReference w:id="5"/>
            </w:r>
            <w:r w:rsidR="00FF5155" w:rsidRPr="00BD4869">
              <w:rPr>
                <w:rFonts w:ascii="Verdana" w:eastAsia="Calibri" w:hAnsi="Verdana" w:cs="Arial"/>
                <w:bCs/>
                <w:lang w:val="es-MX"/>
              </w:rPr>
              <w:t>.</w:t>
            </w:r>
          </w:p>
          <w:p w14:paraId="6D47C40C" w14:textId="08980483" w:rsidR="00A80195" w:rsidRPr="00416655" w:rsidRDefault="00A80195" w:rsidP="00206580">
            <w:pPr>
              <w:spacing w:before="120" w:after="120" w:line="276" w:lineRule="auto"/>
              <w:jc w:val="both"/>
              <w:rPr>
                <w:rFonts w:ascii="Verdana" w:eastAsia="Calibri" w:hAnsi="Verdana" w:cs="Arial"/>
              </w:rPr>
            </w:pPr>
            <w:r w:rsidRPr="00A80195">
              <w:rPr>
                <w:rFonts w:ascii="Verdana" w:eastAsia="Calibri" w:hAnsi="Verdana" w:cs="Arial"/>
              </w:rPr>
              <w:t>En suma,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tc>
      </w:tr>
    </w:tbl>
    <w:bookmarkEnd w:id="3"/>
    <w:p w14:paraId="24310495" w14:textId="77777777" w:rsidR="00AE7AF2" w:rsidRPr="00A77871" w:rsidRDefault="00AE7AF2" w:rsidP="00C0734E">
      <w:pPr>
        <w:numPr>
          <w:ilvl w:val="0"/>
          <w:numId w:val="16"/>
        </w:numPr>
        <w:tabs>
          <w:tab w:val="left" w:pos="142"/>
          <w:tab w:val="left" w:pos="284"/>
        </w:tabs>
        <w:spacing w:before="240" w:line="276" w:lineRule="auto"/>
        <w:jc w:val="both"/>
        <w:rPr>
          <w:rFonts w:ascii="Verdana" w:eastAsia="Century Gothic" w:hAnsi="Verdana" w:cs="Century Gothic"/>
          <w:b/>
          <w:bCs/>
        </w:rPr>
      </w:pPr>
      <w:r w:rsidRPr="00A77871">
        <w:rPr>
          <w:rFonts w:ascii="Verdana" w:eastAsia="Century Gothic" w:hAnsi="Verdana" w:cs="Century Gothic"/>
          <w:b/>
          <w:bCs/>
        </w:rPr>
        <w:lastRenderedPageBreak/>
        <w:t>Razones de la respuesta:</w:t>
      </w:r>
    </w:p>
    <w:p w14:paraId="111FE015" w14:textId="77777777" w:rsidR="00416655" w:rsidRDefault="00AE7AF2" w:rsidP="00C0734E">
      <w:pPr>
        <w:pStyle w:val="Prrafodelista"/>
        <w:spacing w:line="276" w:lineRule="auto"/>
        <w:ind w:left="360"/>
        <w:jc w:val="both"/>
        <w:rPr>
          <w:rFonts w:ascii="Verdana" w:eastAsia="Calibri" w:hAnsi="Verdana" w:cs="Arial"/>
        </w:rPr>
      </w:pPr>
      <w:r w:rsidRPr="00A77871">
        <w:rPr>
          <w:rFonts w:ascii="Verdana" w:eastAsia="Calibri" w:hAnsi="Verdana" w:cs="Arial"/>
        </w:rPr>
        <w:t>Lo anterior se sustenta en las siguientes consideraciones:</w:t>
      </w:r>
    </w:p>
    <w:p w14:paraId="28DCDED1" w14:textId="77777777" w:rsidR="00416655" w:rsidRPr="00327CB4" w:rsidRDefault="00416655" w:rsidP="00C0734E">
      <w:pPr>
        <w:spacing w:after="0" w:line="276" w:lineRule="auto"/>
        <w:jc w:val="both"/>
        <w:rPr>
          <w:rFonts w:ascii="Verdana" w:eastAsia="Arial" w:hAnsi="Verdana" w:cs="Arial"/>
          <w:color w:val="000000"/>
          <w:lang w:val="es-ES"/>
        </w:rPr>
      </w:pPr>
      <w:r w:rsidRPr="00327CB4">
        <w:rPr>
          <w:rFonts w:ascii="Verdana" w:eastAsia="Arial" w:hAnsi="Verdana" w:cs="Arial"/>
          <w:color w:val="000000"/>
          <w:lang w:val="es-ES"/>
        </w:rPr>
        <w:t xml:space="preserve">Uno de los principios transversales de los procedimientos de selección es el de </w:t>
      </w:r>
      <w:r w:rsidRPr="00327CB4">
        <w:rPr>
          <w:rFonts w:ascii="Verdana" w:eastAsia="Arial" w:hAnsi="Verdana" w:cs="Arial"/>
          <w:i/>
          <w:color w:val="000000"/>
          <w:lang w:val="es-ES"/>
        </w:rPr>
        <w:t>selección objetiva</w:t>
      </w:r>
      <w:r w:rsidRPr="00327CB4">
        <w:rPr>
          <w:rFonts w:ascii="Verdana" w:eastAsia="Arial" w:hAnsi="Verdana" w:cs="Arial"/>
          <w:color w:val="000000"/>
          <w:lang w:val="es-ES"/>
        </w:rPr>
        <w:t>. Se trata del postulado que exige que la escogencia de la oferta ganadora deba fundamentarse en factores objetivos, de carácter técnico, jurídico y financiero, y no en criterios subjetivos, como el afecto, la amistad, el ánimo de ayuda, el interés personal, entre otros. Si bien existen antecedentes normativos que consagraban dicho principio</w:t>
      </w:r>
      <w:r w:rsidRPr="00327CB4">
        <w:rPr>
          <w:rFonts w:ascii="Verdana" w:eastAsia="Arial" w:hAnsi="Verdana" w:cs="Arial"/>
          <w:color w:val="000000"/>
          <w:vertAlign w:val="superscript"/>
          <w:lang w:val="es-ES"/>
        </w:rPr>
        <w:footnoteReference w:id="6"/>
      </w:r>
      <w:r w:rsidRPr="00327CB4">
        <w:rPr>
          <w:rFonts w:ascii="Verdana" w:eastAsia="Arial" w:hAnsi="Verdana" w:cs="Arial"/>
          <w:color w:val="000000"/>
          <w:lang w:val="es-ES"/>
        </w:rPr>
        <w:t xml:space="preserve">, en la actualidad el artículo 5 de la </w:t>
      </w:r>
      <w:r w:rsidRPr="00327CB4">
        <w:rPr>
          <w:rFonts w:ascii="Verdana" w:eastAsia="Arial" w:hAnsi="Verdana" w:cs="Arial"/>
          <w:color w:val="000000"/>
          <w:lang w:val="es-ES"/>
        </w:rPr>
        <w:lastRenderedPageBreak/>
        <w:t xml:space="preserve">Ley 1150 de 2007, modificado por el artículo 88 de la Ley 1474 de 2011 y por el artículo 5 de la Ley 1882 de 2018, lo prevé de manera expresa. Esta norma prescribe lo siguiente: </w:t>
      </w:r>
    </w:p>
    <w:p w14:paraId="4FA320FA" w14:textId="77777777" w:rsidR="00416655" w:rsidRPr="00327CB4" w:rsidRDefault="00416655" w:rsidP="00177145">
      <w:pPr>
        <w:spacing w:before="240" w:after="0" w:line="240" w:lineRule="auto"/>
        <w:ind w:left="709" w:right="709"/>
        <w:jc w:val="both"/>
        <w:rPr>
          <w:rFonts w:ascii="Verdana" w:eastAsia="Arial" w:hAnsi="Verdana" w:cs="Arial"/>
          <w:color w:val="000000" w:themeColor="text1"/>
          <w:sz w:val="20"/>
          <w:szCs w:val="20"/>
          <w:lang w:val="es-ES"/>
        </w:rPr>
      </w:pPr>
      <w:r w:rsidRPr="00327CB4">
        <w:rPr>
          <w:rFonts w:ascii="Verdana" w:eastAsia="Arial" w:hAnsi="Verdana" w:cs="Arial"/>
          <w:color w:val="000000" w:themeColor="text1"/>
          <w:sz w:val="20"/>
          <w:szCs w:val="20"/>
          <w:lang w:val="es-ES"/>
        </w:rPr>
        <w:t xml:space="preserve">“ARTÍCULO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327CB4">
        <w:rPr>
          <w:rFonts w:ascii="Verdana" w:eastAsia="Arial" w:hAnsi="Verdana" w:cs="Arial"/>
          <w:color w:val="000000" w:themeColor="text1"/>
          <w:sz w:val="20"/>
          <w:szCs w:val="20"/>
          <w:lang w:val="es-ES"/>
        </w:rPr>
        <w:t>equivalentes,</w:t>
      </w:r>
      <w:proofErr w:type="gramEnd"/>
      <w:r w:rsidRPr="00327CB4">
        <w:rPr>
          <w:rFonts w:ascii="Verdana" w:eastAsia="Arial" w:hAnsi="Verdana" w:cs="Arial"/>
          <w:color w:val="000000" w:themeColor="text1"/>
          <w:sz w:val="20"/>
          <w:szCs w:val="20"/>
          <w:lang w:val="es-ES"/>
        </w:rPr>
        <w:t xml:space="preserve"> tendrán en cuenta los siguientes criterios:</w:t>
      </w:r>
    </w:p>
    <w:p w14:paraId="40350664"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p>
    <w:p w14:paraId="4D42EF90"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1BED3ADC"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p>
    <w:p w14:paraId="76F7D1B3"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1C34C0AF"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p>
    <w:p w14:paraId="2ED0A868"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p>
    <w:p w14:paraId="15D9656A"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p>
    <w:p w14:paraId="50145FDC"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a) La ponderación de los elementos de calidad y precio soportados en puntajes o fórmulas señaladas en el pliego de condiciones; o</w:t>
      </w:r>
    </w:p>
    <w:p w14:paraId="38AE5849"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b) La ponderación de los elementos de calidad y precio que representen la mejor relación de costo-beneficio para la entidad.</w:t>
      </w:r>
    </w:p>
    <w:p w14:paraId="137DA870"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p>
    <w:p w14:paraId="56B381D7"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lastRenderedPageBreak/>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3F88F4F0"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p>
    <w:p w14:paraId="0429813E"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474FEA22"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p>
    <w:p w14:paraId="5FD6068C" w14:textId="77777777" w:rsidR="00416655" w:rsidRPr="00327CB4" w:rsidRDefault="00416655" w:rsidP="00C0734E">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En ningún caso se podrá incluir el precio, como factor de escogencia para la selección de consultores.</w:t>
      </w:r>
    </w:p>
    <w:p w14:paraId="30C60DCA" w14:textId="77777777" w:rsidR="00416655" w:rsidRPr="00327CB4" w:rsidRDefault="00416655" w:rsidP="00C0734E">
      <w:pPr>
        <w:spacing w:after="0" w:line="240" w:lineRule="auto"/>
        <w:ind w:left="709" w:right="709"/>
        <w:jc w:val="both"/>
        <w:rPr>
          <w:rFonts w:ascii="Verdana" w:hAnsi="Verdana" w:cs="Arial"/>
          <w:bCs/>
          <w:i/>
          <w:sz w:val="20"/>
          <w:lang w:val="es-ES" w:eastAsia="es-ES"/>
        </w:rPr>
      </w:pPr>
    </w:p>
    <w:p w14:paraId="390BCB8F" w14:textId="77777777" w:rsidR="00416655" w:rsidRPr="00327CB4" w:rsidRDefault="00416655" w:rsidP="00C0734E">
      <w:pPr>
        <w:spacing w:after="0" w:line="240" w:lineRule="auto"/>
        <w:ind w:left="709" w:right="709"/>
        <w:jc w:val="both"/>
        <w:rPr>
          <w:rFonts w:ascii="Verdana" w:eastAsia="Arial" w:hAnsi="Verdana" w:cs="Arial"/>
          <w:iCs/>
          <w:color w:val="000000"/>
          <w:sz w:val="20"/>
          <w:szCs w:val="20"/>
          <w:lang w:val="es-ES"/>
        </w:rPr>
      </w:pPr>
      <w:r w:rsidRPr="00327CB4">
        <w:rPr>
          <w:rFonts w:ascii="Verdana" w:hAnsi="Verdana" w:cs="Arial"/>
          <w:bCs/>
          <w:iCs/>
          <w:sz w:val="20"/>
          <w:lang w:val="es-ES" w:eastAsia="es-ES"/>
        </w:rPr>
        <w:t xml:space="preserve">[…]” </w:t>
      </w:r>
    </w:p>
    <w:p w14:paraId="148D0A3D" w14:textId="77777777" w:rsidR="00416655" w:rsidRPr="00327CB4" w:rsidRDefault="00416655" w:rsidP="00C0734E">
      <w:pPr>
        <w:spacing w:after="0" w:line="276" w:lineRule="auto"/>
        <w:jc w:val="both"/>
        <w:rPr>
          <w:rFonts w:ascii="Verdana" w:eastAsia="Arial" w:hAnsi="Verdana" w:cs="Arial"/>
          <w:color w:val="000000"/>
          <w:lang w:val="es-ES"/>
        </w:rPr>
      </w:pPr>
    </w:p>
    <w:p w14:paraId="01CE7F1C" w14:textId="77777777" w:rsidR="00416655" w:rsidRPr="00327CB4" w:rsidRDefault="00416655" w:rsidP="00C0734E">
      <w:pPr>
        <w:tabs>
          <w:tab w:val="left" w:pos="0"/>
        </w:tabs>
        <w:spacing w:after="120" w:line="276" w:lineRule="auto"/>
        <w:jc w:val="both"/>
        <w:rPr>
          <w:rFonts w:ascii="Verdana" w:eastAsia="Arial" w:hAnsi="Verdana" w:cs="Arial"/>
          <w:color w:val="000000"/>
          <w:lang w:val="es-ES"/>
        </w:rPr>
      </w:pPr>
      <w:r w:rsidRPr="00327CB4">
        <w:rPr>
          <w:rFonts w:ascii="Verdana" w:eastAsia="Arial" w:hAnsi="Verdana" w:cs="Arial"/>
          <w:color w:val="000000"/>
          <w:lang w:val="es-ES"/>
        </w:rPr>
        <w:tab/>
        <w:t xml:space="preserve">De acuerdo con el artículo 5 de la Ley 1150 de 2007, el deber de selección objetiva supone que las entidades escojan en los procesos de selección el “[…] </w:t>
      </w:r>
      <w:r w:rsidRPr="00327CB4">
        <w:rPr>
          <w:rFonts w:ascii="Verdana" w:eastAsia="Arial" w:hAnsi="Verdana" w:cs="Arial"/>
          <w:i/>
          <w:iCs/>
          <w:color w:val="000000"/>
          <w:u w:val="single"/>
          <w:lang w:val="es-ES"/>
        </w:rPr>
        <w:t>ofrecimiento más favorable a la entidad y a los fines que ella busca</w:t>
      </w:r>
      <w:r w:rsidRPr="00327CB4">
        <w:rPr>
          <w:rFonts w:ascii="Verdana" w:eastAsia="Arial" w:hAnsi="Verdana" w:cs="Arial"/>
          <w:color w:val="000000"/>
          <w:lang w:val="es-ES"/>
        </w:rPr>
        <w:t xml:space="preserve">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69EF0A72" w14:textId="77777777" w:rsidR="00416655" w:rsidRDefault="00416655" w:rsidP="00C0734E">
      <w:pPr>
        <w:tabs>
          <w:tab w:val="left" w:pos="0"/>
        </w:tabs>
        <w:spacing w:after="120" w:line="276" w:lineRule="auto"/>
        <w:jc w:val="both"/>
        <w:rPr>
          <w:rFonts w:ascii="Verdana" w:eastAsia="Arial" w:hAnsi="Verdana" w:cs="Arial"/>
          <w:color w:val="000000"/>
          <w:lang w:val="es-ES"/>
        </w:rPr>
      </w:pPr>
      <w:bookmarkStart w:id="4" w:name="_1fob9te" w:colFirst="0" w:colLast="0"/>
      <w:bookmarkEnd w:id="4"/>
      <w:r w:rsidRPr="00327CB4">
        <w:rPr>
          <w:rFonts w:ascii="Verdana" w:eastAsia="Arial" w:hAnsi="Verdana" w:cs="Arial"/>
          <w:color w:val="000000"/>
          <w:lang w:val="es-ES"/>
        </w:rPr>
        <w:tab/>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327CB4">
        <w:rPr>
          <w:rFonts w:ascii="Verdana" w:eastAsia="Arial" w:hAnsi="Verdana" w:cs="Arial"/>
          <w:color w:val="000000"/>
          <w:vertAlign w:val="superscript"/>
          <w:lang w:val="es-ES"/>
        </w:rPr>
        <w:footnoteReference w:id="7"/>
      </w:r>
      <w:r w:rsidRPr="00327CB4">
        <w:rPr>
          <w:rFonts w:ascii="Verdana" w:eastAsia="Arial" w:hAnsi="Verdana" w:cs="Arial"/>
          <w:color w:val="000000"/>
          <w:lang w:val="es-ES"/>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327CB4">
        <w:rPr>
          <w:rFonts w:ascii="Verdana" w:eastAsia="Arial" w:hAnsi="Verdana" w:cs="Arial"/>
          <w:i/>
          <w:color w:val="000000"/>
          <w:lang w:val="es-ES"/>
        </w:rPr>
        <w:t xml:space="preserve">habilitantes </w:t>
      </w:r>
      <w:r w:rsidRPr="00327CB4">
        <w:rPr>
          <w:rFonts w:ascii="Verdana" w:eastAsia="Arial" w:hAnsi="Verdana" w:cs="Arial"/>
          <w:color w:val="000000"/>
          <w:lang w:val="es-ES"/>
        </w:rPr>
        <w:t xml:space="preserve">son aquellos que deben cumplir en igualdad de condiciones los proponentes y cumplido el mínimo </w:t>
      </w:r>
      <w:r w:rsidRPr="00327CB4">
        <w:rPr>
          <w:rFonts w:ascii="Verdana" w:eastAsia="Arial" w:hAnsi="Verdana" w:cs="Arial"/>
          <w:color w:val="000000"/>
          <w:lang w:val="es-ES"/>
        </w:rPr>
        <w:lastRenderedPageBreak/>
        <w:t>establecido en el pliego de condiciones o documento equivalente hacen que los proponentes se habiliten en el procedimiento de selección y sean susceptibles de ser seleccionados como futuros contratistas.</w:t>
      </w:r>
    </w:p>
    <w:p w14:paraId="5393A168" w14:textId="77777777" w:rsidR="00833F2C" w:rsidRDefault="00833F2C" w:rsidP="00C0734E">
      <w:pPr>
        <w:spacing w:after="120" w:line="276" w:lineRule="auto"/>
        <w:ind w:firstLine="709"/>
        <w:jc w:val="both"/>
        <w:rPr>
          <w:rFonts w:ascii="Verdana" w:hAnsi="Verdana" w:cs="Arial"/>
          <w:bCs/>
          <w:lang w:val="es-ES_tradnl" w:eastAsia="es-ES" w:bidi="es-ES"/>
        </w:rPr>
      </w:pPr>
      <w:r w:rsidRPr="00CC581A">
        <w:rPr>
          <w:rFonts w:ascii="Verdana" w:hAnsi="Verdana" w:cs="Arial"/>
          <w:bCs/>
          <w:lang w:val="es-ES_tradnl" w:eastAsia="es-ES" w:bidi="es-ES"/>
        </w:rPr>
        <w:t>Lo</w:t>
      </w:r>
      <w:r w:rsidRPr="0041694B">
        <w:rPr>
          <w:rFonts w:ascii="Verdana" w:hAnsi="Verdana" w:cs="Arial"/>
          <w:bCs/>
          <w:lang w:val="es-ES_tradnl" w:eastAsia="es-ES" w:bidi="es-ES"/>
        </w:rPr>
        <w:t xml:space="preserve">s </w:t>
      </w:r>
      <w:r w:rsidRPr="00540444">
        <w:rPr>
          <w:rFonts w:ascii="Verdana" w:hAnsi="Verdana" w:cs="Arial"/>
          <w:bCs/>
          <w:i/>
          <w:iCs/>
          <w:lang w:val="es-ES_tradnl" w:eastAsia="es-ES" w:bidi="es-ES"/>
        </w:rPr>
        <w:t>requisitos habilitantes</w:t>
      </w:r>
      <w:r w:rsidRPr="0041694B">
        <w:rPr>
          <w:rFonts w:ascii="Verdana" w:hAnsi="Verdana" w:cs="Arial"/>
          <w:bCs/>
          <w:lang w:val="es-ES_tradnl" w:eastAsia="es-ES" w:bidi="es-ES"/>
        </w:rPr>
        <w:t xml:space="preserve"> se definen como exigencias de participación en los procedimientos de selección, establecid</w:t>
      </w:r>
      <w:r>
        <w:rPr>
          <w:rFonts w:ascii="Verdana" w:hAnsi="Verdana" w:cs="Arial"/>
          <w:bCs/>
          <w:lang w:val="es-ES_tradnl" w:eastAsia="es-ES" w:bidi="es-ES"/>
        </w:rPr>
        <w:t>a</w:t>
      </w:r>
      <w:r w:rsidRPr="0041694B">
        <w:rPr>
          <w:rFonts w:ascii="Verdana" w:hAnsi="Verdana" w:cs="Arial"/>
          <w:bCs/>
          <w:lang w:val="es-ES_tradnl" w:eastAsia="es-ES" w:bidi="es-ES"/>
        </w:rPr>
        <w:t xml:space="preserve">s en disposiciones normativas de carácter legal o reglamentario, o contenidas en el acto administrativo que regula las reglas de la convocatoria, es decir, en el pliego de condiciones o el documento equivalente a este. Se diferencian de los </w:t>
      </w:r>
      <w:r w:rsidRPr="0041694B">
        <w:rPr>
          <w:rFonts w:ascii="Verdana" w:hAnsi="Verdana" w:cs="Arial"/>
          <w:bCs/>
          <w:i/>
          <w:iCs/>
          <w:lang w:val="es-ES_tradnl" w:eastAsia="es-ES" w:bidi="es-ES"/>
        </w:rPr>
        <w:t>criterios de evaluación</w:t>
      </w:r>
      <w:r w:rsidRPr="0041694B">
        <w:rPr>
          <w:rFonts w:ascii="Verdana" w:hAnsi="Verdana" w:cs="Arial"/>
          <w:bCs/>
          <w:lang w:val="es-ES_tradnl" w:eastAsia="es-ES" w:bidi="es-ES"/>
        </w:rPr>
        <w:t xml:space="preserve"> –también conocidos como </w:t>
      </w:r>
      <w:r w:rsidRPr="0041694B">
        <w:rPr>
          <w:rFonts w:ascii="Verdana" w:hAnsi="Verdana" w:cs="Arial"/>
          <w:bCs/>
          <w:i/>
          <w:iCs/>
          <w:lang w:val="es-ES_tradnl" w:eastAsia="es-ES" w:bidi="es-ES"/>
        </w:rPr>
        <w:t>criterios de calificación</w:t>
      </w:r>
      <w:r w:rsidRPr="0041694B">
        <w:rPr>
          <w:rFonts w:ascii="Verdana" w:hAnsi="Verdana" w:cs="Arial"/>
          <w:bCs/>
          <w:lang w:val="es-ES_tradnl" w:eastAsia="es-ES" w:bidi="es-ES"/>
        </w:rPr>
        <w:t>– en que estos son los factores definidos por la Entidad Estatal para la asignación de puntaje en el momento de la comparación de las ofertas, y que, a partir de su ponderación, permiten establecer el orden de elegibilidad y</w:t>
      </w:r>
      <w:r w:rsidRPr="00C94107">
        <w:rPr>
          <w:rFonts w:ascii="Verdana" w:hAnsi="Verdana" w:cs="Arial"/>
          <w:bCs/>
          <w:lang w:val="es-ES_tradnl" w:eastAsia="es-ES" w:bidi="es-ES"/>
        </w:rPr>
        <w:t>, por ende,</w:t>
      </w:r>
      <w:r>
        <w:rPr>
          <w:rFonts w:ascii="Verdana" w:hAnsi="Verdana" w:cs="Arial"/>
          <w:bCs/>
          <w:lang w:val="es-ES_tradnl" w:eastAsia="es-ES" w:bidi="es-ES"/>
        </w:rPr>
        <w:t xml:space="preserve"> </w:t>
      </w:r>
      <w:r w:rsidRPr="0041694B">
        <w:rPr>
          <w:rFonts w:ascii="Verdana" w:hAnsi="Verdana" w:cs="Arial"/>
          <w:bCs/>
          <w:lang w:val="es-ES_tradnl" w:eastAsia="es-ES" w:bidi="es-ES"/>
        </w:rPr>
        <w:t xml:space="preserve">la propuesta ganadora. </w:t>
      </w:r>
    </w:p>
    <w:p w14:paraId="61A3EB7F" w14:textId="77777777" w:rsidR="00833F2C" w:rsidRPr="000D0F09" w:rsidRDefault="00833F2C" w:rsidP="00C0734E">
      <w:pPr>
        <w:spacing w:after="120" w:line="276" w:lineRule="auto"/>
        <w:ind w:firstLine="709"/>
        <w:jc w:val="both"/>
        <w:rPr>
          <w:rFonts w:ascii="Verdana" w:eastAsia="Calibri" w:hAnsi="Verdana" w:cs="Arial"/>
          <w:lang w:val="es-ES" w:eastAsia="es-MX"/>
        </w:rPr>
      </w:pPr>
      <w:bookmarkStart w:id="5" w:name="_Hlk191626670"/>
      <w:r w:rsidRPr="001A4E79">
        <w:rPr>
          <w:rFonts w:ascii="Verdana" w:eastAsia="Calibri" w:hAnsi="Verdana" w:cs="Arial"/>
          <w:lang w:val="es-ES" w:eastAsia="es-MX"/>
        </w:rPr>
        <w:t>Los requisitos habilitantes constituyen los requ</w:t>
      </w:r>
      <w:r>
        <w:rPr>
          <w:rFonts w:ascii="Verdana" w:eastAsia="Calibri" w:hAnsi="Verdana" w:cs="Arial"/>
          <w:lang w:val="es-ES" w:eastAsia="es-MX"/>
        </w:rPr>
        <w:t>isi</w:t>
      </w:r>
      <w:r w:rsidRPr="001A4E79">
        <w:rPr>
          <w:rFonts w:ascii="Verdana" w:eastAsia="Calibri" w:hAnsi="Verdana" w:cs="Arial"/>
          <w:lang w:val="es-ES" w:eastAsia="es-MX"/>
        </w:rPr>
        <w:t>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w:t>
      </w:r>
      <w:r w:rsidRPr="00C94107">
        <w:rPr>
          <w:rFonts w:ascii="Verdana" w:eastAsia="Calibri" w:hAnsi="Verdana" w:cs="Arial"/>
          <w:lang w:val="es-ES" w:eastAsia="es-MX"/>
        </w:rPr>
        <w:t>. De esta</w:t>
      </w:r>
      <w:r w:rsidRPr="001A4E79">
        <w:rPr>
          <w:rFonts w:ascii="Verdana" w:eastAsia="Calibri" w:hAnsi="Verdana" w:cs="Arial"/>
          <w:lang w:val="es-ES" w:eastAsia="es-MX"/>
        </w:rPr>
        <w:t xml:space="preserve"> manera</w:t>
      </w:r>
      <w:r w:rsidRPr="00C94107">
        <w:rPr>
          <w:rFonts w:ascii="Verdana" w:eastAsia="Calibri" w:hAnsi="Verdana" w:cs="Arial"/>
          <w:lang w:val="es-ES" w:eastAsia="es-MX"/>
        </w:rPr>
        <w:t>,</w:t>
      </w:r>
      <w:r w:rsidRPr="001A4E79">
        <w:rPr>
          <w:rFonts w:ascii="Verdana" w:eastAsia="Calibri" w:hAnsi="Verdana" w:cs="Arial"/>
          <w:lang w:val="es-ES" w:eastAsia="es-MX"/>
        </w:rPr>
        <w:t xml:space="preserve"> quienes no los reúnan no pueden continuar en el procedimiento de selección, es decir, incurren en causal de rechazo. </w:t>
      </w:r>
      <w:bookmarkEnd w:id="5"/>
      <w:r w:rsidRPr="001A4E79">
        <w:rPr>
          <w:rFonts w:ascii="Verdana" w:eastAsia="Calibri" w:hAnsi="Verdana" w:cs="Arial"/>
          <w:lang w:val="es-ES" w:eastAsia="es-MX"/>
        </w:rPr>
        <w:t>Esto</w:t>
      </w:r>
      <w:r w:rsidRPr="00C94107">
        <w:rPr>
          <w:rFonts w:ascii="Verdana" w:eastAsia="Calibri" w:hAnsi="Verdana" w:cs="Arial"/>
          <w:lang w:val="es-ES" w:eastAsia="es-MX"/>
        </w:rPr>
        <w:t>,</w:t>
      </w:r>
      <w:r w:rsidRPr="001A4E79">
        <w:rPr>
          <w:rFonts w:ascii="Verdana" w:eastAsia="Calibri" w:hAnsi="Verdana" w:cs="Arial"/>
          <w:lang w:val="es-ES" w:eastAsia="es-MX"/>
        </w:rPr>
        <w:t xml:space="preserve"> sin perjuicio del derecho que tienen los oferentes de subsanar los defectos que se presenten en la prueba de tales requisitos, de conformidad con el </w:t>
      </w:r>
      <w:bookmarkStart w:id="6" w:name="_Hlk191626971"/>
      <w:r w:rsidRPr="001A4E79">
        <w:rPr>
          <w:rFonts w:ascii="Verdana" w:eastAsia="Calibri" w:hAnsi="Verdana" w:cs="Arial"/>
          <w:lang w:val="es-ES" w:eastAsia="es-MX"/>
        </w:rPr>
        <w:t>artículo 5, parágrafos 1º al 4º, de la Ley 1150 de 2007</w:t>
      </w:r>
      <w:bookmarkEnd w:id="6"/>
      <w:r w:rsidRPr="001A4E79">
        <w:rPr>
          <w:rFonts w:ascii="Verdana" w:eastAsia="Calibri" w:hAnsi="Verdana" w:cs="Arial"/>
          <w:lang w:val="es-ES" w:eastAsia="es-MX"/>
        </w:rPr>
        <w:t>.</w:t>
      </w:r>
    </w:p>
    <w:p w14:paraId="688E435F" w14:textId="77777777" w:rsidR="00833F2C" w:rsidRPr="00C94107" w:rsidRDefault="00833F2C" w:rsidP="00C0734E">
      <w:pPr>
        <w:spacing w:after="120" w:line="276" w:lineRule="auto"/>
        <w:ind w:firstLine="709"/>
        <w:jc w:val="both"/>
        <w:rPr>
          <w:rFonts w:ascii="Verdana" w:hAnsi="Verdana" w:cs="Arial"/>
          <w:color w:val="000000" w:themeColor="text1"/>
          <w:lang w:val="es-ES_tradnl"/>
        </w:rPr>
      </w:pPr>
      <w:r w:rsidRPr="00C94107">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C94107">
        <w:rPr>
          <w:rFonts w:ascii="Verdana" w:hAnsi="Verdana" w:cs="Arial"/>
          <w:i/>
          <w:iCs/>
          <w:color w:val="000000" w:themeColor="text1"/>
          <w:lang w:val="es-ES_tradnl"/>
        </w:rPr>
        <w:t>.</w:t>
      </w:r>
      <w:r w:rsidRPr="00C94107">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34BB845B" w14:textId="77777777" w:rsidR="00833F2C" w:rsidRPr="0041694B" w:rsidRDefault="00833F2C" w:rsidP="00C0734E">
      <w:pPr>
        <w:spacing w:after="0" w:line="276" w:lineRule="auto"/>
        <w:ind w:firstLine="709"/>
        <w:jc w:val="both"/>
        <w:rPr>
          <w:rFonts w:ascii="Verdana" w:hAnsi="Verdana" w:cs="Arial"/>
          <w:bCs/>
          <w:lang w:val="es-ES" w:eastAsia="es-ES" w:bidi="es-ES"/>
        </w:rPr>
      </w:pPr>
      <w:r w:rsidRPr="0041694B">
        <w:rPr>
          <w:rFonts w:ascii="Verdana" w:hAnsi="Verdana" w:cs="Arial"/>
          <w:bCs/>
          <w:lang w:val="es-ES" w:eastAsia="es-ES" w:bidi="es-ES"/>
        </w:rPr>
        <w:t>Específicamente, el numeral 1º del artículo</w:t>
      </w:r>
      <w:r>
        <w:rPr>
          <w:rFonts w:ascii="Verdana" w:hAnsi="Verdana" w:cs="Arial"/>
          <w:bCs/>
          <w:lang w:val="es-ES" w:eastAsia="es-ES" w:bidi="es-ES"/>
        </w:rPr>
        <w:t xml:space="preserve"> 5 de la Ley 1150 de 2007 </w:t>
      </w:r>
      <w:r w:rsidRPr="0041694B">
        <w:rPr>
          <w:rFonts w:ascii="Verdana" w:hAnsi="Verdana" w:cs="Arial"/>
          <w:bCs/>
          <w:lang w:val="es-ES" w:eastAsia="es-ES" w:bidi="es-ES"/>
        </w:rPr>
        <w:t>establece que</w:t>
      </w:r>
      <w:r w:rsidRPr="00C94107">
        <w:rPr>
          <w:rFonts w:ascii="Verdana" w:hAnsi="Verdana" w:cs="Arial"/>
          <w:bCs/>
          <w:lang w:val="es-ES" w:eastAsia="es-ES" w:bidi="es-ES"/>
        </w:rPr>
        <w:t>,</w:t>
      </w:r>
      <w:r w:rsidRPr="0041694B">
        <w:rPr>
          <w:rFonts w:ascii="Verdana" w:hAnsi="Verdana" w:cs="Arial"/>
          <w:bCs/>
          <w:lang w:val="es-ES" w:eastAsia="es-ES" w:bidi="es-ES"/>
        </w:rPr>
        <w:t xml:space="preserve"> en los procesos de selección de contratistas</w:t>
      </w:r>
      <w:r w:rsidRPr="00C94107">
        <w:rPr>
          <w:rFonts w:ascii="Verdana" w:hAnsi="Verdana" w:cs="Arial"/>
          <w:bCs/>
          <w:lang w:val="es-ES" w:eastAsia="es-ES" w:bidi="es-ES"/>
        </w:rPr>
        <w:t>,</w:t>
      </w:r>
      <w:r w:rsidRPr="0041694B">
        <w:rPr>
          <w:rFonts w:ascii="Verdana" w:hAnsi="Verdana" w:cs="Arial"/>
          <w:bCs/>
          <w:lang w:val="es-ES" w:eastAsia="es-ES" w:bidi="es-ES"/>
        </w:rPr>
        <w:t xml:space="preserve"> serán objeto de verificación, como requisitos habilitantes, </w:t>
      </w:r>
      <w:r w:rsidRPr="0041694B">
        <w:rPr>
          <w:rFonts w:ascii="Verdana" w:hAnsi="Verdana" w:cs="Arial"/>
          <w:bCs/>
          <w:i/>
          <w:iCs/>
          <w:lang w:val="es-ES" w:eastAsia="es-ES" w:bidi="es-ES"/>
        </w:rPr>
        <w:t>entre otros</w:t>
      </w:r>
      <w:r w:rsidRPr="0041694B">
        <w:rPr>
          <w:rFonts w:ascii="Verdana" w:hAnsi="Verdana" w:cs="Arial"/>
          <w:bCs/>
          <w:lang w:val="es-ES" w:eastAsia="es-ES" w:bidi="es-ES"/>
        </w:rPr>
        <w:t xml:space="preserve">, los siguientes: </w:t>
      </w:r>
      <w:r>
        <w:rPr>
          <w:rFonts w:ascii="Verdana" w:hAnsi="Verdana" w:cs="Arial"/>
          <w:bCs/>
          <w:lang w:val="es-ES" w:eastAsia="es-ES" w:bidi="es-ES"/>
        </w:rPr>
        <w:t>(</w:t>
      </w:r>
      <w:r w:rsidRPr="0041694B">
        <w:rPr>
          <w:rFonts w:ascii="Verdana" w:hAnsi="Verdana" w:cs="Arial"/>
          <w:bCs/>
          <w:lang w:val="es-ES" w:eastAsia="es-ES" w:bidi="es-ES"/>
        </w:rPr>
        <w:t xml:space="preserve">i) la capacidad jurídica; </w:t>
      </w:r>
      <w:r>
        <w:rPr>
          <w:rFonts w:ascii="Verdana" w:hAnsi="Verdana" w:cs="Arial"/>
          <w:bCs/>
          <w:lang w:val="es-ES" w:eastAsia="es-ES" w:bidi="es-ES"/>
        </w:rPr>
        <w:t>(</w:t>
      </w:r>
      <w:proofErr w:type="spellStart"/>
      <w:r w:rsidRPr="0041694B">
        <w:rPr>
          <w:rFonts w:ascii="Verdana" w:hAnsi="Verdana" w:cs="Arial"/>
          <w:bCs/>
          <w:lang w:val="es-ES" w:eastAsia="es-ES" w:bidi="es-ES"/>
        </w:rPr>
        <w:t>ii</w:t>
      </w:r>
      <w:proofErr w:type="spellEnd"/>
      <w:r w:rsidRPr="0041694B">
        <w:rPr>
          <w:rFonts w:ascii="Verdana" w:hAnsi="Verdana" w:cs="Arial"/>
          <w:bCs/>
          <w:lang w:val="es-ES" w:eastAsia="es-ES" w:bidi="es-ES"/>
        </w:rPr>
        <w:t xml:space="preserve">) la experiencia; </w:t>
      </w:r>
      <w:r>
        <w:rPr>
          <w:rFonts w:ascii="Verdana" w:hAnsi="Verdana" w:cs="Arial"/>
          <w:bCs/>
          <w:lang w:val="es-ES" w:eastAsia="es-ES" w:bidi="es-ES"/>
        </w:rPr>
        <w:t>(</w:t>
      </w:r>
      <w:proofErr w:type="spellStart"/>
      <w:r w:rsidRPr="0041694B">
        <w:rPr>
          <w:rFonts w:ascii="Verdana" w:hAnsi="Verdana" w:cs="Arial"/>
          <w:bCs/>
          <w:lang w:val="es-ES" w:eastAsia="es-ES" w:bidi="es-ES"/>
        </w:rPr>
        <w:t>iii</w:t>
      </w:r>
      <w:proofErr w:type="spellEnd"/>
      <w:r w:rsidRPr="0041694B">
        <w:rPr>
          <w:rFonts w:ascii="Verdana" w:hAnsi="Verdana" w:cs="Arial"/>
          <w:bCs/>
          <w:lang w:val="es-ES" w:eastAsia="es-ES" w:bidi="es-ES"/>
        </w:rPr>
        <w:t xml:space="preserve">) la capacidad financiera y </w:t>
      </w:r>
      <w:r>
        <w:rPr>
          <w:rFonts w:ascii="Verdana" w:hAnsi="Verdana" w:cs="Arial"/>
          <w:bCs/>
          <w:lang w:val="es-ES" w:eastAsia="es-ES" w:bidi="es-ES"/>
        </w:rPr>
        <w:t>(</w:t>
      </w:r>
      <w:proofErr w:type="spellStart"/>
      <w:r w:rsidRPr="0041694B">
        <w:rPr>
          <w:rFonts w:ascii="Verdana" w:hAnsi="Verdana" w:cs="Arial"/>
          <w:bCs/>
          <w:lang w:val="es-ES" w:eastAsia="es-ES" w:bidi="es-ES"/>
        </w:rPr>
        <w:t>iv</w:t>
      </w:r>
      <w:proofErr w:type="spellEnd"/>
      <w:r w:rsidRPr="0041694B">
        <w:rPr>
          <w:rFonts w:ascii="Verdana" w:hAnsi="Verdana" w:cs="Arial"/>
          <w:bCs/>
          <w:lang w:val="es-ES" w:eastAsia="es-ES" w:bidi="es-ES"/>
        </w:rPr>
        <w:t>) la capacidad de organización. En efecto, la normati</w:t>
      </w:r>
      <w:r>
        <w:rPr>
          <w:rFonts w:ascii="Verdana" w:hAnsi="Verdana" w:cs="Arial"/>
          <w:bCs/>
          <w:lang w:val="es-ES" w:eastAsia="es-ES" w:bidi="es-ES"/>
        </w:rPr>
        <w:t>va citada prescribe</w:t>
      </w:r>
      <w:r w:rsidRPr="0041694B">
        <w:rPr>
          <w:rFonts w:ascii="Verdana" w:hAnsi="Verdana" w:cs="Arial"/>
          <w:bCs/>
          <w:lang w:val="es-ES" w:eastAsia="es-ES" w:bidi="es-ES"/>
        </w:rPr>
        <w:t>:</w:t>
      </w:r>
    </w:p>
    <w:p w14:paraId="18D15FAB" w14:textId="77777777" w:rsidR="00833F2C" w:rsidRPr="00C94107" w:rsidRDefault="00833F2C" w:rsidP="00C0734E">
      <w:pPr>
        <w:spacing w:after="0" w:line="240" w:lineRule="auto"/>
        <w:ind w:firstLine="709"/>
        <w:jc w:val="both"/>
        <w:rPr>
          <w:rFonts w:ascii="Verdana" w:hAnsi="Verdana" w:cs="Arial"/>
          <w:bCs/>
          <w:lang w:val="es-ES" w:eastAsia="es-ES" w:bidi="es-ES"/>
        </w:rPr>
      </w:pPr>
    </w:p>
    <w:p w14:paraId="334FD6F9" w14:textId="77777777" w:rsidR="00833F2C" w:rsidRPr="00810146" w:rsidRDefault="00833F2C" w:rsidP="00C0734E">
      <w:pPr>
        <w:spacing w:after="0" w:line="240" w:lineRule="auto"/>
        <w:ind w:left="709" w:right="709" w:firstLine="709"/>
        <w:jc w:val="both"/>
        <w:rPr>
          <w:rFonts w:ascii="Verdana" w:hAnsi="Verdana" w:cs="Arial"/>
          <w:sz w:val="20"/>
          <w:szCs w:val="20"/>
          <w:lang w:val="es-ES_tradnl" w:eastAsia="es-ES" w:bidi="es-ES"/>
        </w:rPr>
      </w:pPr>
      <w:r w:rsidRPr="00810146">
        <w:rPr>
          <w:rFonts w:ascii="Verdana" w:hAnsi="Verdana" w:cs="Arial"/>
          <w:i/>
          <w:sz w:val="20"/>
          <w:szCs w:val="20"/>
          <w:lang w:val="es-ES_tradnl" w:eastAsia="es-ES" w:bidi="es-ES"/>
        </w:rPr>
        <w:t>“</w:t>
      </w:r>
      <w:r w:rsidRPr="00810146">
        <w:rPr>
          <w:rFonts w:ascii="Verdana" w:hAnsi="Verdana" w:cs="Arial"/>
          <w:sz w:val="20"/>
          <w:szCs w:val="20"/>
          <w:lang w:val="es-ES_tradnl" w:eastAsia="es-ES" w:bidi="es-ES"/>
        </w:rPr>
        <w:t xml:space="preserve">Artículo 5. De la Selección Objetiva. </w:t>
      </w:r>
    </w:p>
    <w:p w14:paraId="18F6DC9C" w14:textId="77777777" w:rsidR="00833F2C" w:rsidRPr="00810146" w:rsidRDefault="00833F2C" w:rsidP="00C0734E">
      <w:pPr>
        <w:spacing w:after="0" w:line="240" w:lineRule="auto"/>
        <w:ind w:left="709" w:right="709" w:firstLine="709"/>
        <w:jc w:val="both"/>
        <w:rPr>
          <w:rFonts w:ascii="Verdana" w:hAnsi="Verdana" w:cs="Arial"/>
          <w:sz w:val="20"/>
          <w:szCs w:val="20"/>
          <w:lang w:val="es-ES_tradnl" w:eastAsia="es-ES" w:bidi="es-ES"/>
        </w:rPr>
      </w:pPr>
      <w:r w:rsidRPr="00810146">
        <w:rPr>
          <w:rFonts w:ascii="Verdana" w:hAnsi="Verdana" w:cs="Arial"/>
          <w:sz w:val="20"/>
          <w:szCs w:val="20"/>
          <w:lang w:val="es-ES_tradnl" w:eastAsia="es-ES" w:bidi="es-ES"/>
        </w:rPr>
        <w:lastRenderedPageBreak/>
        <w:t>[…]</w:t>
      </w:r>
    </w:p>
    <w:p w14:paraId="517A1175" w14:textId="77777777" w:rsidR="00833F2C" w:rsidRPr="00810146" w:rsidRDefault="00833F2C" w:rsidP="00C0734E">
      <w:pPr>
        <w:spacing w:after="0" w:line="240" w:lineRule="auto"/>
        <w:ind w:left="709" w:right="709" w:firstLine="709"/>
        <w:jc w:val="both"/>
        <w:rPr>
          <w:rFonts w:ascii="Verdana" w:hAnsi="Verdana" w:cs="Arial"/>
          <w:sz w:val="20"/>
          <w:szCs w:val="20"/>
          <w:lang w:val="es-ES" w:eastAsia="es-ES" w:bidi="es-ES"/>
        </w:rPr>
      </w:pPr>
      <w:r w:rsidRPr="00810146">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52FC859A" w14:textId="77777777" w:rsidR="00833F2C" w:rsidRPr="00810146" w:rsidRDefault="00833F2C" w:rsidP="00C0734E">
      <w:pPr>
        <w:spacing w:after="0" w:line="276" w:lineRule="auto"/>
        <w:ind w:right="709" w:firstLine="709"/>
        <w:jc w:val="both"/>
        <w:rPr>
          <w:rFonts w:ascii="Verdana" w:hAnsi="Verdana" w:cs="Arial"/>
          <w:lang w:val="es-ES" w:eastAsia="es-ES" w:bidi="es-ES"/>
        </w:rPr>
      </w:pPr>
    </w:p>
    <w:p w14:paraId="3C9E4574" w14:textId="77777777" w:rsidR="00833F2C" w:rsidRPr="001A4E79" w:rsidRDefault="00833F2C" w:rsidP="00C0734E">
      <w:pPr>
        <w:spacing w:after="120" w:line="276" w:lineRule="auto"/>
        <w:ind w:firstLine="709"/>
        <w:jc w:val="both"/>
        <w:rPr>
          <w:rFonts w:ascii="Verdana" w:eastAsia="Times New Roman" w:hAnsi="Verdana" w:cs="Arial"/>
          <w:highlight w:val="cyan"/>
          <w:lang w:val="es-ES_tradnl" w:eastAsia="es-MX"/>
        </w:rPr>
      </w:pPr>
      <w:bookmarkStart w:id="7" w:name="_Hlk99547809"/>
      <w:bookmarkStart w:id="8" w:name="_Hlk99546625"/>
      <w:r w:rsidRPr="001A4E79">
        <w:rPr>
          <w:rFonts w:ascii="Verdana" w:eastAsia="Times New Roman" w:hAnsi="Verdana" w:cs="Arial"/>
          <w:lang w:val="es-ES_tradnl" w:eastAsia="es-MX"/>
        </w:rPr>
        <w:t>La Agencia Nacional de Contratación Pública</w:t>
      </w:r>
      <w:r>
        <w:rPr>
          <w:rFonts w:ascii="Verdana" w:eastAsia="Times New Roman" w:hAnsi="Verdana" w:cs="Arial"/>
          <w:lang w:val="es-ES_tradnl" w:eastAsia="es-MX"/>
        </w:rPr>
        <w:t xml:space="preserve"> – Colombia Compra Eficiente</w:t>
      </w:r>
      <w:r w:rsidRPr="001A4E79">
        <w:rPr>
          <w:rFonts w:ascii="Verdana" w:eastAsia="Times New Roman" w:hAnsi="Verdana" w:cs="Arial"/>
          <w:lang w:val="es-ES_tradnl" w:eastAsia="es-MX"/>
        </w:rPr>
        <w:t xml:space="preserve"> ha defendido el carácter </w:t>
      </w:r>
      <w:bookmarkStart w:id="9" w:name="_Hlk99547799"/>
      <w:r w:rsidRPr="001A4E79">
        <w:rPr>
          <w:rFonts w:ascii="Verdana" w:eastAsia="Times New Roman" w:hAnsi="Verdana" w:cs="Arial"/>
          <w:lang w:val="es-ES_tradnl" w:eastAsia="es-MX"/>
        </w:rPr>
        <w:t xml:space="preserve">enunciativo del listado de los requisitos habilitantes contenidos en el numeral 1 del artículo 5 de la Ley 1150 de 2007, en la medida en que </w:t>
      </w:r>
      <w:r>
        <w:rPr>
          <w:rFonts w:ascii="Verdana" w:eastAsia="Times New Roman" w:hAnsi="Verdana" w:cs="Arial"/>
          <w:lang w:val="es-ES_tradnl" w:eastAsia="es-MX"/>
        </w:rPr>
        <w:t xml:space="preserve">la mencionada </w:t>
      </w:r>
      <w:r w:rsidRPr="001A4E79">
        <w:rPr>
          <w:rFonts w:ascii="Verdana" w:eastAsia="Times New Roman" w:hAnsi="Verdana" w:cs="Arial"/>
          <w:lang w:val="es-ES_tradnl" w:eastAsia="es-MX"/>
        </w:rPr>
        <w:t xml:space="preserve">disposición, al referirse a los requisitos habilitantes, no contiene una expresión como </w:t>
      </w:r>
      <w:r>
        <w:rPr>
          <w:rFonts w:ascii="Verdana" w:eastAsia="Times New Roman" w:hAnsi="Verdana" w:cs="Arial"/>
          <w:lang w:val="es-ES_tradnl" w:eastAsia="es-MX"/>
        </w:rPr>
        <w:t>“</w:t>
      </w:r>
      <w:r w:rsidRPr="001A4E79">
        <w:rPr>
          <w:rFonts w:ascii="Verdana" w:eastAsia="Times New Roman" w:hAnsi="Verdana" w:cs="Arial"/>
          <w:lang w:val="es-ES_tradnl" w:eastAsia="es-MX"/>
        </w:rPr>
        <w:t>únicamente</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o </w:t>
      </w:r>
      <w:r>
        <w:rPr>
          <w:rFonts w:ascii="Verdana" w:eastAsia="Times New Roman" w:hAnsi="Verdana" w:cs="Arial"/>
          <w:lang w:val="es-ES_tradnl" w:eastAsia="es-MX"/>
        </w:rPr>
        <w:t>“</w:t>
      </w:r>
      <w:r w:rsidRPr="001A4E79">
        <w:rPr>
          <w:rFonts w:ascii="Verdana" w:eastAsia="Times New Roman" w:hAnsi="Verdana" w:cs="Arial"/>
          <w:lang w:val="es-ES_tradnl" w:eastAsia="es-MX"/>
        </w:rPr>
        <w:t>solo</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de la que pueda colegirse la taxatividad de los requisitos </w:t>
      </w:r>
      <w:r w:rsidRPr="00C94107">
        <w:rPr>
          <w:rFonts w:ascii="Verdana" w:eastAsia="Times New Roman" w:hAnsi="Verdana" w:cs="Arial"/>
          <w:lang w:val="es-ES_tradnl" w:eastAsia="es-MX"/>
        </w:rPr>
        <w:t>señalados.</w:t>
      </w:r>
      <w:r w:rsidRPr="001A4E79">
        <w:rPr>
          <w:rFonts w:ascii="Verdana" w:eastAsia="Times New Roman" w:hAnsi="Verdana" w:cs="Arial"/>
          <w:lang w:val="es-ES_tradnl" w:eastAsia="es-MX"/>
        </w:rPr>
        <w:t xml:space="preserve"> </w:t>
      </w:r>
      <w:bookmarkEnd w:id="7"/>
      <w:bookmarkEnd w:id="9"/>
      <w:r w:rsidRPr="001A4E79">
        <w:rPr>
          <w:rFonts w:ascii="Verdana" w:eastAsia="Times New Roman" w:hAnsi="Verdana" w:cs="Arial"/>
          <w:lang w:val="es-ES_tradnl" w:eastAsia="es-MX"/>
        </w:rPr>
        <w:t xml:space="preserve">Esta conclusión además se apoya en una la lectura integral de las normas que regulan la contratación estatal, en virtud de la cual es posible evidenciar que existen otras condiciones que deben cumplirse para la contratación con Entidades </w:t>
      </w:r>
      <w:r>
        <w:rPr>
          <w:rFonts w:ascii="Verdana" w:eastAsia="Times New Roman" w:hAnsi="Verdana" w:cs="Arial"/>
          <w:lang w:val="es-ES_tradnl" w:eastAsia="es-MX"/>
        </w:rPr>
        <w:t>Estatales</w:t>
      </w:r>
      <w:r w:rsidRPr="001A4E79">
        <w:rPr>
          <w:rFonts w:ascii="Verdana" w:eastAsia="Times New Roman" w:hAnsi="Verdana" w:cs="Arial"/>
          <w:lang w:val="es-ES_tradnl" w:eastAsia="es-MX"/>
        </w:rPr>
        <w:t>, de las que derivan requisitos habilitantes, como sucede, por ejemplo, con la capacidad residual a la que se refiere el artículo 6º, parágrafo 1, de la Ley 1150 de 2007</w:t>
      </w:r>
      <w:bookmarkEnd w:id="8"/>
      <w:r w:rsidRPr="001A4E79">
        <w:rPr>
          <w:rFonts w:ascii="Verdana" w:eastAsia="Times New Roman" w:hAnsi="Verdana" w:cs="Arial"/>
          <w:vertAlign w:val="superscript"/>
          <w:lang w:val="es-ES_tradnl" w:eastAsia="es-MX"/>
        </w:rPr>
        <w:footnoteReference w:id="8"/>
      </w:r>
      <w:r w:rsidRPr="001A4E79">
        <w:rPr>
          <w:rFonts w:ascii="Verdana" w:eastAsia="Times New Roman" w:hAnsi="Verdana" w:cs="Arial"/>
          <w:lang w:val="es-ES_tradnl" w:eastAsia="es-MX"/>
        </w:rPr>
        <w:t xml:space="preserve">. </w:t>
      </w:r>
    </w:p>
    <w:p w14:paraId="1EDB4B2F" w14:textId="77777777" w:rsidR="00833F2C" w:rsidRPr="00C94107" w:rsidRDefault="00833F2C" w:rsidP="00C0734E">
      <w:pPr>
        <w:spacing w:after="120" w:line="276" w:lineRule="auto"/>
        <w:ind w:firstLine="709"/>
        <w:jc w:val="both"/>
        <w:rPr>
          <w:rFonts w:ascii="Verdana" w:hAnsi="Verdana" w:cs="Arial"/>
          <w:bCs/>
          <w:lang w:val="es-ES" w:eastAsia="es-ES" w:bidi="es-ES"/>
        </w:rPr>
      </w:pPr>
      <w:r w:rsidRPr="001A4E79">
        <w:rPr>
          <w:rFonts w:ascii="Verdana" w:eastAsia="Times New Roman" w:hAnsi="Verdana" w:cs="Arial"/>
          <w:lang w:val="es-ES" w:eastAsia="es-MX"/>
        </w:rPr>
        <w:t xml:space="preserve">Por otro lado, </w:t>
      </w:r>
      <w:r>
        <w:rPr>
          <w:rFonts w:ascii="Verdana" w:hAnsi="Verdana" w:cs="Arial"/>
          <w:bCs/>
          <w:lang w:val="es-ES" w:eastAsia="es-ES" w:bidi="es-ES"/>
        </w:rPr>
        <w:t>e</w:t>
      </w:r>
      <w:r w:rsidRPr="0041694B">
        <w:rPr>
          <w:rFonts w:ascii="Verdana" w:hAnsi="Verdana" w:cs="Arial"/>
          <w:bCs/>
          <w:lang w:val="es-ES" w:eastAsia="es-ES" w:bidi="es-ES"/>
        </w:rPr>
        <w:t>l artículo</w:t>
      </w:r>
      <w:r>
        <w:rPr>
          <w:rFonts w:ascii="Verdana" w:hAnsi="Verdana" w:cs="Arial"/>
          <w:bCs/>
          <w:lang w:val="es-ES" w:eastAsia="es-ES" w:bidi="es-ES"/>
        </w:rPr>
        <w:t xml:space="preserve"> 5 de la Ley 1150 de 2007</w:t>
      </w:r>
      <w:r w:rsidRPr="0041694B">
        <w:rPr>
          <w:rFonts w:ascii="Verdana" w:hAnsi="Verdana" w:cs="Arial"/>
          <w:bCs/>
          <w:lang w:val="es-ES" w:eastAsia="es-ES" w:bidi="es-ES"/>
        </w:rPr>
        <w:t xml:space="preserve"> dispone que se considera </w:t>
      </w:r>
      <w:r w:rsidRPr="0041694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41694B">
        <w:rPr>
          <w:rFonts w:ascii="Verdana" w:hAnsi="Verdana" w:cs="Arial"/>
          <w:bCs/>
          <w:lang w:val="es-ES" w:eastAsia="es-ES" w:bidi="es-ES"/>
        </w:rPr>
        <w:t xml:space="preserve"> En ese contexto, los factores de escogencia y calificación que establezcan las </w:t>
      </w:r>
      <w:r w:rsidRPr="00C94107">
        <w:rPr>
          <w:rFonts w:ascii="Verdana" w:hAnsi="Verdana" w:cs="Arial"/>
          <w:bCs/>
          <w:lang w:val="es-ES" w:eastAsia="es-ES" w:bidi="es-ES"/>
        </w:rPr>
        <w:t>Entidades</w:t>
      </w:r>
      <w:r w:rsidRPr="0041694B">
        <w:rPr>
          <w:rFonts w:ascii="Verdana" w:hAnsi="Verdana" w:cs="Arial"/>
          <w:bCs/>
          <w:lang w:val="es-ES" w:eastAsia="es-ES" w:bidi="es-ES"/>
        </w:rPr>
        <w:t xml:space="preserve"> en los pliegos de condiciones o sus documentos equivalentes deberán tener en cuenta, entre otras cuestiones, </w:t>
      </w:r>
      <w:r>
        <w:rPr>
          <w:rFonts w:ascii="Verdana" w:hAnsi="Verdana" w:cs="Arial"/>
          <w:bCs/>
          <w:lang w:val="es-ES" w:eastAsia="es-ES" w:bidi="es-ES"/>
        </w:rPr>
        <w:t xml:space="preserve">el deber de selección objetiva, según </w:t>
      </w:r>
      <w:r w:rsidRPr="0041694B">
        <w:rPr>
          <w:rFonts w:ascii="Verdana" w:hAnsi="Verdana" w:cs="Arial"/>
          <w:bCs/>
          <w:lang w:val="es-ES" w:eastAsia="es-ES" w:bidi="es-ES"/>
        </w:rPr>
        <w:t xml:space="preserve">los criterios establecidos en dicha disposición. </w:t>
      </w:r>
    </w:p>
    <w:p w14:paraId="5DE00DF5" w14:textId="77777777" w:rsidR="00833F2C" w:rsidRDefault="00833F2C" w:rsidP="00C0734E">
      <w:pPr>
        <w:spacing w:after="120" w:line="276" w:lineRule="auto"/>
        <w:ind w:firstLine="709"/>
        <w:jc w:val="both"/>
        <w:rPr>
          <w:rFonts w:ascii="Verdana" w:hAnsi="Verdana" w:cs="Arial"/>
          <w:bCs/>
          <w:lang w:val="es-ES" w:eastAsia="es-ES" w:bidi="es-ES"/>
        </w:rPr>
      </w:pPr>
      <w:r>
        <w:rPr>
          <w:rFonts w:ascii="Verdana" w:hAnsi="Verdana" w:cs="Arial"/>
          <w:bCs/>
          <w:lang w:val="es-ES" w:eastAsia="es-ES" w:bidi="es-ES"/>
        </w:rPr>
        <w:t xml:space="preserve">En especial, señala la Ley que los criterios habilitantes que determine la </w:t>
      </w:r>
      <w:r w:rsidRPr="00C94107">
        <w:rPr>
          <w:rFonts w:ascii="Verdana" w:hAnsi="Verdana" w:cs="Arial"/>
          <w:bCs/>
          <w:lang w:val="es-ES" w:eastAsia="es-ES" w:bidi="es-ES"/>
        </w:rPr>
        <w:t>Entidad</w:t>
      </w:r>
      <w:r>
        <w:rPr>
          <w:rFonts w:ascii="Verdana" w:hAnsi="Verdana" w:cs="Arial"/>
          <w:bCs/>
          <w:lang w:val="es-ES" w:eastAsia="es-ES" w:bidi="es-ES"/>
        </w:rPr>
        <w:t xml:space="preserve"> </w:t>
      </w:r>
      <w:r w:rsidRPr="00266285">
        <w:rPr>
          <w:rFonts w:ascii="Verdana" w:hAnsi="Verdana" w:cs="Arial"/>
          <w:bCs/>
          <w:lang w:val="es-ES" w:eastAsia="es-ES" w:bidi="es-ES"/>
        </w:rPr>
        <w:t xml:space="preserve">deberán ser </w:t>
      </w:r>
      <w:r w:rsidRPr="00266285">
        <w:rPr>
          <w:rFonts w:ascii="Verdana" w:hAnsi="Verdana" w:cs="Arial"/>
          <w:bCs/>
          <w:i/>
          <w:iCs/>
          <w:lang w:val="es-ES" w:eastAsia="es-ES" w:bidi="es-ES"/>
        </w:rPr>
        <w:t>adecuados y proporcionales</w:t>
      </w:r>
      <w:r w:rsidRPr="00266285">
        <w:rPr>
          <w:rFonts w:ascii="Verdana" w:hAnsi="Verdana" w:cs="Arial"/>
          <w:bCs/>
          <w:lang w:val="es-ES" w:eastAsia="es-ES" w:bidi="es-ES"/>
        </w:rPr>
        <w:t xml:space="preserve"> a la naturaleza del contrato a suscribir y a su valor. De esta manera, las condiciones habilitantes que no </w:t>
      </w:r>
      <w:r w:rsidRPr="00266285">
        <w:rPr>
          <w:rFonts w:ascii="Verdana" w:hAnsi="Verdana" w:cs="Arial"/>
          <w:bCs/>
          <w:lang w:val="es-ES" w:eastAsia="es-ES" w:bidi="es-ES"/>
        </w:rPr>
        <w:lastRenderedPageBreak/>
        <w:t>resulten adecuadas para determinar la idoneidad o capacidad del proponente para cumplir con el objeto del contrato, o que sean desproporcionados frente a este, serán contrarias al deber de selección objetiva.</w:t>
      </w:r>
    </w:p>
    <w:p w14:paraId="77845F92" w14:textId="77777777" w:rsidR="00833F2C" w:rsidRPr="00577103" w:rsidRDefault="00833F2C" w:rsidP="00C0734E">
      <w:pPr>
        <w:spacing w:before="120" w:after="120" w:line="276" w:lineRule="auto"/>
        <w:ind w:firstLine="709"/>
        <w:jc w:val="both"/>
        <w:rPr>
          <w:rFonts w:ascii="Verdana" w:eastAsia="Times New Roman" w:hAnsi="Verdana" w:cs="Arial"/>
          <w:lang w:val="es-ES" w:eastAsia="es-MX"/>
        </w:rPr>
      </w:pPr>
      <w:r w:rsidRPr="00577103">
        <w:rPr>
          <w:rFonts w:ascii="Verdana" w:eastAsia="Times New Roman" w:hAnsi="Verdana" w:cs="Arial"/>
          <w:lang w:val="es-ES" w:eastAsia="es-MX"/>
        </w:rPr>
        <w:t xml:space="preserve">En línea con lo anterior, el </w:t>
      </w:r>
      <w:bookmarkStart w:id="10" w:name="_Hlk191627190"/>
      <w:r w:rsidRPr="00577103">
        <w:rPr>
          <w:rFonts w:ascii="Verdana" w:eastAsia="Times New Roman" w:hAnsi="Verdana" w:cs="Arial"/>
          <w:lang w:val="es-ES" w:eastAsia="es-MX"/>
        </w:rPr>
        <w:t>“Manual para determinar y verificar los requisitos habilitantes en los Procesos de Contratación</w:t>
      </w:r>
      <w:bookmarkEnd w:id="10"/>
      <w:r w:rsidRPr="00577103">
        <w:rPr>
          <w:rFonts w:ascii="Verdana" w:eastAsia="Times New Roman" w:hAnsi="Verdana" w:cs="Arial"/>
          <w:lang w:val="es-ES" w:eastAsia="es-MX"/>
        </w:rPr>
        <w:t>”</w:t>
      </w:r>
      <w:r w:rsidRPr="00577103">
        <w:rPr>
          <w:rStyle w:val="Refdenotaalpie"/>
          <w:rFonts w:ascii="Verdana" w:eastAsia="Times New Roman" w:hAnsi="Verdana" w:cs="Arial"/>
          <w:lang w:val="es-ES" w:eastAsia="es-MX"/>
        </w:rPr>
        <w:footnoteReference w:id="9"/>
      </w:r>
      <w:r w:rsidRPr="00577103">
        <w:rPr>
          <w:rFonts w:ascii="Verdana" w:eastAsia="Calibri" w:hAnsi="Verdana" w:cs="Arial"/>
          <w:lang w:val="es-ES" w:eastAsia="es-MX"/>
        </w:rPr>
        <w:t>,</w:t>
      </w:r>
      <w:r w:rsidRPr="00577103">
        <w:rPr>
          <w:rFonts w:ascii="Verdana" w:eastAsia="Times New Roman" w:hAnsi="Verdana" w:cs="Arial"/>
          <w:lang w:val="es-ES" w:eastAsia="es-MX"/>
        </w:rPr>
        <w:t xml:space="preserve"> expedido por la </w:t>
      </w:r>
      <w:r w:rsidRPr="00577103">
        <w:rPr>
          <w:rFonts w:ascii="Verdana" w:eastAsia="Calibri" w:hAnsi="Verdana" w:cs="Arial"/>
          <w:lang w:val="es-ES" w:eastAsia="es-MX"/>
        </w:rPr>
        <w:t>Agencia Nacional de Contratación Pública – Colombia Compra Eficiente,</w:t>
      </w:r>
      <w:r w:rsidRPr="00577103">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11" w:name="_Hlk191627260"/>
      <w:r w:rsidRPr="00577103">
        <w:rPr>
          <w:rFonts w:ascii="Verdana" w:eastAsia="Times New Roman" w:hAnsi="Verdana" w:cs="Arial"/>
          <w:lang w:val="es-ES" w:eastAsia="es-MX"/>
        </w:rPr>
        <w:t xml:space="preserve">la aptitud del proponente para participar en un Proceso de Contratación como oferente y están referidos a su capacidad jurídica, financiera, organizacional y su experiencia”. </w:t>
      </w:r>
      <w:bookmarkEnd w:id="11"/>
      <w:r w:rsidRPr="00577103">
        <w:rPr>
          <w:rFonts w:ascii="Verdana" w:eastAsia="Times New Roman" w:hAnsi="Verdana" w:cs="Arial"/>
          <w:lang w:val="es-ES" w:eastAsia="es-MX"/>
        </w:rPr>
        <w:t xml:space="preserve">De acuerdo con el Manual, su propósito consiste en “establecer unas condiciones mínimas para los proponentes de tal manera que la Entidad Estatal sólo evalúe las ofertas de aquellos que están en condiciones de cumplir con el objeto del Proceso de Contratación”. </w:t>
      </w:r>
    </w:p>
    <w:p w14:paraId="2C534FA3" w14:textId="77777777" w:rsidR="00833F2C" w:rsidRPr="001A4E79" w:rsidRDefault="00833F2C" w:rsidP="00C0734E">
      <w:pPr>
        <w:spacing w:before="120" w:after="120" w:line="276" w:lineRule="auto"/>
        <w:ind w:firstLine="709"/>
        <w:jc w:val="both"/>
        <w:rPr>
          <w:rFonts w:ascii="Verdana" w:eastAsia="Times New Roman" w:hAnsi="Verdana" w:cs="Arial"/>
          <w:lang w:val="es-ES" w:eastAsia="es-MX"/>
        </w:rPr>
      </w:pPr>
      <w:r w:rsidRPr="001A4E79">
        <w:rPr>
          <w:rFonts w:ascii="Verdana" w:eastAsia="Times New Roman" w:hAnsi="Verdana" w:cs="Arial"/>
          <w:lang w:val="es-ES" w:eastAsia="es-MX"/>
        </w:rPr>
        <w:t xml:space="preserve">Así las cosas, al tratarse de condiciones mínimas, significa que </w:t>
      </w:r>
      <w:bookmarkStart w:id="12" w:name="_Hlk191627287"/>
      <w:r w:rsidRPr="001A4E79">
        <w:rPr>
          <w:rFonts w:ascii="Verdana" w:eastAsia="Times New Roman" w:hAnsi="Verdana" w:cs="Arial"/>
          <w:lang w:val="es-ES" w:eastAsia="es-MX"/>
        </w:rPr>
        <w:t xml:space="preserve">las </w:t>
      </w:r>
      <w:r w:rsidRPr="00C94107">
        <w:rPr>
          <w:rFonts w:ascii="Verdana" w:eastAsia="Times New Roman" w:hAnsi="Verdana" w:cs="Arial"/>
          <w:lang w:val="es-ES" w:eastAsia="es-MX"/>
        </w:rPr>
        <w:t>Entidades</w:t>
      </w:r>
      <w:r w:rsidRPr="001A4E79">
        <w:rPr>
          <w:rFonts w:ascii="Verdana" w:eastAsia="Times New Roman" w:hAnsi="Verdana" w:cs="Arial"/>
          <w:lang w:val="es-ES" w:eastAsia="es-MX"/>
        </w:rPr>
        <w:t xml:space="preserve"> podrían establecer otras, según su autonomía de la voluntad, y teniendo en cuenta el objeto del contrato, los riesgos detectados en los estudios previos, el presupuesto oficial, entre otros factores.</w:t>
      </w:r>
      <w:r>
        <w:rPr>
          <w:rFonts w:ascii="Verdana" w:eastAsia="Times New Roman" w:hAnsi="Verdana" w:cs="Arial"/>
          <w:lang w:val="es-ES" w:eastAsia="es-MX"/>
        </w:rPr>
        <w:t xml:space="preserve"> Sin embargo, esto no implica que las Entidades puedan establecer cualquier tipo de requisitos, pues su exigencia debe en todo caso ser </w:t>
      </w:r>
      <w:r w:rsidRPr="00810146">
        <w:rPr>
          <w:rFonts w:ascii="Verdana" w:eastAsia="Times New Roman" w:hAnsi="Verdana" w:cs="Arial"/>
          <w:i/>
          <w:lang w:val="es-ES" w:eastAsia="es-MX"/>
        </w:rPr>
        <w:t>proporcional y adecuada</w:t>
      </w:r>
      <w:r>
        <w:rPr>
          <w:rFonts w:ascii="Verdana" w:eastAsia="Times New Roman" w:hAnsi="Verdana" w:cs="Arial"/>
          <w:lang w:val="es-ES" w:eastAsia="es-MX"/>
        </w:rPr>
        <w:t xml:space="preserve"> frente a la naturaleza y el valor del contrato.</w:t>
      </w:r>
    </w:p>
    <w:p w14:paraId="1322F3C3" w14:textId="77777777" w:rsidR="00833F2C" w:rsidRDefault="00833F2C" w:rsidP="00C0734E">
      <w:pPr>
        <w:tabs>
          <w:tab w:val="left" w:pos="426"/>
        </w:tabs>
        <w:spacing w:before="120" w:after="0" w:line="276" w:lineRule="auto"/>
        <w:ind w:firstLine="709"/>
        <w:jc w:val="both"/>
        <w:rPr>
          <w:rFonts w:ascii="Verdana" w:eastAsia="Times New Roman" w:hAnsi="Verdana" w:cs="Arial"/>
          <w:lang w:val="es-ES_tradnl" w:eastAsia="es-MX"/>
        </w:rPr>
      </w:pPr>
      <w:bookmarkStart w:id="13" w:name="_Hlk99548027"/>
      <w:bookmarkEnd w:id="12"/>
      <w:r w:rsidRPr="008D1B9C">
        <w:rPr>
          <w:rFonts w:ascii="Verdana" w:eastAsia="Times New Roman" w:hAnsi="Verdana" w:cs="Arial"/>
          <w:lang w:val="es-ES_tradnl" w:eastAsia="es-MX"/>
        </w:rPr>
        <w:t xml:space="preserve">En ese sentido, </w:t>
      </w:r>
      <w:bookmarkStart w:id="14" w:name="_Hlk191627322"/>
      <w:r w:rsidRPr="008D1B9C">
        <w:rPr>
          <w:rFonts w:ascii="Verdana" w:eastAsia="Times New Roman" w:hAnsi="Verdana" w:cs="Arial"/>
          <w:lang w:val="es-ES_tradnl" w:eastAsia="es-MX"/>
        </w:rPr>
        <w:t xml:space="preserve">si bien </w:t>
      </w:r>
      <w:r w:rsidRPr="008D1B9C">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8D1B9C">
        <w:rPr>
          <w:rFonts w:ascii="Verdana" w:eastAsia="Times New Roman" w:hAnsi="Verdana" w:cs="Arial"/>
          <w:lang w:val="es-ES_tradnl" w:eastAsia="es-MX"/>
        </w:rPr>
        <w:t>En consecuencia, corresponde a las Entidades Estatales,</w:t>
      </w:r>
      <w:r w:rsidRPr="001A4E79">
        <w:rPr>
          <w:rFonts w:ascii="Verdana" w:eastAsia="Times New Roman" w:hAnsi="Verdana" w:cs="Arial"/>
          <w:lang w:val="es-ES_tradnl" w:eastAsia="es-MX"/>
        </w:rPr>
        <w:t xml:space="preserve"> durante la etapa de planeación del contrato estatal, estudiar y </w:t>
      </w:r>
      <w:r w:rsidRPr="001A4E79">
        <w:rPr>
          <w:rFonts w:ascii="Verdana" w:eastAsia="Times New Roman" w:hAnsi="Verdana" w:cs="Arial"/>
          <w:bCs/>
          <w:iCs/>
          <w:lang w:val="es-ES_tradnl" w:eastAsia="es-MX"/>
        </w:rPr>
        <w:t>determinar</w:t>
      </w:r>
      <w:r w:rsidRPr="001A4E79">
        <w:rPr>
          <w:rFonts w:ascii="Verdana" w:eastAsia="Times New Roman" w:hAnsi="Verdana" w:cs="Arial"/>
          <w:lang w:val="es-ES_tradnl" w:eastAsia="es-MX"/>
        </w:rPr>
        <w:t xml:space="preserve"> los requisitos habilitantes que establecerán en los pliegos de condiciones</w:t>
      </w:r>
      <w:r w:rsidRPr="00C94107">
        <w:rPr>
          <w:rFonts w:ascii="Verdana" w:eastAsia="Times New Roman" w:hAnsi="Verdana" w:cs="Arial"/>
          <w:lang w:val="es-ES_tradnl" w:eastAsia="es-MX"/>
        </w:rPr>
        <w:t xml:space="preserve"> o documentos equivalentes</w:t>
      </w:r>
      <w:r w:rsidRPr="001A4E79">
        <w:rPr>
          <w:rFonts w:ascii="Verdana" w:eastAsia="Times New Roman" w:hAnsi="Verdana" w:cs="Arial"/>
          <w:lang w:val="es-ES_tradnl" w:eastAsia="es-MX"/>
        </w:rPr>
        <w:t xml:space="preserve">, </w:t>
      </w:r>
      <w:r w:rsidRPr="00987A26">
        <w:rPr>
          <w:rFonts w:ascii="Verdana" w:eastAsia="Times New Roman" w:hAnsi="Verdana" w:cs="Arial"/>
          <w:i/>
          <w:iCs/>
          <w:lang w:val="es-ES_tradnl" w:eastAsia="es-MX"/>
        </w:rPr>
        <w:t>los cuales deben fijarse de forma adecuada y proporcional</w:t>
      </w:r>
      <w:r w:rsidRPr="001A4E79">
        <w:rPr>
          <w:rFonts w:ascii="Verdana" w:eastAsia="Times New Roman" w:hAnsi="Verdana" w:cs="Arial"/>
          <w:lang w:val="es-ES_tradnl" w:eastAsia="es-MX"/>
        </w:rPr>
        <w:t xml:space="preserve">. </w:t>
      </w:r>
      <w:bookmarkEnd w:id="13"/>
      <w:bookmarkEnd w:id="14"/>
      <w:r w:rsidRPr="001A4E79">
        <w:rPr>
          <w:rFonts w:ascii="Verdana" w:eastAsia="Times New Roman" w:hAnsi="Verdana" w:cs="Arial"/>
          <w:lang w:val="es-ES_tradnl" w:eastAsia="es-MX"/>
        </w:rPr>
        <w:t>Al respecto, en la Sentencia C-004 de 2017, la Corte Constitucional señaló que</w:t>
      </w:r>
      <w:r>
        <w:rPr>
          <w:rFonts w:ascii="Verdana" w:eastAsia="Times New Roman" w:hAnsi="Verdana" w:cs="Arial"/>
          <w:lang w:val="es-ES_tradnl" w:eastAsia="es-MX"/>
        </w:rPr>
        <w:t>:</w:t>
      </w:r>
    </w:p>
    <w:p w14:paraId="3EEE479F" w14:textId="77777777" w:rsidR="00833F2C" w:rsidRPr="00C94107" w:rsidRDefault="00833F2C" w:rsidP="00C0734E">
      <w:pPr>
        <w:tabs>
          <w:tab w:val="left" w:pos="426"/>
        </w:tabs>
        <w:spacing w:after="0" w:line="276" w:lineRule="auto"/>
        <w:ind w:firstLine="709"/>
        <w:jc w:val="both"/>
        <w:rPr>
          <w:rFonts w:ascii="Verdana" w:eastAsia="Times New Roman" w:hAnsi="Verdana" w:cs="Arial"/>
          <w:lang w:val="es-ES_tradnl" w:eastAsia="es-MX"/>
        </w:rPr>
      </w:pPr>
    </w:p>
    <w:p w14:paraId="563E790D" w14:textId="77777777" w:rsidR="00833F2C" w:rsidRPr="006475B3" w:rsidRDefault="00833F2C" w:rsidP="00C0734E">
      <w:pPr>
        <w:spacing w:after="0" w:line="240" w:lineRule="auto"/>
        <w:ind w:left="709" w:right="709" w:firstLine="709"/>
        <w:jc w:val="both"/>
        <w:rPr>
          <w:rFonts w:ascii="Verdana" w:hAnsi="Verdana" w:cs="Arial"/>
          <w:sz w:val="20"/>
          <w:szCs w:val="20"/>
          <w:lang w:val="es-ES_tradnl" w:eastAsia="es-ES" w:bidi="es-ES"/>
        </w:rPr>
      </w:pPr>
      <w:r w:rsidRPr="006475B3">
        <w:rPr>
          <w:rFonts w:ascii="Verdana" w:hAnsi="Verdana" w:cs="Arial"/>
          <w:sz w:val="20"/>
          <w:szCs w:val="20"/>
          <w:lang w:val="es-ES_tradnl" w:eastAsia="es-ES" w:bidi="es-ES"/>
        </w:rPr>
        <w:t xml:space="preserve">“[l]a determinación de dichas condiciones habilitantes para participar, es competencia de la entidad que planee la celebración del contrato, a través de la valoración en concreto de las características </w:t>
      </w:r>
      <w:r w:rsidRPr="006475B3">
        <w:rPr>
          <w:rFonts w:ascii="Verdana" w:hAnsi="Verdana" w:cs="Arial"/>
          <w:sz w:val="20"/>
          <w:szCs w:val="20"/>
          <w:lang w:val="es-ES_tradnl" w:eastAsia="es-ES" w:bidi="es-ES"/>
        </w:rPr>
        <w:lastRenderedPageBreak/>
        <w:t>mínimas de idoneidad, experiencia, capacidad jurídica y financiera para que la realización del objeto contractual resulte eficiente y eficaz frente a la necesidad identificada”.</w:t>
      </w:r>
    </w:p>
    <w:p w14:paraId="35B6BCD8" w14:textId="77777777" w:rsidR="00833F2C" w:rsidRPr="000C2E6B" w:rsidRDefault="00833F2C" w:rsidP="00C0734E">
      <w:pPr>
        <w:spacing w:after="0" w:line="276" w:lineRule="auto"/>
        <w:ind w:left="709" w:right="709" w:firstLine="709"/>
        <w:jc w:val="both"/>
        <w:rPr>
          <w:rFonts w:ascii="Verdana" w:hAnsi="Verdana" w:cs="Arial"/>
          <w:sz w:val="20"/>
          <w:szCs w:val="20"/>
          <w:lang w:val="es-ES_tradnl" w:eastAsia="es-ES" w:bidi="es-ES"/>
        </w:rPr>
      </w:pPr>
    </w:p>
    <w:p w14:paraId="3E776B22" w14:textId="77777777" w:rsidR="00833F2C" w:rsidRPr="001A4E79" w:rsidRDefault="00833F2C" w:rsidP="00C0734E">
      <w:pPr>
        <w:tabs>
          <w:tab w:val="left" w:pos="426"/>
        </w:tabs>
        <w:spacing w:after="120" w:line="276" w:lineRule="auto"/>
        <w:ind w:firstLine="709"/>
        <w:jc w:val="both"/>
        <w:rPr>
          <w:rFonts w:ascii="Verdana" w:eastAsia="Times New Roman" w:hAnsi="Verdana" w:cs="Arial"/>
          <w:lang w:val="es-ES_tradnl" w:eastAsia="es-MX"/>
        </w:rPr>
      </w:pPr>
      <w:r w:rsidRPr="001A4E79">
        <w:rPr>
          <w:rFonts w:ascii="Verdana" w:eastAsia="Times New Roman" w:hAnsi="Verdana" w:cs="Arial"/>
          <w:lang w:val="es-ES_tradnl" w:eastAsia="es-MX"/>
        </w:rPr>
        <w:t xml:space="preserve">El </w:t>
      </w:r>
      <w:bookmarkStart w:id="15" w:name="_Hlk191627359"/>
      <w:r w:rsidRPr="001A4E79">
        <w:rPr>
          <w:rFonts w:ascii="Verdana" w:eastAsia="Times New Roman" w:hAnsi="Verdana" w:cs="Arial"/>
          <w:lang w:val="es-ES_tradnl" w:eastAsia="es-MX"/>
        </w:rPr>
        <w:t>Decreto 1082 de 2015 en su artículo 2.2.1.1.1.6.2</w:t>
      </w:r>
      <w:r w:rsidRPr="00C94107">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w:t>
      </w:r>
      <w:bookmarkEnd w:id="15"/>
      <w:r w:rsidRPr="001A4E79">
        <w:rPr>
          <w:rFonts w:ascii="Verdana" w:eastAsia="Times New Roman" w:hAnsi="Verdana" w:cs="Arial"/>
          <w:lang w:val="es-ES_tradnl" w:eastAsia="es-MX"/>
        </w:rPr>
        <w:t>reglamenta los requisitos habilitantes, estableciendo que estos deben ser señalados en los pliegos de condiciones o en la invitación</w:t>
      </w:r>
      <w:r w:rsidRPr="001A4E79">
        <w:rPr>
          <w:rStyle w:val="Refdenotaalpie"/>
          <w:rFonts w:ascii="Verdana" w:eastAsia="Times New Roman" w:hAnsi="Verdana" w:cs="Arial"/>
          <w:lang w:val="es-ES_tradnl" w:eastAsia="es-MX"/>
        </w:rPr>
        <w:footnoteReference w:id="10"/>
      </w:r>
      <w:r w:rsidRPr="001A4E79">
        <w:rPr>
          <w:rFonts w:ascii="Verdana" w:eastAsia="Times New Roman" w:hAnsi="Verdana" w:cs="Arial"/>
          <w:lang w:val="es-ES_tradnl" w:eastAsia="es-MX"/>
        </w:rPr>
        <w:t xml:space="preserve">, lo cual es concordante con el </w:t>
      </w:r>
      <w:bookmarkStart w:id="16" w:name="_Hlk191627380"/>
      <w:r w:rsidRPr="001A4E79">
        <w:rPr>
          <w:rFonts w:ascii="Verdana" w:eastAsia="Times New Roman" w:hAnsi="Verdana" w:cs="Arial"/>
          <w:lang w:val="es-ES_tradnl" w:eastAsia="es-MX"/>
        </w:rPr>
        <w:t>numeral 5 del artículo 2.2.1.1.2.1.3</w:t>
      </w:r>
      <w:bookmarkEnd w:id="16"/>
      <w:r w:rsidRPr="001A4E79">
        <w:rPr>
          <w:rFonts w:ascii="Verdana" w:eastAsia="Times New Roman" w:hAnsi="Verdana" w:cs="Arial"/>
          <w:lang w:val="es-ES_tradnl" w:eastAsia="es-MX"/>
        </w:rPr>
        <w:t>, en el que se establece como uno de los componentes mínimos de los pliegos de condiciones</w:t>
      </w:r>
      <w:r w:rsidRPr="001A4E79">
        <w:rPr>
          <w:rFonts w:ascii="Verdana" w:hAnsi="Verdana" w:cs="Arial"/>
          <w:color w:val="000000"/>
        </w:rPr>
        <w:t xml:space="preserve"> a las reglas aplicables a la presentación y evaluación de las ofertas, entre las que se inscriben las relativas a la acreditación de las condiciones habilitantes. </w:t>
      </w:r>
      <w:r>
        <w:rPr>
          <w:rFonts w:ascii="Verdana" w:eastAsia="Times New Roman" w:hAnsi="Verdana" w:cs="Arial"/>
          <w:lang w:val="es-ES_tradnl" w:eastAsia="es-MX"/>
        </w:rPr>
        <w:t>A</w:t>
      </w:r>
      <w:r w:rsidRPr="001A4E79">
        <w:rPr>
          <w:rFonts w:ascii="Verdana" w:eastAsia="Times New Roman" w:hAnsi="Verdana" w:cs="Arial"/>
          <w:lang w:val="es-ES_tradnl" w:eastAsia="es-MX"/>
        </w:rPr>
        <w:t>demás</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el artículo 2.2.1.1.1.6.2 </w:t>
      </w:r>
      <w:r>
        <w:rPr>
          <w:rFonts w:ascii="Verdana" w:eastAsia="Times New Roman" w:hAnsi="Verdana" w:cs="Arial"/>
          <w:lang w:val="es-ES_tradnl" w:eastAsia="es-MX"/>
        </w:rPr>
        <w:t xml:space="preserve">establece </w:t>
      </w:r>
      <w:r w:rsidRPr="001A4E79">
        <w:rPr>
          <w:rFonts w:ascii="Verdana" w:eastAsia="Times New Roman" w:hAnsi="Verdana" w:cs="Arial"/>
          <w:lang w:val="es-ES_tradnl" w:eastAsia="es-MX"/>
        </w:rPr>
        <w:t xml:space="preserve">que la determinación de los requisitos habilitantes debe ser realizada en función de criterios </w:t>
      </w:r>
      <w:r w:rsidRPr="00987A26">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1A4E79">
        <w:rPr>
          <w:rFonts w:ascii="Verdana" w:eastAsia="Times New Roman" w:hAnsi="Verdana" w:cs="Arial"/>
          <w:lang w:val="es-ES_tradnl" w:eastAsia="es-MX"/>
        </w:rPr>
        <w:t xml:space="preserve">. </w:t>
      </w:r>
    </w:p>
    <w:p w14:paraId="0655C7D4" w14:textId="77777777" w:rsidR="00833F2C" w:rsidRDefault="00833F2C" w:rsidP="00C0734E">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C94107">
        <w:rPr>
          <w:rFonts w:ascii="Verdana" w:eastAsia="Times New Roman" w:hAnsi="Verdana" w:cs="Arial"/>
          <w:lang w:val="es-ES" w:eastAsia="es-MX"/>
        </w:rPr>
        <w:t>los mismos</w:t>
      </w:r>
      <w:proofErr w:type="gramEnd"/>
      <w:r w:rsidRPr="00C94107">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C94107">
        <w:rPr>
          <w:rStyle w:val="Refdenotaalpie"/>
          <w:rFonts w:ascii="Verdana" w:eastAsia="Times New Roman" w:hAnsi="Verdana" w:cs="Arial"/>
          <w:lang w:val="es-ES" w:eastAsia="es-MX"/>
        </w:rPr>
        <w:footnoteReference w:id="11"/>
      </w:r>
      <w:r w:rsidRPr="00C94107">
        <w:rPr>
          <w:rFonts w:ascii="Verdana" w:eastAsia="Times New Roman" w:hAnsi="Verdana" w:cs="Arial"/>
          <w:lang w:val="es-ES" w:eastAsia="es-MX"/>
        </w:rPr>
        <w:t xml:space="preserve">. </w:t>
      </w:r>
    </w:p>
    <w:p w14:paraId="23DFC6A4" w14:textId="77777777" w:rsidR="00833F2C" w:rsidRPr="00C94107" w:rsidRDefault="00833F2C" w:rsidP="00C0734E">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lastRenderedPageBreak/>
        <w:t>En ese sentido, las Entidades</w:t>
      </w:r>
      <w:r>
        <w:rPr>
          <w:rFonts w:ascii="Verdana" w:eastAsia="Times New Roman" w:hAnsi="Verdana" w:cs="Arial"/>
          <w:lang w:val="es-ES" w:eastAsia="es-MX"/>
        </w:rPr>
        <w:t xml:space="preserve"> Estatales</w:t>
      </w:r>
      <w:r w:rsidRPr="00C94107">
        <w:rPr>
          <w:rFonts w:ascii="Verdana" w:eastAsia="Times New Roman" w:hAnsi="Verdana" w:cs="Arial"/>
          <w:lang w:val="es-ES" w:eastAsia="es-MX"/>
        </w:rPr>
        <w:t xml:space="preserve"> tienen autonomía para estructurar los requisitos habilitantes en los procesos que adelantan, </w:t>
      </w:r>
      <w:r w:rsidRPr="00C94107">
        <w:rPr>
          <w:rFonts w:ascii="Verdana" w:eastAsia="Times New Roman" w:hAnsi="Verdana" w:cs="Arial"/>
          <w:i/>
          <w:iCs/>
          <w:lang w:val="es-ES" w:eastAsia="es-MX"/>
        </w:rPr>
        <w:t>pero tal facultad no puede ejercerse de forma arbitraria, caprichosa y, mucho menos, con el ánimo de direccionar el proceso de contratación</w:t>
      </w:r>
      <w:r w:rsidRPr="00C94107">
        <w:rPr>
          <w:rFonts w:ascii="Verdana" w:eastAsia="Times New Roman" w:hAnsi="Verdana" w:cs="Arial"/>
          <w:lang w:val="es-ES" w:eastAsia="es-MX"/>
        </w:rPr>
        <w:t xml:space="preserve">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5AD44503" w14:textId="77777777" w:rsidR="00833F2C" w:rsidRPr="003D0085" w:rsidRDefault="00833F2C" w:rsidP="00C0734E">
      <w:pPr>
        <w:spacing w:after="120" w:line="276" w:lineRule="auto"/>
        <w:ind w:firstLine="709"/>
        <w:jc w:val="both"/>
        <w:rPr>
          <w:rFonts w:ascii="Verdana" w:hAnsi="Verdana" w:cs="Arial"/>
        </w:rPr>
      </w:pPr>
      <w:bookmarkStart w:id="18" w:name="_Hlk99548176"/>
      <w:r>
        <w:rPr>
          <w:rFonts w:ascii="Verdana" w:hAnsi="Verdana" w:cs="Arial"/>
        </w:rPr>
        <w:t xml:space="preserve">Ahora bien, </w:t>
      </w:r>
      <w:r w:rsidRPr="00C94107">
        <w:rPr>
          <w:rFonts w:ascii="Verdana" w:hAnsi="Verdana" w:cs="Arial"/>
        </w:rPr>
        <w:t>una vez fijados los requisitos habilitantes por la Entidad Estatal, quienes presenten ofertas deben acreditar que cumplen con los mismos, pues, en el evento contrario, las propuestas deberán ser rechazadas. E</w:t>
      </w:r>
      <w:r w:rsidRPr="003D0085">
        <w:rPr>
          <w:rFonts w:ascii="Verdana" w:hAnsi="Verdana" w:cs="Arial"/>
        </w:rPr>
        <w:t>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w:t>
      </w:r>
      <w:r w:rsidRPr="003D0085">
        <w:rPr>
          <w:rFonts w:ascii="Verdana" w:hAnsi="Verdana" w:cs="Arial"/>
          <w:vertAlign w:val="superscript"/>
        </w:rPr>
        <w:footnoteReference w:id="12"/>
      </w:r>
      <w:r w:rsidRPr="003D0085">
        <w:rPr>
          <w:rFonts w:ascii="Verdana" w:hAnsi="Verdana" w:cs="Arial"/>
        </w:rPr>
        <w:t xml:space="preserv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bookmarkEnd w:id="18"/>
    <w:p w14:paraId="1C687037" w14:textId="77777777" w:rsidR="00833F2C" w:rsidRDefault="00833F2C" w:rsidP="00C0734E">
      <w:pPr>
        <w:spacing w:after="120" w:line="276" w:lineRule="auto"/>
        <w:ind w:firstLine="709"/>
        <w:jc w:val="both"/>
        <w:rPr>
          <w:rFonts w:ascii="Verdana" w:hAnsi="Verdana" w:cs="Arial"/>
        </w:rPr>
      </w:pPr>
      <w:r w:rsidRPr="003D0085">
        <w:rPr>
          <w:rFonts w:ascii="Verdana" w:hAnsi="Verdana" w:cs="Arial"/>
        </w:rPr>
        <w:t xml:space="preserve">Dicha información debe tenerse en cuenta por las </w:t>
      </w:r>
      <w:r w:rsidRPr="00C94107">
        <w:rPr>
          <w:rFonts w:ascii="Verdana" w:hAnsi="Verdana" w:cs="Arial"/>
        </w:rPr>
        <w:t>Entidades</w:t>
      </w:r>
      <w:r w:rsidRPr="003D0085">
        <w:rPr>
          <w:rFonts w:ascii="Verdana" w:hAnsi="Verdana" w:cs="Arial"/>
        </w:rPr>
        <w:t xml:space="preserve"> en los </w:t>
      </w:r>
      <w:r w:rsidRPr="00C94107">
        <w:rPr>
          <w:rFonts w:ascii="Verdana" w:hAnsi="Verdana" w:cs="Arial"/>
        </w:rPr>
        <w:t>procedimientos</w:t>
      </w:r>
      <w:r w:rsidRPr="003D0085">
        <w:rPr>
          <w:rFonts w:ascii="Verdana" w:hAnsi="Verdana" w:cs="Arial"/>
        </w:rPr>
        <w:t xml:space="preserve"> de </w:t>
      </w:r>
      <w:r w:rsidRPr="00C94107">
        <w:rPr>
          <w:rFonts w:ascii="Verdana" w:hAnsi="Verdana" w:cs="Arial"/>
        </w:rPr>
        <w:t>contratación</w:t>
      </w:r>
      <w:r w:rsidRPr="003D0085">
        <w:rPr>
          <w:rFonts w:ascii="Verdana" w:hAnsi="Verdana" w:cs="Arial"/>
        </w:rPr>
        <w:t xml:space="preserve"> en los que es exigible el RUP</w:t>
      </w:r>
      <w:r w:rsidRPr="003D0085">
        <w:rPr>
          <w:rFonts w:ascii="Verdana" w:hAnsi="Verdana" w:cs="Arial"/>
          <w:vertAlign w:val="superscript"/>
        </w:rPr>
        <w:footnoteReference w:id="13"/>
      </w:r>
      <w:r>
        <w:rPr>
          <w:rFonts w:ascii="Verdana" w:hAnsi="Verdana" w:cs="Arial"/>
        </w:rPr>
        <w:t>.</w:t>
      </w:r>
      <w:r w:rsidRPr="003D0085">
        <w:rPr>
          <w:rFonts w:ascii="Verdana" w:hAnsi="Verdana" w:cs="Arial"/>
        </w:rPr>
        <w:t xml:space="preserve"> Así las cosas, la capacidad jurídica y las condiciones de experiencia, capacidad financiera y de </w:t>
      </w:r>
      <w:r w:rsidRPr="003D0085">
        <w:rPr>
          <w:rFonts w:ascii="Verdana" w:hAnsi="Verdana" w:cs="Arial"/>
        </w:rPr>
        <w:lastRenderedPageBreak/>
        <w:t>organización de los proponentes deberán ser verificadas exclusivamente a través del RUP, pues de acuerdo con lo expuesto, este documento es plena prueba de la información financiera, de experiencia y de capacidad acreditada por la persona natural o jurídica</w:t>
      </w:r>
      <w:r w:rsidRPr="003D0085">
        <w:rPr>
          <w:rFonts w:ascii="Verdana" w:hAnsi="Verdana" w:cs="Arial"/>
          <w:vertAlign w:val="superscript"/>
        </w:rPr>
        <w:footnoteReference w:id="14"/>
      </w:r>
      <w:r w:rsidRPr="003D0085">
        <w:rPr>
          <w:rFonts w:ascii="Verdana" w:hAnsi="Verdana" w:cs="Arial"/>
        </w:rPr>
        <w:t xml:space="preserve">. </w:t>
      </w:r>
    </w:p>
    <w:p w14:paraId="6DA5A593" w14:textId="77777777" w:rsidR="00833F2C" w:rsidRPr="00C94107" w:rsidRDefault="00833F2C" w:rsidP="00C0734E">
      <w:pPr>
        <w:spacing w:after="120" w:line="276" w:lineRule="auto"/>
        <w:ind w:firstLine="709"/>
        <w:jc w:val="both"/>
        <w:rPr>
          <w:rFonts w:ascii="Verdana" w:hAnsi="Verdana" w:cs="Arial"/>
        </w:rPr>
      </w:pPr>
      <w:bookmarkStart w:id="19" w:name="_Hlk99548308"/>
      <w:r w:rsidRPr="003D0085">
        <w:rPr>
          <w:rFonts w:ascii="Verdana" w:hAnsi="Verdana" w:cs="Aria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bookmarkEnd w:id="19"/>
      <w:r w:rsidRPr="003D0085">
        <w:rPr>
          <w:rFonts w:ascii="Verdana" w:hAnsi="Verdana" w:cs="Arial"/>
        </w:rPr>
        <w:t xml:space="preserve">. </w:t>
      </w:r>
    </w:p>
    <w:p w14:paraId="06CDF011" w14:textId="77777777" w:rsidR="00833F2C" w:rsidRDefault="00833F2C" w:rsidP="00C0734E">
      <w:pPr>
        <w:spacing w:after="120" w:line="276" w:lineRule="auto"/>
        <w:ind w:firstLine="709"/>
        <w:jc w:val="both"/>
        <w:rPr>
          <w:rFonts w:ascii="Verdana" w:hAnsi="Verdana" w:cs="Arial"/>
        </w:rPr>
      </w:pPr>
      <w:r w:rsidRPr="003D0085">
        <w:rPr>
          <w:rFonts w:ascii="Verdana" w:hAnsi="Verdana" w:cs="Arial"/>
          <w:lang w:val="es-ES_tradnl"/>
        </w:rPr>
        <w:t xml:space="preserve">Estas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w:t>
      </w:r>
      <w:r w:rsidRPr="00C94107">
        <w:rPr>
          <w:rFonts w:ascii="Verdana" w:hAnsi="Verdana" w:cs="Arial"/>
          <w:lang w:val="es-ES_tradnl"/>
        </w:rPr>
        <w:t>Ley</w:t>
      </w:r>
      <w:r w:rsidRPr="003D0085">
        <w:rPr>
          <w:rFonts w:ascii="Verdana" w:hAnsi="Verdana" w:cs="Arial"/>
          <w:lang w:val="es-ES_tradnl"/>
        </w:rPr>
        <w:t xml:space="preserve">. </w:t>
      </w:r>
      <w:r w:rsidRPr="003D0085">
        <w:rPr>
          <w:rFonts w:ascii="Verdana" w:hAnsi="Verdana" w:cs="Arial"/>
        </w:rPr>
        <w:t xml:space="preserve">Adicionalmente, en el numeral 6.1. del artículo 6 de la Ley 1150 de 2007 establece que cuando sea necesario verificar requisitos o información que no reposa en RUP, la </w:t>
      </w:r>
      <w:r w:rsidRPr="00C94107">
        <w:rPr>
          <w:rFonts w:ascii="Verdana" w:hAnsi="Verdana" w:cs="Arial"/>
        </w:rPr>
        <w:t>Entidad</w:t>
      </w:r>
      <w:r w:rsidRPr="003D0085">
        <w:rPr>
          <w:rFonts w:ascii="Verdana" w:hAnsi="Verdana" w:cs="Arial"/>
        </w:rPr>
        <w:t xml:space="preserve"> podrá solicitar información adicional solo para complementar la información contenida en el RUP</w:t>
      </w:r>
      <w:r w:rsidRPr="003D0085">
        <w:rPr>
          <w:rFonts w:ascii="Verdana" w:hAnsi="Verdana" w:cs="Arial"/>
          <w:vertAlign w:val="superscript"/>
        </w:rPr>
        <w:footnoteReference w:id="15"/>
      </w:r>
      <w:r w:rsidRPr="003D0085">
        <w:rPr>
          <w:rFonts w:ascii="Verdana" w:hAnsi="Verdana" w:cs="Arial"/>
        </w:rPr>
        <w:t>.</w:t>
      </w:r>
    </w:p>
    <w:p w14:paraId="257F72CD" w14:textId="77777777" w:rsidR="00833F2C" w:rsidRDefault="00833F2C" w:rsidP="00C0734E">
      <w:pPr>
        <w:spacing w:after="120" w:line="276" w:lineRule="auto"/>
        <w:ind w:firstLine="709"/>
        <w:jc w:val="both"/>
        <w:rPr>
          <w:rFonts w:ascii="Verdana" w:hAnsi="Verdana" w:cs="Arial"/>
        </w:rPr>
      </w:pPr>
      <w:r>
        <w:rPr>
          <w:rFonts w:ascii="Verdana" w:hAnsi="Verdana" w:cs="Arial"/>
        </w:rPr>
        <w:t xml:space="preserve">En cualquier caso, en los procedimientos en los cuales no es exigible el RUP, como aquellos que se adelanten mediante la modalidad de mínima cuantía, las </w:t>
      </w:r>
      <w:r w:rsidRPr="00C94107">
        <w:rPr>
          <w:rFonts w:ascii="Verdana" w:hAnsi="Verdana" w:cs="Arial"/>
        </w:rPr>
        <w:t>Entidades</w:t>
      </w:r>
      <w:r>
        <w:rPr>
          <w:rFonts w:ascii="Verdana" w:hAnsi="Verdana" w:cs="Arial"/>
        </w:rPr>
        <w:t xml:space="preserve"> deberán </w:t>
      </w:r>
      <w:r w:rsidRPr="003D0085">
        <w:rPr>
          <w:rFonts w:ascii="Verdana" w:hAnsi="Verdana" w:cs="Arial"/>
        </w:rPr>
        <w:t>verificar directamente el cumplimiento de los requisitos habilitantes</w:t>
      </w:r>
      <w:r w:rsidRPr="003D0085">
        <w:rPr>
          <w:rFonts w:ascii="Verdana" w:hAnsi="Verdana" w:cs="Arial"/>
          <w:vertAlign w:val="superscript"/>
        </w:rPr>
        <w:footnoteReference w:id="16"/>
      </w:r>
      <w:r>
        <w:rPr>
          <w:rFonts w:ascii="Verdana" w:hAnsi="Verdana" w:cs="Arial"/>
        </w:rPr>
        <w:t xml:space="preserve">. Para esto, deberá señalar en la invitación, o el documento que haga sus veces, </w:t>
      </w:r>
      <w:r w:rsidRPr="00FB79E2">
        <w:rPr>
          <w:rFonts w:ascii="Verdana" w:eastAsia="Times New Roman" w:hAnsi="Verdana" w:cs="Arial"/>
          <w:lang w:eastAsia="es-ES_tradnl"/>
        </w:rPr>
        <w:t xml:space="preserve">cuál es la información que se debe acreditar, así como los </w:t>
      </w:r>
      <w:r w:rsidRPr="00FB79E2">
        <w:rPr>
          <w:rFonts w:ascii="Verdana" w:eastAsia="Times New Roman" w:hAnsi="Verdana" w:cs="Arial"/>
          <w:lang w:eastAsia="es-ES_tradnl"/>
        </w:rPr>
        <w:lastRenderedPageBreak/>
        <w:t>documentos que tendrá como válidos para tal fin.</w:t>
      </w:r>
      <w:r>
        <w:rPr>
          <w:rFonts w:ascii="Verdana" w:hAnsi="Verdana" w:cs="Arial"/>
        </w:rPr>
        <w:t xml:space="preserve"> Estos documentos también deberán ser proporcionales y adecuados, pues no podrán imponer barreras injustificadas para la participación en el proceso de selección.</w:t>
      </w:r>
    </w:p>
    <w:p w14:paraId="4066B070" w14:textId="77777777" w:rsidR="00C96A09" w:rsidRPr="00BD4869" w:rsidRDefault="00C96A09" w:rsidP="00C0734E">
      <w:pPr>
        <w:spacing w:after="120" w:line="276" w:lineRule="auto"/>
        <w:ind w:right="51" w:firstLine="709"/>
        <w:jc w:val="both"/>
        <w:rPr>
          <w:rFonts w:ascii="Verdana" w:eastAsia="Calibri" w:hAnsi="Verdana" w:cs="Arial"/>
          <w:bCs/>
          <w:lang w:val="es-MX"/>
        </w:rPr>
      </w:pPr>
      <w:r w:rsidRPr="00A51B1D">
        <w:rPr>
          <w:rFonts w:ascii="Verdana" w:eastAsia="Calibri" w:hAnsi="Verdana" w:cs="Arial"/>
          <w:bCs/>
          <w:lang w:val="es-MX"/>
        </w:rPr>
        <w:t>En con</w:t>
      </w:r>
      <w:r w:rsidRPr="00C77162">
        <w:rPr>
          <w:rFonts w:ascii="Verdana" w:eastAsia="Calibri" w:hAnsi="Verdana" w:cs="Arial"/>
          <w:bCs/>
          <w:lang w:val="es-MX"/>
        </w:rPr>
        <w:t>traposición a</w:t>
      </w:r>
      <w:r w:rsidRPr="00BD4869">
        <w:rPr>
          <w:rFonts w:ascii="Verdana" w:eastAsia="Calibri" w:hAnsi="Verdana" w:cs="Arial"/>
          <w:bCs/>
          <w:lang w:val="es-MX"/>
        </w:rPr>
        <w:t xml:space="preserve">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w:t>
      </w:r>
      <w:r w:rsidRPr="00BD4869">
        <w:rPr>
          <w:rFonts w:ascii="Verdana" w:eastAsia="Calibri" w:hAnsi="Verdana" w:cs="Arial"/>
          <w:bCs/>
          <w:i/>
          <w:iCs/>
          <w:lang w:val="es-MX"/>
        </w:rPr>
        <w:t>puntajes o fórmulas</w:t>
      </w:r>
      <w:r w:rsidRPr="00BD4869">
        <w:rPr>
          <w:rFonts w:ascii="Verdana" w:eastAsia="Calibri" w:hAnsi="Verdana" w:cs="Arial"/>
          <w:bCs/>
          <w:lang w:val="es-MX"/>
        </w:rPr>
        <w:t xml:space="preserve">, </w:t>
      </w:r>
      <w:r w:rsidRPr="0058754A">
        <w:rPr>
          <w:rFonts w:ascii="Verdana" w:eastAsia="Calibri" w:hAnsi="Verdana" w:cs="Arial"/>
          <w:bCs/>
          <w:lang w:val="es-MX"/>
        </w:rPr>
        <w:t xml:space="preserve">mientras que el literal b) se refiere la elección de la oferta que represente la mejor relación </w:t>
      </w:r>
      <w:r w:rsidRPr="0058754A">
        <w:rPr>
          <w:rFonts w:ascii="Verdana" w:eastAsia="Calibri" w:hAnsi="Verdana" w:cs="Arial"/>
          <w:bCs/>
          <w:i/>
          <w:iCs/>
          <w:lang w:val="es-MX"/>
        </w:rPr>
        <w:t>costo-beneficio</w:t>
      </w:r>
      <w:r w:rsidRPr="0058754A">
        <w:rPr>
          <w:rFonts w:ascii="Verdana" w:eastAsia="Calibri" w:hAnsi="Verdana" w:cs="Arial"/>
          <w:bCs/>
          <w:lang w:val="es-MX"/>
        </w:rPr>
        <w:t xml:space="preserve"> para la entidad.</w:t>
      </w:r>
      <w:r w:rsidRPr="00BD4869">
        <w:rPr>
          <w:rFonts w:ascii="Verdana" w:eastAsia="Calibri" w:hAnsi="Verdana" w:cs="Arial"/>
          <w:bCs/>
          <w:lang w:val="es-MX"/>
        </w:rPr>
        <w:t xml:space="preserve"> </w:t>
      </w:r>
    </w:p>
    <w:p w14:paraId="3E8B93F3" w14:textId="77777777" w:rsidR="00C96A09" w:rsidRPr="00BD4869" w:rsidRDefault="00C96A09" w:rsidP="00C0734E">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Por su parte, el numeral tercero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señala que deben usarse factores de calificación, para valorar los aspectos técnicos de la oferta, permitiendo que entre ellos se pondere la experiencia.</w:t>
      </w:r>
    </w:p>
    <w:p w14:paraId="0BB7B443" w14:textId="77777777" w:rsidR="00C96A09" w:rsidRDefault="00C96A09" w:rsidP="00C0734E">
      <w:pPr>
        <w:spacing w:after="120" w:line="276" w:lineRule="auto"/>
        <w:ind w:right="51" w:firstLine="709"/>
        <w:jc w:val="both"/>
        <w:rPr>
          <w:rFonts w:ascii="Verdana" w:eastAsia="Calibri" w:hAnsi="Verdana" w:cs="Arial"/>
          <w:bCs/>
          <w:lang w:val="es-MX"/>
        </w:rPr>
      </w:pPr>
      <w:r w:rsidRPr="00BD4869">
        <w:rPr>
          <w:rFonts w:ascii="Verdana" w:eastAsia="Calibri" w:hAnsi="Verdana" w:cs="Arial"/>
          <w:bCs/>
          <w:lang w:val="es-MX"/>
        </w:rPr>
        <w:t xml:space="preserve">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w:t>
      </w:r>
      <w:r w:rsidRPr="00BD4869">
        <w:rPr>
          <w:rFonts w:ascii="Verdana" w:eastAsia="Calibri" w:hAnsi="Verdana" w:cs="Arial"/>
          <w:bCs/>
          <w:lang w:val="es-MX"/>
        </w:rPr>
        <w:lastRenderedPageBreak/>
        <w:t>la entidad”</w:t>
      </w:r>
      <w:r w:rsidRPr="00BD4869">
        <w:rPr>
          <w:rFonts w:ascii="Verdana" w:eastAsia="Calibri" w:hAnsi="Verdana" w:cs="Arial"/>
          <w:bCs/>
          <w:vertAlign w:val="superscript"/>
          <w:lang w:val="es-MX"/>
        </w:rPr>
        <w:footnoteReference w:id="17"/>
      </w:r>
      <w:r w:rsidRPr="00BD4869">
        <w:rPr>
          <w:rFonts w:ascii="Verdana" w:eastAsia="Calibri" w:hAnsi="Verdana" w:cs="Arial"/>
          <w:bCs/>
          <w:lang w:val="es-MX"/>
        </w:rPr>
        <w:t>. Todas estas categorías designan los “[…] factores a los cuales cabe otorgarles puntajes o que pueden ser ponderados, precisamente, pues estos son los factores que en últimas permiten una comparación de ofertas y una diferenciación entre ellas”</w:t>
      </w:r>
      <w:r w:rsidRPr="00BD4869">
        <w:rPr>
          <w:rFonts w:ascii="Verdana" w:eastAsia="Calibri" w:hAnsi="Verdana" w:cs="Arial"/>
          <w:bCs/>
          <w:vertAlign w:val="superscript"/>
          <w:lang w:val="es-MX"/>
        </w:rPr>
        <w:footnoteReference w:id="18"/>
      </w:r>
      <w:r w:rsidRPr="00BD4869">
        <w:rPr>
          <w:rFonts w:ascii="Verdana" w:eastAsia="Calibri" w:hAnsi="Verdana" w:cs="Arial"/>
          <w:bCs/>
          <w:lang w:val="es-MX"/>
        </w:rPr>
        <w:t xml:space="preserve">. </w:t>
      </w:r>
    </w:p>
    <w:p w14:paraId="4FE15DC2" w14:textId="77777777" w:rsidR="00280F94" w:rsidRDefault="00011D8A" w:rsidP="00C0734E">
      <w:pPr>
        <w:snapToGrid w:val="0"/>
        <w:spacing w:before="240" w:after="120" w:line="276" w:lineRule="auto"/>
        <w:ind w:firstLine="708"/>
        <w:jc w:val="both"/>
        <w:rPr>
          <w:rFonts w:ascii="Verdana" w:eastAsia="Arial" w:hAnsi="Verdana" w:cs="Arial"/>
          <w:color w:val="000000"/>
        </w:rPr>
      </w:pPr>
      <w:bookmarkStart w:id="20" w:name="_Hlk78820161"/>
      <w:r w:rsidRPr="00011D8A">
        <w:rPr>
          <w:rFonts w:ascii="Verdana" w:eastAsia="Arial" w:hAnsi="Verdana" w:cs="Arial"/>
          <w:color w:val="000000"/>
        </w:rPr>
        <w:t>En suma, la selección objetiva, según lo ha señalado la jurisprudencia de la Sección Tercera del Consejo de Estado, constituye una regla de conducta de la actividad contractual, un principio orientador de los procesos de selección y un fin, en cuanto persigue la escogencia de la oferta más ventajosa para los intereses colectivos involucrados en la contratación. En este sentido, el legislador, al definir este principio, busca regular la selección de la mejor oferta a través de un proceso en el que prevalezcan la transparencia, la imparcialidad y la igualdad de oportunidades, excluyendo consideraciones subjetivas, para lo cual adquieren especial relevancia los factores y criterios de selección que, en función de la necesidad pública específica, haya fijado la administración en los pliegos de condiciones. Así, el deber de selección objetiva se encuentra estrechamente ligado a la determinación de la oferta más favorable, cuyo contenido debe precisarse a partir de las alternativas previstas en el artículo 5 de la Ley 1150 de 2007 y reglamentadas por el artículo 2.2.1.1.2.2.2 del Decreto 1082 de 2015, disposiciones que deben reflejarse en el pliego de condiciones o documento equivalente. En este marco, dichas normas establecen que, además de los requisitos habilitantes, deben evaluarse los factores de calificación, valoración o evaluación, los cuales pueden ser objeto de ponderación mediante la asignación de puntaje, a diferencia de los requisitos habilitantes, siendo estos factores los que permiten identificar la oferta más favorable para la entidad y, en consecuencia, la que debe ser seleccionada.</w:t>
      </w:r>
    </w:p>
    <w:p w14:paraId="5DDA9C29" w14:textId="77FD6A3B" w:rsidR="00F26A5D" w:rsidRPr="00327CB4" w:rsidRDefault="00F26A5D" w:rsidP="00C0734E">
      <w:pPr>
        <w:snapToGrid w:val="0"/>
        <w:spacing w:before="240" w:after="120" w:line="276" w:lineRule="auto"/>
        <w:ind w:firstLine="708"/>
        <w:jc w:val="both"/>
        <w:rPr>
          <w:rFonts w:ascii="Verdana" w:eastAsia="Calibri" w:hAnsi="Verdana" w:cs="Arial"/>
          <w:kern w:val="2"/>
          <w:lang w:val="es-ES"/>
          <w14:ligatures w14:val="standardContextual"/>
        </w:rPr>
      </w:pPr>
      <w:r w:rsidRPr="00327CB4">
        <w:rPr>
          <w:rFonts w:ascii="Verdana" w:hAnsi="Verdana" w:cs="Arial"/>
          <w:bCs/>
          <w:color w:val="000000" w:themeColor="text1"/>
          <w:lang w:val="es-ES"/>
        </w:rPr>
        <w:t>Conforme lo expuesto,</w:t>
      </w:r>
      <w:r w:rsidRPr="00327CB4">
        <w:rPr>
          <w:lang w:val="es-ES"/>
        </w:rPr>
        <w:t xml:space="preserve"> </w:t>
      </w:r>
      <w:r w:rsidR="005A0D6D">
        <w:rPr>
          <w:rFonts w:ascii="Verdana" w:hAnsi="Verdana" w:cs="Arial"/>
          <w:bCs/>
          <w:color w:val="000000" w:themeColor="text1"/>
          <w:lang w:val="es-ES"/>
        </w:rPr>
        <w:t>se</w:t>
      </w:r>
      <w:r w:rsidRPr="00327CB4">
        <w:rPr>
          <w:rFonts w:ascii="Verdana" w:hAnsi="Verdana" w:cs="Arial"/>
          <w:bCs/>
          <w:color w:val="000000" w:themeColor="text1"/>
          <w:lang w:val="es-ES"/>
        </w:rPr>
        <w:t xml:space="preserve"> concluye que la entidad estatal puede establecer criterios de evaluación</w:t>
      </w:r>
      <w:r w:rsidR="005A0D6D">
        <w:rPr>
          <w:rFonts w:ascii="Verdana" w:hAnsi="Verdana" w:cs="Arial"/>
          <w:bCs/>
          <w:color w:val="000000" w:themeColor="text1"/>
          <w:lang w:val="es-ES"/>
        </w:rPr>
        <w:t xml:space="preserve">, </w:t>
      </w:r>
      <w:r w:rsidRPr="00327CB4">
        <w:rPr>
          <w:rFonts w:ascii="Verdana" w:hAnsi="Verdana" w:cs="Arial"/>
          <w:bCs/>
          <w:color w:val="000000" w:themeColor="text1"/>
          <w:lang w:val="es-ES"/>
        </w:rPr>
        <w:t xml:space="preserve">siempre que dichos criterios respondan al principio de selección objetiva y permitan comparar efectivamente las ofertas mediante parámetros objetivos, verificables, adecuados y proporcionales al objeto contractual; en consecuencia, la entidad debe evitar la utilización de mecanismos de acreditación basados exclusivamente en manifestaciones </w:t>
      </w:r>
      <w:r w:rsidRPr="00327CB4">
        <w:rPr>
          <w:rFonts w:ascii="Verdana" w:hAnsi="Verdana" w:cs="Arial"/>
          <w:bCs/>
          <w:color w:val="000000" w:themeColor="text1"/>
          <w:lang w:val="es-ES"/>
        </w:rPr>
        <w:lastRenderedPageBreak/>
        <w:t>subjetivas del proponente o en calificaciones cualitativas no estandarizadas, y debe definir en los pliegos de condiciones criterios claros, medibles y verificables que no generen barreras injustificadas a la participación ni afecten la igualdad entre los oferentes.</w:t>
      </w:r>
    </w:p>
    <w:p w14:paraId="2C148417" w14:textId="4E681D72" w:rsidR="00AE7AF2" w:rsidRDefault="00AE7AF2" w:rsidP="00C0734E">
      <w:pPr>
        <w:spacing w:after="0" w:line="276" w:lineRule="auto"/>
        <w:ind w:firstLine="709"/>
        <w:jc w:val="both"/>
        <w:rPr>
          <w:rFonts w:ascii="Verdana" w:eastAsia="Times New Roman" w:hAnsi="Verdana" w:cs="Arial"/>
          <w:color w:val="000000" w:themeColor="text1"/>
          <w:lang w:val="es-ES" w:eastAsia="es-ES"/>
        </w:rPr>
      </w:pPr>
      <w:r w:rsidRPr="00A77871">
        <w:rPr>
          <w:rFonts w:ascii="Verdana" w:eastAsia="Times New Roman" w:hAnsi="Verdana" w:cs="Arial"/>
          <w:color w:val="000000" w:themeColor="text1"/>
          <w:lang w:val="es-ES" w:eastAsia="es-ES"/>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bookmarkEnd w:id="20"/>
    <w:p w14:paraId="161A2F65" w14:textId="77777777" w:rsidR="00AE7AF2" w:rsidRPr="00A77871" w:rsidRDefault="00AE7AF2" w:rsidP="00824F6F">
      <w:pPr>
        <w:numPr>
          <w:ilvl w:val="0"/>
          <w:numId w:val="16"/>
        </w:numPr>
        <w:tabs>
          <w:tab w:val="left" w:pos="142"/>
          <w:tab w:val="left" w:pos="284"/>
        </w:tabs>
        <w:spacing w:before="240" w:after="0" w:line="276" w:lineRule="auto"/>
        <w:jc w:val="both"/>
        <w:rPr>
          <w:rFonts w:ascii="Verdana" w:eastAsia="Century Gothic" w:hAnsi="Verdana" w:cs="Century Gothic"/>
          <w:b/>
          <w:bCs/>
        </w:rPr>
      </w:pPr>
      <w:r w:rsidRPr="00A77871">
        <w:rPr>
          <w:rFonts w:ascii="Verdana" w:eastAsia="Century Gothic" w:hAnsi="Verdana" w:cs="Century Gothic"/>
          <w:b/>
          <w:bCs/>
        </w:rPr>
        <w:t>Referencias normativas y jurisprudenciales:</w:t>
      </w:r>
    </w:p>
    <w:p w14:paraId="0598F0D0" w14:textId="77777777" w:rsidR="00AE7AF2" w:rsidRPr="00A77871" w:rsidRDefault="00AE7AF2" w:rsidP="00C0734E">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E7AF2" w:rsidRPr="00A77871" w14:paraId="42767890" w14:textId="77777777" w:rsidTr="001B0102">
        <w:trPr>
          <w:trHeight w:val="410"/>
          <w:jc w:val="center"/>
        </w:trPr>
        <w:tc>
          <w:tcPr>
            <w:tcW w:w="8647" w:type="dxa"/>
          </w:tcPr>
          <w:p w14:paraId="618643E2" w14:textId="67018A04" w:rsidR="00D14230" w:rsidRPr="00964610" w:rsidRDefault="00D14230" w:rsidP="00964610">
            <w:pPr>
              <w:widowControl w:val="0"/>
              <w:numPr>
                <w:ilvl w:val="0"/>
                <w:numId w:val="17"/>
              </w:numPr>
              <w:autoSpaceDE w:val="0"/>
              <w:autoSpaceDN w:val="0"/>
              <w:spacing w:line="276" w:lineRule="auto"/>
              <w:jc w:val="both"/>
              <w:rPr>
                <w:rStyle w:val="Hipervnculo"/>
                <w:rFonts w:ascii="Verdana" w:hAnsi="Verdana"/>
                <w:color w:val="auto"/>
                <w:u w:val="none"/>
              </w:rPr>
            </w:pPr>
            <w:r w:rsidRPr="00964610">
              <w:rPr>
                <w:rStyle w:val="Hipervnculo"/>
                <w:rFonts w:ascii="Verdana" w:hAnsi="Verdana"/>
                <w:color w:val="auto"/>
                <w:u w:val="none"/>
              </w:rPr>
              <w:t>Ley 1150 de 2007, artículos 2 y 5</w:t>
            </w:r>
          </w:p>
          <w:p w14:paraId="19E45D56" w14:textId="2EA5C142" w:rsidR="00D14230" w:rsidRPr="00964610" w:rsidRDefault="00D14230" w:rsidP="00964610">
            <w:pPr>
              <w:widowControl w:val="0"/>
              <w:numPr>
                <w:ilvl w:val="0"/>
                <w:numId w:val="17"/>
              </w:numPr>
              <w:autoSpaceDE w:val="0"/>
              <w:autoSpaceDN w:val="0"/>
              <w:spacing w:line="276" w:lineRule="auto"/>
              <w:jc w:val="both"/>
              <w:rPr>
                <w:rStyle w:val="Hipervnculo"/>
                <w:rFonts w:ascii="Verdana" w:hAnsi="Verdana"/>
                <w:color w:val="auto"/>
                <w:u w:val="none"/>
              </w:rPr>
            </w:pPr>
            <w:r w:rsidRPr="00964610">
              <w:rPr>
                <w:rStyle w:val="Hipervnculo"/>
                <w:rFonts w:ascii="Verdana" w:hAnsi="Verdana"/>
                <w:color w:val="auto"/>
                <w:u w:val="none"/>
              </w:rPr>
              <w:t xml:space="preserve">Decreto 1082 de 2015, artículos </w:t>
            </w:r>
            <w:r w:rsidR="000D229F" w:rsidRPr="00964610">
              <w:rPr>
                <w:rStyle w:val="Hipervnculo"/>
                <w:rFonts w:ascii="Verdana" w:hAnsi="Verdana"/>
                <w:color w:val="auto"/>
                <w:u w:val="none"/>
                <w:lang w:val="es-ES"/>
              </w:rPr>
              <w:t xml:space="preserve">2.2.1.1.1.6.2 </w:t>
            </w:r>
            <w:r w:rsidRPr="00964610">
              <w:rPr>
                <w:rStyle w:val="Hipervnculo"/>
                <w:rFonts w:ascii="Verdana" w:hAnsi="Verdana"/>
                <w:color w:val="auto"/>
                <w:u w:val="none"/>
              </w:rPr>
              <w:t xml:space="preserve">y </w:t>
            </w:r>
            <w:r w:rsidR="00676DE2" w:rsidRPr="00964610">
              <w:rPr>
                <w:rStyle w:val="Hipervnculo"/>
                <w:rFonts w:ascii="Verdana" w:hAnsi="Verdana"/>
                <w:color w:val="auto"/>
                <w:u w:val="none"/>
                <w:lang w:val="es-ES"/>
              </w:rPr>
              <w:t>2.2.1.1.2.2.2</w:t>
            </w:r>
          </w:p>
          <w:p w14:paraId="68DD7080" w14:textId="77777777" w:rsidR="00D14230" w:rsidRPr="00964610" w:rsidRDefault="00D14230" w:rsidP="00C0734E">
            <w:pPr>
              <w:widowControl w:val="0"/>
              <w:numPr>
                <w:ilvl w:val="0"/>
                <w:numId w:val="17"/>
              </w:numPr>
              <w:autoSpaceDE w:val="0"/>
              <w:autoSpaceDN w:val="0"/>
              <w:spacing w:line="276" w:lineRule="auto"/>
              <w:jc w:val="both"/>
              <w:rPr>
                <w:rFonts w:ascii="Verdana" w:hAnsi="Verdana" w:cs="Arial"/>
                <w:lang w:val="es-ES"/>
              </w:rPr>
            </w:pPr>
            <w:r w:rsidRPr="00964610">
              <w:rPr>
                <w:rStyle w:val="Hipervnculo"/>
                <w:rFonts w:ascii="Verdana" w:hAnsi="Verdana" w:cs="Arial"/>
                <w:color w:val="auto"/>
                <w:u w:val="none"/>
              </w:rPr>
              <w:t>Manu</w:t>
            </w:r>
            <w:r w:rsidRPr="00327CB4">
              <w:rPr>
                <w:rFonts w:ascii="Verdana" w:hAnsi="Verdana"/>
                <w:lang w:val="es-ES"/>
              </w:rPr>
              <w:t xml:space="preserve">al para determinar y verificar los requisitos habilitantes en los Procesos de Contratación. Disponible en: </w:t>
            </w:r>
            <w:hyperlink r:id="rId12" w:history="1">
              <w:r w:rsidRPr="00327CB4">
                <w:rPr>
                  <w:rStyle w:val="Hipervnculo"/>
                  <w:rFonts w:ascii="Verdana" w:hAnsi="Verdana"/>
                  <w:lang w:val="es-ES"/>
                </w:rPr>
                <w:t>https://www.colombiacompra.gov.co/wp-content/uploads/2024/08/cce-eicp-ma-04._manual_requisitos_habilitantes_v3_29-09-2023.pdf</w:t>
              </w:r>
            </w:hyperlink>
          </w:p>
          <w:p w14:paraId="6A2C2E53" w14:textId="77777777" w:rsidR="00964610" w:rsidRPr="00964610" w:rsidRDefault="00964610" w:rsidP="00964610">
            <w:pPr>
              <w:widowControl w:val="0"/>
              <w:numPr>
                <w:ilvl w:val="0"/>
                <w:numId w:val="17"/>
              </w:numPr>
              <w:autoSpaceDE w:val="0"/>
              <w:autoSpaceDN w:val="0"/>
              <w:spacing w:line="276" w:lineRule="auto"/>
              <w:jc w:val="both"/>
              <w:rPr>
                <w:rStyle w:val="Hipervnculo"/>
                <w:rFonts w:ascii="Verdana" w:hAnsi="Verdana" w:cs="Arial"/>
                <w:color w:val="auto"/>
                <w:u w:val="none"/>
                <w:lang w:val="es-ES"/>
              </w:rPr>
            </w:pPr>
            <w:r w:rsidRPr="00964610">
              <w:rPr>
                <w:rStyle w:val="Hipervnculo"/>
                <w:rFonts w:ascii="Verdana" w:hAnsi="Verdana" w:cs="Arial"/>
                <w:color w:val="auto"/>
                <w:u w:val="none"/>
                <w:lang w:val="es-ES"/>
              </w:rPr>
              <w:t>RODRÍGUEZ TAMAYO, Mauricio F. Evaluación y rechazo de ofertas en la Ley 80 de 1993. Primera edición. Medellín: Librería Jurídica Sánchez, 2016. pp. 110-111.</w:t>
            </w:r>
          </w:p>
          <w:p w14:paraId="06DFB9BA" w14:textId="3BFA1233" w:rsidR="00964610" w:rsidRPr="00327CB4" w:rsidRDefault="00964610" w:rsidP="00964610">
            <w:pPr>
              <w:widowControl w:val="0"/>
              <w:numPr>
                <w:ilvl w:val="0"/>
                <w:numId w:val="17"/>
              </w:numPr>
              <w:autoSpaceDE w:val="0"/>
              <w:autoSpaceDN w:val="0"/>
              <w:spacing w:line="276" w:lineRule="auto"/>
              <w:jc w:val="both"/>
              <w:rPr>
                <w:rStyle w:val="Hipervnculo"/>
                <w:rFonts w:ascii="Verdana" w:hAnsi="Verdana" w:cs="Arial"/>
                <w:color w:val="auto"/>
                <w:u w:val="none"/>
                <w:lang w:val="es-ES"/>
              </w:rPr>
            </w:pPr>
            <w:r w:rsidRPr="00964610">
              <w:rPr>
                <w:rStyle w:val="Hipervnculo"/>
                <w:rFonts w:ascii="Verdana" w:hAnsi="Verdana" w:cs="Arial"/>
                <w:color w:val="auto"/>
                <w:u w:val="none"/>
                <w:lang w:val="es-ES"/>
              </w:rPr>
              <w:t>EXPÓSITO VELEZ, Juan C., El deber de selección objetiva, en: Del contrato estatal a los sistemas de compras públicas, por COVILLA MARTINEZ Juan C. y LOZANO VILLEGAS Germán (Eds.). Universidad Externado de Colombia, Bogotá, 2019. págs. 118-184.</w:t>
            </w:r>
          </w:p>
          <w:p w14:paraId="56958E07" w14:textId="1B3433DB" w:rsidR="00AE7AF2" w:rsidRPr="002048DF" w:rsidRDefault="00D14230" w:rsidP="00C0734E">
            <w:pPr>
              <w:pStyle w:val="Prrafodelista"/>
              <w:numPr>
                <w:ilvl w:val="0"/>
                <w:numId w:val="17"/>
              </w:numPr>
              <w:spacing w:line="276" w:lineRule="auto"/>
              <w:jc w:val="both"/>
              <w:rPr>
                <w:rFonts w:ascii="Verdana" w:eastAsia="Calibri" w:hAnsi="Verdana"/>
              </w:rPr>
            </w:pPr>
            <w:r w:rsidRPr="00327CB4">
              <w:rPr>
                <w:rFonts w:ascii="Verdana" w:eastAsia="Arial" w:hAnsi="Verdana" w:cs="Arial"/>
                <w:color w:val="000000"/>
              </w:rPr>
              <w:t>DÁVILA VINUEZA, Luis Guillermo. Régimen jurídico de la contratación estatal. Tercera edición, Bogotá: Legis, 2016.</w:t>
            </w:r>
          </w:p>
        </w:tc>
      </w:tr>
    </w:tbl>
    <w:p w14:paraId="55FBF3DE" w14:textId="77777777" w:rsidR="00AE7AF2" w:rsidRPr="00A77871" w:rsidRDefault="00AE7AF2" w:rsidP="00C0734E">
      <w:pPr>
        <w:widowControl w:val="0"/>
        <w:numPr>
          <w:ilvl w:val="0"/>
          <w:numId w:val="16"/>
        </w:numPr>
        <w:tabs>
          <w:tab w:val="left" w:pos="142"/>
          <w:tab w:val="left" w:pos="284"/>
        </w:tabs>
        <w:autoSpaceDE w:val="0"/>
        <w:autoSpaceDN w:val="0"/>
        <w:spacing w:before="240" w:line="276" w:lineRule="auto"/>
        <w:jc w:val="both"/>
        <w:rPr>
          <w:rFonts w:ascii="Verdana" w:eastAsia="Calibri" w:hAnsi="Verdana" w:cs="Arial"/>
          <w:color w:val="000000"/>
          <w:kern w:val="2"/>
          <w:shd w:val="clear" w:color="auto" w:fill="FFFFFF"/>
          <w14:ligatures w14:val="standardContextual"/>
        </w:rPr>
      </w:pPr>
      <w:r w:rsidRPr="00A77871">
        <w:rPr>
          <w:rFonts w:ascii="Verdana" w:eastAsia="Century Gothic" w:hAnsi="Verdana" w:cs="Century Gothic"/>
          <w:b/>
          <w:bCs/>
        </w:rPr>
        <w:t>Doctrina de la Agencia Nacional de Contratación Pública:</w:t>
      </w:r>
    </w:p>
    <w:p w14:paraId="33DE87B8" w14:textId="4711F757" w:rsidR="00D4133D" w:rsidRPr="00842C0C" w:rsidRDefault="00102547" w:rsidP="00C0734E">
      <w:pPr>
        <w:spacing w:after="0" w:line="276" w:lineRule="auto"/>
        <w:jc w:val="both"/>
        <w:rPr>
          <w:rStyle w:val="normaltextrun"/>
          <w:rFonts w:ascii="Verdana" w:hAnsi="Verdana" w:cs="Arial"/>
          <w:shd w:val="clear" w:color="auto" w:fill="FFFFFF"/>
        </w:rPr>
      </w:pPr>
      <w:r w:rsidRPr="00102547">
        <w:rPr>
          <w:rFonts w:ascii="Verdana" w:eastAsia="Calibri" w:hAnsi="Verdana" w:cs="Arial"/>
        </w:rPr>
        <w:t xml:space="preserve">La Agencia Nacional de Contratación Pública – Colombia Compra Eficiente se ha referido </w:t>
      </w:r>
      <w:r w:rsidRPr="00102547">
        <w:rPr>
          <w:rFonts w:ascii="Verdana" w:hAnsi="Verdana" w:cs="Arial"/>
          <w:shd w:val="clear" w:color="auto" w:fill="FFFFFF"/>
        </w:rPr>
        <w:t xml:space="preserve">sobre </w:t>
      </w:r>
      <w:r w:rsidR="007816F0">
        <w:rPr>
          <w:rStyle w:val="normaltextrun"/>
          <w:rFonts w:ascii="Verdana" w:hAnsi="Verdana" w:cs="Arial"/>
          <w:shd w:val="clear" w:color="auto" w:fill="FFFFFF"/>
          <w:lang w:val="es-ES"/>
        </w:rPr>
        <w:t>similares asuntos</w:t>
      </w:r>
      <w:r w:rsidR="00220C36" w:rsidRPr="00220C36">
        <w:rPr>
          <w:rFonts w:ascii="Verdana" w:hAnsi="Verdana" w:cs="Arial"/>
        </w:rPr>
        <w:t xml:space="preserve"> </w:t>
      </w:r>
      <w:r w:rsidRPr="00102547">
        <w:rPr>
          <w:rFonts w:ascii="Verdana" w:eastAsia="Calibri" w:hAnsi="Verdana" w:cs="Arial"/>
          <w:color w:val="000000"/>
        </w:rPr>
        <w:t xml:space="preserve">en los conceptos </w:t>
      </w:r>
      <w:r w:rsidR="00074160" w:rsidRPr="00B106E4">
        <w:rPr>
          <w:rStyle w:val="normaltextrun"/>
          <w:rFonts w:ascii="Verdana" w:hAnsi="Verdana" w:cs="Arial"/>
          <w:shd w:val="clear" w:color="auto" w:fill="FFFFFF"/>
          <w:lang w:val="es-ES"/>
        </w:rPr>
        <w:t>C-120 del 3 de marzo de 2020</w:t>
      </w:r>
      <w:r w:rsidR="00074160">
        <w:rPr>
          <w:rStyle w:val="normaltextrun"/>
          <w:rFonts w:ascii="Verdana" w:hAnsi="Verdana" w:cs="Arial"/>
          <w:shd w:val="clear" w:color="auto" w:fill="FFFFFF"/>
          <w:lang w:val="es-ES"/>
        </w:rPr>
        <w:t>,</w:t>
      </w:r>
      <w:r w:rsidR="00FF0302">
        <w:rPr>
          <w:rStyle w:val="normaltextrun"/>
          <w:rFonts w:ascii="Verdana" w:hAnsi="Verdana" w:cs="Arial"/>
          <w:shd w:val="clear" w:color="auto" w:fill="FFFFFF"/>
          <w:lang w:val="es-ES"/>
        </w:rPr>
        <w:t xml:space="preserve"> </w:t>
      </w:r>
      <w:r w:rsidR="00FF0302" w:rsidRPr="00B106E4">
        <w:rPr>
          <w:rStyle w:val="normaltextrun"/>
          <w:rFonts w:ascii="Verdana" w:hAnsi="Verdana" w:cs="Arial"/>
          <w:shd w:val="clear" w:color="auto" w:fill="FFFFFF"/>
          <w:lang w:val="es-ES"/>
        </w:rPr>
        <w:lastRenderedPageBreak/>
        <w:t>C-204 del 31 de marzo de 2020</w:t>
      </w:r>
      <w:r w:rsidR="00FF0302">
        <w:rPr>
          <w:rStyle w:val="normaltextrun"/>
          <w:rFonts w:ascii="Verdana" w:hAnsi="Verdana" w:cs="Arial"/>
          <w:shd w:val="clear" w:color="auto" w:fill="FFFFFF"/>
          <w:lang w:val="es-ES"/>
        </w:rPr>
        <w:t>,</w:t>
      </w:r>
      <w:r w:rsidR="00074160">
        <w:rPr>
          <w:rStyle w:val="normaltextrun"/>
          <w:rFonts w:ascii="Verdana" w:hAnsi="Verdana" w:cs="Arial"/>
          <w:shd w:val="clear" w:color="auto" w:fill="FFFFFF"/>
          <w:lang w:val="es-ES"/>
        </w:rPr>
        <w:t xml:space="preserve"> </w:t>
      </w:r>
      <w:r w:rsidRPr="00102547">
        <w:rPr>
          <w:rFonts w:ascii="Verdana" w:eastAsia="Calibri" w:hAnsi="Verdana" w:cs="Arial"/>
          <w:color w:val="000000"/>
        </w:rPr>
        <w:t>C-218 del 2 de abril</w:t>
      </w:r>
      <w:r w:rsidRPr="00102547">
        <w:rPr>
          <w:rFonts w:ascii="Verdana" w:eastAsia="Arial" w:hAnsi="Verdana" w:cs="Arial"/>
          <w:bCs/>
          <w:lang w:eastAsia="es-ES_tradnl"/>
        </w:rPr>
        <w:t xml:space="preserve"> de 2020, </w:t>
      </w:r>
      <w:r w:rsidR="00035E83" w:rsidRPr="00B106E4">
        <w:rPr>
          <w:rStyle w:val="normaltextrun"/>
          <w:rFonts w:ascii="Verdana" w:hAnsi="Verdana" w:cs="Arial"/>
          <w:shd w:val="clear" w:color="auto" w:fill="FFFFFF"/>
          <w:lang w:val="es-ES"/>
        </w:rPr>
        <w:t>C-099 del 6 de abril  de 2020</w:t>
      </w:r>
      <w:r w:rsidR="00035E83">
        <w:rPr>
          <w:rStyle w:val="normaltextrun"/>
          <w:rFonts w:ascii="Verdana" w:hAnsi="Verdana" w:cs="Arial"/>
          <w:shd w:val="clear" w:color="auto" w:fill="FFFFFF"/>
          <w:lang w:val="es-ES"/>
        </w:rPr>
        <w:t xml:space="preserve">, </w:t>
      </w:r>
      <w:r w:rsidR="00E237B0" w:rsidRPr="00B106E4">
        <w:rPr>
          <w:rStyle w:val="normaltextrun"/>
          <w:rFonts w:ascii="Verdana" w:hAnsi="Verdana" w:cs="Arial"/>
          <w:shd w:val="clear" w:color="auto" w:fill="FFFFFF"/>
          <w:lang w:val="es-ES"/>
        </w:rPr>
        <w:t>C-195 del 13 de abril de 2020, C-013 del 17 de abril de 2020, C-330 del 27 de mayo de 2020</w:t>
      </w:r>
      <w:r w:rsidR="00E237B0">
        <w:rPr>
          <w:rStyle w:val="normaltextrun"/>
          <w:rFonts w:ascii="Verdana" w:hAnsi="Verdana" w:cs="Arial"/>
          <w:shd w:val="clear" w:color="auto" w:fill="FFFFFF"/>
          <w:lang w:val="es-ES"/>
        </w:rPr>
        <w:t>,</w:t>
      </w:r>
      <w:r w:rsidR="00E237B0" w:rsidRPr="00B106E4">
        <w:rPr>
          <w:rStyle w:val="normaltextrun"/>
          <w:rFonts w:ascii="Verdana" w:hAnsi="Verdana" w:cs="Arial"/>
          <w:shd w:val="clear" w:color="auto" w:fill="FFFFFF"/>
          <w:lang w:val="es-ES"/>
        </w:rPr>
        <w:t xml:space="preserve"> C-396 de 16 de julio de 2020</w:t>
      </w:r>
      <w:r w:rsidR="00E237B0">
        <w:rPr>
          <w:rStyle w:val="normaltextrun"/>
          <w:rFonts w:ascii="Verdana" w:hAnsi="Verdana" w:cs="Arial"/>
          <w:shd w:val="clear" w:color="auto" w:fill="FFFFFF"/>
          <w:lang w:val="es-ES"/>
        </w:rPr>
        <w:t xml:space="preserve">, </w:t>
      </w:r>
      <w:r w:rsidRPr="00102547">
        <w:rPr>
          <w:rFonts w:ascii="Verdana" w:eastAsia="Arial" w:hAnsi="Verdana" w:cs="Arial"/>
          <w:bCs/>
          <w:lang w:eastAsia="es-ES_tradnl"/>
        </w:rPr>
        <w:t xml:space="preserve">C-083 del 18 de marzo de 2021, C-691 del 28 de diciembre de 2021, </w:t>
      </w:r>
      <w:r w:rsidR="00F34CE8" w:rsidRPr="00B106E4">
        <w:rPr>
          <w:rStyle w:val="normaltextrun"/>
          <w:rFonts w:ascii="Verdana" w:hAnsi="Verdana" w:cs="Arial"/>
          <w:shd w:val="clear" w:color="auto" w:fill="FFFFFF"/>
          <w:lang w:val="es-ES"/>
        </w:rPr>
        <w:t>C-142 del 30 de marzo de 2022</w:t>
      </w:r>
      <w:r w:rsidR="00F34CE8">
        <w:rPr>
          <w:rStyle w:val="normaltextrun"/>
          <w:rFonts w:ascii="Verdana" w:hAnsi="Verdana" w:cs="Arial"/>
          <w:shd w:val="clear" w:color="auto" w:fill="FFFFFF"/>
          <w:lang w:val="es-ES"/>
        </w:rPr>
        <w:t xml:space="preserve">, </w:t>
      </w:r>
      <w:r w:rsidRPr="00102547">
        <w:rPr>
          <w:rFonts w:ascii="Verdana" w:eastAsia="Arial" w:hAnsi="Verdana" w:cs="Arial"/>
          <w:bCs/>
          <w:lang w:eastAsia="es-ES_tradnl"/>
        </w:rPr>
        <w:t xml:space="preserve">C-431 del 7 de julio de 2022, </w:t>
      </w:r>
      <w:r w:rsidR="00AD5A1E" w:rsidRPr="00B106E4">
        <w:rPr>
          <w:rStyle w:val="normaltextrun"/>
          <w:rFonts w:ascii="Verdana" w:hAnsi="Verdana" w:cs="Arial"/>
          <w:shd w:val="clear" w:color="auto" w:fill="FFFFFF"/>
          <w:lang w:val="es-ES"/>
        </w:rPr>
        <w:t>,  C-337 de 18</w:t>
      </w:r>
      <w:r w:rsidR="00AD5A1E">
        <w:rPr>
          <w:rStyle w:val="normaltextrun"/>
          <w:rFonts w:ascii="Verdana" w:hAnsi="Verdana" w:cs="Arial"/>
          <w:shd w:val="clear" w:color="auto" w:fill="FFFFFF"/>
          <w:lang w:val="es-ES"/>
        </w:rPr>
        <w:t xml:space="preserve"> </w:t>
      </w:r>
      <w:r w:rsidR="00AD5A1E" w:rsidRPr="00B106E4">
        <w:rPr>
          <w:rStyle w:val="normaltextrun"/>
          <w:rFonts w:ascii="Verdana" w:hAnsi="Verdana" w:cs="Arial"/>
          <w:shd w:val="clear" w:color="auto" w:fill="FFFFFF"/>
          <w:lang w:val="es-ES"/>
        </w:rPr>
        <w:t>de agosto de 2023</w:t>
      </w:r>
      <w:r w:rsidR="00AD5A1E">
        <w:rPr>
          <w:rStyle w:val="normaltextrun"/>
          <w:rFonts w:ascii="Verdana" w:hAnsi="Verdana" w:cs="Arial"/>
          <w:shd w:val="clear" w:color="auto" w:fill="FFFFFF"/>
          <w:lang w:val="es-ES"/>
        </w:rPr>
        <w:t xml:space="preserve">, </w:t>
      </w:r>
      <w:r w:rsidRPr="00102547">
        <w:rPr>
          <w:rFonts w:ascii="Verdana" w:eastAsia="Arial" w:hAnsi="Verdana" w:cs="Arial"/>
          <w:bCs/>
          <w:lang w:eastAsia="es-ES_tradnl"/>
        </w:rPr>
        <w:t xml:space="preserve">C-457 del 24 de septiembre de 2024, </w:t>
      </w:r>
      <w:r w:rsidR="00C92CB3" w:rsidRPr="00B106E4">
        <w:rPr>
          <w:rStyle w:val="normaltextrun"/>
          <w:rFonts w:ascii="Verdana" w:hAnsi="Verdana" w:cs="Arial"/>
          <w:shd w:val="clear" w:color="auto" w:fill="FFFFFF"/>
          <w:lang w:val="es-ES"/>
        </w:rPr>
        <w:t>C-483 del 26 de septiembre de 2024</w:t>
      </w:r>
      <w:r w:rsidR="00C92CB3">
        <w:rPr>
          <w:rStyle w:val="normaltextrun"/>
          <w:rFonts w:ascii="Verdana" w:hAnsi="Verdana" w:cs="Arial"/>
          <w:shd w:val="clear" w:color="auto" w:fill="FFFFFF"/>
          <w:lang w:val="es-ES"/>
        </w:rPr>
        <w:t xml:space="preserve">, </w:t>
      </w:r>
      <w:r w:rsidRPr="00102547">
        <w:rPr>
          <w:rFonts w:ascii="Verdana" w:eastAsia="Arial" w:hAnsi="Verdana" w:cs="Arial"/>
          <w:bCs/>
          <w:lang w:eastAsia="es-ES_tradnl"/>
        </w:rPr>
        <w:t xml:space="preserve">C-597 del 8 de noviembre de 2024, C-625 del 29 de noviembre de 2024, </w:t>
      </w:r>
      <w:r w:rsidR="00960028" w:rsidRPr="00B106E4">
        <w:rPr>
          <w:rStyle w:val="normaltextrun"/>
          <w:rFonts w:ascii="Verdana" w:hAnsi="Verdana" w:cs="Arial"/>
          <w:shd w:val="clear" w:color="auto" w:fill="FFFFFF"/>
          <w:lang w:val="es-ES"/>
        </w:rPr>
        <w:t>C- 662 de 2024 del 29 de enero de 2025</w:t>
      </w:r>
      <w:r w:rsidR="00960028">
        <w:rPr>
          <w:rStyle w:val="normaltextrun"/>
          <w:rFonts w:ascii="Verdana" w:hAnsi="Verdana" w:cs="Arial"/>
          <w:shd w:val="clear" w:color="auto" w:fill="FFFFFF"/>
          <w:lang w:val="es-ES"/>
        </w:rPr>
        <w:t xml:space="preserve">, </w:t>
      </w:r>
      <w:r w:rsidR="003E440C" w:rsidRPr="00B106E4">
        <w:rPr>
          <w:rStyle w:val="normaltextrun"/>
          <w:rFonts w:ascii="Verdana" w:hAnsi="Verdana" w:cs="Arial"/>
          <w:shd w:val="clear" w:color="auto" w:fill="FFFFFF"/>
          <w:lang w:val="es-ES"/>
        </w:rPr>
        <w:t>C –043 del 28 de febrero de 2025, Concepto C- 116 del 1 de marzo de 2025</w:t>
      </w:r>
      <w:r w:rsidR="003E440C">
        <w:rPr>
          <w:rStyle w:val="normaltextrun"/>
          <w:rFonts w:ascii="Verdana" w:hAnsi="Verdana" w:cs="Arial"/>
          <w:shd w:val="clear" w:color="auto" w:fill="FFFFFF"/>
          <w:lang w:val="es-ES"/>
        </w:rPr>
        <w:t xml:space="preserve">, </w:t>
      </w:r>
      <w:r w:rsidRPr="00102547">
        <w:rPr>
          <w:rFonts w:ascii="Verdana" w:eastAsia="Arial" w:hAnsi="Verdana" w:cs="Arial"/>
          <w:bCs/>
          <w:lang w:eastAsia="es-ES_tradnl"/>
        </w:rPr>
        <w:t xml:space="preserve">C-232 del 1 de abril de 2025, C-442 del 21 de mayo de 2025, C-722 del 7 de julio de 2025, C-883 del 14 de agosto de 2025, </w:t>
      </w:r>
      <w:r w:rsidR="004D11D2">
        <w:rPr>
          <w:rStyle w:val="normaltextrun"/>
          <w:rFonts w:ascii="Verdana" w:hAnsi="Verdana" w:cs="Arial"/>
          <w:shd w:val="clear" w:color="auto" w:fill="FFFFFF"/>
          <w:lang w:val="es-ES"/>
        </w:rPr>
        <w:t xml:space="preserve">C-1790 del 30 de diciembre de 2025 , </w:t>
      </w:r>
      <w:r w:rsidR="00074BD7">
        <w:rPr>
          <w:rStyle w:val="normaltextrun"/>
          <w:rFonts w:ascii="Verdana" w:hAnsi="Verdana" w:cs="Arial"/>
          <w:shd w:val="clear" w:color="auto" w:fill="FFFFFF"/>
          <w:lang w:val="es-ES"/>
        </w:rPr>
        <w:t>C-1817 del 20 de enero de 2026</w:t>
      </w:r>
      <w:r w:rsidR="00047700">
        <w:rPr>
          <w:rStyle w:val="normaltextrun"/>
          <w:rFonts w:ascii="Verdana" w:hAnsi="Verdana" w:cs="Arial"/>
          <w:shd w:val="clear" w:color="auto" w:fill="FFFFFF"/>
          <w:lang w:val="es-ES"/>
        </w:rPr>
        <w:t xml:space="preserve">, </w:t>
      </w:r>
      <w:r w:rsidRPr="00102547">
        <w:rPr>
          <w:rFonts w:ascii="Verdana" w:eastAsia="Arial" w:hAnsi="Verdana" w:cs="Arial"/>
          <w:bCs/>
          <w:lang w:eastAsia="es-ES_tradnl"/>
        </w:rPr>
        <w:t xml:space="preserve">C-135 del 19 de febrero de 2026, </w:t>
      </w:r>
      <w:r w:rsidRPr="00102547">
        <w:rPr>
          <w:rFonts w:ascii="Verdana" w:hAnsi="Verdana" w:cs="Arial"/>
          <w:shd w:val="clear" w:color="auto" w:fill="FFFFFF"/>
        </w:rPr>
        <w:t>entre otros. Estos</w:t>
      </w:r>
      <w:r w:rsidRPr="00102547">
        <w:rPr>
          <w:rFonts w:ascii="Verdana" w:hAnsi="Verdana"/>
        </w:rPr>
        <w:t xml:space="preserve"> y otros se encuentran disponibles para consulta en el Sistema de relatoría de la Agencia, al cual se puede acceder a través del siguiente enlace:</w:t>
      </w:r>
      <w:r w:rsidRPr="00102547">
        <w:rPr>
          <w:rFonts w:ascii="Verdana" w:hAnsi="Verdana" w:cs="Arial"/>
          <w:shd w:val="clear" w:color="auto" w:fill="FFFFFF"/>
        </w:rPr>
        <w:t xml:space="preserve"> </w:t>
      </w:r>
      <w:hyperlink r:id="rId13" w:history="1">
        <w:r w:rsidRPr="00102547">
          <w:rPr>
            <w:rFonts w:ascii="Verdana" w:hAnsi="Verdana" w:cs="Arial"/>
            <w:color w:val="0000FF"/>
            <w:u w:val="single"/>
            <w:shd w:val="clear" w:color="auto" w:fill="FFFFFF"/>
          </w:rPr>
          <w:t>https://relatoria.colombiacompra.gov.co/busqueda/concept os</w:t>
        </w:r>
      </w:hyperlink>
      <w:r w:rsidRPr="00102547">
        <w:rPr>
          <w:rFonts w:ascii="Verdana" w:hAnsi="Verdana" w:cs="Arial"/>
          <w:shd w:val="clear" w:color="auto" w:fill="FFFFFF"/>
        </w:rPr>
        <w:t>.</w:t>
      </w:r>
      <w:r w:rsidRPr="00102547">
        <w:rPr>
          <w:rFonts w:ascii="Verdana" w:hAnsi="Verdana" w:cs="Arial"/>
          <w:color w:val="FF0000"/>
          <w:shd w:val="clear" w:color="auto" w:fill="FFFFFF"/>
        </w:rPr>
        <w:t xml:space="preserve"> </w:t>
      </w:r>
      <w:r w:rsidRPr="00102547">
        <w:rPr>
          <w:rFonts w:ascii="Verdana" w:hAnsi="Verdana" w:cs="Arial"/>
          <w:color w:val="000000" w:themeColor="text1"/>
          <w:shd w:val="clear" w:color="auto" w:fill="FFFFFF"/>
        </w:rPr>
        <w:t>  </w:t>
      </w:r>
    </w:p>
    <w:p w14:paraId="283C3F2D" w14:textId="085B5BD4" w:rsidR="00AE7AF2" w:rsidRPr="009A385A" w:rsidRDefault="00AE7AF2" w:rsidP="00842C0C">
      <w:pPr>
        <w:spacing w:before="240"/>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2A5060E3" w14:textId="77777777" w:rsidR="00AE7AF2" w:rsidRDefault="00AE7AF2" w:rsidP="00C0734E">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68A1BF80" w14:textId="77777777" w:rsidR="00AE7AF2" w:rsidRPr="009A385A" w:rsidRDefault="00AE7AF2" w:rsidP="00C0734E">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lastRenderedPageBreak/>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03C85F1" w14:textId="77777777" w:rsidR="00AE7AF2" w:rsidRPr="00047700" w:rsidRDefault="00AE7AF2" w:rsidP="00C0734E">
      <w:pPr>
        <w:spacing w:line="276" w:lineRule="auto"/>
        <w:jc w:val="both"/>
        <w:rPr>
          <w:rFonts w:ascii="Verdana" w:hAnsi="Verdana"/>
        </w:rPr>
      </w:pPr>
      <w:r w:rsidRPr="00A77871">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w:t>
      </w:r>
      <w:r w:rsidRPr="00047700">
        <w:rPr>
          <w:rFonts w:ascii="Verdana" w:hAnsi="Verdana"/>
        </w:rPr>
        <w:t xml:space="preserve">atención: </w:t>
      </w:r>
    </w:p>
    <w:p w14:paraId="4CEB2C5E" w14:textId="77777777" w:rsidR="00AE7AF2" w:rsidRPr="00047700" w:rsidRDefault="00AE7AF2" w:rsidP="00C0734E">
      <w:pPr>
        <w:pStyle w:val="Prrafodelista"/>
        <w:numPr>
          <w:ilvl w:val="0"/>
          <w:numId w:val="18"/>
        </w:numPr>
        <w:spacing w:after="0" w:line="276" w:lineRule="auto"/>
        <w:jc w:val="both"/>
        <w:rPr>
          <w:rFonts w:ascii="Verdana" w:eastAsia="Verdana" w:hAnsi="Verdana" w:cs="Verdana"/>
          <w:color w:val="4472C4" w:themeColor="accent1"/>
          <w:u w:val="single"/>
        </w:rPr>
      </w:pPr>
      <w:r w:rsidRPr="00047700">
        <w:rPr>
          <w:rFonts w:ascii="Verdana" w:eastAsia="Verdana" w:hAnsi="Verdana" w:cs="Verdana"/>
        </w:rPr>
        <w:t xml:space="preserve">Línea nacional gratuita o servicio a la ciudadanía (Mesa de servicio): </w:t>
      </w:r>
      <w:r w:rsidRPr="00047700">
        <w:rPr>
          <w:rStyle w:val="Hipervnculo"/>
          <w:rFonts w:ascii="Verdana" w:hAnsi="Verdana"/>
          <w:lang w:val="es-CO"/>
        </w:rPr>
        <w:t>01800 0520808</w:t>
      </w:r>
    </w:p>
    <w:p w14:paraId="7511E65D" w14:textId="77777777" w:rsidR="00AE7AF2" w:rsidRPr="00047700" w:rsidRDefault="00AE7AF2" w:rsidP="00C0734E">
      <w:pPr>
        <w:pStyle w:val="Prrafodelista"/>
        <w:numPr>
          <w:ilvl w:val="0"/>
          <w:numId w:val="18"/>
        </w:numPr>
        <w:spacing w:after="0" w:line="276" w:lineRule="auto"/>
        <w:jc w:val="both"/>
        <w:rPr>
          <w:rFonts w:ascii="Verdana" w:eastAsia="Verdana" w:hAnsi="Verdana" w:cs="Verdana"/>
          <w:color w:val="4472C4" w:themeColor="accent1"/>
          <w:u w:val="single"/>
          <w:lang w:val="es-CO"/>
        </w:rPr>
      </w:pPr>
      <w:r w:rsidRPr="00047700">
        <w:rPr>
          <w:rFonts w:ascii="Verdana" w:eastAsia="Verdana" w:hAnsi="Verdana" w:cs="Verdana"/>
          <w:lang w:val="es-CO"/>
        </w:rPr>
        <w:t>Línea en Bogotá (Mesa de servicio</w:t>
      </w:r>
      <w:proofErr w:type="gramStart"/>
      <w:r w:rsidRPr="00047700">
        <w:rPr>
          <w:rFonts w:ascii="Verdana" w:eastAsia="Verdana" w:hAnsi="Verdana" w:cs="Verdana"/>
          <w:lang w:val="es-CO"/>
        </w:rPr>
        <w:t>):</w:t>
      </w:r>
      <w:r w:rsidRPr="00047700">
        <w:rPr>
          <w:rStyle w:val="Hipervnculo"/>
          <w:rFonts w:ascii="Verdana" w:hAnsi="Verdana"/>
          <w:lang w:val="es-CO"/>
        </w:rPr>
        <w:t>+</w:t>
      </w:r>
      <w:proofErr w:type="gramEnd"/>
      <w:r w:rsidRPr="00047700">
        <w:rPr>
          <w:rStyle w:val="Hipervnculo"/>
          <w:rFonts w:ascii="Verdana" w:hAnsi="Verdana"/>
          <w:lang w:val="es-CO"/>
        </w:rPr>
        <w:t>57 601 7456788</w:t>
      </w:r>
    </w:p>
    <w:p w14:paraId="4ABF8448" w14:textId="77777777" w:rsidR="00AE7AF2" w:rsidRPr="00047700" w:rsidRDefault="00AE7AF2" w:rsidP="00C0734E">
      <w:pPr>
        <w:pStyle w:val="Prrafodelista"/>
        <w:numPr>
          <w:ilvl w:val="0"/>
          <w:numId w:val="18"/>
        </w:numPr>
        <w:spacing w:after="0" w:line="276" w:lineRule="auto"/>
        <w:jc w:val="both"/>
        <w:rPr>
          <w:rFonts w:ascii="Verdana" w:eastAsia="Verdana" w:hAnsi="Verdana" w:cs="Verdana"/>
          <w:color w:val="0000FF"/>
          <w:u w:val="single"/>
          <w:lang w:val="es-CO"/>
        </w:rPr>
      </w:pPr>
      <w:r w:rsidRPr="00047700">
        <w:rPr>
          <w:rFonts w:ascii="Verdana" w:eastAsia="Verdana" w:hAnsi="Verdana" w:cs="Verdana"/>
          <w:lang w:val="es-CO"/>
        </w:rPr>
        <w:t xml:space="preserve">Correo de radicación de correspondencia: </w:t>
      </w:r>
      <w:hyperlink r:id="rId17" w:history="1">
        <w:r w:rsidRPr="00047700">
          <w:rPr>
            <w:rStyle w:val="Hipervnculo"/>
            <w:rFonts w:ascii="Verdana" w:eastAsia="Verdana" w:hAnsi="Verdana" w:cs="Verdana"/>
            <w:lang w:val="es-CO"/>
          </w:rPr>
          <w:t>ventanilladeradicacion@colombiacompra.gov.co</w:t>
        </w:r>
      </w:hyperlink>
    </w:p>
    <w:p w14:paraId="304299CB" w14:textId="77777777" w:rsidR="00AE7AF2" w:rsidRPr="00047700" w:rsidRDefault="00AE7AF2" w:rsidP="00C0734E">
      <w:pPr>
        <w:pStyle w:val="Prrafodelista"/>
        <w:numPr>
          <w:ilvl w:val="0"/>
          <w:numId w:val="18"/>
        </w:numPr>
        <w:spacing w:line="276" w:lineRule="auto"/>
        <w:jc w:val="both"/>
        <w:rPr>
          <w:rFonts w:ascii="Verdana" w:hAnsi="Verdana"/>
        </w:rPr>
      </w:pPr>
      <w:r w:rsidRPr="00047700">
        <w:rPr>
          <w:rFonts w:ascii="Verdana" w:eastAsia="Verdana" w:hAnsi="Verdana" w:cs="Verdana"/>
          <w:lang w:val="es-CO"/>
        </w:rPr>
        <w:t xml:space="preserve">Formulario web para PQRSD: </w:t>
      </w:r>
      <w:hyperlink r:id="rId18" w:history="1">
        <w:r w:rsidRPr="00047700">
          <w:rPr>
            <w:rStyle w:val="Hipervnculo"/>
            <w:rFonts w:ascii="Verdana" w:eastAsia="Verdana" w:hAnsi="Verdana" w:cs="Verdana"/>
            <w:lang w:val="es-CO"/>
          </w:rPr>
          <w:t>https://www.colombiacompra.gov.co/pqrsd/informacion-importante-antes-de-formular-una-pqrsd</w:t>
        </w:r>
      </w:hyperlink>
    </w:p>
    <w:p w14:paraId="0612E035" w14:textId="470327D9" w:rsidR="00AE7AF2" w:rsidRPr="00047700" w:rsidRDefault="00AE7AF2" w:rsidP="00C0734E">
      <w:pPr>
        <w:spacing w:line="276" w:lineRule="auto"/>
        <w:jc w:val="both"/>
        <w:rPr>
          <w:rFonts w:ascii="Verdana" w:hAnsi="Verdana"/>
        </w:rPr>
      </w:pPr>
      <w:r w:rsidRPr="00047700">
        <w:rPr>
          <w:rFonts w:ascii="Verdana" w:hAnsi="Verdana"/>
        </w:rPr>
        <w:t xml:space="preserve">Evalúa el servicio que ofrece la Agencia por el canal de atención de PQRSD en el siguiente enlace: </w:t>
      </w:r>
      <w:hyperlink r:id="rId19" w:history="1">
        <w:r w:rsidRPr="00047700">
          <w:rPr>
            <w:rStyle w:val="Hipervnculo"/>
            <w:rFonts w:ascii="Verdana" w:hAnsi="Verdana"/>
          </w:rPr>
          <w:t>https://forms.office.com/r/pPHyWVs2SZ</w:t>
        </w:r>
      </w:hyperlink>
      <w:r w:rsidRPr="00047700">
        <w:rPr>
          <w:rFonts w:ascii="Verdana" w:hAnsi="Verdana"/>
        </w:rPr>
        <w:t>. ¡Ayúdanos a mejorar porque el compromiso es de todos!</w:t>
      </w:r>
    </w:p>
    <w:p w14:paraId="1D301478" w14:textId="77777777" w:rsidR="00AE7AF2" w:rsidRPr="00047700" w:rsidRDefault="00AE7AF2" w:rsidP="00C0734E">
      <w:pPr>
        <w:spacing w:line="276" w:lineRule="auto"/>
        <w:jc w:val="both"/>
        <w:rPr>
          <w:rFonts w:ascii="Verdana" w:hAnsi="Verdana"/>
        </w:rPr>
      </w:pPr>
      <w:r w:rsidRPr="00047700">
        <w:rPr>
          <w:rFonts w:ascii="Verdana" w:hAnsi="Verdana"/>
        </w:rPr>
        <w:t xml:space="preserve">Por último, lo invitamos a seguirnos en las redes sociales en las cuales se difunde información institucional: </w:t>
      </w:r>
    </w:p>
    <w:p w14:paraId="588DF072" w14:textId="77777777" w:rsidR="00AE7AF2" w:rsidRPr="00047700" w:rsidRDefault="00AE7AF2" w:rsidP="00C0734E">
      <w:pPr>
        <w:spacing w:after="0" w:line="276" w:lineRule="auto"/>
        <w:jc w:val="both"/>
        <w:rPr>
          <w:rFonts w:ascii="Verdana" w:hAnsi="Verdana"/>
        </w:rPr>
      </w:pPr>
      <w:r w:rsidRPr="00047700">
        <w:rPr>
          <w:rFonts w:ascii="Verdana" w:hAnsi="Verdana"/>
        </w:rPr>
        <w:t xml:space="preserve">Twitter: </w:t>
      </w:r>
      <w:r w:rsidRPr="00047700">
        <w:rPr>
          <w:rStyle w:val="Hipervnculo"/>
          <w:rFonts w:ascii="Verdana" w:hAnsi="Verdana"/>
        </w:rPr>
        <w:t>@colombiacompra</w:t>
      </w:r>
      <w:r w:rsidRPr="00047700">
        <w:rPr>
          <w:rFonts w:ascii="Verdana" w:hAnsi="Verdana"/>
        </w:rPr>
        <w:t xml:space="preserve"> </w:t>
      </w:r>
    </w:p>
    <w:p w14:paraId="584E2FBC" w14:textId="77777777" w:rsidR="00AE7AF2" w:rsidRPr="00047700" w:rsidRDefault="00AE7AF2" w:rsidP="00C0734E">
      <w:pPr>
        <w:spacing w:after="0" w:line="276" w:lineRule="auto"/>
        <w:jc w:val="both"/>
        <w:rPr>
          <w:rFonts w:ascii="Verdana" w:hAnsi="Verdana"/>
        </w:rPr>
      </w:pPr>
      <w:r w:rsidRPr="00047700">
        <w:rPr>
          <w:rFonts w:ascii="Verdana" w:hAnsi="Verdana"/>
        </w:rPr>
        <w:t xml:space="preserve">Facebook: </w:t>
      </w:r>
      <w:proofErr w:type="spellStart"/>
      <w:r w:rsidRPr="00047700">
        <w:rPr>
          <w:rStyle w:val="Hipervnculo"/>
          <w:rFonts w:ascii="Verdana" w:hAnsi="Verdana"/>
        </w:rPr>
        <w:t>ColombiaCompraEficiente</w:t>
      </w:r>
      <w:proofErr w:type="spellEnd"/>
    </w:p>
    <w:p w14:paraId="4A8A35D5" w14:textId="77777777" w:rsidR="00AE7AF2" w:rsidRPr="00047700" w:rsidRDefault="00AE7AF2" w:rsidP="00C0734E">
      <w:pPr>
        <w:spacing w:after="0" w:line="276" w:lineRule="auto"/>
        <w:jc w:val="both"/>
        <w:rPr>
          <w:rFonts w:ascii="Verdana" w:hAnsi="Verdana"/>
        </w:rPr>
      </w:pPr>
      <w:r w:rsidRPr="00047700">
        <w:rPr>
          <w:rFonts w:ascii="Verdana" w:hAnsi="Verdana"/>
        </w:rPr>
        <w:t xml:space="preserve">LinkedIn: </w:t>
      </w:r>
      <w:r w:rsidRPr="00047700">
        <w:rPr>
          <w:rStyle w:val="Hipervnculo"/>
          <w:rFonts w:ascii="Verdana" w:hAnsi="Verdana"/>
        </w:rPr>
        <w:t>Agencia Nacional de Contratación Pública - Colombia Compra Eficiente</w:t>
      </w:r>
      <w:r w:rsidRPr="00047700">
        <w:rPr>
          <w:rFonts w:ascii="Verdana" w:hAnsi="Verdana"/>
        </w:rPr>
        <w:t xml:space="preserve"> </w:t>
      </w:r>
    </w:p>
    <w:p w14:paraId="334013DB" w14:textId="77777777" w:rsidR="00AE7AF2" w:rsidRPr="00047700" w:rsidRDefault="00AE7AF2" w:rsidP="00C0734E">
      <w:pPr>
        <w:spacing w:line="276" w:lineRule="auto"/>
        <w:jc w:val="both"/>
        <w:rPr>
          <w:rFonts w:ascii="Verdana" w:hAnsi="Verdana"/>
        </w:rPr>
      </w:pPr>
      <w:r w:rsidRPr="00047700">
        <w:rPr>
          <w:rFonts w:ascii="Verdana" w:hAnsi="Verdana"/>
        </w:rPr>
        <w:t xml:space="preserve">Instagram: </w:t>
      </w:r>
      <w:r w:rsidRPr="00047700">
        <w:rPr>
          <w:rStyle w:val="Hipervnculo"/>
          <w:rFonts w:ascii="Verdana" w:hAnsi="Verdana"/>
        </w:rPr>
        <w:t>@colombiacompraeficiente_cce</w:t>
      </w:r>
    </w:p>
    <w:p w14:paraId="3C468C7B" w14:textId="77777777" w:rsidR="00AE7AF2" w:rsidRPr="00A77871" w:rsidRDefault="00AE7AF2" w:rsidP="00C0734E">
      <w:pPr>
        <w:spacing w:after="0" w:line="276" w:lineRule="auto"/>
        <w:jc w:val="both"/>
        <w:rPr>
          <w:rFonts w:ascii="Verdana" w:eastAsia="Calibri" w:hAnsi="Verdana" w:cs="Times New Roman"/>
          <w:bCs/>
        </w:rPr>
      </w:pPr>
      <w:r w:rsidRPr="00A77871">
        <w:rPr>
          <w:rFonts w:ascii="Verdana" w:eastAsia="Calibri" w:hAnsi="Verdana" w:cs="Times New Roman"/>
        </w:rPr>
        <w:t xml:space="preserve">Este concepto tiene el alcance previsto en el artículo 28 del Código de Procedimiento Administrativo y de lo Contencioso Administrativo y las </w:t>
      </w:r>
      <w:r w:rsidRPr="00A77871">
        <w:rPr>
          <w:rFonts w:ascii="Verdana" w:eastAsia="Calibri" w:hAnsi="Verdana" w:cs="Times New Roman"/>
        </w:rPr>
        <w:lastRenderedPageBreak/>
        <w:t>expresiones utilizadas con mayúscula inicial deben ser entendidas con el significado que les otorga el artículo 2.2.1.1.1.3.1 del Decreto 1082 de 2015.</w:t>
      </w:r>
    </w:p>
    <w:p w14:paraId="79880EF1" w14:textId="77777777" w:rsidR="00AE7AF2" w:rsidRPr="00A77871" w:rsidRDefault="00AE7AF2" w:rsidP="00C0734E">
      <w:pPr>
        <w:spacing w:after="0" w:line="276" w:lineRule="auto"/>
        <w:jc w:val="both"/>
        <w:rPr>
          <w:rFonts w:ascii="Verdana" w:hAnsi="Verdana"/>
        </w:rPr>
      </w:pPr>
    </w:p>
    <w:p w14:paraId="73B21F98" w14:textId="77777777" w:rsidR="00AE7AF2" w:rsidRPr="00A77871" w:rsidRDefault="00AE7AF2" w:rsidP="00C0734E">
      <w:pPr>
        <w:spacing w:after="0" w:line="276" w:lineRule="auto"/>
        <w:jc w:val="both"/>
        <w:rPr>
          <w:rFonts w:ascii="Verdana" w:eastAsia="Times New Roman" w:hAnsi="Verdana" w:cs="Arial"/>
          <w:lang w:eastAsia="es-CO"/>
        </w:rPr>
      </w:pPr>
      <w:bookmarkStart w:id="21" w:name="_Hlk117695077"/>
    </w:p>
    <w:p w14:paraId="137307BA" w14:textId="3715C916" w:rsidR="00AE7AF2" w:rsidRPr="00A77871" w:rsidRDefault="00AE7AF2" w:rsidP="00C0734E">
      <w:pPr>
        <w:spacing w:line="276" w:lineRule="auto"/>
        <w:jc w:val="both"/>
        <w:rPr>
          <w:rFonts w:ascii="Verdana" w:eastAsia="Times New Roman" w:hAnsi="Verdana" w:cs="Arial"/>
          <w:lang w:eastAsia="es-CO"/>
        </w:rPr>
      </w:pPr>
      <w:r w:rsidRPr="00A77871">
        <w:rPr>
          <w:rFonts w:ascii="Verdana" w:eastAsia="Times New Roman" w:hAnsi="Verdana" w:cs="Arial"/>
          <w:lang w:eastAsia="es-CO"/>
        </w:rPr>
        <w:t xml:space="preserve">Atentamente, </w:t>
      </w:r>
    </w:p>
    <w:p w14:paraId="24098D9D" w14:textId="59D03492" w:rsidR="000D17B1" w:rsidRPr="000D17B1" w:rsidRDefault="000D17B1" w:rsidP="000D17B1">
      <w:pPr>
        <w:spacing w:line="276" w:lineRule="auto"/>
        <w:jc w:val="both"/>
        <w:rPr>
          <w:rFonts w:ascii="Verdana" w:eastAsia="Times New Roman" w:hAnsi="Verdana" w:cs="Arial"/>
          <w:lang w:eastAsia="es-CO"/>
        </w:rPr>
      </w:pPr>
      <w:r w:rsidRPr="000D17B1">
        <w:rPr>
          <w:rFonts w:ascii="Verdana" w:eastAsia="Times New Roman" w:hAnsi="Verdana" w:cs="Arial"/>
          <w:noProof/>
          <w:lang w:eastAsia="es-CO"/>
        </w:rPr>
        <w:drawing>
          <wp:anchor distT="0" distB="0" distL="114300" distR="114300" simplePos="0" relativeHeight="251660288" behindDoc="1" locked="0" layoutInCell="1" allowOverlap="1" wp14:anchorId="080ADE94" wp14:editId="1E084C86">
            <wp:simplePos x="0" y="0"/>
            <wp:positionH relativeFrom="margin">
              <wp:align>center</wp:align>
            </wp:positionH>
            <wp:positionV relativeFrom="paragraph">
              <wp:posOffset>95525</wp:posOffset>
            </wp:positionV>
            <wp:extent cx="3771900" cy="1400175"/>
            <wp:effectExtent l="0" t="0" r="0" b="9525"/>
            <wp:wrapNone/>
            <wp:docPr id="75674349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anchor>
        </w:drawing>
      </w:r>
    </w:p>
    <w:p w14:paraId="06E06657" w14:textId="182B34E8" w:rsidR="00AE7AF2" w:rsidRPr="00AE7AF2" w:rsidRDefault="00AE7AF2" w:rsidP="00C0734E">
      <w:pPr>
        <w:spacing w:line="276" w:lineRule="auto"/>
        <w:jc w:val="both"/>
        <w:rPr>
          <w:rFonts w:ascii="Verdana" w:eastAsia="Times New Roman" w:hAnsi="Verdana" w:cs="Arial"/>
          <w:lang w:eastAsia="es-CO"/>
        </w:rPr>
      </w:pPr>
    </w:p>
    <w:p w14:paraId="3EFC27A3" w14:textId="403DB436" w:rsidR="00AE7AF2" w:rsidRPr="00A77871" w:rsidRDefault="00AE7AF2" w:rsidP="00C0734E">
      <w:pPr>
        <w:spacing w:line="276" w:lineRule="auto"/>
        <w:jc w:val="both"/>
        <w:rPr>
          <w:rFonts w:ascii="Verdana" w:eastAsia="Times New Roman" w:hAnsi="Verdana" w:cs="Arial"/>
          <w:lang w:eastAsia="es-CO"/>
        </w:rPr>
      </w:pPr>
    </w:p>
    <w:p w14:paraId="6A89737A" w14:textId="77777777" w:rsidR="00AE7AF2" w:rsidRPr="00223C47" w:rsidRDefault="00AE7AF2" w:rsidP="00C0734E">
      <w:pPr>
        <w:spacing w:line="276" w:lineRule="auto"/>
        <w:jc w:val="both"/>
        <w:rPr>
          <w:rFonts w:ascii="Verdana" w:eastAsia="Times New Roman" w:hAnsi="Verdana" w:cs="Arial"/>
          <w:lang w:eastAsia="es-CO"/>
        </w:rPr>
      </w:pPr>
    </w:p>
    <w:p w14:paraId="361FF24D" w14:textId="77777777" w:rsidR="00AE7AF2" w:rsidRPr="00A77871" w:rsidRDefault="00AE7AF2" w:rsidP="00C0734E">
      <w:pPr>
        <w:spacing w:line="276" w:lineRule="auto"/>
        <w:jc w:val="both"/>
        <w:rPr>
          <w:rFonts w:ascii="Verdana" w:eastAsia="Times New Roman" w:hAnsi="Verdana" w:cs="Arial"/>
          <w:lang w:eastAsia="es-CO"/>
        </w:rPr>
      </w:pPr>
    </w:p>
    <w:p w14:paraId="029F4BCB" w14:textId="77777777" w:rsidR="00AE7AF2" w:rsidRPr="00A77871" w:rsidRDefault="00AE7AF2" w:rsidP="00C0734E">
      <w:pPr>
        <w:spacing w:line="276" w:lineRule="auto"/>
        <w:jc w:val="both"/>
        <w:rPr>
          <w:rFonts w:ascii="Verdana" w:eastAsia="Times New Roman" w:hAnsi="Verdana" w:cs="Arial"/>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E7AF2" w:rsidRPr="0029279E" w14:paraId="02FE8BA4" w14:textId="77777777" w:rsidTr="001B0102">
        <w:trPr>
          <w:trHeight w:val="315"/>
        </w:trPr>
        <w:tc>
          <w:tcPr>
            <w:tcW w:w="893" w:type="dxa"/>
            <w:vAlign w:val="center"/>
            <w:hideMark/>
          </w:tcPr>
          <w:bookmarkEnd w:id="21"/>
          <w:p w14:paraId="6177E230" w14:textId="77777777" w:rsidR="00AE7AF2" w:rsidRPr="0029279E" w:rsidRDefault="00AE7AF2" w:rsidP="00C0734E">
            <w:pPr>
              <w:spacing w:line="276" w:lineRule="auto"/>
              <w:jc w:val="both"/>
              <w:rPr>
                <w:rFonts w:ascii="Verdana" w:eastAsia="Times New Roman" w:hAnsi="Verdana" w:cs="Arial"/>
                <w:color w:val="000000"/>
                <w:sz w:val="16"/>
                <w:szCs w:val="16"/>
                <w:lang w:eastAsia="es-ES"/>
              </w:rPr>
            </w:pPr>
            <w:r w:rsidRPr="0029279E">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4F2D46D8" w14:textId="77777777" w:rsidR="00AE7AF2" w:rsidRPr="0029279E" w:rsidRDefault="00AE7AF2" w:rsidP="00C0734E">
            <w:pPr>
              <w:spacing w:line="276" w:lineRule="auto"/>
              <w:jc w:val="both"/>
              <w:rPr>
                <w:rFonts w:ascii="Verdana" w:eastAsia="Arial" w:hAnsi="Verdana" w:cs="Arial"/>
                <w:color w:val="000000"/>
                <w:sz w:val="16"/>
                <w:szCs w:val="16"/>
              </w:rPr>
            </w:pPr>
            <w:r w:rsidRPr="0029279E">
              <w:rPr>
                <w:rFonts w:ascii="Verdana" w:eastAsia="Arial" w:hAnsi="Verdana" w:cs="Arial"/>
                <w:color w:val="000000"/>
                <w:sz w:val="16"/>
                <w:szCs w:val="16"/>
              </w:rPr>
              <w:t>Ángela María Olmos Andrade</w:t>
            </w:r>
          </w:p>
          <w:p w14:paraId="1703AC88" w14:textId="77777777" w:rsidR="00AE7AF2" w:rsidRPr="0029279E" w:rsidRDefault="00AE7AF2" w:rsidP="00C0734E">
            <w:pPr>
              <w:spacing w:line="276" w:lineRule="auto"/>
              <w:jc w:val="both"/>
              <w:rPr>
                <w:rFonts w:ascii="Verdana" w:eastAsia="Arial" w:hAnsi="Verdana" w:cs="Arial"/>
                <w:color w:val="000000"/>
                <w:sz w:val="16"/>
                <w:szCs w:val="16"/>
              </w:rPr>
            </w:pPr>
            <w:r w:rsidRPr="0029279E">
              <w:rPr>
                <w:rFonts w:ascii="Verdana" w:eastAsia="Arial" w:hAnsi="Verdana" w:cs="Arial"/>
                <w:color w:val="000000"/>
                <w:sz w:val="16"/>
                <w:szCs w:val="16"/>
              </w:rPr>
              <w:t>Analista T2 - 02 de la Subdirección de Gestión Contractual</w:t>
            </w:r>
          </w:p>
        </w:tc>
      </w:tr>
      <w:tr w:rsidR="00AE7AF2" w:rsidRPr="0029279E" w14:paraId="6F2B19BF" w14:textId="77777777" w:rsidTr="001B0102">
        <w:trPr>
          <w:trHeight w:val="330"/>
        </w:trPr>
        <w:tc>
          <w:tcPr>
            <w:tcW w:w="893" w:type="dxa"/>
            <w:vAlign w:val="center"/>
            <w:hideMark/>
          </w:tcPr>
          <w:p w14:paraId="7A3FC8D3" w14:textId="77777777" w:rsidR="00AE7AF2" w:rsidRPr="0029279E" w:rsidRDefault="00AE7AF2" w:rsidP="00C0734E">
            <w:pPr>
              <w:spacing w:line="276" w:lineRule="auto"/>
              <w:jc w:val="both"/>
              <w:rPr>
                <w:rFonts w:ascii="Verdana" w:eastAsia="Times New Roman" w:hAnsi="Verdana" w:cs="Arial"/>
                <w:color w:val="000000"/>
                <w:sz w:val="16"/>
                <w:szCs w:val="16"/>
                <w:lang w:eastAsia="es-ES"/>
              </w:rPr>
            </w:pPr>
            <w:r w:rsidRPr="0029279E">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C0833F9" w14:textId="77777777" w:rsidR="00AE7AF2" w:rsidRPr="0029279E" w:rsidRDefault="00AE7AF2" w:rsidP="00C0734E">
            <w:pPr>
              <w:spacing w:line="276" w:lineRule="auto"/>
              <w:jc w:val="both"/>
              <w:rPr>
                <w:rFonts w:ascii="Verdana" w:eastAsia="Times New Roman" w:hAnsi="Verdana" w:cs="Arial"/>
                <w:color w:val="000000"/>
                <w:sz w:val="16"/>
                <w:szCs w:val="16"/>
              </w:rPr>
            </w:pPr>
            <w:r w:rsidRPr="0029279E">
              <w:rPr>
                <w:rFonts w:ascii="Verdana" w:eastAsia="Times New Roman" w:hAnsi="Verdana" w:cs="Arial"/>
                <w:color w:val="000000"/>
                <w:sz w:val="16"/>
                <w:szCs w:val="16"/>
              </w:rPr>
              <w:t>Adriana Katherine López</w:t>
            </w:r>
            <w:r>
              <w:rPr>
                <w:rFonts w:ascii="Verdana" w:eastAsia="Times New Roman" w:hAnsi="Verdana" w:cs="Arial"/>
                <w:color w:val="000000"/>
                <w:sz w:val="16"/>
                <w:szCs w:val="16"/>
              </w:rPr>
              <w:t xml:space="preserve"> Rodríguez</w:t>
            </w:r>
          </w:p>
          <w:p w14:paraId="61BEC8D2" w14:textId="77777777" w:rsidR="00AE7AF2" w:rsidRPr="0029279E" w:rsidRDefault="00AE7AF2" w:rsidP="00C0734E">
            <w:pPr>
              <w:spacing w:line="276" w:lineRule="auto"/>
              <w:jc w:val="both"/>
              <w:textAlignment w:val="baseline"/>
              <w:rPr>
                <w:rFonts w:ascii="Verdana" w:eastAsia="Times New Roman" w:hAnsi="Verdana" w:cs="Arial"/>
                <w:color w:val="000000"/>
                <w:sz w:val="16"/>
                <w:szCs w:val="16"/>
              </w:rPr>
            </w:pPr>
            <w:r w:rsidRPr="0029279E">
              <w:rPr>
                <w:rFonts w:ascii="Verdana" w:eastAsia="Times New Roman" w:hAnsi="Verdana" w:cs="Arial"/>
                <w:color w:val="000000"/>
                <w:sz w:val="16"/>
                <w:szCs w:val="16"/>
              </w:rPr>
              <w:t>Contratista de la Subdirección de Gestión Contractual</w:t>
            </w:r>
          </w:p>
        </w:tc>
      </w:tr>
      <w:tr w:rsidR="00AE7AF2" w:rsidRPr="0029279E" w14:paraId="06D0D05C" w14:textId="77777777" w:rsidTr="001B0102">
        <w:trPr>
          <w:trHeight w:val="300"/>
        </w:trPr>
        <w:tc>
          <w:tcPr>
            <w:tcW w:w="893" w:type="dxa"/>
            <w:vAlign w:val="center"/>
            <w:hideMark/>
          </w:tcPr>
          <w:p w14:paraId="63879F15" w14:textId="77777777" w:rsidR="00AE7AF2" w:rsidRPr="0029279E" w:rsidRDefault="00AE7AF2" w:rsidP="00C0734E">
            <w:pPr>
              <w:spacing w:line="276" w:lineRule="auto"/>
              <w:jc w:val="both"/>
              <w:rPr>
                <w:rFonts w:ascii="Verdana" w:eastAsia="Times New Roman" w:hAnsi="Verdana" w:cs="Arial"/>
                <w:color w:val="000000"/>
                <w:sz w:val="16"/>
                <w:szCs w:val="16"/>
                <w:lang w:eastAsia="es-ES"/>
              </w:rPr>
            </w:pPr>
            <w:r w:rsidRPr="0029279E">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64EEDBA4" w14:textId="77777777" w:rsidR="00AE7AF2" w:rsidRPr="0029279E" w:rsidRDefault="00AE7AF2" w:rsidP="00C0734E">
            <w:pPr>
              <w:spacing w:line="276" w:lineRule="auto"/>
              <w:jc w:val="both"/>
              <w:rPr>
                <w:rFonts w:ascii="Verdana" w:eastAsia="Times New Roman" w:hAnsi="Verdana" w:cs="Arial"/>
                <w:color w:val="000000"/>
                <w:sz w:val="16"/>
                <w:szCs w:val="16"/>
              </w:rPr>
            </w:pPr>
            <w:r w:rsidRPr="0029279E">
              <w:rPr>
                <w:rFonts w:ascii="Verdana" w:eastAsia="Times New Roman" w:hAnsi="Verdana" w:cs="Arial"/>
                <w:color w:val="000000"/>
                <w:sz w:val="16"/>
                <w:szCs w:val="16"/>
              </w:rPr>
              <w:t>Carolina Quintero Gacharná</w:t>
            </w:r>
          </w:p>
          <w:p w14:paraId="3A6D1BD0" w14:textId="77777777" w:rsidR="00AE7AF2" w:rsidRPr="0029279E" w:rsidRDefault="00AE7AF2" w:rsidP="00C0734E">
            <w:pPr>
              <w:spacing w:line="276" w:lineRule="auto"/>
              <w:jc w:val="both"/>
              <w:rPr>
                <w:rFonts w:ascii="Verdana" w:eastAsia="Times New Roman" w:hAnsi="Verdana" w:cs="Arial"/>
                <w:color w:val="000000"/>
                <w:sz w:val="16"/>
                <w:szCs w:val="16"/>
              </w:rPr>
            </w:pPr>
            <w:r w:rsidRPr="0029279E">
              <w:rPr>
                <w:rFonts w:ascii="Verdana" w:eastAsia="Times New Roman" w:hAnsi="Verdana" w:cs="Arial"/>
                <w:color w:val="000000"/>
                <w:sz w:val="16"/>
                <w:szCs w:val="16"/>
              </w:rPr>
              <w:t>Subdirectora de Gestión Contractual ANCP – CCE</w:t>
            </w:r>
          </w:p>
        </w:tc>
      </w:tr>
      <w:bookmarkEnd w:id="1"/>
    </w:tbl>
    <w:p w14:paraId="7C9026E2" w14:textId="77777777" w:rsidR="002A0DD0" w:rsidRPr="00E02524" w:rsidRDefault="002A0DD0" w:rsidP="00C0734E">
      <w:pPr>
        <w:spacing w:after="0" w:line="240" w:lineRule="auto"/>
        <w:jc w:val="both"/>
        <w:rPr>
          <w:rFonts w:ascii="Verdana" w:eastAsia="Verdana" w:hAnsi="Verdana" w:cs="Verdana"/>
          <w:b/>
          <w:bCs/>
          <w:lang w:val="es-MX"/>
        </w:rPr>
      </w:pPr>
    </w:p>
    <w:p w14:paraId="1006A388" w14:textId="77777777" w:rsidR="00C15139" w:rsidRPr="000E2B93" w:rsidRDefault="00C15139" w:rsidP="00C0734E">
      <w:pPr>
        <w:spacing w:after="0" w:line="240" w:lineRule="auto"/>
        <w:jc w:val="both"/>
        <w:textAlignment w:val="baseline"/>
        <w:rPr>
          <w:rFonts w:ascii="Verdana" w:eastAsia="Verdana" w:hAnsi="Verdana" w:cs="Verdana"/>
          <w:lang w:eastAsia="es-CO"/>
        </w:rPr>
      </w:pPr>
    </w:p>
    <w:p w14:paraId="69BC4D14" w14:textId="39BCB9A8" w:rsidR="00C15139" w:rsidRPr="000E2B93" w:rsidRDefault="00C15139" w:rsidP="00C0734E">
      <w:pPr>
        <w:spacing w:after="0" w:line="240" w:lineRule="auto"/>
        <w:jc w:val="both"/>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85853" w14:textId="77777777" w:rsidR="00C7422A" w:rsidRDefault="00C7422A" w:rsidP="004A1847">
      <w:pPr>
        <w:spacing w:after="0" w:line="240" w:lineRule="auto"/>
      </w:pPr>
      <w:r>
        <w:separator/>
      </w:r>
    </w:p>
  </w:endnote>
  <w:endnote w:type="continuationSeparator" w:id="0">
    <w:p w14:paraId="21F2C24F" w14:textId="77777777" w:rsidR="00C7422A" w:rsidRDefault="00C7422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B1FF58" w14:textId="77777777" w:rsidR="00C7422A" w:rsidRDefault="00C7422A" w:rsidP="004A1847">
      <w:pPr>
        <w:spacing w:after="0" w:line="240" w:lineRule="auto"/>
      </w:pPr>
      <w:r>
        <w:separator/>
      </w:r>
    </w:p>
  </w:footnote>
  <w:footnote w:type="continuationSeparator" w:id="0">
    <w:p w14:paraId="596175EF" w14:textId="77777777" w:rsidR="00C7422A" w:rsidRDefault="00C7422A" w:rsidP="004A1847">
      <w:pPr>
        <w:spacing w:after="0" w:line="240" w:lineRule="auto"/>
      </w:pPr>
      <w:r>
        <w:continuationSeparator/>
      </w:r>
    </w:p>
  </w:footnote>
  <w:footnote w:id="1">
    <w:p w14:paraId="555AD277" w14:textId="77777777" w:rsidR="008D6247" w:rsidRPr="00F30BEB" w:rsidRDefault="008D6247" w:rsidP="008D6247">
      <w:pPr>
        <w:pBdr>
          <w:top w:val="nil"/>
          <w:left w:val="nil"/>
          <w:bottom w:val="nil"/>
          <w:right w:val="nil"/>
          <w:between w:val="nil"/>
        </w:pBdr>
        <w:spacing w:after="0" w:line="240" w:lineRule="auto"/>
        <w:ind w:firstLine="708"/>
        <w:jc w:val="both"/>
        <w:rPr>
          <w:rFonts w:ascii="Verdana" w:eastAsia="Arial" w:hAnsi="Verdana" w:cs="Arial"/>
          <w:color w:val="000000"/>
          <w:sz w:val="14"/>
          <w:szCs w:val="14"/>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w:t>
      </w:r>
      <w:r w:rsidRPr="00F30BEB">
        <w:rPr>
          <w:rFonts w:ascii="Verdana" w:eastAsia="Arial" w:hAnsi="Verdana" w:cs="Arial"/>
          <w:color w:val="000000"/>
          <w:sz w:val="14"/>
          <w:szCs w:val="14"/>
        </w:rPr>
        <w:t>DÁVILA VINUEZA, Luis Guillermo. Régimen jurídico de la contratación estatal. Tercera edición, Bogotá: Legis, 2016. p. 355.</w:t>
      </w:r>
    </w:p>
  </w:footnote>
  <w:footnote w:id="2">
    <w:p w14:paraId="148B1A73" w14:textId="129C2D5D" w:rsidR="005E10E9" w:rsidRPr="003530AF" w:rsidRDefault="005E10E9" w:rsidP="003530AF">
      <w:pPr>
        <w:pStyle w:val="Textonotapie"/>
        <w:ind w:firstLine="708"/>
        <w:contextualSpacing/>
        <w:jc w:val="both"/>
        <w:rPr>
          <w:rFonts w:ascii="Verdana" w:eastAsia="Calibri" w:hAnsi="Verdana" w:cs="Arial"/>
          <w:sz w:val="14"/>
          <w:szCs w:val="14"/>
          <w:lang w:val="es-ES_tradnl"/>
        </w:rPr>
      </w:pPr>
      <w:r w:rsidRPr="003530AF">
        <w:rPr>
          <w:rStyle w:val="Refdenotaalpie"/>
          <w:rFonts w:ascii="Verdana" w:hAnsi="Verdana" w:cs="Arial"/>
          <w:sz w:val="14"/>
          <w:szCs w:val="14"/>
        </w:rPr>
        <w:footnoteRef/>
      </w:r>
      <w:r w:rsidRPr="003530AF">
        <w:rPr>
          <w:rFonts w:ascii="Verdana" w:hAnsi="Verdana" w:cs="Arial"/>
          <w:sz w:val="14"/>
          <w:szCs w:val="14"/>
        </w:rPr>
        <w:t xml:space="preserve"> </w:t>
      </w:r>
      <w:r w:rsidRPr="003530AF">
        <w:rPr>
          <w:rFonts w:ascii="Verdana" w:eastAsia="Calibri" w:hAnsi="Verdana" w:cs="Arial"/>
          <w:sz w:val="14"/>
          <w:szCs w:val="14"/>
          <w:lang w:val="es-ES_tradnl"/>
        </w:rPr>
        <w:t>RODRÍGUEZ TAMAYO, Mauricio F. Evaluación y rechazo de ofertas en la Ley 80 de 1993. Primera edición. Medellín: Librería Jurídica Sánchez, 2016. pp. 110-111.</w:t>
      </w:r>
    </w:p>
  </w:footnote>
  <w:footnote w:id="3">
    <w:p w14:paraId="1FF68AFF" w14:textId="3A0D6E2D" w:rsidR="005E10E9" w:rsidRPr="003530AF" w:rsidRDefault="005E10E9" w:rsidP="003530AF">
      <w:pPr>
        <w:pStyle w:val="Textonotapie"/>
        <w:ind w:firstLine="708"/>
        <w:contextualSpacing/>
        <w:jc w:val="both"/>
        <w:rPr>
          <w:rFonts w:ascii="Verdana" w:hAnsi="Verdana" w:cs="Arial"/>
          <w:sz w:val="14"/>
          <w:szCs w:val="14"/>
        </w:rPr>
      </w:pPr>
      <w:r w:rsidRPr="003530AF">
        <w:rPr>
          <w:rStyle w:val="Refdenotaalpie"/>
          <w:rFonts w:ascii="Verdana" w:hAnsi="Verdana" w:cs="Arial"/>
          <w:sz w:val="14"/>
          <w:szCs w:val="14"/>
        </w:rPr>
        <w:footnoteRef/>
      </w:r>
      <w:r w:rsidRPr="003530AF">
        <w:rPr>
          <w:rFonts w:ascii="Verdana" w:hAnsi="Verdana" w:cs="Arial"/>
          <w:sz w:val="14"/>
          <w:szCs w:val="14"/>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4">
    <w:p w14:paraId="266C1F6C" w14:textId="77777777" w:rsidR="00FF5155" w:rsidRPr="007816F0" w:rsidRDefault="00FF5155" w:rsidP="00FF5155">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7816F0">
        <w:rPr>
          <w:rFonts w:ascii="Verdana" w:hAnsi="Verdana" w:cs="Arial"/>
          <w:sz w:val="14"/>
          <w:szCs w:val="14"/>
          <w:vertAlign w:val="superscript"/>
        </w:rPr>
        <w:footnoteRef/>
      </w:r>
      <w:r w:rsidRPr="007816F0">
        <w:rPr>
          <w:rFonts w:ascii="Verdana" w:eastAsia="Arial" w:hAnsi="Verdana" w:cs="Arial"/>
          <w:color w:val="000000"/>
          <w:sz w:val="14"/>
          <w:szCs w:val="14"/>
        </w:rPr>
        <w:t xml:space="preserve"> RODRÍGUEZ TAMAYO, Mauricio F. Evaluación y rechazo de ofertas en la Ley 80 de 1993. Primera edición. Medellín: Librería Jurídica Sánchez, 2016. pp. 110-111.</w:t>
      </w:r>
    </w:p>
  </w:footnote>
  <w:footnote w:id="5">
    <w:p w14:paraId="1CFE45DB" w14:textId="77777777" w:rsidR="00FF5155" w:rsidRPr="006A19A1" w:rsidRDefault="00FF5155" w:rsidP="00FF5155">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7816F0">
        <w:rPr>
          <w:rFonts w:ascii="Verdana" w:hAnsi="Verdana" w:cs="Arial"/>
          <w:sz w:val="14"/>
          <w:szCs w:val="14"/>
          <w:vertAlign w:val="superscript"/>
        </w:rPr>
        <w:footnoteRef/>
      </w:r>
      <w:r w:rsidRPr="007816F0">
        <w:rPr>
          <w:rFonts w:ascii="Verdana" w:eastAsia="Arial" w:hAnsi="Verdana" w:cs="Arial"/>
          <w:color w:val="000000"/>
          <w:sz w:val="14"/>
          <w:szCs w:val="14"/>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6">
    <w:p w14:paraId="127096E1" w14:textId="77777777" w:rsidR="00416655" w:rsidRPr="003530AF" w:rsidRDefault="00416655" w:rsidP="0041665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3530AF">
        <w:rPr>
          <w:rFonts w:ascii="Verdana" w:hAnsi="Verdana" w:cs="Arial"/>
          <w:sz w:val="14"/>
          <w:szCs w:val="14"/>
          <w:vertAlign w:val="superscript"/>
        </w:rPr>
        <w:footnoteRef/>
      </w:r>
      <w:r w:rsidRPr="003530AF">
        <w:rPr>
          <w:rFonts w:ascii="Verdana" w:eastAsia="Arial" w:hAnsi="Verdana" w:cs="Arial"/>
          <w:color w:val="000000"/>
          <w:sz w:val="14"/>
          <w:szCs w:val="14"/>
        </w:rPr>
        <w:t xml:space="preserve"> Al respecto, conviene recordar el artículo 29 de la Ley 80 de 1993, derogado por el artículo 32 de la Ley 1150 de 2007, que establecía: “La selección de contratistas será objetiva.</w:t>
      </w:r>
    </w:p>
    <w:p w14:paraId="0458E998" w14:textId="77777777" w:rsidR="00416655" w:rsidRPr="001404BB" w:rsidRDefault="00416655" w:rsidP="0041665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1404BB">
        <w:rPr>
          <w:rFonts w:ascii="Verdana" w:eastAsia="Arial" w:hAnsi="Verdana" w:cs="Arial"/>
          <w:color w:val="000000"/>
          <w:sz w:val="14"/>
          <w:szCs w:val="14"/>
        </w:rPr>
        <w:t>Es objetiva la selección en la cual la escogencia se hace al ofrecimiento más favorable a la entidad y a los fines que ella busca, sin tener en consideración factores de afecto o de interés y, en general, cualquier clase de motivación subjetiva.</w:t>
      </w:r>
    </w:p>
    <w:p w14:paraId="62061401" w14:textId="77777777" w:rsidR="00416655" w:rsidRPr="001404BB" w:rsidRDefault="00416655" w:rsidP="0041665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1404BB">
        <w:rPr>
          <w:rFonts w:ascii="Verdana" w:eastAsia="Arial" w:hAnsi="Verdana" w:cs="Arial"/>
          <w:color w:val="000000"/>
          <w:sz w:val="14"/>
          <w:szCs w:val="14"/>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 .</w:t>
      </w:r>
    </w:p>
    <w:p w14:paraId="1E3A5583" w14:textId="77777777" w:rsidR="00416655" w:rsidRPr="001404BB" w:rsidRDefault="00416655" w:rsidP="0041665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1404BB">
        <w:rPr>
          <w:rFonts w:ascii="Verdana" w:eastAsia="Arial" w:hAnsi="Verdana" w:cs="Arial"/>
          <w:color w:val="000000"/>
          <w:sz w:val="14"/>
          <w:szCs w:val="14"/>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3EEF52B0" w14:textId="77777777" w:rsidR="00416655" w:rsidRPr="003F54E8" w:rsidRDefault="00416655" w:rsidP="00416655">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1404BB">
        <w:rPr>
          <w:rFonts w:ascii="Verdana" w:eastAsia="Arial" w:hAnsi="Verdana" w:cs="Arial"/>
          <w:color w:val="000000"/>
          <w:sz w:val="14"/>
          <w:szCs w:val="14"/>
        </w:rPr>
        <w:t>En caso de comparación de propuestas nacionales y extranjeras, se incluirán los costos necesarios para la entrega del producto terminado en el lugar de su utilización”.</w:t>
      </w:r>
    </w:p>
  </w:footnote>
  <w:footnote w:id="7">
    <w:p w14:paraId="7E440A71" w14:textId="77777777" w:rsidR="00416655" w:rsidRPr="00F30BEB" w:rsidRDefault="00416655" w:rsidP="00416655">
      <w:pPr>
        <w:pBdr>
          <w:top w:val="nil"/>
          <w:left w:val="nil"/>
          <w:bottom w:val="nil"/>
          <w:right w:val="nil"/>
          <w:between w:val="nil"/>
        </w:pBdr>
        <w:spacing w:after="0" w:line="240" w:lineRule="auto"/>
        <w:ind w:firstLine="708"/>
        <w:jc w:val="both"/>
        <w:rPr>
          <w:rFonts w:ascii="Verdana" w:eastAsia="Arial" w:hAnsi="Verdana" w:cs="Arial"/>
          <w:color w:val="000000"/>
          <w:sz w:val="14"/>
          <w:szCs w:val="14"/>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w:t>
      </w:r>
      <w:r w:rsidRPr="00F30BEB">
        <w:rPr>
          <w:rFonts w:ascii="Verdana" w:eastAsia="Arial" w:hAnsi="Verdana" w:cs="Arial"/>
          <w:color w:val="000000"/>
          <w:sz w:val="14"/>
          <w:szCs w:val="14"/>
        </w:rPr>
        <w:t>DÁVILA VINUEZA, Luis Guillermo. Régimen jurídico de la contratación estatal. Tercera edición, Bogotá: Legis, 2016. p. 355.</w:t>
      </w:r>
    </w:p>
  </w:footnote>
  <w:footnote w:id="8">
    <w:p w14:paraId="2563E5E9" w14:textId="77777777" w:rsidR="00833F2C" w:rsidRPr="00B44D5C" w:rsidRDefault="00833F2C" w:rsidP="00833F2C">
      <w:pPr>
        <w:pStyle w:val="NormalWeb"/>
        <w:snapToGrid w:val="0"/>
        <w:spacing w:before="0" w:beforeAutospacing="0" w:after="0" w:afterAutospacing="0"/>
        <w:ind w:firstLine="709"/>
        <w:contextualSpacing/>
        <w:jc w:val="both"/>
        <w:rPr>
          <w:rFonts w:ascii="Verdana" w:hAnsi="Verdana" w:cs="Arial"/>
          <w:sz w:val="14"/>
          <w:szCs w:val="14"/>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B44D5C">
        <w:rPr>
          <w:rFonts w:ascii="Verdana" w:hAnsi="Verdana" w:cs="Arial"/>
          <w:sz w:val="14"/>
          <w:szCs w:val="14"/>
          <w:lang w:val="es-ES"/>
        </w:rPr>
        <w:t>“</w:t>
      </w:r>
      <w:r w:rsidRPr="00B44D5C">
        <w:rPr>
          <w:rFonts w:ascii="Verdana" w:hAnsi="Verdana" w:cs="Arial"/>
          <w:sz w:val="14"/>
          <w:szCs w:val="14"/>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0477E168" w14:textId="77777777" w:rsidR="00833F2C" w:rsidRPr="00B44D5C" w:rsidRDefault="00833F2C" w:rsidP="00833F2C">
      <w:pPr>
        <w:snapToGrid w:val="0"/>
        <w:spacing w:after="0" w:line="240" w:lineRule="auto"/>
        <w:ind w:firstLine="708"/>
        <w:contextualSpacing/>
        <w:jc w:val="both"/>
        <w:rPr>
          <w:rFonts w:ascii="Verdana" w:hAnsi="Verdana" w:cs="Arial"/>
          <w:sz w:val="14"/>
          <w:szCs w:val="14"/>
        </w:rPr>
      </w:pPr>
      <w:r w:rsidRPr="00B44D5C">
        <w:rPr>
          <w:rFonts w:ascii="Verdana" w:hAnsi="Verdana" w:cs="Arial"/>
          <w:sz w:val="14"/>
          <w:szCs w:val="14"/>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9">
    <w:p w14:paraId="060F0A62" w14:textId="77777777" w:rsidR="00833F2C" w:rsidRPr="00B44D5C" w:rsidRDefault="00833F2C" w:rsidP="00833F2C">
      <w:pPr>
        <w:pStyle w:val="Textonotapie"/>
        <w:ind w:firstLine="708"/>
        <w:contextualSpacing/>
        <w:jc w:val="both"/>
        <w:rPr>
          <w:rFonts w:ascii="Verdana" w:hAnsi="Verdana"/>
          <w:sz w:val="14"/>
          <w:szCs w:val="14"/>
        </w:rPr>
      </w:pPr>
      <w:r w:rsidRPr="00B44D5C">
        <w:rPr>
          <w:rStyle w:val="Refdenotaalpie"/>
          <w:rFonts w:ascii="Verdana" w:hAnsi="Verdana"/>
          <w:sz w:val="14"/>
          <w:szCs w:val="14"/>
        </w:rPr>
        <w:footnoteRef/>
      </w:r>
      <w:r w:rsidRPr="00B44D5C">
        <w:rPr>
          <w:rFonts w:ascii="Verdana" w:hAnsi="Verdana"/>
          <w:sz w:val="14"/>
          <w:szCs w:val="14"/>
        </w:rPr>
        <w:t xml:space="preserve"> El </w:t>
      </w:r>
      <w:r w:rsidRPr="00B44D5C">
        <w:rPr>
          <w:rFonts w:ascii="Verdana" w:eastAsia="Times New Roman" w:hAnsi="Verdana" w:cs="Arial"/>
          <w:sz w:val="14"/>
          <w:szCs w:val="14"/>
          <w:lang w:val="es-ES" w:eastAsia="es-MX"/>
        </w:rPr>
        <w:t>“Manual para determinar y verificar los requisitos habilitantes en los Procesos de Contratación”</w:t>
      </w:r>
      <w:r w:rsidRPr="00B44D5C">
        <w:rPr>
          <w:rFonts w:ascii="Verdana" w:eastAsia="Calibri" w:hAnsi="Verdana" w:cs="Arial"/>
          <w:sz w:val="14"/>
          <w:szCs w:val="14"/>
          <w:lang w:val="es-ES" w:eastAsia="es-MX"/>
        </w:rPr>
        <w:t>,</w:t>
      </w:r>
      <w:r w:rsidRPr="00B44D5C">
        <w:rPr>
          <w:rFonts w:ascii="Verdana" w:eastAsia="Times New Roman" w:hAnsi="Verdana" w:cs="Arial"/>
          <w:sz w:val="14"/>
          <w:szCs w:val="14"/>
          <w:lang w:val="es-ES" w:eastAsia="es-MX"/>
        </w:rPr>
        <w:t xml:space="preserve"> expedido por la </w:t>
      </w:r>
      <w:r w:rsidRPr="00B44D5C">
        <w:rPr>
          <w:rFonts w:ascii="Verdana" w:eastAsia="Calibri" w:hAnsi="Verdana" w:cs="Arial"/>
          <w:sz w:val="14"/>
          <w:szCs w:val="14"/>
          <w:lang w:val="es-ES" w:eastAsia="es-MX"/>
        </w:rPr>
        <w:t xml:space="preserve">Agencia Nacional de Contratación Pública – Colombia Compra Eficiente, puede ser consultado en el siguiente enlace: </w:t>
      </w:r>
      <w:hyperlink r:id="rId1" w:history="1">
        <w:r w:rsidRPr="00B44D5C">
          <w:rPr>
            <w:rStyle w:val="Hipervnculo"/>
            <w:rFonts w:ascii="Verdana" w:eastAsia="Calibri" w:hAnsi="Verdana" w:cs="Arial"/>
            <w:sz w:val="14"/>
            <w:szCs w:val="14"/>
            <w:lang w:val="es-ES" w:eastAsia="es-MX"/>
          </w:rPr>
          <w:t>https://colombiacompra.gov.co/sites/cce_public/files/cce_documents/cce-eicp-ma-04._manual_requisitos_habilitantes_v3_29-09-2023.pdf</w:t>
        </w:r>
      </w:hyperlink>
      <w:r w:rsidRPr="00B44D5C">
        <w:rPr>
          <w:rFonts w:ascii="Verdana" w:eastAsia="Calibri" w:hAnsi="Verdana" w:cs="Arial"/>
          <w:sz w:val="14"/>
          <w:szCs w:val="14"/>
          <w:lang w:val="es-ES" w:eastAsia="es-MX"/>
        </w:rPr>
        <w:t xml:space="preserve">  </w:t>
      </w:r>
    </w:p>
  </w:footnote>
  <w:footnote w:id="10">
    <w:p w14:paraId="0A0DFC8A" w14:textId="77777777" w:rsidR="00833F2C" w:rsidRPr="00B44D5C" w:rsidRDefault="00833F2C" w:rsidP="00833F2C">
      <w:pPr>
        <w:pStyle w:val="NormalWeb"/>
        <w:snapToGrid w:val="0"/>
        <w:spacing w:before="0" w:beforeAutospacing="0" w:after="0" w:afterAutospacing="0"/>
        <w:ind w:firstLine="709"/>
        <w:contextualSpacing/>
        <w:jc w:val="both"/>
        <w:rPr>
          <w:rFonts w:ascii="Verdana" w:hAnsi="Verdana" w:cs="Arial"/>
          <w:sz w:val="14"/>
          <w:szCs w:val="14"/>
          <w:lang w:val="es-ES"/>
        </w:rPr>
      </w:pPr>
      <w:r w:rsidRPr="00B44D5C">
        <w:rPr>
          <w:rStyle w:val="Refdenotaalpie"/>
          <w:rFonts w:ascii="Verdana" w:hAnsi="Verdana" w:cs="Arial"/>
          <w:sz w:val="14"/>
          <w:szCs w:val="14"/>
        </w:rPr>
        <w:footnoteRef/>
      </w:r>
      <w:r w:rsidRPr="00B44D5C">
        <w:rPr>
          <w:rStyle w:val="Refdenotaalpie"/>
          <w:rFonts w:ascii="Verdana" w:hAnsi="Verdana" w:cs="Arial"/>
          <w:sz w:val="14"/>
          <w:szCs w:val="14"/>
        </w:rPr>
        <w:t xml:space="preserve"> </w:t>
      </w:r>
      <w:r w:rsidRPr="00B44D5C">
        <w:rPr>
          <w:rFonts w:ascii="Verdana" w:hAnsi="Verdana" w:cs="Arial"/>
          <w:sz w:val="14"/>
          <w:szCs w:val="14"/>
        </w:rPr>
        <w:t>“</w:t>
      </w:r>
      <w:r w:rsidRPr="00B44D5C">
        <w:rPr>
          <w:rFonts w:ascii="Verdana" w:hAnsi="Verdana" w:cs="Arial"/>
          <w:sz w:val="14"/>
          <w:szCs w:val="14"/>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559DF0AE" w14:textId="77777777" w:rsidR="00833F2C" w:rsidRPr="00B44D5C" w:rsidRDefault="00833F2C" w:rsidP="00833F2C">
      <w:pPr>
        <w:pStyle w:val="NormalWeb"/>
        <w:snapToGrid w:val="0"/>
        <w:spacing w:before="0" w:beforeAutospacing="0" w:after="0" w:afterAutospacing="0"/>
        <w:ind w:firstLine="709"/>
        <w:contextualSpacing/>
        <w:jc w:val="both"/>
        <w:rPr>
          <w:rFonts w:ascii="Verdana" w:hAnsi="Verdana" w:cs="Arial"/>
          <w:sz w:val="14"/>
          <w:szCs w:val="14"/>
          <w:lang w:val="es-ES"/>
        </w:rPr>
      </w:pPr>
      <w:r w:rsidRPr="00B44D5C">
        <w:rPr>
          <w:rFonts w:ascii="Verdana" w:hAnsi="Verdana" w:cs="Arial"/>
          <w:sz w:val="14"/>
          <w:szCs w:val="14"/>
          <w:lang w:val="es-ES"/>
        </w:rPr>
        <w:t>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2727260B" w14:textId="77777777" w:rsidR="00833F2C" w:rsidRPr="00B44D5C" w:rsidRDefault="00833F2C" w:rsidP="00833F2C">
      <w:pPr>
        <w:pStyle w:val="NormalWeb"/>
        <w:snapToGrid w:val="0"/>
        <w:spacing w:before="0" w:beforeAutospacing="0" w:after="0" w:afterAutospacing="0"/>
        <w:ind w:firstLine="708"/>
        <w:contextualSpacing/>
        <w:jc w:val="both"/>
        <w:rPr>
          <w:rStyle w:val="Refdenotaalpie"/>
          <w:rFonts w:ascii="Verdana" w:hAnsi="Verdana" w:cs="Arial"/>
          <w:sz w:val="14"/>
          <w:szCs w:val="14"/>
          <w:vertAlign w:val="baseline"/>
          <w:lang w:val="es-ES"/>
        </w:rPr>
      </w:pPr>
      <w:r w:rsidRPr="00B44D5C">
        <w:rPr>
          <w:rFonts w:ascii="Verdana" w:hAnsi="Verdana" w:cs="Arial"/>
          <w:sz w:val="14"/>
          <w:szCs w:val="14"/>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B44D5C">
        <w:rPr>
          <w:rFonts w:ascii="Verdana" w:hAnsi="Verdana" w:cs="Verdana"/>
          <w:sz w:val="14"/>
          <w:szCs w:val="14"/>
          <w:lang w:val="es-ES"/>
        </w:rPr>
        <w:t>”</w:t>
      </w:r>
      <w:r>
        <w:rPr>
          <w:rFonts w:ascii="Verdana" w:hAnsi="Verdana" w:cs="Arial"/>
          <w:sz w:val="14"/>
          <w:szCs w:val="14"/>
          <w:lang w:val="es-ES"/>
        </w:rPr>
        <w:t>.</w:t>
      </w:r>
    </w:p>
  </w:footnote>
  <w:footnote w:id="11">
    <w:p w14:paraId="23EB3DE1" w14:textId="77777777" w:rsidR="00833F2C" w:rsidRPr="00B44D5C" w:rsidRDefault="00833F2C" w:rsidP="00833F2C">
      <w:pPr>
        <w:pStyle w:val="Textonotapie"/>
        <w:ind w:firstLine="708"/>
        <w:contextualSpacing/>
        <w:jc w:val="both"/>
        <w:rPr>
          <w:rFonts w:ascii="Verdana" w:hAnsi="Verdana"/>
          <w:sz w:val="14"/>
          <w:szCs w:val="14"/>
        </w:rPr>
      </w:pPr>
      <w:r w:rsidRPr="00B44D5C">
        <w:rPr>
          <w:rStyle w:val="Refdenotaalpie"/>
          <w:rFonts w:ascii="Verdana" w:hAnsi="Verdana"/>
          <w:sz w:val="14"/>
          <w:szCs w:val="14"/>
        </w:rPr>
        <w:footnoteRef/>
      </w:r>
      <w:r w:rsidRPr="00B44D5C">
        <w:rPr>
          <w:rFonts w:ascii="Verdana" w:hAnsi="Verdana"/>
          <w:sz w:val="14"/>
          <w:szCs w:val="14"/>
        </w:rPr>
        <w:t xml:space="preserve"> </w:t>
      </w:r>
      <w:bookmarkStart w:id="17" w:name="44"/>
      <w:r w:rsidRPr="00B44D5C">
        <w:rPr>
          <w:rFonts w:ascii="Verdana" w:hAnsi="Verdana"/>
          <w:sz w:val="14"/>
          <w:szCs w:val="14"/>
        </w:rPr>
        <w:t xml:space="preserve">Sobre el particular el </w:t>
      </w:r>
      <w:r w:rsidRPr="00B44D5C">
        <w:rPr>
          <w:rFonts w:ascii="Verdana" w:hAnsi="Verdana"/>
          <w:sz w:val="14"/>
          <w:szCs w:val="14"/>
          <w:lang w:val="es-CO"/>
        </w:rPr>
        <w:t>artículo 44 de la Ley 1437 de 2011, dispone: “Decisiones Discrecionales.</w:t>
      </w:r>
      <w:bookmarkEnd w:id="17"/>
      <w:r w:rsidRPr="00B44D5C">
        <w:rPr>
          <w:rFonts w:ascii="Verdana" w:hAnsi="Verdana"/>
          <w:sz w:val="14"/>
          <w:szCs w:val="14"/>
          <w:lang w:val="es-CO"/>
        </w:rPr>
        <w:t xml:space="preserve"> En la medida en que el contenido de una decisión de carácter general o particular sea discrecional, debe ser adecuada a los fines de la norma que la autoriza, y proporcional a los hechos que le sirven de causa”.</w:t>
      </w:r>
    </w:p>
  </w:footnote>
  <w:footnote w:id="12">
    <w:p w14:paraId="12B197F7" w14:textId="77777777" w:rsidR="00833F2C" w:rsidRPr="00B44D5C" w:rsidRDefault="00833F2C" w:rsidP="00833F2C">
      <w:pPr>
        <w:pStyle w:val="Textonotapie"/>
        <w:snapToGrid w:val="0"/>
        <w:ind w:firstLine="708"/>
        <w:contextualSpacing/>
        <w:jc w:val="both"/>
        <w:rPr>
          <w:rFonts w:ascii="Verdana" w:hAnsi="Verdana" w:cs="Arial"/>
          <w:sz w:val="14"/>
          <w:szCs w:val="14"/>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B44D5C">
        <w:rPr>
          <w:rFonts w:ascii="Verdana" w:hAnsi="Verdana" w:cs="Arial"/>
          <w:sz w:val="14"/>
          <w:szCs w:val="14"/>
        </w:rPr>
        <w:t>Ley 1150 de 2007: “Artículo 6. De la verificación de las condiciones de los proponentes.</w:t>
      </w:r>
      <w:r w:rsidRPr="00B44D5C">
        <w:rPr>
          <w:rFonts w:ascii="Verdana" w:hAnsi="Verdana" w:cs="Arial"/>
          <w:sz w:val="14"/>
          <w:szCs w:val="14"/>
          <w:lang w:eastAsia="es-CO"/>
        </w:rPr>
        <w:t xml:space="preserve"> […]</w:t>
      </w:r>
      <w:r w:rsidRPr="00B44D5C">
        <w:rPr>
          <w:rFonts w:ascii="Verdana" w:hAnsi="Verdana" w:cs="Arial"/>
          <w:sz w:val="14"/>
          <w:szCs w:val="14"/>
        </w:rPr>
        <w:t xml:space="preserve"> </w:t>
      </w:r>
      <w:r w:rsidRPr="00B44D5C">
        <w:rPr>
          <w:rFonts w:ascii="Verdana" w:hAnsi="Verdana" w:cs="Arial"/>
          <w:sz w:val="14"/>
          <w:szCs w:val="14"/>
          <w:lang w:eastAsia="es-CO"/>
        </w:rPr>
        <w:t>“6.1. […]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421F8D30" w14:textId="77777777" w:rsidR="00833F2C" w:rsidRPr="00B44D5C" w:rsidRDefault="00833F2C" w:rsidP="00833F2C">
      <w:pPr>
        <w:pStyle w:val="Textonotapie"/>
        <w:snapToGrid w:val="0"/>
        <w:contextualSpacing/>
        <w:jc w:val="both"/>
        <w:rPr>
          <w:rFonts w:ascii="Verdana" w:hAnsi="Verdana" w:cs="Arial"/>
          <w:sz w:val="14"/>
          <w:szCs w:val="14"/>
          <w:lang w:eastAsia="es-CO"/>
        </w:rPr>
      </w:pPr>
      <w:r w:rsidRPr="00B44D5C">
        <w:rPr>
          <w:rFonts w:ascii="Verdana" w:hAnsi="Verdana" w:cs="Arial"/>
          <w:sz w:val="14"/>
          <w:szCs w:val="14"/>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 […]”.</w:t>
      </w:r>
    </w:p>
  </w:footnote>
  <w:footnote w:id="13">
    <w:p w14:paraId="4F783597" w14:textId="77777777" w:rsidR="00833F2C" w:rsidRPr="00B44D5C" w:rsidRDefault="00833F2C" w:rsidP="00833F2C">
      <w:pPr>
        <w:pStyle w:val="Textonotapie"/>
        <w:snapToGrid w:val="0"/>
        <w:ind w:firstLine="708"/>
        <w:contextualSpacing/>
        <w:jc w:val="both"/>
        <w:rPr>
          <w:rFonts w:ascii="Verdana" w:hAnsi="Verdana" w:cs="Arial"/>
          <w:sz w:val="14"/>
          <w:szCs w:val="14"/>
          <w:lang w:eastAsia="es-CO"/>
        </w:rPr>
      </w:pPr>
      <w:r w:rsidRPr="00B44D5C">
        <w:rPr>
          <w:rStyle w:val="Refdenotaalpie"/>
          <w:rFonts w:ascii="Verdana" w:hAnsi="Verdana" w:cs="Arial"/>
          <w:sz w:val="14"/>
          <w:szCs w:val="14"/>
        </w:rPr>
        <w:footnoteRef/>
      </w:r>
      <w:r w:rsidRPr="00B44D5C">
        <w:rPr>
          <w:rFonts w:ascii="Verdana" w:hAnsi="Verdana" w:cs="Arial"/>
          <w:sz w:val="14"/>
          <w:szCs w:val="14"/>
        </w:rPr>
        <w:t xml:space="preserve"> Ley 1150 de 2007: “Artículo 5. De la selección objetiva.</w:t>
      </w:r>
      <w:r w:rsidRPr="00B44D5C">
        <w:rPr>
          <w:rFonts w:ascii="Verdana" w:hAnsi="Verdana" w:cs="Arial"/>
          <w:sz w:val="14"/>
          <w:szCs w:val="14"/>
          <w:lang w:eastAsia="es-CO"/>
        </w:rPr>
        <w:t xml:space="preserve"> […] “1.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w:t>
      </w:r>
      <w:r w:rsidRPr="00810146">
        <w:rPr>
          <w:rFonts w:ascii="Verdana" w:hAnsi="Verdana" w:cs="Arial"/>
          <w:sz w:val="16"/>
          <w:szCs w:val="16"/>
          <w:lang w:eastAsia="es-CO"/>
        </w:rPr>
        <w:t xml:space="preserve"> </w:t>
      </w:r>
      <w:r w:rsidRPr="00B44D5C">
        <w:rPr>
          <w:rFonts w:ascii="Verdana" w:hAnsi="Verdana" w:cs="Arial"/>
          <w:sz w:val="14"/>
          <w:szCs w:val="14"/>
          <w:lang w:eastAsia="es-CO"/>
        </w:rPr>
        <w:t>conformidad con lo establecido en el artículo 6o de la presente ley, de acuerdo con lo cual se expedirá la respectiva certificación. […]”.</w:t>
      </w:r>
    </w:p>
  </w:footnote>
  <w:footnote w:id="14">
    <w:p w14:paraId="51ACC2D0" w14:textId="77777777" w:rsidR="00833F2C" w:rsidRPr="00B44D5C" w:rsidRDefault="00833F2C" w:rsidP="00833F2C">
      <w:pPr>
        <w:pStyle w:val="Textonotapie"/>
        <w:snapToGrid w:val="0"/>
        <w:ind w:firstLine="708"/>
        <w:contextualSpacing/>
        <w:jc w:val="both"/>
        <w:rPr>
          <w:rFonts w:ascii="Verdana" w:hAnsi="Verdana" w:cs="Arial"/>
          <w:sz w:val="14"/>
          <w:szCs w:val="14"/>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B44D5C">
        <w:rPr>
          <w:rFonts w:ascii="Verdana" w:hAnsi="Verdana" w:cs="Arial"/>
          <w:sz w:val="14"/>
          <w:szCs w:val="14"/>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15">
    <w:p w14:paraId="6BBA810C" w14:textId="77777777" w:rsidR="00833F2C" w:rsidRPr="00B44D5C" w:rsidRDefault="00833F2C" w:rsidP="00833F2C">
      <w:pPr>
        <w:pStyle w:val="Textonotapie"/>
        <w:snapToGrid w:val="0"/>
        <w:ind w:firstLine="708"/>
        <w:contextualSpacing/>
        <w:jc w:val="both"/>
        <w:rPr>
          <w:rFonts w:ascii="Verdana" w:hAnsi="Verdana" w:cs="Arial"/>
          <w:sz w:val="14"/>
          <w:szCs w:val="14"/>
          <w:lang w:eastAsia="es-CO"/>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B44D5C">
        <w:rPr>
          <w:rFonts w:ascii="Verdana" w:hAnsi="Verdana" w:cs="Arial"/>
          <w:sz w:val="14"/>
          <w:szCs w:val="14"/>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6">
    <w:p w14:paraId="6CF5A13E" w14:textId="77777777" w:rsidR="00833F2C" w:rsidRPr="00B44D5C" w:rsidRDefault="00833F2C" w:rsidP="00833F2C">
      <w:pPr>
        <w:pStyle w:val="Textonotapie"/>
        <w:snapToGrid w:val="0"/>
        <w:ind w:firstLine="708"/>
        <w:contextualSpacing/>
        <w:jc w:val="both"/>
        <w:rPr>
          <w:rFonts w:ascii="Verdana" w:hAnsi="Verdana" w:cs="Arial"/>
          <w:sz w:val="14"/>
          <w:szCs w:val="14"/>
          <w:lang w:eastAsia="es-CO"/>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B44D5C">
        <w:rPr>
          <w:rFonts w:ascii="Verdana" w:hAnsi="Verdana" w:cs="Arial"/>
          <w:sz w:val="14"/>
          <w:szCs w:val="14"/>
          <w:lang w:eastAsia="es-CO"/>
        </w:rPr>
        <w:t>Ley 1150 de 2007: “Artículo 6.  De la verificación de las condiciones de los proponentes. [...]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w:t>
      </w:r>
      <w:r w:rsidRPr="00810146">
        <w:rPr>
          <w:rFonts w:ascii="Verdana" w:hAnsi="Verdana" w:cs="Arial"/>
          <w:sz w:val="16"/>
          <w:szCs w:val="16"/>
          <w:lang w:eastAsia="es-CO"/>
        </w:rPr>
        <w:t xml:space="preserve"> </w:t>
      </w:r>
      <w:r w:rsidRPr="00B44D5C">
        <w:rPr>
          <w:rFonts w:ascii="Verdana" w:hAnsi="Verdana" w:cs="Arial"/>
          <w:sz w:val="14"/>
          <w:szCs w:val="14"/>
          <w:lang w:eastAsia="es-CO"/>
        </w:rPr>
        <w:t xml:space="preserve">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17">
    <w:p w14:paraId="2B63C562" w14:textId="77777777" w:rsidR="00C96A09" w:rsidRPr="007816F0" w:rsidRDefault="00C96A09" w:rsidP="00C96A09">
      <w:pPr>
        <w:pBdr>
          <w:top w:val="nil"/>
          <w:left w:val="nil"/>
          <w:bottom w:val="nil"/>
          <w:right w:val="nil"/>
          <w:between w:val="nil"/>
        </w:pBdr>
        <w:spacing w:after="0" w:line="240" w:lineRule="auto"/>
        <w:ind w:firstLine="709"/>
        <w:contextualSpacing/>
        <w:jc w:val="both"/>
        <w:rPr>
          <w:rFonts w:ascii="Verdana" w:eastAsia="Arial" w:hAnsi="Verdana" w:cs="Arial"/>
          <w:color w:val="000000"/>
          <w:sz w:val="14"/>
          <w:szCs w:val="14"/>
        </w:rPr>
      </w:pPr>
      <w:r w:rsidRPr="007816F0">
        <w:rPr>
          <w:rFonts w:ascii="Verdana" w:hAnsi="Verdana" w:cs="Arial"/>
          <w:sz w:val="14"/>
          <w:szCs w:val="14"/>
          <w:vertAlign w:val="superscript"/>
        </w:rPr>
        <w:footnoteRef/>
      </w:r>
      <w:r w:rsidRPr="007816F0">
        <w:rPr>
          <w:rFonts w:ascii="Verdana" w:eastAsia="Arial" w:hAnsi="Verdana" w:cs="Arial"/>
          <w:color w:val="000000"/>
          <w:sz w:val="14"/>
          <w:szCs w:val="14"/>
        </w:rPr>
        <w:t xml:space="preserve"> RODRÍGUEZ TAMAYO, Mauricio F. Evaluación y rechazo de ofertas en la Ley 80 de 1993. Primera edición. Medellín: Librería Jurídica Sánchez, 2016. pp. 110-111.</w:t>
      </w:r>
    </w:p>
  </w:footnote>
  <w:footnote w:id="18">
    <w:p w14:paraId="2D981BB7" w14:textId="77777777" w:rsidR="00C96A09" w:rsidRPr="006A19A1" w:rsidRDefault="00C96A09" w:rsidP="00C96A09">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7816F0">
        <w:rPr>
          <w:rFonts w:ascii="Verdana" w:hAnsi="Verdana" w:cs="Arial"/>
          <w:sz w:val="14"/>
          <w:szCs w:val="14"/>
          <w:vertAlign w:val="superscript"/>
        </w:rPr>
        <w:footnoteRef/>
      </w:r>
      <w:r w:rsidRPr="007816F0">
        <w:rPr>
          <w:rFonts w:ascii="Verdana" w:eastAsia="Arial" w:hAnsi="Verdana" w:cs="Arial"/>
          <w:color w:val="000000"/>
          <w:sz w:val="14"/>
          <w:szCs w:val="14"/>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51934292"/>
    <w:multiLevelType w:val="hybridMultilevel"/>
    <w:tmpl w:val="80909676"/>
    <w:lvl w:ilvl="0" w:tplc="D452D83C">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9AE221C"/>
    <w:multiLevelType w:val="hybridMultilevel"/>
    <w:tmpl w:val="986261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F371B4A"/>
    <w:multiLevelType w:val="hybridMultilevel"/>
    <w:tmpl w:val="683407B8"/>
    <w:lvl w:ilvl="0" w:tplc="95964444">
      <w:start w:val="2"/>
      <w:numFmt w:val="decimal"/>
      <w:lvlText w:val="%1."/>
      <w:lvlJc w:val="left"/>
      <w:pPr>
        <w:ind w:left="360" w:hanging="360"/>
      </w:pPr>
      <w:rPr>
        <w:rFonts w:hint="default"/>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4"/>
  </w:num>
  <w:num w:numId="8" w16cid:durableId="152644682">
    <w:abstractNumId w:val="15"/>
  </w:num>
  <w:num w:numId="9" w16cid:durableId="1317221377">
    <w:abstractNumId w:val="6"/>
  </w:num>
  <w:num w:numId="10" w16cid:durableId="1471245386">
    <w:abstractNumId w:val="14"/>
  </w:num>
  <w:num w:numId="11" w16cid:durableId="289172385">
    <w:abstractNumId w:val="7"/>
  </w:num>
  <w:num w:numId="12" w16cid:durableId="1470781324">
    <w:abstractNumId w:val="0"/>
  </w:num>
  <w:num w:numId="13" w16cid:durableId="1512908409">
    <w:abstractNumId w:val="2"/>
  </w:num>
  <w:num w:numId="14" w16cid:durableId="895897244">
    <w:abstractNumId w:val="17"/>
  </w:num>
  <w:num w:numId="15" w16cid:durableId="390349800">
    <w:abstractNumId w:val="13"/>
  </w:num>
  <w:num w:numId="16" w16cid:durableId="2040160837">
    <w:abstractNumId w:val="12"/>
  </w:num>
  <w:num w:numId="17" w16cid:durableId="903610564">
    <w:abstractNumId w:val="11"/>
  </w:num>
  <w:num w:numId="18" w16cid:durableId="136338707">
    <w:abstractNumId w:val="10"/>
  </w:num>
  <w:num w:numId="19" w16cid:durableId="1347637698">
    <w:abstractNumId w:val="8"/>
  </w:num>
  <w:num w:numId="20" w16cid:durableId="7908301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D8A"/>
    <w:rsid w:val="00016F78"/>
    <w:rsid w:val="00035E83"/>
    <w:rsid w:val="00043F27"/>
    <w:rsid w:val="00046945"/>
    <w:rsid w:val="00047700"/>
    <w:rsid w:val="00061B2A"/>
    <w:rsid w:val="00074160"/>
    <w:rsid w:val="00074BD7"/>
    <w:rsid w:val="00082362"/>
    <w:rsid w:val="000A683E"/>
    <w:rsid w:val="000B061E"/>
    <w:rsid w:val="000B19B9"/>
    <w:rsid w:val="000D0334"/>
    <w:rsid w:val="000D17B1"/>
    <w:rsid w:val="000D229F"/>
    <w:rsid w:val="000D5DA7"/>
    <w:rsid w:val="000E5096"/>
    <w:rsid w:val="000F6486"/>
    <w:rsid w:val="00102547"/>
    <w:rsid w:val="001055C1"/>
    <w:rsid w:val="00116940"/>
    <w:rsid w:val="00125105"/>
    <w:rsid w:val="00127233"/>
    <w:rsid w:val="001404BB"/>
    <w:rsid w:val="0015699B"/>
    <w:rsid w:val="00177145"/>
    <w:rsid w:val="001936F1"/>
    <w:rsid w:val="0019555C"/>
    <w:rsid w:val="001A33BF"/>
    <w:rsid w:val="001A48FF"/>
    <w:rsid w:val="001B0E62"/>
    <w:rsid w:val="001B3F6C"/>
    <w:rsid w:val="001C5F65"/>
    <w:rsid w:val="001D412D"/>
    <w:rsid w:val="001E0D74"/>
    <w:rsid w:val="001E4177"/>
    <w:rsid w:val="001E4F4F"/>
    <w:rsid w:val="001F0B24"/>
    <w:rsid w:val="001F7DC6"/>
    <w:rsid w:val="00205C3F"/>
    <w:rsid w:val="00206580"/>
    <w:rsid w:val="00220C36"/>
    <w:rsid w:val="0022400B"/>
    <w:rsid w:val="002266CD"/>
    <w:rsid w:val="00230A79"/>
    <w:rsid w:val="002421BB"/>
    <w:rsid w:val="0025796E"/>
    <w:rsid w:val="002707A2"/>
    <w:rsid w:val="00270AFA"/>
    <w:rsid w:val="00271620"/>
    <w:rsid w:val="00280F94"/>
    <w:rsid w:val="00294FE1"/>
    <w:rsid w:val="002951A0"/>
    <w:rsid w:val="002962BC"/>
    <w:rsid w:val="002A093D"/>
    <w:rsid w:val="002A0DD0"/>
    <w:rsid w:val="002A49AC"/>
    <w:rsid w:val="002A64FD"/>
    <w:rsid w:val="002C7A84"/>
    <w:rsid w:val="002D4979"/>
    <w:rsid w:val="002E2BF8"/>
    <w:rsid w:val="002E4FD9"/>
    <w:rsid w:val="0030657A"/>
    <w:rsid w:val="00315F25"/>
    <w:rsid w:val="00322A85"/>
    <w:rsid w:val="00324168"/>
    <w:rsid w:val="003274E4"/>
    <w:rsid w:val="00327E3E"/>
    <w:rsid w:val="00330834"/>
    <w:rsid w:val="003448F4"/>
    <w:rsid w:val="00344C4F"/>
    <w:rsid w:val="003530AF"/>
    <w:rsid w:val="00364D89"/>
    <w:rsid w:val="00373AB7"/>
    <w:rsid w:val="00374F5E"/>
    <w:rsid w:val="00377E3E"/>
    <w:rsid w:val="003A779E"/>
    <w:rsid w:val="003D0F4D"/>
    <w:rsid w:val="003D5B0D"/>
    <w:rsid w:val="003E0499"/>
    <w:rsid w:val="003E2CB3"/>
    <w:rsid w:val="003E440C"/>
    <w:rsid w:val="003E4F80"/>
    <w:rsid w:val="003E6439"/>
    <w:rsid w:val="003F3941"/>
    <w:rsid w:val="00406575"/>
    <w:rsid w:val="00414C74"/>
    <w:rsid w:val="004158FE"/>
    <w:rsid w:val="00416655"/>
    <w:rsid w:val="0042722E"/>
    <w:rsid w:val="0044528D"/>
    <w:rsid w:val="00453726"/>
    <w:rsid w:val="00466E39"/>
    <w:rsid w:val="004A1847"/>
    <w:rsid w:val="004A305D"/>
    <w:rsid w:val="004B7162"/>
    <w:rsid w:val="004B790E"/>
    <w:rsid w:val="004C3C81"/>
    <w:rsid w:val="004D11D2"/>
    <w:rsid w:val="004F21C4"/>
    <w:rsid w:val="004F4044"/>
    <w:rsid w:val="004F685F"/>
    <w:rsid w:val="004F728F"/>
    <w:rsid w:val="00530870"/>
    <w:rsid w:val="00530D5F"/>
    <w:rsid w:val="005566E8"/>
    <w:rsid w:val="00574867"/>
    <w:rsid w:val="00591460"/>
    <w:rsid w:val="005A0D6D"/>
    <w:rsid w:val="005A65E0"/>
    <w:rsid w:val="005C3777"/>
    <w:rsid w:val="005C5CDC"/>
    <w:rsid w:val="005D476C"/>
    <w:rsid w:val="005E10E9"/>
    <w:rsid w:val="005F5A0C"/>
    <w:rsid w:val="00615F28"/>
    <w:rsid w:val="006200BF"/>
    <w:rsid w:val="006219F8"/>
    <w:rsid w:val="006302F7"/>
    <w:rsid w:val="00635CF1"/>
    <w:rsid w:val="00646B9F"/>
    <w:rsid w:val="00653DF8"/>
    <w:rsid w:val="00665802"/>
    <w:rsid w:val="00665D70"/>
    <w:rsid w:val="00667232"/>
    <w:rsid w:val="00676DE2"/>
    <w:rsid w:val="006900D9"/>
    <w:rsid w:val="006D6194"/>
    <w:rsid w:val="00706C16"/>
    <w:rsid w:val="00707411"/>
    <w:rsid w:val="00715ED7"/>
    <w:rsid w:val="007340C3"/>
    <w:rsid w:val="0075235A"/>
    <w:rsid w:val="00756841"/>
    <w:rsid w:val="007649AB"/>
    <w:rsid w:val="00771D0C"/>
    <w:rsid w:val="007816F0"/>
    <w:rsid w:val="007833AC"/>
    <w:rsid w:val="007919FB"/>
    <w:rsid w:val="007B268C"/>
    <w:rsid w:val="007B7171"/>
    <w:rsid w:val="007C0C0F"/>
    <w:rsid w:val="007C3DC2"/>
    <w:rsid w:val="007C5E5D"/>
    <w:rsid w:val="007E5497"/>
    <w:rsid w:val="008007FA"/>
    <w:rsid w:val="00806F5F"/>
    <w:rsid w:val="00820278"/>
    <w:rsid w:val="00824F6F"/>
    <w:rsid w:val="008258C9"/>
    <w:rsid w:val="00833F2C"/>
    <w:rsid w:val="00842C0C"/>
    <w:rsid w:val="00844544"/>
    <w:rsid w:val="00844AE9"/>
    <w:rsid w:val="00865A3B"/>
    <w:rsid w:val="00867F95"/>
    <w:rsid w:val="00874319"/>
    <w:rsid w:val="008843B6"/>
    <w:rsid w:val="0088593F"/>
    <w:rsid w:val="00891928"/>
    <w:rsid w:val="00895BAC"/>
    <w:rsid w:val="008A446D"/>
    <w:rsid w:val="008B25F1"/>
    <w:rsid w:val="008C1B08"/>
    <w:rsid w:val="008C63BA"/>
    <w:rsid w:val="008D180B"/>
    <w:rsid w:val="008D6247"/>
    <w:rsid w:val="008F0EA7"/>
    <w:rsid w:val="008F74CD"/>
    <w:rsid w:val="00923EEF"/>
    <w:rsid w:val="009419F9"/>
    <w:rsid w:val="0095685E"/>
    <w:rsid w:val="00960028"/>
    <w:rsid w:val="00961B09"/>
    <w:rsid w:val="00964610"/>
    <w:rsid w:val="00965334"/>
    <w:rsid w:val="00967B3E"/>
    <w:rsid w:val="0097093E"/>
    <w:rsid w:val="0097397F"/>
    <w:rsid w:val="009A0DFA"/>
    <w:rsid w:val="009A1C6F"/>
    <w:rsid w:val="009B2D26"/>
    <w:rsid w:val="009C71FA"/>
    <w:rsid w:val="009C72E7"/>
    <w:rsid w:val="009C7F7E"/>
    <w:rsid w:val="009D3058"/>
    <w:rsid w:val="009D7F2A"/>
    <w:rsid w:val="009E7AC1"/>
    <w:rsid w:val="009F3A13"/>
    <w:rsid w:val="00A07425"/>
    <w:rsid w:val="00A122D3"/>
    <w:rsid w:val="00A12D47"/>
    <w:rsid w:val="00A14468"/>
    <w:rsid w:val="00A17F13"/>
    <w:rsid w:val="00A20739"/>
    <w:rsid w:val="00A23AF9"/>
    <w:rsid w:val="00A33C78"/>
    <w:rsid w:val="00A419CD"/>
    <w:rsid w:val="00A5744D"/>
    <w:rsid w:val="00A80195"/>
    <w:rsid w:val="00A839EB"/>
    <w:rsid w:val="00A85F0E"/>
    <w:rsid w:val="00AB0ADB"/>
    <w:rsid w:val="00AD5A1E"/>
    <w:rsid w:val="00AE7AF2"/>
    <w:rsid w:val="00AF27A8"/>
    <w:rsid w:val="00B00C0E"/>
    <w:rsid w:val="00B01B1A"/>
    <w:rsid w:val="00B0381D"/>
    <w:rsid w:val="00B23F79"/>
    <w:rsid w:val="00B43515"/>
    <w:rsid w:val="00B44A47"/>
    <w:rsid w:val="00B44EC5"/>
    <w:rsid w:val="00B72CD3"/>
    <w:rsid w:val="00B72FFF"/>
    <w:rsid w:val="00B91929"/>
    <w:rsid w:val="00B93E5A"/>
    <w:rsid w:val="00BB3BCE"/>
    <w:rsid w:val="00BC220B"/>
    <w:rsid w:val="00BC3D36"/>
    <w:rsid w:val="00BD54A6"/>
    <w:rsid w:val="00BD7F72"/>
    <w:rsid w:val="00BF7425"/>
    <w:rsid w:val="00C04FB3"/>
    <w:rsid w:val="00C0734E"/>
    <w:rsid w:val="00C11D8B"/>
    <w:rsid w:val="00C15139"/>
    <w:rsid w:val="00C322AD"/>
    <w:rsid w:val="00C330EB"/>
    <w:rsid w:val="00C36A9B"/>
    <w:rsid w:val="00C50D69"/>
    <w:rsid w:val="00C5365C"/>
    <w:rsid w:val="00C7422A"/>
    <w:rsid w:val="00C754BE"/>
    <w:rsid w:val="00C76B1C"/>
    <w:rsid w:val="00C925AC"/>
    <w:rsid w:val="00C92CB3"/>
    <w:rsid w:val="00C96A09"/>
    <w:rsid w:val="00CA1F17"/>
    <w:rsid w:val="00CB6357"/>
    <w:rsid w:val="00CC1B26"/>
    <w:rsid w:val="00D0531D"/>
    <w:rsid w:val="00D1354D"/>
    <w:rsid w:val="00D14230"/>
    <w:rsid w:val="00D361FD"/>
    <w:rsid w:val="00D4133D"/>
    <w:rsid w:val="00D423A2"/>
    <w:rsid w:val="00D44E26"/>
    <w:rsid w:val="00D50F8A"/>
    <w:rsid w:val="00D520D8"/>
    <w:rsid w:val="00D63AC2"/>
    <w:rsid w:val="00D7383B"/>
    <w:rsid w:val="00D7788A"/>
    <w:rsid w:val="00D80CAC"/>
    <w:rsid w:val="00DA231B"/>
    <w:rsid w:val="00DC39FC"/>
    <w:rsid w:val="00DE0202"/>
    <w:rsid w:val="00DF5254"/>
    <w:rsid w:val="00E02524"/>
    <w:rsid w:val="00E16408"/>
    <w:rsid w:val="00E20894"/>
    <w:rsid w:val="00E237B0"/>
    <w:rsid w:val="00E245AB"/>
    <w:rsid w:val="00E2764C"/>
    <w:rsid w:val="00E27F2E"/>
    <w:rsid w:val="00E50AFE"/>
    <w:rsid w:val="00E66E9C"/>
    <w:rsid w:val="00E75C92"/>
    <w:rsid w:val="00E771DC"/>
    <w:rsid w:val="00E8772A"/>
    <w:rsid w:val="00E90F6B"/>
    <w:rsid w:val="00E92C27"/>
    <w:rsid w:val="00EA0E3D"/>
    <w:rsid w:val="00EC38A7"/>
    <w:rsid w:val="00ED62FD"/>
    <w:rsid w:val="00EE1AA8"/>
    <w:rsid w:val="00F00CAF"/>
    <w:rsid w:val="00F14BF6"/>
    <w:rsid w:val="00F23FEA"/>
    <w:rsid w:val="00F26A5D"/>
    <w:rsid w:val="00F30BEB"/>
    <w:rsid w:val="00F31EDC"/>
    <w:rsid w:val="00F34CE8"/>
    <w:rsid w:val="00F462B3"/>
    <w:rsid w:val="00F5664F"/>
    <w:rsid w:val="00F666C4"/>
    <w:rsid w:val="00F76AFC"/>
    <w:rsid w:val="00FA47C0"/>
    <w:rsid w:val="00FB5DD1"/>
    <w:rsid w:val="00FC2B5D"/>
    <w:rsid w:val="00FD176F"/>
    <w:rsid w:val="00FF0302"/>
    <w:rsid w:val="00FF1449"/>
    <w:rsid w:val="00FF5155"/>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AE7AF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E7AF2"/>
    <w:rPr>
      <w:rFonts w:ascii="Geomanist Light" w:hAnsi="Geomanist Light"/>
      <w:lang w:val="es-ES"/>
    </w:rPr>
  </w:style>
  <w:style w:type="paragraph" w:styleId="Textoindependiente">
    <w:name w:val="Body Text"/>
    <w:basedOn w:val="Normal"/>
    <w:link w:val="TextoindependienteCar"/>
    <w:uiPriority w:val="1"/>
    <w:qFormat/>
    <w:rsid w:val="00AE7AF2"/>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AE7AF2"/>
    <w:rPr>
      <w:rFonts w:ascii="Verdana" w:eastAsia="Verdana" w:hAnsi="Verdana" w:cs="Verdana"/>
      <w:lang w:val="es-ES"/>
    </w:rPr>
  </w:style>
  <w:style w:type="character" w:customStyle="1" w:styleId="NormalWebCar">
    <w:name w:val="Normal (Web) Car"/>
    <w:link w:val="NormalWeb"/>
    <w:uiPriority w:val="99"/>
    <w:rsid w:val="00AE7AF2"/>
    <w:rPr>
      <w:rFonts w:ascii="Times New Roman" w:eastAsia="Times New Roman" w:hAnsi="Times New Roman" w:cs="Times New Roman"/>
      <w:sz w:val="24"/>
      <w:szCs w:val="24"/>
      <w:lang w:eastAsia="es-CO"/>
    </w:rPr>
  </w:style>
  <w:style w:type="character" w:customStyle="1" w:styleId="baj">
    <w:name w:val="b_aj"/>
    <w:basedOn w:val="Fuentedeprrafopredeter"/>
    <w:rsid w:val="00AE7AF2"/>
  </w:style>
  <w:style w:type="paragraph" w:styleId="Sinespaciado">
    <w:name w:val="No Spacing"/>
    <w:uiPriority w:val="1"/>
    <w:qFormat/>
    <w:rsid w:val="00AE7AF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20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carlosreyesmorales@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4CE084-4F5B-43F6-B57A-719AF9CBA5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6990</Words>
  <Characters>38450</Characters>
  <Application>Microsoft Office Word</Application>
  <DocSecurity>0</DocSecurity>
  <Lines>320</Lines>
  <Paragraphs>90</Paragraphs>
  <ScaleCrop>false</ScaleCrop>
  <Company/>
  <LinksUpToDate>false</LinksUpToDate>
  <CharactersWithSpaces>45350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2</cp:revision>
  <cp:lastPrinted>2023-01-10T21:18:00Z</cp:lastPrinted>
  <dcterms:created xsi:type="dcterms:W3CDTF">2026-05-11T20:01:00Z</dcterms:created>
  <dcterms:modified xsi:type="dcterms:W3CDTF">2026-05-11T20:01:00Z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