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63ADA" w14:textId="3C3ED836" w:rsidR="000C1853" w:rsidRPr="000C1853" w:rsidRDefault="000C1853" w:rsidP="000C1853">
      <w:pPr>
        <w:spacing w:after="0"/>
        <w:jc w:val="both"/>
        <w:rPr>
          <w:rFonts w:ascii="Verdana" w:eastAsia="Verdana" w:hAnsi="Verdana" w:cs="Verdana"/>
        </w:rPr>
      </w:pPr>
      <w:bookmarkStart w:id="0" w:name="_Hlk143780582"/>
      <w:r w:rsidRPr="000C1853">
        <w:rPr>
          <w:rFonts w:ascii="Verdana" w:eastAsia="Calibri" w:hAnsi="Verdana" w:cs="Arial"/>
          <w:b/>
          <w:bCs/>
          <w:kern w:val="2"/>
          <w:lang w:val="es-ES" w:eastAsia="es-ES"/>
          <w14:ligatures w14:val="standardContextual"/>
        </w:rPr>
        <w:t>SUBSANABILIDAD – Aplicación – R</w:t>
      </w:r>
      <w:r w:rsidRPr="000C1853">
        <w:rPr>
          <w:rFonts w:ascii="Verdana" w:eastAsia="Calibri" w:hAnsi="Verdana" w:cs="Times New Roman"/>
          <w:b/>
          <w:bCs/>
          <w:kern w:val="2"/>
          <w:lang w:val="es-ES" w:eastAsia="es-ES"/>
          <w14:ligatures w14:val="standardContextual"/>
        </w:rPr>
        <w:t>egla general</w:t>
      </w:r>
      <w:r w:rsidRPr="000C1853">
        <w:rPr>
          <w:rFonts w:ascii="Verdana" w:eastAsia="Calibri" w:hAnsi="Verdana" w:cs="Arial"/>
          <w:b/>
          <w:bCs/>
          <w:kern w:val="2"/>
          <w:lang w:val="es-ES" w:eastAsia="es-ES"/>
          <w14:ligatures w14:val="standardContextual"/>
        </w:rPr>
        <w:t xml:space="preserve"> – Excepciones </w:t>
      </w:r>
    </w:p>
    <w:p w14:paraId="4FAC8BB8" w14:textId="77777777" w:rsidR="000C1853" w:rsidRPr="000C1853" w:rsidRDefault="000C1853" w:rsidP="000C1853">
      <w:pPr>
        <w:tabs>
          <w:tab w:val="left" w:pos="426"/>
        </w:tabs>
        <w:spacing w:after="0" w:line="276" w:lineRule="auto"/>
        <w:jc w:val="both"/>
        <w:rPr>
          <w:rFonts w:ascii="Verdana" w:eastAsia="Calibri" w:hAnsi="Verdana" w:cs="Arial"/>
          <w:b/>
          <w:kern w:val="2"/>
          <w:lang w:eastAsia="es-CO"/>
          <w14:ligatures w14:val="standardContextual"/>
        </w:rPr>
      </w:pPr>
    </w:p>
    <w:p w14:paraId="2978F979" w14:textId="19E2312F" w:rsidR="000C1853" w:rsidRPr="000C1853" w:rsidRDefault="00E27304" w:rsidP="000C1853">
      <w:pPr>
        <w:spacing w:after="0" w:line="240" w:lineRule="auto"/>
        <w:jc w:val="both"/>
        <w:rPr>
          <w:rFonts w:ascii="Verdana" w:eastAsia="Calibri" w:hAnsi="Verdana" w:cs="Arial"/>
          <w:bCs/>
          <w:kern w:val="2"/>
          <w:sz w:val="20"/>
          <w:szCs w:val="20"/>
          <w:lang w:eastAsia="es-CO"/>
          <w14:ligatures w14:val="standardContextual"/>
        </w:rPr>
      </w:pPr>
      <w:r w:rsidRPr="00E27304">
        <w:rPr>
          <w:rFonts w:ascii="Verdana" w:eastAsia="Calibri" w:hAnsi="Verdana" w:cs="Arial"/>
          <w:bCs/>
          <w:kern w:val="2"/>
          <w:sz w:val="20"/>
          <w:szCs w:val="20"/>
          <w:lang w:eastAsia="es-CO"/>
          <w14:ligatures w14:val="standardContextual"/>
        </w:rPr>
        <w:t xml:space="preserve">La regla de la </w:t>
      </w:r>
      <w:proofErr w:type="spellStart"/>
      <w:r w:rsidRPr="00E27304">
        <w:rPr>
          <w:rFonts w:ascii="Verdana" w:eastAsia="Calibri" w:hAnsi="Verdana" w:cs="Arial"/>
          <w:bCs/>
          <w:kern w:val="2"/>
          <w:sz w:val="20"/>
          <w:szCs w:val="20"/>
          <w:lang w:eastAsia="es-CO"/>
          <w14:ligatures w14:val="standardContextual"/>
        </w:rPr>
        <w:t>subsanabilidad</w:t>
      </w:r>
      <w:proofErr w:type="spellEnd"/>
      <w:r w:rsidRPr="00E27304">
        <w:rPr>
          <w:rFonts w:ascii="Verdana" w:eastAsia="Calibri" w:hAnsi="Verdana" w:cs="Arial"/>
          <w:bCs/>
          <w:kern w:val="2"/>
          <w:sz w:val="20"/>
          <w:szCs w:val="20"/>
          <w:lang w:eastAsia="es-CO"/>
          <w14:ligatures w14:val="standardContextual"/>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21075274" w14:textId="77777777" w:rsidR="000C1853" w:rsidRPr="000C1853" w:rsidRDefault="000C1853" w:rsidP="000C1853">
      <w:pPr>
        <w:spacing w:after="0" w:line="276" w:lineRule="auto"/>
        <w:jc w:val="both"/>
        <w:rPr>
          <w:rFonts w:ascii="Verdana" w:eastAsia="Calibri" w:hAnsi="Verdana" w:cs="Arial"/>
          <w:bCs/>
          <w:kern w:val="2"/>
          <w:lang w:val="es-ES_tradnl" w:eastAsia="es-CO"/>
          <w14:ligatures w14:val="standardContextual"/>
        </w:rPr>
      </w:pPr>
    </w:p>
    <w:p w14:paraId="30F2E829" w14:textId="77777777" w:rsidR="000C1853" w:rsidRPr="000C1853" w:rsidRDefault="000C1853" w:rsidP="000C1853">
      <w:pPr>
        <w:spacing w:after="0" w:line="276" w:lineRule="auto"/>
        <w:jc w:val="both"/>
        <w:rPr>
          <w:rFonts w:ascii="Verdana" w:eastAsia="Calibri" w:hAnsi="Verdana" w:cs="Arial"/>
          <w:b/>
          <w:bCs/>
          <w:kern w:val="2"/>
          <w:lang w:val="es-ES" w:eastAsia="es-ES"/>
          <w14:ligatures w14:val="standardContextual"/>
        </w:rPr>
      </w:pPr>
      <w:r w:rsidRPr="000C1853">
        <w:rPr>
          <w:rFonts w:ascii="Verdana" w:eastAsia="Calibri" w:hAnsi="Verdana" w:cs="Arial"/>
          <w:b/>
          <w:bCs/>
          <w:kern w:val="2"/>
          <w:lang w:val="es-ES" w:eastAsia="es-ES"/>
          <w14:ligatures w14:val="standardContextual"/>
        </w:rPr>
        <w:t>SUBSANABILIDAD – Ley 1882 de 2018</w:t>
      </w:r>
    </w:p>
    <w:p w14:paraId="71C13353" w14:textId="77777777" w:rsidR="000C1853" w:rsidRPr="000C1853" w:rsidRDefault="000C1853" w:rsidP="000C1853">
      <w:pPr>
        <w:spacing w:after="0" w:line="276" w:lineRule="auto"/>
        <w:jc w:val="both"/>
        <w:rPr>
          <w:rFonts w:ascii="Verdana" w:eastAsia="Times New Roman" w:hAnsi="Verdana" w:cs="Arial"/>
          <w:kern w:val="2"/>
          <w:lang w:val="es-ES" w:eastAsia="es-ES_tradnl"/>
          <w14:ligatures w14:val="standardContextual"/>
        </w:rPr>
      </w:pPr>
    </w:p>
    <w:p w14:paraId="1BDAED77" w14:textId="51939A52" w:rsidR="000C1853" w:rsidRPr="000C1853" w:rsidRDefault="000C1853" w:rsidP="000C1853">
      <w:pPr>
        <w:spacing w:after="0" w:line="240" w:lineRule="auto"/>
        <w:jc w:val="both"/>
        <w:rPr>
          <w:rFonts w:ascii="Verdana" w:eastAsia="Calibri" w:hAnsi="Verdana" w:cs="Arial"/>
          <w:bCs/>
          <w:kern w:val="2"/>
          <w:sz w:val="20"/>
          <w:szCs w:val="20"/>
          <w:lang w:eastAsia="es-CO"/>
          <w14:ligatures w14:val="standardContextual"/>
        </w:rPr>
      </w:pPr>
      <w:r w:rsidRPr="000C1853">
        <w:rPr>
          <w:rFonts w:ascii="Verdana" w:eastAsia="Calibri" w:hAnsi="Verdana" w:cs="Arial"/>
          <w:bCs/>
          <w:kern w:val="2"/>
          <w:sz w:val="20"/>
          <w:szCs w:val="20"/>
          <w:lang w:eastAsia="es-CO"/>
          <w14:ligatures w14:val="standardContextual"/>
        </w:rPr>
        <w:t xml:space="preserve">[…] </w:t>
      </w:r>
      <w:r w:rsidR="00E27304" w:rsidRPr="00E27304">
        <w:rPr>
          <w:rFonts w:ascii="Verdana" w:eastAsia="Calibri" w:hAnsi="Verdana" w:cs="Arial"/>
          <w:bCs/>
          <w:kern w:val="2"/>
          <w:sz w:val="20"/>
          <w:szCs w:val="20"/>
          <w:lang w:eastAsia="es-CO"/>
          <w14:ligatures w14:val="standardContextual"/>
        </w:rPr>
        <w:t xml:space="preserve">la Ley 1882 de 2018: i) mantiene el criterio de la Ley 80 de 1993, relativo a que todo lo que no sea necesario para la comparación de propuestas no es título suficiente para su rechazo; </w:t>
      </w:r>
      <w:proofErr w:type="spellStart"/>
      <w:r w:rsidR="00E27304" w:rsidRPr="00E27304">
        <w:rPr>
          <w:rFonts w:ascii="Verdana" w:eastAsia="Calibri" w:hAnsi="Verdana" w:cs="Arial"/>
          <w:bCs/>
          <w:kern w:val="2"/>
          <w:sz w:val="20"/>
          <w:szCs w:val="20"/>
          <w:lang w:eastAsia="es-CO"/>
          <w14:ligatures w14:val="standardContextual"/>
        </w:rPr>
        <w:t>ii</w:t>
      </w:r>
      <w:proofErr w:type="spellEnd"/>
      <w:r w:rsidR="00E27304" w:rsidRPr="00E27304">
        <w:rPr>
          <w:rFonts w:ascii="Verdana" w:eastAsia="Calibri" w:hAnsi="Verdana" w:cs="Arial"/>
          <w:bCs/>
          <w:kern w:val="2"/>
          <w:sz w:val="20"/>
          <w:szCs w:val="20"/>
          <w:lang w:eastAsia="es-CO"/>
          <w14:ligatures w14:val="standardContextual"/>
        </w:rPr>
        <w:t xml:space="preserve">) mantiene el criterio aclaratorio de la Ley 1150 de 2007, según el cual todo lo que no afecte la asignación de puntaje puede subsanarse; y, </w:t>
      </w:r>
      <w:proofErr w:type="spellStart"/>
      <w:r w:rsidR="00E27304" w:rsidRPr="00E27304">
        <w:rPr>
          <w:rFonts w:ascii="Verdana" w:eastAsia="Calibri" w:hAnsi="Verdana" w:cs="Arial"/>
          <w:bCs/>
          <w:kern w:val="2"/>
          <w:sz w:val="20"/>
          <w:szCs w:val="20"/>
          <w:lang w:eastAsia="es-CO"/>
          <w14:ligatures w14:val="standardContextual"/>
        </w:rPr>
        <w:t>iii</w:t>
      </w:r>
      <w:proofErr w:type="spellEnd"/>
      <w:r w:rsidR="00E27304" w:rsidRPr="00E27304">
        <w:rPr>
          <w:rFonts w:ascii="Verdana" w:eastAsia="Calibri" w:hAnsi="Verdana" w:cs="Arial"/>
          <w:bCs/>
          <w:kern w:val="2"/>
          <w:sz w:val="20"/>
          <w:szCs w:val="20"/>
          <w:lang w:eastAsia="es-CO"/>
          <w14:ligatures w14:val="standardContextual"/>
        </w:rPr>
        <w:t>) introduce modificaciones en relación con algunos aspectos que se analizarán a continuación.</w:t>
      </w:r>
    </w:p>
    <w:p w14:paraId="38D4C0E1" w14:textId="77777777" w:rsidR="000C1853" w:rsidRPr="000C1853" w:rsidRDefault="000C1853" w:rsidP="000C1853">
      <w:pPr>
        <w:spacing w:after="0" w:line="276" w:lineRule="auto"/>
        <w:jc w:val="both"/>
        <w:rPr>
          <w:rFonts w:ascii="Verdana" w:eastAsia="Calibri" w:hAnsi="Verdana" w:cs="Arial"/>
          <w:b/>
          <w:bCs/>
          <w:kern w:val="2"/>
          <w:lang w:eastAsia="es-ES"/>
          <w14:ligatures w14:val="standardContextual"/>
        </w:rPr>
      </w:pPr>
    </w:p>
    <w:p w14:paraId="54F838A0" w14:textId="77777777" w:rsidR="000C1853" w:rsidRPr="000C1853" w:rsidRDefault="000C1853" w:rsidP="000C1853">
      <w:pPr>
        <w:spacing w:after="0" w:line="276" w:lineRule="auto"/>
        <w:jc w:val="both"/>
        <w:rPr>
          <w:rFonts w:ascii="Verdana" w:eastAsia="Calibri" w:hAnsi="Verdana" w:cs="Arial"/>
          <w:b/>
          <w:bCs/>
          <w:color w:val="000000"/>
          <w:kern w:val="2"/>
          <w14:ligatures w14:val="standardContextual"/>
        </w:rPr>
      </w:pPr>
      <w:r w:rsidRPr="000C1853">
        <w:rPr>
          <w:rFonts w:ascii="Verdana" w:eastAsia="Calibri" w:hAnsi="Verdana" w:cs="Arial"/>
          <w:b/>
          <w:bCs/>
          <w:color w:val="000000"/>
          <w:kern w:val="2"/>
          <w14:ligatures w14:val="standardContextual"/>
        </w:rPr>
        <w:t>SUBSANABILIDAD – Circunstancias posteriores – Cierre del proceso – Prueba</w:t>
      </w:r>
    </w:p>
    <w:p w14:paraId="51A13781" w14:textId="77777777" w:rsidR="000C1853" w:rsidRPr="000C1853" w:rsidRDefault="000C1853" w:rsidP="000C1853">
      <w:pPr>
        <w:spacing w:after="0" w:line="276" w:lineRule="auto"/>
        <w:jc w:val="both"/>
        <w:rPr>
          <w:rFonts w:ascii="Verdana" w:eastAsia="Calibri" w:hAnsi="Verdana" w:cs="Times New Roman"/>
          <w:color w:val="000000"/>
          <w:kern w:val="2"/>
          <w:lang w:val="es-ES_tradnl"/>
          <w14:ligatures w14:val="standardContextual"/>
        </w:rPr>
      </w:pPr>
    </w:p>
    <w:p w14:paraId="30DB207D" w14:textId="514A5EDA" w:rsidR="000C1853" w:rsidRPr="000C1853" w:rsidRDefault="000C1853" w:rsidP="000C1853">
      <w:pPr>
        <w:spacing w:after="0" w:line="240" w:lineRule="auto"/>
        <w:jc w:val="both"/>
        <w:rPr>
          <w:rFonts w:ascii="Verdana" w:eastAsia="Calibri" w:hAnsi="Verdana" w:cs="Times New Roman"/>
          <w:color w:val="000000"/>
          <w:kern w:val="2"/>
          <w:sz w:val="20"/>
          <w:szCs w:val="20"/>
          <w:lang w:val="es-ES"/>
          <w14:ligatures w14:val="standardContextual"/>
        </w:rPr>
      </w:pPr>
      <w:r w:rsidRPr="000C1853">
        <w:rPr>
          <w:rFonts w:ascii="Verdana" w:eastAsia="Calibri" w:hAnsi="Verdana" w:cs="Times New Roman"/>
          <w:color w:val="000000"/>
          <w:kern w:val="2"/>
          <w:sz w:val="20"/>
          <w:szCs w:val="20"/>
          <w:lang w:val="es-ES"/>
          <w14:ligatures w14:val="standardContextual"/>
        </w:rPr>
        <w:t xml:space="preserve">[…] </w:t>
      </w:r>
      <w:r w:rsidR="00E27304" w:rsidRPr="00E27304">
        <w:rPr>
          <w:rFonts w:ascii="Verdana" w:eastAsia="Calibri" w:hAnsi="Verdana" w:cs="Times New Roman"/>
          <w:color w:val="000000"/>
          <w:kern w:val="2"/>
          <w:sz w:val="20"/>
          <w:szCs w:val="20"/>
          <w:lang w:val="es-ES"/>
          <w14:ligatures w14:val="standardContextual"/>
        </w:rPr>
        <w:t xml:space="preserve">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00E27304" w:rsidRPr="00E27304">
        <w:rPr>
          <w:rFonts w:ascii="Verdana" w:eastAsia="Calibri" w:hAnsi="Verdana" w:cs="Times New Roman"/>
          <w:color w:val="000000"/>
          <w:kern w:val="2"/>
          <w:sz w:val="20"/>
          <w:szCs w:val="20"/>
          <w:lang w:val="es-ES"/>
          <w14:ligatures w14:val="standardContextual"/>
        </w:rPr>
        <w:t>que</w:t>
      </w:r>
      <w:proofErr w:type="gramEnd"/>
      <w:r w:rsidR="00E27304" w:rsidRPr="00E27304">
        <w:rPr>
          <w:rFonts w:ascii="Verdana" w:eastAsia="Calibri" w:hAnsi="Verdana" w:cs="Times New Roman"/>
          <w:color w:val="000000"/>
          <w:kern w:val="2"/>
          <w:sz w:val="20"/>
          <w:szCs w:val="20"/>
          <w:lang w:val="es-ES"/>
          <w14:ligatures w14:val="standardContextual"/>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617A1FF8" w14:textId="77777777" w:rsidR="000C1853" w:rsidRPr="000C1853" w:rsidRDefault="000C1853" w:rsidP="000C1853">
      <w:pPr>
        <w:spacing w:line="276" w:lineRule="auto"/>
        <w:contextualSpacing/>
        <w:jc w:val="both"/>
        <w:rPr>
          <w:rFonts w:ascii="Verdana" w:eastAsia="Aptos" w:hAnsi="Verdana" w:cs="Arial"/>
          <w:b/>
          <w:bCs/>
          <w:color w:val="000000"/>
          <w:kern w:val="2"/>
          <w:lang w:val="es-ES_tradnl"/>
          <w14:ligatures w14:val="standardContextual"/>
        </w:rPr>
      </w:pPr>
    </w:p>
    <w:p w14:paraId="25294EA7" w14:textId="77777777" w:rsidR="000C1853" w:rsidRPr="000C1853" w:rsidRDefault="000C1853" w:rsidP="000C1853">
      <w:pPr>
        <w:spacing w:after="0" w:line="276" w:lineRule="auto"/>
        <w:jc w:val="both"/>
        <w:rPr>
          <w:rFonts w:ascii="Verdana" w:eastAsia="Geomanist Light" w:hAnsi="Verdana" w:cs="Arial"/>
          <w:b/>
          <w:bCs/>
          <w:lang w:val="es-ES_tradnl"/>
        </w:rPr>
      </w:pPr>
      <w:r w:rsidRPr="000C1853">
        <w:rPr>
          <w:rFonts w:ascii="Verdana" w:eastAsia="Geomanist Light" w:hAnsi="Verdana" w:cs="Arial"/>
          <w:b/>
          <w:bCs/>
          <w:lang w:val="es-ES_tradnl"/>
        </w:rPr>
        <w:t>SUBSANABILIDAD – Oportunidad – Informe de evaluación – Publicación – Documentos tipo de infraestructura de transporte</w:t>
      </w:r>
    </w:p>
    <w:p w14:paraId="3CBB232D" w14:textId="77777777" w:rsidR="000C1853" w:rsidRPr="000C1853" w:rsidRDefault="000C1853" w:rsidP="000C1853">
      <w:pPr>
        <w:spacing w:after="0" w:line="240" w:lineRule="auto"/>
        <w:rPr>
          <w:rFonts w:ascii="Verdana" w:eastAsia="Geomanist Light" w:hAnsi="Verdana" w:cs="Arial"/>
          <w:lang w:val="es-ES_tradnl"/>
        </w:rPr>
      </w:pPr>
    </w:p>
    <w:p w14:paraId="60FC2CB0" w14:textId="77777777" w:rsidR="003F58D0" w:rsidRDefault="003F58D0" w:rsidP="003F58D0">
      <w:pPr>
        <w:spacing w:after="0" w:line="240" w:lineRule="auto"/>
        <w:jc w:val="both"/>
        <w:rPr>
          <w:rFonts w:ascii="Verdana" w:eastAsia="Calibri" w:hAnsi="Verdana" w:cs="Arial"/>
          <w:color w:val="000000"/>
          <w:sz w:val="20"/>
          <w:szCs w:val="20"/>
        </w:rPr>
      </w:pPr>
      <w:r w:rsidRPr="003F58D0">
        <w:rPr>
          <w:rFonts w:ascii="Verdana" w:eastAsia="Calibri" w:hAnsi="Verdana" w:cs="Arial"/>
          <w:color w:val="000000"/>
          <w:sz w:val="20"/>
          <w:szCs w:val="20"/>
        </w:rPr>
        <w:t xml:space="preserve">De acuerdo con lo anterior, se tiene que las entidades contratantes deben publicar en SECOP, durante cinco (5) días hábiles, el informe de evaluación relacionado con los requisitos habilitantes y documentos a los que se les asigne puntaje, diferentes a la oferta económica. Durante este término, los proponentes podrán realizar las observaciones que consideren, así como entregar los documentos e información requerida conforme al numeral 1.6 “REGLAS DE SUBSANABILIDAD, EXPLICACIONES Y </w:t>
      </w:r>
      <w:r w:rsidRPr="003F58D0">
        <w:rPr>
          <w:rFonts w:ascii="Verdana" w:eastAsia="Calibri" w:hAnsi="Verdana" w:cs="Arial"/>
          <w:color w:val="000000"/>
          <w:sz w:val="20"/>
          <w:szCs w:val="20"/>
        </w:rPr>
        <w:lastRenderedPageBreak/>
        <w:t>ACLARACIONES” del documento base, sin perjuicio de que ya lo hubieren hecho en un momento anterior.</w:t>
      </w:r>
    </w:p>
    <w:p w14:paraId="0FF6FDD3" w14:textId="77777777" w:rsidR="003F58D0" w:rsidRPr="003F58D0" w:rsidRDefault="003F58D0" w:rsidP="003F58D0">
      <w:pPr>
        <w:spacing w:after="0" w:line="240" w:lineRule="auto"/>
        <w:jc w:val="both"/>
        <w:rPr>
          <w:rFonts w:ascii="Verdana" w:eastAsia="Calibri" w:hAnsi="Verdana" w:cs="Arial"/>
          <w:color w:val="000000"/>
          <w:sz w:val="20"/>
          <w:szCs w:val="20"/>
        </w:rPr>
      </w:pPr>
    </w:p>
    <w:p w14:paraId="454B333B" w14:textId="77777777" w:rsidR="003F58D0" w:rsidRDefault="003F58D0" w:rsidP="003F58D0">
      <w:pPr>
        <w:spacing w:after="0" w:line="240" w:lineRule="auto"/>
        <w:jc w:val="both"/>
        <w:rPr>
          <w:rFonts w:ascii="Verdana" w:eastAsia="Calibri" w:hAnsi="Verdana" w:cs="Arial"/>
          <w:color w:val="000000"/>
          <w:sz w:val="20"/>
          <w:szCs w:val="20"/>
        </w:rPr>
      </w:pPr>
      <w:r w:rsidRPr="003F58D0">
        <w:rPr>
          <w:rFonts w:ascii="Verdana" w:eastAsia="Calibri" w:hAnsi="Verdana" w:cs="Arial"/>
          <w:color w:val="000000"/>
          <w:sz w:val="20"/>
          <w:szCs w:val="20"/>
        </w:rPr>
        <w:t xml:space="preserve">A su turno, con posterioridad al vencimiento del plazo para presentar observaciones y a más tardar el día antes de la audiencia efectiva de adjudicación, la entidad debe publicar el informe final de evaluación, en caso de que haya sufrido alteraciones. </w:t>
      </w:r>
    </w:p>
    <w:p w14:paraId="32F91391" w14:textId="77777777" w:rsidR="003F58D0" w:rsidRPr="003F58D0" w:rsidRDefault="003F58D0" w:rsidP="003F58D0">
      <w:pPr>
        <w:spacing w:after="0" w:line="240" w:lineRule="auto"/>
        <w:jc w:val="both"/>
        <w:rPr>
          <w:rFonts w:ascii="Verdana" w:eastAsia="Calibri" w:hAnsi="Verdana" w:cs="Arial"/>
          <w:color w:val="000000"/>
          <w:sz w:val="20"/>
          <w:szCs w:val="20"/>
        </w:rPr>
      </w:pPr>
    </w:p>
    <w:p w14:paraId="70F934D3" w14:textId="77777777" w:rsidR="003F58D0" w:rsidRPr="003F58D0" w:rsidRDefault="003F58D0" w:rsidP="003F58D0">
      <w:pPr>
        <w:spacing w:after="0" w:line="240" w:lineRule="auto"/>
        <w:jc w:val="both"/>
        <w:rPr>
          <w:rFonts w:ascii="Verdana" w:eastAsia="Calibri" w:hAnsi="Verdana" w:cs="Arial"/>
          <w:color w:val="000000"/>
          <w:sz w:val="20"/>
          <w:szCs w:val="20"/>
        </w:rPr>
      </w:pPr>
      <w:r w:rsidRPr="003F58D0">
        <w:rPr>
          <w:rFonts w:ascii="Verdana" w:eastAsia="Calibri" w:hAnsi="Verdana" w:cs="Arial"/>
          <w:color w:val="000000"/>
          <w:sz w:val="20"/>
          <w:szCs w:val="20"/>
        </w:rPr>
        <w:t xml:space="preserve">Finalmente, conviene advertir que, en atención a lo dispuesto en el numeral 2.6 del documento base, que señala las reglas que conciernen a la </w:t>
      </w:r>
      <w:r w:rsidRPr="003F58D0">
        <w:rPr>
          <w:rFonts w:ascii="Verdana" w:eastAsia="Calibri" w:hAnsi="Verdana" w:cs="Arial"/>
          <w:i/>
          <w:iCs/>
          <w:color w:val="000000"/>
          <w:sz w:val="20"/>
          <w:szCs w:val="20"/>
        </w:rPr>
        <w:t>audiencia efectiva de adjudicación,</w:t>
      </w:r>
      <w:r w:rsidRPr="003F58D0">
        <w:rPr>
          <w:rFonts w:ascii="Verdana" w:eastAsia="Calibri" w:hAnsi="Verdana" w:cs="Arial"/>
          <w:color w:val="000000"/>
          <w:sz w:val="20"/>
          <w:szCs w:val="20"/>
        </w:rPr>
        <w:t xml:space="preserve"> al inicio de </w:t>
      </w:r>
      <w:proofErr w:type="gramStart"/>
      <w:r w:rsidRPr="003F58D0">
        <w:rPr>
          <w:rFonts w:ascii="Verdana" w:eastAsia="Calibri" w:hAnsi="Verdana" w:cs="Arial"/>
          <w:color w:val="000000"/>
          <w:sz w:val="20"/>
          <w:szCs w:val="20"/>
        </w:rPr>
        <w:t>la misma</w:t>
      </w:r>
      <w:proofErr w:type="gramEnd"/>
      <w:r w:rsidRPr="003F58D0">
        <w:rPr>
          <w:rFonts w:ascii="Verdana" w:eastAsia="Calibri" w:hAnsi="Verdana" w:cs="Arial"/>
          <w:color w:val="000000"/>
          <w:sz w:val="20"/>
          <w:szCs w:val="20"/>
        </w:rPr>
        <w:t>, la entidad otorgará la palabra a los proponentes para presentar las observaciones al informe final de evaluación, lo cual no podrá entenderse como una oportunidad adicional para aportar documentos o elementos que no hayan sido incorporados en el plazo definido en el numeral 1.6. Esto, sin perjuicio de la potestad de la entidad de realizar las verificaciones que considere pertinentes para la adecuada selección del contratista.</w:t>
      </w:r>
    </w:p>
    <w:p w14:paraId="1847DF8A" w14:textId="019234B1" w:rsidR="000C1853" w:rsidRPr="000C1853" w:rsidRDefault="000C1853" w:rsidP="003F58D0">
      <w:pPr>
        <w:spacing w:after="0" w:line="240" w:lineRule="auto"/>
        <w:jc w:val="both"/>
        <w:rPr>
          <w:rFonts w:ascii="Verdana" w:eastAsia="Calibri" w:hAnsi="Verdana" w:cs="Arial"/>
          <w:color w:val="000000"/>
          <w:sz w:val="20"/>
          <w:szCs w:val="20"/>
        </w:rPr>
      </w:pPr>
    </w:p>
    <w:p w14:paraId="1857630A" w14:textId="77777777" w:rsidR="000C1853" w:rsidRPr="000C1853" w:rsidRDefault="000C1853" w:rsidP="000C1853">
      <w:pPr>
        <w:spacing w:after="0" w:line="240" w:lineRule="auto"/>
        <w:rPr>
          <w:rFonts w:ascii="Verdana" w:eastAsia="Geomanist Light" w:hAnsi="Verdana" w:cs="Arial"/>
          <w:sz w:val="20"/>
          <w:szCs w:val="20"/>
          <w:lang w:val="es-ES_tradnl"/>
        </w:rPr>
      </w:pPr>
    </w:p>
    <w:p w14:paraId="6B7F290F" w14:textId="77777777" w:rsidR="000C1853" w:rsidRPr="000C1853" w:rsidRDefault="000C1853" w:rsidP="000C1853">
      <w:pPr>
        <w:spacing w:after="0" w:line="240" w:lineRule="auto"/>
        <w:rPr>
          <w:rFonts w:ascii="Verdana" w:eastAsia="Calibri" w:hAnsi="Verdana" w:cs="Times New Roman"/>
          <w:lang w:val="es-ES_tradnl"/>
        </w:rPr>
      </w:pPr>
    </w:p>
    <w:p w14:paraId="085707A8" w14:textId="77777777" w:rsidR="000C1853" w:rsidRPr="000C1853" w:rsidRDefault="000C1853" w:rsidP="000C1853">
      <w:pPr>
        <w:spacing w:after="0" w:line="240" w:lineRule="auto"/>
        <w:rPr>
          <w:rFonts w:ascii="Verdana" w:eastAsia="Calibri" w:hAnsi="Verdana" w:cs="Times New Roman"/>
          <w:lang w:val="es-ES_tradnl"/>
        </w:rPr>
      </w:pPr>
    </w:p>
    <w:p w14:paraId="0DCD7E64" w14:textId="77777777" w:rsidR="000C1853" w:rsidRPr="000C1853" w:rsidRDefault="000C1853" w:rsidP="000C1853">
      <w:pPr>
        <w:spacing w:after="0" w:line="240" w:lineRule="auto"/>
        <w:rPr>
          <w:rFonts w:ascii="Verdana" w:eastAsia="Calibri" w:hAnsi="Verdana" w:cs="Times New Roman"/>
          <w:lang w:val="es-ES_tradnl"/>
        </w:rPr>
      </w:pPr>
    </w:p>
    <w:p w14:paraId="07334F05" w14:textId="77777777" w:rsidR="000C1853" w:rsidRPr="000C1853" w:rsidRDefault="000C1853" w:rsidP="000C1853">
      <w:pPr>
        <w:spacing w:after="0" w:line="240" w:lineRule="auto"/>
        <w:jc w:val="both"/>
        <w:rPr>
          <w:rFonts w:ascii="Verdana" w:eastAsia="Calibri" w:hAnsi="Verdana" w:cs="Times New Roman"/>
          <w:lang w:val="es-ES_tradnl"/>
        </w:rPr>
      </w:pPr>
    </w:p>
    <w:p w14:paraId="566B156F" w14:textId="77777777" w:rsidR="000C1853" w:rsidRPr="000C1853" w:rsidRDefault="000C1853" w:rsidP="000C1853">
      <w:pPr>
        <w:spacing w:after="0" w:line="240" w:lineRule="auto"/>
        <w:jc w:val="both"/>
        <w:rPr>
          <w:rFonts w:ascii="Verdana" w:eastAsia="Calibri" w:hAnsi="Verdana" w:cs="Times New Roman"/>
          <w:lang w:val="es-ES_tradnl"/>
        </w:rPr>
      </w:pPr>
    </w:p>
    <w:p w14:paraId="65221A04" w14:textId="77777777" w:rsidR="000C1853" w:rsidRPr="000C1853" w:rsidRDefault="000C1853" w:rsidP="000C1853">
      <w:pPr>
        <w:spacing w:after="0" w:line="240" w:lineRule="auto"/>
        <w:jc w:val="both"/>
        <w:rPr>
          <w:rFonts w:ascii="Verdana" w:eastAsia="Calibri" w:hAnsi="Verdana" w:cs="Times New Roman"/>
          <w:lang w:val="es-ES_tradnl"/>
        </w:rPr>
      </w:pPr>
    </w:p>
    <w:p w14:paraId="684CEB5C" w14:textId="77777777" w:rsidR="000C1853" w:rsidRPr="000C1853" w:rsidRDefault="000C1853" w:rsidP="000C1853">
      <w:pPr>
        <w:spacing w:after="0" w:line="240" w:lineRule="auto"/>
        <w:jc w:val="both"/>
        <w:rPr>
          <w:rFonts w:ascii="Verdana" w:eastAsia="Calibri" w:hAnsi="Verdana" w:cs="Times New Roman"/>
          <w:lang w:val="es-ES_tradnl"/>
        </w:rPr>
      </w:pPr>
    </w:p>
    <w:p w14:paraId="69EE1571" w14:textId="77777777" w:rsidR="000C1853" w:rsidRPr="000C1853" w:rsidRDefault="000C1853" w:rsidP="000C1853">
      <w:pPr>
        <w:spacing w:after="0" w:line="240" w:lineRule="auto"/>
        <w:jc w:val="both"/>
        <w:rPr>
          <w:rFonts w:ascii="Verdana" w:eastAsia="Calibri" w:hAnsi="Verdana" w:cs="Times New Roman"/>
          <w:lang w:val="es-ES_tradnl"/>
        </w:rPr>
      </w:pPr>
    </w:p>
    <w:p w14:paraId="6DB974E7" w14:textId="77777777" w:rsidR="000C1853" w:rsidRPr="000C1853" w:rsidRDefault="000C1853" w:rsidP="000C1853">
      <w:pPr>
        <w:spacing w:after="0" w:line="240" w:lineRule="auto"/>
        <w:jc w:val="both"/>
        <w:rPr>
          <w:rFonts w:ascii="Verdana" w:eastAsia="Calibri" w:hAnsi="Verdana" w:cs="Times New Roman"/>
          <w:lang w:val="es-ES_tradnl"/>
        </w:rPr>
      </w:pPr>
    </w:p>
    <w:p w14:paraId="7EC6AE7C" w14:textId="77777777" w:rsidR="000C1853" w:rsidRPr="000C1853" w:rsidRDefault="000C1853" w:rsidP="000C1853">
      <w:pPr>
        <w:spacing w:after="0" w:line="240" w:lineRule="auto"/>
        <w:jc w:val="both"/>
        <w:rPr>
          <w:rFonts w:ascii="Verdana" w:eastAsia="Calibri" w:hAnsi="Verdana" w:cs="Times New Roman"/>
          <w:lang w:val="es-ES_tradnl"/>
        </w:rPr>
      </w:pPr>
    </w:p>
    <w:p w14:paraId="2720D2E5" w14:textId="77777777" w:rsidR="000C1853" w:rsidRPr="000C1853" w:rsidRDefault="000C1853" w:rsidP="000C1853">
      <w:pPr>
        <w:spacing w:after="0" w:line="240" w:lineRule="auto"/>
        <w:jc w:val="both"/>
        <w:rPr>
          <w:rFonts w:ascii="Verdana" w:eastAsia="Calibri" w:hAnsi="Verdana" w:cs="Times New Roman"/>
          <w:lang w:val="es-ES_tradnl"/>
        </w:rPr>
      </w:pPr>
    </w:p>
    <w:p w14:paraId="31475ACF" w14:textId="77777777" w:rsidR="000C1853" w:rsidRPr="000C1853" w:rsidRDefault="000C1853" w:rsidP="000C1853">
      <w:pPr>
        <w:spacing w:after="0" w:line="240" w:lineRule="auto"/>
        <w:jc w:val="both"/>
        <w:rPr>
          <w:rFonts w:ascii="Verdana" w:eastAsia="Calibri" w:hAnsi="Verdana" w:cs="Times New Roman"/>
          <w:lang w:val="es-ES_tradnl"/>
        </w:rPr>
      </w:pPr>
    </w:p>
    <w:p w14:paraId="197372D8" w14:textId="77777777" w:rsidR="000C1853" w:rsidRPr="000C1853" w:rsidRDefault="000C1853" w:rsidP="000C1853">
      <w:pPr>
        <w:spacing w:after="0" w:line="240" w:lineRule="auto"/>
        <w:jc w:val="both"/>
        <w:rPr>
          <w:rFonts w:ascii="Verdana" w:eastAsia="Calibri" w:hAnsi="Verdana" w:cs="Times New Roman"/>
          <w:lang w:val="es-ES_tradnl"/>
        </w:rPr>
      </w:pPr>
    </w:p>
    <w:p w14:paraId="7D09926B" w14:textId="77777777" w:rsidR="000C1853" w:rsidRPr="000C1853" w:rsidRDefault="000C1853" w:rsidP="000C1853">
      <w:pPr>
        <w:spacing w:after="0" w:line="240" w:lineRule="auto"/>
        <w:jc w:val="both"/>
        <w:rPr>
          <w:rFonts w:ascii="Verdana" w:eastAsia="Calibri" w:hAnsi="Verdana" w:cs="Times New Roman"/>
          <w:lang w:val="es-ES_tradnl"/>
        </w:rPr>
      </w:pPr>
    </w:p>
    <w:p w14:paraId="73431DC9" w14:textId="77777777" w:rsidR="000C1853" w:rsidRPr="000C1853" w:rsidRDefault="000C1853" w:rsidP="000C1853">
      <w:pPr>
        <w:spacing w:after="0" w:line="240" w:lineRule="auto"/>
        <w:jc w:val="both"/>
        <w:rPr>
          <w:rFonts w:ascii="Verdana" w:eastAsia="Calibri" w:hAnsi="Verdana" w:cs="Times New Roman"/>
          <w:lang w:val="es-ES_tradnl"/>
        </w:rPr>
      </w:pPr>
    </w:p>
    <w:p w14:paraId="70DA9F3A" w14:textId="77777777" w:rsidR="000C1853" w:rsidRPr="000C1853" w:rsidRDefault="000C1853" w:rsidP="000C1853">
      <w:pPr>
        <w:spacing w:after="0" w:line="240" w:lineRule="auto"/>
        <w:jc w:val="both"/>
        <w:rPr>
          <w:rFonts w:ascii="Verdana" w:eastAsia="Calibri" w:hAnsi="Verdana" w:cs="Times New Roman"/>
          <w:lang w:val="es-ES_tradnl"/>
        </w:rPr>
      </w:pPr>
    </w:p>
    <w:p w14:paraId="0E1B73FA" w14:textId="77777777" w:rsidR="000C1853" w:rsidRPr="000C1853" w:rsidRDefault="000C1853" w:rsidP="000C1853">
      <w:pPr>
        <w:spacing w:after="0" w:line="240" w:lineRule="auto"/>
        <w:jc w:val="both"/>
        <w:rPr>
          <w:rFonts w:ascii="Verdana" w:eastAsia="Calibri" w:hAnsi="Verdana" w:cs="Times New Roman"/>
          <w:lang w:val="es-ES_tradnl"/>
        </w:rPr>
      </w:pPr>
    </w:p>
    <w:p w14:paraId="48C5CD8D" w14:textId="100BB1AA" w:rsidR="00AA630F" w:rsidRDefault="00AA630F">
      <w:pPr>
        <w:rPr>
          <w:rFonts w:ascii="Verdana" w:eastAsia="Calibri" w:hAnsi="Verdana" w:cs="Times New Roman"/>
          <w:lang w:val="es-ES_tradnl"/>
        </w:rPr>
      </w:pPr>
      <w:r>
        <w:rPr>
          <w:rFonts w:ascii="Verdana" w:eastAsia="Calibri" w:hAnsi="Verdana" w:cs="Times New Roman"/>
          <w:lang w:val="es-ES_tradnl"/>
        </w:rPr>
        <w:br w:type="page"/>
      </w:r>
    </w:p>
    <w:p w14:paraId="0DE0243D" w14:textId="7630E4C0" w:rsidR="000C1853" w:rsidRPr="000C1853" w:rsidRDefault="000C1853" w:rsidP="000C1853">
      <w:pPr>
        <w:spacing w:after="0" w:line="240" w:lineRule="auto"/>
        <w:jc w:val="both"/>
        <w:rPr>
          <w:rFonts w:ascii="Verdana" w:eastAsia="Calibri" w:hAnsi="Verdana" w:cs="Arial"/>
          <w:lang w:val="es-ES_tradnl" w:eastAsia="es-ES"/>
        </w:rPr>
      </w:pPr>
      <w:r w:rsidRPr="30821638">
        <w:rPr>
          <w:rFonts w:ascii="Verdana" w:eastAsia="Verdana" w:hAnsi="Verdana" w:cs="Verdana"/>
        </w:rPr>
        <w:lastRenderedPageBreak/>
        <w:t>Bogotá D.C.,</w:t>
      </w:r>
      <w:r w:rsidR="008A5BD3">
        <w:rPr>
          <w:rFonts w:ascii="Verdana" w:eastAsia="Verdana" w:hAnsi="Verdana" w:cs="Verdana"/>
        </w:rPr>
        <w:t xml:space="preserve"> 07 </w:t>
      </w:r>
      <w:proofErr w:type="gramStart"/>
      <w:r w:rsidR="008A5BD3">
        <w:rPr>
          <w:rFonts w:ascii="Verdana" w:eastAsia="Verdana" w:hAnsi="Verdana" w:cs="Verdana"/>
        </w:rPr>
        <w:t>Mayo</w:t>
      </w:r>
      <w:proofErr w:type="gramEnd"/>
      <w:r w:rsidR="008A5BD3">
        <w:rPr>
          <w:rFonts w:ascii="Verdana" w:eastAsia="Verdana" w:hAnsi="Verdana" w:cs="Verdana"/>
        </w:rPr>
        <w:t xml:space="preserve"> 2026</w:t>
      </w:r>
    </w:p>
    <w:p w14:paraId="732420C8" w14:textId="2FB52D00" w:rsidR="00EC5568" w:rsidRPr="000C1853" w:rsidRDefault="008A5BD3" w:rsidP="008A5BD3">
      <w:pPr>
        <w:spacing w:after="0" w:line="240" w:lineRule="auto"/>
        <w:jc w:val="right"/>
        <w:rPr>
          <w:rFonts w:ascii="Verdana" w:eastAsia="Calibri" w:hAnsi="Verdana" w:cs="Arial"/>
          <w:lang w:val="es-ES_tradnl" w:eastAsia="es-ES"/>
        </w:rPr>
      </w:pPr>
      <w:r w:rsidRPr="008A5BD3">
        <w:rPr>
          <w:rFonts w:ascii="Verdana" w:eastAsia="Calibri" w:hAnsi="Verdana" w:cs="Arial"/>
          <w:lang w:val="es-ES_tradnl" w:eastAsia="es-ES"/>
        </w:rPr>
        <w:drawing>
          <wp:inline distT="0" distB="0" distL="0" distR="0" wp14:anchorId="548C201B" wp14:editId="1EB8941C">
            <wp:extent cx="2467319" cy="676369"/>
            <wp:effectExtent l="0" t="0" r="9525" b="9525"/>
            <wp:docPr id="3240678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067895" name=""/>
                    <pic:cNvPicPr/>
                  </pic:nvPicPr>
                  <pic:blipFill>
                    <a:blip r:embed="rId10"/>
                    <a:stretch>
                      <a:fillRect/>
                    </a:stretch>
                  </pic:blipFill>
                  <pic:spPr>
                    <a:xfrm>
                      <a:off x="0" y="0"/>
                      <a:ext cx="2467319" cy="676369"/>
                    </a:xfrm>
                    <a:prstGeom prst="rect">
                      <a:avLst/>
                    </a:prstGeom>
                  </pic:spPr>
                </pic:pic>
              </a:graphicData>
            </a:graphic>
          </wp:inline>
        </w:drawing>
      </w:r>
    </w:p>
    <w:p w14:paraId="4C388734" w14:textId="77777777" w:rsidR="000C1853" w:rsidRPr="000C1853" w:rsidRDefault="000C1853" w:rsidP="000C1853">
      <w:pPr>
        <w:spacing w:after="0" w:line="240" w:lineRule="auto"/>
        <w:jc w:val="both"/>
        <w:rPr>
          <w:rFonts w:ascii="Verdana" w:eastAsia="Calibri" w:hAnsi="Verdana" w:cs="Arial"/>
          <w:lang w:val="es-ES_tradnl" w:eastAsia="es-ES"/>
        </w:rPr>
      </w:pPr>
      <w:r w:rsidRPr="000C1853">
        <w:rPr>
          <w:rFonts w:ascii="Verdana" w:eastAsia="Calibri" w:hAnsi="Verdana" w:cs="Arial"/>
          <w:lang w:val="es-ES_tradnl" w:eastAsia="es-ES"/>
        </w:rPr>
        <w:t>Señor</w:t>
      </w:r>
    </w:p>
    <w:p w14:paraId="2FA7C17D" w14:textId="77777777" w:rsidR="000C1853" w:rsidRPr="000C1853" w:rsidRDefault="000C1853" w:rsidP="000C1853">
      <w:pPr>
        <w:spacing w:after="0" w:line="240" w:lineRule="auto"/>
        <w:rPr>
          <w:rFonts w:ascii="Verdana" w:eastAsia="Calibri" w:hAnsi="Verdana" w:cs="Arial"/>
          <w:b/>
          <w:bCs/>
          <w:lang w:val="es-ES" w:eastAsia="es-ES"/>
        </w:rPr>
      </w:pPr>
      <w:r w:rsidRPr="000C1853">
        <w:rPr>
          <w:rFonts w:ascii="Verdana" w:eastAsia="Calibri" w:hAnsi="Verdana" w:cs="Arial"/>
          <w:b/>
          <w:bCs/>
          <w:lang w:val="es-ES" w:eastAsia="es-ES"/>
        </w:rPr>
        <w:t>Juan Felipe Bonilla Quintana</w:t>
      </w:r>
    </w:p>
    <w:p w14:paraId="51B6ABF4" w14:textId="77777777" w:rsidR="000C1853" w:rsidRPr="000C1853" w:rsidRDefault="000C1853" w:rsidP="000C1853">
      <w:pPr>
        <w:spacing w:after="0" w:line="240" w:lineRule="auto"/>
        <w:rPr>
          <w:rFonts w:ascii="Verdana" w:eastAsia="Calibri" w:hAnsi="Verdana" w:cs="Arial"/>
          <w:lang w:val="es-ES_tradnl" w:eastAsia="es-ES"/>
        </w:rPr>
      </w:pPr>
      <w:r w:rsidRPr="000C1853">
        <w:rPr>
          <w:rFonts w:ascii="Verdana" w:eastAsia="Calibri" w:hAnsi="Verdana" w:cs="Arial"/>
          <w:lang w:val="es-ES_tradnl" w:eastAsia="es-ES"/>
        </w:rPr>
        <w:t>Popayán, Cauca</w:t>
      </w:r>
    </w:p>
    <w:p w14:paraId="67EF9DC8" w14:textId="77777777" w:rsidR="000C1853" w:rsidRPr="000C1853" w:rsidRDefault="000C1853" w:rsidP="000C1853">
      <w:pPr>
        <w:spacing w:after="0" w:line="240" w:lineRule="auto"/>
        <w:rPr>
          <w:rFonts w:ascii="Verdana" w:eastAsia="Calibri" w:hAnsi="Verdana" w:cs="Arial"/>
          <w:b/>
          <w:bCs/>
          <w:lang w:val="es-ES_tradnl" w:eastAsia="es-ES_tradnl"/>
        </w:rPr>
      </w:pPr>
    </w:p>
    <w:p w14:paraId="6E85024E" w14:textId="77777777" w:rsidR="000C1853" w:rsidRPr="000C1853" w:rsidRDefault="000C1853" w:rsidP="000C185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C1853" w:rsidRPr="000C1853" w14:paraId="4FF24364" w14:textId="77777777" w:rsidTr="00153392">
        <w:trPr>
          <w:trHeight w:val="884"/>
        </w:trPr>
        <w:tc>
          <w:tcPr>
            <w:tcW w:w="2689" w:type="dxa"/>
          </w:tcPr>
          <w:p w14:paraId="7FB665D0" w14:textId="77777777" w:rsidR="000C1853" w:rsidRPr="000C1853" w:rsidRDefault="000C1853" w:rsidP="000C1853">
            <w:pPr>
              <w:jc w:val="both"/>
              <w:rPr>
                <w:rFonts w:ascii="Verdana" w:eastAsia="Calibri" w:hAnsi="Verdana" w:cs="Arial"/>
                <w:b/>
                <w:bCs/>
                <w:lang w:val="es-ES_tradnl" w:eastAsia="es-ES_tradnl"/>
              </w:rPr>
            </w:pPr>
          </w:p>
        </w:tc>
        <w:tc>
          <w:tcPr>
            <w:tcW w:w="6100" w:type="dxa"/>
          </w:tcPr>
          <w:p w14:paraId="136CE9F5" w14:textId="77777777" w:rsidR="000C1853" w:rsidRPr="000C1853" w:rsidRDefault="000C1853" w:rsidP="000C1853">
            <w:pPr>
              <w:jc w:val="both"/>
              <w:rPr>
                <w:rFonts w:ascii="Verdana" w:eastAsia="Calibri" w:hAnsi="Verdana" w:cs="Arial"/>
                <w:b/>
                <w:bCs/>
                <w:lang w:val="es-ES_tradnl" w:eastAsia="es-ES"/>
              </w:rPr>
            </w:pPr>
            <w:r w:rsidRPr="000C1853">
              <w:rPr>
                <w:rFonts w:ascii="Verdana" w:eastAsia="Calibri" w:hAnsi="Verdana" w:cs="Arial"/>
                <w:b/>
                <w:bCs/>
                <w:lang w:val="es-ES_tradnl" w:eastAsia="es-ES"/>
              </w:rPr>
              <w:t>Concepto C – 519 de 2026</w:t>
            </w:r>
          </w:p>
          <w:p w14:paraId="54580630" w14:textId="77777777" w:rsidR="000C1853" w:rsidRPr="000C1853" w:rsidRDefault="000C1853" w:rsidP="000C1853">
            <w:pPr>
              <w:tabs>
                <w:tab w:val="left" w:pos="1137"/>
              </w:tabs>
              <w:rPr>
                <w:rFonts w:ascii="Verdana" w:eastAsia="Calibri" w:hAnsi="Verdana" w:cs="Arial"/>
                <w:lang w:val="es-ES_tradnl" w:eastAsia="es-ES"/>
              </w:rPr>
            </w:pPr>
            <w:r w:rsidRPr="000C1853">
              <w:rPr>
                <w:rFonts w:ascii="Verdana" w:eastAsia="Calibri" w:hAnsi="Verdana" w:cs="Arial"/>
                <w:lang w:val="es-ES_tradnl" w:eastAsia="es-ES"/>
              </w:rPr>
              <w:tab/>
            </w:r>
          </w:p>
        </w:tc>
      </w:tr>
      <w:tr w:rsidR="000C1853" w:rsidRPr="000C1853" w14:paraId="4D52357A" w14:textId="77777777" w:rsidTr="00153392">
        <w:trPr>
          <w:trHeight w:val="884"/>
        </w:trPr>
        <w:tc>
          <w:tcPr>
            <w:tcW w:w="2689" w:type="dxa"/>
          </w:tcPr>
          <w:p w14:paraId="1C103902" w14:textId="77777777" w:rsidR="000C1853" w:rsidRPr="000C1853" w:rsidRDefault="000C1853" w:rsidP="000C1853">
            <w:pPr>
              <w:jc w:val="both"/>
              <w:rPr>
                <w:rFonts w:ascii="Verdana" w:eastAsia="Calibri" w:hAnsi="Verdana" w:cs="Arial"/>
                <w:lang w:val="es-ES_tradnl" w:eastAsia="es-ES_tradnl"/>
              </w:rPr>
            </w:pPr>
            <w:r w:rsidRPr="000C1853">
              <w:rPr>
                <w:rFonts w:ascii="Verdana" w:eastAsia="Calibri" w:hAnsi="Verdana" w:cs="Arial"/>
                <w:b/>
                <w:lang w:val="es-ES_tradnl" w:eastAsia="es-ES_tradnl"/>
              </w:rPr>
              <w:t>Temas:</w:t>
            </w:r>
            <w:r w:rsidRPr="000C1853">
              <w:rPr>
                <w:rFonts w:ascii="Verdana" w:eastAsia="Calibri" w:hAnsi="Verdana" w:cs="Arial"/>
                <w:lang w:val="es-ES_tradnl" w:eastAsia="es-ES_tradnl"/>
              </w:rPr>
              <w:t xml:space="preserve">                   </w:t>
            </w:r>
          </w:p>
        </w:tc>
        <w:tc>
          <w:tcPr>
            <w:tcW w:w="6100" w:type="dxa"/>
          </w:tcPr>
          <w:p w14:paraId="3567C7DC" w14:textId="77777777" w:rsidR="000C1853" w:rsidRPr="000C1853" w:rsidRDefault="000C1853" w:rsidP="000C1853">
            <w:pPr>
              <w:spacing w:line="276" w:lineRule="auto"/>
              <w:jc w:val="both"/>
              <w:rPr>
                <w:rFonts w:ascii="Verdana" w:eastAsia="Geomanist Light" w:hAnsi="Verdana" w:cs="Arial"/>
                <w:bCs/>
                <w:lang w:val="es-ES_tradnl"/>
              </w:rPr>
            </w:pPr>
            <w:r w:rsidRPr="000C1853">
              <w:rPr>
                <w:rFonts w:ascii="Verdana" w:eastAsia="Calibri" w:hAnsi="Verdana" w:cs="Arial"/>
                <w:bCs/>
                <w:lang w:val="es-ES" w:eastAsia="es-ES"/>
              </w:rPr>
              <w:t>SUBSANABILIDAD – Aplicación – R</w:t>
            </w:r>
            <w:r w:rsidRPr="000C1853">
              <w:rPr>
                <w:rFonts w:ascii="Verdana" w:eastAsia="Calibri" w:hAnsi="Verdana" w:cs="Times New Roman"/>
                <w:bCs/>
                <w:lang w:val="es-ES" w:eastAsia="es-ES"/>
              </w:rPr>
              <w:t>egla general</w:t>
            </w:r>
            <w:r w:rsidRPr="000C1853">
              <w:rPr>
                <w:rFonts w:ascii="Verdana" w:eastAsia="Calibri" w:hAnsi="Verdana" w:cs="Arial"/>
                <w:bCs/>
                <w:lang w:val="es-ES" w:eastAsia="es-ES"/>
              </w:rPr>
              <w:t xml:space="preserve"> – Excepciones / SUBSANABILIDAD – Ley 1882 de 2018 / </w:t>
            </w:r>
            <w:r w:rsidRPr="000C1853">
              <w:rPr>
                <w:rFonts w:ascii="Verdana" w:eastAsia="Calibri" w:hAnsi="Verdana" w:cs="Arial"/>
                <w:bCs/>
                <w:color w:val="000000"/>
              </w:rPr>
              <w:t xml:space="preserve">SUBSANABILIDAD – Circunstancias posteriores – Cierre del proceso – Prueba / </w:t>
            </w:r>
            <w:r w:rsidRPr="000C1853">
              <w:rPr>
                <w:rFonts w:ascii="Verdana" w:eastAsia="Geomanist Light" w:hAnsi="Verdana" w:cs="Arial"/>
                <w:bCs/>
                <w:lang w:val="es-ES_tradnl"/>
              </w:rPr>
              <w:t>SUBSANABILIDAD – Oportunidad – Informe de evaluación – Publicación – Documentos tipo de infraestructura de transporte</w:t>
            </w:r>
          </w:p>
          <w:p w14:paraId="696B1D5C" w14:textId="77777777" w:rsidR="000C1853" w:rsidRPr="000C1853" w:rsidRDefault="000C1853" w:rsidP="000C1853">
            <w:pPr>
              <w:spacing w:line="276" w:lineRule="auto"/>
              <w:jc w:val="both"/>
              <w:rPr>
                <w:rFonts w:ascii="Verdana" w:eastAsia="Calibri" w:hAnsi="Verdana" w:cs="Arial"/>
                <w:bCs/>
                <w:lang w:val="es-ES_tradnl" w:eastAsia="es-ES"/>
              </w:rPr>
            </w:pPr>
          </w:p>
        </w:tc>
      </w:tr>
      <w:tr w:rsidR="000C1853" w:rsidRPr="000C1853" w14:paraId="403FF9D9" w14:textId="77777777" w:rsidTr="00153392">
        <w:tc>
          <w:tcPr>
            <w:tcW w:w="2689" w:type="dxa"/>
          </w:tcPr>
          <w:p w14:paraId="65DA681A" w14:textId="77777777" w:rsidR="000C1853" w:rsidRPr="000C1853" w:rsidRDefault="000C1853" w:rsidP="000C1853">
            <w:pPr>
              <w:jc w:val="both"/>
              <w:rPr>
                <w:rFonts w:ascii="Verdana" w:eastAsia="Calibri" w:hAnsi="Verdana" w:cs="Arial"/>
                <w:b/>
                <w:lang w:val="es-ES_tradnl" w:eastAsia="es-ES_tradnl"/>
              </w:rPr>
            </w:pPr>
            <w:r w:rsidRPr="000C1853">
              <w:rPr>
                <w:rFonts w:ascii="Verdana" w:eastAsia="Calibri" w:hAnsi="Verdana" w:cs="Arial"/>
                <w:b/>
                <w:lang w:val="es-ES_tradnl" w:eastAsia="es-ES_tradnl"/>
              </w:rPr>
              <w:t>Radicación:</w:t>
            </w:r>
            <w:r w:rsidRPr="000C1853">
              <w:rPr>
                <w:rFonts w:ascii="Verdana" w:eastAsia="Calibri" w:hAnsi="Verdana" w:cs="Arial"/>
                <w:lang w:val="es-ES_tradnl" w:eastAsia="es-ES_tradnl"/>
              </w:rPr>
              <w:t xml:space="preserve">               </w:t>
            </w:r>
          </w:p>
        </w:tc>
        <w:tc>
          <w:tcPr>
            <w:tcW w:w="6100" w:type="dxa"/>
          </w:tcPr>
          <w:p w14:paraId="06D8A509" w14:textId="77777777" w:rsidR="000C1853" w:rsidRPr="000C1853" w:rsidRDefault="000C1853" w:rsidP="000C1853">
            <w:pPr>
              <w:jc w:val="both"/>
              <w:rPr>
                <w:rFonts w:ascii="Verdana" w:eastAsia="Calibri" w:hAnsi="Verdana" w:cs="Arial"/>
                <w:lang w:val="es-ES_tradnl" w:eastAsia="es-ES_tradnl"/>
              </w:rPr>
            </w:pPr>
            <w:r w:rsidRPr="000C1853">
              <w:rPr>
                <w:rFonts w:ascii="Verdana" w:eastAsia="Calibri" w:hAnsi="Verdana" w:cs="Arial"/>
                <w:lang w:val="es-ES_tradnl" w:eastAsia="es-ES_tradnl"/>
              </w:rPr>
              <w:t>Respuesta a consulta con radicado No. 1_2026_03_27_004320</w:t>
            </w:r>
          </w:p>
        </w:tc>
      </w:tr>
    </w:tbl>
    <w:p w14:paraId="7160E0C8" w14:textId="77777777" w:rsidR="000C1853" w:rsidRPr="000C1853" w:rsidRDefault="000C1853" w:rsidP="000C1853">
      <w:pPr>
        <w:spacing w:after="0" w:line="240" w:lineRule="auto"/>
        <w:jc w:val="both"/>
        <w:rPr>
          <w:rFonts w:ascii="Verdana" w:eastAsia="Calibri" w:hAnsi="Verdana" w:cs="Arial"/>
          <w:lang w:val="es-ES_tradnl" w:eastAsia="es-ES_tradnl"/>
        </w:rPr>
      </w:pPr>
    </w:p>
    <w:p w14:paraId="2C9C4887" w14:textId="77777777" w:rsidR="000C1853" w:rsidRPr="000C1853" w:rsidRDefault="000C1853" w:rsidP="000C1853">
      <w:pPr>
        <w:spacing w:after="0" w:line="240" w:lineRule="auto"/>
        <w:jc w:val="both"/>
        <w:rPr>
          <w:rFonts w:ascii="Verdana" w:eastAsia="Calibri" w:hAnsi="Verdana" w:cs="Arial"/>
          <w:lang w:val="es-ES_tradnl" w:eastAsia="es-ES_tradnl"/>
        </w:rPr>
      </w:pPr>
    </w:p>
    <w:p w14:paraId="02971DDE" w14:textId="77777777" w:rsidR="000C1853" w:rsidRPr="000C1853" w:rsidRDefault="000C1853" w:rsidP="000C1853">
      <w:pPr>
        <w:spacing w:after="0" w:line="276" w:lineRule="auto"/>
        <w:jc w:val="both"/>
        <w:rPr>
          <w:rFonts w:ascii="Verdana" w:eastAsia="Calibri" w:hAnsi="Verdana" w:cs="Arial"/>
          <w:lang w:val="es-ES" w:eastAsia="es-ES"/>
        </w:rPr>
      </w:pPr>
      <w:r w:rsidRPr="000C1853">
        <w:rPr>
          <w:rFonts w:ascii="Verdana" w:eastAsia="Calibri" w:hAnsi="Verdana" w:cs="Arial"/>
          <w:lang w:val="es-ES" w:eastAsia="es-ES"/>
        </w:rPr>
        <w:t xml:space="preserve">Estimado señor Bonilla Quintana: </w:t>
      </w:r>
    </w:p>
    <w:p w14:paraId="7A617150" w14:textId="77777777" w:rsidR="000C1853" w:rsidRPr="000C1853" w:rsidRDefault="000C1853" w:rsidP="000C1853">
      <w:pPr>
        <w:tabs>
          <w:tab w:val="left" w:pos="3768"/>
        </w:tabs>
        <w:spacing w:after="0" w:line="276" w:lineRule="auto"/>
        <w:jc w:val="both"/>
        <w:rPr>
          <w:rFonts w:ascii="Verdana" w:eastAsia="Calibri" w:hAnsi="Verdana" w:cs="Arial"/>
          <w:lang w:val="es-ES_tradnl" w:eastAsia="es-ES"/>
        </w:rPr>
      </w:pPr>
      <w:r w:rsidRPr="000C1853">
        <w:rPr>
          <w:rFonts w:ascii="Verdana" w:eastAsia="Calibri" w:hAnsi="Verdana" w:cs="Arial"/>
          <w:lang w:val="es-ES_tradnl" w:eastAsia="es-ES"/>
        </w:rPr>
        <w:tab/>
      </w:r>
    </w:p>
    <w:p w14:paraId="0744F597" w14:textId="77777777" w:rsidR="000C1853" w:rsidRPr="000C1853" w:rsidRDefault="000C1853" w:rsidP="000C1853">
      <w:pPr>
        <w:snapToGrid w:val="0"/>
        <w:spacing w:after="0" w:line="276" w:lineRule="auto"/>
        <w:jc w:val="both"/>
        <w:rPr>
          <w:rFonts w:ascii="Verdana" w:eastAsia="Calibri" w:hAnsi="Verdana" w:cs="Arial"/>
          <w:lang w:val="es-ES_tradnl" w:eastAsia="es-ES"/>
        </w:rPr>
      </w:pPr>
      <w:r w:rsidRPr="000C1853">
        <w:rPr>
          <w:rFonts w:ascii="Verdana" w:eastAsia="Calibri" w:hAnsi="Verdana" w:cs="Arial"/>
          <w:lang w:val="es-ES_tradnl" w:eastAsia="es-ES"/>
        </w:rPr>
        <w:t>En ejercicio de la competencia otorgada por los artículos 3, numeral 5º, y 11, numeral 8º, del Decreto Ley 4170 de 2011,</w:t>
      </w:r>
      <w:r w:rsidRPr="000C1853">
        <w:rPr>
          <w:rFonts w:ascii="Verdana" w:eastAsia="Arial MT" w:hAnsi="Verdana" w:cs="Arial MT"/>
          <w:lang w:val="es-ES_tradnl" w:eastAsia="es-ES"/>
        </w:rPr>
        <w:t xml:space="preserve"> </w:t>
      </w:r>
      <w:r w:rsidRPr="000C1853">
        <w:rPr>
          <w:rFonts w:ascii="Verdana" w:eastAsia="Calibri" w:hAnsi="Verdana" w:cs="Arial"/>
          <w:lang w:val="es-ES_tradnl"/>
        </w:rPr>
        <w:t xml:space="preserve">así como lo establecido en la Resolución No. 469 del 2025 expedida por esta Entidad, </w:t>
      </w:r>
      <w:r w:rsidRPr="000C1853">
        <w:rPr>
          <w:rFonts w:ascii="Verdana" w:eastAsia="Calibri" w:hAnsi="Verdana" w:cs="Arial"/>
          <w:lang w:val="es-ES_tradnl" w:eastAsia="es-ES"/>
        </w:rPr>
        <w:t>la Agencia Nacional de Contratación Pública –Colombia Compra Eficiente– responde su solicitud de consulta de fecha 27 de marzo de 2026. En relación con los documentos tipo, usted manifiesta lo siguiente:</w:t>
      </w:r>
    </w:p>
    <w:p w14:paraId="7B8E5F12" w14:textId="77777777" w:rsidR="000C1853" w:rsidRPr="000C1853" w:rsidRDefault="000C1853" w:rsidP="000C1853">
      <w:pPr>
        <w:tabs>
          <w:tab w:val="left" w:pos="142"/>
          <w:tab w:val="left" w:pos="1275"/>
        </w:tabs>
        <w:snapToGrid w:val="0"/>
        <w:spacing w:after="0" w:line="276" w:lineRule="auto"/>
        <w:jc w:val="both"/>
        <w:rPr>
          <w:rFonts w:ascii="Verdana" w:eastAsia="Century Gothic" w:hAnsi="Verdana" w:cs="Century Gothic"/>
          <w:b/>
          <w:bCs/>
          <w:lang w:val="es-ES_tradnl"/>
        </w:rPr>
      </w:pPr>
      <w:r w:rsidRPr="000C1853">
        <w:rPr>
          <w:rFonts w:ascii="Verdana" w:eastAsia="Century Gothic" w:hAnsi="Verdana" w:cs="Century Gothic"/>
          <w:b/>
          <w:bCs/>
          <w:lang w:val="es-ES_tradnl"/>
        </w:rPr>
        <w:tab/>
      </w:r>
      <w:r w:rsidRPr="000C1853">
        <w:rPr>
          <w:rFonts w:ascii="Verdana" w:eastAsia="Century Gothic" w:hAnsi="Verdana" w:cs="Century Gothic"/>
          <w:b/>
          <w:bCs/>
          <w:lang w:val="es-ES_tradnl"/>
        </w:rPr>
        <w:tab/>
      </w:r>
    </w:p>
    <w:p w14:paraId="1FE21EBE" w14:textId="77777777" w:rsidR="000C1853" w:rsidRPr="000C1853" w:rsidRDefault="000C1853" w:rsidP="000C1853">
      <w:pPr>
        <w:snapToGrid w:val="0"/>
        <w:spacing w:after="0" w:line="240" w:lineRule="auto"/>
        <w:ind w:left="720" w:right="709"/>
        <w:jc w:val="both"/>
        <w:rPr>
          <w:rFonts w:ascii="Verdana" w:eastAsia="Century Gothic" w:hAnsi="Verdana" w:cs="Century Gothic"/>
          <w:sz w:val="21"/>
          <w:szCs w:val="21"/>
          <w:lang w:val="es-ES"/>
        </w:rPr>
      </w:pPr>
      <w:r w:rsidRPr="000C1853">
        <w:rPr>
          <w:rFonts w:ascii="Verdana" w:eastAsia="Century Gothic" w:hAnsi="Verdana" w:cs="Century Gothic"/>
          <w:sz w:val="21"/>
          <w:szCs w:val="21"/>
          <w:lang w:val="es-ES"/>
        </w:rPr>
        <w:t>“Los documentos base de pliegos tipo de licitaciones públicas mencionan que la entidad contratante deberá publicar el informe de evaluación a más tardar el día antes de la audiencia efectiva de adjudicación.</w:t>
      </w:r>
    </w:p>
    <w:p w14:paraId="40C21366" w14:textId="77777777" w:rsidR="000C1853" w:rsidRPr="000C1853" w:rsidRDefault="000C1853" w:rsidP="000C1853">
      <w:pPr>
        <w:snapToGrid w:val="0"/>
        <w:spacing w:after="0" w:line="240" w:lineRule="auto"/>
        <w:ind w:left="720" w:right="709"/>
        <w:jc w:val="both"/>
        <w:rPr>
          <w:rFonts w:ascii="Verdana" w:eastAsia="Century Gothic" w:hAnsi="Verdana" w:cs="Century Gothic"/>
          <w:sz w:val="21"/>
          <w:szCs w:val="21"/>
          <w:lang w:val="es-ES"/>
        </w:rPr>
      </w:pPr>
      <w:r w:rsidRPr="000C1853">
        <w:rPr>
          <w:rFonts w:ascii="Verdana" w:eastAsia="Century Gothic" w:hAnsi="Verdana" w:cs="Century Gothic"/>
          <w:sz w:val="21"/>
          <w:szCs w:val="21"/>
          <w:lang w:val="es-ES"/>
        </w:rPr>
        <w:lastRenderedPageBreak/>
        <w:t xml:space="preserve">En cuanto a la respuesta formal a observaciones presentadas, ¿Estas deberán ser cargadas de la misma forma a más tardar el día antes de la </w:t>
      </w:r>
      <w:proofErr w:type="gramStart"/>
      <w:r w:rsidRPr="000C1853">
        <w:rPr>
          <w:rFonts w:ascii="Verdana" w:eastAsia="Century Gothic" w:hAnsi="Verdana" w:cs="Century Gothic"/>
          <w:sz w:val="21"/>
          <w:szCs w:val="21"/>
          <w:lang w:val="es-ES"/>
        </w:rPr>
        <w:t>audiencia?.</w:t>
      </w:r>
      <w:proofErr w:type="gramEnd"/>
    </w:p>
    <w:p w14:paraId="706F089E" w14:textId="77777777" w:rsidR="000C1853" w:rsidRPr="000C1853" w:rsidRDefault="000C1853" w:rsidP="000C1853">
      <w:pPr>
        <w:snapToGrid w:val="0"/>
        <w:spacing w:after="0" w:line="240" w:lineRule="auto"/>
        <w:ind w:left="720" w:right="709"/>
        <w:jc w:val="both"/>
        <w:rPr>
          <w:rFonts w:ascii="Verdana" w:eastAsia="Century Gothic" w:hAnsi="Verdana" w:cs="Century Gothic"/>
          <w:sz w:val="21"/>
          <w:szCs w:val="21"/>
          <w:lang w:val="es-ES"/>
        </w:rPr>
      </w:pPr>
      <w:r w:rsidRPr="000C1853">
        <w:rPr>
          <w:rFonts w:ascii="Verdana" w:eastAsia="Century Gothic" w:hAnsi="Verdana" w:cs="Century Gothic"/>
          <w:sz w:val="21"/>
          <w:szCs w:val="21"/>
          <w:lang w:val="es-ES"/>
        </w:rPr>
        <w:t xml:space="preserve">Se considera que las subsanaciones de un proponente hacen parte de su propuesta ya que complementan o reemplazan documentos iniciales. Por lo </w:t>
      </w:r>
      <w:proofErr w:type="gramStart"/>
      <w:r w:rsidRPr="000C1853">
        <w:rPr>
          <w:rFonts w:ascii="Verdana" w:eastAsia="Century Gothic" w:hAnsi="Verdana" w:cs="Century Gothic"/>
          <w:sz w:val="21"/>
          <w:szCs w:val="21"/>
          <w:lang w:val="es-ES"/>
        </w:rPr>
        <w:t>tanto</w:t>
      </w:r>
      <w:proofErr w:type="gramEnd"/>
      <w:r w:rsidRPr="000C1853">
        <w:rPr>
          <w:rFonts w:ascii="Verdana" w:eastAsia="Century Gothic" w:hAnsi="Verdana" w:cs="Century Gothic"/>
          <w:sz w:val="21"/>
          <w:szCs w:val="21"/>
          <w:lang w:val="es-ES"/>
        </w:rPr>
        <w:t xml:space="preserve"> podría entenderse que estas deben ser públicas y tendrán también cinco (5) días hábiles para su revisión y presentar posibles observaciones. A pesar de lo anterior, esto no se encuentra claro en lo establecido en los pliegos de condiciones, por lo cual se solicita aclarar ¿En </w:t>
      </w:r>
      <w:proofErr w:type="spellStart"/>
      <w:r w:rsidRPr="000C1853">
        <w:rPr>
          <w:rFonts w:ascii="Verdana" w:eastAsia="Century Gothic" w:hAnsi="Verdana" w:cs="Century Gothic"/>
          <w:sz w:val="21"/>
          <w:szCs w:val="21"/>
          <w:lang w:val="es-ES"/>
        </w:rPr>
        <w:t>que</w:t>
      </w:r>
      <w:proofErr w:type="spellEnd"/>
      <w:r w:rsidRPr="000C1853">
        <w:rPr>
          <w:rFonts w:ascii="Verdana" w:eastAsia="Century Gothic" w:hAnsi="Verdana" w:cs="Century Gothic"/>
          <w:sz w:val="21"/>
          <w:szCs w:val="21"/>
          <w:lang w:val="es-ES"/>
        </w:rPr>
        <w:t xml:space="preserve"> momento deben ser publicadas las subsanaciones y </w:t>
      </w:r>
      <w:proofErr w:type="spellStart"/>
      <w:r w:rsidRPr="000C1853">
        <w:rPr>
          <w:rFonts w:ascii="Verdana" w:eastAsia="Century Gothic" w:hAnsi="Verdana" w:cs="Century Gothic"/>
          <w:sz w:val="21"/>
          <w:szCs w:val="21"/>
          <w:lang w:val="es-ES"/>
        </w:rPr>
        <w:t>cual</w:t>
      </w:r>
      <w:proofErr w:type="spellEnd"/>
      <w:r w:rsidRPr="000C1853">
        <w:rPr>
          <w:rFonts w:ascii="Verdana" w:eastAsia="Century Gothic" w:hAnsi="Verdana" w:cs="Century Gothic"/>
          <w:sz w:val="21"/>
          <w:szCs w:val="21"/>
          <w:lang w:val="es-ES"/>
        </w:rPr>
        <w:t xml:space="preserve"> es el plazo para su respectiva revisión por parte de los proponentes para presentar observaciones previo a la apertura</w:t>
      </w:r>
    </w:p>
    <w:p w14:paraId="6EAA8A0F" w14:textId="70A657AC" w:rsidR="000C1853" w:rsidRPr="000C1853" w:rsidRDefault="000C1853" w:rsidP="000C1853">
      <w:pPr>
        <w:snapToGrid w:val="0"/>
        <w:spacing w:after="0" w:line="240" w:lineRule="auto"/>
        <w:ind w:left="720" w:right="709"/>
        <w:jc w:val="both"/>
        <w:rPr>
          <w:rFonts w:ascii="Verdana" w:eastAsia="Century Gothic" w:hAnsi="Verdana" w:cs="Century Gothic"/>
          <w:sz w:val="21"/>
          <w:szCs w:val="21"/>
          <w:lang w:val="es-ES"/>
        </w:rPr>
      </w:pPr>
      <w:r w:rsidRPr="000C1853">
        <w:rPr>
          <w:rFonts w:ascii="Verdana" w:eastAsia="Century Gothic" w:hAnsi="Verdana" w:cs="Century Gothic"/>
          <w:sz w:val="21"/>
          <w:szCs w:val="21"/>
          <w:lang w:val="es-ES"/>
        </w:rPr>
        <w:t>de sobres?”</w:t>
      </w:r>
      <w:r w:rsidR="00EC5568">
        <w:rPr>
          <w:rFonts w:ascii="Verdana" w:eastAsia="Century Gothic" w:hAnsi="Verdana" w:cs="Century Gothic"/>
          <w:sz w:val="21"/>
          <w:szCs w:val="21"/>
          <w:lang w:val="es-ES"/>
        </w:rPr>
        <w:t xml:space="preserve"> [SIC]</w:t>
      </w:r>
    </w:p>
    <w:p w14:paraId="1F7F5A9C" w14:textId="77777777" w:rsidR="000C1853" w:rsidRPr="000C1853" w:rsidRDefault="000C1853" w:rsidP="000C1853">
      <w:pPr>
        <w:snapToGrid w:val="0"/>
        <w:spacing w:after="0" w:line="240" w:lineRule="auto"/>
        <w:ind w:left="720" w:right="709"/>
        <w:jc w:val="both"/>
        <w:rPr>
          <w:rFonts w:ascii="Verdana" w:eastAsia="Century Gothic" w:hAnsi="Verdana" w:cs="Century Gothic"/>
          <w:lang w:val="es-ES_tradnl"/>
        </w:rPr>
      </w:pPr>
    </w:p>
    <w:p w14:paraId="73C3E192" w14:textId="77777777" w:rsidR="000C1853" w:rsidRPr="000C1853" w:rsidRDefault="000C1853" w:rsidP="000C1853">
      <w:pPr>
        <w:spacing w:after="120" w:line="276" w:lineRule="auto"/>
        <w:ind w:firstLine="709"/>
        <w:jc w:val="both"/>
        <w:rPr>
          <w:rFonts w:ascii="Verdana" w:eastAsia="Calibri" w:hAnsi="Verdana" w:cs="Arial"/>
          <w:lang w:val="es-ES" w:eastAsia="es-ES"/>
        </w:rPr>
      </w:pPr>
      <w:r w:rsidRPr="000C185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C1853">
        <w:rPr>
          <w:rFonts w:ascii="Calibri" w:eastAsia="Calibri" w:hAnsi="Calibri" w:cs="Times New Roman"/>
        </w:rPr>
        <w:tab/>
      </w:r>
    </w:p>
    <w:p w14:paraId="3CB18225" w14:textId="77777777" w:rsidR="000C1853" w:rsidRPr="000C1853" w:rsidRDefault="000C1853" w:rsidP="000C1853">
      <w:pPr>
        <w:snapToGrid w:val="0"/>
        <w:spacing w:after="0" w:line="276" w:lineRule="auto"/>
        <w:ind w:firstLine="709"/>
        <w:jc w:val="both"/>
        <w:rPr>
          <w:rFonts w:ascii="Verdana" w:eastAsia="Calibri" w:hAnsi="Verdana" w:cs="Arial"/>
          <w:lang w:val="es-ES_tradnl" w:eastAsia="es-ES"/>
        </w:rPr>
      </w:pPr>
      <w:r w:rsidRPr="000C1853">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0DA92B2" w14:textId="77777777" w:rsidR="000C1853" w:rsidRPr="000C1853" w:rsidRDefault="000C1853" w:rsidP="000C1853">
      <w:pPr>
        <w:snapToGrid w:val="0"/>
        <w:spacing w:after="0" w:line="276" w:lineRule="auto"/>
        <w:ind w:firstLine="709"/>
        <w:jc w:val="both"/>
        <w:rPr>
          <w:rFonts w:ascii="Verdana" w:eastAsia="Calibri" w:hAnsi="Verdana" w:cs="Arial"/>
          <w:lang w:val="es-ES_tradnl" w:eastAsia="es-ES"/>
        </w:rPr>
      </w:pPr>
    </w:p>
    <w:p w14:paraId="5C3A748E" w14:textId="77777777" w:rsidR="000C1853" w:rsidRPr="000C1853" w:rsidRDefault="000C1853" w:rsidP="000C18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C1853">
        <w:rPr>
          <w:rFonts w:ascii="Verdana" w:eastAsia="Century Gothic" w:hAnsi="Verdana" w:cs="Century Gothic"/>
          <w:b/>
          <w:bCs/>
          <w:lang w:val="es-ES_tradnl"/>
        </w:rPr>
        <w:t>Problema planteado:</w:t>
      </w:r>
    </w:p>
    <w:p w14:paraId="499646C6" w14:textId="77777777" w:rsidR="000C1853" w:rsidRPr="000C1853" w:rsidRDefault="000C1853" w:rsidP="000C1853">
      <w:pPr>
        <w:tabs>
          <w:tab w:val="left" w:pos="426"/>
        </w:tabs>
        <w:snapToGrid w:val="0"/>
        <w:spacing w:after="0" w:line="276" w:lineRule="auto"/>
        <w:jc w:val="both"/>
        <w:rPr>
          <w:rFonts w:ascii="Verdana" w:eastAsia="Century Gothic" w:hAnsi="Verdana" w:cs="Century Gothic"/>
          <w:lang w:val="es-ES_tradnl"/>
        </w:rPr>
      </w:pPr>
    </w:p>
    <w:p w14:paraId="25260168" w14:textId="77777777" w:rsidR="000C1853" w:rsidRPr="000C1853" w:rsidRDefault="000C1853" w:rsidP="000C1853">
      <w:pPr>
        <w:snapToGrid w:val="0"/>
        <w:spacing w:after="0" w:line="276" w:lineRule="auto"/>
        <w:jc w:val="both"/>
        <w:rPr>
          <w:rFonts w:ascii="Verdana" w:eastAsia="Century Gothic" w:hAnsi="Verdana" w:cs="Century Gothic"/>
          <w:lang w:val="es-ES"/>
        </w:rPr>
      </w:pPr>
      <w:r w:rsidRPr="000C1853">
        <w:rPr>
          <w:rFonts w:ascii="Verdana" w:eastAsia="Century Gothic" w:hAnsi="Verdana" w:cs="Century Gothic"/>
          <w:lang w:val="es-ES"/>
        </w:rPr>
        <w:t xml:space="preserve">De acuerdo con el contenido de su solicitud, esta Agencia resolverá el siguiente problema jurídico: ¿cuál es el alcance de la regla de </w:t>
      </w:r>
      <w:proofErr w:type="spellStart"/>
      <w:r w:rsidRPr="000C1853">
        <w:rPr>
          <w:rFonts w:ascii="Verdana" w:eastAsia="Century Gothic" w:hAnsi="Verdana" w:cs="Century Gothic"/>
          <w:lang w:val="es-ES"/>
        </w:rPr>
        <w:t>subsanabilidad</w:t>
      </w:r>
      <w:proofErr w:type="spellEnd"/>
      <w:r w:rsidRPr="000C1853">
        <w:rPr>
          <w:rFonts w:ascii="Verdana" w:eastAsia="Century Gothic" w:hAnsi="Verdana" w:cs="Century Gothic"/>
          <w:lang w:val="es-ES"/>
        </w:rPr>
        <w:t xml:space="preserve"> de las ofertas, particularmente, en lo que respecta al plazo y revisión, en los </w:t>
      </w:r>
      <w:r w:rsidRPr="000C1853">
        <w:rPr>
          <w:rFonts w:ascii="Verdana" w:eastAsia="Century Gothic" w:hAnsi="Verdana" w:cs="Century Gothic"/>
          <w:lang w:val="es-ES"/>
        </w:rPr>
        <w:lastRenderedPageBreak/>
        <w:t>documentos tipo adoptados por Colombia Compra Eficiente para los procesos de licitación pública?</w:t>
      </w:r>
    </w:p>
    <w:p w14:paraId="3E10C6B4" w14:textId="77777777" w:rsidR="000C1853" w:rsidRPr="000C1853" w:rsidRDefault="000C1853" w:rsidP="000C1853">
      <w:pPr>
        <w:snapToGrid w:val="0"/>
        <w:spacing w:after="0" w:line="276" w:lineRule="auto"/>
        <w:jc w:val="both"/>
        <w:rPr>
          <w:rFonts w:ascii="Verdana" w:eastAsia="Century Gothic" w:hAnsi="Verdana" w:cs="Century Gothic"/>
          <w:lang w:val="es-ES_tradnl"/>
        </w:rPr>
      </w:pPr>
    </w:p>
    <w:p w14:paraId="24A3ABA7" w14:textId="77777777" w:rsidR="000C1853" w:rsidRPr="000C1853" w:rsidRDefault="000C1853" w:rsidP="000C18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C1853">
        <w:rPr>
          <w:rFonts w:ascii="Verdana" w:eastAsia="Century Gothic" w:hAnsi="Verdana" w:cs="Century Gothic"/>
          <w:b/>
          <w:bCs/>
          <w:lang w:val="es-ES_tradnl"/>
        </w:rPr>
        <w:t>Respuesta:</w:t>
      </w:r>
    </w:p>
    <w:p w14:paraId="35FCEB5A" w14:textId="77777777" w:rsidR="000C1853" w:rsidRPr="000C1853" w:rsidRDefault="000C1853" w:rsidP="000C1853">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C1853" w:rsidRPr="000C1853" w14:paraId="45B6B861" w14:textId="77777777" w:rsidTr="00153392">
        <w:tc>
          <w:tcPr>
            <w:tcW w:w="8828" w:type="dxa"/>
          </w:tcPr>
          <w:p w14:paraId="42DDB2B0" w14:textId="77777777" w:rsidR="000C1853" w:rsidRPr="000C1853" w:rsidRDefault="000C1853" w:rsidP="000C1853">
            <w:pPr>
              <w:spacing w:line="276" w:lineRule="auto"/>
              <w:jc w:val="both"/>
              <w:rPr>
                <w:rFonts w:ascii="Verdana" w:eastAsia="Calibri" w:hAnsi="Verdana" w:cs="Arial"/>
                <w:color w:val="000000"/>
              </w:rPr>
            </w:pPr>
            <w:r w:rsidRPr="000C1853">
              <w:rPr>
                <w:rFonts w:ascii="Verdana" w:eastAsia="Calibri" w:hAnsi="Verdana" w:cs="Arial"/>
                <w:color w:val="000000"/>
              </w:rPr>
              <w:t>En los documentos tipo, el numeral 1.6 del documento base de infraestructura de transporte</w:t>
            </w:r>
            <w:r w:rsidRPr="000C1853">
              <w:rPr>
                <w:rFonts w:ascii="Verdana" w:eastAsia="Calibri" w:hAnsi="Verdana" w:cs="Arial"/>
                <w:color w:val="000000"/>
                <w:vertAlign w:val="superscript"/>
              </w:rPr>
              <w:footnoteReference w:id="1"/>
            </w:r>
            <w:r w:rsidRPr="000C1853">
              <w:rPr>
                <w:rFonts w:ascii="Verdana" w:eastAsia="Calibri" w:hAnsi="Verdana" w:cs="Arial"/>
                <w:color w:val="000000"/>
              </w:rPr>
              <w:t xml:space="preserve"> contempla las reglas de </w:t>
            </w:r>
            <w:proofErr w:type="spellStart"/>
            <w:r w:rsidRPr="000C1853">
              <w:rPr>
                <w:rFonts w:ascii="Verdana" w:eastAsia="Calibri" w:hAnsi="Verdana" w:cs="Arial"/>
                <w:color w:val="000000"/>
              </w:rPr>
              <w:t>subsanabilidad</w:t>
            </w:r>
            <w:proofErr w:type="spellEnd"/>
            <w:r w:rsidRPr="000C1853">
              <w:rPr>
                <w:rFonts w:ascii="Verdana" w:eastAsia="Calibri" w:hAnsi="Verdana" w:cs="Arial"/>
                <w:color w:val="000000"/>
              </w:rPr>
              <w:t xml:space="preserve"> de las ofertas, en los siguientes términos:</w:t>
            </w:r>
          </w:p>
          <w:p w14:paraId="4E1CDF5B" w14:textId="77777777" w:rsidR="000C1853" w:rsidRPr="000C1853" w:rsidRDefault="000C1853" w:rsidP="000C1853">
            <w:pPr>
              <w:spacing w:line="276" w:lineRule="auto"/>
              <w:jc w:val="both"/>
              <w:rPr>
                <w:rFonts w:ascii="Verdana" w:eastAsia="Calibri" w:hAnsi="Verdana" w:cs="Arial"/>
                <w:color w:val="000000"/>
              </w:rPr>
            </w:pPr>
          </w:p>
          <w:p w14:paraId="44B18298" w14:textId="77777777" w:rsidR="000C1853" w:rsidRPr="000C1853" w:rsidRDefault="000C1853" w:rsidP="000C1853">
            <w:pPr>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w:t>
            </w:r>
          </w:p>
          <w:p w14:paraId="68EBE792" w14:textId="77777777" w:rsidR="000C1853" w:rsidRPr="000C1853" w:rsidRDefault="000C1853" w:rsidP="000C1853">
            <w:pPr>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 xml:space="preserve">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 </w:t>
            </w:r>
          </w:p>
          <w:p w14:paraId="3D1FAA86" w14:textId="77777777" w:rsidR="000C1853" w:rsidRPr="000C1853" w:rsidRDefault="000C1853" w:rsidP="000C1853">
            <w:pPr>
              <w:ind w:left="709" w:right="709"/>
              <w:jc w:val="both"/>
              <w:rPr>
                <w:rFonts w:ascii="Verdana" w:eastAsia="Calibri" w:hAnsi="Verdana" w:cs="Arial"/>
                <w:color w:val="000000"/>
                <w:sz w:val="21"/>
                <w:szCs w:val="21"/>
              </w:rPr>
            </w:pPr>
          </w:p>
          <w:p w14:paraId="02DDB265" w14:textId="77777777" w:rsidR="000C1853" w:rsidRPr="000C1853" w:rsidRDefault="000C1853" w:rsidP="000C1853">
            <w:pPr>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En caso de que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 con el fin de que los allegue. En caso de que sea necesario, la Entidad ajustará el Cronograma. Lo aquí descrito también aplicará cuando la observación a la oferta provenga de otro Proponente y se hubiere realizado en el traslado del informe de evaluación.</w:t>
            </w:r>
          </w:p>
          <w:p w14:paraId="0E118CC2" w14:textId="77777777" w:rsidR="000C1853" w:rsidRPr="000C1853" w:rsidRDefault="000C1853" w:rsidP="000C1853">
            <w:pPr>
              <w:ind w:left="709" w:right="709"/>
              <w:jc w:val="both"/>
              <w:rPr>
                <w:rFonts w:ascii="Verdana" w:eastAsia="Calibri" w:hAnsi="Verdana" w:cs="Arial"/>
                <w:color w:val="000000"/>
                <w:sz w:val="21"/>
                <w:szCs w:val="21"/>
              </w:rPr>
            </w:pPr>
          </w:p>
          <w:p w14:paraId="5251AD91" w14:textId="77777777" w:rsidR="000C1853" w:rsidRPr="000C1853" w:rsidRDefault="000C1853" w:rsidP="000C1853">
            <w:pPr>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 xml:space="preserve">En los procesos adelantados en el SECOP I, las subsanaciones, explicaciones y aclaraciones se presentarán por cualquier medio: en </w:t>
            </w:r>
            <w:r w:rsidRPr="000C1853">
              <w:rPr>
                <w:rFonts w:ascii="Verdana" w:eastAsia="Calibri" w:hAnsi="Verdana" w:cs="Arial"/>
                <w:color w:val="000000"/>
                <w:sz w:val="21"/>
                <w:szCs w:val="21"/>
              </w:rPr>
              <w:lastRenderedPageBreak/>
              <w:t>físico, entre las horas de atención al público; o por correo electrónico hasta las 11:59 p. m. del día establecido en el cronograma. Los adelantados en el SECOP II se subsanarán por medio de mensajes, en la forma prevista en la plataforma.</w:t>
            </w:r>
          </w:p>
          <w:p w14:paraId="227C8246" w14:textId="77777777" w:rsidR="000C1853" w:rsidRPr="000C1853" w:rsidRDefault="000C1853" w:rsidP="000C1853">
            <w:pPr>
              <w:ind w:left="709" w:right="709"/>
              <w:jc w:val="both"/>
              <w:rPr>
                <w:rFonts w:ascii="Verdana" w:eastAsia="Calibri" w:hAnsi="Verdana" w:cs="Arial"/>
                <w:color w:val="000000"/>
                <w:sz w:val="21"/>
                <w:szCs w:val="21"/>
              </w:rPr>
            </w:pPr>
          </w:p>
          <w:p w14:paraId="1D9E6ECE" w14:textId="77777777" w:rsidR="000C1853" w:rsidRPr="000C1853" w:rsidRDefault="000C1853" w:rsidP="000C1853">
            <w:pPr>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Todos aquellos requisitos de la oferta que afecten la asignación de puntaje, incluyendo los necesarios para acreditar requisitos de desempate, no son subsanables, por lo que los mismos deben ser aportados por los proponentes desde la presentación de la oferta.</w:t>
            </w:r>
          </w:p>
          <w:p w14:paraId="620D913A" w14:textId="77777777" w:rsidR="000C1853" w:rsidRPr="000C1853" w:rsidRDefault="000C1853" w:rsidP="000C1853">
            <w:pPr>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w:t>
            </w:r>
          </w:p>
          <w:p w14:paraId="3D894758" w14:textId="77777777" w:rsidR="000C1853" w:rsidRPr="000C1853" w:rsidRDefault="000C1853" w:rsidP="000C1853">
            <w:pPr>
              <w:spacing w:line="276" w:lineRule="auto"/>
              <w:ind w:left="709" w:right="709"/>
              <w:jc w:val="both"/>
              <w:rPr>
                <w:rFonts w:ascii="Verdana" w:eastAsia="Calibri" w:hAnsi="Verdana" w:cs="Arial"/>
                <w:color w:val="000000"/>
              </w:rPr>
            </w:pPr>
          </w:p>
          <w:p w14:paraId="5682DCAD" w14:textId="3EDE8421"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Como puede observarse, los documentos tipo se encuentran en plena consonancia con lo expuesto en el presente concepto, de acuerdo con las normas aquí referidas. Sin embargo, este es un análisis que deberá realizar la entidad contratante en cada caso concreto, dependiendo de la situación que amerite subsanación. </w:t>
            </w:r>
          </w:p>
          <w:p w14:paraId="7558AD4A" w14:textId="77777777" w:rsidR="000C1853" w:rsidRPr="000C1853" w:rsidRDefault="000C1853" w:rsidP="000C1853">
            <w:pPr>
              <w:spacing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Ahora bien, el numeral 2.5 del documento base de los documentos tipo en comento, dispone las reglas sobre el </w:t>
            </w:r>
            <w:r w:rsidRPr="000C1853">
              <w:rPr>
                <w:rFonts w:ascii="Verdana" w:eastAsia="Calibri" w:hAnsi="Verdana" w:cs="Arial"/>
                <w:i/>
                <w:iCs/>
                <w:color w:val="000000"/>
              </w:rPr>
              <w:t>informe de evaluación de aspectos distintos a la oferta económica,</w:t>
            </w:r>
            <w:r w:rsidRPr="000C1853">
              <w:rPr>
                <w:rFonts w:ascii="Verdana" w:eastAsia="Calibri" w:hAnsi="Verdana" w:cs="Arial"/>
                <w:color w:val="000000"/>
              </w:rPr>
              <w:t xml:space="preserve"> en los siguientes términos:</w:t>
            </w:r>
          </w:p>
          <w:p w14:paraId="65FCE4EB" w14:textId="77777777" w:rsidR="000C1853" w:rsidRPr="000C1853" w:rsidRDefault="000C1853" w:rsidP="000C1853">
            <w:pPr>
              <w:spacing w:line="276" w:lineRule="auto"/>
              <w:ind w:firstLine="709"/>
              <w:jc w:val="both"/>
              <w:rPr>
                <w:rFonts w:ascii="Verdana" w:eastAsia="Calibri" w:hAnsi="Verdana" w:cs="Arial"/>
                <w:color w:val="000000"/>
              </w:rPr>
            </w:pPr>
          </w:p>
          <w:p w14:paraId="31E70116" w14:textId="77777777" w:rsidR="000C1853" w:rsidRPr="000C1853" w:rsidRDefault="000C1853" w:rsidP="000C1853">
            <w:pPr>
              <w:ind w:left="709" w:right="709"/>
              <w:jc w:val="both"/>
              <w:rPr>
                <w:rFonts w:ascii="Verdana" w:eastAsia="Aptos" w:hAnsi="Verdana" w:cs="Times New Roman"/>
                <w:sz w:val="21"/>
                <w:szCs w:val="21"/>
                <w:lang w:val="es-MX"/>
              </w:rPr>
            </w:pPr>
            <w:r w:rsidRPr="000C1853">
              <w:rPr>
                <w:rFonts w:ascii="Verdana" w:eastAsia="Aptos" w:hAnsi="Verdana" w:cs="Times New Roman"/>
                <w:sz w:val="21"/>
                <w:szCs w:val="21"/>
                <w:lang w:val="es-MX"/>
              </w:rPr>
              <w:t xml:space="preserve">“En la fecha establecida en el Anexo 2 - Cronograma, la entidad publicará el informe de evaluación de los documentos e información de los requisitos habilitantes y los documentos a los que se les asigne puntaje, diferentes a la oferta económica, contenidos en el Sobre 1. El informe permanecerá publicado en el SECOP y a disposición de los interesados durante cinco (5) días hábiles, término hasta el cual los proponentes podrán hacer las observaciones que consideren y entregar los documentos y la información solicitada por la entidad en los términos señalados en la sección 1.6, salvo que ya lo hubieren hecho en un momento anterior, de conformidad con el mismo numeral citado. </w:t>
            </w:r>
          </w:p>
          <w:p w14:paraId="06216A2F" w14:textId="77777777" w:rsidR="000C1853" w:rsidRPr="000C1853" w:rsidRDefault="000C1853" w:rsidP="000C1853">
            <w:pPr>
              <w:ind w:left="709" w:right="709"/>
              <w:jc w:val="both"/>
              <w:rPr>
                <w:rFonts w:ascii="Verdana" w:eastAsia="Aptos" w:hAnsi="Verdana" w:cs="Times New Roman"/>
                <w:sz w:val="21"/>
                <w:szCs w:val="21"/>
                <w:lang w:val="es-MX"/>
              </w:rPr>
            </w:pPr>
            <w:r w:rsidRPr="000C1853">
              <w:rPr>
                <w:rFonts w:ascii="Verdana" w:eastAsia="Aptos" w:hAnsi="Verdana" w:cs="Times New Roman"/>
                <w:sz w:val="21"/>
                <w:szCs w:val="21"/>
                <w:lang w:val="es-MX"/>
              </w:rPr>
              <w:t>[…]</w:t>
            </w:r>
          </w:p>
          <w:p w14:paraId="4AF34199" w14:textId="77777777" w:rsidR="000C1853" w:rsidRPr="000C1853" w:rsidRDefault="000C1853" w:rsidP="000C1853">
            <w:pPr>
              <w:ind w:left="709" w:right="709"/>
              <w:jc w:val="both"/>
              <w:rPr>
                <w:rFonts w:ascii="Verdana" w:eastAsia="Aptos" w:hAnsi="Verdana" w:cs="Times New Roman"/>
                <w:sz w:val="21"/>
                <w:szCs w:val="21"/>
                <w:lang w:val="es-MX"/>
              </w:rPr>
            </w:pPr>
            <w:r w:rsidRPr="000C1853">
              <w:rPr>
                <w:rFonts w:ascii="Verdana" w:eastAsia="Aptos" w:hAnsi="Verdana" w:cs="Times New Roman"/>
                <w:sz w:val="21"/>
                <w:szCs w:val="21"/>
                <w:lang w:val="es-MX"/>
              </w:rPr>
              <w:t>Con posterioridad al vencimiento del plazo para presentar observaciones y a más tardar el día antes de la audiencia efectiva de adjudicación, hasta las 11:59 p.m. de acuerdo con lo señalado en el Anexo 2 – Cronograma, la entidad debe publicar el informe final de evaluación, en caso de que el inicial haya sufrido variaciones”.</w:t>
            </w:r>
          </w:p>
          <w:p w14:paraId="71287115" w14:textId="77777777" w:rsidR="000C1853" w:rsidRPr="000C1853" w:rsidRDefault="000C1853" w:rsidP="000C1853">
            <w:pPr>
              <w:spacing w:line="276" w:lineRule="auto"/>
              <w:jc w:val="both"/>
              <w:rPr>
                <w:rFonts w:ascii="Verdana" w:eastAsia="Calibri" w:hAnsi="Verdana" w:cs="Arial"/>
                <w:color w:val="000000"/>
              </w:rPr>
            </w:pPr>
          </w:p>
          <w:p w14:paraId="37871F0D" w14:textId="33BF92E6"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lastRenderedPageBreak/>
              <w:t xml:space="preserve">De acuerdo con lo anterior, se tiene que las entidades contratantes deben publicar en </w:t>
            </w:r>
            <w:r w:rsidR="00762C7E">
              <w:rPr>
                <w:rFonts w:ascii="Verdana" w:eastAsia="Calibri" w:hAnsi="Verdana" w:cs="Arial"/>
                <w:color w:val="000000"/>
              </w:rPr>
              <w:t xml:space="preserve">el </w:t>
            </w:r>
            <w:r w:rsidRPr="000C1853">
              <w:rPr>
                <w:rFonts w:ascii="Verdana" w:eastAsia="Calibri" w:hAnsi="Verdana" w:cs="Arial"/>
                <w:color w:val="000000"/>
              </w:rPr>
              <w:t>SECOP, durante cinco (5) días hábiles, el informe de evaluación relacionado con los requisitos habilitantes y documentos a los que se les asigne puntaje, diferentes a la oferta económica. Durante este término, los proponentes podrán realizar las observaciones que consideren, así como entregar los documentos e información requerida conforme al numeral 1.6 “REGLAS DE SUBSANABILIDAD, EXPLICACIONES Y ACLARACIONES” del documento base, sin perjuicio de que ya lo hubieren hecho en un momento anterior.</w:t>
            </w:r>
          </w:p>
          <w:p w14:paraId="55BF0944" w14:textId="77777777"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A su turno, con posterioridad al vencimiento del plazo para presentar observaciones y a más tardar el día antes de la audiencia efectiva de adjudicación, la entidad debe publicar el informe final de evaluación, en caso de que haya sufrido alteraciones. </w:t>
            </w:r>
          </w:p>
          <w:p w14:paraId="1CD363DA" w14:textId="77777777"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Finalmente, conviene advertir que, en atención a lo dispuesto en el numeral 2.6 del documento base, que señala las reglas que conciernen a la </w:t>
            </w:r>
            <w:r w:rsidRPr="000C1853">
              <w:rPr>
                <w:rFonts w:ascii="Verdana" w:eastAsia="Calibri" w:hAnsi="Verdana" w:cs="Arial"/>
                <w:i/>
                <w:iCs/>
                <w:color w:val="000000"/>
              </w:rPr>
              <w:t>audiencia efectiva de adjudicación,</w:t>
            </w:r>
            <w:r w:rsidRPr="000C1853">
              <w:rPr>
                <w:rFonts w:ascii="Verdana" w:eastAsia="Calibri" w:hAnsi="Verdana" w:cs="Arial"/>
                <w:color w:val="000000"/>
              </w:rPr>
              <w:t xml:space="preserve"> al inicio de </w:t>
            </w:r>
            <w:proofErr w:type="gramStart"/>
            <w:r w:rsidRPr="000C1853">
              <w:rPr>
                <w:rFonts w:ascii="Verdana" w:eastAsia="Calibri" w:hAnsi="Verdana" w:cs="Arial"/>
                <w:color w:val="000000"/>
              </w:rPr>
              <w:t>la misma</w:t>
            </w:r>
            <w:proofErr w:type="gramEnd"/>
            <w:r w:rsidRPr="000C1853">
              <w:rPr>
                <w:rFonts w:ascii="Verdana" w:eastAsia="Calibri" w:hAnsi="Verdana" w:cs="Arial"/>
                <w:color w:val="000000"/>
              </w:rPr>
              <w:t>, la entidad otorgará la palabra a los proponentes para presentar las observaciones al informe final de evaluación, lo cual no podrá entenderse como una oportunidad adicional para aportar documentos o elementos que no hayan sido incorporados en el plazo definido en el numeral 1.6. Esto, sin perjuicio de la potestad de la entidad de realizar las verificaciones que considere pertinentes para la adecuada selección del contratista.</w:t>
            </w:r>
          </w:p>
          <w:p w14:paraId="74AA561E" w14:textId="77777777" w:rsidR="000C1853" w:rsidRPr="000C1853" w:rsidRDefault="000C1853" w:rsidP="000C1853">
            <w:pPr>
              <w:spacing w:line="276" w:lineRule="auto"/>
              <w:ind w:firstLine="709"/>
              <w:jc w:val="both"/>
              <w:rPr>
                <w:rFonts w:ascii="Verdana" w:eastAsia="Calibri" w:hAnsi="Verdana" w:cs="Arial"/>
                <w:color w:val="000000"/>
              </w:rPr>
            </w:pPr>
            <w:r w:rsidRPr="000C1853">
              <w:rPr>
                <w:rFonts w:ascii="Verdana" w:eastAsia="Calibri" w:hAnsi="Verdana" w:cs="Arial"/>
                <w:color w:val="000000"/>
              </w:rPr>
              <w:t>Una vez resueltas las observaciones frente al informe de evaluación, en caso de que haya lugar a ello, la entidad dará apertura al Sobre No. 2 de los proponentes habilitados, y evaluará la oferta económica a través del mecanismo escogido mediante el método aleatorio que resulte aplicable de conformidad con lo establecido en el numeral 4.1. del documento base. Con posterioridad, se correrá traslado a los proponentes habilitados solo para la revisión del aspecto económico y se definirá el orden de elegibilidad.</w:t>
            </w:r>
          </w:p>
        </w:tc>
      </w:tr>
    </w:tbl>
    <w:p w14:paraId="0DCC4845" w14:textId="77777777" w:rsidR="000C1853" w:rsidRPr="000C1853" w:rsidRDefault="000C1853" w:rsidP="000C1853">
      <w:pPr>
        <w:tabs>
          <w:tab w:val="left" w:pos="142"/>
          <w:tab w:val="left" w:pos="284"/>
        </w:tabs>
        <w:snapToGrid w:val="0"/>
        <w:spacing w:after="0" w:line="276" w:lineRule="auto"/>
        <w:jc w:val="both"/>
        <w:rPr>
          <w:rFonts w:ascii="Verdana" w:eastAsia="Century Gothic" w:hAnsi="Verdana" w:cs="Century Gothic"/>
          <w:b/>
          <w:bCs/>
          <w:lang w:val="es-ES_tradnl"/>
        </w:rPr>
      </w:pPr>
    </w:p>
    <w:p w14:paraId="70FD292C" w14:textId="77777777" w:rsidR="000C1853" w:rsidRPr="000C1853" w:rsidRDefault="000C1853" w:rsidP="000C18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C1853">
        <w:rPr>
          <w:rFonts w:ascii="Verdana" w:eastAsia="Century Gothic" w:hAnsi="Verdana" w:cs="Century Gothic"/>
          <w:b/>
          <w:bCs/>
          <w:lang w:val="es-ES_tradnl"/>
        </w:rPr>
        <w:t>Razones de la respuesta:</w:t>
      </w:r>
    </w:p>
    <w:p w14:paraId="3B218056" w14:textId="77777777" w:rsidR="000C1853" w:rsidRPr="000C1853" w:rsidRDefault="000C1853" w:rsidP="000C1853">
      <w:pPr>
        <w:snapToGrid w:val="0"/>
        <w:spacing w:after="0" w:line="276" w:lineRule="auto"/>
        <w:jc w:val="both"/>
        <w:rPr>
          <w:rFonts w:ascii="Verdana" w:eastAsia="Calibri" w:hAnsi="Verdana" w:cs="Arial"/>
          <w:lang w:val="es-ES_tradnl"/>
        </w:rPr>
      </w:pPr>
    </w:p>
    <w:p w14:paraId="0F4526C2" w14:textId="77777777" w:rsidR="000C1853" w:rsidRPr="000C1853" w:rsidRDefault="000C1853" w:rsidP="000C1853">
      <w:pPr>
        <w:snapToGrid w:val="0"/>
        <w:spacing w:after="0" w:line="276" w:lineRule="auto"/>
        <w:jc w:val="both"/>
        <w:rPr>
          <w:rFonts w:ascii="Verdana" w:eastAsia="Calibri" w:hAnsi="Verdana" w:cs="Arial"/>
          <w:lang w:val="es-ES_tradnl"/>
        </w:rPr>
      </w:pPr>
      <w:r w:rsidRPr="000C1853">
        <w:rPr>
          <w:rFonts w:ascii="Verdana" w:eastAsia="Calibri" w:hAnsi="Verdana" w:cs="Arial"/>
          <w:lang w:val="es-ES_tradnl"/>
        </w:rPr>
        <w:t xml:space="preserve">Lo anterior se sustenta en las siguientes consideraciones: </w:t>
      </w:r>
    </w:p>
    <w:p w14:paraId="6AEC86D6" w14:textId="77777777" w:rsidR="000C1853" w:rsidRPr="000C1853" w:rsidRDefault="000C1853" w:rsidP="000C1853">
      <w:pPr>
        <w:snapToGrid w:val="0"/>
        <w:spacing w:after="0" w:line="276" w:lineRule="auto"/>
        <w:jc w:val="both"/>
        <w:rPr>
          <w:rFonts w:ascii="Verdana" w:eastAsia="Calibri" w:hAnsi="Verdana" w:cs="Arial"/>
          <w:lang w:val="es-ES_tradnl"/>
        </w:rPr>
      </w:pPr>
    </w:p>
    <w:p w14:paraId="0EFDBFF3" w14:textId="77777777" w:rsidR="000C1853" w:rsidRPr="000C1853" w:rsidRDefault="000C1853" w:rsidP="000C1853">
      <w:pPr>
        <w:spacing w:after="120" w:line="276" w:lineRule="auto"/>
        <w:jc w:val="both"/>
        <w:rPr>
          <w:rFonts w:ascii="Verdana" w:eastAsia="Times New Roman" w:hAnsi="Verdana" w:cs="Arial"/>
          <w:lang w:val="es-ES_tradnl" w:eastAsia="es-ES_tradnl"/>
        </w:rPr>
      </w:pPr>
      <w:r w:rsidRPr="000C1853">
        <w:rPr>
          <w:rFonts w:ascii="Verdana" w:eastAsia="Calibri" w:hAnsi="Verdana" w:cs="Arial"/>
          <w:noProof/>
          <w:lang w:val="es-ES_tradnl"/>
        </w:rPr>
        <w:lastRenderedPageBreak/>
        <w:t>L</w:t>
      </w:r>
      <w:r w:rsidRPr="000C1853">
        <w:rPr>
          <w:rFonts w:ascii="Verdana" w:eastAsia="Times New Roman" w:hAnsi="Verdana" w:cs="Arial"/>
        </w:rPr>
        <w:t xml:space="preserve">a regla de la </w:t>
      </w:r>
      <w:proofErr w:type="spellStart"/>
      <w:r w:rsidRPr="000C1853">
        <w:rPr>
          <w:rFonts w:ascii="Verdana" w:eastAsia="Times New Roman" w:hAnsi="Verdana" w:cs="Arial"/>
        </w:rPr>
        <w:t>subsanabilidad</w:t>
      </w:r>
      <w:proofErr w:type="spellEnd"/>
      <w:r w:rsidRPr="000C1853">
        <w:rPr>
          <w:rFonts w:ascii="Verdana" w:eastAsia="Times New Roman" w:hAnsi="Verdana" w:cs="Arial"/>
        </w:rPr>
        <w:t xml:space="preserve"> de las ofertas en los procedimientos de selección</w:t>
      </w:r>
      <w:r w:rsidRPr="000C1853">
        <w:rPr>
          <w:rFonts w:ascii="Verdana" w:eastAsia="Times New Roman" w:hAnsi="Verdana" w:cs="Arial"/>
          <w:b/>
          <w:bCs/>
        </w:rPr>
        <w:t xml:space="preserve"> </w:t>
      </w:r>
      <w:r w:rsidRPr="000C1853">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37B978A9" w14:textId="77777777" w:rsidR="000C1853" w:rsidRPr="000C1853" w:rsidRDefault="000C1853" w:rsidP="000C1853">
      <w:pPr>
        <w:spacing w:after="120" w:line="276" w:lineRule="auto"/>
        <w:ind w:firstLine="708"/>
        <w:jc w:val="both"/>
        <w:rPr>
          <w:rFonts w:ascii="Verdana" w:eastAsia="Times New Roman" w:hAnsi="Verdana" w:cs="Arial"/>
          <w:lang w:val="es-ES" w:eastAsia="es-ES"/>
        </w:rPr>
      </w:pPr>
      <w:r w:rsidRPr="000C1853">
        <w:rPr>
          <w:rFonts w:ascii="Verdana" w:eastAsia="Times New Roman" w:hAnsi="Verdana"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C-285 del 20 de mayo de 2022</w:t>
      </w:r>
      <w:r w:rsidRPr="000C1853">
        <w:rPr>
          <w:rFonts w:ascii="Verdana" w:eastAsia="Times New Roman" w:hAnsi="Verdana" w:cs="Arial"/>
          <w:vertAlign w:val="superscript"/>
          <w:lang w:val="es-ES_tradnl" w:eastAsia="es-ES_tradnl"/>
        </w:rPr>
        <w:footnoteReference w:id="2"/>
      </w:r>
      <w:r w:rsidRPr="000C1853">
        <w:rPr>
          <w:rFonts w:ascii="Verdana" w:eastAsia="Times New Roman" w:hAnsi="Verdana" w:cs="Arial"/>
          <w:lang w:val="es-ES_tradnl" w:eastAsia="es-ES_tradnl"/>
        </w:rPr>
        <w:t xml:space="preserve"> o el C-447 del 19 de septiembre de 2024</w:t>
      </w:r>
      <w:r w:rsidRPr="000C1853">
        <w:rPr>
          <w:rFonts w:ascii="Verdana" w:eastAsia="Times New Roman" w:hAnsi="Verdana" w:cs="Arial"/>
          <w:vertAlign w:val="superscript"/>
          <w:lang w:val="es-ES_tradnl" w:eastAsia="es-ES_tradnl"/>
        </w:rPr>
        <w:footnoteReference w:id="3"/>
      </w:r>
      <w:r w:rsidRPr="000C1853">
        <w:rPr>
          <w:rFonts w:ascii="Verdana" w:eastAsia="Times New Roman" w:hAnsi="Verdana" w:cs="Arial"/>
          <w:lang w:val="es-ES_tradnl" w:eastAsia="es-ES_tradnl"/>
        </w:rPr>
        <w:t>, los cuales, en el evento en que tenga interés, podrá consultar en los enlaces de la nota al pie. Sin embargo</w:t>
      </w:r>
      <w:r w:rsidRPr="000C1853">
        <w:rPr>
          <w:rFonts w:ascii="Verdana" w:eastAsia="Times New Roman" w:hAnsi="Verdana" w:cs="Arial"/>
          <w:lang w:val="es-ES" w:eastAsia="es-ES"/>
        </w:rPr>
        <w:t xml:space="preserve">, a continuación, se hará referencia particularmente al último momento, que refleja la postura vigente en torno a la </w:t>
      </w:r>
      <w:proofErr w:type="spellStart"/>
      <w:r w:rsidRPr="000C1853">
        <w:rPr>
          <w:rFonts w:ascii="Verdana" w:eastAsia="Times New Roman" w:hAnsi="Verdana" w:cs="Arial"/>
          <w:lang w:val="es-ES" w:eastAsia="es-ES"/>
        </w:rPr>
        <w:t>subsanabilidad</w:t>
      </w:r>
      <w:proofErr w:type="spellEnd"/>
      <w:r w:rsidRPr="000C1853">
        <w:rPr>
          <w:rFonts w:ascii="Verdana" w:eastAsia="Times New Roman" w:hAnsi="Verdana" w:cs="Arial"/>
          <w:lang w:val="es-ES" w:eastAsia="es-ES"/>
        </w:rPr>
        <w:t>.</w:t>
      </w:r>
    </w:p>
    <w:p w14:paraId="6156CBC0" w14:textId="77777777" w:rsidR="000C1853" w:rsidRPr="000C1853" w:rsidRDefault="000C1853" w:rsidP="000C1853">
      <w:pPr>
        <w:tabs>
          <w:tab w:val="left" w:pos="284"/>
        </w:tabs>
        <w:spacing w:after="0" w:line="276" w:lineRule="auto"/>
        <w:ind w:firstLine="709"/>
        <w:jc w:val="both"/>
        <w:rPr>
          <w:rFonts w:ascii="Verdana" w:eastAsia="Times New Roman" w:hAnsi="Verdana" w:cs="Arial"/>
          <w:lang w:val="es-ES_tradnl" w:eastAsia="es-CO"/>
        </w:rPr>
      </w:pPr>
      <w:r w:rsidRPr="000C1853">
        <w:rPr>
          <w:rFonts w:ascii="Verdana" w:eastAsia="Times New Roman" w:hAnsi="Verdana" w:cs="Arial"/>
          <w:lang w:val="es-ES_tradnl" w:eastAsia="es-ES_tradnl"/>
        </w:rPr>
        <w:t xml:space="preserve">La expedición de la Ley </w:t>
      </w:r>
      <w:r w:rsidRPr="000C1853">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59D37537" w14:textId="77777777" w:rsidR="000C1853" w:rsidRPr="000C1853" w:rsidRDefault="000C1853" w:rsidP="000C1853">
      <w:pPr>
        <w:spacing w:after="0" w:line="276" w:lineRule="auto"/>
        <w:ind w:left="709" w:right="709"/>
        <w:jc w:val="both"/>
        <w:rPr>
          <w:rFonts w:ascii="Verdana" w:eastAsia="Times New Roman" w:hAnsi="Verdana" w:cs="Arial"/>
          <w:lang w:val="es-ES_tradnl" w:eastAsia="es-CO"/>
        </w:rPr>
      </w:pPr>
    </w:p>
    <w:p w14:paraId="2044B179" w14:textId="77777777" w:rsidR="000C1853" w:rsidRPr="000C1853" w:rsidRDefault="000C1853" w:rsidP="000C1853">
      <w:pPr>
        <w:spacing w:after="0" w:line="240" w:lineRule="auto"/>
        <w:ind w:left="709" w:right="709"/>
        <w:jc w:val="both"/>
        <w:rPr>
          <w:rFonts w:ascii="Verdana" w:eastAsia="Times New Roman" w:hAnsi="Verdana" w:cs="Arial"/>
          <w:sz w:val="21"/>
          <w:szCs w:val="21"/>
          <w:lang w:val="es-ES_tradnl" w:eastAsia="es-CO"/>
        </w:rPr>
      </w:pPr>
      <w:r w:rsidRPr="000C1853">
        <w:rPr>
          <w:rFonts w:ascii="Verdana" w:eastAsia="Times New Roman" w:hAnsi="Verdana" w:cs="Arial"/>
          <w:sz w:val="21"/>
          <w:szCs w:val="21"/>
          <w:lang w:val="es-ES_tradnl" w:eastAsia="es-CO"/>
        </w:rPr>
        <w:t xml:space="preserve">“Artículo 5°. De la selección objetiva. </w:t>
      </w:r>
    </w:p>
    <w:p w14:paraId="0659376B" w14:textId="77777777" w:rsidR="000C1853" w:rsidRPr="000C1853" w:rsidRDefault="000C1853" w:rsidP="000C1853">
      <w:pPr>
        <w:spacing w:after="0" w:line="240" w:lineRule="auto"/>
        <w:ind w:left="709" w:right="709"/>
        <w:jc w:val="both"/>
        <w:textAlignment w:val="baseline"/>
        <w:rPr>
          <w:rFonts w:ascii="Verdana" w:eastAsia="Times New Roman" w:hAnsi="Verdana" w:cs="Arial"/>
          <w:color w:val="000000"/>
          <w:sz w:val="21"/>
          <w:szCs w:val="21"/>
          <w:lang w:val="es-ES" w:eastAsia="es-CO"/>
        </w:rPr>
      </w:pPr>
    </w:p>
    <w:p w14:paraId="27AFA9C9"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0C1853">
        <w:rPr>
          <w:rFonts w:ascii="Verdana" w:eastAsia="Times New Roman" w:hAnsi="Verdana" w:cs="Arial"/>
          <w:color w:val="000000"/>
          <w:sz w:val="21"/>
          <w:szCs w:val="21"/>
          <w:lang w:val="es-ES" w:eastAsia="es-CO"/>
        </w:rPr>
        <w:t>equivalentes,</w:t>
      </w:r>
      <w:proofErr w:type="gramEnd"/>
      <w:r w:rsidRPr="000C1853">
        <w:rPr>
          <w:rFonts w:ascii="Verdana" w:eastAsia="Times New Roman" w:hAnsi="Verdana" w:cs="Arial"/>
          <w:color w:val="000000"/>
          <w:sz w:val="21"/>
          <w:szCs w:val="21"/>
          <w:lang w:val="es-ES" w:eastAsia="es-CO"/>
        </w:rPr>
        <w:t xml:space="preserve"> tendrán en cuenta los siguientes criterios:</w:t>
      </w:r>
      <w:r w:rsidRPr="000C1853">
        <w:rPr>
          <w:rFonts w:ascii="Verdana" w:eastAsia="Times New Roman" w:hAnsi="Verdana" w:cs="Arial"/>
          <w:color w:val="000000"/>
          <w:sz w:val="21"/>
          <w:szCs w:val="21"/>
          <w:lang w:eastAsia="es-CO"/>
        </w:rPr>
        <w:t> </w:t>
      </w:r>
    </w:p>
    <w:p w14:paraId="19115A6A"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49C6588B"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lastRenderedPageBreak/>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0C1853">
        <w:rPr>
          <w:rFonts w:ascii="Verdana" w:eastAsia="Times New Roman" w:hAnsi="Verdana" w:cs="Arial"/>
          <w:color w:val="000000"/>
          <w:sz w:val="21"/>
          <w:szCs w:val="21"/>
          <w:lang w:eastAsia="es-CO"/>
        </w:rPr>
        <w:t> </w:t>
      </w:r>
    </w:p>
    <w:p w14:paraId="593FA3A3"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79758791" w14:textId="1CE291CE"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 xml:space="preserve">2. </w:t>
      </w:r>
      <w:r w:rsidR="00B20880">
        <w:rPr>
          <w:rFonts w:ascii="Verdana" w:eastAsia="Times New Roman" w:hAnsi="Verdana" w:cs="Arial"/>
          <w:color w:val="000000"/>
          <w:sz w:val="21"/>
          <w:szCs w:val="21"/>
          <w:lang w:val="es-ES" w:eastAsia="es-CO"/>
        </w:rPr>
        <w:t>“</w:t>
      </w:r>
      <w:r w:rsidRPr="000C1853">
        <w:rPr>
          <w:rFonts w:ascii="Verdana" w:eastAsia="Times New Roman" w:hAnsi="Verdana" w:cs="Arial"/>
          <w:color w:val="000000"/>
          <w:sz w:val="21"/>
          <w:szCs w:val="21"/>
          <w:lang w:val="es-ES" w:eastAsia="es-CO"/>
        </w:rPr>
        <w:t xml:space="preserve">Numeral modificado por el artículo 88 de la Ley 1474 de 2011. El nuevo texto es el </w:t>
      </w:r>
      <w:proofErr w:type="spellStart"/>
      <w:r w:rsidRPr="000C1853">
        <w:rPr>
          <w:rFonts w:ascii="Verdana" w:eastAsia="Times New Roman" w:hAnsi="Verdana" w:cs="Arial"/>
          <w:color w:val="000000"/>
          <w:sz w:val="21"/>
          <w:szCs w:val="21"/>
          <w:lang w:val="es-ES" w:eastAsia="es-CO"/>
        </w:rPr>
        <w:t>siguiente</w:t>
      </w:r>
      <w:proofErr w:type="gramStart"/>
      <w:r w:rsidRPr="000C1853">
        <w:rPr>
          <w:rFonts w:ascii="Verdana" w:eastAsia="Times New Roman" w:hAnsi="Verdana" w:cs="Arial"/>
          <w:color w:val="000000"/>
          <w:sz w:val="21"/>
          <w:szCs w:val="21"/>
          <w:lang w:val="es-ES" w:eastAsia="es-CO"/>
        </w:rPr>
        <w:t>:</w:t>
      </w:r>
      <w:r w:rsidR="00B20880">
        <w:rPr>
          <w:rFonts w:ascii="Verdana" w:eastAsia="Times New Roman" w:hAnsi="Verdana" w:cs="Arial"/>
          <w:color w:val="000000"/>
          <w:sz w:val="21"/>
          <w:szCs w:val="21"/>
          <w:lang w:val="es-ES" w:eastAsia="es-CO"/>
        </w:rPr>
        <w:t>”</w:t>
      </w:r>
      <w:r w:rsidRPr="000C1853">
        <w:rPr>
          <w:rFonts w:ascii="Verdana" w:eastAsia="Times New Roman" w:hAnsi="Verdana" w:cs="Arial"/>
          <w:color w:val="000000"/>
          <w:sz w:val="21"/>
          <w:szCs w:val="21"/>
          <w:lang w:val="es-ES" w:eastAsia="es-CO"/>
        </w:rPr>
        <w:t>La</w:t>
      </w:r>
      <w:proofErr w:type="spellEnd"/>
      <w:proofErr w:type="gramEnd"/>
      <w:r w:rsidRPr="000C1853">
        <w:rPr>
          <w:rFonts w:ascii="Verdana" w:eastAsia="Times New Roman" w:hAnsi="Verdana" w:cs="Arial"/>
          <w:color w:val="000000"/>
          <w:sz w:val="21"/>
          <w:szCs w:val="21"/>
          <w:lang w:val="es-ES" w:eastAsia="es-CO"/>
        </w:rPr>
        <w:t xml:space="preserve">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0C1853">
        <w:rPr>
          <w:rFonts w:ascii="Verdana" w:eastAsia="Times New Roman" w:hAnsi="Verdana" w:cs="Arial"/>
          <w:color w:val="000000"/>
          <w:sz w:val="21"/>
          <w:szCs w:val="21"/>
          <w:lang w:eastAsia="es-CO"/>
        </w:rPr>
        <w:t> </w:t>
      </w:r>
    </w:p>
    <w:p w14:paraId="2CDEC056"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p>
    <w:p w14:paraId="7885640D"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En los procesos de selección en los que se tenga en cuenta los factores técnicos y económicos, la oferta más ventajosa será la que resulte de aplicar alguna de las siguientes alternativas:</w:t>
      </w:r>
      <w:r w:rsidRPr="000C1853">
        <w:rPr>
          <w:rFonts w:ascii="Verdana" w:eastAsia="Times New Roman" w:hAnsi="Verdana" w:cs="Arial"/>
          <w:color w:val="000000"/>
          <w:sz w:val="21"/>
          <w:szCs w:val="21"/>
          <w:lang w:eastAsia="es-CO"/>
        </w:rPr>
        <w:t> </w:t>
      </w:r>
    </w:p>
    <w:p w14:paraId="305C4B7F"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p>
    <w:p w14:paraId="5FC91BE1"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a) La ponderación de los elementos de calidad y precio soportados en puntajes o fórmulas señaladas en el pliego de condiciones; o</w:t>
      </w:r>
    </w:p>
    <w:p w14:paraId="413F7149"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p>
    <w:p w14:paraId="39E9E299"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b) La ponderación de los elementos de calidad y precio que representen la mejor relación de costo-beneficio para la entidad.</w:t>
      </w:r>
      <w:r w:rsidRPr="000C1853">
        <w:rPr>
          <w:rFonts w:ascii="Verdana" w:eastAsia="Times New Roman" w:hAnsi="Verdana" w:cs="Arial"/>
          <w:color w:val="000000"/>
          <w:sz w:val="21"/>
          <w:szCs w:val="21"/>
          <w:lang w:eastAsia="es-CO"/>
        </w:rPr>
        <w:t> </w:t>
      </w:r>
    </w:p>
    <w:p w14:paraId="5CA6E2B2"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p>
    <w:p w14:paraId="09539BB6"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0C1853">
        <w:rPr>
          <w:rFonts w:ascii="Verdana" w:eastAsia="Times New Roman" w:hAnsi="Verdana" w:cs="Arial"/>
          <w:color w:val="000000"/>
          <w:sz w:val="21"/>
          <w:szCs w:val="21"/>
          <w:lang w:eastAsia="es-CO"/>
        </w:rPr>
        <w:t> </w:t>
      </w:r>
    </w:p>
    <w:p w14:paraId="67894ECF"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19A15629"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lastRenderedPageBreak/>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0C1853">
        <w:rPr>
          <w:rFonts w:ascii="Verdana" w:eastAsia="Times New Roman" w:hAnsi="Verdana" w:cs="Arial"/>
          <w:color w:val="000000"/>
          <w:sz w:val="21"/>
          <w:szCs w:val="21"/>
          <w:lang w:eastAsia="es-CO"/>
        </w:rPr>
        <w:t> </w:t>
      </w:r>
    </w:p>
    <w:p w14:paraId="5D731924"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23986767"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En ningún caso se podrá incluir el precio, como factor de escogencia para la selección de consultores.</w:t>
      </w:r>
      <w:r w:rsidRPr="000C1853">
        <w:rPr>
          <w:rFonts w:ascii="Verdana" w:eastAsia="Times New Roman" w:hAnsi="Verdana" w:cs="Arial"/>
          <w:color w:val="000000"/>
          <w:sz w:val="21"/>
          <w:szCs w:val="21"/>
          <w:lang w:eastAsia="es-CO"/>
        </w:rPr>
        <w:t> </w:t>
      </w:r>
    </w:p>
    <w:p w14:paraId="28C38E6C"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713B7AF5" w14:textId="046BC782"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u w:val="single"/>
          <w:lang w:val="es-ES" w:eastAsia="es-CO"/>
        </w:rPr>
        <w:t xml:space="preserve">PARÁGRAFO 1o. </w:t>
      </w:r>
      <w:r w:rsidR="00B20880">
        <w:rPr>
          <w:rFonts w:ascii="Verdana" w:eastAsia="Times New Roman" w:hAnsi="Verdana" w:cs="Arial"/>
          <w:color w:val="000000"/>
          <w:sz w:val="21"/>
          <w:szCs w:val="21"/>
          <w:u w:val="single"/>
          <w:lang w:val="es-ES" w:eastAsia="es-CO"/>
        </w:rPr>
        <w:t>“</w:t>
      </w:r>
      <w:r w:rsidRPr="000C1853">
        <w:rPr>
          <w:rFonts w:ascii="Verdana" w:eastAsia="Times New Roman" w:hAnsi="Verdana" w:cs="Arial"/>
          <w:color w:val="000000"/>
          <w:sz w:val="21"/>
          <w:szCs w:val="21"/>
          <w:u w:val="single"/>
          <w:lang w:val="es-ES" w:eastAsia="es-CO"/>
        </w:rPr>
        <w:t>Parágrafo modificado por el artículo 5 de la Ley 1882 de 2018. El nuevo texto es el siguiente:</w:t>
      </w:r>
      <w:r w:rsidR="00B20880">
        <w:rPr>
          <w:rFonts w:ascii="Verdana" w:eastAsia="Times New Roman" w:hAnsi="Verdana" w:cs="Arial"/>
          <w:color w:val="000000"/>
          <w:sz w:val="21"/>
          <w:szCs w:val="21"/>
          <w:u w:val="single"/>
          <w:lang w:val="es-ES" w:eastAsia="es-CO"/>
        </w:rPr>
        <w:t>”</w:t>
      </w:r>
      <w:r w:rsidRPr="000C1853">
        <w:rPr>
          <w:rFonts w:ascii="Verdana" w:eastAsia="Times New Roman" w:hAnsi="Verdana" w:cs="Arial"/>
          <w:color w:val="000000"/>
          <w:sz w:val="21"/>
          <w:szCs w:val="21"/>
          <w:u w:val="single"/>
          <w:lang w:val="es-ES" w:eastAsia="es-CO"/>
        </w:rPr>
        <w:t xml:space="preserve">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0C1853">
        <w:rPr>
          <w:rFonts w:ascii="Verdana" w:eastAsia="Times New Roman" w:hAnsi="Verdana" w:cs="Arial"/>
          <w:color w:val="000000"/>
          <w:sz w:val="21"/>
          <w:szCs w:val="21"/>
          <w:u w:val="single"/>
          <w:lang w:val="es-ES" w:eastAsia="es-CO"/>
        </w:rPr>
        <w:t>puntaje,</w:t>
      </w:r>
      <w:proofErr w:type="gramEnd"/>
      <w:r w:rsidRPr="000C1853">
        <w:rPr>
          <w:rFonts w:ascii="Verdana" w:eastAsia="Times New Roman" w:hAnsi="Verdana" w:cs="Arial"/>
          <w:color w:val="000000"/>
          <w:sz w:val="21"/>
          <w:szCs w:val="21"/>
          <w:u w:val="single"/>
          <w:lang w:val="es-ES" w:eastAsia="es-CO"/>
        </w:rPr>
        <w:t xml:space="preserve"> deberán ser solicitados por las entidades estatales y deberán ser entregados por los proponentes hasta el término de traslado del informe de evaluación que corresponda a cada modalidad de selección</w:t>
      </w:r>
      <w:r w:rsidRPr="000C1853">
        <w:rPr>
          <w:rFonts w:ascii="Verdana" w:eastAsia="Times New Roman" w:hAnsi="Verdana" w:cs="Arial"/>
          <w:color w:val="000000"/>
          <w:sz w:val="21"/>
          <w:szCs w:val="21"/>
          <w:lang w:val="es-ES" w:eastAsia="es-CO"/>
        </w:rPr>
        <w:t xml:space="preserve">, salvo lo dispuesto para el proceso de Mínima cuantía y para el proceso de selección a través del sistema de subasta. </w:t>
      </w:r>
      <w:r w:rsidRPr="000C1853">
        <w:rPr>
          <w:rFonts w:ascii="Verdana" w:eastAsia="Times New Roman" w:hAnsi="Verdana" w:cs="Arial"/>
          <w:color w:val="000000"/>
          <w:sz w:val="21"/>
          <w:szCs w:val="21"/>
          <w:u w:val="single"/>
          <w:lang w:val="es-ES" w:eastAsia="es-CO"/>
        </w:rPr>
        <w:t>Serán rechazadas las ofertas de aquellos proponentes que no suministren la información y la documentación solicitada por la entidad estatal hasta el plazo anteriormente señalado.</w:t>
      </w:r>
      <w:r w:rsidRPr="000C1853">
        <w:rPr>
          <w:rFonts w:ascii="Verdana" w:eastAsia="Times New Roman" w:hAnsi="Verdana" w:cs="Arial"/>
          <w:color w:val="000000"/>
          <w:sz w:val="21"/>
          <w:szCs w:val="21"/>
          <w:u w:val="single"/>
          <w:lang w:eastAsia="es-CO"/>
        </w:rPr>
        <w:t> </w:t>
      </w:r>
    </w:p>
    <w:p w14:paraId="11E8EBEA"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2FAF1A7E"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u w:val="single"/>
          <w:lang w:val="es-ES" w:eastAsia="es-CO"/>
        </w:rPr>
        <w:t>Durante el término otorgado para subsanar las ofertas, los proponentes no podrán acreditar circunstancias ocurridas con posterioridad al cierre del proceso.</w:t>
      </w:r>
      <w:r w:rsidRPr="000C1853">
        <w:rPr>
          <w:rFonts w:ascii="Verdana" w:eastAsia="Times New Roman" w:hAnsi="Verdana" w:cs="Arial"/>
          <w:color w:val="000000"/>
          <w:sz w:val="21"/>
          <w:szCs w:val="21"/>
          <w:lang w:eastAsia="es-CO"/>
        </w:rPr>
        <w:t> </w:t>
      </w:r>
    </w:p>
    <w:p w14:paraId="6B982D3C"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480C525A"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PARÁGRAFO 2o. Las certificaciones de sistemas de gestión de calidad no serán objeto de calificación, ni podrán establecerse como documento habilitante para participar en licitaciones o concursos.</w:t>
      </w:r>
      <w:r w:rsidRPr="000C1853">
        <w:rPr>
          <w:rFonts w:ascii="Verdana" w:eastAsia="Times New Roman" w:hAnsi="Verdana" w:cs="Arial"/>
          <w:color w:val="000000"/>
          <w:sz w:val="21"/>
          <w:szCs w:val="21"/>
          <w:lang w:eastAsia="es-CO"/>
        </w:rPr>
        <w:t> </w:t>
      </w:r>
    </w:p>
    <w:p w14:paraId="1BC034C4"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37B51686" w14:textId="46494C45"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u w:val="single"/>
          <w:lang w:eastAsia="es-CO"/>
        </w:rPr>
      </w:pPr>
      <w:r w:rsidRPr="000C1853">
        <w:rPr>
          <w:rFonts w:ascii="Verdana" w:eastAsia="Times New Roman" w:hAnsi="Verdana" w:cs="Arial"/>
          <w:color w:val="000000"/>
          <w:sz w:val="21"/>
          <w:szCs w:val="21"/>
          <w:u w:val="single"/>
          <w:lang w:val="es-ES" w:eastAsia="es-CO"/>
        </w:rPr>
        <w:t xml:space="preserve">PARÁGRAFO 3o. </w:t>
      </w:r>
      <w:r w:rsidR="004E1293">
        <w:rPr>
          <w:rFonts w:ascii="Verdana" w:eastAsia="Times New Roman" w:hAnsi="Verdana" w:cs="Arial"/>
          <w:color w:val="000000"/>
          <w:sz w:val="21"/>
          <w:szCs w:val="21"/>
          <w:u w:val="single"/>
          <w:lang w:val="es-ES" w:eastAsia="es-CO"/>
        </w:rPr>
        <w:t>“</w:t>
      </w:r>
      <w:r w:rsidRPr="000C1853">
        <w:rPr>
          <w:rFonts w:ascii="Verdana" w:eastAsia="Times New Roman" w:hAnsi="Verdana" w:cs="Arial"/>
          <w:color w:val="000000"/>
          <w:sz w:val="21"/>
          <w:szCs w:val="21"/>
          <w:u w:val="single"/>
          <w:lang w:val="es-ES" w:eastAsia="es-CO"/>
        </w:rPr>
        <w:t>Parágrafo adicionado por el artículo 5 de la Ley 1882 de 2018. El nuevo texto es el siguiente:</w:t>
      </w:r>
      <w:r w:rsidR="004E1293">
        <w:rPr>
          <w:rFonts w:ascii="Verdana" w:eastAsia="Times New Roman" w:hAnsi="Verdana" w:cs="Arial"/>
          <w:color w:val="000000"/>
          <w:sz w:val="21"/>
          <w:szCs w:val="21"/>
          <w:u w:val="single"/>
          <w:lang w:val="es-ES" w:eastAsia="es-CO"/>
        </w:rPr>
        <w:t>”</w:t>
      </w:r>
      <w:r w:rsidRPr="000C1853">
        <w:rPr>
          <w:rFonts w:ascii="Verdana" w:eastAsia="Times New Roman" w:hAnsi="Verdana" w:cs="Arial"/>
          <w:color w:val="000000"/>
          <w:sz w:val="21"/>
          <w:szCs w:val="21"/>
          <w:u w:val="single"/>
          <w:lang w:val="es-ES" w:eastAsia="es-CO"/>
        </w:rPr>
        <w:t xml:space="preserve"> La no entrega de la garantía de seriedad junto con la propuesta no será subsanable y será causal de rechazo de </w:t>
      </w:r>
      <w:proofErr w:type="gramStart"/>
      <w:r w:rsidRPr="000C1853">
        <w:rPr>
          <w:rFonts w:ascii="Verdana" w:eastAsia="Times New Roman" w:hAnsi="Verdana" w:cs="Arial"/>
          <w:color w:val="000000"/>
          <w:sz w:val="21"/>
          <w:szCs w:val="21"/>
          <w:u w:val="single"/>
          <w:lang w:val="es-ES" w:eastAsia="es-CO"/>
        </w:rPr>
        <w:t>la misma</w:t>
      </w:r>
      <w:proofErr w:type="gramEnd"/>
      <w:r w:rsidRPr="000C1853">
        <w:rPr>
          <w:rFonts w:ascii="Verdana" w:eastAsia="Times New Roman" w:hAnsi="Verdana" w:cs="Arial"/>
          <w:color w:val="000000"/>
          <w:sz w:val="21"/>
          <w:szCs w:val="21"/>
          <w:u w:val="single"/>
          <w:lang w:val="es-ES" w:eastAsia="es-CO"/>
        </w:rPr>
        <w:t>.</w:t>
      </w:r>
      <w:r w:rsidRPr="000C1853">
        <w:rPr>
          <w:rFonts w:ascii="Verdana" w:eastAsia="Times New Roman" w:hAnsi="Verdana" w:cs="Arial"/>
          <w:color w:val="000000"/>
          <w:sz w:val="21"/>
          <w:szCs w:val="21"/>
          <w:u w:val="single"/>
          <w:lang w:eastAsia="es-CO"/>
        </w:rPr>
        <w:t> </w:t>
      </w:r>
    </w:p>
    <w:p w14:paraId="392DEBEC"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31C07D06" w14:textId="2045750E"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 xml:space="preserve">PARÁGRAFO 4o. </w:t>
      </w:r>
      <w:r w:rsidR="004E1293">
        <w:rPr>
          <w:rFonts w:ascii="Verdana" w:eastAsia="Times New Roman" w:hAnsi="Verdana" w:cs="Arial"/>
          <w:color w:val="000000"/>
          <w:sz w:val="21"/>
          <w:szCs w:val="21"/>
          <w:lang w:val="es-ES" w:eastAsia="es-CO"/>
        </w:rPr>
        <w:t>“</w:t>
      </w:r>
      <w:r w:rsidRPr="000C1853">
        <w:rPr>
          <w:rFonts w:ascii="Verdana" w:eastAsia="Times New Roman" w:hAnsi="Verdana" w:cs="Arial"/>
          <w:color w:val="000000"/>
          <w:sz w:val="21"/>
          <w:szCs w:val="21"/>
          <w:lang w:val="es-ES" w:eastAsia="es-CO"/>
        </w:rPr>
        <w:t>Parágrafo adicionado por el artículo 5 de la Ley 1882 de 2018. El nuevo texto es el siguiente:</w:t>
      </w:r>
      <w:r w:rsidR="004E1293">
        <w:rPr>
          <w:rFonts w:ascii="Verdana" w:eastAsia="Times New Roman" w:hAnsi="Verdana" w:cs="Arial"/>
          <w:color w:val="000000"/>
          <w:sz w:val="21"/>
          <w:szCs w:val="21"/>
          <w:lang w:val="es-ES" w:eastAsia="es-CO"/>
        </w:rPr>
        <w:t>”</w:t>
      </w:r>
      <w:r w:rsidRPr="000C1853">
        <w:rPr>
          <w:rFonts w:ascii="Verdana" w:eastAsia="Times New Roman" w:hAnsi="Verdana" w:cs="Arial"/>
          <w:color w:val="000000"/>
          <w:sz w:val="21"/>
          <w:szCs w:val="21"/>
          <w:lang w:val="es-ES" w:eastAsia="es-CO"/>
        </w:rPr>
        <w:t xml:space="preserve"> En aquellos procesos de selección en los que se utilice el mecanismo de subasta, los documentos referentes a la futura contratación o al proponente, no </w:t>
      </w:r>
      <w:r w:rsidRPr="000C1853">
        <w:rPr>
          <w:rFonts w:ascii="Verdana" w:eastAsia="Times New Roman" w:hAnsi="Verdana" w:cs="Arial"/>
          <w:color w:val="000000"/>
          <w:sz w:val="21"/>
          <w:szCs w:val="21"/>
          <w:lang w:val="es-ES" w:eastAsia="es-CO"/>
        </w:rPr>
        <w:lastRenderedPageBreak/>
        <w:t>necesarios para la comparación de las propuestas, deberán ser solicitados hasta el momento previo a su realización.</w:t>
      </w:r>
      <w:r w:rsidRPr="000C1853">
        <w:rPr>
          <w:rFonts w:ascii="Verdana" w:eastAsia="Times New Roman" w:hAnsi="Verdana" w:cs="Arial"/>
          <w:color w:val="000000"/>
          <w:sz w:val="21"/>
          <w:szCs w:val="21"/>
          <w:lang w:eastAsia="es-CO"/>
        </w:rPr>
        <w:t> </w:t>
      </w:r>
    </w:p>
    <w:p w14:paraId="4089232D" w14:textId="77777777"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eastAsia="es-CO"/>
        </w:rPr>
        <w:t> </w:t>
      </w:r>
    </w:p>
    <w:p w14:paraId="68174093" w14:textId="7755AB29" w:rsidR="000C1853" w:rsidRPr="000C1853" w:rsidRDefault="000C1853" w:rsidP="000C1853">
      <w:pPr>
        <w:spacing w:after="0" w:line="240" w:lineRule="auto"/>
        <w:ind w:left="709" w:right="709"/>
        <w:jc w:val="both"/>
        <w:textAlignment w:val="baseline"/>
        <w:rPr>
          <w:rFonts w:ascii="Verdana" w:eastAsia="Times New Roman" w:hAnsi="Verdana" w:cs="Segoe UI"/>
          <w:sz w:val="21"/>
          <w:szCs w:val="21"/>
          <w:lang w:eastAsia="es-CO"/>
        </w:rPr>
      </w:pPr>
      <w:r w:rsidRPr="000C1853">
        <w:rPr>
          <w:rFonts w:ascii="Verdana" w:eastAsia="Times New Roman" w:hAnsi="Verdana" w:cs="Arial"/>
          <w:color w:val="000000"/>
          <w:sz w:val="21"/>
          <w:szCs w:val="21"/>
          <w:lang w:val="es-ES" w:eastAsia="es-CO"/>
        </w:rPr>
        <w:t xml:space="preserve">PARÁGRAFO 5o. </w:t>
      </w:r>
      <w:r w:rsidR="004E1293">
        <w:rPr>
          <w:rFonts w:ascii="Verdana" w:eastAsia="Times New Roman" w:hAnsi="Verdana" w:cs="Arial"/>
          <w:color w:val="000000"/>
          <w:sz w:val="21"/>
          <w:szCs w:val="21"/>
          <w:lang w:val="es-ES" w:eastAsia="es-CO"/>
        </w:rPr>
        <w:t>“</w:t>
      </w:r>
      <w:r w:rsidRPr="000C1853">
        <w:rPr>
          <w:rFonts w:ascii="Verdana" w:eastAsia="Times New Roman" w:hAnsi="Verdana" w:cs="Arial"/>
          <w:color w:val="000000"/>
          <w:sz w:val="21"/>
          <w:szCs w:val="21"/>
          <w:lang w:val="es-ES" w:eastAsia="es-CO"/>
        </w:rPr>
        <w:t>Parágrafo adicionado por el artículo 5 de la Ley 1882 de 2018. El nuevo texto es el siguiente:</w:t>
      </w:r>
      <w:r w:rsidR="004E1293">
        <w:rPr>
          <w:rFonts w:ascii="Verdana" w:eastAsia="Times New Roman" w:hAnsi="Verdana" w:cs="Arial"/>
          <w:color w:val="000000"/>
          <w:sz w:val="21"/>
          <w:szCs w:val="21"/>
          <w:lang w:val="es-ES" w:eastAsia="es-CO"/>
        </w:rPr>
        <w:t>”</w:t>
      </w:r>
      <w:r w:rsidRPr="000C1853">
        <w:rPr>
          <w:rFonts w:ascii="Verdana" w:eastAsia="Times New Roman" w:hAnsi="Verdana" w:cs="Arial"/>
          <w:color w:val="000000"/>
          <w:sz w:val="21"/>
          <w:szCs w:val="21"/>
          <w:lang w:val="es-ES" w:eastAsia="es-CO"/>
        </w:rPr>
        <w:t xml:space="preserve"> En los procesos de contratación, las entidades estatales deberán aceptar la experiencia adquirida por los proponentes a través de la ejecución de contratos con particulares”. [Subrayado por fuera de texto original]</w:t>
      </w:r>
    </w:p>
    <w:p w14:paraId="5F152F54" w14:textId="77777777" w:rsidR="000C1853" w:rsidRPr="000C1853" w:rsidRDefault="000C1853" w:rsidP="000C1853">
      <w:pPr>
        <w:spacing w:after="0" w:line="276" w:lineRule="auto"/>
        <w:ind w:left="709" w:right="709"/>
        <w:jc w:val="both"/>
        <w:rPr>
          <w:rFonts w:ascii="Verdana" w:eastAsia="Times New Roman" w:hAnsi="Verdana" w:cs="Arial"/>
          <w:lang w:eastAsia="es-CO"/>
        </w:rPr>
      </w:pPr>
    </w:p>
    <w:p w14:paraId="4AC580E2"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0C1853">
        <w:rPr>
          <w:rFonts w:ascii="Verdana" w:eastAsia="Times New Roman" w:hAnsi="Verdana" w:cs="Arial"/>
          <w:lang w:val="es-ES" w:eastAsia="es-ES"/>
        </w:rPr>
        <w:t>ii</w:t>
      </w:r>
      <w:proofErr w:type="spellEnd"/>
      <w:r w:rsidRPr="000C1853">
        <w:rPr>
          <w:rFonts w:ascii="Verdana" w:eastAsia="Times New Roman" w:hAnsi="Verdana" w:cs="Arial"/>
          <w:lang w:val="es-ES" w:eastAsia="es-ES"/>
        </w:rPr>
        <w:t xml:space="preserve">) mantiene el criterio aclaratorio de la Ley 1150 de 2007, según el cual todo lo que no afecte la asignación de puntaje puede subsanarse; y, </w:t>
      </w:r>
      <w:proofErr w:type="spellStart"/>
      <w:r w:rsidRPr="000C1853">
        <w:rPr>
          <w:rFonts w:ascii="Verdana" w:eastAsia="Times New Roman" w:hAnsi="Verdana" w:cs="Arial"/>
          <w:lang w:val="es-ES" w:eastAsia="es-ES"/>
        </w:rPr>
        <w:t>iii</w:t>
      </w:r>
      <w:proofErr w:type="spellEnd"/>
      <w:r w:rsidRPr="000C1853">
        <w:rPr>
          <w:rFonts w:ascii="Verdana" w:eastAsia="Times New Roman" w:hAnsi="Verdana" w:cs="Arial"/>
          <w:lang w:val="es-ES" w:eastAsia="es-ES"/>
        </w:rPr>
        <w:t xml:space="preserve">) introduce modificaciones en relación con algunos aspectos que se analizarán a continuación. </w:t>
      </w:r>
    </w:p>
    <w:p w14:paraId="15EE3000" w14:textId="77777777" w:rsidR="000C1853" w:rsidRPr="000C1853" w:rsidRDefault="000C1853" w:rsidP="000C1853">
      <w:pPr>
        <w:spacing w:after="120" w:line="276" w:lineRule="auto"/>
        <w:ind w:right="51" w:firstLine="709"/>
        <w:jc w:val="both"/>
        <w:rPr>
          <w:rFonts w:ascii="Verdana" w:eastAsia="Times New Roman" w:hAnsi="Verdana" w:cs="Arial"/>
          <w:lang w:val="es-ES_tradnl" w:eastAsia="es-ES_tradnl"/>
        </w:rPr>
      </w:pPr>
      <w:r w:rsidRPr="000C1853">
        <w:rPr>
          <w:rFonts w:ascii="Verdana" w:eastAsia="Times New Roman" w:hAnsi="Verdana" w:cs="Arial"/>
          <w:i/>
          <w:iCs/>
          <w:lang w:val="es-ES_tradnl" w:eastAsia="es-ES_tradnl"/>
        </w:rPr>
        <w:t xml:space="preserve">La primera modificación </w:t>
      </w:r>
      <w:r w:rsidRPr="000C1853">
        <w:rPr>
          <w:rFonts w:ascii="Verdana" w:eastAsia="Times New Roman" w:hAnsi="Verdana" w:cs="Arial"/>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0C1853">
        <w:rPr>
          <w:rFonts w:ascii="Verdana" w:eastAsia="Times New Roman" w:hAnsi="Verdana" w:cs="Arial"/>
          <w:vertAlign w:val="superscript"/>
          <w:lang w:val="es-ES_tradnl" w:eastAsia="es-ES_tradnl"/>
        </w:rPr>
        <w:footnoteReference w:id="4"/>
      </w:r>
      <w:r w:rsidRPr="000C1853">
        <w:rPr>
          <w:rFonts w:ascii="Verdana" w:eastAsia="Times New Roman" w:hAnsi="Verdana" w:cs="Arial"/>
          <w:lang w:val="es-ES_tradnl" w:eastAsia="es-ES_tradnl"/>
        </w:rPr>
        <w:t>.</w:t>
      </w:r>
    </w:p>
    <w:p w14:paraId="6DB437EE"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000C1853">
        <w:rPr>
          <w:rFonts w:ascii="Verdana" w:eastAsia="Times New Roman" w:hAnsi="Verdana" w:cs="Arial"/>
          <w:lang w:val="es-ES" w:eastAsia="es-ES"/>
        </w:rPr>
        <w:t>obstante</w:t>
      </w:r>
      <w:proofErr w:type="gramEnd"/>
      <w:r w:rsidRPr="000C1853">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000C1853">
        <w:rPr>
          <w:rFonts w:ascii="Verdana" w:eastAsia="Times New Roman" w:hAnsi="Verdana" w:cs="Arial"/>
          <w:i/>
          <w:iCs/>
          <w:lang w:val="es-ES" w:eastAsia="es-ES"/>
        </w:rPr>
        <w:t xml:space="preserve">deberán ser solicitados por las entidades estatales y deberán ser </w:t>
      </w:r>
      <w:r w:rsidRPr="000C1853">
        <w:rPr>
          <w:rFonts w:ascii="Verdana" w:eastAsia="Times New Roman" w:hAnsi="Verdana" w:cs="Arial"/>
          <w:i/>
          <w:iCs/>
          <w:lang w:val="es-ES" w:eastAsia="es-ES"/>
        </w:rPr>
        <w:lastRenderedPageBreak/>
        <w:t>entregados por los proponentes hasta el término de traslado del informe de evaluación que corresponda a cada modalidad de selección”.</w:t>
      </w:r>
      <w:r w:rsidRPr="000C1853">
        <w:rPr>
          <w:rFonts w:ascii="Verdana" w:eastAsia="Times New Roman" w:hAnsi="Verdana" w:cs="Arial"/>
          <w:lang w:val="es-ES" w:eastAsia="es-ES"/>
        </w:rPr>
        <w:t xml:space="preserve"> </w:t>
      </w:r>
    </w:p>
    <w:p w14:paraId="35D28DB0"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w:t>
      </w:r>
      <w:proofErr w:type="spellStart"/>
      <w:r w:rsidRPr="000C1853">
        <w:rPr>
          <w:rFonts w:ascii="Verdana" w:eastAsia="Times New Roman" w:hAnsi="Verdana" w:cs="Arial"/>
          <w:lang w:val="es-ES" w:eastAsia="es-ES"/>
        </w:rPr>
        <w:t>subsanabilidad</w:t>
      </w:r>
      <w:proofErr w:type="spellEnd"/>
      <w:r w:rsidRPr="000C1853">
        <w:rPr>
          <w:rFonts w:ascii="Verdana" w:eastAsia="Times New Roman" w:hAnsi="Verdana" w:cs="Arial"/>
          <w:lang w:val="es-ES" w:eastAsia="es-ES"/>
        </w:rPr>
        <w:t xml:space="preserve"> de las ofertas se refiere. </w:t>
      </w:r>
      <w:r w:rsidRPr="000C1853">
        <w:rPr>
          <w:rFonts w:ascii="Verdana" w:eastAsia="Times New Roman" w:hAnsi="Verdana" w:cs="Arial"/>
          <w:i/>
          <w:iCs/>
          <w:lang w:val="es-ES" w:eastAsia="es-ES"/>
        </w:rPr>
        <w:t>Primera</w:t>
      </w:r>
      <w:r w:rsidRPr="000C1853">
        <w:rPr>
          <w:rFonts w:ascii="Verdana" w:eastAsia="Times New Roman" w:hAnsi="Verdana" w:cs="Arial"/>
          <w:lang w:val="es-ES" w:eastAsia="es-ES"/>
        </w:rPr>
        <w:t xml:space="preserve">, que la posibilidad para subsanar de los oferentes es el término de traslado del informe de evaluación, ya que es en este documento donde la Administración consigna los requisitos o documentos omitidos que los oferentes deben subsanar, so pena de rechazo. </w:t>
      </w:r>
      <w:r w:rsidRPr="000C1853">
        <w:rPr>
          <w:rFonts w:ascii="Verdana" w:eastAsia="Times New Roman" w:hAnsi="Verdana" w:cs="Arial"/>
          <w:i/>
          <w:iCs/>
          <w:lang w:val="es-ES" w:eastAsia="es-ES"/>
        </w:rPr>
        <w:t>Segunda</w:t>
      </w:r>
      <w:r w:rsidRPr="000C1853">
        <w:rPr>
          <w:rFonts w:ascii="Verdana" w:eastAsia="Times New Roman" w:hAnsi="Verdana" w:cs="Arial"/>
          <w:lang w:val="es-ES" w:eastAsia="es-ES"/>
        </w:rPr>
        <w:t xml:space="preserve">, que el término del traslado del informe de evaluación es el </w:t>
      </w:r>
      <w:r w:rsidRPr="000C1853">
        <w:rPr>
          <w:rFonts w:ascii="Verdana" w:eastAsia="Times New Roman" w:hAnsi="Verdana" w:cs="Arial"/>
          <w:i/>
          <w:lang w:val="es-ES" w:eastAsia="es-ES"/>
        </w:rPr>
        <w:t>límite</w:t>
      </w:r>
      <w:r w:rsidRPr="000C1853">
        <w:rPr>
          <w:rFonts w:ascii="Verdana" w:eastAsia="Times New Roman" w:hAnsi="Verdana" w:cs="Arial"/>
          <w:lang w:val="es-ES" w:eastAsia="es-ES"/>
        </w:rPr>
        <w:t xml:space="preserve"> para la subsanación de ofertas, pero no el único momento para hacerlo. </w:t>
      </w:r>
    </w:p>
    <w:p w14:paraId="699265E3" w14:textId="77777777" w:rsidR="000C1853" w:rsidRPr="000C1853" w:rsidRDefault="000C1853" w:rsidP="000C1853">
      <w:pPr>
        <w:spacing w:after="120" w:line="276" w:lineRule="auto"/>
        <w:ind w:firstLine="709"/>
        <w:jc w:val="both"/>
        <w:rPr>
          <w:rFonts w:ascii="Verdana" w:eastAsia="Times New Roman" w:hAnsi="Verdana" w:cs="Arial"/>
          <w:lang w:val="es-ES_tradnl" w:eastAsia="es-ES_tradnl"/>
        </w:rPr>
      </w:pPr>
      <w:r w:rsidRPr="000C1853">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  </w:t>
      </w:r>
    </w:p>
    <w:p w14:paraId="305BA436" w14:textId="77777777" w:rsidR="000C1853" w:rsidRPr="000C1853" w:rsidRDefault="000C1853" w:rsidP="000C1853">
      <w:pPr>
        <w:spacing w:after="120" w:line="276" w:lineRule="auto"/>
        <w:ind w:firstLine="709"/>
        <w:jc w:val="both"/>
        <w:rPr>
          <w:rFonts w:ascii="Verdana" w:eastAsia="Times New Roman" w:hAnsi="Verdana" w:cs="Arial"/>
          <w:lang w:val="es-ES_tradnl" w:eastAsia="es-ES_tradnl"/>
        </w:rPr>
      </w:pPr>
      <w:r w:rsidRPr="000C1853">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46B770ED"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w:t>
      </w:r>
      <w:r w:rsidRPr="000C1853">
        <w:rPr>
          <w:rFonts w:ascii="Verdana" w:eastAsia="Times New Roman" w:hAnsi="Verdana" w:cs="Arial"/>
          <w:lang w:val="es-ES" w:eastAsia="es-ES"/>
        </w:rPr>
        <w:lastRenderedPageBreak/>
        <w:t>antes, cuenten hasta el término de traslado del informe de evaluación con la posibilidad de presentar la información solicitada.</w:t>
      </w:r>
    </w:p>
    <w:p w14:paraId="06740E9D" w14:textId="77777777" w:rsidR="000C1853" w:rsidRPr="000C1853" w:rsidRDefault="000C1853" w:rsidP="000C1853">
      <w:pPr>
        <w:spacing w:after="120" w:line="276" w:lineRule="auto"/>
        <w:ind w:firstLine="709"/>
        <w:jc w:val="both"/>
        <w:rPr>
          <w:rFonts w:ascii="Verdana" w:eastAsia="Times New Roman" w:hAnsi="Verdana" w:cs="Arial"/>
          <w:lang w:val="es-ES_tradnl" w:eastAsia="es-ES_tradnl"/>
        </w:rPr>
      </w:pPr>
      <w:r w:rsidRPr="000C1853">
        <w:rPr>
          <w:rFonts w:ascii="Verdana" w:eastAsia="Times New Roman" w:hAnsi="Verdana" w:cs="Arial"/>
          <w:lang w:val="es-ES_tradnl" w:eastAsia="es-ES_tradnl"/>
        </w:rPr>
        <w:t xml:space="preserve">El </w:t>
      </w:r>
      <w:r w:rsidRPr="000C1853">
        <w:rPr>
          <w:rFonts w:ascii="Verdana" w:eastAsia="Times New Roman" w:hAnsi="Verdana" w:cs="Arial"/>
          <w:i/>
          <w:iCs/>
          <w:lang w:val="es-ES_tradnl" w:eastAsia="es-ES_tradnl"/>
        </w:rPr>
        <w:t>segundo cambio</w:t>
      </w:r>
      <w:r w:rsidRPr="000C1853">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0C1853">
        <w:rPr>
          <w:rFonts w:ascii="Verdana" w:eastAsia="Times New Roman" w:hAnsi="Verdana" w:cs="Arial"/>
          <w:i/>
          <w:iCs/>
          <w:lang w:val="es-ES_tradnl" w:eastAsia="es-ES_tradnl"/>
        </w:rPr>
        <w:t>“los proponentes no podrán acreditar circunstancias ocurridas con posterioridad al cierre del proceso”.</w:t>
      </w:r>
      <w:r w:rsidRPr="000C1853">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2D6160B2"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0C1853">
        <w:rPr>
          <w:rFonts w:ascii="Verdana" w:eastAsia="Times New Roman" w:hAnsi="Verdana" w:cs="Arial"/>
          <w:vertAlign w:val="superscript"/>
          <w:lang w:val="es-ES" w:eastAsia="es-ES"/>
        </w:rPr>
        <w:footnoteReference w:id="5"/>
      </w:r>
      <w:r w:rsidRPr="000C1853">
        <w:rPr>
          <w:rFonts w:ascii="Verdana" w:eastAsia="Times New Roman" w:hAnsi="Verdana" w:cs="Arial"/>
          <w:lang w:val="es-ES" w:eastAsia="es-ES"/>
        </w:rPr>
        <w:t>.</w:t>
      </w:r>
    </w:p>
    <w:p w14:paraId="0BC76755"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w:t>
      </w:r>
      <w:r w:rsidRPr="000C1853">
        <w:rPr>
          <w:rFonts w:ascii="Verdana" w:eastAsia="Times New Roman" w:hAnsi="Verdana" w:cs="Arial"/>
          <w:lang w:val="es-ES" w:eastAsia="es-ES"/>
        </w:rPr>
        <w:lastRenderedPageBreak/>
        <w:t xml:space="preserve">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BD3D31C"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Un mejor entendimiento del significado de la expresión </w:t>
      </w:r>
      <w:r w:rsidRPr="000C1853">
        <w:rPr>
          <w:rFonts w:ascii="Verdana" w:eastAsia="Times New Roman" w:hAnsi="Verdana" w:cs="Arial"/>
          <w:i/>
          <w:lang w:val="es-ES" w:eastAsia="es-ES"/>
        </w:rPr>
        <w:t>“circunstancias ocurridas con posterioridad al cierre del proceso”</w:t>
      </w:r>
      <w:r w:rsidRPr="000C1853">
        <w:rPr>
          <w:rFonts w:ascii="Verdana" w:eastAsia="Times New Roman" w:hAnsi="Verdana" w:cs="Arial"/>
          <w:lang w:val="es-ES" w:eastAsia="es-ES"/>
        </w:rPr>
        <w:t xml:space="preserve"> implica distinguir entre la prueba de un hecho y el hecho mismo. En el caso de la </w:t>
      </w:r>
      <w:proofErr w:type="spellStart"/>
      <w:r w:rsidRPr="000C1853">
        <w:rPr>
          <w:rFonts w:ascii="Verdana" w:eastAsia="Times New Roman" w:hAnsi="Verdana" w:cs="Arial"/>
          <w:lang w:val="es-ES" w:eastAsia="es-ES"/>
        </w:rPr>
        <w:t>subsanabilidad</w:t>
      </w:r>
      <w:proofErr w:type="spellEnd"/>
      <w:r w:rsidRPr="000C1853">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0C1853">
        <w:rPr>
          <w:rFonts w:ascii="Verdana" w:eastAsia="Times New Roman" w:hAnsi="Verdana" w:cs="Arial"/>
          <w:vertAlign w:val="superscript"/>
          <w:lang w:val="es-ES" w:eastAsia="es-ES"/>
        </w:rPr>
        <w:footnoteReference w:id="6"/>
      </w:r>
      <w:r w:rsidRPr="000C1853">
        <w:rPr>
          <w:rFonts w:ascii="Verdana" w:eastAsia="Times New Roman" w:hAnsi="Verdana" w:cs="Arial"/>
          <w:lang w:val="es-ES" w:eastAsia="es-ES"/>
        </w:rPr>
        <w:t xml:space="preserve">. </w:t>
      </w:r>
    </w:p>
    <w:p w14:paraId="0856D1F6" w14:textId="77777777" w:rsidR="000C1853" w:rsidRPr="000C1853" w:rsidRDefault="000C1853" w:rsidP="000C1853">
      <w:pPr>
        <w:spacing w:after="120" w:line="276" w:lineRule="auto"/>
        <w:ind w:firstLine="709"/>
        <w:jc w:val="both"/>
        <w:rPr>
          <w:rFonts w:ascii="Verdana" w:eastAsia="Times New Roman" w:hAnsi="Verdana" w:cs="Arial"/>
          <w:lang w:val="es-ES" w:eastAsia="es-ES"/>
        </w:rPr>
      </w:pPr>
      <w:r w:rsidRPr="000C1853">
        <w:rPr>
          <w:rFonts w:ascii="Verdana" w:eastAsia="Times New Roman" w:hAnsi="Verdana" w:cs="Arial"/>
          <w:lang w:val="es-ES" w:eastAsia="es-ES"/>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0C1853">
        <w:rPr>
          <w:rFonts w:ascii="Verdana" w:eastAsia="Times New Roman" w:hAnsi="Verdana" w:cs="Arial"/>
          <w:lang w:val="es-ES" w:eastAsia="es-ES"/>
        </w:rPr>
        <w:t>esta</w:t>
      </w:r>
      <w:proofErr w:type="spellEnd"/>
      <w:r w:rsidRPr="000C1853">
        <w:rPr>
          <w:rFonts w:ascii="Verdana" w:eastAsia="Times New Roman" w:hAnsi="Verdana" w:cs="Arial"/>
          <w:lang w:val="es-ES" w:eastAsia="es-ES"/>
        </w:rPr>
        <w:t xml:space="preserve"> en firme para dicho momento; </w:t>
      </w:r>
      <w:proofErr w:type="spellStart"/>
      <w:r w:rsidRPr="000C1853">
        <w:rPr>
          <w:rFonts w:ascii="Verdana" w:eastAsia="Times New Roman" w:hAnsi="Verdana" w:cs="Arial"/>
          <w:lang w:val="es-ES" w:eastAsia="es-ES"/>
        </w:rPr>
        <w:t>ii</w:t>
      </w:r>
      <w:proofErr w:type="spellEnd"/>
      <w:r w:rsidRPr="000C1853">
        <w:rPr>
          <w:rFonts w:ascii="Verdana" w:eastAsia="Times New Roman" w:hAnsi="Verdana" w:cs="Arial"/>
          <w:lang w:val="es-ES" w:eastAsia="es-ES"/>
        </w:rPr>
        <w:t xml:space="preserve">) si un oferente presentó la propuesta sin allegar la autorización al representante legal, por parte de la junta directiva de </w:t>
      </w:r>
      <w:r w:rsidRPr="000C1853">
        <w:rPr>
          <w:rFonts w:ascii="Verdana" w:eastAsia="Times New Roman" w:hAnsi="Verdana" w:cs="Arial"/>
          <w:lang w:val="es-ES" w:eastAsia="es-ES"/>
        </w:rPr>
        <w:lastRenderedPageBreak/>
        <w:t>la sociedad, el certificado, aunque sea posterior, debe dar cuenta de que el hecho que pretende acreditar –la autorización de la junta– ocurrió antes del vencimiento del término para ofertar</w:t>
      </w:r>
      <w:r w:rsidRPr="000C1853">
        <w:rPr>
          <w:rFonts w:ascii="Verdana" w:eastAsia="Times New Roman" w:hAnsi="Verdana" w:cs="Arial"/>
          <w:vertAlign w:val="superscript"/>
          <w:lang w:val="es-ES" w:eastAsia="es-ES"/>
        </w:rPr>
        <w:footnoteReference w:id="7"/>
      </w:r>
      <w:r w:rsidRPr="000C1853">
        <w:rPr>
          <w:rFonts w:ascii="Verdana" w:eastAsia="Times New Roman" w:hAnsi="Verdana" w:cs="Arial"/>
          <w:lang w:val="es-ES" w:eastAsia="es-ES"/>
        </w:rPr>
        <w:t xml:space="preserve">; </w:t>
      </w:r>
      <w:proofErr w:type="spellStart"/>
      <w:r w:rsidRPr="000C1853">
        <w:rPr>
          <w:rFonts w:ascii="Verdana" w:eastAsia="Times New Roman" w:hAnsi="Verdana" w:cs="Arial"/>
          <w:lang w:val="es-ES" w:eastAsia="es-ES"/>
        </w:rPr>
        <w:t>iii</w:t>
      </w:r>
      <w:proofErr w:type="spellEnd"/>
      <w:r w:rsidRPr="000C1853">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0C1853">
        <w:rPr>
          <w:rFonts w:ascii="Verdana" w:eastAsia="Times New Roman" w:hAnsi="Verdana" w:cs="Arial"/>
          <w:vertAlign w:val="superscript"/>
          <w:lang w:val="es-ES" w:eastAsia="es-ES"/>
        </w:rPr>
        <w:footnoteReference w:id="8"/>
      </w:r>
      <w:r w:rsidRPr="000C1853">
        <w:rPr>
          <w:rFonts w:ascii="Verdana" w:eastAsia="Times New Roman" w:hAnsi="Verdana" w:cs="Arial"/>
          <w:lang w:val="es-ES" w:eastAsia="es-ES"/>
        </w:rPr>
        <w:t xml:space="preserve">; </w:t>
      </w:r>
      <w:proofErr w:type="spellStart"/>
      <w:r w:rsidRPr="000C1853">
        <w:rPr>
          <w:rFonts w:ascii="Verdana" w:eastAsia="Times New Roman" w:hAnsi="Verdana" w:cs="Arial"/>
          <w:lang w:val="es-ES" w:eastAsia="es-ES"/>
        </w:rPr>
        <w:t>iv</w:t>
      </w:r>
      <w:proofErr w:type="spellEnd"/>
      <w:r w:rsidRPr="000C1853">
        <w:rPr>
          <w:rFonts w:ascii="Verdana" w:eastAsia="Times New Roman" w:hAnsi="Verdana"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05C1765B" w14:textId="77777777" w:rsidR="000C1853" w:rsidRPr="000C1853" w:rsidRDefault="000C1853" w:rsidP="000C1853">
      <w:pPr>
        <w:spacing w:after="120" w:line="276" w:lineRule="auto"/>
        <w:ind w:firstLine="709"/>
        <w:jc w:val="both"/>
        <w:rPr>
          <w:rFonts w:ascii="Verdana" w:eastAsia="Times New Roman" w:hAnsi="Verdana" w:cs="Arial"/>
          <w:i/>
          <w:lang w:val="es-ES" w:eastAsia="es-ES"/>
        </w:rPr>
      </w:pPr>
      <w:r w:rsidRPr="000C1853">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0C1853">
        <w:rPr>
          <w:rFonts w:ascii="Verdana" w:eastAsia="Times New Roman" w:hAnsi="Verdana" w:cs="Arial"/>
          <w:lang w:val="es-ES" w:eastAsia="es-ES"/>
        </w:rPr>
        <w:t>que</w:t>
      </w:r>
      <w:proofErr w:type="gramEnd"/>
      <w:r w:rsidRPr="000C1853">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0C1853">
        <w:rPr>
          <w:rFonts w:ascii="Verdana" w:eastAsia="Times New Roman" w:hAnsi="Verdana" w:cs="Arial"/>
          <w:vertAlign w:val="superscript"/>
          <w:lang w:val="es-ES" w:eastAsia="es-ES"/>
        </w:rPr>
        <w:footnoteReference w:id="9"/>
      </w:r>
      <w:r w:rsidRPr="000C1853">
        <w:rPr>
          <w:rFonts w:ascii="Verdana" w:eastAsia="Times New Roman" w:hAnsi="Verdana" w:cs="Arial"/>
          <w:lang w:val="es-ES" w:eastAsia="es-ES"/>
        </w:rPr>
        <w:t>.</w:t>
      </w:r>
    </w:p>
    <w:p w14:paraId="69E62612" w14:textId="77777777" w:rsidR="000C1853" w:rsidRPr="000C1853" w:rsidRDefault="000C1853" w:rsidP="000C1853">
      <w:pPr>
        <w:spacing w:after="120" w:line="276" w:lineRule="auto"/>
        <w:ind w:firstLine="708"/>
        <w:jc w:val="both"/>
        <w:rPr>
          <w:rFonts w:ascii="Verdana" w:eastAsia="Calibri" w:hAnsi="Verdana" w:cs="Arial"/>
          <w:color w:val="000000"/>
        </w:rPr>
      </w:pPr>
      <w:r w:rsidRPr="000C1853">
        <w:rPr>
          <w:rFonts w:ascii="Verdana" w:eastAsia="Times New Roman" w:hAnsi="Verdana" w:cs="Arial"/>
          <w:iCs/>
          <w:lang w:val="es-ES" w:eastAsia="es-ES"/>
        </w:rPr>
        <w:t>Ahora bien, e</w:t>
      </w:r>
      <w:r w:rsidRPr="000C1853">
        <w:rPr>
          <w:rFonts w:ascii="Verdana" w:eastAsia="Calibri" w:hAnsi="Verdana" w:cs="Arial"/>
          <w:iCs/>
          <w:color w:val="000000"/>
          <w:lang w:val="es-ES"/>
        </w:rPr>
        <w:t>l</w:t>
      </w:r>
      <w:r w:rsidRPr="000C1853">
        <w:rPr>
          <w:rFonts w:ascii="Verdana" w:eastAsia="Calibri" w:hAnsi="Verdana" w:cs="Arial"/>
          <w:color w:val="000000"/>
          <w:lang w:val="es-ES"/>
        </w:rPr>
        <w:t xml:space="preserve"> parágrafo 3 del artículo 5 de la Ley 1882 de 2018 determinó, de manera expresa, que “la no entrega de la garantía de seriedad </w:t>
      </w:r>
      <w:r w:rsidRPr="000C1853">
        <w:rPr>
          <w:rFonts w:ascii="Verdana" w:eastAsia="Calibri" w:hAnsi="Verdana" w:cs="Arial"/>
          <w:color w:val="000000"/>
          <w:lang w:val="es-ES"/>
        </w:rPr>
        <w:lastRenderedPageBreak/>
        <w:t xml:space="preserve">junto con la propuesta no será subsanable y será causal de rechazo de </w:t>
      </w:r>
      <w:proofErr w:type="gramStart"/>
      <w:r w:rsidRPr="000C1853">
        <w:rPr>
          <w:rFonts w:ascii="Verdana" w:eastAsia="Calibri" w:hAnsi="Verdana" w:cs="Arial"/>
          <w:color w:val="000000"/>
          <w:lang w:val="es-ES"/>
        </w:rPr>
        <w:t>la misma</w:t>
      </w:r>
      <w:proofErr w:type="gramEnd"/>
      <w:r w:rsidRPr="000C1853">
        <w:rPr>
          <w:rFonts w:ascii="Verdana" w:eastAsia="Calibri" w:hAnsi="Verdana" w:cs="Arial"/>
          <w:color w:val="000000"/>
          <w:lang w:val="es-ES"/>
        </w:rPr>
        <w:t>”, dejando claro que se trata de un documento de obligatoria presentación junto con la propuesta y que materializa los principios de seriedad e irrevocabilidad de la oferta.</w:t>
      </w:r>
      <w:r w:rsidRPr="000C1853">
        <w:rPr>
          <w:rFonts w:ascii="Verdana" w:eastAsia="Calibri" w:hAnsi="Verdana" w:cs="Arial"/>
          <w:color w:val="000000"/>
        </w:rPr>
        <w:t> </w:t>
      </w:r>
    </w:p>
    <w:p w14:paraId="3D4F7667" w14:textId="77777777" w:rsidR="000C1853" w:rsidRPr="000C1853" w:rsidRDefault="000C1853" w:rsidP="000C1853">
      <w:pPr>
        <w:spacing w:after="0" w:line="276" w:lineRule="auto"/>
        <w:ind w:firstLine="709"/>
        <w:jc w:val="both"/>
        <w:rPr>
          <w:rFonts w:ascii="Verdana" w:eastAsia="Calibri" w:hAnsi="Verdana" w:cs="Arial"/>
          <w:color w:val="000000"/>
        </w:rPr>
      </w:pPr>
      <w:r w:rsidRPr="000C1853">
        <w:rPr>
          <w:rFonts w:ascii="Verdana" w:eastAsia="Calibri" w:hAnsi="Verdana" w:cs="Arial"/>
          <w:color w:val="000000"/>
        </w:rPr>
        <w:t>Tratándose de los documentos tipo, el numeral 1.6 del documento base de infraestructura de transporte</w:t>
      </w:r>
      <w:r w:rsidRPr="000C1853">
        <w:rPr>
          <w:rFonts w:ascii="Verdana" w:eastAsia="Calibri" w:hAnsi="Verdana" w:cs="Arial"/>
          <w:color w:val="000000"/>
          <w:vertAlign w:val="superscript"/>
        </w:rPr>
        <w:footnoteReference w:id="10"/>
      </w:r>
      <w:r w:rsidRPr="000C1853">
        <w:rPr>
          <w:rFonts w:ascii="Verdana" w:eastAsia="Calibri" w:hAnsi="Verdana" w:cs="Arial"/>
          <w:color w:val="000000"/>
        </w:rPr>
        <w:t xml:space="preserve"> contempla las reglas de </w:t>
      </w:r>
      <w:proofErr w:type="spellStart"/>
      <w:r w:rsidRPr="000C1853">
        <w:rPr>
          <w:rFonts w:ascii="Verdana" w:eastAsia="Calibri" w:hAnsi="Verdana" w:cs="Arial"/>
          <w:color w:val="000000"/>
        </w:rPr>
        <w:t>subsanabilidad</w:t>
      </w:r>
      <w:proofErr w:type="spellEnd"/>
      <w:r w:rsidRPr="000C1853">
        <w:rPr>
          <w:rFonts w:ascii="Verdana" w:eastAsia="Calibri" w:hAnsi="Verdana" w:cs="Arial"/>
          <w:color w:val="000000"/>
        </w:rPr>
        <w:t xml:space="preserve"> de las ofertas, en los siguientes términos:</w:t>
      </w:r>
    </w:p>
    <w:p w14:paraId="2C7E1C8B" w14:textId="77777777" w:rsidR="000C1853" w:rsidRPr="000C1853" w:rsidRDefault="000C1853" w:rsidP="000C1853">
      <w:pPr>
        <w:spacing w:after="0" w:line="276" w:lineRule="auto"/>
        <w:jc w:val="both"/>
        <w:rPr>
          <w:rFonts w:ascii="Verdana" w:eastAsia="Calibri" w:hAnsi="Verdana" w:cs="Arial"/>
          <w:color w:val="000000"/>
        </w:rPr>
      </w:pPr>
    </w:p>
    <w:p w14:paraId="7D19D323"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w:t>
      </w:r>
    </w:p>
    <w:p w14:paraId="62C5F354"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 xml:space="preserve">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 </w:t>
      </w:r>
    </w:p>
    <w:p w14:paraId="5F14C30B"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p>
    <w:p w14:paraId="3A8B5B8E"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En caso de que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 con el fin de que los allegue. En caso de que sea necesario, la Entidad ajustará el Cronograma. Lo aquí descrito también aplicará cuando la observación a la oferta provenga de otro Proponente y se hubiere realizado en el traslado del informe de evaluación.</w:t>
      </w:r>
    </w:p>
    <w:p w14:paraId="0F443945"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p>
    <w:p w14:paraId="4755C802"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 xml:space="preserve">En los procesos adelantados en el SECOP I, las subsanaciones, explicaciones y aclaraciones se presentarán por cualquier medio: en físico, entre las horas de atención al público; o por correo electrónico </w:t>
      </w:r>
      <w:r w:rsidRPr="000C1853">
        <w:rPr>
          <w:rFonts w:ascii="Verdana" w:eastAsia="Calibri" w:hAnsi="Verdana" w:cs="Arial"/>
          <w:color w:val="000000"/>
          <w:sz w:val="21"/>
          <w:szCs w:val="21"/>
        </w:rPr>
        <w:lastRenderedPageBreak/>
        <w:t>hasta las 11:59 p. m. del día establecido en el cronograma. Los adelantados en el SECOP II se subsanarán por medio de mensajes, en la forma prevista en la plataforma.</w:t>
      </w:r>
    </w:p>
    <w:p w14:paraId="40E6DA8E"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p>
    <w:p w14:paraId="735B4DA7"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Todos aquellos requisitos de la oferta que afecten la asignación de puntaje, incluyendo los necesarios para acreditar requisitos de desempate, no son subsanables, por lo que los mismos deben ser aportados por los proponentes desde la presentación de la oferta.</w:t>
      </w:r>
    </w:p>
    <w:p w14:paraId="10BEF83B" w14:textId="77777777" w:rsidR="000C1853" w:rsidRPr="000C1853" w:rsidRDefault="000C1853" w:rsidP="000C1853">
      <w:pPr>
        <w:spacing w:after="0" w:line="240" w:lineRule="auto"/>
        <w:ind w:left="709" w:right="709"/>
        <w:jc w:val="both"/>
        <w:rPr>
          <w:rFonts w:ascii="Verdana" w:eastAsia="Calibri" w:hAnsi="Verdana" w:cs="Arial"/>
          <w:color w:val="000000"/>
          <w:sz w:val="21"/>
          <w:szCs w:val="21"/>
        </w:rPr>
      </w:pPr>
      <w:r w:rsidRPr="000C1853">
        <w:rPr>
          <w:rFonts w:ascii="Verdana" w:eastAsia="Calibri" w:hAnsi="Verdana" w:cs="Arial"/>
          <w:color w:val="000000"/>
          <w:sz w:val="21"/>
          <w:szCs w:val="21"/>
        </w:rPr>
        <w:t>[…]”</w:t>
      </w:r>
    </w:p>
    <w:p w14:paraId="0945ACF4" w14:textId="77777777" w:rsidR="000C1853" w:rsidRPr="000C1853" w:rsidRDefault="000C1853" w:rsidP="000C1853">
      <w:pPr>
        <w:spacing w:after="0" w:line="276" w:lineRule="auto"/>
        <w:ind w:left="709" w:right="709"/>
        <w:jc w:val="both"/>
        <w:rPr>
          <w:rFonts w:ascii="Verdana" w:eastAsia="Calibri" w:hAnsi="Verdana" w:cs="Arial"/>
          <w:color w:val="000000"/>
        </w:rPr>
      </w:pPr>
    </w:p>
    <w:p w14:paraId="5108C4FC" w14:textId="5A0551CB"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Como puede observarse, los documentos tipo se encuentran en plena consonancia con lo expuesto en el presente concepto, de acuerdo con las normas aquí referidas. Sin embargo, este es un análisis que deberá realizar la entidad contratante en cada caso concreto, dependiendo de la situación que amerite subsanación. </w:t>
      </w:r>
    </w:p>
    <w:p w14:paraId="5879E82A" w14:textId="77777777" w:rsidR="000C1853" w:rsidRPr="000C1853" w:rsidRDefault="000C1853" w:rsidP="000C1853">
      <w:pPr>
        <w:spacing w:after="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Ahora bien, el numeral 2.5 del documento base de los documentos tipo en comento, dispone las reglas sobre el </w:t>
      </w:r>
      <w:r w:rsidRPr="000C1853">
        <w:rPr>
          <w:rFonts w:ascii="Verdana" w:eastAsia="Calibri" w:hAnsi="Verdana" w:cs="Arial"/>
          <w:i/>
          <w:iCs/>
          <w:color w:val="000000"/>
        </w:rPr>
        <w:t>informe de evaluación de aspectos distintos a la oferta económica,</w:t>
      </w:r>
      <w:r w:rsidRPr="000C1853">
        <w:rPr>
          <w:rFonts w:ascii="Verdana" w:eastAsia="Calibri" w:hAnsi="Verdana" w:cs="Arial"/>
          <w:color w:val="000000"/>
        </w:rPr>
        <w:t xml:space="preserve"> en los siguientes términos:</w:t>
      </w:r>
    </w:p>
    <w:p w14:paraId="57CC6D52" w14:textId="77777777" w:rsidR="000C1853" w:rsidRPr="000C1853" w:rsidRDefault="000C1853" w:rsidP="000C1853">
      <w:pPr>
        <w:spacing w:after="0" w:line="276" w:lineRule="auto"/>
        <w:ind w:firstLine="709"/>
        <w:jc w:val="both"/>
        <w:rPr>
          <w:rFonts w:ascii="Verdana" w:eastAsia="Calibri" w:hAnsi="Verdana" w:cs="Arial"/>
          <w:color w:val="000000"/>
        </w:rPr>
      </w:pPr>
    </w:p>
    <w:p w14:paraId="588AC95D" w14:textId="77777777" w:rsidR="000C1853" w:rsidRPr="000C1853" w:rsidRDefault="000C1853" w:rsidP="000C1853">
      <w:pPr>
        <w:spacing w:after="0" w:line="240" w:lineRule="auto"/>
        <w:ind w:left="709" w:right="709"/>
        <w:jc w:val="both"/>
        <w:rPr>
          <w:rFonts w:ascii="Verdana" w:eastAsia="Aptos" w:hAnsi="Verdana" w:cs="Times New Roman"/>
          <w:kern w:val="2"/>
          <w:sz w:val="21"/>
          <w:szCs w:val="21"/>
          <w:lang w:val="es-MX"/>
          <w14:ligatures w14:val="standardContextual"/>
        </w:rPr>
      </w:pPr>
      <w:r w:rsidRPr="000C1853">
        <w:rPr>
          <w:rFonts w:ascii="Verdana" w:eastAsia="Aptos" w:hAnsi="Verdana" w:cs="Times New Roman"/>
          <w:kern w:val="2"/>
          <w:sz w:val="21"/>
          <w:szCs w:val="21"/>
          <w:lang w:val="es-MX"/>
          <w14:ligatures w14:val="standardContextual"/>
        </w:rPr>
        <w:t xml:space="preserve">“En la fecha establecida en el Anexo 2 - Cronograma, la entidad publicará el informe de evaluación de los documentos e información de los requisitos habilitantes y los documentos a los que se les asigne puntaje, diferentes a la oferta económica, contenidos en el Sobre 1. El informe permanecerá publicado en el SECOP y a disposición de los interesados durante cinco (5) días hábiles, término hasta el cual los proponentes podrán hacer las observaciones que consideren y entregar los documentos y la información solicitada por la entidad en los términos señalados en la sección 1.6, salvo que ya lo hubieren hecho en un momento anterior, de conformidad con el mismo numeral citado. </w:t>
      </w:r>
    </w:p>
    <w:p w14:paraId="5F5BE82C" w14:textId="77777777" w:rsidR="000C1853" w:rsidRPr="000C1853" w:rsidRDefault="000C1853" w:rsidP="000C1853">
      <w:pPr>
        <w:spacing w:after="0" w:line="240" w:lineRule="auto"/>
        <w:ind w:left="709" w:right="709"/>
        <w:jc w:val="both"/>
        <w:rPr>
          <w:rFonts w:ascii="Verdana" w:eastAsia="Aptos" w:hAnsi="Verdana" w:cs="Times New Roman"/>
          <w:kern w:val="2"/>
          <w:sz w:val="21"/>
          <w:szCs w:val="21"/>
          <w:lang w:val="es-MX"/>
          <w14:ligatures w14:val="standardContextual"/>
        </w:rPr>
      </w:pPr>
      <w:r w:rsidRPr="000C1853">
        <w:rPr>
          <w:rFonts w:ascii="Verdana" w:eastAsia="Aptos" w:hAnsi="Verdana" w:cs="Times New Roman"/>
          <w:kern w:val="2"/>
          <w:sz w:val="21"/>
          <w:szCs w:val="21"/>
          <w:lang w:val="es-MX"/>
          <w14:ligatures w14:val="standardContextual"/>
        </w:rPr>
        <w:t>[…]</w:t>
      </w:r>
    </w:p>
    <w:p w14:paraId="63E6D5B2" w14:textId="77777777" w:rsidR="000C1853" w:rsidRPr="000C1853" w:rsidRDefault="000C1853" w:rsidP="000C1853">
      <w:pPr>
        <w:spacing w:after="0" w:line="240" w:lineRule="auto"/>
        <w:ind w:left="709" w:right="709"/>
        <w:jc w:val="both"/>
        <w:rPr>
          <w:rFonts w:ascii="Verdana" w:eastAsia="Aptos" w:hAnsi="Verdana" w:cs="Times New Roman"/>
          <w:kern w:val="2"/>
          <w:sz w:val="21"/>
          <w:szCs w:val="21"/>
          <w:lang w:val="es-MX"/>
          <w14:ligatures w14:val="standardContextual"/>
        </w:rPr>
      </w:pPr>
      <w:r w:rsidRPr="000C1853">
        <w:rPr>
          <w:rFonts w:ascii="Verdana" w:eastAsia="Aptos" w:hAnsi="Verdana" w:cs="Times New Roman"/>
          <w:kern w:val="2"/>
          <w:sz w:val="21"/>
          <w:szCs w:val="21"/>
          <w:lang w:val="es-MX"/>
          <w14:ligatures w14:val="standardContextual"/>
        </w:rPr>
        <w:t>Con posterioridad al vencimiento del plazo para presentar observaciones y a más tardar el día antes de la audiencia efectiva de adjudicación, hasta las 11:59 p.m. de acuerdo con lo señalado en el Anexo 2 – Cronograma, la entidad debe publicar el informe final de evaluación, en caso de que el inicial haya sufrido variaciones”.</w:t>
      </w:r>
    </w:p>
    <w:p w14:paraId="29A0F537" w14:textId="77777777" w:rsidR="000C1853" w:rsidRPr="000C1853" w:rsidRDefault="000C1853" w:rsidP="000C1853">
      <w:pPr>
        <w:spacing w:after="0" w:line="276" w:lineRule="auto"/>
        <w:jc w:val="both"/>
        <w:rPr>
          <w:rFonts w:ascii="Verdana" w:eastAsia="Calibri" w:hAnsi="Verdana" w:cs="Arial"/>
          <w:color w:val="000000"/>
        </w:rPr>
      </w:pPr>
    </w:p>
    <w:p w14:paraId="1EEC19DF" w14:textId="77777777"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De acuerdo con lo anterior, se tiene que las entidades contratantes deben publicar en SECOP, durante cinco (5) días hábiles, el informe de evaluación relacionado con los requisitos habilitantes y documentos a los que se les asigne </w:t>
      </w:r>
      <w:r w:rsidRPr="000C1853">
        <w:rPr>
          <w:rFonts w:ascii="Verdana" w:eastAsia="Calibri" w:hAnsi="Verdana" w:cs="Arial"/>
          <w:color w:val="000000"/>
        </w:rPr>
        <w:lastRenderedPageBreak/>
        <w:t>puntaje, diferentes a la oferta económica. Durante este término, los proponentes podrán realizar las observaciones que consideren, así como entregar los documentos e información requerida conforme al numeral 1.6 “REGLAS DE SUBSANABILIDAD, EXPLICACIONES Y ACLARACIONES” del documento base, sin perjuicio de que ya lo hubieren hecho en un momento anterior.</w:t>
      </w:r>
    </w:p>
    <w:p w14:paraId="62A94026" w14:textId="77777777"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A su turno, con posterioridad al vencimiento del plazo para presentar observaciones y a más tardar el día antes de la audiencia efectiva de adjudicación, la entidad debe publicar el informe final de evaluación, en caso de que haya sufrido alteraciones. </w:t>
      </w:r>
    </w:p>
    <w:p w14:paraId="120EDE3B" w14:textId="77777777" w:rsidR="000C1853" w:rsidRPr="000C1853" w:rsidRDefault="000C1853" w:rsidP="000C1853">
      <w:pPr>
        <w:spacing w:after="120" w:line="276" w:lineRule="auto"/>
        <w:ind w:firstLine="709"/>
        <w:jc w:val="both"/>
        <w:rPr>
          <w:rFonts w:ascii="Verdana" w:eastAsia="Calibri" w:hAnsi="Verdana" w:cs="Arial"/>
          <w:color w:val="000000"/>
        </w:rPr>
      </w:pPr>
      <w:r w:rsidRPr="000C1853">
        <w:rPr>
          <w:rFonts w:ascii="Verdana" w:eastAsia="Calibri" w:hAnsi="Verdana" w:cs="Arial"/>
          <w:color w:val="000000"/>
        </w:rPr>
        <w:t xml:space="preserve">Finalmente, conviene advertir que, en atención a lo dispuesto en el numeral 2.6 del documento base, que señala las reglas que conciernen a la </w:t>
      </w:r>
      <w:r w:rsidRPr="000C1853">
        <w:rPr>
          <w:rFonts w:ascii="Verdana" w:eastAsia="Calibri" w:hAnsi="Verdana" w:cs="Arial"/>
          <w:i/>
          <w:iCs/>
          <w:color w:val="000000"/>
        </w:rPr>
        <w:t>audiencia efectiva de adjudicación,</w:t>
      </w:r>
      <w:r w:rsidRPr="000C1853">
        <w:rPr>
          <w:rFonts w:ascii="Verdana" w:eastAsia="Calibri" w:hAnsi="Verdana" w:cs="Arial"/>
          <w:color w:val="000000"/>
        </w:rPr>
        <w:t xml:space="preserve"> al inicio de </w:t>
      </w:r>
      <w:proofErr w:type="gramStart"/>
      <w:r w:rsidRPr="000C1853">
        <w:rPr>
          <w:rFonts w:ascii="Verdana" w:eastAsia="Calibri" w:hAnsi="Verdana" w:cs="Arial"/>
          <w:color w:val="000000"/>
        </w:rPr>
        <w:t>la misma</w:t>
      </w:r>
      <w:proofErr w:type="gramEnd"/>
      <w:r w:rsidRPr="000C1853">
        <w:rPr>
          <w:rFonts w:ascii="Verdana" w:eastAsia="Calibri" w:hAnsi="Verdana" w:cs="Arial"/>
          <w:color w:val="000000"/>
        </w:rPr>
        <w:t>, la entidad otorgará la palabra a los proponentes para presentar las observaciones al informe final de evaluación, lo cual no podrá entenderse como una oportunidad adicional para aportar documentos o elementos que no hayan sido incorporados en el plazo definido en el numeral 1.6. Esto, sin perjuicio de la potestad de la entidad de realizar las verificaciones que considere pertinentes para la adecuada selección del contratista.</w:t>
      </w:r>
    </w:p>
    <w:p w14:paraId="5F702A8A" w14:textId="77777777" w:rsidR="000C1853" w:rsidRPr="000C1853" w:rsidRDefault="000C1853" w:rsidP="000C1853">
      <w:pPr>
        <w:spacing w:after="0" w:line="276" w:lineRule="auto"/>
        <w:ind w:firstLine="709"/>
        <w:jc w:val="both"/>
        <w:rPr>
          <w:rFonts w:ascii="Verdana" w:eastAsia="Calibri" w:hAnsi="Verdana" w:cs="Arial"/>
          <w:color w:val="000000"/>
        </w:rPr>
      </w:pPr>
      <w:r w:rsidRPr="000C1853">
        <w:rPr>
          <w:rFonts w:ascii="Verdana" w:eastAsia="Calibri" w:hAnsi="Verdana" w:cs="Arial"/>
          <w:color w:val="000000"/>
        </w:rPr>
        <w:t>Una vez resueltas las observaciones frente al informe de evaluación, en caso de que haya lugar a ello, la entidad dará apertura al Sobre No. 2 de los proponentes habilitados, y evaluará la oferta económica a través del mecanismo escogido mediante el método aleatorio que resulte aplicable de conformidad con lo establecido en el numeral 4.1. del documento base. Con posterioridad, se correrá traslado a los proponentes habilitados solo para la revisión del aspecto económico y se definirá el orden de elegibilidad.</w:t>
      </w:r>
    </w:p>
    <w:p w14:paraId="6D1CD74F" w14:textId="77777777" w:rsidR="000C1853" w:rsidRPr="000C1853" w:rsidRDefault="000C1853" w:rsidP="000C1853">
      <w:pPr>
        <w:spacing w:after="0" w:line="276" w:lineRule="auto"/>
        <w:jc w:val="both"/>
        <w:rPr>
          <w:rFonts w:ascii="Verdana" w:eastAsia="Calibri" w:hAnsi="Verdana" w:cs="Arial"/>
          <w:color w:val="000000"/>
        </w:rPr>
      </w:pPr>
    </w:p>
    <w:p w14:paraId="067CD01D" w14:textId="77777777" w:rsidR="000C1853" w:rsidRPr="000C1853" w:rsidRDefault="000C1853" w:rsidP="000C18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C1853">
        <w:rPr>
          <w:rFonts w:ascii="Verdana" w:eastAsia="Century Gothic" w:hAnsi="Verdana" w:cs="Century Gothic"/>
          <w:b/>
          <w:bCs/>
          <w:lang w:val="es-ES_tradnl"/>
        </w:rPr>
        <w:t>Referencias normativas, jurisprudenciales y otras fuentes:</w:t>
      </w:r>
    </w:p>
    <w:p w14:paraId="7D4896EA" w14:textId="77777777" w:rsidR="000C1853" w:rsidRPr="000C1853" w:rsidRDefault="000C1853" w:rsidP="000C1853">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C1853" w:rsidRPr="000C1853" w14:paraId="2CC5351B" w14:textId="77777777" w:rsidTr="00153392">
        <w:trPr>
          <w:trHeight w:val="870"/>
        </w:trPr>
        <w:tc>
          <w:tcPr>
            <w:tcW w:w="8647" w:type="dxa"/>
          </w:tcPr>
          <w:p w14:paraId="64D2798E" w14:textId="77777777" w:rsidR="000C1853" w:rsidRPr="000C1853" w:rsidRDefault="000C1853" w:rsidP="000C1853">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0C1853">
              <w:rPr>
                <w:rFonts w:ascii="Verdana" w:eastAsia="Calibri" w:hAnsi="Verdana" w:cs="Arial"/>
                <w:lang w:val="es-ES_tradnl"/>
              </w:rPr>
              <w:t>Ley 2022 de 2020, artículo 1.</w:t>
            </w:r>
          </w:p>
          <w:p w14:paraId="798E21D0" w14:textId="77777777" w:rsidR="000C1853" w:rsidRPr="000C1853" w:rsidRDefault="000C1853" w:rsidP="000C1853">
            <w:pPr>
              <w:numPr>
                <w:ilvl w:val="0"/>
                <w:numId w:val="17"/>
              </w:numPr>
              <w:snapToGrid w:val="0"/>
              <w:spacing w:after="120" w:line="276" w:lineRule="auto"/>
              <w:jc w:val="both"/>
              <w:rPr>
                <w:rFonts w:ascii="Verdana" w:eastAsia="Calibri" w:hAnsi="Verdana" w:cs="Arial"/>
                <w:noProof/>
                <w:lang w:val="es-ES_tradnl"/>
              </w:rPr>
            </w:pPr>
            <w:r w:rsidRPr="000C1853">
              <w:rPr>
                <w:rFonts w:ascii="Verdana" w:eastAsia="Calibri" w:hAnsi="Verdana" w:cs="Arial"/>
                <w:noProof/>
                <w:lang w:val="es-ES_tradnl"/>
              </w:rPr>
              <w:t xml:space="preserve">Ley 1150 de 2007, artículo 5. Modificado por la Ley 1882 de 2018, parágrafos 1, 3 y 4. </w:t>
            </w:r>
          </w:p>
          <w:p w14:paraId="5CB4119C" w14:textId="77777777" w:rsidR="000C1853" w:rsidRPr="000C1853" w:rsidRDefault="000C1853" w:rsidP="000C1853">
            <w:pPr>
              <w:numPr>
                <w:ilvl w:val="0"/>
                <w:numId w:val="17"/>
              </w:numPr>
              <w:snapToGrid w:val="0"/>
              <w:spacing w:after="120" w:line="276" w:lineRule="auto"/>
              <w:jc w:val="both"/>
              <w:rPr>
                <w:rFonts w:ascii="Verdana" w:eastAsia="Aptos" w:hAnsi="Verdana" w:cs="Arial"/>
                <w:lang w:val="es-ES"/>
              </w:rPr>
            </w:pPr>
            <w:r w:rsidRPr="000C1853">
              <w:rPr>
                <w:rFonts w:ascii="Verdana" w:eastAsia="Calibri" w:hAnsi="Verdana" w:cs="Arial"/>
                <w:noProof/>
                <w:lang w:val="es-ES_tradnl"/>
              </w:rPr>
              <w:t>Consejo de Estado. Sala de Consulta y Servicio Civil. Concepto del 20 de mayo de 2010. Exp. 1992. C.P. Enrique José Arboleda Perdomo.</w:t>
            </w:r>
          </w:p>
          <w:p w14:paraId="031480FE" w14:textId="77777777" w:rsidR="000C1853" w:rsidRPr="000C1853" w:rsidRDefault="000C1853" w:rsidP="000C1853">
            <w:pPr>
              <w:numPr>
                <w:ilvl w:val="0"/>
                <w:numId w:val="17"/>
              </w:numPr>
              <w:snapToGrid w:val="0"/>
              <w:spacing w:after="120" w:line="276" w:lineRule="auto"/>
              <w:jc w:val="both"/>
              <w:rPr>
                <w:rFonts w:ascii="Verdana" w:eastAsia="Calibri" w:hAnsi="Verdana" w:cs="Arial"/>
                <w:noProof/>
                <w:lang w:val="es-ES_tradnl"/>
              </w:rPr>
            </w:pPr>
            <w:r w:rsidRPr="000C1853">
              <w:rPr>
                <w:rFonts w:ascii="Verdana" w:eastAsia="Calibri" w:hAnsi="Verdana" w:cs="Arial"/>
                <w:noProof/>
                <w:lang w:val="es-ES_tradnl"/>
              </w:rPr>
              <w:lastRenderedPageBreak/>
              <w:t>Consejo De Estado. Sección Tercera, Subsección C. Sentencia del 26 de febrero de 2011. C.P. Jaime Orlando Santofimio. Rad. 36.408.</w:t>
            </w:r>
          </w:p>
          <w:p w14:paraId="44A5324A" w14:textId="77777777" w:rsidR="000C1853" w:rsidRPr="000C1853" w:rsidRDefault="000C1853" w:rsidP="000C1853">
            <w:pPr>
              <w:numPr>
                <w:ilvl w:val="0"/>
                <w:numId w:val="17"/>
              </w:numPr>
              <w:snapToGrid w:val="0"/>
              <w:spacing w:after="120" w:line="276" w:lineRule="auto"/>
              <w:jc w:val="both"/>
              <w:rPr>
                <w:rFonts w:ascii="Verdana" w:eastAsia="Calibri" w:hAnsi="Verdana" w:cs="Arial"/>
                <w:noProof/>
                <w:lang w:val="es-ES_tradnl"/>
              </w:rPr>
            </w:pPr>
            <w:r w:rsidRPr="000C1853">
              <w:rPr>
                <w:rFonts w:ascii="Verdana" w:eastAsia="Calibri" w:hAnsi="Verdana" w:cs="Arial"/>
                <w:noProof/>
                <w:lang w:val="es-ES_tradnl"/>
              </w:rPr>
              <w:t>Consejo de Estado. Sección Tercera. Subsección C. Sentencia del 26 de febrero de 2014. C.P. Enrique Gil Botero. Rad. 25.804.</w:t>
            </w:r>
          </w:p>
          <w:p w14:paraId="10872C8F" w14:textId="77777777" w:rsidR="000C1853" w:rsidRPr="000C1853" w:rsidRDefault="000C1853" w:rsidP="000C1853">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0C1853">
              <w:rPr>
                <w:rFonts w:ascii="Verdana" w:eastAsia="Aptos" w:hAnsi="Verdana" w:cs="Arial"/>
                <w:lang w:val="es-ES_tradnl"/>
              </w:rPr>
              <w:t xml:space="preserve">Documentos tipo de infraestructura de transporte. Disponibles en: </w:t>
            </w:r>
            <w:hyperlink r:id="rId11" w:history="1">
              <w:r w:rsidRPr="000C1853">
                <w:rPr>
                  <w:rFonts w:ascii="Verdana" w:eastAsia="Aptos" w:hAnsi="Verdana" w:cs="Arial"/>
                  <w:color w:val="0000FF"/>
                  <w:u w:val="single"/>
                  <w:lang w:val="es-ES_tradnl"/>
                </w:rPr>
                <w:t>https://www.colombiacompra.gov.co/normativa-y-relatoria/documentos-tipo</w:t>
              </w:r>
            </w:hyperlink>
            <w:r w:rsidRPr="000C1853">
              <w:rPr>
                <w:rFonts w:ascii="Verdana" w:eastAsia="Aptos" w:hAnsi="Verdana" w:cs="Arial"/>
                <w:lang w:val="es-ES_tradnl"/>
              </w:rPr>
              <w:t xml:space="preserve">. </w:t>
            </w:r>
          </w:p>
        </w:tc>
      </w:tr>
    </w:tbl>
    <w:p w14:paraId="24930768" w14:textId="77777777" w:rsidR="000C1853" w:rsidRPr="000C1853" w:rsidRDefault="000C1853" w:rsidP="000C1853">
      <w:pPr>
        <w:widowControl w:val="0"/>
        <w:autoSpaceDE w:val="0"/>
        <w:autoSpaceDN w:val="0"/>
        <w:snapToGrid w:val="0"/>
        <w:spacing w:after="0" w:line="276" w:lineRule="auto"/>
        <w:jc w:val="both"/>
        <w:rPr>
          <w:rFonts w:ascii="Verdana" w:eastAsia="Calibri" w:hAnsi="Verdana" w:cs="Arial"/>
          <w:lang w:val="es-ES_tradnl"/>
        </w:rPr>
      </w:pPr>
    </w:p>
    <w:p w14:paraId="378FD5E8" w14:textId="77777777" w:rsidR="000C1853" w:rsidRPr="000C1853" w:rsidRDefault="000C1853" w:rsidP="000C18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C1853">
        <w:rPr>
          <w:rFonts w:ascii="Verdana" w:eastAsia="Century Gothic" w:hAnsi="Verdana" w:cs="Century Gothic"/>
          <w:b/>
          <w:bCs/>
          <w:lang w:val="es-ES_tradnl"/>
        </w:rPr>
        <w:t>Doctrina de la Agencia Nacional de Contratación Pública:</w:t>
      </w:r>
    </w:p>
    <w:p w14:paraId="240DF6CE" w14:textId="77777777" w:rsidR="000C1853" w:rsidRPr="000C1853" w:rsidRDefault="000C1853" w:rsidP="000C1853">
      <w:pPr>
        <w:widowControl w:val="0"/>
        <w:autoSpaceDE w:val="0"/>
        <w:autoSpaceDN w:val="0"/>
        <w:snapToGrid w:val="0"/>
        <w:spacing w:after="0" w:line="276" w:lineRule="auto"/>
        <w:jc w:val="both"/>
        <w:rPr>
          <w:rFonts w:ascii="Verdana" w:eastAsia="Calibri" w:hAnsi="Verdana" w:cs="Arial"/>
          <w:lang w:val="es-ES_tradnl"/>
        </w:rPr>
      </w:pPr>
    </w:p>
    <w:p w14:paraId="46C2084A" w14:textId="77777777" w:rsidR="000C1853" w:rsidRPr="000C1853" w:rsidRDefault="000C1853" w:rsidP="000C1853">
      <w:pPr>
        <w:widowControl w:val="0"/>
        <w:autoSpaceDE w:val="0"/>
        <w:autoSpaceDN w:val="0"/>
        <w:spacing w:after="0" w:line="276" w:lineRule="auto"/>
        <w:jc w:val="both"/>
        <w:rPr>
          <w:rFonts w:ascii="Verdana" w:eastAsia="Times New Roman" w:hAnsi="Verdana" w:cs="Arial"/>
          <w:shd w:val="clear" w:color="auto" w:fill="FFFFFF"/>
          <w:lang w:val="es-ES"/>
        </w:rPr>
      </w:pPr>
      <w:r w:rsidRPr="000C1853">
        <w:rPr>
          <w:rFonts w:ascii="Verdana" w:eastAsia="Calibri" w:hAnsi="Verdana" w:cs="Arial"/>
          <w:kern w:val="2"/>
          <w:shd w:val="clear" w:color="auto" w:fill="FFFFFF"/>
          <w:lang w:val="es-ES_tradnl"/>
          <w14:ligatures w14:val="standardContextual"/>
        </w:rPr>
        <w:t xml:space="preserve">Esta Agencia ha estudiado la regla de </w:t>
      </w:r>
      <w:proofErr w:type="spellStart"/>
      <w:r w:rsidRPr="000C1853">
        <w:rPr>
          <w:rFonts w:ascii="Verdana" w:eastAsia="Calibri" w:hAnsi="Verdana" w:cs="Arial"/>
          <w:kern w:val="2"/>
          <w:shd w:val="clear" w:color="auto" w:fill="FFFFFF"/>
          <w:lang w:val="es-ES_tradnl"/>
          <w14:ligatures w14:val="standardContextual"/>
        </w:rPr>
        <w:t>subsanabilidad</w:t>
      </w:r>
      <w:proofErr w:type="spellEnd"/>
      <w:r w:rsidRPr="000C1853">
        <w:rPr>
          <w:rFonts w:ascii="Verdana" w:eastAsia="Calibri" w:hAnsi="Verdana" w:cs="Arial"/>
          <w:kern w:val="2"/>
          <w:shd w:val="clear" w:color="auto" w:fill="FFFFFF"/>
          <w:lang w:val="es-ES_tradnl"/>
          <w14:ligatures w14:val="standardContextual"/>
        </w:rPr>
        <w:t xml:space="preserve"> en los procesos de selección, en los conceptos </w:t>
      </w:r>
      <w:r w:rsidRPr="000C1853">
        <w:rPr>
          <w:rFonts w:ascii="Verdana" w:eastAsia="Calibri" w:hAnsi="Verdana" w:cs="Arial"/>
          <w:kern w:val="2"/>
          <w:lang w:val="es-ES"/>
          <w14:ligatures w14:val="standardContextual"/>
        </w:rPr>
        <w:t>4201913000007643 del 26 de diciembre de 2019, C-343 del 17 de junio de 2020, C-518 del 9 de septiembre de 2020, C-614 del 5 de octubre de 2022, C-882 del 21 de diciembre de 2022, C-172 del 6 de junio de 2023, C-120 del 7 de marzo de 2025, C-1210 del 8 de octubre de 2025, C-1610 del 4 de diciembre de 2025 y C-153 del 13 de marzo de 2026.</w:t>
      </w:r>
      <w:r w:rsidRPr="000C1853">
        <w:rPr>
          <w:rFonts w:ascii="Verdana" w:eastAsia="Calibri" w:hAnsi="Verdana" w:cs="Arial"/>
          <w:kern w:val="2"/>
          <w:shd w:val="clear" w:color="auto" w:fill="FFFFFF"/>
          <w:lang w:val="es-ES_tradnl"/>
          <w14:ligatures w14:val="standardContextual"/>
        </w:rPr>
        <w:t xml:space="preserve"> </w:t>
      </w:r>
      <w:r w:rsidRPr="000C1853">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0C1853">
          <w:rPr>
            <w:rFonts w:ascii="Verdana" w:eastAsia="Aptos" w:hAnsi="Verdana" w:cs="Arial"/>
            <w:color w:val="0000FF"/>
            <w:kern w:val="2"/>
            <w:u w:val="single"/>
            <w:shd w:val="clear" w:color="auto" w:fill="FFFFFF"/>
            <w14:ligatures w14:val="standardContextual"/>
          </w:rPr>
          <w:t>https://relatoria.colombiacompra.gov.co/busqueda/conceptos</w:t>
        </w:r>
      </w:hyperlink>
      <w:r w:rsidRPr="000C1853">
        <w:rPr>
          <w:rFonts w:ascii="Verdana" w:eastAsia="Aptos" w:hAnsi="Verdana" w:cs="Arial"/>
          <w:kern w:val="2"/>
          <w:shd w:val="clear" w:color="auto" w:fill="FFFFFF"/>
          <w14:ligatures w14:val="standardContextual"/>
        </w:rPr>
        <w:t xml:space="preserve">. </w:t>
      </w:r>
      <w:r w:rsidRPr="000C1853">
        <w:rPr>
          <w:rFonts w:ascii="Verdana" w:eastAsia="Aptos" w:hAnsi="Verdana" w:cs="Arial"/>
          <w:color w:val="FF0000"/>
          <w:kern w:val="2"/>
          <w:shd w:val="clear" w:color="auto" w:fill="FFFFFF"/>
          <w:lang w:val="es-ES"/>
          <w14:ligatures w14:val="standardContextual"/>
        </w:rPr>
        <w:t xml:space="preserve">  </w:t>
      </w:r>
    </w:p>
    <w:p w14:paraId="1CC4D55A" w14:textId="77777777" w:rsidR="000C1853" w:rsidRPr="000C1853" w:rsidRDefault="000C1853" w:rsidP="000C1853">
      <w:pPr>
        <w:spacing w:after="0" w:line="276" w:lineRule="auto"/>
        <w:jc w:val="both"/>
        <w:rPr>
          <w:rFonts w:ascii="Verdana" w:eastAsia="Calibri" w:hAnsi="Verdana" w:cs="Arial"/>
          <w:color w:val="000000"/>
          <w:shd w:val="clear" w:color="auto" w:fill="FFFFFF"/>
        </w:rPr>
      </w:pPr>
    </w:p>
    <w:p w14:paraId="4639A8B3" w14:textId="77777777" w:rsidR="000C1853" w:rsidRPr="000C1853" w:rsidRDefault="000C1853" w:rsidP="000C1853">
      <w:pPr>
        <w:spacing w:after="0" w:line="276" w:lineRule="auto"/>
        <w:jc w:val="both"/>
        <w:rPr>
          <w:rFonts w:ascii="Verdana" w:eastAsia="Times New Roman" w:hAnsi="Verdana" w:cs="Arial"/>
          <w:lang w:eastAsia="es-MX"/>
        </w:rPr>
      </w:pPr>
      <w:r w:rsidRPr="000C1853">
        <w:rPr>
          <w:rFonts w:ascii="Verdana" w:eastAsia="Times New Roman" w:hAnsi="Verdana" w:cs="Arial"/>
          <w:lang w:eastAsia="es-MX"/>
        </w:rPr>
        <w:t xml:space="preserve">La sostenibilidad no es una opción, es una obligación. Por ello, la Agencia Nacional de Contratación Pública –Colombia Compra Eficiente– le invita a realizar el </w:t>
      </w:r>
      <w:r w:rsidRPr="000C1853">
        <w:rPr>
          <w:rFonts w:ascii="Verdana" w:eastAsia="Times New Roman" w:hAnsi="Verdana" w:cs="Arial"/>
          <w:b/>
          <w:bCs/>
          <w:lang w:eastAsia="es-MX"/>
        </w:rPr>
        <w:t>Curso de Contratación Pública Sostenible y Socialmente Responsable</w:t>
      </w:r>
      <w:r w:rsidRPr="000C1853">
        <w:rPr>
          <w:rFonts w:ascii="Verdana" w:eastAsia="Times New Roman" w:hAnsi="Verdana"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0C1853">
        <w:rPr>
          <w:rFonts w:ascii="Verdana" w:eastAsia="Times New Roman" w:hAnsi="Verdana" w:cs="Arial"/>
          <w:lang w:eastAsia="es-MX"/>
        </w:rPr>
        <w:br/>
      </w:r>
      <w:hyperlink r:id="rId13" w:tgtFrame="_new" w:history="1">
        <w:r w:rsidRPr="000C1853">
          <w:rPr>
            <w:rFonts w:ascii="Verdana" w:eastAsia="Times New Roman" w:hAnsi="Verdana" w:cs="Arial"/>
            <w:color w:val="0000FF"/>
            <w:u w:val="single"/>
            <w:lang w:eastAsia="es-MX"/>
          </w:rPr>
          <w:t>https://formacionvirtual.colombiacompra.gov.co/mod/page/view.php?id=3718</w:t>
        </w:r>
      </w:hyperlink>
    </w:p>
    <w:p w14:paraId="2D09AE0D" w14:textId="77777777" w:rsidR="000C1853" w:rsidRPr="000C1853" w:rsidRDefault="000C1853" w:rsidP="000C1853">
      <w:pPr>
        <w:spacing w:after="0" w:line="276" w:lineRule="auto"/>
        <w:jc w:val="both"/>
        <w:rPr>
          <w:rFonts w:ascii="Verdana" w:eastAsia="Times New Roman" w:hAnsi="Verdana" w:cs="Arial"/>
          <w:lang w:eastAsia="es-MX"/>
        </w:rPr>
      </w:pPr>
    </w:p>
    <w:p w14:paraId="6766E616" w14:textId="77777777" w:rsidR="000C1853" w:rsidRPr="000C1853" w:rsidRDefault="000C1853" w:rsidP="000C1853">
      <w:pPr>
        <w:spacing w:after="0" w:line="276" w:lineRule="auto"/>
        <w:jc w:val="both"/>
        <w:rPr>
          <w:rFonts w:ascii="Verdana" w:eastAsia="Times New Roman" w:hAnsi="Verdana" w:cs="Arial"/>
          <w:lang w:eastAsia="es-MX"/>
        </w:rPr>
      </w:pPr>
      <w:r w:rsidRPr="000C1853">
        <w:rPr>
          <w:rFonts w:ascii="Verdana" w:eastAsia="Times New Roman" w:hAnsi="Verdana" w:cs="Arial"/>
          <w:lang w:eastAsia="es-MX"/>
        </w:rPr>
        <w:t xml:space="preserve">De otro lado, le contamos que esta Agencia ha da un paso decisivo en la estandarización y modernización del </w:t>
      </w:r>
      <w:r w:rsidRPr="000C1853">
        <w:rPr>
          <w:rFonts w:ascii="Verdana" w:eastAsia="Times New Roman" w:hAnsi="Verdana" w:cs="Arial"/>
          <w:b/>
          <w:bCs/>
          <w:lang w:eastAsia="es-MX"/>
        </w:rPr>
        <w:t>sector  social</w:t>
      </w:r>
      <w:r w:rsidRPr="000C1853">
        <w:rPr>
          <w:rFonts w:ascii="Verdana" w:eastAsia="Times New Roman" w:hAnsi="Verdana" w:cs="Arial"/>
          <w:lang w:eastAsia="es-MX"/>
        </w:rPr>
        <w:t xml:space="preserve"> con la expedición de las </w:t>
      </w:r>
      <w:r w:rsidRPr="000C1853">
        <w:rPr>
          <w:rFonts w:ascii="Verdana" w:eastAsia="Times New Roman" w:hAnsi="Verdana" w:cs="Arial"/>
          <w:b/>
          <w:bCs/>
          <w:lang w:eastAsia="es-MX"/>
        </w:rPr>
        <w:lastRenderedPageBreak/>
        <w:t>Resoluciones 539, 540, 541, 952 y 953 de 2025</w:t>
      </w:r>
      <w:r w:rsidRPr="000C1853">
        <w:rPr>
          <w:rFonts w:ascii="Verdana" w:eastAsia="Times New Roman" w:hAnsi="Verdana" w:cs="Arial"/>
          <w:lang w:eastAsia="es-MX"/>
        </w:rPr>
        <w:t xml:space="preserve">, </w:t>
      </w:r>
      <w:r w:rsidRPr="000C1853">
        <w:rPr>
          <w:rFonts w:ascii="Verdana" w:eastAsia="Times New Roman" w:hAnsi="Verdana" w:cs="Arial"/>
          <w:b/>
          <w:bCs/>
          <w:lang w:eastAsia="es-MX"/>
        </w:rPr>
        <w:t>mediante las cuales adoptó Documentos Tipo</w:t>
      </w:r>
      <w:r w:rsidRPr="000C1853">
        <w:rPr>
          <w:rFonts w:ascii="Verdana" w:eastAsia="Times New Roman" w:hAnsi="Verdana" w:cs="Arial"/>
          <w:lang w:eastAsia="es-MX"/>
        </w:rPr>
        <w:t xml:space="preserve"> para las modalidades de selección de</w:t>
      </w:r>
      <w:r w:rsidRPr="000C1853">
        <w:rPr>
          <w:rFonts w:ascii="Verdana" w:eastAsia="Times New Roman" w:hAnsi="Verdana" w:cs="Arial"/>
          <w:b/>
          <w:bCs/>
          <w:lang w:eastAsia="es-MX"/>
        </w:rPr>
        <w:t xml:space="preserve"> licitación pública (versión 2), selección abreviada de menor cuantía, mínima cuantía, consultoría e interventoría</w:t>
      </w:r>
      <w:r w:rsidRPr="000C1853">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C1853">
          <w:rPr>
            <w:rFonts w:ascii="Verdana" w:eastAsia="Times New Roman" w:hAnsi="Verdana" w:cs="Arial"/>
            <w:color w:val="0000FF"/>
            <w:u w:val="single"/>
            <w:lang w:eastAsia="es-MX"/>
          </w:rPr>
          <w:t>https://www.colombiacompra.gov.co/normativa-y-relatoria/documentos-tipo</w:t>
        </w:r>
      </w:hyperlink>
    </w:p>
    <w:p w14:paraId="7195D120" w14:textId="77777777" w:rsidR="000C1853" w:rsidRPr="000C1853" w:rsidRDefault="000C1853" w:rsidP="000C1853">
      <w:pPr>
        <w:spacing w:after="0" w:line="276" w:lineRule="auto"/>
        <w:jc w:val="both"/>
        <w:rPr>
          <w:rFonts w:ascii="Verdana" w:eastAsia="Times New Roman" w:hAnsi="Verdana" w:cs="Arial"/>
          <w:lang w:eastAsia="es-MX"/>
        </w:rPr>
      </w:pPr>
    </w:p>
    <w:p w14:paraId="1B84B17D" w14:textId="77777777" w:rsidR="000C1853" w:rsidRPr="000C1853" w:rsidRDefault="000C1853" w:rsidP="000C1853">
      <w:pPr>
        <w:spacing w:after="0" w:line="276" w:lineRule="auto"/>
        <w:jc w:val="both"/>
        <w:rPr>
          <w:rFonts w:ascii="Verdana" w:eastAsia="Times New Roman" w:hAnsi="Verdana" w:cs="Arial"/>
          <w:lang w:eastAsia="es-MX"/>
        </w:rPr>
      </w:pPr>
      <w:r w:rsidRPr="000C1853">
        <w:rPr>
          <w:rFonts w:ascii="Verdana" w:eastAsia="Times New Roman" w:hAnsi="Verdana" w:cs="Arial"/>
          <w:lang w:eastAsia="es-MX"/>
        </w:rPr>
        <w:t xml:space="preserve">Si quiere conocer más sobre la aplicación de Documentos Tipo puedes consultar la última versión de la </w:t>
      </w:r>
      <w:r w:rsidRPr="000C1853">
        <w:rPr>
          <w:rFonts w:ascii="Verdana" w:eastAsia="Times New Roman" w:hAnsi="Verdana" w:cs="Arial"/>
          <w:b/>
          <w:bCs/>
          <w:lang w:eastAsia="es-MX"/>
        </w:rPr>
        <w:t>Guía para la comprensión e implementación de los Documentos Tipo de obra pública de infraestructura de transporte</w:t>
      </w:r>
      <w:r w:rsidRPr="000C1853">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0C1853">
        <w:rPr>
          <w:rFonts w:ascii="Verdana" w:eastAsia="Times New Roman" w:hAnsi="Verdana" w:cs="Arial"/>
          <w:lang w:eastAsia="es-MX"/>
        </w:rPr>
        <w:br/>
      </w:r>
      <w:hyperlink r:id="rId15" w:tgtFrame="_new" w:history="1">
        <w:r w:rsidRPr="000C1853">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4C99BB70" w14:textId="77777777" w:rsidR="000C1853" w:rsidRPr="000C1853" w:rsidRDefault="000C1853" w:rsidP="000C1853">
      <w:pPr>
        <w:spacing w:after="0" w:line="276" w:lineRule="auto"/>
        <w:jc w:val="both"/>
        <w:rPr>
          <w:rFonts w:ascii="Verdana" w:eastAsia="Aptos" w:hAnsi="Verdana" w:cs="Times New Roman"/>
          <w:color w:val="212121"/>
          <w:lang w:eastAsia="es-MX"/>
        </w:rPr>
      </w:pPr>
    </w:p>
    <w:p w14:paraId="40B885EA" w14:textId="77777777" w:rsidR="000C1853" w:rsidRPr="000C1853" w:rsidRDefault="000C1853" w:rsidP="000C1853">
      <w:pPr>
        <w:spacing w:after="0" w:line="276" w:lineRule="auto"/>
        <w:jc w:val="both"/>
        <w:rPr>
          <w:rFonts w:ascii="Verdana" w:eastAsia="Calibri" w:hAnsi="Verdana" w:cs="Times New Roman"/>
          <w:lang w:eastAsia="es-MX"/>
        </w:rPr>
      </w:pPr>
      <w:r w:rsidRPr="000C1853">
        <w:rPr>
          <w:rFonts w:ascii="Verdana" w:eastAsia="Aptos" w:hAnsi="Verdana" w:cs="Times New Roman"/>
          <w:lang w:eastAsia="es-MX"/>
        </w:rPr>
        <w:t xml:space="preserve">Por último, le invitamos a seguirnos en las redes sociales en las cuales se difunde información institucional: </w:t>
      </w:r>
    </w:p>
    <w:p w14:paraId="01F62DC4" w14:textId="77777777" w:rsidR="000C1853" w:rsidRPr="000C1853" w:rsidRDefault="000C1853" w:rsidP="000C1853">
      <w:pPr>
        <w:spacing w:after="0" w:line="276" w:lineRule="auto"/>
        <w:jc w:val="both"/>
        <w:rPr>
          <w:rFonts w:ascii="Verdana" w:eastAsia="Aptos" w:hAnsi="Verdana" w:cs="Times New Roman"/>
          <w:lang w:eastAsia="es-MX"/>
        </w:rPr>
      </w:pPr>
    </w:p>
    <w:p w14:paraId="5C465DD1" w14:textId="77777777" w:rsidR="000C1853" w:rsidRPr="000C1853" w:rsidRDefault="000C1853" w:rsidP="000C1853">
      <w:pPr>
        <w:spacing w:after="0" w:line="276" w:lineRule="auto"/>
        <w:jc w:val="both"/>
        <w:rPr>
          <w:rFonts w:ascii="Verdana" w:eastAsia="Aptos" w:hAnsi="Verdana" w:cs="Times New Roman"/>
          <w:lang w:eastAsia="es-MX"/>
        </w:rPr>
      </w:pPr>
      <w:r w:rsidRPr="000C1853">
        <w:rPr>
          <w:rFonts w:ascii="Verdana" w:eastAsia="Aptos" w:hAnsi="Verdana" w:cs="Times New Roman"/>
          <w:lang w:eastAsia="es-MX"/>
        </w:rPr>
        <w:t xml:space="preserve">X: </w:t>
      </w:r>
      <w:r w:rsidRPr="000C1853">
        <w:rPr>
          <w:rFonts w:ascii="Verdana" w:eastAsia="Calibri" w:hAnsi="Verdana" w:cs="Times New Roman"/>
          <w:color w:val="156082"/>
          <w:u w:val="single"/>
          <w:lang w:eastAsia="es-MX"/>
        </w:rPr>
        <w:t>@colombiacompra</w:t>
      </w:r>
      <w:r w:rsidRPr="000C1853">
        <w:rPr>
          <w:rFonts w:ascii="Verdana" w:eastAsia="Calibri" w:hAnsi="Verdana" w:cs="Times New Roman"/>
          <w:color w:val="156082"/>
          <w:lang w:eastAsia="es-MX"/>
        </w:rPr>
        <w:t xml:space="preserve"> </w:t>
      </w:r>
    </w:p>
    <w:p w14:paraId="1289FBD0" w14:textId="77777777" w:rsidR="000C1853" w:rsidRPr="000C1853" w:rsidRDefault="000C1853" w:rsidP="000C1853">
      <w:pPr>
        <w:spacing w:after="0" w:line="276" w:lineRule="auto"/>
        <w:jc w:val="both"/>
        <w:rPr>
          <w:rFonts w:ascii="Verdana" w:eastAsia="Aptos" w:hAnsi="Verdana" w:cs="Times New Roman"/>
          <w:lang w:eastAsia="es-MX"/>
        </w:rPr>
      </w:pPr>
      <w:r w:rsidRPr="000C1853">
        <w:rPr>
          <w:rFonts w:ascii="Verdana" w:eastAsia="Aptos" w:hAnsi="Verdana" w:cs="Times New Roman"/>
          <w:lang w:eastAsia="es-MX"/>
        </w:rPr>
        <w:t xml:space="preserve">Facebook: </w:t>
      </w:r>
      <w:proofErr w:type="spellStart"/>
      <w:r w:rsidRPr="000C1853">
        <w:rPr>
          <w:rFonts w:ascii="Verdana" w:eastAsia="Calibri" w:hAnsi="Verdana" w:cs="Times New Roman"/>
          <w:color w:val="156082"/>
          <w:u w:val="single"/>
          <w:lang w:eastAsia="es-MX"/>
        </w:rPr>
        <w:t>ColombiaCompraEficiente</w:t>
      </w:r>
      <w:proofErr w:type="spellEnd"/>
    </w:p>
    <w:p w14:paraId="528E1FB8" w14:textId="77777777" w:rsidR="000C1853" w:rsidRPr="000C1853" w:rsidRDefault="000C1853" w:rsidP="000C1853">
      <w:pPr>
        <w:spacing w:after="0" w:line="276" w:lineRule="auto"/>
        <w:jc w:val="both"/>
        <w:rPr>
          <w:rFonts w:ascii="Verdana" w:eastAsia="Aptos" w:hAnsi="Verdana" w:cs="Times New Roman"/>
          <w:lang w:eastAsia="es-MX"/>
        </w:rPr>
      </w:pPr>
      <w:r w:rsidRPr="000C1853">
        <w:rPr>
          <w:rFonts w:ascii="Verdana" w:eastAsia="Aptos" w:hAnsi="Verdana" w:cs="Times New Roman"/>
          <w:lang w:eastAsia="es-MX"/>
        </w:rPr>
        <w:t xml:space="preserve">LinkedIn: </w:t>
      </w:r>
      <w:r w:rsidRPr="000C1853">
        <w:rPr>
          <w:rFonts w:ascii="Verdana" w:eastAsia="Calibri" w:hAnsi="Verdana" w:cs="Times New Roman"/>
          <w:color w:val="156082"/>
          <w:u w:val="single"/>
          <w:lang w:eastAsia="es-MX"/>
        </w:rPr>
        <w:t>Agencia Nacional de Contratación Pública - Colombia Compra Eficiente</w:t>
      </w:r>
      <w:r w:rsidRPr="000C1853">
        <w:rPr>
          <w:rFonts w:ascii="Verdana" w:eastAsia="Calibri" w:hAnsi="Verdana" w:cs="Times New Roman"/>
          <w:color w:val="156082"/>
          <w:lang w:eastAsia="es-MX"/>
        </w:rPr>
        <w:t xml:space="preserve"> </w:t>
      </w:r>
      <w:r w:rsidRPr="000C1853">
        <w:rPr>
          <w:rFonts w:ascii="Verdana" w:eastAsia="Aptos" w:hAnsi="Verdana" w:cs="Times New Roman"/>
          <w:lang w:eastAsia="es-MX"/>
        </w:rPr>
        <w:t xml:space="preserve">Instagram: </w:t>
      </w:r>
      <w:r w:rsidRPr="000C1853">
        <w:rPr>
          <w:rFonts w:ascii="Verdana" w:eastAsia="Calibri" w:hAnsi="Verdana" w:cs="Times New Roman"/>
          <w:color w:val="156082"/>
          <w:u w:val="single"/>
          <w:lang w:eastAsia="es-MX"/>
        </w:rPr>
        <w:t>@colombiacompraeficiente_cce</w:t>
      </w:r>
    </w:p>
    <w:p w14:paraId="3163C8C9" w14:textId="77777777" w:rsidR="000C1853" w:rsidRPr="000C1853" w:rsidRDefault="000C1853" w:rsidP="000C1853">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C1A92EC" w14:textId="77777777" w:rsidR="000C1853" w:rsidRPr="000C1853" w:rsidRDefault="000C1853" w:rsidP="000C1853">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C1853">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28341A7" w14:textId="77777777" w:rsidR="000C1853" w:rsidRPr="000C1853" w:rsidRDefault="000C1853" w:rsidP="000C1853">
      <w:pPr>
        <w:widowControl w:val="0"/>
        <w:autoSpaceDE w:val="0"/>
        <w:autoSpaceDN w:val="0"/>
        <w:spacing w:after="0" w:line="276" w:lineRule="auto"/>
        <w:jc w:val="both"/>
        <w:rPr>
          <w:rFonts w:ascii="Verdana" w:eastAsia="Calibri" w:hAnsi="Verdana" w:cs="Arial"/>
          <w:lang w:val="es-ES_tradnl"/>
        </w:rPr>
      </w:pPr>
    </w:p>
    <w:p w14:paraId="007A55F3" w14:textId="77777777" w:rsidR="000C1853" w:rsidRPr="000C1853" w:rsidRDefault="000C1853" w:rsidP="000C1853">
      <w:pPr>
        <w:spacing w:after="0" w:line="240" w:lineRule="auto"/>
        <w:rPr>
          <w:rFonts w:ascii="Verdana" w:eastAsia="Calibri" w:hAnsi="Verdana" w:cs="Arial"/>
          <w:lang w:val="es-ES_tradnl" w:eastAsia="es-CO"/>
        </w:rPr>
      </w:pPr>
      <w:r w:rsidRPr="000C1853">
        <w:rPr>
          <w:rFonts w:ascii="Verdana" w:eastAsia="Times New Roman" w:hAnsi="Verdana" w:cs="Arial"/>
          <w:lang w:val="es-ES_tradnl" w:eastAsia="es-CO"/>
        </w:rPr>
        <w:t>Atentamente,</w:t>
      </w:r>
      <w:r w:rsidRPr="000C1853">
        <w:rPr>
          <w:rFonts w:ascii="Verdana" w:eastAsia="Calibri" w:hAnsi="Verdana" w:cs="Arial"/>
          <w:lang w:val="es-ES_tradnl" w:eastAsia="es-CO"/>
        </w:rPr>
        <w:t xml:space="preserve"> </w:t>
      </w:r>
    </w:p>
    <w:p w14:paraId="703FFA2F" w14:textId="15D5EC70" w:rsidR="000C1853" w:rsidRPr="000C1853" w:rsidRDefault="009212E1" w:rsidP="000C1853">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4ADC44AD" wp14:editId="7F437F54">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C1853" w:rsidRPr="000C1853" w14:paraId="3E32F5C2" w14:textId="77777777" w:rsidTr="00153392">
        <w:trPr>
          <w:trHeight w:val="315"/>
        </w:trPr>
        <w:tc>
          <w:tcPr>
            <w:tcW w:w="893" w:type="dxa"/>
            <w:vAlign w:val="center"/>
            <w:hideMark/>
          </w:tcPr>
          <w:p w14:paraId="616DC2AB" w14:textId="77777777" w:rsidR="000C1853" w:rsidRPr="000C1853" w:rsidRDefault="000C1853" w:rsidP="000C1853">
            <w:pPr>
              <w:rPr>
                <w:rFonts w:ascii="Verdana" w:eastAsia="Calibri" w:hAnsi="Verdana" w:cs="Arial"/>
                <w:sz w:val="16"/>
                <w:szCs w:val="16"/>
                <w:lang w:val="es-ES_tradnl" w:eastAsia="es-ES"/>
              </w:rPr>
            </w:pPr>
            <w:r w:rsidRPr="000C1853">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AD212FB" w14:textId="77777777" w:rsidR="000C1853" w:rsidRPr="000C1853" w:rsidRDefault="000C1853" w:rsidP="000C1853">
            <w:pPr>
              <w:rPr>
                <w:rFonts w:ascii="Verdana" w:eastAsia="Arial" w:hAnsi="Verdana" w:cs="Arial"/>
                <w:sz w:val="16"/>
                <w:szCs w:val="16"/>
                <w:lang w:val="es-ES"/>
              </w:rPr>
            </w:pPr>
            <w:r w:rsidRPr="000C1853">
              <w:rPr>
                <w:rFonts w:ascii="Verdana" w:eastAsia="Arial" w:hAnsi="Verdana" w:cs="Arial"/>
                <w:sz w:val="16"/>
                <w:szCs w:val="16"/>
                <w:lang w:val="es-ES"/>
              </w:rPr>
              <w:t>Kevin Arlid Herrera Santa</w:t>
            </w:r>
          </w:p>
          <w:p w14:paraId="782F007F" w14:textId="77777777" w:rsidR="000C1853" w:rsidRPr="000C1853" w:rsidRDefault="000C1853" w:rsidP="000C1853">
            <w:pPr>
              <w:rPr>
                <w:rFonts w:ascii="Verdana" w:eastAsia="Arial" w:hAnsi="Verdana" w:cs="Arial"/>
                <w:sz w:val="16"/>
                <w:szCs w:val="16"/>
                <w:lang w:val="es-ES_tradnl"/>
              </w:rPr>
            </w:pPr>
            <w:r w:rsidRPr="000C1853">
              <w:rPr>
                <w:rFonts w:ascii="Verdana" w:eastAsia="Arial" w:hAnsi="Verdana" w:cs="Arial"/>
                <w:sz w:val="16"/>
                <w:szCs w:val="16"/>
                <w:lang w:val="es-ES_tradnl"/>
              </w:rPr>
              <w:t xml:space="preserve">Contratista de la Subdirección de Gestión Contractual </w:t>
            </w:r>
          </w:p>
        </w:tc>
      </w:tr>
      <w:tr w:rsidR="000C1853" w:rsidRPr="000C1853" w14:paraId="6634CB7D" w14:textId="77777777" w:rsidTr="00153392">
        <w:trPr>
          <w:trHeight w:val="330"/>
        </w:trPr>
        <w:tc>
          <w:tcPr>
            <w:tcW w:w="893" w:type="dxa"/>
            <w:vAlign w:val="center"/>
            <w:hideMark/>
          </w:tcPr>
          <w:p w14:paraId="440AE36D" w14:textId="77777777" w:rsidR="000C1853" w:rsidRPr="000C1853" w:rsidRDefault="000C1853" w:rsidP="000C1853">
            <w:pPr>
              <w:rPr>
                <w:rFonts w:ascii="Verdana" w:eastAsia="Calibri" w:hAnsi="Verdana" w:cs="Arial"/>
                <w:sz w:val="16"/>
                <w:szCs w:val="16"/>
                <w:lang w:val="es-ES_tradnl" w:eastAsia="es-ES"/>
              </w:rPr>
            </w:pPr>
            <w:r w:rsidRPr="000C1853">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70C39F2A" w14:textId="77777777" w:rsidR="000C1853" w:rsidRPr="000C1853" w:rsidRDefault="000C1853" w:rsidP="000C1853">
            <w:pPr>
              <w:textAlignment w:val="baseline"/>
              <w:rPr>
                <w:rFonts w:ascii="Verdana" w:eastAsia="Times New Roman" w:hAnsi="Verdana" w:cs="Segoe UI"/>
                <w:sz w:val="16"/>
                <w:szCs w:val="16"/>
                <w:lang w:val="es-ES" w:eastAsia="es-ES"/>
              </w:rPr>
            </w:pPr>
            <w:r w:rsidRPr="000C1853">
              <w:rPr>
                <w:rFonts w:ascii="Verdana" w:eastAsia="Times New Roman" w:hAnsi="Verdana" w:cs="Segoe UI"/>
                <w:sz w:val="16"/>
                <w:szCs w:val="16"/>
                <w:lang w:val="es-ES" w:eastAsia="es-ES"/>
              </w:rPr>
              <w:t>Martha Alicia Romero Vargas</w:t>
            </w:r>
          </w:p>
          <w:p w14:paraId="1BBE14E8" w14:textId="77777777" w:rsidR="000C1853" w:rsidRPr="000C1853" w:rsidRDefault="000C1853" w:rsidP="000C1853">
            <w:pPr>
              <w:textAlignment w:val="baseline"/>
              <w:rPr>
                <w:rFonts w:ascii="Verdana" w:eastAsia="Times New Roman" w:hAnsi="Verdana" w:cs="Segoe UI"/>
                <w:sz w:val="16"/>
                <w:szCs w:val="16"/>
                <w:lang w:val="es-ES_tradnl" w:eastAsia="es-ES_tradnl"/>
              </w:rPr>
            </w:pPr>
            <w:r w:rsidRPr="000C1853">
              <w:rPr>
                <w:rFonts w:ascii="Verdana" w:eastAsia="Times New Roman" w:hAnsi="Verdana" w:cs="Arial"/>
                <w:sz w:val="16"/>
                <w:szCs w:val="16"/>
                <w:lang w:val="es-ES_tradnl" w:eastAsia="es-ES_tradnl"/>
              </w:rPr>
              <w:t>Gestor T1-15 de la Subdirección de Gestión Contractual </w:t>
            </w:r>
          </w:p>
        </w:tc>
      </w:tr>
      <w:tr w:rsidR="000C1853" w:rsidRPr="000C1853" w14:paraId="421D5192" w14:textId="77777777" w:rsidTr="00153392">
        <w:trPr>
          <w:trHeight w:val="300"/>
        </w:trPr>
        <w:tc>
          <w:tcPr>
            <w:tcW w:w="893" w:type="dxa"/>
            <w:vAlign w:val="center"/>
          </w:tcPr>
          <w:p w14:paraId="126F77FE" w14:textId="77777777" w:rsidR="000C1853" w:rsidRPr="000C1853" w:rsidRDefault="000C1853" w:rsidP="000C1853">
            <w:pPr>
              <w:rPr>
                <w:rFonts w:ascii="Verdana" w:eastAsia="Calibri" w:hAnsi="Verdana" w:cs="Arial"/>
                <w:sz w:val="16"/>
                <w:szCs w:val="16"/>
                <w:lang w:val="es-ES_tradnl" w:eastAsia="es-ES"/>
              </w:rPr>
            </w:pPr>
            <w:r w:rsidRPr="000C1853">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595B0F3B" w14:textId="77777777" w:rsidR="000C1853" w:rsidRPr="000C1853" w:rsidRDefault="000C1853" w:rsidP="000C1853">
            <w:pPr>
              <w:rPr>
                <w:rFonts w:ascii="Verdana" w:eastAsia="Calibri" w:hAnsi="Verdana" w:cs="Arial"/>
                <w:sz w:val="16"/>
                <w:szCs w:val="16"/>
                <w:lang w:val="es-ES" w:eastAsia="es-ES"/>
              </w:rPr>
            </w:pPr>
            <w:r w:rsidRPr="000C1853">
              <w:rPr>
                <w:rFonts w:ascii="Verdana" w:eastAsia="Calibri" w:hAnsi="Verdana" w:cs="Arial"/>
                <w:sz w:val="16"/>
                <w:szCs w:val="16"/>
                <w:lang w:val="es-ES" w:eastAsia="es-ES"/>
              </w:rPr>
              <w:t>Carolina Quintero Gacharná</w:t>
            </w:r>
          </w:p>
          <w:p w14:paraId="156440F9" w14:textId="77777777" w:rsidR="000C1853" w:rsidRPr="000C1853" w:rsidRDefault="000C1853" w:rsidP="000C1853">
            <w:pPr>
              <w:rPr>
                <w:rFonts w:ascii="Verdana" w:eastAsia="Calibri" w:hAnsi="Verdana" w:cs="Arial"/>
                <w:sz w:val="16"/>
                <w:szCs w:val="16"/>
                <w:lang w:val="es-ES_tradnl" w:eastAsia="es-ES"/>
              </w:rPr>
            </w:pPr>
            <w:r w:rsidRPr="000C1853">
              <w:rPr>
                <w:rFonts w:ascii="Verdana" w:eastAsia="Calibri" w:hAnsi="Verdana" w:cs="Arial"/>
                <w:sz w:val="16"/>
                <w:szCs w:val="16"/>
                <w:lang w:val="es-ES_tradnl" w:eastAsia="es-ES"/>
              </w:rPr>
              <w:t>Subdirectora de Gestión Contractual ANCP – CCE</w:t>
            </w:r>
          </w:p>
        </w:tc>
      </w:tr>
    </w:tbl>
    <w:p w14:paraId="79CF21F5" w14:textId="77777777" w:rsidR="000C1853" w:rsidRPr="000C1853" w:rsidRDefault="000C1853" w:rsidP="000C1853">
      <w:pPr>
        <w:spacing w:after="0" w:line="240" w:lineRule="auto"/>
        <w:jc w:val="both"/>
        <w:textAlignment w:val="baseline"/>
        <w:rPr>
          <w:rFonts w:ascii="Verdana" w:eastAsia="Verdana" w:hAnsi="Verdana" w:cs="Verdana"/>
          <w:lang w:eastAsia="es-CO"/>
        </w:rPr>
      </w:pPr>
    </w:p>
    <w:p w14:paraId="69BC4D14" w14:textId="4B31A559" w:rsidR="00C15139" w:rsidRPr="009212E1" w:rsidRDefault="00C15139" w:rsidP="30821638">
      <w:pPr>
        <w:spacing w:after="0" w:line="240" w:lineRule="auto"/>
        <w:textAlignment w:val="baseline"/>
        <w:rPr>
          <w:rFonts w:ascii="Aptos" w:eastAsia="Aptos" w:hAnsi="Aptos" w:cs="Times New Roman"/>
          <w:kern w:val="2"/>
          <w:sz w:val="24"/>
          <w:szCs w:val="24"/>
          <w:lang w:val="es-ES_tradnl"/>
          <w14:ligatures w14:val="standardContextual"/>
        </w:rPr>
      </w:pPr>
      <w:r w:rsidRPr="30821638">
        <w:rPr>
          <w:rFonts w:ascii="Verdana" w:eastAsia="Verdana" w:hAnsi="Verdana" w:cs="Verdana"/>
          <w:lang w:eastAsia="es-CO"/>
        </w:rPr>
        <w:t> </w:t>
      </w:r>
    </w:p>
    <w:bookmarkEnd w:id="0"/>
    <w:p w14:paraId="57A1B8D4" w14:textId="7CF63106" w:rsidR="2C4D2425" w:rsidRDefault="2C4D2425" w:rsidP="2C4D2425">
      <w:pPr>
        <w:spacing w:after="0" w:line="240" w:lineRule="auto"/>
        <w:rPr>
          <w:rFonts w:ascii="Verdana" w:eastAsia="Verdana" w:hAnsi="Verdana" w:cs="Verdana"/>
          <w:lang w:eastAsia="es-CO"/>
        </w:rPr>
      </w:pPr>
    </w:p>
    <w:sectPr w:rsidR="2C4D242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3A4BA" w14:textId="77777777" w:rsidR="0093550B" w:rsidRDefault="0093550B" w:rsidP="004A1847">
      <w:pPr>
        <w:spacing w:after="0" w:line="240" w:lineRule="auto"/>
      </w:pPr>
      <w:r>
        <w:separator/>
      </w:r>
    </w:p>
  </w:endnote>
  <w:endnote w:type="continuationSeparator" w:id="0">
    <w:p w14:paraId="1905B034" w14:textId="77777777" w:rsidR="0093550B" w:rsidRDefault="009355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84E6E" w14:textId="77777777" w:rsidR="0093550B" w:rsidRDefault="0093550B" w:rsidP="004A1847">
      <w:pPr>
        <w:spacing w:after="0" w:line="240" w:lineRule="auto"/>
      </w:pPr>
      <w:r>
        <w:separator/>
      </w:r>
    </w:p>
  </w:footnote>
  <w:footnote w:type="continuationSeparator" w:id="0">
    <w:p w14:paraId="1C8910D5" w14:textId="77777777" w:rsidR="0093550B" w:rsidRDefault="0093550B" w:rsidP="004A1847">
      <w:pPr>
        <w:spacing w:after="0" w:line="240" w:lineRule="auto"/>
      </w:pPr>
      <w:r>
        <w:continuationSeparator/>
      </w:r>
    </w:p>
  </w:footnote>
  <w:footnote w:id="1">
    <w:p w14:paraId="2B18C6FA" w14:textId="77777777" w:rsidR="000C1853" w:rsidRPr="00234048" w:rsidRDefault="000C1853" w:rsidP="000C1853">
      <w:pPr>
        <w:pStyle w:val="Textonotapie"/>
        <w:ind w:firstLine="709"/>
        <w:jc w:val="both"/>
        <w:rPr>
          <w:rFonts w:ascii="Verdana" w:hAnsi="Verdana"/>
          <w:sz w:val="18"/>
          <w:szCs w:val="18"/>
          <w:lang w:val="es-ES_tradnl"/>
        </w:rPr>
      </w:pPr>
      <w:r w:rsidRPr="00234048">
        <w:rPr>
          <w:rStyle w:val="Refdenotaalpie"/>
          <w:rFonts w:ascii="Verdana" w:hAnsi="Verdana"/>
          <w:sz w:val="18"/>
          <w:szCs w:val="18"/>
        </w:rPr>
        <w:footnoteRef/>
      </w:r>
      <w:r w:rsidRPr="00234048">
        <w:rPr>
          <w:rFonts w:ascii="Verdana" w:hAnsi="Verdana"/>
          <w:sz w:val="18"/>
          <w:szCs w:val="18"/>
        </w:rPr>
        <w:t xml:space="preserve"> </w:t>
      </w:r>
      <w:r w:rsidRPr="00234048">
        <w:rPr>
          <w:rFonts w:ascii="Verdana" w:hAnsi="Verdana"/>
          <w:sz w:val="18"/>
          <w:szCs w:val="18"/>
          <w:lang w:val="es-ES_tradnl"/>
        </w:rPr>
        <w:t xml:space="preserve">Para el desarrollo del presente concepto, se tendrán en cuenta los pliegos tipo de licitación pública del sector de infraestructura de transporte. </w:t>
      </w:r>
    </w:p>
  </w:footnote>
  <w:footnote w:id="2">
    <w:p w14:paraId="70962841" w14:textId="77777777" w:rsidR="000C1853" w:rsidRPr="00234048" w:rsidRDefault="000C1853" w:rsidP="000C1853">
      <w:pPr>
        <w:pStyle w:val="Textonotapie"/>
        <w:ind w:firstLine="709"/>
        <w:jc w:val="both"/>
        <w:rPr>
          <w:rFonts w:ascii="Verdana" w:hAnsi="Verdana"/>
          <w:sz w:val="18"/>
          <w:szCs w:val="18"/>
        </w:rPr>
      </w:pPr>
      <w:r w:rsidRPr="00234048">
        <w:rPr>
          <w:rStyle w:val="Refdenotaalpie"/>
          <w:rFonts w:ascii="Verdana" w:hAnsi="Verdana"/>
          <w:sz w:val="18"/>
          <w:szCs w:val="18"/>
        </w:rPr>
        <w:footnoteRef/>
      </w:r>
      <w:r w:rsidRPr="00234048">
        <w:rPr>
          <w:rFonts w:ascii="Verdana" w:hAnsi="Verdana"/>
          <w:sz w:val="18"/>
          <w:szCs w:val="18"/>
        </w:rPr>
        <w:t xml:space="preserve"> Agencia Nacional de Contratación Pública – Colombia Compra Eficiente. Concepto C-285 del 20 de mayo de 2022. Consultar en: </w:t>
      </w:r>
      <w:hyperlink r:id="rId1" w:history="1">
        <w:r w:rsidRPr="00234048">
          <w:rPr>
            <w:rStyle w:val="Hipervnculo"/>
            <w:rFonts w:ascii="Verdana" w:hAnsi="Verdana"/>
            <w:sz w:val="18"/>
            <w:szCs w:val="18"/>
          </w:rPr>
          <w:t>https://relatoria.colombiacompra.gov.co/conceptos/c-285-de-2022/</w:t>
        </w:r>
      </w:hyperlink>
    </w:p>
  </w:footnote>
  <w:footnote w:id="3">
    <w:p w14:paraId="4B9331BC" w14:textId="77777777" w:rsidR="000C1853" w:rsidRPr="00234048" w:rsidRDefault="000C1853" w:rsidP="000C1853">
      <w:pPr>
        <w:pStyle w:val="Textonotapie"/>
        <w:ind w:firstLine="709"/>
        <w:jc w:val="both"/>
        <w:rPr>
          <w:rFonts w:ascii="Verdana" w:hAnsi="Verdana"/>
          <w:sz w:val="18"/>
          <w:szCs w:val="18"/>
        </w:rPr>
      </w:pPr>
      <w:r w:rsidRPr="00234048">
        <w:rPr>
          <w:rStyle w:val="Refdenotaalpie"/>
          <w:rFonts w:ascii="Verdana" w:hAnsi="Verdana"/>
          <w:sz w:val="18"/>
          <w:szCs w:val="18"/>
        </w:rPr>
        <w:footnoteRef/>
      </w:r>
      <w:r w:rsidRPr="00234048">
        <w:rPr>
          <w:rFonts w:ascii="Verdana" w:hAnsi="Verdana"/>
          <w:sz w:val="18"/>
          <w:szCs w:val="18"/>
        </w:rPr>
        <w:t xml:space="preserve"> Agencia Nacional de Contratación Pública – Colombia Compra Eficiente. Concepto C-447 del 19 de septiembre de 2024. Consultar en: </w:t>
      </w:r>
      <w:hyperlink r:id="rId2" w:history="1">
        <w:r w:rsidRPr="00234048">
          <w:rPr>
            <w:rStyle w:val="Hipervnculo"/>
            <w:rFonts w:ascii="Verdana" w:hAnsi="Verdana"/>
            <w:sz w:val="18"/>
            <w:szCs w:val="18"/>
          </w:rPr>
          <w:t>https://relatoria.colombiacompra.gov.co/conceptos/c-447-de-2024/</w:t>
        </w:r>
      </w:hyperlink>
      <w:r w:rsidRPr="00234048">
        <w:rPr>
          <w:rFonts w:ascii="Verdana" w:hAnsi="Verdana"/>
          <w:sz w:val="18"/>
          <w:szCs w:val="18"/>
        </w:rPr>
        <w:t xml:space="preserve"> </w:t>
      </w:r>
    </w:p>
    <w:p w14:paraId="68E7D754" w14:textId="77777777" w:rsidR="000C1853" w:rsidRPr="00234048" w:rsidRDefault="000C1853" w:rsidP="000C1853">
      <w:pPr>
        <w:pStyle w:val="Textonotapie"/>
        <w:ind w:firstLine="709"/>
        <w:jc w:val="both"/>
        <w:rPr>
          <w:rFonts w:ascii="Verdana" w:hAnsi="Verdana"/>
          <w:sz w:val="18"/>
          <w:szCs w:val="18"/>
        </w:rPr>
      </w:pPr>
    </w:p>
  </w:footnote>
  <w:footnote w:id="4">
    <w:p w14:paraId="213CB026" w14:textId="77777777" w:rsidR="000C1853" w:rsidRPr="00234048" w:rsidRDefault="000C1853" w:rsidP="000C1853">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Style w:val="Refdenotaalpie"/>
          <w:rFonts w:ascii="Verdana" w:hAnsi="Verdana" w:cs="Arial"/>
          <w:color w:val="000000"/>
          <w:sz w:val="18"/>
          <w:szCs w:val="18"/>
        </w:rPr>
        <w:t xml:space="preserve"> </w:t>
      </w:r>
      <w:r w:rsidRPr="00234048">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303E543C" w14:textId="77777777" w:rsidR="000C1853" w:rsidRPr="00234048" w:rsidRDefault="000C1853" w:rsidP="000C1853">
      <w:pPr>
        <w:pStyle w:val="Textonotapie"/>
        <w:ind w:firstLine="709"/>
        <w:jc w:val="both"/>
        <w:rPr>
          <w:rFonts w:ascii="Verdana" w:hAnsi="Verdana" w:cs="Arial"/>
          <w:color w:val="000000"/>
          <w:sz w:val="18"/>
          <w:szCs w:val="18"/>
        </w:rPr>
      </w:pPr>
    </w:p>
  </w:footnote>
  <w:footnote w:id="5">
    <w:p w14:paraId="62323EA3" w14:textId="77777777" w:rsidR="000C1853" w:rsidRPr="00234048" w:rsidRDefault="000C1853" w:rsidP="000C1853">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3C99DFF0" w14:textId="77777777" w:rsidR="000C1853" w:rsidRPr="00234048" w:rsidRDefault="000C1853" w:rsidP="000C1853">
      <w:pPr>
        <w:pStyle w:val="Textonotapie"/>
        <w:ind w:firstLine="709"/>
        <w:jc w:val="both"/>
        <w:rPr>
          <w:rFonts w:ascii="Verdana" w:hAnsi="Verdana" w:cs="Arial"/>
          <w:color w:val="000000"/>
          <w:sz w:val="18"/>
          <w:szCs w:val="18"/>
        </w:rPr>
      </w:pPr>
      <w:r w:rsidRPr="00234048">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7630C32A" w14:textId="77777777" w:rsidR="000C1853" w:rsidRPr="00234048" w:rsidRDefault="000C1853" w:rsidP="000C1853">
      <w:pPr>
        <w:pStyle w:val="Textonotapie"/>
        <w:ind w:firstLine="709"/>
        <w:jc w:val="both"/>
        <w:rPr>
          <w:rFonts w:ascii="Verdana" w:hAnsi="Verdana" w:cs="Arial"/>
          <w:color w:val="000000"/>
          <w:sz w:val="18"/>
          <w:szCs w:val="18"/>
        </w:rPr>
      </w:pPr>
    </w:p>
  </w:footnote>
  <w:footnote w:id="6">
    <w:p w14:paraId="47BC1F50" w14:textId="77777777" w:rsidR="000C1853" w:rsidRPr="00234048" w:rsidRDefault="000C1853" w:rsidP="000C1853">
      <w:pPr>
        <w:pStyle w:val="Textonotapie"/>
        <w:ind w:firstLine="709"/>
        <w:jc w:val="both"/>
        <w:rPr>
          <w:rFonts w:ascii="Verdana" w:hAnsi="Verdana" w:cs="Arial"/>
          <w:color w:val="000000"/>
          <w:sz w:val="18"/>
          <w:szCs w:val="18"/>
        </w:rPr>
      </w:pPr>
      <w:r w:rsidRPr="00234048">
        <w:rPr>
          <w:rStyle w:val="Refdenotaalpie"/>
          <w:rFonts w:ascii="Verdana" w:hAnsi="Verdana" w:cs="Arial"/>
          <w:sz w:val="18"/>
          <w:szCs w:val="18"/>
        </w:rPr>
        <w:footnoteRef/>
      </w:r>
      <w:r w:rsidRPr="00234048">
        <w:rPr>
          <w:rFonts w:ascii="Verdana" w:hAnsi="Verdana" w:cs="Arial"/>
          <w:sz w:val="18"/>
          <w:szCs w:val="18"/>
        </w:rPr>
        <w:t xml:space="preserve"> </w:t>
      </w:r>
      <w:r w:rsidRPr="00234048">
        <w:rPr>
          <w:rFonts w:ascii="Verdana" w:hAnsi="Verdana" w:cs="Arial"/>
          <w:color w:val="000000"/>
          <w:sz w:val="18"/>
          <w:szCs w:val="18"/>
        </w:rPr>
        <w:t xml:space="preserve">En armonía con lo anterior, actualmente la Circular Única Externa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170A200C" w14:textId="77777777" w:rsidR="000C1853" w:rsidRDefault="000C1853" w:rsidP="000C1853">
      <w:pPr>
        <w:pStyle w:val="Textonotapie"/>
        <w:ind w:firstLine="709"/>
        <w:jc w:val="both"/>
        <w:rPr>
          <w:rStyle w:val="Hipervnculo"/>
          <w:rFonts w:ascii="Verdana" w:hAnsi="Verdana" w:cs="Arial"/>
          <w:color w:val="000000"/>
          <w:sz w:val="18"/>
          <w:szCs w:val="18"/>
        </w:rPr>
      </w:pPr>
      <w:r w:rsidRPr="00234048">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sidRPr="00234048">
          <w:rPr>
            <w:rStyle w:val="Hipervnculo"/>
            <w:rFonts w:ascii="Verdana" w:hAnsi="Verdana" w:cs="Arial"/>
            <w:sz w:val="18"/>
            <w:szCs w:val="18"/>
          </w:rPr>
          <w:t>https://www.colombiacompra.gov.co/circulares?page=2</w:t>
        </w:r>
      </w:hyperlink>
      <w:r w:rsidRPr="00234048">
        <w:rPr>
          <w:rStyle w:val="Hipervnculo"/>
          <w:rFonts w:ascii="Verdana" w:hAnsi="Verdana" w:cs="Arial"/>
          <w:color w:val="000000"/>
          <w:sz w:val="18"/>
          <w:szCs w:val="18"/>
        </w:rPr>
        <w:t xml:space="preserve"> </w:t>
      </w:r>
    </w:p>
    <w:p w14:paraId="7A7C39FB" w14:textId="77777777" w:rsidR="000C1853" w:rsidRPr="00234048" w:rsidRDefault="000C1853" w:rsidP="000C1853">
      <w:pPr>
        <w:pStyle w:val="Textonotapie"/>
        <w:ind w:firstLine="709"/>
        <w:jc w:val="both"/>
        <w:rPr>
          <w:rFonts w:ascii="Verdana" w:hAnsi="Verdana" w:cs="Arial"/>
          <w:color w:val="000000"/>
          <w:sz w:val="18"/>
          <w:szCs w:val="18"/>
        </w:rPr>
      </w:pPr>
    </w:p>
  </w:footnote>
  <w:footnote w:id="7">
    <w:p w14:paraId="0AC95948" w14:textId="77777777" w:rsidR="000C1853" w:rsidRPr="00234048" w:rsidRDefault="000C1853" w:rsidP="000C1853">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Ver CONSEJO DE ESTADO, Sección Tercera, Subsección C. Sentencia del 26 de febrero de 2011. C.P. Jaime Orlando Santofimio. Rad. 36.408. </w:t>
      </w:r>
    </w:p>
  </w:footnote>
  <w:footnote w:id="8">
    <w:p w14:paraId="6972E5D0" w14:textId="77777777" w:rsidR="000C1853" w:rsidRPr="00234048" w:rsidRDefault="000C1853" w:rsidP="000C1853">
      <w:pPr>
        <w:pStyle w:val="Textonotapie"/>
        <w:ind w:firstLine="709"/>
        <w:jc w:val="both"/>
        <w:rPr>
          <w:rFonts w:ascii="Verdana" w:hAnsi="Verdana" w:cs="Arial"/>
          <w:color w:val="000000"/>
          <w:sz w:val="18"/>
          <w:szCs w:val="18"/>
        </w:rPr>
      </w:pPr>
    </w:p>
    <w:p w14:paraId="77E7416A" w14:textId="77777777" w:rsidR="000C1853" w:rsidRPr="00234048" w:rsidRDefault="000C1853" w:rsidP="000C1853">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Ver CONSEJO DE ESTADO, Sección Tercera, Subsección C. Sentencia del 26 de febrero de 2014. C.P. Enrique Gil Botero. Rad. 25.804. </w:t>
      </w:r>
    </w:p>
    <w:p w14:paraId="7DC56C13" w14:textId="77777777" w:rsidR="000C1853" w:rsidRPr="00234048" w:rsidRDefault="000C1853" w:rsidP="000C1853">
      <w:pPr>
        <w:pStyle w:val="Textonotapie"/>
        <w:ind w:firstLine="709"/>
        <w:jc w:val="both"/>
        <w:rPr>
          <w:rFonts w:ascii="Verdana" w:hAnsi="Verdana" w:cs="Arial"/>
          <w:color w:val="000000"/>
          <w:sz w:val="18"/>
          <w:szCs w:val="18"/>
        </w:rPr>
      </w:pPr>
    </w:p>
  </w:footnote>
  <w:footnote w:id="9">
    <w:p w14:paraId="19D01CC0" w14:textId="77777777" w:rsidR="000C1853" w:rsidRPr="00234048" w:rsidRDefault="000C1853" w:rsidP="000C1853">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CONSEJO DE ESTADO. Sala de Consulta y Servicio Civil. Concepto del 20 de mayo de 2010. Expediente: 1992. Consejero Ponente: Enrique José Arboleda Perdomo.</w:t>
      </w:r>
    </w:p>
    <w:p w14:paraId="5FEBB15D" w14:textId="77777777" w:rsidR="000C1853" w:rsidRPr="00234048" w:rsidRDefault="000C1853" w:rsidP="000C1853">
      <w:pPr>
        <w:pStyle w:val="Textonotapie"/>
        <w:ind w:firstLine="709"/>
        <w:jc w:val="both"/>
        <w:rPr>
          <w:rFonts w:ascii="Verdana" w:hAnsi="Verdana" w:cs="Arial"/>
          <w:color w:val="000000"/>
          <w:sz w:val="18"/>
          <w:szCs w:val="18"/>
        </w:rPr>
      </w:pPr>
    </w:p>
  </w:footnote>
  <w:footnote w:id="10">
    <w:p w14:paraId="70001ECA" w14:textId="77777777" w:rsidR="000C1853" w:rsidRPr="00234048" w:rsidRDefault="000C1853" w:rsidP="000C1853">
      <w:pPr>
        <w:pStyle w:val="Textonotapie"/>
        <w:ind w:firstLine="709"/>
        <w:jc w:val="both"/>
        <w:rPr>
          <w:rFonts w:ascii="Verdana" w:hAnsi="Verdana"/>
          <w:sz w:val="18"/>
          <w:szCs w:val="18"/>
          <w:lang w:val="es-ES_tradnl"/>
        </w:rPr>
      </w:pPr>
      <w:r w:rsidRPr="00234048">
        <w:rPr>
          <w:rStyle w:val="Refdenotaalpie"/>
          <w:rFonts w:ascii="Verdana" w:hAnsi="Verdana"/>
          <w:sz w:val="18"/>
          <w:szCs w:val="18"/>
        </w:rPr>
        <w:footnoteRef/>
      </w:r>
      <w:r w:rsidRPr="00234048">
        <w:rPr>
          <w:rFonts w:ascii="Verdana" w:hAnsi="Verdana"/>
          <w:sz w:val="18"/>
          <w:szCs w:val="18"/>
        </w:rPr>
        <w:t xml:space="preserve"> </w:t>
      </w:r>
      <w:r w:rsidRPr="00234048">
        <w:rPr>
          <w:rFonts w:ascii="Verdana" w:hAnsi="Verdana"/>
          <w:sz w:val="18"/>
          <w:szCs w:val="18"/>
          <w:lang w:val="es-ES_tradnl"/>
        </w:rPr>
        <w:t xml:space="preserve">Para el desarrollo del presente concepto, se tendrán en cuenta los pliegos tipo de licitación pública del sector de infraestructura de transporte.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004C9" w14:textId="6747D63A" w:rsidR="00B42C4A" w:rsidRDefault="00B42C4A" w:rsidP="00844AE9">
    <w:pPr>
      <w:pStyle w:val="Encabezado"/>
      <w:spacing w:line="120" w:lineRule="auto"/>
      <w:rPr>
        <w:rFonts w:ascii="Verdana" w:hAnsi="Verdana"/>
        <w:b/>
        <w:bCs/>
        <w:sz w:val="24"/>
        <w:szCs w:val="24"/>
      </w:rPr>
    </w:pPr>
    <w:r>
      <w:rPr>
        <w:rFonts w:ascii="Geomanist Bold" w:hAnsi="Geomanist Bold"/>
        <w:b/>
        <w:bCs/>
        <w:noProof/>
        <w:color w:val="002060"/>
        <w:sz w:val="24"/>
        <w:szCs w:val="24"/>
      </w:rPr>
      <w:drawing>
        <wp:anchor distT="0" distB="0" distL="114300" distR="114300" simplePos="0" relativeHeight="251658752" behindDoc="1" locked="0" layoutInCell="1" allowOverlap="1" wp14:anchorId="6FC3B35F" wp14:editId="574753A7">
          <wp:simplePos x="0" y="0"/>
          <wp:positionH relativeFrom="margin">
            <wp:posOffset>1844040</wp:posOffset>
          </wp:positionH>
          <wp:positionV relativeFrom="paragraph">
            <wp:posOffset>-182870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14:paraId="404C23A7" w14:textId="38F6DBE1" w:rsidR="00B42C4A" w:rsidRDefault="00B42C4A" w:rsidP="00844AE9">
    <w:pPr>
      <w:pStyle w:val="Encabezado"/>
      <w:spacing w:line="120" w:lineRule="auto"/>
      <w:rPr>
        <w:rFonts w:ascii="Verdana" w:hAnsi="Verdana"/>
        <w:b/>
        <w:bCs/>
        <w:sz w:val="24"/>
        <w:szCs w:val="24"/>
      </w:rPr>
    </w:pPr>
  </w:p>
  <w:p w14:paraId="5B28A6E8" w14:textId="1ED00FCF" w:rsidR="00B42C4A" w:rsidRDefault="00B42C4A" w:rsidP="00844AE9">
    <w:pPr>
      <w:pStyle w:val="Encabezado"/>
      <w:spacing w:line="120" w:lineRule="auto"/>
      <w:rPr>
        <w:rFonts w:ascii="Verdana" w:hAnsi="Verdana"/>
        <w:b/>
        <w:bCs/>
        <w:sz w:val="24"/>
        <w:szCs w:val="24"/>
      </w:rPr>
    </w:pPr>
  </w:p>
  <w:p w14:paraId="7CC8AD3D" w14:textId="77777777" w:rsidR="00B42C4A" w:rsidRDefault="00B42C4A" w:rsidP="00844AE9">
    <w:pPr>
      <w:pStyle w:val="Encabezado"/>
      <w:spacing w:line="120" w:lineRule="auto"/>
      <w:rPr>
        <w:rFonts w:ascii="Verdana" w:hAnsi="Verdana"/>
        <w:b/>
        <w:bCs/>
        <w:sz w:val="24"/>
        <w:szCs w:val="24"/>
      </w:rPr>
    </w:pPr>
  </w:p>
  <w:p w14:paraId="7147D933" w14:textId="77777777" w:rsidR="00B42C4A" w:rsidRDefault="00B42C4A" w:rsidP="00844AE9">
    <w:pPr>
      <w:pStyle w:val="Encabezado"/>
      <w:spacing w:line="120" w:lineRule="auto"/>
      <w:rPr>
        <w:rFonts w:ascii="Verdana" w:hAnsi="Verdana"/>
        <w:b/>
        <w:bCs/>
        <w:sz w:val="24"/>
        <w:szCs w:val="24"/>
      </w:rPr>
    </w:pPr>
  </w:p>
  <w:p w14:paraId="64543B7A" w14:textId="77777777" w:rsidR="00B42C4A" w:rsidRDefault="00B42C4A" w:rsidP="00844AE9">
    <w:pPr>
      <w:pStyle w:val="Encabezado"/>
      <w:spacing w:line="120" w:lineRule="auto"/>
      <w:rPr>
        <w:rFonts w:ascii="Verdana" w:hAnsi="Verdana"/>
        <w:b/>
        <w:bCs/>
        <w:sz w:val="24"/>
        <w:szCs w:val="24"/>
      </w:rPr>
    </w:pPr>
  </w:p>
  <w:p w14:paraId="11198CCF" w14:textId="77777777" w:rsidR="00B42C4A" w:rsidRDefault="00B42C4A" w:rsidP="00844AE9">
    <w:pPr>
      <w:pStyle w:val="Encabezado"/>
      <w:spacing w:line="120" w:lineRule="auto"/>
      <w:rPr>
        <w:rFonts w:ascii="Verdana" w:hAnsi="Verdana"/>
        <w:b/>
        <w:bCs/>
        <w:sz w:val="24"/>
        <w:szCs w:val="24"/>
      </w:rPr>
    </w:pPr>
  </w:p>
  <w:p w14:paraId="353C3D17" w14:textId="77777777" w:rsidR="00B42C4A" w:rsidRDefault="00B42C4A" w:rsidP="00844AE9">
    <w:pPr>
      <w:pStyle w:val="Encabezado"/>
      <w:spacing w:line="120" w:lineRule="auto"/>
      <w:rPr>
        <w:rFonts w:ascii="Verdana" w:hAnsi="Verdana"/>
        <w:b/>
        <w:bCs/>
        <w:sz w:val="24"/>
        <w:szCs w:val="24"/>
      </w:rPr>
    </w:pPr>
  </w:p>
  <w:p w14:paraId="209A737F" w14:textId="77777777" w:rsidR="00B42C4A" w:rsidRDefault="00B42C4A" w:rsidP="00844AE9">
    <w:pPr>
      <w:pStyle w:val="Encabezado"/>
      <w:spacing w:line="120" w:lineRule="auto"/>
      <w:rPr>
        <w:rFonts w:ascii="Verdana" w:hAnsi="Verdana"/>
        <w:b/>
        <w:bCs/>
        <w:sz w:val="24"/>
        <w:szCs w:val="24"/>
      </w:rPr>
    </w:pPr>
  </w:p>
  <w:p w14:paraId="01819E4E" w14:textId="0141E636" w:rsidR="00B42C4A" w:rsidRDefault="00001DB6" w:rsidP="00001DB6">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p w14:paraId="54E2B9B3" w14:textId="77777777" w:rsidR="00B42C4A" w:rsidRDefault="00B42C4A" w:rsidP="00844AE9">
    <w:pPr>
      <w:pStyle w:val="Encabezado"/>
      <w:spacing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DB6"/>
    <w:rsid w:val="00016F78"/>
    <w:rsid w:val="00046945"/>
    <w:rsid w:val="00061B2A"/>
    <w:rsid w:val="00082362"/>
    <w:rsid w:val="000A683E"/>
    <w:rsid w:val="000B19B9"/>
    <w:rsid w:val="000C1853"/>
    <w:rsid w:val="000D0334"/>
    <w:rsid w:val="000D5DA7"/>
    <w:rsid w:val="000F6486"/>
    <w:rsid w:val="00116940"/>
    <w:rsid w:val="001169F3"/>
    <w:rsid w:val="00125105"/>
    <w:rsid w:val="00127233"/>
    <w:rsid w:val="0015699B"/>
    <w:rsid w:val="001A33BF"/>
    <w:rsid w:val="001E4177"/>
    <w:rsid w:val="001F0B24"/>
    <w:rsid w:val="001F7DC6"/>
    <w:rsid w:val="0022400B"/>
    <w:rsid w:val="002421BB"/>
    <w:rsid w:val="0025796E"/>
    <w:rsid w:val="002707A2"/>
    <w:rsid w:val="0027596D"/>
    <w:rsid w:val="002951A0"/>
    <w:rsid w:val="002962BC"/>
    <w:rsid w:val="002A093D"/>
    <w:rsid w:val="002A0DD0"/>
    <w:rsid w:val="002A49AC"/>
    <w:rsid w:val="002A64FD"/>
    <w:rsid w:val="002C4059"/>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58D0"/>
    <w:rsid w:val="00406575"/>
    <w:rsid w:val="00414C74"/>
    <w:rsid w:val="0042722E"/>
    <w:rsid w:val="0044528D"/>
    <w:rsid w:val="00466E39"/>
    <w:rsid w:val="004A1847"/>
    <w:rsid w:val="004A305D"/>
    <w:rsid w:val="004E1293"/>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5EFD"/>
    <w:rsid w:val="0075235A"/>
    <w:rsid w:val="00756841"/>
    <w:rsid w:val="00762C7E"/>
    <w:rsid w:val="007649AB"/>
    <w:rsid w:val="00771D0C"/>
    <w:rsid w:val="007833AC"/>
    <w:rsid w:val="00787AD4"/>
    <w:rsid w:val="007A610A"/>
    <w:rsid w:val="007B268C"/>
    <w:rsid w:val="007B7171"/>
    <w:rsid w:val="007C0C0F"/>
    <w:rsid w:val="007C3DC2"/>
    <w:rsid w:val="007E5497"/>
    <w:rsid w:val="00806F5F"/>
    <w:rsid w:val="00820278"/>
    <w:rsid w:val="008258C9"/>
    <w:rsid w:val="00844AE9"/>
    <w:rsid w:val="00867F95"/>
    <w:rsid w:val="008843B6"/>
    <w:rsid w:val="00891928"/>
    <w:rsid w:val="008A446D"/>
    <w:rsid w:val="008A5BD3"/>
    <w:rsid w:val="008B25F1"/>
    <w:rsid w:val="008D180B"/>
    <w:rsid w:val="008F0EA7"/>
    <w:rsid w:val="009212E1"/>
    <w:rsid w:val="00923EEF"/>
    <w:rsid w:val="0093550B"/>
    <w:rsid w:val="009419F9"/>
    <w:rsid w:val="0095685E"/>
    <w:rsid w:val="00961B09"/>
    <w:rsid w:val="00965334"/>
    <w:rsid w:val="00965F54"/>
    <w:rsid w:val="0097093E"/>
    <w:rsid w:val="00993DFC"/>
    <w:rsid w:val="009A0DFA"/>
    <w:rsid w:val="009A1C6F"/>
    <w:rsid w:val="009B2D26"/>
    <w:rsid w:val="009C4873"/>
    <w:rsid w:val="009C71FA"/>
    <w:rsid w:val="009C72E7"/>
    <w:rsid w:val="009C7F7E"/>
    <w:rsid w:val="009D3058"/>
    <w:rsid w:val="009F3A13"/>
    <w:rsid w:val="00A122D3"/>
    <w:rsid w:val="00A14468"/>
    <w:rsid w:val="00A17F13"/>
    <w:rsid w:val="00A20739"/>
    <w:rsid w:val="00A23AF9"/>
    <w:rsid w:val="00A33C78"/>
    <w:rsid w:val="00A42BF8"/>
    <w:rsid w:val="00AA630F"/>
    <w:rsid w:val="00AB0ADB"/>
    <w:rsid w:val="00AE095F"/>
    <w:rsid w:val="00AF0CFB"/>
    <w:rsid w:val="00B00C0E"/>
    <w:rsid w:val="00B01B1A"/>
    <w:rsid w:val="00B0381D"/>
    <w:rsid w:val="00B20880"/>
    <w:rsid w:val="00B42C4A"/>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399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304"/>
    <w:rsid w:val="00E2764C"/>
    <w:rsid w:val="00E27F2E"/>
    <w:rsid w:val="00E50AFE"/>
    <w:rsid w:val="00E75C92"/>
    <w:rsid w:val="00E771DC"/>
    <w:rsid w:val="00E8772A"/>
    <w:rsid w:val="00E90F6B"/>
    <w:rsid w:val="00E92C27"/>
    <w:rsid w:val="00EA0E3D"/>
    <w:rsid w:val="00EC38A7"/>
    <w:rsid w:val="00EC5568"/>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184902F"/>
    <w:rsid w:val="2859CA1B"/>
    <w:rsid w:val="2C4D2425"/>
    <w:rsid w:val="2EE1E026"/>
    <w:rsid w:val="2F44F38F"/>
    <w:rsid w:val="30821638"/>
    <w:rsid w:val="32A4F9CF"/>
    <w:rsid w:val="33A1FF93"/>
    <w:rsid w:val="356CEDFD"/>
    <w:rsid w:val="3C591AFD"/>
    <w:rsid w:val="42183F0A"/>
    <w:rsid w:val="451F5FF5"/>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C185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3DF6F68-2D0D-4E29-84FD-4A3DCF286A7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21</Pages>
  <Words>6202</Words>
  <Characters>34117</Characters>
  <Application>Microsoft Office Word</Application>
  <DocSecurity>0</DocSecurity>
  <Lines>284</Lines>
  <Paragraphs>80</Paragraphs>
  <ScaleCrop>false</ScaleCrop>
  <Company/>
  <LinksUpToDate>false</LinksUpToDate>
  <CharactersWithSpaces>40239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2026-05-07T16:32:00Z</dcterms:created>
  <dcterms:modified xsi:type="dcterms:W3CDTF">2026-05-07T21:09:00Z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