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6AF90" w14:textId="77777777" w:rsidR="006C05C1" w:rsidRPr="006C05C1" w:rsidRDefault="006C05C1" w:rsidP="006C05C1">
      <w:pPr>
        <w:spacing w:after="0" w:line="276" w:lineRule="auto"/>
        <w:jc w:val="both"/>
        <w:rPr>
          <w:rFonts w:ascii="Verdana" w:eastAsia="Calibri" w:hAnsi="Verdana" w:cs="Arial"/>
          <w:b/>
          <w:bCs/>
          <w:lang w:val="es-ES_tradnl"/>
        </w:rPr>
      </w:pPr>
      <w:bookmarkStart w:id="0" w:name="_Hlk143780582"/>
      <w:r w:rsidRPr="006C05C1">
        <w:rPr>
          <w:rFonts w:ascii="Verdana" w:eastAsia="Calibri" w:hAnsi="Verdana" w:cs="Arial"/>
          <w:b/>
          <w:bCs/>
          <w:lang w:val="es-ES_tradnl"/>
        </w:rPr>
        <w:t xml:space="preserve">DOCUMENTOS TIPO – Fundamento normativo – Obligatoriedad </w:t>
      </w:r>
    </w:p>
    <w:p w14:paraId="6A6A02CC" w14:textId="77777777" w:rsidR="006C05C1" w:rsidRPr="006C05C1" w:rsidRDefault="006C05C1" w:rsidP="006C05C1">
      <w:pPr>
        <w:spacing w:after="0" w:line="276" w:lineRule="auto"/>
        <w:jc w:val="both"/>
        <w:rPr>
          <w:rFonts w:ascii="Verdana" w:eastAsia="Calibri" w:hAnsi="Verdana" w:cs="Arial"/>
          <w:b/>
          <w:bCs/>
          <w:sz w:val="20"/>
          <w:szCs w:val="20"/>
          <w:lang w:val="es-ES_tradnl"/>
        </w:rPr>
      </w:pPr>
    </w:p>
    <w:p w14:paraId="7FFA43FE" w14:textId="77777777" w:rsidR="006C05C1" w:rsidRPr="006C05C1" w:rsidRDefault="006C05C1" w:rsidP="006C05C1">
      <w:pPr>
        <w:tabs>
          <w:tab w:val="left" w:pos="709"/>
        </w:tabs>
        <w:spacing w:after="0" w:line="240" w:lineRule="auto"/>
        <w:jc w:val="both"/>
        <w:rPr>
          <w:rFonts w:ascii="Verdana" w:eastAsia="Calibri" w:hAnsi="Verdana" w:cs="Arial"/>
          <w:sz w:val="20"/>
          <w:szCs w:val="20"/>
          <w:lang w:val="es-ES"/>
        </w:rPr>
      </w:pPr>
      <w:r w:rsidRPr="006C05C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F0F5917" w14:textId="77777777" w:rsidR="006C05C1" w:rsidRPr="006C05C1" w:rsidRDefault="006C05C1" w:rsidP="006C05C1">
      <w:pPr>
        <w:spacing w:after="0" w:line="276" w:lineRule="auto"/>
        <w:jc w:val="both"/>
        <w:rPr>
          <w:rFonts w:ascii="Verdana" w:eastAsia="Calibri" w:hAnsi="Verdana" w:cs="Arial"/>
          <w:b/>
          <w:bCs/>
          <w:lang w:val="es-ES_tradnl"/>
        </w:rPr>
      </w:pPr>
    </w:p>
    <w:p w14:paraId="4AD99DE6" w14:textId="77777777" w:rsidR="006C05C1" w:rsidRPr="006C05C1" w:rsidRDefault="006C05C1" w:rsidP="006C05C1">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transporte − Vigentes – Año 2024 </w:t>
      </w:r>
    </w:p>
    <w:p w14:paraId="198B5287" w14:textId="77777777" w:rsidR="006C05C1" w:rsidRPr="006C05C1" w:rsidRDefault="006C05C1" w:rsidP="006C05C1">
      <w:pPr>
        <w:spacing w:after="0" w:line="276" w:lineRule="auto"/>
        <w:jc w:val="both"/>
        <w:rPr>
          <w:rFonts w:ascii="Verdana" w:eastAsia="Calibri" w:hAnsi="Verdana" w:cs="Arial"/>
          <w:b/>
          <w:bCs/>
          <w:color w:val="000000"/>
          <w:lang w:eastAsia="es-ES_tradnl"/>
        </w:rPr>
      </w:pPr>
    </w:p>
    <w:p w14:paraId="10E9D3F2" w14:textId="77777777" w:rsidR="006C05C1" w:rsidRPr="006C05C1" w:rsidRDefault="006C05C1" w:rsidP="006C05C1">
      <w:pPr>
        <w:spacing w:after="0" w:line="240" w:lineRule="auto"/>
        <w:jc w:val="both"/>
        <w:rPr>
          <w:rFonts w:ascii="Verdana" w:eastAsia="Calibri" w:hAnsi="Verdana" w:cs="Arial"/>
          <w:sz w:val="20"/>
          <w:szCs w:val="20"/>
        </w:rPr>
      </w:pPr>
      <w:r w:rsidRPr="006C05C1">
        <w:rPr>
          <w:rFonts w:ascii="Verdana" w:eastAsia="Calibri" w:hAnsi="Verdana" w:cs="Arial"/>
          <w:color w:val="000000"/>
          <w:sz w:val="20"/>
          <w:szCs w:val="20"/>
          <w:lang w:eastAsia="es-ES_tradnl"/>
        </w:rPr>
        <w:t>(…)</w:t>
      </w:r>
      <w:r w:rsidRPr="006C05C1">
        <w:rPr>
          <w:rFonts w:ascii="Verdana" w:eastAsia="Calibri" w:hAnsi="Verdana" w:cs="Arial"/>
          <w:b/>
          <w:bCs/>
          <w:color w:val="000000"/>
          <w:sz w:val="20"/>
          <w:szCs w:val="20"/>
          <w:lang w:eastAsia="es-ES_tradnl"/>
        </w:rPr>
        <w:t xml:space="preserve"> </w:t>
      </w:r>
      <w:r w:rsidRPr="006C05C1">
        <w:rPr>
          <w:rFonts w:ascii="Verdana" w:eastAsia="Aptos" w:hAnsi="Verdana" w:cs="Arial"/>
          <w:sz w:val="20"/>
          <w:szCs w:val="20"/>
        </w:rPr>
        <w:t>P</w:t>
      </w:r>
      <w:r w:rsidRPr="006C05C1">
        <w:rPr>
          <w:rFonts w:ascii="Verdana" w:eastAsia="Calibri" w:hAnsi="Verdana" w:cs="Arial"/>
          <w:sz w:val="20"/>
          <w:szCs w:val="20"/>
        </w:rPr>
        <w:t>ara el año 2024, se encontraban vigentes los siguientes Documentos Tipo:</w:t>
      </w:r>
    </w:p>
    <w:p w14:paraId="7574A8A7"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i. Sector de Infraestructura de Transporte:</w:t>
      </w:r>
    </w:p>
    <w:p w14:paraId="17770249" w14:textId="77777777" w:rsidR="006C05C1" w:rsidRPr="006C05C1" w:rsidRDefault="006C05C1" w:rsidP="006C05C1">
      <w:pPr>
        <w:spacing w:after="0" w:line="240" w:lineRule="auto"/>
        <w:jc w:val="both"/>
        <w:rPr>
          <w:rFonts w:ascii="Verdana" w:eastAsia="Aptos" w:hAnsi="Verdana" w:cs="Arial"/>
          <w:sz w:val="20"/>
          <w:szCs w:val="20"/>
        </w:rPr>
      </w:pPr>
    </w:p>
    <w:p w14:paraId="4B9F687C"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240 del 27 de noviembre de 2020: “Por la cual se actualizan los Documentos Tipo para los procesos de selección de licitación de obra pública de infraestructura de transporte y se deroga la Resolución 0045 de 2020”.</w:t>
      </w:r>
    </w:p>
    <w:p w14:paraId="3D783F34" w14:textId="77777777" w:rsidR="006C05C1" w:rsidRPr="006C05C1" w:rsidRDefault="006C05C1" w:rsidP="006C05C1">
      <w:pPr>
        <w:spacing w:after="0" w:line="240" w:lineRule="auto"/>
        <w:jc w:val="both"/>
        <w:rPr>
          <w:rFonts w:ascii="Verdana" w:eastAsia="Aptos" w:hAnsi="Verdana" w:cs="Arial"/>
          <w:sz w:val="20"/>
          <w:szCs w:val="20"/>
        </w:rPr>
      </w:pPr>
    </w:p>
    <w:p w14:paraId="491D85C8"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241 del 27 de noviembre de 2020: “Por la cual se actualizan los Documentos Tipo para los procesos de selección abreviada de menor cuantía de obra pública de infraestructura de transporte y se deroga la Resolución 0044 de 2020”.</w:t>
      </w:r>
    </w:p>
    <w:p w14:paraId="0CA225F9" w14:textId="77777777" w:rsidR="006C05C1" w:rsidRPr="006C05C1" w:rsidRDefault="006C05C1" w:rsidP="006C05C1">
      <w:pPr>
        <w:spacing w:after="0" w:line="240" w:lineRule="auto"/>
        <w:jc w:val="both"/>
        <w:rPr>
          <w:rFonts w:ascii="Verdana" w:eastAsia="Aptos" w:hAnsi="Verdana" w:cs="Arial"/>
          <w:sz w:val="20"/>
          <w:szCs w:val="20"/>
        </w:rPr>
      </w:pPr>
    </w:p>
    <w:p w14:paraId="43976C8A"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232BD4FC" w14:textId="77777777" w:rsidR="006C05C1" w:rsidRPr="006C05C1" w:rsidRDefault="006C05C1" w:rsidP="006C05C1">
      <w:pPr>
        <w:spacing w:after="0" w:line="240" w:lineRule="auto"/>
        <w:jc w:val="both"/>
        <w:rPr>
          <w:rFonts w:ascii="Verdana" w:eastAsia="Aptos" w:hAnsi="Verdana" w:cs="Arial"/>
          <w:sz w:val="20"/>
          <w:szCs w:val="20"/>
        </w:rPr>
      </w:pPr>
    </w:p>
    <w:p w14:paraId="63967BC5"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1F172590" w14:textId="77777777" w:rsidR="006C05C1" w:rsidRPr="006C05C1" w:rsidRDefault="006C05C1" w:rsidP="006C05C1">
      <w:pPr>
        <w:spacing w:after="0" w:line="240" w:lineRule="auto"/>
        <w:jc w:val="both"/>
        <w:rPr>
          <w:rFonts w:ascii="Verdana" w:eastAsia="Aptos" w:hAnsi="Verdana" w:cs="Arial"/>
          <w:sz w:val="20"/>
          <w:szCs w:val="20"/>
        </w:rPr>
      </w:pPr>
    </w:p>
    <w:p w14:paraId="5608B57E"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193 del 14 de julio de 2024: “Por la cual se adoptan los documentos tipo para los procesos de selección de concurso de méritos, para contratar la consultoría de estudios de ingeniería de infraestructura de transporte”.</w:t>
      </w:r>
    </w:p>
    <w:p w14:paraId="272774BF" w14:textId="77777777" w:rsidR="006C05C1" w:rsidRPr="006C05C1" w:rsidRDefault="006C05C1" w:rsidP="006C05C1">
      <w:pPr>
        <w:spacing w:after="0" w:line="240" w:lineRule="auto"/>
        <w:jc w:val="both"/>
        <w:rPr>
          <w:rFonts w:ascii="Verdana" w:eastAsia="Aptos" w:hAnsi="Verdana" w:cs="Arial"/>
          <w:sz w:val="20"/>
          <w:szCs w:val="20"/>
        </w:rPr>
      </w:pPr>
    </w:p>
    <w:p w14:paraId="2FB6924A" w14:textId="77777777" w:rsidR="006C05C1" w:rsidRPr="006C05C1" w:rsidRDefault="006C05C1" w:rsidP="006C05C1">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agua potable y saneamiento básico − Vigentes – Año 2024 </w:t>
      </w:r>
    </w:p>
    <w:p w14:paraId="0A16DEA1" w14:textId="77777777" w:rsidR="006C05C1" w:rsidRPr="006C05C1" w:rsidRDefault="006C05C1" w:rsidP="006C05C1">
      <w:pPr>
        <w:spacing w:after="0" w:line="240" w:lineRule="auto"/>
        <w:jc w:val="both"/>
        <w:rPr>
          <w:rFonts w:ascii="Verdana" w:eastAsia="Aptos" w:hAnsi="Verdana" w:cs="Arial"/>
          <w:sz w:val="20"/>
          <w:szCs w:val="20"/>
        </w:rPr>
      </w:pPr>
    </w:p>
    <w:p w14:paraId="2A676D61" w14:textId="77777777" w:rsidR="006C05C1" w:rsidRPr="006C05C1" w:rsidRDefault="006C05C1" w:rsidP="006C05C1">
      <w:pPr>
        <w:spacing w:after="0" w:line="240" w:lineRule="auto"/>
        <w:jc w:val="both"/>
        <w:rPr>
          <w:rFonts w:ascii="Verdana" w:eastAsia="Aptos" w:hAnsi="Verdana" w:cs="Arial"/>
          <w:sz w:val="20"/>
          <w:szCs w:val="20"/>
        </w:rPr>
      </w:pPr>
      <w:proofErr w:type="spellStart"/>
      <w:r w:rsidRPr="006C05C1">
        <w:rPr>
          <w:rFonts w:ascii="Verdana" w:eastAsia="Aptos" w:hAnsi="Verdana" w:cs="Arial"/>
          <w:sz w:val="20"/>
          <w:szCs w:val="20"/>
        </w:rPr>
        <w:t>ii</w:t>
      </w:r>
      <w:proofErr w:type="spellEnd"/>
      <w:r w:rsidRPr="006C05C1">
        <w:rPr>
          <w:rFonts w:ascii="Verdana" w:eastAsia="Aptos" w:hAnsi="Verdana" w:cs="Arial"/>
          <w:sz w:val="20"/>
          <w:szCs w:val="20"/>
        </w:rPr>
        <w:t>. Sector de Infraestructura de Agua Potable y Saneamiento Básico:</w:t>
      </w:r>
    </w:p>
    <w:p w14:paraId="5CDBE021" w14:textId="77777777" w:rsidR="006C05C1" w:rsidRPr="006C05C1" w:rsidRDefault="006C05C1" w:rsidP="006C05C1">
      <w:pPr>
        <w:spacing w:after="0" w:line="240" w:lineRule="auto"/>
        <w:jc w:val="both"/>
        <w:rPr>
          <w:rFonts w:ascii="Verdana" w:eastAsia="Aptos" w:hAnsi="Verdana" w:cs="Arial"/>
          <w:sz w:val="20"/>
          <w:szCs w:val="20"/>
        </w:rPr>
      </w:pPr>
    </w:p>
    <w:p w14:paraId="7A322D2C"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248 del 1 de diciembre de 2020: "Por la cual se adoptan los documentos tipo para los procesos de licitación pública para obras de infraestructura de agua potable y saneamiento básico"</w:t>
      </w:r>
    </w:p>
    <w:p w14:paraId="71FBF35B"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69B3EC5B" w14:textId="77777777" w:rsidR="006C05C1" w:rsidRPr="006C05C1" w:rsidRDefault="006C05C1" w:rsidP="006C05C1">
      <w:pPr>
        <w:spacing w:after="0" w:line="240" w:lineRule="auto"/>
        <w:jc w:val="both"/>
        <w:rPr>
          <w:rFonts w:ascii="Verdana" w:eastAsia="Aptos" w:hAnsi="Verdana" w:cs="Arial"/>
          <w:sz w:val="20"/>
          <w:szCs w:val="20"/>
        </w:rPr>
      </w:pPr>
    </w:p>
    <w:p w14:paraId="367F5A77"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EBE674A" w14:textId="77777777" w:rsidR="006C05C1" w:rsidRPr="006C05C1" w:rsidRDefault="006C05C1" w:rsidP="006C05C1">
      <w:pPr>
        <w:spacing w:after="0" w:line="240" w:lineRule="auto"/>
        <w:jc w:val="both"/>
        <w:rPr>
          <w:rFonts w:ascii="Verdana" w:eastAsia="Aptos" w:hAnsi="Verdana" w:cs="Arial"/>
          <w:sz w:val="20"/>
          <w:szCs w:val="20"/>
        </w:rPr>
      </w:pPr>
    </w:p>
    <w:p w14:paraId="798D5679" w14:textId="77777777" w:rsidR="006C05C1" w:rsidRPr="006C05C1" w:rsidRDefault="006C05C1" w:rsidP="006C05C1">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infraestructura social − Vigentes – Año 2024 </w:t>
      </w:r>
    </w:p>
    <w:p w14:paraId="3E3B62EF" w14:textId="77777777" w:rsidR="006C05C1" w:rsidRPr="006C05C1" w:rsidRDefault="006C05C1" w:rsidP="006C05C1">
      <w:pPr>
        <w:spacing w:after="0" w:line="240" w:lineRule="auto"/>
        <w:jc w:val="both"/>
        <w:rPr>
          <w:rFonts w:ascii="Verdana" w:eastAsia="Aptos" w:hAnsi="Verdana" w:cs="Arial"/>
          <w:sz w:val="20"/>
          <w:szCs w:val="20"/>
        </w:rPr>
      </w:pPr>
    </w:p>
    <w:p w14:paraId="074F31C9" w14:textId="77777777" w:rsidR="006C05C1" w:rsidRPr="006C05C1" w:rsidRDefault="006C05C1" w:rsidP="006C05C1">
      <w:pPr>
        <w:spacing w:after="0" w:line="240" w:lineRule="auto"/>
        <w:jc w:val="both"/>
        <w:rPr>
          <w:rFonts w:ascii="Verdana" w:eastAsia="Aptos" w:hAnsi="Verdana" w:cs="Arial"/>
          <w:sz w:val="20"/>
          <w:szCs w:val="20"/>
        </w:rPr>
      </w:pPr>
      <w:proofErr w:type="spellStart"/>
      <w:r w:rsidRPr="006C05C1">
        <w:rPr>
          <w:rFonts w:ascii="Verdana" w:eastAsia="Aptos" w:hAnsi="Verdana" w:cs="Arial"/>
          <w:sz w:val="20"/>
          <w:szCs w:val="20"/>
        </w:rPr>
        <w:t>iii</w:t>
      </w:r>
      <w:proofErr w:type="spellEnd"/>
      <w:r w:rsidRPr="006C05C1">
        <w:rPr>
          <w:rFonts w:ascii="Verdana" w:eastAsia="Aptos" w:hAnsi="Verdana" w:cs="Arial"/>
          <w:sz w:val="20"/>
          <w:szCs w:val="20"/>
        </w:rPr>
        <w:t xml:space="preserve">. Sector de Infraestructura Social: </w:t>
      </w:r>
    </w:p>
    <w:p w14:paraId="0435A006" w14:textId="77777777" w:rsidR="006C05C1" w:rsidRPr="006C05C1" w:rsidRDefault="006C05C1" w:rsidP="006C05C1">
      <w:pPr>
        <w:spacing w:after="0" w:line="240" w:lineRule="auto"/>
        <w:jc w:val="both"/>
        <w:rPr>
          <w:rFonts w:ascii="Verdana" w:eastAsia="Aptos" w:hAnsi="Verdana" w:cs="Arial"/>
          <w:sz w:val="20"/>
          <w:szCs w:val="20"/>
        </w:rPr>
      </w:pPr>
    </w:p>
    <w:p w14:paraId="1848BBE8" w14:textId="77777777" w:rsidR="006C05C1" w:rsidRPr="006C05C1" w:rsidRDefault="00B17C52" w:rsidP="006C05C1">
      <w:pPr>
        <w:spacing w:after="0" w:line="240" w:lineRule="auto"/>
        <w:jc w:val="both"/>
        <w:rPr>
          <w:rFonts w:ascii="Verdana" w:eastAsia="Calibri" w:hAnsi="Verdana" w:cs="Arial"/>
          <w:sz w:val="20"/>
          <w:szCs w:val="20"/>
        </w:rPr>
      </w:pPr>
      <w:r w:rsidRPr="006C05C1">
        <w:rPr>
          <w:rFonts w:ascii="Verdana" w:eastAsia="Calibri" w:hAnsi="Verdana" w:cs="Arial"/>
          <w:sz w:val="20"/>
          <w:szCs w:val="20"/>
        </w:rPr>
        <w:t xml:space="preserve">Resolución 219 </w:t>
      </w:r>
      <w:r w:rsidRPr="006C05C1">
        <w:rPr>
          <w:rFonts w:ascii="Verdana" w:eastAsia="Calibri" w:hAnsi="Verdana" w:cs="Arial"/>
          <w:bCs/>
          <w:sz w:val="20"/>
          <w:szCs w:val="20"/>
        </w:rPr>
        <w:t xml:space="preserve">del 6 de agosto </w:t>
      </w:r>
      <w:r w:rsidRPr="006C05C1">
        <w:rPr>
          <w:rFonts w:ascii="Verdana" w:eastAsia="Calibri" w:hAnsi="Verdana" w:cs="Arial"/>
          <w:sz w:val="20"/>
          <w:szCs w:val="20"/>
        </w:rPr>
        <w:t>de 2021 “Por la cual se adoptan los documentos tipo para los procesos de licitación de obra pública de infraestructura social”.</w:t>
      </w:r>
    </w:p>
    <w:p w14:paraId="395D6FD3" w14:textId="77777777" w:rsidR="00B17C52" w:rsidRPr="006C05C1" w:rsidRDefault="00B17C52" w:rsidP="006C05C1">
      <w:pPr>
        <w:spacing w:after="0" w:line="240" w:lineRule="auto"/>
        <w:jc w:val="both"/>
        <w:rPr>
          <w:rFonts w:ascii="Verdana" w:eastAsia="Aptos" w:hAnsi="Verdana" w:cs="Arial"/>
          <w:sz w:val="20"/>
          <w:szCs w:val="20"/>
        </w:rPr>
      </w:pPr>
    </w:p>
    <w:p w14:paraId="5097C280" w14:textId="77777777" w:rsidR="006C05C1" w:rsidRPr="006C05C1" w:rsidRDefault="006C05C1" w:rsidP="006C05C1">
      <w:pPr>
        <w:spacing w:after="0" w:line="240" w:lineRule="auto"/>
        <w:jc w:val="both"/>
        <w:rPr>
          <w:rFonts w:ascii="Verdana" w:eastAsia="Calibri" w:hAnsi="Verdana" w:cs="Arial"/>
          <w:kern w:val="2"/>
          <w:sz w:val="20"/>
          <w:szCs w:val="20"/>
          <w14:ligatures w14:val="standardContextual"/>
        </w:rPr>
      </w:pPr>
      <w:r w:rsidRPr="006C05C1">
        <w:rPr>
          <w:rFonts w:ascii="Verdana" w:eastAsia="Calibri" w:hAnsi="Verdana" w:cs="Arial"/>
          <w:kern w:val="2"/>
          <w:sz w:val="20"/>
          <w:szCs w:val="20"/>
          <w14:ligatures w14:val="standardContextual"/>
        </w:rPr>
        <w:t xml:space="preserve">Resolución 220 del 6 de agosto de 2021 </w:t>
      </w:r>
      <w:r w:rsidRPr="006C05C1">
        <w:rPr>
          <w:rFonts w:ascii="Verdana" w:eastAsia="Calibri" w:hAnsi="Verdana" w:cs="Arial"/>
          <w:sz w:val="20"/>
          <w:szCs w:val="20"/>
        </w:rPr>
        <w:t>"Por la cual se adoptan los documentos tipo complementarios para los procesos de licitación de obra pública de infraestructura social relacionados con el sector educativo”</w:t>
      </w:r>
      <w:r w:rsidRPr="006C05C1">
        <w:rPr>
          <w:rFonts w:ascii="Verdana" w:eastAsia="Calibri" w:hAnsi="Verdana" w:cs="Arial"/>
          <w:kern w:val="2"/>
          <w:sz w:val="20"/>
          <w:szCs w:val="20"/>
          <w14:ligatures w14:val="standardContextual"/>
        </w:rPr>
        <w:t xml:space="preserve">. </w:t>
      </w:r>
    </w:p>
    <w:p w14:paraId="690D81F6" w14:textId="77777777" w:rsidR="006C05C1" w:rsidRPr="006C05C1" w:rsidRDefault="006C05C1" w:rsidP="006C05C1">
      <w:pPr>
        <w:spacing w:after="0" w:line="240" w:lineRule="auto"/>
        <w:jc w:val="both"/>
        <w:rPr>
          <w:rFonts w:ascii="Verdana" w:eastAsia="Calibri" w:hAnsi="Verdana" w:cs="Arial"/>
          <w:sz w:val="20"/>
          <w:szCs w:val="20"/>
        </w:rPr>
      </w:pPr>
    </w:p>
    <w:p w14:paraId="463FB5ED" w14:textId="77777777" w:rsidR="006C05C1" w:rsidRPr="006C05C1" w:rsidRDefault="006C05C1" w:rsidP="006C05C1">
      <w:pPr>
        <w:spacing w:after="0" w:line="240" w:lineRule="auto"/>
        <w:jc w:val="both"/>
        <w:rPr>
          <w:rFonts w:ascii="Verdana" w:eastAsia="Calibri" w:hAnsi="Verdana" w:cs="Arial"/>
          <w:sz w:val="20"/>
          <w:szCs w:val="20"/>
        </w:rPr>
      </w:pPr>
      <w:r w:rsidRPr="006C05C1">
        <w:rPr>
          <w:rFonts w:ascii="Verdana" w:eastAsia="Calibri" w:hAnsi="Verdana" w:cs="Arial"/>
          <w:kern w:val="2"/>
          <w:sz w:val="20"/>
          <w:szCs w:val="20"/>
          <w14:ligatures w14:val="standardContextual"/>
        </w:rPr>
        <w:t>Resolución 392 del 18 de noviembre de 2021</w:t>
      </w:r>
      <w:r w:rsidRPr="006C05C1">
        <w:rPr>
          <w:rFonts w:ascii="Verdana" w:eastAsia="Calibri" w:hAnsi="Verdana" w:cs="Arial"/>
          <w:sz w:val="20"/>
          <w:szCs w:val="20"/>
        </w:rPr>
        <w:t xml:space="preserve"> “"Por la cual se adoptan los documentos tipo complementarios para los procesos de licitación de obra pública de infraestructura social relacionados con el sector salud".</w:t>
      </w:r>
    </w:p>
    <w:p w14:paraId="15330CBB" w14:textId="77777777" w:rsidR="006C05C1" w:rsidRPr="006C05C1" w:rsidRDefault="006C05C1" w:rsidP="006C05C1">
      <w:pPr>
        <w:spacing w:after="0" w:line="240" w:lineRule="auto"/>
        <w:jc w:val="both"/>
        <w:rPr>
          <w:rFonts w:ascii="Verdana" w:eastAsia="Calibri" w:hAnsi="Verdana" w:cs="Arial"/>
          <w:sz w:val="20"/>
          <w:szCs w:val="20"/>
        </w:rPr>
      </w:pPr>
    </w:p>
    <w:p w14:paraId="627C2E49" w14:textId="77777777" w:rsidR="006C05C1" w:rsidRPr="006C05C1" w:rsidRDefault="006C05C1" w:rsidP="006C05C1">
      <w:pPr>
        <w:spacing w:after="0" w:line="240" w:lineRule="auto"/>
        <w:jc w:val="both"/>
        <w:rPr>
          <w:rFonts w:ascii="Verdana" w:eastAsia="Calibri" w:hAnsi="Verdana" w:cs="Arial"/>
          <w:sz w:val="20"/>
          <w:szCs w:val="20"/>
        </w:rPr>
      </w:pPr>
      <w:r w:rsidRPr="006C05C1">
        <w:rPr>
          <w:rFonts w:ascii="Verdana" w:eastAsia="Calibri" w:hAnsi="Verdana" w:cs="Arial"/>
          <w:kern w:val="2"/>
          <w:sz w:val="20"/>
          <w:szCs w:val="20"/>
          <w14:ligatures w14:val="standardContextual"/>
        </w:rPr>
        <w:t xml:space="preserve">Resolución 454 del 16 de diciembre de 2021 </w:t>
      </w:r>
      <w:r w:rsidRPr="006C05C1">
        <w:rPr>
          <w:rFonts w:ascii="Verdana" w:eastAsia="Calibri" w:hAnsi="Verdana" w:cs="Arial"/>
          <w:sz w:val="20"/>
          <w:szCs w:val="20"/>
        </w:rPr>
        <w:t xml:space="preserve">"Por la cual se adoptan los documentos tipo complementarios para los procesos de licitación de obra pública de infraestructura social relacionados con el sector cultura, recreación y deporte”. </w:t>
      </w:r>
    </w:p>
    <w:p w14:paraId="510883E1" w14:textId="77777777" w:rsidR="006C05C1" w:rsidRPr="006C05C1" w:rsidRDefault="006C05C1" w:rsidP="006C05C1">
      <w:pPr>
        <w:spacing w:after="0" w:line="240" w:lineRule="auto"/>
        <w:jc w:val="both"/>
        <w:rPr>
          <w:rFonts w:ascii="Verdana" w:eastAsia="Calibri" w:hAnsi="Verdana" w:cs="Arial"/>
          <w:sz w:val="20"/>
          <w:szCs w:val="20"/>
        </w:rPr>
      </w:pPr>
    </w:p>
    <w:p w14:paraId="4EB83504" w14:textId="77777777" w:rsidR="006C05C1" w:rsidRPr="006C05C1" w:rsidRDefault="006C05C1" w:rsidP="006C05C1">
      <w:pPr>
        <w:spacing w:after="0" w:line="240" w:lineRule="auto"/>
        <w:jc w:val="both"/>
        <w:rPr>
          <w:rFonts w:ascii="Verdana" w:eastAsia="Calibri" w:hAnsi="Verdana" w:cs="Arial"/>
          <w:sz w:val="20"/>
          <w:szCs w:val="20"/>
        </w:rPr>
      </w:pPr>
      <w:r w:rsidRPr="006C05C1">
        <w:rPr>
          <w:rFonts w:ascii="Verdana" w:eastAsia="Calibri" w:hAnsi="Verdana" w:cs="Arial"/>
          <w:sz w:val="20"/>
          <w:szCs w:val="20"/>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0BD6B1F9" w14:textId="77777777" w:rsidR="006C05C1" w:rsidRPr="006C05C1" w:rsidRDefault="006C05C1" w:rsidP="006C05C1">
      <w:pPr>
        <w:spacing w:after="0" w:line="240" w:lineRule="auto"/>
        <w:jc w:val="both"/>
        <w:rPr>
          <w:rFonts w:ascii="Verdana" w:eastAsia="Aptos" w:hAnsi="Verdana" w:cs="Arial"/>
          <w:sz w:val="20"/>
          <w:szCs w:val="20"/>
        </w:rPr>
      </w:pPr>
    </w:p>
    <w:p w14:paraId="467656ED" w14:textId="77777777" w:rsidR="006C05C1" w:rsidRPr="006C05C1" w:rsidRDefault="006C05C1" w:rsidP="006C05C1">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–Convenios solidarios – Catastro multipropósito − Vigentes – Año 2024 </w:t>
      </w:r>
    </w:p>
    <w:p w14:paraId="44F1A826" w14:textId="77777777" w:rsidR="00B17C52" w:rsidRPr="006C05C1" w:rsidRDefault="00B17C52" w:rsidP="006C05C1">
      <w:pPr>
        <w:spacing w:after="0" w:line="240" w:lineRule="auto"/>
        <w:jc w:val="both"/>
        <w:rPr>
          <w:rFonts w:ascii="Verdana" w:eastAsia="Aptos" w:hAnsi="Verdana" w:cs="Arial"/>
          <w:sz w:val="20"/>
          <w:szCs w:val="20"/>
        </w:rPr>
      </w:pPr>
    </w:p>
    <w:p w14:paraId="05CCA2C8" w14:textId="77777777" w:rsidR="006C05C1" w:rsidRPr="006C05C1" w:rsidRDefault="006C05C1" w:rsidP="006C05C1">
      <w:pPr>
        <w:spacing w:after="0" w:line="240" w:lineRule="auto"/>
        <w:jc w:val="both"/>
        <w:rPr>
          <w:rFonts w:ascii="Verdana" w:eastAsia="Aptos" w:hAnsi="Verdana" w:cs="Arial"/>
          <w:sz w:val="20"/>
          <w:szCs w:val="20"/>
        </w:rPr>
      </w:pPr>
      <w:proofErr w:type="spellStart"/>
      <w:r w:rsidRPr="006C05C1">
        <w:rPr>
          <w:rFonts w:ascii="Verdana" w:eastAsia="Aptos" w:hAnsi="Verdana" w:cs="Arial"/>
          <w:sz w:val="20"/>
          <w:szCs w:val="20"/>
        </w:rPr>
        <w:t>iv</w:t>
      </w:r>
      <w:proofErr w:type="spellEnd"/>
      <w:r w:rsidRPr="006C05C1">
        <w:rPr>
          <w:rFonts w:ascii="Verdana" w:eastAsia="Aptos" w:hAnsi="Verdana" w:cs="Arial"/>
          <w:sz w:val="20"/>
          <w:szCs w:val="20"/>
        </w:rPr>
        <w:t>. Documentos tipo para la contratación directa de convenios solidarios:</w:t>
      </w:r>
    </w:p>
    <w:p w14:paraId="168D987E" w14:textId="77777777" w:rsidR="006C05C1" w:rsidRPr="006C05C1" w:rsidRDefault="006C05C1" w:rsidP="006C05C1">
      <w:pPr>
        <w:spacing w:after="0" w:line="240" w:lineRule="auto"/>
        <w:jc w:val="both"/>
        <w:rPr>
          <w:rFonts w:ascii="Verdana" w:eastAsia="Aptos" w:hAnsi="Verdana" w:cs="Arial"/>
          <w:sz w:val="20"/>
          <w:szCs w:val="20"/>
        </w:rPr>
      </w:pPr>
    </w:p>
    <w:p w14:paraId="511FD856" w14:textId="77777777" w:rsidR="006C05C1" w:rsidRPr="006C05C1" w:rsidRDefault="006C05C1" w:rsidP="006C05C1">
      <w:pPr>
        <w:spacing w:after="0" w:line="240" w:lineRule="auto"/>
        <w:jc w:val="both"/>
        <w:rPr>
          <w:rFonts w:ascii="Verdana" w:eastAsia="Aptos" w:hAnsi="Verdana" w:cs="Times New Roman"/>
          <w:sz w:val="20"/>
          <w:szCs w:val="20"/>
        </w:rPr>
      </w:pPr>
      <w:r w:rsidRPr="006C05C1">
        <w:rPr>
          <w:rFonts w:ascii="Verdana" w:eastAsia="Aptos" w:hAnsi="Verdana" w:cs="Arial"/>
          <w:sz w:val="20"/>
          <w:szCs w:val="20"/>
        </w:rPr>
        <w:t>Resolución 358 del 30 de junio de 2023 “</w:t>
      </w:r>
      <w:r w:rsidRPr="006C05C1">
        <w:rPr>
          <w:rFonts w:ascii="Verdana" w:eastAsia="Aptos" w:hAnsi="Verdana" w:cs="Times New Roman"/>
          <w:sz w:val="20"/>
          <w:szCs w:val="20"/>
        </w:rPr>
        <w:t xml:space="preserve">Por la cual se adopta el documento tipo para la contratación directa de convenios solidarios para la ejecución de obras hasta la menor cuantía con organismos de acción comunal”. </w:t>
      </w:r>
    </w:p>
    <w:p w14:paraId="4DBB4EC8" w14:textId="77777777" w:rsidR="006C05C1" w:rsidRPr="006C05C1" w:rsidRDefault="006C05C1" w:rsidP="006C05C1">
      <w:pPr>
        <w:spacing w:after="0" w:line="240" w:lineRule="auto"/>
        <w:jc w:val="both"/>
        <w:rPr>
          <w:rFonts w:ascii="Verdana" w:eastAsia="Aptos" w:hAnsi="Verdana" w:cs="Times New Roman"/>
          <w:sz w:val="20"/>
          <w:szCs w:val="20"/>
        </w:rPr>
      </w:pPr>
    </w:p>
    <w:p w14:paraId="25CA2BF2" w14:textId="77777777" w:rsidR="006C05C1" w:rsidRPr="006C05C1" w:rsidRDefault="006C05C1" w:rsidP="006C05C1">
      <w:pPr>
        <w:spacing w:after="0" w:line="240" w:lineRule="auto"/>
        <w:jc w:val="both"/>
        <w:rPr>
          <w:rFonts w:ascii="Verdana" w:eastAsia="Aptos" w:hAnsi="Verdana" w:cs="Times New Roman"/>
          <w:sz w:val="20"/>
          <w:szCs w:val="20"/>
        </w:rPr>
      </w:pPr>
      <w:r w:rsidRPr="006C05C1">
        <w:rPr>
          <w:rFonts w:ascii="Verdana" w:eastAsia="Aptos" w:hAnsi="Verdana" w:cs="Times New Roman"/>
          <w:sz w:val="20"/>
          <w:szCs w:val="20"/>
        </w:rPr>
        <w:t xml:space="preserve">v. Documentos tipo de gestión catastral: </w:t>
      </w:r>
    </w:p>
    <w:p w14:paraId="58049BDC" w14:textId="77777777" w:rsidR="006C05C1" w:rsidRPr="006C05C1" w:rsidRDefault="006C05C1" w:rsidP="006C05C1">
      <w:pPr>
        <w:spacing w:after="0" w:line="240" w:lineRule="auto"/>
        <w:jc w:val="both"/>
        <w:rPr>
          <w:rFonts w:ascii="Verdana" w:eastAsia="Aptos" w:hAnsi="Verdana" w:cs="Arial"/>
          <w:sz w:val="20"/>
          <w:szCs w:val="20"/>
        </w:rPr>
      </w:pPr>
      <w:r w:rsidRPr="006C05C1">
        <w:rPr>
          <w:rFonts w:ascii="Verdana" w:eastAsia="Aptos" w:hAnsi="Verdana" w:cs="Arial"/>
          <w:sz w:val="20"/>
          <w:szCs w:val="20"/>
        </w:rPr>
        <w:lastRenderedPageBreak/>
        <w:t xml:space="preserve">Resolución 269 del 16 de diciembre de 2020 “Por la cual se adopta el documento tipo para los procesos de gestión catastral con enfoque multipropósito que se celebren a través de contratos interadministrativos”. </w:t>
      </w:r>
    </w:p>
    <w:p w14:paraId="43DC228F" w14:textId="77777777" w:rsidR="006C05C1" w:rsidRPr="006C05C1" w:rsidRDefault="006C05C1" w:rsidP="006C05C1">
      <w:pPr>
        <w:spacing w:after="0" w:line="276" w:lineRule="auto"/>
        <w:jc w:val="both"/>
        <w:rPr>
          <w:rFonts w:ascii="Verdana" w:eastAsia="Calibri" w:hAnsi="Verdana" w:cs="Arial"/>
          <w:sz w:val="20"/>
          <w:szCs w:val="20"/>
          <w:lang w:val="es-ES"/>
        </w:rPr>
      </w:pPr>
    </w:p>
    <w:p w14:paraId="6F26A768" w14:textId="77777777" w:rsidR="006C05C1" w:rsidRPr="006C05C1" w:rsidRDefault="006C05C1" w:rsidP="006C05C1">
      <w:pPr>
        <w:spacing w:after="0" w:line="276" w:lineRule="auto"/>
        <w:jc w:val="both"/>
        <w:rPr>
          <w:rFonts w:ascii="Verdana" w:eastAsia="Calibri" w:hAnsi="Verdana" w:cs="Times New Roman"/>
          <w:sz w:val="20"/>
          <w:szCs w:val="20"/>
          <w:lang w:val="es-ES"/>
        </w:rPr>
      </w:pPr>
      <w:r w:rsidRPr="006C05C1">
        <w:rPr>
          <w:rFonts w:ascii="Verdana" w:eastAsia="Calibri" w:hAnsi="Verdana" w:cs="Times New Roman"/>
          <w:b/>
          <w:bCs/>
          <w:lang w:val="es-ES"/>
        </w:rPr>
        <w:t xml:space="preserve">DOCUMENTOS TIPO – Aplicación – Matriz de Experiencia </w:t>
      </w:r>
    </w:p>
    <w:p w14:paraId="38F12A5B" w14:textId="77777777" w:rsidR="006C05C1" w:rsidRPr="006C05C1" w:rsidRDefault="006C05C1" w:rsidP="006C05C1">
      <w:pPr>
        <w:spacing w:after="0" w:line="240" w:lineRule="auto"/>
        <w:rPr>
          <w:rFonts w:ascii="Verdana" w:eastAsia="Geomanist Light" w:hAnsi="Verdana" w:cs="Arial"/>
          <w:lang w:val="es-MX"/>
        </w:rPr>
      </w:pPr>
    </w:p>
    <w:p w14:paraId="16F2BC5A"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sz w:val="20"/>
          <w:szCs w:val="20"/>
          <w:lang w:val="es-ES"/>
        </w:rPr>
      </w:pPr>
      <w:r w:rsidRPr="006C05C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930939F"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sz w:val="20"/>
          <w:szCs w:val="20"/>
          <w:lang w:val="es-ES"/>
        </w:rPr>
      </w:pPr>
    </w:p>
    <w:p w14:paraId="579C2D2D"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sz w:val="20"/>
          <w:szCs w:val="20"/>
          <w:lang w:val="es-ES"/>
        </w:rPr>
      </w:pPr>
      <w:r w:rsidRPr="006C05C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D7DFF47"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05B6F7CD"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 xml:space="preserve">DOCUMENTOS TIPO – Sector transporte − Vigentes 2024 – Aplicación – Zonas con procesos de erosión </w:t>
      </w:r>
    </w:p>
    <w:p w14:paraId="574D1F01"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44AB57A8" w14:textId="77777777" w:rsidR="006C05C1" w:rsidRPr="006C05C1" w:rsidRDefault="006C05C1" w:rsidP="006C05C1">
      <w:pPr>
        <w:spacing w:after="0" w:line="276" w:lineRule="auto"/>
        <w:jc w:val="both"/>
        <w:rPr>
          <w:rFonts w:ascii="Verdana" w:eastAsia="Aptos" w:hAnsi="Verdana" w:cs="Aptos"/>
          <w:sz w:val="20"/>
          <w:szCs w:val="20"/>
        </w:rPr>
      </w:pPr>
      <w:r w:rsidRPr="006C05C1">
        <w:rPr>
          <w:rFonts w:ascii="Verdana" w:eastAsia="Aptos" w:hAnsi="Verdana" w:cs="Aptos"/>
          <w:sz w:val="20"/>
          <w:szCs w:val="20"/>
        </w:rPr>
        <w:t xml:space="preserve">Como se aprecia, las actividades 4.2 y 4.3, contenidas en la Matriz 1 – Experiencia de los Documentos Tipo señalados, recaen sobre proyectos de atención, prevención o mitigación de emergencias, respectivamente, mediante: i) obras de estabilización de taludes o recuperación de banca y </w:t>
      </w:r>
      <w:proofErr w:type="spellStart"/>
      <w:r w:rsidRPr="006C05C1">
        <w:rPr>
          <w:rFonts w:ascii="Verdana" w:eastAsia="Aptos" w:hAnsi="Verdana" w:cs="Aptos"/>
          <w:sz w:val="20"/>
          <w:szCs w:val="20"/>
        </w:rPr>
        <w:t>ii</w:t>
      </w:r>
      <w:proofErr w:type="spellEnd"/>
      <w:r w:rsidRPr="006C05C1">
        <w:rPr>
          <w:rFonts w:ascii="Verdana" w:eastAsia="Aptos" w:hAnsi="Verdana" w:cs="Aptos"/>
          <w:sz w:val="20"/>
          <w:szCs w:val="20"/>
        </w:rPr>
        <w:t>) obras de remoción de derrumbes.</w:t>
      </w:r>
    </w:p>
    <w:p w14:paraId="7C4EB041" w14:textId="77777777" w:rsidR="006C05C1" w:rsidRPr="006C05C1" w:rsidRDefault="006C05C1" w:rsidP="006C05C1">
      <w:pPr>
        <w:spacing w:after="0" w:line="276" w:lineRule="auto"/>
        <w:jc w:val="both"/>
        <w:rPr>
          <w:rFonts w:ascii="Verdana" w:eastAsia="Aptos" w:hAnsi="Verdana" w:cs="Times New Roman"/>
          <w:sz w:val="20"/>
          <w:szCs w:val="20"/>
        </w:rPr>
      </w:pPr>
    </w:p>
    <w:p w14:paraId="71CCA0DA" w14:textId="77777777" w:rsidR="006C05C1" w:rsidRPr="006C05C1" w:rsidRDefault="00B17C52" w:rsidP="006C05C1">
      <w:pPr>
        <w:spacing w:after="0" w:line="240" w:lineRule="auto"/>
        <w:jc w:val="both"/>
        <w:rPr>
          <w:rFonts w:ascii="Verdana" w:eastAsia="Aptos" w:hAnsi="Verdana" w:cs="Times New Roman"/>
          <w:sz w:val="20"/>
          <w:szCs w:val="20"/>
        </w:rPr>
      </w:pPr>
      <w:r w:rsidRPr="006C05C1">
        <w:rPr>
          <w:rFonts w:ascii="Verdana" w:eastAsia="Aptos" w:hAnsi="Verdana" w:cs="Times New Roman"/>
          <w:sz w:val="20"/>
          <w:szCs w:val="20"/>
        </w:rPr>
        <w:t xml:space="preserve">Particularmente, se indica que las actividades señaladas </w:t>
      </w:r>
      <w:r w:rsidR="006C05C1" w:rsidRPr="006C05C1">
        <w:rPr>
          <w:rFonts w:ascii="Verdana" w:eastAsia="Aptos" w:hAnsi="Verdana" w:cs="Times New Roman"/>
          <w:sz w:val="20"/>
          <w:szCs w:val="20"/>
        </w:rPr>
        <w:t>−</w:t>
      </w:r>
      <w:r w:rsidRPr="006C05C1">
        <w:rPr>
          <w:rFonts w:ascii="Verdana" w:eastAsia="Aptos" w:hAnsi="Verdana" w:cs="Times New Roman"/>
          <w:sz w:val="20"/>
          <w:szCs w:val="20"/>
        </w:rPr>
        <w:t>4.2 y 4.3</w:t>
      </w:r>
      <w:r w:rsidR="006C05C1" w:rsidRPr="006C05C1">
        <w:rPr>
          <w:rFonts w:ascii="Verdana" w:eastAsia="Aptos" w:hAnsi="Verdana" w:cs="Times New Roman"/>
          <w:sz w:val="20"/>
          <w:szCs w:val="20"/>
        </w:rPr>
        <w:t>−</w:t>
      </w:r>
      <w:r w:rsidRPr="006C05C1">
        <w:rPr>
          <w:rFonts w:ascii="Verdana" w:eastAsia="Aptos" w:hAnsi="Verdana" w:cs="Times New Roman"/>
          <w:sz w:val="20"/>
          <w:szCs w:val="20"/>
        </w:rPr>
        <w:t>, contenidas en la Matriz 1 – Experiencia de los Documentos Tipo de licitación de obra pública de infraestructura de transporte – versión 3, aplican a la infraestructura de transporte. En concreto, para efectos de la solicitud, estas recaen sobre la red vial de transporte, puentes, viaductos, túneles, así como sobre ríos, mares, canales de aguas navegables y demás bienes de uso público asociados a estos, de conformidad con lo previsto en el artículo 4°, “Integración de la infraestructura de transporte”, de la Ley 1682 de 2013.</w:t>
      </w:r>
    </w:p>
    <w:p w14:paraId="5243B31F" w14:textId="77777777" w:rsidR="006C05C1" w:rsidRPr="006C05C1" w:rsidRDefault="006C05C1" w:rsidP="006C05C1">
      <w:pPr>
        <w:tabs>
          <w:tab w:val="left" w:pos="709"/>
          <w:tab w:val="left" w:pos="2662"/>
        </w:tabs>
        <w:spacing w:after="0" w:line="240" w:lineRule="auto"/>
        <w:jc w:val="both"/>
        <w:rPr>
          <w:rFonts w:ascii="Verdana" w:eastAsia="Calibri" w:hAnsi="Verdana" w:cs="Arial"/>
          <w:color w:val="000000"/>
          <w:sz w:val="20"/>
          <w:szCs w:val="20"/>
          <w:lang w:eastAsia="en-GB"/>
        </w:rPr>
      </w:pPr>
    </w:p>
    <w:p w14:paraId="0A3B83B5"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Oficinas administrativas</w:t>
      </w:r>
    </w:p>
    <w:p w14:paraId="28386942" w14:textId="77777777" w:rsidR="006C05C1" w:rsidRPr="006C05C1" w:rsidRDefault="006C05C1" w:rsidP="006C05C1">
      <w:pPr>
        <w:tabs>
          <w:tab w:val="left" w:pos="709"/>
          <w:tab w:val="left" w:pos="2662"/>
        </w:tabs>
        <w:spacing w:after="0" w:line="240" w:lineRule="auto"/>
        <w:jc w:val="both"/>
        <w:rPr>
          <w:rFonts w:ascii="Verdana" w:eastAsia="Calibri" w:hAnsi="Verdana" w:cs="Arial"/>
          <w:color w:val="000000"/>
          <w:sz w:val="20"/>
          <w:szCs w:val="20"/>
          <w:lang w:eastAsia="en-GB"/>
        </w:rPr>
      </w:pPr>
    </w:p>
    <w:p w14:paraId="172ACCCA" w14:textId="77777777" w:rsidR="006C05C1" w:rsidRPr="006C05C1" w:rsidRDefault="006C05C1" w:rsidP="006C05C1">
      <w:pPr>
        <w:tabs>
          <w:tab w:val="left" w:pos="709"/>
          <w:tab w:val="left" w:pos="2662"/>
        </w:tabs>
        <w:spacing w:after="0" w:line="240"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lastRenderedPageBreak/>
        <w:t>El segundo proceso por el que se indaga en su solicitud corresponde a la “(…) construcción y adecuación de la sede administrativa (…)”.</w:t>
      </w:r>
      <w:r w:rsidRPr="006C05C1">
        <w:rPr>
          <w:rFonts w:ascii="Verdana" w:eastAsia="Calibri" w:hAnsi="Verdana" w:cs="Arial"/>
          <w:color w:val="000000"/>
          <w:sz w:val="20"/>
          <w:szCs w:val="20"/>
          <w:lang w:eastAsia="en-GB"/>
        </w:rPr>
        <w:br/>
        <w:t>Sobre el particular, se indica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5FFF239E" w14:textId="77777777" w:rsidR="006C05C1" w:rsidRPr="006C05C1" w:rsidRDefault="006C05C1" w:rsidP="006C05C1">
      <w:pPr>
        <w:tabs>
          <w:tab w:val="left" w:pos="709"/>
          <w:tab w:val="left" w:pos="2662"/>
        </w:tabs>
        <w:spacing w:after="0" w:line="240" w:lineRule="auto"/>
        <w:jc w:val="both"/>
        <w:rPr>
          <w:rFonts w:ascii="Verdana" w:eastAsia="Calibri" w:hAnsi="Verdana" w:cs="Arial"/>
          <w:color w:val="000000"/>
          <w:sz w:val="20"/>
          <w:szCs w:val="20"/>
          <w:lang w:eastAsia="en-GB"/>
        </w:rPr>
      </w:pPr>
    </w:p>
    <w:p w14:paraId="5A06541E" w14:textId="77777777" w:rsidR="006C05C1" w:rsidRPr="006C05C1" w:rsidRDefault="006C05C1" w:rsidP="006C05C1">
      <w:pPr>
        <w:tabs>
          <w:tab w:val="left" w:pos="709"/>
          <w:tab w:val="left" w:pos="2662"/>
        </w:tabs>
        <w:spacing w:after="0" w:line="240"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 xml:space="preserve">No obstante, en el año 2025 se adoptó una serie de Documentos Tipo en el sector social, entre los que se destacan los Documentos Tipo complementarios del sector institucional, a los cuales sí les resultan aplicables las actividades de construcción y adecuación de sedes administrativas. Sin embargo, estos documentos, adoptados para las modalidades de selección de licitación pública, selección abreviada de menor cuantía y mínima cuantía, son obligatorios a partir del 16 de febrero de 2026. </w:t>
      </w:r>
    </w:p>
    <w:p w14:paraId="3FD5D612"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09823BD8"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Parques</w:t>
      </w:r>
    </w:p>
    <w:p w14:paraId="643E95FF"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500D513F"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La Matriz – Experiencia de los Documentos Tipo del sector cultura, recreación y deporte incluía los siguientes capítulos: 1. Obras en infraestructura cultural y 2. Obras en infraestructura recreo deportiva. En el capítulo 2 se encontraba la siguiente actividad, dentro de la cual podría enmarcarse el proceso de selección:</w:t>
      </w:r>
    </w:p>
    <w:p w14:paraId="29F2B029"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5E5CD94D"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w:t>
      </w:r>
    </w:p>
    <w:p w14:paraId="2B0958F5"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20A67DC1"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Como se aprecia, la actividad señalada aplicaba para proyectos de construcción y/o reconstrucción de parques, lo que incluiría solo una de las actividades señaladas en el objeto del proceso consultado, esto es, la construcción, con exclusión de las actividades de estudios y diseños.</w:t>
      </w:r>
    </w:p>
    <w:p w14:paraId="2E332B48"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7C103EA5"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 xml:space="preserve">Sin perjuicio de lo anterior, considerando que las actividades de estudios y diseños no se encontraban incluidas en la Matriz – Experiencia de los Documentos Tipo del sector cultura, recreación y deporte, la entidad, con fundamento en lo dispuesto en el artículo 4° de la Resolución 219 de 2021, podía contratar estas actividades teniendo en cuenta que en dicha disposición se establece que: </w:t>
      </w:r>
      <w:r w:rsidRPr="006C05C1">
        <w:rPr>
          <w:rFonts w:ascii="Verdana" w:eastAsia="Calibri" w:hAnsi="Verdana" w:cs="Arial"/>
          <w:i/>
          <w:iCs/>
          <w:color w:val="000000"/>
          <w:sz w:val="20"/>
          <w:szCs w:val="20"/>
          <w:lang w:eastAsia="en-GB"/>
        </w:rPr>
        <w:t>“</w:t>
      </w:r>
      <w:r w:rsidRPr="006C05C1">
        <w:rPr>
          <w:rFonts w:ascii="Verdana" w:eastAsia="Calibri" w:hAnsi="Verdana" w:cs="Arial"/>
          <w:i/>
          <w:iCs/>
          <w:color w:val="000000"/>
          <w:sz w:val="20"/>
          <w:szCs w:val="20"/>
          <w:u w:val="single"/>
          <w:lang w:eastAsia="en-GB"/>
        </w:rPr>
        <w:t>Cuando el objeto contractual incluya bienes o servicios ajenos a la obra pública de infraestructura social, la entidad estatal deberá aplicar los Documentos Tipo</w:t>
      </w:r>
      <w:r w:rsidRPr="006C05C1">
        <w:rPr>
          <w:rFonts w:ascii="Verdana" w:eastAsia="Calibri" w:hAnsi="Verdana" w:cs="Arial"/>
          <w:i/>
          <w:iCs/>
          <w:color w:val="000000"/>
          <w:sz w:val="20"/>
          <w:szCs w:val="20"/>
          <w:lang w:eastAsia="en-GB"/>
        </w:rPr>
        <w:t xml:space="preserve">. Si de manera excepcional requiere incluir experiencia adicional para evaluar la idoneidad respecto de dichos bienes o servicios, deberá seguir los siguientes parámetros (…)”. (énfasis fuera del texto original). </w:t>
      </w:r>
    </w:p>
    <w:p w14:paraId="164049D0"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3B5C6C6E" w14:textId="77777777" w:rsidR="006C05C1" w:rsidRPr="006C05C1" w:rsidRDefault="006C05C1" w:rsidP="006C05C1">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Salones comunales</w:t>
      </w:r>
    </w:p>
    <w:p w14:paraId="63B896D1"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sz w:val="20"/>
          <w:szCs w:val="20"/>
          <w:lang w:eastAsia="en-GB"/>
        </w:rPr>
      </w:pPr>
    </w:p>
    <w:p w14:paraId="3B7ECE7B" w14:textId="77777777" w:rsidR="00B17C52" w:rsidRPr="006C05C1" w:rsidRDefault="006C05C1" w:rsidP="006C05C1">
      <w:pPr>
        <w:spacing w:after="0" w:line="240" w:lineRule="auto"/>
        <w:jc w:val="both"/>
        <w:rPr>
          <w:rFonts w:ascii="Aptos" w:eastAsia="Aptos" w:hAnsi="Aptos" w:cs="Times New Roman"/>
          <w:sz w:val="20"/>
          <w:szCs w:val="20"/>
          <w:lang w:val="es-ES" w:eastAsia="es-MX"/>
        </w:rPr>
      </w:pPr>
      <w:r w:rsidRPr="006C05C1">
        <w:rPr>
          <w:rFonts w:ascii="Verdana" w:eastAsia="Aptos" w:hAnsi="Verdana" w:cs="Times New Roman"/>
          <w:sz w:val="20"/>
          <w:szCs w:val="20"/>
          <w:lang w:eastAsia="es-MX"/>
        </w:rPr>
        <w:lastRenderedPageBreak/>
        <w:t>S</w:t>
      </w:r>
      <w:r w:rsidR="00B17C52" w:rsidRPr="006C05C1">
        <w:rPr>
          <w:rFonts w:ascii="Verdana" w:eastAsia="Aptos" w:hAnsi="Verdana" w:cs="Times New Roman"/>
          <w:sz w:val="20"/>
          <w:szCs w:val="20"/>
          <w:lang w:eastAsia="es-MX"/>
        </w:rPr>
        <w:t>obre la aplicación de los Documentos Tipo vigentes en el año 2024 para adelantar un proceso de selección cuyo objeto era “Realizar la instalación de estructuras prefabricadas y obras necesarias para la implementación</w:t>
      </w:r>
      <w:r w:rsidRPr="006C05C1">
        <w:rPr>
          <w:rFonts w:ascii="Verdana" w:eastAsia="Aptos" w:hAnsi="Verdana" w:cs="Times New Roman"/>
          <w:sz w:val="20"/>
          <w:szCs w:val="20"/>
          <w:lang w:eastAsia="es-MX"/>
        </w:rPr>
        <w:t xml:space="preserve"> </w:t>
      </w:r>
      <w:r w:rsidR="00B17C52" w:rsidRPr="006C05C1">
        <w:rPr>
          <w:rFonts w:ascii="Verdana" w:eastAsia="Aptos" w:hAnsi="Verdana" w:cs="Times New Roman"/>
          <w:sz w:val="20"/>
          <w:szCs w:val="20"/>
          <w:lang w:eastAsia="es-MX"/>
        </w:rPr>
        <w:t>de</w:t>
      </w:r>
      <w:r w:rsidRPr="006C05C1">
        <w:rPr>
          <w:rFonts w:ascii="Verdana" w:eastAsia="Aptos" w:hAnsi="Verdana" w:cs="Times New Roman"/>
          <w:sz w:val="20"/>
          <w:szCs w:val="20"/>
          <w:lang w:eastAsia="es-MX"/>
        </w:rPr>
        <w:t xml:space="preserve"> </w:t>
      </w:r>
      <w:r w:rsidR="00B17C52" w:rsidRPr="006C05C1">
        <w:rPr>
          <w:rFonts w:ascii="Verdana" w:eastAsia="Aptos" w:hAnsi="Verdana" w:cs="Times New Roman"/>
          <w:sz w:val="20"/>
          <w:szCs w:val="20"/>
          <w:lang w:eastAsia="es-MX"/>
        </w:rPr>
        <w:t>salones</w:t>
      </w:r>
      <w:r w:rsidRPr="006C05C1">
        <w:rPr>
          <w:rFonts w:ascii="Verdana" w:eastAsia="Aptos" w:hAnsi="Verdana" w:cs="Times New Roman"/>
          <w:sz w:val="20"/>
          <w:szCs w:val="20"/>
          <w:lang w:eastAsia="es-MX"/>
        </w:rPr>
        <w:t xml:space="preserve"> </w:t>
      </w:r>
      <w:r w:rsidR="00B17C52" w:rsidRPr="006C05C1">
        <w:rPr>
          <w:rFonts w:ascii="Verdana" w:eastAsia="Aptos" w:hAnsi="Verdana" w:cs="Times New Roman"/>
          <w:sz w:val="20"/>
          <w:szCs w:val="20"/>
          <w:lang w:eastAsia="es-MX"/>
        </w:rPr>
        <w:t>comunales</w:t>
      </w:r>
      <w:r w:rsidRPr="006C05C1">
        <w:rPr>
          <w:rFonts w:ascii="Verdana" w:eastAsia="Aptos" w:hAnsi="Verdana" w:cs="Times New Roman"/>
          <w:sz w:val="20"/>
          <w:szCs w:val="20"/>
          <w:lang w:eastAsia="es-MX"/>
        </w:rPr>
        <w:t xml:space="preserve"> </w:t>
      </w:r>
      <w:r w:rsidR="00B17C52" w:rsidRPr="006C05C1">
        <w:rPr>
          <w:rFonts w:ascii="Verdana" w:eastAsia="Aptos" w:hAnsi="Verdana" w:cs="Times New Roman"/>
          <w:sz w:val="20"/>
          <w:szCs w:val="20"/>
          <w:lang w:eastAsia="es-MX"/>
        </w:rPr>
        <w:t>(…)”.</w:t>
      </w:r>
      <w:r w:rsidRPr="006C05C1">
        <w:rPr>
          <w:rFonts w:ascii="Verdana" w:eastAsia="Aptos" w:hAnsi="Verdana" w:cs="Times New Roman"/>
          <w:sz w:val="20"/>
          <w:szCs w:val="20"/>
          <w:lang w:eastAsia="es-MX"/>
        </w:rPr>
        <w:t xml:space="preserve"> </w:t>
      </w:r>
      <w:r w:rsidR="00B17C52" w:rsidRPr="006C05C1">
        <w:rPr>
          <w:rFonts w:ascii="Verdana" w:eastAsia="Aptos" w:hAnsi="Verdana" w:cs="Times New Roman"/>
          <w:sz w:val="20"/>
          <w:szCs w:val="20"/>
          <w:lang w:eastAsia="es-MX"/>
        </w:rPr>
        <w:t>Sobre este aspecto, esta Agencia reitera lo señalado en el Concepto C-1399 del 6 de noviembre de 2025, en el que se indicó lo siguiente:</w:t>
      </w:r>
    </w:p>
    <w:p w14:paraId="0AC41682" w14:textId="77777777" w:rsidR="006C05C1" w:rsidRPr="006C05C1" w:rsidRDefault="006C05C1" w:rsidP="006C05C1">
      <w:pPr>
        <w:spacing w:after="0" w:line="240" w:lineRule="auto"/>
        <w:jc w:val="both"/>
        <w:rPr>
          <w:rFonts w:ascii="Verdana" w:eastAsia="Calibri" w:hAnsi="Verdana" w:cs="Arial"/>
          <w:color w:val="0D0D0D"/>
          <w:sz w:val="20"/>
          <w:szCs w:val="20"/>
          <w:lang w:val="es-ES"/>
        </w:rPr>
      </w:pPr>
    </w:p>
    <w:p w14:paraId="1FA03A31" w14:textId="77777777" w:rsidR="006C05C1" w:rsidRPr="006C05C1" w:rsidRDefault="006C05C1" w:rsidP="006C05C1">
      <w:pPr>
        <w:spacing w:after="0" w:line="240" w:lineRule="auto"/>
        <w:jc w:val="both"/>
        <w:textAlignment w:val="baseline"/>
        <w:rPr>
          <w:rFonts w:ascii="Verdana" w:eastAsia="Calibri" w:hAnsi="Verdana" w:cs="Arial"/>
          <w:color w:val="0D0D0D"/>
          <w:sz w:val="20"/>
          <w:szCs w:val="20"/>
          <w:lang w:val="es-ES"/>
        </w:rPr>
      </w:pPr>
      <w:r w:rsidRPr="006C05C1">
        <w:rPr>
          <w:rFonts w:ascii="Verdana" w:eastAsia="Calibri" w:hAnsi="Verdana" w:cs="Arial"/>
          <w:color w:val="0D0D0D"/>
          <w:sz w:val="20"/>
          <w:szCs w:val="20"/>
          <w:lang w:val="es-ES"/>
        </w:rPr>
        <w:t>(…)</w:t>
      </w:r>
    </w:p>
    <w:p w14:paraId="60E52FC8" w14:textId="77777777" w:rsidR="006C05C1" w:rsidRPr="006C05C1" w:rsidRDefault="006C05C1" w:rsidP="006C05C1">
      <w:pPr>
        <w:spacing w:after="0" w:line="240" w:lineRule="auto"/>
        <w:jc w:val="both"/>
        <w:textAlignment w:val="baseline"/>
        <w:rPr>
          <w:rFonts w:ascii="Verdana" w:eastAsia="Calibri" w:hAnsi="Verdana" w:cs="Arial"/>
          <w:color w:val="0D0D0D"/>
          <w:sz w:val="20"/>
          <w:szCs w:val="20"/>
          <w:lang w:val="es-ES"/>
        </w:rPr>
      </w:pPr>
    </w:p>
    <w:p w14:paraId="5366FE85" w14:textId="77777777" w:rsidR="006C05C1" w:rsidRPr="006C05C1" w:rsidRDefault="006C05C1" w:rsidP="006C05C1">
      <w:pPr>
        <w:spacing w:after="0" w:line="240" w:lineRule="auto"/>
        <w:jc w:val="both"/>
        <w:textAlignment w:val="baseline"/>
        <w:rPr>
          <w:rFonts w:ascii="Verdana" w:eastAsia="Calibri" w:hAnsi="Verdana" w:cs="Times New Roman"/>
          <w:sz w:val="20"/>
          <w:szCs w:val="20"/>
        </w:rPr>
      </w:pPr>
      <w:r w:rsidRPr="006C05C1">
        <w:rPr>
          <w:rFonts w:ascii="Verdana" w:eastAsia="Calibri" w:hAnsi="Verdana" w:cs="Arial"/>
          <w:sz w:val="20"/>
          <w:szCs w:val="20"/>
          <w:lang w:val="es-ES"/>
        </w:rPr>
        <w:t xml:space="preserve">En este sentido, en la actividad 1.1 PROYECTOS DE CONSTRUCCIÓN Y/O AMPLIACIÓN Y/O RECONSTRUCCIÓN DE INFRAESTRUCTURA CULTURAL” y </w:t>
      </w:r>
      <w:r w:rsidRPr="006C05C1">
        <w:rPr>
          <w:rFonts w:ascii="Verdana" w:eastAsia="Calibri" w:hAnsi="Verdana" w:cs="Times New Roman"/>
          <w:sz w:val="20"/>
          <w:szCs w:val="20"/>
        </w:rPr>
        <w:t xml:space="preserve">“1.2. PROYECTOS DE TERMINACIÓN Y/O MEJORAMIENTO Y/O REMODELACIÓN Y/O ADECUACIÓN Y/O MODIFICACIÓN Y/O MANTENIMIENTO DE INFRAESTRUCTURA CULTURAL”, </w:t>
      </w:r>
      <w:r w:rsidRPr="006C05C1">
        <w:rPr>
          <w:rFonts w:ascii="Verdana" w:eastAsia="Calibri" w:hAnsi="Verdana" w:cs="Arial"/>
          <w:sz w:val="20"/>
          <w:szCs w:val="20"/>
          <w:lang w:val="es-ES"/>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313F1F9D" w14:textId="77777777" w:rsidR="006C05C1" w:rsidRPr="006C05C1" w:rsidRDefault="006C05C1" w:rsidP="006C05C1">
      <w:pPr>
        <w:spacing w:after="0" w:line="240" w:lineRule="auto"/>
        <w:jc w:val="both"/>
        <w:rPr>
          <w:rFonts w:ascii="Verdana" w:eastAsia="Calibri" w:hAnsi="Verdana" w:cs="Arial"/>
          <w:sz w:val="20"/>
          <w:szCs w:val="20"/>
          <w:lang w:val="es-ES_tradnl"/>
        </w:rPr>
      </w:pPr>
    </w:p>
    <w:p w14:paraId="5DACA812" w14:textId="77777777" w:rsidR="006C05C1" w:rsidRPr="006C05C1" w:rsidRDefault="006C05C1" w:rsidP="006C05C1">
      <w:pPr>
        <w:spacing w:after="0" w:line="240" w:lineRule="auto"/>
        <w:jc w:val="both"/>
        <w:rPr>
          <w:rFonts w:ascii="Verdana" w:eastAsia="Calibri" w:hAnsi="Verdana" w:cs="Arial"/>
          <w:sz w:val="20"/>
          <w:szCs w:val="20"/>
        </w:rPr>
      </w:pPr>
      <w:r w:rsidRPr="006C05C1">
        <w:rPr>
          <w:rFonts w:ascii="Verdana" w:eastAsia="Calibri" w:hAnsi="Verdana" w:cs="Arial"/>
          <w:sz w:val="20"/>
          <w:szCs w:val="20"/>
          <w:lang w:val="es-ES_tradnl"/>
        </w:rPr>
        <w:t xml:space="preserve">En consecuencia, respecto a la consulta realizada se concluye que </w:t>
      </w:r>
      <w:r w:rsidRPr="006C05C1">
        <w:rPr>
          <w:rFonts w:ascii="Verdana" w:eastAsia="Calibri" w:hAnsi="Verdana" w:cs="Arial"/>
          <w:sz w:val="20"/>
          <w:szCs w:val="20"/>
        </w:rPr>
        <w:t>la actividad de construcción, adecuación o mejoramiento de un salón comunal deben adelantarse utilizando los documentos tipo de licitación de obra pública de infraestructura social -sector cultura, recreación y de deporte-.</w:t>
      </w:r>
    </w:p>
    <w:p w14:paraId="43B892CE"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1AE4C1A1"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54E4FA54"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6F64553C"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7726CE23"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26BF11EC"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0B1F524B"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4BA4CCA1"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0C4B1DF9"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38C998FF"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28FF49AD"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64BA3FEC"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583324EA"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3D1BF93A"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75350633"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0E3BD475"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28523EC8"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763F53EC"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768379B2" w14:textId="77777777" w:rsidR="006C05C1" w:rsidRDefault="006C05C1" w:rsidP="006C05C1">
      <w:pPr>
        <w:spacing w:after="0" w:line="240" w:lineRule="auto"/>
        <w:rPr>
          <w:rFonts w:ascii="Verdana" w:eastAsia="Times New Roman" w:hAnsi="Verdana" w:cs="Times New Roman"/>
          <w:color w:val="000000"/>
          <w:lang w:eastAsia="es-CO"/>
        </w:rPr>
      </w:pPr>
    </w:p>
    <w:p w14:paraId="30EE3C2B" w14:textId="77777777" w:rsidR="006D6A50" w:rsidRPr="006C05C1" w:rsidRDefault="006D6A50" w:rsidP="006C05C1">
      <w:pPr>
        <w:spacing w:after="0" w:line="240" w:lineRule="auto"/>
        <w:rPr>
          <w:rFonts w:ascii="Verdana" w:eastAsia="Times New Roman" w:hAnsi="Verdana" w:cs="Times New Roman"/>
          <w:color w:val="000000"/>
          <w:lang w:eastAsia="es-CO"/>
        </w:rPr>
      </w:pPr>
    </w:p>
    <w:p w14:paraId="2CE09056"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3E0DF1A8" w14:textId="77777777" w:rsidR="006C05C1" w:rsidRPr="006C05C1" w:rsidRDefault="006C05C1" w:rsidP="006C05C1">
      <w:pPr>
        <w:spacing w:after="0" w:line="240" w:lineRule="auto"/>
        <w:rPr>
          <w:rFonts w:ascii="Verdana" w:eastAsia="Times New Roman" w:hAnsi="Verdana" w:cs="Times New Roman"/>
          <w:color w:val="000000"/>
          <w:lang w:eastAsia="es-CO"/>
        </w:rPr>
      </w:pPr>
    </w:p>
    <w:p w14:paraId="37FC9FA3" w14:textId="7EE7E394" w:rsidR="006C05C1" w:rsidRPr="00D740E0" w:rsidRDefault="006C05C1" w:rsidP="006C05C1">
      <w:pPr>
        <w:spacing w:after="0" w:line="278" w:lineRule="auto"/>
        <w:rPr>
          <w:rFonts w:ascii="Verdana" w:eastAsia="Aptos" w:hAnsi="Verdana" w:cs="Times New Roman"/>
          <w:kern w:val="2"/>
          <w14:ligatures w14:val="standardContextual"/>
        </w:rPr>
      </w:pPr>
      <w:r w:rsidRPr="00D740E0">
        <w:rPr>
          <w:rFonts w:ascii="Verdana" w:eastAsia="Aptos" w:hAnsi="Verdana" w:cs="Times New Roman"/>
          <w:kern w:val="2"/>
          <w14:ligatures w14:val="standardContextual"/>
        </w:rPr>
        <w:lastRenderedPageBreak/>
        <w:t xml:space="preserve">Bogotá D.C., </w:t>
      </w:r>
      <w:r w:rsidR="00D740E0" w:rsidRPr="00D740E0">
        <w:rPr>
          <w:rFonts w:ascii="Verdana" w:eastAsia="Aptos" w:hAnsi="Verdana" w:cs="Times New Roman"/>
          <w:kern w:val="2"/>
          <w14:ligatures w14:val="standardContextual"/>
        </w:rPr>
        <w:t>12 de mayo de 2026</w:t>
      </w:r>
    </w:p>
    <w:p w14:paraId="61FC5F19" w14:textId="37107EEB" w:rsidR="00D740E0" w:rsidRDefault="00D740E0" w:rsidP="006C05C1">
      <w:pPr>
        <w:spacing w:after="0" w:line="278" w:lineRule="auto"/>
        <w:rPr>
          <w:rFonts w:ascii="Verdana" w:eastAsia="Aptos" w:hAnsi="Verdana" w:cs="Times New Roman"/>
          <w:kern w:val="2"/>
          <w:sz w:val="24"/>
          <w:szCs w:val="24"/>
          <w14:ligatures w14:val="standardContextual"/>
        </w:rPr>
      </w:pPr>
    </w:p>
    <w:p w14:paraId="7184EF60" w14:textId="3ED17E77" w:rsidR="006C05C1" w:rsidRPr="00D740E0" w:rsidRDefault="006C05C1" w:rsidP="00D740E0">
      <w:pPr>
        <w:spacing w:after="0" w:line="278" w:lineRule="auto"/>
        <w:rPr>
          <w:rFonts w:ascii="Verdana" w:eastAsia="Aptos" w:hAnsi="Verdana" w:cs="Times New Roman"/>
          <w:kern w:val="2"/>
          <w:sz w:val="24"/>
          <w:szCs w:val="24"/>
          <w14:ligatures w14:val="standardContextual"/>
        </w:rPr>
      </w:pPr>
    </w:p>
    <w:p w14:paraId="13E03ACD" w14:textId="0EE1CB3A" w:rsidR="006C05C1" w:rsidRPr="006C05C1" w:rsidRDefault="00115287" w:rsidP="006C05C1">
      <w:pPr>
        <w:spacing w:after="0" w:line="240" w:lineRule="auto"/>
        <w:rPr>
          <w:rFonts w:ascii="Verdana" w:eastAsia="Calibri" w:hAnsi="Verdana" w:cs="Arial"/>
          <w:kern w:val="2"/>
          <w:lang w:val="es-ES" w:eastAsia="es-ES"/>
          <w14:ligatures w14:val="standardContextual"/>
        </w:rPr>
      </w:pPr>
      <w:r w:rsidRPr="00D740E0">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6584B3C4" wp14:editId="0B8DB18E">
            <wp:simplePos x="0" y="0"/>
            <wp:positionH relativeFrom="margin">
              <wp:align>right</wp:align>
            </wp:positionH>
            <wp:positionV relativeFrom="paragraph">
              <wp:posOffset>3810</wp:posOffset>
            </wp:positionV>
            <wp:extent cx="2547620" cy="1049020"/>
            <wp:effectExtent l="0" t="0" r="5080" b="0"/>
            <wp:wrapSquare wrapText="bothSides"/>
            <wp:docPr id="16831106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11069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7620" cy="1049020"/>
                    </a:xfrm>
                    <a:prstGeom prst="rect">
                      <a:avLst/>
                    </a:prstGeom>
                  </pic:spPr>
                </pic:pic>
              </a:graphicData>
            </a:graphic>
            <wp14:sizeRelH relativeFrom="page">
              <wp14:pctWidth>0</wp14:pctWidth>
            </wp14:sizeRelH>
            <wp14:sizeRelV relativeFrom="page">
              <wp14:pctHeight>0</wp14:pctHeight>
            </wp14:sizeRelV>
          </wp:anchor>
        </w:drawing>
      </w:r>
      <w:r w:rsidR="006C05C1" w:rsidRPr="006C05C1">
        <w:rPr>
          <w:rFonts w:ascii="Verdana" w:eastAsia="Calibri" w:hAnsi="Verdana" w:cs="Arial"/>
          <w:kern w:val="2"/>
          <w:lang w:val="es-ES" w:eastAsia="es-ES"/>
          <w14:ligatures w14:val="standardContextual"/>
        </w:rPr>
        <w:t>Señora</w:t>
      </w:r>
    </w:p>
    <w:p w14:paraId="1C3C86F1" w14:textId="77777777" w:rsidR="006C05C1" w:rsidRPr="006C05C1" w:rsidRDefault="006C05C1" w:rsidP="006C05C1">
      <w:pPr>
        <w:spacing w:after="0" w:line="240" w:lineRule="auto"/>
        <w:rPr>
          <w:rFonts w:ascii="Verdana" w:eastAsia="Calibri" w:hAnsi="Verdana" w:cs="Arial"/>
          <w:b/>
          <w:bCs/>
          <w:kern w:val="2"/>
          <w:lang w:val="es-ES" w:eastAsia="es-ES"/>
          <w14:ligatures w14:val="standardContextual"/>
        </w:rPr>
      </w:pPr>
      <w:r w:rsidRPr="006C05C1">
        <w:rPr>
          <w:rFonts w:ascii="Verdana" w:eastAsia="Calibri" w:hAnsi="Verdana" w:cs="Arial"/>
          <w:b/>
          <w:bCs/>
          <w:kern w:val="2"/>
          <w:lang w:val="es-ES" w:eastAsia="es-ES"/>
          <w14:ligatures w14:val="standardContextual"/>
        </w:rPr>
        <w:t>Patricia Ochoa León</w:t>
      </w:r>
    </w:p>
    <w:p w14:paraId="5911956E" w14:textId="77777777" w:rsidR="006C05C1" w:rsidRPr="006C05C1" w:rsidRDefault="006C05C1" w:rsidP="006C05C1">
      <w:pPr>
        <w:spacing w:after="0" w:line="240" w:lineRule="auto"/>
        <w:rPr>
          <w:rFonts w:ascii="Verdana" w:eastAsia="Calibri" w:hAnsi="Verdana" w:cs="Arial"/>
          <w:b/>
          <w:bCs/>
          <w:lang w:val="es-ES_tradnl" w:eastAsia="es-ES_tradnl"/>
        </w:rPr>
      </w:pPr>
      <w:r w:rsidRPr="006C05C1">
        <w:rPr>
          <w:rFonts w:ascii="Verdana" w:eastAsia="Calibri" w:hAnsi="Verdana" w:cs="Arial"/>
          <w:kern w:val="2"/>
          <w:lang w:val="es-ES" w:eastAsia="es-ES"/>
          <w14:ligatures w14:val="standardContextual"/>
        </w:rPr>
        <w:t>Profesional Universitario 219-5 (E)</w:t>
      </w:r>
    </w:p>
    <w:p w14:paraId="129E7A8D" w14:textId="77777777" w:rsidR="006C05C1" w:rsidRPr="006C05C1" w:rsidRDefault="006C05C1" w:rsidP="006C05C1">
      <w:pPr>
        <w:spacing w:after="0" w:line="240" w:lineRule="auto"/>
        <w:rPr>
          <w:rFonts w:ascii="Verdana" w:eastAsia="Calibri" w:hAnsi="Verdana" w:cs="Arial"/>
          <w:lang w:val="es-ES_tradnl" w:eastAsia="es-ES_tradnl"/>
        </w:rPr>
      </w:pPr>
      <w:r w:rsidRPr="006C05C1">
        <w:rPr>
          <w:rFonts w:ascii="Verdana" w:eastAsia="Calibri" w:hAnsi="Verdana" w:cs="Arial"/>
          <w:lang w:val="es-ES_tradnl" w:eastAsia="es-ES_tradnl"/>
        </w:rPr>
        <w:t>Oficina de Control Disciplinario Interno</w:t>
      </w:r>
    </w:p>
    <w:p w14:paraId="64D021AD" w14:textId="77777777" w:rsidR="006C05C1" w:rsidRPr="006C05C1" w:rsidRDefault="006C05C1" w:rsidP="006C05C1">
      <w:pPr>
        <w:spacing w:after="0" w:line="240" w:lineRule="auto"/>
        <w:rPr>
          <w:rFonts w:ascii="Verdana" w:eastAsia="Calibri" w:hAnsi="Verdana" w:cs="Arial"/>
          <w:lang w:val="es-ES_tradnl" w:eastAsia="es-ES_tradnl"/>
        </w:rPr>
      </w:pPr>
      <w:r w:rsidRPr="006C05C1">
        <w:rPr>
          <w:rFonts w:ascii="Verdana" w:eastAsia="Calibri" w:hAnsi="Verdana" w:cs="Arial"/>
          <w:lang w:val="es-ES_tradnl" w:eastAsia="es-ES_tradnl"/>
        </w:rPr>
        <w:t>Secretaría de Gobierno de Bogotá</w:t>
      </w:r>
    </w:p>
    <w:p w14:paraId="1FA8DB5E" w14:textId="77777777" w:rsidR="006C05C1" w:rsidRPr="006C05C1" w:rsidRDefault="006C05C1" w:rsidP="006C05C1">
      <w:pPr>
        <w:spacing w:after="0" w:line="240" w:lineRule="auto"/>
        <w:rPr>
          <w:rFonts w:ascii="Verdana" w:eastAsia="Calibri" w:hAnsi="Verdana" w:cs="Arial"/>
          <w:lang w:val="es-ES_tradnl" w:eastAsia="es-ES_tradnl"/>
        </w:rPr>
      </w:pPr>
      <w:r w:rsidRPr="006C05C1">
        <w:rPr>
          <w:rFonts w:ascii="Verdana" w:eastAsia="Calibri" w:hAnsi="Verdana" w:cs="Arial"/>
          <w:lang w:val="es-ES_tradnl" w:eastAsia="es-ES_tradnl"/>
        </w:rPr>
        <w:t xml:space="preserve">Bogotá D.C </w:t>
      </w:r>
    </w:p>
    <w:p w14:paraId="2BF45FBE" w14:textId="77777777" w:rsidR="006C05C1" w:rsidRPr="006C05C1" w:rsidRDefault="006C05C1" w:rsidP="006C05C1">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6C05C1" w:rsidRPr="006C05C1" w14:paraId="3A5A553E" w14:textId="77777777" w:rsidTr="00B031EB">
        <w:trPr>
          <w:trHeight w:val="229"/>
        </w:trPr>
        <w:tc>
          <w:tcPr>
            <w:tcW w:w="1985" w:type="dxa"/>
          </w:tcPr>
          <w:p w14:paraId="5909D782" w14:textId="77777777" w:rsidR="006C05C1" w:rsidRPr="006C05C1" w:rsidRDefault="006C05C1" w:rsidP="006C05C1">
            <w:pPr>
              <w:jc w:val="both"/>
              <w:rPr>
                <w:rFonts w:ascii="Verdana" w:eastAsia="Calibri" w:hAnsi="Verdana" w:cs="Arial"/>
                <w:b/>
                <w:bCs/>
                <w:lang w:val="es-ES_tradnl" w:eastAsia="es-ES_tradnl"/>
              </w:rPr>
            </w:pPr>
          </w:p>
        </w:tc>
        <w:tc>
          <w:tcPr>
            <w:tcW w:w="6383" w:type="dxa"/>
          </w:tcPr>
          <w:p w14:paraId="699D8E1C" w14:textId="77777777" w:rsidR="006C05C1" w:rsidRPr="006C05C1" w:rsidRDefault="006C05C1" w:rsidP="006C05C1">
            <w:pPr>
              <w:jc w:val="both"/>
              <w:rPr>
                <w:rFonts w:ascii="Verdana" w:eastAsia="Calibri" w:hAnsi="Verdana" w:cs="Arial"/>
                <w:b/>
                <w:bCs/>
                <w:lang w:val="es-ES" w:eastAsia="es-ES"/>
              </w:rPr>
            </w:pPr>
            <w:r w:rsidRPr="006C05C1">
              <w:rPr>
                <w:rFonts w:ascii="Verdana" w:eastAsia="Calibri" w:hAnsi="Verdana" w:cs="Arial"/>
                <w:b/>
                <w:bCs/>
                <w:lang w:val="es-ES" w:eastAsia="es-ES"/>
              </w:rPr>
              <w:t>Concepto C–521 de 2026</w:t>
            </w:r>
          </w:p>
          <w:p w14:paraId="5C61B9FD" w14:textId="77777777" w:rsidR="006C05C1" w:rsidRPr="006C05C1" w:rsidRDefault="006C05C1" w:rsidP="006C05C1">
            <w:pPr>
              <w:jc w:val="both"/>
              <w:rPr>
                <w:rFonts w:ascii="Verdana" w:eastAsia="Calibri" w:hAnsi="Verdana" w:cs="Arial"/>
                <w:b/>
                <w:bCs/>
                <w:lang w:val="es-ES" w:eastAsia="es-ES"/>
              </w:rPr>
            </w:pPr>
          </w:p>
          <w:p w14:paraId="2C28F561" w14:textId="77777777" w:rsidR="006C05C1" w:rsidRPr="006C05C1" w:rsidRDefault="006C05C1" w:rsidP="006C05C1">
            <w:pPr>
              <w:jc w:val="both"/>
              <w:rPr>
                <w:rFonts w:ascii="Verdana" w:eastAsia="Calibri" w:hAnsi="Verdana" w:cs="Arial"/>
                <w:b/>
                <w:bCs/>
                <w:lang w:val="es-ES" w:eastAsia="es-ES"/>
              </w:rPr>
            </w:pPr>
          </w:p>
        </w:tc>
      </w:tr>
      <w:tr w:rsidR="006C05C1" w:rsidRPr="006C05C1" w14:paraId="6E7D7BF6" w14:textId="77777777" w:rsidTr="00B031EB">
        <w:trPr>
          <w:trHeight w:val="884"/>
        </w:trPr>
        <w:tc>
          <w:tcPr>
            <w:tcW w:w="1985" w:type="dxa"/>
          </w:tcPr>
          <w:p w14:paraId="3684FE8B" w14:textId="77777777" w:rsidR="006C05C1" w:rsidRPr="006C05C1" w:rsidRDefault="006C05C1" w:rsidP="006C05C1">
            <w:pPr>
              <w:jc w:val="both"/>
              <w:rPr>
                <w:rFonts w:ascii="Verdana" w:eastAsia="Calibri" w:hAnsi="Verdana" w:cs="Arial"/>
                <w:lang w:val="es-ES_tradnl" w:eastAsia="es-ES_tradnl"/>
              </w:rPr>
            </w:pPr>
            <w:r w:rsidRPr="006C05C1">
              <w:rPr>
                <w:rFonts w:ascii="Verdana" w:eastAsia="Calibri" w:hAnsi="Verdana" w:cs="Arial"/>
                <w:b/>
                <w:lang w:val="es-ES_tradnl" w:eastAsia="es-ES_tradnl"/>
              </w:rPr>
              <w:t>Temas:</w:t>
            </w:r>
            <w:r w:rsidRPr="006C05C1">
              <w:rPr>
                <w:rFonts w:ascii="Verdana" w:eastAsia="Calibri" w:hAnsi="Verdana" w:cs="Arial"/>
                <w:lang w:val="es-ES_tradnl" w:eastAsia="es-ES_tradnl"/>
              </w:rPr>
              <w:t xml:space="preserve">                   </w:t>
            </w:r>
          </w:p>
        </w:tc>
        <w:tc>
          <w:tcPr>
            <w:tcW w:w="6383" w:type="dxa"/>
          </w:tcPr>
          <w:p w14:paraId="2725FE3A" w14:textId="77777777" w:rsidR="006C05C1" w:rsidRPr="006C05C1" w:rsidRDefault="006C05C1" w:rsidP="006C05C1">
            <w:pPr>
              <w:widowControl w:val="0"/>
              <w:autoSpaceDE w:val="0"/>
              <w:autoSpaceDN w:val="0"/>
              <w:jc w:val="both"/>
              <w:rPr>
                <w:rFonts w:ascii="Verdana" w:eastAsia="Calibri" w:hAnsi="Verdana" w:cs="Times New Roman"/>
                <w:lang w:val="es-ES"/>
              </w:rPr>
            </w:pPr>
            <w:r w:rsidRPr="006C05C1">
              <w:rPr>
                <w:rFonts w:ascii="Verdana" w:eastAsia="Calibri" w:hAnsi="Verdana" w:cs="Arial"/>
                <w:lang w:val="es-ES_tradnl"/>
              </w:rPr>
              <w:t xml:space="preserve">DOCUMENTOS TIPO – Fundamento normativo – Obligatoriedad / DOCUMENTOS TIPO – Sector transporte − Vigentes – Año 2024 / DOCUMENTOS TIPO – Sector agua potable y saneamiento básico − Vigentes – Año 2024 / DOCUMENTOS TIPO – Sector infraestructura social − Vigentes – Año 2024 / DOCUMENTOS TIPO –Convenios solidarios – Catastro multipropósito − Vigentes – Año 2024 / </w:t>
            </w:r>
            <w:r w:rsidRPr="006C05C1">
              <w:rPr>
                <w:rFonts w:ascii="Verdana" w:eastAsia="Calibri" w:hAnsi="Verdana" w:cs="Times New Roman"/>
                <w:lang w:val="es-ES"/>
              </w:rPr>
              <w:t xml:space="preserve">DOCUMENTOS TIPO – Aplicación – Matriz de Experiencia </w:t>
            </w:r>
            <w:r w:rsidRPr="006C05C1">
              <w:rPr>
                <w:rFonts w:ascii="Verdana" w:eastAsia="Calibri" w:hAnsi="Verdana" w:cs="Times New Roman"/>
                <w:sz w:val="20"/>
                <w:szCs w:val="20"/>
                <w:lang w:val="es-ES"/>
              </w:rPr>
              <w:t xml:space="preserve">/ </w:t>
            </w:r>
            <w:r w:rsidRPr="006C05C1">
              <w:rPr>
                <w:rFonts w:ascii="Verdana" w:eastAsia="Calibri" w:hAnsi="Verdana" w:cs="Times New Roman"/>
                <w:lang w:val="es-ES"/>
              </w:rPr>
              <w:t>DOCUMENTOS TIPO – Sector transporte − Vigentes 2024 – Aplicación – Zonas con procesos de erosión / DOCUMENTOS TIPO – Sector Social − Vigentes 2024 – Aplicación – Oficinas administrativas / DOCUMENTOS TIPO – Sector Social − Vigentes 2024 – Aplicación – Parques / DOCUMENTOS TIPO – Sector Social − Vigentes 2024 – Aplicación – Salones comunales</w:t>
            </w:r>
          </w:p>
          <w:p w14:paraId="7796C7D7" w14:textId="77777777" w:rsidR="006C05C1" w:rsidRPr="006C05C1" w:rsidRDefault="006C05C1" w:rsidP="006C05C1">
            <w:pPr>
              <w:widowControl w:val="0"/>
              <w:autoSpaceDE w:val="0"/>
              <w:autoSpaceDN w:val="0"/>
              <w:jc w:val="both"/>
              <w:rPr>
                <w:rFonts w:ascii="Verdana" w:eastAsia="Calibri" w:hAnsi="Verdana" w:cs="Times New Roman"/>
                <w:highlight w:val="yellow"/>
                <w:lang w:val="es-ES"/>
              </w:rPr>
            </w:pPr>
          </w:p>
        </w:tc>
      </w:tr>
      <w:tr w:rsidR="006C05C1" w:rsidRPr="006C05C1" w14:paraId="26661A09" w14:textId="77777777" w:rsidTr="00B031EB">
        <w:tc>
          <w:tcPr>
            <w:tcW w:w="1985" w:type="dxa"/>
          </w:tcPr>
          <w:p w14:paraId="5F098C1E" w14:textId="77777777" w:rsidR="006C05C1" w:rsidRPr="006C05C1" w:rsidRDefault="006C05C1" w:rsidP="006C05C1">
            <w:pPr>
              <w:jc w:val="both"/>
              <w:rPr>
                <w:rFonts w:ascii="Verdana" w:eastAsia="Calibri" w:hAnsi="Verdana" w:cs="Arial"/>
                <w:b/>
                <w:lang w:val="es-ES_tradnl" w:eastAsia="es-ES_tradnl"/>
              </w:rPr>
            </w:pPr>
            <w:r w:rsidRPr="006C05C1">
              <w:rPr>
                <w:rFonts w:ascii="Verdana" w:eastAsia="Calibri" w:hAnsi="Verdana" w:cs="Arial"/>
                <w:b/>
                <w:lang w:val="es-ES_tradnl" w:eastAsia="es-ES_tradnl"/>
              </w:rPr>
              <w:t>Radicación:</w:t>
            </w:r>
            <w:r w:rsidRPr="006C05C1">
              <w:rPr>
                <w:rFonts w:ascii="Verdana" w:eastAsia="Calibri" w:hAnsi="Verdana" w:cs="Arial"/>
                <w:lang w:val="es-ES_tradnl" w:eastAsia="es-ES_tradnl"/>
              </w:rPr>
              <w:t xml:space="preserve">               </w:t>
            </w:r>
          </w:p>
        </w:tc>
        <w:tc>
          <w:tcPr>
            <w:tcW w:w="6383" w:type="dxa"/>
          </w:tcPr>
          <w:p w14:paraId="0C514F91" w14:textId="77777777" w:rsidR="006C05C1" w:rsidRPr="006C05C1" w:rsidRDefault="006C05C1" w:rsidP="006C05C1">
            <w:pPr>
              <w:ind w:left="3" w:hanging="3"/>
              <w:jc w:val="both"/>
              <w:rPr>
                <w:rFonts w:ascii="Verdana" w:eastAsia="Calibri" w:hAnsi="Verdana" w:cs="Arial"/>
                <w:lang w:val="es-ES_tradnl" w:eastAsia="es-ES_tradnl"/>
              </w:rPr>
            </w:pPr>
            <w:r w:rsidRPr="006C05C1">
              <w:rPr>
                <w:rFonts w:ascii="Verdana" w:eastAsia="Calibri" w:hAnsi="Verdana" w:cs="Arial"/>
                <w:lang w:val="es-ES_tradnl" w:eastAsia="es-ES_tradnl"/>
              </w:rPr>
              <w:t>Respuesta a consulta con radicado No. 1_2026_03_27_004311</w:t>
            </w:r>
          </w:p>
        </w:tc>
      </w:tr>
    </w:tbl>
    <w:p w14:paraId="36019320" w14:textId="77777777" w:rsidR="006C05C1" w:rsidRPr="006C05C1" w:rsidRDefault="006C05C1" w:rsidP="006C05C1">
      <w:pPr>
        <w:spacing w:after="0" w:line="240" w:lineRule="auto"/>
        <w:jc w:val="both"/>
        <w:rPr>
          <w:rFonts w:ascii="Verdana" w:eastAsia="Calibri" w:hAnsi="Verdana" w:cs="Arial"/>
          <w:lang w:val="es-ES_tradnl" w:eastAsia="es-ES_tradnl"/>
        </w:rPr>
      </w:pPr>
    </w:p>
    <w:p w14:paraId="757613E1" w14:textId="77777777" w:rsidR="006C05C1" w:rsidRPr="006C05C1" w:rsidRDefault="006C05C1" w:rsidP="006C05C1">
      <w:pPr>
        <w:spacing w:after="0" w:line="276" w:lineRule="auto"/>
        <w:jc w:val="both"/>
        <w:rPr>
          <w:rFonts w:ascii="Verdana" w:eastAsia="Calibri" w:hAnsi="Verdana" w:cs="Arial"/>
          <w:lang w:val="es-ES" w:eastAsia="es-ES"/>
        </w:rPr>
      </w:pPr>
      <w:r w:rsidRPr="006C05C1">
        <w:rPr>
          <w:rFonts w:ascii="Verdana" w:eastAsia="Calibri" w:hAnsi="Verdana" w:cs="Arial"/>
          <w:lang w:val="es-ES" w:eastAsia="es-ES"/>
        </w:rPr>
        <w:t xml:space="preserve">Estimada señora </w:t>
      </w:r>
      <w:r w:rsidRPr="006C05C1">
        <w:rPr>
          <w:rFonts w:ascii="Verdana" w:eastAsia="Calibri" w:hAnsi="Verdana" w:cs="Arial"/>
          <w:kern w:val="2"/>
          <w:lang w:val="es-ES" w:eastAsia="es-ES"/>
          <w14:ligatures w14:val="standardContextual"/>
        </w:rPr>
        <w:t>Ochoa León</w:t>
      </w:r>
      <w:r w:rsidRPr="006C05C1">
        <w:rPr>
          <w:rFonts w:ascii="Verdana" w:eastAsia="Calibri" w:hAnsi="Verdana" w:cs="Arial"/>
          <w:kern w:val="2"/>
          <w:lang w:eastAsia="es-ES_tradnl"/>
          <w14:ligatures w14:val="standardContextual"/>
        </w:rPr>
        <w:t>:</w:t>
      </w:r>
      <w:r w:rsidRPr="006C05C1">
        <w:rPr>
          <w:rFonts w:ascii="Verdana" w:eastAsia="Calibri" w:hAnsi="Verdana" w:cs="Arial"/>
          <w:lang w:val="es-ES" w:eastAsia="es-ES"/>
        </w:rPr>
        <w:t xml:space="preserve"> </w:t>
      </w:r>
    </w:p>
    <w:p w14:paraId="4DE59619" w14:textId="77777777" w:rsidR="006C05C1" w:rsidRPr="006C05C1" w:rsidRDefault="006C05C1" w:rsidP="006C05C1">
      <w:pPr>
        <w:tabs>
          <w:tab w:val="left" w:pos="3768"/>
        </w:tabs>
        <w:spacing w:after="0" w:line="276" w:lineRule="auto"/>
        <w:jc w:val="both"/>
        <w:rPr>
          <w:rFonts w:ascii="Verdana" w:eastAsia="Calibri" w:hAnsi="Verdana" w:cs="Arial"/>
          <w:lang w:val="es-ES" w:eastAsia="es-ES"/>
        </w:rPr>
      </w:pPr>
      <w:r w:rsidRPr="006C05C1">
        <w:rPr>
          <w:rFonts w:ascii="Verdana" w:eastAsia="Calibri" w:hAnsi="Verdana" w:cs="Arial"/>
          <w:lang w:val="es-ES" w:eastAsia="es-ES"/>
        </w:rPr>
        <w:tab/>
      </w:r>
    </w:p>
    <w:p w14:paraId="7BBC248E" w14:textId="77777777" w:rsidR="006C05C1" w:rsidRPr="006C05C1" w:rsidRDefault="006C05C1" w:rsidP="006C05C1">
      <w:pPr>
        <w:spacing w:after="0" w:line="276" w:lineRule="auto"/>
        <w:jc w:val="both"/>
        <w:rPr>
          <w:rFonts w:ascii="Verdana" w:eastAsia="Calibri" w:hAnsi="Verdana" w:cs="Arial"/>
          <w:lang w:val="es-ES" w:eastAsia="es-ES"/>
        </w:rPr>
      </w:pPr>
      <w:r w:rsidRPr="006C05C1">
        <w:rPr>
          <w:rFonts w:ascii="Verdana" w:eastAsia="Calibri" w:hAnsi="Verdana" w:cs="Arial"/>
          <w:lang w:val="es-ES" w:eastAsia="es-ES"/>
        </w:rPr>
        <w:t>En ejercicio de la competencia otorgada por los artículos 3, numeral 5º, y 11, numeral 8º, del Decreto Ley 4170 de 2011,</w:t>
      </w:r>
      <w:r w:rsidRPr="006C05C1">
        <w:rPr>
          <w:rFonts w:ascii="Verdana" w:eastAsia="Arial MT" w:hAnsi="Verdana" w:cs="Arial MT"/>
          <w:lang w:val="es-ES" w:eastAsia="es-ES"/>
        </w:rPr>
        <w:t xml:space="preserve"> </w:t>
      </w:r>
      <w:r w:rsidRPr="006C05C1">
        <w:rPr>
          <w:rFonts w:ascii="Verdana" w:eastAsia="Calibri" w:hAnsi="Verdana" w:cs="Arial"/>
        </w:rPr>
        <w:t xml:space="preserve">así como lo establecido en la Resolución No. 469 del 2025 expedida por esta Entidad, </w:t>
      </w:r>
      <w:r w:rsidRPr="006C05C1">
        <w:rPr>
          <w:rFonts w:ascii="Verdana" w:eastAsia="Calibri" w:hAnsi="Verdana" w:cs="Arial"/>
          <w:lang w:val="es-ES" w:eastAsia="es-ES"/>
        </w:rPr>
        <w:t>la Agencia Nacional de Contratación Pública – Colombia Compra Eficiente– responde su solicitud de consulta del 27 de marzo de 2026, en la cual manifiesta lo siguiente:</w:t>
      </w:r>
    </w:p>
    <w:p w14:paraId="7BD355DE" w14:textId="77777777" w:rsidR="006C05C1" w:rsidRPr="006C05C1" w:rsidRDefault="006C05C1" w:rsidP="006C05C1">
      <w:pPr>
        <w:spacing w:after="0" w:line="276" w:lineRule="auto"/>
        <w:jc w:val="both"/>
        <w:rPr>
          <w:rFonts w:ascii="Verdana" w:eastAsia="Calibri" w:hAnsi="Verdana" w:cs="Arial"/>
          <w:lang w:val="es-ES" w:eastAsia="es-ES"/>
        </w:rPr>
      </w:pPr>
    </w:p>
    <w:p w14:paraId="75921045" w14:textId="77777777" w:rsidR="006C05C1" w:rsidRPr="006C05C1" w:rsidRDefault="006C05C1" w:rsidP="006C05C1">
      <w:pPr>
        <w:spacing w:after="120" w:line="240" w:lineRule="auto"/>
        <w:ind w:left="709" w:right="709"/>
        <w:jc w:val="both"/>
        <w:rPr>
          <w:rFonts w:ascii="Verdana" w:eastAsia="Calibri" w:hAnsi="Verdana" w:cs="Arial"/>
          <w:sz w:val="21"/>
          <w:szCs w:val="21"/>
          <w:lang w:eastAsia="es-ES"/>
        </w:rPr>
      </w:pPr>
      <w:r w:rsidRPr="006C05C1">
        <w:rPr>
          <w:rFonts w:ascii="Verdana" w:eastAsia="Calibri" w:hAnsi="Verdana" w:cs="Arial"/>
          <w:sz w:val="21"/>
          <w:szCs w:val="21"/>
          <w:lang w:eastAsia="es-ES"/>
        </w:rPr>
        <w:lastRenderedPageBreak/>
        <w:t xml:space="preserve">“Comedidamente, en atención al asunto, le informo que, mediante Auto No. 0185 del 23 de febrero de 2026, suscrito por Jefe de la Oficina de Control Disciplinario Interno de la Secretaria Distrital de Gobierno dentro del expediente de la referencia, se resolvió oficiar a la Agencia Nacional De Contratación Pública - Colombia Compra Eficiente, con el fin de solicitar de su colaboración para que, en el término de diez (10) días hábiles, se sirva allegar e informar al Despacho al correo electrónico: procesosdisciphnariosqobiernoboqota.qov.co siguiente: </w:t>
      </w:r>
    </w:p>
    <w:p w14:paraId="7F87132F" w14:textId="77777777" w:rsidR="006C05C1" w:rsidRPr="006C05C1" w:rsidRDefault="006C05C1" w:rsidP="006C05C1">
      <w:pPr>
        <w:numPr>
          <w:ilvl w:val="0"/>
          <w:numId w:val="22"/>
        </w:numPr>
        <w:spacing w:after="120" w:line="240" w:lineRule="auto"/>
        <w:ind w:left="709" w:right="709" w:hanging="374"/>
        <w:jc w:val="both"/>
        <w:rPr>
          <w:rFonts w:ascii="Verdana" w:eastAsia="Calibri" w:hAnsi="Verdana" w:cs="Arial"/>
          <w:sz w:val="21"/>
          <w:szCs w:val="21"/>
          <w:lang w:eastAsia="es-ES"/>
        </w:rPr>
      </w:pPr>
      <w:r w:rsidRPr="006C05C1">
        <w:rPr>
          <w:rFonts w:ascii="Verdana" w:eastAsia="Calibri" w:hAnsi="Verdana" w:cs="Arial"/>
          <w:sz w:val="21"/>
          <w:szCs w:val="21"/>
          <w:lang w:eastAsia="es-ES"/>
        </w:rPr>
        <w:t xml:space="preserve">Informar si los siguientes objetos contractuales se enmarcan en algún documento tipo vigente para el año 2024. </w:t>
      </w:r>
    </w:p>
    <w:p w14:paraId="7BF7F678" w14:textId="77777777" w:rsidR="006C05C1" w:rsidRPr="006C05C1" w:rsidRDefault="006C05C1" w:rsidP="006C05C1">
      <w:pPr>
        <w:numPr>
          <w:ilvl w:val="0"/>
          <w:numId w:val="22"/>
        </w:numPr>
        <w:spacing w:after="120" w:line="240" w:lineRule="auto"/>
        <w:ind w:left="709" w:right="709" w:hanging="374"/>
        <w:jc w:val="both"/>
        <w:rPr>
          <w:rFonts w:ascii="Verdana" w:eastAsia="Calibri" w:hAnsi="Verdana" w:cs="Arial"/>
          <w:sz w:val="21"/>
          <w:szCs w:val="21"/>
          <w:lang w:val="es-ES" w:eastAsia="es-ES"/>
        </w:rPr>
      </w:pPr>
      <w:r w:rsidRPr="006C05C1">
        <w:rPr>
          <w:rFonts w:ascii="Verdana" w:eastAsia="Calibri" w:hAnsi="Verdana" w:cs="Arial"/>
          <w:sz w:val="21"/>
          <w:szCs w:val="21"/>
          <w:lang w:eastAsia="es-ES"/>
        </w:rPr>
        <w:t xml:space="preserve">Realizar por el sistema de precios unitarios fijos sin formulade reajuste, la implementación de modelos de bioingeniería para la recuperación dé zonas con procesos de erosión o con fenómenos de remoción en masa asociando técnicas dé restauración ecológica como medida de mitigación y adaptación al cambio climático en la localidad de Sumapaz. </w:t>
      </w:r>
    </w:p>
    <w:p w14:paraId="72B7584B" w14:textId="77777777" w:rsidR="006C05C1" w:rsidRPr="006C05C1" w:rsidRDefault="006C05C1" w:rsidP="006C05C1">
      <w:pPr>
        <w:numPr>
          <w:ilvl w:val="0"/>
          <w:numId w:val="22"/>
        </w:numPr>
        <w:spacing w:after="120" w:line="240" w:lineRule="auto"/>
        <w:ind w:left="709" w:right="709" w:hanging="374"/>
        <w:jc w:val="both"/>
        <w:rPr>
          <w:rFonts w:ascii="Verdana" w:eastAsia="Calibri" w:hAnsi="Verdana" w:cs="Arial"/>
          <w:sz w:val="21"/>
          <w:szCs w:val="21"/>
          <w:lang w:val="es-ES" w:eastAsia="es-ES"/>
        </w:rPr>
      </w:pPr>
      <w:r w:rsidRPr="006C05C1">
        <w:rPr>
          <w:rFonts w:ascii="Verdana" w:eastAsia="Calibri" w:hAnsi="Verdana" w:cs="Arial"/>
          <w:sz w:val="21"/>
          <w:szCs w:val="21"/>
          <w:lang w:eastAsia="es-ES"/>
        </w:rPr>
        <w:t xml:space="preserve">Construcción y adecuación de la sede administrativa en la localidad de Sumapaz, ubicada en la hacienda llano grande, jurisdicción del centro poblado de Betania, de conformidad con los estudios y diseños producto del contrato de consultoría CCS-334-2022. </w:t>
      </w:r>
    </w:p>
    <w:p w14:paraId="7EC33B70" w14:textId="77777777" w:rsidR="006C05C1" w:rsidRPr="006C05C1" w:rsidRDefault="006C05C1" w:rsidP="006C05C1">
      <w:pPr>
        <w:numPr>
          <w:ilvl w:val="0"/>
          <w:numId w:val="22"/>
        </w:numPr>
        <w:spacing w:after="120" w:line="240" w:lineRule="auto"/>
        <w:ind w:left="709" w:right="709" w:hanging="374"/>
        <w:jc w:val="both"/>
        <w:rPr>
          <w:rFonts w:ascii="Verdana" w:eastAsia="Calibri" w:hAnsi="Verdana" w:cs="Arial"/>
          <w:sz w:val="21"/>
          <w:szCs w:val="21"/>
          <w:lang w:val="es-ES" w:eastAsia="es-ES"/>
        </w:rPr>
      </w:pPr>
      <w:r w:rsidRPr="006C05C1">
        <w:rPr>
          <w:rFonts w:ascii="Verdana" w:eastAsia="Calibri" w:hAnsi="Verdana" w:cs="Arial"/>
          <w:sz w:val="21"/>
          <w:szCs w:val="21"/>
          <w:lang w:eastAsia="es-ES"/>
        </w:rPr>
        <w:t xml:space="preserve">Contratar los estudios, diseños y la construcción del parque san juan en el predio Santa Isabel, Centro Poblado San Juan en la Localidad de Sumapaz. </w:t>
      </w:r>
    </w:p>
    <w:p w14:paraId="22CC442E" w14:textId="77777777" w:rsidR="006C05C1" w:rsidRPr="006C05C1" w:rsidRDefault="006C05C1" w:rsidP="006C05C1">
      <w:pPr>
        <w:numPr>
          <w:ilvl w:val="0"/>
          <w:numId w:val="22"/>
        </w:numPr>
        <w:spacing w:after="0" w:line="240" w:lineRule="auto"/>
        <w:ind w:left="709" w:right="709" w:hanging="374"/>
        <w:jc w:val="both"/>
        <w:rPr>
          <w:rFonts w:ascii="Verdana" w:eastAsia="Calibri" w:hAnsi="Verdana" w:cs="Arial"/>
          <w:sz w:val="21"/>
          <w:szCs w:val="21"/>
          <w:lang w:val="es-ES" w:eastAsia="es-ES"/>
        </w:rPr>
      </w:pPr>
      <w:r w:rsidRPr="006C05C1">
        <w:rPr>
          <w:rFonts w:ascii="Verdana" w:eastAsia="Calibri" w:hAnsi="Verdana" w:cs="Arial"/>
          <w:sz w:val="21"/>
          <w:szCs w:val="21"/>
          <w:lang w:eastAsia="es-ES"/>
        </w:rPr>
        <w:t>Realizar la instalación de estructuras prefabricadas y obras necesarias para la implementación de salones comunales en la localidad de Sumapaz, basados en prediseños establecidos por el FORS, por precios unitarios fijos y a monto agotable”.</w:t>
      </w:r>
    </w:p>
    <w:p w14:paraId="1160625E" w14:textId="77777777" w:rsidR="006C05C1" w:rsidRPr="006C05C1" w:rsidRDefault="006C05C1" w:rsidP="006C05C1">
      <w:pPr>
        <w:spacing w:after="0" w:line="276" w:lineRule="auto"/>
        <w:ind w:left="735"/>
        <w:contextualSpacing/>
        <w:jc w:val="both"/>
        <w:rPr>
          <w:rFonts w:ascii="Verdana" w:eastAsia="Calibri" w:hAnsi="Verdana" w:cs="Arial"/>
          <w:lang w:val="es-ES" w:eastAsia="es-ES"/>
        </w:rPr>
      </w:pPr>
    </w:p>
    <w:p w14:paraId="39AA78D4" w14:textId="77777777" w:rsidR="006C05C1" w:rsidRPr="006C05C1" w:rsidRDefault="006C05C1" w:rsidP="006C05C1">
      <w:pPr>
        <w:spacing w:after="120" w:line="276" w:lineRule="auto"/>
        <w:ind w:firstLine="708"/>
        <w:jc w:val="both"/>
        <w:rPr>
          <w:rFonts w:ascii="Verdana" w:eastAsia="Aptos" w:hAnsi="Verdana" w:cs="Arial"/>
          <w:kern w:val="2"/>
          <w:lang w:val="es-ES"/>
          <w14:ligatures w14:val="standardContextual"/>
        </w:rPr>
      </w:pPr>
      <w:bookmarkStart w:id="1" w:name="_Hlk135067441"/>
      <w:r w:rsidRPr="006C05C1">
        <w:rPr>
          <w:rFonts w:ascii="Verdana" w:eastAsia="Aptos" w:hAnsi="Verdana" w:cs="Arial"/>
          <w:bCs/>
          <w:kern w:val="2"/>
          <w14:ligatures w14:val="standardContextual"/>
        </w:rPr>
        <w:t xml:space="preserve">En ejercicio de las competencias de los artículos 3.5 y 11.8 del Decreto Ley 4170 de 2011, la Agencia Nacional de Contratación Pública – Colombia Compra Eficiente resuelve consultas sobre </w:t>
      </w:r>
      <w:r w:rsidRPr="006C05C1">
        <w:rPr>
          <w:rFonts w:ascii="Verdana" w:eastAsia="Aptos" w:hAnsi="Verdana" w:cs="Arial"/>
          <w:kern w:val="2"/>
          <w:lang w:val="es-ES"/>
          <w14:ligatures w14:val="standardContextual"/>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6C05C1">
        <w:rPr>
          <w:rFonts w:ascii="Verdana" w:eastAsia="Aptos" w:hAnsi="Verdana" w:cs="Arial"/>
          <w:bCs/>
          <w:kern w:val="2"/>
          <w14:ligatures w14:val="standardContextual"/>
        </w:rPr>
        <w:t xml:space="preserve"> de todos los partícipes de la contratación estatal.</w:t>
      </w:r>
    </w:p>
    <w:p w14:paraId="5BEA3E32" w14:textId="77777777" w:rsidR="006C05C1" w:rsidRPr="006C05C1" w:rsidRDefault="006C05C1" w:rsidP="006C05C1">
      <w:pPr>
        <w:spacing w:after="120" w:line="276" w:lineRule="auto"/>
        <w:ind w:firstLine="708"/>
        <w:jc w:val="both"/>
        <w:rPr>
          <w:rFonts w:ascii="Verdana" w:eastAsia="Aptos" w:hAnsi="Verdana" w:cs="Arial"/>
          <w:kern w:val="2"/>
          <w:lang w:val="es-ES"/>
          <w14:ligatures w14:val="standardContextual"/>
        </w:rPr>
      </w:pPr>
      <w:r w:rsidRPr="006C05C1">
        <w:rPr>
          <w:rFonts w:ascii="Verdana" w:eastAsia="Aptos" w:hAnsi="Verdana" w:cs="Arial"/>
          <w:kern w:val="2"/>
          <w:lang w:val="es-ES"/>
          <w14:ligatures w14:val="standardContextual"/>
        </w:rPr>
        <w:t xml:space="preserve">La competencia de esta entidad se fija con límites claros, con el objeto de evitar que la Agencia actúe como una instancia de validación de las actuaciones de las entidades sujetas a la Ley 80 de 1993 o de los demás participantes de la </w:t>
      </w:r>
      <w:r w:rsidRPr="006C05C1">
        <w:rPr>
          <w:rFonts w:ascii="Verdana" w:eastAsia="Aptos" w:hAnsi="Verdana" w:cs="Arial"/>
          <w:kern w:val="2"/>
          <w:lang w:val="es-ES"/>
          <w14:ligatures w14:val="standardContextual"/>
        </w:rPr>
        <w:lastRenderedPageBreak/>
        <w:t>contratación pública</w:t>
      </w:r>
      <w:r w:rsidRPr="006C05C1">
        <w:rPr>
          <w:rFonts w:ascii="Verdana" w:eastAsia="Aptos" w:hAnsi="Verdana" w:cs="Arial"/>
          <w:kern w:val="2"/>
          <w:vertAlign w:val="superscript"/>
          <w:lang w:val="es-ES"/>
          <w14:ligatures w14:val="standardContextual"/>
        </w:rPr>
        <w:footnoteReference w:id="1"/>
      </w:r>
      <w:r w:rsidRPr="006C05C1">
        <w:rPr>
          <w:rFonts w:ascii="Verdana" w:eastAsia="Aptos" w:hAnsi="Verdana" w:cs="Arial"/>
          <w:kern w:val="2"/>
          <w:lang w:val="es-ES"/>
          <w14:ligatures w14:val="standardContextual"/>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4460F48E" w14:textId="77777777" w:rsidR="006C05C1" w:rsidRPr="006C05C1" w:rsidRDefault="006C05C1" w:rsidP="006C05C1">
      <w:pPr>
        <w:spacing w:after="0" w:line="276" w:lineRule="auto"/>
        <w:ind w:firstLine="708"/>
        <w:jc w:val="both"/>
        <w:rPr>
          <w:rFonts w:ascii="Verdana" w:eastAsia="Calibri" w:hAnsi="Verdana" w:cs="Arial"/>
          <w:kern w:val="2"/>
          <w:lang w:val="es-ES" w:eastAsia="es-ES"/>
          <w14:ligatures w14:val="standardContextual"/>
        </w:rPr>
      </w:pPr>
      <w:r w:rsidRPr="006C05C1">
        <w:rPr>
          <w:rFonts w:ascii="Verdana" w:eastAsia="Aptos" w:hAnsi="Verdana" w:cs="Arial"/>
          <w:bCs/>
          <w:color w:val="1A1A1A"/>
          <w:kern w:val="2"/>
          <w14:ligatures w14:val="standardContextual"/>
        </w:rPr>
        <w:t xml:space="preserve">Para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6C05C1">
        <w:rPr>
          <w:rFonts w:ascii="Verdana" w:eastAsia="Calibri" w:hAnsi="Verdana" w:cs="Arial"/>
          <w:kern w:val="2"/>
          <w:lang w:val="es-ES"/>
          <w14:ligatures w14:val="standardContextual"/>
        </w:rPr>
        <w:t xml:space="preserve">En este contexto, </w:t>
      </w:r>
      <w:r w:rsidRPr="006C05C1">
        <w:rPr>
          <w:rFonts w:ascii="Verdana" w:eastAsia="Aptos" w:hAnsi="Verdana" w:cs="Arial"/>
          <w:bCs/>
          <w:color w:val="1A1A1A"/>
          <w:kern w:val="2"/>
          <w14:ligatures w14:val="standardContextual"/>
        </w:rPr>
        <w:t xml:space="preserve">lo decidido en torno </w:t>
      </w:r>
      <w:r w:rsidRPr="006C05C1">
        <w:rPr>
          <w:rFonts w:ascii="Verdana" w:eastAsia="Calibri" w:hAnsi="Verdana" w:cs="Arial"/>
          <w:kern w:val="2"/>
          <w:lang w:val="es-ES" w:eastAsia="es-ES"/>
          <w14:ligatures w14:val="standardContextual"/>
        </w:rPr>
        <w:t>al proceso disciplinario del expediente No. 487-2025 Auto No. 0185 del 23 de marzo de 2026, es</w:t>
      </w:r>
      <w:r w:rsidRPr="006C05C1">
        <w:rPr>
          <w:rFonts w:ascii="Verdana" w:eastAsia="Aptos" w:hAnsi="Verdana" w:cs="Arial"/>
          <w:color w:val="000000"/>
          <w:kern w:val="2"/>
          <w:lang w:val="es-ES_tradnl"/>
          <w14:ligatures w14:val="standardContextual"/>
        </w:rPr>
        <w:t xml:space="preserve"> responsabilidad única y exclusiva de la</w:t>
      </w:r>
      <w:r w:rsidRPr="006C05C1">
        <w:rPr>
          <w:rFonts w:ascii="Verdana" w:eastAsia="Calibri" w:hAnsi="Verdana" w:cs="Arial"/>
          <w:kern w:val="2"/>
          <w:lang w:val="es-ES" w:eastAsia="es-ES"/>
          <w14:ligatures w14:val="standardContextual"/>
        </w:rPr>
        <w:t xml:space="preserve"> Oficina de Control Disciplinario Interno de la Secretaría de Gobierno de Bogotá D.C</w:t>
      </w:r>
      <w:r w:rsidRPr="006C05C1">
        <w:rPr>
          <w:rFonts w:ascii="Verdana" w:eastAsia="Calibri" w:hAnsi="Verdana" w:cs="Arial"/>
          <w:bCs/>
          <w:kern w:val="2"/>
          <w:lang w:eastAsia="es-ES_tradnl"/>
          <w14:ligatures w14:val="standardContextual"/>
        </w:rPr>
        <w:t xml:space="preserve">. </w:t>
      </w:r>
      <w:bookmarkEnd w:id="1"/>
      <w:r w:rsidRPr="006C05C1">
        <w:rPr>
          <w:rFonts w:ascii="Verdana" w:eastAsia="Calibri" w:hAnsi="Verdana" w:cs="Arial"/>
          <w:kern w:val="2"/>
          <w14:ligatures w14:val="standardContextual"/>
        </w:rPr>
        <w:t xml:space="preserve">Sin perjuicio de lo anterior, </w:t>
      </w:r>
      <w:r w:rsidRPr="006C05C1">
        <w:rPr>
          <w:rFonts w:ascii="Verdana" w:eastAsia="Calibri" w:hAnsi="Verdana" w:cs="Arial"/>
          <w:kern w:val="2"/>
          <w:lang w:val="es-ES"/>
          <w14:ligatures w14:val="standardContextual"/>
        </w:rPr>
        <w:t>la Agencia –dentro de los límites de sus atribuciones, esto es, al margen de las conductas investigadas en el expediente anteriormente citado– resolverá la consulta conforme a las normas generales del sistema de compras públicas.</w:t>
      </w:r>
      <w:r w:rsidRPr="006C05C1">
        <w:rPr>
          <w:rFonts w:ascii="Verdana" w:eastAsia="Calibri" w:hAnsi="Verdana" w:cs="Arial"/>
          <w:kern w:val="2"/>
          <w:lang w:val="es-ES" w:eastAsia="es-ES"/>
          <w14:ligatures w14:val="standardContextual"/>
        </w:rPr>
        <w:t xml:space="preserve"> </w:t>
      </w:r>
    </w:p>
    <w:p w14:paraId="5692D71B" w14:textId="77777777" w:rsidR="006C05C1" w:rsidRPr="006C05C1" w:rsidRDefault="006C05C1" w:rsidP="006C05C1">
      <w:pPr>
        <w:tabs>
          <w:tab w:val="left" w:pos="142"/>
          <w:tab w:val="left" w:pos="284"/>
        </w:tabs>
        <w:spacing w:after="0" w:line="276" w:lineRule="auto"/>
        <w:contextualSpacing/>
        <w:jc w:val="both"/>
        <w:rPr>
          <w:rFonts w:ascii="Verdana" w:eastAsia="Century Gothic" w:hAnsi="Verdana" w:cs="Century Gothic"/>
          <w:b/>
          <w:bCs/>
          <w:lang w:val="es-ES"/>
        </w:rPr>
      </w:pPr>
    </w:p>
    <w:p w14:paraId="5A5319BF" w14:textId="77777777" w:rsidR="006C05C1" w:rsidRPr="006C05C1" w:rsidRDefault="006C05C1" w:rsidP="006C05C1">
      <w:pPr>
        <w:tabs>
          <w:tab w:val="left" w:pos="142"/>
          <w:tab w:val="left" w:pos="284"/>
        </w:tabs>
        <w:spacing w:after="0" w:line="276" w:lineRule="auto"/>
        <w:contextualSpacing/>
        <w:jc w:val="both"/>
        <w:rPr>
          <w:rFonts w:ascii="Verdana" w:eastAsia="Century Gothic" w:hAnsi="Verdana" w:cs="Century Gothic"/>
          <w:b/>
          <w:bCs/>
          <w:lang w:val="es-ES"/>
        </w:rPr>
      </w:pPr>
      <w:r w:rsidRPr="006C05C1">
        <w:rPr>
          <w:rFonts w:ascii="Verdana" w:eastAsia="Century Gothic" w:hAnsi="Verdana" w:cs="Century Gothic"/>
          <w:b/>
          <w:bCs/>
          <w:lang w:val="es-ES"/>
        </w:rPr>
        <w:t>1. Problema planteado:</w:t>
      </w:r>
    </w:p>
    <w:p w14:paraId="410FA6A7" w14:textId="77777777" w:rsidR="006C05C1" w:rsidRPr="006C05C1" w:rsidRDefault="006C05C1" w:rsidP="006C05C1">
      <w:pPr>
        <w:tabs>
          <w:tab w:val="left" w:pos="426"/>
        </w:tabs>
        <w:spacing w:after="0" w:line="276" w:lineRule="auto"/>
        <w:jc w:val="both"/>
        <w:rPr>
          <w:rFonts w:ascii="Verdana" w:eastAsia="Century Gothic" w:hAnsi="Verdana" w:cs="Century Gothic"/>
          <w:lang w:val="es-ES"/>
        </w:rPr>
      </w:pPr>
    </w:p>
    <w:p w14:paraId="10792E96" w14:textId="77777777" w:rsidR="006C05C1" w:rsidRPr="006C05C1" w:rsidRDefault="006C05C1" w:rsidP="006C05C1">
      <w:pPr>
        <w:spacing w:after="0" w:line="276" w:lineRule="auto"/>
        <w:jc w:val="both"/>
        <w:rPr>
          <w:rFonts w:ascii="Verdana" w:eastAsia="Aptos" w:hAnsi="Verdana" w:cs="Times New Roman"/>
          <w:lang w:eastAsia="es-MX"/>
        </w:rPr>
      </w:pPr>
      <w:r w:rsidRPr="006C05C1">
        <w:rPr>
          <w:rFonts w:ascii="Verdana" w:eastAsia="Century Gothic" w:hAnsi="Verdana" w:cs="Century Gothic"/>
        </w:rPr>
        <w:t xml:space="preserve">De acuerdo con el contenido de su solicitud, esta Agencia resolverá los siguientes problemas jurídicos: i) </w:t>
      </w:r>
      <w:r w:rsidRPr="006C05C1">
        <w:rPr>
          <w:rFonts w:ascii="Verdana" w:eastAsia="Calibri" w:hAnsi="Verdana" w:cs="Arial"/>
          <w:bCs/>
          <w:lang w:val="es-ES_tradnl" w:eastAsia="es-ES_tradnl"/>
        </w:rPr>
        <w:t xml:space="preserve">¿Qué documentos tipo se encontraban vigentes en el año 2024?, </w:t>
      </w:r>
      <w:proofErr w:type="spellStart"/>
      <w:r w:rsidRPr="006C05C1">
        <w:rPr>
          <w:rFonts w:ascii="Verdana" w:eastAsia="Calibri" w:hAnsi="Verdana" w:cs="Arial"/>
          <w:bCs/>
          <w:lang w:val="es-ES_tradnl" w:eastAsia="es-ES_tradnl"/>
        </w:rPr>
        <w:t>ii</w:t>
      </w:r>
      <w:proofErr w:type="spellEnd"/>
      <w:r w:rsidRPr="006C05C1">
        <w:rPr>
          <w:rFonts w:ascii="Verdana" w:eastAsia="Calibri" w:hAnsi="Verdana" w:cs="Arial"/>
          <w:bCs/>
          <w:lang w:val="es-ES_tradnl" w:eastAsia="es-ES_tradnl"/>
        </w:rPr>
        <w:t xml:space="preserve">) ¿Cuál es el procedimiento para identificar sí en un proceso se deben implementar los documentos tipo?, </w:t>
      </w:r>
      <w:proofErr w:type="spellStart"/>
      <w:r w:rsidRPr="006C05C1">
        <w:rPr>
          <w:rFonts w:ascii="Verdana" w:eastAsia="Calibri" w:hAnsi="Verdana" w:cs="Arial"/>
          <w:bCs/>
          <w:lang w:val="es-ES_tradnl" w:eastAsia="es-ES_tradnl"/>
        </w:rPr>
        <w:t>iii</w:t>
      </w:r>
      <w:proofErr w:type="spellEnd"/>
      <w:r w:rsidRPr="006C05C1">
        <w:rPr>
          <w:rFonts w:ascii="Verdana" w:eastAsia="Calibri" w:hAnsi="Verdana" w:cs="Arial"/>
          <w:bCs/>
          <w:lang w:val="es-ES_tradnl" w:eastAsia="es-ES_tradnl"/>
        </w:rPr>
        <w:t xml:space="preserve">) ¿Aplicaban los documentos tipo vigentes en el año 2024, para un proceso de selección </w:t>
      </w:r>
      <w:r w:rsidRPr="006C05C1">
        <w:rPr>
          <w:rFonts w:ascii="Verdana" w:eastAsia="Calibri" w:hAnsi="Verdana" w:cs="Times New Roman"/>
          <w:lang w:eastAsia="es-MX"/>
        </w:rPr>
        <w:t>relacionado con “(…) la implementación de modelos de bioingeniería para la recuperación de zonas con procesos de erosión o con fenómenos de remoción en masa (…)”?</w:t>
      </w:r>
      <w:r w:rsidRPr="006C05C1">
        <w:rPr>
          <w:rFonts w:ascii="Verdana" w:eastAsia="Calibri" w:hAnsi="Verdana" w:cs="Arial"/>
          <w:bCs/>
          <w:lang w:val="es-ES_tradnl" w:eastAsia="es-ES_tradnl"/>
        </w:rPr>
        <w:t xml:space="preserve">, </w:t>
      </w:r>
      <w:proofErr w:type="spellStart"/>
      <w:r w:rsidRPr="006C05C1">
        <w:rPr>
          <w:rFonts w:ascii="Verdana" w:eastAsia="Calibri" w:hAnsi="Verdana" w:cs="Arial"/>
          <w:bCs/>
          <w:lang w:val="es-ES_tradnl" w:eastAsia="es-ES_tradnl"/>
        </w:rPr>
        <w:t>iv</w:t>
      </w:r>
      <w:proofErr w:type="spellEnd"/>
      <w:r w:rsidRPr="006C05C1">
        <w:rPr>
          <w:rFonts w:ascii="Verdana" w:eastAsia="Calibri" w:hAnsi="Verdana" w:cs="Arial"/>
          <w:bCs/>
          <w:lang w:val="es-ES_tradnl" w:eastAsia="es-ES_tradnl"/>
        </w:rPr>
        <w:t xml:space="preserve">) ¿Aplicaban los documentos tipo vigentes en el año 2024, para un proceso de selección </w:t>
      </w:r>
      <w:r w:rsidRPr="006C05C1">
        <w:rPr>
          <w:rFonts w:ascii="Verdana" w:eastAsia="Calibri" w:hAnsi="Verdana" w:cs="Times New Roman"/>
          <w:lang w:eastAsia="es-MX"/>
        </w:rPr>
        <w:t>relacionado con</w:t>
      </w:r>
      <w:r w:rsidRPr="006C05C1">
        <w:rPr>
          <w:rFonts w:ascii="Verdana" w:eastAsia="Calibri" w:hAnsi="Verdana" w:cs="Arial"/>
          <w:color w:val="000000"/>
          <w:lang w:eastAsia="en-GB"/>
        </w:rPr>
        <w:t xml:space="preserve"> “(…) construcción y adecuación de la sede administrativa (…)”?, v) </w:t>
      </w:r>
      <w:r w:rsidRPr="006C05C1">
        <w:rPr>
          <w:rFonts w:ascii="Verdana" w:eastAsia="Calibri" w:hAnsi="Verdana" w:cs="Arial"/>
          <w:bCs/>
          <w:lang w:val="es-ES_tradnl" w:eastAsia="es-ES_tradnl"/>
        </w:rPr>
        <w:t xml:space="preserve">¿Aplicaban los documentos tipo vigentes en el año 2024, para un proceso de </w:t>
      </w:r>
      <w:r w:rsidRPr="006C05C1">
        <w:rPr>
          <w:rFonts w:ascii="Verdana" w:eastAsia="Calibri" w:hAnsi="Verdana" w:cs="Arial"/>
          <w:bCs/>
          <w:lang w:val="es-ES_tradnl" w:eastAsia="es-ES_tradnl"/>
        </w:rPr>
        <w:lastRenderedPageBreak/>
        <w:t xml:space="preserve">selección </w:t>
      </w:r>
      <w:r w:rsidRPr="006C05C1">
        <w:rPr>
          <w:rFonts w:ascii="Verdana" w:eastAsia="Calibri" w:hAnsi="Verdana" w:cs="Times New Roman"/>
          <w:lang w:eastAsia="es-MX"/>
        </w:rPr>
        <w:t xml:space="preserve">relacionado con </w:t>
      </w:r>
      <w:r w:rsidRPr="006C05C1">
        <w:rPr>
          <w:rFonts w:ascii="Verdana" w:eastAsia="Calibri" w:hAnsi="Verdana" w:cs="Arial"/>
          <w:color w:val="000000"/>
          <w:lang w:eastAsia="en-GB"/>
        </w:rPr>
        <w:t xml:space="preserve">“Contratar los estudios, diseños y la construcción del parque (…)”?, y vi) </w:t>
      </w:r>
      <w:r w:rsidRPr="006C05C1">
        <w:rPr>
          <w:rFonts w:ascii="Verdana" w:eastAsia="Calibri" w:hAnsi="Verdana" w:cs="Arial"/>
          <w:bCs/>
          <w:lang w:val="es-ES_tradnl" w:eastAsia="es-ES_tradnl"/>
        </w:rPr>
        <w:t xml:space="preserve">¿Aplicaban los documentos tipo vigentes en el año 2024, para un proceso de selección </w:t>
      </w:r>
      <w:r w:rsidRPr="006C05C1">
        <w:rPr>
          <w:rFonts w:ascii="Verdana" w:eastAsia="Calibri" w:hAnsi="Verdana" w:cs="Times New Roman"/>
          <w:lang w:eastAsia="es-MX"/>
        </w:rPr>
        <w:t xml:space="preserve">relacionado con </w:t>
      </w:r>
      <w:r w:rsidR="00B17C52" w:rsidRPr="006C05C1">
        <w:rPr>
          <w:rFonts w:ascii="Verdana" w:eastAsia="Aptos" w:hAnsi="Verdana" w:cs="Times New Roman"/>
          <w:lang w:eastAsia="es-MX"/>
        </w:rPr>
        <w:t>“Realizar la instalación de estructuras prefabricadas y obras necesarias para la implementación</w:t>
      </w:r>
      <w:r w:rsidRPr="006C05C1">
        <w:rPr>
          <w:rFonts w:ascii="Verdana" w:eastAsia="Aptos" w:hAnsi="Verdana" w:cs="Times New Roman"/>
          <w:lang w:eastAsia="es-MX"/>
        </w:rPr>
        <w:t xml:space="preserve"> </w:t>
      </w:r>
      <w:r w:rsidR="00B17C52" w:rsidRPr="006C05C1">
        <w:rPr>
          <w:rFonts w:ascii="Verdana" w:eastAsia="Aptos" w:hAnsi="Verdana" w:cs="Times New Roman"/>
          <w:lang w:eastAsia="es-MX"/>
        </w:rPr>
        <w:t>de</w:t>
      </w:r>
      <w:r w:rsidRPr="006C05C1">
        <w:rPr>
          <w:rFonts w:ascii="Verdana" w:eastAsia="Aptos" w:hAnsi="Verdana" w:cs="Times New Roman"/>
          <w:lang w:eastAsia="es-MX"/>
        </w:rPr>
        <w:t xml:space="preserve"> </w:t>
      </w:r>
      <w:r w:rsidR="00B17C52" w:rsidRPr="006C05C1">
        <w:rPr>
          <w:rFonts w:ascii="Verdana" w:eastAsia="Aptos" w:hAnsi="Verdana" w:cs="Times New Roman"/>
          <w:lang w:eastAsia="es-MX"/>
        </w:rPr>
        <w:t>salones</w:t>
      </w:r>
      <w:r w:rsidRPr="006C05C1">
        <w:rPr>
          <w:rFonts w:ascii="Verdana" w:eastAsia="Aptos" w:hAnsi="Verdana" w:cs="Times New Roman"/>
          <w:lang w:eastAsia="es-MX"/>
        </w:rPr>
        <w:t xml:space="preserve"> </w:t>
      </w:r>
      <w:r w:rsidR="00B17C52" w:rsidRPr="006C05C1">
        <w:rPr>
          <w:rFonts w:ascii="Verdana" w:eastAsia="Aptos" w:hAnsi="Verdana" w:cs="Times New Roman"/>
          <w:lang w:eastAsia="es-MX"/>
        </w:rPr>
        <w:t>comunales</w:t>
      </w:r>
      <w:r w:rsidRPr="006C05C1">
        <w:rPr>
          <w:rFonts w:ascii="Verdana" w:eastAsia="Aptos" w:hAnsi="Verdana" w:cs="Times New Roman"/>
          <w:lang w:eastAsia="es-MX"/>
        </w:rPr>
        <w:t xml:space="preserve"> </w:t>
      </w:r>
      <w:r w:rsidR="00B17C52" w:rsidRPr="006C05C1">
        <w:rPr>
          <w:rFonts w:ascii="Verdana" w:eastAsia="Aptos" w:hAnsi="Verdana" w:cs="Times New Roman"/>
          <w:lang w:eastAsia="es-MX"/>
        </w:rPr>
        <w:t>(…)”</w:t>
      </w:r>
      <w:r w:rsidRPr="006C05C1">
        <w:rPr>
          <w:rFonts w:ascii="Verdana" w:eastAsia="Aptos" w:hAnsi="Verdana" w:cs="Times New Roman"/>
          <w:lang w:eastAsia="es-MX"/>
        </w:rPr>
        <w:t>?</w:t>
      </w:r>
    </w:p>
    <w:p w14:paraId="13FCE2C6" w14:textId="77777777" w:rsidR="006C05C1" w:rsidRPr="006C05C1" w:rsidRDefault="006C05C1" w:rsidP="006C05C1">
      <w:pPr>
        <w:spacing w:after="0" w:line="276" w:lineRule="auto"/>
        <w:jc w:val="both"/>
        <w:rPr>
          <w:rFonts w:ascii="Verdana" w:eastAsia="Century Gothic" w:hAnsi="Verdana" w:cs="Century Gothic"/>
          <w:lang w:val="es-ES_tradnl"/>
        </w:rPr>
      </w:pPr>
    </w:p>
    <w:p w14:paraId="679474D5" w14:textId="77777777" w:rsidR="006C05C1" w:rsidRPr="006C05C1" w:rsidRDefault="006C05C1" w:rsidP="006C05C1">
      <w:pPr>
        <w:tabs>
          <w:tab w:val="left" w:pos="142"/>
          <w:tab w:val="left" w:pos="284"/>
        </w:tabs>
        <w:spacing w:after="0" w:line="276" w:lineRule="auto"/>
        <w:contextualSpacing/>
        <w:jc w:val="both"/>
        <w:rPr>
          <w:rFonts w:ascii="Verdana" w:eastAsia="Century Gothic" w:hAnsi="Verdana" w:cs="Century Gothic"/>
          <w:b/>
          <w:bCs/>
          <w:lang w:val="es-ES"/>
        </w:rPr>
      </w:pPr>
      <w:r w:rsidRPr="006C05C1">
        <w:rPr>
          <w:rFonts w:ascii="Verdana" w:eastAsia="Century Gothic" w:hAnsi="Verdana" w:cs="Century Gothic"/>
          <w:b/>
          <w:bCs/>
          <w:lang w:val="es-ES"/>
        </w:rPr>
        <w:t>2. Respuestas:</w:t>
      </w:r>
    </w:p>
    <w:p w14:paraId="45530458" w14:textId="77777777" w:rsidR="006C05C1" w:rsidRPr="006C05C1" w:rsidRDefault="006C05C1" w:rsidP="006C05C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C05C1" w:rsidRPr="006C05C1" w14:paraId="33ABBE1B" w14:textId="77777777" w:rsidTr="00B031EB">
        <w:trPr>
          <w:trHeight w:val="40"/>
        </w:trPr>
        <w:tc>
          <w:tcPr>
            <w:tcW w:w="8828" w:type="dxa"/>
            <w:tcBorders>
              <w:top w:val="dotted" w:sz="4" w:space="0" w:color="auto"/>
              <w:left w:val="dotted" w:sz="4" w:space="0" w:color="auto"/>
              <w:bottom w:val="dotted" w:sz="4" w:space="0" w:color="auto"/>
              <w:right w:val="dotted" w:sz="4" w:space="0" w:color="auto"/>
            </w:tcBorders>
          </w:tcPr>
          <w:p w14:paraId="1CDA6C34" w14:textId="77777777" w:rsidR="006C05C1" w:rsidRPr="006C05C1" w:rsidRDefault="006C05C1" w:rsidP="006C05C1">
            <w:pPr>
              <w:spacing w:after="120" w:line="276" w:lineRule="auto"/>
              <w:jc w:val="both"/>
              <w:rPr>
                <w:rFonts w:ascii="Verdana" w:eastAsia="Calibri" w:hAnsi="Verdana" w:cs="Arial"/>
              </w:rPr>
            </w:pPr>
            <w:r w:rsidRPr="006C05C1">
              <w:rPr>
                <w:rFonts w:ascii="Verdana" w:eastAsia="Aptos" w:hAnsi="Verdana" w:cs="Arial"/>
              </w:rPr>
              <w:t>i. P</w:t>
            </w:r>
            <w:r w:rsidRPr="006C05C1">
              <w:rPr>
                <w:rFonts w:ascii="Verdana" w:eastAsia="Calibri" w:hAnsi="Verdana" w:cs="Arial"/>
              </w:rPr>
              <w:t>ara el año 2024, se encontraban vigentes los siguientes Documentos Tipo:</w:t>
            </w:r>
          </w:p>
          <w:p w14:paraId="0275BE44"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i. Sector de Infraestructura de Transporte:</w:t>
            </w:r>
          </w:p>
          <w:p w14:paraId="7A10F318"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Resolución 240 del 27 de noviembre de 2020: “Por la cual se actualizan los Documentos Tipo para los procesos de selección de licitación de obra pública de infraestructura de transporte y se deroga la Resolución 0045 de 2020”.</w:t>
            </w:r>
          </w:p>
          <w:p w14:paraId="774AC8FE"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Resolución 241 del 27 de noviembre de 2020: “Por la cual se actualizan los Documentos Tipo para los procesos de selección abreviada de menor cuantía de obra pública de infraestructura de transporte y se deroga la Resolución 0044 de 2020”.</w:t>
            </w:r>
          </w:p>
          <w:p w14:paraId="0B0DB0FD"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274B7F00"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1653F978"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Resolución 193 del 14 de julio de 2024: “Por la cual se adoptan los documentos tipo para los procesos de selección de concurso de méritos, para contratar la consultoría de estudios de ingeniería de infraestructura de transporte”.</w:t>
            </w:r>
          </w:p>
          <w:p w14:paraId="2E963B99" w14:textId="77777777" w:rsidR="006C05C1" w:rsidRPr="006C05C1" w:rsidRDefault="006C05C1" w:rsidP="006C05C1">
            <w:pPr>
              <w:spacing w:after="120" w:line="276" w:lineRule="auto"/>
              <w:ind w:firstLine="708"/>
              <w:jc w:val="both"/>
              <w:rPr>
                <w:rFonts w:ascii="Verdana" w:eastAsia="Aptos" w:hAnsi="Verdana" w:cs="Arial"/>
              </w:rPr>
            </w:pPr>
            <w:proofErr w:type="spellStart"/>
            <w:r w:rsidRPr="006C05C1">
              <w:rPr>
                <w:rFonts w:ascii="Verdana" w:eastAsia="Aptos" w:hAnsi="Verdana" w:cs="Arial"/>
              </w:rPr>
              <w:t>ii</w:t>
            </w:r>
            <w:proofErr w:type="spellEnd"/>
            <w:r w:rsidRPr="006C05C1">
              <w:rPr>
                <w:rFonts w:ascii="Verdana" w:eastAsia="Aptos" w:hAnsi="Verdana" w:cs="Arial"/>
              </w:rPr>
              <w:t>. Sector de Infraestructura de Agua Potable y Saneamiento Básico:</w:t>
            </w:r>
          </w:p>
          <w:p w14:paraId="54792F9A"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lastRenderedPageBreak/>
              <w:t>Resolución 248 del 1 de diciembre de 2020: "Por la cual se adoptan los documentos tipo para los procesos de licitación pública para obras de infraestructura de agua potable y saneamiento básico"</w:t>
            </w:r>
          </w:p>
          <w:p w14:paraId="48240AAD"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 xml:space="preserve"> Resolución 249 del 1 de diciembre de 2020: “"Por la cual se adoptan los documentos tipo para los procesos de licitación pública para obras de infraestructura de agua potable y saneamiento básico en la modalidad de llave en mano".</w:t>
            </w:r>
          </w:p>
          <w:p w14:paraId="29BA5F9F"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Aptos" w:hAnsi="Verdana" w:cs="Ari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6DF32941" w14:textId="77777777" w:rsidR="006C05C1" w:rsidRPr="006C05C1" w:rsidRDefault="006C05C1" w:rsidP="006C05C1">
            <w:pPr>
              <w:spacing w:after="120" w:line="276" w:lineRule="auto"/>
              <w:ind w:firstLine="708"/>
              <w:jc w:val="both"/>
              <w:rPr>
                <w:rFonts w:ascii="Verdana" w:eastAsia="Aptos" w:hAnsi="Verdana" w:cs="Arial"/>
              </w:rPr>
            </w:pPr>
            <w:proofErr w:type="spellStart"/>
            <w:r w:rsidRPr="006C05C1">
              <w:rPr>
                <w:rFonts w:ascii="Verdana" w:eastAsia="Aptos" w:hAnsi="Verdana" w:cs="Arial"/>
              </w:rPr>
              <w:t>iii</w:t>
            </w:r>
            <w:proofErr w:type="spellEnd"/>
            <w:r w:rsidRPr="006C05C1">
              <w:rPr>
                <w:rFonts w:ascii="Verdana" w:eastAsia="Aptos" w:hAnsi="Verdana" w:cs="Arial"/>
              </w:rPr>
              <w:t xml:space="preserve">. Sector de Infraestructura Social: </w:t>
            </w:r>
          </w:p>
          <w:p w14:paraId="2482A24B"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Calibri" w:hAnsi="Verdana" w:cs="Arial"/>
              </w:rPr>
              <w:t xml:space="preserve">Resolución 219 </w:t>
            </w:r>
            <w:r w:rsidRPr="006C05C1">
              <w:rPr>
                <w:rFonts w:ascii="Verdana" w:eastAsia="Calibri" w:hAnsi="Verdana" w:cs="Arial"/>
                <w:bCs/>
              </w:rPr>
              <w:t xml:space="preserve">del 6 de agosto </w:t>
            </w:r>
            <w:r w:rsidRPr="006C05C1">
              <w:rPr>
                <w:rFonts w:ascii="Verdana" w:eastAsia="Calibri" w:hAnsi="Verdana" w:cs="Arial"/>
              </w:rPr>
              <w:t>de 2021 “Por la cual se adoptan los documentos tipo para los procesos de licitación de obra pública de infraestructura social”.</w:t>
            </w:r>
          </w:p>
          <w:p w14:paraId="4298DE81" w14:textId="77777777" w:rsidR="006C05C1" w:rsidRPr="006C05C1" w:rsidRDefault="006C05C1" w:rsidP="006C05C1">
            <w:pPr>
              <w:spacing w:after="120" w:line="276" w:lineRule="auto"/>
              <w:ind w:firstLine="708"/>
              <w:jc w:val="both"/>
              <w:rPr>
                <w:rFonts w:ascii="Verdana" w:eastAsia="Calibri" w:hAnsi="Verdana" w:cs="Arial"/>
              </w:rPr>
            </w:pPr>
            <w:r w:rsidRPr="006C05C1">
              <w:rPr>
                <w:rFonts w:ascii="Verdana" w:eastAsia="Calibri" w:hAnsi="Verdana" w:cs="Arial"/>
                <w:kern w:val="2"/>
                <w14:ligatures w14:val="standardContextual"/>
              </w:rPr>
              <w:t xml:space="preserve">Resolución 220 del 6 de agosto de 2021 </w:t>
            </w:r>
            <w:r w:rsidRPr="006C05C1">
              <w:rPr>
                <w:rFonts w:ascii="Verdana" w:eastAsia="Calibri" w:hAnsi="Verdana" w:cs="Arial"/>
              </w:rPr>
              <w:t>"Por la cual se adoptan los documentos tipo complementarios para los procesos de licitación de obra pública de infraestructura social relacionados con el sector educativo”</w:t>
            </w:r>
            <w:r w:rsidRPr="006C05C1">
              <w:rPr>
                <w:rFonts w:ascii="Verdana" w:eastAsia="Calibri" w:hAnsi="Verdana" w:cs="Arial"/>
                <w:kern w:val="2"/>
                <w14:ligatures w14:val="standardContextual"/>
              </w:rPr>
              <w:t xml:space="preserve">. </w:t>
            </w:r>
          </w:p>
          <w:p w14:paraId="7D9CCABC" w14:textId="77777777" w:rsidR="006C05C1" w:rsidRPr="006C05C1" w:rsidRDefault="006C05C1" w:rsidP="006C05C1">
            <w:pPr>
              <w:spacing w:after="120" w:line="276" w:lineRule="auto"/>
              <w:ind w:firstLine="708"/>
              <w:jc w:val="both"/>
              <w:rPr>
                <w:rFonts w:ascii="Verdana" w:eastAsia="Calibri" w:hAnsi="Verdana" w:cs="Arial"/>
              </w:rPr>
            </w:pPr>
            <w:r w:rsidRPr="006C05C1">
              <w:rPr>
                <w:rFonts w:ascii="Verdana" w:eastAsia="Calibri" w:hAnsi="Verdana" w:cs="Arial"/>
                <w:kern w:val="2"/>
                <w14:ligatures w14:val="standardContextual"/>
              </w:rPr>
              <w:t>Resolución 392 del 18 de noviembre de 2021</w:t>
            </w:r>
            <w:r w:rsidRPr="006C05C1">
              <w:rPr>
                <w:rFonts w:ascii="Verdana" w:eastAsia="Calibri" w:hAnsi="Verdana" w:cs="Arial"/>
              </w:rPr>
              <w:t xml:space="preserve"> “"Por la cual se adoptan los documentos tipo complementarios para los procesos de licitación de obra pública de infraestructura social relacionados con el sector salud".</w:t>
            </w:r>
          </w:p>
          <w:p w14:paraId="031A8044" w14:textId="77777777" w:rsidR="006C05C1" w:rsidRPr="006C05C1" w:rsidRDefault="006C05C1" w:rsidP="006C05C1">
            <w:pPr>
              <w:spacing w:after="120" w:line="276" w:lineRule="auto"/>
              <w:ind w:firstLine="708"/>
              <w:jc w:val="both"/>
              <w:rPr>
                <w:rFonts w:ascii="Verdana" w:eastAsia="Calibri" w:hAnsi="Verdana" w:cs="Arial"/>
              </w:rPr>
            </w:pPr>
            <w:r w:rsidRPr="006C05C1">
              <w:rPr>
                <w:rFonts w:ascii="Verdana" w:eastAsia="Calibri" w:hAnsi="Verdana" w:cs="Arial"/>
                <w:kern w:val="2"/>
                <w14:ligatures w14:val="standardContextual"/>
              </w:rPr>
              <w:t xml:space="preserve">Resolución 454 del 16 de diciembre de 2021 </w:t>
            </w:r>
            <w:r w:rsidRPr="006C05C1">
              <w:rPr>
                <w:rFonts w:ascii="Verdana" w:eastAsia="Calibri" w:hAnsi="Verdana" w:cs="Arial"/>
              </w:rPr>
              <w:t xml:space="preserve">"Por la cual se adoptan los documentos tipo complementarios para los procesos de licitación de obra pública de infraestructura social relacionados con el sector cultura, recreación y deporte”. </w:t>
            </w:r>
          </w:p>
          <w:p w14:paraId="2AB76ED2" w14:textId="77777777" w:rsidR="006C05C1" w:rsidRPr="006C05C1" w:rsidRDefault="006C05C1" w:rsidP="006C05C1">
            <w:pPr>
              <w:spacing w:after="120" w:line="276" w:lineRule="auto"/>
              <w:ind w:firstLine="708"/>
              <w:jc w:val="both"/>
              <w:rPr>
                <w:rFonts w:ascii="Verdana" w:eastAsia="Aptos" w:hAnsi="Verdana" w:cs="Arial"/>
              </w:rPr>
            </w:pPr>
            <w:r w:rsidRPr="006C05C1">
              <w:rPr>
                <w:rFonts w:ascii="Verdana" w:eastAsia="Calibri" w:hAnsi="Verdana" w:cs="Arial"/>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5A233805" w14:textId="77777777" w:rsidR="006C05C1" w:rsidRPr="006C05C1" w:rsidRDefault="006C05C1" w:rsidP="006C05C1">
            <w:pPr>
              <w:spacing w:after="120" w:line="276" w:lineRule="auto"/>
              <w:ind w:firstLine="708"/>
              <w:jc w:val="both"/>
              <w:rPr>
                <w:rFonts w:ascii="Verdana" w:eastAsia="Aptos" w:hAnsi="Verdana" w:cs="Arial"/>
              </w:rPr>
            </w:pPr>
            <w:proofErr w:type="spellStart"/>
            <w:r w:rsidRPr="006C05C1">
              <w:rPr>
                <w:rFonts w:ascii="Verdana" w:eastAsia="Aptos" w:hAnsi="Verdana" w:cs="Arial"/>
              </w:rPr>
              <w:t>iv</w:t>
            </w:r>
            <w:proofErr w:type="spellEnd"/>
            <w:r w:rsidRPr="006C05C1">
              <w:rPr>
                <w:rFonts w:ascii="Verdana" w:eastAsia="Aptos" w:hAnsi="Verdana" w:cs="Arial"/>
              </w:rPr>
              <w:t>. Documentos tipo para la contratación directa de convenios solidarios:</w:t>
            </w:r>
          </w:p>
          <w:p w14:paraId="1428FE79" w14:textId="77777777" w:rsidR="006C05C1" w:rsidRPr="006C05C1" w:rsidRDefault="006C05C1" w:rsidP="006C05C1">
            <w:pPr>
              <w:spacing w:after="120" w:line="276" w:lineRule="auto"/>
              <w:ind w:firstLine="708"/>
              <w:jc w:val="both"/>
              <w:rPr>
                <w:rFonts w:ascii="Verdana" w:eastAsia="Aptos" w:hAnsi="Verdana" w:cs="Times New Roman"/>
              </w:rPr>
            </w:pPr>
            <w:r w:rsidRPr="006C05C1">
              <w:rPr>
                <w:rFonts w:ascii="Verdana" w:eastAsia="Aptos" w:hAnsi="Verdana" w:cs="Arial"/>
              </w:rPr>
              <w:lastRenderedPageBreak/>
              <w:t>Resolución 358 del 30 de junio de 2023 “</w:t>
            </w:r>
            <w:r w:rsidRPr="006C05C1">
              <w:rPr>
                <w:rFonts w:ascii="Verdana" w:eastAsia="Aptos" w:hAnsi="Verdana" w:cs="Times New Roman"/>
              </w:rPr>
              <w:t xml:space="preserve">Por la cual se adopta el documento tipo para la contratación directa de convenios solidarios para la ejecución de obras hasta la menor cuantía con organismos de acción comunal”. </w:t>
            </w:r>
          </w:p>
          <w:p w14:paraId="03B71598" w14:textId="77777777" w:rsidR="006C05C1" w:rsidRPr="006C05C1" w:rsidRDefault="006C05C1" w:rsidP="006C05C1">
            <w:pPr>
              <w:spacing w:after="120" w:line="276" w:lineRule="auto"/>
              <w:ind w:firstLine="708"/>
              <w:jc w:val="both"/>
              <w:rPr>
                <w:rFonts w:ascii="Verdana" w:eastAsia="Aptos" w:hAnsi="Verdana" w:cs="Times New Roman"/>
              </w:rPr>
            </w:pPr>
            <w:r w:rsidRPr="006C05C1">
              <w:rPr>
                <w:rFonts w:ascii="Verdana" w:eastAsia="Aptos" w:hAnsi="Verdana" w:cs="Times New Roman"/>
              </w:rPr>
              <w:t xml:space="preserve">v. Documentos tipo de gestión catastral: </w:t>
            </w:r>
          </w:p>
          <w:p w14:paraId="21C40D16" w14:textId="77777777" w:rsidR="006C05C1" w:rsidRPr="006C05C1" w:rsidRDefault="006C05C1" w:rsidP="006C05C1">
            <w:pPr>
              <w:spacing w:line="276" w:lineRule="auto"/>
              <w:ind w:firstLine="708"/>
              <w:jc w:val="both"/>
              <w:rPr>
                <w:rFonts w:ascii="Verdana" w:eastAsia="Aptos" w:hAnsi="Verdana" w:cs="Arial"/>
              </w:rPr>
            </w:pPr>
            <w:r w:rsidRPr="006C05C1">
              <w:rPr>
                <w:rFonts w:ascii="Verdana" w:eastAsia="Aptos" w:hAnsi="Verdana" w:cs="Arial"/>
              </w:rPr>
              <w:t xml:space="preserve">Resolución 269 del 16 de diciembre de 2020 “Por la cual se adopta el documento tipo para los procesos de gestión catastral con enfoque multipropósito que se celebren a través de contratos interadministrativos”. </w:t>
            </w:r>
          </w:p>
          <w:p w14:paraId="7936C68D" w14:textId="77777777" w:rsidR="006C05C1" w:rsidRPr="006C05C1" w:rsidRDefault="006C05C1" w:rsidP="006C05C1">
            <w:pPr>
              <w:widowControl w:val="0"/>
              <w:autoSpaceDE w:val="0"/>
              <w:autoSpaceDN w:val="0"/>
              <w:spacing w:line="276" w:lineRule="auto"/>
              <w:jc w:val="both"/>
              <w:rPr>
                <w:rFonts w:ascii="Verdana" w:eastAsia="Calibri" w:hAnsi="Verdana" w:cs="Times New Roman"/>
                <w:lang w:val="es-ES"/>
              </w:rPr>
            </w:pPr>
          </w:p>
          <w:p w14:paraId="456C0CF4" w14:textId="77777777" w:rsidR="006C05C1" w:rsidRPr="006C05C1" w:rsidRDefault="006C05C1" w:rsidP="006C05C1">
            <w:pPr>
              <w:widowControl w:val="0"/>
              <w:autoSpaceDE w:val="0"/>
              <w:autoSpaceDN w:val="0"/>
              <w:spacing w:line="276" w:lineRule="auto"/>
              <w:jc w:val="both"/>
              <w:rPr>
                <w:rFonts w:ascii="Verdana" w:eastAsia="Calibri" w:hAnsi="Verdana" w:cs="Times New Roman"/>
                <w:lang w:val="es-ES"/>
              </w:rPr>
            </w:pPr>
            <w:proofErr w:type="spellStart"/>
            <w:r w:rsidRPr="006C05C1">
              <w:rPr>
                <w:rFonts w:ascii="Verdana" w:eastAsia="Calibri" w:hAnsi="Verdana" w:cs="Times New Roman"/>
                <w:lang w:val="es-ES"/>
              </w:rPr>
              <w:t>ii</w:t>
            </w:r>
            <w:proofErr w:type="spellEnd"/>
            <w:r w:rsidRPr="006C05C1">
              <w:rPr>
                <w:rFonts w:ascii="Verdana" w:eastAsia="Calibri" w:hAnsi="Verdana" w:cs="Times New Roman"/>
                <w:lang w:val="es-ES"/>
              </w:rPr>
              <w:t>.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D39BEB0" w14:textId="77777777" w:rsidR="006C05C1" w:rsidRPr="006C05C1" w:rsidRDefault="006C05C1" w:rsidP="006C05C1">
            <w:pPr>
              <w:widowControl w:val="0"/>
              <w:autoSpaceDE w:val="0"/>
              <w:autoSpaceDN w:val="0"/>
              <w:spacing w:line="276" w:lineRule="auto"/>
              <w:jc w:val="both"/>
              <w:rPr>
                <w:rFonts w:ascii="Verdana" w:eastAsia="Calibri" w:hAnsi="Verdana" w:cs="Times New Roman"/>
                <w:lang w:val="es-ES" w:eastAsia="es-MX"/>
              </w:rPr>
            </w:pPr>
          </w:p>
          <w:p w14:paraId="0B553BCF" w14:textId="77777777" w:rsidR="006C05C1" w:rsidRPr="006C05C1" w:rsidRDefault="006C05C1" w:rsidP="006C05C1">
            <w:pPr>
              <w:widowControl w:val="0"/>
              <w:autoSpaceDE w:val="0"/>
              <w:autoSpaceDN w:val="0"/>
              <w:spacing w:after="120" w:line="276" w:lineRule="auto"/>
              <w:jc w:val="both"/>
              <w:rPr>
                <w:rFonts w:ascii="Verdana" w:eastAsia="Calibri" w:hAnsi="Verdana" w:cs="Times New Roman"/>
                <w:lang w:eastAsia="es-MX"/>
              </w:rPr>
            </w:pPr>
            <w:proofErr w:type="spellStart"/>
            <w:r w:rsidRPr="006C05C1">
              <w:rPr>
                <w:rFonts w:ascii="Verdana" w:eastAsia="Calibri" w:hAnsi="Verdana" w:cs="Times New Roman"/>
                <w:lang w:val="es-ES" w:eastAsia="es-MX"/>
              </w:rPr>
              <w:t>iii</w:t>
            </w:r>
            <w:proofErr w:type="spellEnd"/>
            <w:r w:rsidRPr="006C05C1">
              <w:rPr>
                <w:rFonts w:ascii="Verdana" w:eastAsia="Calibri" w:hAnsi="Verdana" w:cs="Times New Roman"/>
                <w:lang w:val="es-ES" w:eastAsia="es-MX"/>
              </w:rPr>
              <w:t xml:space="preserve">. </w:t>
            </w:r>
            <w:r w:rsidRPr="006C05C1">
              <w:rPr>
                <w:rFonts w:ascii="Verdana" w:eastAsia="Calibri" w:hAnsi="Verdana" w:cs="Times New Roman"/>
                <w:lang w:eastAsia="es-MX"/>
              </w:rPr>
              <w:t>El primer proceso de selección se relaciona con “(…) la implementación de modelos de bioingeniería para la recuperación de zonas con procesos de erosión o con fenómenos de remoción en masa (…)”.</w:t>
            </w:r>
          </w:p>
          <w:p w14:paraId="5FE42DD1" w14:textId="77777777" w:rsidR="006C05C1" w:rsidRPr="006C05C1" w:rsidRDefault="006C05C1" w:rsidP="006C05C1">
            <w:pPr>
              <w:widowControl w:val="0"/>
              <w:autoSpaceDE w:val="0"/>
              <w:autoSpaceDN w:val="0"/>
              <w:spacing w:line="276" w:lineRule="auto"/>
              <w:ind w:firstLine="708"/>
              <w:jc w:val="both"/>
              <w:rPr>
                <w:rFonts w:ascii="Verdana" w:eastAsia="Calibri" w:hAnsi="Verdana" w:cs="Times New Roman"/>
                <w:lang w:eastAsia="es-MX"/>
              </w:rPr>
            </w:pPr>
            <w:r w:rsidRPr="006C05C1">
              <w:rPr>
                <w:rFonts w:ascii="Verdana" w:eastAsia="Calibri" w:hAnsi="Verdana" w:cs="Times New Roman"/>
                <w:lang w:eastAsia="es-MX"/>
              </w:rPr>
              <w:t>Sobre el particular, la Agencia Nacional de Contratación Pública – Colombia Compra Eficiente le informa que la Matriz 1 – Experiencia de los Documentos Tipo de licitación de obra pública de infraestructura de transporte − versión 3, vigentes en el año 2024, en el Capítulo 4 “Obras en vías primarias o secundarias o terciarias o urbanas para atención, prevención o mitigación de emergencias diferentes a contratación directa”, establece las siguientes actividades sobre las que eventualmente podría enmarcarse el proceso de selección:</w:t>
            </w:r>
          </w:p>
          <w:p w14:paraId="4FBE9EEA" w14:textId="77777777" w:rsidR="006C05C1" w:rsidRPr="006C05C1" w:rsidRDefault="006C05C1" w:rsidP="006C05C1">
            <w:pPr>
              <w:widowControl w:val="0"/>
              <w:autoSpaceDE w:val="0"/>
              <w:autoSpaceDN w:val="0"/>
              <w:spacing w:line="276" w:lineRule="auto"/>
              <w:ind w:firstLine="708"/>
              <w:jc w:val="both"/>
              <w:rPr>
                <w:rFonts w:ascii="Verdana" w:eastAsia="Calibri" w:hAnsi="Verdana" w:cs="Times New Roman"/>
                <w:sz w:val="24"/>
                <w:szCs w:val="24"/>
                <w:lang w:val="es-ES" w:eastAsia="es-MX"/>
              </w:rPr>
            </w:pPr>
          </w:p>
          <w:p w14:paraId="5EE357BD" w14:textId="77777777" w:rsidR="006C05C1" w:rsidRPr="006C05C1" w:rsidRDefault="006C05C1" w:rsidP="006C05C1">
            <w:pPr>
              <w:spacing w:after="120"/>
              <w:ind w:left="709" w:right="709"/>
              <w:contextualSpacing/>
              <w:jc w:val="both"/>
              <w:rPr>
                <w:rFonts w:ascii="Verdana" w:eastAsia="Aptos" w:hAnsi="Verdana" w:cs="Aptos"/>
                <w:sz w:val="21"/>
                <w:szCs w:val="21"/>
              </w:rPr>
            </w:pPr>
            <w:r w:rsidRPr="006C05C1">
              <w:rPr>
                <w:rFonts w:ascii="Verdana" w:eastAsia="Aptos" w:hAnsi="Verdana" w:cs="Aptos"/>
                <w:sz w:val="21"/>
                <w:szCs w:val="21"/>
              </w:rPr>
              <w:t>“4.2 PROYECTOS DE ATENCION, PREVENCIÓN O MITIGACIÓN DE OBRAS DE EMERGENCIAS MEDIANTE OBRAS DE ESTABILIZACION DE TALUDES O RECUPERACION DE BANCA</w:t>
            </w:r>
          </w:p>
          <w:p w14:paraId="52A9DA9B" w14:textId="77777777" w:rsidR="006C05C1" w:rsidRPr="006C05C1" w:rsidRDefault="006C05C1" w:rsidP="006C05C1">
            <w:pPr>
              <w:spacing w:after="120"/>
              <w:ind w:left="709" w:right="709"/>
              <w:contextualSpacing/>
              <w:jc w:val="both"/>
              <w:rPr>
                <w:rFonts w:ascii="Verdana" w:eastAsia="Aptos" w:hAnsi="Verdana" w:cs="Aptos"/>
                <w:sz w:val="21"/>
                <w:szCs w:val="21"/>
              </w:rPr>
            </w:pPr>
            <w:r w:rsidRPr="006C05C1">
              <w:rPr>
                <w:rFonts w:ascii="Verdana" w:eastAsia="Aptos" w:hAnsi="Verdana" w:cs="Aptos"/>
                <w:sz w:val="21"/>
                <w:szCs w:val="21"/>
              </w:rPr>
              <w:t>4.3 PROYECTOS DE ATENCION, PREVENCIÓN O MITIGACIÓN DE OBRAS DE EMERGENCIAS MEDIANTE OBRAS DE REMOCIÓN DE DERRUMBES”.</w:t>
            </w:r>
          </w:p>
          <w:p w14:paraId="59344A31" w14:textId="77777777" w:rsidR="006C05C1" w:rsidRPr="006C05C1" w:rsidRDefault="006C05C1" w:rsidP="006C05C1">
            <w:pPr>
              <w:ind w:left="709" w:right="709"/>
              <w:contextualSpacing/>
              <w:jc w:val="both"/>
              <w:rPr>
                <w:rFonts w:ascii="Verdana" w:eastAsia="Aptos" w:hAnsi="Verdana" w:cs="Aptos"/>
              </w:rPr>
            </w:pPr>
          </w:p>
          <w:p w14:paraId="460F2A7E" w14:textId="77777777" w:rsidR="006C05C1" w:rsidRPr="006C05C1" w:rsidRDefault="006C05C1" w:rsidP="006C05C1">
            <w:pPr>
              <w:spacing w:after="120" w:line="276" w:lineRule="auto"/>
              <w:jc w:val="both"/>
              <w:rPr>
                <w:rFonts w:ascii="Verdana" w:eastAsia="Aptos" w:hAnsi="Verdana" w:cs="Aptos"/>
              </w:rPr>
            </w:pPr>
            <w:r w:rsidRPr="006C05C1">
              <w:rPr>
                <w:rFonts w:ascii="Verdana" w:eastAsia="Aptos" w:hAnsi="Verdana" w:cs="Aptos"/>
              </w:rPr>
              <w:lastRenderedPageBreak/>
              <w:tab/>
              <w:t xml:space="preserve">Como se aprecia, las actividades 4.2 y 4.3, contenidas en la Matriz 1 – Experiencia de los Documentos Tipo señalados, recaen sobre proyectos de atención, prevención o mitigación de emergencias, respectivamente, mediante: i) obras de estabilización de taludes o recuperación de banca y </w:t>
            </w:r>
            <w:proofErr w:type="spellStart"/>
            <w:r w:rsidRPr="006C05C1">
              <w:rPr>
                <w:rFonts w:ascii="Verdana" w:eastAsia="Aptos" w:hAnsi="Verdana" w:cs="Aptos"/>
              </w:rPr>
              <w:t>ii</w:t>
            </w:r>
            <w:proofErr w:type="spellEnd"/>
            <w:r w:rsidRPr="006C05C1">
              <w:rPr>
                <w:rFonts w:ascii="Verdana" w:eastAsia="Aptos" w:hAnsi="Verdana" w:cs="Aptos"/>
              </w:rPr>
              <w:t>) obras de remoción de derrumbes.</w:t>
            </w:r>
          </w:p>
          <w:p w14:paraId="4EDE04CE" w14:textId="77777777" w:rsidR="006C05C1" w:rsidRPr="006C05C1" w:rsidRDefault="006C05C1" w:rsidP="006C05C1">
            <w:pPr>
              <w:spacing w:after="120" w:line="276" w:lineRule="auto"/>
              <w:ind w:firstLine="708"/>
              <w:jc w:val="both"/>
              <w:rPr>
                <w:rFonts w:ascii="Verdana" w:eastAsia="Aptos" w:hAnsi="Verdana" w:cs="Times New Roman"/>
              </w:rPr>
            </w:pPr>
            <w:r w:rsidRPr="006C05C1">
              <w:rPr>
                <w:rFonts w:ascii="Verdana" w:eastAsia="Aptos" w:hAnsi="Verdana" w:cs="Times New Roman"/>
              </w:rPr>
              <w:t>Particularmente, se indica que las actividades señaladas −4.2 y 4.3−, contenidas en la Matriz 1 – Experiencia de los Documentos Tipo de licitación de obra pública de infraestructura de transporte – versión 3, aplican a la infraestructura de transporte. En concreto, para efectos de la solicitud, estas recaen sobre la red vial de transporte, puentes, viaductos, túneles, así como sobre ríos, mares, canales de aguas navegables y demás bienes de uso público asociados a estos, de conformidad con lo previsto en el artículo 4°, “Integración de la infraestructura de transporte”, de la Ley 1682 de 2013.</w:t>
            </w:r>
          </w:p>
          <w:p w14:paraId="366B354B"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lang w:eastAsia="es-MX"/>
              </w:rPr>
            </w:pPr>
            <w:r w:rsidRPr="006C05C1">
              <w:rPr>
                <w:rFonts w:ascii="Verdana" w:eastAsia="Aptos" w:hAnsi="Verdana" w:cs="Times New Roman"/>
              </w:rPr>
              <w:t xml:space="preserve">En esta medida, la Ley 1682 de 2013 y los mencionados documentos hacen referencia a la infraestructura de transporte, por lo que es posible que los diferentes tipos de actividades susceptibles de ser desarrolladas a través del contrato de obra, dirigidas a intervenir este tipo de infraestructura, deban ser contratadas aplicando los referidos Documentos Tipo. Para constatar lo anterior, es necesario que la Entidad establezca si el objeto </w:t>
            </w:r>
            <w:r w:rsidRPr="006C05C1">
              <w:rPr>
                <w:rFonts w:ascii="Verdana" w:eastAsia="Calibri" w:hAnsi="Verdana" w:cs="Times New Roman"/>
                <w:lang w:eastAsia="es-MX"/>
              </w:rPr>
              <w:t xml:space="preserve">“(…) implementación de modelos de bioingeniería para la recuperación de zonas con procesos de erosión o con fenómenos de remoción en masa (…)”, </w:t>
            </w:r>
            <w:r w:rsidRPr="006C05C1">
              <w:rPr>
                <w:rFonts w:ascii="Verdana" w:eastAsia="Aptos" w:hAnsi="Verdana" w:cs="Times New Roman"/>
              </w:rPr>
              <w:t xml:space="preserve">es subsumible dentro de alguna de las actividades contempladas en la Matriz 1, particularmente, dentro de las actividades −4.2 y 4.3−. </w:t>
            </w:r>
          </w:p>
          <w:p w14:paraId="49E84BA6" w14:textId="77777777" w:rsidR="006C05C1" w:rsidRPr="006C05C1" w:rsidRDefault="006C05C1" w:rsidP="006C05C1">
            <w:pPr>
              <w:tabs>
                <w:tab w:val="left" w:pos="709"/>
                <w:tab w:val="left" w:pos="2662"/>
              </w:tabs>
              <w:spacing w:before="120" w:line="276" w:lineRule="auto"/>
              <w:jc w:val="both"/>
              <w:rPr>
                <w:rFonts w:ascii="Verdana" w:eastAsia="Calibri" w:hAnsi="Verdana" w:cs="Arial"/>
                <w:color w:val="000000"/>
                <w:lang w:eastAsia="en-GB"/>
              </w:rPr>
            </w:pPr>
            <w:r w:rsidRPr="006C05C1">
              <w:rPr>
                <w:rFonts w:ascii="Verdana" w:eastAsia="Calibri" w:hAnsi="Verdana" w:cs="Arial"/>
                <w:color w:val="000000"/>
                <w:lang w:val="es-ES" w:eastAsia="en-GB"/>
              </w:rPr>
              <w:tab/>
            </w:r>
            <w:r w:rsidRPr="006C05C1">
              <w:rPr>
                <w:rFonts w:ascii="Verdana" w:eastAsia="Aptos" w:hAnsi="Verdana" w:cs="Times New Roman"/>
              </w:rPr>
              <w:t xml:space="preserve">En este sentido, le corresponde a la entidad estatal, en el marco del proyecto por el que indaga en la solicitud, determinar, con base en las especificaciones técnicas de la obra, si la actividad que se contrató efectivamente se encontraba subsumida en la Matriz 1 </w:t>
            </w:r>
            <w:r w:rsidRPr="006C05C1">
              <w:rPr>
                <w:rFonts w:ascii="Verdana" w:eastAsia="Aptos" w:hAnsi="Verdana" w:cs="Times New Roman"/>
                <w:i/>
                <w:iCs/>
              </w:rPr>
              <w:t xml:space="preserve">– </w:t>
            </w:r>
            <w:r w:rsidRPr="006C05C1">
              <w:rPr>
                <w:rFonts w:ascii="Verdana" w:eastAsia="Aptos" w:hAnsi="Verdana" w:cs="Times New Roman"/>
              </w:rPr>
              <w:t>Experiencia</w:t>
            </w:r>
            <w:r w:rsidRPr="006C05C1">
              <w:rPr>
                <w:rFonts w:ascii="Verdana" w:eastAsia="Aptos" w:hAnsi="Verdana" w:cs="Times New Roman"/>
                <w:i/>
                <w:iCs/>
              </w:rPr>
              <w:t xml:space="preserve"> </w:t>
            </w:r>
            <w:r w:rsidRPr="006C05C1">
              <w:rPr>
                <w:rFonts w:ascii="Verdana" w:eastAsia="Aptos" w:hAnsi="Verdana" w:cs="Times New Roman"/>
              </w:rPr>
              <w:t>de los documentos tipo de licitación de obra pública de infraestructura de transporte − versión 3. Para ello, resultan pertinentes las consideraciones previamente expuestas.</w:t>
            </w:r>
          </w:p>
          <w:p w14:paraId="6FAAEB21" w14:textId="77777777" w:rsidR="006C05C1" w:rsidRPr="006C05C1" w:rsidRDefault="006C05C1" w:rsidP="006C05C1">
            <w:pPr>
              <w:tabs>
                <w:tab w:val="left" w:pos="709"/>
                <w:tab w:val="left" w:pos="2662"/>
              </w:tabs>
              <w:spacing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tab/>
              <w:t xml:space="preserve">En ese sentido, si la entidad estatal encuentra que técnicamente, lo que se contrató se adecuaba a alguna de las actividades y tipos de infraestructura señalados en dicha Matriz 1 – Experiencia, obligatoriamente, se tuvieron que aplicar los documentos tipo de licitación de obra pública de infraestructura de transporte – versión 3.  </w:t>
            </w:r>
          </w:p>
          <w:p w14:paraId="0B0B4A4D" w14:textId="77777777" w:rsidR="006C05C1" w:rsidRPr="006C05C1" w:rsidRDefault="006C05C1" w:rsidP="006C05C1">
            <w:pPr>
              <w:tabs>
                <w:tab w:val="left" w:pos="709"/>
                <w:tab w:val="left" w:pos="2662"/>
              </w:tabs>
              <w:spacing w:line="276" w:lineRule="auto"/>
              <w:jc w:val="both"/>
              <w:rPr>
                <w:rFonts w:ascii="Verdana" w:eastAsia="Calibri" w:hAnsi="Verdana" w:cs="Arial"/>
                <w:color w:val="000000"/>
                <w:lang w:eastAsia="en-GB"/>
              </w:rPr>
            </w:pPr>
          </w:p>
          <w:p w14:paraId="4B2E2272"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lang w:eastAsia="en-GB"/>
              </w:rPr>
            </w:pPr>
            <w:proofErr w:type="spellStart"/>
            <w:r w:rsidRPr="006C05C1">
              <w:rPr>
                <w:rFonts w:ascii="Verdana" w:eastAsia="Calibri" w:hAnsi="Verdana" w:cs="Arial"/>
                <w:color w:val="000000"/>
                <w:lang w:eastAsia="en-GB"/>
              </w:rPr>
              <w:t>iv</w:t>
            </w:r>
            <w:proofErr w:type="spellEnd"/>
            <w:r w:rsidRPr="006C05C1">
              <w:rPr>
                <w:rFonts w:ascii="Verdana" w:eastAsia="Calibri" w:hAnsi="Verdana" w:cs="Arial"/>
                <w:color w:val="000000"/>
                <w:lang w:eastAsia="en-GB"/>
              </w:rPr>
              <w:t>) El segundo proceso por el que se indaga en su solicitud corresponde a la “(…) construcción y adecuación de la sede administrativa (…)”.</w:t>
            </w:r>
            <w:r w:rsidRPr="006C05C1">
              <w:rPr>
                <w:rFonts w:ascii="Verdana" w:eastAsia="Calibri" w:hAnsi="Verdana" w:cs="Arial"/>
                <w:color w:val="000000"/>
                <w:lang w:eastAsia="en-GB"/>
              </w:rPr>
              <w:br/>
              <w:t>Sobre el particular, se indica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43EC4B47" w14:textId="77777777" w:rsidR="006C05C1" w:rsidRPr="006C05C1" w:rsidRDefault="006C05C1" w:rsidP="006C05C1">
            <w:pPr>
              <w:tabs>
                <w:tab w:val="left" w:pos="709"/>
                <w:tab w:val="left" w:pos="2662"/>
              </w:tabs>
              <w:spacing w:after="120" w:line="276" w:lineRule="auto"/>
              <w:ind w:firstLine="709"/>
              <w:jc w:val="both"/>
              <w:rPr>
                <w:rFonts w:ascii="Verdana" w:eastAsia="Calibri" w:hAnsi="Verdana" w:cs="Arial"/>
                <w:color w:val="000000"/>
                <w:lang w:eastAsia="en-GB"/>
              </w:rPr>
            </w:pPr>
            <w:r w:rsidRPr="006C05C1">
              <w:rPr>
                <w:rFonts w:ascii="Verdana" w:eastAsia="Calibri" w:hAnsi="Verdana" w:cs="Arial"/>
                <w:color w:val="000000"/>
                <w:lang w:eastAsia="en-GB"/>
              </w:rPr>
              <w:t xml:space="preserve">No obstante, en el año 2025 se adoptó una serie de Documentos Tipo en el sector social, entre los que se destacan los Documentos Tipo complementarios del sector institucional, a los cuales sí les resultan aplicables las actividades de construcción y adecuación de sedes administrativas. Sin embargo, estos documentos, adoptados para las modalidades de selección de licitación pública, selección abreviada de menor cuantía y mínima cuantía, son obligatorios a partir del 16 de febrero de 2026. </w:t>
            </w:r>
          </w:p>
          <w:p w14:paraId="5B10B0CB" w14:textId="77777777" w:rsidR="006C05C1" w:rsidRPr="006C05C1" w:rsidRDefault="006C05C1" w:rsidP="006C05C1">
            <w:pPr>
              <w:tabs>
                <w:tab w:val="left" w:pos="709"/>
                <w:tab w:val="left" w:pos="2662"/>
              </w:tabs>
              <w:spacing w:before="120" w:after="120"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t>v. En relación con el objeto del proceso de selección “Contratar los estudios, diseños y la construcción del parque (…)”, esta Agencia le informa que, tal como se señaló en el punto uno (i) de este concepto, en el año 2024 se encontraban vigentes los Documentos Tipo transversales de licitación de obra pública de infraestructura social −Resolución 219 de 2021− y los Documentos Tipo complementarios aplicables al sector cultura, recreación y deporte −Resolución 454 de 2021−.</w:t>
            </w:r>
          </w:p>
          <w:p w14:paraId="2A5B38F5" w14:textId="77777777" w:rsidR="006C05C1" w:rsidRPr="006C05C1" w:rsidRDefault="006C05C1" w:rsidP="006C05C1">
            <w:pPr>
              <w:tabs>
                <w:tab w:val="left" w:pos="709"/>
                <w:tab w:val="left" w:pos="2662"/>
              </w:tabs>
              <w:spacing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tab/>
              <w:t>La Matriz – Experiencia de los Documentos Tipo del sector cultura, recreación y deporte incluía los siguientes capítulos: 1. Obras en infraestructura cultural y 2. Obras en infraestructura recreo deportiva. En el capítulo 2 se encontraba la siguiente actividad, dentro de la cual podría enmarcarse el proceso de selección:</w:t>
            </w:r>
          </w:p>
          <w:p w14:paraId="08A4E759" w14:textId="77777777" w:rsidR="006C05C1" w:rsidRPr="006C05C1" w:rsidRDefault="006C05C1" w:rsidP="006C05C1">
            <w:pPr>
              <w:tabs>
                <w:tab w:val="left" w:pos="709"/>
                <w:tab w:val="left" w:pos="2662"/>
              </w:tabs>
              <w:spacing w:line="276" w:lineRule="auto"/>
              <w:jc w:val="both"/>
              <w:rPr>
                <w:rFonts w:ascii="Verdana" w:eastAsia="Calibri" w:hAnsi="Verdana" w:cs="Arial"/>
                <w:color w:val="000000"/>
                <w:lang w:eastAsia="en-GB"/>
              </w:rPr>
            </w:pPr>
          </w:p>
          <w:p w14:paraId="394BFABA" w14:textId="77777777" w:rsidR="006C05C1" w:rsidRPr="006C05C1" w:rsidRDefault="006C05C1" w:rsidP="006C05C1">
            <w:pPr>
              <w:tabs>
                <w:tab w:val="left" w:pos="709"/>
                <w:tab w:val="left" w:pos="2662"/>
              </w:tabs>
              <w:spacing w:line="276" w:lineRule="auto"/>
              <w:ind w:left="709"/>
              <w:jc w:val="both"/>
              <w:rPr>
                <w:rFonts w:ascii="Verdana" w:eastAsia="Calibri" w:hAnsi="Verdana" w:cs="Arial"/>
                <w:color w:val="000000"/>
                <w:lang w:eastAsia="en-GB"/>
              </w:rPr>
            </w:pPr>
            <w:r w:rsidRPr="006C05C1">
              <w:rPr>
                <w:rFonts w:ascii="Verdana" w:eastAsia="Calibri" w:hAnsi="Verdana" w:cs="Arial"/>
                <w:color w:val="000000"/>
                <w:lang w:eastAsia="en-GB"/>
              </w:rPr>
              <w:t>“2.1. Proyectos de construcción y/o reconstrucción de parques”.</w:t>
            </w:r>
          </w:p>
          <w:p w14:paraId="32DE90A8" w14:textId="77777777" w:rsidR="006C05C1" w:rsidRPr="006C05C1" w:rsidRDefault="006C05C1" w:rsidP="006C05C1">
            <w:pPr>
              <w:tabs>
                <w:tab w:val="left" w:pos="709"/>
                <w:tab w:val="left" w:pos="2662"/>
              </w:tabs>
              <w:spacing w:line="276" w:lineRule="auto"/>
              <w:ind w:left="709"/>
              <w:jc w:val="both"/>
              <w:rPr>
                <w:rFonts w:ascii="Verdana" w:eastAsia="Calibri" w:hAnsi="Verdana" w:cs="Arial"/>
                <w:color w:val="000000"/>
                <w:lang w:eastAsia="en-GB"/>
              </w:rPr>
            </w:pPr>
          </w:p>
          <w:p w14:paraId="1F6043C4"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tab/>
              <w:t>Como se aprecia, la actividad señalada aplicaba para proyectos de construcción y/o reconstrucción de parques, lo que incluiría solo una de las actividades señaladas en el objeto del proceso consultado, esto es, la construcción, con exclusión de las actividades de estudios y diseños.</w:t>
            </w:r>
          </w:p>
          <w:p w14:paraId="4B147BA9"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lastRenderedPageBreak/>
              <w:tab/>
              <w:t xml:space="preserve">Sin perjuicio de lo anterior, considerando que las actividades de estudios y diseños no se encontraban incluidas en la Matriz – Experiencia de los Documentos Tipo del sector cultura, recreación y deporte, la entidad, con fundamento en lo dispuesto en el artículo 4° de la Resolución 219 de 2021, podía contratar estas actividades teniendo en cuenta que en dicha disposición se establece que: </w:t>
            </w:r>
            <w:r w:rsidRPr="006C05C1">
              <w:rPr>
                <w:rFonts w:ascii="Verdana" w:eastAsia="Calibri" w:hAnsi="Verdana" w:cs="Arial"/>
                <w:i/>
                <w:iCs/>
                <w:color w:val="000000"/>
                <w:lang w:eastAsia="en-GB"/>
              </w:rPr>
              <w:t>“</w:t>
            </w:r>
            <w:r w:rsidRPr="006C05C1">
              <w:rPr>
                <w:rFonts w:ascii="Verdana" w:eastAsia="Calibri" w:hAnsi="Verdana" w:cs="Arial"/>
                <w:i/>
                <w:iCs/>
                <w:color w:val="000000"/>
                <w:u w:val="single"/>
                <w:lang w:eastAsia="en-GB"/>
              </w:rPr>
              <w:t>Cuando el objeto contractual incluya bienes o servicios ajenos a la obra pública de infraestructura social, la entidad estatal deberá aplicar los Documentos Tipo</w:t>
            </w:r>
            <w:r w:rsidRPr="006C05C1">
              <w:rPr>
                <w:rFonts w:ascii="Verdana" w:eastAsia="Calibri" w:hAnsi="Verdana" w:cs="Arial"/>
                <w:i/>
                <w:iCs/>
                <w:color w:val="000000"/>
                <w:lang w:eastAsia="en-GB"/>
              </w:rPr>
              <w:t xml:space="preserve">. Si de manera excepcional requiere incluir experiencia adicional para evaluar la idoneidad respecto de dichos bienes o servicios, deberá seguir los siguientes parámetros (…)”. (énfasis fuera del texto original). </w:t>
            </w:r>
          </w:p>
          <w:p w14:paraId="6BD8EAD8"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lang w:eastAsia="en-GB"/>
              </w:rPr>
            </w:pPr>
            <w:r w:rsidRPr="006C05C1">
              <w:rPr>
                <w:rFonts w:ascii="Verdana" w:eastAsia="Calibri" w:hAnsi="Verdana" w:cs="Arial"/>
                <w:color w:val="000000"/>
                <w:lang w:eastAsia="en-GB"/>
              </w:rPr>
              <w:tab/>
              <w:t>Lo dispuesto en el párrafo precedente, en concordancia con el literal m) del numeral 3.5.1 “Características de los contratos presentados para acreditar la experiencia” del documento base de los Documentos Tipo de licitación de obra pública de infraestructura social – versión 1</w:t>
            </w:r>
          </w:p>
          <w:p w14:paraId="7BB6423F" w14:textId="77777777" w:rsidR="006C05C1" w:rsidRPr="006C05C1" w:rsidRDefault="006C05C1" w:rsidP="006C05C1">
            <w:pPr>
              <w:spacing w:after="120" w:line="276" w:lineRule="auto"/>
              <w:jc w:val="both"/>
              <w:rPr>
                <w:rFonts w:ascii="Aptos" w:eastAsia="Aptos" w:hAnsi="Aptos" w:cs="Times New Roman"/>
                <w:lang w:val="es-ES" w:eastAsia="es-MX"/>
              </w:rPr>
            </w:pPr>
            <w:r w:rsidRPr="006C05C1">
              <w:rPr>
                <w:rFonts w:ascii="Verdana" w:eastAsia="Aptos" w:hAnsi="Verdana" w:cs="Times New Roman"/>
                <w:lang w:eastAsia="es-MX"/>
              </w:rPr>
              <w:t>vi. Sobre la aplicación de los Documentos Tipo vigentes en el año 2024 para adelantar un proceso de selección cuyo objeto era “Realizar la instalación de estructuras prefabricadas y obras necesarias para la implementación de salones comunales (…)”. Sobre este aspecto, esta Agencia reitera lo señalado en el Concepto C-1399 del 6 de noviembre de 2025, en el que se indicó lo siguiente:</w:t>
            </w:r>
          </w:p>
          <w:p w14:paraId="1A186CBD" w14:textId="77777777" w:rsidR="006C05C1" w:rsidRPr="006C05C1" w:rsidRDefault="006C05C1" w:rsidP="006C05C1">
            <w:pPr>
              <w:spacing w:after="120" w:line="276" w:lineRule="auto"/>
              <w:ind w:firstLine="708"/>
              <w:jc w:val="both"/>
              <w:rPr>
                <w:rFonts w:ascii="Verdana" w:eastAsia="Calibri" w:hAnsi="Verdana" w:cs="Arial"/>
                <w:lang w:val="es-ES_tradnl"/>
              </w:rPr>
            </w:pPr>
            <w:r w:rsidRPr="006C05C1">
              <w:rPr>
                <w:rFonts w:ascii="Verdana" w:eastAsia="Calibri" w:hAnsi="Verdana" w:cs="Arial"/>
                <w:color w:val="0D0D0D"/>
                <w:lang w:val="es-ES"/>
              </w:rPr>
              <w:t>L</w:t>
            </w:r>
            <w:r w:rsidRPr="006C05C1">
              <w:rPr>
                <w:rFonts w:ascii="Verdana" w:eastAsia="Calibri" w:hAnsi="Verdana" w:cs="Arial"/>
                <w:color w:val="0D0D0D"/>
                <w:lang w:val="es-MX"/>
              </w:rPr>
              <w:t xml:space="preserve">os objetos contractuales relacionados con la construcción, adecuación o mejoramiento de un salón comunal no están expresamente en las actividades a contratar de la “Matriz – Experiencia” de los documentos tipo de cultura, recreación y deporte expedidos por la Agencia Nacional de Contratación Pública – Colombia Compra Eficiente mediante la Resolución 454 de 2021.  Sin embargo, </w:t>
            </w:r>
            <w:r w:rsidRPr="006C05C1">
              <w:rPr>
                <w:rFonts w:ascii="Verdana" w:eastAsia="Calibri" w:hAnsi="Verdana" w:cs="Arial"/>
                <w:lang w:val="es-ES_tradnl"/>
              </w:rPr>
              <w:t xml:space="preserve">para interpretar el alcance y aplicación de la “Matriz de experiencia” es necesario tener en cuenta las definiciones del “Anexo – Glosario” del sector señalado. </w:t>
            </w:r>
          </w:p>
          <w:p w14:paraId="36106042" w14:textId="77777777" w:rsidR="006C05C1" w:rsidRPr="006C05C1" w:rsidRDefault="006C05C1" w:rsidP="006C05C1">
            <w:pPr>
              <w:spacing w:after="120" w:line="276" w:lineRule="auto"/>
              <w:ind w:firstLine="708"/>
              <w:jc w:val="both"/>
              <w:rPr>
                <w:rFonts w:ascii="Verdana" w:eastAsia="Calibri" w:hAnsi="Verdana" w:cs="Arial"/>
              </w:rPr>
            </w:pPr>
            <w:r w:rsidRPr="006C05C1">
              <w:rPr>
                <w:rFonts w:ascii="Verdana" w:eastAsia="Calibri" w:hAnsi="Verdana" w:cs="Arial"/>
                <w:lang w:val="es-ES_tradnl"/>
              </w:rPr>
              <w:t xml:space="preserve">Para estos efectos, es </w:t>
            </w:r>
            <w:r w:rsidRPr="006C05C1">
              <w:rPr>
                <w:rFonts w:ascii="Verdana" w:eastAsia="Calibri" w:hAnsi="Verdana" w:cs="Arial"/>
              </w:rPr>
              <w:t xml:space="preserve">pertinente mencionar que </w:t>
            </w:r>
            <w:r w:rsidRPr="006C05C1">
              <w:rPr>
                <w:rFonts w:ascii="Verdana" w:eastAsia="Arial" w:hAnsi="Verdana" w:cs="Arial"/>
              </w:rPr>
              <w:t xml:space="preserve">el término </w:t>
            </w:r>
            <w:r w:rsidRPr="006C05C1">
              <w:rPr>
                <w:rFonts w:ascii="Verdana" w:eastAsia="Arial" w:hAnsi="Verdana" w:cs="Arial"/>
                <w:i/>
                <w:iCs/>
              </w:rPr>
              <w:t>“Infraestructura Cultural”</w:t>
            </w:r>
            <w:r w:rsidRPr="006C05C1">
              <w:rPr>
                <w:rFonts w:ascii="Verdana" w:eastAsia="Arial" w:hAnsi="Verdana" w:cs="Arial"/>
              </w:rPr>
              <w:t xml:space="preserve"> lo define el numeral 2.60 del “Anexo – Glosario” del sector cultura, recreación y deporte. Por otra parte, </w:t>
            </w:r>
            <w:r w:rsidRPr="006C05C1">
              <w:rPr>
                <w:rFonts w:ascii="Verdana" w:eastAsia="Calibri" w:hAnsi="Verdana" w:cs="Arial"/>
                <w:lang w:val="es-ES_tradnl"/>
              </w:rPr>
              <w:t xml:space="preserve">el Concejo de Bogotá define a los salones comunales como: “bienes de uso público administrados por la Junta de Acción Comunal en donde las comunidades se reúnen, celebran sus festividades y agasajos, como los matrimonios, cumpleaños, bautizos, </w:t>
            </w:r>
            <w:r w:rsidRPr="006C05C1">
              <w:rPr>
                <w:rFonts w:ascii="Verdana" w:eastAsia="Calibri" w:hAnsi="Verdana" w:cs="Arial"/>
                <w:lang w:val="es-ES_tradnl"/>
              </w:rPr>
              <w:lastRenderedPageBreak/>
              <w:t xml:space="preserve">entre otros, estos salones han sido espacios en donde se construye la historia y la cultura de los barrios de nuestra ciudad”. </w:t>
            </w:r>
          </w:p>
          <w:p w14:paraId="2D499666" w14:textId="77777777" w:rsidR="006C05C1" w:rsidRPr="006C05C1" w:rsidRDefault="006C05C1" w:rsidP="006C05C1">
            <w:pPr>
              <w:spacing w:after="120" w:line="276" w:lineRule="auto"/>
              <w:ind w:firstLine="708"/>
              <w:jc w:val="both"/>
              <w:rPr>
                <w:rFonts w:ascii="Verdana" w:eastAsia="Calibri" w:hAnsi="Verdana" w:cs="Arial"/>
              </w:rPr>
            </w:pPr>
            <w:r w:rsidRPr="006C05C1">
              <w:rPr>
                <w:rFonts w:ascii="Verdana" w:eastAsia="Calibri" w:hAnsi="Verdana" w:cs="Arial"/>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“Anexo – Glosario” del sector cultura, recreación y deporte. </w:t>
            </w:r>
          </w:p>
          <w:p w14:paraId="7B1B9966" w14:textId="77777777" w:rsidR="006C05C1" w:rsidRPr="006C05C1" w:rsidRDefault="006C05C1" w:rsidP="006C05C1">
            <w:pPr>
              <w:spacing w:after="120" w:line="278" w:lineRule="auto"/>
              <w:ind w:firstLine="708"/>
              <w:jc w:val="both"/>
              <w:textAlignment w:val="baseline"/>
              <w:rPr>
                <w:rFonts w:ascii="Verdana" w:eastAsia="Calibri" w:hAnsi="Verdana" w:cs="Times New Roman"/>
              </w:rPr>
            </w:pPr>
            <w:r w:rsidRPr="006C05C1">
              <w:rPr>
                <w:rFonts w:ascii="Verdana" w:eastAsia="Calibri" w:hAnsi="Verdana" w:cs="Arial"/>
                <w:lang w:val="es-ES"/>
              </w:rPr>
              <w:t xml:space="preserve">En este sentido, en la actividad 1.1 PROYECTOS DE CONSTRUCCIÓN Y/O AMPLIACIÓN Y/O RECONSTRUCCIÓN DE INFRAESTRUCTURA CULTURAL” y </w:t>
            </w:r>
            <w:r w:rsidRPr="006C05C1">
              <w:rPr>
                <w:rFonts w:ascii="Verdana" w:eastAsia="Calibri" w:hAnsi="Verdana" w:cs="Times New Roman"/>
              </w:rPr>
              <w:t xml:space="preserve">“1.2. PROYECTOS DE TERMINACIÓN Y/O MEJORAMIENTO Y/O REMODELACIÓN Y/O ADECUACIÓN Y/O MODIFICACIÓN Y/O MANTENIMIENTO DE INFRAESTRUCTURA CULTURAL”, </w:t>
            </w:r>
            <w:r w:rsidRPr="006C05C1">
              <w:rPr>
                <w:rFonts w:ascii="Verdana" w:eastAsia="Calibri" w:hAnsi="Verdana" w:cs="Arial"/>
                <w:lang w:val="es-ES"/>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6CD8CFCB" w14:textId="77777777" w:rsidR="006C05C1" w:rsidRPr="006C05C1" w:rsidRDefault="006C05C1" w:rsidP="006C05C1">
            <w:pPr>
              <w:spacing w:line="276" w:lineRule="auto"/>
              <w:ind w:firstLine="708"/>
              <w:jc w:val="both"/>
              <w:rPr>
                <w:rFonts w:ascii="Verdana" w:eastAsia="Calibri" w:hAnsi="Verdana" w:cs="Arial"/>
              </w:rPr>
            </w:pPr>
            <w:r w:rsidRPr="006C05C1">
              <w:rPr>
                <w:rFonts w:ascii="Verdana" w:eastAsia="Calibri" w:hAnsi="Verdana" w:cs="Arial"/>
                <w:lang w:val="es-ES_tradnl"/>
              </w:rPr>
              <w:t xml:space="preserve">En consecuencia, respecto a la consulta realizada se concluye que </w:t>
            </w:r>
            <w:r w:rsidRPr="006C05C1">
              <w:rPr>
                <w:rFonts w:ascii="Verdana" w:eastAsia="Calibri" w:hAnsi="Verdana" w:cs="Arial"/>
              </w:rPr>
              <w:t>la actividad de construcción, adecuación o mejoramiento de un salón comunal deben adelantarse utilizando los documentos tipo de licitación de obra pública de infraestructura social -sector cultura, recreación y de deporte-.</w:t>
            </w:r>
          </w:p>
          <w:p w14:paraId="54A894C2" w14:textId="77777777" w:rsidR="006C05C1" w:rsidRPr="006C05C1" w:rsidRDefault="006C05C1" w:rsidP="006C05C1">
            <w:pPr>
              <w:spacing w:line="276" w:lineRule="auto"/>
              <w:ind w:firstLine="708"/>
              <w:jc w:val="both"/>
              <w:rPr>
                <w:rFonts w:ascii="Verdana" w:eastAsia="Calibri" w:hAnsi="Verdana" w:cs="Arial"/>
                <w:color w:val="0D0D0D"/>
              </w:rPr>
            </w:pPr>
          </w:p>
          <w:p w14:paraId="625FB39C" w14:textId="77777777" w:rsidR="006C05C1" w:rsidRPr="006C05C1" w:rsidRDefault="006C05C1" w:rsidP="006C05C1">
            <w:pPr>
              <w:spacing w:after="120" w:line="278" w:lineRule="auto"/>
              <w:jc w:val="both"/>
              <w:rPr>
                <w:rFonts w:ascii="Verdana" w:eastAsia="Calibri" w:hAnsi="Verdana" w:cs="Arial"/>
                <w:bCs/>
                <w:color w:val="000000"/>
                <w:sz w:val="24"/>
                <w:szCs w:val="24"/>
              </w:rPr>
            </w:pPr>
            <w:r w:rsidRPr="006C05C1">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w:t>
            </w:r>
            <w:r w:rsidRPr="006C05C1">
              <w:rPr>
                <w:rFonts w:ascii="Verdana" w:eastAsia="Aptos" w:hAnsi="Verdana" w:cs="Aptos"/>
              </w:rPr>
              <w:t>M</w:t>
            </w:r>
            <w:r w:rsidRPr="006C05C1">
              <w:rPr>
                <w:rFonts w:ascii="Verdana" w:eastAsia="Aptos" w:hAnsi="Verdana" w:cs="Aptos"/>
                <w:kern w:val="2"/>
                <w14:ligatures w14:val="standardContextual"/>
              </w:rPr>
              <w:t xml:space="preserve">atriz 1 </w:t>
            </w:r>
            <w:r w:rsidRPr="006C05C1">
              <w:rPr>
                <w:rFonts w:ascii="Verdana" w:eastAsia="Aptos" w:hAnsi="Verdana" w:cs="Aptos"/>
              </w:rPr>
              <w:t xml:space="preserve">– Experiencia </w:t>
            </w:r>
            <w:r w:rsidRPr="006C05C1">
              <w:rPr>
                <w:rFonts w:ascii="Verdana" w:eastAsia="Aptos" w:hAnsi="Verdana" w:cs="Aptos"/>
                <w:kern w:val="2"/>
                <w14:ligatures w14:val="standardContextual"/>
              </w:rPr>
              <w:t>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6C05C1">
              <w:rPr>
                <w:rFonts w:ascii="Verdana" w:eastAsia="Times New Roman" w:hAnsi="Verdana" w:cs="Arial"/>
                <w:kern w:val="2"/>
                <w:sz w:val="24"/>
                <w:szCs w:val="24"/>
                <w:shd w:val="clear" w:color="auto" w:fill="FFFFFF"/>
                <w:lang w:val="es-ES_tradnl" w:eastAsia="es-ES_tradnl"/>
                <w14:ligatures w14:val="standardContextual"/>
              </w:rPr>
              <w:t xml:space="preserve"> </w:t>
            </w:r>
            <w:r w:rsidRPr="006C05C1">
              <w:rPr>
                <w:rFonts w:ascii="Verdana" w:eastAsia="Calibri" w:hAnsi="Verdana" w:cs="Arial"/>
                <w:bCs/>
                <w:color w:val="000000"/>
                <w:kern w:val="2"/>
                <w14:ligatures w14:val="standardContextual"/>
              </w:rPr>
              <w:t xml:space="preserve"> </w:t>
            </w:r>
          </w:p>
          <w:p w14:paraId="0C7A5F69" w14:textId="77777777" w:rsidR="006C05C1" w:rsidRPr="006C05C1" w:rsidRDefault="006C05C1" w:rsidP="006C05C1">
            <w:pPr>
              <w:spacing w:after="120" w:line="276" w:lineRule="auto"/>
              <w:ind w:firstLine="708"/>
              <w:jc w:val="both"/>
              <w:rPr>
                <w:rFonts w:ascii="Verdana" w:eastAsia="Calibri" w:hAnsi="Verdana" w:cs="Arial"/>
                <w:color w:val="000000"/>
                <w:lang w:val="es-ES"/>
              </w:rPr>
            </w:pPr>
            <w:r w:rsidRPr="006C05C1">
              <w:rPr>
                <w:rFonts w:ascii="Verdana" w:eastAsia="Aptos" w:hAnsi="Verdana" w:cs="Arial"/>
                <w:color w:val="000000"/>
              </w:rPr>
              <w:lastRenderedPageBreak/>
              <w:t>Finalmente se señala que,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4DAAFCA9" w14:textId="77777777" w:rsidR="006C05C1" w:rsidRPr="006C05C1" w:rsidRDefault="006C05C1" w:rsidP="006C05C1">
            <w:pPr>
              <w:spacing w:line="276" w:lineRule="auto"/>
              <w:ind w:firstLine="708"/>
              <w:jc w:val="both"/>
              <w:rPr>
                <w:rFonts w:ascii="Verdana" w:eastAsia="Aptos" w:hAnsi="Verdana" w:cs="Arial"/>
                <w:color w:val="000000"/>
              </w:rPr>
            </w:pPr>
            <w:r w:rsidRPr="006C05C1">
              <w:rPr>
                <w:rFonts w:ascii="Verdana" w:eastAsia="Aptos" w:hAnsi="Verdana" w:cs="Arial"/>
                <w:color w:val="000000"/>
              </w:rPr>
              <w:t xml:space="preserve">Dentro de este marco, el órgano disciplinario definirá en cada caso concreto lo relacionado con la tipicidad de las conductas investigadas en </w:t>
            </w:r>
            <w:r w:rsidRPr="006C05C1">
              <w:rPr>
                <w:rFonts w:ascii="Verdana" w:eastAsia="Calibri" w:hAnsi="Verdana" w:cs="Arial"/>
                <w:lang w:val="es-ES" w:eastAsia="es-ES"/>
              </w:rPr>
              <w:t>el expediente No. 487-2025 Auto No. 0185 del 23 de marzo de 2026</w:t>
            </w:r>
            <w:r w:rsidRPr="006C05C1">
              <w:rPr>
                <w:rFonts w:ascii="Verdana" w:eastAsia="Aptos" w:hAnsi="Verdana" w:cs="Arial"/>
                <w:color w:val="000000"/>
              </w:rPr>
              <w:t>. 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EA8DC10" w14:textId="77777777" w:rsidR="006C05C1" w:rsidRPr="006C05C1" w:rsidRDefault="006C05C1" w:rsidP="006C05C1">
      <w:pPr>
        <w:tabs>
          <w:tab w:val="left" w:pos="142"/>
          <w:tab w:val="left" w:pos="284"/>
        </w:tabs>
        <w:spacing w:after="0" w:line="276" w:lineRule="auto"/>
        <w:jc w:val="both"/>
        <w:rPr>
          <w:rFonts w:ascii="Verdana" w:eastAsia="Century Gothic" w:hAnsi="Verdana" w:cs="Century Gothic"/>
          <w:b/>
          <w:bCs/>
          <w:lang w:val="es-ES"/>
        </w:rPr>
      </w:pPr>
    </w:p>
    <w:p w14:paraId="0F0F2BE1" w14:textId="77777777" w:rsidR="006C05C1" w:rsidRPr="006C05C1" w:rsidRDefault="006C05C1" w:rsidP="006C05C1">
      <w:pPr>
        <w:tabs>
          <w:tab w:val="left" w:pos="142"/>
          <w:tab w:val="left" w:pos="284"/>
        </w:tabs>
        <w:spacing w:after="0" w:line="276" w:lineRule="auto"/>
        <w:jc w:val="both"/>
        <w:rPr>
          <w:rFonts w:ascii="Verdana" w:eastAsia="Century Gothic" w:hAnsi="Verdana" w:cs="Century Gothic"/>
          <w:b/>
          <w:bCs/>
          <w:lang w:val="es-ES"/>
        </w:rPr>
      </w:pPr>
      <w:r w:rsidRPr="006C05C1">
        <w:rPr>
          <w:rFonts w:ascii="Verdana" w:eastAsia="Century Gothic" w:hAnsi="Verdana" w:cs="Century Gothic"/>
          <w:b/>
          <w:bCs/>
          <w:lang w:val="es-ES"/>
        </w:rPr>
        <w:t>3. Razones de la respuesta:</w:t>
      </w:r>
    </w:p>
    <w:p w14:paraId="541316F3" w14:textId="77777777" w:rsidR="006C05C1" w:rsidRPr="006C05C1" w:rsidRDefault="006C05C1" w:rsidP="006C05C1">
      <w:pPr>
        <w:spacing w:after="0" w:line="276" w:lineRule="auto"/>
        <w:jc w:val="both"/>
        <w:rPr>
          <w:rFonts w:ascii="Verdana" w:eastAsia="Calibri" w:hAnsi="Verdana" w:cs="Arial"/>
          <w:lang w:val="es-ES"/>
        </w:rPr>
      </w:pPr>
    </w:p>
    <w:p w14:paraId="7B645BAA" w14:textId="77777777" w:rsidR="006C05C1" w:rsidRPr="006C05C1" w:rsidRDefault="006C05C1" w:rsidP="006C05C1">
      <w:pPr>
        <w:spacing w:after="0" w:line="276" w:lineRule="auto"/>
        <w:jc w:val="both"/>
        <w:rPr>
          <w:rFonts w:ascii="Verdana" w:eastAsia="Calibri" w:hAnsi="Verdana" w:cs="Arial"/>
          <w:lang w:val="es-ES"/>
        </w:rPr>
      </w:pPr>
      <w:r w:rsidRPr="006C05C1">
        <w:rPr>
          <w:rFonts w:ascii="Verdana" w:eastAsia="Calibri" w:hAnsi="Verdana" w:cs="Arial"/>
          <w:lang w:val="es-ES"/>
        </w:rPr>
        <w:t xml:space="preserve">Lo anterior se sustenta en las siguientes consideraciones: </w:t>
      </w:r>
    </w:p>
    <w:p w14:paraId="541D7E78" w14:textId="77777777" w:rsidR="006C05C1" w:rsidRPr="006C05C1" w:rsidRDefault="006C05C1" w:rsidP="006C05C1">
      <w:pPr>
        <w:spacing w:after="0" w:line="276" w:lineRule="auto"/>
        <w:jc w:val="both"/>
        <w:rPr>
          <w:rFonts w:ascii="Verdana" w:eastAsia="Calibri" w:hAnsi="Verdana" w:cs="Arial"/>
          <w:bCs/>
          <w:lang w:val="es-MX"/>
        </w:rPr>
      </w:pPr>
      <w:bookmarkStart w:id="2" w:name="_Hlk113022941"/>
    </w:p>
    <w:p w14:paraId="0A89A939" w14:textId="77777777" w:rsidR="006C05C1" w:rsidRPr="006C05C1" w:rsidRDefault="006C05C1" w:rsidP="006C05C1">
      <w:pPr>
        <w:spacing w:after="120" w:line="276" w:lineRule="auto"/>
        <w:jc w:val="both"/>
        <w:rPr>
          <w:rFonts w:ascii="Verdana" w:eastAsia="Aptos" w:hAnsi="Verdana" w:cs="Arial"/>
          <w:kern w:val="2"/>
          <w14:ligatures w14:val="standardContextual"/>
        </w:rPr>
      </w:pPr>
      <w:r w:rsidRPr="006C05C1">
        <w:rPr>
          <w:rFonts w:ascii="Verdana" w:eastAsia="Calibri" w:hAnsi="Verdana" w:cs="Times New Roman"/>
          <w:lang w:val="es-MX"/>
        </w:rPr>
        <w:t xml:space="preserve">i. </w:t>
      </w:r>
      <w:r w:rsidRPr="006C05C1">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5E2DAB33"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C</w:t>
      </w:r>
      <w:proofErr w:type="spellStart"/>
      <w:r w:rsidRPr="006C05C1">
        <w:rPr>
          <w:rFonts w:ascii="Verdana" w:eastAsia="Aptos" w:hAnsi="Verdana" w:cs="Arial"/>
          <w:kern w:val="2"/>
          <w:lang w:val="es-ES"/>
          <w14:ligatures w14:val="standardContextual"/>
        </w:rPr>
        <w:t>on</w:t>
      </w:r>
      <w:proofErr w:type="spellEnd"/>
      <w:r w:rsidRPr="006C05C1">
        <w:rPr>
          <w:rFonts w:ascii="Verdana" w:eastAsia="Aptos" w:hAnsi="Verdana" w:cs="Arial"/>
          <w:kern w:val="2"/>
          <w:lang w:val="es-ES"/>
          <w14:ligatures w14:val="standardContextual"/>
        </w:rPr>
        <w:t xml:space="preserve"> 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w:t>
      </w:r>
      <w:r w:rsidRPr="006C05C1">
        <w:rPr>
          <w:rFonts w:ascii="Verdana" w:eastAsia="Aptos" w:hAnsi="Verdana" w:cs="Arial"/>
          <w:kern w:val="2"/>
          <w:lang w:val="es-ES"/>
          <w14:ligatures w14:val="standardContextual"/>
        </w:rPr>
        <w:lastRenderedPageBreak/>
        <w:t>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90DA5E9"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Aptos" w:hAnsi="Verdana" w:cs="Arial"/>
          <w:kern w:val="2"/>
          <w14:ligatures w14:val="standardContextual"/>
        </w:rPr>
        <w:t xml:space="preserve">Concretamente, en relación con su solicitud, </w:t>
      </w:r>
      <w:r w:rsidRPr="006C05C1">
        <w:rPr>
          <w:rFonts w:ascii="Verdana" w:eastAsia="Calibri" w:hAnsi="Verdana" w:cs="Arial"/>
          <w:kern w:val="2"/>
          <w:lang w:val="es-MX"/>
          <w14:ligatures w14:val="standardContextual"/>
        </w:rPr>
        <w:t xml:space="preserve">la Agencia Nacional de Contratación Pública – Colombia Compra </w:t>
      </w:r>
      <w:r w:rsidRPr="006C05C1">
        <w:rPr>
          <w:rFonts w:ascii="Verdana" w:eastAsia="Calibri" w:hAnsi="Verdana" w:cs="Arial"/>
          <w:kern w:val="2"/>
          <w14:ligatures w14:val="standardContextual"/>
        </w:rPr>
        <w:t>Eficiente le indica que, para el año 2024, se encontraban vigentes los siguientes Documentos Tipo:</w:t>
      </w:r>
    </w:p>
    <w:p w14:paraId="3BA2A214"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i. Sector de Infraestructura de Transporte:</w:t>
      </w:r>
    </w:p>
    <w:p w14:paraId="6930A936"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240 del 27 de noviembre de 2020: “Por la cual se actualizan los Documentos Tipo para los procesos de selección de licitación de obra pública de infraestructura de transporte y se deroga la Resolución 0045 de 2020”.</w:t>
      </w:r>
    </w:p>
    <w:p w14:paraId="0AD8758E"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241 del 27 de noviembre de 2020: “Por la cual se actualizan los Documentos Tipo para los procesos de selección abreviada de menor cuantía de obra pública de infraestructura de transporte y se deroga la Resolución 0044 de 2020”.</w:t>
      </w:r>
    </w:p>
    <w:p w14:paraId="2D228282"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1FF5785D"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27175809"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193 del 14 de julio de 2024: “Por la cual se adoptan los documentos tipo para los procesos de selección de concurso de méritos, para contratar la consultoría de estudios de ingeniería de infraestructura de transporte”.</w:t>
      </w:r>
    </w:p>
    <w:p w14:paraId="4599195A"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proofErr w:type="spellStart"/>
      <w:r w:rsidRPr="006C05C1">
        <w:rPr>
          <w:rFonts w:ascii="Verdana" w:eastAsia="Aptos" w:hAnsi="Verdana" w:cs="Arial"/>
          <w:kern w:val="2"/>
          <w14:ligatures w14:val="standardContextual"/>
        </w:rPr>
        <w:t>ii</w:t>
      </w:r>
      <w:proofErr w:type="spellEnd"/>
      <w:r w:rsidRPr="006C05C1">
        <w:rPr>
          <w:rFonts w:ascii="Verdana" w:eastAsia="Aptos" w:hAnsi="Verdana" w:cs="Arial"/>
          <w:kern w:val="2"/>
          <w14:ligatures w14:val="standardContextual"/>
        </w:rPr>
        <w:t>. Sector de Infraestructura de Agua Potable y Saneamiento Básico:</w:t>
      </w:r>
    </w:p>
    <w:p w14:paraId="1D6E617F"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2E9F09C6"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2646B318"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0151621C"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proofErr w:type="spellStart"/>
      <w:r w:rsidRPr="006C05C1">
        <w:rPr>
          <w:rFonts w:ascii="Verdana" w:eastAsia="Aptos" w:hAnsi="Verdana" w:cs="Arial"/>
          <w:kern w:val="2"/>
          <w14:ligatures w14:val="standardContextual"/>
        </w:rPr>
        <w:t>iii</w:t>
      </w:r>
      <w:proofErr w:type="spellEnd"/>
      <w:r w:rsidRPr="006C05C1">
        <w:rPr>
          <w:rFonts w:ascii="Verdana" w:eastAsia="Aptos" w:hAnsi="Verdana" w:cs="Arial"/>
          <w:kern w:val="2"/>
          <w14:ligatures w14:val="standardContextual"/>
        </w:rPr>
        <w:t xml:space="preserve">. Sector de Infraestructura Social: </w:t>
      </w:r>
    </w:p>
    <w:p w14:paraId="2A2D7D1A"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Calibri" w:hAnsi="Verdana" w:cs="Arial"/>
          <w:kern w:val="2"/>
          <w14:ligatures w14:val="standardContextual"/>
        </w:rPr>
        <w:t xml:space="preserve">Resolución 219 </w:t>
      </w:r>
      <w:r w:rsidRPr="006C05C1">
        <w:rPr>
          <w:rFonts w:ascii="Verdana" w:eastAsia="Calibri" w:hAnsi="Verdana" w:cs="Arial"/>
          <w:bCs/>
          <w:kern w:val="2"/>
          <w14:ligatures w14:val="standardContextual"/>
        </w:rPr>
        <w:t xml:space="preserve">del 6 de agosto </w:t>
      </w:r>
      <w:r w:rsidRPr="006C05C1">
        <w:rPr>
          <w:rFonts w:ascii="Verdana" w:eastAsia="Calibri" w:hAnsi="Verdana" w:cs="Arial"/>
          <w:kern w:val="2"/>
          <w14:ligatures w14:val="standardContextual"/>
        </w:rPr>
        <w:t>de 2021 “Por la cual se adoptan los documentos tipo para los procesos de licitación de obra pública de infraestructura social”.</w:t>
      </w:r>
    </w:p>
    <w:p w14:paraId="2E251960"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Resolución 220 del 6 de agosto de 2021 "Por la cual se adoptan los documentos tipo complementarios para los procesos de licitación de obra pública de infraestructura social relacionados con el sector educativo”. </w:t>
      </w:r>
    </w:p>
    <w:p w14:paraId="604B4F6D"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Resolución 392 del 18 de noviembre de 2021 “"Por la cual se adoptan los documentos tipo complementarios para los procesos de licitación de obra pública de infraestructura social relacionados con el sector salud".</w:t>
      </w:r>
    </w:p>
    <w:p w14:paraId="4432FF19"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Resolución 454 del 16 de diciembre de 2021 "Por la cual se adoptan los documentos tipo complementarios para los procesos de licitación de obra pública de infraestructura social relacionados con el sector cultura, recreación y deporte”. </w:t>
      </w:r>
    </w:p>
    <w:p w14:paraId="737132DA"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Calibri" w:hAnsi="Verdana" w:cs="Arial"/>
          <w:kern w:val="2"/>
          <w14:ligatures w14:val="standardContextual"/>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58B8CE0E"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proofErr w:type="spellStart"/>
      <w:r w:rsidRPr="006C05C1">
        <w:rPr>
          <w:rFonts w:ascii="Verdana" w:eastAsia="Aptos" w:hAnsi="Verdana" w:cs="Arial"/>
          <w:kern w:val="2"/>
          <w14:ligatures w14:val="standardContextual"/>
        </w:rPr>
        <w:t>iv</w:t>
      </w:r>
      <w:proofErr w:type="spellEnd"/>
      <w:r w:rsidRPr="006C05C1">
        <w:rPr>
          <w:rFonts w:ascii="Verdana" w:eastAsia="Aptos" w:hAnsi="Verdana" w:cs="Arial"/>
          <w:kern w:val="2"/>
          <w14:ligatures w14:val="standardContextual"/>
        </w:rPr>
        <w:t>. Documentos tipo para la contratación directa de convenios solidarios:</w:t>
      </w:r>
    </w:p>
    <w:p w14:paraId="44C5C87A" w14:textId="77777777" w:rsidR="006C05C1" w:rsidRPr="006C05C1" w:rsidRDefault="006C05C1" w:rsidP="006C05C1">
      <w:pPr>
        <w:spacing w:after="120" w:line="276" w:lineRule="auto"/>
        <w:ind w:firstLine="708"/>
        <w:jc w:val="both"/>
        <w:rPr>
          <w:rFonts w:ascii="Verdana" w:eastAsia="Aptos" w:hAnsi="Verdana" w:cs="Times New Roman"/>
          <w:kern w:val="2"/>
          <w14:ligatures w14:val="standardContextual"/>
        </w:rPr>
      </w:pPr>
      <w:r w:rsidRPr="006C05C1">
        <w:rPr>
          <w:rFonts w:ascii="Verdana" w:eastAsia="Aptos" w:hAnsi="Verdana" w:cs="Arial"/>
          <w:kern w:val="2"/>
          <w14:ligatures w14:val="standardContextual"/>
        </w:rPr>
        <w:t>Resolución 358 del 30 de junio de 2023 “</w:t>
      </w:r>
      <w:r w:rsidRPr="006C05C1">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72A8BE8B" w14:textId="77777777" w:rsidR="006C05C1" w:rsidRPr="006C05C1" w:rsidRDefault="006C05C1" w:rsidP="006C05C1">
      <w:pPr>
        <w:spacing w:after="120" w:line="276" w:lineRule="auto"/>
        <w:ind w:firstLine="708"/>
        <w:jc w:val="both"/>
        <w:rPr>
          <w:rFonts w:ascii="Verdana" w:eastAsia="Aptos" w:hAnsi="Verdana" w:cs="Times New Roman"/>
          <w:kern w:val="2"/>
          <w14:ligatures w14:val="standardContextual"/>
        </w:rPr>
      </w:pPr>
      <w:r w:rsidRPr="006C05C1">
        <w:rPr>
          <w:rFonts w:ascii="Verdana" w:eastAsia="Aptos" w:hAnsi="Verdana" w:cs="Times New Roman"/>
          <w:kern w:val="2"/>
          <w14:ligatures w14:val="standardContextual"/>
        </w:rPr>
        <w:t xml:space="preserve">v. Documentos tipo de gestión catastral: </w:t>
      </w:r>
    </w:p>
    <w:p w14:paraId="4EA2CC9C" w14:textId="77777777" w:rsidR="006C05C1" w:rsidRPr="006C05C1" w:rsidRDefault="006C05C1" w:rsidP="006C05C1">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lastRenderedPageBreak/>
        <w:t xml:space="preserve">Resolución 269 del 16 de diciembre de 2020 “Por la cual se adopta el documento tipo para los procesos de gestión catastral con enfoque multipropósito que se celebren a través de contratos interadministrativos”. </w:t>
      </w:r>
    </w:p>
    <w:p w14:paraId="56906F16"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lang w:val="es-ES"/>
        </w:rPr>
      </w:pPr>
      <w:r w:rsidRPr="006C05C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C05C1">
        <w:rPr>
          <w:rFonts w:ascii="Verdana" w:eastAsia="Calibri" w:hAnsi="Verdana" w:cs="Times New Roman"/>
          <w:shd w:val="clear" w:color="auto" w:fill="E8E8E8"/>
          <w:lang w:val="es-ES"/>
        </w:rPr>
        <w:t>–[texto]–,</w:t>
      </w:r>
      <w:r w:rsidRPr="006C05C1">
        <w:rPr>
          <w:rFonts w:ascii="Verdana" w:eastAsia="Calibri" w:hAnsi="Verdana" w:cs="Times New Roman"/>
          <w:lang w:val="es-ES"/>
        </w:rPr>
        <w:t xml:space="preserve"> para lo cual deberán observarse las instrucciones contenidas en los mismos para su diligenciamiento.</w:t>
      </w:r>
    </w:p>
    <w:p w14:paraId="7E0286D7" w14:textId="77777777" w:rsidR="006C05C1" w:rsidRPr="006C05C1" w:rsidRDefault="006C05C1" w:rsidP="006C05C1">
      <w:pPr>
        <w:widowControl w:val="0"/>
        <w:autoSpaceDE w:val="0"/>
        <w:autoSpaceDN w:val="0"/>
        <w:spacing w:after="0" w:line="276" w:lineRule="auto"/>
        <w:ind w:firstLine="708"/>
        <w:jc w:val="both"/>
        <w:rPr>
          <w:rFonts w:ascii="Verdana" w:eastAsia="Calibri" w:hAnsi="Verdana" w:cs="Times New Roman"/>
          <w:lang w:val="es-ES"/>
        </w:rPr>
      </w:pPr>
      <w:r w:rsidRPr="006C05C1">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1FBDCDE" w14:textId="77777777" w:rsidR="006C05C1" w:rsidRPr="006C05C1" w:rsidRDefault="006C05C1" w:rsidP="006C05C1">
      <w:pPr>
        <w:widowControl w:val="0"/>
        <w:autoSpaceDE w:val="0"/>
        <w:autoSpaceDN w:val="0"/>
        <w:spacing w:after="0" w:line="276" w:lineRule="auto"/>
        <w:jc w:val="both"/>
        <w:rPr>
          <w:rFonts w:ascii="Verdana" w:eastAsia="Calibri" w:hAnsi="Verdana" w:cs="Times New Roman"/>
          <w:lang w:val="es-ES"/>
        </w:rPr>
      </w:pPr>
    </w:p>
    <w:p w14:paraId="765506BD" w14:textId="77777777" w:rsidR="006C05C1" w:rsidRPr="006C05C1" w:rsidRDefault="006C05C1" w:rsidP="006C05C1">
      <w:pPr>
        <w:widowControl w:val="0"/>
        <w:autoSpaceDE w:val="0"/>
        <w:autoSpaceDN w:val="0"/>
        <w:spacing w:after="120" w:line="276" w:lineRule="auto"/>
        <w:jc w:val="both"/>
        <w:rPr>
          <w:rFonts w:ascii="Verdana" w:eastAsia="Calibri" w:hAnsi="Verdana" w:cs="Times New Roman"/>
          <w:lang w:val="es-ES"/>
        </w:rPr>
      </w:pPr>
      <w:proofErr w:type="spellStart"/>
      <w:r w:rsidRPr="006C05C1">
        <w:rPr>
          <w:rFonts w:ascii="Verdana" w:eastAsia="Calibri" w:hAnsi="Verdana" w:cs="Times New Roman"/>
          <w:lang w:val="es-ES"/>
        </w:rPr>
        <w:t>ii</w:t>
      </w:r>
      <w:proofErr w:type="spellEnd"/>
      <w:r w:rsidRPr="006C05C1">
        <w:rPr>
          <w:rFonts w:ascii="Verdana" w:eastAsia="Calibri" w:hAnsi="Verdana" w:cs="Times New Roman"/>
          <w:lang w:val="es-ES"/>
        </w:rPr>
        <w:t>.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6F0758D"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lang w:val="es-ES"/>
        </w:rPr>
      </w:pPr>
      <w:r w:rsidRPr="006C05C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1DA637C"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lang w:val="es-ES"/>
        </w:rPr>
      </w:pPr>
      <w:r w:rsidRPr="006C05C1">
        <w:rPr>
          <w:rFonts w:ascii="Verdana" w:eastAsia="Calibri" w:hAnsi="Verdana" w:cs="Times New Roman"/>
          <w:lang w:val="es-ES"/>
        </w:rPr>
        <w:t xml:space="preserve">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w:t>
      </w:r>
      <w:r w:rsidRPr="006C05C1">
        <w:rPr>
          <w:rFonts w:ascii="Verdana" w:eastAsia="Calibri" w:hAnsi="Verdana" w:cs="Times New Roman"/>
          <w:lang w:val="es-ES"/>
        </w:rPr>
        <w:lastRenderedPageBreak/>
        <w:t>obligatoriamente, deben contratarse aplicando Documentos Tipo.</w:t>
      </w:r>
    </w:p>
    <w:p w14:paraId="72276DE7" w14:textId="77777777" w:rsidR="006C05C1" w:rsidRPr="006C05C1" w:rsidRDefault="006C05C1" w:rsidP="006C05C1">
      <w:pPr>
        <w:widowControl w:val="0"/>
        <w:autoSpaceDE w:val="0"/>
        <w:autoSpaceDN w:val="0"/>
        <w:spacing w:after="0" w:line="276" w:lineRule="auto"/>
        <w:ind w:firstLine="708"/>
        <w:jc w:val="both"/>
        <w:rPr>
          <w:rFonts w:ascii="Verdana" w:eastAsia="Calibri" w:hAnsi="Verdana" w:cs="Times New Roman"/>
          <w:kern w:val="2"/>
          <w:lang w:val="es-ES" w:eastAsia="es-MX"/>
          <w14:ligatures w14:val="standardContextual"/>
        </w:rPr>
      </w:pPr>
      <w:r w:rsidRPr="006C05C1">
        <w:rPr>
          <w:rFonts w:ascii="Verdana" w:eastAsia="Calibri" w:hAnsi="Verdana" w:cs="Times New Roman"/>
          <w:kern w:val="2"/>
          <w:lang w:val="es-ES" w:eastAsia="es-MX"/>
          <w14:ligatures w14:val="standardContextual"/>
        </w:rPr>
        <w:t>De esta manera, para saber a qué actividades deben aplicarse los Documentos Tipo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los documentos tipo −según corresponda−, mientras que en el caso contrario no será forzosa su aplicación.</w:t>
      </w:r>
    </w:p>
    <w:p w14:paraId="6DB0194C" w14:textId="77777777" w:rsidR="006C05C1" w:rsidRPr="006C05C1" w:rsidRDefault="006C05C1" w:rsidP="006C05C1">
      <w:pPr>
        <w:widowControl w:val="0"/>
        <w:autoSpaceDE w:val="0"/>
        <w:autoSpaceDN w:val="0"/>
        <w:spacing w:after="0" w:line="276" w:lineRule="auto"/>
        <w:jc w:val="both"/>
        <w:rPr>
          <w:rFonts w:ascii="Verdana" w:eastAsia="Calibri" w:hAnsi="Verdana" w:cs="Times New Roman"/>
          <w:kern w:val="2"/>
          <w:sz w:val="24"/>
          <w:szCs w:val="24"/>
          <w:lang w:val="es-ES" w:eastAsia="es-MX"/>
          <w14:ligatures w14:val="standardContextual"/>
        </w:rPr>
      </w:pPr>
    </w:p>
    <w:p w14:paraId="17C7657C" w14:textId="77777777" w:rsidR="006C05C1" w:rsidRPr="006C05C1" w:rsidRDefault="006C05C1" w:rsidP="006C05C1">
      <w:pPr>
        <w:widowControl w:val="0"/>
        <w:autoSpaceDE w:val="0"/>
        <w:autoSpaceDN w:val="0"/>
        <w:spacing w:after="120" w:line="276" w:lineRule="auto"/>
        <w:jc w:val="both"/>
        <w:rPr>
          <w:rFonts w:ascii="Verdana" w:eastAsia="Calibri" w:hAnsi="Verdana" w:cs="Times New Roman"/>
          <w:kern w:val="2"/>
          <w:lang w:eastAsia="es-MX"/>
          <w14:ligatures w14:val="standardContextual"/>
        </w:rPr>
      </w:pPr>
      <w:proofErr w:type="spellStart"/>
      <w:r w:rsidRPr="006C05C1">
        <w:rPr>
          <w:rFonts w:ascii="Verdana" w:eastAsia="Calibri" w:hAnsi="Verdana" w:cs="Times New Roman"/>
          <w:kern w:val="2"/>
          <w:sz w:val="24"/>
          <w:szCs w:val="24"/>
          <w:lang w:val="es-ES" w:eastAsia="es-MX"/>
          <w14:ligatures w14:val="standardContextual"/>
        </w:rPr>
        <w:t>iii</w:t>
      </w:r>
      <w:proofErr w:type="spellEnd"/>
      <w:r w:rsidRPr="006C05C1">
        <w:rPr>
          <w:rFonts w:ascii="Verdana" w:eastAsia="Calibri" w:hAnsi="Verdana" w:cs="Times New Roman"/>
          <w:kern w:val="2"/>
          <w:sz w:val="24"/>
          <w:szCs w:val="24"/>
          <w:lang w:val="es-ES" w:eastAsia="es-MX"/>
          <w14:ligatures w14:val="standardContextual"/>
        </w:rPr>
        <w:t xml:space="preserve">. </w:t>
      </w:r>
      <w:r w:rsidRPr="006C05C1">
        <w:rPr>
          <w:rFonts w:ascii="Verdana" w:eastAsia="Calibri" w:hAnsi="Verdana" w:cs="Times New Roman"/>
          <w:kern w:val="2"/>
          <w:lang w:eastAsia="es-MX"/>
          <w14:ligatures w14:val="standardContextual"/>
        </w:rPr>
        <w:t xml:space="preserve">En atención a que su solicitud se dirige a establecer si una serie de procesos se enmarcan en la aplicación de los Documentos Tipo expedidos por esta Agencia, vigentes en 2024, a continuación, la Agencia se referirá de manera general a cada uno de ellos. </w:t>
      </w:r>
    </w:p>
    <w:p w14:paraId="578CF6AD"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kern w:val="2"/>
          <w:lang w:eastAsia="es-MX"/>
          <w14:ligatures w14:val="standardContextual"/>
        </w:rPr>
      </w:pPr>
      <w:r w:rsidRPr="006C05C1">
        <w:rPr>
          <w:rFonts w:ascii="Verdana" w:eastAsia="Calibri" w:hAnsi="Verdana" w:cs="Times New Roman"/>
          <w:kern w:val="2"/>
          <w:lang w:eastAsia="es-MX"/>
          <w14:ligatures w14:val="standardContextual"/>
        </w:rPr>
        <w:t>i. El primer proceso de selección se relaciona con “(…) la implementación de modelos de bioingeniería para la recuperación de zonas con procesos de erosión o con fenómenos de remoción en masa (…)”.</w:t>
      </w:r>
    </w:p>
    <w:p w14:paraId="55E02044" w14:textId="77777777" w:rsidR="006C05C1" w:rsidRPr="006C05C1" w:rsidRDefault="006C05C1" w:rsidP="006C05C1">
      <w:pPr>
        <w:widowControl w:val="0"/>
        <w:autoSpaceDE w:val="0"/>
        <w:autoSpaceDN w:val="0"/>
        <w:spacing w:after="0" w:line="276" w:lineRule="auto"/>
        <w:ind w:firstLine="708"/>
        <w:jc w:val="both"/>
        <w:rPr>
          <w:rFonts w:ascii="Verdana" w:eastAsia="Calibri" w:hAnsi="Verdana" w:cs="Times New Roman"/>
          <w:kern w:val="2"/>
          <w:lang w:eastAsia="es-MX"/>
          <w14:ligatures w14:val="standardContextual"/>
        </w:rPr>
      </w:pPr>
      <w:r w:rsidRPr="006C05C1">
        <w:rPr>
          <w:rFonts w:ascii="Verdana" w:eastAsia="Calibri" w:hAnsi="Verdana" w:cs="Times New Roman"/>
          <w:kern w:val="2"/>
          <w:lang w:eastAsia="es-MX"/>
          <w14:ligatures w14:val="standardContextual"/>
        </w:rPr>
        <w:t>Sobre el particular, la Agencia Nacional de Contratación Pública – Colombia Compra Eficiente le informa que la Matriz 1 – Experiencia de los Documentos Tipo de licitación de obra pública de infraestructura de transporte − versión 3, vigentes en el año 2024, en el Capítulo 4 “Obras en vías primarias o secundarias o terciarias o urbanas para atención, prevención o mitigación de emergencias diferentes a contratación directa”, establece las siguientes actividades sobre las que eventualmente podría enmarcarse el proceso de selección:</w:t>
      </w:r>
    </w:p>
    <w:p w14:paraId="1242AD3E" w14:textId="77777777" w:rsidR="006C05C1" w:rsidRPr="006C05C1" w:rsidRDefault="006C05C1" w:rsidP="006C05C1">
      <w:pPr>
        <w:widowControl w:val="0"/>
        <w:autoSpaceDE w:val="0"/>
        <w:autoSpaceDN w:val="0"/>
        <w:spacing w:after="0" w:line="276" w:lineRule="auto"/>
        <w:ind w:firstLine="708"/>
        <w:jc w:val="both"/>
        <w:rPr>
          <w:rFonts w:ascii="Verdana" w:eastAsia="Calibri" w:hAnsi="Verdana" w:cs="Times New Roman"/>
          <w:kern w:val="2"/>
          <w:sz w:val="24"/>
          <w:szCs w:val="24"/>
          <w:lang w:val="es-ES" w:eastAsia="es-MX"/>
          <w14:ligatures w14:val="standardContextual"/>
        </w:rPr>
      </w:pPr>
    </w:p>
    <w:p w14:paraId="22FCE384" w14:textId="77777777" w:rsidR="006C05C1" w:rsidRPr="006C05C1" w:rsidRDefault="006C05C1" w:rsidP="006C05C1">
      <w:pPr>
        <w:spacing w:after="120" w:line="240" w:lineRule="auto"/>
        <w:ind w:left="709" w:right="709"/>
        <w:contextualSpacing/>
        <w:jc w:val="both"/>
        <w:rPr>
          <w:rFonts w:ascii="Verdana" w:eastAsia="Aptos" w:hAnsi="Verdana" w:cs="Aptos"/>
          <w:kern w:val="2"/>
          <w:sz w:val="21"/>
          <w:szCs w:val="21"/>
          <w14:ligatures w14:val="standardContextual"/>
        </w:rPr>
      </w:pPr>
      <w:r w:rsidRPr="006C05C1">
        <w:rPr>
          <w:rFonts w:ascii="Verdana" w:eastAsia="Aptos" w:hAnsi="Verdana" w:cs="Aptos"/>
          <w:kern w:val="2"/>
          <w:sz w:val="21"/>
          <w:szCs w:val="21"/>
          <w14:ligatures w14:val="standardContextual"/>
        </w:rPr>
        <w:t>“4.2 PROYECTOS DE ATENCION, PREVENCIÓN O MITIGACIÓN DE OBRAS DE EMERGENCIAS MEDIANTE OBRAS DE ESTABILIZACION DE TALUDES O RECUPERACION DE BANCA</w:t>
      </w:r>
    </w:p>
    <w:p w14:paraId="5AB0F713" w14:textId="77777777" w:rsidR="006C05C1" w:rsidRPr="006C05C1" w:rsidRDefault="006C05C1" w:rsidP="006C05C1">
      <w:pPr>
        <w:spacing w:after="120" w:line="240" w:lineRule="auto"/>
        <w:ind w:left="709" w:right="709"/>
        <w:contextualSpacing/>
        <w:jc w:val="both"/>
        <w:rPr>
          <w:rFonts w:ascii="Verdana" w:eastAsia="Aptos" w:hAnsi="Verdana" w:cs="Aptos"/>
          <w:kern w:val="2"/>
          <w:sz w:val="21"/>
          <w:szCs w:val="21"/>
          <w14:ligatures w14:val="standardContextual"/>
        </w:rPr>
      </w:pPr>
      <w:r w:rsidRPr="006C05C1">
        <w:rPr>
          <w:rFonts w:ascii="Verdana" w:eastAsia="Aptos" w:hAnsi="Verdana" w:cs="Aptos"/>
          <w:kern w:val="2"/>
          <w:sz w:val="21"/>
          <w:szCs w:val="21"/>
          <w14:ligatures w14:val="standardContextual"/>
        </w:rPr>
        <w:t>4.3 PROYECTOS DE ATENCION, PREVENCIÓN O MITIGACIÓN DE OBRAS DE EMERGENCIAS MEDIANTE OBRAS DE REMOCIÓN DE DERRUMBES”.</w:t>
      </w:r>
    </w:p>
    <w:p w14:paraId="52036F9D" w14:textId="77777777" w:rsidR="006C05C1" w:rsidRPr="006C05C1" w:rsidRDefault="006C05C1" w:rsidP="006C05C1">
      <w:pPr>
        <w:spacing w:after="0" w:line="240" w:lineRule="auto"/>
        <w:ind w:left="709" w:right="709"/>
        <w:contextualSpacing/>
        <w:jc w:val="both"/>
        <w:rPr>
          <w:rFonts w:ascii="Verdana" w:eastAsia="Aptos" w:hAnsi="Verdana" w:cs="Aptos"/>
          <w:kern w:val="2"/>
          <w14:ligatures w14:val="standardContextual"/>
        </w:rPr>
      </w:pPr>
    </w:p>
    <w:p w14:paraId="68DDC076" w14:textId="77777777" w:rsidR="006C05C1" w:rsidRPr="006C05C1" w:rsidRDefault="006C05C1" w:rsidP="006C05C1">
      <w:pPr>
        <w:spacing w:after="120" w:line="276" w:lineRule="auto"/>
        <w:jc w:val="both"/>
        <w:rPr>
          <w:rFonts w:ascii="Verdana" w:eastAsia="Aptos" w:hAnsi="Verdana" w:cs="Aptos"/>
          <w:kern w:val="2"/>
          <w14:ligatures w14:val="standardContextual"/>
        </w:rPr>
      </w:pPr>
      <w:r w:rsidRPr="006C05C1">
        <w:rPr>
          <w:rFonts w:ascii="Verdana" w:eastAsia="Aptos" w:hAnsi="Verdana" w:cs="Aptos"/>
          <w:kern w:val="2"/>
          <w14:ligatures w14:val="standardContextual"/>
        </w:rPr>
        <w:tab/>
        <w:t xml:space="preserve">Como se aprecia, las actividades 4.2 y 4.3, contenidas en la Matriz 1 – Experiencia de los Documentos Tipo señalados, recaen sobre proyectos de atención, prevención o mitigación de emergencias, respectivamente, mediante: </w:t>
      </w:r>
      <w:r w:rsidRPr="006C05C1">
        <w:rPr>
          <w:rFonts w:ascii="Verdana" w:eastAsia="Aptos" w:hAnsi="Verdana" w:cs="Aptos"/>
          <w:kern w:val="2"/>
          <w14:ligatures w14:val="standardContextual"/>
        </w:rPr>
        <w:lastRenderedPageBreak/>
        <w:t xml:space="preserve">i) obras de estabilización de taludes o recuperación de banca y </w:t>
      </w:r>
      <w:proofErr w:type="spellStart"/>
      <w:r w:rsidRPr="006C05C1">
        <w:rPr>
          <w:rFonts w:ascii="Verdana" w:eastAsia="Aptos" w:hAnsi="Verdana" w:cs="Aptos"/>
          <w:kern w:val="2"/>
          <w14:ligatures w14:val="standardContextual"/>
        </w:rPr>
        <w:t>ii</w:t>
      </w:r>
      <w:proofErr w:type="spellEnd"/>
      <w:r w:rsidRPr="006C05C1">
        <w:rPr>
          <w:rFonts w:ascii="Verdana" w:eastAsia="Aptos" w:hAnsi="Verdana" w:cs="Aptos"/>
          <w:kern w:val="2"/>
          <w14:ligatures w14:val="standardContextual"/>
        </w:rPr>
        <w:t>) obras de remoción de derrumbes.</w:t>
      </w:r>
    </w:p>
    <w:p w14:paraId="1E2D5453" w14:textId="77777777" w:rsidR="006C05C1" w:rsidRPr="006C05C1" w:rsidRDefault="006C05C1" w:rsidP="006C05C1">
      <w:pPr>
        <w:spacing w:after="120" w:line="276" w:lineRule="auto"/>
        <w:ind w:firstLine="708"/>
        <w:jc w:val="both"/>
        <w:rPr>
          <w:rFonts w:ascii="Verdana" w:eastAsia="Aptos" w:hAnsi="Verdana" w:cs="Times New Roman"/>
          <w:kern w:val="2"/>
          <w14:ligatures w14:val="standardContextual"/>
        </w:rPr>
      </w:pPr>
      <w:r w:rsidRPr="006C05C1">
        <w:rPr>
          <w:rFonts w:ascii="Verdana" w:eastAsia="Aptos" w:hAnsi="Verdana" w:cs="Times New Roman"/>
          <w:kern w:val="2"/>
          <w14:ligatures w14:val="standardContextual"/>
        </w:rPr>
        <w:t>Particularmente, se indica que las actividades señaladas −4.2 y 4.3−, contenidas en la Matriz 1 – Experiencia de los Documentos Tipo de licitación de obra pública de infraestructura de transporte – versión 3, aplican a la infraestructura de transporte. En concreto, para efectos de la solicitud, estas recaen sobre la red vial de transporte, puentes, viaductos, túneles, así como sobre ríos, mares, canales de aguas navegables y demás bienes de uso público asociados a estos, de conformidad con lo previsto en el artículo 4°, “Integración de la infraestructura de transporte”, de la Ley 1682 de 2013.</w:t>
      </w:r>
    </w:p>
    <w:p w14:paraId="4C08A561" w14:textId="77777777" w:rsidR="006C05C1" w:rsidRPr="006C05C1" w:rsidRDefault="006C05C1" w:rsidP="006C05C1">
      <w:pPr>
        <w:widowControl w:val="0"/>
        <w:autoSpaceDE w:val="0"/>
        <w:autoSpaceDN w:val="0"/>
        <w:spacing w:after="120" w:line="276" w:lineRule="auto"/>
        <w:ind w:firstLine="708"/>
        <w:jc w:val="both"/>
        <w:rPr>
          <w:rFonts w:ascii="Verdana" w:eastAsia="Calibri" w:hAnsi="Verdana" w:cs="Times New Roman"/>
          <w:kern w:val="2"/>
          <w:lang w:eastAsia="es-MX"/>
          <w14:ligatures w14:val="standardContextual"/>
        </w:rPr>
      </w:pPr>
      <w:r w:rsidRPr="006C05C1">
        <w:rPr>
          <w:rFonts w:ascii="Verdana" w:eastAsia="Aptos" w:hAnsi="Verdana" w:cs="Times New Roman"/>
          <w:kern w:val="2"/>
          <w14:ligatures w14:val="standardContextual"/>
        </w:rPr>
        <w:t xml:space="preserve">En esta medida, la Ley 1682 de 2013 y los mencionados documentos hacen referencia a la infraestructura de transporte, por lo que es posible que los diferentes tipos de actividades susceptibles de ser desarrolladas a través del contrato de obra, dirigidas a intervenir este tipo de infraestructura, deban ser contratadas aplicando los referidos Documentos Tipo. Para constatar lo anterior, es necesario que la Entidad establezca si el objeto </w:t>
      </w:r>
      <w:r w:rsidRPr="006C05C1">
        <w:rPr>
          <w:rFonts w:ascii="Verdana" w:eastAsia="Calibri" w:hAnsi="Verdana" w:cs="Times New Roman"/>
          <w:kern w:val="2"/>
          <w:lang w:eastAsia="es-MX"/>
          <w14:ligatures w14:val="standardContextual"/>
        </w:rPr>
        <w:t xml:space="preserve">“(…) implementación de modelos de bioingeniería para la recuperación de zonas con procesos de erosión o con fenómenos de remoción en masa (…)”, </w:t>
      </w:r>
      <w:r w:rsidRPr="006C05C1">
        <w:rPr>
          <w:rFonts w:ascii="Verdana" w:eastAsia="Aptos" w:hAnsi="Verdana" w:cs="Times New Roman"/>
          <w:kern w:val="2"/>
          <w14:ligatures w14:val="standardContextual"/>
        </w:rPr>
        <w:t xml:space="preserve">es subsumible dentro de alguna de las actividades contempladas en la Matriz 1, particularmente, dentro de las actividades −4.2 y 4.3−. </w:t>
      </w:r>
    </w:p>
    <w:p w14:paraId="02BD610B" w14:textId="77777777" w:rsidR="006C05C1" w:rsidRPr="006C05C1" w:rsidRDefault="006C05C1" w:rsidP="006C05C1">
      <w:pPr>
        <w:tabs>
          <w:tab w:val="left" w:pos="709"/>
          <w:tab w:val="left" w:pos="2662"/>
        </w:tabs>
        <w:spacing w:before="120" w:after="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val="es-ES" w:eastAsia="en-GB"/>
          <w14:ligatures w14:val="standardContextual"/>
        </w:rPr>
        <w:tab/>
      </w:r>
      <w:r w:rsidRPr="006C05C1">
        <w:rPr>
          <w:rFonts w:ascii="Verdana" w:eastAsia="Aptos" w:hAnsi="Verdana" w:cs="Times New Roman"/>
          <w:kern w:val="2"/>
          <w14:ligatures w14:val="standardContextual"/>
        </w:rPr>
        <w:t xml:space="preserve">En este sentido, le corresponde a la entidad estatal, en el marco del proyecto por el que indaga en la solicitud, determinar, con base en las especificaciones técnicas de la obra, si la actividad que se contrató efectivamente se encontraba subsumida en la Matriz 1 </w:t>
      </w:r>
      <w:r w:rsidRPr="006C05C1">
        <w:rPr>
          <w:rFonts w:ascii="Verdana" w:eastAsia="Aptos" w:hAnsi="Verdana" w:cs="Times New Roman"/>
          <w:i/>
          <w:iCs/>
          <w:kern w:val="2"/>
          <w14:ligatures w14:val="standardContextual"/>
        </w:rPr>
        <w:t xml:space="preserve">– </w:t>
      </w:r>
      <w:r w:rsidRPr="006C05C1">
        <w:rPr>
          <w:rFonts w:ascii="Verdana" w:eastAsia="Aptos" w:hAnsi="Verdana" w:cs="Times New Roman"/>
          <w:kern w:val="2"/>
          <w14:ligatures w14:val="standardContextual"/>
        </w:rPr>
        <w:t>Experiencia</w:t>
      </w:r>
      <w:r w:rsidRPr="006C05C1">
        <w:rPr>
          <w:rFonts w:ascii="Verdana" w:eastAsia="Aptos" w:hAnsi="Verdana" w:cs="Times New Roman"/>
          <w:i/>
          <w:iCs/>
          <w:kern w:val="2"/>
          <w14:ligatures w14:val="standardContextual"/>
        </w:rPr>
        <w:t xml:space="preserve"> </w:t>
      </w:r>
      <w:r w:rsidRPr="006C05C1">
        <w:rPr>
          <w:rFonts w:ascii="Verdana" w:eastAsia="Aptos" w:hAnsi="Verdana" w:cs="Times New Roman"/>
          <w:kern w:val="2"/>
          <w14:ligatures w14:val="standardContextual"/>
        </w:rPr>
        <w:t>de los documentos tipo de licitación de obra pública de infraestructura de transporte − versión 3. Para ello, resultan pertinentes las consideraciones previamente expuestas.</w:t>
      </w:r>
    </w:p>
    <w:p w14:paraId="36409E91" w14:textId="77777777" w:rsidR="006C05C1" w:rsidRPr="006C05C1" w:rsidRDefault="006C05C1" w:rsidP="006C05C1">
      <w:pPr>
        <w:tabs>
          <w:tab w:val="left" w:pos="709"/>
          <w:tab w:val="left" w:pos="2662"/>
        </w:tabs>
        <w:spacing w:before="120"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 xml:space="preserve">En ese sentido, si la entidad estatal encuentra que técnicamente, lo que se contrató se adecuaba a alguna de las actividades y tipos de infraestructura señalados en dicha Matriz 1 – Experiencia, obligatoriamente, se tuvieron que aplicar los documentos tipo de licitación de obra pública de infraestructura de transporte – versión 3.  </w:t>
      </w:r>
    </w:p>
    <w:p w14:paraId="680FE3A9" w14:textId="77777777" w:rsidR="006C05C1" w:rsidRPr="006C05C1" w:rsidRDefault="006C05C1" w:rsidP="006C05C1">
      <w:pPr>
        <w:tabs>
          <w:tab w:val="left" w:pos="709"/>
          <w:tab w:val="left" w:pos="2662"/>
        </w:tabs>
        <w:spacing w:before="120"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r>
      <w:proofErr w:type="spellStart"/>
      <w:r w:rsidRPr="006C05C1">
        <w:rPr>
          <w:rFonts w:ascii="Verdana" w:eastAsia="Calibri" w:hAnsi="Verdana" w:cs="Arial"/>
          <w:color w:val="000000"/>
          <w:kern w:val="2"/>
          <w:lang w:eastAsia="en-GB"/>
          <w14:ligatures w14:val="standardContextual"/>
        </w:rPr>
        <w:t>ii</w:t>
      </w:r>
      <w:proofErr w:type="spellEnd"/>
      <w:r w:rsidRPr="006C05C1">
        <w:rPr>
          <w:rFonts w:ascii="Verdana" w:eastAsia="Calibri" w:hAnsi="Verdana" w:cs="Arial"/>
          <w:color w:val="000000"/>
          <w:kern w:val="2"/>
          <w:lang w:eastAsia="en-GB"/>
          <w14:ligatures w14:val="standardContextual"/>
        </w:rPr>
        <w:t>. El segundo proceso por el que se indaga en su solicitud corresponde a la “(…) construcción y adecuación de la sede administrativa (…)”.</w:t>
      </w:r>
      <w:r w:rsidRPr="006C05C1">
        <w:rPr>
          <w:rFonts w:ascii="Verdana" w:eastAsia="Calibri" w:hAnsi="Verdana" w:cs="Arial"/>
          <w:color w:val="000000"/>
          <w:kern w:val="2"/>
          <w:lang w:eastAsia="en-GB"/>
          <w14:ligatures w14:val="standardContextual"/>
        </w:rPr>
        <w:br/>
        <w:t xml:space="preserve">Sobre el particular, se indica que en el año 2024 no se encontraba vigente ningún </w:t>
      </w:r>
      <w:r w:rsidRPr="006C05C1">
        <w:rPr>
          <w:rFonts w:ascii="Verdana" w:eastAsia="Calibri" w:hAnsi="Verdana" w:cs="Arial"/>
          <w:color w:val="000000"/>
          <w:kern w:val="2"/>
          <w:lang w:eastAsia="en-GB"/>
          <w14:ligatures w14:val="standardContextual"/>
        </w:rPr>
        <w:lastRenderedPageBreak/>
        <w:t>Documento Tipo dirigido a la contratación de este tipo de actividades sobre sedes administrativas. Los Documentos Tipo del sector social vigentes en ese año estaban dirigidos a los sectores educativo, salud y cultura, recreación y deporte.</w:t>
      </w:r>
      <w:r w:rsidRPr="006C05C1">
        <w:rPr>
          <w:rFonts w:ascii="Verdana" w:eastAsia="Calibri" w:hAnsi="Verdana" w:cs="Arial"/>
          <w:color w:val="000000"/>
          <w:kern w:val="2"/>
          <w:lang w:eastAsia="en-GB"/>
          <w14:ligatures w14:val="standardContextual"/>
        </w:rPr>
        <w:br/>
        <w:t>No obstante, en el año 2025 se adoptó una serie de Documentos Tipo en el sector social, entre los que se destacan los Documentos Tipo complementarios del sector institucional, a los cuales sí les resultan aplicables las actividades de construcción y adecuación de sedes administrativas. Sin embargo, estos documentos, adoptados para las modalidades de selección de licitación pública, selección abreviada de menor cuantía y mínima cuantía, son obligatorios a partir del 16 de febrero de 2026</w:t>
      </w:r>
      <w:r w:rsidRPr="006C05C1">
        <w:rPr>
          <w:rFonts w:ascii="Verdana" w:eastAsia="Calibri" w:hAnsi="Verdana" w:cs="Arial"/>
          <w:color w:val="000000"/>
          <w:kern w:val="2"/>
          <w:vertAlign w:val="superscript"/>
          <w:lang w:eastAsia="en-GB"/>
          <w14:ligatures w14:val="standardContextual"/>
        </w:rPr>
        <w:footnoteReference w:id="2"/>
      </w:r>
      <w:r w:rsidRPr="006C05C1">
        <w:rPr>
          <w:rFonts w:ascii="Verdana" w:eastAsia="Calibri" w:hAnsi="Verdana" w:cs="Arial"/>
          <w:color w:val="000000"/>
          <w:kern w:val="2"/>
          <w:lang w:eastAsia="en-GB"/>
          <w14:ligatures w14:val="standardContextual"/>
        </w:rPr>
        <w:t xml:space="preserve">. </w:t>
      </w:r>
    </w:p>
    <w:p w14:paraId="449DCA13" w14:textId="77777777" w:rsidR="006C05C1" w:rsidRPr="006C05C1" w:rsidRDefault="006C05C1" w:rsidP="006C05C1">
      <w:pPr>
        <w:tabs>
          <w:tab w:val="left" w:pos="709"/>
          <w:tab w:val="left" w:pos="2662"/>
        </w:tabs>
        <w:spacing w:before="120"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lastRenderedPageBreak/>
        <w:tab/>
      </w:r>
      <w:proofErr w:type="spellStart"/>
      <w:r w:rsidRPr="006C05C1">
        <w:rPr>
          <w:rFonts w:ascii="Verdana" w:eastAsia="Calibri" w:hAnsi="Verdana" w:cs="Arial"/>
          <w:color w:val="000000"/>
          <w:kern w:val="2"/>
          <w:lang w:eastAsia="en-GB"/>
          <w14:ligatures w14:val="standardContextual"/>
        </w:rPr>
        <w:t>iii</w:t>
      </w:r>
      <w:proofErr w:type="spellEnd"/>
      <w:r w:rsidRPr="006C05C1">
        <w:rPr>
          <w:rFonts w:ascii="Verdana" w:eastAsia="Calibri" w:hAnsi="Verdana" w:cs="Arial"/>
          <w:color w:val="000000"/>
          <w:kern w:val="2"/>
          <w:lang w:eastAsia="en-GB"/>
          <w14:ligatures w14:val="standardContextual"/>
        </w:rPr>
        <w:t>. En relación con el objeto del proceso de selección “Contratar los estudios, diseños y la construcción del parque (…)”, esta Agencia le informa que, tal como se señaló en el punto uno (i) de este concepto, en el año 2024 se encontraban vigentes los Documentos Tipo transversales de licitación de obra pública de infraestructura social −Resolución 219 de 2021− y los Documentos Tipo complementarios aplicables al sector cultura, recreación y deporte −Resolución 454 de 2021−.</w:t>
      </w:r>
    </w:p>
    <w:p w14:paraId="745E0228"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La Matriz – Experiencia de los Documentos Tipo del sector cultura, recreación y deporte incluía los siguientes capítulos: 1. Obras en infraestructura cultural y 2. Obras en infraestructura recreo deportiva. En el capítulo 2 se encontraba la siguiente actividad, dentro de la cual podría enmarcarse el proceso de selección:</w:t>
      </w:r>
    </w:p>
    <w:p w14:paraId="5585AEC4" w14:textId="77777777" w:rsidR="006C05C1" w:rsidRPr="006C05C1" w:rsidRDefault="006C05C1" w:rsidP="006C05C1">
      <w:pPr>
        <w:tabs>
          <w:tab w:val="left" w:pos="709"/>
          <w:tab w:val="left" w:pos="2662"/>
        </w:tabs>
        <w:spacing w:after="0" w:line="276" w:lineRule="auto"/>
        <w:jc w:val="both"/>
        <w:rPr>
          <w:rFonts w:ascii="Verdana" w:eastAsia="Calibri" w:hAnsi="Verdana" w:cs="Arial"/>
          <w:color w:val="000000"/>
          <w:kern w:val="2"/>
          <w:lang w:eastAsia="en-GB"/>
          <w14:ligatures w14:val="standardContextual"/>
        </w:rPr>
      </w:pPr>
    </w:p>
    <w:p w14:paraId="048E8753" w14:textId="77777777" w:rsidR="006C05C1" w:rsidRPr="006C05C1" w:rsidRDefault="006C05C1" w:rsidP="006C05C1">
      <w:pPr>
        <w:tabs>
          <w:tab w:val="left" w:pos="709"/>
          <w:tab w:val="left" w:pos="2662"/>
        </w:tabs>
        <w:spacing w:after="0" w:line="276" w:lineRule="auto"/>
        <w:ind w:left="709"/>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“2.1. Proyectos de construcción y/o reconstrucción de parques”.</w:t>
      </w:r>
    </w:p>
    <w:p w14:paraId="6AEA20C4" w14:textId="77777777" w:rsidR="006C05C1" w:rsidRPr="006C05C1" w:rsidRDefault="006C05C1" w:rsidP="006C05C1">
      <w:pPr>
        <w:tabs>
          <w:tab w:val="left" w:pos="709"/>
          <w:tab w:val="left" w:pos="2662"/>
        </w:tabs>
        <w:spacing w:after="0" w:line="276" w:lineRule="auto"/>
        <w:ind w:left="709"/>
        <w:jc w:val="both"/>
        <w:rPr>
          <w:rFonts w:ascii="Verdana" w:eastAsia="Calibri" w:hAnsi="Verdana" w:cs="Arial"/>
          <w:color w:val="000000"/>
          <w:kern w:val="2"/>
          <w:lang w:eastAsia="en-GB"/>
          <w14:ligatures w14:val="standardContextual"/>
        </w:rPr>
      </w:pPr>
    </w:p>
    <w:p w14:paraId="32F7E016"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Como se aprecia, la actividad señalada aplicaba para proyectos de construcción y/o reconstrucción de parques, lo que incluiría solo una de las actividades señaladas en el objeto del proceso consultado, esto es, la construcción, con exclusión de las actividades de estudios y diseños.</w:t>
      </w:r>
    </w:p>
    <w:p w14:paraId="6A5C8095"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 xml:space="preserve">Sin perjuicio de lo anterior, considerando que las actividades de estudios y diseños no se encontraban incluidas en la Matriz – Experiencia de los Documentos Tipo del sector cultura, recreación y deporte, la entidad, con fundamento en lo dispuesto en el artículo 4° de la Resolución 219 de 2021, podía contratar estas actividades teniendo en cuenta que en dicha disposición se establece que: </w:t>
      </w:r>
      <w:r w:rsidRPr="006C05C1">
        <w:rPr>
          <w:rFonts w:ascii="Verdana" w:eastAsia="Calibri" w:hAnsi="Verdana" w:cs="Arial"/>
          <w:i/>
          <w:iCs/>
          <w:color w:val="000000"/>
          <w:kern w:val="2"/>
          <w:lang w:eastAsia="en-GB"/>
          <w14:ligatures w14:val="standardContextual"/>
        </w:rPr>
        <w:t>“</w:t>
      </w:r>
      <w:r w:rsidRPr="006C05C1">
        <w:rPr>
          <w:rFonts w:ascii="Verdana" w:eastAsia="Calibri" w:hAnsi="Verdana" w:cs="Arial"/>
          <w:i/>
          <w:iCs/>
          <w:color w:val="000000"/>
          <w:kern w:val="2"/>
          <w:u w:val="single"/>
          <w:lang w:eastAsia="en-GB"/>
          <w14:ligatures w14:val="standardContextual"/>
        </w:rPr>
        <w:t>Cuando el objeto contractual incluya bienes o servicios ajenos a la obra pública de infraestructura social, la entidad estatal deberá aplicar los Documentos Tipo</w:t>
      </w:r>
      <w:r w:rsidRPr="006C05C1">
        <w:rPr>
          <w:rFonts w:ascii="Verdana" w:eastAsia="Calibri" w:hAnsi="Verdana" w:cs="Arial"/>
          <w:i/>
          <w:iCs/>
          <w:color w:val="000000"/>
          <w:kern w:val="2"/>
          <w:lang w:eastAsia="en-GB"/>
          <w14:ligatures w14:val="standardContextual"/>
        </w:rPr>
        <w:t xml:space="preserve">. Si de manera excepcional requiere incluir experiencia adicional para evaluar la idoneidad respecto de dichos bienes o servicios, deberá seguir los siguientes parámetros (…)”. (énfasis fuera del texto original). </w:t>
      </w:r>
    </w:p>
    <w:p w14:paraId="79BDD71A" w14:textId="77777777" w:rsidR="006C05C1" w:rsidRPr="006C05C1" w:rsidRDefault="006C05C1" w:rsidP="006C05C1">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lastRenderedPageBreak/>
        <w:tab/>
        <w:t>Lo dispuesto en el párrafo precedente, en concordancia con el literal m) del numeral 3.5.1 “Características de los contratos presentados para acreditar la experiencia” del documento base de los Documentos Tipo de licitación de obra pública de infraestructura social – versión 1</w:t>
      </w:r>
    </w:p>
    <w:p w14:paraId="02F1EDC5" w14:textId="77777777" w:rsidR="006C05C1" w:rsidRPr="006C05C1" w:rsidRDefault="006C05C1" w:rsidP="006C05C1">
      <w:pPr>
        <w:spacing w:after="120" w:line="276" w:lineRule="auto"/>
        <w:jc w:val="both"/>
        <w:rPr>
          <w:rFonts w:ascii="Aptos" w:eastAsia="Aptos" w:hAnsi="Aptos" w:cs="Times New Roman"/>
          <w:kern w:val="2"/>
          <w:sz w:val="24"/>
          <w:szCs w:val="24"/>
          <w:lang w:val="es-ES" w:eastAsia="es-MX"/>
          <w14:ligatures w14:val="standardContextual"/>
        </w:rPr>
      </w:pPr>
      <w:proofErr w:type="spellStart"/>
      <w:r w:rsidRPr="006C05C1">
        <w:rPr>
          <w:rFonts w:ascii="Aptos" w:eastAsia="Aptos" w:hAnsi="Aptos" w:cs="Times New Roman"/>
          <w:kern w:val="2"/>
          <w:sz w:val="24"/>
          <w:szCs w:val="24"/>
          <w:lang w:val="es-ES" w:eastAsia="es-MX"/>
          <w14:ligatures w14:val="standardContextual"/>
        </w:rPr>
        <w:t>iv</w:t>
      </w:r>
      <w:proofErr w:type="spellEnd"/>
      <w:r w:rsidRPr="006C05C1">
        <w:rPr>
          <w:rFonts w:ascii="Aptos" w:eastAsia="Aptos" w:hAnsi="Aptos" w:cs="Times New Roman"/>
          <w:kern w:val="2"/>
          <w:sz w:val="24"/>
          <w:szCs w:val="24"/>
          <w:lang w:val="es-ES" w:eastAsia="es-MX"/>
          <w14:ligatures w14:val="standardContextual"/>
        </w:rPr>
        <w:t xml:space="preserve">. </w:t>
      </w:r>
      <w:r w:rsidRPr="006C05C1">
        <w:rPr>
          <w:rFonts w:ascii="Verdana" w:eastAsia="Aptos" w:hAnsi="Verdana" w:cs="Times New Roman"/>
          <w:kern w:val="2"/>
          <w:lang w:eastAsia="es-MX"/>
          <w14:ligatures w14:val="standardContextual"/>
        </w:rPr>
        <w:t>Finalmente, usted indaga sobre la aplicación de los Documentos Tipo vigentes en el año 2024 para adelantar un proceso de selección cuyo objeto era “Realizar la instalación de estructuras prefabricadas y obras necesarias para la implementación de salones comunales (…)”. Sobre este aspecto, esta Agencia reitera lo señalado en el Concepto C-1399 del 6 de noviembre de 2025, en el que se indicó lo siguiente:</w:t>
      </w:r>
    </w:p>
    <w:p w14:paraId="163B52A5" w14:textId="77777777" w:rsidR="006C05C1" w:rsidRPr="006C05C1" w:rsidRDefault="006C05C1" w:rsidP="006C05C1">
      <w:pPr>
        <w:spacing w:after="120" w:line="276" w:lineRule="auto"/>
        <w:ind w:firstLine="708"/>
        <w:jc w:val="both"/>
        <w:rPr>
          <w:rFonts w:ascii="Verdana" w:eastAsia="Calibri" w:hAnsi="Verdana" w:cs="Arial"/>
          <w:kern w:val="2"/>
          <w:lang w:val="es-ES_tradnl"/>
          <w14:ligatures w14:val="standardContextual"/>
        </w:rPr>
      </w:pPr>
      <w:r w:rsidRPr="006C05C1">
        <w:rPr>
          <w:rFonts w:ascii="Verdana" w:eastAsia="Calibri" w:hAnsi="Verdana" w:cs="Arial"/>
          <w:color w:val="0D0D0D"/>
          <w:kern w:val="2"/>
          <w:lang w:val="es-ES"/>
          <w14:ligatures w14:val="standardContextual"/>
        </w:rPr>
        <w:t>L</w:t>
      </w:r>
      <w:r w:rsidRPr="006C05C1">
        <w:rPr>
          <w:rFonts w:ascii="Verdana" w:eastAsia="Calibri" w:hAnsi="Verdana" w:cs="Arial"/>
          <w:color w:val="0D0D0D"/>
          <w:kern w:val="2"/>
          <w:lang w:val="es-MX"/>
          <w14:ligatures w14:val="standardContextual"/>
        </w:rPr>
        <w:t xml:space="preserve">os objetos contractuales relacionados con la construcción, adecuación o mejoramiento de un salón comunal no están expresamente en las actividades a contratar de la “Matriz – Experiencia” de los documentos tipo de cultura, recreación y deporte expedidos por la Agencia Nacional de Contratación Pública – Colombia Compra Eficiente mediante la Resolución 454 de 2021.  Sin embargo, </w:t>
      </w:r>
      <w:r w:rsidRPr="006C05C1">
        <w:rPr>
          <w:rFonts w:ascii="Verdana" w:eastAsia="Calibri" w:hAnsi="Verdana" w:cs="Arial"/>
          <w:kern w:val="2"/>
          <w:lang w:val="es-ES_tradnl"/>
          <w14:ligatures w14:val="standardContextual"/>
        </w:rPr>
        <w:t xml:space="preserve">para interpretar el alcance y aplicación de la “Matriz de experiencia” es necesario tener en cuenta las definiciones del “Anexo – Glosario” del sector señalado. </w:t>
      </w:r>
    </w:p>
    <w:p w14:paraId="7CDE40A2"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lang w:val="es-ES_tradnl"/>
          <w14:ligatures w14:val="standardContextual"/>
        </w:rPr>
        <w:t xml:space="preserve">Para estos efectos, es </w:t>
      </w:r>
      <w:r w:rsidRPr="006C05C1">
        <w:rPr>
          <w:rFonts w:ascii="Verdana" w:eastAsia="Calibri" w:hAnsi="Verdana" w:cs="Arial"/>
          <w:kern w:val="2"/>
          <w14:ligatures w14:val="standardContextual"/>
        </w:rPr>
        <w:t xml:space="preserve">pertinente mencionar que </w:t>
      </w:r>
      <w:r w:rsidRPr="006C05C1">
        <w:rPr>
          <w:rFonts w:ascii="Verdana" w:eastAsia="Arial" w:hAnsi="Verdana" w:cs="Arial"/>
          <w:kern w:val="2"/>
          <w14:ligatures w14:val="standardContextual"/>
        </w:rPr>
        <w:t xml:space="preserve">el término </w:t>
      </w:r>
      <w:r w:rsidRPr="006C05C1">
        <w:rPr>
          <w:rFonts w:ascii="Verdana" w:eastAsia="Arial" w:hAnsi="Verdana" w:cs="Arial"/>
          <w:i/>
          <w:iCs/>
          <w:kern w:val="2"/>
          <w14:ligatures w14:val="standardContextual"/>
        </w:rPr>
        <w:t>“Infraestructura Cultural”</w:t>
      </w:r>
      <w:r w:rsidRPr="006C05C1">
        <w:rPr>
          <w:rFonts w:ascii="Verdana" w:eastAsia="Arial" w:hAnsi="Verdana" w:cs="Arial"/>
          <w:kern w:val="2"/>
          <w14:ligatures w14:val="standardContextual"/>
        </w:rPr>
        <w:t xml:space="preserve"> lo define el numeral 2.60 del “Anexo – Glosario” del sector cultura, recreación y deporte. Por otra parte, </w:t>
      </w:r>
      <w:r w:rsidRPr="006C05C1">
        <w:rPr>
          <w:rFonts w:ascii="Verdana" w:eastAsia="Calibri" w:hAnsi="Verdana" w:cs="Arial"/>
          <w:kern w:val="2"/>
          <w:lang w:val="es-ES_tradnl"/>
          <w14:ligatures w14:val="standardContextual"/>
        </w:rPr>
        <w:t xml:space="preserve">el Concejo de Bogotá define a los salones comunales como: “bienes de uso público administrados por la Junta de Acción Comunal en donde las comunidades se reúnen, celebran sus festividades y agasajos, como los matrimonios, cumpleaños, bautizos, entre otros, estos salones han sido espacios en donde se construye la historia y la cultura de los barrios de nuestra ciudad”. </w:t>
      </w:r>
    </w:p>
    <w:p w14:paraId="75627CA3" w14:textId="77777777" w:rsidR="006C05C1" w:rsidRPr="006C05C1" w:rsidRDefault="006C05C1" w:rsidP="006C05C1">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“Anexo – Glosario” del sector cultura, recreación y deporte. </w:t>
      </w:r>
    </w:p>
    <w:p w14:paraId="5E5467BC" w14:textId="77777777" w:rsidR="006C05C1" w:rsidRPr="006C05C1" w:rsidRDefault="006C05C1" w:rsidP="006C05C1">
      <w:pPr>
        <w:spacing w:after="120" w:line="278" w:lineRule="auto"/>
        <w:ind w:firstLine="708"/>
        <w:jc w:val="both"/>
        <w:textAlignment w:val="baseline"/>
        <w:rPr>
          <w:rFonts w:ascii="Verdana" w:eastAsia="Calibri" w:hAnsi="Verdana" w:cs="Times New Roman"/>
          <w:kern w:val="2"/>
          <w14:ligatures w14:val="standardContextual"/>
        </w:rPr>
      </w:pPr>
      <w:r w:rsidRPr="006C05C1">
        <w:rPr>
          <w:rFonts w:ascii="Verdana" w:eastAsia="Calibri" w:hAnsi="Verdana" w:cs="Arial"/>
          <w:kern w:val="2"/>
          <w:lang w:val="es-ES"/>
          <w14:ligatures w14:val="standardContextual"/>
        </w:rPr>
        <w:lastRenderedPageBreak/>
        <w:t xml:space="preserve">En este sentido, en la actividad 1.1 PROYECTOS DE CONSTRUCCIÓN Y/O AMPLIACIÓN Y/O RECONSTRUCCIÓN DE INFRAESTRUCTURA CULTURAL” y </w:t>
      </w:r>
      <w:r w:rsidRPr="006C05C1">
        <w:rPr>
          <w:rFonts w:ascii="Verdana" w:eastAsia="Calibri" w:hAnsi="Verdana" w:cs="Times New Roman"/>
          <w:kern w:val="2"/>
          <w14:ligatures w14:val="standardContextual"/>
        </w:rPr>
        <w:t xml:space="preserve">“1.2. PROYECTOS DE TERMINACIÓN Y/O MEJORAMIENTO Y/O REMODELACIÓN Y/O ADECUACIÓN Y/O MODIFICACIÓN Y/O MANTENIMIENTO DE INFRAESTRUCTURA CULTURAL”, </w:t>
      </w:r>
      <w:r w:rsidRPr="006C05C1">
        <w:rPr>
          <w:rFonts w:ascii="Verdana" w:eastAsia="Calibri" w:hAnsi="Verdana" w:cs="Arial"/>
          <w:kern w:val="2"/>
          <w:lang w:val="es-ES"/>
          <w14:ligatures w14:val="standardContextual"/>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671C6E23" w14:textId="77777777" w:rsidR="006C05C1" w:rsidRPr="006C05C1" w:rsidRDefault="006C05C1" w:rsidP="006C05C1">
      <w:pPr>
        <w:spacing w:after="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lang w:val="es-ES_tradnl"/>
          <w14:ligatures w14:val="standardContextual"/>
        </w:rPr>
        <w:t xml:space="preserve">En consecuencia, respecto a la consulta realizada se concluye que </w:t>
      </w:r>
      <w:r w:rsidRPr="006C05C1">
        <w:rPr>
          <w:rFonts w:ascii="Verdana" w:eastAsia="Calibri" w:hAnsi="Verdana" w:cs="Arial"/>
          <w:kern w:val="2"/>
          <w14:ligatures w14:val="standardContextual"/>
        </w:rPr>
        <w:t>la actividad de construcción, adecuación o mejoramiento de un salón comunal deben adelantarse utilizando los documentos tipo de licitación de obra pública de infraestructura social -sector cultura, recreación y de deporte-.</w:t>
      </w:r>
    </w:p>
    <w:p w14:paraId="48BA228F" w14:textId="77777777" w:rsidR="006C05C1" w:rsidRPr="006C05C1" w:rsidRDefault="006C05C1" w:rsidP="006C05C1">
      <w:pPr>
        <w:spacing w:after="0" w:line="276" w:lineRule="auto"/>
        <w:ind w:firstLine="708"/>
        <w:jc w:val="both"/>
        <w:rPr>
          <w:rFonts w:ascii="Verdana" w:eastAsia="Calibri" w:hAnsi="Verdana" w:cs="Arial"/>
          <w:color w:val="0D0D0D"/>
          <w:kern w:val="2"/>
          <w14:ligatures w14:val="standardContextual"/>
        </w:rPr>
      </w:pPr>
    </w:p>
    <w:bookmarkEnd w:id="2"/>
    <w:p w14:paraId="27CCACBB" w14:textId="77777777" w:rsidR="006C05C1" w:rsidRPr="006C05C1" w:rsidRDefault="006C05C1" w:rsidP="006C05C1">
      <w:pPr>
        <w:spacing w:after="120" w:line="278" w:lineRule="auto"/>
        <w:jc w:val="both"/>
        <w:rPr>
          <w:rFonts w:ascii="Verdana" w:eastAsia="Calibri" w:hAnsi="Verdana" w:cs="Arial"/>
          <w:bCs/>
          <w:color w:val="000000"/>
          <w:kern w:val="2"/>
          <w:sz w:val="24"/>
          <w:szCs w:val="24"/>
          <w14:ligatures w14:val="standardContextual"/>
        </w:rPr>
      </w:pPr>
      <w:proofErr w:type="spellStart"/>
      <w:r w:rsidRPr="006C05C1">
        <w:rPr>
          <w:rFonts w:ascii="Verdana" w:eastAsia="Calibri" w:hAnsi="Verdana" w:cs="Arial"/>
          <w:color w:val="000000"/>
          <w:kern w:val="2"/>
          <w:lang w:val="es-ES"/>
          <w14:ligatures w14:val="standardContextual"/>
        </w:rPr>
        <w:t>iv</w:t>
      </w:r>
      <w:proofErr w:type="spellEnd"/>
      <w:r w:rsidRPr="006C05C1">
        <w:rPr>
          <w:rFonts w:ascii="Verdana" w:eastAsia="Calibri" w:hAnsi="Verdana" w:cs="Arial"/>
          <w:color w:val="000000"/>
          <w:kern w:val="2"/>
          <w:lang w:val="es-ES"/>
          <w14:ligatures w14:val="standardContextual"/>
        </w:rPr>
        <w:t xml:space="preserve">. </w:t>
      </w:r>
      <w:r w:rsidRPr="006C05C1">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6C05C1">
        <w:rPr>
          <w:rFonts w:ascii="Verdana" w:eastAsia="Times New Roman" w:hAnsi="Verdana" w:cs="Arial"/>
          <w:kern w:val="2"/>
          <w:sz w:val="24"/>
          <w:szCs w:val="24"/>
          <w:shd w:val="clear" w:color="auto" w:fill="FFFFFF"/>
          <w:lang w:val="es-ES_tradnl" w:eastAsia="es-ES_tradnl"/>
          <w14:ligatures w14:val="standardContextual"/>
        </w:rPr>
        <w:t xml:space="preserve"> </w:t>
      </w:r>
      <w:r w:rsidRPr="006C05C1">
        <w:rPr>
          <w:rFonts w:ascii="Verdana" w:eastAsia="Calibri" w:hAnsi="Verdana" w:cs="Arial"/>
          <w:bCs/>
          <w:color w:val="000000"/>
          <w:kern w:val="2"/>
          <w:sz w:val="24"/>
          <w:szCs w:val="24"/>
          <w14:ligatures w14:val="standardContextual"/>
        </w:rPr>
        <w:t xml:space="preserve"> </w:t>
      </w:r>
    </w:p>
    <w:p w14:paraId="720B412C" w14:textId="77777777" w:rsidR="006C05C1" w:rsidRPr="006C05C1" w:rsidRDefault="006C05C1" w:rsidP="006C05C1">
      <w:pPr>
        <w:spacing w:after="120" w:line="276" w:lineRule="auto"/>
        <w:ind w:firstLine="708"/>
        <w:jc w:val="both"/>
        <w:rPr>
          <w:rFonts w:ascii="Verdana" w:eastAsia="Calibri" w:hAnsi="Verdana" w:cs="Arial"/>
          <w:color w:val="000000"/>
          <w:kern w:val="2"/>
          <w:lang w:val="es-ES"/>
          <w14:ligatures w14:val="standardContextual"/>
        </w:rPr>
      </w:pPr>
      <w:r w:rsidRPr="006C05C1">
        <w:rPr>
          <w:rFonts w:ascii="Verdana" w:eastAsia="Aptos" w:hAnsi="Verdana" w:cs="Arial"/>
          <w:color w:val="000000"/>
          <w:kern w:val="2"/>
          <w14:ligatures w14:val="standardContextual"/>
        </w:rPr>
        <w:t>Finalmente se señala que,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34D01A83" w14:textId="77777777" w:rsidR="006C05C1" w:rsidRPr="006C05C1" w:rsidRDefault="006C05C1" w:rsidP="006C05C1">
      <w:pPr>
        <w:spacing w:after="0" w:line="276" w:lineRule="auto"/>
        <w:ind w:firstLine="708"/>
        <w:jc w:val="both"/>
        <w:rPr>
          <w:rFonts w:ascii="Verdana" w:eastAsia="Aptos" w:hAnsi="Verdana" w:cs="Arial"/>
          <w:color w:val="000000"/>
          <w:kern w:val="2"/>
          <w14:ligatures w14:val="standardContextual"/>
        </w:rPr>
      </w:pPr>
      <w:r w:rsidRPr="006C05C1">
        <w:rPr>
          <w:rFonts w:ascii="Verdana" w:eastAsia="Aptos" w:hAnsi="Verdana" w:cs="Arial"/>
          <w:color w:val="000000"/>
          <w:kern w:val="2"/>
          <w14:ligatures w14:val="standardContextual"/>
        </w:rPr>
        <w:lastRenderedPageBreak/>
        <w:t xml:space="preserve">Dentro de este marco, el órgano disciplinario definirá en cada caso concreto lo relacionado con la tipicidad de las conductas investigadas en </w:t>
      </w:r>
      <w:r w:rsidRPr="006C05C1">
        <w:rPr>
          <w:rFonts w:ascii="Verdana" w:eastAsia="Calibri" w:hAnsi="Verdana" w:cs="Arial"/>
          <w:kern w:val="2"/>
          <w:lang w:val="es-ES" w:eastAsia="es-ES"/>
          <w14:ligatures w14:val="standardContextual"/>
        </w:rPr>
        <w:t>el expediente No. 487-2025 Auto No. 0185 del 23 de marzo de 2026</w:t>
      </w:r>
      <w:r w:rsidRPr="006C05C1">
        <w:rPr>
          <w:rFonts w:ascii="Verdana" w:eastAsia="Aptos" w:hAnsi="Verdana" w:cs="Arial"/>
          <w:color w:val="000000"/>
          <w:kern w:val="2"/>
          <w14:ligatures w14:val="standardContextual"/>
        </w:rPr>
        <w:t>. 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E95F23A" w14:textId="77777777" w:rsidR="006C05C1" w:rsidRPr="006C05C1" w:rsidRDefault="006C05C1" w:rsidP="006C05C1">
      <w:pPr>
        <w:tabs>
          <w:tab w:val="left" w:pos="142"/>
          <w:tab w:val="left" w:pos="284"/>
        </w:tabs>
        <w:spacing w:after="0" w:line="276" w:lineRule="auto"/>
        <w:jc w:val="both"/>
        <w:rPr>
          <w:rFonts w:ascii="Verdana" w:eastAsia="Century Gothic" w:hAnsi="Verdana" w:cs="Century Gothic"/>
          <w:lang w:val="es-ES_tradnl"/>
        </w:rPr>
      </w:pPr>
    </w:p>
    <w:p w14:paraId="497A5E5B" w14:textId="77777777" w:rsidR="006C05C1" w:rsidRPr="006C05C1" w:rsidRDefault="006C05C1" w:rsidP="006C05C1">
      <w:pPr>
        <w:tabs>
          <w:tab w:val="left" w:pos="142"/>
          <w:tab w:val="left" w:pos="284"/>
        </w:tabs>
        <w:spacing w:after="0" w:line="276" w:lineRule="auto"/>
        <w:jc w:val="both"/>
        <w:rPr>
          <w:rFonts w:ascii="Verdana" w:eastAsia="Century Gothic" w:hAnsi="Verdana" w:cs="Century Gothic"/>
          <w:b/>
          <w:bCs/>
          <w:lang w:val="es-ES_tradnl"/>
        </w:rPr>
      </w:pPr>
      <w:r w:rsidRPr="006C05C1">
        <w:rPr>
          <w:rFonts w:ascii="Verdana" w:eastAsia="Century Gothic" w:hAnsi="Verdana" w:cs="Century Gothic"/>
          <w:b/>
          <w:bCs/>
          <w:lang w:val="es-ES_tradnl"/>
        </w:rPr>
        <w:t>4. Referencias normativas, jurisprudenciales y otras fuentes:</w:t>
      </w:r>
    </w:p>
    <w:p w14:paraId="7682A73E" w14:textId="77777777" w:rsidR="006C05C1" w:rsidRPr="006C05C1" w:rsidRDefault="006C05C1" w:rsidP="006C05C1">
      <w:pPr>
        <w:spacing w:after="0"/>
        <w:ind w:left="-15840"/>
        <w:jc w:val="both"/>
        <w:rPr>
          <w:rFonts w:ascii="Verdana" w:eastAsia="Calibri" w:hAnsi="Verdana" w:cs="Arial"/>
          <w:b/>
          <w:bCs/>
        </w:rPr>
      </w:pPr>
      <w:r w:rsidRPr="006C05C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C05C1" w:rsidRPr="006C05C1" w14:paraId="18BCA09F" w14:textId="77777777" w:rsidTr="00B031EB">
        <w:trPr>
          <w:trHeight w:val="870"/>
        </w:trPr>
        <w:tc>
          <w:tcPr>
            <w:tcW w:w="8647" w:type="dxa"/>
            <w:tcBorders>
              <w:top w:val="dotted" w:sz="4" w:space="0" w:color="auto"/>
              <w:left w:val="dotted" w:sz="4" w:space="0" w:color="auto"/>
              <w:bottom w:val="dotted" w:sz="4" w:space="0" w:color="auto"/>
              <w:right w:val="dotted" w:sz="4" w:space="0" w:color="auto"/>
            </w:tcBorders>
          </w:tcPr>
          <w:p w14:paraId="0D56DBBB" w14:textId="77777777" w:rsidR="006C05C1" w:rsidRPr="006C05C1" w:rsidRDefault="006C05C1" w:rsidP="006C05C1">
            <w:pPr>
              <w:widowControl w:val="0"/>
              <w:numPr>
                <w:ilvl w:val="0"/>
                <w:numId w:val="17"/>
              </w:numPr>
              <w:autoSpaceDE w:val="0"/>
              <w:autoSpaceDN w:val="0"/>
              <w:spacing w:line="276" w:lineRule="auto"/>
              <w:contextualSpacing/>
              <w:jc w:val="both"/>
              <w:rPr>
                <w:rFonts w:ascii="Verdana" w:eastAsia="Aptos" w:hAnsi="Verdana" w:cs="Arial"/>
              </w:rPr>
            </w:pPr>
            <w:r w:rsidRPr="006C05C1">
              <w:rPr>
                <w:rFonts w:ascii="Verdana" w:eastAsia="Aptos" w:hAnsi="Verdana" w:cs="Arial"/>
              </w:rPr>
              <w:t>Constitución Política de Colombia, artículos 150 y 352.</w:t>
            </w:r>
          </w:p>
          <w:p w14:paraId="58383F1E" w14:textId="77777777" w:rsidR="006C05C1" w:rsidRPr="006C05C1" w:rsidRDefault="006C05C1" w:rsidP="006C05C1">
            <w:pPr>
              <w:widowControl w:val="0"/>
              <w:numPr>
                <w:ilvl w:val="0"/>
                <w:numId w:val="16"/>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80 de 1993, artículo 2.</w:t>
            </w:r>
          </w:p>
          <w:p w14:paraId="00DA45DB" w14:textId="77777777" w:rsidR="006C05C1" w:rsidRPr="006C05C1" w:rsidRDefault="006C05C1" w:rsidP="006C05C1">
            <w:pPr>
              <w:widowControl w:val="0"/>
              <w:numPr>
                <w:ilvl w:val="0"/>
                <w:numId w:val="16"/>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99 de 1993, artículo 23.</w:t>
            </w:r>
          </w:p>
          <w:p w14:paraId="50B6A1DF" w14:textId="77777777" w:rsidR="006C05C1" w:rsidRPr="006C05C1" w:rsidRDefault="006C05C1" w:rsidP="006C05C1">
            <w:pPr>
              <w:widowControl w:val="0"/>
              <w:numPr>
                <w:ilvl w:val="0"/>
                <w:numId w:val="16"/>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1150 de 2007, artículo 24</w:t>
            </w:r>
          </w:p>
          <w:p w14:paraId="096CD483" w14:textId="77777777" w:rsidR="006C05C1" w:rsidRPr="006C05C1" w:rsidRDefault="006C05C1" w:rsidP="006C05C1">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6C05C1">
              <w:rPr>
                <w:rFonts w:ascii="Verdana" w:eastAsia="Calibri" w:hAnsi="Verdana" w:cs="Arial"/>
                <w:lang w:val="es-ES_tradnl"/>
              </w:rPr>
              <w:t xml:space="preserve">Ley 2022 de 2020, artículo 1. </w:t>
            </w:r>
          </w:p>
          <w:p w14:paraId="2F216521" w14:textId="77777777" w:rsidR="006C05C1" w:rsidRPr="006C05C1" w:rsidRDefault="006C05C1" w:rsidP="006C05C1">
            <w:pPr>
              <w:widowControl w:val="0"/>
              <w:numPr>
                <w:ilvl w:val="0"/>
                <w:numId w:val="16"/>
              </w:numPr>
              <w:autoSpaceDE w:val="0"/>
              <w:autoSpaceDN w:val="0"/>
              <w:spacing w:line="276" w:lineRule="auto"/>
              <w:jc w:val="both"/>
              <w:rPr>
                <w:rFonts w:ascii="Verdana" w:eastAsia="Calibri" w:hAnsi="Verdana" w:cs="Arial"/>
              </w:rPr>
            </w:pPr>
            <w:r w:rsidRPr="006C05C1">
              <w:rPr>
                <w:rFonts w:ascii="Verdana" w:eastAsia="Calibri" w:hAnsi="Verdana" w:cs="Arial"/>
              </w:rPr>
              <w:t>Ley 1150 de 2007, artículo 2.</w:t>
            </w:r>
          </w:p>
          <w:p w14:paraId="2F317E07" w14:textId="77777777" w:rsidR="006C05C1" w:rsidRPr="006C05C1" w:rsidRDefault="006C05C1" w:rsidP="006C05C1">
            <w:pPr>
              <w:widowControl w:val="0"/>
              <w:numPr>
                <w:ilvl w:val="0"/>
                <w:numId w:val="16"/>
              </w:numPr>
              <w:autoSpaceDE w:val="0"/>
              <w:autoSpaceDN w:val="0"/>
              <w:spacing w:line="276" w:lineRule="auto"/>
              <w:contextualSpacing/>
              <w:jc w:val="both"/>
              <w:rPr>
                <w:rFonts w:ascii="Verdana" w:eastAsia="Calibri" w:hAnsi="Verdana" w:cs="Arial"/>
              </w:rPr>
            </w:pPr>
            <w:r w:rsidRPr="006C05C1">
              <w:rPr>
                <w:rFonts w:ascii="Verdana" w:eastAsia="Calibri" w:hAnsi="Verdana" w:cs="Arial"/>
                <w:lang w:val="es-ES_tradnl"/>
              </w:rPr>
              <w:t xml:space="preserve">Documentos Tipo. Disponibles en: </w:t>
            </w:r>
            <w:hyperlink r:id="rId11" w:history="1">
              <w:r w:rsidRPr="006C05C1">
                <w:rPr>
                  <w:rFonts w:ascii="Verdana" w:eastAsia="Calibri" w:hAnsi="Verdana" w:cs="Arial"/>
                  <w:color w:val="0000FF"/>
                  <w:u w:val="single"/>
                  <w:lang w:val="es-ES_tradnl"/>
                </w:rPr>
                <w:t>https://www.colombiacompra.gov.co/documentos-tipo/documentos-tipo</w:t>
              </w:r>
            </w:hyperlink>
            <w:r w:rsidRPr="006C05C1">
              <w:rPr>
                <w:rFonts w:ascii="Verdana" w:eastAsia="Calibri" w:hAnsi="Verdana" w:cs="Arial"/>
                <w:lang w:val="es-ES_tradnl"/>
              </w:rPr>
              <w:t>.</w:t>
            </w:r>
          </w:p>
        </w:tc>
      </w:tr>
    </w:tbl>
    <w:p w14:paraId="176AB195" w14:textId="77777777" w:rsidR="006C05C1" w:rsidRPr="006C05C1" w:rsidRDefault="006C05C1" w:rsidP="006C05C1">
      <w:pPr>
        <w:tabs>
          <w:tab w:val="left" w:pos="142"/>
          <w:tab w:val="left" w:pos="284"/>
        </w:tabs>
        <w:spacing w:after="0" w:line="276" w:lineRule="auto"/>
        <w:jc w:val="both"/>
        <w:rPr>
          <w:rFonts w:ascii="Verdana" w:eastAsia="Calibri" w:hAnsi="Verdana" w:cs="Arial"/>
        </w:rPr>
      </w:pPr>
    </w:p>
    <w:p w14:paraId="732B4EFB" w14:textId="77777777" w:rsidR="006C05C1" w:rsidRPr="006C05C1" w:rsidRDefault="006C05C1" w:rsidP="006C05C1">
      <w:pPr>
        <w:tabs>
          <w:tab w:val="left" w:pos="142"/>
          <w:tab w:val="left" w:pos="284"/>
        </w:tabs>
        <w:spacing w:after="0" w:line="276" w:lineRule="auto"/>
        <w:jc w:val="both"/>
        <w:rPr>
          <w:rFonts w:ascii="Verdana" w:eastAsia="Century Gothic" w:hAnsi="Verdana" w:cs="Century Gothic"/>
          <w:b/>
          <w:bCs/>
          <w:lang w:val="es-ES"/>
        </w:rPr>
      </w:pPr>
      <w:r w:rsidRPr="006C05C1">
        <w:rPr>
          <w:rFonts w:ascii="Verdana" w:eastAsia="Calibri" w:hAnsi="Verdana" w:cs="Arial"/>
          <w:b/>
          <w:bCs/>
        </w:rPr>
        <w:t>5</w:t>
      </w:r>
      <w:r w:rsidRPr="006C05C1">
        <w:rPr>
          <w:rFonts w:ascii="Verdana" w:eastAsia="Calibri" w:hAnsi="Verdana" w:cs="Arial"/>
        </w:rPr>
        <w:t>.</w:t>
      </w:r>
      <w:r w:rsidRPr="006C05C1">
        <w:rPr>
          <w:rFonts w:ascii="Verdana" w:eastAsia="Century Gothic" w:hAnsi="Verdana" w:cs="Century Gothic"/>
          <w:b/>
          <w:bCs/>
          <w:lang w:val="es-ES"/>
        </w:rPr>
        <w:t>Doctrina de la Agencia Nacional de Contratación Pública:</w:t>
      </w:r>
    </w:p>
    <w:p w14:paraId="5F81F9AE" w14:textId="77777777" w:rsidR="006C05C1" w:rsidRPr="006C05C1" w:rsidRDefault="006C05C1" w:rsidP="006C05C1">
      <w:pPr>
        <w:widowControl w:val="0"/>
        <w:autoSpaceDE w:val="0"/>
        <w:autoSpaceDN w:val="0"/>
        <w:spacing w:after="0" w:line="276" w:lineRule="auto"/>
        <w:jc w:val="both"/>
        <w:rPr>
          <w:rFonts w:ascii="Verdana" w:eastAsia="Calibri" w:hAnsi="Verdana" w:cs="Arial"/>
        </w:rPr>
      </w:pPr>
    </w:p>
    <w:p w14:paraId="185463DA" w14:textId="77777777" w:rsidR="006C05C1" w:rsidRPr="006C05C1" w:rsidRDefault="006C05C1" w:rsidP="006C05C1">
      <w:pPr>
        <w:spacing w:after="0" w:line="276" w:lineRule="auto"/>
        <w:jc w:val="both"/>
        <w:rPr>
          <w:rFonts w:ascii="Verdana" w:eastAsia="Calibri" w:hAnsi="Verdana" w:cs="Arial"/>
          <w:lang w:val="es-ES"/>
        </w:rPr>
      </w:pPr>
      <w:r w:rsidRPr="006C05C1">
        <w:rPr>
          <w:rFonts w:ascii="Verdana" w:eastAsia="Calibri" w:hAnsi="Verdana" w:cs="Arial"/>
          <w:shd w:val="clear" w:color="auto" w:fill="FFFFFF"/>
          <w:lang w:val="es-ES"/>
        </w:rPr>
        <w:t>La Agencia Nacional de Contratación Pública – Colombia Compra Eficiente se pronunció</w:t>
      </w:r>
      <w:r w:rsidRPr="006C05C1">
        <w:rPr>
          <w:rFonts w:ascii="Verdana" w:eastAsia="Calibri" w:hAnsi="Verdana" w:cs="Times New Roman"/>
        </w:rPr>
        <w:t xml:space="preserve"> </w:t>
      </w:r>
      <w:r w:rsidRPr="006C05C1">
        <w:rPr>
          <w:rFonts w:ascii="Verdana" w:eastAsia="Calibri" w:hAnsi="Verdana" w:cs="Arial"/>
          <w:shd w:val="clear" w:color="auto" w:fill="FFFFFF"/>
          <w:lang w:val="es-ES"/>
        </w:rPr>
        <w:t>sobre el ámbito de aplicación de los documentos tipo,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6C05C1">
        <w:rPr>
          <w:rFonts w:ascii="Verdana" w:eastAsia="Calibri" w:hAnsi="Verdana" w:cs="Arial"/>
          <w:shd w:val="clear" w:color="auto" w:fill="FFFFFF"/>
          <w:lang w:val="es-ES"/>
        </w:rPr>
        <w:tab/>
        <w:t xml:space="preserve">C-636 del 1 de noviembre de 2024, C-777 del 9 de diciembre de 2024, C-971 del 21 de enero de 2025, C-043 del 13 de febrero de 2026 y C-246 del 12 de marzo de 2026, entre otros. </w:t>
      </w:r>
    </w:p>
    <w:p w14:paraId="78875B4A" w14:textId="77777777" w:rsidR="006C05C1" w:rsidRPr="006C05C1" w:rsidRDefault="006C05C1" w:rsidP="006C05C1">
      <w:pPr>
        <w:widowControl w:val="0"/>
        <w:autoSpaceDE w:val="0"/>
        <w:autoSpaceDN w:val="0"/>
        <w:spacing w:after="0" w:line="276" w:lineRule="auto"/>
        <w:jc w:val="both"/>
        <w:rPr>
          <w:rFonts w:ascii="Verdana" w:eastAsia="Times New Roman" w:hAnsi="Verdana" w:cs="Arial"/>
          <w:shd w:val="clear" w:color="auto" w:fill="FFFFFF"/>
          <w:lang w:val="es-ES"/>
        </w:rPr>
      </w:pPr>
    </w:p>
    <w:p w14:paraId="7BC60F74" w14:textId="77777777" w:rsidR="006C05C1" w:rsidRPr="006C05C1" w:rsidRDefault="006C05C1" w:rsidP="006C05C1">
      <w:pPr>
        <w:widowControl w:val="0"/>
        <w:autoSpaceDE w:val="0"/>
        <w:autoSpaceDN w:val="0"/>
        <w:spacing w:after="0" w:line="276" w:lineRule="auto"/>
        <w:jc w:val="both"/>
        <w:rPr>
          <w:rFonts w:ascii="Verdana" w:eastAsia="Times New Roman" w:hAnsi="Verdana" w:cs="Arial"/>
          <w:shd w:val="clear" w:color="auto" w:fill="FFFFFF"/>
          <w:lang w:val="es-ES"/>
        </w:rPr>
      </w:pPr>
      <w:r w:rsidRPr="006C05C1">
        <w:rPr>
          <w:rFonts w:ascii="Verdana" w:eastAsia="Calibri" w:hAnsi="Verdana" w:cs="Arial"/>
          <w:color w:val="000000"/>
          <w:shd w:val="clear" w:color="auto" w:fill="FFFFFF"/>
        </w:rPr>
        <w:lastRenderedPageBreak/>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C05C1">
          <w:rPr>
            <w:rFonts w:ascii="Verdana" w:eastAsia="Calibri" w:hAnsi="Verdana" w:cs="Arial"/>
            <w:color w:val="0000FF"/>
            <w:kern w:val="2"/>
            <w:u w:val="single"/>
            <w:shd w:val="clear" w:color="auto" w:fill="FFFFFF"/>
            <w14:ligatures w14:val="standardContextual"/>
          </w:rPr>
          <w:t>https://relatoria.colombiacompra.gov.co/</w:t>
        </w:r>
      </w:hyperlink>
      <w:r w:rsidRPr="006C05C1">
        <w:rPr>
          <w:rFonts w:ascii="Verdana" w:eastAsia="Calibri" w:hAnsi="Verdana" w:cs="Arial"/>
          <w:color w:val="0000FF"/>
          <w:kern w:val="2"/>
          <w:u w:val="single"/>
          <w:shd w:val="clear" w:color="auto" w:fill="FFFFFF"/>
          <w14:ligatures w14:val="standardContextual"/>
        </w:rPr>
        <w:t> .</w:t>
      </w:r>
    </w:p>
    <w:p w14:paraId="784BD2CB" w14:textId="77777777" w:rsidR="006C05C1" w:rsidRPr="006C05C1" w:rsidRDefault="006C05C1" w:rsidP="006C05C1">
      <w:pPr>
        <w:spacing w:after="0" w:line="240" w:lineRule="auto"/>
        <w:jc w:val="both"/>
        <w:rPr>
          <w:rFonts w:ascii="Verdana" w:eastAsia="Calibri" w:hAnsi="Verdana" w:cs="Arial"/>
          <w:color w:val="000000"/>
          <w:shd w:val="clear" w:color="auto" w:fill="FFFFFF"/>
        </w:rPr>
      </w:pPr>
    </w:p>
    <w:p w14:paraId="0FE2A71E" w14:textId="77777777" w:rsidR="006C05C1" w:rsidRPr="006C05C1" w:rsidRDefault="006C05C1" w:rsidP="006C05C1">
      <w:pPr>
        <w:spacing w:after="0" w:line="276" w:lineRule="auto"/>
        <w:jc w:val="both"/>
        <w:rPr>
          <w:rFonts w:ascii="Verdana" w:eastAsia="Times New Roman" w:hAnsi="Verdana" w:cs="Arial"/>
          <w:lang w:eastAsia="es-MX"/>
        </w:rPr>
      </w:pPr>
      <w:r w:rsidRPr="006C05C1">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6C05C1">
        <w:rPr>
          <w:rFonts w:ascii="Verdana" w:eastAsia="Times New Roman" w:hAnsi="Verdana" w:cs="Arial"/>
          <w:b/>
          <w:bCs/>
          <w:lang w:eastAsia="es-MX"/>
        </w:rPr>
        <w:t>Curso de Contratación Pública Sostenible y Socialmente Responsable</w:t>
      </w:r>
      <w:r w:rsidRPr="006C05C1">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6C05C1">
        <w:rPr>
          <w:rFonts w:ascii="Verdana" w:eastAsia="Times New Roman" w:hAnsi="Verdana" w:cs="Arial"/>
          <w:lang w:eastAsia="es-MX"/>
        </w:rPr>
        <w:br/>
      </w:r>
      <w:hyperlink r:id="rId13" w:tgtFrame="_new" w:history="1">
        <w:r w:rsidRPr="006C05C1">
          <w:rPr>
            <w:rFonts w:ascii="Verdana" w:eastAsia="Times New Roman" w:hAnsi="Verdana" w:cs="Arial"/>
            <w:color w:val="0000FF"/>
            <w:u w:val="single"/>
            <w:lang w:eastAsia="es-MX"/>
          </w:rPr>
          <w:t>https://formacionvirtual.colombiacompra.gov.co/mod/page/view.php?id=3718</w:t>
        </w:r>
      </w:hyperlink>
    </w:p>
    <w:p w14:paraId="0531D6A2" w14:textId="77777777" w:rsidR="006C05C1" w:rsidRPr="006C05C1" w:rsidRDefault="006C05C1" w:rsidP="006C05C1">
      <w:pPr>
        <w:spacing w:after="0" w:line="276" w:lineRule="auto"/>
        <w:jc w:val="both"/>
        <w:rPr>
          <w:rFonts w:ascii="Verdana" w:eastAsia="Times New Roman" w:hAnsi="Verdana" w:cs="Arial"/>
          <w:lang w:eastAsia="es-MX"/>
        </w:rPr>
      </w:pPr>
      <w:r w:rsidRPr="006C05C1">
        <w:rPr>
          <w:rFonts w:ascii="Verdana" w:eastAsia="Times New Roman" w:hAnsi="Verdana" w:cs="Arial"/>
          <w:lang w:eastAsia="es-MX"/>
        </w:rPr>
        <w:t xml:space="preserve">De otro lado, te contamos que esta Agencia ha da un paso decisivo en la estandarización y modernización del </w:t>
      </w:r>
      <w:r w:rsidRPr="006C05C1">
        <w:rPr>
          <w:rFonts w:ascii="Verdana" w:eastAsia="Times New Roman" w:hAnsi="Verdana" w:cs="Arial"/>
          <w:b/>
          <w:bCs/>
          <w:lang w:eastAsia="es-MX"/>
        </w:rPr>
        <w:t>sector  social</w:t>
      </w:r>
      <w:r w:rsidRPr="006C05C1">
        <w:rPr>
          <w:rFonts w:ascii="Verdana" w:eastAsia="Times New Roman" w:hAnsi="Verdana" w:cs="Arial"/>
          <w:lang w:eastAsia="es-MX"/>
        </w:rPr>
        <w:t xml:space="preserve"> con la expedición de las </w:t>
      </w:r>
      <w:r w:rsidRPr="006C05C1">
        <w:rPr>
          <w:rFonts w:ascii="Verdana" w:eastAsia="Times New Roman" w:hAnsi="Verdana" w:cs="Arial"/>
          <w:b/>
          <w:bCs/>
          <w:lang w:eastAsia="es-MX"/>
        </w:rPr>
        <w:t>Resoluciones 539, 540, 541, 952 y 953 de 2025</w:t>
      </w:r>
      <w:r w:rsidRPr="006C05C1">
        <w:rPr>
          <w:rFonts w:ascii="Verdana" w:eastAsia="Times New Roman" w:hAnsi="Verdana" w:cs="Arial"/>
          <w:lang w:eastAsia="es-MX"/>
        </w:rPr>
        <w:t xml:space="preserve">, </w:t>
      </w:r>
      <w:r w:rsidRPr="006C05C1">
        <w:rPr>
          <w:rFonts w:ascii="Verdana" w:eastAsia="Times New Roman" w:hAnsi="Verdana" w:cs="Arial"/>
          <w:b/>
          <w:bCs/>
          <w:lang w:eastAsia="es-MX"/>
        </w:rPr>
        <w:t>mediante las cuales adoptó Documentos Tipo</w:t>
      </w:r>
      <w:r w:rsidRPr="006C05C1">
        <w:rPr>
          <w:rFonts w:ascii="Verdana" w:eastAsia="Times New Roman" w:hAnsi="Verdana" w:cs="Arial"/>
          <w:lang w:eastAsia="es-MX"/>
        </w:rPr>
        <w:t xml:space="preserve"> para las modalidades de selección de</w:t>
      </w:r>
      <w:r w:rsidRPr="006C05C1">
        <w:rPr>
          <w:rFonts w:ascii="Verdana" w:eastAsia="Times New Roman" w:hAnsi="Verdana" w:cs="Arial"/>
          <w:b/>
          <w:bCs/>
          <w:lang w:eastAsia="es-MX"/>
        </w:rPr>
        <w:t xml:space="preserve"> licitación pública (versión 2), selección abreviada de menor cuantía, mínima cuantía, consultoría e interventoría</w:t>
      </w:r>
      <w:r w:rsidRPr="006C05C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C05C1">
          <w:rPr>
            <w:rFonts w:ascii="Verdana" w:eastAsia="Times New Roman" w:hAnsi="Verdana" w:cs="Arial"/>
            <w:color w:val="0000FF"/>
            <w:u w:val="single"/>
            <w:lang w:eastAsia="es-MX"/>
          </w:rPr>
          <w:t>https://www.colombiacompra.gov.co/normativa-y-relatoria/documentos-tipo</w:t>
        </w:r>
      </w:hyperlink>
    </w:p>
    <w:p w14:paraId="6403C92F" w14:textId="77777777" w:rsidR="006C05C1" w:rsidRPr="006C05C1" w:rsidRDefault="006C05C1" w:rsidP="006C05C1">
      <w:pPr>
        <w:spacing w:after="0" w:line="276" w:lineRule="auto"/>
        <w:jc w:val="both"/>
        <w:rPr>
          <w:rFonts w:ascii="Verdana" w:eastAsia="Times New Roman" w:hAnsi="Verdana" w:cs="Arial"/>
          <w:lang w:eastAsia="es-MX"/>
        </w:rPr>
      </w:pPr>
    </w:p>
    <w:p w14:paraId="004A0318" w14:textId="77777777" w:rsidR="006C05C1" w:rsidRPr="006C05C1" w:rsidRDefault="006C05C1" w:rsidP="006C05C1">
      <w:pPr>
        <w:spacing w:after="0" w:line="276" w:lineRule="auto"/>
        <w:jc w:val="both"/>
        <w:rPr>
          <w:rFonts w:ascii="Verdana" w:eastAsia="Times New Roman" w:hAnsi="Verdana" w:cs="Arial"/>
          <w:lang w:eastAsia="es-MX"/>
        </w:rPr>
      </w:pPr>
      <w:r w:rsidRPr="006C05C1">
        <w:rPr>
          <w:rFonts w:ascii="Verdana" w:eastAsia="Times New Roman" w:hAnsi="Verdana" w:cs="Arial"/>
          <w:lang w:eastAsia="es-MX"/>
        </w:rPr>
        <w:t xml:space="preserve">Si quieres conocer más sobre la aplicación de Documentos Tipo puedes consultar la última versión de la </w:t>
      </w:r>
      <w:r w:rsidRPr="006C05C1">
        <w:rPr>
          <w:rFonts w:ascii="Verdana" w:eastAsia="Times New Roman" w:hAnsi="Verdana" w:cs="Arial"/>
          <w:b/>
          <w:bCs/>
          <w:lang w:eastAsia="es-MX"/>
        </w:rPr>
        <w:t>Guía para la comprensión e implementación de los Documentos Tipo de obra pública de infraestructura de transporte</w:t>
      </w:r>
      <w:r w:rsidRPr="006C05C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C05C1">
        <w:rPr>
          <w:rFonts w:ascii="Verdana" w:eastAsia="Times New Roman" w:hAnsi="Verdana" w:cs="Arial"/>
          <w:lang w:eastAsia="es-MX"/>
        </w:rPr>
        <w:br/>
      </w:r>
      <w:hyperlink r:id="rId15" w:tgtFrame="_new" w:history="1">
        <w:r w:rsidRPr="006C05C1">
          <w:rPr>
            <w:rFonts w:ascii="Verdana" w:eastAsia="Times New Roman" w:hAnsi="Verdana" w:cs="Arial"/>
            <w:color w:val="0000FF"/>
            <w:u w:val="single"/>
            <w:lang w:eastAsia="es-MX"/>
          </w:rPr>
          <w:t>https://www.colombiacompra.gov.co/archivos/manual/guia-para-la-comprension-e-implementacion-de-los-documentos-tipo-de-obra-publica-de-</w:t>
        </w:r>
        <w:r w:rsidRPr="006C05C1">
          <w:rPr>
            <w:rFonts w:ascii="Verdana" w:eastAsia="Times New Roman" w:hAnsi="Verdana" w:cs="Arial"/>
            <w:color w:val="0000FF"/>
            <w:u w:val="single"/>
            <w:lang w:eastAsia="es-MX"/>
          </w:rPr>
          <w:lastRenderedPageBreak/>
          <w:t>infraestructura-de-transporte-bajo-las-diferentes-modalidades-de-contratacion-vigentes</w:t>
        </w:r>
      </w:hyperlink>
    </w:p>
    <w:p w14:paraId="32655C3A" w14:textId="77777777" w:rsidR="006C05C1" w:rsidRPr="006C05C1" w:rsidRDefault="006C05C1" w:rsidP="006C05C1">
      <w:pPr>
        <w:spacing w:after="0"/>
        <w:jc w:val="both"/>
        <w:rPr>
          <w:rFonts w:ascii="Verdana" w:eastAsia="Aptos" w:hAnsi="Verdana" w:cs="Times New Roman"/>
          <w:color w:val="212121"/>
          <w:lang w:eastAsia="es-MX"/>
        </w:rPr>
      </w:pPr>
    </w:p>
    <w:p w14:paraId="758FF2DD" w14:textId="77777777" w:rsidR="006C05C1" w:rsidRPr="006C05C1" w:rsidRDefault="006C05C1" w:rsidP="006C05C1">
      <w:pPr>
        <w:spacing w:after="0" w:line="240" w:lineRule="auto"/>
        <w:jc w:val="both"/>
        <w:rPr>
          <w:rFonts w:ascii="Verdana" w:eastAsia="Calibri" w:hAnsi="Verdana" w:cs="Times New Roman"/>
          <w:lang w:eastAsia="es-MX"/>
        </w:rPr>
      </w:pPr>
      <w:r w:rsidRPr="006C05C1">
        <w:rPr>
          <w:rFonts w:ascii="Verdana" w:eastAsia="Aptos" w:hAnsi="Verdana" w:cs="Times New Roman"/>
          <w:lang w:eastAsia="es-MX"/>
        </w:rPr>
        <w:t xml:space="preserve">Por último, lo invitamos a seguirnos en las redes sociales en las cuales se difunde información institucional: </w:t>
      </w:r>
    </w:p>
    <w:p w14:paraId="2E64EFB0" w14:textId="77777777" w:rsidR="006C05C1" w:rsidRPr="006C05C1" w:rsidRDefault="006C05C1" w:rsidP="006C05C1">
      <w:pPr>
        <w:spacing w:after="0" w:line="240" w:lineRule="auto"/>
        <w:jc w:val="both"/>
        <w:rPr>
          <w:rFonts w:ascii="Verdana" w:eastAsia="Aptos" w:hAnsi="Verdana" w:cs="Times New Roman"/>
          <w:lang w:eastAsia="es-MX"/>
        </w:rPr>
      </w:pPr>
    </w:p>
    <w:p w14:paraId="714BFFE3" w14:textId="77777777" w:rsidR="006C05C1" w:rsidRPr="006C05C1" w:rsidRDefault="006C05C1" w:rsidP="006C05C1">
      <w:pPr>
        <w:spacing w:after="0" w:line="240" w:lineRule="auto"/>
        <w:jc w:val="both"/>
        <w:rPr>
          <w:rFonts w:ascii="Verdana" w:eastAsia="Aptos" w:hAnsi="Verdana" w:cs="Times New Roman"/>
          <w:lang w:eastAsia="es-MX"/>
        </w:rPr>
      </w:pPr>
      <w:r w:rsidRPr="006C05C1">
        <w:rPr>
          <w:rFonts w:ascii="Verdana" w:eastAsia="Aptos" w:hAnsi="Verdana" w:cs="Times New Roman"/>
          <w:lang w:eastAsia="es-MX"/>
        </w:rPr>
        <w:t xml:space="preserve">Twitter: </w:t>
      </w:r>
      <w:r w:rsidRPr="006C05C1">
        <w:rPr>
          <w:rFonts w:ascii="Verdana" w:eastAsia="Calibri" w:hAnsi="Verdana" w:cs="Times New Roman"/>
          <w:color w:val="156082"/>
          <w:u w:val="single"/>
          <w:lang w:eastAsia="es-MX"/>
        </w:rPr>
        <w:t>@colombiacompra</w:t>
      </w:r>
      <w:r w:rsidRPr="006C05C1">
        <w:rPr>
          <w:rFonts w:ascii="Verdana" w:eastAsia="Calibri" w:hAnsi="Verdana" w:cs="Times New Roman"/>
          <w:color w:val="156082"/>
          <w:lang w:eastAsia="es-MX"/>
        </w:rPr>
        <w:t xml:space="preserve"> </w:t>
      </w:r>
    </w:p>
    <w:p w14:paraId="0BA49636" w14:textId="77777777" w:rsidR="006C05C1" w:rsidRPr="006C05C1" w:rsidRDefault="006C05C1" w:rsidP="006C05C1">
      <w:pPr>
        <w:spacing w:after="0" w:line="240" w:lineRule="auto"/>
        <w:jc w:val="both"/>
        <w:rPr>
          <w:rFonts w:ascii="Verdana" w:eastAsia="Aptos" w:hAnsi="Verdana" w:cs="Times New Roman"/>
          <w:lang w:eastAsia="es-MX"/>
        </w:rPr>
      </w:pPr>
      <w:r w:rsidRPr="006C05C1">
        <w:rPr>
          <w:rFonts w:ascii="Verdana" w:eastAsia="Aptos" w:hAnsi="Verdana" w:cs="Times New Roman"/>
          <w:lang w:eastAsia="es-MX"/>
        </w:rPr>
        <w:t xml:space="preserve">Facebook: </w:t>
      </w:r>
      <w:proofErr w:type="spellStart"/>
      <w:r w:rsidRPr="006C05C1">
        <w:rPr>
          <w:rFonts w:ascii="Verdana" w:eastAsia="Calibri" w:hAnsi="Verdana" w:cs="Times New Roman"/>
          <w:color w:val="156082"/>
          <w:u w:val="single"/>
          <w:lang w:eastAsia="es-MX"/>
        </w:rPr>
        <w:t>ColombiaCompraEficiente</w:t>
      </w:r>
      <w:proofErr w:type="spellEnd"/>
    </w:p>
    <w:p w14:paraId="44235B13" w14:textId="77777777" w:rsidR="006C05C1" w:rsidRPr="006C05C1" w:rsidRDefault="006C05C1" w:rsidP="006C05C1">
      <w:pPr>
        <w:spacing w:after="0" w:line="240" w:lineRule="auto"/>
        <w:jc w:val="both"/>
        <w:rPr>
          <w:rFonts w:ascii="Verdana" w:eastAsia="Aptos" w:hAnsi="Verdana" w:cs="Times New Roman"/>
          <w:lang w:eastAsia="es-MX"/>
        </w:rPr>
      </w:pPr>
      <w:r w:rsidRPr="006C05C1">
        <w:rPr>
          <w:rFonts w:ascii="Verdana" w:eastAsia="Aptos" w:hAnsi="Verdana" w:cs="Times New Roman"/>
          <w:lang w:eastAsia="es-MX"/>
        </w:rPr>
        <w:t xml:space="preserve">LinkedIn: </w:t>
      </w:r>
      <w:r w:rsidRPr="006C05C1">
        <w:rPr>
          <w:rFonts w:ascii="Verdana" w:eastAsia="Calibri" w:hAnsi="Verdana" w:cs="Times New Roman"/>
          <w:color w:val="156082"/>
          <w:u w:val="single"/>
          <w:lang w:eastAsia="es-MX"/>
        </w:rPr>
        <w:t>Agencia Nacional de Contratación Pública - Colombia Compra Eficiente</w:t>
      </w:r>
      <w:r w:rsidRPr="006C05C1">
        <w:rPr>
          <w:rFonts w:ascii="Verdana" w:eastAsia="Calibri" w:hAnsi="Verdana" w:cs="Times New Roman"/>
          <w:color w:val="156082"/>
          <w:lang w:eastAsia="es-MX"/>
        </w:rPr>
        <w:t xml:space="preserve"> </w:t>
      </w:r>
      <w:r w:rsidRPr="006C05C1">
        <w:rPr>
          <w:rFonts w:ascii="Verdana" w:eastAsia="Aptos" w:hAnsi="Verdana" w:cs="Times New Roman"/>
          <w:lang w:eastAsia="es-MX"/>
        </w:rPr>
        <w:t xml:space="preserve">Instagram: </w:t>
      </w:r>
      <w:r w:rsidRPr="006C05C1">
        <w:rPr>
          <w:rFonts w:ascii="Verdana" w:eastAsia="Calibri" w:hAnsi="Verdana" w:cs="Times New Roman"/>
          <w:color w:val="156082"/>
          <w:u w:val="single"/>
          <w:lang w:eastAsia="es-MX"/>
        </w:rPr>
        <w:t>@colombiacompraeficiente_cce</w:t>
      </w:r>
    </w:p>
    <w:p w14:paraId="1B69D05B" w14:textId="77777777" w:rsidR="006C05C1" w:rsidRPr="006C05C1" w:rsidRDefault="006C05C1" w:rsidP="006C05C1">
      <w:pPr>
        <w:spacing w:after="0" w:line="276" w:lineRule="auto"/>
        <w:jc w:val="both"/>
        <w:rPr>
          <w:rFonts w:ascii="Verdana" w:eastAsia="Aptos" w:hAnsi="Verdana" w:cs="Times New Roman"/>
          <w:lang w:eastAsia="es-MX"/>
        </w:rPr>
      </w:pPr>
    </w:p>
    <w:p w14:paraId="456AEE7A" w14:textId="77777777" w:rsidR="006C05C1" w:rsidRPr="006C05C1" w:rsidRDefault="006C05C1" w:rsidP="006C05C1">
      <w:pPr>
        <w:spacing w:after="0" w:line="276" w:lineRule="auto"/>
        <w:jc w:val="both"/>
        <w:rPr>
          <w:rFonts w:ascii="Verdana" w:eastAsia="Calibri" w:hAnsi="Verdana" w:cs="Times New Roman"/>
          <w:bCs/>
          <w:lang w:val="es-ES_tradnl" w:eastAsia="es-MX"/>
        </w:rPr>
      </w:pPr>
      <w:r w:rsidRPr="006C05C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4B99BC" w14:textId="77777777" w:rsidR="006C05C1" w:rsidRPr="006C05C1" w:rsidRDefault="006C05C1" w:rsidP="006C05C1">
      <w:pPr>
        <w:spacing w:after="0" w:line="276" w:lineRule="auto"/>
        <w:jc w:val="both"/>
        <w:rPr>
          <w:rFonts w:ascii="Verdana" w:eastAsia="Calibri" w:hAnsi="Verdana" w:cs="Times New Roman"/>
          <w:lang w:eastAsia="es-MX"/>
        </w:rPr>
      </w:pPr>
    </w:p>
    <w:p w14:paraId="01E2F9C6" w14:textId="401B6761" w:rsidR="006C05C1" w:rsidRPr="006C05C1" w:rsidRDefault="006C05C1" w:rsidP="006C05C1">
      <w:pPr>
        <w:spacing w:after="0" w:line="276" w:lineRule="auto"/>
        <w:jc w:val="both"/>
        <w:rPr>
          <w:rFonts w:ascii="Verdana" w:eastAsia="Calibri" w:hAnsi="Verdana" w:cs="Times New Roman"/>
          <w:lang w:eastAsia="es-MX"/>
        </w:rPr>
      </w:pPr>
      <w:r w:rsidRPr="006C05C1">
        <w:rPr>
          <w:rFonts w:ascii="Verdana" w:eastAsia="Calibri" w:hAnsi="Verdana" w:cs="Times New Roman"/>
          <w:lang w:eastAsia="es-MX"/>
        </w:rPr>
        <w:t>Atentamente,</w:t>
      </w:r>
    </w:p>
    <w:bookmarkEnd w:id="0"/>
    <w:p w14:paraId="1715B1ED" w14:textId="236EFF94" w:rsidR="006C05C1" w:rsidRPr="006C05C1" w:rsidRDefault="004A4184" w:rsidP="004A4184">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18A00F1B" wp14:editId="4F70391A">
            <wp:extent cx="2337473" cy="1003490"/>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422596" cy="1040034"/>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6C05C1" w:rsidRPr="006C05C1" w14:paraId="536DDC54" w14:textId="77777777" w:rsidTr="00B031EB">
        <w:trPr>
          <w:trHeight w:val="323"/>
        </w:trPr>
        <w:tc>
          <w:tcPr>
            <w:tcW w:w="1041" w:type="dxa"/>
            <w:vAlign w:val="center"/>
            <w:hideMark/>
          </w:tcPr>
          <w:p w14:paraId="36578313" w14:textId="77777777" w:rsidR="006C05C1" w:rsidRPr="006C05C1" w:rsidRDefault="006C05C1" w:rsidP="006C05C1">
            <w:pPr>
              <w:rPr>
                <w:rFonts w:ascii="Verdana" w:eastAsia="Calibri" w:hAnsi="Verdana" w:cs="Arial"/>
                <w:sz w:val="16"/>
                <w:szCs w:val="16"/>
                <w:lang w:val="es-ES_tradnl" w:eastAsia="es-ES"/>
              </w:rPr>
            </w:pPr>
            <w:r w:rsidRPr="006C05C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64C4FA9" w14:textId="77777777" w:rsidR="006C05C1" w:rsidRPr="006C05C1" w:rsidRDefault="006C05C1" w:rsidP="006C05C1">
            <w:pPr>
              <w:rPr>
                <w:rFonts w:ascii="Verdana" w:eastAsia="Arial" w:hAnsi="Verdana" w:cs="Arial"/>
                <w:sz w:val="16"/>
                <w:szCs w:val="16"/>
                <w:lang w:val="es-ES" w:eastAsia="es-MX"/>
              </w:rPr>
            </w:pPr>
            <w:r w:rsidRPr="006C05C1">
              <w:rPr>
                <w:rFonts w:ascii="Verdana" w:eastAsia="Arial" w:hAnsi="Verdana" w:cs="Arial"/>
                <w:sz w:val="16"/>
                <w:szCs w:val="16"/>
                <w:lang w:val="es-ES" w:eastAsia="es-MX"/>
              </w:rPr>
              <w:t xml:space="preserve">Carlos Mario Castrillón Endo </w:t>
            </w:r>
          </w:p>
          <w:p w14:paraId="4898E57A" w14:textId="77777777" w:rsidR="006C05C1" w:rsidRPr="006C05C1" w:rsidRDefault="006C05C1" w:rsidP="006C05C1">
            <w:pPr>
              <w:rPr>
                <w:rFonts w:ascii="Verdana" w:eastAsia="Arial" w:hAnsi="Verdana" w:cs="Arial"/>
                <w:sz w:val="16"/>
                <w:szCs w:val="16"/>
                <w:lang w:val="es-ES_tradnl" w:eastAsia="es-MX"/>
              </w:rPr>
            </w:pPr>
            <w:r w:rsidRPr="006C05C1">
              <w:rPr>
                <w:rFonts w:ascii="Verdana" w:eastAsia="Arial" w:hAnsi="Verdana" w:cs="Arial"/>
                <w:sz w:val="16"/>
                <w:szCs w:val="16"/>
                <w:lang w:val="es-ES_tradnl" w:eastAsia="es-MX"/>
              </w:rPr>
              <w:t>Contratista de la Subdirección de Gestión Contractual</w:t>
            </w:r>
          </w:p>
          <w:p w14:paraId="2CA8666B" w14:textId="77777777" w:rsidR="006C05C1" w:rsidRPr="006C05C1" w:rsidRDefault="006C05C1" w:rsidP="006C05C1">
            <w:pPr>
              <w:rPr>
                <w:rFonts w:ascii="Verdana" w:eastAsia="Arial" w:hAnsi="Verdana" w:cs="Arial"/>
                <w:sz w:val="16"/>
                <w:szCs w:val="16"/>
                <w:lang w:val="es-ES_tradnl" w:eastAsia="es-MX"/>
              </w:rPr>
            </w:pPr>
          </w:p>
        </w:tc>
      </w:tr>
      <w:tr w:rsidR="006C05C1" w:rsidRPr="006C05C1" w14:paraId="75A54027" w14:textId="77777777" w:rsidTr="00B031EB">
        <w:trPr>
          <w:trHeight w:val="338"/>
        </w:trPr>
        <w:tc>
          <w:tcPr>
            <w:tcW w:w="1041" w:type="dxa"/>
            <w:vAlign w:val="center"/>
            <w:hideMark/>
          </w:tcPr>
          <w:p w14:paraId="38AA6AF7" w14:textId="77777777" w:rsidR="006C05C1" w:rsidRPr="006C05C1" w:rsidRDefault="006C05C1" w:rsidP="006C05C1">
            <w:pPr>
              <w:rPr>
                <w:rFonts w:ascii="Verdana" w:eastAsia="Calibri" w:hAnsi="Verdana" w:cs="Arial"/>
                <w:sz w:val="16"/>
                <w:szCs w:val="16"/>
                <w:lang w:val="es-ES_tradnl" w:eastAsia="es-ES"/>
              </w:rPr>
            </w:pPr>
            <w:r w:rsidRPr="006C05C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7CD66782" w14:textId="77777777" w:rsidR="006C05C1" w:rsidRPr="006C05C1" w:rsidRDefault="006C05C1" w:rsidP="006C05C1">
            <w:pPr>
              <w:rPr>
                <w:rFonts w:ascii="Verdana" w:eastAsia="Arial" w:hAnsi="Verdana" w:cs="Arial"/>
                <w:sz w:val="16"/>
                <w:szCs w:val="16"/>
                <w:lang w:val="es-ES" w:eastAsia="es-MX"/>
              </w:rPr>
            </w:pPr>
            <w:r w:rsidRPr="006C05C1">
              <w:rPr>
                <w:rFonts w:ascii="Verdana" w:eastAsia="Arial" w:hAnsi="Verdana" w:cs="Arial"/>
                <w:sz w:val="16"/>
                <w:szCs w:val="16"/>
                <w:lang w:val="es-ES" w:eastAsia="es-MX"/>
              </w:rPr>
              <w:t xml:space="preserve">Lida Milena </w:t>
            </w:r>
            <w:proofErr w:type="spellStart"/>
            <w:r w:rsidRPr="006C05C1">
              <w:rPr>
                <w:rFonts w:ascii="Verdana" w:eastAsia="Arial" w:hAnsi="Verdana" w:cs="Arial"/>
                <w:sz w:val="16"/>
                <w:szCs w:val="16"/>
                <w:lang w:val="es-ES" w:eastAsia="es-MX"/>
              </w:rPr>
              <w:t>Guanumen</w:t>
            </w:r>
            <w:proofErr w:type="spellEnd"/>
            <w:r w:rsidRPr="006C05C1">
              <w:rPr>
                <w:rFonts w:ascii="Verdana" w:eastAsia="Arial" w:hAnsi="Verdana" w:cs="Arial"/>
                <w:sz w:val="16"/>
                <w:szCs w:val="16"/>
                <w:lang w:val="es-ES" w:eastAsia="es-MX"/>
              </w:rPr>
              <w:t xml:space="preserve"> Pacheco</w:t>
            </w:r>
          </w:p>
          <w:p w14:paraId="484DE801" w14:textId="77777777" w:rsidR="006C05C1" w:rsidRPr="006C05C1" w:rsidRDefault="006C05C1" w:rsidP="006C05C1">
            <w:pPr>
              <w:rPr>
                <w:rFonts w:ascii="Verdana" w:eastAsia="Arial" w:hAnsi="Verdana" w:cs="Arial"/>
                <w:sz w:val="16"/>
                <w:szCs w:val="16"/>
                <w:lang w:val="es-ES_tradnl" w:eastAsia="es-MX"/>
              </w:rPr>
            </w:pPr>
            <w:r w:rsidRPr="006C05C1">
              <w:rPr>
                <w:rFonts w:ascii="Verdana" w:eastAsia="Arial" w:hAnsi="Verdana" w:cs="Arial"/>
                <w:sz w:val="16"/>
                <w:szCs w:val="16"/>
                <w:lang w:val="es-ES_tradnl" w:eastAsia="es-MX"/>
              </w:rPr>
              <w:t>Contratista de la Subdirección de Gestión Contractual</w:t>
            </w:r>
          </w:p>
          <w:p w14:paraId="6FCA38EA" w14:textId="77777777" w:rsidR="006C05C1" w:rsidRPr="006C05C1" w:rsidRDefault="006C05C1" w:rsidP="006C05C1">
            <w:pPr>
              <w:rPr>
                <w:rFonts w:ascii="Verdana" w:eastAsia="Arial" w:hAnsi="Verdana" w:cs="Arial"/>
                <w:sz w:val="16"/>
                <w:szCs w:val="16"/>
                <w:lang w:val="es-ES_tradnl" w:eastAsia="es-MX"/>
              </w:rPr>
            </w:pPr>
            <w:r w:rsidRPr="006C05C1">
              <w:rPr>
                <w:rFonts w:ascii="Verdana" w:eastAsia="Arial" w:hAnsi="Verdana" w:cs="Arial"/>
                <w:sz w:val="16"/>
                <w:szCs w:val="16"/>
                <w:lang w:val="es-ES_tradnl" w:eastAsia="es-MX"/>
              </w:rPr>
              <w:t xml:space="preserve">Adriana Katherine López Rodríguez </w:t>
            </w:r>
          </w:p>
          <w:p w14:paraId="3BF65EF2" w14:textId="77777777" w:rsidR="006C05C1" w:rsidRPr="006C05C1" w:rsidRDefault="006C05C1" w:rsidP="006C05C1">
            <w:pPr>
              <w:rPr>
                <w:rFonts w:ascii="Verdana" w:eastAsia="Arial" w:hAnsi="Verdana" w:cs="Arial"/>
                <w:sz w:val="16"/>
                <w:szCs w:val="16"/>
                <w:lang w:val="es-ES_tradnl" w:eastAsia="es-MX"/>
              </w:rPr>
            </w:pPr>
            <w:r w:rsidRPr="006C05C1">
              <w:rPr>
                <w:rFonts w:ascii="Verdana" w:eastAsia="Arial" w:hAnsi="Verdana" w:cs="Arial"/>
                <w:sz w:val="16"/>
                <w:szCs w:val="16"/>
                <w:lang w:val="es-ES_tradnl" w:eastAsia="es-MX"/>
              </w:rPr>
              <w:t>Contratista de la Subdirección de Gestión Contractual</w:t>
            </w:r>
          </w:p>
        </w:tc>
      </w:tr>
      <w:tr w:rsidR="006C05C1" w:rsidRPr="006C05C1" w14:paraId="3987B856" w14:textId="77777777" w:rsidTr="00B031EB">
        <w:trPr>
          <w:trHeight w:val="308"/>
        </w:trPr>
        <w:tc>
          <w:tcPr>
            <w:tcW w:w="1041" w:type="dxa"/>
            <w:vAlign w:val="center"/>
          </w:tcPr>
          <w:p w14:paraId="5F9B1AFE" w14:textId="77777777" w:rsidR="006C05C1" w:rsidRPr="006C05C1" w:rsidRDefault="006C05C1" w:rsidP="006C05C1">
            <w:pPr>
              <w:rPr>
                <w:rFonts w:ascii="Verdana" w:eastAsia="Calibri" w:hAnsi="Verdana" w:cs="Arial"/>
                <w:sz w:val="16"/>
                <w:szCs w:val="16"/>
                <w:lang w:val="es-ES_tradnl" w:eastAsia="es-ES"/>
              </w:rPr>
            </w:pPr>
            <w:r w:rsidRPr="006C05C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5C6761CE" w14:textId="77777777" w:rsidR="006C05C1" w:rsidRPr="006C05C1" w:rsidRDefault="006C05C1" w:rsidP="006C05C1">
            <w:pPr>
              <w:rPr>
                <w:rFonts w:ascii="Verdana" w:eastAsia="Calibri" w:hAnsi="Verdana" w:cs="Arial"/>
                <w:sz w:val="16"/>
                <w:szCs w:val="16"/>
                <w:lang w:val="es-ES" w:eastAsia="es-ES"/>
              </w:rPr>
            </w:pPr>
            <w:r w:rsidRPr="006C05C1">
              <w:rPr>
                <w:rFonts w:ascii="Verdana" w:eastAsia="Calibri" w:hAnsi="Verdana" w:cs="Arial"/>
                <w:sz w:val="16"/>
                <w:szCs w:val="16"/>
                <w:lang w:val="es-ES" w:eastAsia="es-ES"/>
              </w:rPr>
              <w:t>Carolina Quintero Gacharná</w:t>
            </w:r>
          </w:p>
          <w:p w14:paraId="05200C62" w14:textId="77777777" w:rsidR="006C05C1" w:rsidRPr="006C05C1" w:rsidRDefault="006C05C1" w:rsidP="006C05C1">
            <w:pPr>
              <w:rPr>
                <w:rFonts w:ascii="Verdana" w:eastAsia="Calibri" w:hAnsi="Verdana" w:cs="Arial"/>
                <w:sz w:val="16"/>
                <w:szCs w:val="16"/>
                <w:lang w:val="es-ES_tradnl" w:eastAsia="es-ES"/>
              </w:rPr>
            </w:pPr>
            <w:r w:rsidRPr="006C05C1">
              <w:rPr>
                <w:rFonts w:ascii="Verdana" w:eastAsia="Calibri" w:hAnsi="Verdana" w:cs="Arial"/>
                <w:sz w:val="16"/>
                <w:szCs w:val="16"/>
                <w:lang w:val="es-ES_tradnl" w:eastAsia="es-ES"/>
              </w:rPr>
              <w:t>Subdirectora de Gestión Contractual ANCP – CCE</w:t>
            </w:r>
          </w:p>
        </w:tc>
      </w:tr>
    </w:tbl>
    <w:p w14:paraId="26B77F94" w14:textId="77777777" w:rsidR="006C05C1" w:rsidRPr="006C05C1" w:rsidRDefault="006C05C1" w:rsidP="006C05C1">
      <w:pPr>
        <w:spacing w:after="0" w:line="240" w:lineRule="auto"/>
        <w:jc w:val="both"/>
        <w:textAlignment w:val="baseline"/>
        <w:rPr>
          <w:rFonts w:ascii="Verdana" w:eastAsia="Verdana" w:hAnsi="Verdana" w:cs="Verdana"/>
          <w:lang w:eastAsia="es-CO"/>
        </w:rPr>
      </w:pPr>
    </w:p>
    <w:p w14:paraId="68A61D6A" w14:textId="784367DB" w:rsidR="006C05C1" w:rsidRPr="006C05C1" w:rsidRDefault="006C05C1" w:rsidP="006C05C1">
      <w:pPr>
        <w:spacing w:after="0" w:line="240" w:lineRule="auto"/>
        <w:textAlignment w:val="baseline"/>
        <w:rPr>
          <w:rFonts w:ascii="Verdana" w:eastAsia="Verdana" w:hAnsi="Verdana" w:cs="Verdana"/>
          <w:lang w:eastAsia="es-CO"/>
        </w:rPr>
      </w:pPr>
      <w:r w:rsidRPr="006C05C1">
        <w:rPr>
          <w:rFonts w:ascii="Verdana" w:eastAsia="Verdana" w:hAnsi="Verdana" w:cs="Verdana"/>
          <w:lang w:eastAsia="es-CO"/>
        </w:rPr>
        <w:t xml:space="preserve"> </w:t>
      </w:r>
    </w:p>
    <w:p w14:paraId="47C364BE" w14:textId="77777777" w:rsidR="006C05C1" w:rsidRPr="006C05C1" w:rsidRDefault="006C05C1" w:rsidP="006C05C1">
      <w:pPr>
        <w:spacing w:line="278" w:lineRule="auto"/>
        <w:rPr>
          <w:rFonts w:ascii="Aptos" w:eastAsia="Aptos" w:hAnsi="Aptos" w:cs="Times New Roman"/>
          <w:kern w:val="2"/>
          <w:sz w:val="24"/>
          <w:szCs w:val="24"/>
          <w14:ligatures w14:val="standardContextual"/>
        </w:rPr>
      </w:pPr>
    </w:p>
    <w:p w14:paraId="0F293BF4" w14:textId="61590C9C" w:rsidR="00127233" w:rsidRPr="00EA02A1" w:rsidRDefault="00127233" w:rsidP="00EA02A1"/>
    <w:sectPr w:rsidR="00127233" w:rsidRPr="00EA02A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297A6" w14:textId="77777777" w:rsidR="006C1553" w:rsidRDefault="006C1553" w:rsidP="004A1847">
      <w:pPr>
        <w:spacing w:after="0" w:line="240" w:lineRule="auto"/>
      </w:pPr>
      <w:r>
        <w:separator/>
      </w:r>
    </w:p>
  </w:endnote>
  <w:endnote w:type="continuationSeparator" w:id="0">
    <w:p w14:paraId="3BB797FB" w14:textId="77777777" w:rsidR="006C1553" w:rsidRDefault="006C15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6C05C1">
      <w:rPr>
        <w:rFonts w:ascii="Verdana" w:eastAsia="Verdana" w:hAnsi="Verdana" w:cs="Verdana"/>
        <w:b/>
        <w:bCs/>
        <w:color w:val="000000"/>
        <w:sz w:val="18"/>
        <w:szCs w:val="18"/>
        <w:lang w:eastAsia="es-CO"/>
      </w:rPr>
      <w:t xml:space="preserve">Código: </w:t>
    </w:r>
    <w:r w:rsidRPr="006C05C1">
      <w:rPr>
        <w:rFonts w:ascii="Verdana" w:eastAsia="Verdana" w:hAnsi="Verdana" w:cs="Verdana"/>
        <w:color w:val="000000"/>
        <w:sz w:val="18"/>
        <w:szCs w:val="18"/>
        <w:lang w:eastAsia="es-CO"/>
      </w:rPr>
      <w:t xml:space="preserve">CCE-REC-FM-17 </w:t>
    </w:r>
    <w:r w:rsidRPr="006C05C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3BF8D" w14:textId="77777777" w:rsidR="006C1553" w:rsidRDefault="006C1553" w:rsidP="004A1847">
      <w:pPr>
        <w:spacing w:after="0" w:line="240" w:lineRule="auto"/>
      </w:pPr>
      <w:r>
        <w:separator/>
      </w:r>
    </w:p>
  </w:footnote>
  <w:footnote w:type="continuationSeparator" w:id="0">
    <w:p w14:paraId="01171B38" w14:textId="77777777" w:rsidR="006C1553" w:rsidRDefault="006C1553" w:rsidP="004A1847">
      <w:pPr>
        <w:spacing w:after="0" w:line="240" w:lineRule="auto"/>
      </w:pPr>
      <w:r>
        <w:continuationSeparator/>
      </w:r>
    </w:p>
  </w:footnote>
  <w:footnote w:id="1">
    <w:p w14:paraId="6EEE0632" w14:textId="77777777" w:rsidR="006C05C1" w:rsidRPr="00B365C1" w:rsidRDefault="006C05C1" w:rsidP="006C05C1">
      <w:pPr>
        <w:pStyle w:val="Textonotapie"/>
        <w:ind w:firstLine="708"/>
        <w:jc w:val="both"/>
        <w:rPr>
          <w:rFonts w:ascii="Verdana" w:hAnsi="Verdana" w:cs="Arial"/>
          <w:sz w:val="16"/>
          <w:szCs w:val="16"/>
        </w:rPr>
      </w:pPr>
      <w:r w:rsidRPr="00B365C1">
        <w:rPr>
          <w:rStyle w:val="Refdenotaalpie"/>
          <w:rFonts w:ascii="Verdana" w:hAnsi="Verdana" w:cs="Arial"/>
          <w:sz w:val="16"/>
          <w:szCs w:val="16"/>
        </w:rPr>
        <w:footnoteRef/>
      </w:r>
      <w:r w:rsidRPr="00B365C1">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B365C1">
        <w:rPr>
          <w:rFonts w:ascii="Verdana" w:hAnsi="Verdana" w:cs="Arial"/>
          <w:i/>
          <w:iCs/>
          <w:sz w:val="16"/>
          <w:szCs w:val="16"/>
        </w:rPr>
        <w:t xml:space="preserve">ibidem </w:t>
      </w:r>
      <w:r w:rsidRPr="00B365C1">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3C709EA8" w14:textId="77777777" w:rsidR="006C05C1" w:rsidRPr="00A01B8F" w:rsidRDefault="006C05C1" w:rsidP="006C05C1">
      <w:pPr>
        <w:spacing w:after="120" w:line="276" w:lineRule="auto"/>
        <w:ind w:firstLine="708"/>
        <w:jc w:val="both"/>
        <w:rPr>
          <w:rFonts w:ascii="Verdana" w:eastAsia="Times New Roman" w:hAnsi="Verdana" w:cs="Times New Roman"/>
          <w:color w:val="000000"/>
          <w:sz w:val="18"/>
          <w:szCs w:val="18"/>
          <w:lang w:eastAsia="es-CO"/>
        </w:rPr>
      </w:pPr>
      <w:r w:rsidRPr="00923CD2">
        <w:rPr>
          <w:rStyle w:val="Refdenotaalpie"/>
          <w:rFonts w:ascii="Verdana" w:hAnsi="Verdana"/>
          <w:sz w:val="18"/>
          <w:szCs w:val="18"/>
        </w:rPr>
        <w:footnoteRef/>
      </w:r>
      <w:r w:rsidRPr="00923CD2">
        <w:rPr>
          <w:rFonts w:ascii="Verdana" w:hAnsi="Verdana"/>
          <w:sz w:val="18"/>
          <w:szCs w:val="18"/>
        </w:rPr>
        <w:t xml:space="preserve"> </w:t>
      </w:r>
      <w:r w:rsidRPr="00A01B8F">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7835B7D" w14:textId="77777777" w:rsidR="006C05C1" w:rsidRDefault="006C05C1" w:rsidP="006C05C1">
      <w:pPr>
        <w:spacing w:after="0" w:line="240" w:lineRule="auto"/>
        <w:ind w:firstLine="708"/>
        <w:jc w:val="both"/>
        <w:rPr>
          <w:rFonts w:ascii="Verdana" w:eastAsia="Times New Roman" w:hAnsi="Verdana" w:cs="Times New Roman"/>
          <w:color w:val="000000"/>
          <w:sz w:val="18"/>
          <w:szCs w:val="18"/>
          <w:lang w:eastAsia="es-CO"/>
        </w:rPr>
      </w:pPr>
      <w:r w:rsidRPr="00923CD2">
        <w:rPr>
          <w:rFonts w:ascii="Verdana" w:eastAsia="Times New Roman" w:hAnsi="Verdana" w:cs="Times New Roman"/>
          <w:color w:val="000000"/>
          <w:sz w:val="18"/>
          <w:szCs w:val="18"/>
          <w:lang w:eastAsia="es-CO"/>
        </w:rPr>
        <w:t>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55996B1" w14:textId="77777777" w:rsidR="006C05C1" w:rsidRPr="00923CD2" w:rsidRDefault="006C05C1" w:rsidP="006C05C1">
      <w:pPr>
        <w:spacing w:after="0" w:line="240" w:lineRule="auto"/>
        <w:ind w:firstLine="708"/>
        <w:jc w:val="both"/>
        <w:rPr>
          <w:rFonts w:ascii="Verdana" w:eastAsia="Times New Roman" w:hAnsi="Verdana" w:cs="Times New Roman"/>
          <w:color w:val="000000"/>
          <w:sz w:val="18"/>
          <w:szCs w:val="18"/>
          <w:lang w:eastAsia="es-CO"/>
        </w:rPr>
      </w:pPr>
    </w:p>
    <w:p w14:paraId="28F6B455" w14:textId="77777777" w:rsidR="006C05C1" w:rsidRDefault="006C05C1" w:rsidP="006C05C1">
      <w:pPr>
        <w:spacing w:after="0" w:line="240" w:lineRule="auto"/>
        <w:ind w:firstLine="708"/>
        <w:jc w:val="both"/>
        <w:rPr>
          <w:rFonts w:ascii="Verdana" w:eastAsia="Times New Roman" w:hAnsi="Verdana" w:cs="Times New Roman"/>
          <w:color w:val="000000"/>
          <w:sz w:val="18"/>
          <w:szCs w:val="18"/>
          <w:lang w:eastAsia="es-CO"/>
        </w:rPr>
      </w:pPr>
      <w:r w:rsidRPr="00923CD2">
        <w:rPr>
          <w:rFonts w:ascii="Verdana" w:eastAsia="Times New Roman" w:hAnsi="Verdana" w:cs="Times New Roman"/>
          <w:color w:val="000000"/>
          <w:sz w:val="18"/>
          <w:szCs w:val="18"/>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B70E4EB" w14:textId="77777777" w:rsidR="006C05C1" w:rsidRPr="00923CD2" w:rsidRDefault="006C05C1" w:rsidP="006C05C1">
      <w:pPr>
        <w:spacing w:after="0" w:line="240" w:lineRule="auto"/>
        <w:ind w:firstLine="708"/>
        <w:jc w:val="both"/>
        <w:rPr>
          <w:rFonts w:ascii="Verdana" w:eastAsia="Times New Roman" w:hAnsi="Verdana" w:cs="Times New Roman"/>
          <w:color w:val="000000"/>
          <w:sz w:val="18"/>
          <w:szCs w:val="18"/>
          <w:lang w:eastAsia="es-CO"/>
        </w:rPr>
      </w:pPr>
    </w:p>
    <w:p w14:paraId="550ABC26" w14:textId="77777777" w:rsidR="006C05C1" w:rsidRDefault="006C05C1" w:rsidP="006C05C1">
      <w:pPr>
        <w:spacing w:after="0" w:line="240" w:lineRule="auto"/>
        <w:ind w:firstLine="708"/>
        <w:jc w:val="both"/>
        <w:rPr>
          <w:rFonts w:ascii="Verdana" w:eastAsia="Times New Roman" w:hAnsi="Verdana" w:cs="Times New Roman"/>
          <w:color w:val="000000"/>
          <w:sz w:val="18"/>
          <w:szCs w:val="18"/>
          <w:lang w:eastAsia="es-CO"/>
        </w:rPr>
      </w:pPr>
      <w:r w:rsidRPr="00923CD2">
        <w:rPr>
          <w:rFonts w:ascii="Verdana" w:eastAsia="Times New Roman" w:hAnsi="Verdana" w:cs="Times New Roman"/>
          <w:color w:val="000000"/>
          <w:sz w:val="18"/>
          <w:szCs w:val="18"/>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17E0E12A" w14:textId="77777777" w:rsidR="006C05C1" w:rsidRPr="00923CD2" w:rsidRDefault="006C05C1" w:rsidP="006C05C1">
      <w:pPr>
        <w:spacing w:after="0" w:line="240" w:lineRule="auto"/>
        <w:ind w:firstLine="708"/>
        <w:jc w:val="both"/>
        <w:rPr>
          <w:rFonts w:ascii="Verdana" w:eastAsia="Times New Roman" w:hAnsi="Verdana" w:cs="Times New Roman"/>
          <w:color w:val="000000"/>
          <w:sz w:val="18"/>
          <w:szCs w:val="18"/>
          <w:lang w:eastAsia="es-CO"/>
        </w:rPr>
      </w:pPr>
    </w:p>
    <w:p w14:paraId="292AB631" w14:textId="77777777" w:rsidR="006C05C1" w:rsidRDefault="006C05C1" w:rsidP="006C05C1">
      <w:pPr>
        <w:spacing w:after="0" w:line="240" w:lineRule="auto"/>
        <w:ind w:firstLine="708"/>
        <w:jc w:val="both"/>
        <w:rPr>
          <w:rFonts w:ascii="Verdana" w:eastAsia="Aptos" w:hAnsi="Verdana" w:cs="Times New Roman"/>
          <w:sz w:val="18"/>
          <w:szCs w:val="18"/>
          <w:lang w:eastAsia="es-MX"/>
        </w:rPr>
      </w:pPr>
      <w:r w:rsidRPr="00923CD2">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923CD2">
        <w:rPr>
          <w:rFonts w:ascii="Verdana" w:eastAsia="Aptos" w:hAnsi="Verdana" w:cs="Times New Roman"/>
          <w:sz w:val="18"/>
          <w:szCs w:val="18"/>
          <w:lang w:eastAsia="es-MX"/>
        </w:rPr>
        <w:t xml:space="preserve"> </w:t>
      </w:r>
    </w:p>
    <w:p w14:paraId="669C3689" w14:textId="77777777" w:rsidR="006C05C1" w:rsidRPr="00923CD2" w:rsidRDefault="006C05C1" w:rsidP="006C05C1">
      <w:pPr>
        <w:spacing w:after="0" w:line="240" w:lineRule="auto"/>
        <w:ind w:firstLine="708"/>
        <w:jc w:val="both"/>
        <w:rPr>
          <w:rFonts w:ascii="Verdana" w:eastAsia="Times New Roman" w:hAnsi="Verdana" w:cs="Times New Roman"/>
          <w:color w:val="000000"/>
          <w:sz w:val="18"/>
          <w:szCs w:val="18"/>
          <w:lang w:eastAsia="es-CO"/>
        </w:rPr>
      </w:pPr>
    </w:p>
    <w:p w14:paraId="11E52394" w14:textId="77777777" w:rsidR="006C05C1" w:rsidRPr="00923CD2" w:rsidRDefault="006C05C1" w:rsidP="006C05C1">
      <w:pPr>
        <w:pStyle w:val="Textonotapie"/>
        <w:jc w:val="both"/>
        <w:rPr>
          <w:rFonts w:ascii="Verdana" w:hAnsi="Verdana"/>
          <w:sz w:val="18"/>
          <w:szCs w:val="18"/>
        </w:rPr>
      </w:pPr>
      <w:r w:rsidRPr="00923CD2">
        <w:rPr>
          <w:rFonts w:ascii="Verdana" w:eastAsia="Aptos" w:hAnsi="Verdana" w:cs="Times New Roman"/>
          <w:sz w:val="18"/>
          <w:szCs w:val="18"/>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Pr>
          <w:rFonts w:ascii="Verdana" w:eastAsia="Aptos" w:hAnsi="Verdana" w:cs="Times New Roman"/>
          <w:sz w:val="18"/>
          <w:szCs w:val="18"/>
          <w:lang w:eastAsia="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0852251"/>
    <w:multiLevelType w:val="hybridMultilevel"/>
    <w:tmpl w:val="86C2349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F36CDE"/>
    <w:multiLevelType w:val="hybridMultilevel"/>
    <w:tmpl w:val="AAB0AD8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B4746C"/>
    <w:multiLevelType w:val="hybridMultilevel"/>
    <w:tmpl w:val="591039E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EC21A72"/>
    <w:multiLevelType w:val="hybridMultilevel"/>
    <w:tmpl w:val="E6D64110"/>
    <w:lvl w:ilvl="0" w:tplc="883CCCDE">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9" w15:restartNumberingAfterBreak="0">
    <w:nsid w:val="7F204F1B"/>
    <w:multiLevelType w:val="hybridMultilevel"/>
    <w:tmpl w:val="207A4F06"/>
    <w:lvl w:ilvl="0" w:tplc="7590AEA2">
      <w:start w:val="1"/>
      <w:numFmt w:val="decimal"/>
      <w:lvlText w:val="%1."/>
      <w:lvlJc w:val="left"/>
      <w:pPr>
        <w:ind w:left="735" w:hanging="37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679089576">
    <w:abstractNumId w:val="11"/>
  </w:num>
  <w:num w:numId="17" w16cid:durableId="1300108123">
    <w:abstractNumId w:val="12"/>
  </w:num>
  <w:num w:numId="18" w16cid:durableId="639845979">
    <w:abstractNumId w:val="18"/>
  </w:num>
  <w:num w:numId="19" w16cid:durableId="1481920808">
    <w:abstractNumId w:val="4"/>
  </w:num>
  <w:num w:numId="20" w16cid:durableId="1554075358">
    <w:abstractNumId w:val="0"/>
  </w:num>
  <w:num w:numId="21" w16cid:durableId="30542933">
    <w:abstractNumId w:val="10"/>
  </w:num>
  <w:num w:numId="22" w16cid:durableId="15352645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574B"/>
    <w:rsid w:val="000D0334"/>
    <w:rsid w:val="000D5DA7"/>
    <w:rsid w:val="000F6486"/>
    <w:rsid w:val="00115287"/>
    <w:rsid w:val="00116940"/>
    <w:rsid w:val="00125105"/>
    <w:rsid w:val="00127233"/>
    <w:rsid w:val="0015699B"/>
    <w:rsid w:val="0018790F"/>
    <w:rsid w:val="001A33BF"/>
    <w:rsid w:val="001B1E99"/>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4184"/>
    <w:rsid w:val="004B4431"/>
    <w:rsid w:val="004F21C4"/>
    <w:rsid w:val="004F685F"/>
    <w:rsid w:val="005566E8"/>
    <w:rsid w:val="005735F2"/>
    <w:rsid w:val="00574867"/>
    <w:rsid w:val="00591460"/>
    <w:rsid w:val="005A65E0"/>
    <w:rsid w:val="005C3777"/>
    <w:rsid w:val="005C5CDC"/>
    <w:rsid w:val="005D476C"/>
    <w:rsid w:val="006200BF"/>
    <w:rsid w:val="006219F8"/>
    <w:rsid w:val="006302F7"/>
    <w:rsid w:val="006358B8"/>
    <w:rsid w:val="00646B9F"/>
    <w:rsid w:val="00665D70"/>
    <w:rsid w:val="006900D9"/>
    <w:rsid w:val="006C05C1"/>
    <w:rsid w:val="006C1553"/>
    <w:rsid w:val="006D6A50"/>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274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10A4"/>
    <w:rsid w:val="00B00C0E"/>
    <w:rsid w:val="00B01B1A"/>
    <w:rsid w:val="00B0381D"/>
    <w:rsid w:val="00B17C52"/>
    <w:rsid w:val="00B44A47"/>
    <w:rsid w:val="00B72CD3"/>
    <w:rsid w:val="00B72FFF"/>
    <w:rsid w:val="00BC3D36"/>
    <w:rsid w:val="00BD54A6"/>
    <w:rsid w:val="00BD7F72"/>
    <w:rsid w:val="00BE02F0"/>
    <w:rsid w:val="00BF7425"/>
    <w:rsid w:val="00C04FB3"/>
    <w:rsid w:val="00C11D8B"/>
    <w:rsid w:val="00C15139"/>
    <w:rsid w:val="00C330EB"/>
    <w:rsid w:val="00C50D69"/>
    <w:rsid w:val="00C5365C"/>
    <w:rsid w:val="00C754BE"/>
    <w:rsid w:val="00C76B1C"/>
    <w:rsid w:val="00C925AC"/>
    <w:rsid w:val="00CB6357"/>
    <w:rsid w:val="00CC1B26"/>
    <w:rsid w:val="00CE5353"/>
    <w:rsid w:val="00D361FD"/>
    <w:rsid w:val="00D423A2"/>
    <w:rsid w:val="00D44E26"/>
    <w:rsid w:val="00D520D8"/>
    <w:rsid w:val="00D63AC2"/>
    <w:rsid w:val="00D7383B"/>
    <w:rsid w:val="00D740E0"/>
    <w:rsid w:val="00D7788A"/>
    <w:rsid w:val="00DA231B"/>
    <w:rsid w:val="00DC39FC"/>
    <w:rsid w:val="00DC7D36"/>
    <w:rsid w:val="00DF5254"/>
    <w:rsid w:val="00E02524"/>
    <w:rsid w:val="00E16408"/>
    <w:rsid w:val="00E20894"/>
    <w:rsid w:val="00E245AB"/>
    <w:rsid w:val="00E2764C"/>
    <w:rsid w:val="00E27F2E"/>
    <w:rsid w:val="00E50AFE"/>
    <w:rsid w:val="00E75C92"/>
    <w:rsid w:val="00E771DC"/>
    <w:rsid w:val="00E8772A"/>
    <w:rsid w:val="00E90F6B"/>
    <w:rsid w:val="00E92C27"/>
    <w:rsid w:val="00EA02A1"/>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6C05C1"/>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6C05C1"/>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6C05C1"/>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6C05C1"/>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6C05C1"/>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6C05C1"/>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6C05C1"/>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6C05C1"/>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6C05C1"/>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6C05C1"/>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6C05C1"/>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6C05C1"/>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6C05C1"/>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6C05C1"/>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6C05C1"/>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6C05C1"/>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6C05C1"/>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6C05C1"/>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6C05C1"/>
  </w:style>
  <w:style w:type="character" w:customStyle="1" w:styleId="Ttulo1Car">
    <w:name w:val="Título 1 Car"/>
    <w:basedOn w:val="Fuentedeprrafopredeter"/>
    <w:link w:val="Ttulo1"/>
    <w:uiPriority w:val="9"/>
    <w:rsid w:val="006C05C1"/>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6C05C1"/>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6C05C1"/>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6C05C1"/>
    <w:rPr>
      <w:rFonts w:eastAsia="Times New Roman" w:cs="Times New Roman"/>
      <w:i/>
      <w:iCs/>
      <w:color w:val="0F4761"/>
    </w:rPr>
  </w:style>
  <w:style w:type="character" w:customStyle="1" w:styleId="Ttulo5Car">
    <w:name w:val="Título 5 Car"/>
    <w:basedOn w:val="Fuentedeprrafopredeter"/>
    <w:link w:val="Ttulo5"/>
    <w:uiPriority w:val="9"/>
    <w:semiHidden/>
    <w:rsid w:val="006C05C1"/>
    <w:rPr>
      <w:rFonts w:eastAsia="Times New Roman" w:cs="Times New Roman"/>
      <w:color w:val="0F4761"/>
    </w:rPr>
  </w:style>
  <w:style w:type="character" w:customStyle="1" w:styleId="Ttulo6Car">
    <w:name w:val="Título 6 Car"/>
    <w:basedOn w:val="Fuentedeprrafopredeter"/>
    <w:link w:val="Ttulo6"/>
    <w:uiPriority w:val="9"/>
    <w:semiHidden/>
    <w:rsid w:val="006C05C1"/>
    <w:rPr>
      <w:rFonts w:eastAsia="Times New Roman" w:cs="Times New Roman"/>
      <w:i/>
      <w:iCs/>
      <w:color w:val="595959"/>
    </w:rPr>
  </w:style>
  <w:style w:type="character" w:customStyle="1" w:styleId="Ttulo7Car">
    <w:name w:val="Título 7 Car"/>
    <w:basedOn w:val="Fuentedeprrafopredeter"/>
    <w:link w:val="Ttulo7"/>
    <w:uiPriority w:val="9"/>
    <w:semiHidden/>
    <w:rsid w:val="006C05C1"/>
    <w:rPr>
      <w:rFonts w:eastAsia="Times New Roman" w:cs="Times New Roman"/>
      <w:color w:val="595959"/>
    </w:rPr>
  </w:style>
  <w:style w:type="character" w:customStyle="1" w:styleId="Ttulo8Car">
    <w:name w:val="Título 8 Car"/>
    <w:basedOn w:val="Fuentedeprrafopredeter"/>
    <w:link w:val="Ttulo8"/>
    <w:uiPriority w:val="9"/>
    <w:semiHidden/>
    <w:rsid w:val="006C05C1"/>
    <w:rPr>
      <w:rFonts w:eastAsia="Times New Roman" w:cs="Times New Roman"/>
      <w:i/>
      <w:iCs/>
      <w:color w:val="272727"/>
    </w:rPr>
  </w:style>
  <w:style w:type="character" w:customStyle="1" w:styleId="Ttulo9Car">
    <w:name w:val="Título 9 Car"/>
    <w:basedOn w:val="Fuentedeprrafopredeter"/>
    <w:link w:val="Ttulo9"/>
    <w:uiPriority w:val="9"/>
    <w:semiHidden/>
    <w:rsid w:val="006C05C1"/>
    <w:rPr>
      <w:rFonts w:eastAsia="Times New Roman" w:cs="Times New Roman"/>
      <w:color w:val="272727"/>
    </w:rPr>
  </w:style>
  <w:style w:type="paragraph" w:customStyle="1" w:styleId="Subttulo1">
    <w:name w:val="Subtítulo1"/>
    <w:basedOn w:val="Normal"/>
    <w:next w:val="Normal"/>
    <w:uiPriority w:val="11"/>
    <w:qFormat/>
    <w:rsid w:val="006C05C1"/>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6C05C1"/>
    <w:rPr>
      <w:rFonts w:eastAsia="Times New Roman" w:cs="Times New Roman"/>
      <w:color w:val="595959"/>
      <w:spacing w:val="15"/>
      <w:sz w:val="28"/>
      <w:szCs w:val="28"/>
    </w:rPr>
  </w:style>
  <w:style w:type="paragraph" w:customStyle="1" w:styleId="Cita1">
    <w:name w:val="Cita1"/>
    <w:basedOn w:val="Normal"/>
    <w:next w:val="Normal"/>
    <w:uiPriority w:val="29"/>
    <w:qFormat/>
    <w:rsid w:val="006C05C1"/>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6C05C1"/>
    <w:rPr>
      <w:i/>
      <w:iCs/>
      <w:color w:val="404040"/>
    </w:rPr>
  </w:style>
  <w:style w:type="character" w:customStyle="1" w:styleId="nfasisintenso1">
    <w:name w:val="Énfasis intenso1"/>
    <w:basedOn w:val="Fuentedeprrafopredeter"/>
    <w:uiPriority w:val="21"/>
    <w:qFormat/>
    <w:rsid w:val="006C05C1"/>
    <w:rPr>
      <w:i/>
      <w:iCs/>
      <w:color w:val="0F4761"/>
    </w:rPr>
  </w:style>
  <w:style w:type="paragraph" w:customStyle="1" w:styleId="Citadestacada1">
    <w:name w:val="Cita destacada1"/>
    <w:basedOn w:val="Normal"/>
    <w:next w:val="Normal"/>
    <w:uiPriority w:val="30"/>
    <w:qFormat/>
    <w:rsid w:val="006C05C1"/>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6C05C1"/>
    <w:rPr>
      <w:i/>
      <w:iCs/>
      <w:color w:val="0F4761"/>
    </w:rPr>
  </w:style>
  <w:style w:type="character" w:customStyle="1" w:styleId="Referenciaintensa1">
    <w:name w:val="Referencia intensa1"/>
    <w:basedOn w:val="Fuentedeprrafopredeter"/>
    <w:uiPriority w:val="32"/>
    <w:qFormat/>
    <w:rsid w:val="006C05C1"/>
    <w:rPr>
      <w:b/>
      <w:bCs/>
      <w:smallCaps/>
      <w:color w:val="0F4761"/>
      <w:spacing w:val="5"/>
    </w:rPr>
  </w:style>
  <w:style w:type="table" w:customStyle="1" w:styleId="Tablaconcuadrcula1">
    <w:name w:val="Tabla con cuadrícula1"/>
    <w:basedOn w:val="Tablanormal"/>
    <w:next w:val="Tablaconcuadrcula"/>
    <w:uiPriority w:val="39"/>
    <w:qFormat/>
    <w:rsid w:val="006C05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C05C1"/>
    <w:pPr>
      <w:spacing w:line="240" w:lineRule="exact"/>
    </w:pPr>
    <w:rPr>
      <w:vertAlign w:val="superscript"/>
    </w:rPr>
  </w:style>
  <w:style w:type="table" w:customStyle="1" w:styleId="Tablaconcuadrcula2">
    <w:name w:val="Tabla con cuadrícula2"/>
    <w:basedOn w:val="Tablanormal"/>
    <w:next w:val="Tablaconcuadrcula"/>
    <w:uiPriority w:val="39"/>
    <w:qFormat/>
    <w:rsid w:val="006C05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6C05C1"/>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6C05C1"/>
    <w:rPr>
      <w:rFonts w:ascii="Geomanist Light" w:hAnsi="Geomanist Light"/>
      <w:lang w:val="es-ES"/>
    </w:rPr>
  </w:style>
  <w:style w:type="character" w:styleId="nfasis">
    <w:name w:val="Emphasis"/>
    <w:basedOn w:val="Fuentedeprrafopredeter"/>
    <w:uiPriority w:val="20"/>
    <w:qFormat/>
    <w:rsid w:val="006C05C1"/>
    <w:rPr>
      <w:i/>
      <w:iCs/>
    </w:rPr>
  </w:style>
  <w:style w:type="paragraph" w:styleId="Sinespaciado">
    <w:name w:val="No Spacing"/>
    <w:uiPriority w:val="1"/>
    <w:qFormat/>
    <w:rsid w:val="006C05C1"/>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6C05C1"/>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6C05C1"/>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6C05C1"/>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6C05C1"/>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6C05C1"/>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6C05C1"/>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6C05C1"/>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6C05C1"/>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6C05C1"/>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6C05C1"/>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6C05C1"/>
    <w:rPr>
      <w:rFonts w:eastAsiaTheme="minorEastAsia"/>
      <w:color w:val="5A5A5A" w:themeColor="text1" w:themeTint="A5"/>
      <w:spacing w:val="15"/>
    </w:rPr>
  </w:style>
  <w:style w:type="paragraph" w:styleId="Cita">
    <w:name w:val="Quote"/>
    <w:basedOn w:val="Normal"/>
    <w:next w:val="Normal"/>
    <w:link w:val="CitaCar"/>
    <w:uiPriority w:val="29"/>
    <w:qFormat/>
    <w:rsid w:val="006C05C1"/>
    <w:pPr>
      <w:spacing w:before="200"/>
      <w:ind w:left="864" w:right="864"/>
      <w:jc w:val="center"/>
    </w:pPr>
    <w:rPr>
      <w:i/>
      <w:iCs/>
      <w:color w:val="404040"/>
    </w:rPr>
  </w:style>
  <w:style w:type="character" w:customStyle="1" w:styleId="CitaCar1">
    <w:name w:val="Cita Car1"/>
    <w:basedOn w:val="Fuentedeprrafopredeter"/>
    <w:uiPriority w:val="29"/>
    <w:rsid w:val="006C05C1"/>
    <w:rPr>
      <w:i/>
      <w:iCs/>
      <w:color w:val="404040" w:themeColor="text1" w:themeTint="BF"/>
    </w:rPr>
  </w:style>
  <w:style w:type="character" w:styleId="nfasisintenso">
    <w:name w:val="Intense Emphasis"/>
    <w:basedOn w:val="Fuentedeprrafopredeter"/>
    <w:uiPriority w:val="21"/>
    <w:qFormat/>
    <w:rsid w:val="006C05C1"/>
    <w:rPr>
      <w:i/>
      <w:iCs/>
      <w:color w:val="4472C4" w:themeColor="accent1"/>
    </w:rPr>
  </w:style>
  <w:style w:type="paragraph" w:styleId="Citadestacada">
    <w:name w:val="Intense Quote"/>
    <w:basedOn w:val="Normal"/>
    <w:next w:val="Normal"/>
    <w:link w:val="CitadestacadaCar"/>
    <w:uiPriority w:val="30"/>
    <w:qFormat/>
    <w:rsid w:val="006C05C1"/>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6C05C1"/>
    <w:rPr>
      <w:i/>
      <w:iCs/>
      <w:color w:val="4472C4" w:themeColor="accent1"/>
    </w:rPr>
  </w:style>
  <w:style w:type="character" w:styleId="Referenciaintensa">
    <w:name w:val="Intense Reference"/>
    <w:basedOn w:val="Fuentedeprrafopredeter"/>
    <w:uiPriority w:val="32"/>
    <w:qFormat/>
    <w:rsid w:val="006C05C1"/>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D63B9F-BD12-41AE-92D8-AD63BDAA70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28</Pages>
  <Words>9101</Words>
  <Characters>50058</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2026-05-12T11:19:00Z</dcterms:created>
  <dcterms:modified xsi:type="dcterms:W3CDTF">2026-05-13T00:26:00Z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