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27AFCD" w14:textId="77777777" w:rsidR="002A0DD0" w:rsidRPr="00E02524" w:rsidRDefault="002A0DD0" w:rsidP="30821638">
      <w:pPr>
        <w:spacing w:after="0" w:line="240" w:lineRule="auto"/>
        <w:jc w:val="both"/>
        <w:rPr>
          <w:rFonts w:ascii="Verdana" w:eastAsia="Verdana" w:hAnsi="Verdana" w:cs="Verdana"/>
          <w:b/>
          <w:bCs/>
          <w:lang w:val="es-MX"/>
        </w:rPr>
      </w:pPr>
      <w:bookmarkStart w:id="0" w:name="_Hlk143780582"/>
    </w:p>
    <w:p w14:paraId="43FF5BD7" w14:textId="77777777" w:rsidR="008A19CC" w:rsidRDefault="008A19CC" w:rsidP="008A19CC">
      <w:pPr>
        <w:spacing w:after="0" w:line="240" w:lineRule="auto"/>
        <w:contextualSpacing/>
        <w:jc w:val="both"/>
        <w:rPr>
          <w:rFonts w:ascii="Verdana" w:eastAsia="Calibri" w:hAnsi="Verdana" w:cs="Arial"/>
          <w:b/>
          <w:lang w:val="es-MX" w:eastAsia="es-MX"/>
        </w:rPr>
      </w:pPr>
      <w:r w:rsidRPr="00904AD4">
        <w:rPr>
          <w:rFonts w:ascii="Verdana" w:eastAsia="Calibri" w:hAnsi="Verdana" w:cs="Arial"/>
          <w:b/>
          <w:lang w:val="es-MX" w:eastAsia="es-MX"/>
        </w:rPr>
        <w:t xml:space="preserve">LEY DE GARANTÍAS ELECTORALES – Naturaleza Jurídica </w:t>
      </w:r>
    </w:p>
    <w:p w14:paraId="367326F1" w14:textId="77777777" w:rsidR="008A19CC" w:rsidRDefault="008A19CC" w:rsidP="008A19CC">
      <w:pPr>
        <w:spacing w:after="0" w:line="240" w:lineRule="auto"/>
        <w:contextualSpacing/>
        <w:jc w:val="both"/>
        <w:rPr>
          <w:rFonts w:ascii="Verdana" w:eastAsia="Calibri" w:hAnsi="Verdana" w:cs="Arial"/>
          <w:b/>
          <w:lang w:val="es-MX" w:eastAsia="es-MX"/>
        </w:rPr>
      </w:pPr>
    </w:p>
    <w:p w14:paraId="7AA9AB3D" w14:textId="77777777" w:rsidR="008A19CC" w:rsidRPr="005C0AEA" w:rsidRDefault="008A19CC" w:rsidP="008A19CC">
      <w:pPr>
        <w:spacing w:after="0" w:line="240" w:lineRule="auto"/>
        <w:contextualSpacing/>
        <w:jc w:val="both"/>
        <w:rPr>
          <w:rFonts w:ascii="Verdana" w:eastAsia="Calibri" w:hAnsi="Verdana" w:cs="Arial"/>
          <w:b/>
          <w:lang w:val="es-MX" w:eastAsia="es-MX"/>
        </w:rPr>
      </w:pPr>
      <w:r w:rsidRPr="00DC3470">
        <w:rPr>
          <w:rFonts w:ascii="Verdana" w:eastAsia="Times New Roman" w:hAnsi="Verdana" w:cs="Arial"/>
          <w:bCs/>
          <w:sz w:val="20"/>
          <w:szCs w:val="20"/>
          <w:lang w:eastAsia="es-CO"/>
        </w:rPr>
        <w:t>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p>
    <w:p w14:paraId="5A1B2C22" w14:textId="77777777" w:rsidR="008A19CC" w:rsidRPr="00904AD4" w:rsidRDefault="008A19CC" w:rsidP="008A19CC">
      <w:pPr>
        <w:spacing w:after="0" w:line="240" w:lineRule="auto"/>
        <w:contextualSpacing/>
        <w:jc w:val="both"/>
        <w:rPr>
          <w:rFonts w:ascii="Verdana" w:eastAsia="Calibri" w:hAnsi="Verdana" w:cs="Arial"/>
          <w:b/>
          <w:lang w:val="es-MX" w:eastAsia="es-MX"/>
        </w:rPr>
      </w:pPr>
    </w:p>
    <w:p w14:paraId="5F79009F" w14:textId="77777777" w:rsidR="008A19CC" w:rsidRDefault="008A19CC" w:rsidP="008A19CC">
      <w:pPr>
        <w:spacing w:after="0" w:line="240" w:lineRule="auto"/>
        <w:contextualSpacing/>
        <w:jc w:val="both"/>
        <w:rPr>
          <w:rFonts w:ascii="Verdana" w:eastAsia="Calibri" w:hAnsi="Verdana" w:cs="Arial"/>
          <w:b/>
          <w:lang w:val="es-MX" w:eastAsia="es-MX"/>
        </w:rPr>
      </w:pPr>
      <w:r w:rsidRPr="00904AD4">
        <w:rPr>
          <w:rFonts w:ascii="Verdana" w:eastAsia="Calibri" w:hAnsi="Verdana" w:cs="Arial"/>
          <w:b/>
          <w:lang w:val="es-MX" w:eastAsia="es-MX"/>
        </w:rPr>
        <w:t xml:space="preserve">LEY DE GARANTÍAS ELECTORALES – Prohibiciones </w:t>
      </w:r>
    </w:p>
    <w:p w14:paraId="4019BFA9" w14:textId="77777777" w:rsidR="008A19CC" w:rsidRDefault="008A19CC" w:rsidP="008A19CC">
      <w:pPr>
        <w:spacing w:after="0" w:line="240" w:lineRule="auto"/>
        <w:contextualSpacing/>
        <w:jc w:val="both"/>
        <w:rPr>
          <w:rFonts w:ascii="Verdana" w:eastAsia="Calibri" w:hAnsi="Verdana" w:cs="Arial"/>
          <w:b/>
          <w:lang w:val="es-MX" w:eastAsia="es-MX"/>
        </w:rPr>
      </w:pPr>
    </w:p>
    <w:p w14:paraId="36DA7F73" w14:textId="77777777" w:rsidR="008A19CC" w:rsidRPr="005C0AEA" w:rsidRDefault="008A19CC" w:rsidP="008A19CC">
      <w:pPr>
        <w:spacing w:after="0" w:line="240" w:lineRule="auto"/>
        <w:contextualSpacing/>
        <w:jc w:val="both"/>
        <w:rPr>
          <w:rFonts w:ascii="Verdana" w:eastAsia="Calibri" w:hAnsi="Verdana" w:cs="Arial"/>
          <w:b/>
          <w:lang w:val="es-MX" w:eastAsia="es-MX"/>
        </w:rPr>
      </w:pPr>
      <w:r>
        <w:rPr>
          <w:rFonts w:ascii="Verdana" w:eastAsia="Arial" w:hAnsi="Verdana" w:cs="Arial"/>
          <w:sz w:val="20"/>
          <w:szCs w:val="20"/>
          <w:lang w:val="es-ES" w:eastAsia="es-ES" w:bidi="es-ES"/>
        </w:rPr>
        <w:t xml:space="preserve">[…] </w:t>
      </w:r>
      <w:r w:rsidRPr="00DC3470">
        <w:rPr>
          <w:rFonts w:ascii="Verdana" w:eastAsia="Arial" w:hAnsi="Verdana" w:cs="Arial"/>
          <w:sz w:val="20"/>
          <w:szCs w:val="20"/>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77583C6F" w14:textId="77777777" w:rsidR="008A19CC" w:rsidRDefault="008A19CC" w:rsidP="008A19CC">
      <w:pPr>
        <w:spacing w:after="0" w:line="240" w:lineRule="auto"/>
        <w:jc w:val="both"/>
        <w:rPr>
          <w:rFonts w:ascii="Verdana" w:eastAsia="Arial" w:hAnsi="Verdana" w:cs="Arial"/>
          <w:sz w:val="20"/>
          <w:szCs w:val="20"/>
          <w:lang w:val="es-ES" w:eastAsia="es-ES" w:bidi="es-ES"/>
        </w:rPr>
      </w:pPr>
    </w:p>
    <w:p w14:paraId="0F13707A" w14:textId="77777777" w:rsidR="008A19CC" w:rsidRPr="00DC3470" w:rsidRDefault="008A19CC" w:rsidP="008A19CC">
      <w:pPr>
        <w:spacing w:after="0" w:line="240" w:lineRule="auto"/>
        <w:jc w:val="both"/>
        <w:rPr>
          <w:rFonts w:ascii="Verdana" w:eastAsia="Arial" w:hAnsi="Verdana" w:cs="Arial"/>
          <w:sz w:val="20"/>
          <w:szCs w:val="20"/>
          <w:lang w:val="es-ES" w:eastAsia="es-ES" w:bidi="es-ES"/>
        </w:rPr>
      </w:pPr>
      <w:r w:rsidRPr="00DC3470">
        <w:rPr>
          <w:rFonts w:ascii="Verdana" w:eastAsia="Arial" w:hAnsi="Verdana" w:cs="Arial"/>
          <w:sz w:val="20"/>
          <w:szCs w:val="20"/>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p>
    <w:p w14:paraId="77CEBF6D" w14:textId="77777777" w:rsidR="008A19CC" w:rsidRDefault="008A19CC" w:rsidP="008A19CC">
      <w:pPr>
        <w:spacing w:after="0" w:line="240" w:lineRule="auto"/>
        <w:jc w:val="both"/>
        <w:rPr>
          <w:rFonts w:ascii="Verdana" w:eastAsia="Calibri" w:hAnsi="Verdana" w:cs="Arial"/>
          <w:sz w:val="20"/>
          <w:szCs w:val="20"/>
        </w:rPr>
      </w:pPr>
    </w:p>
    <w:p w14:paraId="5192A0E6" w14:textId="77777777" w:rsidR="008A19CC" w:rsidRPr="00DC3470" w:rsidRDefault="008A19CC" w:rsidP="008A19CC">
      <w:pPr>
        <w:spacing w:after="0" w:line="240" w:lineRule="auto"/>
        <w:jc w:val="both"/>
        <w:rPr>
          <w:rFonts w:ascii="Verdana" w:eastAsia="Calibri" w:hAnsi="Verdana" w:cs="Arial"/>
          <w:sz w:val="20"/>
          <w:szCs w:val="20"/>
        </w:rPr>
      </w:pPr>
      <w:r w:rsidRPr="00DC3470">
        <w:rPr>
          <w:rFonts w:ascii="Verdana" w:eastAsia="Calibri" w:hAnsi="Verdana" w:cs="Arial"/>
          <w:sz w:val="20"/>
          <w:szCs w:val="20"/>
        </w:rPr>
        <w:t>Por un lado, el artículo 33 de la Ley 996 de 2005 prohíbe “</w:t>
      </w:r>
      <w:r w:rsidRPr="00DC3470">
        <w:rPr>
          <w:rFonts w:ascii="Verdana" w:eastAsia="Calibri" w:hAnsi="Verdana" w:cs="Arial"/>
          <w:bCs/>
          <w:sz w:val="20"/>
          <w:szCs w:val="20"/>
        </w:rPr>
        <w:t xml:space="preserve">(…) </w:t>
      </w:r>
      <w:r w:rsidRPr="00DC3470">
        <w:rPr>
          <w:rFonts w:ascii="Verdana" w:eastAsia="Calibri" w:hAnsi="Verdana" w:cs="Arial"/>
          <w:sz w:val="20"/>
          <w:szCs w:val="20"/>
        </w:rPr>
        <w:t>la contratación directa por parte de todos los entes del Estado</w:t>
      </w:r>
      <w:r w:rsidRPr="00DC3470">
        <w:rPr>
          <w:rFonts w:ascii="Verdana" w:eastAsia="Calibri" w:hAnsi="Verdana" w:cs="Arial"/>
          <w:bCs/>
          <w:sz w:val="20"/>
          <w:szCs w:val="20"/>
        </w:rPr>
        <w:t>”</w:t>
      </w:r>
      <w:r w:rsidRPr="00DC3470">
        <w:rPr>
          <w:rFonts w:ascii="Verdana" w:eastAsia="Calibri" w:hAnsi="Verdana" w:cs="Arial"/>
          <w:sz w:val="20"/>
          <w:szCs w:val="20"/>
        </w:rPr>
        <w:t xml:space="preserve"> durante los cuatro (4) meses anteriores a las elecciones presidenciales, salvo </w:t>
      </w:r>
      <w:r w:rsidRPr="00DC3470">
        <w:rPr>
          <w:rFonts w:ascii="Verdana" w:eastAsia="Calibri" w:hAnsi="Verdana" w:cs="Arial"/>
          <w:bCs/>
          <w:sz w:val="20"/>
          <w:szCs w:val="20"/>
        </w:rPr>
        <w:t xml:space="preserve">“[…] </w:t>
      </w:r>
      <w:r w:rsidRPr="00DC3470">
        <w:rPr>
          <w:rFonts w:ascii="Verdana" w:eastAsia="Calibri" w:hAnsi="Verdana" w:cs="Arial"/>
          <w:sz w:val="20"/>
          <w:szCs w:val="20"/>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DC3470">
        <w:rPr>
          <w:rFonts w:ascii="Verdana" w:eastAsia="Calibri" w:hAnsi="Verdana" w:cs="Arial"/>
          <w:bCs/>
          <w:sz w:val="20"/>
          <w:szCs w:val="20"/>
        </w:rPr>
        <w:t>”</w:t>
      </w:r>
      <w:r w:rsidRPr="00DC3470">
        <w:rPr>
          <w:rFonts w:ascii="Verdana" w:eastAsia="Calibri" w:hAnsi="Verdana" w:cs="Arial"/>
          <w:sz w:val="20"/>
          <w:szCs w:val="20"/>
        </w:rPr>
        <w:t>.</w:t>
      </w:r>
    </w:p>
    <w:p w14:paraId="01336B67" w14:textId="77777777" w:rsidR="008A19CC" w:rsidRDefault="008A19CC" w:rsidP="008A19CC">
      <w:pPr>
        <w:widowControl w:val="0"/>
        <w:autoSpaceDE w:val="0"/>
        <w:autoSpaceDN w:val="0"/>
        <w:spacing w:after="0" w:line="240" w:lineRule="auto"/>
        <w:jc w:val="both"/>
        <w:rPr>
          <w:rFonts w:ascii="Verdana" w:eastAsia="Calibri" w:hAnsi="Verdana" w:cs="Arial"/>
          <w:sz w:val="20"/>
          <w:szCs w:val="20"/>
        </w:rPr>
      </w:pPr>
    </w:p>
    <w:p w14:paraId="2CAC0BB6"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val="es-ES" w:eastAsia="es-ES" w:bidi="es-ES"/>
        </w:rPr>
      </w:pPr>
      <w:r w:rsidRPr="00DC3470">
        <w:rPr>
          <w:rFonts w:ascii="Verdana" w:eastAsia="Calibri" w:hAnsi="Verdana" w:cs="Arial"/>
          <w:sz w:val="20"/>
          <w:szCs w:val="20"/>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DC3470">
        <w:rPr>
          <w:rFonts w:ascii="Verdana" w:eastAsia="Calibri" w:hAnsi="Verdana" w:cs="Arial"/>
          <w:bCs/>
          <w:sz w:val="20"/>
          <w:szCs w:val="20"/>
        </w:rPr>
        <w:t xml:space="preserve">“(…) </w:t>
      </w:r>
      <w:r w:rsidRPr="00DC3470">
        <w:rPr>
          <w:rFonts w:ascii="Verdana" w:eastAsia="Calibri" w:hAnsi="Verdana" w:cs="Arial"/>
          <w:sz w:val="20"/>
          <w:szCs w:val="20"/>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DC3470">
        <w:rPr>
          <w:rFonts w:ascii="Verdana" w:eastAsia="Calibri" w:hAnsi="Verdana" w:cs="Arial"/>
          <w:bCs/>
          <w:sz w:val="20"/>
          <w:szCs w:val="20"/>
        </w:rPr>
        <w:t>”</w:t>
      </w:r>
      <w:r w:rsidRPr="00DC3470">
        <w:rPr>
          <w:rFonts w:ascii="Verdana" w:eastAsia="Calibri" w:hAnsi="Verdana" w:cs="Arial"/>
          <w:sz w:val="20"/>
          <w:szCs w:val="20"/>
        </w:rPr>
        <w:t>.</w:t>
      </w:r>
      <w:r w:rsidRPr="00DC3470">
        <w:rPr>
          <w:rFonts w:ascii="Verdana" w:eastAsia="Arial" w:hAnsi="Verdana" w:cs="Arial"/>
          <w:sz w:val="20"/>
          <w:szCs w:val="20"/>
          <w:lang w:val="es-ES" w:eastAsia="es-ES" w:bidi="es-ES"/>
        </w:rPr>
        <w:t xml:space="preserve"> </w:t>
      </w:r>
    </w:p>
    <w:p w14:paraId="5F4A0EEC"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val="es-ES" w:eastAsia="es-ES" w:bidi="es-ES"/>
        </w:rPr>
      </w:pPr>
    </w:p>
    <w:p w14:paraId="372B55DB"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val="es-MX" w:eastAsia="es-ES" w:bidi="es-ES"/>
        </w:rPr>
      </w:pPr>
      <w:r w:rsidRPr="00904AD4">
        <w:rPr>
          <w:rFonts w:ascii="Verdana" w:eastAsia="Calibri" w:hAnsi="Verdana" w:cs="Arial"/>
          <w:b/>
          <w:lang w:val="es-MX"/>
        </w:rPr>
        <w:t xml:space="preserve">LEY DE GARANTÍAS ELECTORALES ─ Prohibición artículo 33 ‒ Contratación directa ‒ Alcance </w:t>
      </w:r>
    </w:p>
    <w:p w14:paraId="148973C0"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val="es-MX" w:eastAsia="es-ES" w:bidi="es-ES"/>
        </w:rPr>
      </w:pPr>
    </w:p>
    <w:p w14:paraId="782A4146"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eastAsia="es-ES" w:bidi="es-ES"/>
        </w:rPr>
      </w:pPr>
      <w:r w:rsidRPr="005C0AEA">
        <w:rPr>
          <w:rFonts w:ascii="Verdana" w:hAnsi="Verdana" w:cs="Arial"/>
          <w:bCs/>
          <w:sz w:val="20"/>
          <w:szCs w:val="20"/>
          <w:lang w:eastAsia="x-none"/>
        </w:rPr>
        <w:t xml:space="preserve">El ámbito material de la prohibición contenida en el artículo 33 de la ley 996 de 2005 </w:t>
      </w:r>
      <w:r w:rsidRPr="005C0AEA">
        <w:rPr>
          <w:rFonts w:ascii="Verdana" w:hAnsi="Verdana" w:cs="Arial"/>
          <w:bCs/>
          <w:sz w:val="20"/>
          <w:szCs w:val="20"/>
          <w:lang w:eastAsia="x-none"/>
        </w:rPr>
        <w:lastRenderedPageBreak/>
        <w:t xml:space="preserve">está delimitado por la expresión </w:t>
      </w:r>
      <w:r w:rsidRPr="005C0AEA">
        <w:rPr>
          <w:rFonts w:ascii="Verdana" w:eastAsia="Calibri" w:hAnsi="Verdana" w:cs="Arial"/>
          <w:bCs/>
          <w:i/>
          <w:iCs/>
          <w:sz w:val="20"/>
          <w:szCs w:val="20"/>
        </w:rPr>
        <w:t>“</w:t>
      </w:r>
      <w:r w:rsidRPr="005C0AEA">
        <w:rPr>
          <w:rFonts w:ascii="Verdana" w:hAnsi="Verdana" w:cs="Arial"/>
          <w:bCs/>
          <w:i/>
          <w:iCs/>
          <w:sz w:val="20"/>
          <w:szCs w:val="20"/>
          <w:lang w:eastAsia="x-none"/>
        </w:rPr>
        <w:t>queda prohibida la contratación directa</w:t>
      </w:r>
      <w:r w:rsidRPr="005C0AEA">
        <w:rPr>
          <w:rFonts w:ascii="Verdana" w:hAnsi="Verdana" w:cs="Arial"/>
          <w:sz w:val="20"/>
          <w:szCs w:val="20"/>
        </w:rPr>
        <w:t>”</w:t>
      </w:r>
      <w:r w:rsidRPr="005C0AEA">
        <w:rPr>
          <w:rFonts w:ascii="Verdana" w:hAnsi="Verdana" w:cs="Arial"/>
          <w:bCs/>
          <w:sz w:val="20"/>
          <w:szCs w:val="20"/>
          <w:lang w:eastAsia="x-none"/>
        </w:rPr>
        <w:t>.</w:t>
      </w:r>
    </w:p>
    <w:p w14:paraId="081700EF" w14:textId="77777777" w:rsidR="008A19CC" w:rsidRDefault="008A19CC" w:rsidP="008A19CC">
      <w:pPr>
        <w:widowControl w:val="0"/>
        <w:autoSpaceDE w:val="0"/>
        <w:autoSpaceDN w:val="0"/>
        <w:spacing w:after="0" w:line="240" w:lineRule="auto"/>
        <w:jc w:val="both"/>
        <w:rPr>
          <w:rFonts w:ascii="Verdana" w:eastAsia="Times New Roman" w:hAnsi="Verdana" w:cs="Arial"/>
          <w:b/>
          <w:lang w:eastAsia="es-CO"/>
        </w:rPr>
      </w:pPr>
    </w:p>
    <w:p w14:paraId="758B96E1"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eastAsia="es-ES" w:bidi="es-ES"/>
        </w:rPr>
      </w:pPr>
      <w:r w:rsidRPr="00904AD4">
        <w:rPr>
          <w:rFonts w:ascii="Verdana" w:eastAsia="Times New Roman" w:hAnsi="Verdana" w:cs="Arial"/>
          <w:b/>
          <w:lang w:eastAsia="es-CO"/>
        </w:rPr>
        <w:t xml:space="preserve">LEY DE GARANTÍAS ELECTORALES </w:t>
      </w:r>
      <w:r w:rsidRPr="00904AD4">
        <w:rPr>
          <w:rFonts w:ascii="Verdana" w:eastAsia="Calibri" w:hAnsi="Verdana" w:cs="Arial"/>
          <w:b/>
          <w:lang w:val="es-MX"/>
        </w:rPr>
        <w:t xml:space="preserve">─ Prohibición artículo 33 ‒ </w:t>
      </w:r>
      <w:r w:rsidRPr="00904AD4">
        <w:rPr>
          <w:rFonts w:ascii="Verdana" w:eastAsia="Times New Roman" w:hAnsi="Verdana" w:cs="Arial"/>
          <w:b/>
          <w:lang w:eastAsia="es-CO"/>
        </w:rPr>
        <w:t xml:space="preserve">Excepciones </w:t>
      </w:r>
    </w:p>
    <w:p w14:paraId="07282F93"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eastAsia="es-ES" w:bidi="es-ES"/>
        </w:rPr>
      </w:pPr>
    </w:p>
    <w:p w14:paraId="2BB5DB5E"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eastAsia="es-ES" w:bidi="es-ES"/>
        </w:rPr>
      </w:pPr>
      <w:r w:rsidRPr="005C0AEA">
        <w:rPr>
          <w:rFonts w:ascii="Verdana" w:hAnsi="Verdana" w:cs="Arial"/>
          <w:sz w:val="20"/>
          <w:szCs w:val="20"/>
          <w:lang w:eastAsia="x-none"/>
        </w:rPr>
        <w:t xml:space="preserve">[…] la prohibición del artículo 33 de la Ley de Garantías Electorales se refiere a </w:t>
      </w:r>
      <w:r w:rsidRPr="005C0AEA">
        <w:rPr>
          <w:rFonts w:ascii="Verdana" w:hAnsi="Verdana" w:cs="Arial"/>
          <w:sz w:val="20"/>
          <w:szCs w:val="20"/>
          <w:lang w:eastAsia="en-GB"/>
        </w:rPr>
        <w:t>“</w:t>
      </w:r>
      <w:r w:rsidRPr="005C0AEA">
        <w:rPr>
          <w:rFonts w:ascii="Verdana" w:hAnsi="Verdana" w:cs="Arial"/>
          <w:sz w:val="20"/>
          <w:szCs w:val="20"/>
          <w:lang w:eastAsia="x-none"/>
        </w:rPr>
        <w:t>cualquier sistema que no implique convocatoria pública y posibilidad de pluralidad de oferentes</w:t>
      </w:r>
      <w:r w:rsidRPr="005C0AEA">
        <w:rPr>
          <w:rFonts w:ascii="Verdana" w:hAnsi="Verdana" w:cs="Arial"/>
          <w:sz w:val="20"/>
          <w:szCs w:val="20"/>
          <w:lang w:eastAsia="en-GB"/>
        </w:rPr>
        <w:t>”</w:t>
      </w:r>
      <w:r w:rsidRPr="005C0AEA">
        <w:rPr>
          <w:rFonts w:ascii="Verdana" w:hAnsi="Verdana" w:cs="Arial"/>
          <w:sz w:val="20"/>
          <w:szCs w:val="20"/>
          <w:lang w:eastAsia="x-none"/>
        </w:rPr>
        <w:t>, por lo que excluye las demás modalidades de contratación previstas en la Ley 1150 de 2007.</w:t>
      </w:r>
    </w:p>
    <w:p w14:paraId="7AAD6B21"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eastAsia="es-ES" w:bidi="es-ES"/>
        </w:rPr>
      </w:pPr>
    </w:p>
    <w:p w14:paraId="69F3C3DA"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eastAsia="es-ES" w:bidi="es-ES"/>
        </w:rPr>
      </w:pPr>
      <w:r w:rsidRPr="00904AD4">
        <w:rPr>
          <w:rFonts w:ascii="Verdana" w:eastAsia="Times New Roman" w:hAnsi="Verdana" w:cs="Arial"/>
          <w:b/>
          <w:lang w:eastAsia="es-CO"/>
        </w:rPr>
        <w:t xml:space="preserve">LEY DE GARANTÍAS ELECTORALES ‒ </w:t>
      </w:r>
      <w:r w:rsidRPr="00904AD4">
        <w:rPr>
          <w:rFonts w:ascii="Verdana" w:eastAsia="Times New Roman" w:hAnsi="Verdana" w:cs="Arial"/>
          <w:b/>
          <w:lang w:val="es-ES" w:eastAsia="es-CO"/>
        </w:rPr>
        <w:t xml:space="preserve">Prohibición del artículo 33 </w:t>
      </w:r>
      <w:r w:rsidRPr="00904AD4">
        <w:rPr>
          <w:rFonts w:ascii="Verdana" w:eastAsia="Times New Roman" w:hAnsi="Verdana" w:cs="Arial"/>
          <w:b/>
          <w:lang w:eastAsia="es-CO"/>
        </w:rPr>
        <w:t xml:space="preserve">‒ Destinatarios </w:t>
      </w:r>
    </w:p>
    <w:p w14:paraId="47AD6D91"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eastAsia="es-ES" w:bidi="es-ES"/>
        </w:rPr>
      </w:pPr>
    </w:p>
    <w:p w14:paraId="635138AD"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val="es-ES" w:eastAsia="es-ES" w:bidi="es-ES"/>
        </w:rPr>
      </w:pPr>
      <w:r w:rsidRPr="005C0AEA">
        <w:rPr>
          <w:rFonts w:ascii="Verdana" w:hAnsi="Verdana" w:cs="Arial"/>
          <w:color w:val="000000" w:themeColor="text1"/>
          <w:sz w:val="20"/>
          <w:szCs w:val="20"/>
          <w:lang w:val="es-MX"/>
        </w:rPr>
        <w:t>Ahora bien, en relación con los destinatarios de las restricciones, el artículo 33 de la Ley 996 de 2005 los señala expresamente, en el sentido de que son “</w:t>
      </w:r>
      <w:r w:rsidRPr="005C0AEA">
        <w:rPr>
          <w:rFonts w:ascii="Verdana" w:hAnsi="Verdana" w:cs="Arial"/>
          <w:i/>
          <w:color w:val="000000" w:themeColor="text1"/>
          <w:sz w:val="20"/>
          <w:szCs w:val="20"/>
          <w:lang w:val="es-MX"/>
        </w:rPr>
        <w:t>todos los entes del Estado</w:t>
      </w:r>
      <w:r w:rsidRPr="005C0AEA">
        <w:rPr>
          <w:rFonts w:ascii="Verdana" w:hAnsi="Verdana" w:cs="Arial"/>
          <w:color w:val="000000" w:themeColor="text1"/>
          <w:sz w:val="20"/>
          <w:szCs w:val="20"/>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3DF83F5B"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val="es-ES" w:eastAsia="es-ES" w:bidi="es-ES"/>
        </w:rPr>
      </w:pPr>
    </w:p>
    <w:p w14:paraId="77A35F38"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val="es-ES" w:eastAsia="es-ES" w:bidi="es-ES"/>
        </w:rPr>
      </w:pPr>
      <w:r w:rsidRPr="00904AD4">
        <w:rPr>
          <w:rFonts w:ascii="Verdana" w:eastAsia="Times New Roman" w:hAnsi="Verdana" w:cs="Arial"/>
          <w:b/>
          <w:lang w:val="es-ES" w:eastAsia="es-CO" w:bidi="es-ES"/>
        </w:rPr>
        <w:t xml:space="preserve">EMPRESAS INDUSTRIALES Y COMERCIALES DEL ESTADO </w:t>
      </w:r>
      <w:r w:rsidRPr="00904AD4">
        <w:rPr>
          <w:rFonts w:ascii="Verdana" w:eastAsia="Calibri" w:hAnsi="Verdana" w:cs="Arial"/>
          <w:b/>
          <w:lang w:val="es-ES" w:eastAsia="es-MX"/>
        </w:rPr>
        <w:t xml:space="preserve">‒ Ley de garantías electorales </w:t>
      </w:r>
    </w:p>
    <w:p w14:paraId="5188ED64" w14:textId="77777777" w:rsidR="008A19CC" w:rsidRDefault="008A19CC" w:rsidP="008A19CC">
      <w:pPr>
        <w:widowControl w:val="0"/>
        <w:autoSpaceDE w:val="0"/>
        <w:autoSpaceDN w:val="0"/>
        <w:spacing w:after="0" w:line="240" w:lineRule="auto"/>
        <w:jc w:val="both"/>
        <w:rPr>
          <w:rFonts w:ascii="Verdana" w:eastAsia="Arial" w:hAnsi="Verdana" w:cs="Arial"/>
          <w:sz w:val="20"/>
          <w:szCs w:val="20"/>
          <w:lang w:val="es-ES" w:eastAsia="es-ES" w:bidi="es-ES"/>
        </w:rPr>
      </w:pPr>
    </w:p>
    <w:p w14:paraId="0D07ED86" w14:textId="77777777" w:rsidR="008A19CC" w:rsidRPr="00CE0712" w:rsidRDefault="008A19CC" w:rsidP="008A19CC">
      <w:pPr>
        <w:widowControl w:val="0"/>
        <w:autoSpaceDE w:val="0"/>
        <w:autoSpaceDN w:val="0"/>
        <w:spacing w:after="0" w:line="240" w:lineRule="auto"/>
        <w:jc w:val="both"/>
        <w:rPr>
          <w:rFonts w:ascii="Verdana" w:eastAsia="Arial" w:hAnsi="Verdana" w:cs="Arial"/>
          <w:sz w:val="20"/>
          <w:szCs w:val="20"/>
          <w:lang w:val="es-ES" w:eastAsia="es-ES" w:bidi="es-ES"/>
        </w:rPr>
      </w:pPr>
      <w:r w:rsidRPr="005C0AEA">
        <w:rPr>
          <w:rFonts w:ascii="Verdana" w:eastAsia="Calibri" w:hAnsi="Verdana" w:cs="Arial"/>
          <w:bCs/>
          <w:sz w:val="20"/>
          <w:szCs w:val="20"/>
          <w:lang w:val="es-ES" w:eastAsia="es-MX"/>
        </w:rPr>
        <w:t xml:space="preserve">[…] </w:t>
      </w:r>
      <w:r w:rsidRPr="005C0AEA">
        <w:rPr>
          <w:rFonts w:ascii="Verdana" w:hAnsi="Verdana" w:cs="Arial"/>
          <w:bCs/>
          <w:color w:val="000000" w:themeColor="text1"/>
          <w:sz w:val="20"/>
          <w:szCs w:val="20"/>
          <w:lang w:val="es-MX"/>
        </w:rPr>
        <w:t>“</w:t>
      </w:r>
      <w:r w:rsidRPr="005C0AEA">
        <w:rPr>
          <w:rFonts w:ascii="Verdana" w:hAnsi="Verdana" w:cs="Arial"/>
          <w:color w:val="000000" w:themeColor="text1"/>
          <w:sz w:val="20"/>
          <w:szCs w:val="20"/>
          <w:lang w:val="es-MX"/>
        </w:rPr>
        <w:t>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p>
    <w:p w14:paraId="042FD924" w14:textId="77777777" w:rsidR="008A19CC" w:rsidRPr="005C0AEA" w:rsidRDefault="008A19CC" w:rsidP="008A19CC">
      <w:pPr>
        <w:spacing w:after="0" w:line="240" w:lineRule="auto"/>
        <w:contextualSpacing/>
        <w:jc w:val="both"/>
        <w:rPr>
          <w:rFonts w:ascii="Verdana" w:hAnsi="Verdana" w:cs="Arial"/>
          <w:color w:val="000000" w:themeColor="text1"/>
          <w:sz w:val="20"/>
          <w:szCs w:val="20"/>
          <w:lang w:val="es-MX"/>
        </w:rPr>
      </w:pPr>
    </w:p>
    <w:p w14:paraId="3AA9FB0B" w14:textId="77777777" w:rsidR="008A19CC" w:rsidRPr="005C0AEA" w:rsidRDefault="008A19CC" w:rsidP="008A19CC">
      <w:pPr>
        <w:spacing w:after="0" w:line="240" w:lineRule="auto"/>
        <w:jc w:val="both"/>
        <w:rPr>
          <w:rFonts w:ascii="Verdana" w:hAnsi="Verdana" w:cs="Arial"/>
          <w:color w:val="000000" w:themeColor="text1"/>
          <w:sz w:val="20"/>
          <w:szCs w:val="20"/>
          <w:lang w:eastAsia="es-CO"/>
        </w:rPr>
      </w:pPr>
      <w:r w:rsidRPr="005C0AEA">
        <w:rPr>
          <w:rFonts w:ascii="Verdana" w:eastAsia="Calibri" w:hAnsi="Verdana" w:cs="Arial"/>
          <w:bCs/>
          <w:sz w:val="20"/>
          <w:szCs w:val="20"/>
          <w:lang w:val="es-ES" w:eastAsia="es-MX"/>
        </w:rPr>
        <w:t>[...]</w:t>
      </w:r>
      <w:r w:rsidRPr="005C0AEA">
        <w:rPr>
          <w:rFonts w:ascii="Verdana" w:eastAsia="Calibri" w:hAnsi="Verdana" w:cs="Arial"/>
          <w:b/>
          <w:sz w:val="20"/>
          <w:szCs w:val="20"/>
          <w:lang w:val="es-ES" w:eastAsia="es-MX"/>
        </w:rPr>
        <w:t xml:space="preserve"> </w:t>
      </w:r>
      <w:r w:rsidRPr="005C0AEA">
        <w:rPr>
          <w:rFonts w:ascii="Verdana" w:hAnsi="Verdana" w:cs="Arial"/>
          <w:color w:val="000000" w:themeColor="text1"/>
          <w:sz w:val="20"/>
          <w:szCs w:val="20"/>
          <w:lang w:val="es-MX"/>
        </w:rPr>
        <w:t>De acuerdo con estos pronunciamientos de la Sala de Consulta y Servicio Civil del Consejo de Estado, la prohibición de la contratación directa también aplica frente a las entidades exceptuadas del Estatuto General de Contratación de la Administración Pública y que se rigen en materia contractual por el derecho privado. Sin embargo, señaló que algunas de estas entidades, como sucede con las empresas de servicios públicos domiciliarios, los establecimientos de crédito, las sociedades de servicios financieros y las entidades aseguradoras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5C0AEA">
        <w:rPr>
          <w:rFonts w:ascii="Verdana" w:hAnsi="Verdana" w:cs="Arial"/>
          <w:color w:val="000000" w:themeColor="text1"/>
          <w:sz w:val="20"/>
          <w:szCs w:val="20"/>
          <w:lang w:eastAsia="es-CO"/>
        </w:rPr>
        <w:t xml:space="preserve"> </w:t>
      </w:r>
    </w:p>
    <w:p w14:paraId="26109AFB" w14:textId="77777777" w:rsidR="008A19CC" w:rsidRPr="005C0AEA" w:rsidRDefault="008A19CC" w:rsidP="008A19CC">
      <w:pPr>
        <w:spacing w:after="0" w:line="240" w:lineRule="auto"/>
        <w:ind w:firstLine="709"/>
        <w:jc w:val="both"/>
        <w:rPr>
          <w:rFonts w:ascii="Verdana" w:hAnsi="Verdana" w:cs="Arial"/>
          <w:color w:val="000000" w:themeColor="text1"/>
          <w:sz w:val="20"/>
          <w:szCs w:val="20"/>
          <w:lang w:eastAsia="es-CO"/>
        </w:rPr>
      </w:pPr>
    </w:p>
    <w:p w14:paraId="66165BAF" w14:textId="77777777" w:rsidR="008A19CC" w:rsidRDefault="008A19CC" w:rsidP="008A19CC">
      <w:pPr>
        <w:spacing w:after="0" w:line="240" w:lineRule="auto"/>
        <w:jc w:val="both"/>
        <w:rPr>
          <w:rFonts w:ascii="Verdana" w:hAnsi="Verdana" w:cs="Arial"/>
          <w:color w:val="000000" w:themeColor="text1"/>
          <w:sz w:val="20"/>
          <w:szCs w:val="20"/>
          <w:lang w:eastAsia="es-CO"/>
        </w:rPr>
      </w:pPr>
      <w:r w:rsidRPr="005C0AEA">
        <w:rPr>
          <w:rFonts w:ascii="Verdana" w:hAnsi="Verdana" w:cs="Arial"/>
          <w:color w:val="000000" w:themeColor="text1"/>
          <w:sz w:val="20"/>
          <w:szCs w:val="20"/>
          <w:lang w:eastAsia="es-CO"/>
        </w:rPr>
        <w:t>Sin perjuicio de estos pronunciamientos de la Sala de Consulta y Servicio Civil</w:t>
      </w:r>
      <w:r w:rsidRPr="005C0AEA">
        <w:rPr>
          <w:rFonts w:ascii="Verdana" w:hAnsi="Verdana" w:cs="Arial"/>
          <w:color w:val="000000" w:themeColor="text1"/>
          <w:sz w:val="20"/>
          <w:szCs w:val="20"/>
          <w:lang w:val="es-MX"/>
        </w:rPr>
        <w:t xml:space="preserve">, como la ha señalado esa misma Corporación, la restricción prevista en la Ley 996 de 2005 </w:t>
      </w:r>
      <w:r w:rsidRPr="005C0AEA">
        <w:rPr>
          <w:rFonts w:ascii="Verdana" w:hAnsi="Verdana" w:cs="Arial"/>
          <w:bCs/>
          <w:color w:val="000000" w:themeColor="text1"/>
          <w:sz w:val="20"/>
          <w:szCs w:val="20"/>
          <w:lang w:val="es-MX" w:eastAsia="x-none"/>
        </w:rPr>
        <w:t xml:space="preserve">cobija a cualquier entidad pública independiente del régimen jurídico, que pueda mediante la contratación directa romper el equilibrio entre los candidatos en desarrollo de las elecciones presidenciales. </w:t>
      </w:r>
      <w:r w:rsidRPr="005C0AEA">
        <w:rPr>
          <w:rFonts w:ascii="Verdana" w:hAnsi="Verdana" w:cs="Arial"/>
          <w:color w:val="000000" w:themeColor="text1"/>
          <w:sz w:val="20"/>
          <w:szCs w:val="20"/>
          <w:lang w:eastAsia="es-CO"/>
        </w:rPr>
        <w:t xml:space="preserve">En este sentido, respecto a su consulta, es pertinente señalar que las empresas industriales y comerciales del Estado en vigencia de la Ley de Garantías Electorales no podrán hacer contrataciones bajo la modalidad de contratación directa, </w:t>
      </w:r>
      <w:r w:rsidRPr="005C0AEA">
        <w:rPr>
          <w:rFonts w:ascii="Verdana" w:hAnsi="Verdana" w:cs="Arial"/>
          <w:color w:val="000000" w:themeColor="text1"/>
          <w:sz w:val="20"/>
          <w:szCs w:val="20"/>
          <w:lang w:val="es-MX"/>
        </w:rPr>
        <w:t xml:space="preserve">sino por mecanismos competitivos que impliquen convocatoria pública y la posibilidad de la existencia de pluralidad de oferentes. </w:t>
      </w:r>
    </w:p>
    <w:p w14:paraId="02C833E0" w14:textId="77777777" w:rsidR="008A19CC" w:rsidRDefault="008A19CC" w:rsidP="008A19CC">
      <w:pPr>
        <w:spacing w:after="0" w:line="240" w:lineRule="auto"/>
        <w:jc w:val="both"/>
        <w:rPr>
          <w:rFonts w:ascii="Verdana" w:hAnsi="Verdana" w:cs="Arial"/>
          <w:color w:val="000000" w:themeColor="text1"/>
          <w:sz w:val="20"/>
          <w:szCs w:val="20"/>
          <w:lang w:eastAsia="es-CO"/>
        </w:rPr>
      </w:pPr>
    </w:p>
    <w:p w14:paraId="557AD00C" w14:textId="77777777" w:rsidR="008A19CC" w:rsidRPr="00CE0712" w:rsidRDefault="008A19CC" w:rsidP="008A19CC">
      <w:pPr>
        <w:spacing w:after="0" w:line="240" w:lineRule="auto"/>
        <w:jc w:val="both"/>
        <w:rPr>
          <w:rFonts w:ascii="Verdana" w:hAnsi="Verdana" w:cs="Arial"/>
          <w:color w:val="000000" w:themeColor="text1"/>
          <w:sz w:val="20"/>
          <w:szCs w:val="20"/>
          <w:lang w:eastAsia="es-CO"/>
        </w:rPr>
      </w:pPr>
      <w:r w:rsidRPr="005C0AEA">
        <w:rPr>
          <w:rFonts w:ascii="Verdana" w:hAnsi="Verdana" w:cs="Arial"/>
          <w:color w:val="000000" w:themeColor="text1"/>
          <w:sz w:val="20"/>
          <w:szCs w:val="20"/>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638C34A0" w14:textId="77777777" w:rsidR="008A19CC" w:rsidRPr="005C0AEA" w:rsidRDefault="008A19CC" w:rsidP="008A19CC">
      <w:pPr>
        <w:spacing w:after="0" w:line="240" w:lineRule="auto"/>
        <w:ind w:firstLine="709"/>
        <w:jc w:val="both"/>
        <w:rPr>
          <w:rFonts w:ascii="Verdana" w:hAnsi="Verdana" w:cs="Arial"/>
          <w:color w:val="000000" w:themeColor="text1"/>
          <w:sz w:val="20"/>
          <w:szCs w:val="20"/>
          <w:lang w:val="es-MX"/>
        </w:rPr>
      </w:pPr>
    </w:p>
    <w:p w14:paraId="14CBCDEC" w14:textId="77777777" w:rsidR="008A19CC" w:rsidRPr="005C0AEA" w:rsidRDefault="008A19CC" w:rsidP="008A19CC">
      <w:pPr>
        <w:widowControl w:val="0"/>
        <w:autoSpaceDE w:val="0"/>
        <w:autoSpaceDN w:val="0"/>
        <w:spacing w:after="0" w:line="240" w:lineRule="auto"/>
        <w:jc w:val="both"/>
        <w:rPr>
          <w:rFonts w:ascii="Verdana" w:eastAsia="Times New Roman" w:hAnsi="Verdana" w:cs="Arial"/>
          <w:bCs/>
          <w:sz w:val="20"/>
          <w:szCs w:val="20"/>
          <w:lang w:val="es-ES" w:eastAsia="es-CO" w:bidi="es-ES"/>
        </w:rPr>
      </w:pPr>
      <w:r w:rsidRPr="005C0AEA">
        <w:rPr>
          <w:rFonts w:ascii="Verdana" w:eastAsia="Times New Roman" w:hAnsi="Verdana" w:cs="Arial"/>
          <w:bCs/>
          <w:sz w:val="20"/>
          <w:szCs w:val="20"/>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5C0AEA">
        <w:rPr>
          <w:rFonts w:ascii="Verdana" w:hAnsi="Verdana" w:cs="Arial"/>
          <w:bCs/>
          <w:sz w:val="20"/>
          <w:szCs w:val="20"/>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5C0AEA">
        <w:rPr>
          <w:rFonts w:ascii="Verdana" w:eastAsia="Times New Roman" w:hAnsi="Verdana" w:cs="Arial"/>
          <w:bCs/>
          <w:sz w:val="20"/>
          <w:szCs w:val="20"/>
          <w:lang w:val="es-ES" w:eastAsia="es-CO" w:bidi="es-ES"/>
        </w:rPr>
        <w:t xml:space="preserve"> </w:t>
      </w:r>
    </w:p>
    <w:p w14:paraId="69A78A82" w14:textId="77777777" w:rsidR="008A19CC" w:rsidRPr="00904AD4" w:rsidRDefault="008A19CC" w:rsidP="008A19CC">
      <w:pPr>
        <w:spacing w:after="0" w:line="240" w:lineRule="auto"/>
        <w:contextualSpacing/>
        <w:jc w:val="both"/>
        <w:rPr>
          <w:rFonts w:ascii="Verdana" w:eastAsia="Calibri" w:hAnsi="Verdana" w:cs="Arial"/>
          <w:b/>
          <w:lang w:val="es-ES" w:eastAsia="es-MX"/>
        </w:rPr>
      </w:pPr>
    </w:p>
    <w:p w14:paraId="5B798AC5" w14:textId="77777777" w:rsidR="008A19CC" w:rsidRDefault="008A19CC" w:rsidP="008A19CC">
      <w:pPr>
        <w:rPr>
          <w:rFonts w:ascii="Verdana" w:hAnsi="Verdana"/>
          <w:sz w:val="20"/>
          <w:szCs w:val="20"/>
          <w:lang w:val="es-ES_tradnl"/>
        </w:rPr>
      </w:pPr>
    </w:p>
    <w:p w14:paraId="60CD96D5" w14:textId="77777777" w:rsidR="008A19CC" w:rsidRDefault="008A19CC" w:rsidP="008A19CC">
      <w:pPr>
        <w:rPr>
          <w:rFonts w:ascii="Verdana" w:hAnsi="Verdana"/>
          <w:sz w:val="20"/>
          <w:szCs w:val="20"/>
          <w:lang w:val="es-ES_tradnl"/>
        </w:rPr>
      </w:pPr>
    </w:p>
    <w:p w14:paraId="4A205F77" w14:textId="77777777" w:rsidR="008A19CC" w:rsidRPr="005F6BCE" w:rsidRDefault="008A19CC" w:rsidP="008A19CC">
      <w:pPr>
        <w:rPr>
          <w:rFonts w:ascii="Verdana" w:hAnsi="Verdana"/>
          <w:sz w:val="20"/>
          <w:szCs w:val="20"/>
          <w:lang w:val="es-ES_tradnl"/>
        </w:rPr>
      </w:pPr>
    </w:p>
    <w:p w14:paraId="56FB3C42" w14:textId="77777777" w:rsidR="008A19CC" w:rsidRPr="005F6BCE" w:rsidRDefault="008A19CC" w:rsidP="008A19CC">
      <w:pPr>
        <w:spacing w:after="0"/>
        <w:rPr>
          <w:rFonts w:ascii="Verdana" w:hAnsi="Verdana"/>
          <w:sz w:val="20"/>
          <w:szCs w:val="20"/>
        </w:rPr>
      </w:pPr>
    </w:p>
    <w:p w14:paraId="7F439C9E" w14:textId="77777777" w:rsidR="008A19CC" w:rsidRDefault="008A19CC" w:rsidP="008A19CC">
      <w:pPr>
        <w:spacing w:after="0"/>
        <w:rPr>
          <w:rFonts w:ascii="Verdana" w:hAnsi="Verdana"/>
          <w:sz w:val="20"/>
          <w:szCs w:val="20"/>
        </w:rPr>
      </w:pPr>
    </w:p>
    <w:p w14:paraId="5FDC6823" w14:textId="77777777" w:rsidR="008A19CC" w:rsidRDefault="008A19CC" w:rsidP="008A19CC">
      <w:pPr>
        <w:spacing w:after="0"/>
        <w:rPr>
          <w:rFonts w:ascii="Verdana" w:hAnsi="Verdana"/>
          <w:sz w:val="20"/>
          <w:szCs w:val="20"/>
        </w:rPr>
      </w:pPr>
    </w:p>
    <w:p w14:paraId="2593E19B" w14:textId="77777777" w:rsidR="008A19CC" w:rsidRDefault="008A19CC" w:rsidP="008A19CC">
      <w:pPr>
        <w:spacing w:after="0"/>
        <w:rPr>
          <w:rFonts w:ascii="Verdana" w:hAnsi="Verdana"/>
          <w:sz w:val="20"/>
          <w:szCs w:val="20"/>
        </w:rPr>
      </w:pPr>
    </w:p>
    <w:p w14:paraId="3542B773" w14:textId="77777777" w:rsidR="008A19CC" w:rsidRDefault="008A19CC" w:rsidP="008A19CC">
      <w:pPr>
        <w:spacing w:after="0"/>
        <w:rPr>
          <w:rFonts w:ascii="Verdana" w:hAnsi="Verdana"/>
          <w:sz w:val="20"/>
          <w:szCs w:val="20"/>
        </w:rPr>
      </w:pPr>
    </w:p>
    <w:p w14:paraId="5B847CD5" w14:textId="77777777" w:rsidR="008A19CC" w:rsidRDefault="008A19CC" w:rsidP="008A19CC">
      <w:pPr>
        <w:spacing w:after="0"/>
        <w:rPr>
          <w:rFonts w:ascii="Verdana" w:hAnsi="Verdana"/>
          <w:sz w:val="20"/>
          <w:szCs w:val="20"/>
        </w:rPr>
      </w:pPr>
    </w:p>
    <w:p w14:paraId="04B5F137" w14:textId="77777777" w:rsidR="008A19CC" w:rsidRDefault="008A19CC" w:rsidP="008A19CC">
      <w:pPr>
        <w:spacing w:after="0"/>
        <w:rPr>
          <w:rFonts w:ascii="Verdana" w:hAnsi="Verdana"/>
          <w:sz w:val="20"/>
          <w:szCs w:val="20"/>
        </w:rPr>
      </w:pPr>
    </w:p>
    <w:p w14:paraId="52F38BCB" w14:textId="77777777" w:rsidR="008A19CC" w:rsidRDefault="008A19CC" w:rsidP="008A19CC">
      <w:pPr>
        <w:spacing w:after="0"/>
        <w:rPr>
          <w:rFonts w:ascii="Verdana" w:hAnsi="Verdana"/>
          <w:sz w:val="20"/>
          <w:szCs w:val="20"/>
        </w:rPr>
      </w:pPr>
    </w:p>
    <w:p w14:paraId="6DF55EE5" w14:textId="202738E8" w:rsidR="008A19CC" w:rsidRPr="00E31648" w:rsidRDefault="008A19CC" w:rsidP="008A19CC">
      <w:pPr>
        <w:spacing w:after="0" w:line="240" w:lineRule="auto"/>
      </w:pPr>
      <w:r w:rsidRPr="00C562D4">
        <w:rPr>
          <w:rFonts w:ascii="Verdana" w:eastAsia="Calibri" w:hAnsi="Verdana" w:cs="Arial"/>
          <w:color w:val="000000" w:themeColor="text1"/>
        </w:rPr>
        <w:t xml:space="preserve">Bogotá D.C., </w:t>
      </w:r>
      <w:r>
        <w:rPr>
          <w:rFonts w:ascii="Verdana" w:eastAsia="Calibri" w:hAnsi="Verdana" w:cs="Arial"/>
          <w:color w:val="000000" w:themeColor="text1"/>
        </w:rPr>
        <w:t>1</w:t>
      </w:r>
      <w:r w:rsidR="00497F6E">
        <w:rPr>
          <w:rFonts w:ascii="Verdana" w:eastAsia="Calibri" w:hAnsi="Verdana" w:cs="Arial"/>
          <w:color w:val="000000" w:themeColor="text1"/>
        </w:rPr>
        <w:t>4</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mayo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794678AA" w14:textId="77777777" w:rsidR="008A19CC" w:rsidRDefault="008A19CC" w:rsidP="008A19CC">
      <w:pPr>
        <w:spacing w:after="0" w:line="240" w:lineRule="auto"/>
        <w:jc w:val="both"/>
        <w:rPr>
          <w:rFonts w:ascii="Verdana" w:eastAsia="Calibri" w:hAnsi="Verdana" w:cs="Arial"/>
          <w:color w:val="000000" w:themeColor="text1"/>
          <w:lang w:val="es-ES"/>
        </w:rPr>
      </w:pPr>
    </w:p>
    <w:p w14:paraId="64CAD320" w14:textId="787C556D" w:rsidR="00497F6E" w:rsidRDefault="00497F6E" w:rsidP="00497F6E">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31A5680C" wp14:editId="0F74375B">
            <wp:extent cx="2295525" cy="752475"/>
            <wp:effectExtent l="0" t="0" r="9525" b="9525"/>
            <wp:docPr id="9703190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95525" cy="752475"/>
                    </a:xfrm>
                    <a:prstGeom prst="rect">
                      <a:avLst/>
                    </a:prstGeom>
                    <a:noFill/>
                    <a:ln>
                      <a:noFill/>
                    </a:ln>
                  </pic:spPr>
                </pic:pic>
              </a:graphicData>
            </a:graphic>
          </wp:inline>
        </w:drawing>
      </w:r>
    </w:p>
    <w:p w14:paraId="5D935CD3" w14:textId="77777777" w:rsidR="00497F6E" w:rsidRDefault="00497F6E" w:rsidP="008A19CC">
      <w:pPr>
        <w:spacing w:after="0" w:line="240" w:lineRule="auto"/>
        <w:jc w:val="both"/>
        <w:rPr>
          <w:rFonts w:ascii="Verdana" w:eastAsia="Calibri" w:hAnsi="Verdana" w:cs="Arial"/>
          <w:color w:val="000000" w:themeColor="text1"/>
          <w:lang w:val="es-ES"/>
        </w:rPr>
      </w:pPr>
    </w:p>
    <w:p w14:paraId="1F900D2B" w14:textId="77777777" w:rsidR="008A19CC" w:rsidRDefault="008A19CC" w:rsidP="008A19CC">
      <w:pPr>
        <w:spacing w:after="0" w:line="240" w:lineRule="auto"/>
        <w:jc w:val="both"/>
        <w:rPr>
          <w:rFonts w:ascii="Verdana" w:eastAsia="Calibri" w:hAnsi="Verdana" w:cs="Arial"/>
          <w:color w:val="000000" w:themeColor="text1"/>
          <w:lang w:val="es-ES" w:eastAsia="es-ES"/>
        </w:rPr>
      </w:pPr>
    </w:p>
    <w:p w14:paraId="7455E463" w14:textId="77777777" w:rsidR="008A19CC" w:rsidRPr="0046108F" w:rsidRDefault="008A19CC" w:rsidP="008A19CC">
      <w:pPr>
        <w:spacing w:after="0" w:line="240" w:lineRule="auto"/>
        <w:jc w:val="both"/>
        <w:rPr>
          <w:rFonts w:ascii="Verdana" w:eastAsia="Calibri" w:hAnsi="Verdana" w:cs="Arial"/>
          <w:color w:val="000000" w:themeColor="text1"/>
          <w:lang w:val="es-ES" w:eastAsia="es-ES"/>
        </w:rPr>
      </w:pPr>
      <w:r w:rsidRPr="0046108F">
        <w:rPr>
          <w:rFonts w:ascii="Verdana" w:eastAsia="Calibri" w:hAnsi="Verdana" w:cs="Arial"/>
          <w:color w:val="000000" w:themeColor="text1"/>
          <w:lang w:val="es-ES" w:eastAsia="es-ES"/>
        </w:rPr>
        <w:t>Señor</w:t>
      </w:r>
    </w:p>
    <w:p w14:paraId="1E27ABE5" w14:textId="77777777" w:rsidR="008A19CC" w:rsidRDefault="008A19CC" w:rsidP="008A19CC">
      <w:pPr>
        <w:spacing w:after="0" w:line="240" w:lineRule="auto"/>
        <w:rPr>
          <w:rFonts w:ascii="Verdana" w:eastAsia="Calibri" w:hAnsi="Verdana" w:cs="Arial"/>
          <w:b/>
          <w:bCs/>
          <w:lang w:eastAsia="es-ES"/>
        </w:rPr>
      </w:pPr>
      <w:r w:rsidRPr="009F4DC5">
        <w:rPr>
          <w:rFonts w:ascii="Verdana" w:eastAsia="Calibri" w:hAnsi="Verdana" w:cs="Arial"/>
          <w:b/>
          <w:bCs/>
          <w:lang w:eastAsia="es-ES"/>
        </w:rPr>
        <w:t xml:space="preserve">ESTEBAN ANDRES ERASO SOLARTE </w:t>
      </w:r>
    </w:p>
    <w:p w14:paraId="72FA2277" w14:textId="77777777" w:rsidR="008A19CC" w:rsidRDefault="008A19CC" w:rsidP="008A19CC">
      <w:pPr>
        <w:spacing w:after="0" w:line="240" w:lineRule="auto"/>
        <w:rPr>
          <w:rFonts w:ascii="Verdana" w:eastAsia="Calibri" w:hAnsi="Verdana" w:cs="Arial"/>
          <w:lang w:val="es-ES" w:eastAsia="es-ES"/>
        </w:rPr>
      </w:pPr>
      <w:hyperlink r:id="rId11" w:history="1">
        <w:r w:rsidRPr="00D96203">
          <w:rPr>
            <w:rStyle w:val="Hipervnculo"/>
            <w:rFonts w:ascii="Verdana" w:eastAsia="Calibri" w:hAnsi="Verdana" w:cs="Arial"/>
            <w:lang w:eastAsia="es-ES"/>
          </w:rPr>
          <w:t>andressolarte99@gmail.com</w:t>
        </w:r>
      </w:hyperlink>
      <w:r>
        <w:rPr>
          <w:rFonts w:ascii="Verdana" w:eastAsia="Calibri" w:hAnsi="Verdana" w:cs="Arial"/>
          <w:lang w:eastAsia="es-ES"/>
        </w:rPr>
        <w:t xml:space="preserve"> </w:t>
      </w:r>
    </w:p>
    <w:p w14:paraId="01092ADE" w14:textId="77777777" w:rsidR="008A19CC" w:rsidRPr="006B17A7" w:rsidRDefault="008A19CC" w:rsidP="008A19CC">
      <w:pPr>
        <w:spacing w:after="0" w:line="240" w:lineRule="auto"/>
        <w:rPr>
          <w:rFonts w:ascii="Verdana" w:eastAsia="Calibri" w:hAnsi="Verdana" w:cs="Arial"/>
          <w:b/>
          <w:bCs/>
          <w:lang w:val="es-ES" w:eastAsia="es-ES"/>
        </w:rPr>
      </w:pPr>
      <w:r>
        <w:rPr>
          <w:rFonts w:ascii="Verdana" w:eastAsia="Calibri" w:hAnsi="Verdana" w:cs="Arial"/>
          <w:lang w:val="es-ES" w:eastAsia="es-ES"/>
        </w:rPr>
        <w:t>La Union (Nariño)</w:t>
      </w:r>
    </w:p>
    <w:p w14:paraId="57BE2F09" w14:textId="77777777" w:rsidR="008A19CC" w:rsidRPr="00CB7ABE" w:rsidRDefault="008A19CC" w:rsidP="008A19CC">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8A19CC" w:rsidRPr="00115E3D" w14:paraId="2C46CC6E" w14:textId="77777777" w:rsidTr="000B5BC1">
        <w:trPr>
          <w:trHeight w:val="615"/>
        </w:trPr>
        <w:tc>
          <w:tcPr>
            <w:tcW w:w="2270" w:type="dxa"/>
          </w:tcPr>
          <w:p w14:paraId="361F4270" w14:textId="77777777" w:rsidR="008A19CC" w:rsidRPr="00CB7ABE" w:rsidRDefault="008A19CC" w:rsidP="000B5BC1">
            <w:pPr>
              <w:jc w:val="both"/>
              <w:rPr>
                <w:rFonts w:ascii="Verdana" w:eastAsia="Calibri" w:hAnsi="Verdana" w:cs="Arial"/>
                <w:b/>
                <w:bCs/>
                <w:color w:val="000000" w:themeColor="text1"/>
                <w:lang w:eastAsia="es-ES_tradnl"/>
              </w:rPr>
            </w:pPr>
          </w:p>
        </w:tc>
        <w:tc>
          <w:tcPr>
            <w:tcW w:w="6547" w:type="dxa"/>
          </w:tcPr>
          <w:p w14:paraId="6844A3A4" w14:textId="77777777" w:rsidR="008A19CC" w:rsidRPr="008A209A" w:rsidRDefault="008A19CC" w:rsidP="000B5BC1">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527</w:t>
            </w:r>
            <w:r w:rsidRPr="008A209A">
              <w:rPr>
                <w:rFonts w:ascii="Verdana" w:eastAsia="Calibri" w:hAnsi="Verdana" w:cs="Arial"/>
                <w:b/>
                <w:bCs/>
                <w:color w:val="000000" w:themeColor="text1"/>
                <w:lang w:val="es-ES" w:eastAsia="es-ES"/>
              </w:rPr>
              <w:t xml:space="preserve"> de 2026</w:t>
            </w:r>
          </w:p>
        </w:tc>
      </w:tr>
      <w:tr w:rsidR="008A19CC" w:rsidRPr="007E403E" w14:paraId="2C8A501B" w14:textId="77777777" w:rsidTr="000B5BC1">
        <w:trPr>
          <w:trHeight w:val="1071"/>
        </w:trPr>
        <w:tc>
          <w:tcPr>
            <w:tcW w:w="2270" w:type="dxa"/>
          </w:tcPr>
          <w:p w14:paraId="331D697C" w14:textId="77777777" w:rsidR="008A19CC" w:rsidRPr="001B36DA" w:rsidRDefault="008A19CC" w:rsidP="000B5BC1">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0A648581" w14:textId="77777777" w:rsidR="008A19CC" w:rsidRPr="00F04657" w:rsidRDefault="008A19CC" w:rsidP="000B5BC1">
            <w:pPr>
              <w:contextualSpacing/>
              <w:jc w:val="both"/>
              <w:rPr>
                <w:rFonts w:ascii="Verdana" w:eastAsia="Calibri" w:hAnsi="Verdana" w:cs="Arial"/>
                <w:bCs/>
                <w:lang w:val="es-ES" w:eastAsia="es-MX"/>
              </w:rPr>
            </w:pPr>
            <w:r w:rsidRPr="00F04657">
              <w:rPr>
                <w:rFonts w:ascii="Verdana" w:eastAsia="Calibri" w:hAnsi="Verdana" w:cs="Arial"/>
                <w:bCs/>
                <w:lang w:val="es-MX" w:eastAsia="es-MX"/>
              </w:rPr>
              <w:t xml:space="preserve">LEY DE GARANTÍAS ELECTORALES – Naturaleza Jurídica / LEY DE GARANTÍAS ELECTORALES –  / </w:t>
            </w:r>
            <w:r w:rsidRPr="00F04657">
              <w:rPr>
                <w:rFonts w:ascii="Verdana" w:eastAsia="Calibri" w:hAnsi="Verdana" w:cs="Arial"/>
                <w:bCs/>
                <w:lang w:val="es-MX"/>
              </w:rPr>
              <w:t xml:space="preserve">LEY DE GARANTÍAS ELECTORALES ─ Prohibición artículo 33 ‒ Contratación directa ‒ Alcance / </w:t>
            </w:r>
            <w:r w:rsidRPr="00F04657">
              <w:rPr>
                <w:rFonts w:ascii="Verdana" w:eastAsia="Times New Roman" w:hAnsi="Verdana" w:cs="Arial"/>
                <w:bCs/>
                <w:lang w:eastAsia="es-CO"/>
              </w:rPr>
              <w:t xml:space="preserve">LEY DE GARANTÍAS ELECTORALES </w:t>
            </w:r>
            <w:r w:rsidRPr="00F04657">
              <w:rPr>
                <w:rFonts w:ascii="Verdana" w:eastAsia="Calibri" w:hAnsi="Verdana" w:cs="Arial"/>
                <w:bCs/>
                <w:lang w:val="es-MX"/>
              </w:rPr>
              <w:t xml:space="preserve">─ Prohibición artículo 33 ‒ </w:t>
            </w:r>
            <w:r w:rsidRPr="00F04657">
              <w:rPr>
                <w:rFonts w:ascii="Verdana" w:eastAsia="Times New Roman" w:hAnsi="Verdana" w:cs="Arial"/>
                <w:bCs/>
                <w:lang w:eastAsia="es-CO"/>
              </w:rPr>
              <w:t xml:space="preserve">Excepciones / LEY DE GARANTÍAS ELECTORALES ‒ </w:t>
            </w:r>
            <w:r w:rsidRPr="00F04657">
              <w:rPr>
                <w:rFonts w:ascii="Verdana" w:eastAsia="Times New Roman" w:hAnsi="Verdana" w:cs="Arial"/>
                <w:bCs/>
                <w:lang w:val="es-ES" w:eastAsia="es-CO"/>
              </w:rPr>
              <w:t xml:space="preserve">Prohibición del artículo 33 </w:t>
            </w:r>
            <w:r w:rsidRPr="00F04657">
              <w:rPr>
                <w:rFonts w:ascii="Verdana" w:eastAsia="Times New Roman" w:hAnsi="Verdana" w:cs="Arial"/>
                <w:bCs/>
                <w:lang w:eastAsia="es-CO"/>
              </w:rPr>
              <w:t xml:space="preserve">‒ Destinatarios / </w:t>
            </w:r>
            <w:r w:rsidRPr="00F04657">
              <w:rPr>
                <w:rFonts w:ascii="Verdana" w:eastAsia="Times New Roman" w:hAnsi="Verdana" w:cs="Arial"/>
                <w:bCs/>
                <w:lang w:val="es-ES" w:eastAsia="es-CO" w:bidi="es-ES"/>
              </w:rPr>
              <w:t xml:space="preserve">EMPRESAS INDUSTRIALES Y COMERCIALES DEL ESTADO </w:t>
            </w:r>
            <w:r w:rsidRPr="00F04657">
              <w:rPr>
                <w:rFonts w:ascii="Verdana" w:eastAsia="Calibri" w:hAnsi="Verdana" w:cs="Arial"/>
                <w:bCs/>
                <w:lang w:val="es-ES" w:eastAsia="es-MX"/>
              </w:rPr>
              <w:t xml:space="preserve">‒ Ley de garantías electorales </w:t>
            </w:r>
          </w:p>
          <w:p w14:paraId="4D6255F7" w14:textId="77777777" w:rsidR="008A19CC" w:rsidRDefault="008A19CC" w:rsidP="000B5BC1">
            <w:pPr>
              <w:spacing w:line="276" w:lineRule="auto"/>
              <w:jc w:val="both"/>
              <w:rPr>
                <w:rFonts w:ascii="Verdana" w:eastAsia="Arial" w:hAnsi="Verdana" w:cs="Arial"/>
                <w:lang w:val="es-MX"/>
              </w:rPr>
            </w:pPr>
          </w:p>
          <w:p w14:paraId="5088D619" w14:textId="77777777" w:rsidR="008A19CC" w:rsidRPr="005E256F" w:rsidRDefault="008A19CC" w:rsidP="000B5BC1">
            <w:pPr>
              <w:spacing w:line="276" w:lineRule="auto"/>
              <w:jc w:val="both"/>
              <w:rPr>
                <w:rFonts w:ascii="Verdana" w:eastAsia="Calibri" w:hAnsi="Verdana" w:cs="Arial"/>
                <w:color w:val="000000" w:themeColor="text1"/>
                <w:highlight w:val="yellow"/>
                <w:lang w:val="es-ES" w:eastAsia="es-ES"/>
              </w:rPr>
            </w:pPr>
          </w:p>
        </w:tc>
      </w:tr>
      <w:tr w:rsidR="008A19CC" w:rsidRPr="00115E3D" w14:paraId="512CCBC2" w14:textId="77777777" w:rsidTr="000B5BC1">
        <w:trPr>
          <w:trHeight w:val="653"/>
        </w:trPr>
        <w:tc>
          <w:tcPr>
            <w:tcW w:w="2270" w:type="dxa"/>
          </w:tcPr>
          <w:p w14:paraId="512FD92D" w14:textId="77777777" w:rsidR="008A19CC" w:rsidRPr="00CB7ABE" w:rsidRDefault="008A19CC" w:rsidP="000B5BC1">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33AB641F" w14:textId="77777777" w:rsidR="008A19CC" w:rsidRPr="007E2BF9" w:rsidRDefault="008A19CC" w:rsidP="000B5BC1">
            <w:pPr>
              <w:ind w:right="1"/>
              <w:jc w:val="both"/>
              <w:rPr>
                <w:rFonts w:ascii="Verdana" w:hAnsi="Verdana"/>
                <w:color w:val="000000" w:themeColor="text1"/>
              </w:rPr>
            </w:pPr>
            <w:r w:rsidRPr="007E2BF9">
              <w:rPr>
                <w:rFonts w:ascii="Verdana" w:eastAsia="Calibri" w:hAnsi="Verdana" w:cs="Arial"/>
                <w:color w:val="000000" w:themeColor="text1"/>
                <w:lang w:val="es-ES_tradnl" w:eastAsia="es-ES_tradnl"/>
              </w:rPr>
              <w:t xml:space="preserve">Respuesta a consulta con radicado N.º </w:t>
            </w:r>
            <w:r w:rsidRPr="007E2BF9">
              <w:rPr>
                <w:rFonts w:ascii="Verdana" w:hAnsi="Verdana"/>
                <w:color w:val="000000" w:themeColor="text1"/>
              </w:rPr>
              <w:t>1_2026_03_30_004389.</w:t>
            </w:r>
          </w:p>
        </w:tc>
      </w:tr>
      <w:tr w:rsidR="008A19CC" w:rsidRPr="00115E3D" w14:paraId="6430F73C" w14:textId="77777777" w:rsidTr="000B5BC1">
        <w:trPr>
          <w:trHeight w:val="653"/>
        </w:trPr>
        <w:tc>
          <w:tcPr>
            <w:tcW w:w="2270" w:type="dxa"/>
          </w:tcPr>
          <w:p w14:paraId="3E91AACB" w14:textId="77777777" w:rsidR="008A19CC" w:rsidRPr="00CB7ABE" w:rsidRDefault="008A19CC" w:rsidP="000B5BC1">
            <w:pPr>
              <w:jc w:val="both"/>
              <w:rPr>
                <w:rFonts w:ascii="Verdana" w:eastAsia="Calibri" w:hAnsi="Verdana" w:cs="Arial"/>
                <w:b/>
                <w:color w:val="000000" w:themeColor="text1"/>
                <w:lang w:val="es-ES_tradnl" w:eastAsia="es-ES_tradnl"/>
              </w:rPr>
            </w:pPr>
          </w:p>
        </w:tc>
        <w:tc>
          <w:tcPr>
            <w:tcW w:w="6547" w:type="dxa"/>
          </w:tcPr>
          <w:p w14:paraId="7551F500" w14:textId="77777777" w:rsidR="008A19CC" w:rsidRPr="00CB7ABE" w:rsidRDefault="008A19CC" w:rsidP="000B5BC1">
            <w:pPr>
              <w:ind w:right="1"/>
              <w:jc w:val="both"/>
              <w:rPr>
                <w:rFonts w:ascii="Verdana" w:eastAsia="Calibri" w:hAnsi="Verdana" w:cs="Arial"/>
                <w:color w:val="000000" w:themeColor="text1"/>
                <w:lang w:val="es-ES_tradnl" w:eastAsia="es-ES_tradnl"/>
              </w:rPr>
            </w:pPr>
          </w:p>
        </w:tc>
      </w:tr>
    </w:tbl>
    <w:p w14:paraId="4589AAEA" w14:textId="77777777" w:rsidR="008A19CC" w:rsidRPr="00115E3D" w:rsidRDefault="008A19CC" w:rsidP="008A19C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 xml:space="preserve">o </w:t>
      </w: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 xml:space="preserve"> Eraso;</w:t>
      </w:r>
    </w:p>
    <w:p w14:paraId="4D6E9EFC" w14:textId="77777777" w:rsidR="008A19CC" w:rsidRPr="00115E3D" w:rsidRDefault="008A19CC" w:rsidP="008A19CC">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27D60A6E" w14:textId="77777777" w:rsidR="008A19CC" w:rsidRPr="00115E3D" w:rsidRDefault="008A19CC" w:rsidP="008A19C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esta entidad el 10 de marzo de 2026 </w:t>
      </w:r>
      <w:r w:rsidRPr="00115E3D">
        <w:rPr>
          <w:rFonts w:ascii="Verdana" w:eastAsia="Calibri" w:hAnsi="Verdana" w:cs="Arial"/>
          <w:color w:val="000000" w:themeColor="text1"/>
          <w:lang w:val="es-ES" w:eastAsia="es-ES"/>
        </w:rPr>
        <w:t xml:space="preserve">en la cual manifiesta lo siguiente: </w:t>
      </w:r>
    </w:p>
    <w:p w14:paraId="595AF27B" w14:textId="77777777" w:rsidR="008A19CC" w:rsidRDefault="008A19CC" w:rsidP="008A19CC">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11152E54" w14:textId="77777777" w:rsidR="008A19CC" w:rsidRPr="007E2BF9" w:rsidRDefault="008A19CC" w:rsidP="008A19CC">
      <w:pPr>
        <w:spacing w:after="0" w:line="240" w:lineRule="auto"/>
        <w:ind w:left="709" w:right="709"/>
        <w:jc w:val="both"/>
        <w:rPr>
          <w:rFonts w:ascii="Verdana" w:eastAsia="Century Gothic" w:hAnsi="Verdana" w:cs="Century Gothic"/>
          <w:i/>
          <w:iCs/>
          <w:color w:val="000000" w:themeColor="text1"/>
          <w:sz w:val="20"/>
          <w:szCs w:val="20"/>
        </w:rPr>
      </w:pPr>
      <w:r w:rsidRPr="00104557">
        <w:rPr>
          <w:rFonts w:ascii="Verdana" w:eastAsia="Century Gothic" w:hAnsi="Verdana" w:cs="Century Gothic"/>
          <w:i/>
          <w:iCs/>
          <w:color w:val="000000" w:themeColor="text1"/>
          <w:sz w:val="20"/>
          <w:szCs w:val="20"/>
          <w:lang w:val="es-ES"/>
        </w:rPr>
        <w:lastRenderedPageBreak/>
        <w:t>“</w:t>
      </w:r>
      <w:r w:rsidRPr="00F519C6">
        <w:rPr>
          <w:rFonts w:ascii="Verdana" w:eastAsia="Century Gothic" w:hAnsi="Verdana" w:cs="Century Gothic"/>
          <w:i/>
          <w:iCs/>
          <w:color w:val="000000" w:themeColor="text1"/>
          <w:sz w:val="20"/>
          <w:szCs w:val="20"/>
        </w:rPr>
        <w:t>¿Es posible que una Empresa de Servicios Públicos, constituida como una EICE (Empresa Industrial y Comercial del Estado), por el hecho de prestar el servicio público de saneamiento básico a un municipio, pueda ser incluida dentro de la precitada causal y quedar autorizada para celebrar contratación directa, en vigencia de la ley de garantías electorales?</w:t>
      </w:r>
      <w:r>
        <w:rPr>
          <w:rFonts w:ascii="Verdana" w:eastAsia="Century Gothic" w:hAnsi="Verdana" w:cs="Century Gothic"/>
          <w:i/>
          <w:iCs/>
          <w:color w:val="000000" w:themeColor="text1"/>
          <w:sz w:val="20"/>
          <w:szCs w:val="20"/>
          <w:lang w:val="es-MX"/>
        </w:rPr>
        <w:t>“</w:t>
      </w:r>
    </w:p>
    <w:p w14:paraId="749F1797" w14:textId="77777777" w:rsidR="008A19CC" w:rsidRDefault="008A19CC" w:rsidP="008A19CC">
      <w:pPr>
        <w:spacing w:after="0" w:line="240" w:lineRule="auto"/>
        <w:ind w:left="709" w:right="709"/>
        <w:jc w:val="both"/>
        <w:rPr>
          <w:rFonts w:ascii="Verdana" w:eastAsia="Century Gothic" w:hAnsi="Verdana" w:cs="Century Gothic"/>
          <w:i/>
          <w:iCs/>
          <w:color w:val="000000" w:themeColor="text1"/>
          <w:sz w:val="20"/>
          <w:szCs w:val="20"/>
          <w:lang w:val="es-ES"/>
        </w:rPr>
      </w:pPr>
    </w:p>
    <w:p w14:paraId="1658FC36" w14:textId="77777777" w:rsidR="008A19CC" w:rsidRDefault="008A19CC" w:rsidP="008A19CC">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ED05CEF" w14:textId="77777777" w:rsidR="008A19CC" w:rsidRPr="00115E3D" w:rsidRDefault="008A19CC" w:rsidP="008A19CC">
      <w:pPr>
        <w:spacing w:after="0" w:line="240" w:lineRule="auto"/>
        <w:ind w:right="49"/>
        <w:jc w:val="both"/>
        <w:rPr>
          <w:rFonts w:ascii="Verdana" w:eastAsia="Calibri" w:hAnsi="Verdana" w:cs="Arial"/>
          <w:color w:val="000000" w:themeColor="text1"/>
          <w:szCs w:val="24"/>
          <w:lang w:val="es-ES_tradnl" w:eastAsia="es-ES_tradnl"/>
        </w:rPr>
      </w:pPr>
    </w:p>
    <w:p w14:paraId="4A8A3B4E" w14:textId="77777777" w:rsidR="008A19CC" w:rsidRPr="00115E3D" w:rsidRDefault="008A19CC" w:rsidP="008A19CC">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3411EA31" w14:textId="77777777" w:rsidR="008A19CC" w:rsidRPr="00115E3D" w:rsidRDefault="008A19CC" w:rsidP="008A19CC">
      <w:pPr>
        <w:spacing w:after="0" w:line="276" w:lineRule="auto"/>
        <w:ind w:firstLine="709"/>
        <w:jc w:val="both"/>
        <w:rPr>
          <w:rFonts w:ascii="Verdana" w:eastAsia="Calibri" w:hAnsi="Verdana" w:cs="Arial"/>
          <w:color w:val="000000" w:themeColor="text1"/>
          <w:lang w:val="es-ES" w:eastAsia="es-ES"/>
        </w:rPr>
      </w:pPr>
    </w:p>
    <w:p w14:paraId="2E521EE3" w14:textId="77777777" w:rsidR="008A19CC" w:rsidRPr="00115E3D" w:rsidRDefault="008A19CC" w:rsidP="008A19C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1F77B013" w14:textId="77777777" w:rsidR="008A19CC" w:rsidRPr="00115E3D" w:rsidRDefault="008A19CC" w:rsidP="008A19CC">
      <w:pPr>
        <w:tabs>
          <w:tab w:val="left" w:pos="426"/>
        </w:tabs>
        <w:spacing w:after="0" w:line="276" w:lineRule="auto"/>
        <w:jc w:val="both"/>
        <w:rPr>
          <w:rFonts w:ascii="Verdana" w:eastAsia="Century Gothic" w:hAnsi="Verdana" w:cs="Century Gothic"/>
          <w:color w:val="000000" w:themeColor="text1"/>
          <w:lang w:val="es-ES"/>
        </w:rPr>
      </w:pPr>
    </w:p>
    <w:p w14:paraId="4DAA98ED" w14:textId="77777777" w:rsidR="008A19CC" w:rsidRPr="00D47AC9" w:rsidRDefault="008A19CC" w:rsidP="008A19CC">
      <w:pPr>
        <w:spacing w:after="0" w:line="276" w:lineRule="auto"/>
        <w:jc w:val="both"/>
        <w:rPr>
          <w:rFonts w:ascii="Verdana" w:hAnsi="Verdana"/>
        </w:rPr>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115E3D">
        <w:rPr>
          <w:rFonts w:ascii="Verdana" w:eastAsia="Century Gothic" w:hAnsi="Verdana" w:cs="Century Gothic"/>
          <w:color w:val="000000" w:themeColor="text1"/>
        </w:rPr>
        <w:t xml:space="preserve"> siguiente problema jurídico:</w:t>
      </w:r>
      <w:r w:rsidRPr="00946693">
        <w:t xml:space="preserve"> </w:t>
      </w:r>
      <w:r>
        <w:rPr>
          <w:rFonts w:ascii="Verdana" w:eastAsia="Century Gothic" w:hAnsi="Verdana" w:cs="Century Gothic"/>
        </w:rPr>
        <w:t>¿</w:t>
      </w:r>
      <w:r w:rsidRPr="00BE1CA1">
        <w:rPr>
          <w:rFonts w:ascii="Verdana" w:eastAsia="Century Gothic" w:hAnsi="Verdana" w:cs="Century Gothic"/>
        </w:rPr>
        <w:t>Las Empresas Industriales y Comerciales del Estado (EICE)</w:t>
      </w:r>
      <w:r>
        <w:rPr>
          <w:rFonts w:ascii="Verdana" w:eastAsia="Century Gothic" w:hAnsi="Verdana" w:cs="Century Gothic"/>
        </w:rPr>
        <w:t xml:space="preserve"> </w:t>
      </w:r>
      <w:r w:rsidRPr="00BE1CA1">
        <w:rPr>
          <w:rFonts w:ascii="Verdana" w:eastAsia="Century Gothic" w:hAnsi="Verdana" w:cs="Century Gothic"/>
        </w:rPr>
        <w:t xml:space="preserve">se encuentran sometidas a las restricciones contractuales previstas en </w:t>
      </w:r>
      <w:r>
        <w:rPr>
          <w:rFonts w:ascii="Verdana" w:eastAsia="Century Gothic" w:hAnsi="Verdana" w:cs="Century Gothic"/>
        </w:rPr>
        <w:t xml:space="preserve">la </w:t>
      </w:r>
      <w:r w:rsidRPr="00BE1CA1">
        <w:rPr>
          <w:rFonts w:ascii="Verdana" w:eastAsia="Century Gothic" w:hAnsi="Verdana" w:cs="Century Gothic"/>
        </w:rPr>
        <w:t>Ley de Garantías Electorales?</w:t>
      </w:r>
    </w:p>
    <w:p w14:paraId="24B995A4" w14:textId="77777777" w:rsidR="008A19CC" w:rsidRDefault="008A19CC" w:rsidP="008A19CC">
      <w:pPr>
        <w:spacing w:after="0" w:line="276" w:lineRule="auto"/>
        <w:jc w:val="both"/>
        <w:rPr>
          <w:rFonts w:ascii="Verdana" w:hAnsi="Verdana"/>
        </w:rPr>
      </w:pPr>
      <w:r>
        <w:rPr>
          <w:rFonts w:ascii="Verdana" w:hAnsi="Verdana"/>
        </w:rPr>
        <w:t xml:space="preserve"> </w:t>
      </w:r>
    </w:p>
    <w:p w14:paraId="7EAE6A60" w14:textId="77777777" w:rsidR="008A19CC" w:rsidRPr="00115E3D" w:rsidRDefault="008A19CC" w:rsidP="008A19C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0433CEC1" w14:textId="77777777" w:rsidR="008A19CC" w:rsidRPr="00115E3D" w:rsidRDefault="008A19CC" w:rsidP="008A19C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A19CC" w:rsidRPr="00115E3D" w14:paraId="00D5EF92" w14:textId="77777777" w:rsidTr="000B5BC1">
        <w:trPr>
          <w:trHeight w:val="774"/>
        </w:trPr>
        <w:tc>
          <w:tcPr>
            <w:tcW w:w="8828" w:type="dxa"/>
          </w:tcPr>
          <w:p w14:paraId="528F688D" w14:textId="77777777" w:rsidR="008A19CC" w:rsidRPr="00573E72" w:rsidRDefault="008A19CC" w:rsidP="000B5BC1">
            <w:pPr>
              <w:spacing w:after="120" w:line="276" w:lineRule="auto"/>
              <w:jc w:val="both"/>
              <w:rPr>
                <w:rFonts w:ascii="Verdana" w:eastAsia="Arial" w:hAnsi="Verdana" w:cs="Arial"/>
              </w:rPr>
            </w:pPr>
            <w:r>
              <w:rPr>
                <w:rFonts w:ascii="Verdana" w:eastAsia="Arial" w:hAnsi="Verdana" w:cs="Arial"/>
              </w:rPr>
              <w:t>De manera preliminar es pertinente precisar</w:t>
            </w:r>
            <w:r>
              <w:rPr>
                <w:rFonts w:ascii="Verdana" w:eastAsia="Century Gothic" w:hAnsi="Verdana" w:cs="Century Gothic"/>
              </w:rPr>
              <w:t xml:space="preserve"> que l</w:t>
            </w:r>
            <w:r>
              <w:rPr>
                <w:rFonts w:ascii="Verdana" w:eastAsia="Arial" w:hAnsi="Verdana" w:cs="Arial"/>
              </w:rPr>
              <w:t xml:space="preserve">a Ley 996 de 2005 </w:t>
            </w:r>
            <w:r>
              <w:rPr>
                <w:rFonts w:ascii="Verdana" w:eastAsia="Calibri" w:hAnsi="Verdana" w:cs="Arial"/>
              </w:rPr>
              <w:t>en su</w:t>
            </w:r>
            <w:r w:rsidRPr="00F10E52">
              <w:rPr>
                <w:rFonts w:ascii="Verdana" w:eastAsia="Calibri" w:hAnsi="Verdana" w:cs="Arial"/>
              </w:rPr>
              <w:t xml:space="preserve"> artículo 33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 xml:space="preserve">la contratación directa por parte de todos los entes </w:t>
            </w:r>
            <w:r w:rsidRPr="00F10E52">
              <w:rPr>
                <w:rFonts w:ascii="Verdana" w:eastAsia="Calibri" w:hAnsi="Verdana" w:cs="Arial"/>
              </w:rPr>
              <w:lastRenderedPageBreak/>
              <w:t>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rPr>
              <w:t>.</w:t>
            </w:r>
          </w:p>
          <w:p w14:paraId="62AACA07" w14:textId="77777777" w:rsidR="008A19CC" w:rsidRDefault="008A19CC" w:rsidP="000B5BC1">
            <w:pPr>
              <w:spacing w:after="120" w:line="276" w:lineRule="auto"/>
              <w:ind w:firstLine="709"/>
              <w:jc w:val="both"/>
              <w:rPr>
                <w:rFonts w:ascii="Verdana" w:hAnsi="Verdana" w:cs="Arial"/>
                <w:lang w:eastAsia="x-none"/>
              </w:rPr>
            </w:pPr>
            <w:r w:rsidRPr="00195E24">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por lo que excluye las demás modalidades de contratación previstas en la Ley 1150 de 2007</w:t>
            </w:r>
            <w:r>
              <w:rPr>
                <w:rFonts w:ascii="Verdana" w:hAnsi="Verdana" w:cs="Arial"/>
                <w:lang w:eastAsia="x-none"/>
              </w:rPr>
              <w:t>.</w:t>
            </w:r>
          </w:p>
          <w:p w14:paraId="4D156275" w14:textId="77777777" w:rsidR="008A19CC" w:rsidRDefault="008A19CC" w:rsidP="000B5BC1">
            <w:pPr>
              <w:spacing w:after="120" w:line="276" w:lineRule="auto"/>
              <w:ind w:firstLine="709"/>
              <w:jc w:val="both"/>
              <w:rPr>
                <w:rFonts w:ascii="Verdana" w:eastAsia="Calibri" w:hAnsi="Verdana" w:cs="Arial"/>
                <w:lang w:val="es-ES"/>
              </w:rPr>
            </w:pPr>
            <w:r>
              <w:rPr>
                <w:rFonts w:ascii="Verdana" w:eastAsia="Calibri" w:hAnsi="Verdana" w:cs="Arial"/>
                <w:lang w:val="es-ES"/>
              </w:rPr>
              <w:t>Ahora bien, f</w:t>
            </w:r>
            <w:r w:rsidRPr="00515C0B">
              <w:rPr>
                <w:rFonts w:ascii="Verdana" w:eastAsia="Calibri" w:hAnsi="Verdana" w:cs="Arial"/>
                <w:lang w:val="es-ES"/>
              </w:rPr>
              <w:t xml:space="preserve">rente al cuestionamiento planteado es necesario </w:t>
            </w:r>
            <w:r>
              <w:rPr>
                <w:rFonts w:ascii="Verdana" w:eastAsia="Calibri" w:hAnsi="Verdana" w:cs="Arial"/>
                <w:lang w:val="es-ES"/>
              </w:rPr>
              <w:t>señalar</w:t>
            </w:r>
            <w:r w:rsidRPr="00515C0B">
              <w:rPr>
                <w:rFonts w:ascii="Verdana" w:eastAsia="Calibri" w:hAnsi="Verdana" w:cs="Arial"/>
                <w:lang w:val="es-ES"/>
              </w:rPr>
              <w:t xml:space="preserve"> que dentro de la estructura de la Administración Pública se encuentran las entidades descentralizadas por servicios. A esta categoría pertenecen las Empresas Industriales y Comerciales del Estado, las cuales –sin perjuicio del control de tutela– tienen personería jurídica, autonomía administrativa y patrimonio propio. Estas entidades, como su nombre lo indica, se caracterizan por desarrollar actividades de carácter industrial o comercial.</w:t>
            </w:r>
          </w:p>
          <w:p w14:paraId="486EFC45" w14:textId="77777777" w:rsidR="008A19CC" w:rsidRDefault="008A19CC" w:rsidP="000B5BC1">
            <w:pPr>
              <w:spacing w:after="120" w:line="276" w:lineRule="auto"/>
              <w:ind w:firstLine="708"/>
              <w:jc w:val="both"/>
              <w:rPr>
                <w:rFonts w:ascii="Verdana" w:hAnsi="Verdana" w:cs="Arial"/>
                <w:bCs/>
                <w:color w:val="000000" w:themeColor="text1"/>
                <w:lang w:val="es-MX" w:eastAsia="x-none"/>
              </w:rPr>
            </w:pPr>
            <w:r>
              <w:rPr>
                <w:rFonts w:ascii="Verdana" w:eastAsia="Calibri" w:hAnsi="Verdana" w:cs="Arial"/>
                <w:lang w:val="es-ES"/>
              </w:rPr>
              <w:t xml:space="preserve">Ahora bien, el artículo 33 de la Ley 996 de 2005 determina como destinatarios de las restricciones a todos los entes del Estado </w:t>
            </w:r>
            <w:r w:rsidRPr="00195E24">
              <w:rPr>
                <w:rFonts w:ascii="Verdana" w:hAnsi="Verdana" w:cs="Arial"/>
                <w:bCs/>
                <w:color w:val="000000" w:themeColor="text1"/>
                <w:lang w:val="es-MX" w:eastAsia="x-none"/>
              </w:rPr>
              <w:t xml:space="preserve">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64D0ADC5" w14:textId="77777777" w:rsidR="008A19CC" w:rsidRPr="00195E24" w:rsidRDefault="008A19CC" w:rsidP="000B5BC1">
            <w:pPr>
              <w:spacing w:after="120" w:line="276" w:lineRule="auto"/>
              <w:ind w:firstLine="709"/>
              <w:jc w:val="both"/>
              <w:rPr>
                <w:rFonts w:ascii="Verdana" w:hAnsi="Verdana" w:cs="Arial"/>
                <w:color w:val="000000" w:themeColor="text1"/>
                <w:lang w:eastAsia="es-CO"/>
              </w:rPr>
            </w:pPr>
            <w:r>
              <w:rPr>
                <w:rFonts w:ascii="Verdana" w:hAnsi="Verdana" w:cs="Arial"/>
                <w:color w:val="000000" w:themeColor="text1"/>
                <w:lang w:val="es-MX"/>
              </w:rPr>
              <w:t>Por lo tanto, la</w:t>
            </w:r>
            <w:r w:rsidRPr="00CE0D82">
              <w:rPr>
                <w:rFonts w:ascii="Verdana" w:hAnsi="Verdana" w:cs="Arial"/>
                <w:color w:val="000000" w:themeColor="text1"/>
                <w:lang w:val="es-MX"/>
              </w:rPr>
              <w:t xml:space="preserve">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r>
              <w:rPr>
                <w:rFonts w:ascii="Verdana" w:hAnsi="Verdana" w:cs="Arial"/>
                <w:color w:val="000000" w:themeColor="text1"/>
                <w:lang w:eastAsia="es-CO"/>
              </w:rPr>
              <w:t xml:space="preserve">En este sentido, respecto a su consulta es pertinente señalar que las empresas industriales y comerciales del Estado en vigencia de la Ley de Garantías Electorales no podrán hacer contrataciones bajo la modalidad de contratación directa, </w:t>
            </w:r>
            <w:r w:rsidRPr="00195E24">
              <w:rPr>
                <w:rFonts w:ascii="Verdana" w:hAnsi="Verdana" w:cs="Arial"/>
                <w:color w:val="000000" w:themeColor="text1"/>
                <w:lang w:val="es-MX"/>
              </w:rPr>
              <w:t xml:space="preserve">sino por mecanismos </w:t>
            </w:r>
            <w:r w:rsidRPr="00195E24">
              <w:rPr>
                <w:rFonts w:ascii="Verdana" w:hAnsi="Verdana" w:cs="Arial"/>
                <w:color w:val="000000" w:themeColor="text1"/>
                <w:lang w:val="es-MX"/>
              </w:rPr>
              <w:lastRenderedPageBreak/>
              <w:t>competitivos que impliquen convocatoria pública y la posibilidad de la existencia de pluralidad de oferentes</w:t>
            </w:r>
            <w:r>
              <w:rPr>
                <w:rFonts w:ascii="Verdana" w:hAnsi="Verdana" w:cs="Arial"/>
                <w:color w:val="000000" w:themeColor="text1"/>
                <w:lang w:val="es-MX"/>
              </w:rPr>
              <w:t xml:space="preserve">. </w:t>
            </w:r>
          </w:p>
          <w:p w14:paraId="34A73C14" w14:textId="77777777" w:rsidR="008A19CC" w:rsidRDefault="008A19CC" w:rsidP="000B5BC1">
            <w:pPr>
              <w:spacing w:before="120" w:after="120" w:line="276" w:lineRule="auto"/>
              <w:jc w:val="both"/>
              <w:rPr>
                <w:rFonts w:ascii="Verdana" w:eastAsia="Calibri" w:hAnsi="Verdana"/>
              </w:rPr>
            </w:pPr>
            <w:r>
              <w:rPr>
                <w:rFonts w:ascii="Verdana" w:eastAsia="Times New Roman" w:hAnsi="Verdana" w:cs="Arial"/>
                <w:bCs/>
                <w:lang w:val="es-ES" w:eastAsia="es-CO" w:bidi="es-ES"/>
              </w:rPr>
              <w:t xml:space="preserve">         </w:t>
            </w: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E36918">
              <w:rPr>
                <w:rFonts w:ascii="Verdana" w:eastAsia="Times New Roman" w:hAnsi="Verdana" w:cs="Arial"/>
                <w:bCs/>
                <w:lang w:val="es-ES" w:eastAsia="es-CO" w:bidi="es-ES"/>
              </w:rPr>
              <w:t xml:space="preserve"> </w:t>
            </w:r>
            <w:r>
              <w:rPr>
                <w:rFonts w:ascii="Verdana" w:eastAsia="Calibri" w:hAnsi="Verdana"/>
              </w:rPr>
              <w:t xml:space="preserve">        </w:t>
            </w:r>
          </w:p>
          <w:p w14:paraId="0EB8991F" w14:textId="77777777" w:rsidR="008A19CC" w:rsidRPr="00B643B2" w:rsidRDefault="008A19CC" w:rsidP="000B5BC1">
            <w:pPr>
              <w:spacing w:before="120" w:after="120" w:line="276" w:lineRule="auto"/>
              <w:jc w:val="both"/>
              <w:rPr>
                <w:rFonts w:ascii="Verdana" w:eastAsia="Calibri" w:hAnsi="Verdana"/>
              </w:rPr>
            </w:pPr>
            <w:r>
              <w:rPr>
                <w:rFonts w:ascii="Verdana" w:eastAsia="Calibri" w:hAnsi="Verdana"/>
              </w:rPr>
              <w:t xml:space="preserve">        </w:t>
            </w:r>
            <w:r w:rsidRPr="00B643B2">
              <w:rPr>
                <w:rFonts w:ascii="Verdana" w:eastAsia="Calibri" w:hAnsi="Verdana"/>
              </w:rPr>
              <w:t>Finalmente, debe advertirse que el análisis para resolver problemas específicos en torno a los procesos de contratación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adoptar la decisión y, en caso de conflicto, a las autoridades judiciales, fiscales y disciplinarias.</w:t>
            </w:r>
          </w:p>
          <w:p w14:paraId="5AD6E32C" w14:textId="77777777" w:rsidR="008A19CC" w:rsidRPr="0029110A" w:rsidRDefault="008A19CC" w:rsidP="000B5BC1">
            <w:pPr>
              <w:spacing w:before="120" w:after="120" w:line="276" w:lineRule="auto"/>
              <w:jc w:val="both"/>
              <w:rPr>
                <w:rFonts w:ascii="Verdana" w:eastAsia="Calibri" w:hAnsi="Verdana" w:cs="Times New Roman"/>
                <w:lang w:val="es-ES"/>
              </w:rPr>
            </w:pPr>
            <w:r>
              <w:rPr>
                <w:rFonts w:ascii="Verdana" w:eastAsia="Calibri" w:hAnsi="Verdana"/>
              </w:rPr>
              <w:t xml:space="preserve">        </w:t>
            </w:r>
            <w:r w:rsidRPr="00B643B2">
              <w:rPr>
                <w:rFonts w:ascii="Verdana" w:eastAsia="Calibri" w:hAnsi="Verdana"/>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p>
        </w:tc>
      </w:tr>
      <w:tr w:rsidR="008A19CC" w:rsidRPr="00115E3D" w14:paraId="03DA5BB5" w14:textId="77777777" w:rsidTr="000B5BC1">
        <w:trPr>
          <w:trHeight w:val="162"/>
        </w:trPr>
        <w:tc>
          <w:tcPr>
            <w:tcW w:w="8828" w:type="dxa"/>
          </w:tcPr>
          <w:p w14:paraId="2A546CB0" w14:textId="77777777" w:rsidR="008A19CC" w:rsidRDefault="008A19CC" w:rsidP="000B5BC1">
            <w:pPr>
              <w:spacing w:line="276" w:lineRule="auto"/>
              <w:jc w:val="both"/>
              <w:rPr>
                <w:rFonts w:ascii="Verdana" w:eastAsia="Calibri" w:hAnsi="Verdana" w:cs="Arial"/>
              </w:rPr>
            </w:pPr>
          </w:p>
        </w:tc>
      </w:tr>
    </w:tbl>
    <w:p w14:paraId="6AFCDD78" w14:textId="77777777" w:rsidR="008A19CC" w:rsidRDefault="008A19CC" w:rsidP="008A19CC">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01C93B52" w14:textId="77777777" w:rsidR="008A19CC" w:rsidRDefault="008A19CC" w:rsidP="008A19C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1FF57841" w14:textId="77777777" w:rsidR="008A19CC" w:rsidRPr="00115E3D" w:rsidRDefault="008A19CC" w:rsidP="008A19CC">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271329B0" w14:textId="77777777" w:rsidR="008A19CC" w:rsidRPr="0048565C" w:rsidRDefault="008A19CC" w:rsidP="008A19CC">
      <w:pPr>
        <w:spacing w:after="0" w:line="276" w:lineRule="auto"/>
        <w:jc w:val="both"/>
        <w:rPr>
          <w:rFonts w:ascii="Verdana" w:eastAsia="Calibri" w:hAnsi="Verdana" w:cs="Arial"/>
          <w:lang w:val="es-ES"/>
        </w:rPr>
      </w:pPr>
      <w:r w:rsidRPr="0048565C">
        <w:rPr>
          <w:rFonts w:ascii="Verdana" w:eastAsia="Calibri" w:hAnsi="Verdana" w:cs="Arial"/>
          <w:lang w:val="es-ES"/>
        </w:rPr>
        <w:t>Lo anterior se sustenta en las siguientes consideraciones:</w:t>
      </w:r>
    </w:p>
    <w:p w14:paraId="253307C7" w14:textId="77777777" w:rsidR="008A19CC" w:rsidRDefault="008A19CC" w:rsidP="008A19CC">
      <w:pPr>
        <w:tabs>
          <w:tab w:val="left" w:pos="426"/>
        </w:tabs>
        <w:spacing w:after="120" w:line="276" w:lineRule="auto"/>
        <w:jc w:val="both"/>
        <w:rPr>
          <w:rFonts w:ascii="Verdana" w:eastAsia="Calibri" w:hAnsi="Verdana" w:cs="Arial"/>
          <w:lang w:val="es-ES"/>
        </w:rPr>
      </w:pPr>
    </w:p>
    <w:p w14:paraId="31BE11AB" w14:textId="77777777" w:rsidR="008A19CC" w:rsidRPr="00F10E52" w:rsidRDefault="008A19CC" w:rsidP="008A19CC">
      <w:pPr>
        <w:tabs>
          <w:tab w:val="left" w:pos="426"/>
        </w:tabs>
        <w:spacing w:after="120" w:line="276" w:lineRule="auto"/>
        <w:jc w:val="both"/>
        <w:rPr>
          <w:rFonts w:ascii="Verdana" w:eastAsia="Times New Roman" w:hAnsi="Verdana" w:cs="Arial"/>
          <w:bCs/>
          <w:lang w:eastAsia="es-CO"/>
        </w:rPr>
      </w:pPr>
      <w:r>
        <w:rPr>
          <w:rFonts w:ascii="Verdana" w:eastAsia="Calibri" w:hAnsi="Verdana" w:cs="Arial"/>
          <w:lang w:val="es-ES"/>
        </w:rPr>
        <w:tab/>
      </w:r>
      <w:r w:rsidRPr="00F10E52">
        <w:rPr>
          <w:rFonts w:ascii="Verdana" w:eastAsia="Calibri" w:hAnsi="Verdana" w:cs="Arial"/>
          <w:bCs/>
        </w:rPr>
        <w:t>El ordenamiento jurídico colombiano contempla previsiones claras para evitar la obtención de beneficios personales en asuntos propios de la administración pública</w:t>
      </w:r>
      <w:r w:rsidRPr="00F10E52">
        <w:rPr>
          <w:rFonts w:ascii="Verdana" w:eastAsia="Calibri" w:hAnsi="Verdana" w:cs="Arial"/>
          <w:bCs/>
          <w:i/>
          <w:iCs/>
        </w:rPr>
        <w:t xml:space="preserve">. </w:t>
      </w:r>
      <w:r w:rsidRPr="00F10E52">
        <w:rPr>
          <w:rFonts w:ascii="Verdana" w:eastAsia="Calibri" w:hAnsi="Verdana" w:cs="Arial"/>
          <w:bCs/>
        </w:rPr>
        <w:t>Por ejemplo, el artículo 127 de la Constitución Política establece una prohibición contractual a los servidores públicos y en cuanto a aspectos políticos establece restricciones a ciertos empleados del Estado, incluso en época no electoral</w:t>
      </w:r>
      <w:r w:rsidRPr="00F10E52">
        <w:rPr>
          <w:rStyle w:val="Refdenotaalpie"/>
          <w:rFonts w:ascii="Verdana" w:eastAsia="Calibri" w:hAnsi="Verdana" w:cs="Arial"/>
          <w:bCs/>
        </w:rPr>
        <w:footnoteReference w:id="1"/>
      </w:r>
      <w:r w:rsidRPr="00F10E52">
        <w:rPr>
          <w:rFonts w:ascii="Verdana" w:eastAsia="Calibri" w:hAnsi="Verdana" w:cs="Arial"/>
          <w:bCs/>
        </w:rPr>
        <w:t xml:space="preserve">. </w:t>
      </w:r>
    </w:p>
    <w:p w14:paraId="63B8A5AF" w14:textId="77777777" w:rsidR="008A19CC" w:rsidRDefault="008A19CC" w:rsidP="008A19CC">
      <w:pPr>
        <w:tabs>
          <w:tab w:val="left" w:pos="426"/>
        </w:tabs>
        <w:spacing w:after="120" w:line="276" w:lineRule="auto"/>
        <w:ind w:firstLine="709"/>
        <w:jc w:val="both"/>
        <w:rPr>
          <w:rFonts w:ascii="Verdana" w:eastAsia="Calibri" w:hAnsi="Verdana" w:cs="Arial"/>
          <w:noProof/>
          <w:lang w:val="es-ES_tradnl"/>
        </w:rPr>
      </w:pPr>
      <w:r w:rsidRPr="00F10E52">
        <w:rPr>
          <w:rFonts w:ascii="Verdana" w:eastAsia="Times New Roman" w:hAnsi="Verdana" w:cs="Arial"/>
          <w:bCs/>
          <w:lang w:eastAsia="es-CO"/>
        </w:rPr>
        <w:t xml:space="preserve">En el mismo sentido, la Ley 996 de 2005, conocida como </w:t>
      </w:r>
      <w:r>
        <w:rPr>
          <w:rFonts w:ascii="Verdana" w:eastAsia="Times New Roman" w:hAnsi="Verdana" w:cs="Arial"/>
          <w:bCs/>
          <w:lang w:eastAsia="es-CO"/>
        </w:rPr>
        <w:t>“</w:t>
      </w:r>
      <w:r w:rsidRPr="00F10E52">
        <w:rPr>
          <w:rFonts w:ascii="Verdana" w:eastAsia="Times New Roman" w:hAnsi="Verdana" w:cs="Arial"/>
          <w:bCs/>
          <w:lang w:eastAsia="es-CO"/>
        </w:rPr>
        <w:t>Ley de Garantías Electorales</w:t>
      </w:r>
      <w:r>
        <w:rPr>
          <w:rFonts w:ascii="Verdana" w:eastAsia="Times New Roman" w:hAnsi="Verdana" w:cs="Arial"/>
          <w:bCs/>
          <w:lang w:eastAsia="es-CO"/>
        </w:rPr>
        <w:t>”</w:t>
      </w:r>
      <w:r w:rsidRPr="00F10E52">
        <w:rPr>
          <w:rFonts w:ascii="Verdana" w:eastAsia="Times New Roman" w:hAnsi="Verdana" w:cs="Arial"/>
          <w:bCs/>
          <w:lang w:eastAsia="es-CO"/>
        </w:rPr>
        <w:t>,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F10E52">
        <w:rPr>
          <w:rStyle w:val="Refdenotaalpie"/>
          <w:rFonts w:ascii="Verdana" w:eastAsia="Times New Roman" w:hAnsi="Verdana" w:cs="Arial"/>
          <w:bCs/>
          <w:lang w:eastAsia="es-CO"/>
        </w:rPr>
        <w:footnoteReference w:id="2"/>
      </w:r>
      <w:r w:rsidRPr="00F10E52">
        <w:rPr>
          <w:rFonts w:ascii="Verdana" w:eastAsia="Times New Roman" w:hAnsi="Verdana" w:cs="Arial"/>
          <w:bCs/>
          <w:lang w:eastAsia="es-CO"/>
        </w:rPr>
        <w:t>. En esta medida, introduce limitaciones para realizar nombramientos, postulaciones, contrataciones o cualquier otro tipo de actividad que implique destinación de recursos públicos bajo el devenir propio de las entidades estatales.</w:t>
      </w:r>
      <w:r w:rsidRPr="00F10E52">
        <w:rPr>
          <w:rFonts w:ascii="Verdana" w:eastAsia="Calibri" w:hAnsi="Verdana" w:cs="Arial"/>
          <w:noProof/>
          <w:lang w:val="es-ES_tradnl"/>
        </w:rPr>
        <w:t xml:space="preserve"> </w:t>
      </w:r>
    </w:p>
    <w:p w14:paraId="3DB91F3D" w14:textId="77777777" w:rsidR="008A19CC" w:rsidRDefault="008A19CC" w:rsidP="008A19CC">
      <w:pPr>
        <w:tabs>
          <w:tab w:val="left" w:pos="426"/>
        </w:tabs>
        <w:spacing w:before="120" w:after="0" w:line="276" w:lineRule="auto"/>
        <w:ind w:firstLine="709"/>
        <w:jc w:val="both"/>
        <w:rPr>
          <w:rFonts w:ascii="Verdana" w:eastAsia="Times New Roman" w:hAnsi="Verdana" w:cs="Arial"/>
          <w:bCs/>
          <w:lang w:eastAsia="es-CO"/>
        </w:rPr>
      </w:pPr>
      <w:r w:rsidRPr="00F10E52">
        <w:rPr>
          <w:rFonts w:ascii="Verdana" w:eastAsia="Times New Roman" w:hAnsi="Verdana" w:cs="Arial"/>
          <w:bCs/>
          <w:lang w:eastAsia="es-CO"/>
        </w:rPr>
        <w:t>En armonía con lo anterior, la Corte Constitucional ha abordado la definición de la Ley de Garantías Electorales. De esta manera, explica que tiene como propósito:</w:t>
      </w:r>
    </w:p>
    <w:p w14:paraId="01F039E3" w14:textId="77777777" w:rsidR="008A19CC" w:rsidRPr="00F10E52" w:rsidRDefault="008A19CC" w:rsidP="008A19CC">
      <w:pPr>
        <w:tabs>
          <w:tab w:val="left" w:pos="426"/>
        </w:tabs>
        <w:spacing w:after="0" w:line="276" w:lineRule="auto"/>
        <w:ind w:firstLine="709"/>
        <w:jc w:val="both"/>
        <w:rPr>
          <w:rFonts w:ascii="Verdana" w:eastAsia="Times New Roman" w:hAnsi="Verdana" w:cs="Arial"/>
          <w:bCs/>
          <w:lang w:eastAsia="es-CO"/>
        </w:rPr>
      </w:pPr>
    </w:p>
    <w:p w14:paraId="77E95AF4" w14:textId="77777777" w:rsidR="008A19CC" w:rsidRPr="007777F3" w:rsidRDefault="008A19CC" w:rsidP="008A19CC">
      <w:pPr>
        <w:spacing w:after="0" w:line="240" w:lineRule="auto"/>
        <w:ind w:left="709" w:right="709"/>
        <w:jc w:val="both"/>
        <w:rPr>
          <w:rFonts w:ascii="Verdana" w:eastAsia="Times New Roman" w:hAnsi="Verdana" w:cs="Arial"/>
          <w:sz w:val="20"/>
          <w:szCs w:val="20"/>
          <w:lang w:val="es-ES" w:eastAsia="es-CO"/>
        </w:rPr>
      </w:pPr>
      <w:r>
        <w:rPr>
          <w:rFonts w:ascii="Verdana" w:eastAsia="Times New Roman" w:hAnsi="Verdana" w:cs="Arial"/>
          <w:sz w:val="20"/>
          <w:szCs w:val="20"/>
          <w:lang w:val="es-ES" w:eastAsia="es-CO"/>
        </w:rPr>
        <w:lastRenderedPageBreak/>
        <w:t>“(…)</w:t>
      </w:r>
      <w:r w:rsidRPr="006A51F6">
        <w:rPr>
          <w:rFonts w:ascii="Verdana" w:eastAsia="Times New Roman" w:hAnsi="Verdana" w:cs="Arial"/>
          <w:sz w:val="20"/>
          <w:szCs w:val="20"/>
          <w:lang w:val="es-ES" w:eastAsia="es-CO"/>
        </w:rPr>
        <w:t xml:space="preserve"> </w:t>
      </w:r>
      <w:r w:rsidRPr="009E6EDF">
        <w:rPr>
          <w:rFonts w:ascii="Verdana" w:eastAsia="Times New Roman" w:hAnsi="Verdana" w:cs="Arial"/>
          <w:bCs/>
          <w:sz w:val="20"/>
          <w:szCs w:val="20"/>
          <w:lang w:eastAsia="es-CO"/>
        </w:rPr>
        <w:t>La definición de reglas claras que permitan acceder a los canales de expresión democrática de manera efectiva e igualitaria. El objetivo de una ley de garantías es definir esas reglas.</w:t>
      </w:r>
    </w:p>
    <w:p w14:paraId="4E534A43" w14:textId="77777777" w:rsidR="008A19CC" w:rsidRPr="009E6EDF" w:rsidRDefault="008A19CC" w:rsidP="008A19CC">
      <w:pPr>
        <w:spacing w:after="0" w:line="240" w:lineRule="auto"/>
        <w:ind w:left="709" w:right="709"/>
        <w:jc w:val="both"/>
        <w:rPr>
          <w:rFonts w:ascii="Verdana" w:eastAsia="Times New Roman" w:hAnsi="Verdana" w:cs="Arial"/>
          <w:bCs/>
          <w:sz w:val="20"/>
          <w:szCs w:val="20"/>
          <w:lang w:eastAsia="es-CO"/>
        </w:rPr>
      </w:pPr>
    </w:p>
    <w:p w14:paraId="6C54D46A" w14:textId="77777777" w:rsidR="008A19CC" w:rsidRDefault="008A19CC" w:rsidP="008A19CC">
      <w:pPr>
        <w:spacing w:after="0" w:line="240" w:lineRule="auto"/>
        <w:ind w:left="709" w:right="709"/>
        <w:jc w:val="both"/>
        <w:rPr>
          <w:rFonts w:ascii="Verdana" w:eastAsia="Times New Roman" w:hAnsi="Verdana" w:cs="Arial"/>
          <w:bCs/>
          <w:sz w:val="20"/>
          <w:szCs w:val="20"/>
          <w:lang w:eastAsia="es-CO"/>
        </w:rPr>
      </w:pPr>
      <w:r w:rsidRPr="009E6EDF">
        <w:rPr>
          <w:rFonts w:ascii="Verdana" w:eastAsia="Times New Roman" w:hAnsi="Verdana" w:cs="Arial"/>
          <w:bCs/>
          <w:sz w:val="20"/>
          <w:szCs w:val="20"/>
          <w:lang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Verdana" w:eastAsia="Times New Roman" w:hAnsi="Verdana" w:cs="Arial"/>
          <w:bCs/>
          <w:sz w:val="20"/>
          <w:szCs w:val="20"/>
          <w:lang w:eastAsia="es-CO"/>
        </w:rPr>
        <w:t xml:space="preserve"> (…)”</w:t>
      </w:r>
      <w:r w:rsidRPr="009E6EDF">
        <w:rPr>
          <w:rStyle w:val="Refdenotaalpie"/>
          <w:rFonts w:ascii="Verdana" w:hAnsi="Verdana" w:cs="Arial"/>
          <w:sz w:val="20"/>
          <w:szCs w:val="20"/>
        </w:rPr>
        <w:footnoteReference w:id="3"/>
      </w:r>
      <w:r>
        <w:rPr>
          <w:rFonts w:ascii="Verdana" w:eastAsia="Times New Roman" w:hAnsi="Verdana" w:cs="Arial"/>
          <w:bCs/>
          <w:sz w:val="20"/>
          <w:szCs w:val="20"/>
          <w:lang w:eastAsia="es-CO"/>
        </w:rPr>
        <w:t>.</w:t>
      </w:r>
      <w:r w:rsidRPr="006A51F6">
        <w:rPr>
          <w:rFonts w:ascii="Verdana" w:eastAsia="Times New Roman" w:hAnsi="Verdana" w:cs="Arial"/>
          <w:bCs/>
          <w:sz w:val="20"/>
          <w:szCs w:val="20"/>
          <w:lang w:eastAsia="es-CO"/>
        </w:rPr>
        <w:t xml:space="preserve"> </w:t>
      </w:r>
    </w:p>
    <w:p w14:paraId="0D65CBD0" w14:textId="77777777" w:rsidR="008A19CC" w:rsidRPr="009E6EDF" w:rsidRDefault="008A19CC" w:rsidP="008A19CC">
      <w:pPr>
        <w:spacing w:after="0" w:line="276" w:lineRule="auto"/>
        <w:ind w:left="709" w:right="709"/>
        <w:jc w:val="both"/>
        <w:rPr>
          <w:rFonts w:ascii="Verdana" w:eastAsia="Times New Roman" w:hAnsi="Verdana" w:cs="Arial"/>
          <w:bCs/>
          <w:lang w:eastAsia="es-CO"/>
        </w:rPr>
      </w:pPr>
    </w:p>
    <w:p w14:paraId="1548B438" w14:textId="77777777" w:rsidR="008A19CC" w:rsidRPr="006A51F6" w:rsidRDefault="008A19CC" w:rsidP="008A19CC">
      <w:pPr>
        <w:spacing w:after="0" w:line="276" w:lineRule="auto"/>
        <w:ind w:firstLine="709"/>
        <w:jc w:val="both"/>
        <w:rPr>
          <w:rFonts w:ascii="Verdana" w:eastAsia="Times New Roman" w:hAnsi="Verdana" w:cs="Arial"/>
          <w:bCs/>
          <w:lang w:eastAsia="es-CO"/>
        </w:rPr>
      </w:pPr>
      <w:bookmarkStart w:id="2" w:name="_Hlk78818186"/>
      <w:r w:rsidRPr="00F10E52">
        <w:rPr>
          <w:rFonts w:ascii="Verdana" w:eastAsia="Times New Roman" w:hAnsi="Verdana" w:cs="Arial"/>
          <w:bCs/>
          <w:lang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2"/>
      <w:r w:rsidRPr="00F10E52">
        <w:rPr>
          <w:rFonts w:ascii="Verdana" w:eastAsia="Times New Roman" w:hAnsi="Verdana" w:cs="Arial"/>
          <w:bCs/>
          <w:lang w:eastAsia="es-CO"/>
        </w:rPr>
        <w:t>Por ello, varias de las disposiciones de la Ley 996 de 2005, al contener normas prohibitivas, no admiten una interpretación amplia, sino que deben interpretarse restrictivamente. En efecto, la Sala de Consulta y Servicio Civil del Consejo de Estado al analizar la referida ley, precisó lo siguiente:</w:t>
      </w:r>
    </w:p>
    <w:p w14:paraId="21369107" w14:textId="77777777" w:rsidR="008A19CC" w:rsidRDefault="008A19CC" w:rsidP="008A19CC">
      <w:pPr>
        <w:spacing w:after="0" w:line="240" w:lineRule="auto"/>
        <w:ind w:left="709" w:right="709"/>
        <w:jc w:val="both"/>
        <w:rPr>
          <w:rFonts w:ascii="Verdana" w:eastAsia="Times New Roman" w:hAnsi="Verdana" w:cs="Arial"/>
          <w:bCs/>
          <w:sz w:val="20"/>
          <w:szCs w:val="20"/>
          <w:lang w:eastAsia="es-CO"/>
        </w:rPr>
      </w:pPr>
    </w:p>
    <w:p w14:paraId="4566745D" w14:textId="77777777" w:rsidR="008A19CC" w:rsidRDefault="008A19CC" w:rsidP="008A19CC">
      <w:pPr>
        <w:spacing w:after="0" w:line="240" w:lineRule="auto"/>
        <w:ind w:left="709" w:right="709"/>
        <w:jc w:val="both"/>
        <w:rPr>
          <w:rFonts w:ascii="Verdana" w:eastAsia="Times New Roman" w:hAnsi="Verdana" w:cs="Arial"/>
          <w:bCs/>
          <w:sz w:val="20"/>
          <w:szCs w:val="20"/>
          <w:lang w:eastAsia="es-CO"/>
        </w:rPr>
      </w:pPr>
      <w:r>
        <w:rPr>
          <w:rFonts w:ascii="Verdana" w:eastAsia="Times New Roman" w:hAnsi="Verdana" w:cs="Arial"/>
          <w:bCs/>
          <w:sz w:val="20"/>
          <w:szCs w:val="20"/>
          <w:lang w:eastAsia="es-CO"/>
        </w:rPr>
        <w:t>“</w:t>
      </w:r>
      <w:r w:rsidRPr="009B20C5">
        <w:rPr>
          <w:rFonts w:ascii="Verdana" w:eastAsia="Times New Roman" w:hAnsi="Verdana" w:cs="Arial"/>
          <w:bCs/>
          <w:sz w:val="20"/>
          <w:szCs w:val="20"/>
          <w:lang w:eastAsia="es-CO"/>
        </w:rPr>
        <w:t>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legis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068ADDD1" w14:textId="77777777" w:rsidR="008A19CC" w:rsidRPr="009B20C5" w:rsidRDefault="008A19CC" w:rsidP="008A19CC">
      <w:pPr>
        <w:spacing w:after="0" w:line="240" w:lineRule="auto"/>
        <w:ind w:left="709" w:right="709"/>
        <w:jc w:val="both"/>
        <w:rPr>
          <w:rFonts w:ascii="Verdana" w:eastAsia="Times New Roman" w:hAnsi="Verdana" w:cs="Arial"/>
          <w:bCs/>
          <w:sz w:val="20"/>
          <w:szCs w:val="20"/>
          <w:lang w:eastAsia="es-CO"/>
        </w:rPr>
      </w:pPr>
    </w:p>
    <w:p w14:paraId="186C6016" w14:textId="77777777" w:rsidR="008A19CC" w:rsidRPr="009B20C5" w:rsidRDefault="008A19CC" w:rsidP="008A19CC">
      <w:pPr>
        <w:spacing w:after="0" w:line="240" w:lineRule="auto"/>
        <w:ind w:left="709" w:right="709"/>
        <w:jc w:val="both"/>
        <w:rPr>
          <w:rFonts w:ascii="Verdana" w:eastAsia="Times New Roman" w:hAnsi="Verdana" w:cs="Arial"/>
          <w:bCs/>
          <w:sz w:val="20"/>
          <w:szCs w:val="20"/>
          <w:lang w:eastAsia="es-CO"/>
        </w:rPr>
      </w:pPr>
      <w:r w:rsidRPr="009B20C5">
        <w:rPr>
          <w:rFonts w:ascii="Verdana" w:eastAsia="Times New Roman" w:hAnsi="Verdana" w:cs="Arial"/>
          <w:bCs/>
          <w:sz w:val="20"/>
          <w:szCs w:val="20"/>
          <w:lang w:eastAsia="es-CO"/>
        </w:rPr>
        <w:lastRenderedPageBreak/>
        <w:t>La jurisprudencia de la Corte Constitucional</w:t>
      </w:r>
      <w:r w:rsidRPr="009B20C5">
        <w:rPr>
          <w:rStyle w:val="Refdenotaalpie"/>
          <w:rFonts w:ascii="Verdana" w:eastAsia="Times New Roman" w:hAnsi="Verdana" w:cs="Arial"/>
          <w:bCs/>
          <w:sz w:val="20"/>
          <w:szCs w:val="20"/>
          <w:lang w:eastAsia="es-CO"/>
        </w:rPr>
        <w:footnoteReference w:id="4"/>
      </w:r>
      <w:r w:rsidRPr="009B20C5">
        <w:rPr>
          <w:rFonts w:ascii="Verdana" w:eastAsia="Times New Roman" w:hAnsi="Verdana" w:cs="Arial"/>
          <w:bCs/>
          <w:sz w:val="20"/>
          <w:szCs w:val="20"/>
          <w:lang w:eastAsia="es-CO"/>
        </w:rPr>
        <w:t> y del Consejo de Estado</w:t>
      </w:r>
      <w:r w:rsidRPr="009B20C5">
        <w:rPr>
          <w:rStyle w:val="Refdenotaalpie"/>
          <w:rFonts w:ascii="Verdana" w:eastAsia="Times New Roman" w:hAnsi="Verdana" w:cs="Arial"/>
          <w:bCs/>
          <w:sz w:val="20"/>
          <w:szCs w:val="20"/>
          <w:lang w:eastAsia="es-CO"/>
        </w:rPr>
        <w:footnoteReference w:id="5"/>
      </w:r>
      <w:r w:rsidRPr="009B20C5">
        <w:rPr>
          <w:rFonts w:ascii="Verdana" w:eastAsia="Times New Roman" w:hAnsi="Verdana" w:cs="Arial"/>
          <w:bCs/>
          <w:sz w:val="20"/>
          <w:szCs w:val="20"/>
          <w:lang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Pr>
          <w:rFonts w:ascii="Verdana" w:eastAsia="Times New Roman" w:hAnsi="Verdana" w:cs="Arial"/>
          <w:bCs/>
          <w:sz w:val="20"/>
          <w:szCs w:val="20"/>
          <w:lang w:eastAsia="es-CO"/>
        </w:rPr>
        <w:t>”</w:t>
      </w:r>
      <w:r w:rsidRPr="009B20C5">
        <w:rPr>
          <w:rStyle w:val="Refdenotaalpie"/>
          <w:rFonts w:ascii="Verdana" w:eastAsia="Times New Roman" w:hAnsi="Verdana" w:cs="Arial"/>
          <w:bCs/>
          <w:sz w:val="20"/>
          <w:szCs w:val="20"/>
          <w:lang w:eastAsia="es-CO"/>
        </w:rPr>
        <w:footnoteReference w:id="6"/>
      </w:r>
      <w:r w:rsidRPr="009B20C5">
        <w:rPr>
          <w:rFonts w:ascii="Verdana" w:eastAsia="Times New Roman" w:hAnsi="Verdana" w:cs="Arial"/>
          <w:bCs/>
          <w:sz w:val="20"/>
          <w:szCs w:val="20"/>
          <w:lang w:eastAsia="es-CO"/>
        </w:rPr>
        <w:t>.</w:t>
      </w:r>
    </w:p>
    <w:p w14:paraId="10AEF892" w14:textId="77777777" w:rsidR="008A19CC" w:rsidRDefault="008A19CC" w:rsidP="008A19CC">
      <w:pPr>
        <w:spacing w:after="0" w:line="276" w:lineRule="auto"/>
        <w:jc w:val="both"/>
        <w:rPr>
          <w:rFonts w:ascii="Verdana" w:eastAsia="Times New Roman" w:hAnsi="Verdana" w:cs="Arial"/>
          <w:bCs/>
          <w:lang w:eastAsia="es-CO"/>
        </w:rPr>
      </w:pPr>
      <w:r w:rsidRPr="00F10E52">
        <w:rPr>
          <w:rFonts w:ascii="Verdana" w:eastAsia="Times New Roman" w:hAnsi="Verdana" w:cs="Arial"/>
          <w:bCs/>
          <w:lang w:eastAsia="es-CO"/>
        </w:rPr>
        <w:tab/>
      </w:r>
    </w:p>
    <w:p w14:paraId="2382C4F2" w14:textId="77777777" w:rsidR="008A19CC" w:rsidRDefault="008A19CC" w:rsidP="008A19CC">
      <w:pPr>
        <w:spacing w:after="120" w:line="276" w:lineRule="auto"/>
        <w:ind w:firstLine="708"/>
        <w:jc w:val="both"/>
        <w:rPr>
          <w:rFonts w:ascii="Verdana" w:eastAsia="Arial" w:hAnsi="Verdana" w:cs="Arial"/>
          <w:lang w:val="es-ES" w:eastAsia="es-ES" w:bidi="es-ES"/>
        </w:rPr>
      </w:pPr>
      <w:r w:rsidRPr="00F10E52">
        <w:rPr>
          <w:rFonts w:ascii="Verdana" w:eastAsia="Times New Roman" w:hAnsi="Verdana" w:cs="Arial"/>
          <w:bCs/>
          <w:lang w:eastAsia="es-CO"/>
        </w:rPr>
        <w:t>De</w:t>
      </w:r>
      <w:r w:rsidRPr="00F10E52">
        <w:rPr>
          <w:rFonts w:ascii="Verdana" w:eastAsia="Arial" w:hAnsi="Verdana" w:cs="Arial"/>
          <w:lang w:val="es-ES" w:eastAsia="es-ES" w:bidi="es-ES"/>
        </w:rPr>
        <w:t xml:space="preserve"> conformidad con lo anterior, </w:t>
      </w:r>
      <w:bookmarkStart w:id="3" w:name="_Hlk77236098"/>
      <w:r w:rsidRPr="00F10E52">
        <w:rPr>
          <w:rFonts w:ascii="Verdana" w:eastAsia="Arial" w:hAnsi="Verdana" w:cs="Arial"/>
          <w:lang w:val="es-ES" w:eastAsia="es-ES" w:bidi="es-ES"/>
        </w:rPr>
        <w:t xml:space="preserve">la Ley de Garantías Electorales fijó una serie de regulaciones y prohibiciones dirigidas a los servidores públicos. Así,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6ACA2B76" w14:textId="77777777" w:rsidR="008A19CC" w:rsidRPr="00F10E52" w:rsidRDefault="008A19CC" w:rsidP="008A19CC">
      <w:pPr>
        <w:spacing w:after="120" w:line="276" w:lineRule="auto"/>
        <w:ind w:firstLine="708"/>
        <w:jc w:val="both"/>
        <w:rPr>
          <w:rFonts w:ascii="Verdana" w:eastAsia="Arial" w:hAnsi="Verdana" w:cs="Arial"/>
          <w:lang w:val="es-ES" w:eastAsia="es-ES" w:bidi="es-ES"/>
        </w:rPr>
      </w:pPr>
      <w:r w:rsidRPr="00F10E52">
        <w:rPr>
          <w:rFonts w:ascii="Verdana" w:eastAsia="Arial" w:hAnsi="Verdana" w:cs="Arial"/>
          <w:lang w:val="es-ES" w:eastAsia="es-ES" w:bidi="es-ES"/>
        </w:rPr>
        <w:t>Específicamente, las restricciones consagradas en la citada ley se dirigen a dos (2) tipos de campañas electorales claramente diferenciadas: las presidenciales y las demás que se adelanten para la elección de los demás cargos de elección popular, tanto a nivel nacional como a nivel territorial.</w:t>
      </w:r>
      <w:bookmarkEnd w:id="3"/>
    </w:p>
    <w:p w14:paraId="68F24CDE" w14:textId="77777777" w:rsidR="008A19CC" w:rsidRPr="00F10E52" w:rsidRDefault="008A19CC" w:rsidP="008A19CC">
      <w:pPr>
        <w:spacing w:after="120" w:line="276" w:lineRule="auto"/>
        <w:ind w:firstLine="708"/>
        <w:jc w:val="both"/>
        <w:rPr>
          <w:rFonts w:ascii="Verdana" w:eastAsia="Calibri" w:hAnsi="Verdana" w:cs="Arial"/>
        </w:rPr>
      </w:pPr>
      <w:r w:rsidRPr="00F10E52">
        <w:rPr>
          <w:rFonts w:ascii="Verdana" w:eastAsia="Calibri" w:hAnsi="Verdana" w:cs="Arial"/>
        </w:rPr>
        <w:t xml:space="preserve">Por un lado, el artículo 33 de la Ley 996 de 2005 prohíbe </w:t>
      </w:r>
      <w:r>
        <w:rPr>
          <w:rFonts w:ascii="Verdana" w:eastAsia="Calibri" w:hAnsi="Verdana" w:cs="Arial"/>
        </w:rPr>
        <w:t>“</w:t>
      </w:r>
      <w:r>
        <w:rPr>
          <w:rFonts w:ascii="Verdana" w:eastAsia="Calibri" w:hAnsi="Verdana" w:cs="Arial"/>
          <w:bCs/>
        </w:rPr>
        <w:t xml:space="preserve">(…) </w:t>
      </w:r>
      <w:r w:rsidRPr="00F10E52">
        <w:rPr>
          <w:rFonts w:ascii="Verdana" w:eastAsia="Calibri" w:hAnsi="Verdana" w:cs="Arial"/>
        </w:rPr>
        <w:t>la contratación directa por parte de todos los entes del Estado</w:t>
      </w:r>
      <w:r>
        <w:rPr>
          <w:rFonts w:ascii="Verdana" w:eastAsia="Calibri" w:hAnsi="Verdana" w:cs="Arial"/>
          <w:bCs/>
        </w:rPr>
        <w:t>”</w:t>
      </w:r>
      <w:r w:rsidRPr="00F10E52">
        <w:rPr>
          <w:rFonts w:ascii="Verdana" w:eastAsia="Calibri" w:hAnsi="Verdana" w:cs="Arial"/>
        </w:rPr>
        <w:t xml:space="preserve"> durante los cuatro (4) meses anteriores a las elecciones presidenciales, salvo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 xml:space="preserve">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w:t>
      </w:r>
      <w:r w:rsidRPr="00F10E52">
        <w:rPr>
          <w:rFonts w:ascii="Verdana" w:eastAsia="Calibri" w:hAnsi="Verdana" w:cs="Arial"/>
        </w:rPr>
        <w:lastRenderedPageBreak/>
        <w:t>acciones terroristas, desastres naturales o casos de fuerza mayor, y los que deban realizar las entidades sanitarias y hospitalarias</w:t>
      </w:r>
      <w:r>
        <w:rPr>
          <w:rFonts w:ascii="Verdana" w:eastAsia="Calibri" w:hAnsi="Verdana" w:cs="Arial"/>
          <w:bCs/>
        </w:rPr>
        <w:t>”</w:t>
      </w:r>
      <w:r w:rsidRPr="00F10E52">
        <w:rPr>
          <w:rFonts w:ascii="Verdana" w:eastAsia="Calibri" w:hAnsi="Verdana" w:cs="Arial"/>
          <w:bCs/>
          <w:vertAlign w:val="superscript"/>
        </w:rPr>
        <w:footnoteReference w:id="7"/>
      </w:r>
      <w:r w:rsidRPr="00F10E52">
        <w:rPr>
          <w:rFonts w:ascii="Verdana" w:eastAsia="Calibri" w:hAnsi="Verdana" w:cs="Arial"/>
        </w:rPr>
        <w:t>.</w:t>
      </w:r>
    </w:p>
    <w:p w14:paraId="327BDC5B" w14:textId="77777777" w:rsidR="008A19CC" w:rsidRDefault="008A19CC" w:rsidP="008A19CC">
      <w:pPr>
        <w:widowControl w:val="0"/>
        <w:autoSpaceDE w:val="0"/>
        <w:autoSpaceDN w:val="0"/>
        <w:spacing w:after="120" w:line="276" w:lineRule="auto"/>
        <w:ind w:firstLine="708"/>
        <w:jc w:val="both"/>
        <w:rPr>
          <w:rFonts w:ascii="Verdana" w:eastAsia="Arial" w:hAnsi="Verdana" w:cs="Arial"/>
          <w:lang w:val="es-ES" w:eastAsia="es-ES" w:bidi="es-ES"/>
        </w:rPr>
      </w:pPr>
      <w:r w:rsidRPr="00F10E52">
        <w:rPr>
          <w:rFonts w:ascii="Verdana" w:eastAsia="Calibri" w:hAnsi="Verdana" w:cs="Arial"/>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Pr>
          <w:rFonts w:ascii="Verdana" w:eastAsia="Calibri" w:hAnsi="Verdana" w:cs="Arial"/>
          <w:bCs/>
        </w:rPr>
        <w:t>“(…)</w:t>
      </w:r>
      <w:r w:rsidRPr="00F10E52">
        <w:rPr>
          <w:rFonts w:ascii="Verdana" w:eastAsia="Calibri" w:hAnsi="Verdana" w:cs="Arial"/>
          <w:bCs/>
        </w:rPr>
        <w:t xml:space="preserve"> </w:t>
      </w:r>
      <w:r w:rsidRPr="00F10E52">
        <w:rPr>
          <w:rFonts w:ascii="Verdana" w:eastAsia="Calibri" w:hAnsi="Verdana" w:cs="Arial"/>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Pr>
          <w:rFonts w:ascii="Verdana" w:eastAsia="Calibri" w:hAnsi="Verdana" w:cs="Arial"/>
          <w:bCs/>
        </w:rPr>
        <w:t>”</w:t>
      </w:r>
      <w:r w:rsidRPr="00F10E52">
        <w:rPr>
          <w:rFonts w:ascii="Verdana" w:eastAsia="Calibri" w:hAnsi="Verdana" w:cs="Arial"/>
          <w:bCs/>
          <w:vertAlign w:val="superscript"/>
        </w:rPr>
        <w:footnoteReference w:id="8"/>
      </w:r>
      <w:r w:rsidRPr="00F10E52">
        <w:rPr>
          <w:rFonts w:ascii="Verdana" w:eastAsia="Calibri" w:hAnsi="Verdana" w:cs="Arial"/>
        </w:rPr>
        <w:t>.</w:t>
      </w:r>
      <w:r w:rsidRPr="00F10E52">
        <w:rPr>
          <w:rFonts w:ascii="Verdana" w:eastAsia="Arial" w:hAnsi="Verdana" w:cs="Arial"/>
          <w:lang w:val="es-ES" w:eastAsia="es-ES" w:bidi="es-ES"/>
        </w:rPr>
        <w:t xml:space="preserve"> </w:t>
      </w:r>
    </w:p>
    <w:p w14:paraId="54C164A0" w14:textId="77777777" w:rsidR="008A19CC" w:rsidRPr="00F10E52" w:rsidRDefault="008A19CC" w:rsidP="008A19CC">
      <w:pPr>
        <w:widowControl w:val="0"/>
        <w:autoSpaceDE w:val="0"/>
        <w:autoSpaceDN w:val="0"/>
        <w:spacing w:before="120" w:after="0" w:line="276" w:lineRule="auto"/>
        <w:ind w:right="113" w:firstLine="708"/>
        <w:jc w:val="both"/>
        <w:rPr>
          <w:rFonts w:ascii="Verdana" w:eastAsia="Arial" w:hAnsi="Verdana" w:cs="Arial"/>
          <w:lang w:val="es-ES" w:eastAsia="es-ES" w:bidi="es-ES"/>
        </w:rPr>
      </w:pPr>
      <w:r w:rsidRPr="00F10E52">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considera que:</w:t>
      </w:r>
    </w:p>
    <w:p w14:paraId="1A3E389A" w14:textId="77777777" w:rsidR="008A19CC" w:rsidRPr="006A51F6" w:rsidRDefault="008A19CC" w:rsidP="008A19CC">
      <w:pPr>
        <w:widowControl w:val="0"/>
        <w:autoSpaceDE w:val="0"/>
        <w:autoSpaceDN w:val="0"/>
        <w:spacing w:after="0" w:line="240" w:lineRule="auto"/>
        <w:ind w:left="709" w:right="709"/>
        <w:jc w:val="both"/>
        <w:rPr>
          <w:rFonts w:ascii="Verdana" w:eastAsia="Arial" w:hAnsi="Verdana" w:cs="Arial"/>
          <w:lang w:val="es-ES" w:eastAsia="es-ES" w:bidi="es-ES"/>
        </w:rPr>
      </w:pPr>
    </w:p>
    <w:p w14:paraId="600E23B1" w14:textId="77777777" w:rsidR="008A19CC" w:rsidRPr="009B20C5" w:rsidRDefault="008A19CC" w:rsidP="008A19CC">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9B20C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6" w:name="_Hlk76109421"/>
      <w:r w:rsidRPr="009B20C5">
        <w:rPr>
          <w:rFonts w:ascii="Verdana" w:eastAsia="Arial" w:hAnsi="Verdana" w:cs="Arial"/>
          <w:sz w:val="20"/>
          <w:szCs w:val="20"/>
          <w:lang w:val="es-ES" w:eastAsia="es-ES" w:bidi="es-ES"/>
        </w:rPr>
        <w:t>se integran parcialmente</w:t>
      </w:r>
      <w:bookmarkEnd w:id="6"/>
      <w:r w:rsidRPr="009B20C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w:t>
      </w:r>
      <w:r w:rsidRPr="009B20C5">
        <w:rPr>
          <w:rFonts w:ascii="Verdana" w:eastAsia="Arial" w:hAnsi="Verdana" w:cs="Arial"/>
          <w:sz w:val="20"/>
          <w:szCs w:val="20"/>
          <w:lang w:val="es-ES" w:eastAsia="es-ES" w:bidi="es-ES"/>
        </w:rPr>
        <w:lastRenderedPageBreak/>
        <w:t xml:space="preserve">del parágrafo del artículo 38. </w:t>
      </w:r>
      <w:r w:rsidRPr="009B20C5">
        <w:rPr>
          <w:rFonts w:ascii="Verdana" w:eastAsia="Arial" w:hAnsi="Verdana" w:cs="Arial"/>
          <w:bCs/>
          <w:sz w:val="20"/>
          <w:szCs w:val="20"/>
          <w:lang w:val="es-ES" w:eastAsia="es-ES" w:bidi="es-ES"/>
        </w:rPr>
        <w:t>En cambio, para elecciones en general, excluyendo las correspondientes a Presidente de la República, a las autoridades territoriales allí mencionadas sólo se aplican las restricciones contenidas en el parágrafo del artículo 38</w:t>
      </w:r>
      <w:r>
        <w:rPr>
          <w:rFonts w:ascii="Verdana" w:eastAsia="Arial" w:hAnsi="Verdana" w:cs="Arial"/>
          <w:sz w:val="20"/>
          <w:szCs w:val="20"/>
          <w:lang w:val="es-ES" w:eastAsia="es-ES" w:bidi="es-ES"/>
        </w:rPr>
        <w:t>”</w:t>
      </w:r>
      <w:r w:rsidRPr="009B20C5">
        <w:rPr>
          <w:rFonts w:ascii="Verdana" w:eastAsia="Arial" w:hAnsi="Verdana" w:cs="Arial"/>
          <w:sz w:val="20"/>
          <w:szCs w:val="20"/>
          <w:vertAlign w:val="superscript"/>
          <w:lang w:val="es-ES" w:eastAsia="es-ES" w:bidi="es-ES"/>
        </w:rPr>
        <w:footnoteReference w:id="9"/>
      </w:r>
      <w:r>
        <w:rPr>
          <w:rFonts w:ascii="Verdana" w:eastAsia="Arial" w:hAnsi="Verdana" w:cs="Arial"/>
          <w:sz w:val="20"/>
          <w:szCs w:val="20"/>
          <w:lang w:val="es-ES" w:eastAsia="es-ES" w:bidi="es-ES"/>
        </w:rPr>
        <w:t>.</w:t>
      </w:r>
    </w:p>
    <w:p w14:paraId="197C1C8A" w14:textId="77777777" w:rsidR="008A19CC" w:rsidRDefault="008A19CC" w:rsidP="008A19CC">
      <w:pPr>
        <w:spacing w:after="0" w:line="276" w:lineRule="auto"/>
        <w:ind w:firstLine="709"/>
        <w:jc w:val="both"/>
        <w:rPr>
          <w:rFonts w:ascii="Verdana" w:eastAsia="Arial" w:hAnsi="Verdana" w:cs="Arial"/>
          <w:lang w:val="es-ES" w:eastAsia="es-ES" w:bidi="es-ES"/>
        </w:rPr>
      </w:pPr>
    </w:p>
    <w:p w14:paraId="495F8870" w14:textId="77777777" w:rsidR="008A19CC" w:rsidRPr="00F10E52" w:rsidRDefault="008A19CC" w:rsidP="008A19CC">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De conformidad con lo anterior</w:t>
      </w:r>
      <w:bookmarkStart w:id="7" w:name="_Hlk99438241"/>
      <w:r w:rsidRPr="00F10E52">
        <w:rPr>
          <w:rFonts w:ascii="Verdana" w:eastAsia="Arial" w:hAnsi="Verdana" w:cs="Arial"/>
          <w:lang w:val="es-ES" w:eastAsia="es-ES" w:bidi="es-ES"/>
        </w:rPr>
        <w:t xml:space="preserve">, </w:t>
      </w:r>
      <w:bookmarkStart w:id="8" w:name="_Hlk77236420"/>
      <w:bookmarkStart w:id="9" w:name="_Hlk78818435"/>
      <w:bookmarkStart w:id="10" w:name="_Hlk75780333"/>
      <w:r w:rsidRPr="00F10E52">
        <w:rPr>
          <w:rFonts w:ascii="Verdana" w:eastAsia="Arial" w:hAnsi="Verdana" w:cs="Arial"/>
          <w:lang w:val="es-ES" w:eastAsia="es-ES" w:bidi="es-ES"/>
        </w:rPr>
        <w:t xml:space="preserve">la Ley 996 de 2005 establece dos (2) tipos de restricciones en materia de contratación, las cuales coinciden parcialmente. </w:t>
      </w:r>
      <w:r w:rsidRPr="00F10E52">
        <w:rPr>
          <w:rFonts w:ascii="Verdana" w:eastAsia="Arial" w:hAnsi="Verdana" w:cs="Arial"/>
          <w:i/>
          <w:iCs/>
          <w:lang w:val="es-ES" w:eastAsia="es-ES" w:bidi="es-ES"/>
        </w:rPr>
        <w:t>En primer lugar</w:t>
      </w:r>
      <w:r w:rsidRPr="00F10E52">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F10E52">
        <w:rPr>
          <w:rFonts w:ascii="Verdana" w:eastAsia="Arial" w:hAnsi="Verdana" w:cs="Arial"/>
          <w:i/>
          <w:iCs/>
          <w:lang w:val="es-ES" w:eastAsia="es-ES" w:bidi="es-ES"/>
        </w:rPr>
        <w:t>En segundo lugar</w:t>
      </w:r>
      <w:r w:rsidRPr="00F10E52">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8"/>
    </w:p>
    <w:bookmarkEnd w:id="7"/>
    <w:bookmarkEnd w:id="9"/>
    <w:p w14:paraId="71021444" w14:textId="77777777" w:rsidR="008A19CC" w:rsidRPr="00F10E52" w:rsidRDefault="008A19CC" w:rsidP="008A19CC">
      <w:pPr>
        <w:spacing w:after="120" w:line="276" w:lineRule="auto"/>
        <w:ind w:firstLine="709"/>
        <w:jc w:val="both"/>
        <w:rPr>
          <w:rFonts w:ascii="Verdana" w:eastAsia="Arial" w:hAnsi="Verdana" w:cs="Arial"/>
          <w:lang w:val="es-ES" w:eastAsia="es-ES" w:bidi="es-ES"/>
        </w:rPr>
      </w:pPr>
      <w:r w:rsidRPr="00F10E52">
        <w:rPr>
          <w:rFonts w:ascii="Verdana" w:eastAsia="Arial" w:hAnsi="Verdana" w:cs="Arial"/>
          <w:lang w:val="es-ES" w:eastAsia="es-ES" w:bidi="es-ES"/>
        </w:rPr>
        <w:t>Ambas restricciones no son excluyentes, lo que permite concluir que en el período preelectoral para elección de Presidente de la República, a todos los entes del Estado, incluidos los territoriales, aplican las restricciones del artículo 33 con sus excepciones, así como las del parágrafo del artículo 38. En cambio, tratándose de elecciones en general, excluyendo las correspondientes al Presidente de la República, las autoridades allí mencionadas sólo deben aplicar las restricciones contenidas en el parágrafo del artículo 38.</w:t>
      </w:r>
    </w:p>
    <w:bookmarkEnd w:id="10"/>
    <w:p w14:paraId="77D05DE6" w14:textId="77777777" w:rsidR="008A19CC" w:rsidRDefault="008A19CC" w:rsidP="008A19CC">
      <w:pPr>
        <w:spacing w:after="120" w:line="276" w:lineRule="auto"/>
        <w:ind w:firstLine="708"/>
        <w:jc w:val="both"/>
        <w:rPr>
          <w:rFonts w:ascii="Verdana" w:eastAsia="Times New Roman" w:hAnsi="Verdana" w:cs="Arial"/>
          <w:bCs/>
          <w:lang w:val="es-ES" w:eastAsia="es-CO"/>
        </w:rPr>
      </w:pPr>
      <w:r w:rsidRPr="00F10E52">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Presidente o el Vicepresidente desde que éstos –estando en ejercicio de su cargo– manifiesten el interés de ser candidato presidencial, lo cual debe ocurrir seis meses antes de la elección en primera vuelta, de acuerdo con el artículo 9 de la Ley 996 de 2005. Sin embargo, el </w:t>
      </w:r>
      <w:r w:rsidRPr="00F10E52">
        <w:rPr>
          <w:rFonts w:ascii="Verdana" w:eastAsia="Arial" w:hAnsi="Verdana" w:cs="Arial"/>
          <w:lang w:val="es-ES" w:eastAsia="es-ES" w:bidi="es-ES"/>
        </w:rPr>
        <w:lastRenderedPageBreak/>
        <w:t xml:space="preserve">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  </w:t>
      </w:r>
    </w:p>
    <w:p w14:paraId="0FAF41A9" w14:textId="77777777" w:rsidR="008A19CC" w:rsidRDefault="008A19CC" w:rsidP="008A19CC">
      <w:pPr>
        <w:spacing w:after="0" w:line="276" w:lineRule="auto"/>
        <w:ind w:firstLine="708"/>
        <w:jc w:val="both"/>
        <w:rPr>
          <w:rFonts w:ascii="Verdana" w:eastAsia="Arial" w:hAnsi="Verdana" w:cs="Arial"/>
          <w:lang w:val="es-ES" w:eastAsia="es-ES" w:bidi="es-ES"/>
        </w:rPr>
      </w:pPr>
      <w:r>
        <w:rPr>
          <w:rFonts w:ascii="Verdana" w:eastAsia="Times New Roman" w:hAnsi="Verdana" w:cs="Arial"/>
          <w:bCs/>
          <w:lang w:val="es-ES" w:eastAsia="es-CO"/>
        </w:rPr>
        <w:t xml:space="preserve">Teniendo en cuenta el objeto de la consulta, a continuación, se hará un análisis sobre la aplicación de la prohibición contenida en el artículo 33 y sus excepciones, relacionada con su ámbito de aplicación y sus destinatarios. </w:t>
      </w:r>
    </w:p>
    <w:p w14:paraId="5176A2AC" w14:textId="77777777" w:rsidR="008A19CC" w:rsidRDefault="008A19CC" w:rsidP="008A19CC">
      <w:pPr>
        <w:spacing w:after="0" w:line="240" w:lineRule="auto"/>
        <w:ind w:firstLine="709"/>
        <w:jc w:val="both"/>
        <w:rPr>
          <w:rFonts w:ascii="Verdana" w:eastAsia="Arial" w:hAnsi="Verdana" w:cs="Arial"/>
          <w:lang w:val="es-ES" w:eastAsia="es-ES" w:bidi="es-ES"/>
        </w:rPr>
      </w:pPr>
    </w:p>
    <w:p w14:paraId="4F4B75C1" w14:textId="77777777" w:rsidR="008A19CC" w:rsidRPr="007777F3" w:rsidRDefault="008A19CC" w:rsidP="008A19CC">
      <w:pPr>
        <w:spacing w:after="0" w:line="276" w:lineRule="auto"/>
        <w:ind w:firstLine="708"/>
        <w:jc w:val="both"/>
        <w:rPr>
          <w:rFonts w:ascii="Verdana" w:eastAsia="Arial" w:hAnsi="Verdana" w:cs="Arial"/>
          <w:lang w:val="es-ES" w:eastAsia="es-ES" w:bidi="es-ES"/>
        </w:rPr>
      </w:pPr>
      <w:r w:rsidRPr="00195E24">
        <w:rPr>
          <w:rFonts w:ascii="Verdana" w:hAnsi="Verdana" w:cs="Arial"/>
          <w:bCs/>
          <w:lang w:eastAsia="x-none"/>
        </w:rPr>
        <w:t xml:space="preserve">El ámbito material de la prohibición contenida </w:t>
      </w:r>
      <w:bookmarkStart w:id="11" w:name="_Hlk75628761"/>
      <w:r w:rsidRPr="00195E24">
        <w:rPr>
          <w:rFonts w:ascii="Verdana" w:hAnsi="Verdana" w:cs="Arial"/>
          <w:bCs/>
          <w:lang w:eastAsia="x-none"/>
        </w:rPr>
        <w:t xml:space="preserve">en el artículo 33 de la ley 996 de 2005 </w:t>
      </w:r>
      <w:bookmarkEnd w:id="11"/>
      <w:r w:rsidRPr="00195E24">
        <w:rPr>
          <w:rFonts w:ascii="Verdana" w:hAnsi="Verdana" w:cs="Arial"/>
          <w:bCs/>
          <w:lang w:eastAsia="x-none"/>
        </w:rPr>
        <w:t xml:space="preserve">está delimitado por la expresión </w:t>
      </w:r>
      <w:r w:rsidRPr="00195E24">
        <w:rPr>
          <w:rFonts w:ascii="Verdana" w:eastAsia="Calibri" w:hAnsi="Verdana" w:cs="Arial"/>
          <w:bCs/>
          <w:i/>
          <w:iCs/>
          <w:sz w:val="20"/>
          <w:szCs w:val="20"/>
        </w:rPr>
        <w:t>“</w:t>
      </w:r>
      <w:r w:rsidRPr="00195E24">
        <w:rPr>
          <w:rFonts w:ascii="Verdana" w:hAnsi="Verdana" w:cs="Arial"/>
          <w:bCs/>
          <w:i/>
          <w:iCs/>
          <w:lang w:eastAsia="x-none"/>
        </w:rPr>
        <w:t>queda prohibida la contratación directa</w:t>
      </w:r>
      <w:r w:rsidRPr="00195E24">
        <w:rPr>
          <w:rFonts w:ascii="Verdana" w:hAnsi="Verdana" w:cs="Arial"/>
          <w:sz w:val="20"/>
          <w:szCs w:val="20"/>
        </w:rPr>
        <w:t>”</w:t>
      </w:r>
      <w:r w:rsidRPr="00195E24">
        <w:rPr>
          <w:rFonts w:ascii="Verdana" w:hAnsi="Verdana" w:cs="Arial"/>
          <w:bCs/>
          <w:lang w:eastAsia="x-none"/>
        </w:rPr>
        <w:t>.</w:t>
      </w:r>
      <w:r w:rsidRPr="00195E24">
        <w:rPr>
          <w:rFonts w:ascii="Verdana" w:hAnsi="Verdana" w:cs="Arial"/>
          <w:lang w:eastAsia="es-CO"/>
        </w:rPr>
        <w:t xml:space="preserve"> A propósito de esta restricción de la Ley de Garantías Electorales, la Sala de Consulta y Servicio Civil del Consejo de Estado ha considerado que:</w:t>
      </w:r>
    </w:p>
    <w:p w14:paraId="1CF13BB7" w14:textId="77777777" w:rsidR="008A19CC" w:rsidRPr="00195E24" w:rsidRDefault="008A19CC" w:rsidP="008A19CC">
      <w:pPr>
        <w:spacing w:after="0" w:line="240" w:lineRule="auto"/>
        <w:jc w:val="both"/>
        <w:rPr>
          <w:rFonts w:ascii="Verdana" w:hAnsi="Verdana" w:cs="Arial"/>
          <w:bCs/>
          <w:lang w:eastAsia="es-CO"/>
        </w:rPr>
      </w:pPr>
    </w:p>
    <w:p w14:paraId="6D8CA3B5" w14:textId="77777777" w:rsidR="008A19CC" w:rsidRDefault="008A19CC" w:rsidP="008A19CC">
      <w:pPr>
        <w:spacing w:after="0" w:line="240" w:lineRule="auto"/>
        <w:ind w:left="709" w:right="709"/>
        <w:jc w:val="both"/>
        <w:rPr>
          <w:rFonts w:ascii="Verdana" w:hAnsi="Verdana" w:cs="Arial"/>
          <w:sz w:val="20"/>
          <w:szCs w:val="20"/>
        </w:rPr>
      </w:pPr>
      <w:r w:rsidRPr="005800D0">
        <w:rPr>
          <w:rFonts w:ascii="Verdana" w:hAnsi="Verdana" w:cs="Arial"/>
          <w:sz w:val="20"/>
          <w:szCs w:val="20"/>
        </w:rPr>
        <w:t>“</w:t>
      </w:r>
      <w:r>
        <w:rPr>
          <w:rFonts w:ascii="Verdana" w:hAnsi="Verdana" w:cs="Arial"/>
          <w:sz w:val="20"/>
          <w:szCs w:val="20"/>
        </w:rPr>
        <w:t xml:space="preserve">(…) </w:t>
      </w:r>
      <w:r w:rsidRPr="005800D0">
        <w:rPr>
          <w:rFonts w:ascii="Verdana" w:hAnsi="Verdana" w:cs="Arial"/>
          <w:sz w:val="20"/>
          <w:szCs w:val="20"/>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5800D0">
        <w:rPr>
          <w:rFonts w:ascii="Verdana" w:hAnsi="Verdana" w:cs="Arial"/>
          <w:sz w:val="20"/>
          <w:szCs w:val="20"/>
          <w:vertAlign w:val="superscript"/>
          <w:lang w:eastAsia="es-CO"/>
        </w:rPr>
        <w:footnoteReference w:id="10"/>
      </w:r>
      <w:r w:rsidRPr="005800D0">
        <w:rPr>
          <w:rFonts w:ascii="Verdana" w:hAnsi="Verdana" w:cs="Arial"/>
          <w:sz w:val="20"/>
          <w:szCs w:val="20"/>
        </w:rPr>
        <w:t>.</w:t>
      </w:r>
    </w:p>
    <w:p w14:paraId="47715ADA" w14:textId="77777777" w:rsidR="008A19CC" w:rsidRPr="005800D0" w:rsidRDefault="008A19CC" w:rsidP="008A19CC">
      <w:pPr>
        <w:spacing w:after="0" w:line="240" w:lineRule="auto"/>
        <w:ind w:left="709" w:right="709"/>
        <w:jc w:val="both"/>
        <w:rPr>
          <w:rFonts w:ascii="Verdana" w:hAnsi="Verdana" w:cs="Arial"/>
          <w:sz w:val="20"/>
          <w:szCs w:val="20"/>
        </w:rPr>
      </w:pPr>
    </w:p>
    <w:p w14:paraId="62B74006" w14:textId="77777777" w:rsidR="008A19CC" w:rsidRDefault="008A19CC" w:rsidP="008A19CC">
      <w:pPr>
        <w:spacing w:after="0" w:line="240" w:lineRule="auto"/>
        <w:ind w:left="709" w:right="709"/>
        <w:jc w:val="both"/>
        <w:rPr>
          <w:rFonts w:ascii="Verdana" w:hAnsi="Verdana" w:cs="Arial"/>
          <w:sz w:val="20"/>
          <w:szCs w:val="20"/>
        </w:rPr>
      </w:pPr>
      <w:r w:rsidRPr="005800D0">
        <w:rPr>
          <w:rFonts w:ascii="Verdana" w:hAnsi="Verdana" w:cs="Arial"/>
          <w:sz w:val="20"/>
          <w:szCs w:val="20"/>
        </w:rPr>
        <w:t xml:space="preserve">Esta Sala ha entendido que para los efectos de la ley de garantías, y dada su finalidad, el enunciado ´contratación directa´ es sinónimo </w:t>
      </w:r>
      <w:bookmarkStart w:id="12" w:name="_Hlk75741738"/>
      <w:r w:rsidRPr="005800D0">
        <w:rPr>
          <w:rFonts w:ascii="Verdana" w:hAnsi="Verdana" w:cs="Arial"/>
          <w:sz w:val="20"/>
          <w:szCs w:val="20"/>
        </w:rPr>
        <w:t xml:space="preserve">de cualquier sistema que no implique convocatoria pública y posibilidad de pluralidad de oferentes, </w:t>
      </w:r>
      <w:bookmarkEnd w:id="12"/>
      <w:r w:rsidRPr="005800D0">
        <w:rPr>
          <w:rFonts w:ascii="Verdana" w:hAnsi="Verdana" w:cs="Arial"/>
          <w:sz w:val="20"/>
          <w:szCs w:val="20"/>
        </w:rPr>
        <w:t>y que, además, no necesariamente hace referencia al procedimiento especial regulado por la ley de contratación estatal, sino a cualquier otro que prescinda de un proceso de licitación pública o concurso</w:t>
      </w:r>
      <w:r w:rsidRPr="005800D0">
        <w:rPr>
          <w:rFonts w:ascii="Verdana" w:hAnsi="Verdana" w:cs="Arial"/>
          <w:sz w:val="20"/>
          <w:szCs w:val="20"/>
          <w:vertAlign w:val="superscript"/>
        </w:rPr>
        <w:footnoteReference w:id="11"/>
      </w:r>
      <w:r w:rsidRPr="005800D0">
        <w:rPr>
          <w:rFonts w:ascii="Verdana" w:hAnsi="Verdana" w:cs="Arial"/>
          <w:sz w:val="20"/>
          <w:szCs w:val="20"/>
          <w:vertAlign w:val="superscript"/>
        </w:rPr>
        <w:t>.</w:t>
      </w:r>
      <w:r w:rsidRPr="005800D0">
        <w:rPr>
          <w:rFonts w:ascii="Verdana" w:hAnsi="Verdana" w:cs="Arial"/>
          <w:sz w:val="20"/>
          <w:szCs w:val="20"/>
        </w:rPr>
        <w:t xml:space="preserve"> Por tanto, no son materia de la prohibición las demás modalidades de selección previstas en la ley 1150 de 2007, siendo estas, la licitación pública, el concurso de méritos y la selección abreviada, razón </w:t>
      </w:r>
      <w:r w:rsidRPr="005800D0">
        <w:rPr>
          <w:rFonts w:ascii="Verdana" w:hAnsi="Verdana" w:cs="Arial"/>
          <w:sz w:val="20"/>
          <w:szCs w:val="20"/>
        </w:rPr>
        <w:lastRenderedPageBreak/>
        <w:t xml:space="preserve">por la cual en ese periodo preelectoral de que trata la disposición pueden las entidades públicas seguir contratando bajo estos sistemas. </w:t>
      </w:r>
      <w:r>
        <w:rPr>
          <w:rFonts w:ascii="Verdana" w:hAnsi="Verdana" w:cs="Arial"/>
          <w:sz w:val="20"/>
          <w:szCs w:val="20"/>
        </w:rPr>
        <w:t>(…)”</w:t>
      </w:r>
      <w:r w:rsidRPr="005800D0">
        <w:rPr>
          <w:rFonts w:ascii="Verdana" w:hAnsi="Verdana" w:cs="Arial"/>
          <w:sz w:val="20"/>
          <w:szCs w:val="20"/>
          <w:vertAlign w:val="superscript"/>
          <w:lang w:eastAsia="es-CO"/>
        </w:rPr>
        <w:footnoteReference w:id="12"/>
      </w:r>
      <w:r w:rsidRPr="005800D0">
        <w:rPr>
          <w:rFonts w:ascii="Verdana" w:hAnsi="Verdana" w:cs="Arial"/>
          <w:sz w:val="20"/>
          <w:szCs w:val="20"/>
        </w:rPr>
        <w:t>.</w:t>
      </w:r>
    </w:p>
    <w:p w14:paraId="2B20166D" w14:textId="77777777" w:rsidR="008A19CC" w:rsidRPr="005800D0" w:rsidRDefault="008A19CC" w:rsidP="008A19CC">
      <w:pPr>
        <w:spacing w:after="0" w:line="240" w:lineRule="auto"/>
        <w:ind w:left="709" w:right="709"/>
        <w:jc w:val="both"/>
        <w:rPr>
          <w:rFonts w:ascii="Verdana" w:hAnsi="Verdana" w:cs="Arial"/>
        </w:rPr>
      </w:pPr>
    </w:p>
    <w:p w14:paraId="09090AD3" w14:textId="77777777" w:rsidR="008A19CC" w:rsidRPr="00195E24" w:rsidRDefault="008A19CC" w:rsidP="008A19CC">
      <w:pPr>
        <w:spacing w:after="120" w:line="276" w:lineRule="auto"/>
        <w:ind w:firstLine="708"/>
        <w:jc w:val="both"/>
        <w:rPr>
          <w:rFonts w:ascii="Verdana" w:hAnsi="Verdana" w:cs="Arial"/>
          <w:bCs/>
          <w:lang w:eastAsia="x-none"/>
        </w:rPr>
      </w:pPr>
      <w:bookmarkStart w:id="14" w:name="_Hlk94521748"/>
      <w:r w:rsidRPr="00195E24">
        <w:rPr>
          <w:rFonts w:ascii="Verdana" w:hAnsi="Verdana" w:cs="Arial"/>
          <w:lang w:eastAsia="x-none"/>
        </w:rPr>
        <w:t xml:space="preserve">De acuerdo con el citado concepto, la prohibición del artículo 33 de la Ley de Garantías Electorales se refiere a </w:t>
      </w:r>
      <w:r>
        <w:rPr>
          <w:rFonts w:ascii="Verdana" w:hAnsi="Verdana" w:cs="Arial"/>
          <w:sz w:val="19"/>
          <w:szCs w:val="19"/>
          <w:lang w:eastAsia="en-GB"/>
        </w:rPr>
        <w:t>“</w:t>
      </w:r>
      <w:r w:rsidRPr="00195E24">
        <w:rPr>
          <w:rFonts w:ascii="Verdana" w:hAnsi="Verdana" w:cs="Arial"/>
          <w:lang w:eastAsia="x-none"/>
        </w:rPr>
        <w:t>cualquier sistema que no implique convocatoria pública y posibilidad de pluralidad de oferentes</w:t>
      </w:r>
      <w:r>
        <w:rPr>
          <w:rFonts w:ascii="Verdana" w:hAnsi="Verdana" w:cs="Arial"/>
          <w:lang w:eastAsia="en-GB"/>
        </w:rPr>
        <w:t>”</w:t>
      </w:r>
      <w:r w:rsidRPr="00195E24">
        <w:rPr>
          <w:rFonts w:ascii="Verdana" w:hAnsi="Verdana" w:cs="Arial"/>
          <w:lang w:eastAsia="x-none"/>
        </w:rPr>
        <w:t xml:space="preserve">, por lo que excluye las demás modalidades de contratación previstas en la Ley 1150 de 2007, es decir, la licitación pública, la selección abreviada, el concurso de méritos </w:t>
      </w:r>
      <w:r w:rsidRPr="00195E24">
        <w:rPr>
          <w:rFonts w:ascii="Verdana" w:hAnsi="Verdana" w:cs="Arial"/>
          <w:lang w:val="es-ES_tradnl" w:eastAsia="x-none"/>
        </w:rPr>
        <w:t>y la mínima cuantía</w:t>
      </w:r>
      <w:r w:rsidRPr="00195E24" w:rsidDel="00A85D9F">
        <w:rPr>
          <w:rFonts w:ascii="Verdana" w:hAnsi="Verdana" w:cs="Arial"/>
          <w:lang w:eastAsia="x-none"/>
        </w:rPr>
        <w:t xml:space="preserve"> </w:t>
      </w:r>
      <w:r w:rsidRPr="00195E24">
        <w:rPr>
          <w:rFonts w:ascii="Verdana" w:hAnsi="Verdana" w:cs="Arial"/>
          <w:lang w:eastAsia="x-none"/>
        </w:rPr>
        <w:t>u otros previstos en normas especiales. Esta posición es congruente con la expedición de la Ley 1150 de 2007 que, entre otras reformas, introdujo la selección abreviada, rediseñó el concurso de méritos</w:t>
      </w:r>
      <w:r w:rsidRPr="00195E24">
        <w:rPr>
          <w:rFonts w:ascii="Verdana" w:hAnsi="Verdana" w:cs="Arial"/>
          <w:vertAlign w:val="superscript"/>
          <w:lang w:val="en-GB" w:eastAsia="x-none"/>
        </w:rPr>
        <w:footnoteReference w:id="13"/>
      </w:r>
      <w:r w:rsidRPr="00195E24">
        <w:rPr>
          <w:rFonts w:ascii="Verdana" w:hAnsi="Verdana" w:cs="Arial"/>
          <w:lang w:eastAsia="x-none"/>
        </w:rPr>
        <w:t xml:space="preserve"> y sistematizó las causales de contratación directa</w:t>
      </w:r>
      <w:r w:rsidRPr="00195E24">
        <w:rPr>
          <w:rFonts w:ascii="Verdana" w:hAnsi="Verdana" w:cs="Arial"/>
          <w:vertAlign w:val="superscript"/>
          <w:lang w:val="en-GB" w:eastAsia="x-none"/>
        </w:rPr>
        <w:footnoteReference w:id="14"/>
      </w:r>
      <w:r w:rsidRPr="00195E24">
        <w:rPr>
          <w:rFonts w:ascii="Verdana" w:hAnsi="Verdana" w:cs="Arial"/>
          <w:lang w:eastAsia="x-none"/>
        </w:rPr>
        <w:t>, además lo es con la posterior creación de la modalidad de mínima cuantía establecida actualmente en el numeral 5 del artículo 2 de la Ley 1150 de 2007, de acuerdo con las modificaciones realizadas por leyes posteriores.</w:t>
      </w:r>
    </w:p>
    <w:bookmarkEnd w:id="14"/>
    <w:p w14:paraId="3AF0EF1C" w14:textId="77777777" w:rsidR="008A19CC" w:rsidRPr="00195E24" w:rsidRDefault="008A19CC" w:rsidP="008A19CC">
      <w:pPr>
        <w:spacing w:after="120" w:line="276" w:lineRule="auto"/>
        <w:ind w:firstLine="709"/>
        <w:jc w:val="both"/>
        <w:rPr>
          <w:rFonts w:ascii="Verdana" w:hAnsi="Verdana" w:cs="Arial"/>
          <w:lang w:eastAsia="x-none"/>
        </w:rPr>
      </w:pPr>
      <w:r w:rsidRPr="00195E24">
        <w:rPr>
          <w:rFonts w:ascii="Verdana" w:hAnsi="Verdana" w:cs="Arial"/>
          <w:lang w:eastAsia="x-none"/>
        </w:rPr>
        <w:t xml:space="preserve">De esta forma, con fundamento en la evolución de la normativa sobre la contratación pública, se ha depurado la noción de </w:t>
      </w:r>
      <w:r w:rsidRPr="00195E24">
        <w:rPr>
          <w:rFonts w:ascii="Verdana" w:hAnsi="Verdana" w:cs="Arial"/>
          <w:i/>
          <w:iCs/>
          <w:sz w:val="19"/>
          <w:szCs w:val="19"/>
          <w:lang w:eastAsia="en-GB"/>
        </w:rPr>
        <w:t>“</w:t>
      </w:r>
      <w:r w:rsidRPr="00195E24">
        <w:rPr>
          <w:rFonts w:ascii="Verdana" w:hAnsi="Verdana" w:cs="Arial"/>
          <w:i/>
          <w:iCs/>
          <w:lang w:eastAsia="x-none"/>
        </w:rPr>
        <w:t>contratación directa</w:t>
      </w:r>
      <w:r w:rsidRPr="00195E24">
        <w:rPr>
          <w:rFonts w:ascii="Verdana" w:hAnsi="Verdana" w:cs="Arial"/>
          <w:lang w:eastAsia="en-GB"/>
        </w:rPr>
        <w:t>”</w:t>
      </w:r>
      <w:r w:rsidRPr="00195E24">
        <w:rPr>
          <w:rFonts w:ascii="Verdana" w:hAnsi="Verdana" w:cs="Arial"/>
          <w:lang w:eastAsia="x-none"/>
        </w:rPr>
        <w:t>, precisando el Consejo de Estado –en el concepto citado– que, “aun cuando no coincide única y exactamente con la regulación que de dicho sistema de selección hace el artículo 2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195E24">
        <w:rPr>
          <w:rFonts w:ascii="Verdana" w:hAnsi="Verdana" w:cs="Arial"/>
          <w:vertAlign w:val="superscript"/>
          <w:lang w:val="en-GB" w:eastAsia="x-none"/>
        </w:rPr>
        <w:footnoteReference w:id="15"/>
      </w:r>
      <w:r w:rsidRPr="00195E24">
        <w:rPr>
          <w:rFonts w:ascii="Verdana" w:hAnsi="Verdana" w:cs="Arial"/>
          <w:lang w:eastAsia="x-none"/>
        </w:rPr>
        <w:t>, han establecido sistemas de contratación que implican convocatoria pública y participación de varios oferentes</w:t>
      </w:r>
      <w:r w:rsidRPr="00195E24">
        <w:rPr>
          <w:rFonts w:ascii="Verdana" w:hAnsi="Verdana" w:cs="Arial"/>
          <w:lang w:eastAsia="en-GB"/>
        </w:rPr>
        <w:t>”</w:t>
      </w:r>
      <w:r w:rsidRPr="00195E24">
        <w:rPr>
          <w:rFonts w:ascii="Verdana" w:hAnsi="Verdana" w:cs="Arial"/>
          <w:lang w:eastAsia="x-none"/>
        </w:rPr>
        <w:t>.</w:t>
      </w:r>
    </w:p>
    <w:p w14:paraId="4811D053" w14:textId="77777777" w:rsidR="008A19CC" w:rsidRPr="00195E24" w:rsidRDefault="008A19CC" w:rsidP="008A19CC">
      <w:pPr>
        <w:spacing w:after="120" w:line="276" w:lineRule="auto"/>
        <w:ind w:firstLine="709"/>
        <w:jc w:val="both"/>
        <w:rPr>
          <w:rFonts w:ascii="Verdana" w:hAnsi="Verdana" w:cs="Arial"/>
          <w:bCs/>
          <w:lang w:eastAsia="es-CO"/>
        </w:rPr>
      </w:pPr>
      <w:r w:rsidRPr="00195E24">
        <w:rPr>
          <w:rFonts w:ascii="Verdana" w:hAnsi="Verdana" w:cs="Arial"/>
          <w:bCs/>
          <w:lang w:eastAsia="x-none"/>
        </w:rPr>
        <w:t>E</w:t>
      </w:r>
      <w:r w:rsidRPr="00195E24">
        <w:rPr>
          <w:rFonts w:ascii="Verdana" w:hAnsi="Verdana" w:cs="Arial"/>
          <w:lang w:eastAsia="x-none"/>
        </w:rPr>
        <w:t xml:space="preserve">n efecto, vale la pena mencionar que, </w:t>
      </w:r>
      <w:bookmarkStart w:id="15" w:name="_Hlk75636073"/>
      <w:r w:rsidRPr="00195E24">
        <w:rPr>
          <w:rFonts w:ascii="Verdana" w:hAnsi="Verdana" w:cs="Arial"/>
          <w:lang w:eastAsia="x-none"/>
        </w:rPr>
        <w:t xml:space="preserve">en algunos sistemas de contratación, utilizados por entidades públicas con regímenes especiales, o sujetas al derecho privado, la convocatoria o invitación para contratar puede </w:t>
      </w:r>
      <w:r w:rsidRPr="00195E24">
        <w:rPr>
          <w:rFonts w:ascii="Verdana" w:hAnsi="Verdana" w:cs="Arial"/>
          <w:lang w:eastAsia="x-none"/>
        </w:rPr>
        <w:lastRenderedPageBreak/>
        <w:t xml:space="preserve">limitarse a aquellas personas que previamente se hayan inscrito en una lista de precalificados o de simples interesados, o en un determinado registro o banco de datos de proveedores. En estos casos, lo determinante para considerar que dicho sistema no constituye </w:t>
      </w:r>
      <w:r w:rsidRPr="00195E24">
        <w:rPr>
          <w:rFonts w:ascii="Verdana" w:hAnsi="Verdana" w:cs="Arial"/>
          <w:i/>
          <w:iCs/>
          <w:lang w:eastAsia="x-none"/>
        </w:rPr>
        <w:t>“contratación directa</w:t>
      </w:r>
      <w:r w:rsidRPr="00195E24">
        <w:rPr>
          <w:rFonts w:ascii="Verdana" w:hAnsi="Verdana" w:cs="Arial"/>
          <w:lang w:eastAsia="x-none"/>
        </w:rPr>
        <w:t>”, es que la convocatoria para inscribirse en forma previa se haga de manera pública, y que se permita la participación de una pluralidad de oferentes</w:t>
      </w:r>
      <w:bookmarkEnd w:id="15"/>
      <w:r w:rsidRPr="00195E24">
        <w:rPr>
          <w:rFonts w:ascii="Verdana" w:hAnsi="Verdana" w:cs="Arial"/>
          <w:vertAlign w:val="superscript"/>
          <w:lang w:eastAsia="x-none"/>
        </w:rPr>
        <w:footnoteReference w:id="16"/>
      </w:r>
      <w:r w:rsidRPr="00195E24">
        <w:rPr>
          <w:rFonts w:ascii="Verdana" w:hAnsi="Verdana" w:cs="Arial"/>
          <w:lang w:eastAsia="x-none"/>
        </w:rPr>
        <w:t xml:space="preserve">. </w:t>
      </w:r>
    </w:p>
    <w:p w14:paraId="6E71E11B" w14:textId="77777777" w:rsidR="008A19CC" w:rsidRPr="00CE0712" w:rsidRDefault="008A19CC" w:rsidP="008A19CC">
      <w:pPr>
        <w:spacing w:after="120" w:line="276" w:lineRule="auto"/>
        <w:ind w:firstLine="709"/>
        <w:jc w:val="both"/>
        <w:rPr>
          <w:rFonts w:ascii="Verdana" w:hAnsi="Verdana" w:cs="Arial"/>
          <w:bCs/>
          <w:lang w:eastAsia="es-CO"/>
        </w:rPr>
      </w:pPr>
      <w:r w:rsidRPr="00195E24">
        <w:rPr>
          <w:rFonts w:ascii="Verdana" w:hAnsi="Verdana" w:cs="Arial"/>
          <w:bCs/>
          <w:lang w:eastAsia="es-CO"/>
        </w:rPr>
        <w:t xml:space="preserve">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w:t>
      </w:r>
      <w:r w:rsidRPr="00195E24">
        <w:rPr>
          <w:rFonts w:ascii="Verdana" w:hAnsi="Verdana" w:cs="Arial"/>
          <w:bCs/>
          <w:i/>
          <w:iCs/>
          <w:lang w:eastAsia="es-CO"/>
        </w:rPr>
        <w:t>“contratación directa”.</w:t>
      </w:r>
    </w:p>
    <w:p w14:paraId="21D5CAA9" w14:textId="77777777" w:rsidR="008A19CC" w:rsidRPr="00065D8F" w:rsidRDefault="008A19CC" w:rsidP="008A19CC">
      <w:pPr>
        <w:spacing w:after="120" w:line="276" w:lineRule="auto"/>
        <w:ind w:firstLine="709"/>
        <w:jc w:val="both"/>
        <w:rPr>
          <w:rFonts w:ascii="Arial" w:hAnsi="Arial" w:cs="Arial"/>
          <w:bCs/>
          <w:lang w:eastAsia="x-none"/>
        </w:rPr>
      </w:pPr>
      <w:bookmarkStart w:id="16" w:name="_Hlk78818796"/>
      <w:r w:rsidRPr="00195E24">
        <w:rPr>
          <w:rFonts w:ascii="Verdana" w:hAnsi="Verdana" w:cs="Arial"/>
          <w:bCs/>
          <w:lang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065D8F">
        <w:rPr>
          <w:rFonts w:ascii="Arial" w:hAnsi="Arial" w:cs="Arial"/>
          <w:vertAlign w:val="superscript"/>
          <w:lang w:eastAsia="x-none"/>
        </w:rPr>
        <w:footnoteReference w:id="17"/>
      </w:r>
      <w:r w:rsidRPr="00065D8F">
        <w:rPr>
          <w:rFonts w:ascii="Arial" w:hAnsi="Arial" w:cs="Arial"/>
          <w:bCs/>
          <w:lang w:eastAsia="x-none"/>
        </w:rPr>
        <w:t>.</w:t>
      </w:r>
      <w:r w:rsidRPr="00065D8F">
        <w:rPr>
          <w:rFonts w:ascii="Arial" w:hAnsi="Arial" w:cs="Arial"/>
          <w:vertAlign w:val="superscript"/>
          <w:lang w:eastAsia="x-none"/>
        </w:rPr>
        <w:t xml:space="preserve"> </w:t>
      </w:r>
    </w:p>
    <w:bookmarkEnd w:id="16"/>
    <w:p w14:paraId="21CC86FE" w14:textId="77777777" w:rsidR="008A19CC" w:rsidRDefault="008A19CC" w:rsidP="008A19CC">
      <w:pPr>
        <w:spacing w:after="0" w:line="276" w:lineRule="auto"/>
        <w:ind w:firstLine="709"/>
        <w:jc w:val="both"/>
        <w:rPr>
          <w:rFonts w:ascii="Arial" w:hAnsi="Arial" w:cs="Arial"/>
          <w:lang w:eastAsia="x-none"/>
        </w:rPr>
      </w:pPr>
      <w:r w:rsidRPr="00195E24">
        <w:rPr>
          <w:rFonts w:ascii="Verdana" w:hAnsi="Verdana" w:cs="Arial"/>
          <w:bCs/>
          <w:lang w:eastAsia="x-none"/>
        </w:rPr>
        <w:t>De lo anterior se desprende que la restricción aplica, sin perjuicio de las excepciones establecidas en la misma ley, para celebrar cualquier contrato de forma directa, esto es, sin que exista un proceso abierto y competitivo.</w:t>
      </w:r>
      <w:r w:rsidRPr="00195E24">
        <w:rPr>
          <w:rFonts w:ascii="Verdana" w:hAnsi="Verdana" w:cs="Arial"/>
          <w:lang w:eastAsia="x-none"/>
        </w:rPr>
        <w:t xml:space="preserve"> Por tanto, no son materia de la prohibición las demás modalidades de selección previstas en la Ley 1150 de 2007, es decir, la licitación pública, el concurso de méritos, la selección abreviada y la contratación de mínima cuantía, razón por la cual en el período preelectoral de que trata la disposición las entidades públicas pueden seguir contratando bajo estos sistemas</w:t>
      </w:r>
      <w:r w:rsidRPr="00065D8F">
        <w:rPr>
          <w:rFonts w:ascii="Arial" w:hAnsi="Arial" w:cs="Arial"/>
          <w:lang w:eastAsia="x-none"/>
        </w:rPr>
        <w:t>.</w:t>
      </w:r>
    </w:p>
    <w:p w14:paraId="3E6390B2" w14:textId="77777777" w:rsidR="008A19CC" w:rsidRDefault="008A19CC" w:rsidP="008A19CC">
      <w:pPr>
        <w:spacing w:after="0" w:line="240" w:lineRule="auto"/>
        <w:jc w:val="both"/>
        <w:rPr>
          <w:rFonts w:ascii="Arial" w:hAnsi="Arial" w:cs="Arial"/>
        </w:rPr>
      </w:pPr>
    </w:p>
    <w:p w14:paraId="0CB2CF04" w14:textId="77777777" w:rsidR="008A19CC" w:rsidRDefault="008A19CC" w:rsidP="008A19CC">
      <w:pPr>
        <w:spacing w:after="0" w:line="276" w:lineRule="auto"/>
        <w:ind w:firstLine="709"/>
        <w:jc w:val="both"/>
        <w:rPr>
          <w:rFonts w:ascii="Verdana" w:hAnsi="Verdana" w:cs="Arial"/>
          <w:bCs/>
          <w:lang w:eastAsia="x-none"/>
        </w:rPr>
      </w:pPr>
      <w:r w:rsidRPr="73D21086">
        <w:rPr>
          <w:rFonts w:ascii="Verdana" w:hAnsi="Verdana" w:cs="Arial"/>
        </w:rPr>
        <w:t xml:space="preserve">Como en otras oportunidades lo ha manifestado esta Agencia, las prórrogas, modificaciones o adiciones de los contratos suscritos antes de la </w:t>
      </w:r>
      <w:r w:rsidRPr="73D21086">
        <w:rPr>
          <w:rFonts w:ascii="Verdana" w:hAnsi="Verdana" w:cs="Arial"/>
        </w:rPr>
        <w:lastRenderedPageBreak/>
        <w:t>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p>
    <w:p w14:paraId="42BC7178" w14:textId="77777777" w:rsidR="008A19CC" w:rsidRDefault="008A19CC" w:rsidP="008A19CC">
      <w:pPr>
        <w:spacing w:after="0" w:line="240" w:lineRule="auto"/>
        <w:jc w:val="both"/>
        <w:rPr>
          <w:rFonts w:ascii="Verdana" w:hAnsi="Verdana" w:cs="Arial"/>
          <w:bCs/>
          <w:lang w:eastAsia="x-none"/>
        </w:rPr>
      </w:pPr>
    </w:p>
    <w:p w14:paraId="5259D818" w14:textId="77777777" w:rsidR="008A19CC" w:rsidRDefault="008A19CC" w:rsidP="008A19CC">
      <w:pPr>
        <w:spacing w:after="0" w:line="276" w:lineRule="auto"/>
        <w:ind w:firstLine="709"/>
        <w:jc w:val="both"/>
        <w:rPr>
          <w:rFonts w:ascii="Verdana" w:eastAsia="Calibri" w:hAnsi="Verdana" w:cs="Arial"/>
          <w:color w:val="000000" w:themeColor="text1"/>
        </w:rPr>
      </w:pPr>
      <w:r>
        <w:rPr>
          <w:rFonts w:ascii="Verdana" w:eastAsia="Calibri" w:hAnsi="Verdana" w:cs="Arial"/>
          <w:lang w:val="es-ES"/>
        </w:rPr>
        <w:t>Ahora bien, f</w:t>
      </w:r>
      <w:r w:rsidRPr="00515C0B">
        <w:rPr>
          <w:rFonts w:ascii="Verdana" w:eastAsia="Calibri" w:hAnsi="Verdana" w:cs="Arial"/>
          <w:lang w:val="es-ES"/>
        </w:rPr>
        <w:t xml:space="preserve">rente al cuestionamiento planteado es necesario </w:t>
      </w:r>
      <w:r>
        <w:rPr>
          <w:rFonts w:ascii="Verdana" w:eastAsia="Calibri" w:hAnsi="Verdana" w:cs="Arial"/>
          <w:lang w:val="es-ES"/>
        </w:rPr>
        <w:t>señalar</w:t>
      </w:r>
      <w:r w:rsidRPr="00515C0B">
        <w:rPr>
          <w:rFonts w:ascii="Verdana" w:eastAsia="Calibri" w:hAnsi="Verdana" w:cs="Arial"/>
          <w:lang w:val="es-ES"/>
        </w:rPr>
        <w:t xml:space="preserve"> que dentro de la estructura de la Administración Pública se encuentran las entidades descentralizadas por servicios. A esta categoría pertenecen las Empresas Industriales y Comerciales del Estado, las cuales –sin perjuicio del control de tutela– tienen personería jurídica, autonomía administrativa y patrimonio propio. Estas entidades, como su nombre lo indica, se caracterizan por desarrollar actividades de carácter industrial o comercial.</w:t>
      </w:r>
      <w:r>
        <w:rPr>
          <w:rFonts w:ascii="Verdana" w:eastAsia="Calibri" w:hAnsi="Verdana" w:cs="Arial"/>
          <w:lang w:val="es-ES"/>
        </w:rPr>
        <w:t xml:space="preserve"> </w:t>
      </w:r>
      <w:r w:rsidRPr="008B2333">
        <w:rPr>
          <w:rFonts w:ascii="Verdana" w:eastAsia="Calibri" w:hAnsi="Verdana" w:cs="Arial"/>
          <w:color w:val="000000" w:themeColor="text1"/>
        </w:rPr>
        <w:t>Así, por ejemplo, son E</w:t>
      </w:r>
      <w:r>
        <w:rPr>
          <w:rFonts w:ascii="Verdana" w:eastAsia="Calibri" w:hAnsi="Verdana" w:cs="Arial"/>
          <w:color w:val="000000" w:themeColor="text1"/>
        </w:rPr>
        <w:t xml:space="preserve">mpresas </w:t>
      </w:r>
      <w:r w:rsidRPr="008B2333">
        <w:rPr>
          <w:rFonts w:ascii="Verdana" w:eastAsia="Calibri" w:hAnsi="Verdana" w:cs="Arial"/>
          <w:color w:val="000000" w:themeColor="text1"/>
        </w:rPr>
        <w:t>I</w:t>
      </w:r>
      <w:r>
        <w:rPr>
          <w:rFonts w:ascii="Verdana" w:eastAsia="Calibri" w:hAnsi="Verdana" w:cs="Arial"/>
          <w:color w:val="000000" w:themeColor="text1"/>
        </w:rPr>
        <w:t xml:space="preserve">ndustriales y </w:t>
      </w:r>
      <w:r w:rsidRPr="008B2333">
        <w:rPr>
          <w:rFonts w:ascii="Verdana" w:eastAsia="Calibri" w:hAnsi="Verdana" w:cs="Arial"/>
          <w:color w:val="000000" w:themeColor="text1"/>
        </w:rPr>
        <w:t>C</w:t>
      </w:r>
      <w:r>
        <w:rPr>
          <w:rFonts w:ascii="Verdana" w:eastAsia="Calibri" w:hAnsi="Verdana" w:cs="Arial"/>
          <w:color w:val="000000" w:themeColor="text1"/>
        </w:rPr>
        <w:t xml:space="preserve">omerciales del </w:t>
      </w:r>
      <w:r w:rsidRPr="008B2333">
        <w:rPr>
          <w:rFonts w:ascii="Verdana" w:eastAsia="Calibri" w:hAnsi="Verdana" w:cs="Arial"/>
          <w:color w:val="000000" w:themeColor="text1"/>
        </w:rPr>
        <w:t>E</w:t>
      </w:r>
      <w:r>
        <w:rPr>
          <w:rFonts w:ascii="Verdana" w:eastAsia="Calibri" w:hAnsi="Verdana" w:cs="Arial"/>
          <w:color w:val="000000" w:themeColor="text1"/>
        </w:rPr>
        <w:t>stado</w:t>
      </w:r>
      <w:r w:rsidRPr="008B2333">
        <w:rPr>
          <w:rFonts w:ascii="Verdana" w:eastAsia="Calibri" w:hAnsi="Verdana" w:cs="Arial"/>
          <w:color w:val="000000" w:themeColor="text1"/>
        </w:rPr>
        <w:t xml:space="preserve"> la Imprenta Nacional de Colombia, Coljuegos, Indumil, la Caja Promotora de Vivienda Militar y de Policía, Colpensiones, entre otras</w:t>
      </w:r>
      <w:r w:rsidRPr="008B2333">
        <w:rPr>
          <w:rFonts w:ascii="Verdana" w:hAnsi="Verdana"/>
          <w:vertAlign w:val="superscript"/>
        </w:rPr>
        <w:footnoteReference w:id="18"/>
      </w:r>
      <w:r w:rsidRPr="008B2333">
        <w:rPr>
          <w:rFonts w:ascii="Verdana" w:eastAsia="Calibri" w:hAnsi="Verdana" w:cs="Arial"/>
          <w:color w:val="000000" w:themeColor="text1"/>
        </w:rPr>
        <w:t>.</w:t>
      </w:r>
    </w:p>
    <w:p w14:paraId="5BC3DFD7" w14:textId="77777777" w:rsidR="008A19CC" w:rsidRPr="001276FB" w:rsidRDefault="008A19CC" w:rsidP="008A19CC">
      <w:pPr>
        <w:spacing w:after="0" w:line="240" w:lineRule="auto"/>
        <w:ind w:firstLine="709"/>
        <w:jc w:val="both"/>
        <w:rPr>
          <w:rFonts w:ascii="Verdana" w:hAnsi="Verdana" w:cs="Arial"/>
          <w:bCs/>
          <w:lang w:eastAsia="x-none"/>
        </w:rPr>
      </w:pPr>
    </w:p>
    <w:p w14:paraId="046F341E" w14:textId="77777777" w:rsidR="008A19CC" w:rsidRDefault="008A19CC" w:rsidP="008A19CC">
      <w:pPr>
        <w:spacing w:after="0" w:line="276" w:lineRule="auto"/>
        <w:ind w:firstLine="708"/>
        <w:jc w:val="both"/>
        <w:rPr>
          <w:rFonts w:ascii="Verdana" w:eastAsia="Calibri" w:hAnsi="Verdana" w:cs="Arial"/>
          <w:lang w:val="es-ES"/>
        </w:rPr>
      </w:pPr>
      <w:r w:rsidRPr="00515C0B">
        <w:rPr>
          <w:rFonts w:ascii="Verdana" w:eastAsia="Calibri" w:hAnsi="Verdana" w:cs="Arial"/>
          <w:lang w:val="es-ES"/>
        </w:rPr>
        <w:t>Las Empresas Industriales y Comerciales del Estado, bajo la denominación de Entidades Estatales, quedaron sometidas al Estatuto General de Contratación de la Administración Pública –Ley 80 de 1993, artículo 2, numeral 1, literal a</w:t>
      </w:r>
      <w:r w:rsidRPr="00515C0B">
        <w:rPr>
          <w:rFonts w:ascii="Verdana" w:eastAsia="Calibri" w:hAnsi="Verdana" w:cs="Arial"/>
          <w:vertAlign w:val="superscript"/>
          <w:lang w:val="es-ES"/>
        </w:rPr>
        <w:footnoteReference w:id="19"/>
      </w:r>
      <w:r w:rsidRPr="00515C0B">
        <w:rPr>
          <w:rFonts w:ascii="Verdana" w:eastAsia="Calibri" w:hAnsi="Verdana" w:cs="Arial"/>
          <w:lang w:val="es-ES"/>
        </w:rPr>
        <w:t xml:space="preserve">. Posteriormente, la Ley 489 de 1998, mediante el cual se regula la organización y funcionamiento de las entidades de orden nacional, en su artículo 93 estableció </w:t>
      </w:r>
      <w:r w:rsidRPr="00515C0B">
        <w:rPr>
          <w:rFonts w:ascii="Verdana" w:eastAsia="Calibri" w:hAnsi="Verdana" w:cs="Arial"/>
          <w:lang w:val="es-ES"/>
        </w:rPr>
        <w:lastRenderedPageBreak/>
        <w:t>el régimen jurídico aplicable a los contratos celebrados por las Empresas Industriales y Comerciales del Estado, como sigue:</w:t>
      </w:r>
    </w:p>
    <w:p w14:paraId="392F23C9" w14:textId="77777777" w:rsidR="008A19CC" w:rsidRPr="00515C0B" w:rsidRDefault="008A19CC" w:rsidP="008A19CC">
      <w:pPr>
        <w:spacing w:after="0" w:line="240" w:lineRule="auto"/>
        <w:jc w:val="both"/>
        <w:rPr>
          <w:rFonts w:ascii="Verdana" w:eastAsia="Calibri" w:hAnsi="Verdana" w:cs="Arial"/>
          <w:lang w:val="es-ES"/>
        </w:rPr>
      </w:pPr>
    </w:p>
    <w:p w14:paraId="607CBB65" w14:textId="77777777" w:rsidR="008A19CC" w:rsidRDefault="008A19CC" w:rsidP="008A19CC">
      <w:pPr>
        <w:spacing w:after="0" w:line="240" w:lineRule="auto"/>
        <w:ind w:left="709" w:right="709"/>
        <w:contextualSpacing/>
        <w:jc w:val="both"/>
        <w:rPr>
          <w:rFonts w:ascii="Verdana" w:eastAsia="Times New Roman" w:hAnsi="Verdana" w:cs="Arial"/>
          <w:sz w:val="20"/>
          <w:szCs w:val="20"/>
          <w:lang w:eastAsia="es-ES_tradnl"/>
        </w:rPr>
      </w:pPr>
      <w:r w:rsidRPr="73D21086">
        <w:rPr>
          <w:rFonts w:ascii="Verdana" w:eastAsia="Times New Roman" w:hAnsi="Verdana" w:cs="Arial"/>
          <w:sz w:val="20"/>
          <w:szCs w:val="20"/>
          <w:lang w:eastAsia="es-ES"/>
        </w:rPr>
        <w:t>“Artículo 93. Régimen de los actos y contratos. Los actos que expidan las empresas industriales y comerciales del Estado para el desarrollo de su actividad propia, industrial o comercial o de gestión económica se sujetarán a las disposiciones del Derecho Privado. Los contratos que celebren para el cumplimiento de su objeto se sujetarán a las disposiciones del Estatuto General de Contratación de las entidades estatales”.</w:t>
      </w:r>
    </w:p>
    <w:p w14:paraId="2C2E08AE" w14:textId="77777777" w:rsidR="008A19CC" w:rsidRPr="00CE0712" w:rsidRDefault="008A19CC" w:rsidP="008A19CC">
      <w:pPr>
        <w:spacing w:after="0" w:line="240" w:lineRule="auto"/>
        <w:ind w:left="709" w:right="709"/>
        <w:contextualSpacing/>
        <w:jc w:val="both"/>
        <w:rPr>
          <w:rFonts w:ascii="Verdana" w:eastAsia="Times New Roman" w:hAnsi="Verdana" w:cs="Arial"/>
          <w:sz w:val="20"/>
          <w:szCs w:val="20"/>
          <w:lang w:eastAsia="es-ES_tradnl"/>
        </w:rPr>
      </w:pPr>
    </w:p>
    <w:p w14:paraId="7D0FBFC4" w14:textId="77777777" w:rsidR="008A19CC" w:rsidRDefault="008A19CC" w:rsidP="008A19CC">
      <w:pPr>
        <w:widowControl w:val="0"/>
        <w:autoSpaceDE w:val="0"/>
        <w:autoSpaceDN w:val="0"/>
        <w:spacing w:after="0" w:line="276" w:lineRule="auto"/>
        <w:ind w:firstLine="708"/>
        <w:jc w:val="both"/>
        <w:rPr>
          <w:rFonts w:ascii="Verdana" w:eastAsia="Verdana" w:hAnsi="Verdana" w:cs="Verdana"/>
          <w:lang w:val="es-ES"/>
        </w:rPr>
      </w:pPr>
      <w:bookmarkStart w:id="17" w:name="_bookmark7"/>
      <w:bookmarkEnd w:id="17"/>
      <w:r w:rsidRPr="00515C0B">
        <w:rPr>
          <w:rFonts w:ascii="Verdana" w:eastAsia="Verdana" w:hAnsi="Verdana" w:cs="Verdana"/>
          <w:lang w:val="es-ES"/>
        </w:rPr>
        <w:t>No obstante las dificultades hermenéuticas que suscitaba la disposición anterior,</w:t>
      </w:r>
      <w:r w:rsidRPr="00515C0B">
        <w:rPr>
          <w:rFonts w:ascii="Verdana" w:eastAsia="Verdana" w:hAnsi="Verdana" w:cs="Verdana"/>
          <w:spacing w:val="-8"/>
          <w:lang w:val="es-ES"/>
        </w:rPr>
        <w:t xml:space="preserve"> </w:t>
      </w:r>
      <w:r w:rsidRPr="00515C0B">
        <w:rPr>
          <w:rFonts w:ascii="Verdana" w:eastAsia="Verdana" w:hAnsi="Verdana" w:cs="Verdana"/>
          <w:lang w:val="es-ES"/>
        </w:rPr>
        <w:t>el</w:t>
      </w:r>
      <w:r w:rsidRPr="00515C0B">
        <w:rPr>
          <w:rFonts w:ascii="Verdana" w:eastAsia="Verdana" w:hAnsi="Verdana" w:cs="Verdana"/>
          <w:spacing w:val="-8"/>
          <w:lang w:val="es-ES"/>
        </w:rPr>
        <w:t xml:space="preserve"> </w:t>
      </w:r>
      <w:r w:rsidRPr="00515C0B">
        <w:rPr>
          <w:rFonts w:ascii="Verdana" w:eastAsia="Verdana" w:hAnsi="Verdana" w:cs="Verdana"/>
          <w:lang w:val="es-ES"/>
        </w:rPr>
        <w:t>artículo</w:t>
      </w:r>
      <w:r w:rsidRPr="00515C0B">
        <w:rPr>
          <w:rFonts w:ascii="Verdana" w:eastAsia="Verdana" w:hAnsi="Verdana" w:cs="Verdana"/>
          <w:spacing w:val="-7"/>
          <w:lang w:val="es-ES"/>
        </w:rPr>
        <w:t xml:space="preserve"> </w:t>
      </w:r>
      <w:r w:rsidRPr="00515C0B">
        <w:rPr>
          <w:rFonts w:ascii="Verdana" w:eastAsia="Verdana" w:hAnsi="Verdana" w:cs="Verdana"/>
          <w:lang w:val="es-ES"/>
        </w:rPr>
        <w:t>14</w:t>
      </w:r>
      <w:r w:rsidRPr="00515C0B">
        <w:rPr>
          <w:rFonts w:ascii="Verdana" w:eastAsia="Verdana" w:hAnsi="Verdana" w:cs="Verdana"/>
          <w:spacing w:val="-8"/>
          <w:lang w:val="es-ES"/>
        </w:rPr>
        <w:t xml:space="preserve"> </w:t>
      </w:r>
      <w:r w:rsidRPr="00515C0B">
        <w:rPr>
          <w:rFonts w:ascii="Verdana" w:eastAsia="Verdana" w:hAnsi="Verdana" w:cs="Verdana"/>
          <w:lang w:val="es-ES"/>
        </w:rPr>
        <w:t>de</w:t>
      </w:r>
      <w:r w:rsidRPr="00515C0B">
        <w:rPr>
          <w:rFonts w:ascii="Verdana" w:eastAsia="Verdana" w:hAnsi="Verdana" w:cs="Verdana"/>
          <w:spacing w:val="-9"/>
          <w:lang w:val="es-ES"/>
        </w:rPr>
        <w:t xml:space="preserve"> </w:t>
      </w:r>
      <w:r w:rsidRPr="00515C0B">
        <w:rPr>
          <w:rFonts w:ascii="Verdana" w:eastAsia="Verdana" w:hAnsi="Verdana" w:cs="Verdana"/>
          <w:lang w:val="es-ES"/>
        </w:rPr>
        <w:t>la</w:t>
      </w:r>
      <w:r w:rsidRPr="00515C0B">
        <w:rPr>
          <w:rFonts w:ascii="Verdana" w:eastAsia="Verdana" w:hAnsi="Verdana" w:cs="Verdana"/>
          <w:spacing w:val="-10"/>
          <w:lang w:val="es-ES"/>
        </w:rPr>
        <w:t xml:space="preserve"> </w:t>
      </w:r>
      <w:r w:rsidRPr="00515C0B">
        <w:rPr>
          <w:rFonts w:ascii="Verdana" w:eastAsia="Verdana" w:hAnsi="Verdana" w:cs="Verdana"/>
          <w:lang w:val="es-ES"/>
        </w:rPr>
        <w:t>Ley</w:t>
      </w:r>
      <w:r w:rsidRPr="00515C0B">
        <w:rPr>
          <w:rFonts w:ascii="Verdana" w:eastAsia="Verdana" w:hAnsi="Verdana" w:cs="Verdana"/>
          <w:spacing w:val="-8"/>
          <w:lang w:val="es-ES"/>
        </w:rPr>
        <w:t xml:space="preserve"> </w:t>
      </w:r>
      <w:r w:rsidRPr="00515C0B">
        <w:rPr>
          <w:rFonts w:ascii="Verdana" w:eastAsia="Verdana" w:hAnsi="Verdana" w:cs="Verdana"/>
          <w:lang w:val="es-ES"/>
        </w:rPr>
        <w:t>1150</w:t>
      </w:r>
      <w:r w:rsidRPr="00515C0B">
        <w:rPr>
          <w:rFonts w:ascii="Verdana" w:eastAsia="Verdana" w:hAnsi="Verdana" w:cs="Verdana"/>
          <w:spacing w:val="-8"/>
          <w:lang w:val="es-ES"/>
        </w:rPr>
        <w:t xml:space="preserve"> </w:t>
      </w:r>
      <w:r w:rsidRPr="00515C0B">
        <w:rPr>
          <w:rFonts w:ascii="Verdana" w:eastAsia="Verdana" w:hAnsi="Verdana" w:cs="Verdana"/>
          <w:lang w:val="es-ES"/>
        </w:rPr>
        <w:t>de</w:t>
      </w:r>
      <w:r w:rsidRPr="00515C0B">
        <w:rPr>
          <w:rFonts w:ascii="Verdana" w:eastAsia="Verdana" w:hAnsi="Verdana" w:cs="Verdana"/>
          <w:spacing w:val="-9"/>
          <w:lang w:val="es-ES"/>
        </w:rPr>
        <w:t xml:space="preserve"> </w:t>
      </w:r>
      <w:r w:rsidRPr="00515C0B">
        <w:rPr>
          <w:rFonts w:ascii="Verdana" w:eastAsia="Verdana" w:hAnsi="Verdana" w:cs="Verdana"/>
          <w:lang w:val="es-ES"/>
        </w:rPr>
        <w:t>2007 –modificado</w:t>
      </w:r>
      <w:r w:rsidRPr="00515C0B">
        <w:rPr>
          <w:rFonts w:ascii="Verdana" w:eastAsia="Verdana" w:hAnsi="Verdana" w:cs="Verdana"/>
          <w:spacing w:val="-7"/>
          <w:lang w:val="es-ES"/>
        </w:rPr>
        <w:t xml:space="preserve"> </w:t>
      </w:r>
      <w:r w:rsidRPr="00515C0B">
        <w:rPr>
          <w:rFonts w:ascii="Verdana" w:eastAsia="Verdana" w:hAnsi="Verdana" w:cs="Verdana"/>
          <w:lang w:val="es-ES"/>
        </w:rPr>
        <w:t>por</w:t>
      </w:r>
      <w:r w:rsidRPr="00515C0B">
        <w:rPr>
          <w:rFonts w:ascii="Verdana" w:eastAsia="Verdana" w:hAnsi="Verdana" w:cs="Verdana"/>
          <w:spacing w:val="-7"/>
          <w:lang w:val="es-ES"/>
        </w:rPr>
        <w:t xml:space="preserve"> </w:t>
      </w:r>
      <w:r w:rsidRPr="00515C0B">
        <w:rPr>
          <w:rFonts w:ascii="Verdana" w:eastAsia="Verdana" w:hAnsi="Verdana" w:cs="Verdana"/>
          <w:lang w:val="es-ES"/>
        </w:rPr>
        <w:t>el</w:t>
      </w:r>
      <w:r w:rsidRPr="00515C0B">
        <w:rPr>
          <w:rFonts w:ascii="Verdana" w:eastAsia="Verdana" w:hAnsi="Verdana" w:cs="Verdana"/>
          <w:spacing w:val="-8"/>
          <w:lang w:val="es-ES"/>
        </w:rPr>
        <w:t xml:space="preserve"> </w:t>
      </w:r>
      <w:r w:rsidRPr="00515C0B">
        <w:rPr>
          <w:rFonts w:ascii="Verdana" w:eastAsia="Verdana" w:hAnsi="Verdana" w:cs="Verdana"/>
          <w:lang w:val="es-ES"/>
        </w:rPr>
        <w:t>artículo</w:t>
      </w:r>
      <w:r w:rsidRPr="00515C0B">
        <w:rPr>
          <w:rFonts w:ascii="Verdana" w:eastAsia="Verdana" w:hAnsi="Verdana" w:cs="Verdana"/>
          <w:spacing w:val="-7"/>
          <w:lang w:val="es-ES"/>
        </w:rPr>
        <w:t xml:space="preserve"> </w:t>
      </w:r>
      <w:r w:rsidRPr="00515C0B">
        <w:rPr>
          <w:rFonts w:ascii="Verdana" w:eastAsia="Verdana" w:hAnsi="Verdana" w:cs="Verdana"/>
          <w:lang w:val="es-ES"/>
        </w:rPr>
        <w:t>93</w:t>
      </w:r>
      <w:r w:rsidRPr="00515C0B">
        <w:rPr>
          <w:rFonts w:ascii="Verdana" w:eastAsia="Verdana" w:hAnsi="Verdana" w:cs="Verdana"/>
          <w:spacing w:val="-12"/>
          <w:lang w:val="es-ES"/>
        </w:rPr>
        <w:t xml:space="preserve"> </w:t>
      </w:r>
      <w:r w:rsidRPr="00515C0B">
        <w:rPr>
          <w:rFonts w:ascii="Verdana" w:eastAsia="Verdana" w:hAnsi="Verdana" w:cs="Verdana"/>
          <w:lang w:val="es-ES"/>
        </w:rPr>
        <w:t>de la Ley 1474 de 2011– dispuso un régimen exceptivo de aplicación del derecho privado para la actividad contractual de las E</w:t>
      </w:r>
      <w:r>
        <w:rPr>
          <w:rFonts w:ascii="Verdana" w:eastAsia="Verdana" w:hAnsi="Verdana" w:cs="Verdana"/>
          <w:lang w:val="es-ES"/>
        </w:rPr>
        <w:t xml:space="preserve">mpresas </w:t>
      </w:r>
      <w:r w:rsidRPr="00515C0B">
        <w:rPr>
          <w:rFonts w:ascii="Verdana" w:eastAsia="Verdana" w:hAnsi="Verdana" w:cs="Verdana"/>
          <w:lang w:val="es-ES"/>
        </w:rPr>
        <w:t>I</w:t>
      </w:r>
      <w:r>
        <w:rPr>
          <w:rFonts w:ascii="Verdana" w:eastAsia="Verdana" w:hAnsi="Verdana" w:cs="Verdana"/>
          <w:lang w:val="es-ES"/>
        </w:rPr>
        <w:t xml:space="preserve">ndustriales y </w:t>
      </w:r>
      <w:r w:rsidRPr="00515C0B">
        <w:rPr>
          <w:rFonts w:ascii="Verdana" w:eastAsia="Verdana" w:hAnsi="Verdana" w:cs="Verdana"/>
          <w:lang w:val="es-ES"/>
        </w:rPr>
        <w:t>C</w:t>
      </w:r>
      <w:r>
        <w:rPr>
          <w:rFonts w:ascii="Verdana" w:eastAsia="Verdana" w:hAnsi="Verdana" w:cs="Verdana"/>
          <w:lang w:val="es-ES"/>
        </w:rPr>
        <w:t xml:space="preserve">omerciales del </w:t>
      </w:r>
      <w:r w:rsidRPr="00515C0B">
        <w:rPr>
          <w:rFonts w:ascii="Verdana" w:eastAsia="Verdana" w:hAnsi="Verdana" w:cs="Verdana"/>
          <w:lang w:val="es-ES"/>
        </w:rPr>
        <w:t>E</w:t>
      </w:r>
      <w:r>
        <w:rPr>
          <w:rFonts w:ascii="Verdana" w:eastAsia="Verdana" w:hAnsi="Verdana" w:cs="Verdana"/>
          <w:lang w:val="es-ES"/>
        </w:rPr>
        <w:t>stado</w:t>
      </w:r>
      <w:r w:rsidRPr="00515C0B">
        <w:rPr>
          <w:rFonts w:ascii="Verdana" w:eastAsia="Verdana" w:hAnsi="Verdana" w:cs="Verdana"/>
          <w:lang w:val="es-ES"/>
        </w:rPr>
        <w:t xml:space="preserve"> que ejercen su actividad en competencia</w:t>
      </w:r>
      <w:r w:rsidRPr="00515C0B">
        <w:rPr>
          <w:rFonts w:ascii="Verdana" w:eastAsia="Verdana" w:hAnsi="Verdana" w:cs="Verdana"/>
          <w:spacing w:val="-20"/>
          <w:lang w:val="es-ES"/>
        </w:rPr>
        <w:t xml:space="preserve"> </w:t>
      </w:r>
      <w:r w:rsidRPr="00515C0B">
        <w:rPr>
          <w:rFonts w:ascii="Verdana" w:eastAsia="Verdana" w:hAnsi="Verdana" w:cs="Verdana"/>
          <w:lang w:val="es-ES"/>
        </w:rPr>
        <w:t>con</w:t>
      </w:r>
      <w:r w:rsidRPr="00515C0B">
        <w:rPr>
          <w:rFonts w:ascii="Verdana" w:eastAsia="Verdana" w:hAnsi="Verdana" w:cs="Verdana"/>
          <w:spacing w:val="-19"/>
          <w:lang w:val="es-ES"/>
        </w:rPr>
        <w:t xml:space="preserve"> </w:t>
      </w:r>
      <w:r w:rsidRPr="00515C0B">
        <w:rPr>
          <w:rFonts w:ascii="Verdana" w:eastAsia="Verdana" w:hAnsi="Verdana" w:cs="Verdana"/>
          <w:lang w:val="es-ES"/>
        </w:rPr>
        <w:t>el</w:t>
      </w:r>
      <w:r w:rsidRPr="00515C0B">
        <w:rPr>
          <w:rFonts w:ascii="Verdana" w:eastAsia="Verdana" w:hAnsi="Verdana" w:cs="Verdana"/>
          <w:spacing w:val="-19"/>
          <w:lang w:val="es-ES"/>
        </w:rPr>
        <w:t xml:space="preserve"> </w:t>
      </w:r>
      <w:r w:rsidRPr="00515C0B">
        <w:rPr>
          <w:rFonts w:ascii="Verdana" w:eastAsia="Verdana" w:hAnsi="Verdana" w:cs="Verdana"/>
          <w:lang w:val="es-ES"/>
        </w:rPr>
        <w:t>sector</w:t>
      </w:r>
      <w:r w:rsidRPr="00515C0B">
        <w:rPr>
          <w:rFonts w:ascii="Verdana" w:eastAsia="Verdana" w:hAnsi="Verdana" w:cs="Verdana"/>
          <w:spacing w:val="-20"/>
          <w:lang w:val="es-ES"/>
        </w:rPr>
        <w:t xml:space="preserve"> </w:t>
      </w:r>
      <w:r w:rsidRPr="00515C0B">
        <w:rPr>
          <w:rFonts w:ascii="Verdana" w:eastAsia="Verdana" w:hAnsi="Verdana" w:cs="Verdana"/>
          <w:lang w:val="es-ES"/>
        </w:rPr>
        <w:t>público</w:t>
      </w:r>
      <w:r w:rsidRPr="00515C0B">
        <w:rPr>
          <w:rFonts w:ascii="Verdana" w:eastAsia="Verdana" w:hAnsi="Verdana" w:cs="Verdana"/>
          <w:spacing w:val="-19"/>
          <w:lang w:val="es-ES"/>
        </w:rPr>
        <w:t xml:space="preserve"> </w:t>
      </w:r>
      <w:r w:rsidRPr="00515C0B">
        <w:rPr>
          <w:rFonts w:ascii="Verdana" w:eastAsia="Verdana" w:hAnsi="Verdana" w:cs="Verdana"/>
          <w:lang w:val="es-ES"/>
        </w:rPr>
        <w:t>o</w:t>
      </w:r>
      <w:r w:rsidRPr="00515C0B">
        <w:rPr>
          <w:rFonts w:ascii="Verdana" w:eastAsia="Verdana" w:hAnsi="Verdana" w:cs="Verdana"/>
          <w:spacing w:val="-20"/>
          <w:lang w:val="es-ES"/>
        </w:rPr>
        <w:t xml:space="preserve"> </w:t>
      </w:r>
      <w:r w:rsidRPr="00515C0B">
        <w:rPr>
          <w:rFonts w:ascii="Verdana" w:eastAsia="Verdana" w:hAnsi="Verdana" w:cs="Verdana"/>
          <w:lang w:val="es-ES"/>
        </w:rPr>
        <w:t>privado,</w:t>
      </w:r>
      <w:r w:rsidRPr="00515C0B">
        <w:rPr>
          <w:rFonts w:ascii="Verdana" w:eastAsia="Verdana" w:hAnsi="Verdana" w:cs="Verdana"/>
          <w:spacing w:val="-19"/>
          <w:lang w:val="es-ES"/>
        </w:rPr>
        <w:t xml:space="preserve"> </w:t>
      </w:r>
      <w:r w:rsidRPr="00515C0B">
        <w:rPr>
          <w:rFonts w:ascii="Verdana" w:eastAsia="Verdana" w:hAnsi="Verdana" w:cs="Verdana"/>
          <w:lang w:val="es-ES"/>
        </w:rPr>
        <w:t>o</w:t>
      </w:r>
      <w:r w:rsidRPr="00515C0B">
        <w:rPr>
          <w:rFonts w:ascii="Verdana" w:eastAsia="Verdana" w:hAnsi="Verdana" w:cs="Verdana"/>
          <w:spacing w:val="-19"/>
          <w:lang w:val="es-ES"/>
        </w:rPr>
        <w:t xml:space="preserve"> </w:t>
      </w:r>
      <w:r w:rsidRPr="00515C0B">
        <w:rPr>
          <w:rFonts w:ascii="Verdana" w:eastAsia="Verdana" w:hAnsi="Verdana" w:cs="Verdana"/>
          <w:lang w:val="es-ES"/>
        </w:rPr>
        <w:t>en</w:t>
      </w:r>
      <w:r w:rsidRPr="00515C0B">
        <w:rPr>
          <w:rFonts w:ascii="Verdana" w:eastAsia="Verdana" w:hAnsi="Verdana" w:cs="Verdana"/>
          <w:spacing w:val="-20"/>
          <w:lang w:val="es-ES"/>
        </w:rPr>
        <w:t xml:space="preserve"> </w:t>
      </w:r>
      <w:r w:rsidRPr="00515C0B">
        <w:rPr>
          <w:rFonts w:ascii="Verdana" w:eastAsia="Verdana" w:hAnsi="Verdana" w:cs="Verdana"/>
          <w:lang w:val="es-ES"/>
        </w:rPr>
        <w:t>mercados</w:t>
      </w:r>
      <w:r w:rsidRPr="00515C0B">
        <w:rPr>
          <w:rFonts w:ascii="Verdana" w:eastAsia="Verdana" w:hAnsi="Verdana" w:cs="Verdana"/>
          <w:spacing w:val="-19"/>
          <w:lang w:val="es-ES"/>
        </w:rPr>
        <w:t xml:space="preserve"> </w:t>
      </w:r>
      <w:r w:rsidRPr="00515C0B">
        <w:rPr>
          <w:rFonts w:ascii="Verdana" w:eastAsia="Verdana" w:hAnsi="Verdana" w:cs="Verdana"/>
          <w:lang w:val="es-ES"/>
        </w:rPr>
        <w:t>regulados,</w:t>
      </w:r>
      <w:r w:rsidRPr="00515C0B">
        <w:rPr>
          <w:rFonts w:ascii="Verdana" w:eastAsia="Verdana" w:hAnsi="Verdana" w:cs="Verdana"/>
          <w:spacing w:val="-19"/>
          <w:lang w:val="es-ES"/>
        </w:rPr>
        <w:t xml:space="preserve"> </w:t>
      </w:r>
      <w:r w:rsidRPr="00515C0B">
        <w:rPr>
          <w:rFonts w:ascii="Verdana" w:eastAsia="Verdana" w:hAnsi="Verdana" w:cs="Verdana"/>
          <w:lang w:val="es-ES"/>
        </w:rPr>
        <w:t xml:space="preserve">quedando las otras </w:t>
      </w:r>
      <w:r>
        <w:rPr>
          <w:rFonts w:ascii="Verdana" w:eastAsia="Verdana" w:hAnsi="Verdana" w:cs="Verdana"/>
          <w:lang w:val="es-ES"/>
        </w:rPr>
        <w:t>empresas de esta índole</w:t>
      </w:r>
      <w:r w:rsidRPr="00515C0B">
        <w:rPr>
          <w:rFonts w:ascii="Verdana" w:eastAsia="Verdana" w:hAnsi="Verdana" w:cs="Verdana"/>
          <w:lang w:val="es-ES"/>
        </w:rPr>
        <w:t xml:space="preserve"> dentro del ámbito de aplicación del Estatuto General de Contratación de la Administración Pública</w:t>
      </w:r>
      <w:r w:rsidRPr="00515C0B">
        <w:rPr>
          <w:rFonts w:ascii="Verdana" w:eastAsia="Verdana" w:hAnsi="Verdana" w:cs="Verdana"/>
          <w:vertAlign w:val="superscript"/>
          <w:lang w:val="es-ES"/>
        </w:rPr>
        <w:footnoteReference w:id="20"/>
      </w:r>
      <w:r w:rsidRPr="00515C0B">
        <w:rPr>
          <w:rFonts w:ascii="Verdana" w:eastAsia="Verdana" w:hAnsi="Verdana" w:cs="Verdana"/>
          <w:lang w:val="es-ES"/>
        </w:rPr>
        <w:t>. Así, la norma</w:t>
      </w:r>
      <w:r w:rsidRPr="00515C0B">
        <w:rPr>
          <w:rFonts w:ascii="Verdana" w:eastAsia="Verdana" w:hAnsi="Verdana" w:cs="Verdana"/>
          <w:spacing w:val="-1"/>
          <w:lang w:val="es-ES"/>
        </w:rPr>
        <w:t xml:space="preserve"> </w:t>
      </w:r>
      <w:r w:rsidRPr="00515C0B">
        <w:rPr>
          <w:rFonts w:ascii="Verdana" w:eastAsia="Verdana" w:hAnsi="Verdana" w:cs="Verdana"/>
          <w:lang w:val="es-ES"/>
        </w:rPr>
        <w:t>vigente respecto a</w:t>
      </w:r>
      <w:r w:rsidRPr="00515C0B">
        <w:rPr>
          <w:rFonts w:ascii="Verdana" w:eastAsia="Verdana" w:hAnsi="Verdana" w:cs="Verdana"/>
          <w:spacing w:val="-1"/>
          <w:lang w:val="es-ES"/>
        </w:rPr>
        <w:t xml:space="preserve"> </w:t>
      </w:r>
      <w:r w:rsidRPr="00515C0B">
        <w:rPr>
          <w:rFonts w:ascii="Verdana" w:eastAsia="Verdana" w:hAnsi="Verdana" w:cs="Verdana"/>
          <w:lang w:val="es-ES"/>
        </w:rPr>
        <w:t>su régimen contractual establece:</w:t>
      </w:r>
    </w:p>
    <w:p w14:paraId="603CCA1F" w14:textId="77777777" w:rsidR="008A19CC" w:rsidRDefault="008A19CC" w:rsidP="008A19CC">
      <w:pPr>
        <w:widowControl w:val="0"/>
        <w:spacing w:after="0" w:line="240" w:lineRule="auto"/>
        <w:jc w:val="both"/>
        <w:rPr>
          <w:rFonts w:ascii="Verdana" w:eastAsia="Verdana" w:hAnsi="Verdana" w:cs="Verdana"/>
          <w:lang w:val="es-ES"/>
        </w:rPr>
      </w:pPr>
    </w:p>
    <w:p w14:paraId="1722F449" w14:textId="77777777" w:rsidR="008A19CC" w:rsidRPr="00515C0B" w:rsidRDefault="008A19CC" w:rsidP="008A19CC">
      <w:pPr>
        <w:spacing w:after="0" w:line="240" w:lineRule="auto"/>
        <w:ind w:left="709" w:right="709"/>
        <w:contextualSpacing/>
        <w:jc w:val="both"/>
        <w:rPr>
          <w:rFonts w:ascii="Verdana" w:eastAsia="Times New Roman" w:hAnsi="Verdana" w:cs="Arial"/>
          <w:sz w:val="20"/>
          <w:szCs w:val="20"/>
          <w:lang w:eastAsia="es-ES"/>
        </w:rPr>
      </w:pPr>
      <w:r w:rsidRPr="73D21086">
        <w:rPr>
          <w:rFonts w:ascii="Verdana" w:eastAsia="Times New Roman" w:hAnsi="Verdana" w:cs="Arial"/>
          <w:sz w:val="20"/>
          <w:szCs w:val="20"/>
          <w:lang w:eastAsia="es-ES"/>
        </w:rPr>
        <w:t xml:space="preserve">“Artículo 14. Del régimen contractual de las empresas industriales y comerciales del estado, las sociedades de economía mixta, sus filiales y empresas con participación mayoritaria del estado.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w:t>
      </w:r>
      <w:r w:rsidRPr="73D21086">
        <w:rPr>
          <w:rFonts w:ascii="Verdana" w:eastAsia="Times New Roman" w:hAnsi="Verdana" w:cs="Arial"/>
          <w:sz w:val="20"/>
          <w:szCs w:val="20"/>
          <w:lang w:eastAsia="es-ES"/>
        </w:rPr>
        <w:lastRenderedPageBreak/>
        <w:t>tecnología, que se regirán por la Ley 29 de 1990 y las disposiciones normativas existentes”</w:t>
      </w:r>
      <w:r w:rsidRPr="73D21086">
        <w:rPr>
          <w:rFonts w:ascii="Calibri" w:eastAsia="Times New Roman" w:hAnsi="Calibri" w:cs="Arial"/>
          <w:sz w:val="20"/>
          <w:szCs w:val="20"/>
          <w:vertAlign w:val="superscript"/>
          <w:lang w:eastAsia="es-ES"/>
        </w:rPr>
        <w:footnoteReference w:id="21"/>
      </w:r>
      <w:r w:rsidRPr="73D21086">
        <w:rPr>
          <w:rFonts w:ascii="Verdana" w:eastAsia="Times New Roman" w:hAnsi="Verdana" w:cs="Arial"/>
          <w:sz w:val="20"/>
          <w:szCs w:val="20"/>
          <w:lang w:eastAsia="es-ES"/>
        </w:rPr>
        <w:t>.</w:t>
      </w:r>
    </w:p>
    <w:p w14:paraId="33025303" w14:textId="77777777" w:rsidR="008A19CC" w:rsidRPr="00515C0B" w:rsidRDefault="008A19CC" w:rsidP="008A19CC">
      <w:pPr>
        <w:spacing w:after="0"/>
        <w:ind w:right="709"/>
        <w:jc w:val="both"/>
        <w:rPr>
          <w:rFonts w:ascii="Verdana" w:eastAsia="Calibri" w:hAnsi="Verdana" w:cs="Times New Roman"/>
          <w:sz w:val="21"/>
          <w:szCs w:val="21"/>
        </w:rPr>
      </w:pPr>
    </w:p>
    <w:p w14:paraId="7B37604B" w14:textId="77777777" w:rsidR="008A19CC" w:rsidRPr="00CE0712" w:rsidRDefault="008A19CC" w:rsidP="008A19CC">
      <w:pPr>
        <w:spacing w:after="120" w:line="276" w:lineRule="auto"/>
        <w:ind w:firstLine="708"/>
        <w:jc w:val="both"/>
        <w:rPr>
          <w:rFonts w:ascii="Verdana" w:hAnsi="Verdana" w:cs="Arial"/>
          <w:bCs/>
          <w:color w:val="000000" w:themeColor="text1"/>
          <w:lang w:val="es-MX" w:eastAsia="x-none"/>
        </w:rPr>
      </w:pPr>
      <w:r w:rsidRPr="73D21086">
        <w:rPr>
          <w:rFonts w:ascii="Verdana" w:hAnsi="Verdana" w:cs="Arial"/>
          <w:color w:val="000000" w:themeColor="text1"/>
          <w:lang w:val="es-MX"/>
        </w:rPr>
        <w:t>Ahora bien, en relación con los destinatarios de las restricciones, el artículo 33 de la Ley 996 de 2005 los señala expresamente, en el sentido de que son “</w:t>
      </w:r>
      <w:r w:rsidRPr="73D21086">
        <w:rPr>
          <w:rFonts w:ascii="Verdana" w:hAnsi="Verdana" w:cs="Arial"/>
          <w:i/>
          <w:color w:val="000000" w:themeColor="text1"/>
          <w:lang w:val="es-MX"/>
        </w:rPr>
        <w:t>todos los entes del Estado</w:t>
      </w:r>
      <w:r w:rsidRPr="73D21086">
        <w:rPr>
          <w:rFonts w:ascii="Verdana" w:hAnsi="Verdana" w:cs="Arial"/>
          <w:color w:val="000000" w:themeColor="text1"/>
          <w:lang w:val="es-MX"/>
        </w:rPr>
        <w:t xml:space="preserve">”,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16762505" w14:textId="77777777" w:rsidR="008A19CC" w:rsidRDefault="008A19CC" w:rsidP="008A19CC">
      <w:pPr>
        <w:spacing w:after="120" w:line="276" w:lineRule="auto"/>
        <w:ind w:firstLine="708"/>
        <w:jc w:val="both"/>
        <w:rPr>
          <w:rFonts w:ascii="Verdana" w:hAnsi="Verdana" w:cs="Arial"/>
          <w:color w:val="000000" w:themeColor="text1"/>
          <w:lang w:val="es-MX"/>
        </w:rPr>
      </w:pPr>
      <w:r w:rsidRPr="73D21086">
        <w:rPr>
          <w:rFonts w:ascii="Verdana" w:hAnsi="Verdana" w:cs="Arial"/>
          <w:color w:val="000000" w:themeColor="text1"/>
          <w:lang w:val="es-MX"/>
        </w:rPr>
        <w:t>La Sala de Consulta y Servicio Civil del Consejo de Estado, en Concepto 1727 del 20 de febrero de 2006, consideró que 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73D21086">
        <w:rPr>
          <w:rFonts w:ascii="Verdana" w:hAnsi="Verdana" w:cs="Arial"/>
          <w:color w:val="000000" w:themeColor="text1"/>
          <w:vertAlign w:val="superscript"/>
          <w:lang w:val="es-MX"/>
        </w:rPr>
        <w:footnoteReference w:id="22"/>
      </w:r>
      <w:r w:rsidRPr="73D21086">
        <w:rPr>
          <w:rFonts w:ascii="Verdana" w:hAnsi="Verdana" w:cs="Arial"/>
          <w:color w:val="000000" w:themeColor="text1"/>
          <w:lang w:val="es-MX"/>
        </w:rPr>
        <w:t xml:space="preserve">. </w:t>
      </w:r>
    </w:p>
    <w:p w14:paraId="4D76E963" w14:textId="77777777" w:rsidR="008A19CC" w:rsidRDefault="008A19CC" w:rsidP="008A19CC">
      <w:pPr>
        <w:spacing w:after="0" w:line="276" w:lineRule="auto"/>
        <w:ind w:firstLine="708"/>
        <w:jc w:val="both"/>
        <w:rPr>
          <w:rFonts w:ascii="Verdana" w:hAnsi="Verdana" w:cs="Arial"/>
          <w:color w:val="000000" w:themeColor="text1"/>
          <w:lang w:val="es-MX"/>
        </w:rPr>
      </w:pPr>
      <w:r w:rsidRPr="73D21086">
        <w:rPr>
          <w:rFonts w:ascii="Verdana" w:hAnsi="Verdana" w:cs="Arial"/>
          <w:color w:val="000000" w:themeColor="text1"/>
          <w:lang w:val="es-MX"/>
        </w:rPr>
        <w:t xml:space="preserve">De igual forma, en Concepto con radicado 1738 del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w:t>
      </w:r>
      <w:r w:rsidRPr="73D21086">
        <w:rPr>
          <w:rFonts w:ascii="Verdana" w:hAnsi="Verdana" w:cs="Arial"/>
          <w:color w:val="000000" w:themeColor="text1"/>
          <w:lang w:val="es-MX"/>
        </w:rPr>
        <w:lastRenderedPageBreak/>
        <w:t>convenio interadministrativo sea ordenada, para ambas partes, por el Legislador”</w:t>
      </w:r>
      <w:r w:rsidRPr="00CE0D82">
        <w:rPr>
          <w:rFonts w:ascii="Verdana" w:hAnsi="Verdana" w:cs="Arial"/>
          <w:color w:val="000000" w:themeColor="text1"/>
          <w:vertAlign w:val="superscript"/>
          <w:lang w:val="es-MX"/>
        </w:rPr>
        <w:footnoteReference w:id="23"/>
      </w:r>
      <w:r w:rsidRPr="73D21086">
        <w:rPr>
          <w:rFonts w:ascii="Verdana" w:hAnsi="Verdana" w:cs="Arial"/>
          <w:color w:val="000000" w:themeColor="text1"/>
          <w:lang w:val="es-MX"/>
        </w:rPr>
        <w:t>.</w:t>
      </w:r>
      <w:r w:rsidRPr="00CE0D82">
        <w:rPr>
          <w:rFonts w:ascii="Verdana" w:hAnsi="Verdana" w:cs="Arial"/>
          <w:color w:val="000000" w:themeColor="text1"/>
          <w:lang w:val="es-MX"/>
        </w:rPr>
        <w:t xml:space="preserve"> Además, la Sala de Consulta y Servicio Civil del Consejo de Estado realizó la siguiente distinción, retomando el pronunciamiento de la misma sala del 20 de febrero de 2006, citado anteriormente:</w:t>
      </w:r>
    </w:p>
    <w:p w14:paraId="65E45A1F" w14:textId="77777777" w:rsidR="008A19CC" w:rsidRPr="00CE0D82" w:rsidRDefault="008A19CC" w:rsidP="008A19CC">
      <w:pPr>
        <w:spacing w:after="0" w:line="240" w:lineRule="auto"/>
        <w:ind w:firstLine="709"/>
        <w:jc w:val="both"/>
        <w:rPr>
          <w:rFonts w:ascii="Verdana" w:hAnsi="Verdana" w:cs="Arial"/>
          <w:color w:val="000000" w:themeColor="text1"/>
          <w:lang w:val="es-MX"/>
        </w:rPr>
      </w:pPr>
    </w:p>
    <w:p w14:paraId="04624B54" w14:textId="77777777" w:rsidR="008A19CC" w:rsidRDefault="008A19CC" w:rsidP="008A19CC">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w:t>
      </w:r>
      <w:r>
        <w:rPr>
          <w:rFonts w:ascii="Verdana" w:hAnsi="Verdana" w:cs="Arial"/>
          <w:color w:val="000000" w:themeColor="text1"/>
          <w:sz w:val="20"/>
          <w:szCs w:val="20"/>
          <w:lang w:val="es-MX"/>
        </w:rPr>
        <w:t>(…)</w:t>
      </w:r>
      <w:r w:rsidRPr="005800D0">
        <w:rPr>
          <w:rFonts w:ascii="Verdana" w:hAnsi="Verdana" w:cs="Arial"/>
          <w:color w:val="000000" w:themeColor="text1"/>
          <w:sz w:val="20"/>
          <w:szCs w:val="20"/>
          <w:lang w:val="es-MX"/>
        </w:rPr>
        <w:t xml:space="preserve"> 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49F096DA" w14:textId="77777777" w:rsidR="008A19CC" w:rsidRPr="005800D0" w:rsidRDefault="008A19CC" w:rsidP="008A19CC">
      <w:pPr>
        <w:spacing w:after="0" w:line="240" w:lineRule="auto"/>
        <w:ind w:left="709" w:right="709"/>
        <w:jc w:val="both"/>
        <w:rPr>
          <w:rFonts w:ascii="Verdana" w:hAnsi="Verdana" w:cs="Arial"/>
          <w:color w:val="000000" w:themeColor="text1"/>
          <w:sz w:val="20"/>
          <w:szCs w:val="20"/>
          <w:lang w:val="es-MX"/>
        </w:rPr>
      </w:pPr>
    </w:p>
    <w:p w14:paraId="2DD81205" w14:textId="77777777" w:rsidR="008A19CC" w:rsidRPr="005800D0" w:rsidRDefault="008A19CC" w:rsidP="008A19CC">
      <w:pPr>
        <w:spacing w:after="0" w:line="240" w:lineRule="auto"/>
        <w:ind w:left="709" w:right="709"/>
        <w:jc w:val="both"/>
        <w:rPr>
          <w:rFonts w:ascii="Verdana" w:hAnsi="Verdana" w:cs="Arial"/>
          <w:color w:val="000000" w:themeColor="text1"/>
          <w:sz w:val="20"/>
          <w:szCs w:val="20"/>
          <w:lang w:val="es-MX"/>
        </w:rPr>
      </w:pPr>
      <w:r w:rsidRPr="005800D0">
        <w:rPr>
          <w:rFonts w:ascii="Verdana" w:hAnsi="Verdana" w:cs="Arial"/>
          <w:color w:val="000000" w:themeColor="text1"/>
          <w:sz w:val="20"/>
          <w:szCs w:val="20"/>
          <w:lang w:val="es-MX"/>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Pr>
          <w:rFonts w:ascii="Verdana" w:hAnsi="Verdana" w:cs="Arial"/>
          <w:color w:val="000000" w:themeColor="text1"/>
          <w:sz w:val="20"/>
          <w:szCs w:val="20"/>
          <w:lang w:val="es-MX"/>
        </w:rPr>
        <w:t>”</w:t>
      </w:r>
      <w:r w:rsidRPr="005800D0">
        <w:rPr>
          <w:rFonts w:ascii="Verdana" w:hAnsi="Verdana" w:cs="Arial"/>
          <w:color w:val="000000" w:themeColor="text1"/>
          <w:sz w:val="20"/>
          <w:szCs w:val="20"/>
          <w:vertAlign w:val="superscript"/>
          <w:lang w:val="es-MX"/>
        </w:rPr>
        <w:footnoteReference w:id="24"/>
      </w:r>
      <w:r w:rsidRPr="005800D0">
        <w:rPr>
          <w:rFonts w:ascii="Verdana" w:hAnsi="Verdana" w:cs="Arial"/>
          <w:color w:val="000000" w:themeColor="text1"/>
          <w:sz w:val="20"/>
          <w:szCs w:val="20"/>
          <w:lang w:val="es-MX" w:eastAsia="x-none"/>
        </w:rPr>
        <w:t>.</w:t>
      </w:r>
    </w:p>
    <w:p w14:paraId="55382813" w14:textId="77777777" w:rsidR="008A19CC" w:rsidRDefault="008A19CC" w:rsidP="008A19CC">
      <w:pPr>
        <w:spacing w:after="0" w:line="276" w:lineRule="auto"/>
        <w:ind w:firstLine="709"/>
        <w:jc w:val="both"/>
        <w:rPr>
          <w:rFonts w:ascii="Verdana" w:hAnsi="Verdana" w:cs="Arial"/>
          <w:color w:val="000000" w:themeColor="text1"/>
          <w:lang w:val="es-MX"/>
        </w:rPr>
      </w:pPr>
    </w:p>
    <w:p w14:paraId="66664E12" w14:textId="77777777" w:rsidR="008A19CC" w:rsidRDefault="008A19CC" w:rsidP="008A19CC">
      <w:pPr>
        <w:spacing w:after="120" w:line="276" w:lineRule="auto"/>
        <w:ind w:firstLine="709"/>
        <w:jc w:val="both"/>
        <w:rPr>
          <w:rFonts w:ascii="Verdana" w:hAnsi="Verdana" w:cs="Arial"/>
          <w:color w:val="000000" w:themeColor="text1"/>
          <w:lang w:eastAsia="es-CO"/>
        </w:rPr>
      </w:pPr>
      <w:r w:rsidRPr="00195E24">
        <w:rPr>
          <w:rFonts w:ascii="Verdana" w:hAnsi="Verdana" w:cs="Arial"/>
          <w:color w:val="000000" w:themeColor="text1"/>
          <w:lang w:val="es-MX"/>
        </w:rPr>
        <w:t>De acuerdo con estos pronunciamientos de la Sala de Consulta y Servicio Civil del Consejo de Estado, la prohibición de la contratación directa también aplica frente a las entidades exceptuadas del E</w:t>
      </w:r>
      <w:r>
        <w:rPr>
          <w:rFonts w:ascii="Verdana" w:hAnsi="Verdana" w:cs="Arial"/>
          <w:color w:val="000000" w:themeColor="text1"/>
          <w:lang w:val="es-MX"/>
        </w:rPr>
        <w:t xml:space="preserve">statuto </w:t>
      </w:r>
      <w:r w:rsidRPr="00195E24">
        <w:rPr>
          <w:rFonts w:ascii="Verdana" w:hAnsi="Verdana" w:cs="Arial"/>
          <w:color w:val="000000" w:themeColor="text1"/>
          <w:lang w:val="es-MX"/>
        </w:rPr>
        <w:t>G</w:t>
      </w:r>
      <w:r>
        <w:rPr>
          <w:rFonts w:ascii="Verdana" w:hAnsi="Verdana" w:cs="Arial"/>
          <w:color w:val="000000" w:themeColor="text1"/>
          <w:lang w:val="es-MX"/>
        </w:rPr>
        <w:t xml:space="preserve">eneral de </w:t>
      </w:r>
      <w:r w:rsidRPr="00195E24">
        <w:rPr>
          <w:rFonts w:ascii="Verdana" w:hAnsi="Verdana" w:cs="Arial"/>
          <w:color w:val="000000" w:themeColor="text1"/>
          <w:lang w:val="es-MX"/>
        </w:rPr>
        <w:t>C</w:t>
      </w:r>
      <w:r>
        <w:rPr>
          <w:rFonts w:ascii="Verdana" w:hAnsi="Verdana" w:cs="Arial"/>
          <w:color w:val="000000" w:themeColor="text1"/>
          <w:lang w:val="es-MX"/>
        </w:rPr>
        <w:t xml:space="preserve">ontratación </w:t>
      </w:r>
      <w:r>
        <w:rPr>
          <w:rFonts w:ascii="Verdana" w:hAnsi="Verdana" w:cs="Arial"/>
          <w:color w:val="000000" w:themeColor="text1"/>
          <w:lang w:val="es-MX"/>
        </w:rPr>
        <w:lastRenderedPageBreak/>
        <w:t xml:space="preserve">de la </w:t>
      </w:r>
      <w:r w:rsidRPr="00195E24">
        <w:rPr>
          <w:rFonts w:ascii="Verdana" w:hAnsi="Verdana" w:cs="Arial"/>
          <w:color w:val="000000" w:themeColor="text1"/>
          <w:lang w:val="es-MX"/>
        </w:rPr>
        <w:t>A</w:t>
      </w:r>
      <w:r>
        <w:rPr>
          <w:rFonts w:ascii="Verdana" w:hAnsi="Verdana" w:cs="Arial"/>
          <w:color w:val="000000" w:themeColor="text1"/>
          <w:lang w:val="es-MX"/>
        </w:rPr>
        <w:t xml:space="preserve">dministración </w:t>
      </w:r>
      <w:r w:rsidRPr="00195E24">
        <w:rPr>
          <w:rFonts w:ascii="Verdana" w:hAnsi="Verdana" w:cs="Arial"/>
          <w:color w:val="000000" w:themeColor="text1"/>
          <w:lang w:val="es-MX"/>
        </w:rPr>
        <w:t>P</w:t>
      </w:r>
      <w:r>
        <w:rPr>
          <w:rFonts w:ascii="Verdana" w:hAnsi="Verdana" w:cs="Arial"/>
          <w:color w:val="000000" w:themeColor="text1"/>
          <w:lang w:val="es-MX"/>
        </w:rPr>
        <w:t>ública</w:t>
      </w:r>
      <w:r w:rsidRPr="00195E24">
        <w:rPr>
          <w:rFonts w:ascii="Verdana" w:hAnsi="Verdana" w:cs="Arial"/>
          <w:color w:val="000000" w:themeColor="text1"/>
          <w:lang w:val="es-MX"/>
        </w:rPr>
        <w:t xml:space="preserve"> y que se rigen en materia contractual por el derecho privado. Sin embargo, señaló que algunas de estas entidades, como sucede con las empresas de servicios públicos domiciliarios, los </w:t>
      </w:r>
      <w:r w:rsidRPr="73D21086">
        <w:rPr>
          <w:rFonts w:ascii="Verdana" w:hAnsi="Verdana" w:cs="Arial"/>
          <w:color w:val="000000" w:themeColor="text1"/>
          <w:lang w:val="es-MX"/>
        </w:rPr>
        <w:t>establecimientos de crédito, las sociedades de servicios financieros y las entidades aseguradoras</w:t>
      </w:r>
      <w:r w:rsidRPr="00195E24">
        <w:rPr>
          <w:rFonts w:ascii="Verdana" w:hAnsi="Verdana" w:cs="Arial"/>
          <w:color w:val="000000" w:themeColor="text1"/>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sidRPr="00195E24">
        <w:rPr>
          <w:rFonts w:ascii="Verdana" w:hAnsi="Verdana" w:cs="Arial"/>
          <w:color w:val="000000" w:themeColor="text1"/>
          <w:vertAlign w:val="superscript"/>
          <w:lang w:val="es-MX"/>
        </w:rPr>
        <w:footnoteReference w:id="25"/>
      </w:r>
      <w:r w:rsidRPr="00195E24">
        <w:rPr>
          <w:rFonts w:ascii="Verdana" w:hAnsi="Verdana" w:cs="Arial"/>
          <w:color w:val="000000" w:themeColor="text1"/>
          <w:lang w:val="es-MX"/>
        </w:rPr>
        <w:t>.</w:t>
      </w:r>
      <w:r w:rsidRPr="00195E24">
        <w:rPr>
          <w:rFonts w:ascii="Verdana" w:hAnsi="Verdana" w:cs="Arial"/>
          <w:color w:val="000000" w:themeColor="text1"/>
          <w:lang w:eastAsia="es-CO"/>
        </w:rPr>
        <w:t xml:space="preserve"> </w:t>
      </w:r>
    </w:p>
    <w:p w14:paraId="7DCDFB53" w14:textId="77777777" w:rsidR="008A19CC" w:rsidRPr="00195E24" w:rsidRDefault="008A19CC" w:rsidP="008A19CC">
      <w:pPr>
        <w:spacing w:after="120" w:line="276" w:lineRule="auto"/>
        <w:ind w:firstLine="709"/>
        <w:jc w:val="both"/>
        <w:rPr>
          <w:rFonts w:ascii="Verdana" w:hAnsi="Verdana" w:cs="Arial"/>
          <w:color w:val="000000" w:themeColor="text1"/>
          <w:lang w:eastAsia="es-CO"/>
        </w:rPr>
      </w:pPr>
      <w:r w:rsidRPr="00CE0D82">
        <w:rPr>
          <w:rFonts w:ascii="Verdana" w:hAnsi="Verdana" w:cs="Arial"/>
          <w:color w:val="000000" w:themeColor="text1"/>
          <w:lang w:eastAsia="es-CO"/>
        </w:rPr>
        <w:t>Sin perjuicio de estos pronunciamientos de la Sala de Consulta y Servicio Civil</w:t>
      </w:r>
      <w:r w:rsidRPr="00CE0D82">
        <w:rPr>
          <w:rFonts w:ascii="Verdana" w:hAnsi="Verdana" w:cs="Arial"/>
          <w:color w:val="000000" w:themeColor="text1"/>
          <w:lang w:val="es-MX"/>
        </w:rPr>
        <w:t xml:space="preserve">, como la ha señalado esa misma Corporación, la restricción prevista en la Ley 996 de 2005 </w:t>
      </w:r>
      <w:r w:rsidRPr="00CE0D82">
        <w:rPr>
          <w:rFonts w:ascii="Verdana" w:hAnsi="Verdana" w:cs="Arial"/>
          <w:bCs/>
          <w:color w:val="000000" w:themeColor="text1"/>
          <w:lang w:val="es-MX" w:eastAsia="x-none"/>
        </w:rPr>
        <w:t xml:space="preserve">cobija a cualquier entidad pública independiente del régimen jurídico, que pueda mediante la contratación directa romper el equilibrio entre los candidatos en desarrollo de las elecciones presidenciales. </w:t>
      </w:r>
      <w:r>
        <w:rPr>
          <w:rFonts w:ascii="Verdana" w:hAnsi="Verdana" w:cs="Arial"/>
          <w:color w:val="000000" w:themeColor="text1"/>
          <w:lang w:eastAsia="es-CO"/>
        </w:rPr>
        <w:t xml:space="preserve">En este sentido, respecto a su consulta, es pertinente señalar que las empresas industriales y comerciales del Estado en vigencia de la Ley de Garantías Electorales no podrán hacer contrataciones bajo la modalidad de contratación directa, </w:t>
      </w:r>
      <w:r w:rsidRPr="00195E24">
        <w:rPr>
          <w:rFonts w:ascii="Verdana" w:hAnsi="Verdana" w:cs="Arial"/>
          <w:color w:val="000000" w:themeColor="text1"/>
          <w:lang w:val="es-MX"/>
        </w:rPr>
        <w:t>sino por mecanismos competitivos que impliquen convocatoria pública y la posibilidad de la existencia de pluralidad de oferentes</w:t>
      </w:r>
      <w:r>
        <w:rPr>
          <w:rFonts w:ascii="Verdana" w:hAnsi="Verdana" w:cs="Arial"/>
          <w:color w:val="000000" w:themeColor="text1"/>
          <w:lang w:val="es-MX"/>
        </w:rPr>
        <w:t xml:space="preserve">. </w:t>
      </w:r>
    </w:p>
    <w:p w14:paraId="622FA9D8" w14:textId="77777777" w:rsidR="008A19CC" w:rsidRPr="00CE0712" w:rsidRDefault="008A19CC" w:rsidP="008A19CC">
      <w:pPr>
        <w:spacing w:line="276" w:lineRule="auto"/>
        <w:ind w:firstLine="709"/>
        <w:jc w:val="both"/>
        <w:rPr>
          <w:rFonts w:ascii="Verdana" w:hAnsi="Verdana" w:cs="Arial"/>
          <w:bCs/>
          <w:color w:val="000000" w:themeColor="text1"/>
          <w:lang w:val="es-MX" w:eastAsia="x-none"/>
        </w:rPr>
      </w:pPr>
      <w:r w:rsidRPr="73D21086">
        <w:rPr>
          <w:rFonts w:ascii="Verdana" w:hAnsi="Verdana" w:cs="Arial"/>
          <w:color w:val="000000" w:themeColor="text1"/>
          <w:lang w:val="es-MX"/>
        </w:rPr>
        <w:t xml:space="preserve">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5993A5B3" w14:textId="77777777" w:rsidR="008A19CC" w:rsidRPr="00062EAD" w:rsidRDefault="008A19CC" w:rsidP="008A19CC">
      <w:pPr>
        <w:widowControl w:val="0"/>
        <w:autoSpaceDE w:val="0"/>
        <w:autoSpaceDN w:val="0"/>
        <w:spacing w:after="120" w:line="276" w:lineRule="auto"/>
        <w:ind w:firstLine="709"/>
        <w:jc w:val="both"/>
        <w:rPr>
          <w:rFonts w:ascii="Verdana" w:eastAsia="Times New Roman" w:hAnsi="Verdana" w:cs="Arial"/>
          <w:bCs/>
          <w:lang w:val="es-ES" w:eastAsia="es-CO" w:bidi="es-ES"/>
        </w:rPr>
      </w:pPr>
      <w:r w:rsidRPr="00E36918">
        <w:rPr>
          <w:rFonts w:ascii="Verdana" w:eastAsia="Times New Roman" w:hAnsi="Verdana" w:cs="Arial"/>
          <w:bCs/>
          <w:lang w:val="es-ES" w:eastAsia="es-CO" w:bidi="es-ES"/>
        </w:rPr>
        <w:t xml:space="preserve">Ahora bien, las entidades públicas, de acuerdo con el inciso final del artículo 33 de la Ley 996 de 2005 –Ley de Garantías Electorales–, y previo análisis de la naturaleza de las actividades que adelantan, podrán realizar procedimientos de selección directa en períodos previos a la contienda electoral por la Presidencia, cuando el contrato a celebrar se enmarquen dentro de algunas de las excepciones consagradas en dicha disposición, esto es: i) la </w:t>
      </w:r>
      <w:r w:rsidRPr="00E36918">
        <w:rPr>
          <w:rFonts w:ascii="Verdana" w:eastAsia="Times New Roman" w:hAnsi="Verdana" w:cs="Arial"/>
          <w:bCs/>
          <w:lang w:val="es-ES" w:eastAsia="es-CO" w:bidi="es-ES"/>
        </w:rPr>
        <w:lastRenderedPageBreak/>
        <w:t xml:space="preserve">defensa y seguridad del Estado; ii) los contratos de crédito público; iii) los requeridos para cubrir las emergencias educativas, sanitarias y desastres; iv)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En todo caso, </w:t>
      </w:r>
      <w:r w:rsidRPr="00E36918">
        <w:rPr>
          <w:rFonts w:ascii="Verdana" w:hAnsi="Verdana" w:cs="Arial"/>
          <w:bCs/>
          <w:lang w:eastAsia="x-none"/>
        </w:rPr>
        <w:t xml:space="preserve">se aclara que, la planeación, los estudios técnicos, jurídicos y económicos, que debe preceder la celebración de cada contrato, y que determinan su viabilidad desde tales perspectivas, son asuntos que competen a las entidades estatales que adelantan los procesos de contratación respectivos, con el apoyo de sus funcionarios y órganos asesores.   </w:t>
      </w:r>
      <w:r w:rsidRPr="00E36918">
        <w:rPr>
          <w:rFonts w:ascii="Verdana" w:eastAsia="Times New Roman" w:hAnsi="Verdana" w:cs="Arial"/>
          <w:bCs/>
          <w:lang w:val="es-ES" w:eastAsia="es-CO" w:bidi="es-ES"/>
        </w:rPr>
        <w:t xml:space="preserve"> </w:t>
      </w:r>
    </w:p>
    <w:p w14:paraId="1048A2E4" w14:textId="77777777" w:rsidR="008A19CC" w:rsidRPr="006B17A7" w:rsidRDefault="008A19CC" w:rsidP="008A19CC">
      <w:pPr>
        <w:spacing w:before="120" w:after="0" w:line="276" w:lineRule="auto"/>
        <w:ind w:firstLine="708"/>
        <w:jc w:val="both"/>
        <w:rPr>
          <w:rFonts w:ascii="Verdana" w:eastAsia="Calibri" w:hAnsi="Verdana" w:cs="Arial"/>
        </w:rPr>
      </w:pPr>
      <w:r>
        <w:rPr>
          <w:rFonts w:ascii="Verdana" w:eastAsia="Calibri" w:hAnsi="Verdana" w:cs="Arial"/>
        </w:rPr>
        <w:t>F</w:t>
      </w:r>
      <w:r w:rsidRPr="006B17A7">
        <w:rPr>
          <w:rFonts w:ascii="Verdana" w:eastAsia="Calibri" w:hAnsi="Verdana" w:cs="Arial"/>
        </w:rPr>
        <w:t xml:space="preserve">inalmente debe advertirse que el análisis requerido para resolver problemas específicos a la liquidación de los contratos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4D9DB6A8" w14:textId="77777777" w:rsidR="008A19CC" w:rsidRPr="006B17A7" w:rsidRDefault="008A19CC" w:rsidP="008A19CC">
      <w:pPr>
        <w:spacing w:before="120" w:after="0" w:line="276" w:lineRule="auto"/>
        <w:ind w:firstLine="708"/>
        <w:jc w:val="both"/>
        <w:rPr>
          <w:rFonts w:ascii="Verdana" w:eastAsia="Calibri" w:hAnsi="Verdana" w:cs="Arial"/>
        </w:rPr>
      </w:pPr>
      <w:r w:rsidRPr="006B17A7">
        <w:rPr>
          <w:rFonts w:ascii="Verdana" w:eastAsia="Calibri" w:hAnsi="Verdana" w:cs="Arial"/>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  </w:t>
      </w:r>
    </w:p>
    <w:p w14:paraId="36751CDB" w14:textId="77777777" w:rsidR="008A19CC" w:rsidRPr="006B17A7" w:rsidRDefault="008A19CC" w:rsidP="008A19CC">
      <w:pPr>
        <w:spacing w:after="0" w:line="276" w:lineRule="auto"/>
        <w:ind w:firstLine="708"/>
        <w:jc w:val="both"/>
        <w:rPr>
          <w:rFonts w:ascii="Verdana" w:eastAsia="Calibri" w:hAnsi="Verdana" w:cs="Arial"/>
        </w:rPr>
      </w:pPr>
    </w:p>
    <w:p w14:paraId="45E0BE85" w14:textId="77777777" w:rsidR="008A19CC" w:rsidRPr="006B17A7" w:rsidRDefault="008A19CC" w:rsidP="008A19CC">
      <w:pPr>
        <w:widowControl w:val="0"/>
        <w:autoSpaceDE w:val="0"/>
        <w:autoSpaceDN w:val="0"/>
        <w:spacing w:before="1" w:after="0" w:line="240" w:lineRule="auto"/>
        <w:outlineLvl w:val="0"/>
        <w:rPr>
          <w:rFonts w:ascii="Arial" w:eastAsia="Arial" w:hAnsi="Arial" w:cs="Arial"/>
          <w:b/>
          <w:bCs/>
          <w:lang w:val="es-ES"/>
        </w:rPr>
      </w:pPr>
      <w:r w:rsidRPr="006B17A7">
        <w:rPr>
          <w:rFonts w:ascii="Arial" w:eastAsia="Arial" w:hAnsi="Arial" w:cs="Arial"/>
          <w:b/>
          <w:bCs/>
          <w:lang w:val="es-ES"/>
        </w:rPr>
        <w:t xml:space="preserve">4. </w:t>
      </w:r>
      <w:r w:rsidRPr="006B17A7">
        <w:rPr>
          <w:rFonts w:ascii="Verdana" w:eastAsia="Arial" w:hAnsi="Verdana" w:cs="Arial"/>
          <w:b/>
          <w:bCs/>
          <w:lang w:val="es-ES"/>
        </w:rPr>
        <w:t>Referencias normativas, jurisprudenciales y otras fuentes:</w:t>
      </w:r>
    </w:p>
    <w:p w14:paraId="59F9E0A9" w14:textId="77777777" w:rsidR="008A19CC" w:rsidRPr="006B17A7" w:rsidRDefault="008A19CC" w:rsidP="008A19CC">
      <w:pPr>
        <w:widowControl w:val="0"/>
        <w:autoSpaceDE w:val="0"/>
        <w:autoSpaceDN w:val="0"/>
        <w:spacing w:after="0" w:line="276" w:lineRule="auto"/>
        <w:jc w:val="both"/>
        <w:rPr>
          <w:rFonts w:ascii="Verdana" w:eastAsia="Aptos"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A19CC" w:rsidRPr="006B17A7" w14:paraId="43D883AE" w14:textId="77777777" w:rsidTr="000B5BC1">
        <w:trPr>
          <w:trHeight w:val="870"/>
        </w:trPr>
        <w:tc>
          <w:tcPr>
            <w:tcW w:w="8647" w:type="dxa"/>
          </w:tcPr>
          <w:p w14:paraId="622CA642" w14:textId="77777777" w:rsidR="008A19CC" w:rsidRDefault="008A19CC" w:rsidP="008A19CC">
            <w:pPr>
              <w:pStyle w:val="Prrafodelista"/>
              <w:numPr>
                <w:ilvl w:val="0"/>
                <w:numId w:val="17"/>
              </w:numPr>
              <w:spacing w:after="120" w:line="276" w:lineRule="auto"/>
              <w:jc w:val="both"/>
              <w:rPr>
                <w:rFonts w:ascii="Verdana" w:eastAsia="Aptos" w:hAnsi="Verdana" w:cs="Arial"/>
              </w:rPr>
            </w:pPr>
            <w:r>
              <w:rPr>
                <w:rFonts w:ascii="Verdana" w:eastAsia="Aptos" w:hAnsi="Verdana" w:cs="Arial"/>
              </w:rPr>
              <w:t xml:space="preserve">Constitución Política. Artículo 127. </w:t>
            </w:r>
          </w:p>
          <w:p w14:paraId="65F31D46" w14:textId="77777777" w:rsidR="008A19CC" w:rsidRDefault="008A19CC" w:rsidP="008A19CC">
            <w:pPr>
              <w:pStyle w:val="Prrafodelista"/>
              <w:numPr>
                <w:ilvl w:val="0"/>
                <w:numId w:val="17"/>
              </w:numPr>
              <w:spacing w:after="120" w:line="276" w:lineRule="auto"/>
              <w:jc w:val="both"/>
              <w:rPr>
                <w:rFonts w:ascii="Verdana" w:eastAsia="Aptos" w:hAnsi="Verdana" w:cs="Arial"/>
              </w:rPr>
            </w:pPr>
            <w:r>
              <w:rPr>
                <w:rFonts w:ascii="Verdana" w:eastAsia="Aptos" w:hAnsi="Verdana" w:cs="Arial"/>
              </w:rPr>
              <w:t>Ley 996 de 2005. Artículo 33.</w:t>
            </w:r>
          </w:p>
          <w:p w14:paraId="3AB6E477" w14:textId="77777777" w:rsidR="008A19CC" w:rsidRDefault="008A19CC" w:rsidP="008A19CC">
            <w:pPr>
              <w:pStyle w:val="Prrafodelista"/>
              <w:numPr>
                <w:ilvl w:val="0"/>
                <w:numId w:val="17"/>
              </w:numPr>
              <w:spacing w:after="120" w:line="276" w:lineRule="auto"/>
              <w:jc w:val="both"/>
              <w:rPr>
                <w:rFonts w:ascii="Verdana" w:eastAsia="Aptos" w:hAnsi="Verdana" w:cs="Arial"/>
              </w:rPr>
            </w:pPr>
            <w:r>
              <w:rPr>
                <w:rFonts w:ascii="Verdana" w:eastAsia="Aptos" w:hAnsi="Verdana" w:cs="Arial"/>
              </w:rPr>
              <w:t xml:space="preserve">Ley 1150 de 2007. Artículo 2, 14. </w:t>
            </w:r>
          </w:p>
          <w:p w14:paraId="15678180" w14:textId="77777777" w:rsidR="008A19CC" w:rsidRDefault="008A19CC" w:rsidP="008A19CC">
            <w:pPr>
              <w:pStyle w:val="Prrafodelista"/>
              <w:numPr>
                <w:ilvl w:val="0"/>
                <w:numId w:val="17"/>
              </w:numPr>
              <w:spacing w:after="120" w:line="276" w:lineRule="auto"/>
              <w:jc w:val="both"/>
              <w:rPr>
                <w:rFonts w:ascii="Verdana" w:eastAsia="Aptos" w:hAnsi="Verdana" w:cs="Arial"/>
              </w:rPr>
            </w:pPr>
            <w:r>
              <w:rPr>
                <w:rFonts w:ascii="Verdana" w:eastAsia="Aptos" w:hAnsi="Verdana" w:cs="Arial"/>
              </w:rPr>
              <w:t xml:space="preserve">Ley 489 de 1998. Artículo 93. </w:t>
            </w:r>
          </w:p>
          <w:p w14:paraId="3EDFBDED" w14:textId="77777777" w:rsidR="008A19CC" w:rsidRPr="00462044" w:rsidRDefault="008A19CC" w:rsidP="008A19CC">
            <w:pPr>
              <w:pStyle w:val="Prrafodelista"/>
              <w:numPr>
                <w:ilvl w:val="0"/>
                <w:numId w:val="17"/>
              </w:numPr>
              <w:spacing w:after="120" w:line="276" w:lineRule="auto"/>
              <w:jc w:val="both"/>
              <w:rPr>
                <w:rFonts w:ascii="Verdana" w:eastAsia="Aptos" w:hAnsi="Verdana" w:cs="Arial"/>
              </w:rPr>
            </w:pPr>
            <w:r>
              <w:rPr>
                <w:rFonts w:ascii="Verdana" w:eastAsia="Aptos" w:hAnsi="Verdana" w:cs="Arial"/>
              </w:rPr>
              <w:lastRenderedPageBreak/>
              <w:t>Ley 1474 de 2011. Artículo 93</w:t>
            </w:r>
          </w:p>
          <w:p w14:paraId="2886104E" w14:textId="77777777" w:rsidR="008A19CC" w:rsidRDefault="008A19CC" w:rsidP="008A19CC">
            <w:pPr>
              <w:pStyle w:val="Prrafodelista"/>
              <w:numPr>
                <w:ilvl w:val="0"/>
                <w:numId w:val="17"/>
              </w:numPr>
              <w:spacing w:after="120" w:line="276" w:lineRule="auto"/>
              <w:jc w:val="both"/>
              <w:rPr>
                <w:rFonts w:ascii="Verdana" w:eastAsia="Aptos" w:hAnsi="Verdana" w:cs="Arial"/>
              </w:rPr>
            </w:pPr>
            <w:r w:rsidRPr="00266133">
              <w:rPr>
                <w:rFonts w:ascii="Verdana" w:eastAsia="Aptos" w:hAnsi="Verdana" w:cs="Arial"/>
              </w:rPr>
              <w:t xml:space="preserve">Consejo de Estado. Sala de lo Contencioso Administrativo. Sección Primera. Sentencia de 3 de marzo de 2005. Radicado: 25001-23-15-000-2004-00823-01 (PI). C.P: Camilo Arciniegas Andrade. </w:t>
            </w:r>
          </w:p>
          <w:p w14:paraId="3A2C46B2" w14:textId="77777777" w:rsidR="008A19CC" w:rsidRDefault="008A19CC" w:rsidP="008A19CC">
            <w:pPr>
              <w:pStyle w:val="Prrafodelista"/>
              <w:numPr>
                <w:ilvl w:val="0"/>
                <w:numId w:val="17"/>
              </w:numPr>
              <w:spacing w:after="120" w:line="276" w:lineRule="auto"/>
              <w:jc w:val="both"/>
              <w:rPr>
                <w:rFonts w:ascii="Verdana" w:eastAsia="Aptos" w:hAnsi="Verdana" w:cs="Arial"/>
              </w:rPr>
            </w:pPr>
            <w:r w:rsidRPr="00266133">
              <w:rPr>
                <w:rFonts w:ascii="Verdana" w:eastAsia="Aptos" w:hAnsi="Verdana" w:cs="Arial"/>
              </w:rPr>
              <w:t>Consejo de Estado, Sala de Consulta y Servicio Civil. 24 de julio de 2013. Radicado: 11001-03-06-000-2013-00407-00 (2166). C.P</w:t>
            </w:r>
            <w:r>
              <w:rPr>
                <w:rFonts w:ascii="Verdana" w:eastAsia="Aptos" w:hAnsi="Verdana" w:cs="Arial"/>
              </w:rPr>
              <w:t>:</w:t>
            </w:r>
            <w:r w:rsidRPr="00266133">
              <w:rPr>
                <w:rFonts w:ascii="Verdana" w:eastAsia="Aptos" w:hAnsi="Verdana" w:cs="Arial"/>
              </w:rPr>
              <w:t xml:space="preserve"> Álvaro Namén Vargas.  </w:t>
            </w:r>
          </w:p>
          <w:p w14:paraId="4FA0E3A5" w14:textId="77777777" w:rsidR="008A19CC" w:rsidRDefault="008A19CC" w:rsidP="008A19CC">
            <w:pPr>
              <w:pStyle w:val="Prrafodelista"/>
              <w:numPr>
                <w:ilvl w:val="0"/>
                <w:numId w:val="17"/>
              </w:numPr>
              <w:spacing w:after="120" w:line="276" w:lineRule="auto"/>
              <w:jc w:val="both"/>
              <w:rPr>
                <w:rFonts w:ascii="Verdana" w:eastAsia="Aptos" w:hAnsi="Verdana" w:cs="Arial"/>
              </w:rPr>
            </w:pPr>
            <w:r w:rsidRPr="00266133">
              <w:rPr>
                <w:rFonts w:ascii="Verdana" w:eastAsia="Aptos" w:hAnsi="Verdana" w:cs="Arial"/>
              </w:rPr>
              <w:t>Consejo de Estado. Sala de Consulta y Servicio Civil. Concepto del 17 de febrero de 2015. Radicado: 11001-03-06-000-2015-00164-00 (2269). C.P. William Zambrano Cetina.</w:t>
            </w:r>
          </w:p>
          <w:p w14:paraId="6A4A07A2" w14:textId="77777777" w:rsidR="008A19CC" w:rsidRDefault="008A19CC" w:rsidP="008A19CC">
            <w:pPr>
              <w:pStyle w:val="Prrafodelista"/>
              <w:numPr>
                <w:ilvl w:val="0"/>
                <w:numId w:val="17"/>
              </w:numPr>
              <w:spacing w:after="120" w:line="276" w:lineRule="auto"/>
              <w:jc w:val="both"/>
              <w:rPr>
                <w:rFonts w:ascii="Verdana" w:eastAsia="Aptos" w:hAnsi="Verdana" w:cs="Arial"/>
              </w:rPr>
            </w:pPr>
            <w:r w:rsidRPr="00266133">
              <w:rPr>
                <w:rFonts w:ascii="Verdana" w:eastAsia="Aptos" w:hAnsi="Verdana" w:cs="Arial"/>
              </w:rPr>
              <w:t>Consejo de Estado. Sala de Consulta y Servicio Civil. Concepto del 2 de septiembre de 2013. Radicación número: 11001-03-06-000-2013-00412-00 (2168). C.P: Álvaro Namén Vargas.</w:t>
            </w:r>
          </w:p>
          <w:p w14:paraId="3513B1C3" w14:textId="77777777" w:rsidR="008A19CC" w:rsidRDefault="008A19CC" w:rsidP="008A19CC">
            <w:pPr>
              <w:pStyle w:val="Prrafodelista"/>
              <w:numPr>
                <w:ilvl w:val="0"/>
                <w:numId w:val="17"/>
              </w:numPr>
              <w:spacing w:after="120" w:line="276" w:lineRule="auto"/>
              <w:jc w:val="both"/>
              <w:rPr>
                <w:rFonts w:ascii="Verdana" w:eastAsia="Aptos" w:hAnsi="Verdana" w:cs="Arial"/>
              </w:rPr>
            </w:pPr>
            <w:r w:rsidRPr="00462044">
              <w:rPr>
                <w:rFonts w:ascii="Verdana" w:eastAsia="Aptos" w:hAnsi="Verdana" w:cs="Arial"/>
              </w:rPr>
              <w:t>Consejo de Estado. Sala de Consulta y Servicio Civil, Concepto de 8 de mayo de 2018. Radicación Número: 11001-03-06-000-2018-00095-00 (2382). C.P: Álvaro Namén Vargas.</w:t>
            </w:r>
          </w:p>
          <w:p w14:paraId="4F974C7F" w14:textId="77777777" w:rsidR="008A19CC" w:rsidRDefault="008A19CC" w:rsidP="008A19CC">
            <w:pPr>
              <w:pStyle w:val="Prrafodelista"/>
              <w:numPr>
                <w:ilvl w:val="0"/>
                <w:numId w:val="17"/>
              </w:numPr>
              <w:spacing w:after="120" w:line="276" w:lineRule="auto"/>
              <w:jc w:val="both"/>
              <w:rPr>
                <w:rFonts w:ascii="Verdana" w:eastAsia="Aptos" w:hAnsi="Verdana" w:cs="Arial"/>
              </w:rPr>
            </w:pPr>
            <w:r w:rsidRPr="00462044">
              <w:rPr>
                <w:rFonts w:ascii="Verdana" w:eastAsia="Aptos" w:hAnsi="Verdana" w:cs="Arial"/>
              </w:rPr>
              <w:t>Consejo de Estado. Sala de Consulta y Servicio Civil. Concepto de 20 de febrero de 2006. Radicación Número: 11001-03-06-000-2006-00026-00 (1727). C.P: Enrique José Arboleda Perdomo.</w:t>
            </w:r>
          </w:p>
          <w:p w14:paraId="7A5E88FD" w14:textId="77777777" w:rsidR="008A19CC" w:rsidRDefault="008A19CC" w:rsidP="008A19CC">
            <w:pPr>
              <w:pStyle w:val="Prrafodelista"/>
              <w:numPr>
                <w:ilvl w:val="0"/>
                <w:numId w:val="17"/>
              </w:numPr>
              <w:spacing w:after="120" w:line="276" w:lineRule="auto"/>
              <w:jc w:val="both"/>
              <w:rPr>
                <w:rFonts w:ascii="Verdana" w:eastAsia="Aptos" w:hAnsi="Verdana" w:cs="Arial"/>
              </w:rPr>
            </w:pPr>
            <w:r w:rsidRPr="00462044">
              <w:rPr>
                <w:rFonts w:ascii="Verdana" w:eastAsia="Aptos" w:hAnsi="Verdana" w:cs="Arial"/>
              </w:rPr>
              <w:t>Consejo de Estado. Sala de Consulta y Servicio Civil. Concepto de 6 de abril de 2006. Radicación Número: 11001-03-06-000-2006-00038-00 (1738). C.P: Enrique José Arboleda Perdomo</w:t>
            </w:r>
            <w:r>
              <w:rPr>
                <w:rFonts w:ascii="Verdana" w:eastAsia="Aptos" w:hAnsi="Verdana" w:cs="Arial"/>
              </w:rPr>
              <w:t>.</w:t>
            </w:r>
          </w:p>
          <w:p w14:paraId="17BA3E7C" w14:textId="77777777" w:rsidR="008A19CC" w:rsidRPr="00FD3CA5" w:rsidRDefault="008A19CC" w:rsidP="008A19CC">
            <w:pPr>
              <w:pStyle w:val="Prrafodelista"/>
              <w:numPr>
                <w:ilvl w:val="0"/>
                <w:numId w:val="17"/>
              </w:numPr>
              <w:spacing w:after="120" w:line="276" w:lineRule="auto"/>
              <w:jc w:val="both"/>
              <w:rPr>
                <w:rFonts w:ascii="Verdana" w:eastAsia="Aptos" w:hAnsi="Verdana" w:cs="Arial"/>
              </w:rPr>
            </w:pPr>
            <w:r w:rsidRPr="00FD3CA5">
              <w:rPr>
                <w:rFonts w:ascii="Verdana" w:eastAsia="Aptos" w:hAnsi="Verdana" w:cs="Arial"/>
              </w:rPr>
              <w:t>Corte Constitucional. Sentencia C- 1153 de 2005, M.P: Marco Gerardo Monroy Cabra.</w:t>
            </w:r>
          </w:p>
          <w:p w14:paraId="5EFBD62A" w14:textId="77777777" w:rsidR="008A19CC" w:rsidRDefault="008A19CC" w:rsidP="008A19CC">
            <w:pPr>
              <w:pStyle w:val="Prrafodelista"/>
              <w:numPr>
                <w:ilvl w:val="0"/>
                <w:numId w:val="17"/>
              </w:numPr>
              <w:spacing w:after="120" w:line="276" w:lineRule="auto"/>
              <w:jc w:val="both"/>
              <w:rPr>
                <w:rFonts w:ascii="Verdana" w:eastAsia="Aptos" w:hAnsi="Verdana" w:cs="Arial"/>
              </w:rPr>
            </w:pPr>
            <w:r w:rsidRPr="00FD3CA5">
              <w:rPr>
                <w:rFonts w:ascii="Verdana" w:eastAsia="Aptos" w:hAnsi="Verdana" w:cs="Arial"/>
              </w:rPr>
              <w:t>Corte Constitucional. Sentencia C-233 de 4 de abril de 2002. M.P: Álvaro Tafur Galvis</w:t>
            </w:r>
            <w:r>
              <w:rPr>
                <w:rFonts w:ascii="Verdana" w:eastAsia="Aptos" w:hAnsi="Verdana" w:cs="Arial"/>
              </w:rPr>
              <w:t>.</w:t>
            </w:r>
          </w:p>
          <w:p w14:paraId="7E53EF28" w14:textId="77777777" w:rsidR="008A19CC" w:rsidRDefault="008A19CC" w:rsidP="008A19CC">
            <w:pPr>
              <w:pStyle w:val="Prrafodelista"/>
              <w:numPr>
                <w:ilvl w:val="0"/>
                <w:numId w:val="17"/>
              </w:numPr>
              <w:spacing w:after="120" w:line="276" w:lineRule="auto"/>
              <w:jc w:val="both"/>
              <w:rPr>
                <w:rFonts w:ascii="Verdana" w:eastAsia="Aptos" w:hAnsi="Verdana" w:cs="Arial"/>
              </w:rPr>
            </w:pPr>
            <w:r w:rsidRPr="00FD3CA5">
              <w:rPr>
                <w:rFonts w:ascii="Verdana" w:eastAsia="Aptos" w:hAnsi="Verdana" w:cs="Arial"/>
              </w:rPr>
              <w:t>Corte Constitucional. Sentencia C-551 de 9 de julio de 2003. M.P: Eduardo Montealegre Lynnet</w:t>
            </w:r>
            <w:r>
              <w:rPr>
                <w:rFonts w:ascii="Verdana" w:eastAsia="Aptos" w:hAnsi="Verdana" w:cs="Arial"/>
              </w:rPr>
              <w:t>.</w:t>
            </w:r>
          </w:p>
          <w:p w14:paraId="750AD2EE" w14:textId="77777777" w:rsidR="008A19CC" w:rsidRDefault="008A19CC" w:rsidP="008A19CC">
            <w:pPr>
              <w:pStyle w:val="Prrafodelista"/>
              <w:numPr>
                <w:ilvl w:val="0"/>
                <w:numId w:val="17"/>
              </w:numPr>
              <w:spacing w:after="120" w:line="276" w:lineRule="auto"/>
              <w:jc w:val="both"/>
              <w:rPr>
                <w:rFonts w:ascii="Verdana" w:eastAsia="Aptos" w:hAnsi="Verdana" w:cs="Arial"/>
              </w:rPr>
            </w:pPr>
            <w:r w:rsidRPr="00FD3CA5">
              <w:rPr>
                <w:rFonts w:ascii="Verdana" w:eastAsia="Aptos" w:hAnsi="Verdana" w:cs="Arial"/>
              </w:rPr>
              <w:t>Corte Constitucional. Sentencia C-353 de 20 de mayo de 2009. M.P: Jorge Iván Palacio Palacio</w:t>
            </w:r>
            <w:r>
              <w:rPr>
                <w:rFonts w:ascii="Verdana" w:eastAsia="Aptos" w:hAnsi="Verdana" w:cs="Arial"/>
              </w:rPr>
              <w:t>.</w:t>
            </w:r>
          </w:p>
          <w:p w14:paraId="3B4AE8FA" w14:textId="77777777" w:rsidR="008A19CC" w:rsidRPr="006B17A7" w:rsidRDefault="008A19CC" w:rsidP="008A19CC">
            <w:pPr>
              <w:pStyle w:val="Prrafodelista"/>
              <w:numPr>
                <w:ilvl w:val="0"/>
                <w:numId w:val="17"/>
              </w:numPr>
              <w:spacing w:after="120" w:line="276" w:lineRule="auto"/>
              <w:jc w:val="both"/>
              <w:rPr>
                <w:rFonts w:ascii="Verdana" w:eastAsia="Aptos" w:hAnsi="Verdana" w:cs="Arial"/>
              </w:rPr>
            </w:pPr>
            <w:r w:rsidRPr="00FD3CA5">
              <w:rPr>
                <w:rFonts w:ascii="Verdana" w:eastAsia="Aptos" w:hAnsi="Verdana" w:cs="Arial"/>
              </w:rPr>
              <w:t>Corte Constitucional. Sentencia C-541 de 30 de junio de 2010. M.P: Gabriel Eduardo Mendoza Martelo.</w:t>
            </w:r>
          </w:p>
        </w:tc>
      </w:tr>
    </w:tbl>
    <w:p w14:paraId="64408147" w14:textId="77777777" w:rsidR="008A19CC" w:rsidRPr="006B17A7" w:rsidRDefault="008A19CC" w:rsidP="008A19CC">
      <w:pPr>
        <w:widowControl w:val="0"/>
        <w:autoSpaceDE w:val="0"/>
        <w:autoSpaceDN w:val="0"/>
        <w:spacing w:after="0" w:line="276" w:lineRule="auto"/>
        <w:jc w:val="both"/>
        <w:rPr>
          <w:rFonts w:ascii="Verdana" w:eastAsia="Aptos" w:hAnsi="Verdana" w:cs="Arial"/>
        </w:rPr>
      </w:pPr>
    </w:p>
    <w:p w14:paraId="19AC5D2F" w14:textId="77777777" w:rsidR="008A19CC" w:rsidRPr="006B17A7" w:rsidRDefault="008A19CC" w:rsidP="008A19CC">
      <w:pPr>
        <w:widowControl w:val="0"/>
        <w:autoSpaceDE w:val="0"/>
        <w:autoSpaceDN w:val="0"/>
        <w:spacing w:before="1" w:after="0" w:line="240" w:lineRule="auto"/>
        <w:outlineLvl w:val="0"/>
        <w:rPr>
          <w:rFonts w:ascii="Verdana" w:eastAsia="Arial" w:hAnsi="Verdana" w:cs="Arial"/>
          <w:b/>
          <w:bCs/>
          <w:lang w:val="es-ES"/>
        </w:rPr>
      </w:pPr>
      <w:r w:rsidRPr="006B17A7">
        <w:rPr>
          <w:rFonts w:ascii="Verdana" w:eastAsia="Arial" w:hAnsi="Verdana" w:cs="Arial"/>
          <w:b/>
          <w:bCs/>
          <w:lang w:val="es-ES"/>
        </w:rPr>
        <w:t>5. Doctrina de la Agencia Nacional de Contratación Pública:</w:t>
      </w:r>
    </w:p>
    <w:p w14:paraId="047F8621" w14:textId="77777777" w:rsidR="008A19CC" w:rsidRPr="006B17A7" w:rsidRDefault="008A19CC" w:rsidP="008A19CC">
      <w:pPr>
        <w:widowControl w:val="0"/>
        <w:autoSpaceDE w:val="0"/>
        <w:autoSpaceDN w:val="0"/>
        <w:spacing w:after="0" w:line="276" w:lineRule="auto"/>
        <w:jc w:val="both"/>
        <w:rPr>
          <w:rFonts w:ascii="Verdana" w:eastAsia="Aptos" w:hAnsi="Verdana" w:cs="Arial"/>
        </w:rPr>
      </w:pPr>
    </w:p>
    <w:p w14:paraId="2B49605A" w14:textId="77777777" w:rsidR="008A19CC" w:rsidRPr="005644FE" w:rsidRDefault="008A19CC" w:rsidP="008A19CC">
      <w:pPr>
        <w:widowControl w:val="0"/>
        <w:tabs>
          <w:tab w:val="left" w:pos="3828"/>
        </w:tabs>
        <w:autoSpaceDE w:val="0"/>
        <w:autoSpaceDN w:val="0"/>
        <w:spacing w:after="0" w:line="240" w:lineRule="auto"/>
        <w:jc w:val="both"/>
        <w:rPr>
          <w:rFonts w:ascii="Verdana" w:hAnsi="Verdana" w:cs="Arial"/>
          <w:shd w:val="clear" w:color="auto" w:fill="FFFFFF"/>
        </w:rPr>
      </w:pPr>
    </w:p>
    <w:p w14:paraId="390237A9" w14:textId="77777777" w:rsidR="008A19CC" w:rsidRPr="00C27319" w:rsidRDefault="008A19CC" w:rsidP="008A19CC">
      <w:pPr>
        <w:widowControl w:val="0"/>
        <w:autoSpaceDE w:val="0"/>
        <w:autoSpaceDN w:val="0"/>
        <w:spacing w:after="0" w:line="276" w:lineRule="auto"/>
        <w:jc w:val="both"/>
        <w:rPr>
          <w:rFonts w:ascii="Verdana" w:hAnsi="Verdana" w:cs="Arial"/>
          <w:shd w:val="clear" w:color="auto" w:fill="FFFFFF"/>
          <w:lang w:val="es-ES"/>
        </w:rPr>
      </w:pPr>
      <w:r w:rsidRPr="00301140">
        <w:rPr>
          <w:rStyle w:val="normaltextrun"/>
          <w:rFonts w:ascii="Verdana" w:hAnsi="Verdana" w:cs="Arial"/>
          <w:shd w:val="clear" w:color="auto" w:fill="FFFFFF"/>
          <w:lang w:val="es-ES"/>
        </w:rPr>
        <w:lastRenderedPageBreak/>
        <w:t xml:space="preserve">Esta Subdirección se ha pronunciado sobre </w:t>
      </w:r>
      <w:r w:rsidRPr="00AB70DD">
        <w:rPr>
          <w:rFonts w:ascii="Verdana" w:hAnsi="Verdana" w:cs="Arial"/>
          <w:shd w:val="clear" w:color="auto" w:fill="FFFFFF"/>
          <w:lang w:val="es-ES"/>
        </w:rPr>
        <w:t>la finalidad y propósito de la Ley de Garantías Electorales, en los</w:t>
      </w:r>
      <w:r>
        <w:rPr>
          <w:rFonts w:ascii="Verdana" w:hAnsi="Verdana" w:cs="Arial"/>
          <w:shd w:val="clear" w:color="auto" w:fill="FFFFFF"/>
          <w:lang w:val="es-ES"/>
        </w:rPr>
        <w:t xml:space="preserve"> c</w:t>
      </w:r>
      <w:r w:rsidRPr="00AB70DD">
        <w:rPr>
          <w:rFonts w:ascii="Verdana" w:hAnsi="Verdana" w:cs="Arial"/>
          <w:shd w:val="clear" w:color="auto" w:fill="FFFFFF"/>
          <w:lang w:val="es-ES"/>
        </w:rPr>
        <w:t>onceptos C-227 del 24 de mayo de 2021</w:t>
      </w:r>
      <w:r>
        <w:rPr>
          <w:rFonts w:ascii="Verdana" w:hAnsi="Verdana" w:cs="Arial"/>
          <w:shd w:val="clear" w:color="auto" w:fill="FFFFFF"/>
          <w:lang w:val="es-ES"/>
        </w:rPr>
        <w:t>, C-</w:t>
      </w:r>
      <w:r w:rsidRPr="00AB70DD">
        <w:rPr>
          <w:rFonts w:ascii="Verdana" w:hAnsi="Verdana" w:cs="Arial"/>
          <w:shd w:val="clear" w:color="auto" w:fill="FFFFFF"/>
          <w:lang w:val="es-ES"/>
        </w:rPr>
        <w:t>396 del 13 de agosto de 2021, C-439 del 27 de agosto de 2021, C-481 del 9 de septiembre de 2021, C-528 del 27 de septiembre de 2021, C-550 del 5 de octubre de 2021</w:t>
      </w:r>
      <w:r>
        <w:rPr>
          <w:rFonts w:ascii="Verdana" w:hAnsi="Verdana" w:cs="Arial"/>
          <w:shd w:val="clear" w:color="auto" w:fill="FFFFFF"/>
          <w:lang w:val="es-ES"/>
        </w:rPr>
        <w:t xml:space="preserve">, </w:t>
      </w:r>
      <w:r w:rsidRPr="00AB70DD">
        <w:rPr>
          <w:rFonts w:ascii="Verdana" w:hAnsi="Verdana" w:cs="Arial"/>
          <w:shd w:val="clear" w:color="auto" w:fill="FFFFFF"/>
          <w:lang w:val="es-ES"/>
        </w:rPr>
        <w:t>C-523 del 10 de octubre de 2021, C-606 del 28 de octubre de 2021</w:t>
      </w:r>
      <w:r>
        <w:rPr>
          <w:rFonts w:ascii="Verdana" w:hAnsi="Verdana" w:cs="Arial"/>
          <w:shd w:val="clear" w:color="auto" w:fill="FFFFFF"/>
          <w:lang w:val="es-ES"/>
        </w:rPr>
        <w:t>,</w:t>
      </w:r>
      <w:r w:rsidRPr="00AB70DD">
        <w:rPr>
          <w:rFonts w:ascii="Verdana" w:hAnsi="Verdana" w:cs="Arial"/>
          <w:shd w:val="clear" w:color="auto" w:fill="FFFFFF"/>
          <w:lang w:val="es-ES"/>
        </w:rPr>
        <w:t xml:space="preserve"> C-614 del 2 de noviembre de 2021, </w:t>
      </w:r>
      <w:r>
        <w:rPr>
          <w:rFonts w:ascii="Verdana" w:hAnsi="Verdana" w:cs="Arial"/>
          <w:shd w:val="clear" w:color="auto" w:fill="FFFFFF"/>
          <w:lang w:val="es-ES"/>
        </w:rPr>
        <w:t xml:space="preserve">C-634 del 11 de noviembre de 2021, </w:t>
      </w:r>
      <w:r w:rsidRPr="00AB70DD">
        <w:rPr>
          <w:rFonts w:ascii="Verdana" w:hAnsi="Verdana" w:cs="Arial"/>
          <w:shd w:val="clear" w:color="auto" w:fill="FFFFFF"/>
          <w:lang w:val="es-ES"/>
        </w:rPr>
        <w:t xml:space="preserve">C-636 del 16 de noviembre de 2021, </w:t>
      </w:r>
      <w:r>
        <w:rPr>
          <w:rFonts w:ascii="Verdana" w:hAnsi="Verdana" w:cs="Arial"/>
          <w:shd w:val="clear" w:color="auto" w:fill="FFFFFF"/>
          <w:lang w:val="es-ES"/>
        </w:rPr>
        <w:t>C-</w:t>
      </w:r>
      <w:r w:rsidRPr="00AB70DD">
        <w:rPr>
          <w:rFonts w:ascii="Verdana" w:hAnsi="Verdana" w:cs="Arial"/>
          <w:shd w:val="clear" w:color="auto" w:fill="FFFFFF"/>
          <w:lang w:val="es-ES"/>
        </w:rPr>
        <w:t xml:space="preserve">681 del 7 de diciembre de 2021, C-686 del 21 de diciembre de 2021, </w:t>
      </w:r>
      <w:r>
        <w:rPr>
          <w:rFonts w:ascii="Verdana" w:hAnsi="Verdana" w:cs="Arial"/>
          <w:shd w:val="clear" w:color="auto" w:fill="FFFFFF"/>
          <w:lang w:val="es-ES"/>
        </w:rPr>
        <w:t xml:space="preserve">C-054 del 22 de marzo de 2022, C-179 del 8 de abril de 2022, C-099 del 22 de marzo de 2022, C-161 del 17 de mayo de 2022, C-696 del 11 de julio de 2025, C-868 del 12 de agosto de 2025, C- 955 del 15 de agosto de 2025, C-1430 del 12 de noviembre de </w:t>
      </w:r>
      <w:r w:rsidRPr="00421B05">
        <w:rPr>
          <w:rFonts w:ascii="Verdana" w:hAnsi="Verdana" w:cs="Arial"/>
          <w:shd w:val="clear" w:color="auto" w:fill="FFFFFF"/>
          <w:lang w:val="es-ES"/>
        </w:rPr>
        <w:t>2025</w:t>
      </w:r>
      <w:r>
        <w:rPr>
          <w:rFonts w:ascii="Verdana" w:hAnsi="Verdana" w:cs="Arial"/>
          <w:shd w:val="clear" w:color="auto" w:fill="FFFFFF"/>
          <w:lang w:val="es-ES"/>
        </w:rPr>
        <w:t xml:space="preserve"> y C-1654 del 22 de diciembre de 2025, entre otros</w:t>
      </w:r>
      <w:r w:rsidRPr="00421B05">
        <w:rPr>
          <w:rFonts w:ascii="Verdana" w:hAnsi="Verdana" w:cs="Arial"/>
          <w:shd w:val="clear" w:color="auto" w:fill="FFFFFF"/>
          <w:lang w:val="es-ES"/>
        </w:rPr>
        <w:t>.</w:t>
      </w:r>
      <w:r w:rsidRPr="00421B05">
        <w:rPr>
          <w:rStyle w:val="normaltextrun"/>
          <w:rFonts w:ascii="Verdana" w:hAnsi="Verdana" w:cs="Arial"/>
          <w:shd w:val="clear" w:color="auto" w:fill="FFFFFF"/>
          <w:lang w:val="es-ES"/>
        </w:rPr>
        <w:t xml:space="preserve"> </w:t>
      </w:r>
      <w:r w:rsidRPr="00421B05">
        <w:rPr>
          <w:rFonts w:ascii="Verdana" w:hAnsi="Verdana" w:cs="Arial"/>
        </w:rPr>
        <w:t>Estos y otros</w:t>
      </w:r>
      <w:r w:rsidRPr="001715C8">
        <w:rPr>
          <w:rFonts w:ascii="Verdana" w:hAnsi="Verdana" w:cs="Arial"/>
        </w:rPr>
        <w:t xml:space="preserve"> </w:t>
      </w:r>
      <w:r w:rsidRPr="001715C8">
        <w:rPr>
          <w:rFonts w:ascii="Verdana" w:hAnsi="Verdana"/>
        </w:rPr>
        <w:t>conceptos se encuentran disponibles para consulta en el Sistema de relatoría de la Agencia, al cual se puede acceder a través del siguiente enlace:</w:t>
      </w:r>
      <w:r w:rsidRPr="001715C8">
        <w:rPr>
          <w:rFonts w:ascii="Verdana" w:hAnsi="Verdana" w:cs="Arial"/>
          <w:shd w:val="clear" w:color="auto" w:fill="FFFFFF"/>
        </w:rPr>
        <w:t xml:space="preserve"> </w:t>
      </w:r>
      <w:hyperlink r:id="rId12" w:history="1">
        <w:r w:rsidRPr="009B1491">
          <w:rPr>
            <w:rStyle w:val="Hipervnculo"/>
            <w:rFonts w:ascii="Verdana" w:hAnsi="Verdana" w:cs="Arial"/>
            <w:shd w:val="clear" w:color="auto" w:fill="FFFFFF"/>
          </w:rPr>
          <w:t>https://relatoria.colombiacompra.gov.co/busqueda/conceptos</w:t>
        </w:r>
      </w:hyperlink>
      <w:r w:rsidRPr="001715C8">
        <w:rPr>
          <w:rFonts w:ascii="Verdana" w:hAnsi="Verdana" w:cs="Arial"/>
          <w:shd w:val="clear" w:color="auto" w:fill="FFFFFF"/>
        </w:rPr>
        <w:t>.</w:t>
      </w:r>
      <w:r w:rsidRPr="005644FE">
        <w:rPr>
          <w:rFonts w:ascii="Verdana" w:hAnsi="Verdana" w:cs="Arial"/>
          <w:color w:val="FF0000"/>
          <w:shd w:val="clear" w:color="auto" w:fill="FFFFFF"/>
        </w:rPr>
        <w:t xml:space="preserve"> </w:t>
      </w:r>
      <w:r w:rsidRPr="005644FE">
        <w:rPr>
          <w:rFonts w:ascii="Verdana" w:hAnsi="Verdana" w:cs="Arial"/>
          <w:color w:val="000000" w:themeColor="text1"/>
          <w:shd w:val="clear" w:color="auto" w:fill="FFFFFF"/>
        </w:rPr>
        <w:t>  </w:t>
      </w:r>
    </w:p>
    <w:p w14:paraId="251E1581" w14:textId="77777777" w:rsidR="008A19CC" w:rsidRPr="00115E3D" w:rsidRDefault="008A19CC" w:rsidP="008A19CC">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0E2BB7CE" w14:textId="77777777" w:rsidR="008A19CC" w:rsidRPr="009A385A" w:rsidRDefault="008A19CC" w:rsidP="008A19CC">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3E370751" w14:textId="77777777" w:rsidR="008A19CC" w:rsidRDefault="008A19CC" w:rsidP="008A19CC">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60209214" w14:textId="77777777" w:rsidR="008A19CC" w:rsidRPr="009A385A" w:rsidRDefault="008A19CC" w:rsidP="008A19CC">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 xml:space="preserve">Guía para la comprensión e implementación de los </w:t>
      </w:r>
      <w:r w:rsidRPr="009A385A">
        <w:rPr>
          <w:rFonts w:ascii="Verdana" w:hAnsi="Verdana"/>
          <w:b/>
          <w:bCs/>
        </w:rPr>
        <w:lastRenderedPageBreak/>
        <w:t>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5C90F96F" w14:textId="77777777" w:rsidR="008A19CC" w:rsidRPr="00115E3D" w:rsidRDefault="008A19CC" w:rsidP="008A19CC">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40BDEDF1" w14:textId="77777777" w:rsidR="008A19CC" w:rsidRPr="00115E3D" w:rsidRDefault="008A19CC" w:rsidP="008A19CC">
      <w:pPr>
        <w:spacing w:after="0" w:line="240" w:lineRule="auto"/>
        <w:jc w:val="both"/>
        <w:rPr>
          <w:rFonts w:ascii="Verdana" w:hAnsi="Verdana"/>
          <w:color w:val="000000" w:themeColor="text1"/>
        </w:rPr>
      </w:pPr>
    </w:p>
    <w:p w14:paraId="515E0F7D" w14:textId="77777777" w:rsidR="008A19CC" w:rsidRPr="00115E3D" w:rsidRDefault="008A19CC" w:rsidP="008A19CC">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20851F8E" w14:textId="77777777" w:rsidR="008A19CC" w:rsidRPr="00115E3D" w:rsidRDefault="008A19CC" w:rsidP="008A19CC">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2E1848B4" w14:textId="77777777" w:rsidR="008A19CC" w:rsidRPr="00115E3D" w:rsidRDefault="008A19CC" w:rsidP="008A19CC">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74A9EB1E" w14:textId="77777777" w:rsidR="008A19CC" w:rsidRPr="00115E3D" w:rsidRDefault="008A19CC" w:rsidP="008A19CC">
      <w:pPr>
        <w:widowControl w:val="0"/>
        <w:autoSpaceDE w:val="0"/>
        <w:autoSpaceDN w:val="0"/>
        <w:spacing w:after="0" w:line="276" w:lineRule="auto"/>
        <w:jc w:val="both"/>
        <w:rPr>
          <w:rFonts w:ascii="Verdana" w:hAnsi="Verdana" w:cs="Arial"/>
          <w:color w:val="000000" w:themeColor="text1"/>
        </w:rPr>
      </w:pPr>
    </w:p>
    <w:p w14:paraId="35ADD3E9" w14:textId="77777777" w:rsidR="008A19CC" w:rsidRPr="00115E3D" w:rsidRDefault="008A19CC" w:rsidP="008A19CC">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68A76EC7" w14:textId="77777777" w:rsidR="008A19CC" w:rsidRDefault="008A19CC" w:rsidP="008A19CC">
      <w:pPr>
        <w:spacing w:after="0" w:line="240" w:lineRule="auto"/>
        <w:rPr>
          <w:rFonts w:ascii="Verdana" w:eastAsia="Times New Roman" w:hAnsi="Verdana" w:cs="Arial"/>
          <w:color w:val="000000" w:themeColor="text1"/>
          <w:lang w:eastAsia="es-CO"/>
        </w:rPr>
      </w:pPr>
    </w:p>
    <w:p w14:paraId="7A51C006" w14:textId="77777777" w:rsidR="008A19CC" w:rsidRDefault="008A19CC" w:rsidP="008A19CC">
      <w:pPr>
        <w:spacing w:after="0" w:line="240" w:lineRule="auto"/>
        <w:rPr>
          <w:rFonts w:ascii="Verdana" w:eastAsia="Times New Roman" w:hAnsi="Verdana" w:cs="Arial"/>
          <w:color w:val="000000" w:themeColor="text1"/>
          <w:lang w:eastAsia="es-CO"/>
        </w:rPr>
      </w:pPr>
    </w:p>
    <w:p w14:paraId="2D40B06D" w14:textId="77777777" w:rsidR="008A19CC" w:rsidRPr="00115E3D" w:rsidRDefault="008A19CC" w:rsidP="008A19CC">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07DC0566" w14:textId="77777777" w:rsidR="00497F6E" w:rsidRDefault="00497F6E" w:rsidP="008A19CC">
      <w:pPr>
        <w:spacing w:line="276" w:lineRule="auto"/>
        <w:jc w:val="center"/>
        <w:rPr>
          <w:noProof/>
        </w:rPr>
      </w:pPr>
    </w:p>
    <w:p w14:paraId="71AED161" w14:textId="77777777" w:rsidR="00497F6E" w:rsidRDefault="00497F6E" w:rsidP="008A19CC">
      <w:pPr>
        <w:spacing w:line="276" w:lineRule="auto"/>
        <w:jc w:val="center"/>
        <w:rPr>
          <w:noProof/>
        </w:rPr>
      </w:pPr>
    </w:p>
    <w:p w14:paraId="4885A6F1" w14:textId="4BC114D5" w:rsidR="00497F6E" w:rsidRDefault="00497F6E" w:rsidP="008A19CC">
      <w:pPr>
        <w:spacing w:line="276" w:lineRule="auto"/>
        <w:jc w:val="center"/>
        <w:rPr>
          <w:noProof/>
        </w:rPr>
      </w:pPr>
      <w:r>
        <w:rPr>
          <w:noProof/>
        </w:rPr>
        <w:drawing>
          <wp:inline distT="0" distB="0" distL="0" distR="0" wp14:anchorId="5C5D9076" wp14:editId="1A563AA6">
            <wp:extent cx="3535680" cy="1517806"/>
            <wp:effectExtent l="0" t="0" r="7620" b="6350"/>
            <wp:docPr id="119268720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49981" cy="1523945"/>
                    </a:xfrm>
                    <a:prstGeom prst="rect">
                      <a:avLst/>
                    </a:prstGeom>
                    <a:noFill/>
                    <a:ln>
                      <a:noFill/>
                    </a:ln>
                  </pic:spPr>
                </pic:pic>
              </a:graphicData>
            </a:graphic>
          </wp:inline>
        </w:drawing>
      </w:r>
    </w:p>
    <w:p w14:paraId="395464BF" w14:textId="77777777" w:rsidR="00497F6E" w:rsidRDefault="00497F6E" w:rsidP="008A19CC">
      <w:pPr>
        <w:spacing w:line="276" w:lineRule="auto"/>
        <w:jc w:val="center"/>
        <w:rPr>
          <w:noProof/>
        </w:rPr>
      </w:pPr>
    </w:p>
    <w:p w14:paraId="25BCFE05" w14:textId="4A62549A" w:rsidR="008A19CC" w:rsidRDefault="008A19CC" w:rsidP="008A19CC">
      <w:pPr>
        <w:spacing w:line="276" w:lineRule="auto"/>
        <w:jc w:val="center"/>
        <w:rPr>
          <w:noProof/>
          <w:color w:val="000000" w:themeColor="text1"/>
          <w:lang w:val="es-ES_tradnl" w:eastAsia="es-CO"/>
        </w:rPr>
      </w:pPr>
      <w:r>
        <w:rPr>
          <w:noProof/>
          <w:color w:val="000000" w:themeColor="text1"/>
          <w:lang w:val="es-ES_tradnl" w:eastAsia="es-CO"/>
        </w:rPr>
        <w:t xml:space="preserve"> </w:t>
      </w:r>
    </w:p>
    <w:p w14:paraId="5E69D70A" w14:textId="77777777" w:rsidR="008A19CC" w:rsidRDefault="008A19CC" w:rsidP="008A19CC">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A19CC" w:rsidRPr="00115E3D" w14:paraId="5C7FBF6B" w14:textId="77777777" w:rsidTr="000B5BC1">
        <w:trPr>
          <w:trHeight w:val="315"/>
        </w:trPr>
        <w:tc>
          <w:tcPr>
            <w:tcW w:w="893" w:type="dxa"/>
            <w:vAlign w:val="center"/>
            <w:hideMark/>
          </w:tcPr>
          <w:p w14:paraId="1D6B7094" w14:textId="77777777" w:rsidR="008A19CC" w:rsidRPr="00115E3D" w:rsidRDefault="008A19CC" w:rsidP="000B5BC1">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DCA9E5B" w14:textId="77777777" w:rsidR="008A19CC" w:rsidRPr="00115E3D" w:rsidRDefault="008A19CC" w:rsidP="000B5BC1">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2129D291" w14:textId="77777777" w:rsidR="008A19CC" w:rsidRPr="00115E3D" w:rsidRDefault="008A19CC" w:rsidP="000B5BC1">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8A19CC" w:rsidRPr="00115E3D" w14:paraId="4B02F254" w14:textId="77777777" w:rsidTr="000B5BC1">
        <w:trPr>
          <w:trHeight w:val="330"/>
        </w:trPr>
        <w:tc>
          <w:tcPr>
            <w:tcW w:w="893" w:type="dxa"/>
            <w:vAlign w:val="center"/>
            <w:hideMark/>
          </w:tcPr>
          <w:p w14:paraId="2BDF554C" w14:textId="77777777" w:rsidR="008A19CC" w:rsidRPr="00115E3D" w:rsidRDefault="008A19CC" w:rsidP="000B5BC1">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1D80DE4" w14:textId="77777777" w:rsidR="008A19CC" w:rsidRDefault="008A19CC" w:rsidP="000B5BC1">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Juan David Cárdenas Cabeza</w:t>
            </w:r>
          </w:p>
          <w:p w14:paraId="4899B008" w14:textId="77777777" w:rsidR="008A19CC" w:rsidRPr="00115E3D" w:rsidRDefault="008A19CC" w:rsidP="000B5BC1">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8A19CC" w:rsidRPr="00115E3D" w14:paraId="57808F57" w14:textId="77777777" w:rsidTr="000B5BC1">
        <w:trPr>
          <w:trHeight w:val="300"/>
        </w:trPr>
        <w:tc>
          <w:tcPr>
            <w:tcW w:w="893" w:type="dxa"/>
            <w:vAlign w:val="center"/>
          </w:tcPr>
          <w:p w14:paraId="4B176F09" w14:textId="77777777" w:rsidR="008A19CC" w:rsidRPr="00115E3D" w:rsidRDefault="008A19CC" w:rsidP="000B5BC1">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D0B8309" w14:textId="77777777" w:rsidR="008A19CC" w:rsidRPr="00115E3D" w:rsidRDefault="008A19CC" w:rsidP="000B5BC1">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1DAED726" w14:textId="77777777" w:rsidR="008A19CC" w:rsidRPr="00115E3D" w:rsidRDefault="008A19CC" w:rsidP="000B5BC1">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7C9026E2" w14:textId="77777777" w:rsidR="002A0DD0" w:rsidRPr="008A19CC" w:rsidRDefault="002A0DD0" w:rsidP="30821638">
      <w:pPr>
        <w:spacing w:after="0" w:line="240" w:lineRule="auto"/>
        <w:jc w:val="both"/>
        <w:rPr>
          <w:rFonts w:ascii="Verdana" w:eastAsia="Verdana" w:hAnsi="Verdana" w:cs="Verdana"/>
          <w:b/>
          <w:bCs/>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BBEE590"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p>
    <w:bookmarkEnd w:id="0"/>
    <w:p w14:paraId="77E5ECB3" w14:textId="0726759E" w:rsidR="00C15139" w:rsidRPr="000E2B93" w:rsidRDefault="00C15139" w:rsidP="30821638">
      <w:pPr>
        <w:spacing w:after="0" w:line="240" w:lineRule="auto"/>
        <w:textAlignment w:val="baseline"/>
        <w:rPr>
          <w:rFonts w:ascii="Verdana" w:eastAsia="Verdana" w:hAnsi="Verdana" w:cs="Verdana"/>
          <w:lang w:eastAsia="es-CO"/>
        </w:rPr>
      </w:pPr>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506597" w14:textId="77777777" w:rsidR="008700C1" w:rsidRDefault="008700C1" w:rsidP="004A1847">
      <w:pPr>
        <w:spacing w:after="0" w:line="240" w:lineRule="auto"/>
      </w:pPr>
      <w:r>
        <w:separator/>
      </w:r>
    </w:p>
  </w:endnote>
  <w:endnote w:type="continuationSeparator" w:id="0">
    <w:p w14:paraId="5D1ECE97" w14:textId="77777777" w:rsidR="008700C1" w:rsidRDefault="008700C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DB3BC7" w14:textId="77777777" w:rsidR="008700C1" w:rsidRDefault="008700C1" w:rsidP="004A1847">
      <w:pPr>
        <w:spacing w:after="0" w:line="240" w:lineRule="auto"/>
      </w:pPr>
      <w:r>
        <w:separator/>
      </w:r>
    </w:p>
  </w:footnote>
  <w:footnote w:type="continuationSeparator" w:id="0">
    <w:p w14:paraId="2BEE738B" w14:textId="77777777" w:rsidR="008700C1" w:rsidRDefault="008700C1" w:rsidP="004A1847">
      <w:pPr>
        <w:spacing w:after="0" w:line="240" w:lineRule="auto"/>
      </w:pPr>
      <w:r>
        <w:continuationSeparator/>
      </w:r>
    </w:p>
  </w:footnote>
  <w:footnote w:id="1">
    <w:p w14:paraId="6528DA63" w14:textId="77777777" w:rsidR="008A19CC" w:rsidRPr="00BE126A" w:rsidRDefault="008A19CC" w:rsidP="008A19CC">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6B4EF3A2" w14:textId="77777777" w:rsidR="008A19CC" w:rsidRDefault="008A19CC" w:rsidP="008A19CC">
      <w:pPr>
        <w:pStyle w:val="Textonotapie"/>
        <w:ind w:firstLine="709"/>
        <w:contextualSpacing/>
        <w:jc w:val="both"/>
        <w:rPr>
          <w:rFonts w:ascii="Verdana" w:hAnsi="Verdana" w:cs="Arial"/>
          <w:sz w:val="16"/>
          <w:szCs w:val="16"/>
        </w:rPr>
      </w:pPr>
      <w:r w:rsidRPr="00BE126A">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p w14:paraId="4EE58EBA" w14:textId="77777777" w:rsidR="008A19CC" w:rsidRPr="00BE126A" w:rsidRDefault="008A19CC" w:rsidP="008A19CC">
      <w:pPr>
        <w:pStyle w:val="Textonotapie"/>
        <w:ind w:firstLine="709"/>
        <w:contextualSpacing/>
        <w:jc w:val="both"/>
        <w:rPr>
          <w:rFonts w:ascii="Verdana" w:hAnsi="Verdana" w:cs="Arial"/>
          <w:sz w:val="16"/>
          <w:szCs w:val="16"/>
        </w:rPr>
      </w:pPr>
    </w:p>
  </w:footnote>
  <w:footnote w:id="2">
    <w:p w14:paraId="57A15F98" w14:textId="77777777" w:rsidR="008A19CC" w:rsidRDefault="008A19CC" w:rsidP="008A19CC">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Gaceta del Congreso de la República No. 71 del 2005.</w:t>
      </w:r>
    </w:p>
    <w:p w14:paraId="64DD24E1" w14:textId="77777777" w:rsidR="008A19CC" w:rsidRPr="00BE126A" w:rsidRDefault="008A19CC" w:rsidP="008A19CC">
      <w:pPr>
        <w:pStyle w:val="Textonotapie"/>
        <w:ind w:firstLine="709"/>
        <w:contextualSpacing/>
        <w:jc w:val="both"/>
        <w:rPr>
          <w:rFonts w:ascii="Verdana" w:hAnsi="Verdana" w:cs="Arial"/>
          <w:sz w:val="16"/>
          <w:szCs w:val="16"/>
        </w:rPr>
      </w:pPr>
    </w:p>
  </w:footnote>
  <w:footnote w:id="3">
    <w:p w14:paraId="12DCC3B4" w14:textId="77777777" w:rsidR="008A19CC" w:rsidRDefault="008A19CC" w:rsidP="008A19CC">
      <w:pPr>
        <w:pStyle w:val="Textonotapie"/>
        <w:tabs>
          <w:tab w:val="left" w:pos="8145"/>
        </w:tabs>
        <w:ind w:firstLine="709"/>
        <w:contextualSpacing/>
        <w:jc w:val="both"/>
        <w:rPr>
          <w:rFonts w:ascii="Verdana" w:hAnsi="Verdana" w:cs="Arial"/>
          <w:sz w:val="16"/>
          <w:szCs w:val="16"/>
          <w:lang w:val="pt-PT"/>
        </w:rPr>
      </w:pPr>
      <w:r w:rsidRPr="00BE126A">
        <w:rPr>
          <w:rStyle w:val="Refdenotaalpie"/>
          <w:rFonts w:ascii="Verdana" w:hAnsi="Verdana" w:cs="Arial"/>
          <w:sz w:val="16"/>
          <w:szCs w:val="16"/>
        </w:rPr>
        <w:footnoteRef/>
      </w:r>
      <w:r w:rsidRPr="005800D0">
        <w:rPr>
          <w:rFonts w:ascii="Verdana" w:hAnsi="Verdana" w:cs="Arial"/>
          <w:sz w:val="16"/>
          <w:szCs w:val="16"/>
          <w:lang w:val="pt-PT"/>
        </w:rPr>
        <w:t xml:space="preserve"> Corte Constitucional</w:t>
      </w:r>
      <w:r>
        <w:rPr>
          <w:rFonts w:ascii="Verdana" w:hAnsi="Verdana" w:cs="Arial"/>
          <w:sz w:val="16"/>
          <w:szCs w:val="16"/>
          <w:lang w:val="pt-PT"/>
        </w:rPr>
        <w:t>.</w:t>
      </w:r>
      <w:r w:rsidRPr="005800D0">
        <w:rPr>
          <w:rFonts w:ascii="Verdana" w:hAnsi="Verdana" w:cs="Arial"/>
          <w:sz w:val="16"/>
          <w:szCs w:val="16"/>
          <w:lang w:val="pt-PT"/>
        </w:rPr>
        <w:t xml:space="preserve"> Sentencia C- 1153 de 2005, M.P</w:t>
      </w:r>
      <w:r>
        <w:rPr>
          <w:rFonts w:ascii="Verdana" w:hAnsi="Verdana" w:cs="Arial"/>
          <w:sz w:val="16"/>
          <w:szCs w:val="16"/>
          <w:lang w:val="pt-PT"/>
        </w:rPr>
        <w:t>:</w:t>
      </w:r>
      <w:r w:rsidRPr="005800D0">
        <w:rPr>
          <w:rFonts w:ascii="Verdana" w:hAnsi="Verdana" w:cs="Arial"/>
          <w:sz w:val="16"/>
          <w:szCs w:val="16"/>
          <w:lang w:val="pt-PT"/>
        </w:rPr>
        <w:t xml:space="preserve"> Marco Gerardo Monroy Cabra.</w:t>
      </w:r>
      <w:r>
        <w:rPr>
          <w:rFonts w:ascii="Verdana" w:hAnsi="Verdana" w:cs="Arial"/>
          <w:sz w:val="16"/>
          <w:szCs w:val="16"/>
          <w:lang w:val="pt-PT"/>
        </w:rPr>
        <w:tab/>
      </w:r>
    </w:p>
    <w:p w14:paraId="3A4C7C73" w14:textId="77777777" w:rsidR="008A19CC" w:rsidRPr="005800D0" w:rsidRDefault="008A19CC" w:rsidP="008A19CC">
      <w:pPr>
        <w:pStyle w:val="Textonotapie"/>
        <w:tabs>
          <w:tab w:val="left" w:pos="8145"/>
        </w:tabs>
        <w:ind w:firstLine="709"/>
        <w:contextualSpacing/>
        <w:jc w:val="both"/>
        <w:rPr>
          <w:rFonts w:ascii="Verdana" w:hAnsi="Verdana" w:cs="Arial"/>
          <w:sz w:val="16"/>
          <w:szCs w:val="16"/>
          <w:lang w:val="pt-PT"/>
        </w:rPr>
      </w:pPr>
    </w:p>
  </w:footnote>
  <w:footnote w:id="4">
    <w:p w14:paraId="234F1A20" w14:textId="77777777" w:rsidR="008A19CC" w:rsidRDefault="008A19CC" w:rsidP="008A19CC">
      <w:pPr>
        <w:pStyle w:val="Textonotapie"/>
        <w:ind w:firstLine="709"/>
        <w:contextualSpacing/>
        <w:jc w:val="both"/>
        <w:rPr>
          <w:rFonts w:ascii="Verdana" w:hAnsi="Verdana" w:cs="Arial"/>
          <w:sz w:val="16"/>
          <w:szCs w:val="16"/>
          <w:lang w:val="pt-PT"/>
        </w:rPr>
      </w:pPr>
      <w:r w:rsidRPr="00BE126A">
        <w:rPr>
          <w:rStyle w:val="Refdenotaalpie"/>
          <w:rFonts w:ascii="Verdana" w:hAnsi="Verdana" w:cs="Arial"/>
          <w:sz w:val="16"/>
          <w:szCs w:val="16"/>
        </w:rPr>
        <w:footnoteRef/>
      </w:r>
      <w:r w:rsidRPr="005800D0">
        <w:rPr>
          <w:rFonts w:ascii="Verdana" w:hAnsi="Verdana" w:cs="Arial"/>
          <w:sz w:val="16"/>
          <w:szCs w:val="16"/>
          <w:lang w:val="pt-PT"/>
        </w:rPr>
        <w:t xml:space="preserve"> </w:t>
      </w:r>
      <w:r w:rsidRPr="0045735C">
        <w:rPr>
          <w:rFonts w:ascii="Verdana" w:hAnsi="Verdana" w:cs="Arial"/>
          <w:sz w:val="16"/>
          <w:szCs w:val="16"/>
          <w:lang w:val="es-CO"/>
        </w:rPr>
        <w:t>Corte Constitucional. Sentencias: C-233 de 4 de abril de 2002. M.P: Álvaro Tafur Galvis; C-551 de 9 de julio de 2003. M.P: Eduardo Montealegre Lynnet; C-353 de 20 de mayo de 2009. M.P: Jorge Iván Palacio Palacio; C-541 de 30 de junio de 2010. M.P: Gabriel Eduardo Mendoza Martelo; entre otras.</w:t>
      </w:r>
    </w:p>
    <w:p w14:paraId="2CAA0901" w14:textId="77777777" w:rsidR="008A19CC" w:rsidRPr="005800D0" w:rsidRDefault="008A19CC" w:rsidP="008A19CC">
      <w:pPr>
        <w:pStyle w:val="Textonotapie"/>
        <w:ind w:firstLine="709"/>
        <w:contextualSpacing/>
        <w:jc w:val="both"/>
        <w:rPr>
          <w:rFonts w:ascii="Verdana" w:hAnsi="Verdana" w:cs="Arial"/>
          <w:sz w:val="16"/>
          <w:szCs w:val="16"/>
          <w:lang w:val="pt-PT"/>
        </w:rPr>
      </w:pPr>
    </w:p>
  </w:footnote>
  <w:footnote w:id="5">
    <w:p w14:paraId="12283ADE" w14:textId="77777777" w:rsidR="008A19CC" w:rsidRDefault="008A19CC" w:rsidP="008A19CC">
      <w:pPr>
        <w:pStyle w:val="Textonotapie"/>
        <w:ind w:firstLine="709"/>
        <w:contextualSpacing/>
        <w:jc w:val="both"/>
        <w:rPr>
          <w:rFonts w:ascii="Verdana" w:hAnsi="Verdana" w:cs="Arial"/>
          <w:sz w:val="16"/>
          <w:szCs w:val="16"/>
          <w:lang w:val="es-CO"/>
        </w:rPr>
      </w:pPr>
      <w:r w:rsidRPr="00BE126A">
        <w:rPr>
          <w:rStyle w:val="Refdenotaalpie"/>
          <w:rFonts w:ascii="Verdana" w:hAnsi="Verdana" w:cs="Arial"/>
          <w:sz w:val="16"/>
          <w:szCs w:val="16"/>
        </w:rPr>
        <w:footnoteRef/>
      </w:r>
      <w:r w:rsidRPr="00BE126A">
        <w:rPr>
          <w:rFonts w:ascii="Verdana" w:hAnsi="Verdana" w:cs="Arial"/>
          <w:sz w:val="16"/>
          <w:szCs w:val="16"/>
          <w:lang w:val="es-CO"/>
        </w:rPr>
        <w:t xml:space="preserve"> </w:t>
      </w:r>
      <w:r w:rsidRPr="0045735C">
        <w:rPr>
          <w:rFonts w:ascii="Verdana" w:hAnsi="Verdana" w:cs="Arial"/>
          <w:sz w:val="16"/>
          <w:szCs w:val="16"/>
          <w:lang w:val="es-CO"/>
        </w:rPr>
        <w:t xml:space="preserve">Consejo de Estado. Sala de lo Contencioso Administrativo. Sección Primera. Sentencia de 3 de marzo de 2005. Radicado: </w:t>
      </w:r>
      <w:r w:rsidRPr="0045735C">
        <w:rPr>
          <w:rFonts w:ascii="Verdana" w:hAnsi="Verdana" w:cs="Arial"/>
          <w:sz w:val="16"/>
          <w:szCs w:val="16"/>
          <w:lang w:val="es-ES"/>
        </w:rPr>
        <w:t xml:space="preserve">25001-23-15-000-2004-00823-01 (PI). </w:t>
      </w:r>
      <w:r w:rsidRPr="0045735C">
        <w:rPr>
          <w:rFonts w:ascii="Verdana" w:hAnsi="Verdana" w:cs="Arial"/>
          <w:sz w:val="16"/>
          <w:szCs w:val="16"/>
          <w:lang w:val="es-CO"/>
        </w:rPr>
        <w:t>C.P: Camilo Arciniegas Andrade. Ver también, de la Sección Tercera. Sentencia de 22 de enero de 2002, expediente número 2001-0148-01 y, Sección Tercera. Sentencia de 20 de noviembre de 2001, expediente número 2001-0130-01(PI), entre otras.</w:t>
      </w:r>
    </w:p>
    <w:p w14:paraId="2C66FF69" w14:textId="77777777" w:rsidR="008A19CC" w:rsidRPr="00BE126A" w:rsidRDefault="008A19CC" w:rsidP="008A19CC">
      <w:pPr>
        <w:pStyle w:val="Textonotapie"/>
        <w:ind w:firstLine="709"/>
        <w:contextualSpacing/>
        <w:jc w:val="both"/>
        <w:rPr>
          <w:rFonts w:ascii="Verdana" w:hAnsi="Verdana" w:cs="Arial"/>
          <w:sz w:val="16"/>
          <w:szCs w:val="16"/>
          <w:lang w:val="es-CO"/>
        </w:rPr>
      </w:pPr>
    </w:p>
  </w:footnote>
  <w:footnote w:id="6">
    <w:p w14:paraId="066131CB" w14:textId="77777777" w:rsidR="008A19CC" w:rsidRDefault="008A19CC" w:rsidP="008A19CC">
      <w:pPr>
        <w:pStyle w:val="Textonotapie"/>
        <w:ind w:firstLine="709"/>
        <w:contextualSpacing/>
        <w:jc w:val="both"/>
        <w:rPr>
          <w:rFonts w:ascii="Verdana"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w:t>
      </w:r>
      <w:r w:rsidRPr="0045735C">
        <w:rPr>
          <w:rFonts w:ascii="Verdana" w:hAnsi="Verdana" w:cs="Arial"/>
          <w:sz w:val="16"/>
          <w:szCs w:val="16"/>
        </w:rPr>
        <w:t xml:space="preserve">Consejo de Estado, Sala de Consulta y Servicio Civil. 24 de julio de 2013. Radicado: </w:t>
      </w:r>
      <w:r w:rsidRPr="0045735C">
        <w:rPr>
          <w:rFonts w:ascii="Verdana" w:hAnsi="Verdana" w:cs="Arial"/>
          <w:sz w:val="16"/>
          <w:szCs w:val="16"/>
          <w:lang w:val="es-CO"/>
        </w:rPr>
        <w:t xml:space="preserve">11001-03-06-000-2013-00407-00 </w:t>
      </w:r>
      <w:r w:rsidRPr="0045735C">
        <w:rPr>
          <w:rFonts w:ascii="Verdana" w:hAnsi="Verdana" w:cs="Arial"/>
          <w:sz w:val="16"/>
          <w:szCs w:val="16"/>
        </w:rPr>
        <w:t>(2166). C.P. Álvaro Namén Vargas</w:t>
      </w:r>
      <w:r w:rsidRPr="00BE126A">
        <w:rPr>
          <w:rFonts w:ascii="Verdana" w:hAnsi="Verdana" w:cs="Arial"/>
          <w:sz w:val="16"/>
          <w:szCs w:val="16"/>
        </w:rPr>
        <w:t xml:space="preserve">.  </w:t>
      </w:r>
    </w:p>
    <w:p w14:paraId="59BFF9A2" w14:textId="77777777" w:rsidR="008A19CC" w:rsidRPr="00BE126A" w:rsidRDefault="008A19CC" w:rsidP="008A19CC">
      <w:pPr>
        <w:pStyle w:val="Textonotapie"/>
        <w:ind w:firstLine="709"/>
        <w:contextualSpacing/>
        <w:jc w:val="both"/>
        <w:rPr>
          <w:rFonts w:ascii="Verdana" w:hAnsi="Verdana" w:cs="Arial"/>
          <w:sz w:val="16"/>
          <w:szCs w:val="16"/>
        </w:rPr>
      </w:pPr>
    </w:p>
  </w:footnote>
  <w:footnote w:id="7">
    <w:p w14:paraId="34D8A13B" w14:textId="77777777" w:rsidR="008A19CC" w:rsidRPr="00BE126A" w:rsidRDefault="008A19CC" w:rsidP="008A19CC">
      <w:pPr>
        <w:spacing w:after="0" w:line="240" w:lineRule="auto"/>
        <w:ind w:firstLine="709"/>
        <w:contextualSpacing/>
        <w:jc w:val="both"/>
        <w:rPr>
          <w:rFonts w:ascii="Verdana" w:eastAsia="Times New Roman" w:hAnsi="Verdana" w:cs="Arial"/>
          <w:sz w:val="16"/>
          <w:szCs w:val="16"/>
        </w:rPr>
      </w:pPr>
      <w:r w:rsidRPr="00BE126A">
        <w:rPr>
          <w:rStyle w:val="Refdenotaalpie"/>
          <w:rFonts w:ascii="Verdana" w:hAnsi="Verdana" w:cs="Arial"/>
          <w:sz w:val="16"/>
          <w:szCs w:val="16"/>
        </w:rPr>
        <w:footnoteRef/>
      </w:r>
      <w:r w:rsidRPr="00BE126A">
        <w:rPr>
          <w:rFonts w:ascii="Verdana" w:hAnsi="Verdana" w:cs="Arial"/>
          <w:sz w:val="16"/>
          <w:szCs w:val="16"/>
        </w:rPr>
        <w:t xml:space="preserve"> </w:t>
      </w:r>
      <w:bookmarkStart w:id="4" w:name="33"/>
      <w:r w:rsidRPr="00BE126A">
        <w:rPr>
          <w:rFonts w:ascii="Verdana" w:eastAsia="Calibri" w:hAnsi="Verdana" w:cs="Arial"/>
          <w:bCs/>
          <w:color w:val="000000"/>
          <w:sz w:val="16"/>
          <w:szCs w:val="16"/>
        </w:rPr>
        <w:t>“</w:t>
      </w:r>
      <w:r w:rsidRPr="00BE126A">
        <w:rPr>
          <w:rFonts w:ascii="Verdana" w:eastAsia="Times New Roman" w:hAnsi="Verdana" w:cs="Arial"/>
          <w:sz w:val="16"/>
          <w:szCs w:val="16"/>
        </w:rPr>
        <w:t>Artículo 33. Restricciones a la contratación pública.</w:t>
      </w:r>
      <w:bookmarkEnd w:id="4"/>
      <w:r w:rsidRPr="00BE126A">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75AE250E" w14:textId="77777777" w:rsidR="008A19CC" w:rsidRDefault="008A19CC" w:rsidP="008A19CC">
      <w:pPr>
        <w:spacing w:after="0" w:line="240" w:lineRule="auto"/>
        <w:ind w:firstLine="709"/>
        <w:contextualSpacing/>
        <w:jc w:val="both"/>
        <w:rPr>
          <w:rFonts w:ascii="Verdana" w:eastAsia="Times New Roman" w:hAnsi="Verdana" w:cs="Arial"/>
          <w:sz w:val="16"/>
          <w:szCs w:val="16"/>
        </w:rPr>
      </w:pPr>
      <w:r w:rsidRPr="00BE126A">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34D07502" w14:textId="77777777" w:rsidR="008A19CC" w:rsidRPr="00BE126A" w:rsidRDefault="008A19CC" w:rsidP="008A19CC">
      <w:pPr>
        <w:spacing w:after="0" w:line="240" w:lineRule="auto"/>
        <w:ind w:firstLine="709"/>
        <w:contextualSpacing/>
        <w:jc w:val="both"/>
        <w:rPr>
          <w:rFonts w:ascii="Verdana" w:eastAsia="Times New Roman" w:hAnsi="Verdana" w:cs="Arial"/>
          <w:sz w:val="16"/>
          <w:szCs w:val="16"/>
        </w:rPr>
      </w:pPr>
    </w:p>
  </w:footnote>
  <w:footnote w:id="8">
    <w:p w14:paraId="3C25AF5C" w14:textId="77777777" w:rsidR="008A19CC" w:rsidRPr="00BE126A" w:rsidRDefault="008A19CC" w:rsidP="008A19CC">
      <w:pPr>
        <w:pStyle w:val="NormalWeb"/>
        <w:spacing w:before="0" w:beforeAutospacing="0" w:after="0" w:afterAutospacing="0"/>
        <w:ind w:firstLine="709"/>
        <w:contextualSpacing/>
        <w:jc w:val="both"/>
        <w:rPr>
          <w:rFonts w:ascii="Verdana" w:hAnsi="Verdana" w:cs="Arial"/>
          <w:sz w:val="16"/>
          <w:szCs w:val="16"/>
          <w:lang w:val="es-MX"/>
        </w:rPr>
      </w:pPr>
      <w:r w:rsidRPr="00BE126A">
        <w:rPr>
          <w:rStyle w:val="Refdenotaalpie"/>
          <w:rFonts w:ascii="Verdana" w:hAnsi="Verdana" w:cs="Arial"/>
          <w:sz w:val="16"/>
          <w:szCs w:val="16"/>
        </w:rPr>
        <w:footnoteRef/>
      </w:r>
      <w:r w:rsidRPr="00BE126A">
        <w:rPr>
          <w:rFonts w:ascii="Verdana" w:hAnsi="Verdana" w:cs="Arial"/>
          <w:sz w:val="16"/>
          <w:szCs w:val="16"/>
        </w:rPr>
        <w:t xml:space="preserve"> </w:t>
      </w:r>
      <w:bookmarkStart w:id="5" w:name="38"/>
      <w:r w:rsidRPr="00BE126A">
        <w:rPr>
          <w:rFonts w:ascii="Verdana" w:eastAsia="Calibri" w:hAnsi="Verdana" w:cs="Arial"/>
          <w:bCs/>
          <w:color w:val="000000"/>
          <w:sz w:val="16"/>
          <w:szCs w:val="16"/>
        </w:rPr>
        <w:t>“</w:t>
      </w:r>
      <w:r w:rsidRPr="00BE126A">
        <w:rPr>
          <w:rFonts w:ascii="Verdana" w:hAnsi="Verdana" w:cs="Arial"/>
          <w:sz w:val="16"/>
          <w:szCs w:val="16"/>
          <w:lang w:val="es-MX"/>
        </w:rPr>
        <w:t>Artículo 38. Prohibiciones para los servidores públicos. A los empleados del Estado les está prohibido:</w:t>
      </w:r>
      <w:bookmarkEnd w:id="5"/>
    </w:p>
    <w:p w14:paraId="0CC529E7" w14:textId="77777777" w:rsidR="008A19CC" w:rsidRPr="00BE126A" w:rsidRDefault="008A19CC" w:rsidP="008A19CC">
      <w:pPr>
        <w:pStyle w:val="NormalWeb"/>
        <w:spacing w:before="0" w:beforeAutospacing="0" w:after="0" w:afterAutospacing="0"/>
        <w:ind w:firstLine="709"/>
        <w:contextualSpacing/>
        <w:jc w:val="both"/>
        <w:rPr>
          <w:rFonts w:ascii="Verdana" w:hAnsi="Verdana" w:cs="Arial"/>
          <w:sz w:val="16"/>
          <w:szCs w:val="16"/>
          <w:lang w:val="es-MX"/>
        </w:rPr>
      </w:pPr>
      <w:r>
        <w:rPr>
          <w:rFonts w:ascii="Verdana" w:hAnsi="Verdana" w:cs="Arial"/>
          <w:sz w:val="16"/>
          <w:szCs w:val="16"/>
          <w:lang w:val="es-MX"/>
        </w:rPr>
        <w:t>(…)</w:t>
      </w:r>
    </w:p>
    <w:p w14:paraId="02E52F5B" w14:textId="77777777" w:rsidR="008A19CC" w:rsidRDefault="008A19CC" w:rsidP="008A19CC">
      <w:pPr>
        <w:pStyle w:val="NormalWeb"/>
        <w:spacing w:before="0" w:beforeAutospacing="0" w:after="0" w:afterAutospacing="0"/>
        <w:ind w:firstLine="709"/>
        <w:contextualSpacing/>
        <w:jc w:val="both"/>
        <w:rPr>
          <w:rFonts w:ascii="Verdana" w:eastAsia="Calibri" w:hAnsi="Verdana" w:cs="Arial"/>
          <w:bCs/>
          <w:color w:val="000000"/>
          <w:sz w:val="16"/>
          <w:szCs w:val="16"/>
        </w:rPr>
      </w:pPr>
      <w:r w:rsidRPr="00BE126A">
        <w:rPr>
          <w:rStyle w:val="baj"/>
          <w:rFonts w:ascii="Verdana" w:hAnsi="Verdana" w:cs="Arial"/>
          <w:sz w:val="16"/>
          <w:szCs w:val="16"/>
          <w:lang w:val="es-MX"/>
        </w:rPr>
        <w:t>Parágrafo.</w:t>
      </w:r>
      <w:r w:rsidRPr="00BE126A">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BE126A">
        <w:rPr>
          <w:rFonts w:ascii="Verdana" w:eastAsia="Calibri" w:hAnsi="Verdana" w:cs="Arial"/>
          <w:bCs/>
          <w:color w:val="000000"/>
          <w:sz w:val="16"/>
          <w:szCs w:val="16"/>
        </w:rPr>
        <w:t>”</w:t>
      </w:r>
      <w:r>
        <w:rPr>
          <w:rFonts w:ascii="Verdana" w:eastAsia="Calibri" w:hAnsi="Verdana" w:cs="Arial"/>
          <w:bCs/>
          <w:color w:val="000000"/>
          <w:sz w:val="16"/>
          <w:szCs w:val="16"/>
        </w:rPr>
        <w:t>.</w:t>
      </w:r>
    </w:p>
    <w:p w14:paraId="2D565E85" w14:textId="77777777" w:rsidR="008A19CC" w:rsidRPr="00BE126A" w:rsidRDefault="008A19CC" w:rsidP="008A19CC">
      <w:pPr>
        <w:pStyle w:val="NormalWeb"/>
        <w:spacing w:before="0" w:beforeAutospacing="0" w:after="0" w:afterAutospacing="0"/>
        <w:ind w:firstLine="709"/>
        <w:contextualSpacing/>
        <w:jc w:val="both"/>
        <w:rPr>
          <w:rFonts w:ascii="Verdana" w:hAnsi="Verdana" w:cs="Arial"/>
          <w:sz w:val="16"/>
          <w:szCs w:val="16"/>
          <w:lang w:val="es-MX"/>
        </w:rPr>
      </w:pPr>
    </w:p>
  </w:footnote>
  <w:footnote w:id="9">
    <w:p w14:paraId="6574F174" w14:textId="77777777" w:rsidR="008A19CC" w:rsidRPr="00BE126A" w:rsidRDefault="008A19CC" w:rsidP="008A19CC">
      <w:pPr>
        <w:spacing w:after="0" w:line="240" w:lineRule="auto"/>
        <w:ind w:left="100" w:right="244" w:firstLine="709"/>
        <w:contextualSpacing/>
        <w:jc w:val="both"/>
        <w:rPr>
          <w:rFonts w:ascii="Verdana" w:hAnsi="Verdana" w:cs="Arial"/>
          <w:sz w:val="16"/>
          <w:szCs w:val="16"/>
          <w:lang w:val="es-ES"/>
        </w:rPr>
      </w:pPr>
      <w:r w:rsidRPr="00BE126A">
        <w:rPr>
          <w:rStyle w:val="Refdenotaalpie"/>
          <w:rFonts w:ascii="Verdana" w:hAnsi="Verdana" w:cs="Arial"/>
          <w:sz w:val="16"/>
          <w:szCs w:val="16"/>
        </w:rPr>
        <w:footnoteRef/>
      </w:r>
      <w:r w:rsidRPr="00BE126A">
        <w:rPr>
          <w:rFonts w:ascii="Verdana" w:hAnsi="Verdana" w:cs="Arial"/>
          <w:sz w:val="16"/>
          <w:szCs w:val="16"/>
        </w:rPr>
        <w:t xml:space="preserve"> </w:t>
      </w:r>
      <w:r w:rsidRPr="00A04AF0">
        <w:rPr>
          <w:rFonts w:ascii="Verdana" w:hAnsi="Verdana" w:cs="Arial"/>
          <w:sz w:val="16"/>
          <w:szCs w:val="16"/>
        </w:rPr>
        <w:t>Consejo de Estado. Sala de Consulta y Servicio Civil. Concepto del 17 de febrero de 2015.</w:t>
      </w:r>
      <w:r>
        <w:rPr>
          <w:rFonts w:ascii="Verdana" w:hAnsi="Verdana" w:cs="Arial"/>
          <w:sz w:val="16"/>
          <w:szCs w:val="16"/>
        </w:rPr>
        <w:t xml:space="preserve"> </w:t>
      </w:r>
      <w:r w:rsidRPr="00A04AF0">
        <w:rPr>
          <w:rFonts w:ascii="Verdana" w:hAnsi="Verdana" w:cs="Arial"/>
          <w:sz w:val="16"/>
          <w:szCs w:val="16"/>
        </w:rPr>
        <w:t>Radicado: 11001-03-06-000-2015-00164-00 (2269). C.P. William Zambrano Cetina</w:t>
      </w:r>
      <w:r w:rsidRPr="00BE126A">
        <w:rPr>
          <w:rFonts w:ascii="Verdana" w:hAnsi="Verdana" w:cs="Arial"/>
          <w:sz w:val="16"/>
          <w:szCs w:val="16"/>
        </w:rPr>
        <w:t>.</w:t>
      </w:r>
    </w:p>
  </w:footnote>
  <w:footnote w:id="10">
    <w:p w14:paraId="525FD784" w14:textId="77777777" w:rsidR="008A19CC" w:rsidRDefault="008A19CC" w:rsidP="008A19CC">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sz w:val="16"/>
          <w:szCs w:val="16"/>
          <w:lang w:val="es-ES"/>
        </w:rPr>
        <w:t xml:space="preserve">[25] </w:t>
      </w:r>
      <w:r w:rsidRPr="00CE0D82">
        <w:rPr>
          <w:rFonts w:ascii="Verdana" w:hAnsi="Verdana" w:cs="Arial"/>
          <w:sz w:val="16"/>
          <w:szCs w:val="16"/>
        </w:rPr>
        <w:t>Cfr. Consejo de Estado. Sección Tercera. Sentencia de 3 de diciembre de 2007. Radicados: 24.715, 25.206, 25.409, 24.524, 27.834, 25.410, 26.105, 28.244, 31.447 -acumulados-</w:t>
      </w:r>
      <w:r>
        <w:rPr>
          <w:rFonts w:ascii="Verdana" w:hAnsi="Verdana" w:cs="Arial"/>
          <w:sz w:val="16"/>
          <w:szCs w:val="16"/>
        </w:rPr>
        <w:t>“</w:t>
      </w:r>
      <w:r w:rsidRPr="00CE0D82">
        <w:rPr>
          <w:rFonts w:ascii="Verdana" w:hAnsi="Verdana" w:cs="Arial"/>
          <w:sz w:val="16"/>
          <w:szCs w:val="16"/>
        </w:rPr>
        <w:t>.</w:t>
      </w:r>
    </w:p>
    <w:p w14:paraId="41DBBDC4" w14:textId="77777777" w:rsidR="008A19CC" w:rsidRPr="00CE0D82" w:rsidRDefault="008A19CC" w:rsidP="008A19CC">
      <w:pPr>
        <w:pStyle w:val="Textonotapie"/>
        <w:ind w:firstLine="709"/>
        <w:contextualSpacing/>
        <w:jc w:val="both"/>
        <w:rPr>
          <w:rFonts w:ascii="Verdana" w:hAnsi="Verdana" w:cs="Arial"/>
          <w:sz w:val="16"/>
          <w:szCs w:val="16"/>
        </w:rPr>
      </w:pPr>
    </w:p>
  </w:footnote>
  <w:footnote w:id="11">
    <w:p w14:paraId="260BE7BD" w14:textId="77777777" w:rsidR="008A19CC" w:rsidRDefault="008A19CC" w:rsidP="008A19CC">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bookmarkStart w:id="13" w:name="_Hlk74294506"/>
      <w:r w:rsidRPr="00CE0D82">
        <w:rPr>
          <w:rFonts w:ascii="Verdana" w:hAnsi="Verdana" w:cs="Arial"/>
          <w:sz w:val="16"/>
          <w:szCs w:val="16"/>
        </w:rPr>
        <w:t>“</w:t>
      </w:r>
      <w:r w:rsidRPr="00CE0D82">
        <w:rPr>
          <w:rFonts w:ascii="Verdana" w:hAnsi="Verdana" w:cs="Arial"/>
          <w:sz w:val="16"/>
          <w:szCs w:val="16"/>
          <w:lang w:val="es-ES"/>
        </w:rPr>
        <w:t xml:space="preserve">[26] </w:t>
      </w:r>
      <w:bookmarkEnd w:id="13"/>
      <w:r w:rsidRPr="00CE0D82">
        <w:rPr>
          <w:rFonts w:ascii="Verdana" w:hAnsi="Verdana" w:cs="Arial"/>
          <w:sz w:val="16"/>
          <w:szCs w:val="16"/>
        </w:rPr>
        <w:t>Al respecto ver el concepto 1712 de 2 de febrero de 2006. Consejo de Estado Sala de Consulta y Servicio Civil”.</w:t>
      </w:r>
    </w:p>
    <w:p w14:paraId="31C607D7" w14:textId="77777777" w:rsidR="008A19CC" w:rsidRPr="00CE0D82" w:rsidRDefault="008A19CC" w:rsidP="008A19CC">
      <w:pPr>
        <w:pStyle w:val="Textonotapie"/>
        <w:ind w:firstLine="709"/>
        <w:contextualSpacing/>
        <w:jc w:val="both"/>
        <w:rPr>
          <w:rFonts w:ascii="Verdana" w:hAnsi="Verdana" w:cs="Arial"/>
          <w:sz w:val="16"/>
          <w:szCs w:val="16"/>
        </w:rPr>
      </w:pPr>
    </w:p>
  </w:footnote>
  <w:footnote w:id="12">
    <w:p w14:paraId="15279634" w14:textId="77777777" w:rsidR="008A19CC" w:rsidRDefault="008A19CC" w:rsidP="008A19CC">
      <w:pPr>
        <w:pStyle w:val="Textonotapie"/>
        <w:ind w:firstLine="709"/>
        <w:contextualSpacing/>
        <w:jc w:val="both"/>
        <w:rPr>
          <w:rFonts w:ascii="Verdana" w:hAnsi="Verdana" w:cs="Arial"/>
          <w:sz w:val="16"/>
          <w:szCs w:val="16"/>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235FCF">
        <w:rPr>
          <w:rFonts w:ascii="Verdana" w:hAnsi="Verdana" w:cs="Arial"/>
          <w:sz w:val="16"/>
          <w:szCs w:val="16"/>
        </w:rPr>
        <w:t>Consejo de Estado. Sala de Consulta y Servicio Civil. Concepto del 2 de septiembre de 2013. Radicación número: 11001-03-06-000-2013-00412-00 (2168). C</w:t>
      </w:r>
      <w:r>
        <w:rPr>
          <w:rFonts w:ascii="Verdana" w:hAnsi="Verdana" w:cs="Arial"/>
          <w:sz w:val="16"/>
          <w:szCs w:val="16"/>
        </w:rPr>
        <w:t>.P</w:t>
      </w:r>
      <w:r w:rsidRPr="00235FCF">
        <w:rPr>
          <w:rFonts w:ascii="Verdana" w:hAnsi="Verdana" w:cs="Arial"/>
          <w:sz w:val="16"/>
          <w:szCs w:val="16"/>
        </w:rPr>
        <w:t>: Álvaro Namén Vargas.</w:t>
      </w:r>
    </w:p>
    <w:p w14:paraId="2ABA0D3A" w14:textId="77777777" w:rsidR="008A19CC" w:rsidRPr="005800D0" w:rsidRDefault="008A19CC" w:rsidP="008A19CC">
      <w:pPr>
        <w:pStyle w:val="Textonotapie"/>
        <w:ind w:firstLine="709"/>
        <w:contextualSpacing/>
        <w:jc w:val="both"/>
        <w:rPr>
          <w:rFonts w:ascii="Verdana" w:hAnsi="Verdana" w:cs="Arial"/>
          <w:sz w:val="16"/>
          <w:szCs w:val="16"/>
        </w:rPr>
      </w:pPr>
    </w:p>
  </w:footnote>
  <w:footnote w:id="13">
    <w:p w14:paraId="3E9A36B9" w14:textId="77777777" w:rsidR="008A19CC" w:rsidRDefault="008A19CC" w:rsidP="008A19CC">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sz w:val="16"/>
          <w:szCs w:val="16"/>
          <w:lang w:val="es-ES"/>
        </w:rPr>
        <w:t xml:space="preserve">Artículo 2. </w:t>
      </w:r>
    </w:p>
    <w:p w14:paraId="3D322A14" w14:textId="77777777" w:rsidR="008A19CC" w:rsidRPr="00CE0D82" w:rsidRDefault="008A19CC" w:rsidP="008A19CC">
      <w:pPr>
        <w:pStyle w:val="Textonotapie"/>
        <w:ind w:firstLine="709"/>
        <w:contextualSpacing/>
        <w:rPr>
          <w:rFonts w:ascii="Verdana" w:hAnsi="Verdana" w:cs="Arial"/>
          <w:sz w:val="16"/>
          <w:szCs w:val="16"/>
          <w:lang w:val="es-ES"/>
        </w:rPr>
      </w:pPr>
    </w:p>
  </w:footnote>
  <w:footnote w:id="14">
    <w:p w14:paraId="4885170F" w14:textId="77777777" w:rsidR="008A19CC" w:rsidRDefault="008A19CC" w:rsidP="008A19CC">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Fonts w:ascii="Verdana" w:hAnsi="Verdana" w:cs="Arial"/>
          <w:sz w:val="16"/>
          <w:szCs w:val="16"/>
        </w:rPr>
        <w:t xml:space="preserve"> </w:t>
      </w:r>
      <w:r w:rsidRPr="00CE0D82">
        <w:rPr>
          <w:rFonts w:ascii="Verdana" w:hAnsi="Verdana" w:cs="Arial"/>
          <w:i/>
          <w:sz w:val="16"/>
          <w:szCs w:val="16"/>
          <w:lang w:val="es-ES"/>
        </w:rPr>
        <w:t>Ídem</w:t>
      </w:r>
      <w:r w:rsidRPr="00CE0D82">
        <w:rPr>
          <w:rFonts w:ascii="Verdana" w:hAnsi="Verdana" w:cs="Arial"/>
          <w:sz w:val="16"/>
          <w:szCs w:val="16"/>
          <w:lang w:val="es-ES"/>
        </w:rPr>
        <w:t>.</w:t>
      </w:r>
    </w:p>
    <w:p w14:paraId="34D27377" w14:textId="77777777" w:rsidR="008A19CC" w:rsidRPr="00CE0D82" w:rsidRDefault="008A19CC" w:rsidP="008A19CC">
      <w:pPr>
        <w:pStyle w:val="Textonotapie"/>
        <w:ind w:firstLine="709"/>
        <w:contextualSpacing/>
        <w:rPr>
          <w:rFonts w:ascii="Verdana" w:hAnsi="Verdana" w:cs="Arial"/>
          <w:sz w:val="16"/>
          <w:szCs w:val="16"/>
          <w:lang w:val="es-ES"/>
        </w:rPr>
      </w:pPr>
    </w:p>
  </w:footnote>
  <w:footnote w:id="15">
    <w:p w14:paraId="08A46DFB" w14:textId="77777777" w:rsidR="008A19CC" w:rsidRDefault="008A19CC" w:rsidP="008A19CC">
      <w:pPr>
        <w:pStyle w:val="Textonotapie"/>
        <w:ind w:firstLine="709"/>
        <w:contextualSpacing/>
        <w:rPr>
          <w:rFonts w:ascii="Verdana" w:hAnsi="Verdana" w:cs="Arial"/>
          <w:sz w:val="16"/>
          <w:szCs w:val="16"/>
          <w:lang w:val="es-ES"/>
        </w:rPr>
      </w:pPr>
      <w:r w:rsidRPr="00CE0D82">
        <w:rPr>
          <w:rStyle w:val="Refdenotaalpie"/>
          <w:rFonts w:ascii="Verdana" w:hAnsi="Verdana" w:cs="Arial"/>
          <w:sz w:val="16"/>
          <w:szCs w:val="16"/>
        </w:rPr>
        <w:footnoteRef/>
      </w:r>
      <w:r w:rsidRPr="00CE0D82">
        <w:rPr>
          <w:rStyle w:val="Refdenotaalpie"/>
          <w:rFonts w:ascii="Verdana" w:hAnsi="Verdana" w:cs="Arial"/>
          <w:sz w:val="16"/>
          <w:szCs w:val="16"/>
        </w:rPr>
        <w:t xml:space="preserve"> </w:t>
      </w:r>
      <w:r w:rsidRPr="00CE0D82">
        <w:rPr>
          <w:rFonts w:ascii="Verdana" w:hAnsi="Verdana" w:cs="Arial"/>
          <w:sz w:val="16"/>
          <w:szCs w:val="16"/>
          <w:lang w:val="es-ES"/>
        </w:rPr>
        <w:t xml:space="preserve">[…] A este respecto, cabe recordar que el artículo 860 del Código de Comercio regula la licitación en el derecho privado. </w:t>
      </w:r>
    </w:p>
    <w:p w14:paraId="271BF02E" w14:textId="77777777" w:rsidR="008A19CC" w:rsidRPr="00CE0D82" w:rsidRDefault="008A19CC" w:rsidP="008A19CC">
      <w:pPr>
        <w:pStyle w:val="Textonotapie"/>
        <w:ind w:firstLine="709"/>
        <w:contextualSpacing/>
        <w:rPr>
          <w:rFonts w:ascii="Verdana" w:hAnsi="Verdana" w:cs="Arial"/>
          <w:sz w:val="16"/>
          <w:szCs w:val="16"/>
          <w:lang w:val="es-ES"/>
        </w:rPr>
      </w:pPr>
    </w:p>
  </w:footnote>
  <w:footnote w:id="16">
    <w:p w14:paraId="75D9DED0" w14:textId="77777777" w:rsidR="008A19CC" w:rsidRDefault="008A19CC" w:rsidP="008A19CC">
      <w:pPr>
        <w:shd w:val="clear" w:color="auto" w:fill="FFFFFF"/>
        <w:spacing w:after="0" w:line="240" w:lineRule="auto"/>
        <w:ind w:firstLine="709"/>
        <w:contextualSpacing/>
        <w:jc w:val="both"/>
        <w:rPr>
          <w:rFonts w:ascii="Verdana" w:hAnsi="Verdana" w:cs="Arial"/>
          <w:sz w:val="16"/>
          <w:szCs w:val="16"/>
          <w:lang w:val="es-ES"/>
        </w:rPr>
      </w:pPr>
      <w:r w:rsidRPr="00CE0D82">
        <w:rPr>
          <w:rStyle w:val="Refdenotaalpie"/>
          <w:rFonts w:ascii="Verdana" w:hAnsi="Verdana" w:cs="Arial"/>
          <w:sz w:val="16"/>
          <w:szCs w:val="16"/>
        </w:rPr>
        <w:footnoteRef/>
      </w:r>
      <w:r w:rsidRPr="00CE0D82">
        <w:rPr>
          <w:rStyle w:val="Refdenotaalpie"/>
          <w:rFonts w:ascii="Verdana" w:hAnsi="Verdana" w:cs="Arial"/>
          <w:sz w:val="16"/>
          <w:szCs w:val="16"/>
        </w:rPr>
        <w:t xml:space="preserve"> </w:t>
      </w:r>
      <w:r w:rsidRPr="00CE0D82">
        <w:rPr>
          <w:rFonts w:ascii="Verdana" w:hAnsi="Verdana" w:cs="Arial"/>
          <w:sz w:val="16"/>
          <w:szCs w:val="16"/>
          <w:lang w:val="es-ES"/>
        </w:rPr>
        <w:t>Consejo de Estado. Sala de Consulta y Servicio Civil, Concepto de 8 de mayo de 2018. Radicación Número: 11001-03-06-000-2018-00095-00</w:t>
      </w:r>
      <w:r>
        <w:rPr>
          <w:rFonts w:ascii="Verdana" w:hAnsi="Verdana" w:cs="Arial"/>
          <w:sz w:val="16"/>
          <w:szCs w:val="16"/>
          <w:lang w:val="es-ES"/>
        </w:rPr>
        <w:t xml:space="preserve"> </w:t>
      </w:r>
      <w:r w:rsidRPr="00CE0D82">
        <w:rPr>
          <w:rFonts w:ascii="Verdana" w:hAnsi="Verdana" w:cs="Arial"/>
          <w:sz w:val="16"/>
          <w:szCs w:val="16"/>
          <w:lang w:val="es-ES"/>
        </w:rPr>
        <w:t xml:space="preserve">(2382). </w:t>
      </w:r>
      <w:r>
        <w:rPr>
          <w:rFonts w:ascii="Verdana" w:hAnsi="Verdana" w:cs="Arial"/>
          <w:sz w:val="16"/>
          <w:szCs w:val="16"/>
          <w:lang w:val="es-ES"/>
        </w:rPr>
        <w:t>C.P:</w:t>
      </w:r>
      <w:r w:rsidRPr="00CE0D82">
        <w:rPr>
          <w:rFonts w:ascii="Verdana" w:hAnsi="Verdana" w:cs="Arial"/>
          <w:sz w:val="16"/>
          <w:szCs w:val="16"/>
          <w:lang w:val="es-ES"/>
        </w:rPr>
        <w:t xml:space="preserve"> Álvaro Namén Vargas</w:t>
      </w:r>
      <w:r w:rsidRPr="005800D0">
        <w:rPr>
          <w:rFonts w:ascii="Verdana" w:hAnsi="Verdana" w:cs="Arial"/>
          <w:sz w:val="16"/>
          <w:szCs w:val="16"/>
          <w:lang w:val="es-ES"/>
        </w:rPr>
        <w:t>.</w:t>
      </w:r>
    </w:p>
    <w:p w14:paraId="4245C40E" w14:textId="77777777" w:rsidR="008A19CC" w:rsidRPr="005800D0" w:rsidRDefault="008A19CC" w:rsidP="008A19CC">
      <w:pPr>
        <w:shd w:val="clear" w:color="auto" w:fill="FFFFFF"/>
        <w:spacing w:after="0" w:line="240" w:lineRule="auto"/>
        <w:ind w:firstLine="709"/>
        <w:contextualSpacing/>
        <w:jc w:val="both"/>
        <w:rPr>
          <w:rFonts w:ascii="Verdana" w:hAnsi="Verdana" w:cs="Arial"/>
          <w:sz w:val="16"/>
          <w:szCs w:val="16"/>
          <w:lang w:val="es-ES"/>
        </w:rPr>
      </w:pPr>
    </w:p>
  </w:footnote>
  <w:footnote w:id="17">
    <w:p w14:paraId="097F158C" w14:textId="77777777" w:rsidR="008A19CC" w:rsidRDefault="008A19CC" w:rsidP="008A19CC">
      <w:pPr>
        <w:pStyle w:val="Textonotapie"/>
        <w:ind w:firstLine="709"/>
        <w:contextualSpacing/>
        <w:jc w:val="both"/>
        <w:rPr>
          <w:rFonts w:ascii="Verdana" w:hAnsi="Verdana" w:cs="Arial"/>
          <w:sz w:val="16"/>
          <w:szCs w:val="16"/>
        </w:rPr>
      </w:pPr>
      <w:r w:rsidRPr="00195E24">
        <w:rPr>
          <w:rStyle w:val="Refdenotaalpie"/>
          <w:rFonts w:ascii="Verdana" w:hAnsi="Verdana" w:cs="Arial"/>
          <w:sz w:val="16"/>
          <w:szCs w:val="16"/>
        </w:rPr>
        <w:footnoteRef/>
      </w:r>
      <w:r w:rsidRPr="00195E24">
        <w:rPr>
          <w:rFonts w:ascii="Verdana" w:hAnsi="Verdana" w:cs="Arial"/>
          <w:sz w:val="16"/>
          <w:szCs w:val="16"/>
        </w:rPr>
        <w:t xml:space="preserve"> Consejo de Estado. Sala de Consulta y Servicio Civil. Concepto del 08 de mayo de 2018. Exp. 2.382. C.P. Álvaro Namén Vargas.</w:t>
      </w:r>
    </w:p>
    <w:p w14:paraId="6B6A41C5" w14:textId="77777777" w:rsidR="008A19CC" w:rsidRPr="00195E24" w:rsidRDefault="008A19CC" w:rsidP="008A19CC">
      <w:pPr>
        <w:pStyle w:val="Textonotapie"/>
        <w:ind w:firstLine="709"/>
        <w:contextualSpacing/>
        <w:jc w:val="both"/>
        <w:rPr>
          <w:rFonts w:ascii="Verdana" w:hAnsi="Verdana" w:cs="Arial"/>
          <w:sz w:val="16"/>
          <w:szCs w:val="16"/>
        </w:rPr>
      </w:pPr>
    </w:p>
  </w:footnote>
  <w:footnote w:id="18">
    <w:p w14:paraId="666A1F52" w14:textId="77777777" w:rsidR="008A19CC" w:rsidRPr="00195E24" w:rsidRDefault="008A19CC" w:rsidP="008A19CC">
      <w:pPr>
        <w:pStyle w:val="Textonotapie"/>
        <w:ind w:firstLine="708"/>
        <w:contextualSpacing/>
        <w:jc w:val="both"/>
        <w:rPr>
          <w:rFonts w:ascii="Verdana" w:hAnsi="Verdana" w:cs="Arial"/>
          <w:sz w:val="16"/>
          <w:szCs w:val="16"/>
        </w:rPr>
      </w:pPr>
      <w:r w:rsidRPr="00195E24">
        <w:rPr>
          <w:rStyle w:val="Refdenotaalpie"/>
          <w:rFonts w:ascii="Verdana" w:hAnsi="Verdana" w:cs="Arial"/>
          <w:sz w:val="16"/>
          <w:szCs w:val="16"/>
        </w:rPr>
        <w:footnoteRef/>
      </w:r>
      <w:r w:rsidRPr="00195E24">
        <w:rPr>
          <w:rFonts w:ascii="Verdana" w:hAnsi="Verdana" w:cs="Arial"/>
          <w:sz w:val="16"/>
          <w:szCs w:val="16"/>
        </w:rPr>
        <w:t xml:space="preserve"> Ley 489 de 1998: “Artículo 85. Empresas industriales y comerciales del Estado. Las empresas industriales y comerciales del Estado son organismos creados por la ley o autorizados por ésta, que desarrollan actividades de naturaleza industrial o comercial y de gestión económica conforme a las reglas del Derecho Privado, salvo las excepciones que consagra la ley, y que reúnen las siguientes características: </w:t>
      </w:r>
    </w:p>
    <w:p w14:paraId="10407744" w14:textId="77777777" w:rsidR="008A19CC" w:rsidRPr="00195E24" w:rsidRDefault="008A19CC" w:rsidP="008A19CC">
      <w:pPr>
        <w:pStyle w:val="Textonotapie"/>
        <w:ind w:firstLine="708"/>
        <w:contextualSpacing/>
        <w:jc w:val="both"/>
        <w:rPr>
          <w:rFonts w:ascii="Verdana" w:hAnsi="Verdana" w:cs="Arial"/>
          <w:sz w:val="16"/>
          <w:szCs w:val="16"/>
        </w:rPr>
      </w:pPr>
      <w:r w:rsidRPr="00195E24">
        <w:rPr>
          <w:rFonts w:ascii="Verdana" w:hAnsi="Verdana" w:cs="Arial"/>
          <w:sz w:val="16"/>
          <w:szCs w:val="16"/>
        </w:rPr>
        <w:t xml:space="preserve">a) Personería jurídica; </w:t>
      </w:r>
    </w:p>
    <w:p w14:paraId="142C2374" w14:textId="77777777" w:rsidR="008A19CC" w:rsidRPr="00195E24" w:rsidRDefault="008A19CC" w:rsidP="008A19CC">
      <w:pPr>
        <w:pStyle w:val="Textonotapie"/>
        <w:ind w:firstLine="708"/>
        <w:contextualSpacing/>
        <w:jc w:val="both"/>
        <w:rPr>
          <w:rFonts w:ascii="Verdana" w:hAnsi="Verdana" w:cs="Arial"/>
          <w:sz w:val="16"/>
          <w:szCs w:val="16"/>
        </w:rPr>
      </w:pPr>
      <w:r w:rsidRPr="00195E24">
        <w:rPr>
          <w:rFonts w:ascii="Verdana" w:hAnsi="Verdana" w:cs="Arial"/>
          <w:sz w:val="16"/>
          <w:szCs w:val="16"/>
        </w:rPr>
        <w:t xml:space="preserve">b) Autonomía administrativa y financiera; </w:t>
      </w:r>
    </w:p>
    <w:p w14:paraId="7C58D202" w14:textId="77777777" w:rsidR="008A19CC" w:rsidRDefault="008A19CC" w:rsidP="008A19CC">
      <w:pPr>
        <w:pStyle w:val="Textonotapie"/>
        <w:ind w:firstLine="708"/>
        <w:contextualSpacing/>
        <w:jc w:val="both"/>
        <w:rPr>
          <w:rFonts w:ascii="Verdana" w:hAnsi="Verdana" w:cs="Arial"/>
          <w:sz w:val="16"/>
          <w:szCs w:val="16"/>
        </w:rPr>
      </w:pPr>
      <w:r w:rsidRPr="00195E24">
        <w:rPr>
          <w:rFonts w:ascii="Verdana" w:hAnsi="Verdana" w:cs="Arial"/>
          <w:sz w:val="16"/>
          <w:szCs w:val="16"/>
        </w:rPr>
        <w:t>c) Capital independiente, constituido totalmente con bienes o fondos públicos comunes, los productos de ellos, o el rendimiento de tasas que perciban por las funciones o servicios, y contribuciones de destinación especial en los casos autorizados por la Constitución</w:t>
      </w:r>
      <w:r>
        <w:rPr>
          <w:rFonts w:ascii="Verdana" w:hAnsi="Verdana" w:cs="Arial"/>
          <w:sz w:val="16"/>
          <w:szCs w:val="16"/>
        </w:rPr>
        <w:t>.</w:t>
      </w:r>
      <w:r w:rsidRPr="00CE0D82">
        <w:rPr>
          <w:rFonts w:ascii="Verdana" w:hAnsi="Verdana" w:cs="Arial"/>
          <w:sz w:val="16"/>
          <w:szCs w:val="16"/>
        </w:rPr>
        <w:t xml:space="preserve"> </w:t>
      </w:r>
    </w:p>
    <w:p w14:paraId="767D91C1" w14:textId="77777777" w:rsidR="008A19CC" w:rsidRPr="005800D0" w:rsidRDefault="008A19CC" w:rsidP="008A19CC">
      <w:pPr>
        <w:pStyle w:val="Textonotapie"/>
        <w:ind w:firstLine="708"/>
        <w:contextualSpacing/>
        <w:jc w:val="both"/>
        <w:rPr>
          <w:rFonts w:ascii="Verdana" w:hAnsi="Verdana" w:cs="Arial"/>
          <w:sz w:val="16"/>
          <w:szCs w:val="16"/>
        </w:rPr>
      </w:pPr>
    </w:p>
  </w:footnote>
  <w:footnote w:id="19">
    <w:p w14:paraId="4A4DA335" w14:textId="77777777" w:rsidR="008A19CC" w:rsidRDefault="008A19CC" w:rsidP="008A19CC">
      <w:pPr>
        <w:spacing w:after="0" w:line="240" w:lineRule="auto"/>
        <w:ind w:right="49" w:firstLine="709"/>
        <w:contextualSpacing/>
        <w:jc w:val="both"/>
        <w:rPr>
          <w:rFonts w:ascii="Verdana" w:hAnsi="Verdana"/>
          <w:spacing w:val="-2"/>
          <w:sz w:val="16"/>
          <w:szCs w:val="16"/>
        </w:rPr>
      </w:pPr>
      <w:r w:rsidRPr="005800D0">
        <w:rPr>
          <w:rStyle w:val="Refdenotaalpie"/>
          <w:rFonts w:ascii="Verdana" w:hAnsi="Verdana"/>
          <w:sz w:val="16"/>
          <w:szCs w:val="16"/>
        </w:rPr>
        <w:footnoteRef/>
      </w:r>
      <w:r w:rsidRPr="005800D0">
        <w:rPr>
          <w:rFonts w:ascii="Verdana" w:hAnsi="Verdana"/>
          <w:sz w:val="16"/>
          <w:szCs w:val="16"/>
        </w:rPr>
        <w:t xml:space="preserve"> El estatuto estableció como regla general para la selección del contratista la licitación pública o el concurso público, con algunas excepciones en las cuales la selección se haría mediante el procedimiento de contratación directa, entre ellas, la prevista en el literal m) del numeral 1 del artículo 24: “m) Los actos y contratos que tengan por objeto directo las actividades comerciales e industriales propias de las empresas industriales</w:t>
      </w:r>
      <w:r w:rsidRPr="005800D0">
        <w:rPr>
          <w:rFonts w:ascii="Verdana" w:hAnsi="Verdana"/>
          <w:spacing w:val="-15"/>
          <w:sz w:val="16"/>
          <w:szCs w:val="16"/>
        </w:rPr>
        <w:t xml:space="preserve"> </w:t>
      </w:r>
      <w:r w:rsidRPr="005800D0">
        <w:rPr>
          <w:rFonts w:ascii="Verdana" w:hAnsi="Verdana"/>
          <w:sz w:val="16"/>
          <w:szCs w:val="16"/>
        </w:rPr>
        <w:t>y comerciales estatales y de las sociedades de economía mixta, con excepción de los contratos que a título enunciativo identifica el artículo 32 de esta ley”, o sea, los de obra, consultoría, prestación de servicios,</w:t>
      </w:r>
      <w:r w:rsidRPr="005800D0">
        <w:rPr>
          <w:rFonts w:ascii="Verdana" w:hAnsi="Verdana"/>
          <w:spacing w:val="-7"/>
          <w:sz w:val="16"/>
          <w:szCs w:val="16"/>
        </w:rPr>
        <w:t xml:space="preserve"> </w:t>
      </w:r>
      <w:r w:rsidRPr="005800D0">
        <w:rPr>
          <w:rFonts w:ascii="Verdana" w:hAnsi="Verdana"/>
          <w:sz w:val="16"/>
          <w:szCs w:val="16"/>
        </w:rPr>
        <w:t>concesión,</w:t>
      </w:r>
      <w:r w:rsidRPr="005800D0">
        <w:rPr>
          <w:rFonts w:ascii="Verdana" w:hAnsi="Verdana"/>
          <w:spacing w:val="-7"/>
          <w:sz w:val="16"/>
          <w:szCs w:val="16"/>
        </w:rPr>
        <w:t xml:space="preserve"> </w:t>
      </w:r>
      <w:r w:rsidRPr="005800D0">
        <w:rPr>
          <w:rFonts w:ascii="Verdana" w:hAnsi="Verdana"/>
          <w:sz w:val="16"/>
          <w:szCs w:val="16"/>
        </w:rPr>
        <w:t>encargos</w:t>
      </w:r>
      <w:r w:rsidRPr="005800D0">
        <w:rPr>
          <w:rFonts w:ascii="Verdana" w:hAnsi="Verdana"/>
          <w:spacing w:val="-7"/>
          <w:sz w:val="16"/>
          <w:szCs w:val="16"/>
        </w:rPr>
        <w:t xml:space="preserve"> </w:t>
      </w:r>
      <w:r w:rsidRPr="005800D0">
        <w:rPr>
          <w:rFonts w:ascii="Verdana" w:hAnsi="Verdana"/>
          <w:sz w:val="16"/>
          <w:szCs w:val="16"/>
        </w:rPr>
        <w:t>fiduciarios</w:t>
      </w:r>
      <w:r w:rsidRPr="005800D0">
        <w:rPr>
          <w:rFonts w:ascii="Verdana" w:hAnsi="Verdana"/>
          <w:spacing w:val="-7"/>
          <w:sz w:val="16"/>
          <w:szCs w:val="16"/>
        </w:rPr>
        <w:t xml:space="preserve"> </w:t>
      </w:r>
      <w:r w:rsidRPr="005800D0">
        <w:rPr>
          <w:rFonts w:ascii="Verdana" w:hAnsi="Verdana"/>
          <w:sz w:val="16"/>
          <w:szCs w:val="16"/>
        </w:rPr>
        <w:t>y</w:t>
      </w:r>
      <w:r w:rsidRPr="005800D0">
        <w:rPr>
          <w:rFonts w:ascii="Verdana" w:hAnsi="Verdana"/>
          <w:spacing w:val="-8"/>
          <w:sz w:val="16"/>
          <w:szCs w:val="16"/>
        </w:rPr>
        <w:t xml:space="preserve"> </w:t>
      </w:r>
      <w:r w:rsidRPr="005800D0">
        <w:rPr>
          <w:rFonts w:ascii="Verdana" w:hAnsi="Verdana"/>
          <w:sz w:val="16"/>
          <w:szCs w:val="16"/>
        </w:rPr>
        <w:t>fiducia</w:t>
      </w:r>
      <w:r w:rsidRPr="005800D0">
        <w:rPr>
          <w:rFonts w:ascii="Verdana" w:hAnsi="Verdana"/>
          <w:spacing w:val="-9"/>
          <w:sz w:val="16"/>
          <w:szCs w:val="16"/>
        </w:rPr>
        <w:t xml:space="preserve"> </w:t>
      </w:r>
      <w:r w:rsidRPr="005800D0">
        <w:rPr>
          <w:rFonts w:ascii="Verdana" w:hAnsi="Verdana"/>
          <w:sz w:val="16"/>
          <w:szCs w:val="16"/>
        </w:rPr>
        <w:t>pública,</w:t>
      </w:r>
      <w:r w:rsidRPr="005800D0">
        <w:rPr>
          <w:rFonts w:ascii="Verdana" w:hAnsi="Verdana"/>
          <w:spacing w:val="-7"/>
          <w:sz w:val="16"/>
          <w:szCs w:val="16"/>
        </w:rPr>
        <w:t xml:space="preserve"> </w:t>
      </w:r>
      <w:r w:rsidRPr="005800D0">
        <w:rPr>
          <w:rFonts w:ascii="Verdana" w:hAnsi="Verdana"/>
          <w:sz w:val="16"/>
          <w:szCs w:val="16"/>
        </w:rPr>
        <w:t>que</w:t>
      </w:r>
      <w:r w:rsidRPr="005800D0">
        <w:rPr>
          <w:rFonts w:ascii="Verdana" w:hAnsi="Verdana"/>
          <w:spacing w:val="-13"/>
          <w:sz w:val="16"/>
          <w:szCs w:val="16"/>
        </w:rPr>
        <w:t xml:space="preserve"> </w:t>
      </w:r>
      <w:r w:rsidRPr="005800D0">
        <w:rPr>
          <w:rFonts w:ascii="Verdana" w:hAnsi="Verdana"/>
          <w:sz w:val="16"/>
          <w:szCs w:val="16"/>
        </w:rPr>
        <w:t>se</w:t>
      </w:r>
      <w:r w:rsidRPr="005800D0">
        <w:rPr>
          <w:rFonts w:ascii="Verdana" w:hAnsi="Verdana"/>
          <w:spacing w:val="-8"/>
          <w:sz w:val="16"/>
          <w:szCs w:val="16"/>
        </w:rPr>
        <w:t xml:space="preserve"> </w:t>
      </w:r>
      <w:r w:rsidRPr="005800D0">
        <w:rPr>
          <w:rFonts w:ascii="Verdana" w:hAnsi="Verdana"/>
          <w:sz w:val="16"/>
          <w:szCs w:val="16"/>
        </w:rPr>
        <w:t>regirían</w:t>
      </w:r>
      <w:r w:rsidRPr="005800D0">
        <w:rPr>
          <w:rFonts w:ascii="Verdana" w:hAnsi="Verdana"/>
          <w:spacing w:val="-9"/>
          <w:sz w:val="16"/>
          <w:szCs w:val="16"/>
        </w:rPr>
        <w:t xml:space="preserve"> </w:t>
      </w:r>
      <w:r w:rsidRPr="005800D0">
        <w:rPr>
          <w:rFonts w:ascii="Verdana" w:hAnsi="Verdana"/>
          <w:sz w:val="16"/>
          <w:szCs w:val="16"/>
        </w:rPr>
        <w:t>por</w:t>
      </w:r>
      <w:r w:rsidRPr="005800D0">
        <w:rPr>
          <w:rFonts w:ascii="Verdana" w:hAnsi="Verdana"/>
          <w:spacing w:val="-7"/>
          <w:sz w:val="16"/>
          <w:szCs w:val="16"/>
        </w:rPr>
        <w:t xml:space="preserve"> </w:t>
      </w:r>
      <w:r w:rsidRPr="005800D0">
        <w:rPr>
          <w:rFonts w:ascii="Verdana" w:hAnsi="Verdana"/>
          <w:sz w:val="16"/>
          <w:szCs w:val="16"/>
        </w:rPr>
        <w:t>la</w:t>
      </w:r>
      <w:r w:rsidRPr="005800D0">
        <w:rPr>
          <w:rFonts w:ascii="Verdana" w:hAnsi="Verdana"/>
          <w:spacing w:val="-9"/>
          <w:sz w:val="16"/>
          <w:szCs w:val="16"/>
        </w:rPr>
        <w:t xml:space="preserve"> </w:t>
      </w:r>
      <w:r w:rsidRPr="005800D0">
        <w:rPr>
          <w:rFonts w:ascii="Verdana" w:hAnsi="Verdana"/>
          <w:sz w:val="16"/>
          <w:szCs w:val="16"/>
        </w:rPr>
        <w:t>regla</w:t>
      </w:r>
      <w:r w:rsidRPr="005800D0">
        <w:rPr>
          <w:rFonts w:ascii="Verdana" w:hAnsi="Verdana"/>
          <w:spacing w:val="-9"/>
          <w:sz w:val="16"/>
          <w:szCs w:val="16"/>
        </w:rPr>
        <w:t xml:space="preserve"> </w:t>
      </w:r>
      <w:r w:rsidRPr="005800D0">
        <w:rPr>
          <w:rFonts w:ascii="Verdana" w:hAnsi="Verdana"/>
          <w:sz w:val="16"/>
          <w:szCs w:val="16"/>
        </w:rPr>
        <w:t>general,</w:t>
      </w:r>
      <w:r w:rsidRPr="005800D0">
        <w:rPr>
          <w:rFonts w:ascii="Verdana" w:hAnsi="Verdana"/>
          <w:spacing w:val="-7"/>
          <w:sz w:val="16"/>
          <w:szCs w:val="16"/>
        </w:rPr>
        <w:t xml:space="preserve"> </w:t>
      </w:r>
      <w:r w:rsidRPr="005800D0">
        <w:rPr>
          <w:rFonts w:ascii="Verdana" w:hAnsi="Verdana"/>
          <w:sz w:val="16"/>
          <w:szCs w:val="16"/>
        </w:rPr>
        <w:t>salvo</w:t>
      </w:r>
      <w:r w:rsidRPr="005800D0">
        <w:rPr>
          <w:rFonts w:ascii="Verdana" w:hAnsi="Verdana"/>
          <w:spacing w:val="-10"/>
          <w:sz w:val="16"/>
          <w:szCs w:val="16"/>
        </w:rPr>
        <w:t xml:space="preserve"> </w:t>
      </w:r>
      <w:r w:rsidRPr="005800D0">
        <w:rPr>
          <w:rFonts w:ascii="Verdana" w:hAnsi="Verdana"/>
          <w:sz w:val="16"/>
          <w:szCs w:val="16"/>
        </w:rPr>
        <w:t>los</w:t>
      </w:r>
      <w:r w:rsidRPr="005800D0">
        <w:rPr>
          <w:rFonts w:ascii="Verdana" w:hAnsi="Verdana"/>
          <w:spacing w:val="-7"/>
          <w:sz w:val="16"/>
          <w:szCs w:val="16"/>
        </w:rPr>
        <w:t xml:space="preserve"> </w:t>
      </w:r>
      <w:r w:rsidRPr="005800D0">
        <w:rPr>
          <w:rFonts w:ascii="Verdana" w:hAnsi="Verdana"/>
          <w:sz w:val="16"/>
          <w:szCs w:val="16"/>
        </w:rPr>
        <w:t>casos de</w:t>
      </w:r>
      <w:r w:rsidRPr="005800D0">
        <w:rPr>
          <w:rFonts w:ascii="Verdana" w:hAnsi="Verdana"/>
          <w:spacing w:val="-2"/>
          <w:sz w:val="16"/>
          <w:szCs w:val="16"/>
        </w:rPr>
        <w:t xml:space="preserve"> </w:t>
      </w:r>
      <w:r w:rsidRPr="005800D0">
        <w:rPr>
          <w:rFonts w:ascii="Verdana" w:hAnsi="Verdana"/>
          <w:sz w:val="16"/>
          <w:szCs w:val="16"/>
        </w:rPr>
        <w:t>menor cuantía –previstos en el ordinal a), numeral 1 del artículo 24, original, de la Ley 80 de 1993</w:t>
      </w:r>
      <w:r w:rsidRPr="005800D0">
        <w:rPr>
          <w:rFonts w:ascii="Verdana" w:hAnsi="Verdana"/>
          <w:spacing w:val="-15"/>
          <w:sz w:val="16"/>
          <w:szCs w:val="16"/>
        </w:rPr>
        <w:t xml:space="preserve"> </w:t>
      </w:r>
      <w:r w:rsidRPr="005800D0">
        <w:rPr>
          <w:rFonts w:ascii="Verdana" w:hAnsi="Verdana"/>
          <w:sz w:val="16"/>
          <w:szCs w:val="16"/>
        </w:rPr>
        <w:t>–. Además,</w:t>
      </w:r>
      <w:r w:rsidRPr="005800D0">
        <w:rPr>
          <w:rFonts w:ascii="Verdana" w:hAnsi="Verdana"/>
          <w:spacing w:val="-1"/>
          <w:sz w:val="16"/>
          <w:szCs w:val="16"/>
        </w:rPr>
        <w:t xml:space="preserve"> </w:t>
      </w:r>
      <w:r w:rsidRPr="005800D0">
        <w:rPr>
          <w:rFonts w:ascii="Verdana" w:hAnsi="Verdana"/>
          <w:sz w:val="16"/>
          <w:szCs w:val="16"/>
        </w:rPr>
        <w:t>en</w:t>
      </w:r>
      <w:r w:rsidRPr="005800D0">
        <w:rPr>
          <w:rFonts w:ascii="Verdana" w:hAnsi="Verdana"/>
          <w:spacing w:val="-5"/>
          <w:sz w:val="16"/>
          <w:szCs w:val="16"/>
        </w:rPr>
        <w:t xml:space="preserve"> </w:t>
      </w:r>
      <w:r w:rsidRPr="005800D0">
        <w:rPr>
          <w:rFonts w:ascii="Verdana" w:hAnsi="Verdana"/>
          <w:sz w:val="16"/>
          <w:szCs w:val="16"/>
        </w:rPr>
        <w:t>el</w:t>
      </w:r>
      <w:r w:rsidRPr="005800D0">
        <w:rPr>
          <w:rFonts w:ascii="Verdana" w:hAnsi="Verdana"/>
          <w:spacing w:val="-2"/>
          <w:sz w:val="16"/>
          <w:szCs w:val="16"/>
        </w:rPr>
        <w:t xml:space="preserve"> </w:t>
      </w:r>
      <w:r w:rsidRPr="005800D0">
        <w:rPr>
          <w:rFonts w:ascii="Verdana" w:hAnsi="Verdana"/>
          <w:sz w:val="16"/>
          <w:szCs w:val="16"/>
        </w:rPr>
        <w:t>parágrafo</w:t>
      </w:r>
      <w:r w:rsidRPr="005800D0">
        <w:rPr>
          <w:rFonts w:ascii="Verdana" w:hAnsi="Verdana"/>
          <w:spacing w:val="-5"/>
          <w:sz w:val="16"/>
          <w:szCs w:val="16"/>
        </w:rPr>
        <w:t xml:space="preserve"> </w:t>
      </w:r>
      <w:r w:rsidRPr="005800D0">
        <w:rPr>
          <w:rFonts w:ascii="Verdana" w:hAnsi="Verdana"/>
          <w:sz w:val="16"/>
          <w:szCs w:val="16"/>
        </w:rPr>
        <w:t>del</w:t>
      </w:r>
      <w:r w:rsidRPr="005800D0">
        <w:rPr>
          <w:rFonts w:ascii="Verdana" w:hAnsi="Verdana"/>
          <w:spacing w:val="-2"/>
          <w:sz w:val="16"/>
          <w:szCs w:val="16"/>
        </w:rPr>
        <w:t xml:space="preserve"> </w:t>
      </w:r>
      <w:r w:rsidRPr="005800D0">
        <w:rPr>
          <w:rFonts w:ascii="Verdana" w:hAnsi="Verdana"/>
          <w:sz w:val="16"/>
          <w:szCs w:val="16"/>
        </w:rPr>
        <w:t>artículo</w:t>
      </w:r>
      <w:r w:rsidRPr="005800D0">
        <w:rPr>
          <w:rFonts w:ascii="Verdana" w:hAnsi="Verdana"/>
          <w:spacing w:val="-5"/>
          <w:sz w:val="16"/>
          <w:szCs w:val="16"/>
        </w:rPr>
        <w:t xml:space="preserve"> </w:t>
      </w:r>
      <w:r w:rsidRPr="005800D0">
        <w:rPr>
          <w:rFonts w:ascii="Verdana" w:hAnsi="Verdana"/>
          <w:sz w:val="16"/>
          <w:szCs w:val="16"/>
        </w:rPr>
        <w:t>14</w:t>
      </w:r>
      <w:r w:rsidRPr="005800D0">
        <w:rPr>
          <w:rFonts w:ascii="Verdana" w:hAnsi="Verdana"/>
          <w:spacing w:val="-5"/>
          <w:sz w:val="16"/>
          <w:szCs w:val="16"/>
        </w:rPr>
        <w:t xml:space="preserve"> </w:t>
      </w:r>
      <w:r w:rsidRPr="005800D0">
        <w:rPr>
          <w:rFonts w:ascii="Verdana" w:hAnsi="Verdana"/>
          <w:sz w:val="16"/>
          <w:szCs w:val="16"/>
        </w:rPr>
        <w:t>de</w:t>
      </w:r>
      <w:r w:rsidRPr="005800D0">
        <w:rPr>
          <w:rFonts w:ascii="Verdana" w:hAnsi="Verdana"/>
          <w:spacing w:val="-3"/>
          <w:sz w:val="16"/>
          <w:szCs w:val="16"/>
        </w:rPr>
        <w:t xml:space="preserve"> </w:t>
      </w:r>
      <w:r w:rsidRPr="005800D0">
        <w:rPr>
          <w:rFonts w:ascii="Verdana" w:hAnsi="Verdana"/>
          <w:sz w:val="16"/>
          <w:szCs w:val="16"/>
        </w:rPr>
        <w:t>la</w:t>
      </w:r>
      <w:r w:rsidRPr="005800D0">
        <w:rPr>
          <w:rFonts w:ascii="Verdana" w:hAnsi="Verdana"/>
          <w:spacing w:val="-4"/>
          <w:sz w:val="16"/>
          <w:szCs w:val="16"/>
        </w:rPr>
        <w:t xml:space="preserve"> </w:t>
      </w:r>
      <w:r w:rsidRPr="005800D0">
        <w:rPr>
          <w:rFonts w:ascii="Verdana" w:hAnsi="Verdana"/>
          <w:sz w:val="16"/>
          <w:szCs w:val="16"/>
        </w:rPr>
        <w:t>Ley</w:t>
      </w:r>
      <w:r w:rsidRPr="005800D0">
        <w:rPr>
          <w:rFonts w:ascii="Verdana" w:hAnsi="Verdana"/>
          <w:spacing w:val="-3"/>
          <w:sz w:val="16"/>
          <w:szCs w:val="16"/>
        </w:rPr>
        <w:t xml:space="preserve"> </w:t>
      </w:r>
      <w:r w:rsidRPr="005800D0">
        <w:rPr>
          <w:rFonts w:ascii="Verdana" w:hAnsi="Verdana"/>
          <w:sz w:val="16"/>
          <w:szCs w:val="16"/>
        </w:rPr>
        <w:t>80</w:t>
      </w:r>
      <w:r w:rsidRPr="005800D0">
        <w:rPr>
          <w:rFonts w:ascii="Verdana" w:hAnsi="Verdana"/>
          <w:spacing w:val="-5"/>
          <w:sz w:val="16"/>
          <w:szCs w:val="16"/>
        </w:rPr>
        <w:t xml:space="preserve"> </w:t>
      </w:r>
      <w:r w:rsidRPr="005800D0">
        <w:rPr>
          <w:rFonts w:ascii="Verdana" w:hAnsi="Verdana"/>
          <w:sz w:val="16"/>
          <w:szCs w:val="16"/>
        </w:rPr>
        <w:t>de</w:t>
      </w:r>
      <w:r w:rsidRPr="005800D0">
        <w:rPr>
          <w:rFonts w:ascii="Verdana" w:hAnsi="Verdana"/>
          <w:spacing w:val="-3"/>
          <w:sz w:val="16"/>
          <w:szCs w:val="16"/>
        </w:rPr>
        <w:t xml:space="preserve"> </w:t>
      </w:r>
      <w:r w:rsidRPr="005800D0">
        <w:rPr>
          <w:rFonts w:ascii="Verdana" w:hAnsi="Verdana"/>
          <w:sz w:val="16"/>
          <w:szCs w:val="16"/>
        </w:rPr>
        <w:t>1993,</w:t>
      </w:r>
      <w:r w:rsidRPr="005800D0">
        <w:rPr>
          <w:rFonts w:ascii="Verdana" w:hAnsi="Verdana"/>
          <w:spacing w:val="-1"/>
          <w:sz w:val="16"/>
          <w:szCs w:val="16"/>
        </w:rPr>
        <w:t xml:space="preserve"> </w:t>
      </w:r>
      <w:r w:rsidRPr="005800D0">
        <w:rPr>
          <w:rFonts w:ascii="Verdana" w:hAnsi="Verdana"/>
          <w:sz w:val="16"/>
          <w:szCs w:val="16"/>
        </w:rPr>
        <w:t>se</w:t>
      </w:r>
      <w:r w:rsidRPr="005800D0">
        <w:rPr>
          <w:rFonts w:ascii="Verdana" w:hAnsi="Verdana"/>
          <w:spacing w:val="-3"/>
          <w:sz w:val="16"/>
          <w:szCs w:val="16"/>
        </w:rPr>
        <w:t xml:space="preserve"> </w:t>
      </w:r>
      <w:r w:rsidRPr="005800D0">
        <w:rPr>
          <w:rFonts w:ascii="Verdana" w:hAnsi="Verdana"/>
          <w:sz w:val="16"/>
          <w:szCs w:val="16"/>
        </w:rPr>
        <w:t>señaló</w:t>
      </w:r>
      <w:r w:rsidRPr="005800D0">
        <w:rPr>
          <w:rFonts w:ascii="Verdana" w:hAnsi="Verdana"/>
          <w:spacing w:val="-5"/>
          <w:sz w:val="16"/>
          <w:szCs w:val="16"/>
        </w:rPr>
        <w:t xml:space="preserve"> </w:t>
      </w:r>
      <w:r w:rsidRPr="005800D0">
        <w:rPr>
          <w:rFonts w:ascii="Verdana" w:hAnsi="Verdana"/>
          <w:sz w:val="16"/>
          <w:szCs w:val="16"/>
        </w:rPr>
        <w:t>que</w:t>
      </w:r>
      <w:r w:rsidRPr="005800D0">
        <w:rPr>
          <w:rFonts w:ascii="Verdana" w:hAnsi="Verdana"/>
          <w:spacing w:val="-3"/>
          <w:sz w:val="16"/>
          <w:szCs w:val="16"/>
        </w:rPr>
        <w:t xml:space="preserve"> </w:t>
      </w:r>
      <w:r w:rsidRPr="005800D0">
        <w:rPr>
          <w:rFonts w:ascii="Verdana" w:hAnsi="Verdana"/>
          <w:sz w:val="16"/>
          <w:szCs w:val="16"/>
        </w:rPr>
        <w:t>“en</w:t>
      </w:r>
      <w:r w:rsidRPr="005800D0">
        <w:rPr>
          <w:rFonts w:ascii="Verdana" w:hAnsi="Verdana"/>
          <w:spacing w:val="-5"/>
          <w:sz w:val="16"/>
          <w:szCs w:val="16"/>
        </w:rPr>
        <w:t xml:space="preserve"> </w:t>
      </w:r>
      <w:r w:rsidRPr="005800D0">
        <w:rPr>
          <w:rFonts w:ascii="Verdana" w:hAnsi="Verdana"/>
          <w:sz w:val="16"/>
          <w:szCs w:val="16"/>
        </w:rPr>
        <w:t>los</w:t>
      </w:r>
      <w:r w:rsidRPr="005800D0">
        <w:rPr>
          <w:rFonts w:ascii="Verdana" w:hAnsi="Verdana"/>
          <w:spacing w:val="-2"/>
          <w:sz w:val="16"/>
          <w:szCs w:val="16"/>
        </w:rPr>
        <w:t xml:space="preserve"> </w:t>
      </w:r>
      <w:r w:rsidRPr="005800D0">
        <w:rPr>
          <w:rFonts w:ascii="Verdana" w:hAnsi="Verdana"/>
          <w:sz w:val="16"/>
          <w:szCs w:val="16"/>
        </w:rPr>
        <w:t>contratos</w:t>
      </w:r>
      <w:r w:rsidRPr="005800D0">
        <w:rPr>
          <w:rFonts w:ascii="Verdana" w:hAnsi="Verdana"/>
          <w:spacing w:val="-2"/>
          <w:sz w:val="16"/>
          <w:szCs w:val="16"/>
        </w:rPr>
        <w:t xml:space="preserve"> </w:t>
      </w:r>
      <w:r w:rsidRPr="005800D0">
        <w:rPr>
          <w:rFonts w:ascii="Verdana" w:hAnsi="Verdana"/>
          <w:sz w:val="16"/>
          <w:szCs w:val="16"/>
        </w:rPr>
        <w:t>que</w:t>
      </w:r>
      <w:r w:rsidRPr="005800D0">
        <w:rPr>
          <w:rFonts w:ascii="Verdana" w:hAnsi="Verdana"/>
          <w:spacing w:val="-3"/>
          <w:sz w:val="16"/>
          <w:szCs w:val="16"/>
        </w:rPr>
        <w:t xml:space="preserve"> </w:t>
      </w:r>
      <w:r w:rsidRPr="005800D0">
        <w:rPr>
          <w:rFonts w:ascii="Verdana" w:hAnsi="Verdana"/>
          <w:sz w:val="16"/>
          <w:szCs w:val="16"/>
        </w:rPr>
        <w:t>tengan</w:t>
      </w:r>
      <w:r w:rsidRPr="005800D0">
        <w:rPr>
          <w:rFonts w:ascii="Verdana" w:hAnsi="Verdana"/>
          <w:spacing w:val="-4"/>
          <w:sz w:val="16"/>
          <w:szCs w:val="16"/>
        </w:rPr>
        <w:t xml:space="preserve"> </w:t>
      </w:r>
      <w:r w:rsidRPr="005800D0">
        <w:rPr>
          <w:rFonts w:ascii="Verdana" w:hAnsi="Verdana"/>
          <w:sz w:val="16"/>
          <w:szCs w:val="16"/>
        </w:rPr>
        <w:t>por objeto</w:t>
      </w:r>
      <w:r w:rsidRPr="005800D0">
        <w:rPr>
          <w:rFonts w:ascii="Verdana" w:hAnsi="Verdana"/>
          <w:spacing w:val="-1"/>
          <w:sz w:val="16"/>
          <w:szCs w:val="16"/>
        </w:rPr>
        <w:t xml:space="preserve"> </w:t>
      </w:r>
      <w:r w:rsidRPr="005800D0">
        <w:rPr>
          <w:rFonts w:ascii="Verdana" w:hAnsi="Verdana"/>
          <w:sz w:val="16"/>
          <w:szCs w:val="16"/>
        </w:rPr>
        <w:t>actividades comerciales o</w:t>
      </w:r>
      <w:r w:rsidRPr="005800D0">
        <w:rPr>
          <w:rFonts w:ascii="Verdana" w:hAnsi="Verdana"/>
          <w:spacing w:val="-1"/>
          <w:sz w:val="16"/>
          <w:szCs w:val="16"/>
        </w:rPr>
        <w:t xml:space="preserve"> </w:t>
      </w:r>
      <w:r w:rsidRPr="005800D0">
        <w:rPr>
          <w:rFonts w:ascii="Verdana" w:hAnsi="Verdana"/>
          <w:sz w:val="16"/>
          <w:szCs w:val="16"/>
        </w:rPr>
        <w:t>industriales de las entidades</w:t>
      </w:r>
      <w:r w:rsidRPr="005800D0">
        <w:rPr>
          <w:rFonts w:ascii="Verdana" w:hAnsi="Verdana"/>
          <w:spacing w:val="-3"/>
          <w:sz w:val="16"/>
          <w:szCs w:val="16"/>
        </w:rPr>
        <w:t xml:space="preserve"> </w:t>
      </w:r>
      <w:r w:rsidRPr="005800D0">
        <w:rPr>
          <w:rFonts w:ascii="Verdana" w:hAnsi="Verdana"/>
          <w:sz w:val="16"/>
          <w:szCs w:val="16"/>
        </w:rPr>
        <w:t>estatales que no</w:t>
      </w:r>
      <w:r w:rsidRPr="005800D0">
        <w:rPr>
          <w:rFonts w:ascii="Verdana" w:hAnsi="Verdana"/>
          <w:spacing w:val="-1"/>
          <w:sz w:val="16"/>
          <w:szCs w:val="16"/>
        </w:rPr>
        <w:t xml:space="preserve"> </w:t>
      </w:r>
      <w:r w:rsidRPr="005800D0">
        <w:rPr>
          <w:rFonts w:ascii="Verdana" w:hAnsi="Verdana"/>
          <w:sz w:val="16"/>
          <w:szCs w:val="16"/>
        </w:rPr>
        <w:t xml:space="preserve">correspondan a las señaladas en el numeral 2º de este artículo (…) se prescindirá de la utilización de las cláusulas o estipulaciones </w:t>
      </w:r>
      <w:r w:rsidRPr="005800D0">
        <w:rPr>
          <w:rFonts w:ascii="Verdana" w:hAnsi="Verdana"/>
          <w:spacing w:val="-2"/>
          <w:sz w:val="16"/>
          <w:szCs w:val="16"/>
        </w:rPr>
        <w:t>excepcionales”.</w:t>
      </w:r>
    </w:p>
    <w:p w14:paraId="1F7AF91B" w14:textId="77777777" w:rsidR="008A19CC" w:rsidRPr="005800D0" w:rsidRDefault="008A19CC" w:rsidP="008A19CC">
      <w:pPr>
        <w:spacing w:after="0" w:line="240" w:lineRule="auto"/>
        <w:ind w:right="49" w:firstLine="709"/>
        <w:contextualSpacing/>
        <w:jc w:val="both"/>
        <w:rPr>
          <w:rFonts w:ascii="Verdana" w:hAnsi="Verdana"/>
          <w:sz w:val="16"/>
          <w:szCs w:val="16"/>
        </w:rPr>
      </w:pPr>
    </w:p>
  </w:footnote>
  <w:footnote w:id="20">
    <w:p w14:paraId="4BB333E9" w14:textId="77777777" w:rsidR="008A19CC" w:rsidRDefault="008A19CC" w:rsidP="008A19CC">
      <w:pPr>
        <w:tabs>
          <w:tab w:val="left" w:pos="142"/>
          <w:tab w:val="left" w:pos="8789"/>
        </w:tabs>
        <w:spacing w:after="0" w:line="240" w:lineRule="auto"/>
        <w:ind w:right="49" w:firstLine="709"/>
        <w:contextualSpacing/>
        <w:jc w:val="both"/>
        <w:rPr>
          <w:rFonts w:ascii="Verdana" w:hAnsi="Verdana"/>
          <w:sz w:val="16"/>
          <w:szCs w:val="16"/>
        </w:rPr>
      </w:pPr>
      <w:r w:rsidRPr="005800D0">
        <w:rPr>
          <w:rStyle w:val="Refdenotaalpie"/>
          <w:rFonts w:ascii="Verdana" w:hAnsi="Verdana"/>
          <w:sz w:val="16"/>
          <w:szCs w:val="16"/>
        </w:rPr>
        <w:footnoteRef/>
      </w:r>
      <w:r w:rsidRPr="005800D0">
        <w:rPr>
          <w:rFonts w:ascii="Verdana" w:hAnsi="Verdana"/>
          <w:sz w:val="16"/>
          <w:szCs w:val="16"/>
        </w:rPr>
        <w:t xml:space="preserve"> </w:t>
      </w:r>
      <w:bookmarkStart w:id="18" w:name="_Hlk199860326"/>
      <w:r w:rsidRPr="005800D0">
        <w:rPr>
          <w:rFonts w:ascii="Verdana" w:hAnsi="Verdana"/>
          <w:sz w:val="16"/>
          <w:szCs w:val="16"/>
        </w:rPr>
        <w:t>Sin perjuicio</w:t>
      </w:r>
      <w:r w:rsidRPr="005800D0">
        <w:rPr>
          <w:rFonts w:ascii="Verdana" w:hAnsi="Verdana"/>
          <w:spacing w:val="-1"/>
          <w:sz w:val="16"/>
          <w:szCs w:val="16"/>
        </w:rPr>
        <w:t xml:space="preserve"> </w:t>
      </w:r>
      <w:r w:rsidRPr="005800D0">
        <w:rPr>
          <w:rFonts w:ascii="Verdana" w:hAnsi="Verdana"/>
          <w:sz w:val="16"/>
          <w:szCs w:val="16"/>
        </w:rPr>
        <w:t>de la regla indicada, es importante</w:t>
      </w:r>
      <w:r w:rsidRPr="005800D0">
        <w:rPr>
          <w:rFonts w:ascii="Verdana" w:hAnsi="Verdana"/>
          <w:spacing w:val="-4"/>
          <w:sz w:val="16"/>
          <w:szCs w:val="16"/>
        </w:rPr>
        <w:t xml:space="preserve"> </w:t>
      </w:r>
      <w:r w:rsidRPr="005800D0">
        <w:rPr>
          <w:rFonts w:ascii="Verdana" w:hAnsi="Verdana"/>
          <w:sz w:val="16"/>
          <w:szCs w:val="16"/>
        </w:rPr>
        <w:t>señalar que el literal</w:t>
      </w:r>
      <w:r w:rsidRPr="005800D0">
        <w:rPr>
          <w:rFonts w:ascii="Verdana" w:hAnsi="Verdana"/>
          <w:spacing w:val="-3"/>
          <w:sz w:val="16"/>
          <w:szCs w:val="16"/>
        </w:rPr>
        <w:t xml:space="preserve"> </w:t>
      </w:r>
      <w:r w:rsidRPr="005800D0">
        <w:rPr>
          <w:rFonts w:ascii="Verdana" w:hAnsi="Verdana"/>
          <w:sz w:val="16"/>
          <w:szCs w:val="16"/>
        </w:rPr>
        <w:t>g, numeral 2, artículo</w:t>
      </w:r>
      <w:r w:rsidRPr="005800D0">
        <w:rPr>
          <w:rFonts w:ascii="Verdana" w:hAnsi="Verdana"/>
          <w:spacing w:val="-1"/>
          <w:sz w:val="16"/>
          <w:szCs w:val="16"/>
        </w:rPr>
        <w:t xml:space="preserve"> </w:t>
      </w:r>
      <w:r w:rsidRPr="005800D0">
        <w:rPr>
          <w:rFonts w:ascii="Verdana" w:hAnsi="Verdana"/>
          <w:sz w:val="16"/>
          <w:szCs w:val="16"/>
        </w:rPr>
        <w:t>2</w:t>
      </w:r>
      <w:r w:rsidRPr="005800D0">
        <w:rPr>
          <w:rFonts w:ascii="Verdana" w:hAnsi="Verdana"/>
          <w:spacing w:val="-1"/>
          <w:sz w:val="16"/>
          <w:szCs w:val="16"/>
        </w:rPr>
        <w:t xml:space="preserve"> </w:t>
      </w:r>
      <w:r w:rsidRPr="005800D0">
        <w:rPr>
          <w:rFonts w:ascii="Verdana" w:hAnsi="Verdana"/>
          <w:sz w:val="16"/>
          <w:szCs w:val="16"/>
        </w:rPr>
        <w:t>de la Ley 1150 de 2007, prevé como causal de selección abreviada: “Los actos y contratos que tengan por objeto directo</w:t>
      </w:r>
      <w:r w:rsidRPr="005800D0">
        <w:rPr>
          <w:rFonts w:ascii="Verdana" w:hAnsi="Verdana"/>
          <w:spacing w:val="-10"/>
          <w:sz w:val="16"/>
          <w:szCs w:val="16"/>
        </w:rPr>
        <w:t xml:space="preserve"> </w:t>
      </w:r>
      <w:r w:rsidRPr="005800D0">
        <w:rPr>
          <w:rFonts w:ascii="Verdana" w:hAnsi="Verdana"/>
          <w:sz w:val="16"/>
          <w:szCs w:val="16"/>
        </w:rPr>
        <w:t>las</w:t>
      </w:r>
      <w:r w:rsidRPr="005800D0">
        <w:rPr>
          <w:rFonts w:ascii="Verdana" w:hAnsi="Verdana"/>
          <w:spacing w:val="-7"/>
          <w:sz w:val="16"/>
          <w:szCs w:val="16"/>
        </w:rPr>
        <w:t xml:space="preserve"> </w:t>
      </w:r>
      <w:r w:rsidRPr="005800D0">
        <w:rPr>
          <w:rFonts w:ascii="Verdana" w:hAnsi="Verdana"/>
          <w:sz w:val="16"/>
          <w:szCs w:val="16"/>
        </w:rPr>
        <w:t>actividades</w:t>
      </w:r>
      <w:r w:rsidRPr="005800D0">
        <w:rPr>
          <w:rFonts w:ascii="Verdana" w:hAnsi="Verdana"/>
          <w:spacing w:val="-7"/>
          <w:sz w:val="16"/>
          <w:szCs w:val="16"/>
        </w:rPr>
        <w:t xml:space="preserve"> </w:t>
      </w:r>
      <w:r w:rsidRPr="005800D0">
        <w:rPr>
          <w:rFonts w:ascii="Verdana" w:hAnsi="Verdana"/>
          <w:sz w:val="16"/>
          <w:szCs w:val="16"/>
        </w:rPr>
        <w:t>comerciales</w:t>
      </w:r>
      <w:r w:rsidRPr="005800D0">
        <w:rPr>
          <w:rFonts w:ascii="Verdana" w:hAnsi="Verdana"/>
          <w:spacing w:val="-7"/>
          <w:sz w:val="16"/>
          <w:szCs w:val="16"/>
        </w:rPr>
        <w:t xml:space="preserve"> </w:t>
      </w:r>
      <w:r w:rsidRPr="005800D0">
        <w:rPr>
          <w:rFonts w:ascii="Verdana" w:hAnsi="Verdana"/>
          <w:sz w:val="16"/>
          <w:szCs w:val="16"/>
        </w:rPr>
        <w:t>e</w:t>
      </w:r>
      <w:r w:rsidRPr="005800D0">
        <w:rPr>
          <w:rFonts w:ascii="Verdana" w:hAnsi="Verdana"/>
          <w:spacing w:val="-8"/>
          <w:sz w:val="16"/>
          <w:szCs w:val="16"/>
        </w:rPr>
        <w:t xml:space="preserve"> </w:t>
      </w:r>
      <w:r w:rsidRPr="005800D0">
        <w:rPr>
          <w:rFonts w:ascii="Verdana" w:hAnsi="Verdana"/>
          <w:sz w:val="16"/>
          <w:szCs w:val="16"/>
        </w:rPr>
        <w:t>industriales</w:t>
      </w:r>
      <w:r w:rsidRPr="005800D0">
        <w:rPr>
          <w:rFonts w:ascii="Verdana" w:hAnsi="Verdana"/>
          <w:spacing w:val="-7"/>
          <w:sz w:val="16"/>
          <w:szCs w:val="16"/>
        </w:rPr>
        <w:t xml:space="preserve"> </w:t>
      </w:r>
      <w:r w:rsidRPr="005800D0">
        <w:rPr>
          <w:rFonts w:ascii="Verdana" w:hAnsi="Verdana"/>
          <w:sz w:val="16"/>
          <w:szCs w:val="16"/>
        </w:rPr>
        <w:t>propias</w:t>
      </w:r>
      <w:r w:rsidRPr="005800D0">
        <w:rPr>
          <w:rFonts w:ascii="Verdana" w:hAnsi="Verdana"/>
          <w:spacing w:val="-7"/>
          <w:sz w:val="16"/>
          <w:szCs w:val="16"/>
        </w:rPr>
        <w:t xml:space="preserve"> </w:t>
      </w:r>
      <w:r w:rsidRPr="005800D0">
        <w:rPr>
          <w:rFonts w:ascii="Verdana" w:hAnsi="Verdana"/>
          <w:sz w:val="16"/>
          <w:szCs w:val="16"/>
        </w:rPr>
        <w:t>de</w:t>
      </w:r>
      <w:r w:rsidRPr="005800D0">
        <w:rPr>
          <w:rFonts w:ascii="Verdana" w:hAnsi="Verdana"/>
          <w:spacing w:val="-8"/>
          <w:sz w:val="16"/>
          <w:szCs w:val="16"/>
        </w:rPr>
        <w:t xml:space="preserve"> </w:t>
      </w:r>
      <w:r w:rsidRPr="005800D0">
        <w:rPr>
          <w:rFonts w:ascii="Verdana" w:hAnsi="Verdana"/>
          <w:sz w:val="16"/>
          <w:szCs w:val="16"/>
        </w:rPr>
        <w:t>las</w:t>
      </w:r>
      <w:r w:rsidRPr="005800D0">
        <w:rPr>
          <w:rFonts w:ascii="Verdana" w:hAnsi="Verdana"/>
          <w:spacing w:val="-7"/>
          <w:sz w:val="16"/>
          <w:szCs w:val="16"/>
        </w:rPr>
        <w:t xml:space="preserve"> </w:t>
      </w:r>
      <w:r w:rsidRPr="005800D0">
        <w:rPr>
          <w:rFonts w:ascii="Verdana" w:hAnsi="Verdana"/>
          <w:sz w:val="16"/>
          <w:szCs w:val="16"/>
        </w:rPr>
        <w:t>Empresas</w:t>
      </w:r>
      <w:r w:rsidRPr="005800D0">
        <w:rPr>
          <w:rFonts w:ascii="Verdana" w:hAnsi="Verdana"/>
          <w:spacing w:val="-7"/>
          <w:sz w:val="16"/>
          <w:szCs w:val="16"/>
        </w:rPr>
        <w:t xml:space="preserve"> </w:t>
      </w:r>
      <w:r w:rsidRPr="005800D0">
        <w:rPr>
          <w:rFonts w:ascii="Verdana" w:hAnsi="Verdana"/>
          <w:sz w:val="16"/>
          <w:szCs w:val="16"/>
        </w:rPr>
        <w:t>Industriales</w:t>
      </w:r>
      <w:r w:rsidRPr="005800D0">
        <w:rPr>
          <w:rFonts w:ascii="Verdana" w:hAnsi="Verdana"/>
          <w:spacing w:val="-7"/>
          <w:sz w:val="16"/>
          <w:szCs w:val="16"/>
        </w:rPr>
        <w:t xml:space="preserve"> </w:t>
      </w:r>
      <w:r w:rsidRPr="005800D0">
        <w:rPr>
          <w:rFonts w:ascii="Verdana" w:hAnsi="Verdana"/>
          <w:sz w:val="16"/>
          <w:szCs w:val="16"/>
        </w:rPr>
        <w:t>y</w:t>
      </w:r>
      <w:r w:rsidRPr="005800D0">
        <w:rPr>
          <w:rFonts w:ascii="Verdana" w:hAnsi="Verdana"/>
          <w:spacing w:val="-8"/>
          <w:sz w:val="16"/>
          <w:szCs w:val="16"/>
        </w:rPr>
        <w:t xml:space="preserve"> </w:t>
      </w:r>
      <w:r w:rsidRPr="005800D0">
        <w:rPr>
          <w:rFonts w:ascii="Verdana" w:hAnsi="Verdana"/>
          <w:sz w:val="16"/>
          <w:szCs w:val="16"/>
        </w:rPr>
        <w:t>Comerciales</w:t>
      </w:r>
      <w:r w:rsidRPr="005800D0">
        <w:rPr>
          <w:rFonts w:ascii="Verdana" w:hAnsi="Verdana"/>
          <w:spacing w:val="-7"/>
          <w:sz w:val="16"/>
          <w:szCs w:val="16"/>
        </w:rPr>
        <w:t xml:space="preserve"> </w:t>
      </w:r>
      <w:r w:rsidRPr="005800D0">
        <w:rPr>
          <w:rFonts w:ascii="Verdana" w:hAnsi="Verdana"/>
          <w:sz w:val="16"/>
          <w:szCs w:val="16"/>
        </w:rPr>
        <w:t>Estatales y de las Sociedades de Economía Mixta, con excepción de los contratos que a título enunciativo identifica el artículo</w:t>
      </w:r>
      <w:r w:rsidRPr="005800D0">
        <w:rPr>
          <w:rFonts w:ascii="Verdana" w:hAnsi="Verdana"/>
          <w:spacing w:val="-15"/>
          <w:sz w:val="16"/>
          <w:szCs w:val="16"/>
        </w:rPr>
        <w:t xml:space="preserve"> </w:t>
      </w:r>
      <w:r w:rsidRPr="005800D0">
        <w:rPr>
          <w:rFonts w:ascii="Verdana" w:hAnsi="Verdana"/>
          <w:sz w:val="16"/>
          <w:szCs w:val="16"/>
        </w:rPr>
        <w:t>32</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la</w:t>
      </w:r>
      <w:r w:rsidRPr="005800D0">
        <w:rPr>
          <w:rFonts w:ascii="Verdana" w:hAnsi="Verdana"/>
          <w:spacing w:val="-14"/>
          <w:sz w:val="16"/>
          <w:szCs w:val="16"/>
        </w:rPr>
        <w:t xml:space="preserve"> </w:t>
      </w:r>
      <w:r w:rsidRPr="005800D0">
        <w:rPr>
          <w:rFonts w:ascii="Verdana" w:hAnsi="Verdana"/>
          <w:sz w:val="16"/>
          <w:szCs w:val="16"/>
        </w:rPr>
        <w:t>Ley</w:t>
      </w:r>
      <w:r w:rsidRPr="005800D0">
        <w:rPr>
          <w:rFonts w:ascii="Verdana" w:hAnsi="Verdana"/>
          <w:spacing w:val="-14"/>
          <w:sz w:val="16"/>
          <w:szCs w:val="16"/>
        </w:rPr>
        <w:t xml:space="preserve"> </w:t>
      </w:r>
      <w:r w:rsidRPr="005800D0">
        <w:rPr>
          <w:rFonts w:ascii="Verdana" w:hAnsi="Verdana"/>
          <w:sz w:val="16"/>
          <w:szCs w:val="16"/>
        </w:rPr>
        <w:t>80</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1993</w:t>
      </w:r>
      <w:r w:rsidRPr="005800D0">
        <w:rPr>
          <w:rFonts w:ascii="Verdana" w:hAnsi="Verdana"/>
          <w:spacing w:val="-14"/>
          <w:sz w:val="16"/>
          <w:szCs w:val="16"/>
        </w:rPr>
        <w:t xml:space="preserve"> </w:t>
      </w:r>
      <w:r w:rsidRPr="005800D0">
        <w:rPr>
          <w:rFonts w:ascii="Verdana" w:hAnsi="Verdana"/>
          <w:sz w:val="16"/>
          <w:szCs w:val="16"/>
        </w:rPr>
        <w:t>[obra,</w:t>
      </w:r>
      <w:r w:rsidRPr="005800D0">
        <w:rPr>
          <w:rFonts w:ascii="Verdana" w:hAnsi="Verdana"/>
          <w:spacing w:val="-14"/>
          <w:sz w:val="16"/>
          <w:szCs w:val="16"/>
        </w:rPr>
        <w:t xml:space="preserve"> </w:t>
      </w:r>
      <w:r w:rsidRPr="005800D0">
        <w:rPr>
          <w:rFonts w:ascii="Verdana" w:hAnsi="Verdana"/>
          <w:sz w:val="16"/>
          <w:szCs w:val="16"/>
        </w:rPr>
        <w:t>concesión,</w:t>
      </w:r>
      <w:r w:rsidRPr="005800D0">
        <w:rPr>
          <w:rFonts w:ascii="Verdana" w:hAnsi="Verdana"/>
          <w:spacing w:val="-14"/>
          <w:sz w:val="16"/>
          <w:szCs w:val="16"/>
        </w:rPr>
        <w:t xml:space="preserve"> </w:t>
      </w:r>
      <w:r w:rsidRPr="005800D0">
        <w:rPr>
          <w:rFonts w:ascii="Verdana" w:hAnsi="Verdana"/>
          <w:sz w:val="16"/>
          <w:szCs w:val="16"/>
        </w:rPr>
        <w:t>prestación</w:t>
      </w:r>
      <w:r w:rsidRPr="005800D0">
        <w:rPr>
          <w:rFonts w:ascii="Verdana" w:hAnsi="Verdana"/>
          <w:spacing w:val="-14"/>
          <w:sz w:val="16"/>
          <w:szCs w:val="16"/>
        </w:rPr>
        <w:t xml:space="preserve"> </w:t>
      </w:r>
      <w:r w:rsidRPr="005800D0">
        <w:rPr>
          <w:rFonts w:ascii="Verdana" w:hAnsi="Verdana"/>
          <w:sz w:val="16"/>
          <w:szCs w:val="16"/>
        </w:rPr>
        <w:t>de</w:t>
      </w:r>
      <w:r w:rsidRPr="005800D0">
        <w:rPr>
          <w:rFonts w:ascii="Verdana" w:hAnsi="Verdana"/>
          <w:spacing w:val="-14"/>
          <w:sz w:val="16"/>
          <w:szCs w:val="16"/>
        </w:rPr>
        <w:t xml:space="preserve"> </w:t>
      </w:r>
      <w:r w:rsidRPr="005800D0">
        <w:rPr>
          <w:rFonts w:ascii="Verdana" w:hAnsi="Verdana"/>
          <w:sz w:val="16"/>
          <w:szCs w:val="16"/>
        </w:rPr>
        <w:t>servicios,</w:t>
      </w:r>
      <w:r w:rsidRPr="005800D0">
        <w:rPr>
          <w:rFonts w:ascii="Verdana" w:hAnsi="Verdana"/>
          <w:spacing w:val="-14"/>
          <w:sz w:val="16"/>
          <w:szCs w:val="16"/>
        </w:rPr>
        <w:t xml:space="preserve"> </w:t>
      </w:r>
      <w:r w:rsidRPr="005800D0">
        <w:rPr>
          <w:rFonts w:ascii="Verdana" w:hAnsi="Verdana"/>
          <w:sz w:val="16"/>
          <w:szCs w:val="16"/>
        </w:rPr>
        <w:t>consultoría,</w:t>
      </w:r>
      <w:r w:rsidRPr="005800D0">
        <w:rPr>
          <w:rFonts w:ascii="Verdana" w:hAnsi="Verdana"/>
          <w:spacing w:val="-14"/>
          <w:sz w:val="16"/>
          <w:szCs w:val="16"/>
        </w:rPr>
        <w:t xml:space="preserve"> </w:t>
      </w:r>
      <w:r w:rsidRPr="005800D0">
        <w:rPr>
          <w:rFonts w:ascii="Verdana" w:hAnsi="Verdana"/>
          <w:sz w:val="16"/>
          <w:szCs w:val="16"/>
        </w:rPr>
        <w:t>fiducia</w:t>
      </w:r>
      <w:r w:rsidRPr="005800D0">
        <w:rPr>
          <w:rFonts w:ascii="Verdana" w:hAnsi="Verdana"/>
          <w:spacing w:val="-14"/>
          <w:sz w:val="16"/>
          <w:szCs w:val="16"/>
        </w:rPr>
        <w:t xml:space="preserve"> </w:t>
      </w:r>
      <w:r w:rsidRPr="005800D0">
        <w:rPr>
          <w:rFonts w:ascii="Verdana" w:hAnsi="Verdana"/>
          <w:sz w:val="16"/>
          <w:szCs w:val="16"/>
        </w:rPr>
        <w:t>pública]”.</w:t>
      </w:r>
      <w:r w:rsidRPr="005800D0">
        <w:rPr>
          <w:rFonts w:ascii="Verdana" w:hAnsi="Verdana"/>
          <w:spacing w:val="-15"/>
          <w:sz w:val="16"/>
          <w:szCs w:val="16"/>
        </w:rPr>
        <w:t xml:space="preserve"> </w:t>
      </w:r>
      <w:r w:rsidRPr="005800D0">
        <w:rPr>
          <w:rFonts w:ascii="Verdana" w:hAnsi="Verdana"/>
          <w:sz w:val="16"/>
          <w:szCs w:val="16"/>
        </w:rPr>
        <w:t>g)</w:t>
      </w:r>
      <w:r w:rsidRPr="005800D0">
        <w:rPr>
          <w:rFonts w:ascii="Verdana" w:hAnsi="Verdana"/>
          <w:spacing w:val="23"/>
          <w:sz w:val="16"/>
          <w:szCs w:val="16"/>
        </w:rPr>
        <w:t xml:space="preserve"> </w:t>
      </w:r>
      <w:r w:rsidRPr="005800D0">
        <w:rPr>
          <w:rFonts w:ascii="Verdana" w:hAnsi="Verdana"/>
          <w:sz w:val="16"/>
          <w:szCs w:val="16"/>
        </w:rPr>
        <w:t>Los actos y contratos que tengan por objeto directo las actividades comerciales e industriales propias de las Empresas Industriales y Comerciales Estatales y de las Sociedades de Economía Mixta, con excepción de los contratos</w:t>
      </w:r>
      <w:r w:rsidRPr="005800D0">
        <w:rPr>
          <w:rFonts w:ascii="Verdana" w:hAnsi="Verdana"/>
          <w:spacing w:val="-6"/>
          <w:sz w:val="16"/>
          <w:szCs w:val="16"/>
        </w:rPr>
        <w:t xml:space="preserve"> </w:t>
      </w:r>
      <w:r w:rsidRPr="005800D0">
        <w:rPr>
          <w:rFonts w:ascii="Verdana" w:hAnsi="Verdana"/>
          <w:sz w:val="16"/>
          <w:szCs w:val="16"/>
        </w:rPr>
        <w:t>que</w:t>
      </w:r>
      <w:r w:rsidRPr="005800D0">
        <w:rPr>
          <w:rFonts w:ascii="Verdana" w:hAnsi="Verdana"/>
          <w:spacing w:val="-7"/>
          <w:sz w:val="16"/>
          <w:szCs w:val="16"/>
        </w:rPr>
        <w:t xml:space="preserve"> </w:t>
      </w:r>
      <w:r w:rsidRPr="005800D0">
        <w:rPr>
          <w:rFonts w:ascii="Verdana" w:hAnsi="Verdana"/>
          <w:sz w:val="16"/>
          <w:szCs w:val="16"/>
        </w:rPr>
        <w:t>a</w:t>
      </w:r>
      <w:r w:rsidRPr="005800D0">
        <w:rPr>
          <w:rFonts w:ascii="Verdana" w:hAnsi="Verdana"/>
          <w:spacing w:val="-3"/>
          <w:sz w:val="16"/>
          <w:szCs w:val="16"/>
        </w:rPr>
        <w:t xml:space="preserve"> </w:t>
      </w:r>
      <w:r w:rsidRPr="005800D0">
        <w:rPr>
          <w:rFonts w:ascii="Verdana" w:hAnsi="Verdana"/>
          <w:sz w:val="16"/>
          <w:szCs w:val="16"/>
        </w:rPr>
        <w:t>título</w:t>
      </w:r>
      <w:r w:rsidRPr="005800D0">
        <w:rPr>
          <w:rFonts w:ascii="Verdana" w:hAnsi="Verdana"/>
          <w:spacing w:val="-9"/>
          <w:sz w:val="16"/>
          <w:szCs w:val="16"/>
        </w:rPr>
        <w:t xml:space="preserve"> </w:t>
      </w:r>
      <w:r w:rsidRPr="005800D0">
        <w:rPr>
          <w:rFonts w:ascii="Verdana" w:hAnsi="Verdana"/>
          <w:sz w:val="16"/>
          <w:szCs w:val="16"/>
        </w:rPr>
        <w:t>enunciativo</w:t>
      </w:r>
      <w:r w:rsidRPr="005800D0">
        <w:rPr>
          <w:rFonts w:ascii="Verdana" w:hAnsi="Verdana"/>
          <w:spacing w:val="-9"/>
          <w:sz w:val="16"/>
          <w:szCs w:val="16"/>
        </w:rPr>
        <w:t xml:space="preserve"> </w:t>
      </w:r>
      <w:r w:rsidRPr="005800D0">
        <w:rPr>
          <w:rFonts w:ascii="Verdana" w:hAnsi="Verdana"/>
          <w:sz w:val="16"/>
          <w:szCs w:val="16"/>
        </w:rPr>
        <w:t>identifica</w:t>
      </w:r>
      <w:r w:rsidRPr="005800D0">
        <w:rPr>
          <w:rFonts w:ascii="Verdana" w:hAnsi="Verdana"/>
          <w:spacing w:val="-8"/>
          <w:sz w:val="16"/>
          <w:szCs w:val="16"/>
        </w:rPr>
        <w:t xml:space="preserve"> </w:t>
      </w:r>
      <w:r w:rsidRPr="005800D0">
        <w:rPr>
          <w:rFonts w:ascii="Verdana" w:hAnsi="Verdana"/>
          <w:sz w:val="16"/>
          <w:szCs w:val="16"/>
        </w:rPr>
        <w:t>el</w:t>
      </w:r>
      <w:r w:rsidRPr="005800D0">
        <w:rPr>
          <w:rFonts w:ascii="Verdana" w:hAnsi="Verdana"/>
          <w:spacing w:val="-1"/>
          <w:sz w:val="16"/>
          <w:szCs w:val="16"/>
        </w:rPr>
        <w:t xml:space="preserve"> </w:t>
      </w:r>
      <w:r w:rsidRPr="005800D0">
        <w:rPr>
          <w:rFonts w:ascii="Verdana" w:hAnsi="Verdana"/>
          <w:sz w:val="16"/>
          <w:szCs w:val="16"/>
        </w:rPr>
        <w:t>artículo</w:t>
      </w:r>
      <w:r w:rsidRPr="005800D0">
        <w:rPr>
          <w:rFonts w:ascii="Verdana" w:hAnsi="Verdana"/>
          <w:spacing w:val="-9"/>
          <w:sz w:val="16"/>
          <w:szCs w:val="16"/>
        </w:rPr>
        <w:t xml:space="preserve"> </w:t>
      </w:r>
      <w:r w:rsidRPr="005800D0">
        <w:rPr>
          <w:rFonts w:ascii="Verdana" w:hAnsi="Verdana"/>
          <w:sz w:val="16"/>
          <w:szCs w:val="16"/>
        </w:rPr>
        <w:t>32</w:t>
      </w:r>
      <w:r w:rsidRPr="005800D0">
        <w:rPr>
          <w:rFonts w:ascii="Verdana" w:hAnsi="Verdana"/>
          <w:spacing w:val="-4"/>
          <w:sz w:val="16"/>
          <w:szCs w:val="16"/>
        </w:rPr>
        <w:t xml:space="preserve"> </w:t>
      </w:r>
      <w:r w:rsidRPr="005800D0">
        <w:rPr>
          <w:rFonts w:ascii="Verdana" w:hAnsi="Verdana"/>
          <w:sz w:val="16"/>
          <w:szCs w:val="16"/>
        </w:rPr>
        <w:t>de</w:t>
      </w:r>
      <w:r w:rsidRPr="005800D0">
        <w:rPr>
          <w:rFonts w:ascii="Verdana" w:hAnsi="Verdana"/>
          <w:spacing w:val="-7"/>
          <w:sz w:val="16"/>
          <w:szCs w:val="16"/>
        </w:rPr>
        <w:t xml:space="preserve"> </w:t>
      </w:r>
      <w:r w:rsidRPr="005800D0">
        <w:rPr>
          <w:rFonts w:ascii="Verdana" w:hAnsi="Verdana"/>
          <w:sz w:val="16"/>
          <w:szCs w:val="16"/>
        </w:rPr>
        <w:t>la Ley</w:t>
      </w:r>
      <w:r w:rsidRPr="005800D0">
        <w:rPr>
          <w:rFonts w:ascii="Verdana" w:hAnsi="Verdana"/>
          <w:spacing w:val="-7"/>
          <w:sz w:val="16"/>
          <w:szCs w:val="16"/>
        </w:rPr>
        <w:t xml:space="preserve"> </w:t>
      </w:r>
      <w:r w:rsidRPr="005800D0">
        <w:rPr>
          <w:rFonts w:ascii="Verdana" w:hAnsi="Verdana"/>
          <w:sz w:val="16"/>
          <w:szCs w:val="16"/>
        </w:rPr>
        <w:t>80</w:t>
      </w:r>
      <w:r w:rsidRPr="005800D0">
        <w:rPr>
          <w:rFonts w:ascii="Verdana" w:hAnsi="Verdana"/>
          <w:spacing w:val="-4"/>
          <w:sz w:val="16"/>
          <w:szCs w:val="16"/>
        </w:rPr>
        <w:t xml:space="preserve"> </w:t>
      </w:r>
      <w:r w:rsidRPr="005800D0">
        <w:rPr>
          <w:rFonts w:ascii="Verdana" w:hAnsi="Verdana"/>
          <w:sz w:val="16"/>
          <w:szCs w:val="16"/>
        </w:rPr>
        <w:t>de</w:t>
      </w:r>
      <w:r w:rsidRPr="005800D0">
        <w:rPr>
          <w:rFonts w:ascii="Verdana" w:hAnsi="Verdana"/>
          <w:spacing w:val="-2"/>
          <w:sz w:val="16"/>
          <w:szCs w:val="16"/>
        </w:rPr>
        <w:t xml:space="preserve"> </w:t>
      </w:r>
      <w:r w:rsidRPr="005800D0">
        <w:rPr>
          <w:rFonts w:ascii="Verdana" w:hAnsi="Verdana"/>
          <w:sz w:val="16"/>
          <w:szCs w:val="16"/>
        </w:rPr>
        <w:t>1993.</w:t>
      </w:r>
      <w:bookmarkEnd w:id="18"/>
    </w:p>
    <w:p w14:paraId="34DB46D7" w14:textId="77777777" w:rsidR="008A19CC" w:rsidRPr="005800D0" w:rsidRDefault="008A19CC" w:rsidP="008A19CC">
      <w:pPr>
        <w:tabs>
          <w:tab w:val="left" w:pos="142"/>
          <w:tab w:val="left" w:pos="8789"/>
        </w:tabs>
        <w:spacing w:after="0" w:line="240" w:lineRule="auto"/>
        <w:ind w:right="49" w:firstLine="709"/>
        <w:contextualSpacing/>
        <w:jc w:val="both"/>
        <w:rPr>
          <w:rFonts w:ascii="Verdana" w:hAnsi="Verdana"/>
          <w:sz w:val="16"/>
          <w:szCs w:val="16"/>
        </w:rPr>
      </w:pPr>
    </w:p>
  </w:footnote>
  <w:footnote w:id="21">
    <w:p w14:paraId="5B396DBC" w14:textId="77777777" w:rsidR="008A19CC" w:rsidRDefault="008A19CC" w:rsidP="008A19CC">
      <w:pPr>
        <w:pStyle w:val="Textonotapie"/>
        <w:ind w:right="49" w:firstLine="709"/>
        <w:contextualSpacing/>
        <w:jc w:val="both"/>
        <w:rPr>
          <w:rFonts w:ascii="Verdana" w:hAnsi="Verdana"/>
          <w:sz w:val="16"/>
          <w:szCs w:val="16"/>
        </w:rPr>
      </w:pPr>
      <w:r w:rsidRPr="00195E24">
        <w:rPr>
          <w:rStyle w:val="Refdenotaalpie"/>
          <w:rFonts w:ascii="Verdana" w:hAnsi="Verdana"/>
          <w:sz w:val="16"/>
          <w:szCs w:val="16"/>
        </w:rPr>
        <w:footnoteRef/>
      </w:r>
      <w:r w:rsidRPr="00195E24">
        <w:rPr>
          <w:rFonts w:ascii="Verdana" w:hAnsi="Verdana"/>
          <w:sz w:val="16"/>
          <w:szCs w:val="16"/>
        </w:rPr>
        <w:t xml:space="preserve"> El artículo</w:t>
      </w:r>
      <w:r w:rsidRPr="00195E24">
        <w:rPr>
          <w:rFonts w:ascii="Verdana" w:hAnsi="Verdana"/>
          <w:spacing w:val="-2"/>
          <w:sz w:val="16"/>
          <w:szCs w:val="16"/>
        </w:rPr>
        <w:t xml:space="preserve"> </w:t>
      </w:r>
      <w:r w:rsidRPr="00195E24">
        <w:rPr>
          <w:rFonts w:ascii="Verdana" w:hAnsi="Verdana"/>
          <w:sz w:val="16"/>
          <w:szCs w:val="16"/>
        </w:rPr>
        <w:t>14</w:t>
      </w:r>
      <w:r w:rsidRPr="00195E24">
        <w:rPr>
          <w:rFonts w:ascii="Verdana" w:hAnsi="Verdana"/>
          <w:spacing w:val="-2"/>
          <w:sz w:val="16"/>
          <w:szCs w:val="16"/>
        </w:rPr>
        <w:t xml:space="preserve"> </w:t>
      </w:r>
      <w:r w:rsidRPr="00195E24">
        <w:rPr>
          <w:rFonts w:ascii="Verdana" w:hAnsi="Verdana"/>
          <w:sz w:val="16"/>
          <w:szCs w:val="16"/>
        </w:rPr>
        <w:t>original de la</w:t>
      </w:r>
      <w:r w:rsidRPr="00195E24">
        <w:rPr>
          <w:rFonts w:ascii="Verdana" w:hAnsi="Verdana"/>
          <w:spacing w:val="-1"/>
          <w:sz w:val="16"/>
          <w:szCs w:val="16"/>
        </w:rPr>
        <w:t xml:space="preserve"> </w:t>
      </w:r>
      <w:r w:rsidRPr="00195E24">
        <w:rPr>
          <w:rFonts w:ascii="Verdana" w:hAnsi="Verdana"/>
          <w:sz w:val="16"/>
          <w:szCs w:val="16"/>
        </w:rPr>
        <w:t>Ley 1150</w:t>
      </w:r>
      <w:r w:rsidRPr="00195E24">
        <w:rPr>
          <w:rFonts w:ascii="Verdana" w:hAnsi="Verdana"/>
          <w:spacing w:val="-2"/>
          <w:sz w:val="16"/>
          <w:szCs w:val="16"/>
        </w:rPr>
        <w:t xml:space="preserve"> </w:t>
      </w:r>
      <w:r w:rsidRPr="00195E24">
        <w:rPr>
          <w:rFonts w:ascii="Verdana" w:hAnsi="Verdana"/>
          <w:sz w:val="16"/>
          <w:szCs w:val="16"/>
        </w:rPr>
        <w:t>de 2007</w:t>
      </w:r>
      <w:r w:rsidRPr="00195E24">
        <w:rPr>
          <w:rFonts w:ascii="Verdana" w:hAnsi="Verdana"/>
          <w:spacing w:val="-2"/>
          <w:sz w:val="16"/>
          <w:szCs w:val="16"/>
        </w:rPr>
        <w:t xml:space="preserve"> </w:t>
      </w:r>
      <w:r w:rsidRPr="00195E24">
        <w:rPr>
          <w:rFonts w:ascii="Verdana" w:hAnsi="Verdana"/>
          <w:sz w:val="16"/>
          <w:szCs w:val="16"/>
        </w:rPr>
        <w:t>excluía</w:t>
      </w:r>
      <w:r w:rsidRPr="00195E24">
        <w:rPr>
          <w:rFonts w:ascii="Verdana" w:hAnsi="Verdana"/>
          <w:spacing w:val="-1"/>
          <w:sz w:val="16"/>
          <w:szCs w:val="16"/>
        </w:rPr>
        <w:t xml:space="preserve"> </w:t>
      </w:r>
      <w:r w:rsidRPr="00195E24">
        <w:rPr>
          <w:rFonts w:ascii="Verdana" w:hAnsi="Verdana"/>
          <w:sz w:val="16"/>
          <w:szCs w:val="16"/>
        </w:rPr>
        <w:t>además aquellas cuya</w:t>
      </w:r>
      <w:r w:rsidRPr="00195E24">
        <w:rPr>
          <w:rFonts w:ascii="Verdana" w:hAnsi="Verdana"/>
          <w:spacing w:val="-1"/>
          <w:sz w:val="16"/>
          <w:szCs w:val="16"/>
        </w:rPr>
        <w:t xml:space="preserve"> </w:t>
      </w:r>
      <w:r w:rsidRPr="00195E24">
        <w:rPr>
          <w:rFonts w:ascii="Verdana" w:hAnsi="Verdana"/>
          <w:sz w:val="16"/>
          <w:szCs w:val="16"/>
        </w:rPr>
        <w:t>actividad</w:t>
      </w:r>
      <w:r w:rsidRPr="00195E24">
        <w:rPr>
          <w:rFonts w:ascii="Verdana" w:hAnsi="Verdana"/>
          <w:spacing w:val="-5"/>
          <w:sz w:val="16"/>
          <w:szCs w:val="16"/>
        </w:rPr>
        <w:t xml:space="preserve"> </w:t>
      </w:r>
      <w:r w:rsidRPr="00195E24">
        <w:rPr>
          <w:rFonts w:ascii="Verdana" w:hAnsi="Verdana"/>
          <w:sz w:val="16"/>
          <w:szCs w:val="16"/>
        </w:rPr>
        <w:t>se realizaba en</w:t>
      </w:r>
      <w:r w:rsidRPr="00195E24">
        <w:rPr>
          <w:rFonts w:ascii="Verdana" w:hAnsi="Verdana"/>
          <w:spacing w:val="-6"/>
          <w:sz w:val="16"/>
          <w:szCs w:val="16"/>
        </w:rPr>
        <w:t xml:space="preserve"> </w:t>
      </w:r>
      <w:r w:rsidRPr="00195E24">
        <w:rPr>
          <w:rFonts w:ascii="Verdana" w:hAnsi="Verdana"/>
          <w:sz w:val="16"/>
          <w:szCs w:val="16"/>
        </w:rPr>
        <w:t>“mercados</w:t>
      </w:r>
      <w:r w:rsidRPr="00195E24">
        <w:rPr>
          <w:rFonts w:ascii="Verdana" w:hAnsi="Verdana"/>
          <w:spacing w:val="-3"/>
          <w:sz w:val="16"/>
          <w:szCs w:val="16"/>
        </w:rPr>
        <w:t xml:space="preserve"> </w:t>
      </w:r>
      <w:r w:rsidRPr="00195E24">
        <w:rPr>
          <w:rFonts w:ascii="Verdana" w:hAnsi="Verdana"/>
          <w:sz w:val="16"/>
          <w:szCs w:val="16"/>
        </w:rPr>
        <w:t>monopolísticos”,</w:t>
      </w:r>
      <w:r w:rsidRPr="00195E24">
        <w:rPr>
          <w:rFonts w:ascii="Verdana" w:hAnsi="Verdana"/>
          <w:spacing w:val="-2"/>
          <w:sz w:val="16"/>
          <w:szCs w:val="16"/>
        </w:rPr>
        <w:t xml:space="preserve"> </w:t>
      </w:r>
      <w:r w:rsidRPr="00195E24">
        <w:rPr>
          <w:rFonts w:ascii="Verdana" w:hAnsi="Verdana"/>
          <w:sz w:val="16"/>
          <w:szCs w:val="16"/>
        </w:rPr>
        <w:t>pero,</w:t>
      </w:r>
      <w:r w:rsidRPr="00195E24">
        <w:rPr>
          <w:rFonts w:ascii="Verdana" w:hAnsi="Verdana"/>
          <w:spacing w:val="-2"/>
          <w:sz w:val="16"/>
          <w:szCs w:val="16"/>
        </w:rPr>
        <w:t xml:space="preserve"> </w:t>
      </w:r>
      <w:r w:rsidRPr="00195E24">
        <w:rPr>
          <w:rFonts w:ascii="Verdana" w:hAnsi="Verdana"/>
          <w:sz w:val="16"/>
          <w:szCs w:val="16"/>
        </w:rPr>
        <w:t>con</w:t>
      </w:r>
      <w:r w:rsidRPr="00195E24">
        <w:rPr>
          <w:rFonts w:ascii="Verdana" w:hAnsi="Verdana"/>
          <w:spacing w:val="-5"/>
          <w:sz w:val="16"/>
          <w:szCs w:val="16"/>
        </w:rPr>
        <w:t xml:space="preserve"> </w:t>
      </w:r>
      <w:r w:rsidRPr="00195E24">
        <w:rPr>
          <w:rFonts w:ascii="Verdana" w:hAnsi="Verdana"/>
          <w:sz w:val="16"/>
          <w:szCs w:val="16"/>
        </w:rPr>
        <w:t>buen</w:t>
      </w:r>
      <w:r w:rsidRPr="00195E24">
        <w:rPr>
          <w:rFonts w:ascii="Verdana" w:hAnsi="Verdana"/>
          <w:spacing w:val="-6"/>
          <w:sz w:val="16"/>
          <w:szCs w:val="16"/>
        </w:rPr>
        <w:t xml:space="preserve"> </w:t>
      </w:r>
      <w:r w:rsidRPr="00195E24">
        <w:rPr>
          <w:rFonts w:ascii="Verdana" w:hAnsi="Verdana"/>
          <w:sz w:val="16"/>
          <w:szCs w:val="16"/>
        </w:rPr>
        <w:t>tino,</w:t>
      </w:r>
      <w:r w:rsidRPr="00195E24">
        <w:rPr>
          <w:rFonts w:ascii="Verdana" w:hAnsi="Verdana"/>
          <w:spacing w:val="-2"/>
          <w:sz w:val="16"/>
          <w:szCs w:val="16"/>
        </w:rPr>
        <w:t xml:space="preserve"> </w:t>
      </w:r>
      <w:r w:rsidRPr="00195E24">
        <w:rPr>
          <w:rFonts w:ascii="Verdana" w:hAnsi="Verdana"/>
          <w:sz w:val="16"/>
          <w:szCs w:val="16"/>
        </w:rPr>
        <w:t>se</w:t>
      </w:r>
      <w:r w:rsidRPr="00195E24">
        <w:rPr>
          <w:rFonts w:ascii="Verdana" w:hAnsi="Verdana"/>
          <w:spacing w:val="-4"/>
          <w:sz w:val="16"/>
          <w:szCs w:val="16"/>
        </w:rPr>
        <w:t xml:space="preserve"> </w:t>
      </w:r>
      <w:r w:rsidRPr="00195E24">
        <w:rPr>
          <w:rFonts w:ascii="Verdana" w:hAnsi="Verdana"/>
          <w:sz w:val="16"/>
          <w:szCs w:val="16"/>
        </w:rPr>
        <w:t>eliminó</w:t>
      </w:r>
      <w:r w:rsidRPr="00195E24">
        <w:rPr>
          <w:rFonts w:ascii="Verdana" w:hAnsi="Verdana"/>
          <w:spacing w:val="-6"/>
          <w:sz w:val="16"/>
          <w:szCs w:val="16"/>
        </w:rPr>
        <w:t xml:space="preserve"> </w:t>
      </w:r>
      <w:r w:rsidRPr="00195E24">
        <w:rPr>
          <w:rFonts w:ascii="Verdana" w:hAnsi="Verdana"/>
          <w:sz w:val="16"/>
          <w:szCs w:val="16"/>
        </w:rPr>
        <w:t>en</w:t>
      </w:r>
      <w:r w:rsidRPr="00195E24">
        <w:rPr>
          <w:rFonts w:ascii="Verdana" w:hAnsi="Verdana"/>
          <w:spacing w:val="-6"/>
          <w:sz w:val="16"/>
          <w:szCs w:val="16"/>
        </w:rPr>
        <w:t xml:space="preserve"> </w:t>
      </w:r>
      <w:r w:rsidRPr="00195E24">
        <w:rPr>
          <w:rFonts w:ascii="Verdana" w:hAnsi="Verdana"/>
          <w:sz w:val="16"/>
          <w:szCs w:val="16"/>
        </w:rPr>
        <w:t>el</w:t>
      </w:r>
      <w:r w:rsidRPr="00195E24">
        <w:rPr>
          <w:rFonts w:ascii="Verdana" w:hAnsi="Verdana"/>
          <w:spacing w:val="-3"/>
          <w:sz w:val="16"/>
          <w:szCs w:val="16"/>
        </w:rPr>
        <w:t xml:space="preserve"> </w:t>
      </w:r>
      <w:r w:rsidRPr="00195E24">
        <w:rPr>
          <w:rFonts w:ascii="Verdana" w:hAnsi="Verdana"/>
          <w:sz w:val="16"/>
          <w:szCs w:val="16"/>
        </w:rPr>
        <w:t>artículo</w:t>
      </w:r>
      <w:r w:rsidRPr="00195E24">
        <w:rPr>
          <w:rFonts w:ascii="Verdana" w:hAnsi="Verdana"/>
          <w:spacing w:val="-6"/>
          <w:sz w:val="16"/>
          <w:szCs w:val="16"/>
        </w:rPr>
        <w:t xml:space="preserve"> </w:t>
      </w:r>
      <w:r w:rsidRPr="00195E24">
        <w:rPr>
          <w:rFonts w:ascii="Verdana" w:hAnsi="Verdana"/>
          <w:sz w:val="16"/>
          <w:szCs w:val="16"/>
        </w:rPr>
        <w:t>93</w:t>
      </w:r>
      <w:r w:rsidRPr="00195E24">
        <w:rPr>
          <w:rFonts w:ascii="Verdana" w:hAnsi="Verdana"/>
          <w:spacing w:val="-6"/>
          <w:sz w:val="16"/>
          <w:szCs w:val="16"/>
        </w:rPr>
        <w:t xml:space="preserve"> </w:t>
      </w:r>
      <w:r w:rsidRPr="00195E24">
        <w:rPr>
          <w:rFonts w:ascii="Verdana" w:hAnsi="Verdana"/>
          <w:sz w:val="16"/>
          <w:szCs w:val="16"/>
        </w:rPr>
        <w:t>de</w:t>
      </w:r>
      <w:r w:rsidRPr="00195E24">
        <w:rPr>
          <w:rFonts w:ascii="Verdana" w:hAnsi="Verdana"/>
          <w:spacing w:val="-4"/>
          <w:sz w:val="16"/>
          <w:szCs w:val="16"/>
        </w:rPr>
        <w:t xml:space="preserve"> </w:t>
      </w:r>
      <w:r w:rsidRPr="00195E24">
        <w:rPr>
          <w:rFonts w:ascii="Verdana" w:hAnsi="Verdana"/>
          <w:sz w:val="16"/>
          <w:szCs w:val="16"/>
        </w:rPr>
        <w:t>la</w:t>
      </w:r>
      <w:r w:rsidRPr="00195E24">
        <w:rPr>
          <w:rFonts w:ascii="Verdana" w:hAnsi="Verdana"/>
          <w:spacing w:val="-5"/>
          <w:sz w:val="16"/>
          <w:szCs w:val="16"/>
        </w:rPr>
        <w:t xml:space="preserve"> </w:t>
      </w:r>
      <w:r w:rsidRPr="00195E24">
        <w:rPr>
          <w:rFonts w:ascii="Verdana" w:hAnsi="Verdana"/>
          <w:sz w:val="16"/>
          <w:szCs w:val="16"/>
        </w:rPr>
        <w:t>Ley</w:t>
      </w:r>
      <w:r w:rsidRPr="00195E24">
        <w:rPr>
          <w:rFonts w:ascii="Verdana" w:hAnsi="Verdana"/>
          <w:spacing w:val="-4"/>
          <w:sz w:val="16"/>
          <w:szCs w:val="16"/>
        </w:rPr>
        <w:t xml:space="preserve"> </w:t>
      </w:r>
      <w:r w:rsidRPr="00195E24">
        <w:rPr>
          <w:rFonts w:ascii="Verdana" w:hAnsi="Verdana"/>
          <w:sz w:val="16"/>
          <w:szCs w:val="16"/>
        </w:rPr>
        <w:t>1474</w:t>
      </w:r>
      <w:r w:rsidRPr="00195E24">
        <w:rPr>
          <w:rFonts w:ascii="Verdana" w:hAnsi="Verdana"/>
          <w:spacing w:val="-6"/>
          <w:sz w:val="16"/>
          <w:szCs w:val="16"/>
        </w:rPr>
        <w:t xml:space="preserve"> </w:t>
      </w:r>
      <w:r w:rsidRPr="00195E24">
        <w:rPr>
          <w:rFonts w:ascii="Verdana" w:hAnsi="Verdana"/>
          <w:sz w:val="16"/>
          <w:szCs w:val="16"/>
        </w:rPr>
        <w:t>de</w:t>
      </w:r>
      <w:r w:rsidRPr="00195E24">
        <w:rPr>
          <w:rFonts w:ascii="Verdana" w:hAnsi="Verdana"/>
          <w:spacing w:val="-4"/>
          <w:sz w:val="16"/>
          <w:szCs w:val="16"/>
        </w:rPr>
        <w:t xml:space="preserve"> </w:t>
      </w:r>
      <w:r w:rsidRPr="00195E24">
        <w:rPr>
          <w:rFonts w:ascii="Verdana" w:hAnsi="Verdana"/>
          <w:sz w:val="16"/>
          <w:szCs w:val="16"/>
        </w:rPr>
        <w:t>2011,</w:t>
      </w:r>
      <w:r w:rsidRPr="00195E24">
        <w:rPr>
          <w:rFonts w:ascii="Verdana" w:hAnsi="Verdana"/>
          <w:spacing w:val="-2"/>
          <w:sz w:val="16"/>
          <w:szCs w:val="16"/>
        </w:rPr>
        <w:t xml:space="preserve"> </w:t>
      </w:r>
      <w:r w:rsidRPr="00195E24">
        <w:rPr>
          <w:rFonts w:ascii="Verdana" w:hAnsi="Verdana"/>
          <w:sz w:val="16"/>
          <w:szCs w:val="16"/>
        </w:rPr>
        <w:t>pues en ese caso no se está en presencia de los fundamentos que soportan la excepción de no aplicar el Estatuto General de Contratación de la Administración Pública, cual es la “competencia y el libre juego del mercado”.</w:t>
      </w:r>
    </w:p>
    <w:p w14:paraId="4533B803" w14:textId="77777777" w:rsidR="008A19CC" w:rsidRPr="00195E24" w:rsidRDefault="008A19CC" w:rsidP="008A19CC">
      <w:pPr>
        <w:pStyle w:val="Textonotapie"/>
        <w:ind w:right="49" w:firstLine="709"/>
        <w:contextualSpacing/>
        <w:jc w:val="both"/>
        <w:rPr>
          <w:rFonts w:ascii="Verdana" w:hAnsi="Verdana"/>
          <w:sz w:val="16"/>
          <w:szCs w:val="16"/>
        </w:rPr>
      </w:pPr>
    </w:p>
  </w:footnote>
  <w:footnote w:id="22">
    <w:p w14:paraId="6C272873" w14:textId="77777777" w:rsidR="008A19CC" w:rsidRDefault="008A19CC" w:rsidP="008A19CC">
      <w:pPr>
        <w:spacing w:after="0" w:line="240" w:lineRule="auto"/>
        <w:ind w:firstLine="709"/>
        <w:contextualSpacing/>
        <w:jc w:val="both"/>
        <w:rPr>
          <w:rFonts w:ascii="Verdana" w:hAnsi="Verdana" w:cs="Arial"/>
          <w:color w:val="000000" w:themeColor="text1"/>
          <w:sz w:val="16"/>
          <w:szCs w:val="16"/>
        </w:rPr>
      </w:pPr>
      <w:r w:rsidRPr="00195E24">
        <w:rPr>
          <w:rStyle w:val="Refdenotaalpie"/>
          <w:rFonts w:ascii="Verdana" w:hAnsi="Verdana" w:cs="Arial"/>
          <w:color w:val="000000" w:themeColor="text1"/>
          <w:sz w:val="16"/>
          <w:szCs w:val="16"/>
        </w:rPr>
        <w:footnoteRef/>
      </w:r>
      <w:r w:rsidRPr="00195E24">
        <w:rPr>
          <w:rFonts w:ascii="Verdana" w:hAnsi="Verdana" w:cs="Arial"/>
          <w:color w:val="000000" w:themeColor="text1"/>
          <w:sz w:val="16"/>
          <w:szCs w:val="16"/>
        </w:rPr>
        <w:t xml:space="preserve"> Consejo de Estado. Sala de Consulta y Servicio Civil. Concepto de 20 de febrero de 2006. Radicación Número: 11001-03-06-000-2006-00026-00 (1727). </w:t>
      </w:r>
      <w:r>
        <w:rPr>
          <w:rFonts w:ascii="Verdana" w:hAnsi="Verdana" w:cs="Arial"/>
          <w:color w:val="000000" w:themeColor="text1"/>
          <w:sz w:val="16"/>
          <w:szCs w:val="16"/>
        </w:rPr>
        <w:t>C.P</w:t>
      </w:r>
      <w:r w:rsidRPr="00195E24">
        <w:rPr>
          <w:rFonts w:ascii="Verdana" w:hAnsi="Verdana" w:cs="Arial"/>
          <w:color w:val="000000" w:themeColor="text1"/>
          <w:sz w:val="16"/>
          <w:szCs w:val="16"/>
        </w:rPr>
        <w:t>: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p w14:paraId="3547AA0E" w14:textId="77777777" w:rsidR="008A19CC" w:rsidRPr="005800D0" w:rsidRDefault="008A19CC" w:rsidP="008A19CC">
      <w:pPr>
        <w:spacing w:after="0" w:line="240" w:lineRule="auto"/>
        <w:ind w:firstLine="709"/>
        <w:contextualSpacing/>
        <w:jc w:val="both"/>
        <w:rPr>
          <w:rFonts w:ascii="Verdana" w:hAnsi="Verdana" w:cs="Arial"/>
          <w:color w:val="000000" w:themeColor="text1"/>
          <w:sz w:val="16"/>
          <w:szCs w:val="16"/>
        </w:rPr>
      </w:pPr>
    </w:p>
  </w:footnote>
  <w:footnote w:id="23">
    <w:p w14:paraId="1953B2AE" w14:textId="77777777" w:rsidR="008A19CC" w:rsidRPr="00195E24" w:rsidRDefault="008A19CC" w:rsidP="008A19CC">
      <w:pPr>
        <w:pStyle w:val="Textonotapie"/>
        <w:ind w:firstLine="709"/>
        <w:contextualSpacing/>
        <w:jc w:val="both"/>
        <w:rPr>
          <w:rFonts w:ascii="Verdana" w:hAnsi="Verdana" w:cs="Arial"/>
          <w:color w:val="000000" w:themeColor="text1"/>
          <w:sz w:val="16"/>
          <w:szCs w:val="16"/>
        </w:rPr>
      </w:pPr>
      <w:r w:rsidRPr="00195E24">
        <w:rPr>
          <w:rStyle w:val="Refdenotaalpie"/>
          <w:rFonts w:ascii="Verdana" w:hAnsi="Verdana" w:cs="Arial"/>
          <w:color w:val="000000" w:themeColor="text1"/>
          <w:sz w:val="16"/>
          <w:szCs w:val="16"/>
        </w:rPr>
        <w:footnoteRef/>
      </w:r>
      <w:r w:rsidRPr="00195E24">
        <w:rPr>
          <w:rFonts w:ascii="Verdana" w:hAnsi="Verdana" w:cs="Arial"/>
          <w:color w:val="000000" w:themeColor="text1"/>
          <w:sz w:val="16"/>
          <w:szCs w:val="16"/>
        </w:rPr>
        <w:t xml:space="preserve"> Consejo de Estado. Sala de Consulta y Servicio Civil. Concepto de 6 de abril de 2006. Radicación Número: 11001-03-06-000-2006-00038-00 (1738). </w:t>
      </w:r>
      <w:r>
        <w:rPr>
          <w:rFonts w:ascii="Verdana" w:hAnsi="Verdana" w:cs="Arial"/>
          <w:color w:val="000000" w:themeColor="text1"/>
          <w:sz w:val="16"/>
          <w:szCs w:val="16"/>
        </w:rPr>
        <w:t>C.P:</w:t>
      </w:r>
      <w:r w:rsidRPr="00195E24">
        <w:rPr>
          <w:rFonts w:ascii="Verdana" w:hAnsi="Verdana" w:cs="Arial"/>
          <w:color w:val="000000" w:themeColor="text1"/>
          <w:sz w:val="16"/>
          <w:szCs w:val="16"/>
        </w:rPr>
        <w:t xml:space="preserve"> Enrique José Arboleda Perdomo:</w:t>
      </w:r>
      <w:r w:rsidRPr="00195E24">
        <w:rPr>
          <w:rFonts w:ascii="Verdana" w:eastAsia="Times New Roman" w:hAnsi="Verdana" w:cs="Arial"/>
          <w:bCs/>
          <w:color w:val="000000" w:themeColor="text1"/>
          <w:sz w:val="16"/>
          <w:szCs w:val="16"/>
          <w:lang w:eastAsia="x-none"/>
        </w:rPr>
        <w:t xml:space="preserve"> </w:t>
      </w:r>
      <w:bookmarkStart w:id="19" w:name="_Hlk97890572"/>
      <w:r>
        <w:rPr>
          <w:rFonts w:ascii="Verdana" w:eastAsia="Times New Roman" w:hAnsi="Verdana" w:cs="Arial"/>
          <w:bCs/>
          <w:color w:val="000000" w:themeColor="text1"/>
          <w:sz w:val="16"/>
          <w:szCs w:val="16"/>
          <w:lang w:eastAsia="x-none"/>
        </w:rPr>
        <w:t>“</w:t>
      </w:r>
      <w:r w:rsidRPr="00195E24">
        <w:rPr>
          <w:rFonts w:ascii="Verdana" w:hAnsi="Verdana" w:cs="Arial"/>
          <w:color w:val="000000" w:themeColor="text1"/>
          <w:sz w:val="16"/>
          <w:szCs w:val="16"/>
        </w:rPr>
        <w:t xml:space="preserve">Si bien en el tema del concepto del que se extractaron </w:t>
      </w:r>
      <w:bookmarkEnd w:id="19"/>
      <w:r w:rsidRPr="00195E24">
        <w:rPr>
          <w:rFonts w:ascii="Verdana" w:hAnsi="Verdana" w:cs="Arial"/>
          <w:color w:val="000000" w:themeColor="text1"/>
          <w:sz w:val="16"/>
          <w:szCs w:val="16"/>
        </w:rPr>
        <w:t>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Pr>
          <w:rFonts w:ascii="Verdana" w:eastAsia="Times New Roman" w:hAnsi="Verdana" w:cs="Arial"/>
          <w:bCs/>
          <w:color w:val="000000" w:themeColor="text1"/>
          <w:sz w:val="16"/>
          <w:szCs w:val="16"/>
          <w:lang w:eastAsia="x-none"/>
        </w:rPr>
        <w:t>”</w:t>
      </w:r>
      <w:r w:rsidRPr="00195E24">
        <w:rPr>
          <w:rFonts w:ascii="Verdana" w:eastAsia="Times New Roman" w:hAnsi="Verdana" w:cs="Arial"/>
          <w:bCs/>
          <w:color w:val="000000" w:themeColor="text1"/>
          <w:sz w:val="16"/>
          <w:szCs w:val="16"/>
          <w:lang w:eastAsia="x-none"/>
        </w:rPr>
        <w:t>.</w:t>
      </w:r>
    </w:p>
  </w:footnote>
  <w:footnote w:id="24">
    <w:p w14:paraId="3AFA7DA6" w14:textId="77777777" w:rsidR="008A19CC" w:rsidRDefault="008A19CC" w:rsidP="008A19CC">
      <w:pPr>
        <w:spacing w:after="0" w:line="240" w:lineRule="auto"/>
        <w:ind w:firstLine="708"/>
        <w:contextualSpacing/>
        <w:jc w:val="both"/>
        <w:rPr>
          <w:rFonts w:ascii="Verdana" w:hAnsi="Verdana" w:cs="Arial"/>
          <w:color w:val="000000" w:themeColor="text1"/>
          <w:sz w:val="16"/>
          <w:szCs w:val="16"/>
        </w:rPr>
      </w:pPr>
      <w:r w:rsidRPr="005800D0">
        <w:rPr>
          <w:rStyle w:val="Refdenotaalpie"/>
          <w:rFonts w:ascii="Verdana" w:hAnsi="Verdana" w:cs="Arial"/>
          <w:color w:val="000000" w:themeColor="text1"/>
          <w:sz w:val="16"/>
          <w:szCs w:val="16"/>
        </w:rPr>
        <w:footnoteRef/>
      </w:r>
      <w:r w:rsidRPr="005800D0">
        <w:rPr>
          <w:rFonts w:ascii="Verdana" w:hAnsi="Verdana" w:cs="Arial"/>
          <w:color w:val="000000" w:themeColor="text1"/>
          <w:sz w:val="16"/>
          <w:szCs w:val="16"/>
        </w:rPr>
        <w:t xml:space="preserve"> Consejo de Estado. Sala de Consulta y Servicio Civil. Concepto de 6 de abril de 2006. Radicación Número: 11001-03-06-000-2006-00038-00(1738). C</w:t>
      </w:r>
      <w:r>
        <w:rPr>
          <w:rFonts w:ascii="Verdana" w:hAnsi="Verdana" w:cs="Arial"/>
          <w:color w:val="000000" w:themeColor="text1"/>
          <w:sz w:val="16"/>
          <w:szCs w:val="16"/>
        </w:rPr>
        <w:t xml:space="preserve">.P: </w:t>
      </w:r>
      <w:r w:rsidRPr="005800D0">
        <w:rPr>
          <w:rFonts w:ascii="Verdana" w:hAnsi="Verdana" w:cs="Arial"/>
          <w:color w:val="000000" w:themeColor="text1"/>
          <w:sz w:val="16"/>
          <w:szCs w:val="16"/>
        </w:rPr>
        <w:t xml:space="preserve">Enrique José Arboleda Perdomo. </w:t>
      </w:r>
    </w:p>
    <w:p w14:paraId="36B32B3D" w14:textId="77777777" w:rsidR="008A19CC" w:rsidRPr="005800D0" w:rsidRDefault="008A19CC" w:rsidP="008A19CC">
      <w:pPr>
        <w:spacing w:after="0" w:line="240" w:lineRule="auto"/>
        <w:ind w:firstLine="708"/>
        <w:contextualSpacing/>
        <w:jc w:val="both"/>
        <w:rPr>
          <w:rFonts w:ascii="Verdana" w:hAnsi="Verdana" w:cs="Arial"/>
          <w:color w:val="000000" w:themeColor="text1"/>
          <w:sz w:val="16"/>
          <w:szCs w:val="16"/>
        </w:rPr>
      </w:pPr>
    </w:p>
  </w:footnote>
  <w:footnote w:id="25">
    <w:p w14:paraId="128E8626" w14:textId="77777777" w:rsidR="008A19CC" w:rsidRPr="005800D0" w:rsidRDefault="008A19CC" w:rsidP="008A19CC">
      <w:pPr>
        <w:pStyle w:val="Textonotapie"/>
        <w:ind w:firstLine="709"/>
        <w:contextualSpacing/>
        <w:rPr>
          <w:rFonts w:ascii="Verdana" w:hAnsi="Verdana" w:cs="Arial"/>
          <w:color w:val="000000" w:themeColor="text1"/>
          <w:sz w:val="16"/>
          <w:szCs w:val="16"/>
        </w:rPr>
      </w:pPr>
      <w:r w:rsidRPr="005800D0">
        <w:rPr>
          <w:rStyle w:val="Refdenotaalpie"/>
          <w:rFonts w:ascii="Verdana" w:hAnsi="Verdana" w:cs="Arial"/>
          <w:color w:val="000000" w:themeColor="text1"/>
          <w:sz w:val="16"/>
          <w:szCs w:val="16"/>
        </w:rPr>
        <w:footnoteRef/>
      </w:r>
      <w:r w:rsidRPr="005800D0">
        <w:rPr>
          <w:rFonts w:ascii="Verdana" w:hAnsi="Verdana" w:cs="Arial"/>
          <w:color w:val="000000" w:themeColor="text1"/>
          <w:sz w:val="16"/>
          <w:szCs w:val="16"/>
        </w:rPr>
        <w:t xml:space="preserve"> Consejo de Estado. Sala de Consulta y Servicio Civil, ídem.</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414356136">
    <w:abstractNumId w:val="0"/>
  </w:num>
  <w:num w:numId="17" w16cid:durableId="198222568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5FD"/>
    <w:rsid w:val="00046945"/>
    <w:rsid w:val="00061B2A"/>
    <w:rsid w:val="0007424D"/>
    <w:rsid w:val="000776F6"/>
    <w:rsid w:val="00082362"/>
    <w:rsid w:val="000A683E"/>
    <w:rsid w:val="000B19B9"/>
    <w:rsid w:val="000D0334"/>
    <w:rsid w:val="000D5DA7"/>
    <w:rsid w:val="000F6486"/>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E70C5"/>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97F6E"/>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00C1"/>
    <w:rsid w:val="008843B6"/>
    <w:rsid w:val="00891928"/>
    <w:rsid w:val="008A19CC"/>
    <w:rsid w:val="008A446D"/>
    <w:rsid w:val="008B25F1"/>
    <w:rsid w:val="008D180B"/>
    <w:rsid w:val="008F0EA7"/>
    <w:rsid w:val="00923EEF"/>
    <w:rsid w:val="009419F9"/>
    <w:rsid w:val="0095685E"/>
    <w:rsid w:val="00961B09"/>
    <w:rsid w:val="00965334"/>
    <w:rsid w:val="0097093E"/>
    <w:rsid w:val="009A0C0A"/>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A19C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A19CC"/>
    <w:rPr>
      <w:rFonts w:ascii="Geomanist Light" w:hAnsi="Geomanist Light"/>
      <w:lang w:val="es-ES"/>
    </w:rPr>
  </w:style>
  <w:style w:type="character" w:customStyle="1" w:styleId="baj">
    <w:name w:val="b_aj"/>
    <w:basedOn w:val="Fuentedeprrafopredeter"/>
    <w:rsid w:val="008A19CC"/>
  </w:style>
  <w:style w:type="character" w:customStyle="1" w:styleId="NormalWebCar">
    <w:name w:val="Normal (Web) Car"/>
    <w:link w:val="NormalWeb"/>
    <w:uiPriority w:val="99"/>
    <w:locked/>
    <w:rsid w:val="008A19CC"/>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ssolarte99@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4BA93FC-EAAC-4587-965A-87B0BDE77292}"/>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25</Pages>
  <Words>7928</Words>
  <Characters>43609</Characters>
  <Application>Microsoft Office Word</Application>
  <DocSecurity>0</DocSecurity>
  <Lines>363</Lines>
  <Paragraphs>102</Paragraphs>
  <ScaleCrop>false</ScaleCrop>
  <Company/>
  <LinksUpToDate>false</LinksUpToDate>
  <CharactersWithSpaces>51435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3</cp:revision>
  <cp:lastPrinted>2023-01-10T21:18:00Z</cp:lastPrinted>
  <dcterms:created xsi:type="dcterms:W3CDTF">2026-05-19T17:34:00Z</dcterms:created>
  <dcterms:modified xsi:type="dcterms:W3CDTF">2026-05-19T17:37:00Z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