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FBC396" w14:textId="77777777" w:rsidR="00A30041" w:rsidRPr="0086202B" w:rsidRDefault="00A30041" w:rsidP="00A30041">
      <w:pPr>
        <w:spacing w:after="0" w:line="240" w:lineRule="auto"/>
        <w:jc w:val="both"/>
        <w:rPr>
          <w:rFonts w:ascii="Verdana" w:eastAsia="Aptos" w:hAnsi="Verdana" w:cs="Arial"/>
          <w:b/>
          <w:bCs/>
        </w:rPr>
      </w:pPr>
      <w:bookmarkStart w:id="0" w:name="_Hlk143780582"/>
      <w:r w:rsidRPr="0086202B">
        <w:rPr>
          <w:rFonts w:ascii="Verdana" w:eastAsia="Aptos" w:hAnsi="Verdana" w:cs="Arial"/>
          <w:b/>
          <w:bCs/>
        </w:rPr>
        <w:t>PRINCIPIO DE SELECCIÓN OBJETIVA – Aplicación – Procesos de contratación Pública – Escogencia del contratista</w:t>
      </w:r>
    </w:p>
    <w:p w14:paraId="358B4E53" w14:textId="77777777" w:rsidR="00A30041" w:rsidRPr="0086202B" w:rsidRDefault="00A30041" w:rsidP="00A30041">
      <w:pPr>
        <w:spacing w:after="0" w:line="240" w:lineRule="auto"/>
        <w:jc w:val="both"/>
        <w:rPr>
          <w:rFonts w:ascii="Verdana" w:eastAsia="Aptos" w:hAnsi="Verdana" w:cs="Arial"/>
        </w:rPr>
      </w:pPr>
    </w:p>
    <w:p w14:paraId="3C489128" w14:textId="77777777" w:rsidR="00A30041" w:rsidRPr="0086202B" w:rsidRDefault="00A30041" w:rsidP="00A30041">
      <w:pPr>
        <w:spacing w:after="0" w:line="240" w:lineRule="auto"/>
        <w:jc w:val="both"/>
        <w:rPr>
          <w:rFonts w:ascii="Verdana" w:eastAsia="Aptos" w:hAnsi="Verdana" w:cs="Arial"/>
          <w:sz w:val="20"/>
          <w:szCs w:val="20"/>
        </w:rPr>
      </w:pPr>
      <w:r w:rsidRPr="0086202B">
        <w:rPr>
          <w:rFonts w:ascii="Verdana" w:eastAsia="Aptos" w:hAnsi="Verdana" w:cs="Arial"/>
          <w:sz w:val="20"/>
          <w:szCs w:val="20"/>
        </w:rPr>
        <w:t>[...] con fundamento en el principio de selección objetiva, la escogencia del futuro contratista en el marco de un proceso de contratación debe fundarse en factores objetivos, de carácter técnico, jurídico y financiero, y no en criterios subjetivos, como el afecto, la amistad, el ánimo de ayuda, el interés personal, etc. […].</w:t>
      </w:r>
    </w:p>
    <w:p w14:paraId="46F57E8D" w14:textId="77777777" w:rsidR="00A30041" w:rsidRPr="0086202B" w:rsidRDefault="00A30041" w:rsidP="00A30041">
      <w:pPr>
        <w:spacing w:after="0" w:line="240" w:lineRule="auto"/>
        <w:jc w:val="both"/>
        <w:rPr>
          <w:rFonts w:ascii="Verdana" w:eastAsia="Aptos" w:hAnsi="Verdana" w:cs="Arial"/>
          <w:sz w:val="20"/>
          <w:szCs w:val="20"/>
        </w:rPr>
      </w:pPr>
      <w:r w:rsidRPr="0086202B">
        <w:rPr>
          <w:rFonts w:ascii="Verdana" w:eastAsia="Aptos" w:hAnsi="Verdana" w:cs="Arial"/>
          <w:sz w:val="20"/>
          <w:szCs w:val="20"/>
        </w:rPr>
        <w:t>[…]</w:t>
      </w:r>
    </w:p>
    <w:p w14:paraId="5304CAF4" w14:textId="77777777" w:rsidR="00A30041" w:rsidRPr="0086202B" w:rsidRDefault="00A30041" w:rsidP="00A30041">
      <w:pPr>
        <w:spacing w:after="0" w:line="240" w:lineRule="auto"/>
        <w:jc w:val="both"/>
        <w:rPr>
          <w:rFonts w:ascii="Verdana" w:eastAsia="Aptos" w:hAnsi="Verdana" w:cs="Arial"/>
          <w:sz w:val="20"/>
          <w:szCs w:val="20"/>
        </w:rPr>
      </w:pPr>
      <w:r w:rsidRPr="0086202B">
        <w:rPr>
          <w:rFonts w:ascii="Verdana" w:eastAsia="Aptos" w:hAnsi="Verdana" w:cs="Arial"/>
          <w:sz w:val="20"/>
          <w:szCs w:val="20"/>
        </w:rPr>
        <w:t>De acuerdo con el artículo 5 de la Ley 1150 de 2007, el deber de selección objetiva supone que las Entidades Estatales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señalarse en el pliego de condiciones o documento equivalente.</w:t>
      </w:r>
    </w:p>
    <w:p w14:paraId="79EAC369" w14:textId="77777777" w:rsidR="00A30041" w:rsidRPr="0086202B" w:rsidRDefault="00A30041" w:rsidP="00A30041">
      <w:pPr>
        <w:spacing w:after="0" w:line="240" w:lineRule="auto"/>
        <w:jc w:val="both"/>
        <w:rPr>
          <w:rFonts w:ascii="Verdana" w:eastAsia="Aptos" w:hAnsi="Verdana" w:cs="Arial"/>
        </w:rPr>
      </w:pPr>
    </w:p>
    <w:p w14:paraId="3E578C01" w14:textId="77777777" w:rsidR="00A30041" w:rsidRPr="0086202B" w:rsidRDefault="00A30041" w:rsidP="00A30041">
      <w:pPr>
        <w:spacing w:after="0" w:line="240" w:lineRule="auto"/>
        <w:jc w:val="both"/>
        <w:rPr>
          <w:rFonts w:ascii="Verdana" w:eastAsia="Aptos" w:hAnsi="Verdana" w:cs="Arial"/>
          <w:b/>
          <w:bCs/>
        </w:rPr>
      </w:pPr>
      <w:r w:rsidRPr="0086202B">
        <w:rPr>
          <w:rFonts w:ascii="Verdana" w:eastAsia="Aptos" w:hAnsi="Verdana" w:cs="Arial"/>
          <w:b/>
          <w:bCs/>
        </w:rPr>
        <w:t>SUBSANACIÓN DE LAS OFERTAS – Procedencia – Regla general – Excepción a la regla general</w:t>
      </w:r>
    </w:p>
    <w:p w14:paraId="3FA2DBC1" w14:textId="77777777" w:rsidR="00A30041" w:rsidRPr="0086202B" w:rsidRDefault="00A30041" w:rsidP="00A30041">
      <w:pPr>
        <w:spacing w:after="0" w:line="240" w:lineRule="auto"/>
        <w:jc w:val="both"/>
        <w:rPr>
          <w:rFonts w:ascii="Verdana" w:eastAsia="Aptos" w:hAnsi="Verdana" w:cs="Arial"/>
        </w:rPr>
      </w:pPr>
    </w:p>
    <w:p w14:paraId="65D54956" w14:textId="77777777" w:rsidR="00A30041" w:rsidRPr="0086202B" w:rsidRDefault="00A30041" w:rsidP="00A30041">
      <w:pPr>
        <w:spacing w:after="0" w:line="240" w:lineRule="auto"/>
        <w:jc w:val="both"/>
        <w:rPr>
          <w:rFonts w:ascii="Verdana" w:eastAsia="Aptos" w:hAnsi="Verdana" w:cs="Arial"/>
          <w:sz w:val="20"/>
          <w:szCs w:val="20"/>
        </w:rPr>
      </w:pPr>
      <w:r w:rsidRPr="0086202B">
        <w:rPr>
          <w:rFonts w:ascii="Verdana" w:eastAsia="Aptos" w:hAnsi="Verdana" w:cs="Arial"/>
          <w:sz w:val="20"/>
          <w:szCs w:val="20"/>
        </w:rPr>
        <w:t>[…] el artículo 5 de la Ley 1882 de 2018 modificó el parágrafo 1º del artículo 5 de la Ley 1150 de 2007 en los siguientes términos: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w:t>
      </w:r>
    </w:p>
    <w:p w14:paraId="426B5A5C" w14:textId="77777777" w:rsidR="00A30041" w:rsidRPr="0086202B" w:rsidRDefault="00A30041" w:rsidP="00A30041">
      <w:pPr>
        <w:spacing w:after="0" w:line="240" w:lineRule="auto"/>
        <w:jc w:val="both"/>
        <w:rPr>
          <w:rFonts w:ascii="Verdana" w:eastAsia="Aptos" w:hAnsi="Verdana" w:cs="Arial"/>
          <w:sz w:val="20"/>
          <w:szCs w:val="20"/>
        </w:rPr>
      </w:pPr>
    </w:p>
    <w:p w14:paraId="2B764767" w14:textId="77777777" w:rsidR="00A30041" w:rsidRPr="0086202B" w:rsidRDefault="00A30041" w:rsidP="00A30041">
      <w:pPr>
        <w:spacing w:after="0" w:line="240" w:lineRule="auto"/>
        <w:jc w:val="both"/>
        <w:rPr>
          <w:rFonts w:ascii="Verdana" w:eastAsia="Aptos" w:hAnsi="Verdana" w:cs="Arial"/>
          <w:sz w:val="20"/>
          <w:szCs w:val="20"/>
        </w:rPr>
      </w:pPr>
      <w:r w:rsidRPr="0086202B">
        <w:rPr>
          <w:rFonts w:ascii="Verdana" w:eastAsia="Aptos" w:hAnsi="Verdana" w:cs="Arial"/>
          <w:sz w:val="20"/>
          <w:szCs w:val="20"/>
        </w:rPr>
        <w:t>[…]la Ley 1882 de 2018 fijó el ámbito temporal para ejercer la facultad de subsanar la oferta, pues dispuso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 en el último los documentos o requisitos subsanables pueden y deben solicitarse hasta el momento previo a su realización.</w:t>
      </w:r>
    </w:p>
    <w:p w14:paraId="739DF4EF" w14:textId="77777777" w:rsidR="00A30041" w:rsidRPr="0086202B" w:rsidRDefault="00A30041" w:rsidP="00A30041">
      <w:pPr>
        <w:spacing w:after="0" w:line="240" w:lineRule="auto"/>
        <w:rPr>
          <w:rFonts w:ascii="Verdana" w:eastAsia="Aptos" w:hAnsi="Verdana" w:cs="Times New Roman"/>
          <w:sz w:val="20"/>
          <w:szCs w:val="20"/>
        </w:rPr>
      </w:pPr>
    </w:p>
    <w:p w14:paraId="0DCA6FB6" w14:textId="77777777" w:rsidR="00A30041" w:rsidRPr="0086202B" w:rsidRDefault="00A30041" w:rsidP="00A30041">
      <w:pPr>
        <w:spacing w:after="0" w:line="240" w:lineRule="auto"/>
        <w:rPr>
          <w:rFonts w:ascii="Verdana" w:eastAsia="Aptos" w:hAnsi="Verdana" w:cs="Times New Roman"/>
          <w:sz w:val="20"/>
          <w:szCs w:val="20"/>
        </w:rPr>
      </w:pPr>
    </w:p>
    <w:p w14:paraId="2A2C4866" w14:textId="77777777" w:rsidR="00A30041" w:rsidRPr="0086202B" w:rsidRDefault="00A30041" w:rsidP="00A30041">
      <w:pPr>
        <w:spacing w:after="0" w:line="240" w:lineRule="auto"/>
        <w:rPr>
          <w:rFonts w:ascii="Verdana" w:eastAsia="Aptos" w:hAnsi="Verdana" w:cs="Times New Roman"/>
          <w:sz w:val="20"/>
          <w:szCs w:val="20"/>
        </w:rPr>
      </w:pPr>
    </w:p>
    <w:p w14:paraId="7FE23C21" w14:textId="78E05F00" w:rsidR="00A30041" w:rsidRPr="0086202B" w:rsidRDefault="00A30041" w:rsidP="00A30041">
      <w:pPr>
        <w:spacing w:after="0" w:line="240" w:lineRule="auto"/>
        <w:jc w:val="both"/>
        <w:rPr>
          <w:rFonts w:ascii="Verdana" w:eastAsia="Calibri" w:hAnsi="Verdana" w:cs="Arial"/>
          <w:lang w:val="es-ES"/>
        </w:rPr>
      </w:pPr>
      <w:r w:rsidRPr="0086202B">
        <w:rPr>
          <w:rFonts w:ascii="Verdana" w:eastAsia="Geomanist Light" w:hAnsi="Verdana" w:cs="Arial"/>
          <w:lang w:val="es-MX"/>
        </w:rPr>
        <w:lastRenderedPageBreak/>
        <w:t>Bogotá D.C., </w:t>
      </w:r>
      <w:r w:rsidR="008815A1">
        <w:rPr>
          <w:rFonts w:ascii="Verdana" w:eastAsia="Geomanist Light" w:hAnsi="Verdana" w:cs="Arial"/>
          <w:lang w:val="es-MX"/>
        </w:rPr>
        <w:t>12 de mayo de 2026</w:t>
      </w:r>
    </w:p>
    <w:p w14:paraId="2529BE58" w14:textId="77777777" w:rsidR="00A30041" w:rsidRPr="0086202B" w:rsidRDefault="00A30041" w:rsidP="00A30041">
      <w:pPr>
        <w:spacing w:after="0" w:line="240" w:lineRule="auto"/>
        <w:jc w:val="both"/>
        <w:rPr>
          <w:rFonts w:ascii="Verdana" w:eastAsia="Calibri" w:hAnsi="Verdana" w:cs="Arial"/>
          <w:lang w:val="es-ES"/>
        </w:rPr>
      </w:pPr>
    </w:p>
    <w:p w14:paraId="4D77EF4A" w14:textId="4C55DB34" w:rsidR="00A30041" w:rsidRPr="0086202B" w:rsidRDefault="008815A1" w:rsidP="00A30041">
      <w:pPr>
        <w:spacing w:after="0" w:line="240" w:lineRule="auto"/>
        <w:jc w:val="right"/>
        <w:rPr>
          <w:rFonts w:ascii="Verdana" w:eastAsia="Calibri" w:hAnsi="Verdana" w:cs="Arial"/>
          <w:lang w:val="es-ES"/>
        </w:rPr>
      </w:pPr>
      <w:r w:rsidRPr="008815A1">
        <w:rPr>
          <w:rFonts w:ascii="Verdana" w:eastAsia="Calibri" w:hAnsi="Verdana" w:cs="Arial"/>
          <w:lang w:val="es-ES"/>
        </w:rPr>
        <w:drawing>
          <wp:inline distT="0" distB="0" distL="0" distR="0" wp14:anchorId="14C72DE3" wp14:editId="383828B2">
            <wp:extent cx="1667108" cy="514422"/>
            <wp:effectExtent l="0" t="0" r="9525" b="0"/>
            <wp:docPr id="6442791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279102" name=""/>
                    <pic:cNvPicPr/>
                  </pic:nvPicPr>
                  <pic:blipFill>
                    <a:blip r:embed="rId7"/>
                    <a:stretch>
                      <a:fillRect/>
                    </a:stretch>
                  </pic:blipFill>
                  <pic:spPr>
                    <a:xfrm>
                      <a:off x="0" y="0"/>
                      <a:ext cx="1667108" cy="514422"/>
                    </a:xfrm>
                    <a:prstGeom prst="rect">
                      <a:avLst/>
                    </a:prstGeom>
                  </pic:spPr>
                </pic:pic>
              </a:graphicData>
            </a:graphic>
          </wp:inline>
        </w:drawing>
      </w:r>
    </w:p>
    <w:p w14:paraId="0D23C200" w14:textId="77777777" w:rsidR="00A30041" w:rsidRPr="0086202B" w:rsidRDefault="00A30041" w:rsidP="00A30041">
      <w:pPr>
        <w:spacing w:after="0" w:line="240" w:lineRule="auto"/>
        <w:jc w:val="both"/>
        <w:rPr>
          <w:rFonts w:ascii="Verdana" w:eastAsia="Calibri" w:hAnsi="Verdana" w:cs="Arial"/>
          <w:lang w:val="es-ES" w:eastAsia="es-ES"/>
        </w:rPr>
      </w:pPr>
      <w:r w:rsidRPr="0086202B">
        <w:rPr>
          <w:rFonts w:ascii="Verdana" w:eastAsia="Calibri" w:hAnsi="Verdana" w:cs="Arial"/>
          <w:lang w:val="es-ES" w:eastAsia="es-ES"/>
        </w:rPr>
        <w:t>Señores</w:t>
      </w:r>
    </w:p>
    <w:p w14:paraId="2FD644DB" w14:textId="77777777" w:rsidR="00A30041" w:rsidRPr="0086202B" w:rsidRDefault="00A30041" w:rsidP="00A30041">
      <w:pPr>
        <w:spacing w:after="0" w:line="240" w:lineRule="auto"/>
        <w:rPr>
          <w:rFonts w:ascii="Verdana" w:eastAsia="Calibri" w:hAnsi="Verdana" w:cs="Arial"/>
          <w:b/>
          <w:lang w:val="es-ES" w:eastAsia="es-ES"/>
        </w:rPr>
      </w:pPr>
      <w:r w:rsidRPr="0086202B">
        <w:rPr>
          <w:rFonts w:ascii="Verdana" w:eastAsia="Calibri" w:hAnsi="Verdana" w:cs="Arial"/>
          <w:b/>
          <w:lang w:val="es-ES" w:eastAsia="es-ES"/>
        </w:rPr>
        <w:t xml:space="preserve">Analista Licitaciones </w:t>
      </w:r>
      <w:proofErr w:type="spellStart"/>
      <w:r w:rsidRPr="0086202B">
        <w:rPr>
          <w:rFonts w:ascii="Verdana" w:eastAsia="Calibri" w:hAnsi="Verdana" w:cs="Arial"/>
          <w:b/>
          <w:lang w:val="es-ES" w:eastAsia="es-ES"/>
        </w:rPr>
        <w:t>Corcooperativa</w:t>
      </w:r>
      <w:proofErr w:type="spellEnd"/>
    </w:p>
    <w:p w14:paraId="4A1C4AA4" w14:textId="77777777" w:rsidR="00A30041" w:rsidRPr="0086202B" w:rsidRDefault="00A30041" w:rsidP="00A30041">
      <w:pPr>
        <w:spacing w:after="0" w:line="240" w:lineRule="auto"/>
        <w:rPr>
          <w:rFonts w:ascii="Verdana" w:eastAsia="Aptos" w:hAnsi="Verdana" w:cs="Arial"/>
        </w:rPr>
      </w:pPr>
      <w:hyperlink r:id="rId8" w:history="1">
        <w:r w:rsidRPr="0086202B">
          <w:rPr>
            <w:rFonts w:ascii="Verdana" w:eastAsia="Aptos" w:hAnsi="Verdana" w:cs="Arial"/>
            <w:u w:val="single"/>
          </w:rPr>
          <w:t>licitaciones.corcooperativa05@gmail.com</w:t>
        </w:r>
      </w:hyperlink>
      <w:r w:rsidRPr="0086202B">
        <w:rPr>
          <w:rFonts w:ascii="Verdana" w:eastAsia="Aptos" w:hAnsi="Verdana" w:cs="Arial"/>
        </w:rPr>
        <w:t xml:space="preserve"> </w:t>
      </w:r>
    </w:p>
    <w:p w14:paraId="3A68618D" w14:textId="77777777" w:rsidR="00A30041" w:rsidRPr="0086202B" w:rsidRDefault="00A30041" w:rsidP="00A30041">
      <w:pPr>
        <w:spacing w:after="0" w:line="240" w:lineRule="auto"/>
        <w:rPr>
          <w:rFonts w:ascii="Verdana" w:eastAsia="Calibri" w:hAnsi="Verdana" w:cs="Arial"/>
          <w:b/>
          <w:bCs/>
          <w:lang w:val="es-ES" w:eastAsia="es-ES"/>
        </w:rPr>
      </w:pPr>
      <w:r w:rsidRPr="0086202B">
        <w:rPr>
          <w:rFonts w:ascii="Verdana" w:eastAsia="Calibri" w:hAnsi="Verdana" w:cs="Arial"/>
          <w:lang w:val="es-ES" w:eastAsia="es-ES"/>
        </w:rPr>
        <w:t>Ciudad</w:t>
      </w:r>
    </w:p>
    <w:p w14:paraId="51732E3F" w14:textId="77777777" w:rsidR="00A30041" w:rsidRPr="0086202B" w:rsidRDefault="00A30041" w:rsidP="00A30041">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30041" w:rsidRPr="0086202B" w14:paraId="20A54E6D" w14:textId="77777777" w:rsidTr="006F5ED1">
        <w:trPr>
          <w:trHeight w:val="308"/>
        </w:trPr>
        <w:tc>
          <w:tcPr>
            <w:tcW w:w="2689" w:type="dxa"/>
          </w:tcPr>
          <w:p w14:paraId="4AC2006D" w14:textId="77777777" w:rsidR="00A30041" w:rsidRPr="0086202B" w:rsidRDefault="00A30041" w:rsidP="006F5ED1">
            <w:pPr>
              <w:jc w:val="both"/>
              <w:rPr>
                <w:rFonts w:ascii="Verdana" w:eastAsia="Calibri" w:hAnsi="Verdana" w:cs="Arial"/>
                <w:b/>
                <w:bCs/>
                <w:lang w:val="es-ES_tradnl" w:eastAsia="es-ES_tradnl"/>
              </w:rPr>
            </w:pPr>
          </w:p>
        </w:tc>
        <w:tc>
          <w:tcPr>
            <w:tcW w:w="6100" w:type="dxa"/>
          </w:tcPr>
          <w:p w14:paraId="0F9731C3" w14:textId="77777777" w:rsidR="00A30041" w:rsidRPr="0086202B" w:rsidRDefault="00A30041" w:rsidP="006F5ED1">
            <w:pPr>
              <w:jc w:val="both"/>
              <w:rPr>
                <w:rFonts w:ascii="Verdana" w:eastAsia="Calibri" w:hAnsi="Verdana" w:cs="Arial"/>
                <w:b/>
                <w:bCs/>
                <w:lang w:val="es-ES" w:eastAsia="es-ES"/>
              </w:rPr>
            </w:pPr>
            <w:r w:rsidRPr="0086202B">
              <w:rPr>
                <w:rFonts w:ascii="Verdana" w:eastAsia="Calibri" w:hAnsi="Verdana" w:cs="Arial"/>
                <w:b/>
                <w:bCs/>
                <w:lang w:val="es-ES" w:eastAsia="es-ES"/>
              </w:rPr>
              <w:t>Concepto C-528 de 2026</w:t>
            </w:r>
          </w:p>
          <w:p w14:paraId="365CC95A" w14:textId="77777777" w:rsidR="00A30041" w:rsidRPr="0086202B" w:rsidRDefault="00A30041" w:rsidP="006F5ED1">
            <w:pPr>
              <w:jc w:val="both"/>
              <w:rPr>
                <w:rFonts w:ascii="Verdana" w:eastAsia="Calibri" w:hAnsi="Verdana" w:cs="Arial"/>
                <w:b/>
                <w:bCs/>
                <w:lang w:val="es-ES" w:eastAsia="es-ES"/>
              </w:rPr>
            </w:pPr>
          </w:p>
        </w:tc>
      </w:tr>
      <w:tr w:rsidR="00A30041" w:rsidRPr="0086202B" w14:paraId="45AB39CB" w14:textId="77777777" w:rsidTr="006F5ED1">
        <w:trPr>
          <w:trHeight w:val="884"/>
        </w:trPr>
        <w:tc>
          <w:tcPr>
            <w:tcW w:w="2689" w:type="dxa"/>
          </w:tcPr>
          <w:p w14:paraId="00BE5F14" w14:textId="77777777" w:rsidR="00A30041" w:rsidRPr="0086202B" w:rsidRDefault="00A30041" w:rsidP="006F5ED1">
            <w:pPr>
              <w:jc w:val="both"/>
              <w:rPr>
                <w:rFonts w:ascii="Verdana" w:eastAsia="Calibri" w:hAnsi="Verdana" w:cs="Arial"/>
                <w:lang w:val="es-ES_tradnl" w:eastAsia="es-ES_tradnl"/>
              </w:rPr>
            </w:pPr>
            <w:r w:rsidRPr="0086202B">
              <w:rPr>
                <w:rFonts w:ascii="Verdana" w:eastAsia="Calibri" w:hAnsi="Verdana" w:cs="Arial"/>
                <w:b/>
                <w:lang w:val="es-ES_tradnl" w:eastAsia="es-ES_tradnl"/>
              </w:rPr>
              <w:t>Temas:</w:t>
            </w:r>
            <w:r w:rsidRPr="0086202B">
              <w:rPr>
                <w:rFonts w:ascii="Verdana" w:eastAsia="Calibri" w:hAnsi="Verdana" w:cs="Arial"/>
                <w:lang w:val="es-ES_tradnl" w:eastAsia="es-ES_tradnl"/>
              </w:rPr>
              <w:t xml:space="preserve">                   </w:t>
            </w:r>
          </w:p>
        </w:tc>
        <w:tc>
          <w:tcPr>
            <w:tcW w:w="6100" w:type="dxa"/>
          </w:tcPr>
          <w:p w14:paraId="22522D94" w14:textId="77777777" w:rsidR="00A30041" w:rsidRPr="0086202B" w:rsidRDefault="00A30041" w:rsidP="006F5ED1">
            <w:pPr>
              <w:spacing w:line="276" w:lineRule="auto"/>
              <w:jc w:val="both"/>
              <w:rPr>
                <w:rFonts w:ascii="Verdana" w:eastAsia="Calibri" w:hAnsi="Verdana" w:cs="Arial"/>
                <w:lang w:val="es-ES" w:eastAsia="es-ES"/>
              </w:rPr>
            </w:pPr>
            <w:r w:rsidRPr="0086202B">
              <w:rPr>
                <w:rFonts w:ascii="Verdana" w:eastAsia="Calibri" w:hAnsi="Verdana" w:cs="Arial"/>
                <w:lang w:val="es-ES" w:eastAsia="es-ES"/>
              </w:rPr>
              <w:t>PRINCIPIO DE SELECCIÓN OBJETIVA – Aplicación – Procesos de contratación Pública – Escogencia del contratista / SUBSANACIÓN DE LAS OFERTAS – Procedencia – Regla general – Excepción a la regla general</w:t>
            </w:r>
          </w:p>
        </w:tc>
      </w:tr>
    </w:tbl>
    <w:p w14:paraId="54D4FA79" w14:textId="77777777" w:rsidR="00A30041" w:rsidRPr="0086202B" w:rsidRDefault="00A30041" w:rsidP="00A30041">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30041" w:rsidRPr="0086202B" w14:paraId="77A7A347" w14:textId="77777777" w:rsidTr="006F5ED1">
        <w:tc>
          <w:tcPr>
            <w:tcW w:w="2689" w:type="dxa"/>
          </w:tcPr>
          <w:p w14:paraId="0999CE53" w14:textId="77777777" w:rsidR="00A30041" w:rsidRPr="0086202B" w:rsidRDefault="00A30041" w:rsidP="006F5ED1">
            <w:pPr>
              <w:jc w:val="both"/>
              <w:rPr>
                <w:rFonts w:ascii="Verdana" w:eastAsia="Calibri" w:hAnsi="Verdana" w:cs="Arial"/>
                <w:b/>
                <w:lang w:val="es-ES_tradnl" w:eastAsia="es-ES_tradnl"/>
              </w:rPr>
            </w:pPr>
            <w:r w:rsidRPr="0086202B">
              <w:rPr>
                <w:rFonts w:ascii="Verdana" w:eastAsia="Calibri" w:hAnsi="Verdana" w:cs="Arial"/>
                <w:b/>
                <w:lang w:val="es-ES_tradnl" w:eastAsia="es-ES_tradnl"/>
              </w:rPr>
              <w:t>Radicación:</w:t>
            </w:r>
            <w:r w:rsidRPr="0086202B">
              <w:rPr>
                <w:rFonts w:ascii="Verdana" w:eastAsia="Calibri" w:hAnsi="Verdana" w:cs="Arial"/>
                <w:lang w:val="es-ES_tradnl" w:eastAsia="es-ES_tradnl"/>
              </w:rPr>
              <w:t xml:space="preserve">               </w:t>
            </w:r>
          </w:p>
        </w:tc>
        <w:tc>
          <w:tcPr>
            <w:tcW w:w="6100" w:type="dxa"/>
          </w:tcPr>
          <w:p w14:paraId="6C8CFBE0" w14:textId="77777777" w:rsidR="00A30041" w:rsidRPr="0086202B" w:rsidRDefault="00A30041" w:rsidP="006F5ED1">
            <w:pPr>
              <w:jc w:val="both"/>
              <w:rPr>
                <w:rFonts w:ascii="Verdana" w:eastAsia="Calibri" w:hAnsi="Verdana" w:cs="Arial"/>
                <w:lang w:val="es-ES_tradnl" w:eastAsia="es-ES_tradnl"/>
              </w:rPr>
            </w:pPr>
            <w:r w:rsidRPr="0086202B">
              <w:rPr>
                <w:rFonts w:ascii="Verdana" w:eastAsia="Calibri" w:hAnsi="Verdana" w:cs="Arial"/>
                <w:lang w:val="es-ES_tradnl" w:eastAsia="es-ES_tradnl"/>
              </w:rPr>
              <w:t>Respuesta a consulta</w:t>
            </w:r>
            <w:r>
              <w:rPr>
                <w:rFonts w:ascii="Verdana" w:eastAsia="Calibri" w:hAnsi="Verdana" w:cs="Arial"/>
                <w:lang w:val="es-ES_tradnl" w:eastAsia="es-ES_tradnl"/>
              </w:rPr>
              <w:t>s acumuladas</w:t>
            </w:r>
            <w:r w:rsidRPr="0086202B">
              <w:rPr>
                <w:rFonts w:ascii="Verdana" w:eastAsia="Calibri" w:hAnsi="Verdana" w:cs="Arial"/>
                <w:lang w:val="es-ES_tradnl" w:eastAsia="es-ES_tradnl"/>
              </w:rPr>
              <w:t xml:space="preserve"> con radicado</w:t>
            </w:r>
            <w:r>
              <w:rPr>
                <w:rFonts w:ascii="Verdana" w:eastAsia="Calibri" w:hAnsi="Verdana" w:cs="Arial"/>
                <w:lang w:val="es-ES_tradnl" w:eastAsia="es-ES_tradnl"/>
              </w:rPr>
              <w:t>s</w:t>
            </w:r>
            <w:r w:rsidRPr="0086202B">
              <w:rPr>
                <w:rFonts w:ascii="Verdana" w:eastAsia="Calibri" w:hAnsi="Verdana" w:cs="Arial"/>
                <w:lang w:val="es-ES_tradnl" w:eastAsia="es-ES_tradnl"/>
              </w:rPr>
              <w:t xml:space="preserve"> No</w:t>
            </w:r>
            <w:r>
              <w:rPr>
                <w:rFonts w:ascii="Verdana" w:eastAsia="Calibri" w:hAnsi="Verdana" w:cs="Arial"/>
                <w:lang w:val="es-ES_tradnl" w:eastAsia="es-ES_tradnl"/>
              </w:rPr>
              <w:t>s</w:t>
            </w:r>
            <w:r w:rsidRPr="0086202B">
              <w:rPr>
                <w:rFonts w:ascii="Verdana" w:eastAsia="Calibri" w:hAnsi="Verdana" w:cs="Arial"/>
                <w:lang w:val="es-ES_tradnl" w:eastAsia="es-ES_tradnl"/>
              </w:rPr>
              <w:t>. 1_2026_03_30_004399</w:t>
            </w:r>
            <w:r>
              <w:rPr>
                <w:rFonts w:ascii="Verdana" w:eastAsia="Calibri" w:hAnsi="Verdana" w:cs="Arial"/>
                <w:lang w:val="es-ES_tradnl" w:eastAsia="es-ES_tradnl"/>
              </w:rPr>
              <w:t xml:space="preserve"> y </w:t>
            </w:r>
            <w:r w:rsidRPr="00584C91">
              <w:rPr>
                <w:rFonts w:ascii="Verdana" w:eastAsia="Calibri" w:hAnsi="Verdana" w:cs="Arial"/>
                <w:lang w:val="es-ES_tradnl" w:eastAsia="es-ES_tradnl"/>
              </w:rPr>
              <w:t>1_2026_04_29_005819</w:t>
            </w:r>
          </w:p>
        </w:tc>
      </w:tr>
    </w:tbl>
    <w:p w14:paraId="752FD200" w14:textId="77777777" w:rsidR="00A30041" w:rsidRPr="0086202B" w:rsidRDefault="00A30041" w:rsidP="00A30041">
      <w:pPr>
        <w:spacing w:after="0" w:line="240" w:lineRule="auto"/>
        <w:jc w:val="both"/>
        <w:rPr>
          <w:rFonts w:ascii="Verdana" w:eastAsia="Calibri" w:hAnsi="Verdana" w:cs="Arial"/>
          <w:lang w:val="es-ES_tradnl" w:eastAsia="es-ES_tradnl"/>
        </w:rPr>
      </w:pPr>
    </w:p>
    <w:p w14:paraId="469849E7" w14:textId="77777777" w:rsidR="00A30041" w:rsidRPr="0086202B" w:rsidRDefault="00A30041" w:rsidP="00A30041">
      <w:pPr>
        <w:spacing w:after="0" w:line="240" w:lineRule="auto"/>
        <w:jc w:val="both"/>
        <w:rPr>
          <w:rFonts w:ascii="Verdana" w:eastAsia="Calibri" w:hAnsi="Verdana" w:cs="Arial"/>
          <w:lang w:val="es-ES_tradnl" w:eastAsia="es-ES_tradnl"/>
        </w:rPr>
      </w:pPr>
    </w:p>
    <w:p w14:paraId="5B57FF27" w14:textId="77777777" w:rsidR="00A30041" w:rsidRPr="0086202B" w:rsidRDefault="00A30041" w:rsidP="00A30041">
      <w:pPr>
        <w:spacing w:after="0" w:line="276" w:lineRule="auto"/>
        <w:jc w:val="both"/>
        <w:rPr>
          <w:rFonts w:ascii="Verdana" w:eastAsia="Calibri" w:hAnsi="Verdana" w:cs="Arial"/>
          <w:lang w:val="es-ES" w:eastAsia="es-ES"/>
        </w:rPr>
      </w:pPr>
      <w:r w:rsidRPr="0086202B">
        <w:rPr>
          <w:rFonts w:ascii="Verdana" w:eastAsia="Calibri" w:hAnsi="Verdana" w:cs="Arial"/>
          <w:lang w:val="es-ES" w:eastAsia="es-ES"/>
        </w:rPr>
        <w:t xml:space="preserve">Estimados Señores: </w:t>
      </w:r>
    </w:p>
    <w:p w14:paraId="59E46C02" w14:textId="77777777" w:rsidR="00A30041" w:rsidRPr="0086202B" w:rsidRDefault="00A30041" w:rsidP="00A30041">
      <w:pPr>
        <w:tabs>
          <w:tab w:val="left" w:pos="3768"/>
        </w:tabs>
        <w:spacing w:after="0" w:line="276" w:lineRule="auto"/>
        <w:jc w:val="both"/>
        <w:rPr>
          <w:rFonts w:ascii="Verdana" w:eastAsia="Calibri" w:hAnsi="Verdana" w:cs="Arial"/>
          <w:lang w:val="es-ES" w:eastAsia="es-ES"/>
        </w:rPr>
      </w:pPr>
    </w:p>
    <w:p w14:paraId="2B1077B2" w14:textId="77777777" w:rsidR="00A30041" w:rsidRPr="0086202B" w:rsidRDefault="00A30041" w:rsidP="00A30041">
      <w:pPr>
        <w:spacing w:after="0" w:line="276" w:lineRule="auto"/>
        <w:jc w:val="both"/>
        <w:rPr>
          <w:rFonts w:ascii="Verdana" w:eastAsia="Calibri" w:hAnsi="Verdana" w:cs="Arial"/>
          <w:lang w:val="es-ES" w:eastAsia="es-ES"/>
        </w:rPr>
      </w:pPr>
      <w:r w:rsidRPr="0086202B">
        <w:rPr>
          <w:rFonts w:ascii="Verdana" w:eastAsia="Calibri" w:hAnsi="Verdana" w:cs="Arial"/>
          <w:lang w:val="es-ES" w:eastAsia="es-ES"/>
        </w:rPr>
        <w:t>En ejercicio de la competencia otorgada por los artículos 3, numeral 5º, y 11, numeral 8º, del Decreto Ley 4170 de 2011,</w:t>
      </w:r>
      <w:r w:rsidRPr="0086202B">
        <w:rPr>
          <w:rFonts w:ascii="Verdana" w:eastAsia="Arial MT" w:hAnsi="Verdana" w:cs="Arial MT"/>
          <w:lang w:val="es-ES" w:eastAsia="es-ES"/>
        </w:rPr>
        <w:t xml:space="preserve"> </w:t>
      </w:r>
      <w:r w:rsidRPr="0086202B">
        <w:rPr>
          <w:rFonts w:ascii="Verdana" w:eastAsia="Aptos" w:hAnsi="Verdana" w:cs="Arial"/>
        </w:rPr>
        <w:t xml:space="preserve">así como lo establecido en el artículo 4 de la Resolución 1707 de 2018 expedida por esta Entidad, </w:t>
      </w:r>
      <w:r w:rsidRPr="0086202B">
        <w:rPr>
          <w:rFonts w:ascii="Verdana" w:eastAsia="Calibri" w:hAnsi="Verdana" w:cs="Arial"/>
          <w:lang w:val="es-ES" w:eastAsia="es-ES"/>
        </w:rPr>
        <w:t>la Agencia Nacional de Contratación Pública – Colombia Compra Eficiente– responde su</w:t>
      </w:r>
      <w:r>
        <w:rPr>
          <w:rFonts w:ascii="Verdana" w:eastAsia="Calibri" w:hAnsi="Verdana" w:cs="Arial"/>
          <w:lang w:val="es-ES" w:eastAsia="es-ES"/>
        </w:rPr>
        <w:t>s</w:t>
      </w:r>
      <w:r w:rsidRPr="0086202B">
        <w:rPr>
          <w:rFonts w:ascii="Verdana" w:eastAsia="Calibri" w:hAnsi="Verdana" w:cs="Arial"/>
          <w:lang w:val="es-ES" w:eastAsia="es-ES"/>
        </w:rPr>
        <w:t xml:space="preserve"> petici</w:t>
      </w:r>
      <w:r>
        <w:rPr>
          <w:rFonts w:ascii="Verdana" w:eastAsia="Calibri" w:hAnsi="Verdana" w:cs="Arial"/>
          <w:lang w:val="es-ES" w:eastAsia="es-ES"/>
        </w:rPr>
        <w:t>o</w:t>
      </w:r>
      <w:r w:rsidRPr="0086202B">
        <w:rPr>
          <w:rFonts w:ascii="Verdana" w:eastAsia="Calibri" w:hAnsi="Verdana" w:cs="Arial"/>
          <w:lang w:val="es-ES" w:eastAsia="es-ES"/>
        </w:rPr>
        <w:t>n</w:t>
      </w:r>
      <w:r>
        <w:rPr>
          <w:rFonts w:ascii="Verdana" w:eastAsia="Calibri" w:hAnsi="Verdana" w:cs="Arial"/>
          <w:lang w:val="es-ES" w:eastAsia="es-ES"/>
        </w:rPr>
        <w:t>es acumuladas</w:t>
      </w:r>
      <w:r w:rsidRPr="0086202B">
        <w:rPr>
          <w:rFonts w:ascii="Verdana" w:eastAsia="Calibri" w:hAnsi="Verdana" w:cs="Arial"/>
          <w:lang w:val="es-ES" w:eastAsia="es-ES"/>
        </w:rPr>
        <w:t xml:space="preserve"> del 30 de marzo de 2026</w:t>
      </w:r>
      <w:r>
        <w:rPr>
          <w:rFonts w:ascii="Verdana" w:eastAsia="Calibri" w:hAnsi="Verdana" w:cs="Arial"/>
          <w:lang w:val="es-ES" w:eastAsia="es-ES"/>
        </w:rPr>
        <w:t xml:space="preserve"> y 28 de abril de 2026</w:t>
      </w:r>
      <w:r w:rsidRPr="0086202B">
        <w:rPr>
          <w:rFonts w:ascii="Verdana" w:eastAsia="Calibri" w:hAnsi="Verdana" w:cs="Arial"/>
          <w:lang w:val="es-ES" w:eastAsia="es-ES"/>
        </w:rPr>
        <w:t>, en la</w:t>
      </w:r>
      <w:r>
        <w:rPr>
          <w:rFonts w:ascii="Verdana" w:eastAsia="Calibri" w:hAnsi="Verdana" w:cs="Arial"/>
          <w:lang w:val="es-ES" w:eastAsia="es-ES"/>
        </w:rPr>
        <w:t>s</w:t>
      </w:r>
      <w:r w:rsidRPr="0086202B">
        <w:rPr>
          <w:rFonts w:ascii="Verdana" w:eastAsia="Calibri" w:hAnsi="Verdana" w:cs="Arial"/>
          <w:lang w:val="es-ES" w:eastAsia="es-ES"/>
        </w:rPr>
        <w:t xml:space="preserve"> que realiza la siguiente consulta: </w:t>
      </w:r>
    </w:p>
    <w:p w14:paraId="31CCC1E1" w14:textId="77777777" w:rsidR="00A30041" w:rsidRPr="0086202B" w:rsidRDefault="00A30041" w:rsidP="00A30041">
      <w:pPr>
        <w:spacing w:after="0" w:line="276" w:lineRule="auto"/>
        <w:jc w:val="both"/>
        <w:rPr>
          <w:rFonts w:ascii="Verdana" w:eastAsia="Calibri" w:hAnsi="Verdana" w:cs="Arial"/>
          <w:lang w:val="es-ES" w:eastAsia="es-ES"/>
        </w:rPr>
      </w:pPr>
    </w:p>
    <w:p w14:paraId="1736A2E4" w14:textId="77777777" w:rsidR="00A30041" w:rsidRPr="0086202B" w:rsidRDefault="00A30041" w:rsidP="00A30041">
      <w:pPr>
        <w:spacing w:after="0" w:line="240" w:lineRule="auto"/>
        <w:ind w:left="709" w:right="709"/>
        <w:jc w:val="both"/>
        <w:rPr>
          <w:rFonts w:ascii="Verdana" w:eastAsia="Calibri" w:hAnsi="Verdana" w:cs="Arial"/>
          <w:sz w:val="20"/>
          <w:szCs w:val="20"/>
          <w:lang w:val="es-MX"/>
        </w:rPr>
      </w:pPr>
      <w:r w:rsidRPr="0086202B">
        <w:rPr>
          <w:rFonts w:ascii="Verdana" w:eastAsia="Calibri" w:hAnsi="Verdana" w:cs="Arial"/>
          <w:sz w:val="20"/>
          <w:szCs w:val="20"/>
          <w:lang w:val="es-MX"/>
        </w:rPr>
        <w:t>“[…]</w:t>
      </w:r>
    </w:p>
    <w:p w14:paraId="2613C99D" w14:textId="77777777" w:rsidR="00A30041" w:rsidRPr="0086202B" w:rsidRDefault="00A30041" w:rsidP="00A30041">
      <w:pPr>
        <w:spacing w:before="120" w:after="0" w:line="240" w:lineRule="auto"/>
        <w:ind w:left="709" w:right="709"/>
        <w:jc w:val="both"/>
        <w:rPr>
          <w:rFonts w:ascii="Verdana" w:eastAsia="Calibri" w:hAnsi="Verdana" w:cs="Arial"/>
          <w:sz w:val="20"/>
          <w:szCs w:val="20"/>
          <w:lang w:val="es-MX"/>
        </w:rPr>
      </w:pPr>
      <w:r w:rsidRPr="0086202B">
        <w:rPr>
          <w:rFonts w:ascii="Verdana" w:eastAsia="Calibri" w:hAnsi="Verdana" w:cs="Arial"/>
          <w:sz w:val="20"/>
          <w:szCs w:val="20"/>
          <w:lang w:val="es-MX"/>
        </w:rPr>
        <w:t xml:space="preserve">La entidad con el ánimo de evitar la declaratoria desierta del proceso bajo el principio de economía podría aceptar que un oferente pudiera cambiar su experiencia ponderable para que sea evaluada como habilitante, en una licitación pública o en un </w:t>
      </w:r>
      <w:proofErr w:type="spellStart"/>
      <w:r w:rsidRPr="0086202B">
        <w:rPr>
          <w:rFonts w:ascii="Verdana" w:eastAsia="Calibri" w:hAnsi="Verdana" w:cs="Arial"/>
          <w:sz w:val="20"/>
          <w:szCs w:val="20"/>
          <w:lang w:val="es-MX"/>
        </w:rPr>
        <w:t>regimen</w:t>
      </w:r>
      <w:proofErr w:type="spellEnd"/>
      <w:r w:rsidRPr="0086202B">
        <w:rPr>
          <w:rFonts w:ascii="Verdana" w:eastAsia="Calibri" w:hAnsi="Verdana" w:cs="Arial"/>
          <w:sz w:val="20"/>
          <w:szCs w:val="20"/>
          <w:lang w:val="es-MX"/>
        </w:rPr>
        <w:t xml:space="preserve"> especial del 092, con el fin de habilitarse, sin obtener puntaje y con el fin de evitar la declaratoria desierta?” [sic]</w:t>
      </w:r>
    </w:p>
    <w:p w14:paraId="602A5C22" w14:textId="77777777" w:rsidR="00A30041" w:rsidRPr="0086202B" w:rsidRDefault="00A30041" w:rsidP="00A30041">
      <w:pPr>
        <w:spacing w:after="0" w:line="276" w:lineRule="auto"/>
        <w:jc w:val="both"/>
        <w:rPr>
          <w:rFonts w:ascii="Verdana" w:eastAsia="Calibri" w:hAnsi="Verdana" w:cs="Arial"/>
          <w:lang w:val="es-ES" w:eastAsia="es-ES"/>
        </w:rPr>
      </w:pPr>
    </w:p>
    <w:p w14:paraId="541D64DC" w14:textId="77777777" w:rsidR="00A30041" w:rsidRPr="0086202B" w:rsidRDefault="00A30041" w:rsidP="00A30041">
      <w:pPr>
        <w:spacing w:after="120" w:line="276" w:lineRule="auto"/>
        <w:jc w:val="both"/>
        <w:rPr>
          <w:rFonts w:ascii="Verdana" w:eastAsia="Calibri" w:hAnsi="Verdana" w:cs="Arial"/>
          <w:lang w:val="es-ES" w:eastAsia="es-ES"/>
        </w:rPr>
      </w:pPr>
      <w:r w:rsidRPr="0086202B">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6B323F7" w14:textId="77777777" w:rsidR="00A30041" w:rsidRPr="0086202B" w:rsidRDefault="00A30041" w:rsidP="00A30041">
      <w:pPr>
        <w:spacing w:after="0" w:line="276" w:lineRule="auto"/>
        <w:ind w:firstLine="709"/>
        <w:jc w:val="both"/>
        <w:rPr>
          <w:rFonts w:ascii="Verdana" w:eastAsia="Calibri" w:hAnsi="Verdana" w:cs="Arial"/>
          <w:lang w:val="es-ES" w:eastAsia="es-ES"/>
        </w:rPr>
      </w:pPr>
      <w:r w:rsidRPr="0086202B">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21777E9E" w14:textId="77777777" w:rsidR="00A30041" w:rsidRPr="0086202B" w:rsidRDefault="00A30041" w:rsidP="00A30041">
      <w:pPr>
        <w:spacing w:after="0" w:line="276" w:lineRule="auto"/>
        <w:ind w:firstLine="709"/>
        <w:jc w:val="both"/>
        <w:rPr>
          <w:rFonts w:ascii="Verdana" w:eastAsia="Calibri" w:hAnsi="Verdana" w:cs="Arial"/>
          <w:lang w:val="es-ES" w:eastAsia="es-ES"/>
        </w:rPr>
      </w:pPr>
    </w:p>
    <w:p w14:paraId="00413C9C" w14:textId="77777777" w:rsidR="00A30041" w:rsidRPr="0086202B" w:rsidRDefault="00A30041" w:rsidP="00A30041">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86202B">
        <w:rPr>
          <w:rFonts w:ascii="Verdana" w:eastAsia="Arial" w:hAnsi="Verdana" w:cs="Arial"/>
          <w:b/>
          <w:bCs/>
          <w:lang w:val="es-ES"/>
        </w:rPr>
        <w:t>1. Problema planteado:</w:t>
      </w:r>
    </w:p>
    <w:p w14:paraId="61BECB8A" w14:textId="77777777" w:rsidR="00A30041" w:rsidRPr="0086202B" w:rsidRDefault="00A30041" w:rsidP="00A30041">
      <w:pPr>
        <w:tabs>
          <w:tab w:val="left" w:pos="426"/>
        </w:tabs>
        <w:spacing w:after="0" w:line="276" w:lineRule="auto"/>
        <w:jc w:val="both"/>
        <w:rPr>
          <w:rFonts w:ascii="Verdana" w:eastAsia="Century Gothic" w:hAnsi="Verdana" w:cs="Century Gothic"/>
          <w:lang w:val="es-ES"/>
        </w:rPr>
      </w:pPr>
    </w:p>
    <w:p w14:paraId="6F93670A" w14:textId="77777777" w:rsidR="00A30041" w:rsidRPr="0086202B" w:rsidRDefault="00A30041" w:rsidP="00A30041">
      <w:pPr>
        <w:spacing w:after="0"/>
        <w:jc w:val="both"/>
        <w:rPr>
          <w:rFonts w:ascii="Verdana" w:eastAsia="Aptos" w:hAnsi="Verdana" w:cs="Arial"/>
        </w:rPr>
      </w:pPr>
      <w:r w:rsidRPr="0086202B">
        <w:rPr>
          <w:rFonts w:ascii="Verdana" w:eastAsia="Century Gothic" w:hAnsi="Verdana" w:cs="Century Gothic"/>
        </w:rPr>
        <w:t xml:space="preserve">De acuerdo con el contenido de su solicitud, le informamos que la misma se resolverá desde el siguiente </w:t>
      </w:r>
      <w:bookmarkStart w:id="1" w:name="_Hlk171070029"/>
      <w:r w:rsidRPr="0086202B">
        <w:rPr>
          <w:rFonts w:ascii="Verdana" w:eastAsia="Century Gothic" w:hAnsi="Verdana" w:cs="Century Gothic"/>
        </w:rPr>
        <w:t xml:space="preserve">interrogante: </w:t>
      </w:r>
      <w:r w:rsidRPr="0086202B">
        <w:rPr>
          <w:rFonts w:ascii="Verdana" w:eastAsia="Aptos" w:hAnsi="Verdana" w:cs="Arial"/>
        </w:rPr>
        <w:t>¿Qué aspectos pueden subsanarse en un proceso de contratación pública?</w:t>
      </w:r>
    </w:p>
    <w:p w14:paraId="04E4E72B" w14:textId="77777777" w:rsidR="00A30041" w:rsidRPr="0086202B" w:rsidRDefault="00A30041" w:rsidP="00A30041">
      <w:pPr>
        <w:spacing w:after="0"/>
        <w:jc w:val="both"/>
        <w:rPr>
          <w:rFonts w:ascii="Verdana" w:eastAsia="Aptos" w:hAnsi="Verdana" w:cs="Arial"/>
        </w:rPr>
      </w:pPr>
    </w:p>
    <w:bookmarkEnd w:id="1"/>
    <w:p w14:paraId="5C850BE6" w14:textId="77777777" w:rsidR="00A30041" w:rsidRPr="0086202B" w:rsidRDefault="00A30041" w:rsidP="00A30041">
      <w:pPr>
        <w:widowControl w:val="0"/>
        <w:autoSpaceDE w:val="0"/>
        <w:autoSpaceDN w:val="0"/>
        <w:spacing w:before="1" w:after="0" w:line="240" w:lineRule="auto"/>
        <w:jc w:val="both"/>
        <w:outlineLvl w:val="0"/>
        <w:rPr>
          <w:rFonts w:ascii="Verdana" w:eastAsia="Arial" w:hAnsi="Verdana" w:cs="Arial"/>
          <w:b/>
          <w:bCs/>
          <w:lang w:val="es-ES"/>
        </w:rPr>
      </w:pPr>
      <w:r w:rsidRPr="0086202B">
        <w:rPr>
          <w:rFonts w:ascii="Verdana" w:eastAsia="Arial" w:hAnsi="Verdana" w:cs="Arial"/>
          <w:b/>
          <w:bCs/>
          <w:lang w:val="es-ES"/>
        </w:rPr>
        <w:t>2. Respuesta:</w:t>
      </w:r>
    </w:p>
    <w:p w14:paraId="772667FE" w14:textId="77777777" w:rsidR="00A30041" w:rsidRPr="0086202B" w:rsidRDefault="00A30041" w:rsidP="00A30041">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30041" w:rsidRPr="0086202B" w14:paraId="31A5323E" w14:textId="77777777" w:rsidTr="006F5ED1">
        <w:tc>
          <w:tcPr>
            <w:tcW w:w="8828" w:type="dxa"/>
          </w:tcPr>
          <w:p w14:paraId="17707BA1" w14:textId="77777777" w:rsidR="00A30041" w:rsidRPr="0086202B" w:rsidRDefault="00A30041" w:rsidP="006F5ED1">
            <w:pPr>
              <w:spacing w:line="278" w:lineRule="auto"/>
              <w:jc w:val="both"/>
              <w:rPr>
                <w:rFonts w:ascii="Verdana" w:eastAsia="Times New Roman" w:hAnsi="Verdana" w:cs="Arial"/>
                <w:bdr w:val="none" w:sz="0" w:space="0" w:color="auto" w:frame="1"/>
                <w:shd w:val="clear" w:color="auto" w:fill="FFFFFF"/>
                <w:lang w:val="es-ES" w:eastAsia="es-ES_tradnl"/>
              </w:rPr>
            </w:pPr>
            <w:bookmarkStart w:id="2" w:name="_Hlk171067516"/>
            <w:r w:rsidRPr="0086202B">
              <w:rPr>
                <w:rFonts w:ascii="Verdana" w:eastAsia="Times New Roman" w:hAnsi="Verdana" w:cs="Arial"/>
                <w:bdr w:val="none" w:sz="0" w:space="0" w:color="auto" w:frame="1"/>
                <w:shd w:val="clear" w:color="auto" w:fill="FFFFFF"/>
                <w:lang w:val="es-ES" w:eastAsia="es-ES_tradnl"/>
              </w:rPr>
              <w:t xml:space="preserve">De manera preliminar debe señalarse que, de acuerdo con la interpretación de las normas generales del Sistema de Compra y Contratación Pública, con el fin de garantizar el principio de selección objetiva, es necesario que las Entidades Estatales se abstengan de rechazar las ofertas por el incumplimiento de requisitos meramente formales, sacrificando la favorabilidad que podría representar la oferta que adolezca de estos defectos, si se permitiese su corrección. En otras palabras, es consustancial a la selección objetiva la obligación que tienen las entidades de permitir la subsanación de los requisitos </w:t>
            </w:r>
            <w:r w:rsidRPr="0086202B">
              <w:rPr>
                <w:rFonts w:ascii="Verdana" w:eastAsia="Times New Roman" w:hAnsi="Verdana" w:cs="Arial"/>
                <w:bdr w:val="none" w:sz="0" w:space="0" w:color="auto" w:frame="1"/>
                <w:shd w:val="clear" w:color="auto" w:fill="FFFFFF"/>
                <w:lang w:val="es-ES" w:eastAsia="es-ES_tradnl"/>
              </w:rPr>
              <w:lastRenderedPageBreak/>
              <w:t>de participación, bajo las condiciones indicadas en la ley, antes de tomar la decisión de rechazar las propuestas que hayan omitido la observancia de los requisitos habilitantes.</w:t>
            </w:r>
          </w:p>
          <w:p w14:paraId="514388CF" w14:textId="77777777" w:rsidR="00A30041" w:rsidRPr="0086202B" w:rsidRDefault="00A30041" w:rsidP="006F5ED1">
            <w:pPr>
              <w:spacing w:before="120" w:line="276" w:lineRule="auto"/>
              <w:ind w:firstLine="708"/>
              <w:jc w:val="both"/>
              <w:rPr>
                <w:rFonts w:ascii="Verdana" w:eastAsia="Times New Roman" w:hAnsi="Verdana" w:cs="Arial"/>
                <w:bdr w:val="none" w:sz="0" w:space="0" w:color="auto" w:frame="1"/>
                <w:shd w:val="clear" w:color="auto" w:fill="FFFFFF"/>
                <w:lang w:val="es-ES" w:eastAsia="es-ES_tradnl"/>
              </w:rPr>
            </w:pPr>
            <w:r w:rsidRPr="0086202B">
              <w:rPr>
                <w:rFonts w:ascii="Verdana" w:eastAsia="Times New Roman" w:hAnsi="Verdana" w:cs="Arial"/>
                <w:bdr w:val="none" w:sz="0" w:space="0" w:color="auto" w:frame="1"/>
                <w:shd w:val="clear" w:color="auto" w:fill="FFFFFF"/>
                <w:lang w:val="es-ES" w:eastAsia="es-ES_tradnl"/>
              </w:rPr>
              <w:t>Teniendo en cuenta las reglas dispuestas en la Ley 1882 de 2018, todo lo que no sea necesario para la comparación de propuestas no es argumento suficiente para su rechazo en las diferentes modalidades de selección. De esta manera, se conserva el criterio aclaratorio de la Ley 1150 de 2007, según el cual todo lo que no afecte la asignación de puntaje puede subsanarse. Por ello, si los requisitos no otorgan puntaje y tienen el carácter de habilitantes para la participación en el proceso de contratación, se entiende que, en principio, pueden subsanarse.</w:t>
            </w:r>
          </w:p>
          <w:p w14:paraId="26E44551" w14:textId="77777777" w:rsidR="00A30041" w:rsidRPr="0086202B" w:rsidRDefault="00A30041" w:rsidP="006F5ED1">
            <w:pPr>
              <w:spacing w:before="120" w:line="276" w:lineRule="auto"/>
              <w:ind w:firstLine="708"/>
              <w:jc w:val="both"/>
              <w:rPr>
                <w:rFonts w:ascii="Verdana" w:eastAsia="Times New Roman" w:hAnsi="Verdana" w:cs="Arial"/>
                <w:bdr w:val="none" w:sz="0" w:space="0" w:color="auto" w:frame="1"/>
                <w:shd w:val="clear" w:color="auto" w:fill="FFFFFF"/>
                <w:lang w:val="es-ES" w:eastAsia="es-ES_tradnl"/>
              </w:rPr>
            </w:pPr>
            <w:r w:rsidRPr="0086202B">
              <w:rPr>
                <w:rFonts w:ascii="Verdana" w:eastAsia="Times New Roman" w:hAnsi="Verdana" w:cs="Arial"/>
                <w:bdr w:val="none" w:sz="0" w:space="0" w:color="auto" w:frame="1"/>
                <w:shd w:val="clear" w:color="auto" w:fill="FFFFFF"/>
                <w:lang w:val="es-ES" w:eastAsia="es-ES_tradnl"/>
              </w:rPr>
              <w:t xml:space="preserve">En ese contexto, por regla general, son subsanables i) la falta de entrega o </w:t>
            </w:r>
            <w:proofErr w:type="spellStart"/>
            <w:r w:rsidRPr="0086202B">
              <w:rPr>
                <w:rFonts w:ascii="Verdana" w:eastAsia="Times New Roman" w:hAnsi="Verdana" w:cs="Arial"/>
                <w:bdr w:val="none" w:sz="0" w:space="0" w:color="auto" w:frame="1"/>
                <w:shd w:val="clear" w:color="auto" w:fill="FFFFFF"/>
                <w:lang w:val="es-ES" w:eastAsia="es-ES_tradnl"/>
              </w:rPr>
              <w:t>ii</w:t>
            </w:r>
            <w:proofErr w:type="spellEnd"/>
            <w:r w:rsidRPr="0086202B">
              <w:rPr>
                <w:rFonts w:ascii="Verdana" w:eastAsia="Times New Roman" w:hAnsi="Verdana" w:cs="Arial"/>
                <w:bdr w:val="none" w:sz="0" w:space="0" w:color="auto" w:frame="1"/>
                <w:shd w:val="clear" w:color="auto" w:fill="FFFFFF"/>
                <w:lang w:val="es-ES" w:eastAsia="es-ES_tradnl"/>
              </w:rPr>
              <w:t xml:space="preserve">) los defectos de los requisitos habilitantes. La excepción se encuentra en los casos, previstos en la ley, que limitan la </w:t>
            </w:r>
            <w:proofErr w:type="spellStart"/>
            <w:r w:rsidRPr="0086202B">
              <w:rPr>
                <w:rFonts w:ascii="Verdana" w:eastAsia="Times New Roman" w:hAnsi="Verdana" w:cs="Arial"/>
                <w:bdr w:val="none" w:sz="0" w:space="0" w:color="auto" w:frame="1"/>
                <w:shd w:val="clear" w:color="auto" w:fill="FFFFFF"/>
                <w:lang w:val="es-ES" w:eastAsia="es-ES_tradnl"/>
              </w:rPr>
              <w:t>subsanabilidad</w:t>
            </w:r>
            <w:proofErr w:type="spellEnd"/>
            <w:r w:rsidRPr="0086202B">
              <w:rPr>
                <w:rFonts w:ascii="Verdana" w:eastAsia="Times New Roman" w:hAnsi="Verdana" w:cs="Arial"/>
                <w:bdr w:val="none" w:sz="0" w:space="0" w:color="auto" w:frame="1"/>
                <w:shd w:val="clear" w:color="auto" w:fill="FFFFFF"/>
                <w:lang w:val="es-ES" w:eastAsia="es-ES_tradnl"/>
              </w:rPr>
              <w:t>, es decir, en la prohibición de permitir la entrega de la garantía de seriedad de la oferta que no fue aportada con la propuesta y de valer la acreditación de circunstancias ocurridas con posterioridad al cierre del proceso.</w:t>
            </w:r>
          </w:p>
          <w:p w14:paraId="1E43FF48" w14:textId="77777777" w:rsidR="00A30041" w:rsidRPr="0086202B" w:rsidRDefault="00A30041" w:rsidP="006F5ED1">
            <w:pPr>
              <w:spacing w:before="120" w:line="276" w:lineRule="auto"/>
              <w:ind w:firstLine="708"/>
              <w:jc w:val="both"/>
              <w:rPr>
                <w:rFonts w:ascii="Verdana" w:eastAsia="Times New Roman" w:hAnsi="Verdana" w:cs="Arial"/>
                <w:bdr w:val="none" w:sz="0" w:space="0" w:color="auto" w:frame="1"/>
                <w:shd w:val="clear" w:color="auto" w:fill="FFFFFF"/>
                <w:lang w:val="es-ES" w:eastAsia="es-ES_tradnl"/>
              </w:rPr>
            </w:pPr>
            <w:r w:rsidRPr="0086202B">
              <w:rPr>
                <w:rFonts w:ascii="Verdana" w:eastAsia="Times New Roman" w:hAnsi="Verdana" w:cs="Arial"/>
                <w:bdr w:val="none" w:sz="0" w:space="0" w:color="auto" w:frame="1"/>
                <w:shd w:val="clear" w:color="auto" w:fill="FFFFFF"/>
                <w:lang w:val="es-ES" w:eastAsia="es-ES_tradnl"/>
              </w:rPr>
              <w:t>Finalmente, debe advertirse que el análisis sobre la subsanación de las ofertas al interior de los procedimientos de selección debe ser realizado por quienes tengan interés en ello, de acuerdo con lo explicado la aclaración preliminar del presente oficio. Al tratarse de un análisis que debe realizarse en el procedimiento contractual específico, la Agencia sólo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bookmarkEnd w:id="2"/>
    </w:tbl>
    <w:p w14:paraId="29853A22" w14:textId="77777777" w:rsidR="00A30041" w:rsidRPr="0086202B" w:rsidRDefault="00A30041" w:rsidP="00A30041">
      <w:pPr>
        <w:widowControl w:val="0"/>
        <w:autoSpaceDE w:val="0"/>
        <w:autoSpaceDN w:val="0"/>
        <w:spacing w:before="1" w:after="0" w:line="240" w:lineRule="auto"/>
        <w:ind w:left="360" w:hanging="360"/>
        <w:outlineLvl w:val="0"/>
        <w:rPr>
          <w:rFonts w:ascii="Verdana" w:eastAsia="Arial" w:hAnsi="Verdana" w:cs="Arial"/>
          <w:b/>
        </w:rPr>
      </w:pPr>
    </w:p>
    <w:p w14:paraId="7713FA5F" w14:textId="77777777" w:rsidR="00A30041" w:rsidRPr="0086202B" w:rsidRDefault="00A30041" w:rsidP="00A30041">
      <w:pPr>
        <w:widowControl w:val="0"/>
        <w:autoSpaceDE w:val="0"/>
        <w:autoSpaceDN w:val="0"/>
        <w:spacing w:before="1" w:after="0" w:line="240" w:lineRule="auto"/>
        <w:ind w:left="360" w:hanging="360"/>
        <w:outlineLvl w:val="0"/>
        <w:rPr>
          <w:rFonts w:ascii="Verdana" w:eastAsia="Arial" w:hAnsi="Verdana" w:cs="Arial"/>
          <w:b/>
          <w:bCs/>
          <w:lang w:val="es-ES"/>
        </w:rPr>
      </w:pPr>
      <w:r w:rsidRPr="0086202B">
        <w:rPr>
          <w:rFonts w:ascii="Verdana" w:eastAsia="Arial" w:hAnsi="Verdana" w:cs="Arial"/>
          <w:b/>
          <w:bCs/>
          <w:lang w:val="es-ES"/>
        </w:rPr>
        <w:t>3. Razones de la respuesta</w:t>
      </w:r>
    </w:p>
    <w:p w14:paraId="54790E6A" w14:textId="77777777" w:rsidR="00A30041" w:rsidRPr="0086202B" w:rsidRDefault="00A30041" w:rsidP="00A30041">
      <w:pPr>
        <w:spacing w:after="0" w:line="276" w:lineRule="auto"/>
        <w:jc w:val="both"/>
        <w:rPr>
          <w:rFonts w:ascii="Verdana" w:eastAsia="Calibri" w:hAnsi="Verdana" w:cs="Arial"/>
          <w:lang w:val="es-ES"/>
        </w:rPr>
      </w:pPr>
    </w:p>
    <w:p w14:paraId="432AD4BF" w14:textId="77777777" w:rsidR="00A30041" w:rsidRPr="0086202B" w:rsidRDefault="00A30041" w:rsidP="00A30041">
      <w:pPr>
        <w:spacing w:after="0" w:line="276" w:lineRule="auto"/>
        <w:jc w:val="both"/>
        <w:rPr>
          <w:rFonts w:ascii="Verdana" w:eastAsia="Calibri" w:hAnsi="Verdana" w:cs="Arial"/>
          <w:lang w:val="es-ES"/>
        </w:rPr>
      </w:pPr>
      <w:r w:rsidRPr="0086202B">
        <w:rPr>
          <w:rFonts w:ascii="Verdana" w:eastAsia="Calibri" w:hAnsi="Verdana" w:cs="Arial"/>
          <w:lang w:val="es-ES"/>
        </w:rPr>
        <w:t xml:space="preserve">Las respuestas anteriores se sustentan en las siguientes consideraciones: </w:t>
      </w:r>
    </w:p>
    <w:p w14:paraId="5D306DDD" w14:textId="77777777" w:rsidR="00A30041" w:rsidRPr="0086202B" w:rsidRDefault="00A30041" w:rsidP="00A30041">
      <w:pPr>
        <w:spacing w:after="0" w:line="276" w:lineRule="auto"/>
        <w:jc w:val="both"/>
        <w:rPr>
          <w:rFonts w:ascii="Verdana" w:eastAsia="Calibri" w:hAnsi="Verdana" w:cs="Arial"/>
          <w:lang w:val="es-ES"/>
        </w:rPr>
      </w:pPr>
    </w:p>
    <w:p w14:paraId="25F3A642" w14:textId="77777777" w:rsidR="00A30041" w:rsidRPr="0086202B" w:rsidRDefault="00A30041" w:rsidP="00A30041">
      <w:pPr>
        <w:spacing w:after="0" w:line="276" w:lineRule="auto"/>
        <w:jc w:val="both"/>
        <w:rPr>
          <w:rFonts w:ascii="Verdana" w:eastAsia="Calibri" w:hAnsi="Verdana" w:cs="Arial"/>
          <w:bCs/>
        </w:rPr>
      </w:pPr>
      <w:r w:rsidRPr="0086202B">
        <w:rPr>
          <w:rFonts w:ascii="Verdana" w:eastAsia="Calibri" w:hAnsi="Verdana" w:cs="Arial"/>
          <w:bCs/>
        </w:rPr>
        <w:t xml:space="preserve">i) Inicialmente debe precisarse que, con fundamento en el principio de selección objetiva, la escogencia del futuro contratista en el marco de un proceso de contratación debe fundarse en factores objetivos, </w:t>
      </w:r>
      <w:r w:rsidRPr="0086202B">
        <w:rPr>
          <w:rFonts w:ascii="Verdana" w:eastAsia="Arial" w:hAnsi="Verdana" w:cs="Arial"/>
        </w:rPr>
        <w:t xml:space="preserve">de carácter técnico, jurídico y </w:t>
      </w:r>
      <w:r w:rsidRPr="0086202B">
        <w:rPr>
          <w:rFonts w:ascii="Verdana" w:eastAsia="Arial" w:hAnsi="Verdana" w:cs="Arial"/>
        </w:rPr>
        <w:lastRenderedPageBreak/>
        <w:t>financiero, y no en criterios subjetivos, como el afecto, la amistad, el ánimo de ayuda, el interés personal, etc. Si bien dentro de la historia de la contratación pública en Colombia se vislumbran antecedentes normativos que consagraban dicho principio</w:t>
      </w:r>
      <w:r w:rsidRPr="0086202B">
        <w:rPr>
          <w:rFonts w:ascii="Verdana" w:eastAsia="Arial" w:hAnsi="Verdana" w:cs="Arial"/>
          <w:vertAlign w:val="superscript"/>
        </w:rPr>
        <w:footnoteReference w:id="1"/>
      </w:r>
      <w:r w:rsidRPr="0086202B">
        <w:rPr>
          <w:rFonts w:ascii="Verdana" w:eastAsia="Arial" w:hAnsi="Verdana" w:cs="Arial"/>
        </w:rPr>
        <w:t xml:space="preserve">, en la actualidad la disposición legal que lo prevé de manera más clara y contundente es el artículo 5 de la Ley 1150 de 2007, modificado por el artículo 88 de la Ley 1474 de 2011 y por el artículo 5 de la Ley 1882 de 2018. Esta norma prescribe lo siguiente: </w:t>
      </w:r>
    </w:p>
    <w:p w14:paraId="0F3DE5D5" w14:textId="77777777" w:rsidR="00A30041" w:rsidRPr="0086202B" w:rsidRDefault="00A30041" w:rsidP="00A30041">
      <w:pPr>
        <w:spacing w:after="0" w:line="276" w:lineRule="auto"/>
        <w:jc w:val="both"/>
        <w:rPr>
          <w:rFonts w:ascii="Verdana" w:eastAsia="Arial" w:hAnsi="Verdana" w:cs="Arial"/>
        </w:rPr>
      </w:pPr>
    </w:p>
    <w:p w14:paraId="54A6C42A" w14:textId="77777777" w:rsidR="00A30041" w:rsidRPr="0086202B" w:rsidRDefault="00A30041" w:rsidP="00A30041">
      <w:pPr>
        <w:spacing w:after="120" w:line="240" w:lineRule="auto"/>
        <w:ind w:left="709" w:right="709"/>
        <w:jc w:val="both"/>
        <w:rPr>
          <w:rFonts w:ascii="Verdana" w:eastAsia="Arial" w:hAnsi="Verdana" w:cs="Arial"/>
          <w:sz w:val="20"/>
          <w:szCs w:val="20"/>
        </w:rPr>
      </w:pPr>
      <w:r w:rsidRPr="0086202B">
        <w:rPr>
          <w:rFonts w:ascii="Verdana" w:eastAsia="Arial" w:hAnsi="Verdana" w:cs="Arial"/>
          <w:sz w:val="20"/>
          <w:szCs w:val="20"/>
        </w:rPr>
        <w:t>“ARTÍCULO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1CC06A68" w14:textId="77777777" w:rsidR="00A30041" w:rsidRPr="0086202B" w:rsidRDefault="00A30041" w:rsidP="00A30041">
      <w:pPr>
        <w:spacing w:after="120" w:line="240" w:lineRule="auto"/>
        <w:ind w:left="709" w:right="709"/>
        <w:jc w:val="both"/>
        <w:rPr>
          <w:rFonts w:ascii="Verdana" w:eastAsia="Arial" w:hAnsi="Verdana" w:cs="Arial"/>
          <w:sz w:val="20"/>
          <w:szCs w:val="20"/>
        </w:rPr>
      </w:pPr>
      <w:r w:rsidRPr="0086202B">
        <w:rPr>
          <w:rFonts w:ascii="Verdana" w:eastAsia="Arial" w:hAnsi="Verdana" w:cs="Arial"/>
          <w:sz w:val="20"/>
          <w:szCs w:val="20"/>
        </w:rPr>
        <w:t xml:space="preserve">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w:t>
      </w:r>
      <w:r w:rsidRPr="0086202B">
        <w:rPr>
          <w:rFonts w:ascii="Verdana" w:eastAsia="Arial" w:hAnsi="Verdana" w:cs="Arial"/>
          <w:sz w:val="20"/>
          <w:szCs w:val="20"/>
        </w:rPr>
        <w:lastRenderedPageBreak/>
        <w:t>de conformidad con lo establecido en el artículo 6o de la presente ley, de acuerdo con lo cual se expedirá la respectiva certificación.</w:t>
      </w:r>
    </w:p>
    <w:p w14:paraId="1CBEE7E2" w14:textId="77777777" w:rsidR="00A30041" w:rsidRPr="0086202B" w:rsidRDefault="00A30041" w:rsidP="00A30041">
      <w:pPr>
        <w:spacing w:after="120" w:line="240" w:lineRule="auto"/>
        <w:ind w:left="709" w:right="709"/>
        <w:jc w:val="both"/>
        <w:rPr>
          <w:rFonts w:ascii="Verdana" w:eastAsia="Arial" w:hAnsi="Verdana" w:cs="Arial"/>
          <w:sz w:val="20"/>
          <w:szCs w:val="20"/>
        </w:rPr>
      </w:pPr>
      <w:r w:rsidRPr="0086202B">
        <w:rPr>
          <w:rFonts w:ascii="Verdana" w:eastAsia="Arial" w:hAnsi="Verdana" w:cs="Arial"/>
          <w:sz w:val="20"/>
          <w:szCs w:val="20"/>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62D2833E" w14:textId="77777777" w:rsidR="00A30041" w:rsidRPr="0086202B" w:rsidRDefault="00A30041" w:rsidP="00A30041">
      <w:pPr>
        <w:spacing w:after="120" w:line="240" w:lineRule="auto"/>
        <w:ind w:left="709" w:right="709"/>
        <w:jc w:val="both"/>
        <w:rPr>
          <w:rFonts w:ascii="Verdana" w:eastAsia="Arial" w:hAnsi="Verdana" w:cs="Arial"/>
          <w:sz w:val="20"/>
          <w:szCs w:val="20"/>
        </w:rPr>
      </w:pPr>
      <w:r w:rsidRPr="0086202B">
        <w:rPr>
          <w:rFonts w:ascii="Verdana" w:eastAsia="Arial" w:hAnsi="Verdana" w:cs="Arial"/>
          <w:sz w:val="20"/>
          <w:szCs w:val="20"/>
        </w:rPr>
        <w:t>En los procesos de selección en los que se tenga en cuenta los factores técnicos y económicos, la oferta más ventajosa será la que resulte de aplicar alguna de las siguientes alternativas:</w:t>
      </w:r>
    </w:p>
    <w:p w14:paraId="4101DFED" w14:textId="77777777" w:rsidR="00A30041" w:rsidRPr="0086202B" w:rsidRDefault="00A30041" w:rsidP="00A30041">
      <w:pPr>
        <w:spacing w:after="120" w:line="240" w:lineRule="auto"/>
        <w:ind w:left="709" w:right="709"/>
        <w:jc w:val="both"/>
        <w:rPr>
          <w:rFonts w:ascii="Verdana" w:eastAsia="Arial" w:hAnsi="Verdana" w:cs="Arial"/>
          <w:sz w:val="20"/>
          <w:szCs w:val="20"/>
        </w:rPr>
      </w:pPr>
      <w:r w:rsidRPr="0086202B">
        <w:rPr>
          <w:rFonts w:ascii="Verdana" w:eastAsia="Arial" w:hAnsi="Verdana" w:cs="Arial"/>
          <w:sz w:val="20"/>
          <w:szCs w:val="20"/>
        </w:rPr>
        <w:t>a) La ponderación de los elementos de calidad y precio soportados en puntajes o fórmulas señaladas en el pliego de condiciones; o</w:t>
      </w:r>
    </w:p>
    <w:p w14:paraId="7FF87158" w14:textId="77777777" w:rsidR="00A30041" w:rsidRPr="0086202B" w:rsidRDefault="00A30041" w:rsidP="00A30041">
      <w:pPr>
        <w:spacing w:after="120" w:line="240" w:lineRule="auto"/>
        <w:ind w:left="709" w:right="709"/>
        <w:jc w:val="both"/>
        <w:rPr>
          <w:rFonts w:ascii="Verdana" w:eastAsia="Arial" w:hAnsi="Verdana" w:cs="Arial"/>
          <w:sz w:val="20"/>
          <w:szCs w:val="20"/>
        </w:rPr>
      </w:pPr>
      <w:r w:rsidRPr="0086202B">
        <w:rPr>
          <w:rFonts w:ascii="Verdana" w:eastAsia="Arial" w:hAnsi="Verdana" w:cs="Arial"/>
          <w:sz w:val="20"/>
          <w:szCs w:val="20"/>
        </w:rPr>
        <w:t>b) La ponderación de los elementos de calidad y precio que representen la mejor relación de costo-beneficio para la entidad.</w:t>
      </w:r>
    </w:p>
    <w:p w14:paraId="79212C89" w14:textId="77777777" w:rsidR="00A30041" w:rsidRPr="0086202B" w:rsidRDefault="00A30041" w:rsidP="00A30041">
      <w:pPr>
        <w:spacing w:after="120" w:line="240" w:lineRule="auto"/>
        <w:ind w:left="709" w:right="709"/>
        <w:jc w:val="both"/>
        <w:rPr>
          <w:rFonts w:ascii="Verdana" w:eastAsia="Arial" w:hAnsi="Verdana" w:cs="Arial"/>
          <w:sz w:val="20"/>
          <w:szCs w:val="20"/>
        </w:rPr>
      </w:pPr>
      <w:r w:rsidRPr="0086202B">
        <w:rPr>
          <w:rFonts w:ascii="Verdana" w:eastAsia="Arial" w:hAnsi="Verdana" w:cs="Arial"/>
          <w:sz w:val="20"/>
          <w:szCs w:val="20"/>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p>
    <w:p w14:paraId="08B66F72" w14:textId="77777777" w:rsidR="00A30041" w:rsidRPr="0086202B" w:rsidRDefault="00A30041" w:rsidP="00A30041">
      <w:pPr>
        <w:spacing w:after="120" w:line="240" w:lineRule="auto"/>
        <w:ind w:left="709" w:right="709"/>
        <w:jc w:val="both"/>
        <w:rPr>
          <w:rFonts w:ascii="Verdana" w:eastAsia="Arial" w:hAnsi="Verdana" w:cs="Arial"/>
          <w:sz w:val="20"/>
          <w:szCs w:val="20"/>
        </w:rPr>
      </w:pPr>
      <w:r w:rsidRPr="0086202B">
        <w:rPr>
          <w:rFonts w:ascii="Verdana" w:eastAsia="Arial" w:hAnsi="Verdana" w:cs="Arial"/>
          <w:sz w:val="20"/>
          <w:szCs w:val="20"/>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p>
    <w:p w14:paraId="59DE1CA3" w14:textId="77777777" w:rsidR="00A30041" w:rsidRPr="0086202B" w:rsidRDefault="00A30041" w:rsidP="00A30041">
      <w:pPr>
        <w:spacing w:after="120" w:line="240" w:lineRule="auto"/>
        <w:ind w:left="709" w:right="709"/>
        <w:jc w:val="both"/>
        <w:rPr>
          <w:rFonts w:ascii="Verdana" w:eastAsia="Arial" w:hAnsi="Verdana" w:cs="Arial"/>
          <w:sz w:val="20"/>
          <w:szCs w:val="20"/>
        </w:rPr>
      </w:pPr>
      <w:r w:rsidRPr="0086202B">
        <w:rPr>
          <w:rFonts w:ascii="Verdana" w:eastAsia="Arial" w:hAnsi="Verdana" w:cs="Arial"/>
          <w:sz w:val="20"/>
          <w:szCs w:val="20"/>
        </w:rPr>
        <w:t>En ningún caso se podrá incluir el precio, como factor de escogencia para la selección de consultores.</w:t>
      </w:r>
    </w:p>
    <w:p w14:paraId="38FD8A35" w14:textId="77777777" w:rsidR="00A30041" w:rsidRPr="0086202B" w:rsidRDefault="00A30041" w:rsidP="00A30041">
      <w:pPr>
        <w:spacing w:after="120" w:line="240" w:lineRule="auto"/>
        <w:ind w:left="709" w:right="709"/>
        <w:jc w:val="both"/>
        <w:rPr>
          <w:rFonts w:ascii="Verdana" w:eastAsia="Arial" w:hAnsi="Verdana" w:cs="Arial"/>
          <w:sz w:val="20"/>
          <w:szCs w:val="20"/>
        </w:rPr>
      </w:pPr>
      <w:r w:rsidRPr="0086202B">
        <w:rPr>
          <w:rFonts w:ascii="Verdana" w:eastAsia="Arial" w:hAnsi="Verdana" w:cs="Arial"/>
          <w:sz w:val="20"/>
          <w:szCs w:val="20"/>
        </w:rPr>
        <w:t xml:space="preserve">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w:t>
      </w:r>
      <w:r w:rsidRPr="0086202B">
        <w:rPr>
          <w:rFonts w:ascii="Verdana" w:eastAsia="Arial" w:hAnsi="Verdana" w:cs="Arial"/>
          <w:sz w:val="20"/>
          <w:szCs w:val="20"/>
        </w:rPr>
        <w:lastRenderedPageBreak/>
        <w:t>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w:t>
      </w:r>
    </w:p>
    <w:p w14:paraId="71ABE9CB" w14:textId="77777777" w:rsidR="00A30041" w:rsidRPr="0086202B" w:rsidRDefault="00A30041" w:rsidP="00A30041">
      <w:pPr>
        <w:spacing w:after="120" w:line="240" w:lineRule="auto"/>
        <w:ind w:left="709" w:right="709"/>
        <w:jc w:val="both"/>
        <w:rPr>
          <w:rFonts w:ascii="Verdana" w:eastAsia="Arial" w:hAnsi="Verdana" w:cs="Arial"/>
          <w:sz w:val="20"/>
          <w:szCs w:val="20"/>
        </w:rPr>
      </w:pPr>
      <w:r w:rsidRPr="0086202B">
        <w:rPr>
          <w:rFonts w:ascii="Verdana" w:eastAsia="Arial" w:hAnsi="Verdana" w:cs="Arial"/>
          <w:sz w:val="20"/>
          <w:szCs w:val="20"/>
        </w:rPr>
        <w:t>Durante el término otorgado para subsanar las ofertas, los proponentes no podrán acreditar circunstancias ocurridas con posterioridad al cierre del proceso.</w:t>
      </w:r>
    </w:p>
    <w:p w14:paraId="6B350914" w14:textId="77777777" w:rsidR="00A30041" w:rsidRPr="0086202B" w:rsidRDefault="00A30041" w:rsidP="00A30041">
      <w:pPr>
        <w:spacing w:after="120" w:line="240" w:lineRule="auto"/>
        <w:ind w:left="709" w:right="709"/>
        <w:jc w:val="both"/>
        <w:rPr>
          <w:rFonts w:ascii="Verdana" w:eastAsia="Arial" w:hAnsi="Verdana" w:cs="Arial"/>
          <w:sz w:val="20"/>
          <w:szCs w:val="20"/>
        </w:rPr>
      </w:pPr>
      <w:r w:rsidRPr="0086202B">
        <w:rPr>
          <w:rFonts w:ascii="Verdana" w:eastAsia="Arial" w:hAnsi="Verdana" w:cs="Arial"/>
          <w:sz w:val="20"/>
          <w:szCs w:val="20"/>
        </w:rPr>
        <w:t>PARÁGRAFO 2o. Las certificaciones de sistemas de gestión de calidad no serán objeto de calificación, ni podrán establecerse como documento habilitante para participar en licitaciones o concursos.</w:t>
      </w:r>
    </w:p>
    <w:p w14:paraId="6CAA39AD" w14:textId="77777777" w:rsidR="00A30041" w:rsidRPr="0086202B" w:rsidRDefault="00A30041" w:rsidP="00A30041">
      <w:pPr>
        <w:spacing w:after="120" w:line="240" w:lineRule="auto"/>
        <w:ind w:left="709" w:right="709"/>
        <w:jc w:val="both"/>
        <w:rPr>
          <w:rFonts w:ascii="Verdana" w:eastAsia="Arial" w:hAnsi="Verdana" w:cs="Arial"/>
          <w:sz w:val="20"/>
          <w:szCs w:val="20"/>
        </w:rPr>
      </w:pPr>
      <w:r w:rsidRPr="0086202B">
        <w:rPr>
          <w:rFonts w:ascii="Verdana" w:eastAsia="Arial" w:hAnsi="Verdana" w:cs="Arial"/>
          <w:sz w:val="20"/>
          <w:szCs w:val="20"/>
        </w:rPr>
        <w:t>PARÁGRAFO 3o. &lt;Parágrafo adicionado por el artículo 5 de la Ley 1882 de 2018. El nuevo texto es el siguiente:&gt; La no entrega de la garantía de seriedad junto con la propuesta no será subsanable y será causal de rechazo de la misma.</w:t>
      </w:r>
    </w:p>
    <w:p w14:paraId="597393F6" w14:textId="77777777" w:rsidR="00A30041" w:rsidRPr="0086202B" w:rsidRDefault="00A30041" w:rsidP="00A30041">
      <w:pPr>
        <w:spacing w:after="120" w:line="240" w:lineRule="auto"/>
        <w:ind w:left="709" w:right="709"/>
        <w:jc w:val="both"/>
        <w:rPr>
          <w:rFonts w:ascii="Verdana" w:eastAsia="Arial" w:hAnsi="Verdana" w:cs="Arial"/>
          <w:sz w:val="20"/>
          <w:szCs w:val="20"/>
        </w:rPr>
      </w:pPr>
      <w:r w:rsidRPr="0086202B">
        <w:rPr>
          <w:rFonts w:ascii="Verdana" w:eastAsia="Arial" w:hAnsi="Verdana" w:cs="Arial"/>
          <w:sz w:val="20"/>
          <w:szCs w:val="20"/>
        </w:rPr>
        <w:t>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comparación de las propuestas, deberán ser solicitados hasta el momento previo a su realización.</w:t>
      </w:r>
    </w:p>
    <w:p w14:paraId="420036C8" w14:textId="77777777" w:rsidR="00A30041" w:rsidRPr="0086202B" w:rsidRDefault="00A30041" w:rsidP="00A30041">
      <w:pPr>
        <w:spacing w:after="0" w:line="240" w:lineRule="auto"/>
        <w:ind w:left="709" w:right="709"/>
        <w:jc w:val="both"/>
        <w:rPr>
          <w:rFonts w:ascii="Verdana" w:eastAsia="Arial" w:hAnsi="Verdana" w:cs="Arial"/>
          <w:sz w:val="20"/>
          <w:szCs w:val="20"/>
        </w:rPr>
      </w:pPr>
      <w:r w:rsidRPr="0086202B">
        <w:rPr>
          <w:rFonts w:ascii="Verdana" w:eastAsia="Arial" w:hAnsi="Verdana" w:cs="Arial"/>
          <w:sz w:val="20"/>
          <w:szCs w:val="20"/>
        </w:rPr>
        <w:t xml:space="preserve">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 </w:t>
      </w:r>
    </w:p>
    <w:p w14:paraId="1D427E82" w14:textId="77777777" w:rsidR="00A30041" w:rsidRPr="0086202B" w:rsidRDefault="00A30041" w:rsidP="00A30041">
      <w:pPr>
        <w:spacing w:after="0" w:line="276" w:lineRule="auto"/>
        <w:jc w:val="both"/>
        <w:rPr>
          <w:rFonts w:ascii="Verdana" w:eastAsia="Arial" w:hAnsi="Verdana" w:cs="Arial"/>
        </w:rPr>
      </w:pPr>
    </w:p>
    <w:p w14:paraId="1AFC11A1" w14:textId="77777777" w:rsidR="00A30041" w:rsidRPr="0086202B" w:rsidRDefault="00A30041" w:rsidP="00A30041">
      <w:pPr>
        <w:tabs>
          <w:tab w:val="left" w:pos="0"/>
        </w:tabs>
        <w:spacing w:after="120" w:line="276" w:lineRule="auto"/>
        <w:jc w:val="both"/>
        <w:rPr>
          <w:rFonts w:ascii="Verdana" w:eastAsia="Arial" w:hAnsi="Verdana" w:cs="Arial"/>
        </w:rPr>
      </w:pPr>
      <w:r w:rsidRPr="0086202B">
        <w:rPr>
          <w:rFonts w:ascii="Verdana" w:eastAsia="Arial" w:hAnsi="Verdana" w:cs="Arial"/>
        </w:rPr>
        <w:tab/>
        <w:t xml:space="preserve">De acuerdo con el artículo 5 de la Ley 1150 de 2007, el deber de selección objetiva supone que las Entidades Estatales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señalarse en el pliego de condiciones o documento equivalente. </w:t>
      </w:r>
      <w:bookmarkStart w:id="3" w:name="_1fob9te" w:colFirst="0" w:colLast="0"/>
      <w:bookmarkEnd w:id="3"/>
    </w:p>
    <w:p w14:paraId="533CFD24" w14:textId="77777777" w:rsidR="00A30041" w:rsidRPr="0086202B" w:rsidRDefault="00A30041" w:rsidP="00A30041">
      <w:pPr>
        <w:tabs>
          <w:tab w:val="left" w:pos="0"/>
        </w:tabs>
        <w:spacing w:after="0" w:line="276" w:lineRule="auto"/>
        <w:jc w:val="both"/>
        <w:rPr>
          <w:rFonts w:ascii="Verdana" w:eastAsia="Arial" w:hAnsi="Verdana" w:cs="Arial"/>
        </w:rPr>
      </w:pPr>
      <w:r w:rsidRPr="0086202B">
        <w:rPr>
          <w:rFonts w:ascii="Verdana" w:eastAsia="Arial" w:hAnsi="Verdana" w:cs="Arial"/>
        </w:rPr>
        <w:tab/>
        <w:t xml:space="preserve">En ese sentido, el referido artículo alude a su vez, a diferentes conceptos como factores de escogencia, de calificación, técnicos y económicos de escogencia, de evaluación y calificación. Además, el artículo alude a unos factores que no otorgan puntaje y de otros que inciden en la comparación de ofertas. Por ello, la doctrina define los requisitos o factores ponderables como “[…] aquellas condiciones de la oferta y no de quien la presenta, que sí entrarán a ser evaluadas por la Administración y que en consecuencia, darán lugar a la </w:t>
      </w:r>
      <w:r w:rsidRPr="0086202B">
        <w:rPr>
          <w:rFonts w:ascii="Verdana" w:eastAsia="Arial" w:hAnsi="Verdana" w:cs="Arial"/>
        </w:rPr>
        <w:lastRenderedPageBreak/>
        <w:t xml:space="preserve">escogencia objetiva de la mejor propuesta para la entidad” </w:t>
      </w:r>
      <w:r w:rsidRPr="0086202B">
        <w:rPr>
          <w:rFonts w:ascii="Verdana" w:eastAsia="Arial" w:hAnsi="Verdana" w:cs="Arial"/>
          <w:vertAlign w:val="superscript"/>
        </w:rPr>
        <w:footnoteReference w:id="2"/>
      </w:r>
      <w:r w:rsidRPr="0086202B">
        <w:rPr>
          <w:rFonts w:ascii="Verdana" w:eastAsia="Arial" w:hAnsi="Verdana" w:cs="Arial"/>
        </w:rPr>
        <w:t>. Todas estas categorías designan los “[…] factores a los cuales cabe otorgarles puntajes o que pueden ser ponderados, precisamente, pues estos son los factores que en últimas permiten una comparación de ofertas y una diferenciación entre ellas”</w:t>
      </w:r>
      <w:r w:rsidRPr="0086202B">
        <w:rPr>
          <w:rFonts w:ascii="Verdana" w:eastAsia="Arial" w:hAnsi="Verdana" w:cs="Arial"/>
          <w:vertAlign w:val="superscript"/>
        </w:rPr>
        <w:footnoteReference w:id="3"/>
      </w:r>
      <w:r w:rsidRPr="0086202B">
        <w:rPr>
          <w:rFonts w:ascii="Verdana" w:eastAsia="Arial" w:hAnsi="Verdana" w:cs="Arial"/>
        </w:rPr>
        <w:t>. Conforme a esto, la doctrina explica que:</w:t>
      </w:r>
    </w:p>
    <w:p w14:paraId="65C83BFF" w14:textId="77777777" w:rsidR="00A30041" w:rsidRPr="0086202B" w:rsidRDefault="00A30041" w:rsidP="00A30041">
      <w:pPr>
        <w:tabs>
          <w:tab w:val="left" w:pos="0"/>
        </w:tabs>
        <w:spacing w:after="0" w:line="276" w:lineRule="auto"/>
        <w:ind w:left="709" w:right="709"/>
        <w:jc w:val="both"/>
        <w:rPr>
          <w:rFonts w:ascii="Verdana" w:eastAsia="Arial" w:hAnsi="Verdana" w:cs="Arial"/>
        </w:rPr>
      </w:pPr>
    </w:p>
    <w:p w14:paraId="4DB29162" w14:textId="77777777" w:rsidR="00A30041" w:rsidRPr="0086202B" w:rsidRDefault="00A30041" w:rsidP="00A30041">
      <w:pPr>
        <w:spacing w:after="120" w:line="240" w:lineRule="auto"/>
        <w:ind w:left="709" w:right="709"/>
        <w:jc w:val="both"/>
        <w:rPr>
          <w:rFonts w:ascii="Verdana" w:eastAsia="Arial" w:hAnsi="Verdana" w:cs="Arial"/>
          <w:sz w:val="20"/>
          <w:szCs w:val="20"/>
        </w:rPr>
      </w:pPr>
      <w:r w:rsidRPr="0086202B">
        <w:rPr>
          <w:rFonts w:ascii="Verdana" w:eastAsia="Arial" w:hAnsi="Verdana" w:cs="Arial"/>
          <w:sz w:val="20"/>
          <w:szCs w:val="20"/>
        </w:rPr>
        <w:t xml:space="preserve">“De acuerdo con ese entendimiento, el numeral 2 del artículo 5.° de la Ley 1150 de 2007, modificado por el artículo 88 de la Ley 1474 de 2011, comienza por señalar que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Es decir que los factores de ponderación o de evaluación son los que en realidad determinan la propuesta que mejor satisface las necesidades de la Administración y no simplemente cuál de los proponentes es el más idóneo en la ejecución del contrato, pues, se insiste, todo oferente que supere los requisitos mínimos habilitantes se entiende que es suficientemente idóneo para la ejecución del objeto contractual. </w:t>
      </w:r>
    </w:p>
    <w:p w14:paraId="56803E15" w14:textId="77777777" w:rsidR="00A30041" w:rsidRPr="0086202B" w:rsidRDefault="00A30041" w:rsidP="00A30041">
      <w:pPr>
        <w:tabs>
          <w:tab w:val="left" w:pos="0"/>
        </w:tabs>
        <w:spacing w:after="0" w:line="240" w:lineRule="auto"/>
        <w:ind w:left="709" w:right="709"/>
        <w:jc w:val="both"/>
        <w:rPr>
          <w:rFonts w:ascii="Verdana" w:eastAsia="Arial" w:hAnsi="Verdana" w:cs="Arial"/>
          <w:sz w:val="20"/>
          <w:szCs w:val="20"/>
        </w:rPr>
      </w:pPr>
      <w:r w:rsidRPr="0086202B">
        <w:rPr>
          <w:rFonts w:ascii="Verdana" w:eastAsia="Arial" w:hAnsi="Verdana" w:cs="Arial"/>
          <w:sz w:val="20"/>
          <w:szCs w:val="20"/>
        </w:rPr>
        <w:t xml:space="preserve">De nuevo, aquí es preciso señalar que es el pliego de condiciones el que debe determinar cuáles son esos factores que en cada caso concreto permiten hacer una comparación entre las ofertas presentadas y, con base en ello, determinar cuál es la más favorable para la Administración Pública. </w:t>
      </w:r>
    </w:p>
    <w:p w14:paraId="10DA9189" w14:textId="77777777" w:rsidR="00A30041" w:rsidRPr="0086202B" w:rsidRDefault="00A30041" w:rsidP="00A30041">
      <w:pPr>
        <w:tabs>
          <w:tab w:val="left" w:pos="0"/>
        </w:tabs>
        <w:spacing w:after="120" w:line="240" w:lineRule="auto"/>
        <w:ind w:left="709" w:right="709"/>
        <w:jc w:val="both"/>
        <w:rPr>
          <w:rFonts w:ascii="Verdana" w:eastAsia="Arial" w:hAnsi="Verdana" w:cs="Arial"/>
          <w:sz w:val="20"/>
          <w:szCs w:val="20"/>
        </w:rPr>
      </w:pPr>
      <w:r w:rsidRPr="0086202B">
        <w:rPr>
          <w:rFonts w:ascii="Verdana" w:eastAsia="Arial" w:hAnsi="Verdana" w:cs="Arial"/>
          <w:sz w:val="20"/>
          <w:szCs w:val="20"/>
        </w:rPr>
        <w:t>[…]</w:t>
      </w:r>
    </w:p>
    <w:p w14:paraId="2C0DE972" w14:textId="77777777" w:rsidR="00A30041" w:rsidRPr="0086202B" w:rsidRDefault="00A30041" w:rsidP="00A30041">
      <w:pPr>
        <w:spacing w:after="0" w:line="240" w:lineRule="auto"/>
        <w:ind w:left="709" w:right="709"/>
        <w:jc w:val="both"/>
        <w:rPr>
          <w:rFonts w:ascii="Verdana" w:eastAsia="Arial" w:hAnsi="Verdana" w:cs="Arial"/>
          <w:sz w:val="20"/>
          <w:szCs w:val="20"/>
        </w:rPr>
      </w:pPr>
      <w:r w:rsidRPr="0086202B">
        <w:rPr>
          <w:rFonts w:ascii="Verdana" w:eastAsia="Arial" w:hAnsi="Verdana" w:cs="Arial"/>
          <w:sz w:val="20"/>
          <w:szCs w:val="20"/>
        </w:rPr>
        <w:t>Una siguiente conclusión que se deriva de la norma parcialmente transcrita consiste en que los pliegos de condiciones deben determinar dos situaciones por separado: 1. cuáles serán los factores o requisitos que serán evaluados por la Administración y 2. cuáles son los criterios para asignar puntaje a cada uno de los factores de evaluación y, con base en ello, poder hacer la comparación entre las ofertas y concluir cuál de ellas es la más ventajosa para la entidad estatal”</w:t>
      </w:r>
      <w:r w:rsidRPr="0086202B">
        <w:rPr>
          <w:rFonts w:ascii="Verdana" w:eastAsia="Arial" w:hAnsi="Verdana" w:cs="Arial"/>
          <w:sz w:val="20"/>
          <w:szCs w:val="20"/>
          <w:vertAlign w:val="superscript"/>
        </w:rPr>
        <w:footnoteReference w:id="4"/>
      </w:r>
      <w:r w:rsidRPr="0086202B">
        <w:rPr>
          <w:rFonts w:ascii="Verdana" w:eastAsia="Arial" w:hAnsi="Verdana" w:cs="Arial"/>
          <w:sz w:val="20"/>
          <w:szCs w:val="20"/>
        </w:rPr>
        <w:t>.</w:t>
      </w:r>
    </w:p>
    <w:p w14:paraId="2CC1887E" w14:textId="77777777" w:rsidR="00A30041" w:rsidRPr="0086202B" w:rsidRDefault="00A30041" w:rsidP="00A30041">
      <w:pPr>
        <w:tabs>
          <w:tab w:val="left" w:pos="0"/>
        </w:tabs>
        <w:spacing w:after="0" w:line="276" w:lineRule="auto"/>
        <w:ind w:left="709" w:right="709"/>
        <w:jc w:val="both"/>
        <w:rPr>
          <w:rFonts w:ascii="Verdana" w:eastAsia="Arial" w:hAnsi="Verdana" w:cs="Arial"/>
        </w:rPr>
      </w:pPr>
    </w:p>
    <w:p w14:paraId="179E0798" w14:textId="77777777" w:rsidR="00A30041" w:rsidRPr="0086202B" w:rsidRDefault="00A30041" w:rsidP="00A30041">
      <w:pPr>
        <w:tabs>
          <w:tab w:val="left" w:pos="0"/>
        </w:tabs>
        <w:spacing w:after="120" w:line="276" w:lineRule="auto"/>
        <w:jc w:val="both"/>
        <w:rPr>
          <w:rFonts w:ascii="Verdana" w:eastAsia="Arial" w:hAnsi="Verdana" w:cs="Arial"/>
        </w:rPr>
      </w:pPr>
      <w:r w:rsidRPr="0086202B">
        <w:rPr>
          <w:rFonts w:ascii="Verdana" w:eastAsia="Arial" w:hAnsi="Verdana" w:cs="Arial"/>
        </w:rPr>
        <w:tab/>
        <w:t xml:space="preserve">De acuerdo con lo anterior, es posible asimilar las diferentes categorías a las que hace referencia el artículo 5 de la Ley 1150 de 2007, cuando alude a los </w:t>
      </w:r>
      <w:r w:rsidRPr="0086202B">
        <w:rPr>
          <w:rFonts w:ascii="Verdana" w:eastAsia="Arial" w:hAnsi="Verdana" w:cs="Arial"/>
        </w:rPr>
        <w:lastRenderedPageBreak/>
        <w:t xml:space="preserve">factores que, a diferencia de los requisitos habilitantes, determinan la oferta más favorable para la Entidad Estatal contratante, y que, por lo tanto, hacen que una oferta sea mejor que otra, pese a tener que cumplir todas ellas los requisitos habilitantes. Es frente a aquellos factores que determinan comparativamente que una oferta sea mejor que otra, que la entidad concibe el otorgamiento de puntajes, como mecanismos para ponderar y comparar los ofrecimientos, con el fin de determinar objetivamente la oferta más favorable, aplicando para ello las reglas establecidas en el pliego o documento equivalente para la ponderación de las ofertas. </w:t>
      </w:r>
    </w:p>
    <w:p w14:paraId="24960014" w14:textId="77777777" w:rsidR="00A30041" w:rsidRPr="0086202B" w:rsidRDefault="00A30041" w:rsidP="00A30041">
      <w:pPr>
        <w:tabs>
          <w:tab w:val="left" w:pos="0"/>
        </w:tabs>
        <w:spacing w:after="120" w:line="276" w:lineRule="auto"/>
        <w:jc w:val="both"/>
        <w:rPr>
          <w:rFonts w:ascii="Verdana" w:eastAsia="Arial" w:hAnsi="Verdana" w:cs="Arial"/>
        </w:rPr>
      </w:pPr>
      <w:r w:rsidRPr="0086202B">
        <w:rPr>
          <w:rFonts w:ascii="Verdana" w:eastAsia="Arial" w:hAnsi="Verdana" w:cs="Arial"/>
        </w:rPr>
        <w:tab/>
        <w:t xml:space="preserve">En ese sentido, la asignación de puntaje es un mecanismo mediante el cual las entidades ponderan los factores de calificación </w:t>
      </w:r>
      <w:r w:rsidRPr="0086202B">
        <w:rPr>
          <w:rFonts w:ascii="Arial" w:eastAsia="Tahoma" w:hAnsi="Arial" w:cs="Arial"/>
        </w:rPr>
        <w:t>ꟷ</w:t>
      </w:r>
      <w:r w:rsidRPr="0086202B">
        <w:rPr>
          <w:rFonts w:ascii="Verdana" w:eastAsia="Arial" w:hAnsi="Verdana" w:cs="Arial"/>
          <w:i/>
        </w:rPr>
        <w:t>v.g.</w:t>
      </w:r>
      <w:r w:rsidRPr="0086202B">
        <w:rPr>
          <w:rFonts w:ascii="Verdana" w:eastAsia="Arial" w:hAnsi="Verdana" w:cs="Arial"/>
        </w:rPr>
        <w:t xml:space="preserve"> técnicos y económicos, de calidad y precio, etc.</w:t>
      </w:r>
      <w:r w:rsidRPr="0086202B">
        <w:rPr>
          <w:rFonts w:ascii="Arial" w:eastAsia="Tahoma" w:hAnsi="Arial" w:cs="Arial"/>
        </w:rPr>
        <w:t>ꟷ</w:t>
      </w:r>
      <w:r w:rsidRPr="0086202B">
        <w:rPr>
          <w:rFonts w:ascii="Verdana" w:eastAsia="Arial" w:hAnsi="Verdana" w:cs="Arial"/>
        </w:rPr>
        <w:t xml:space="preserve"> en un determinado proceso de selección, como se desprende del literal a) del numeral 2 del artículo 5 de la Ley 1150 de 2007, en el que expresamente se alude al puntaje. Sin embargo, no es este el único mecanismo de ponderación que tienen a su alcance las Entidades Estatales para determinar el ofrecimiento más favorable, pues el propio literal b) del numeral 2 del artículo 5 ibidem, posibilita que el ofrecimiento más favorable se determine con un análisis de la relación costo-beneficio, evento en el no habría necesidad de acudir obligatoriamente a sistemas de asignación de puntaje. A estos se suman, los procesos de selección de bienes y servicios de características técnicas uniformes y de común utilización, así como los de mínima cuantía, en los que –según el artículo 5 numeral 3 y el artículo 2 numeral 5 de la Ley 1150 de 2007– el único factor de selección es el menor precio ofertado, por lo que no hay lugar a ponderación mediante puntajes o relaciones costo beneficio.</w:t>
      </w:r>
    </w:p>
    <w:p w14:paraId="298DB909" w14:textId="77777777" w:rsidR="00A30041" w:rsidRPr="0086202B" w:rsidRDefault="00A30041" w:rsidP="00A30041">
      <w:pPr>
        <w:spacing w:after="120" w:line="276" w:lineRule="auto"/>
        <w:jc w:val="both"/>
        <w:rPr>
          <w:rFonts w:ascii="Verdana" w:eastAsia="Arial" w:hAnsi="Verdana" w:cs="Arial"/>
        </w:rPr>
      </w:pPr>
      <w:r w:rsidRPr="0086202B">
        <w:rPr>
          <w:rFonts w:ascii="Verdana" w:eastAsia="Arial" w:hAnsi="Verdana" w:cs="Arial"/>
        </w:rPr>
        <w:tab/>
        <w:t xml:space="preserve">Es necesario destacar que las reglas para establecer la oferta más favorable conforme al artículo 5 de la Ley 1150 de 2007, se encuentran reglamentadas en el artículo 2.2.1.1.2.2.2 del Decreto 1082 de 2015, modificado por el Decreto 142 de 2023. Este artículo desarrolla los mecanismos de ponderación previstos en los literales a) y b) del numeral 2 artículo 5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w:t>
      </w:r>
      <w:proofErr w:type="spellStart"/>
      <w:r w:rsidRPr="0086202B">
        <w:rPr>
          <w:rFonts w:ascii="Verdana" w:eastAsia="Arial" w:hAnsi="Verdana" w:cs="Arial"/>
        </w:rPr>
        <w:t>ii</w:t>
      </w:r>
      <w:proofErr w:type="spellEnd"/>
      <w:r w:rsidRPr="0086202B">
        <w:rPr>
          <w:rFonts w:ascii="Verdana" w:eastAsia="Arial" w:hAnsi="Verdana" w:cs="Arial"/>
        </w:rPr>
        <w:t xml:space="preserve">) las condiciones técnicas adicionales que representan ventajas de calidad o de funcionamiento; </w:t>
      </w:r>
      <w:proofErr w:type="spellStart"/>
      <w:r w:rsidRPr="0086202B">
        <w:rPr>
          <w:rFonts w:ascii="Verdana" w:eastAsia="Arial" w:hAnsi="Verdana" w:cs="Arial"/>
        </w:rPr>
        <w:t>iii</w:t>
      </w:r>
      <w:proofErr w:type="spellEnd"/>
      <w:r w:rsidRPr="0086202B">
        <w:rPr>
          <w:rFonts w:ascii="Verdana" w:eastAsia="Arial" w:hAnsi="Verdana" w:cs="Arial"/>
        </w:rPr>
        <w:t xml:space="preserve">) las condiciones económicas adicionales que representen ventajas en términos de economía, eficiencia y </w:t>
      </w:r>
      <w:r w:rsidRPr="0086202B">
        <w:rPr>
          <w:rFonts w:ascii="Verdana" w:eastAsia="Arial" w:hAnsi="Verdana" w:cs="Arial"/>
        </w:rPr>
        <w:lastRenderedPageBreak/>
        <w:t xml:space="preserve">eficacia; y </w:t>
      </w:r>
      <w:proofErr w:type="spellStart"/>
      <w:r w:rsidRPr="0086202B">
        <w:rPr>
          <w:rFonts w:ascii="Verdana" w:eastAsia="Arial" w:hAnsi="Verdana" w:cs="Arial"/>
        </w:rPr>
        <w:t>iv</w:t>
      </w:r>
      <w:proofErr w:type="spellEnd"/>
      <w:r w:rsidRPr="0086202B">
        <w:rPr>
          <w:rFonts w:ascii="Verdana" w:eastAsia="Arial" w:hAnsi="Verdana" w:cs="Arial"/>
        </w:rPr>
        <w:t>) el valor en dinero que la Entidad Estatal asigna a cada ofrecimiento técnico o económico adicional. Teniendo en cuenta estos elementos, la Entidad Estatal debe calcular la relación costo-beneficio de cada oferta “[…]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 […]”</w:t>
      </w:r>
      <w:r w:rsidRPr="0086202B">
        <w:rPr>
          <w:rFonts w:ascii="Verdana" w:eastAsia="Arial" w:hAnsi="Verdana" w:cs="Arial"/>
          <w:vertAlign w:val="superscript"/>
        </w:rPr>
        <w:footnoteReference w:id="5"/>
      </w:r>
      <w:r w:rsidRPr="0086202B">
        <w:rPr>
          <w:rFonts w:ascii="Verdana" w:eastAsia="Arial" w:hAnsi="Verdana" w:cs="Arial"/>
        </w:rPr>
        <w:t>.</w:t>
      </w:r>
    </w:p>
    <w:p w14:paraId="3D0069D5" w14:textId="77777777" w:rsidR="00A30041" w:rsidRPr="0086202B" w:rsidRDefault="00A30041" w:rsidP="00A30041">
      <w:pPr>
        <w:spacing w:after="120" w:line="276" w:lineRule="auto"/>
        <w:ind w:firstLine="709"/>
        <w:jc w:val="both"/>
        <w:rPr>
          <w:rFonts w:ascii="Verdana" w:eastAsia="Arial" w:hAnsi="Verdana" w:cs="Arial"/>
        </w:rPr>
      </w:pPr>
      <w:r w:rsidRPr="0086202B">
        <w:rPr>
          <w:rFonts w:ascii="Verdana" w:eastAsia="Arial" w:hAnsi="Verdana" w:cs="Arial"/>
        </w:rPr>
        <w:lastRenderedPageBreak/>
        <w:t>Conforme a lo anterior, el deber de selección objetiva está ligado a la determinación del ofrecimiento más favorable, cuyo contenido debe ser precisado a partir de las diferentes alternativas del artículo 5 de la Ley 1150 de 2007, reglamentado por el artículo 2.2.1.1.2.2.2 del Decreto 1082 de 2015, que en todo caso deben reflejarse en el pliego de condiciones o documento equivalente para el respectivo proceso de selección. Estas disposiciones establecen que deben evaluarse, fuera de los requisitos habilitantes, los factores de calificación, valoración o evaluación. Estos pueden ponderarse mediante la asignación de puntaje, por lo que la norma se refiere a factores que no otorgan puntaje para diferenciar los requisitos habilitantes de los mencionados factores de calificación. Lo anterior, bajo el entendido que son estos últimos los que determinan la oferta más favorable para la entidad y la que en consecuencia debe elegirse.</w:t>
      </w:r>
    </w:p>
    <w:p w14:paraId="53E8E8DE" w14:textId="77777777" w:rsidR="00A30041" w:rsidRPr="0086202B" w:rsidRDefault="00A30041" w:rsidP="00A30041">
      <w:pPr>
        <w:spacing w:after="0" w:line="276" w:lineRule="auto"/>
        <w:ind w:firstLine="709"/>
        <w:jc w:val="both"/>
        <w:rPr>
          <w:rFonts w:ascii="Verdana" w:eastAsia="Arial" w:hAnsi="Verdana" w:cs="Arial"/>
        </w:rPr>
      </w:pPr>
    </w:p>
    <w:p w14:paraId="293A7A58" w14:textId="77777777" w:rsidR="00A30041" w:rsidRPr="0086202B" w:rsidRDefault="00A30041" w:rsidP="00A30041">
      <w:pPr>
        <w:pBdr>
          <w:top w:val="nil"/>
          <w:left w:val="nil"/>
          <w:bottom w:val="nil"/>
          <w:right w:val="nil"/>
          <w:between w:val="nil"/>
        </w:pBdr>
        <w:spacing w:after="120" w:line="276" w:lineRule="auto"/>
        <w:jc w:val="both"/>
        <w:rPr>
          <w:rFonts w:ascii="Verdana" w:eastAsia="Quattrocento Sans" w:hAnsi="Verdana" w:cs="Quattrocento Sans"/>
        </w:rPr>
      </w:pPr>
      <w:proofErr w:type="spellStart"/>
      <w:r w:rsidRPr="0086202B">
        <w:rPr>
          <w:rFonts w:ascii="Verdana" w:eastAsia="Calibri" w:hAnsi="Verdana" w:cs="Arial"/>
          <w:bCs/>
        </w:rPr>
        <w:t>ii</w:t>
      </w:r>
      <w:proofErr w:type="spellEnd"/>
      <w:r w:rsidRPr="0086202B">
        <w:rPr>
          <w:rFonts w:ascii="Verdana" w:eastAsia="Calibri" w:hAnsi="Verdana" w:cs="Arial"/>
          <w:bCs/>
        </w:rPr>
        <w:t xml:space="preserve">) Ahora bien, y por resultar pertinente al objeto bajo consulta, se indica que la </w:t>
      </w:r>
      <w:r w:rsidRPr="0086202B">
        <w:rPr>
          <w:rFonts w:ascii="Verdana" w:eastAsia="Arial" w:hAnsi="Verdana" w:cs="Arial"/>
        </w:rPr>
        <w:t xml:space="preserve">Subdirección de Gestión Contractual de esta Agencia se ha pronunciado en diversas oportunidades acerca del alcance de la regla de la </w:t>
      </w:r>
      <w:proofErr w:type="spellStart"/>
      <w:r w:rsidRPr="0086202B">
        <w:rPr>
          <w:rFonts w:ascii="Verdana" w:eastAsia="Arial" w:hAnsi="Verdana" w:cs="Arial"/>
        </w:rPr>
        <w:t>subsanabilidad</w:t>
      </w:r>
      <w:proofErr w:type="spellEnd"/>
      <w:r w:rsidRPr="0086202B">
        <w:rPr>
          <w:rFonts w:ascii="Verdana" w:eastAsia="Arial" w:hAnsi="Verdana" w:cs="Arial"/>
        </w:rPr>
        <w:t xml:space="preserve">, contenida actualmente en el artículo 5 de la Ley 1150 de 2007. Al respecto, la postura que se reitera en el presente concepto es la siguiente: por regla general, son subsanables i) la falta de entrega o </w:t>
      </w:r>
      <w:proofErr w:type="spellStart"/>
      <w:r w:rsidRPr="0086202B">
        <w:rPr>
          <w:rFonts w:ascii="Verdana" w:eastAsia="Arial" w:hAnsi="Verdana" w:cs="Arial"/>
        </w:rPr>
        <w:t>ii</w:t>
      </w:r>
      <w:proofErr w:type="spellEnd"/>
      <w:r w:rsidRPr="0086202B">
        <w:rPr>
          <w:rFonts w:ascii="Verdana" w:eastAsia="Arial" w:hAnsi="Verdana" w:cs="Arial"/>
        </w:rPr>
        <w:t xml:space="preserve">) los defectos de los requisitos habilitantes. La excepción se encuentra en los casos, previstos en la ley, que limitan la </w:t>
      </w:r>
      <w:proofErr w:type="spellStart"/>
      <w:r w:rsidRPr="0086202B">
        <w:rPr>
          <w:rFonts w:ascii="Verdana" w:eastAsia="Arial" w:hAnsi="Verdana" w:cs="Arial"/>
        </w:rPr>
        <w:t>subsanabilidad</w:t>
      </w:r>
      <w:proofErr w:type="spellEnd"/>
      <w:r w:rsidRPr="0086202B">
        <w:rPr>
          <w:rFonts w:ascii="Verdana" w:eastAsia="Arial" w:hAnsi="Verdana" w:cs="Arial"/>
        </w:rPr>
        <w:t xml:space="preserve">, es decir, en la prohibición de permitir la entrega de la </w:t>
      </w:r>
      <w:r w:rsidRPr="0086202B">
        <w:rPr>
          <w:rFonts w:ascii="Verdana" w:eastAsia="Arial" w:hAnsi="Verdana" w:cs="Arial"/>
        </w:rPr>
        <w:lastRenderedPageBreak/>
        <w:t>garantía de seriedad de la oferta que no fue aportada con la propuesta y de valer la acreditación de circunstancias ocurridas con posterioridad al cierre del proceso.</w:t>
      </w:r>
    </w:p>
    <w:p w14:paraId="437458D0" w14:textId="77777777" w:rsidR="00A30041" w:rsidRPr="0086202B" w:rsidRDefault="00A30041" w:rsidP="00A30041">
      <w:pPr>
        <w:spacing w:after="120" w:line="276" w:lineRule="auto"/>
        <w:ind w:firstLine="709"/>
        <w:jc w:val="both"/>
        <w:rPr>
          <w:rFonts w:ascii="Verdana" w:eastAsia="Arial" w:hAnsi="Verdana" w:cs="Arial"/>
        </w:rPr>
      </w:pPr>
      <w:r w:rsidRPr="0086202B">
        <w:rPr>
          <w:rFonts w:ascii="Verdana" w:eastAsia="Arial" w:hAnsi="Verdana" w:cs="Arial"/>
        </w:rPr>
        <w:t xml:space="preserve">En ese sentido, el parágrafo 1º del artículo 5 ibidem, determinó lo siguiente: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podrán ser solicitados por las entidades en cualquier momento, hasta la adjudicación. No obstante lo anterior, en aquellos procesos de selección en los que se utilice el mecanismo de subasta, deberán ser solicitados hasta el momento previo a su realización”. </w:t>
      </w:r>
    </w:p>
    <w:p w14:paraId="617FEB0B" w14:textId="77777777" w:rsidR="00A30041" w:rsidRPr="0086202B" w:rsidRDefault="00A30041" w:rsidP="00A30041">
      <w:pPr>
        <w:spacing w:after="120" w:line="276" w:lineRule="auto"/>
        <w:ind w:firstLine="709"/>
        <w:jc w:val="both"/>
        <w:rPr>
          <w:rFonts w:ascii="Verdana" w:eastAsia="Calibri" w:hAnsi="Verdana" w:cs="Times New Roman"/>
        </w:rPr>
      </w:pPr>
      <w:r w:rsidRPr="0086202B">
        <w:rPr>
          <w:rFonts w:ascii="Verdana" w:eastAsia="Arial" w:hAnsi="Verdana" w:cs="Arial"/>
        </w:rPr>
        <w:t xml:space="preserve">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al verificar la Administración encuentra que lo omitido por el proponente es un aspecto que otorga puntaje, no es posible subsanarlo; pero, si no otorga puntaje, la Administración debe requerir al proponente para que lo subsane. </w:t>
      </w:r>
    </w:p>
    <w:p w14:paraId="0368E9C7" w14:textId="77777777" w:rsidR="00A30041" w:rsidRPr="0086202B" w:rsidRDefault="00A30041" w:rsidP="00A30041">
      <w:pPr>
        <w:spacing w:after="0" w:line="276" w:lineRule="auto"/>
        <w:ind w:firstLine="709"/>
        <w:jc w:val="both"/>
        <w:rPr>
          <w:rFonts w:ascii="Verdana" w:eastAsia="Arial" w:hAnsi="Verdana" w:cs="Arial"/>
        </w:rPr>
      </w:pPr>
      <w:r w:rsidRPr="0086202B">
        <w:rPr>
          <w:rFonts w:ascii="Verdana" w:eastAsia="Arial" w:hAnsi="Verdana" w:cs="Arial"/>
        </w:rPr>
        <w:t>El artículo 5 de la Ley 1150 de 2007, además de consagrar un criterio más claro, y, de paso, reducir la discrecionalidad de la Administración, fijó un ámbito temporal para la subsanación de las ofertas: “</w:t>
      </w:r>
      <w:r w:rsidRPr="0086202B">
        <w:rPr>
          <w:rFonts w:ascii="Verdana" w:eastAsia="Arial" w:hAnsi="Verdana" w:cs="Arial"/>
          <w:i/>
        </w:rPr>
        <w:t>en cualquier momento, hasta la adjudicación</w:t>
      </w:r>
      <w:r w:rsidRPr="0086202B">
        <w:rPr>
          <w:rFonts w:ascii="Verdana" w:eastAsia="Arial" w:hAnsi="Verdana" w:cs="Arial"/>
        </w:rPr>
        <w:t xml:space="preserve">”. El Consejo de Estado, con particular sindéresis, concluyó que a partir del parágrafo 1º del artículo 5 de la Ley 1150, la definición de lo que es subsanable y lo que no lo es, surge a partir del planteamiento de la pregunta sobre si el defecto asigna puntaje o no, en estos términos: </w:t>
      </w:r>
    </w:p>
    <w:p w14:paraId="6ADD3688" w14:textId="77777777" w:rsidR="00A30041" w:rsidRPr="0086202B" w:rsidRDefault="00A30041" w:rsidP="00A30041">
      <w:pPr>
        <w:spacing w:after="0" w:line="276" w:lineRule="auto"/>
        <w:jc w:val="both"/>
        <w:rPr>
          <w:rFonts w:ascii="Verdana" w:eastAsia="Arial" w:hAnsi="Verdana" w:cs="Arial"/>
        </w:rPr>
      </w:pPr>
    </w:p>
    <w:p w14:paraId="4381E4EF" w14:textId="77777777" w:rsidR="00A30041" w:rsidRPr="0086202B" w:rsidRDefault="00A30041" w:rsidP="00A30041">
      <w:pPr>
        <w:spacing w:after="0" w:line="240" w:lineRule="auto"/>
        <w:ind w:left="709" w:right="709"/>
        <w:jc w:val="both"/>
        <w:rPr>
          <w:rFonts w:ascii="Verdana" w:eastAsia="Arial" w:hAnsi="Verdana" w:cs="Arial"/>
          <w:sz w:val="20"/>
          <w:szCs w:val="20"/>
        </w:rPr>
      </w:pPr>
      <w:r w:rsidRPr="0086202B">
        <w:rPr>
          <w:rFonts w:ascii="Verdana" w:eastAsia="Arial" w:hAnsi="Verdana" w:cs="Arial"/>
          <w:sz w:val="20"/>
          <w:szCs w:val="20"/>
        </w:rPr>
        <w:t xml:space="preserve">“Esto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a no a problemas de capacidad o a requisitos cumplidos antes o después de presentadas las </w:t>
      </w:r>
      <w:r w:rsidRPr="0086202B">
        <w:rPr>
          <w:rFonts w:ascii="Verdana" w:eastAsia="Arial" w:hAnsi="Verdana" w:cs="Arial"/>
          <w:sz w:val="20"/>
          <w:szCs w:val="20"/>
        </w:rPr>
        <w:lastRenderedPageBreak/>
        <w:t>ofertas, con la condición de que cuando le pidan la acreditación la satisfaga suficientemente”</w:t>
      </w:r>
      <w:r w:rsidRPr="0086202B">
        <w:rPr>
          <w:rFonts w:ascii="Verdana" w:eastAsia="Arial" w:hAnsi="Verdana" w:cs="Arial"/>
          <w:sz w:val="20"/>
          <w:szCs w:val="20"/>
          <w:vertAlign w:val="superscript"/>
        </w:rPr>
        <w:footnoteReference w:id="6"/>
      </w:r>
      <w:r w:rsidRPr="0086202B">
        <w:rPr>
          <w:rFonts w:ascii="Verdana" w:eastAsia="Arial" w:hAnsi="Verdana" w:cs="Arial"/>
          <w:sz w:val="20"/>
          <w:szCs w:val="20"/>
        </w:rPr>
        <w:t>.</w:t>
      </w:r>
    </w:p>
    <w:p w14:paraId="69388375" w14:textId="77777777" w:rsidR="00A30041" w:rsidRPr="0086202B" w:rsidRDefault="00A30041" w:rsidP="00A30041">
      <w:pPr>
        <w:spacing w:after="0" w:line="276" w:lineRule="auto"/>
        <w:jc w:val="both"/>
        <w:rPr>
          <w:rFonts w:ascii="Verdana" w:eastAsia="Arial" w:hAnsi="Verdana" w:cs="Arial"/>
          <w:b/>
        </w:rPr>
      </w:pPr>
    </w:p>
    <w:p w14:paraId="38180927" w14:textId="77777777" w:rsidR="00A30041" w:rsidRPr="0086202B" w:rsidRDefault="00A30041" w:rsidP="00A30041">
      <w:pPr>
        <w:pBdr>
          <w:top w:val="nil"/>
          <w:left w:val="nil"/>
          <w:bottom w:val="nil"/>
          <w:right w:val="nil"/>
          <w:between w:val="nil"/>
        </w:pBdr>
        <w:tabs>
          <w:tab w:val="left" w:pos="284"/>
        </w:tabs>
        <w:spacing w:after="120" w:line="276" w:lineRule="auto"/>
        <w:ind w:firstLine="709"/>
        <w:jc w:val="both"/>
        <w:rPr>
          <w:rFonts w:ascii="Verdana" w:eastAsia="Arial" w:hAnsi="Verdana" w:cs="Arial"/>
        </w:rPr>
      </w:pPr>
      <w:r w:rsidRPr="0086202B">
        <w:rPr>
          <w:rFonts w:ascii="Verdana" w:eastAsia="Arial" w:hAnsi="Verdana" w:cs="Arial"/>
        </w:rPr>
        <w:t>Esa interpretación fue compartida por la Agencia Nacional de Contratación Pública – Colombia Compra Eficiente, pues en la Circular Externa Única</w:t>
      </w:r>
      <w:r w:rsidRPr="0086202B">
        <w:rPr>
          <w:rFonts w:ascii="Verdana" w:eastAsia="Arial" w:hAnsi="Verdana" w:cs="Arial"/>
          <w:vertAlign w:val="superscript"/>
        </w:rPr>
        <w:footnoteReference w:id="7"/>
      </w:r>
      <w:r w:rsidRPr="0086202B">
        <w:rPr>
          <w:rFonts w:ascii="Verdana" w:eastAsia="Arial" w:hAnsi="Verdana" w:cs="Arial"/>
        </w:rPr>
        <w:t xml:space="preserve"> se había precisado que si durante un proceso de contratación hay proponentes que no acreditaron en sus ofertas requisitos que no afectan la asignación de puntaje o la comparación de las mismas, la Entidad Estatal deberá indicarlo en el informe de evaluación y advertir que la correspondiente oferta no será evaluada hasta que se subsane.</w:t>
      </w:r>
    </w:p>
    <w:p w14:paraId="0D23FB5B" w14:textId="77777777" w:rsidR="00A30041" w:rsidRPr="0086202B" w:rsidRDefault="00A30041" w:rsidP="00A30041">
      <w:pPr>
        <w:pBdr>
          <w:top w:val="nil"/>
          <w:left w:val="nil"/>
          <w:bottom w:val="nil"/>
          <w:right w:val="nil"/>
          <w:between w:val="nil"/>
        </w:pBdr>
        <w:tabs>
          <w:tab w:val="left" w:pos="284"/>
        </w:tabs>
        <w:spacing w:after="120" w:line="276" w:lineRule="auto"/>
        <w:ind w:firstLine="709"/>
        <w:jc w:val="both"/>
        <w:rPr>
          <w:rFonts w:ascii="Verdana" w:eastAsia="Arial" w:hAnsi="Verdana" w:cs="Arial"/>
        </w:rPr>
      </w:pPr>
      <w:r w:rsidRPr="0086202B">
        <w:rPr>
          <w:rFonts w:ascii="Verdana" w:eastAsia="Arial" w:hAnsi="Verdana" w:cs="Arial"/>
        </w:rPr>
        <w:t xml:space="preserve">Sin embargo, el artículo 5 de la Ley 1882 de 2018 modificó el parágrafo 1º del artículo 5 de la Ley 1150 de 2007 en los siguientes términos: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386E91E6" w14:textId="77777777" w:rsidR="00A30041" w:rsidRPr="0086202B" w:rsidRDefault="00A30041" w:rsidP="00A30041">
      <w:pPr>
        <w:spacing w:after="120" w:line="276" w:lineRule="auto"/>
        <w:ind w:firstLine="709"/>
        <w:jc w:val="both"/>
        <w:rPr>
          <w:rFonts w:ascii="Verdana" w:eastAsia="Arial" w:hAnsi="Verdana" w:cs="Arial"/>
        </w:rPr>
      </w:pPr>
      <w:r w:rsidRPr="0086202B">
        <w:rPr>
          <w:rFonts w:ascii="Verdana" w:eastAsia="Arial" w:hAnsi="Verdana" w:cs="Arial"/>
        </w:rPr>
        <w:t xml:space="preserve">De esta forma, la Ley 1882 de 2018 fijó el ámbito temporal para ejercer la facultad de subsanar la oferta, pues dispuso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w:t>
      </w:r>
      <w:r w:rsidRPr="0086202B">
        <w:rPr>
          <w:rFonts w:ascii="Verdana" w:eastAsia="Arial" w:hAnsi="Verdana" w:cs="Arial"/>
        </w:rPr>
        <w:lastRenderedPageBreak/>
        <w:t>y para el proceso de selección a través del sistema de subasta</w:t>
      </w:r>
      <w:r w:rsidRPr="0086202B">
        <w:rPr>
          <w:rFonts w:ascii="Verdana" w:eastAsia="Arial" w:hAnsi="Verdana" w:cs="Arial"/>
          <w:vertAlign w:val="superscript"/>
        </w:rPr>
        <w:footnoteReference w:id="8"/>
      </w:r>
      <w:r w:rsidRPr="0086202B">
        <w:rPr>
          <w:rFonts w:ascii="Verdana" w:eastAsia="Arial" w:hAnsi="Verdana" w:cs="Arial"/>
        </w:rPr>
        <w:t>; en el último los documentos o requisitos subsanables pueden y deben solicitarse hasta el momento previo a su realización.</w:t>
      </w:r>
    </w:p>
    <w:p w14:paraId="04DFF51B" w14:textId="77777777" w:rsidR="00A30041" w:rsidRPr="0086202B" w:rsidRDefault="00A30041" w:rsidP="00A30041">
      <w:pPr>
        <w:spacing w:after="120" w:line="276" w:lineRule="auto"/>
        <w:ind w:firstLine="709"/>
        <w:jc w:val="both"/>
        <w:rPr>
          <w:rFonts w:ascii="Verdana" w:eastAsia="Arial" w:hAnsi="Verdana" w:cs="Arial"/>
        </w:rPr>
      </w:pPr>
      <w:r w:rsidRPr="0086202B">
        <w:rPr>
          <w:rFonts w:ascii="Verdana" w:eastAsia="Arial" w:hAnsi="Verdana" w:cs="Arial"/>
        </w:rPr>
        <w:t>Frente a la regla general, la norma fijó un límite final para que la Administración y los oferentes subsanen los requisitos o documentos que puedan y deban ser subsanados, pero nada impide, y la norma no lo hace, que la Administración requiera al proponente antes de publicar el informe de evaluación. En efecto, la redacción de la norma permite que las Entidades Estatales contratantes soliciten a los oferentes subsanar y que estos lo hagan hasta antes del término del traslado del informe de evaluación.</w:t>
      </w:r>
    </w:p>
    <w:p w14:paraId="1ECACA67" w14:textId="77777777" w:rsidR="00A30041" w:rsidRPr="0086202B" w:rsidRDefault="00A30041" w:rsidP="00A30041">
      <w:pPr>
        <w:spacing w:after="120" w:line="276" w:lineRule="auto"/>
        <w:ind w:firstLine="709"/>
        <w:jc w:val="both"/>
        <w:rPr>
          <w:rFonts w:ascii="Verdana" w:eastAsia="Arial" w:hAnsi="Verdana" w:cs="Arial"/>
        </w:rPr>
      </w:pPr>
      <w:r w:rsidRPr="0086202B">
        <w:rPr>
          <w:rFonts w:ascii="Verdana" w:eastAsia="Arial" w:hAnsi="Verdana" w:cs="Arial"/>
        </w:rPr>
        <w:t xml:space="preserve">No obstante, de la lectura de este aparte podrían, en la práctica, darse dos (2) interpretaciones que dan lugar a dos (2) formas de proceder en los procesos de selección, en lo que se refiere a la </w:t>
      </w:r>
      <w:proofErr w:type="spellStart"/>
      <w:r w:rsidRPr="0086202B">
        <w:rPr>
          <w:rFonts w:ascii="Verdana" w:eastAsia="Arial" w:hAnsi="Verdana" w:cs="Arial"/>
        </w:rPr>
        <w:t>subsanabilidad</w:t>
      </w:r>
      <w:proofErr w:type="spellEnd"/>
      <w:r w:rsidRPr="0086202B">
        <w:rPr>
          <w:rFonts w:ascii="Verdana" w:eastAsia="Arial" w:hAnsi="Verdana" w:cs="Arial"/>
        </w:rPr>
        <w:t xml:space="preserve"> de las ofertas. </w:t>
      </w:r>
      <w:r w:rsidRPr="0086202B">
        <w:rPr>
          <w:rFonts w:ascii="Verdana" w:eastAsia="Arial" w:hAnsi="Verdana" w:cs="Arial"/>
          <w:i/>
        </w:rPr>
        <w:t>Primera</w:t>
      </w:r>
      <w:r w:rsidRPr="0086202B">
        <w:rPr>
          <w:rFonts w:ascii="Verdana" w:eastAsia="Arial" w:hAnsi="Verdana" w:cs="Arial"/>
        </w:rPr>
        <w:t xml:space="preserve">, que la posibilidad de los oferentes para subsanar es el término del traslado del informe de evaluación, ya que en este documento es donde la Administración establece los requisitos o documentos omitidos que los oferentes deben subsanar, so pena de rechazo; </w:t>
      </w:r>
      <w:r w:rsidRPr="0086202B">
        <w:rPr>
          <w:rFonts w:ascii="Verdana" w:eastAsia="Arial" w:hAnsi="Verdana" w:cs="Arial"/>
          <w:i/>
        </w:rPr>
        <w:t>segunda</w:t>
      </w:r>
      <w:r w:rsidRPr="0086202B">
        <w:rPr>
          <w:rFonts w:ascii="Verdana" w:eastAsia="Arial" w:hAnsi="Verdana" w:cs="Arial"/>
        </w:rPr>
        <w:t xml:space="preserve">, que el término del traslado del informe de evaluación es el límite para la subsanación de ofertas, pero no el único momento para hacerlo. </w:t>
      </w:r>
    </w:p>
    <w:p w14:paraId="64C390BB" w14:textId="77777777" w:rsidR="00A30041" w:rsidRPr="0086202B" w:rsidRDefault="00A30041" w:rsidP="00A30041">
      <w:pPr>
        <w:spacing w:after="120" w:line="276" w:lineRule="auto"/>
        <w:ind w:firstLine="709"/>
        <w:jc w:val="both"/>
        <w:rPr>
          <w:rFonts w:ascii="Verdana" w:eastAsia="Arial" w:hAnsi="Verdana" w:cs="Arial"/>
        </w:rPr>
      </w:pPr>
      <w:r w:rsidRPr="0086202B">
        <w:rPr>
          <w:rFonts w:ascii="Verdana" w:eastAsia="Arial" w:hAnsi="Verdana" w:cs="Arial"/>
        </w:rPr>
        <w:t>De acuerdo con la primera interpretación, el informe de evaluación se convierte en la oportunidad que adopta la Entidad Estatal para comunicarles a los oferentes qué documentos o requisitos omitieron y deben subsanar y, consecuentemente, el término del traslado es la oportunidad del proponente para cumplir con lo solicitado. La segunda interpretación permitiría que la Administración requiera al oferente durante el proceso de evaluación de las propuestas, tan pronto advierta que hace falta un documento o requisito que se puede subsanar. En este caso, la subsanación se lleva a cabo con anterioridad a la publicación del informe de evaluación, de manera que una vez se publique el informe ya se encuentren subsanadas las propuestas, sin perjuicio del término límite que concedió la ley.</w:t>
      </w:r>
    </w:p>
    <w:p w14:paraId="3D94426E" w14:textId="77777777" w:rsidR="00A30041" w:rsidRPr="0086202B" w:rsidRDefault="00A30041" w:rsidP="00A30041">
      <w:pPr>
        <w:spacing w:after="120" w:line="276" w:lineRule="auto"/>
        <w:ind w:firstLine="709"/>
        <w:jc w:val="both"/>
        <w:rPr>
          <w:rFonts w:ascii="Verdana" w:eastAsia="Arial" w:hAnsi="Verdana" w:cs="Arial"/>
        </w:rPr>
      </w:pPr>
      <w:r w:rsidRPr="0086202B">
        <w:rPr>
          <w:rFonts w:ascii="Verdana" w:eastAsia="Arial" w:hAnsi="Verdana" w:cs="Arial"/>
        </w:rPr>
        <w:lastRenderedPageBreak/>
        <w:t xml:space="preserve">En criterio de esta Subdirección, la segunda interpretación es la que más se ajusta a la norma, pero, además, es la más conveniente para el desarrollo del proceso de selección, porque garantiza que el informe de evaluación presente una comparación de propuestas más depurada y el término de traslado para observaciones al mismo sea una oportunidad en la que se planteen aspectos sustanciales o de fondo a la evaluación, teniendo en cuenta que ya las propuestas estarán consolidadas en lo formal. Subsanar antes del informe de evaluación ofrece mayor seguridad y certeza al proceso de selección, a la Administración y a los oferentes. </w:t>
      </w:r>
    </w:p>
    <w:p w14:paraId="7BC55065" w14:textId="77777777" w:rsidR="00A30041" w:rsidRPr="0086202B" w:rsidRDefault="00A30041" w:rsidP="00A30041">
      <w:pPr>
        <w:spacing w:after="120" w:line="276" w:lineRule="auto"/>
        <w:ind w:firstLine="709"/>
        <w:jc w:val="both"/>
        <w:rPr>
          <w:rFonts w:ascii="Verdana" w:eastAsia="Arial" w:hAnsi="Verdana" w:cs="Arial"/>
        </w:rPr>
      </w:pPr>
      <w:r w:rsidRPr="0086202B">
        <w:rPr>
          <w:rFonts w:ascii="Verdana" w:eastAsia="Arial" w:hAnsi="Verdana" w:cs="Arial"/>
        </w:rPr>
        <w:t xml:space="preserve">Así pues, la modificación introducida por el artículo 5 de la Ley 1882 de 2018, si bien pudo significar, en la práctica de los procesos de selección, que el informe de evaluación fuera la oportunidad de la Entidad Estatal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entidad advierta el defecto le solicite directamente al oferente que subsane. Esta interpretación es más consistente con los principios de economía, transparencia y selección objetiva. </w:t>
      </w:r>
    </w:p>
    <w:p w14:paraId="5BAA3C1C" w14:textId="77777777" w:rsidR="00A30041" w:rsidRPr="0086202B" w:rsidRDefault="00A30041" w:rsidP="00A30041">
      <w:pPr>
        <w:spacing w:after="120" w:line="276" w:lineRule="auto"/>
        <w:ind w:firstLine="709"/>
        <w:jc w:val="both"/>
        <w:rPr>
          <w:rFonts w:ascii="Verdana" w:eastAsia="Arial" w:hAnsi="Verdana" w:cs="Arial"/>
        </w:rPr>
      </w:pPr>
      <w:r w:rsidRPr="0086202B">
        <w:rPr>
          <w:rFonts w:ascii="Verdana" w:eastAsia="Arial" w:hAnsi="Verdana" w:cs="Arial"/>
        </w:rPr>
        <w:t xml:space="preserve">De otro lado, el </w:t>
      </w:r>
      <w:r w:rsidRPr="0086202B">
        <w:rPr>
          <w:rFonts w:ascii="Verdana" w:eastAsia="Arial" w:hAnsi="Verdana" w:cs="Arial"/>
          <w:i/>
          <w:iCs/>
        </w:rPr>
        <w:t>segundo</w:t>
      </w:r>
      <w:r w:rsidRPr="0086202B">
        <w:rPr>
          <w:rFonts w:ascii="Verdana" w:eastAsia="Arial" w:hAnsi="Verdana" w:cs="Arial"/>
        </w:rPr>
        <w:t xml:space="preserve"> cambio importante de la Ley 1882 de 2018 fue la introducción de un criterio material, directamente relacionado con los aspectos subsanables: “los proponentes no podrán acreditar circunstancias ocurridas con posterioridad al cierre del proceso”</w:t>
      </w:r>
      <w:r w:rsidRPr="0086202B">
        <w:rPr>
          <w:rFonts w:ascii="Verdana" w:eastAsia="Arial" w:hAnsi="Verdana" w:cs="Arial"/>
          <w:i/>
        </w:rPr>
        <w:t>.</w:t>
      </w:r>
      <w:r w:rsidRPr="0086202B">
        <w:rPr>
          <w:rFonts w:ascii="Verdana" w:eastAsia="Arial" w:hAnsi="Verdana" w:cs="Arial"/>
        </w:rPr>
        <w:t xml:space="preserve"> Lo anterior ofrece dos (2) aspectos que merecen clarificación: </w:t>
      </w:r>
      <w:r w:rsidRPr="0086202B">
        <w:rPr>
          <w:rFonts w:ascii="Verdana" w:eastAsia="Arial" w:hAnsi="Verdana" w:cs="Arial"/>
          <w:i/>
        </w:rPr>
        <w:t>primero</w:t>
      </w:r>
      <w:r w:rsidRPr="0086202B">
        <w:rPr>
          <w:rFonts w:ascii="Verdana" w:eastAsia="Arial" w:hAnsi="Verdana" w:cs="Arial"/>
        </w:rPr>
        <w:t xml:space="preserve">, qué debe entenderse por circunstancias ocurridas con posterioridad; y </w:t>
      </w:r>
      <w:r w:rsidRPr="0086202B">
        <w:rPr>
          <w:rFonts w:ascii="Verdana" w:eastAsia="Arial" w:hAnsi="Verdana" w:cs="Arial"/>
          <w:i/>
        </w:rPr>
        <w:t>segundo</w:t>
      </w:r>
      <w:r w:rsidRPr="0086202B">
        <w:rPr>
          <w:rFonts w:ascii="Verdana" w:eastAsia="Arial" w:hAnsi="Verdana" w:cs="Arial"/>
        </w:rPr>
        <w:t>, qué es el cierre del proceso.</w:t>
      </w:r>
    </w:p>
    <w:p w14:paraId="2CD0DD1C" w14:textId="77777777" w:rsidR="00A30041" w:rsidRPr="0086202B" w:rsidRDefault="00A30041" w:rsidP="00A30041">
      <w:pPr>
        <w:spacing w:after="0" w:line="276" w:lineRule="auto"/>
        <w:ind w:firstLine="709"/>
        <w:jc w:val="both"/>
        <w:rPr>
          <w:rFonts w:ascii="Verdana" w:eastAsia="Arial" w:hAnsi="Verdana" w:cs="Arial"/>
        </w:rPr>
      </w:pPr>
      <w:r w:rsidRPr="0086202B">
        <w:rPr>
          <w:rFonts w:ascii="Verdana" w:eastAsia="Arial" w:hAnsi="Verdana" w:cs="Arial"/>
        </w:rPr>
        <w:t>La Sala de Consulta y Servicio Civil del Consejo de Estado ya había tenido la oportunidad de precisar estas expresiones, a propósito de un concepto en el que se refirió al artículo 10 del derogado Decreto 2474 de 2008</w:t>
      </w:r>
      <w:r w:rsidRPr="0086202B">
        <w:rPr>
          <w:rFonts w:ascii="Verdana" w:eastAsia="Arial" w:hAnsi="Verdana" w:cs="Arial"/>
          <w:vertAlign w:val="superscript"/>
        </w:rPr>
        <w:footnoteReference w:id="9"/>
      </w:r>
      <w:r w:rsidRPr="0086202B">
        <w:rPr>
          <w:rFonts w:ascii="Verdana" w:eastAsia="Arial" w:hAnsi="Verdana" w:cs="Arial"/>
        </w:rPr>
        <w:t xml:space="preserve">, que había </w:t>
      </w:r>
      <w:r w:rsidRPr="0086202B">
        <w:rPr>
          <w:rFonts w:ascii="Verdana" w:eastAsia="Arial" w:hAnsi="Verdana" w:cs="Arial"/>
        </w:rPr>
        <w:lastRenderedPageBreak/>
        <w:t xml:space="preserve">determinado que en ningún caso la entidad podía permitir que se acreditaran circunstancias ocurridas con posterioridad al cierre del proceso. El Consejo de Estado precisó que por cierre del proceso debe entenderse el vencimiento del plazo para la presentación de las ofertas y que lo subsanable son las circunstancias que ocurrieron con anterioridad a esa fecha, así: </w:t>
      </w:r>
    </w:p>
    <w:p w14:paraId="63BF33F7" w14:textId="77777777" w:rsidR="00A30041" w:rsidRPr="0086202B" w:rsidRDefault="00A30041" w:rsidP="00A30041">
      <w:pPr>
        <w:spacing w:after="0"/>
        <w:ind w:left="709" w:right="709"/>
        <w:jc w:val="both"/>
        <w:rPr>
          <w:rFonts w:ascii="Verdana" w:eastAsia="Arial" w:hAnsi="Verdana" w:cs="Arial"/>
        </w:rPr>
      </w:pPr>
    </w:p>
    <w:p w14:paraId="39397ECC" w14:textId="77777777" w:rsidR="00A30041" w:rsidRPr="0086202B" w:rsidRDefault="00A30041" w:rsidP="00A30041">
      <w:pPr>
        <w:spacing w:after="120" w:line="240" w:lineRule="auto"/>
        <w:ind w:left="709" w:right="709"/>
        <w:jc w:val="both"/>
        <w:rPr>
          <w:rFonts w:ascii="Verdana" w:eastAsia="Arial" w:hAnsi="Verdana" w:cs="Arial"/>
          <w:sz w:val="20"/>
          <w:szCs w:val="20"/>
        </w:rPr>
      </w:pPr>
      <w:r w:rsidRPr="0086202B">
        <w:rPr>
          <w:rFonts w:ascii="Verdana" w:eastAsia="Arial" w:hAnsi="Verdana" w:cs="Arial"/>
          <w:sz w:val="20"/>
          <w:szCs w:val="20"/>
        </w:rPr>
        <w:t xml:space="preserve">“Sin embargo, debe tenerse en cuenta que la última norma en cita -Decreto 2474 de 2008, aparte subrayado-, establece un límite a la </w:t>
      </w:r>
      <w:proofErr w:type="spellStart"/>
      <w:r w:rsidRPr="0086202B">
        <w:rPr>
          <w:rFonts w:ascii="Verdana" w:eastAsia="Arial" w:hAnsi="Verdana" w:cs="Arial"/>
          <w:sz w:val="20"/>
          <w:szCs w:val="20"/>
        </w:rPr>
        <w:t>subsanabilidad</w:t>
      </w:r>
      <w:proofErr w:type="spellEnd"/>
      <w:r w:rsidRPr="0086202B">
        <w:rPr>
          <w:rFonts w:ascii="Verdana" w:eastAsia="Arial" w:hAnsi="Verdana" w:cs="Arial"/>
          <w:sz w:val="20"/>
          <w:szCs w:val="20"/>
        </w:rPr>
        <w:t>, puesto que en cualquier caso debe referirse o recaer sobre circunstancias ocurridas antes del cierre del respectivo proceso, esto es, del vencimiento del plazo para presentar ofertas.</w:t>
      </w:r>
    </w:p>
    <w:p w14:paraId="6DC21972" w14:textId="77777777" w:rsidR="00A30041" w:rsidRPr="0086202B" w:rsidRDefault="00A30041" w:rsidP="00A30041">
      <w:pPr>
        <w:spacing w:after="0" w:line="240" w:lineRule="auto"/>
        <w:ind w:left="709" w:right="709"/>
        <w:jc w:val="both"/>
        <w:rPr>
          <w:rFonts w:ascii="Verdana" w:eastAsia="Arial" w:hAnsi="Verdana" w:cs="Arial"/>
          <w:sz w:val="20"/>
          <w:szCs w:val="20"/>
        </w:rPr>
      </w:pPr>
      <w:r w:rsidRPr="0086202B">
        <w:rPr>
          <w:rFonts w:ascii="Verdana" w:eastAsia="Arial" w:hAnsi="Verdana" w:cs="Arial"/>
          <w:sz w:val="20"/>
          <w:szCs w:val="20"/>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w:t>
      </w:r>
      <w:r w:rsidRPr="0086202B">
        <w:rPr>
          <w:rFonts w:ascii="Verdana" w:eastAsia="Arial" w:hAnsi="Verdana" w:cs="Arial"/>
          <w:sz w:val="20"/>
          <w:szCs w:val="20"/>
          <w:vertAlign w:val="superscript"/>
        </w:rPr>
        <w:footnoteReference w:id="10"/>
      </w:r>
      <w:r w:rsidRPr="0086202B">
        <w:rPr>
          <w:rFonts w:ascii="Verdana" w:eastAsia="Arial" w:hAnsi="Verdana" w:cs="Arial"/>
          <w:sz w:val="20"/>
          <w:szCs w:val="20"/>
        </w:rPr>
        <w:t>.</w:t>
      </w:r>
    </w:p>
    <w:p w14:paraId="4A57133D" w14:textId="77777777" w:rsidR="00A30041" w:rsidRPr="0086202B" w:rsidRDefault="00A30041" w:rsidP="00A30041">
      <w:pPr>
        <w:spacing w:after="0" w:line="240" w:lineRule="auto"/>
        <w:jc w:val="both"/>
        <w:rPr>
          <w:rFonts w:ascii="Verdana" w:eastAsia="Arial" w:hAnsi="Verdana" w:cs="Arial"/>
          <w:sz w:val="20"/>
          <w:szCs w:val="20"/>
        </w:rPr>
      </w:pPr>
    </w:p>
    <w:p w14:paraId="0989E980" w14:textId="77777777" w:rsidR="00A30041" w:rsidRPr="0086202B" w:rsidRDefault="00A30041" w:rsidP="00A30041">
      <w:pPr>
        <w:spacing w:after="120" w:line="276" w:lineRule="auto"/>
        <w:ind w:firstLine="709"/>
        <w:jc w:val="both"/>
        <w:rPr>
          <w:rFonts w:ascii="Verdana" w:eastAsia="Arial" w:hAnsi="Verdana" w:cs="Arial"/>
        </w:rPr>
      </w:pPr>
      <w:r w:rsidRPr="0086202B">
        <w:rPr>
          <w:rFonts w:ascii="Verdana" w:eastAsia="Arial" w:hAnsi="Verdana" w:cs="Arial"/>
        </w:rPr>
        <w:t xml:space="preserve">De conformidad con el artículo 5 de la Ley 1882 de 2018, lo subsanable es la prueba de todas las circunstancias ocurridas antes del vencimiento del término para presentar las ofertas; eso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0ACF7AEA" w14:textId="77777777" w:rsidR="00A30041" w:rsidRPr="0086202B" w:rsidRDefault="00A30041" w:rsidP="00A30041">
      <w:pPr>
        <w:spacing w:after="120" w:line="276" w:lineRule="auto"/>
        <w:ind w:firstLine="709"/>
        <w:jc w:val="both"/>
        <w:rPr>
          <w:rFonts w:ascii="Verdana" w:eastAsia="Arial" w:hAnsi="Verdana" w:cs="Arial"/>
        </w:rPr>
      </w:pPr>
      <w:r w:rsidRPr="0086202B">
        <w:rPr>
          <w:rFonts w:ascii="Verdana" w:eastAsia="Arial" w:hAnsi="Verdana" w:cs="Arial"/>
        </w:rPr>
        <w:t xml:space="preserve">Un mejor entendimiento del significado de la expresión “circunstancias ocurridas con posterioridad al cierre del proceso” lleva necesariamente a distinguir entre la prueba de un hecho y el hecho mismo. En el caso de la </w:t>
      </w:r>
      <w:proofErr w:type="spellStart"/>
      <w:r w:rsidRPr="0086202B">
        <w:rPr>
          <w:rFonts w:ascii="Verdana" w:eastAsia="Arial" w:hAnsi="Verdana" w:cs="Arial"/>
        </w:rPr>
        <w:t>subsanabilidad</w:t>
      </w:r>
      <w:proofErr w:type="spellEnd"/>
      <w:r w:rsidRPr="0086202B">
        <w:rPr>
          <w:rFonts w:ascii="Verdana" w:eastAsia="Arial" w:hAnsi="Verdana" w:cs="Arial"/>
        </w:rPr>
        <w:t xml:space="preserve">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 </w:t>
      </w:r>
    </w:p>
    <w:p w14:paraId="54AB2B50" w14:textId="77777777" w:rsidR="00A30041" w:rsidRPr="0086202B" w:rsidRDefault="00A30041" w:rsidP="00A30041">
      <w:pPr>
        <w:spacing w:after="120" w:line="276" w:lineRule="auto"/>
        <w:ind w:firstLine="709"/>
        <w:jc w:val="both"/>
        <w:rPr>
          <w:rFonts w:ascii="Verdana" w:eastAsia="Arial" w:hAnsi="Verdana" w:cs="Arial"/>
        </w:rPr>
      </w:pPr>
      <w:r w:rsidRPr="0086202B">
        <w:rPr>
          <w:rFonts w:ascii="Verdana" w:eastAsia="Arial" w:hAnsi="Verdana" w:cs="Arial"/>
        </w:rPr>
        <w:t xml:space="preserve">Por ejemplo: i) si un oferente olvidó adjuntar con su propuesta el certificado que da cuenta de su inscripción en el Registro Único de Proponentes, el requisito será subsanable siempre que la prueba allegada demuestre que el hecho, esto es, la inscripción en el registro, ocurrió con anterioridad al cierre del proceso; </w:t>
      </w:r>
      <w:proofErr w:type="spellStart"/>
      <w:r w:rsidRPr="0086202B">
        <w:rPr>
          <w:rFonts w:ascii="Verdana" w:eastAsia="Arial" w:hAnsi="Verdana" w:cs="Arial"/>
        </w:rPr>
        <w:t>ii</w:t>
      </w:r>
      <w:proofErr w:type="spellEnd"/>
      <w:r w:rsidRPr="0086202B">
        <w:rPr>
          <w:rFonts w:ascii="Verdana" w:eastAsia="Arial" w:hAnsi="Verdana" w:cs="Arial"/>
        </w:rPr>
        <w:t>) si un oferente presentó la propuesta sin aportar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86202B">
        <w:rPr>
          <w:rFonts w:ascii="Verdana" w:eastAsia="Arial" w:hAnsi="Verdana" w:cs="Arial"/>
          <w:vertAlign w:val="superscript"/>
        </w:rPr>
        <w:footnoteReference w:id="11"/>
      </w:r>
      <w:r w:rsidRPr="0086202B">
        <w:rPr>
          <w:rFonts w:ascii="Verdana" w:eastAsia="Arial" w:hAnsi="Verdana" w:cs="Arial"/>
        </w:rPr>
        <w:t xml:space="preserve">; </w:t>
      </w:r>
      <w:proofErr w:type="spellStart"/>
      <w:r w:rsidRPr="0086202B">
        <w:rPr>
          <w:rFonts w:ascii="Verdana" w:eastAsia="Arial" w:hAnsi="Verdana" w:cs="Arial"/>
        </w:rPr>
        <w:t>iii</w:t>
      </w:r>
      <w:proofErr w:type="spellEnd"/>
      <w:r w:rsidRPr="0086202B">
        <w:rPr>
          <w:rFonts w:ascii="Verdana" w:eastAsia="Arial" w:hAnsi="Verdana" w:cs="Arial"/>
        </w:rPr>
        <w:t>) si un oferente no anexó el certificado de existencia y representación legal, el documento aportado con posterioridad debe dar cuenta de que la sociedad existe desde antes del cierre del proceso</w:t>
      </w:r>
      <w:r w:rsidRPr="0086202B">
        <w:rPr>
          <w:rFonts w:ascii="Verdana" w:eastAsia="Arial" w:hAnsi="Verdana" w:cs="Arial"/>
          <w:vertAlign w:val="superscript"/>
        </w:rPr>
        <w:footnoteReference w:id="12"/>
      </w:r>
      <w:r w:rsidRPr="0086202B">
        <w:rPr>
          <w:rFonts w:ascii="Verdana" w:eastAsia="Arial" w:hAnsi="Verdana" w:cs="Arial"/>
        </w:rPr>
        <w:t xml:space="preserve">; </w:t>
      </w:r>
      <w:proofErr w:type="spellStart"/>
      <w:r w:rsidRPr="0086202B">
        <w:rPr>
          <w:rFonts w:ascii="Verdana" w:eastAsia="Arial" w:hAnsi="Verdana" w:cs="Arial"/>
        </w:rPr>
        <w:t>iv</w:t>
      </w:r>
      <w:proofErr w:type="spellEnd"/>
      <w:r w:rsidRPr="0086202B">
        <w:rPr>
          <w:rFonts w:ascii="Verdana" w:eastAsia="Arial" w:hAnsi="Verdana" w:cs="Arial"/>
        </w:rPr>
        <w:t xml:space="preserve">) si un oferente olvidó adjuntar un certificado que demuestra un título universitario, el documento, </w:t>
      </w:r>
      <w:r w:rsidRPr="0086202B">
        <w:rPr>
          <w:rFonts w:ascii="Verdana" w:eastAsia="Arial" w:hAnsi="Verdana" w:cs="Arial"/>
        </w:rPr>
        <w:lastRenderedPageBreak/>
        <w:t xml:space="preserve">aunque tenga fecha posterior al cierre del proceso, debe acreditar que el título académico se obtuvo con anterioridad al cierre del proceso; v) si un oferente no aportó un certificado de experiencia, el documento que subsana –sin importar que tenga fecha posterior– debe demostrar que la experiencia que se pretende hacer valer se obtuvo antes de vencerse el término para presentar ofertas, y vi) si el oferente olvidó firmar la propuesta o presentar una copia de ella, puede subsanar sin que se entienda que acreditó una circunstancia ocurrida con posterioridad al cierre del proceso. </w:t>
      </w:r>
    </w:p>
    <w:p w14:paraId="45A980C4" w14:textId="77777777" w:rsidR="00A30041" w:rsidRPr="0086202B" w:rsidRDefault="00A30041" w:rsidP="00A30041">
      <w:pPr>
        <w:spacing w:after="120" w:line="276" w:lineRule="auto"/>
        <w:ind w:firstLine="709"/>
        <w:jc w:val="both"/>
        <w:rPr>
          <w:rFonts w:ascii="Verdana" w:eastAsia="Arial" w:hAnsi="Verdana" w:cs="Arial"/>
        </w:rPr>
      </w:pPr>
      <w:r w:rsidRPr="0086202B">
        <w:rPr>
          <w:rFonts w:ascii="Verdana" w:eastAsia="Arial" w:hAnsi="Verdana" w:cs="Arial"/>
        </w:rPr>
        <w:t xml:space="preserve">Lo anterior quiere decir que no es la prueba –usualmente un documento– lo que debe ser anterior al cierre del proceso, sino el hecho que ella acredita, es decir, ante la solicitud de la Entidad Estatal de subsanar un requisito, el documento podría estar fechado con posterioridad al vencimiento del término para recibir propuestas, siempre y cuando el hecho que acredite haya ocurrido antes, esto es, que no sea una circunstancia ocurrida con posterioridad al cierre del proceso. Es por ello </w:t>
      </w:r>
      <w:proofErr w:type="gramStart"/>
      <w:r w:rsidRPr="0086202B">
        <w:rPr>
          <w:rFonts w:ascii="Verdana" w:eastAsia="Arial" w:hAnsi="Verdana" w:cs="Arial"/>
        </w:rPr>
        <w:t>que</w:t>
      </w:r>
      <w:proofErr w:type="gramEnd"/>
      <w:r w:rsidRPr="0086202B">
        <w:rPr>
          <w:rFonts w:ascii="Verdana" w:eastAsia="Arial" w:hAnsi="Verdana" w:cs="Arial"/>
        </w:rPr>
        <w:t>,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86202B">
        <w:rPr>
          <w:rFonts w:ascii="Verdana" w:eastAsia="Arial" w:hAnsi="Verdana" w:cs="Arial"/>
          <w:vertAlign w:val="superscript"/>
        </w:rPr>
        <w:footnoteReference w:id="13"/>
      </w:r>
      <w:r w:rsidRPr="0086202B">
        <w:rPr>
          <w:rFonts w:ascii="Verdana" w:eastAsia="Arial" w:hAnsi="Verdana" w:cs="Arial"/>
        </w:rPr>
        <w:t xml:space="preserve">. </w:t>
      </w:r>
    </w:p>
    <w:p w14:paraId="12BDBDD7" w14:textId="77777777" w:rsidR="00A30041" w:rsidRPr="0086202B" w:rsidRDefault="00A30041" w:rsidP="00A30041">
      <w:pPr>
        <w:spacing w:after="120" w:line="276" w:lineRule="auto"/>
        <w:ind w:firstLine="709"/>
        <w:jc w:val="both"/>
        <w:rPr>
          <w:rFonts w:ascii="Verdana" w:eastAsia="Arial" w:hAnsi="Verdana" w:cs="Arial"/>
        </w:rPr>
      </w:pPr>
      <w:r w:rsidRPr="0086202B">
        <w:rPr>
          <w:rFonts w:ascii="Verdana" w:eastAsia="Arial" w:hAnsi="Verdana" w:cs="Arial"/>
        </w:rPr>
        <w:t>En tal sentido, esta Subdirección, en concepto emitido en respuesta a la Consulta 4201912000007418 del 30 de octubre de 2019, analizó si era o no posible subsanar el Registro Único de Proponentes vencido, para lo cual precisó el alcance de la prohibición de permitir subsanar circunstancias ocurridas con posterioridad al cierre del procedimiento de selección. Asimismo, indicó que no es relevante que, al subsanar dichos documentos, su fecha de actualización sea posterior a la del cierre, sino que las circunstancias que acrediten hayan ocurrido antes.</w:t>
      </w:r>
    </w:p>
    <w:p w14:paraId="1428A465" w14:textId="77777777" w:rsidR="00A30041" w:rsidRPr="0086202B" w:rsidRDefault="00A30041" w:rsidP="00A30041">
      <w:pPr>
        <w:spacing w:after="120" w:line="276" w:lineRule="auto"/>
        <w:ind w:firstLine="709"/>
        <w:jc w:val="both"/>
        <w:rPr>
          <w:rFonts w:ascii="Verdana" w:eastAsia="Arial" w:hAnsi="Verdana" w:cs="Arial"/>
        </w:rPr>
      </w:pPr>
      <w:r w:rsidRPr="0086202B">
        <w:rPr>
          <w:rFonts w:ascii="Verdana" w:eastAsia="Arial" w:hAnsi="Verdana" w:cs="Arial"/>
        </w:rPr>
        <w:t xml:space="preserve">Esta tesis fue reiterada por la Agencia Nacional de Contratación Pública – Colombia Compra Eficiente en el concepto con radicado 4201912000008198, en el que indicó que las certificaciones de experiencia que no otorgaran puntaje podían aportarse corregidos o incluso, en reemplazo de las que no cumplieran el requisito habilitante, siempre que en los documentos aportados en la etapa </w:t>
      </w:r>
      <w:r w:rsidRPr="0086202B">
        <w:rPr>
          <w:rFonts w:ascii="Verdana" w:eastAsia="Arial" w:hAnsi="Verdana" w:cs="Arial"/>
        </w:rPr>
        <w:lastRenderedPageBreak/>
        <w:t xml:space="preserve">de </w:t>
      </w:r>
      <w:proofErr w:type="spellStart"/>
      <w:r w:rsidRPr="0086202B">
        <w:rPr>
          <w:rFonts w:ascii="Verdana" w:eastAsia="Arial" w:hAnsi="Verdana" w:cs="Arial"/>
        </w:rPr>
        <w:t>subsanabilidad</w:t>
      </w:r>
      <w:proofErr w:type="spellEnd"/>
      <w:r w:rsidRPr="0086202B">
        <w:rPr>
          <w:rFonts w:ascii="Verdana" w:eastAsia="Arial" w:hAnsi="Verdana" w:cs="Arial"/>
        </w:rPr>
        <w:t xml:space="preserve"> no se acreditara experiencia adquirida con posterioridad al cierre del procedimiento de selección. Por tanto, señaló que “[…] el oferente podrá acreditar su experiencia con certificaciones de contratos diferentes a los inicialmente aportados, siempre que acrediten la experiencia adquirida antes del cierre del proceso”, pero que “Si las certificaciones prueban que la experiencia del proponente se adquirió con posterioridad al cierre del proceso no se podrá aportar, porque esto implicaría una mejora, adición o complemento de la oferta”. </w:t>
      </w:r>
    </w:p>
    <w:p w14:paraId="76376E83" w14:textId="77777777" w:rsidR="00A30041" w:rsidRPr="0086202B" w:rsidRDefault="00A30041" w:rsidP="00A30041">
      <w:pPr>
        <w:spacing w:after="120" w:line="276" w:lineRule="auto"/>
        <w:ind w:firstLine="709"/>
        <w:jc w:val="both"/>
        <w:rPr>
          <w:rFonts w:ascii="Verdana" w:eastAsia="Arial" w:hAnsi="Verdana" w:cs="Arial"/>
        </w:rPr>
      </w:pPr>
      <w:r w:rsidRPr="0086202B">
        <w:rPr>
          <w:rFonts w:ascii="Verdana" w:eastAsia="Arial" w:hAnsi="Verdana" w:cs="Arial"/>
        </w:rPr>
        <w:t xml:space="preserve">Una reiteración de la postura de esta Subdirección, según la cual la </w:t>
      </w:r>
      <w:proofErr w:type="spellStart"/>
      <w:r w:rsidRPr="0086202B">
        <w:rPr>
          <w:rFonts w:ascii="Verdana" w:eastAsia="Arial" w:hAnsi="Verdana" w:cs="Arial"/>
        </w:rPr>
        <w:t>subsanabilidad</w:t>
      </w:r>
      <w:proofErr w:type="spellEnd"/>
      <w:r w:rsidRPr="0086202B">
        <w:rPr>
          <w:rFonts w:ascii="Verdana" w:eastAsia="Arial" w:hAnsi="Verdana" w:cs="Arial"/>
        </w:rPr>
        <w:t xml:space="preserve"> procede sobre todos aquellos requisitos que no otorguen puntaje, siempre que no se trate de entregar la garantía de seriedad de la oferta no aportada antes del cierre del procedimiento de selección, y bajo la condición de que no se acrediten hechos ocurridos con posterioridad a dicho momento, se encuentra en los conceptos: 2201913000008048 del 28 de octubre de 2019 –que indicó que no era posible, so pretexto de subsanar, modificar el porcentaje de participación en un consorcio o unión temporal, porque esto comportaba cambiar la oferta, acreditando circunstancias posteriores al cierre–; 2201913000008850 del 29 de noviembre de 2019 –en el que sostuvo que un proponente podría subsanar la experiencia, en tanto requisito habilitante, o sea, que no otorgara puntaje, aportando nuevas certificaciones, siempre que con ellas no se probara una experiencia que no se tenía antes del cierre–; 2201913000009373 del 17 de diciembre de 2019 –en el cual se expresó que la carta de conformación de un consorcio es un documento subsanable, bajo la condición de que el documento aportado permita constatar que el consorcio se conformó antes del vencimiento del término para la presentación de las propuestas–; 2201913000008049 del 28 de octubre de 2019 –en el que se reiteró que no es posible variar el porcentaje de participación en una unión temporal, porque implicaría una modificación de la oferta y la acreditación de un aspecto que es posterior al cierre del procedimiento de selección–. </w:t>
      </w:r>
    </w:p>
    <w:p w14:paraId="47977DCB" w14:textId="77777777" w:rsidR="00A30041" w:rsidRPr="0086202B" w:rsidRDefault="00A30041" w:rsidP="00A30041">
      <w:pPr>
        <w:spacing w:after="120" w:line="276" w:lineRule="auto"/>
        <w:ind w:firstLine="709"/>
        <w:jc w:val="both"/>
        <w:rPr>
          <w:rFonts w:ascii="Verdana" w:eastAsia="Arial" w:hAnsi="Verdana" w:cs="Arial"/>
        </w:rPr>
      </w:pPr>
      <w:r w:rsidRPr="0086202B">
        <w:rPr>
          <w:rFonts w:ascii="Verdana" w:eastAsia="Arial" w:hAnsi="Verdana" w:cs="Arial"/>
        </w:rPr>
        <w:t xml:space="preserve">Visto lo anterior, una vez verificada la ausencia de requisitos y/o documentos de la oferta, para saber si se puede subsanar, la entidad se debe preguntar, en primer lugar, si lo que hace falta es un documento o información que otorga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otorgue puntaje, y la respuesta al segundo </w:t>
      </w:r>
      <w:r w:rsidRPr="0086202B">
        <w:rPr>
          <w:rFonts w:ascii="Verdana" w:eastAsia="Arial" w:hAnsi="Verdana" w:cs="Arial"/>
        </w:rPr>
        <w:lastRenderedPageBreak/>
        <w:t xml:space="preserve">interrogante debe dar cuenta de que lo omitido sea la prueba de una circunstancia o hecho que ocurrió con anterioridad al cierre del proceso. </w:t>
      </w:r>
    </w:p>
    <w:p w14:paraId="19C1A54C" w14:textId="77777777" w:rsidR="00A30041" w:rsidRPr="0086202B" w:rsidRDefault="00A30041" w:rsidP="00A30041">
      <w:pPr>
        <w:spacing w:after="0" w:line="276" w:lineRule="auto"/>
        <w:ind w:firstLine="709"/>
        <w:jc w:val="both"/>
        <w:rPr>
          <w:rFonts w:ascii="Verdana" w:eastAsia="Calibri" w:hAnsi="Verdana" w:cs="Times New Roman"/>
        </w:rPr>
      </w:pPr>
      <w:r w:rsidRPr="0086202B">
        <w:rPr>
          <w:rFonts w:ascii="Verdana" w:eastAsia="Arial" w:hAnsi="Verdana" w:cs="Arial"/>
        </w:rPr>
        <w:t>Finalmente, el parágrafo 3 del artículo 5 de la Ley 1882 de 2018 determinó, de manera expresa, que “la no entrega de la garantía de seriedad junto con la propuesta no será subsanable y será causal de rechazo de la misma”, dejando claro que se trata de un documento de obligatoria presentación junto con la propuesta y que materializa los principios de seriedad e irrevocabilidad de la oferta.</w:t>
      </w:r>
    </w:p>
    <w:p w14:paraId="34EF1234" w14:textId="77777777" w:rsidR="00A30041" w:rsidRPr="0086202B" w:rsidRDefault="00A30041" w:rsidP="00A30041">
      <w:pPr>
        <w:spacing w:after="0" w:line="276" w:lineRule="auto"/>
        <w:ind w:firstLine="709"/>
        <w:jc w:val="both"/>
        <w:rPr>
          <w:rFonts w:ascii="Verdana" w:eastAsia="Calibri" w:hAnsi="Verdana" w:cs="Times New Roman"/>
        </w:rPr>
      </w:pPr>
    </w:p>
    <w:p w14:paraId="529A1434" w14:textId="77777777" w:rsidR="00A30041" w:rsidRPr="0086202B" w:rsidRDefault="00A30041" w:rsidP="00A30041">
      <w:pPr>
        <w:widowControl w:val="0"/>
        <w:autoSpaceDE w:val="0"/>
        <w:autoSpaceDN w:val="0"/>
        <w:spacing w:after="120" w:line="276" w:lineRule="auto"/>
        <w:jc w:val="both"/>
        <w:rPr>
          <w:rFonts w:ascii="Verdana" w:eastAsia="Calibri" w:hAnsi="Verdana" w:cs="Arial"/>
        </w:rPr>
      </w:pPr>
      <w:proofErr w:type="spellStart"/>
      <w:r w:rsidRPr="0086202B">
        <w:rPr>
          <w:rFonts w:ascii="Verdana" w:eastAsia="Calibri" w:hAnsi="Verdana" w:cs="Arial"/>
          <w:iCs/>
        </w:rPr>
        <w:t>iii</w:t>
      </w:r>
      <w:proofErr w:type="spellEnd"/>
      <w:r w:rsidRPr="0086202B">
        <w:rPr>
          <w:rFonts w:ascii="Verdana" w:eastAsia="Calibri" w:hAnsi="Verdana" w:cs="Arial"/>
          <w:iCs/>
        </w:rPr>
        <w:t xml:space="preserve">) Al margen de lo anterior, </w:t>
      </w:r>
      <w:r w:rsidRPr="0086202B">
        <w:rPr>
          <w:rFonts w:ascii="Verdana" w:eastAsia="Calibri" w:hAnsi="Verdana" w:cs="Arial"/>
        </w:rPr>
        <w:t xml:space="preserve">debe advertirse que el análisis sobre la subsanación o el rechazo de las ofertas al interior de los procedimientos de selección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  </w:t>
      </w:r>
    </w:p>
    <w:p w14:paraId="7C05FB62" w14:textId="77777777" w:rsidR="00A30041" w:rsidRPr="0086202B" w:rsidRDefault="00A30041" w:rsidP="00A30041">
      <w:pPr>
        <w:widowControl w:val="0"/>
        <w:autoSpaceDE w:val="0"/>
        <w:autoSpaceDN w:val="0"/>
        <w:spacing w:after="0" w:line="276" w:lineRule="auto"/>
        <w:ind w:firstLine="708"/>
        <w:jc w:val="both"/>
        <w:rPr>
          <w:rFonts w:ascii="Verdana" w:eastAsia="Calibri" w:hAnsi="Verdana" w:cs="Arial"/>
        </w:rPr>
      </w:pPr>
      <w:r w:rsidRPr="0086202B">
        <w:rPr>
          <w:rFonts w:ascii="Verdana" w:eastAsia="Calibri" w:hAnsi="Verdana" w:cs="Arial"/>
        </w:rPr>
        <w:t>Dentro de este marco, la entidad contratante definirá en cada caso concreto lo relacionado con el tema objeto de consulta. Al tratarse de un análisis que debe realizarse en el procedimiento contractual específico, la Agencia sólo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C89DF68" w14:textId="77777777" w:rsidR="00A30041" w:rsidRPr="0086202B" w:rsidRDefault="00A30041" w:rsidP="00A30041">
      <w:pPr>
        <w:spacing w:after="0" w:line="276" w:lineRule="auto"/>
        <w:jc w:val="both"/>
        <w:rPr>
          <w:rFonts w:ascii="Verdana" w:eastAsia="Calibri" w:hAnsi="Verdana" w:cs="Arial"/>
          <w:lang w:val="es-ES" w:eastAsia="es-CO"/>
        </w:rPr>
      </w:pPr>
    </w:p>
    <w:p w14:paraId="204C558D" w14:textId="77777777" w:rsidR="00A30041" w:rsidRPr="0086202B" w:rsidRDefault="00A30041" w:rsidP="00A30041">
      <w:pPr>
        <w:widowControl w:val="0"/>
        <w:autoSpaceDE w:val="0"/>
        <w:autoSpaceDN w:val="0"/>
        <w:spacing w:before="1" w:after="0" w:line="240" w:lineRule="auto"/>
        <w:outlineLvl w:val="0"/>
        <w:rPr>
          <w:rFonts w:ascii="Verdana" w:eastAsia="Arial" w:hAnsi="Verdana" w:cs="Arial"/>
          <w:b/>
          <w:bCs/>
          <w:lang w:val="es-ES"/>
        </w:rPr>
      </w:pPr>
      <w:r w:rsidRPr="0086202B">
        <w:rPr>
          <w:rFonts w:ascii="Verdana" w:eastAsia="Arial" w:hAnsi="Verdana" w:cs="Arial"/>
          <w:b/>
          <w:bCs/>
          <w:lang w:val="es-ES"/>
        </w:rPr>
        <w:t>4.Referencias normativas, jurisprudenciales y otras fuentes:</w:t>
      </w:r>
    </w:p>
    <w:p w14:paraId="2B7AC19D" w14:textId="77777777" w:rsidR="00A30041" w:rsidRPr="0086202B" w:rsidRDefault="00A30041" w:rsidP="00A30041">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30041" w:rsidRPr="0086202B" w14:paraId="4934F4E3" w14:textId="77777777" w:rsidTr="006F5ED1">
        <w:trPr>
          <w:trHeight w:val="870"/>
        </w:trPr>
        <w:tc>
          <w:tcPr>
            <w:tcW w:w="8647" w:type="dxa"/>
          </w:tcPr>
          <w:p w14:paraId="1F627124" w14:textId="77777777" w:rsidR="00A30041" w:rsidRPr="0086202B" w:rsidRDefault="00A30041" w:rsidP="00A30041">
            <w:pPr>
              <w:numPr>
                <w:ilvl w:val="0"/>
                <w:numId w:val="1"/>
              </w:numPr>
              <w:spacing w:line="278" w:lineRule="auto"/>
              <w:contextualSpacing/>
              <w:jc w:val="both"/>
              <w:rPr>
                <w:rFonts w:ascii="Verdana" w:eastAsia="Aptos" w:hAnsi="Verdana" w:cs="Arial"/>
              </w:rPr>
            </w:pPr>
            <w:r w:rsidRPr="0086202B">
              <w:rPr>
                <w:rFonts w:ascii="Verdana" w:eastAsia="Aptos" w:hAnsi="Verdana" w:cs="Arial"/>
              </w:rPr>
              <w:t>Ley 1150 de 2007. Artículo 5, numeral 2, litera a) y b). Artículo 5, numeral 3.</w:t>
            </w:r>
          </w:p>
          <w:p w14:paraId="1E9B2209" w14:textId="77777777" w:rsidR="00A30041" w:rsidRPr="0086202B" w:rsidRDefault="00A30041" w:rsidP="00A30041">
            <w:pPr>
              <w:numPr>
                <w:ilvl w:val="0"/>
                <w:numId w:val="1"/>
              </w:numPr>
              <w:spacing w:line="278" w:lineRule="auto"/>
              <w:contextualSpacing/>
              <w:jc w:val="both"/>
              <w:rPr>
                <w:rFonts w:ascii="Verdana" w:eastAsia="Aptos" w:hAnsi="Verdana" w:cs="Arial"/>
              </w:rPr>
            </w:pPr>
            <w:r w:rsidRPr="0086202B">
              <w:rPr>
                <w:rFonts w:ascii="Verdana" w:eastAsia="Aptos" w:hAnsi="Verdana" w:cs="Arial"/>
              </w:rPr>
              <w:t>Ley 1474 de 2011. Artículo 88</w:t>
            </w:r>
          </w:p>
          <w:p w14:paraId="40757056" w14:textId="77777777" w:rsidR="00A30041" w:rsidRPr="0086202B" w:rsidRDefault="00A30041" w:rsidP="00A30041">
            <w:pPr>
              <w:numPr>
                <w:ilvl w:val="0"/>
                <w:numId w:val="1"/>
              </w:numPr>
              <w:spacing w:line="278" w:lineRule="auto"/>
              <w:contextualSpacing/>
              <w:jc w:val="both"/>
              <w:rPr>
                <w:rFonts w:ascii="Verdana" w:eastAsia="Aptos" w:hAnsi="Verdana" w:cs="Arial"/>
              </w:rPr>
            </w:pPr>
            <w:r w:rsidRPr="0086202B">
              <w:rPr>
                <w:rFonts w:ascii="Verdana" w:eastAsia="Aptos" w:hAnsi="Verdana" w:cs="Arial"/>
              </w:rPr>
              <w:t>Ley 1882 de 2018. Artículo 5</w:t>
            </w:r>
          </w:p>
          <w:p w14:paraId="74636E81" w14:textId="77777777" w:rsidR="00A30041" w:rsidRPr="0086202B" w:rsidRDefault="00A30041" w:rsidP="00A30041">
            <w:pPr>
              <w:numPr>
                <w:ilvl w:val="0"/>
                <w:numId w:val="1"/>
              </w:numPr>
              <w:spacing w:line="278" w:lineRule="auto"/>
              <w:contextualSpacing/>
              <w:jc w:val="both"/>
              <w:rPr>
                <w:rFonts w:ascii="Verdana" w:eastAsia="Aptos" w:hAnsi="Verdana" w:cs="Arial"/>
              </w:rPr>
            </w:pPr>
            <w:r w:rsidRPr="0086202B">
              <w:rPr>
                <w:rFonts w:ascii="Verdana" w:eastAsia="Aptos" w:hAnsi="Verdana" w:cs="Arial"/>
              </w:rPr>
              <w:t xml:space="preserve">Decreto 1082 de 2015. Artículo </w:t>
            </w:r>
            <w:r w:rsidRPr="0086202B">
              <w:rPr>
                <w:rFonts w:ascii="Verdana" w:eastAsia="Arial" w:hAnsi="Verdana" w:cs="Arial"/>
              </w:rPr>
              <w:t>2.2.1.1.2.2.2.</w:t>
            </w:r>
          </w:p>
          <w:p w14:paraId="25932DD8" w14:textId="77777777" w:rsidR="00A30041" w:rsidRPr="0086202B" w:rsidRDefault="00A30041" w:rsidP="00A30041">
            <w:pPr>
              <w:numPr>
                <w:ilvl w:val="0"/>
                <w:numId w:val="1"/>
              </w:numPr>
              <w:spacing w:line="278" w:lineRule="auto"/>
              <w:contextualSpacing/>
              <w:jc w:val="both"/>
              <w:rPr>
                <w:rFonts w:ascii="Verdana" w:eastAsia="Aptos" w:hAnsi="Verdana" w:cs="Arial"/>
              </w:rPr>
            </w:pPr>
            <w:r w:rsidRPr="0086202B">
              <w:rPr>
                <w:rFonts w:ascii="Verdana" w:eastAsia="Aptos" w:hAnsi="Verdana" w:cs="Arial"/>
              </w:rPr>
              <w:lastRenderedPageBreak/>
              <w:t>Consejo de Estado. Sección Tercera, Subsección C. Sentencia del 26 de febrero de 2014. C.P. Enrique Gil Botero, Rad. 1999-00113-01 (25.804).</w:t>
            </w:r>
          </w:p>
          <w:p w14:paraId="1A528F5D" w14:textId="77777777" w:rsidR="00A30041" w:rsidRPr="0086202B" w:rsidRDefault="00A30041" w:rsidP="00A30041">
            <w:pPr>
              <w:numPr>
                <w:ilvl w:val="0"/>
                <w:numId w:val="1"/>
              </w:numPr>
              <w:spacing w:line="278" w:lineRule="auto"/>
              <w:contextualSpacing/>
              <w:jc w:val="both"/>
              <w:rPr>
                <w:rFonts w:ascii="Verdana" w:eastAsia="Aptos" w:hAnsi="Verdana" w:cs="Arial"/>
              </w:rPr>
            </w:pPr>
            <w:r w:rsidRPr="0086202B">
              <w:rPr>
                <w:rFonts w:ascii="Verdana" w:eastAsia="Aptos" w:hAnsi="Verdana" w:cs="Arial"/>
              </w:rPr>
              <w:t>Consejo de Estado, Sala de Consulta y Servicio Civil, concepto del 6 de noviembre de 2008. C.P. William Zambrano Cetina. Rad. 2008-00079-00(1927).</w:t>
            </w:r>
          </w:p>
          <w:p w14:paraId="6C5298BB" w14:textId="77777777" w:rsidR="00A30041" w:rsidRPr="0086202B" w:rsidRDefault="00A30041" w:rsidP="00A30041">
            <w:pPr>
              <w:numPr>
                <w:ilvl w:val="0"/>
                <w:numId w:val="1"/>
              </w:numPr>
              <w:spacing w:line="278" w:lineRule="auto"/>
              <w:contextualSpacing/>
              <w:jc w:val="both"/>
              <w:rPr>
                <w:rFonts w:ascii="Verdana" w:eastAsia="Aptos" w:hAnsi="Verdana" w:cs="Arial"/>
              </w:rPr>
            </w:pPr>
            <w:r w:rsidRPr="0086202B">
              <w:rPr>
                <w:rFonts w:ascii="Verdana" w:eastAsia="Aptos" w:hAnsi="Verdana" w:cs="Arial"/>
              </w:rPr>
              <w:t xml:space="preserve">Consejo de Estado, Sección Tercera, Subsección C. Sentencia del 26 de febrero de 2011. C.P. Jaime Orlando Santofimio. Rad. 36.408.  </w:t>
            </w:r>
          </w:p>
          <w:p w14:paraId="37BA35BF" w14:textId="77777777" w:rsidR="00A30041" w:rsidRPr="0086202B" w:rsidRDefault="00A30041" w:rsidP="00A30041">
            <w:pPr>
              <w:numPr>
                <w:ilvl w:val="0"/>
                <w:numId w:val="1"/>
              </w:numPr>
              <w:spacing w:line="278" w:lineRule="auto"/>
              <w:contextualSpacing/>
              <w:jc w:val="both"/>
              <w:rPr>
                <w:rFonts w:ascii="Verdana" w:eastAsia="Aptos" w:hAnsi="Verdana" w:cs="Arial"/>
              </w:rPr>
            </w:pPr>
            <w:r w:rsidRPr="0086202B">
              <w:rPr>
                <w:rFonts w:ascii="Verdana" w:eastAsia="Aptos" w:hAnsi="Verdana" w:cs="Arial"/>
              </w:rPr>
              <w:t xml:space="preserve">Consejo de Estado, Sección Tercera, Subsección C. Sentencia del 26 de febrero de 2014. C.P. Enrique Gil Botero. Rad. 25.804.  </w:t>
            </w:r>
          </w:p>
          <w:p w14:paraId="7DACA4F1" w14:textId="77777777" w:rsidR="00A30041" w:rsidRPr="0086202B" w:rsidRDefault="00A30041" w:rsidP="00A30041">
            <w:pPr>
              <w:numPr>
                <w:ilvl w:val="0"/>
                <w:numId w:val="1"/>
              </w:numPr>
              <w:spacing w:line="278" w:lineRule="auto"/>
              <w:contextualSpacing/>
              <w:jc w:val="both"/>
              <w:rPr>
                <w:rFonts w:ascii="Verdana" w:eastAsia="Aptos" w:hAnsi="Verdana" w:cs="Arial"/>
              </w:rPr>
            </w:pPr>
            <w:r w:rsidRPr="0086202B">
              <w:rPr>
                <w:rFonts w:ascii="Verdana" w:eastAsia="Aptos" w:hAnsi="Verdana" w:cs="Arial"/>
              </w:rPr>
              <w:t>Consejo de Estado, Sala de Consulta y Servicio Civil, concepto del 20 de mayo de 2010. C.P. Enrique José Arboleda Perdomo. Rad. 2010-00034-00(1992).</w:t>
            </w:r>
          </w:p>
          <w:p w14:paraId="6340B978" w14:textId="77777777" w:rsidR="00A30041" w:rsidRPr="0086202B" w:rsidRDefault="00A30041" w:rsidP="00A30041">
            <w:pPr>
              <w:numPr>
                <w:ilvl w:val="0"/>
                <w:numId w:val="1"/>
              </w:numPr>
              <w:spacing w:line="278" w:lineRule="auto"/>
              <w:contextualSpacing/>
              <w:jc w:val="both"/>
              <w:rPr>
                <w:rFonts w:ascii="Verdana" w:eastAsia="Aptos" w:hAnsi="Verdana" w:cs="Arial"/>
              </w:rPr>
            </w:pPr>
            <w:r w:rsidRPr="0086202B">
              <w:rPr>
                <w:rFonts w:ascii="Verdana" w:eastAsia="Aptos" w:hAnsi="Verdana" w:cs="Arial"/>
              </w:rPr>
              <w:t>RODRÍGUEZ TAMAYO, Mauricio F. Evaluación y rechazo de ofertas en la Ley 80 de 1993. Primera edición. Medellín: Librería Jurídica Sánchez, 2016. pp. 110-111.</w:t>
            </w:r>
          </w:p>
          <w:p w14:paraId="45181D9D" w14:textId="77777777" w:rsidR="00A30041" w:rsidRPr="0086202B" w:rsidRDefault="00A30041" w:rsidP="00A30041">
            <w:pPr>
              <w:numPr>
                <w:ilvl w:val="0"/>
                <w:numId w:val="1"/>
              </w:numPr>
              <w:spacing w:line="278" w:lineRule="auto"/>
              <w:contextualSpacing/>
              <w:jc w:val="both"/>
              <w:rPr>
                <w:rFonts w:ascii="Verdana" w:eastAsia="Aptos" w:hAnsi="Verdana" w:cs="Arial"/>
              </w:rPr>
            </w:pPr>
            <w:r w:rsidRPr="0086202B">
              <w:rPr>
                <w:rFonts w:ascii="Verdana" w:eastAsia="Aptos" w:hAnsi="Verdana" w:cs="Arial"/>
              </w:rPr>
              <w:t>EXPÓSITO VELEZ, Juan C., El deber de selección objetiva, en: Del contrato estatal a los sistemas de compras públicas, por COVILLA MARTINEZ Juan C. y LOZANO VILLEGAS Germán (Eds.). Universidad Externado de Colombia, Bogotá, 2019. págs. 118-184.</w:t>
            </w:r>
          </w:p>
        </w:tc>
      </w:tr>
    </w:tbl>
    <w:p w14:paraId="0FA3950A" w14:textId="77777777" w:rsidR="00A30041" w:rsidRPr="0086202B" w:rsidRDefault="00A30041" w:rsidP="00A30041">
      <w:pPr>
        <w:widowControl w:val="0"/>
        <w:autoSpaceDE w:val="0"/>
        <w:autoSpaceDN w:val="0"/>
        <w:spacing w:after="0" w:line="276" w:lineRule="auto"/>
        <w:jc w:val="both"/>
        <w:rPr>
          <w:rFonts w:ascii="Verdana" w:eastAsia="Aptos" w:hAnsi="Verdana" w:cs="Arial"/>
        </w:rPr>
      </w:pPr>
    </w:p>
    <w:p w14:paraId="11995BAE" w14:textId="77777777" w:rsidR="00A30041" w:rsidRPr="0086202B" w:rsidRDefault="00A30041" w:rsidP="00A30041">
      <w:pPr>
        <w:widowControl w:val="0"/>
        <w:autoSpaceDE w:val="0"/>
        <w:autoSpaceDN w:val="0"/>
        <w:spacing w:before="1" w:after="0" w:line="276" w:lineRule="auto"/>
        <w:outlineLvl w:val="0"/>
        <w:rPr>
          <w:rFonts w:ascii="Verdana" w:eastAsia="Arial" w:hAnsi="Verdana" w:cs="Arial"/>
          <w:b/>
          <w:bCs/>
          <w:lang w:val="es-ES"/>
        </w:rPr>
      </w:pPr>
      <w:r w:rsidRPr="0086202B">
        <w:rPr>
          <w:rFonts w:ascii="Verdana" w:eastAsia="Arial" w:hAnsi="Verdana" w:cs="Arial"/>
          <w:b/>
          <w:bCs/>
          <w:lang w:val="es-ES"/>
        </w:rPr>
        <w:t>5. Doctrina de la Agencia Nacional de Contratación Pública:</w:t>
      </w:r>
    </w:p>
    <w:p w14:paraId="435EDAC8" w14:textId="77777777" w:rsidR="00A30041" w:rsidRPr="0086202B" w:rsidRDefault="00A30041" w:rsidP="00A30041">
      <w:pPr>
        <w:widowControl w:val="0"/>
        <w:autoSpaceDE w:val="0"/>
        <w:autoSpaceDN w:val="0"/>
        <w:spacing w:after="0" w:line="276" w:lineRule="auto"/>
        <w:jc w:val="both"/>
        <w:rPr>
          <w:rFonts w:ascii="Verdana" w:eastAsia="Aptos" w:hAnsi="Verdana" w:cs="Arial"/>
        </w:rPr>
      </w:pPr>
    </w:p>
    <w:p w14:paraId="28FC09D1" w14:textId="77777777" w:rsidR="00A30041" w:rsidRPr="0086202B" w:rsidRDefault="00A30041" w:rsidP="00A30041">
      <w:pPr>
        <w:widowControl w:val="0"/>
        <w:autoSpaceDE w:val="0"/>
        <w:autoSpaceDN w:val="0"/>
        <w:spacing w:after="0" w:line="276" w:lineRule="auto"/>
        <w:jc w:val="both"/>
        <w:rPr>
          <w:rFonts w:ascii="Verdana" w:eastAsia="Aptos" w:hAnsi="Verdana" w:cs="Arial"/>
          <w:shd w:val="clear" w:color="auto" w:fill="FFFFFF"/>
          <w:lang w:val="es-ES"/>
        </w:rPr>
      </w:pPr>
      <w:r w:rsidRPr="0086202B">
        <w:rPr>
          <w:rFonts w:ascii="Verdana" w:eastAsia="Aptos" w:hAnsi="Verdana" w:cs="Arial"/>
          <w:shd w:val="clear" w:color="auto" w:fill="FFFFFF"/>
          <w:lang w:val="es-ES"/>
        </w:rPr>
        <w:t xml:space="preserve">Esta Subdirección se ha pronunciado sobre la regla de </w:t>
      </w:r>
      <w:proofErr w:type="spellStart"/>
      <w:r w:rsidRPr="0086202B">
        <w:rPr>
          <w:rFonts w:ascii="Verdana" w:eastAsia="Aptos" w:hAnsi="Verdana" w:cs="Arial"/>
          <w:shd w:val="clear" w:color="auto" w:fill="FFFFFF"/>
          <w:lang w:val="es-ES"/>
        </w:rPr>
        <w:t>subsanabilidad</w:t>
      </w:r>
      <w:proofErr w:type="spellEnd"/>
      <w:r w:rsidRPr="0086202B">
        <w:rPr>
          <w:rFonts w:ascii="Verdana" w:eastAsia="Aptos" w:hAnsi="Verdana" w:cs="Arial"/>
          <w:shd w:val="clear" w:color="auto" w:fill="FFFFFF"/>
          <w:lang w:val="es-ES"/>
        </w:rPr>
        <w:t xml:space="preserve"> en los conceptos C-716 del 23 de enero de 2022, C-728 del 26 de enero de 2022, C-753 del 6 de febrero de 2022, C-114 del 22 de marzo de 2022, C-140 del 28 de marzo de 2022, C-162 del 5 de abril de 2022, C-285 del 20 de mayo de 2022, C-343 del 31 de mayo de 2022, C-381 del 15 de julio de 2022, C-416 del 30 de junio de 2022, C-431 del 7 de julio de 2022, C-434 del 8 de julio de 2022, C-542 del 23 de agosto de 2022, C-595 del 9 de septiembre de 2022, C-772 del 28 de noviembre de 2022, C-793 del 21 de noviembre de 2022, C-923 del 27 de diciembre de 2022, C-965 del 27 de enero de 2023, C-058 del 10 de mayo de 2023, C-082 del 19 de abril de 2023, C-216 del 6 de junio de 2023, C-304 del 4 de julio de 2023, C-051 del 21 de febrero de 2026, entre otros. </w:t>
      </w:r>
      <w:r w:rsidRPr="0086202B">
        <w:rPr>
          <w:rFonts w:ascii="Verdana" w:eastAsia="Calibri" w:hAnsi="Verdana" w:cs="Arial"/>
          <w:bCs/>
          <w:shd w:val="clear" w:color="auto" w:fill="FFFFFF"/>
          <w:lang w:val="es-ES"/>
        </w:rPr>
        <w:t xml:space="preserve">En tal sentido, recoge los conceptos expuestos, sin perjuicio de otras consideraciones. </w:t>
      </w:r>
      <w:r w:rsidRPr="0086202B">
        <w:rPr>
          <w:rFonts w:ascii="Verdana" w:eastAsia="Aptos" w:hAnsi="Verdana" w:cs="Arial"/>
          <w:shd w:val="clear" w:color="auto" w:fill="FFFFFF"/>
          <w:lang w:val="es-ES"/>
        </w:rPr>
        <w:t xml:space="preserve">Estos y otros conceptos se encuentran disponibles para consulta en el Sistema </w:t>
      </w:r>
      <w:r w:rsidRPr="0086202B">
        <w:rPr>
          <w:rFonts w:ascii="Verdana" w:eastAsia="Aptos" w:hAnsi="Verdana" w:cs="Arial"/>
          <w:shd w:val="clear" w:color="auto" w:fill="FFFFFF"/>
          <w:lang w:val="es-ES"/>
        </w:rPr>
        <w:lastRenderedPageBreak/>
        <w:t xml:space="preserve">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9" w:history="1">
        <w:r w:rsidRPr="0086202B">
          <w:rPr>
            <w:rFonts w:ascii="Verdana" w:eastAsia="Aptos" w:hAnsi="Verdana" w:cs="Arial"/>
            <w:u w:val="single"/>
            <w:shd w:val="clear" w:color="auto" w:fill="FFFFFF"/>
            <w:lang w:val="es-ES"/>
          </w:rPr>
          <w:t>https://relatoria.colombiacompra.gov.co/</w:t>
        </w:r>
      </w:hyperlink>
      <w:r w:rsidRPr="0086202B">
        <w:rPr>
          <w:rFonts w:ascii="Verdana" w:eastAsia="Aptos" w:hAnsi="Verdana" w:cs="Arial"/>
          <w:shd w:val="clear" w:color="auto" w:fill="FFFFFF"/>
          <w:lang w:val="es-ES"/>
        </w:rPr>
        <w:t xml:space="preserve">. </w:t>
      </w:r>
    </w:p>
    <w:p w14:paraId="681164A0" w14:textId="77777777" w:rsidR="00A30041" w:rsidRPr="0086202B" w:rsidRDefault="00A30041" w:rsidP="00A30041">
      <w:pPr>
        <w:spacing w:before="120" w:after="120" w:line="276" w:lineRule="auto"/>
        <w:ind w:firstLine="709"/>
        <w:jc w:val="both"/>
        <w:rPr>
          <w:rFonts w:ascii="Verdana" w:eastAsia="Aptos" w:hAnsi="Verdana" w:cs="Times New Roman"/>
        </w:rPr>
      </w:pPr>
      <w:r w:rsidRPr="0086202B">
        <w:rPr>
          <w:rFonts w:ascii="Verdana" w:eastAsia="Aptos" w:hAnsi="Verdana" w:cs="Times New Roman"/>
        </w:rPr>
        <w:t xml:space="preserve">La sostenibilidad no es una opción, es una obligación. Por ello, la Agencia Nacional de Contratación Pública –Colombia Compra Eficiente– te invita a realizar el </w:t>
      </w:r>
      <w:r w:rsidRPr="0086202B">
        <w:rPr>
          <w:rFonts w:ascii="Verdana" w:eastAsia="Aptos" w:hAnsi="Verdana" w:cs="Times New Roman"/>
          <w:b/>
          <w:bCs/>
        </w:rPr>
        <w:t>Curso de Contratación Pública Sostenible y Socialmente Responsable</w:t>
      </w:r>
      <w:r w:rsidRPr="0086202B">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86202B">
        <w:rPr>
          <w:rFonts w:ascii="Verdana" w:eastAsia="Aptos" w:hAnsi="Verdana" w:cs="Times New Roman"/>
        </w:rPr>
        <w:br/>
      </w:r>
      <w:hyperlink r:id="rId10" w:tgtFrame="_new" w:history="1">
        <w:r w:rsidRPr="0086202B">
          <w:rPr>
            <w:rFonts w:ascii="Verdana" w:eastAsia="Aptos" w:hAnsi="Verdana" w:cs="Times New Roman"/>
            <w:u w:val="single"/>
          </w:rPr>
          <w:t>https://formacionvirtual.colombiacompra.gov.co/mod/page/view.php?id=3718</w:t>
        </w:r>
      </w:hyperlink>
    </w:p>
    <w:p w14:paraId="7E4E35D3" w14:textId="77777777" w:rsidR="00A30041" w:rsidRPr="0086202B" w:rsidRDefault="00A30041" w:rsidP="00A30041">
      <w:pPr>
        <w:spacing w:line="276" w:lineRule="auto"/>
        <w:ind w:firstLine="708"/>
        <w:jc w:val="both"/>
        <w:rPr>
          <w:rFonts w:ascii="Verdana" w:eastAsia="Aptos" w:hAnsi="Verdana" w:cs="Times New Roman"/>
        </w:rPr>
      </w:pPr>
      <w:r w:rsidRPr="0086202B">
        <w:rPr>
          <w:rFonts w:ascii="Verdana" w:eastAsia="Aptos" w:hAnsi="Verdana" w:cs="Times New Roman"/>
        </w:rPr>
        <w:t xml:space="preserve">De otro lado, te contamos que esta Agencia ha da un paso decisivo en la estandarización y modernización del </w:t>
      </w:r>
      <w:r w:rsidRPr="0086202B">
        <w:rPr>
          <w:rFonts w:ascii="Verdana" w:eastAsia="Aptos" w:hAnsi="Verdana" w:cs="Times New Roman"/>
          <w:b/>
          <w:bCs/>
        </w:rPr>
        <w:t>sector  social</w:t>
      </w:r>
      <w:r w:rsidRPr="0086202B">
        <w:rPr>
          <w:rFonts w:ascii="Verdana" w:eastAsia="Aptos" w:hAnsi="Verdana" w:cs="Times New Roman"/>
        </w:rPr>
        <w:t xml:space="preserve"> con la expedición de las </w:t>
      </w:r>
      <w:r w:rsidRPr="0086202B">
        <w:rPr>
          <w:rFonts w:ascii="Verdana" w:eastAsia="Aptos" w:hAnsi="Verdana" w:cs="Times New Roman"/>
          <w:b/>
          <w:bCs/>
        </w:rPr>
        <w:t>Resoluciones 539, 540, 541, 952 y 953 de 2025</w:t>
      </w:r>
      <w:r w:rsidRPr="0086202B">
        <w:rPr>
          <w:rFonts w:ascii="Verdana" w:eastAsia="Aptos" w:hAnsi="Verdana" w:cs="Times New Roman"/>
        </w:rPr>
        <w:t xml:space="preserve">, </w:t>
      </w:r>
      <w:r w:rsidRPr="0086202B">
        <w:rPr>
          <w:rFonts w:ascii="Verdana" w:eastAsia="Aptos" w:hAnsi="Verdana" w:cs="Times New Roman"/>
          <w:b/>
          <w:bCs/>
        </w:rPr>
        <w:t>mediante las cuales adoptó Documentos Tipo</w:t>
      </w:r>
      <w:r w:rsidRPr="0086202B">
        <w:rPr>
          <w:rFonts w:ascii="Verdana" w:eastAsia="Aptos" w:hAnsi="Verdana" w:cs="Times New Roman"/>
        </w:rPr>
        <w:t xml:space="preserve"> para las modalidades de selección de</w:t>
      </w:r>
      <w:r w:rsidRPr="0086202B">
        <w:rPr>
          <w:rFonts w:ascii="Verdana" w:eastAsia="Aptos" w:hAnsi="Verdana" w:cs="Times New Roman"/>
          <w:b/>
          <w:bCs/>
        </w:rPr>
        <w:t xml:space="preserve"> licitación pública (versión 2), selección abreviada de menor cuantía, mínima cuantía, consultoría e interventoría</w:t>
      </w:r>
      <w:r w:rsidRPr="0086202B">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1" w:tgtFrame="_new" w:history="1">
        <w:r w:rsidRPr="0086202B">
          <w:rPr>
            <w:rFonts w:ascii="Verdana" w:eastAsia="Aptos" w:hAnsi="Verdana" w:cs="Times New Roman"/>
            <w:u w:val="single"/>
          </w:rPr>
          <w:t>https://www.colombiacompra.gov.co/normativa-y-relatoria/documentos-tipo</w:t>
        </w:r>
      </w:hyperlink>
    </w:p>
    <w:p w14:paraId="1973C87B" w14:textId="77777777" w:rsidR="00A30041" w:rsidRPr="0086202B" w:rsidRDefault="00A30041" w:rsidP="00A30041">
      <w:pPr>
        <w:spacing w:after="0" w:line="276" w:lineRule="auto"/>
        <w:ind w:firstLine="708"/>
        <w:jc w:val="both"/>
        <w:rPr>
          <w:rFonts w:ascii="Verdana" w:eastAsia="Aptos" w:hAnsi="Verdana" w:cs="Times New Roman"/>
        </w:rPr>
      </w:pPr>
      <w:r w:rsidRPr="0086202B">
        <w:rPr>
          <w:rFonts w:ascii="Verdana" w:eastAsia="Aptos" w:hAnsi="Verdana" w:cs="Times New Roman"/>
        </w:rPr>
        <w:t xml:space="preserve">Si quieres conocer más sobre la aplicación de Documentos Tipo puedes consultar la última versión de la </w:t>
      </w:r>
      <w:r w:rsidRPr="0086202B">
        <w:rPr>
          <w:rFonts w:ascii="Verdana" w:eastAsia="Aptos" w:hAnsi="Verdana" w:cs="Times New Roman"/>
          <w:b/>
          <w:bCs/>
        </w:rPr>
        <w:t>Guía para la comprensión e implementación de los Documentos Tipo de obra pública de infraestructura de transporte</w:t>
      </w:r>
      <w:r w:rsidRPr="0086202B">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86202B">
        <w:rPr>
          <w:rFonts w:ascii="Verdana" w:eastAsia="Aptos" w:hAnsi="Verdana" w:cs="Times New Roman"/>
        </w:rPr>
        <w:br/>
      </w:r>
      <w:hyperlink r:id="rId12" w:tgtFrame="_new" w:history="1">
        <w:r w:rsidRPr="0086202B">
          <w:rPr>
            <w:rFonts w:ascii="Verdana" w:eastAsia="Aptos" w:hAnsi="Verdana" w:cs="Times New Roman"/>
            <w:u w:val="single"/>
          </w:rPr>
          <w:t>https://www.colombiacompra.gov.co/archivos/manual/guia-para-la-comprension-e-implementacion-de-los-documentos-tipo-de-obra-publica-de-infraestructura-de-transporte-bajo-las-diferentes-modalidades-de-contratacion-vigentes</w:t>
        </w:r>
      </w:hyperlink>
    </w:p>
    <w:p w14:paraId="09DECEA9" w14:textId="77777777" w:rsidR="00A30041" w:rsidRPr="0086202B" w:rsidRDefault="00A30041" w:rsidP="00A30041">
      <w:pPr>
        <w:spacing w:before="120" w:after="0" w:line="276" w:lineRule="auto"/>
        <w:ind w:firstLine="708"/>
        <w:jc w:val="both"/>
        <w:rPr>
          <w:rFonts w:ascii="Verdana" w:eastAsia="Aptos" w:hAnsi="Verdana" w:cs="Times New Roman"/>
        </w:rPr>
      </w:pPr>
      <w:r w:rsidRPr="0086202B">
        <w:rPr>
          <w:rFonts w:ascii="Verdana" w:eastAsia="Aptos" w:hAnsi="Verdana" w:cs="Times New Roman"/>
        </w:rPr>
        <w:lastRenderedPageBreak/>
        <w:t xml:space="preserve">Por último, lo invitamos a seguirnos en las redes sociales en las cuales se difunde información institucional: </w:t>
      </w:r>
    </w:p>
    <w:p w14:paraId="43AAD0CF" w14:textId="77777777" w:rsidR="00A30041" w:rsidRPr="0086202B" w:rsidRDefault="00A30041" w:rsidP="00A30041">
      <w:pPr>
        <w:spacing w:after="0" w:line="276" w:lineRule="auto"/>
        <w:jc w:val="both"/>
        <w:rPr>
          <w:rFonts w:ascii="Verdana" w:eastAsia="Aptos" w:hAnsi="Verdana" w:cs="Times New Roman"/>
        </w:rPr>
      </w:pPr>
    </w:p>
    <w:p w14:paraId="0B195D82" w14:textId="77777777" w:rsidR="00A30041" w:rsidRPr="0086202B" w:rsidRDefault="00A30041" w:rsidP="00A30041">
      <w:pPr>
        <w:spacing w:after="0" w:line="276" w:lineRule="auto"/>
        <w:jc w:val="both"/>
        <w:rPr>
          <w:rFonts w:ascii="Verdana" w:eastAsia="Aptos" w:hAnsi="Verdana" w:cs="Times New Roman"/>
        </w:rPr>
      </w:pPr>
      <w:r w:rsidRPr="0086202B">
        <w:rPr>
          <w:rFonts w:ascii="Verdana" w:eastAsia="Aptos" w:hAnsi="Verdana" w:cs="Times New Roman"/>
        </w:rPr>
        <w:t xml:space="preserve">Twitter: </w:t>
      </w:r>
      <w:r w:rsidRPr="0086202B">
        <w:rPr>
          <w:rFonts w:ascii="Verdana" w:eastAsia="Aptos" w:hAnsi="Verdana" w:cs="Arial"/>
          <w:u w:val="single"/>
          <w:shd w:val="clear" w:color="auto" w:fill="FFFFFF"/>
          <w:lang w:val="es-ES"/>
        </w:rPr>
        <w:t>@colombiacompra</w:t>
      </w:r>
      <w:r w:rsidRPr="0086202B">
        <w:rPr>
          <w:rFonts w:ascii="Verdana" w:eastAsia="Aptos" w:hAnsi="Verdana" w:cs="Times New Roman"/>
        </w:rPr>
        <w:t xml:space="preserve"> </w:t>
      </w:r>
    </w:p>
    <w:p w14:paraId="67250291" w14:textId="77777777" w:rsidR="00A30041" w:rsidRPr="0086202B" w:rsidRDefault="00A30041" w:rsidP="00A30041">
      <w:pPr>
        <w:spacing w:after="0" w:line="276" w:lineRule="auto"/>
        <w:jc w:val="both"/>
        <w:rPr>
          <w:rFonts w:ascii="Verdana" w:eastAsia="Aptos" w:hAnsi="Verdana" w:cs="Times New Roman"/>
        </w:rPr>
      </w:pPr>
      <w:r w:rsidRPr="0086202B">
        <w:rPr>
          <w:rFonts w:ascii="Verdana" w:eastAsia="Aptos" w:hAnsi="Verdana" w:cs="Times New Roman"/>
        </w:rPr>
        <w:t xml:space="preserve">Facebook: </w:t>
      </w:r>
      <w:proofErr w:type="spellStart"/>
      <w:r w:rsidRPr="0086202B">
        <w:rPr>
          <w:rFonts w:ascii="Verdana" w:eastAsia="Aptos" w:hAnsi="Verdana" w:cs="Arial"/>
          <w:u w:val="single"/>
          <w:shd w:val="clear" w:color="auto" w:fill="FFFFFF"/>
          <w:lang w:val="es-ES"/>
        </w:rPr>
        <w:t>ColombiaCompraEficiente</w:t>
      </w:r>
      <w:proofErr w:type="spellEnd"/>
    </w:p>
    <w:p w14:paraId="11E05350" w14:textId="77777777" w:rsidR="00A30041" w:rsidRPr="0086202B" w:rsidRDefault="00A30041" w:rsidP="00A30041">
      <w:pPr>
        <w:spacing w:after="0" w:line="276" w:lineRule="auto"/>
        <w:jc w:val="both"/>
        <w:rPr>
          <w:rFonts w:ascii="Verdana" w:eastAsia="Aptos" w:hAnsi="Verdana" w:cs="Times New Roman"/>
        </w:rPr>
      </w:pPr>
      <w:r w:rsidRPr="0086202B">
        <w:rPr>
          <w:rFonts w:ascii="Verdana" w:eastAsia="Aptos" w:hAnsi="Verdana" w:cs="Times New Roman"/>
        </w:rPr>
        <w:t xml:space="preserve">LinkedIn: </w:t>
      </w:r>
      <w:r w:rsidRPr="0086202B">
        <w:rPr>
          <w:rFonts w:ascii="Verdana" w:eastAsia="Aptos" w:hAnsi="Verdana" w:cs="Arial"/>
          <w:u w:val="single"/>
          <w:shd w:val="clear" w:color="auto" w:fill="FFFFFF"/>
          <w:lang w:val="es-ES"/>
        </w:rPr>
        <w:t>Agencia Nacional de Contratación Pública - Colombia Compra Eficiente</w:t>
      </w:r>
      <w:r w:rsidRPr="0086202B">
        <w:rPr>
          <w:rFonts w:ascii="Verdana" w:eastAsia="Aptos" w:hAnsi="Verdana" w:cs="Times New Roman"/>
        </w:rPr>
        <w:t xml:space="preserve"> Instagram: </w:t>
      </w:r>
      <w:r w:rsidRPr="0086202B">
        <w:rPr>
          <w:rFonts w:ascii="Verdana" w:eastAsia="Aptos" w:hAnsi="Verdana" w:cs="Arial"/>
          <w:u w:val="single"/>
          <w:shd w:val="clear" w:color="auto" w:fill="FFFFFF"/>
          <w:lang w:val="es-ES"/>
        </w:rPr>
        <w:t>@colombiacompraeficiente_cce</w:t>
      </w:r>
    </w:p>
    <w:p w14:paraId="65E8E759" w14:textId="77777777" w:rsidR="00A30041" w:rsidRPr="0086202B" w:rsidRDefault="00A30041" w:rsidP="00A30041">
      <w:pPr>
        <w:widowControl w:val="0"/>
        <w:autoSpaceDE w:val="0"/>
        <w:autoSpaceDN w:val="0"/>
        <w:spacing w:after="0" w:line="276" w:lineRule="auto"/>
        <w:jc w:val="both"/>
        <w:rPr>
          <w:rFonts w:ascii="Verdana" w:eastAsia="Aptos" w:hAnsi="Verdana" w:cs="Arial"/>
        </w:rPr>
      </w:pPr>
    </w:p>
    <w:p w14:paraId="33001F85" w14:textId="77777777" w:rsidR="00A30041" w:rsidRPr="0086202B" w:rsidRDefault="00A30041" w:rsidP="00A30041">
      <w:pPr>
        <w:widowControl w:val="0"/>
        <w:autoSpaceDE w:val="0"/>
        <w:autoSpaceDN w:val="0"/>
        <w:spacing w:after="0" w:line="276" w:lineRule="auto"/>
        <w:jc w:val="both"/>
        <w:rPr>
          <w:rFonts w:ascii="Verdana" w:eastAsia="Aptos" w:hAnsi="Verdana" w:cs="Arial"/>
          <w:lang w:val="es-ES_tradnl"/>
        </w:rPr>
      </w:pPr>
      <w:r w:rsidRPr="0086202B">
        <w:rPr>
          <w:rFonts w:ascii="Verdana" w:eastAsia="Aptos" w:hAnsi="Verdana" w:cs="Arial"/>
        </w:rPr>
        <w:t xml:space="preserve">Este concepto tiene el alcance previsto en el artículo 28 del Código de Procedimiento Administrativo y de lo Contencioso Administrativo </w:t>
      </w:r>
      <w:r w:rsidRPr="0086202B">
        <w:rPr>
          <w:rFonts w:ascii="Verdana" w:eastAsia="Aptos" w:hAnsi="Verdana" w:cs="Arial"/>
          <w:lang w:val="es-ES_tradnl"/>
        </w:rPr>
        <w:t>y las expresiones aquí utilizadas con mayúscula inicial deben ser entendidas con el significado que les otorga el artículo 2.2.1.1.1.3.1. del Decreto 1082 de 2015.</w:t>
      </w:r>
    </w:p>
    <w:p w14:paraId="26C5F128" w14:textId="77777777" w:rsidR="00A30041" w:rsidRPr="0086202B" w:rsidRDefault="00A30041" w:rsidP="00A30041">
      <w:pPr>
        <w:widowControl w:val="0"/>
        <w:autoSpaceDE w:val="0"/>
        <w:autoSpaceDN w:val="0"/>
        <w:spacing w:after="0" w:line="276" w:lineRule="auto"/>
        <w:jc w:val="both"/>
        <w:rPr>
          <w:rFonts w:ascii="Verdana" w:eastAsia="Aptos" w:hAnsi="Verdana" w:cs="Arial"/>
        </w:rPr>
      </w:pPr>
    </w:p>
    <w:p w14:paraId="12C15C15" w14:textId="77777777" w:rsidR="00A30041" w:rsidRPr="0086202B" w:rsidRDefault="00A30041" w:rsidP="00A30041">
      <w:pPr>
        <w:spacing w:after="0" w:line="276" w:lineRule="auto"/>
        <w:rPr>
          <w:rFonts w:ascii="Verdana" w:eastAsia="Aptos" w:hAnsi="Verdana" w:cs="Arial"/>
          <w:lang w:eastAsia="es-CO"/>
        </w:rPr>
      </w:pPr>
      <w:r w:rsidRPr="0086202B">
        <w:rPr>
          <w:rFonts w:ascii="Verdana" w:eastAsia="Times New Roman" w:hAnsi="Verdana" w:cs="Arial"/>
          <w:lang w:eastAsia="es-CO"/>
        </w:rPr>
        <w:t>Atentamente,</w:t>
      </w:r>
      <w:r w:rsidRPr="0086202B">
        <w:rPr>
          <w:rFonts w:ascii="Verdana" w:eastAsia="Aptos" w:hAnsi="Verdana" w:cs="Arial"/>
          <w:lang w:eastAsia="es-CO"/>
        </w:rPr>
        <w:t xml:space="preserve"> </w:t>
      </w:r>
    </w:p>
    <w:p w14:paraId="1EF64F39" w14:textId="77777777" w:rsidR="00A30041" w:rsidRPr="0086202B" w:rsidRDefault="00A30041" w:rsidP="00A30041">
      <w:pPr>
        <w:spacing w:after="0" w:line="276" w:lineRule="auto"/>
        <w:jc w:val="center"/>
        <w:rPr>
          <w:rFonts w:ascii="Verdana" w:eastAsia="Aptos" w:hAnsi="Verdana" w:cs="Arial"/>
          <w:lang w:val="es-ES_tradnl" w:eastAsia="es-CO"/>
        </w:rPr>
      </w:pPr>
    </w:p>
    <w:p w14:paraId="6A49FD05" w14:textId="54C71BEF" w:rsidR="00A30041" w:rsidRPr="0086202B" w:rsidRDefault="00905409" w:rsidP="00A30041">
      <w:pPr>
        <w:spacing w:after="0" w:line="276" w:lineRule="auto"/>
        <w:jc w:val="center"/>
        <w:rPr>
          <w:rFonts w:ascii="Verdana" w:eastAsia="Aptos" w:hAnsi="Verdana" w:cs="Arial"/>
          <w:lang w:val="es-ES_tradnl" w:eastAsia="es-CO"/>
        </w:rPr>
      </w:pPr>
      <w:r w:rsidRPr="0065791A">
        <w:rPr>
          <w:rFonts w:ascii="Century Gothic" w:hAnsi="Century Gothic"/>
          <w:noProof/>
        </w:rPr>
        <w:drawing>
          <wp:inline distT="0" distB="0" distL="0" distR="0" wp14:anchorId="758778FC" wp14:editId="69396197">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3"/>
                    <a:stretch>
                      <a:fillRect/>
                    </a:stretch>
                  </pic:blipFill>
                  <pic:spPr>
                    <a:xfrm>
                      <a:off x="0" y="0"/>
                      <a:ext cx="3962953" cy="1867161"/>
                    </a:xfrm>
                    <a:prstGeom prst="rect">
                      <a:avLst/>
                    </a:prstGeom>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A30041" w:rsidRPr="0086202B" w14:paraId="63610B5E" w14:textId="77777777" w:rsidTr="006F5ED1">
        <w:trPr>
          <w:trHeight w:val="286"/>
        </w:trPr>
        <w:tc>
          <w:tcPr>
            <w:tcW w:w="901" w:type="dxa"/>
            <w:vAlign w:val="center"/>
            <w:hideMark/>
          </w:tcPr>
          <w:p w14:paraId="337C9550" w14:textId="77777777" w:rsidR="00A30041" w:rsidRPr="0086202B" w:rsidRDefault="00A30041" w:rsidP="006F5ED1">
            <w:pPr>
              <w:rPr>
                <w:rFonts w:ascii="Verdana" w:eastAsia="Aptos" w:hAnsi="Verdana" w:cs="Arial"/>
                <w:sz w:val="14"/>
                <w:szCs w:val="14"/>
                <w:lang w:eastAsia="es-ES"/>
              </w:rPr>
            </w:pPr>
            <w:r w:rsidRPr="0086202B">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4D78F880" w14:textId="77777777" w:rsidR="00A30041" w:rsidRPr="0086202B" w:rsidRDefault="00A30041" w:rsidP="006F5ED1">
            <w:pPr>
              <w:rPr>
                <w:rFonts w:ascii="Verdana" w:eastAsia="Aptos" w:hAnsi="Verdana" w:cs="Arial"/>
                <w:sz w:val="14"/>
                <w:szCs w:val="14"/>
                <w:lang w:eastAsia="es-ES"/>
              </w:rPr>
            </w:pPr>
            <w:r w:rsidRPr="0086202B">
              <w:rPr>
                <w:rFonts w:ascii="Verdana" w:eastAsia="Aptos" w:hAnsi="Verdana" w:cs="Arial"/>
                <w:sz w:val="14"/>
                <w:szCs w:val="14"/>
                <w:lang w:eastAsia="es-ES"/>
              </w:rPr>
              <w:t>Nasly Yeana Mosquera Rivas</w:t>
            </w:r>
          </w:p>
          <w:p w14:paraId="34E2298E" w14:textId="77777777" w:rsidR="00A30041" w:rsidRPr="0086202B" w:rsidRDefault="00A30041" w:rsidP="006F5ED1">
            <w:pPr>
              <w:rPr>
                <w:rFonts w:ascii="Verdana" w:eastAsia="Aptos" w:hAnsi="Verdana" w:cs="Arial"/>
                <w:sz w:val="14"/>
                <w:szCs w:val="14"/>
                <w:lang w:eastAsia="es-ES"/>
              </w:rPr>
            </w:pPr>
            <w:r w:rsidRPr="0086202B">
              <w:rPr>
                <w:rFonts w:ascii="Verdana" w:eastAsia="Aptos" w:hAnsi="Verdana" w:cs="Arial"/>
                <w:sz w:val="14"/>
                <w:szCs w:val="14"/>
                <w:lang w:eastAsia="es-ES"/>
              </w:rPr>
              <w:t>Analista T2–06 de la Subdirección de Gestión Contractual</w:t>
            </w:r>
          </w:p>
        </w:tc>
      </w:tr>
      <w:tr w:rsidR="00A30041" w:rsidRPr="0086202B" w14:paraId="3DB7EF0A" w14:textId="77777777" w:rsidTr="006F5ED1">
        <w:trPr>
          <w:trHeight w:val="299"/>
        </w:trPr>
        <w:tc>
          <w:tcPr>
            <w:tcW w:w="901" w:type="dxa"/>
            <w:vAlign w:val="center"/>
          </w:tcPr>
          <w:p w14:paraId="1CFE0CBD" w14:textId="77777777" w:rsidR="00A30041" w:rsidRPr="0086202B" w:rsidRDefault="00A30041" w:rsidP="006F5ED1">
            <w:pPr>
              <w:rPr>
                <w:rFonts w:ascii="Verdana" w:eastAsia="Aptos" w:hAnsi="Verdana" w:cs="Arial"/>
                <w:sz w:val="14"/>
                <w:szCs w:val="14"/>
                <w:lang w:eastAsia="es-ES"/>
              </w:rPr>
            </w:pPr>
            <w:r w:rsidRPr="0086202B">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593B5E3D" w14:textId="77777777" w:rsidR="00A30041" w:rsidRPr="0086202B" w:rsidRDefault="00A30041" w:rsidP="006F5ED1">
            <w:pPr>
              <w:rPr>
                <w:rFonts w:ascii="Verdana" w:eastAsia="Aptos" w:hAnsi="Verdana" w:cs="Arial"/>
                <w:sz w:val="14"/>
                <w:szCs w:val="14"/>
                <w:lang w:eastAsia="es-ES"/>
              </w:rPr>
            </w:pPr>
            <w:r w:rsidRPr="0086202B">
              <w:rPr>
                <w:rFonts w:ascii="Verdana" w:eastAsia="Aptos" w:hAnsi="Verdana" w:cs="Arial"/>
                <w:sz w:val="14"/>
                <w:szCs w:val="14"/>
                <w:lang w:eastAsia="es-ES"/>
              </w:rPr>
              <w:t>Adriana Katerine López Rodríguez</w:t>
            </w:r>
          </w:p>
          <w:p w14:paraId="559B311C" w14:textId="77777777" w:rsidR="00A30041" w:rsidRPr="0086202B" w:rsidRDefault="00A30041" w:rsidP="006F5ED1">
            <w:pPr>
              <w:rPr>
                <w:rFonts w:ascii="Verdana" w:eastAsia="Aptos" w:hAnsi="Verdana" w:cs="Arial"/>
                <w:sz w:val="14"/>
                <w:szCs w:val="14"/>
                <w:lang w:eastAsia="es-ES"/>
              </w:rPr>
            </w:pPr>
            <w:r w:rsidRPr="0086202B">
              <w:rPr>
                <w:rFonts w:ascii="Verdana" w:eastAsia="Aptos" w:hAnsi="Verdana" w:cs="Arial"/>
                <w:sz w:val="14"/>
                <w:szCs w:val="14"/>
                <w:lang w:eastAsia="es-ES"/>
              </w:rPr>
              <w:t>Contratista de la Subdirección de Gestión Contractual</w:t>
            </w:r>
          </w:p>
        </w:tc>
      </w:tr>
      <w:tr w:rsidR="00A30041" w:rsidRPr="0086202B" w14:paraId="025405A3" w14:textId="77777777" w:rsidTr="006F5ED1">
        <w:trPr>
          <w:trHeight w:val="272"/>
        </w:trPr>
        <w:tc>
          <w:tcPr>
            <w:tcW w:w="901" w:type="dxa"/>
            <w:vAlign w:val="center"/>
            <w:hideMark/>
          </w:tcPr>
          <w:p w14:paraId="545A33BD" w14:textId="77777777" w:rsidR="00A30041" w:rsidRPr="0086202B" w:rsidRDefault="00A30041" w:rsidP="006F5ED1">
            <w:pPr>
              <w:rPr>
                <w:rFonts w:ascii="Verdana" w:eastAsia="Aptos" w:hAnsi="Verdana" w:cs="Arial"/>
                <w:sz w:val="14"/>
                <w:szCs w:val="14"/>
                <w:lang w:eastAsia="es-ES"/>
              </w:rPr>
            </w:pPr>
            <w:r w:rsidRPr="0086202B">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237FC316" w14:textId="77777777" w:rsidR="00A30041" w:rsidRPr="0086202B" w:rsidRDefault="00A30041" w:rsidP="006F5ED1">
            <w:pPr>
              <w:rPr>
                <w:rFonts w:ascii="Verdana" w:eastAsia="Aptos" w:hAnsi="Verdana" w:cs="Arial"/>
                <w:sz w:val="14"/>
                <w:szCs w:val="14"/>
                <w:lang w:eastAsia="es-ES"/>
              </w:rPr>
            </w:pPr>
            <w:r w:rsidRPr="0086202B">
              <w:rPr>
                <w:rFonts w:ascii="Verdana" w:eastAsia="Aptos" w:hAnsi="Verdana" w:cs="Arial"/>
                <w:sz w:val="14"/>
                <w:szCs w:val="14"/>
                <w:lang w:eastAsia="es-ES"/>
              </w:rPr>
              <w:t>Carolina Quintero Gacharná</w:t>
            </w:r>
          </w:p>
          <w:p w14:paraId="776BEC45" w14:textId="77777777" w:rsidR="00A30041" w:rsidRPr="0086202B" w:rsidRDefault="00A30041" w:rsidP="006F5ED1">
            <w:pPr>
              <w:rPr>
                <w:rFonts w:ascii="Verdana" w:eastAsia="Aptos" w:hAnsi="Verdana" w:cs="Arial"/>
                <w:sz w:val="14"/>
                <w:szCs w:val="14"/>
                <w:lang w:eastAsia="es-ES"/>
              </w:rPr>
            </w:pPr>
            <w:r w:rsidRPr="0086202B">
              <w:rPr>
                <w:rFonts w:ascii="Verdana" w:eastAsia="Aptos" w:hAnsi="Verdana" w:cs="Arial"/>
                <w:sz w:val="14"/>
                <w:szCs w:val="14"/>
                <w:lang w:eastAsia="es-ES"/>
              </w:rPr>
              <w:t>Subdirectora de Gestión Contractual ANCP – CCE</w:t>
            </w:r>
          </w:p>
        </w:tc>
      </w:tr>
    </w:tbl>
    <w:p w14:paraId="6C68E759" w14:textId="77777777" w:rsidR="00A30041" w:rsidRPr="0086202B" w:rsidRDefault="00A30041" w:rsidP="00A30041">
      <w:pPr>
        <w:spacing w:after="0" w:line="240" w:lineRule="auto"/>
        <w:rPr>
          <w:rFonts w:ascii="Verdana" w:eastAsia="Times New Roman" w:hAnsi="Verdana" w:cs="Arial"/>
          <w:sz w:val="24"/>
          <w:szCs w:val="24"/>
          <w:lang w:eastAsia="es-ES"/>
        </w:rPr>
      </w:pPr>
    </w:p>
    <w:p w14:paraId="0F8036D3" w14:textId="77777777" w:rsidR="00A30041" w:rsidRPr="0086202B" w:rsidRDefault="00A30041" w:rsidP="00A30041">
      <w:pPr>
        <w:rPr>
          <w:rFonts w:ascii="Verdana" w:eastAsia="Aptos" w:hAnsi="Verdana" w:cs="Times New Roman"/>
        </w:rPr>
      </w:pPr>
    </w:p>
    <w:p w14:paraId="44C40003" w14:textId="77777777" w:rsidR="00A30041" w:rsidRPr="0086202B" w:rsidRDefault="00A30041" w:rsidP="00A30041">
      <w:pPr>
        <w:rPr>
          <w:rFonts w:ascii="Verdana" w:eastAsia="Aptos" w:hAnsi="Verdana" w:cs="Arial"/>
        </w:rPr>
      </w:pPr>
    </w:p>
    <w:p w14:paraId="2E41583F" w14:textId="51AF56E5" w:rsidR="00A30041" w:rsidRPr="000E2B93" w:rsidRDefault="00A30041" w:rsidP="00A30041">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69753FFF" w14:textId="77777777" w:rsidR="008E5C2E" w:rsidRDefault="008E5C2E"/>
    <w:sectPr w:rsidR="008E5C2E" w:rsidSect="00A30041">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E38D6D" w14:textId="77777777" w:rsidR="00014E82" w:rsidRDefault="00014E82" w:rsidP="00A30041">
      <w:pPr>
        <w:spacing w:after="0" w:line="240" w:lineRule="auto"/>
      </w:pPr>
      <w:r>
        <w:separator/>
      </w:r>
    </w:p>
  </w:endnote>
  <w:endnote w:type="continuationSeparator" w:id="0">
    <w:p w14:paraId="3385F89B" w14:textId="77777777" w:rsidR="00014E82" w:rsidRDefault="00014E82" w:rsidP="00A300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Quattrocento Sans">
    <w:charset w:val="00"/>
    <w:family w:val="swiss"/>
    <w:pitch w:val="variable"/>
    <w:sig w:usb0="800000BF" w:usb1="4000005B"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3B0906" w14:textId="77777777" w:rsidR="00A30041" w:rsidRDefault="00A30041">
    <w:pPr>
      <w:pStyle w:val="Piedepgina"/>
    </w:pPr>
  </w:p>
  <w:p w14:paraId="5BD5DE48" w14:textId="77777777" w:rsidR="00A30041" w:rsidRPr="00174B77" w:rsidRDefault="00A3004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36BD455A" w14:textId="77777777" w:rsidR="00A30041" w:rsidRDefault="00A3004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161A5554" w14:textId="77777777" w:rsidR="00A30041" w:rsidRPr="00E41027" w:rsidRDefault="00A3004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0B4843DF" w14:textId="77777777" w:rsidR="00A30041" w:rsidRDefault="00A3004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86202B">
      <w:rPr>
        <w:rFonts w:ascii="Verdana" w:eastAsia="Verdana" w:hAnsi="Verdana" w:cs="Verdana"/>
        <w:b/>
        <w:bCs/>
        <w:color w:val="000000"/>
        <w:sz w:val="18"/>
        <w:szCs w:val="18"/>
        <w:lang w:eastAsia="es-CO"/>
      </w:rPr>
      <w:t xml:space="preserve">Código: </w:t>
    </w:r>
    <w:r w:rsidRPr="0086202B">
      <w:rPr>
        <w:rFonts w:ascii="Verdana" w:eastAsia="Verdana" w:hAnsi="Verdana" w:cs="Verdana"/>
        <w:color w:val="000000"/>
        <w:sz w:val="18"/>
        <w:szCs w:val="18"/>
        <w:lang w:eastAsia="es-CO"/>
      </w:rPr>
      <w:t xml:space="preserve">CCE-REC-FM-17 </w:t>
    </w:r>
    <w:r w:rsidRPr="0086202B">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F76DD9" w14:textId="77777777" w:rsidR="00014E82" w:rsidRDefault="00014E82" w:rsidP="00A30041">
      <w:pPr>
        <w:spacing w:after="0" w:line="240" w:lineRule="auto"/>
      </w:pPr>
      <w:r>
        <w:separator/>
      </w:r>
    </w:p>
  </w:footnote>
  <w:footnote w:type="continuationSeparator" w:id="0">
    <w:p w14:paraId="5F87BEDE" w14:textId="77777777" w:rsidR="00014E82" w:rsidRDefault="00014E82" w:rsidP="00A30041">
      <w:pPr>
        <w:spacing w:after="0" w:line="240" w:lineRule="auto"/>
      </w:pPr>
      <w:r>
        <w:continuationSeparator/>
      </w:r>
    </w:p>
  </w:footnote>
  <w:footnote w:id="1">
    <w:p w14:paraId="10674C16" w14:textId="77777777" w:rsidR="00A30041" w:rsidRPr="00B1039B" w:rsidRDefault="00A30041" w:rsidP="00A30041">
      <w:pPr>
        <w:pBdr>
          <w:top w:val="nil"/>
          <w:left w:val="nil"/>
          <w:bottom w:val="nil"/>
          <w:right w:val="nil"/>
          <w:between w:val="nil"/>
        </w:pBdr>
        <w:spacing w:after="0"/>
        <w:ind w:firstLine="709"/>
        <w:jc w:val="both"/>
        <w:rPr>
          <w:rFonts w:ascii="Verdana" w:eastAsia="Arial" w:hAnsi="Verdana" w:cs="Arial"/>
          <w:color w:val="000000"/>
          <w:sz w:val="18"/>
          <w:szCs w:val="18"/>
        </w:rPr>
      </w:pPr>
      <w:r w:rsidRPr="00B1039B">
        <w:rPr>
          <w:rFonts w:ascii="Verdana" w:hAnsi="Verdana" w:cs="Arial"/>
          <w:sz w:val="18"/>
          <w:szCs w:val="18"/>
          <w:vertAlign w:val="superscript"/>
        </w:rPr>
        <w:footnoteRef/>
      </w:r>
      <w:r w:rsidRPr="00B1039B">
        <w:rPr>
          <w:rFonts w:ascii="Verdana" w:eastAsia="Arial" w:hAnsi="Verdana" w:cs="Arial"/>
          <w:color w:val="000000"/>
          <w:sz w:val="18"/>
          <w:szCs w:val="18"/>
        </w:rPr>
        <w:t xml:space="preserve"> Al respecto, conviene recordar el artículo 29 de la Ley 80 de 1993, derogado por el artículo 32 de la Ley 1150 de 2007, que establecía: “La selección de contratistas será objetiva.</w:t>
      </w:r>
    </w:p>
    <w:p w14:paraId="65DEACD9" w14:textId="77777777" w:rsidR="00A30041" w:rsidRPr="00B1039B" w:rsidRDefault="00A30041" w:rsidP="00A30041">
      <w:pPr>
        <w:pBdr>
          <w:top w:val="nil"/>
          <w:left w:val="nil"/>
          <w:bottom w:val="nil"/>
          <w:right w:val="nil"/>
          <w:between w:val="nil"/>
        </w:pBdr>
        <w:spacing w:after="0"/>
        <w:ind w:firstLine="709"/>
        <w:jc w:val="both"/>
        <w:rPr>
          <w:rFonts w:ascii="Verdana" w:eastAsia="Arial" w:hAnsi="Verdana" w:cs="Arial"/>
          <w:color w:val="000000"/>
          <w:sz w:val="18"/>
          <w:szCs w:val="18"/>
        </w:rPr>
      </w:pPr>
      <w:r w:rsidRPr="00B1039B">
        <w:rPr>
          <w:rFonts w:ascii="Verdana" w:eastAsia="Arial" w:hAnsi="Verdana" w:cs="Arial"/>
          <w:color w:val="000000"/>
          <w:sz w:val="18"/>
          <w:szCs w:val="18"/>
        </w:rPr>
        <w:t>Es objetiva la selección en la cual la escogencia se hace al ofrecimiento más favorable a la entidad y a los fines que ella busca, sin tener en consideración factores de afecto o de interés y, en general, cualquier clase de motivación subjetiva.</w:t>
      </w:r>
    </w:p>
    <w:p w14:paraId="2A99FE43" w14:textId="77777777" w:rsidR="00A30041" w:rsidRPr="00B1039B" w:rsidRDefault="00A30041" w:rsidP="00A30041">
      <w:pPr>
        <w:pBdr>
          <w:top w:val="nil"/>
          <w:left w:val="nil"/>
          <w:bottom w:val="nil"/>
          <w:right w:val="nil"/>
          <w:between w:val="nil"/>
        </w:pBdr>
        <w:spacing w:after="0"/>
        <w:ind w:firstLine="709"/>
        <w:jc w:val="both"/>
        <w:rPr>
          <w:rFonts w:ascii="Verdana" w:eastAsia="Arial" w:hAnsi="Verdana" w:cs="Arial"/>
          <w:color w:val="000000"/>
          <w:sz w:val="18"/>
          <w:szCs w:val="18"/>
        </w:rPr>
      </w:pPr>
      <w:r w:rsidRPr="00B1039B">
        <w:rPr>
          <w:rFonts w:ascii="Verdana" w:eastAsia="Arial" w:hAnsi="Verdana" w:cs="Arial"/>
          <w:color w:val="000000"/>
          <w:sz w:val="18"/>
          <w:szCs w:val="18"/>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 .</w:t>
      </w:r>
    </w:p>
    <w:p w14:paraId="70BC2CB9" w14:textId="77777777" w:rsidR="00A30041" w:rsidRPr="00B1039B" w:rsidRDefault="00A30041" w:rsidP="00A30041">
      <w:pPr>
        <w:pBdr>
          <w:top w:val="nil"/>
          <w:left w:val="nil"/>
          <w:bottom w:val="nil"/>
          <w:right w:val="nil"/>
          <w:between w:val="nil"/>
        </w:pBdr>
        <w:spacing w:after="0"/>
        <w:ind w:firstLine="709"/>
        <w:jc w:val="both"/>
        <w:rPr>
          <w:rFonts w:ascii="Verdana" w:eastAsia="Arial" w:hAnsi="Verdana" w:cs="Arial"/>
          <w:color w:val="000000"/>
          <w:sz w:val="18"/>
          <w:szCs w:val="18"/>
        </w:rPr>
      </w:pPr>
      <w:r w:rsidRPr="00B1039B">
        <w:rPr>
          <w:rFonts w:ascii="Verdana" w:eastAsia="Arial" w:hAnsi="Verdana" w:cs="Arial"/>
          <w:color w:val="000000"/>
          <w:sz w:val="18"/>
          <w:szCs w:val="18"/>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7E0CB3FB" w14:textId="77777777" w:rsidR="00A30041" w:rsidRPr="00B1039B" w:rsidRDefault="00A30041" w:rsidP="00A30041">
      <w:pPr>
        <w:pBdr>
          <w:top w:val="nil"/>
          <w:left w:val="nil"/>
          <w:bottom w:val="nil"/>
          <w:right w:val="nil"/>
          <w:between w:val="nil"/>
        </w:pBdr>
        <w:spacing w:after="0"/>
        <w:ind w:firstLine="709"/>
        <w:jc w:val="both"/>
        <w:rPr>
          <w:rFonts w:ascii="Verdana" w:eastAsia="Arial" w:hAnsi="Verdana" w:cs="Arial"/>
          <w:color w:val="000000"/>
          <w:sz w:val="18"/>
          <w:szCs w:val="18"/>
        </w:rPr>
      </w:pPr>
      <w:r w:rsidRPr="00B1039B">
        <w:rPr>
          <w:rFonts w:ascii="Verdana" w:eastAsia="Arial" w:hAnsi="Verdana" w:cs="Arial"/>
          <w:color w:val="000000"/>
          <w:sz w:val="18"/>
          <w:szCs w:val="18"/>
        </w:rPr>
        <w:t>En caso de comparación de propuestas nacionales y extranjeras, se incluirán los costos necesarios para la entrega del producto terminado en el lugar de su utilización”.</w:t>
      </w:r>
    </w:p>
  </w:footnote>
  <w:footnote w:id="2">
    <w:p w14:paraId="4861B146" w14:textId="77777777" w:rsidR="00A30041" w:rsidRPr="00B1039B" w:rsidRDefault="00A30041" w:rsidP="00A30041">
      <w:pPr>
        <w:pBdr>
          <w:top w:val="nil"/>
          <w:left w:val="nil"/>
          <w:bottom w:val="nil"/>
          <w:right w:val="nil"/>
          <w:between w:val="nil"/>
        </w:pBdr>
        <w:spacing w:after="0"/>
        <w:ind w:firstLine="708"/>
        <w:jc w:val="both"/>
        <w:rPr>
          <w:rFonts w:ascii="Verdana" w:eastAsia="Arial" w:hAnsi="Verdana" w:cs="Arial"/>
          <w:color w:val="000000"/>
          <w:sz w:val="18"/>
          <w:szCs w:val="18"/>
        </w:rPr>
      </w:pPr>
      <w:r w:rsidRPr="00B1039B">
        <w:rPr>
          <w:rFonts w:ascii="Verdana" w:hAnsi="Verdana" w:cs="Arial"/>
          <w:sz w:val="18"/>
          <w:szCs w:val="18"/>
          <w:vertAlign w:val="superscript"/>
        </w:rPr>
        <w:footnoteRef/>
      </w:r>
      <w:r w:rsidRPr="00B1039B">
        <w:rPr>
          <w:rFonts w:ascii="Verdana" w:eastAsia="Arial" w:hAnsi="Verdana" w:cs="Arial"/>
          <w:color w:val="000000"/>
          <w:sz w:val="18"/>
          <w:szCs w:val="18"/>
        </w:rPr>
        <w:t xml:space="preserve"> RODRÍGUEZ TAMAYO, Mauricio F. Evaluación y rechazo de ofertas en la Ley 80 de 1993. Primera edición. Medellín: Librería Jurídica Sánchez, 2016. pp. 110-111.</w:t>
      </w:r>
    </w:p>
  </w:footnote>
  <w:footnote w:id="3">
    <w:p w14:paraId="66DAA577" w14:textId="77777777" w:rsidR="00A30041" w:rsidRPr="00B1039B" w:rsidRDefault="00A30041" w:rsidP="00A30041">
      <w:pPr>
        <w:pBdr>
          <w:top w:val="nil"/>
          <w:left w:val="nil"/>
          <w:bottom w:val="nil"/>
          <w:right w:val="nil"/>
          <w:between w:val="nil"/>
        </w:pBdr>
        <w:spacing w:after="0"/>
        <w:ind w:firstLine="708"/>
        <w:jc w:val="both"/>
        <w:rPr>
          <w:rFonts w:ascii="Verdana" w:eastAsia="Arial" w:hAnsi="Verdana" w:cs="Arial"/>
          <w:color w:val="000000"/>
          <w:sz w:val="18"/>
          <w:szCs w:val="18"/>
        </w:rPr>
      </w:pPr>
      <w:r w:rsidRPr="00B1039B">
        <w:rPr>
          <w:rFonts w:ascii="Verdana" w:hAnsi="Verdana" w:cs="Arial"/>
          <w:sz w:val="18"/>
          <w:szCs w:val="18"/>
          <w:vertAlign w:val="superscript"/>
        </w:rPr>
        <w:footnoteRef/>
      </w:r>
      <w:r w:rsidRPr="00B1039B">
        <w:rPr>
          <w:rFonts w:ascii="Verdana" w:eastAsia="Arial" w:hAnsi="Verdana" w:cs="Arial"/>
          <w:color w:val="000000"/>
          <w:sz w:val="18"/>
          <w:szCs w:val="18"/>
        </w:rPr>
        <w:t xml:space="preserve"> EXPÓSITO VELEZ, Juan C., El deber de selección objetiva, en: Del contrato estatal a los sistemas de compras públicas, por COVILLA MARTINEZ Juan C. y LOZANO VILLEGAS Germán (Eds.). Universidad Externado de Colombia, Bogotá, 2019. págs. 118-184.</w:t>
      </w:r>
    </w:p>
  </w:footnote>
  <w:footnote w:id="4">
    <w:p w14:paraId="6D0ABAAB" w14:textId="77777777" w:rsidR="00A30041" w:rsidRDefault="00A30041" w:rsidP="00A30041">
      <w:pPr>
        <w:pBdr>
          <w:top w:val="nil"/>
          <w:left w:val="nil"/>
          <w:bottom w:val="nil"/>
          <w:right w:val="nil"/>
          <w:between w:val="nil"/>
        </w:pBdr>
        <w:spacing w:after="0"/>
        <w:ind w:firstLine="708"/>
        <w:jc w:val="both"/>
        <w:rPr>
          <w:rFonts w:ascii="Verdana" w:eastAsia="Arial" w:hAnsi="Verdana" w:cs="Arial"/>
          <w:i/>
          <w:color w:val="000000"/>
          <w:sz w:val="18"/>
          <w:szCs w:val="18"/>
        </w:rPr>
      </w:pPr>
    </w:p>
    <w:p w14:paraId="4FA8164D" w14:textId="77777777" w:rsidR="00A30041" w:rsidRPr="00B1039B" w:rsidRDefault="00A30041" w:rsidP="00A30041">
      <w:pPr>
        <w:pBdr>
          <w:top w:val="nil"/>
          <w:left w:val="nil"/>
          <w:bottom w:val="nil"/>
          <w:right w:val="nil"/>
          <w:between w:val="nil"/>
        </w:pBdr>
        <w:spacing w:after="0"/>
        <w:ind w:firstLine="708"/>
        <w:jc w:val="both"/>
        <w:rPr>
          <w:rFonts w:ascii="Verdana" w:eastAsia="Arial" w:hAnsi="Verdana" w:cs="Arial"/>
          <w:color w:val="000000"/>
          <w:sz w:val="18"/>
          <w:szCs w:val="18"/>
        </w:rPr>
      </w:pPr>
      <w:r w:rsidRPr="00B1039B">
        <w:rPr>
          <w:rFonts w:ascii="Verdana" w:hAnsi="Verdana" w:cs="Arial"/>
          <w:sz w:val="18"/>
          <w:szCs w:val="18"/>
          <w:vertAlign w:val="superscript"/>
        </w:rPr>
        <w:footnoteRef/>
      </w:r>
      <w:r w:rsidRPr="00B1039B">
        <w:rPr>
          <w:rFonts w:ascii="Verdana" w:eastAsia="Arial" w:hAnsi="Verdana" w:cs="Arial"/>
          <w:i/>
          <w:color w:val="000000"/>
          <w:sz w:val="18"/>
          <w:szCs w:val="18"/>
        </w:rPr>
        <w:t xml:space="preserve"> Ibídem.</w:t>
      </w:r>
    </w:p>
  </w:footnote>
  <w:footnote w:id="5">
    <w:p w14:paraId="7E6C5C43" w14:textId="77777777" w:rsidR="00A30041" w:rsidRPr="00B1039B" w:rsidRDefault="00A30041" w:rsidP="00A30041">
      <w:pPr>
        <w:spacing w:after="0"/>
        <w:ind w:firstLine="708"/>
        <w:jc w:val="both"/>
        <w:rPr>
          <w:rFonts w:ascii="Verdana" w:eastAsia="Arial" w:hAnsi="Verdana" w:cs="Arial"/>
          <w:sz w:val="18"/>
          <w:szCs w:val="18"/>
          <w:lang w:val="es-MX"/>
        </w:rPr>
      </w:pPr>
      <w:r w:rsidRPr="00B1039B">
        <w:rPr>
          <w:rFonts w:ascii="Verdana" w:hAnsi="Verdana" w:cs="Arial"/>
          <w:sz w:val="18"/>
          <w:szCs w:val="18"/>
          <w:vertAlign w:val="superscript"/>
        </w:rPr>
        <w:footnoteRef/>
      </w:r>
      <w:r w:rsidRPr="00B1039B">
        <w:rPr>
          <w:rFonts w:ascii="Verdana" w:eastAsia="Arial" w:hAnsi="Verdana" w:cs="Arial"/>
          <w:sz w:val="18"/>
          <w:szCs w:val="18"/>
        </w:rPr>
        <w:t xml:space="preserve"> Decreto 1082 de 2015 “Artículo 2.2.1.1.2.2.2. </w:t>
      </w:r>
      <w:bookmarkStart w:id="4" w:name="_Hlk127183858"/>
      <w:r w:rsidRPr="00B1039B">
        <w:rPr>
          <w:rFonts w:ascii="Verdana" w:eastAsia="Arial" w:hAnsi="Verdana" w:cs="Arial"/>
          <w:sz w:val="18"/>
          <w:szCs w:val="18"/>
        </w:rPr>
        <w:t>Modificado por el </w:t>
      </w:r>
      <w:bookmarkEnd w:id="4"/>
      <w:r w:rsidRPr="00B1039B">
        <w:rPr>
          <w:rFonts w:ascii="Verdana" w:eastAsia="Arial" w:hAnsi="Verdana" w:cs="Arial"/>
          <w:sz w:val="18"/>
          <w:szCs w:val="18"/>
        </w:rPr>
        <w:t>Decreto 142 de 2023, artículo 4º. Ofrecimiento más favorable.</w:t>
      </w:r>
      <w:r w:rsidRPr="00B1039B">
        <w:rPr>
          <w:rFonts w:ascii="Verdana" w:eastAsia="Arial" w:hAnsi="Verdana" w:cs="Arial"/>
          <w:b/>
          <w:bCs/>
          <w:sz w:val="18"/>
          <w:szCs w:val="18"/>
        </w:rPr>
        <w:t xml:space="preserve"> </w:t>
      </w:r>
      <w:r w:rsidRPr="00B1039B">
        <w:rPr>
          <w:rFonts w:ascii="Verdana" w:eastAsia="Arial" w:hAnsi="Verdana" w:cs="Arial"/>
          <w:sz w:val="18"/>
          <w:szCs w:val="18"/>
          <w:lang w:val="es-MX"/>
        </w:rPr>
        <w:t>La Entidad Estatal debe determinar la oferta más favorable teniendo en cuenta las normas aplicables a cada modalidad de selección del contratista.</w:t>
      </w:r>
    </w:p>
    <w:p w14:paraId="1E1C83CF" w14:textId="77777777" w:rsidR="00A30041" w:rsidRPr="00B1039B" w:rsidRDefault="00A30041" w:rsidP="00A30041">
      <w:pPr>
        <w:spacing w:after="0"/>
        <w:ind w:firstLine="708"/>
        <w:jc w:val="both"/>
        <w:rPr>
          <w:rFonts w:ascii="Verdana" w:eastAsia="Arial" w:hAnsi="Verdana" w:cs="Arial"/>
          <w:sz w:val="18"/>
          <w:szCs w:val="18"/>
          <w:lang w:val="es-MX"/>
        </w:rPr>
      </w:pPr>
      <w:r w:rsidRPr="00B1039B">
        <w:rPr>
          <w:rFonts w:ascii="Verdana" w:eastAsia="Arial" w:hAnsi="Verdana" w:cs="Arial"/>
          <w:sz w:val="18"/>
          <w:szCs w:val="18"/>
          <w:lang w:val="es-MX"/>
        </w:rPr>
        <w:t>En la licitación y la selección abreviada de menor cuantía, la Entidad Estatal debe determinar la oferta más favorable teniendo en cuenta: (a) la ponderación de los elementos de calidad y precio soportados en puntajes o fórmulas; o (b) la ponderación de los elementos de calidad y precio que representen la mejor relación de costo-beneficio. Si la Entidad Estatal decide determinar la oferta de acuerdo con el literal (b) anterior debe señalar en los pliegos de condiciones:</w:t>
      </w:r>
    </w:p>
    <w:p w14:paraId="46F94D47" w14:textId="77777777" w:rsidR="00A30041" w:rsidRPr="00B1039B" w:rsidRDefault="00A30041" w:rsidP="00A30041">
      <w:pPr>
        <w:spacing w:after="0"/>
        <w:ind w:firstLine="708"/>
        <w:jc w:val="both"/>
        <w:rPr>
          <w:rFonts w:ascii="Verdana" w:eastAsia="Arial" w:hAnsi="Verdana" w:cs="Arial"/>
          <w:sz w:val="18"/>
          <w:szCs w:val="18"/>
          <w:lang w:val="es-MX"/>
        </w:rPr>
      </w:pPr>
      <w:r w:rsidRPr="00B1039B">
        <w:rPr>
          <w:rFonts w:ascii="Verdana" w:eastAsia="Arial" w:hAnsi="Verdana" w:cs="Arial"/>
          <w:sz w:val="18"/>
          <w:szCs w:val="18"/>
          <w:lang w:val="es-MX"/>
        </w:rPr>
        <w:t>1. Las condiciones técnicas y económicas mínimas de la oferta.</w:t>
      </w:r>
    </w:p>
    <w:p w14:paraId="651675A8" w14:textId="77777777" w:rsidR="00A30041" w:rsidRPr="00B1039B" w:rsidRDefault="00A30041" w:rsidP="00A30041">
      <w:pPr>
        <w:spacing w:after="0"/>
        <w:ind w:firstLine="708"/>
        <w:jc w:val="both"/>
        <w:rPr>
          <w:rFonts w:ascii="Verdana" w:eastAsia="Arial" w:hAnsi="Verdana" w:cs="Arial"/>
          <w:sz w:val="18"/>
          <w:szCs w:val="18"/>
          <w:lang w:val="es-MX"/>
        </w:rPr>
      </w:pPr>
      <w:r w:rsidRPr="00B1039B">
        <w:rPr>
          <w:rFonts w:ascii="Verdana" w:eastAsia="Arial" w:hAnsi="Verdana" w:cs="Arial"/>
          <w:sz w:val="18"/>
          <w:szCs w:val="18"/>
          <w:lang w:val="es-MX"/>
        </w:rPr>
        <w:t>2. Las condiciones técnicas adicionales que representan ventajas de calidad o de funcionamiento, tales como el uso de tecnología o materiales que generen mayor eficiencia, rendimiento o duración del bien, obra o servicio.</w:t>
      </w:r>
    </w:p>
    <w:p w14:paraId="29AC9835" w14:textId="77777777" w:rsidR="00A30041" w:rsidRPr="00B1039B" w:rsidRDefault="00A30041" w:rsidP="00A30041">
      <w:pPr>
        <w:spacing w:after="0"/>
        <w:ind w:firstLine="708"/>
        <w:jc w:val="both"/>
        <w:rPr>
          <w:rFonts w:ascii="Verdana" w:eastAsia="Arial" w:hAnsi="Verdana" w:cs="Arial"/>
          <w:sz w:val="18"/>
          <w:szCs w:val="18"/>
          <w:lang w:val="es-MX"/>
        </w:rPr>
      </w:pPr>
      <w:r w:rsidRPr="00B1039B">
        <w:rPr>
          <w:rFonts w:ascii="Verdana" w:eastAsia="Arial" w:hAnsi="Verdana" w:cs="Arial"/>
          <w:sz w:val="18"/>
          <w:szCs w:val="18"/>
          <w:lang w:val="es-MX"/>
        </w:rPr>
        <w:t>3. Las condiciones económicas adicionales que representen ventajas en términos de economía, eficiencia y eficacia, que puedan ser valoradas en dinero, como por ejemplo la forma de pago, descuentos por adjudicación de varios lotes, descuentos por variaciones en programas de entregas, mayor garantía del bien o servicio respecto de la mínima requerida, impacto económico sobre las condiciones existentes de la Entidad Estatal relacionadas con el objeto a contratar, mayor asunción de los Riesgos, servicios o bienes adicionales y que representen un mayor grado de satisfacción para la entidad, entre otras.</w:t>
      </w:r>
    </w:p>
    <w:p w14:paraId="5D57EB7D" w14:textId="77777777" w:rsidR="00A30041" w:rsidRPr="00B1039B" w:rsidRDefault="00A30041" w:rsidP="00A30041">
      <w:pPr>
        <w:spacing w:after="0"/>
        <w:ind w:firstLine="708"/>
        <w:jc w:val="both"/>
        <w:rPr>
          <w:rFonts w:ascii="Verdana" w:eastAsia="Arial" w:hAnsi="Verdana" w:cs="Arial"/>
          <w:sz w:val="18"/>
          <w:szCs w:val="18"/>
          <w:lang w:val="es-MX"/>
        </w:rPr>
      </w:pPr>
      <w:r w:rsidRPr="00B1039B">
        <w:rPr>
          <w:rFonts w:ascii="Verdana" w:eastAsia="Arial" w:hAnsi="Verdana" w:cs="Arial"/>
          <w:sz w:val="18"/>
          <w:szCs w:val="18"/>
          <w:lang w:val="es-MX"/>
        </w:rPr>
        <w:t>4. El valor en dinero que la Entidad Estatal asigna a cada ofrecimiento técnico o económico adicional, para permitir la ponderación de las ofertas presentadas.</w:t>
      </w:r>
    </w:p>
    <w:p w14:paraId="10F20A22" w14:textId="77777777" w:rsidR="00A30041" w:rsidRPr="00B1039B" w:rsidRDefault="00A30041" w:rsidP="00A30041">
      <w:pPr>
        <w:spacing w:after="0"/>
        <w:ind w:firstLine="708"/>
        <w:jc w:val="both"/>
        <w:rPr>
          <w:rFonts w:ascii="Verdana" w:eastAsia="Arial" w:hAnsi="Verdana" w:cs="Arial"/>
          <w:sz w:val="18"/>
          <w:szCs w:val="18"/>
          <w:lang w:val="es-MX"/>
        </w:rPr>
      </w:pPr>
      <w:r w:rsidRPr="00B1039B">
        <w:rPr>
          <w:rFonts w:ascii="Verdana" w:eastAsia="Arial" w:hAnsi="Verdana" w:cs="Arial"/>
          <w:sz w:val="18"/>
          <w:szCs w:val="18"/>
          <w:lang w:val="es-MX"/>
        </w:rPr>
        <w:t>La Entidad Estatal debe calcular la relación costo-beneficio de cada oferta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w:t>
      </w:r>
    </w:p>
    <w:p w14:paraId="307B6729" w14:textId="77777777" w:rsidR="00A30041" w:rsidRPr="00B1039B" w:rsidRDefault="00A30041" w:rsidP="00A30041">
      <w:pPr>
        <w:spacing w:after="0"/>
        <w:ind w:firstLine="708"/>
        <w:jc w:val="both"/>
        <w:rPr>
          <w:rFonts w:ascii="Verdana" w:eastAsia="Arial" w:hAnsi="Verdana" w:cs="Arial"/>
          <w:sz w:val="18"/>
          <w:szCs w:val="18"/>
          <w:lang w:val="es-MX"/>
        </w:rPr>
      </w:pPr>
      <w:r w:rsidRPr="00B1039B">
        <w:rPr>
          <w:rFonts w:ascii="Verdana" w:eastAsia="Arial" w:hAnsi="Verdana" w:cs="Arial"/>
          <w:sz w:val="18"/>
          <w:szCs w:val="18"/>
          <w:lang w:val="es-MX"/>
        </w:rPr>
        <w:t>La Entidad Estatal debe adjudicar al oferente que presentó la oferta con la mejor relación costo-beneficio y suscribir el contrato por el precio total ofrecido.</w:t>
      </w:r>
    </w:p>
    <w:p w14:paraId="09315B33" w14:textId="77777777" w:rsidR="00A30041" w:rsidRPr="00B1039B" w:rsidRDefault="00A30041" w:rsidP="00A30041">
      <w:pPr>
        <w:spacing w:after="0"/>
        <w:ind w:firstLine="708"/>
        <w:jc w:val="both"/>
        <w:rPr>
          <w:rFonts w:ascii="Verdana" w:eastAsia="Arial" w:hAnsi="Verdana" w:cs="Arial"/>
          <w:sz w:val="18"/>
          <w:szCs w:val="18"/>
          <w:lang w:val="es-MX"/>
        </w:rPr>
      </w:pPr>
      <w:r w:rsidRPr="00B1039B">
        <w:rPr>
          <w:rFonts w:ascii="Verdana" w:eastAsia="Arial" w:hAnsi="Verdana" w:cs="Arial"/>
          <w:sz w:val="18"/>
          <w:szCs w:val="18"/>
          <w:lang w:val="es-MX"/>
        </w:rPr>
        <w:t>Para la adquisición de Bienes y Servicios de Características Técnicas No Uniformes a través de Acuerdos Marco de Precios e Instrumentos de Agregación de Demanda, el ofrecimiento más favorable parte de la definición que la Entidad Estatal que estructura el Instrumento de Agregación de Demanda o Acuerdo Marco de Precios hace en la Operación Principal de las condiciones técnicas y económicas mínimas del bien o servicio.</w:t>
      </w:r>
    </w:p>
    <w:p w14:paraId="45847C0F" w14:textId="77777777" w:rsidR="00A30041" w:rsidRPr="00B1039B" w:rsidRDefault="00A30041" w:rsidP="00A30041">
      <w:pPr>
        <w:spacing w:after="0"/>
        <w:ind w:firstLine="708"/>
        <w:jc w:val="both"/>
        <w:rPr>
          <w:rFonts w:ascii="Verdana" w:eastAsia="Arial" w:hAnsi="Verdana" w:cs="Arial"/>
          <w:sz w:val="18"/>
          <w:szCs w:val="18"/>
          <w:lang w:val="es-MX"/>
        </w:rPr>
      </w:pPr>
      <w:r w:rsidRPr="00B1039B">
        <w:rPr>
          <w:rFonts w:ascii="Verdana" w:eastAsia="Arial" w:hAnsi="Verdana" w:cs="Arial"/>
          <w:sz w:val="18"/>
          <w:szCs w:val="18"/>
          <w:lang w:val="es-MX"/>
        </w:rPr>
        <w:t>Las Entidades Estatales que compren en la operación secundaria de un Acuerdo Marco de Precios o Instrumento de Agregación de Demanda, deben evaluar las cotizaciones de los proveedores bajo las condiciones que el instrumento fija para definir la oferta más favorable.</w:t>
      </w:r>
    </w:p>
    <w:p w14:paraId="06981EB3" w14:textId="77777777" w:rsidR="00A30041" w:rsidRPr="00B1039B" w:rsidRDefault="00A30041" w:rsidP="00A30041">
      <w:pPr>
        <w:spacing w:after="0"/>
        <w:ind w:firstLine="708"/>
        <w:jc w:val="both"/>
        <w:rPr>
          <w:rFonts w:ascii="Verdana" w:eastAsia="Arial" w:hAnsi="Verdana" w:cs="Arial"/>
          <w:sz w:val="18"/>
          <w:szCs w:val="18"/>
        </w:rPr>
      </w:pPr>
      <w:r w:rsidRPr="00B1039B">
        <w:rPr>
          <w:rFonts w:ascii="Verdana" w:eastAsia="Arial" w:hAnsi="Verdana" w:cs="Arial"/>
          <w:sz w:val="18"/>
          <w:szCs w:val="18"/>
        </w:rPr>
        <w:t>Parágrafo. Los criterios de calidad para evaluar la mejor relación calidad precio podrán incluir criterios ambientales o sociales vinculados al objeto del contrato.</w:t>
      </w:r>
    </w:p>
    <w:p w14:paraId="14DE64F0" w14:textId="77777777" w:rsidR="00A30041" w:rsidRPr="00B1039B" w:rsidRDefault="00A30041" w:rsidP="00A30041">
      <w:pPr>
        <w:spacing w:after="0"/>
        <w:ind w:firstLine="708"/>
        <w:jc w:val="both"/>
        <w:rPr>
          <w:rFonts w:ascii="Verdana" w:eastAsia="Arial" w:hAnsi="Verdana" w:cs="Arial"/>
          <w:sz w:val="18"/>
          <w:szCs w:val="18"/>
        </w:rPr>
      </w:pPr>
      <w:r w:rsidRPr="00B1039B">
        <w:rPr>
          <w:rFonts w:ascii="Verdana" w:eastAsia="Arial" w:hAnsi="Verdana" w:cs="Arial"/>
          <w:sz w:val="18"/>
          <w:szCs w:val="18"/>
        </w:rPr>
        <w:t>Los criterios ambientales podrán referirse, entre otras, a variables como la reducción del nivel de emisión de gases de efecto invernadero; el empleo de medidas de eficiencia energética y la utilización de energía procedente de fuentes renovables durante la ejecución del contrato.</w:t>
      </w:r>
    </w:p>
    <w:p w14:paraId="32D30F99" w14:textId="77777777" w:rsidR="00A30041" w:rsidRPr="00B1039B" w:rsidRDefault="00A30041" w:rsidP="00A30041">
      <w:pPr>
        <w:spacing w:after="0"/>
        <w:ind w:firstLine="708"/>
        <w:jc w:val="both"/>
        <w:rPr>
          <w:rFonts w:ascii="Verdana" w:eastAsia="Arial" w:hAnsi="Verdana" w:cs="Arial"/>
          <w:sz w:val="18"/>
          <w:szCs w:val="18"/>
        </w:rPr>
      </w:pPr>
      <w:r w:rsidRPr="00B1039B">
        <w:rPr>
          <w:rFonts w:ascii="Verdana" w:eastAsia="Arial" w:hAnsi="Verdana" w:cs="Arial"/>
          <w:sz w:val="18"/>
          <w:szCs w:val="18"/>
        </w:rPr>
        <w:t>Los criterios sociales se referirán, entre otras, a las siguientes finalidades:  fomento de la integración social de personas con discapacidad, inclusión de  personas pertenecientes a grupos vulnerables en la ejecución del contrato y,  en general, la inserción sociolaboral de personas en situación de riesgo de  exclusión social y la eliminación de criterios sospechosos de discriminación;  el fomento de la contratación femenina o población LGTBIQ+; madres cabeza  de hogar; personas que no cuenten con cualificaciones educativas de  formación secundaria o profesional superior,; víctimas del conflicto armado;  criterios referidos al suministro o a la utilización de productos basados en un  comercio justo durante la ejecución del contrato, en los términos definidos  por el artículo 4 de la Ley 2046 de 2020 .</w:t>
      </w:r>
    </w:p>
    <w:p w14:paraId="660A3433" w14:textId="77777777" w:rsidR="00A30041" w:rsidRPr="00B1039B" w:rsidRDefault="00A30041" w:rsidP="00A30041">
      <w:pPr>
        <w:spacing w:after="0"/>
        <w:ind w:firstLine="708"/>
        <w:jc w:val="both"/>
        <w:rPr>
          <w:rFonts w:ascii="Verdana" w:eastAsia="Arial" w:hAnsi="Verdana" w:cs="Arial"/>
          <w:sz w:val="18"/>
          <w:szCs w:val="18"/>
        </w:rPr>
      </w:pPr>
      <w:r w:rsidRPr="00B1039B">
        <w:rPr>
          <w:rFonts w:ascii="Verdana" w:eastAsia="Arial" w:hAnsi="Verdana" w:cs="Arial"/>
          <w:sz w:val="18"/>
          <w:szCs w:val="18"/>
        </w:rPr>
        <w:t>En el marco de las competencias atribuidas por el Decreto Ley 4170 de 2011, la Agencia Nacional de Contratación Pública -Colombia Compra Eficiente adoptará instrumentos dirigidos a orientar a las Entidades Estatales en la aplicación de estos criterios sociales y ambientales”. </w:t>
      </w:r>
    </w:p>
  </w:footnote>
  <w:footnote w:id="6">
    <w:p w14:paraId="30817DA4" w14:textId="77777777" w:rsidR="00A30041" w:rsidRPr="00B1039B" w:rsidRDefault="00A30041" w:rsidP="00A30041">
      <w:pPr>
        <w:pBdr>
          <w:top w:val="nil"/>
          <w:left w:val="nil"/>
          <w:bottom w:val="nil"/>
          <w:right w:val="nil"/>
          <w:between w:val="nil"/>
        </w:pBdr>
        <w:spacing w:after="0"/>
        <w:ind w:firstLine="709"/>
        <w:jc w:val="both"/>
        <w:rPr>
          <w:rFonts w:ascii="Verdana" w:eastAsia="Arial" w:hAnsi="Verdana" w:cs="Arial"/>
          <w:color w:val="000000"/>
          <w:sz w:val="18"/>
          <w:szCs w:val="18"/>
        </w:rPr>
      </w:pPr>
      <w:r w:rsidRPr="00B1039B">
        <w:rPr>
          <w:rFonts w:ascii="Verdana" w:hAnsi="Verdana" w:cs="Arial"/>
          <w:sz w:val="18"/>
          <w:szCs w:val="18"/>
          <w:vertAlign w:val="superscript"/>
        </w:rPr>
        <w:footnoteRef/>
      </w:r>
      <w:r w:rsidRPr="00B1039B">
        <w:rPr>
          <w:rFonts w:ascii="Verdana" w:eastAsia="Arial" w:hAnsi="Verdana" w:cs="Arial"/>
          <w:color w:val="000000"/>
          <w:sz w:val="18"/>
          <w:szCs w:val="18"/>
        </w:rPr>
        <w:t xml:space="preserve"> Consejo de Estado. Sección Tercera, Subsección C. Sentencia del 26 de febrero de 2014. C.P. Enrique Gil Botero, Rad. 1999-00113-01 (25.804). </w:t>
      </w:r>
    </w:p>
    <w:p w14:paraId="72BDD2BE" w14:textId="77777777" w:rsidR="00A30041" w:rsidRPr="00B1039B" w:rsidRDefault="00A30041" w:rsidP="00A30041">
      <w:pPr>
        <w:pBdr>
          <w:top w:val="nil"/>
          <w:left w:val="nil"/>
          <w:bottom w:val="nil"/>
          <w:right w:val="nil"/>
          <w:between w:val="nil"/>
        </w:pBdr>
        <w:spacing w:after="0"/>
        <w:ind w:firstLine="709"/>
        <w:jc w:val="both"/>
        <w:rPr>
          <w:rFonts w:ascii="Verdana" w:eastAsia="Arial" w:hAnsi="Verdana" w:cs="Arial"/>
          <w:color w:val="000000"/>
          <w:sz w:val="18"/>
          <w:szCs w:val="18"/>
        </w:rPr>
      </w:pPr>
    </w:p>
  </w:footnote>
  <w:footnote w:id="7">
    <w:p w14:paraId="774ABEE0" w14:textId="77777777" w:rsidR="00A30041" w:rsidRPr="00B1039B" w:rsidRDefault="00A30041" w:rsidP="00A30041">
      <w:pPr>
        <w:pStyle w:val="Textonotapie"/>
        <w:ind w:firstLine="708"/>
        <w:jc w:val="both"/>
        <w:rPr>
          <w:rFonts w:ascii="Verdana" w:hAnsi="Verdana"/>
          <w:sz w:val="18"/>
          <w:szCs w:val="18"/>
          <w:lang w:val="es-CO"/>
        </w:rPr>
      </w:pPr>
      <w:r w:rsidRPr="00B1039B">
        <w:rPr>
          <w:rStyle w:val="Refdenotaalpie"/>
          <w:rFonts w:ascii="Verdana" w:hAnsi="Verdana"/>
          <w:sz w:val="18"/>
          <w:szCs w:val="18"/>
        </w:rPr>
        <w:footnoteRef/>
      </w:r>
      <w:r w:rsidRPr="00B1039B">
        <w:rPr>
          <w:rFonts w:ascii="Verdana" w:hAnsi="Verdana"/>
          <w:sz w:val="18"/>
          <w:szCs w:val="18"/>
        </w:rPr>
        <w:t xml:space="preserve"> Este documento se encuentra disponible para su consulta </w:t>
      </w:r>
      <w:hyperlink r:id="rId1" w:history="1">
        <w:r w:rsidRPr="00B1039B">
          <w:rPr>
            <w:rStyle w:val="Hipervnculo"/>
            <w:rFonts w:ascii="Verdana" w:hAnsi="Verdana"/>
            <w:sz w:val="18"/>
            <w:szCs w:val="18"/>
          </w:rPr>
          <w:t>aquí</w:t>
        </w:r>
      </w:hyperlink>
    </w:p>
  </w:footnote>
  <w:footnote w:id="8">
    <w:p w14:paraId="0989A152" w14:textId="77777777" w:rsidR="00A30041" w:rsidRPr="00B1039B" w:rsidRDefault="00A30041" w:rsidP="00A30041">
      <w:pPr>
        <w:pBdr>
          <w:top w:val="nil"/>
          <w:left w:val="nil"/>
          <w:bottom w:val="nil"/>
          <w:right w:val="nil"/>
          <w:between w:val="nil"/>
        </w:pBdr>
        <w:spacing w:after="0"/>
        <w:ind w:firstLine="709"/>
        <w:jc w:val="both"/>
        <w:rPr>
          <w:rFonts w:ascii="Verdana" w:eastAsia="Arial" w:hAnsi="Verdana" w:cs="Arial"/>
          <w:color w:val="000000"/>
          <w:sz w:val="18"/>
          <w:szCs w:val="18"/>
        </w:rPr>
      </w:pPr>
      <w:r w:rsidRPr="00B1039B">
        <w:rPr>
          <w:rFonts w:ascii="Verdana" w:hAnsi="Verdana" w:cs="Arial"/>
          <w:sz w:val="18"/>
          <w:szCs w:val="18"/>
          <w:vertAlign w:val="superscript"/>
        </w:rPr>
        <w:footnoteRef/>
      </w:r>
      <w:r w:rsidRPr="00B1039B">
        <w:rPr>
          <w:rFonts w:ascii="Verdana" w:eastAsia="Arial" w:hAnsi="Verdana" w:cs="Arial"/>
          <w:color w:val="000000"/>
          <w:sz w:val="18"/>
          <w:szCs w:val="18"/>
          <w:vertAlign w:val="superscript"/>
        </w:rPr>
        <w:t xml:space="preserve"> </w:t>
      </w:r>
      <w:r w:rsidRPr="00B1039B">
        <w:rPr>
          <w:rFonts w:ascii="Verdana" w:eastAsia="Arial" w:hAnsi="Verdana" w:cs="Arial"/>
          <w:color w:val="000000"/>
          <w:sz w:val="18"/>
          <w:szCs w:val="18"/>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footnote>
  <w:footnote w:id="9">
    <w:p w14:paraId="7FFE89B2" w14:textId="77777777" w:rsidR="00A30041" w:rsidRPr="00B1039B" w:rsidRDefault="00A30041" w:rsidP="00A30041">
      <w:pPr>
        <w:spacing w:after="0"/>
        <w:ind w:firstLine="709"/>
        <w:jc w:val="both"/>
        <w:rPr>
          <w:rFonts w:ascii="Verdana" w:eastAsia="Arial" w:hAnsi="Verdana" w:cs="Arial"/>
          <w:color w:val="000000"/>
          <w:sz w:val="18"/>
          <w:szCs w:val="18"/>
        </w:rPr>
      </w:pPr>
      <w:r w:rsidRPr="00B1039B">
        <w:rPr>
          <w:rFonts w:ascii="Verdana" w:hAnsi="Verdana" w:cs="Arial"/>
          <w:sz w:val="18"/>
          <w:szCs w:val="18"/>
          <w:vertAlign w:val="superscript"/>
        </w:rPr>
        <w:footnoteRef/>
      </w:r>
      <w:r w:rsidRPr="00B1039B">
        <w:rPr>
          <w:rFonts w:ascii="Verdana" w:eastAsia="Arial" w:hAnsi="Verdana" w:cs="Arial"/>
          <w:color w:val="000000"/>
          <w:sz w:val="18"/>
          <w:szCs w:val="18"/>
        </w:rPr>
        <w:t xml:space="preserve"> Decreto 2474 de 2008 (DEROGADO): “art. 10. Reglas de subsanabilidad. En todo proceso de selección de contratistas primará lo sustancial sobre lo formal. En consecuencia no podrá rechazarse una propuesta por la ausencia de requisitos o la falta de documentos que verifiquen las condiciones del proponente o soporten el contenido de la oferta, y que no constituyan los factores de escogencia establecidos por la entidad en el pliego de condiciones, de conformidad con lo previsto en los numerales 2º, 3º y 4º del artículo 5º de la </w:t>
      </w:r>
      <w:hyperlink r:id="rId2">
        <w:r w:rsidRPr="00B1039B">
          <w:rPr>
            <w:rFonts w:ascii="Verdana" w:eastAsia="Arial" w:hAnsi="Verdana" w:cs="Arial"/>
            <w:color w:val="000000"/>
            <w:sz w:val="18"/>
            <w:szCs w:val="18"/>
          </w:rPr>
          <w:t>Ley 1150 de 2007</w:t>
        </w:r>
      </w:hyperlink>
      <w:r w:rsidRPr="00B1039B">
        <w:rPr>
          <w:rFonts w:ascii="Verdana" w:eastAsia="Arial" w:hAnsi="Verdana" w:cs="Arial"/>
          <w:color w:val="000000"/>
          <w:sz w:val="18"/>
          <w:szCs w:val="18"/>
        </w:rPr>
        <w:t> y en el presente decreto.</w:t>
      </w:r>
    </w:p>
    <w:p w14:paraId="62F579BB" w14:textId="77777777" w:rsidR="00A30041" w:rsidRPr="00B1039B" w:rsidRDefault="00A30041" w:rsidP="00A30041">
      <w:pPr>
        <w:spacing w:after="0"/>
        <w:ind w:firstLine="709"/>
        <w:jc w:val="both"/>
        <w:rPr>
          <w:rFonts w:ascii="Verdana" w:eastAsia="Arial" w:hAnsi="Verdana" w:cs="Arial"/>
          <w:color w:val="000000"/>
          <w:sz w:val="18"/>
          <w:szCs w:val="18"/>
        </w:rPr>
      </w:pPr>
      <w:r w:rsidRPr="00B1039B">
        <w:rPr>
          <w:rFonts w:ascii="Verdana" w:eastAsia="Arial" w:hAnsi="Verdana" w:cs="Arial"/>
          <w:color w:val="000000"/>
          <w:sz w:val="18"/>
          <w:szCs w:val="18"/>
        </w:rPr>
        <w:t>Tales requisitos o documentos podrán ser requeridos por la entidad en condiciones de igualdad para todos los proponentes hasta la adjudicación, o hasta el momento en que la entidad lo establezca en los pliegos de condiciones, sin que tal previsión haga nugatorio el principio contemplado en el inciso anterior.</w:t>
      </w:r>
    </w:p>
    <w:p w14:paraId="7E4BF5BD" w14:textId="77777777" w:rsidR="00A30041" w:rsidRPr="00B1039B" w:rsidRDefault="00A30041" w:rsidP="00A30041">
      <w:pPr>
        <w:spacing w:after="0"/>
        <w:ind w:firstLine="709"/>
        <w:jc w:val="both"/>
        <w:rPr>
          <w:rFonts w:ascii="Verdana" w:eastAsia="Arial" w:hAnsi="Verdana" w:cs="Arial"/>
          <w:color w:val="000000"/>
          <w:sz w:val="18"/>
          <w:szCs w:val="18"/>
        </w:rPr>
      </w:pPr>
      <w:r w:rsidRPr="00B1039B">
        <w:rPr>
          <w:rFonts w:ascii="Verdana" w:eastAsia="Arial" w:hAnsi="Verdana" w:cs="Arial"/>
          <w:color w:val="000000"/>
          <w:sz w:val="18"/>
          <w:szCs w:val="18"/>
        </w:rPr>
        <w:t>Será rechazada la oferta del proponente que dentro del término previsto en el pliego o en la solicitud, no responda al requerimiento que le haga la entidad para subsanarla.</w:t>
      </w:r>
    </w:p>
    <w:p w14:paraId="431F48B3" w14:textId="77777777" w:rsidR="00A30041" w:rsidRPr="00B1039B" w:rsidRDefault="00A30041" w:rsidP="00A30041">
      <w:pPr>
        <w:spacing w:after="0"/>
        <w:ind w:firstLine="709"/>
        <w:jc w:val="both"/>
        <w:rPr>
          <w:rFonts w:ascii="Verdana" w:eastAsia="Arial" w:hAnsi="Verdana" w:cs="Arial"/>
          <w:color w:val="000000"/>
          <w:sz w:val="18"/>
          <w:szCs w:val="18"/>
        </w:rPr>
      </w:pPr>
      <w:r w:rsidRPr="00B1039B">
        <w:rPr>
          <w:rFonts w:ascii="Verdana" w:eastAsia="Arial" w:hAnsi="Verdana" w:cs="Arial"/>
          <w:color w:val="000000"/>
          <w:sz w:val="18"/>
          <w:szCs w:val="18"/>
        </w:rPr>
        <w:t>Cuando se utilice el mecanismo de subasta esta posibilidad deberá ejercerse hasta el momento previo a su realización, de conformidad con el artículo 22 del presente decreto.</w:t>
      </w:r>
    </w:p>
    <w:p w14:paraId="2234CA61" w14:textId="77777777" w:rsidR="00A30041" w:rsidRPr="00B1039B" w:rsidRDefault="00A30041" w:rsidP="00A30041">
      <w:pPr>
        <w:spacing w:after="0"/>
        <w:ind w:firstLine="709"/>
        <w:jc w:val="both"/>
        <w:rPr>
          <w:rFonts w:ascii="Verdana" w:eastAsia="Arial" w:hAnsi="Verdana" w:cs="Arial"/>
          <w:color w:val="000000"/>
          <w:sz w:val="18"/>
          <w:szCs w:val="18"/>
        </w:rPr>
      </w:pPr>
      <w:r w:rsidRPr="00B1039B">
        <w:rPr>
          <w:rFonts w:ascii="Verdana" w:eastAsia="Arial" w:hAnsi="Verdana" w:cs="Arial"/>
          <w:color w:val="000000"/>
          <w:sz w:val="18"/>
          <w:szCs w:val="18"/>
        </w:rPr>
        <w:t xml:space="preserve">En ningún caso la entidad podrá señalar taxativamente los requisitos o documentos subsanables o no subsanables en el pliego de condiciones, </w:t>
      </w:r>
      <w:r w:rsidRPr="00B1039B">
        <w:rPr>
          <w:rFonts w:ascii="Verdana" w:eastAsia="Arial" w:hAnsi="Verdana" w:cs="Arial"/>
          <w:i/>
          <w:color w:val="000000"/>
          <w:sz w:val="18"/>
          <w:szCs w:val="18"/>
        </w:rPr>
        <w:t>ni permitir que se subsane la falta de capacidad para presentar la oferta, ni que se acrediten circunstancias ocurridas con posterioridad al cierre del proceso</w:t>
      </w:r>
      <w:r w:rsidRPr="00B1039B">
        <w:rPr>
          <w:rFonts w:ascii="Verdana" w:eastAsia="Arial" w:hAnsi="Verdana" w:cs="Arial"/>
          <w:color w:val="000000"/>
          <w:sz w:val="18"/>
          <w:szCs w:val="18"/>
        </w:rPr>
        <w:t xml:space="preserve">”. (Cursivas fuera de texto). </w:t>
      </w:r>
    </w:p>
  </w:footnote>
  <w:footnote w:id="10">
    <w:p w14:paraId="5E44AC6D" w14:textId="77777777" w:rsidR="00A30041" w:rsidRDefault="00A30041" w:rsidP="00A30041">
      <w:pPr>
        <w:pBdr>
          <w:top w:val="nil"/>
          <w:left w:val="nil"/>
          <w:bottom w:val="nil"/>
          <w:right w:val="nil"/>
          <w:between w:val="nil"/>
        </w:pBdr>
        <w:spacing w:after="0"/>
        <w:ind w:firstLine="709"/>
        <w:jc w:val="both"/>
        <w:rPr>
          <w:rFonts w:ascii="Verdana" w:eastAsia="Arial" w:hAnsi="Verdana" w:cs="Arial"/>
          <w:color w:val="000000"/>
          <w:sz w:val="18"/>
          <w:szCs w:val="18"/>
        </w:rPr>
      </w:pPr>
    </w:p>
    <w:p w14:paraId="0B97AC7D" w14:textId="77777777" w:rsidR="00A30041" w:rsidRPr="00B1039B" w:rsidRDefault="00A30041" w:rsidP="00A30041">
      <w:pPr>
        <w:pBdr>
          <w:top w:val="nil"/>
          <w:left w:val="nil"/>
          <w:bottom w:val="nil"/>
          <w:right w:val="nil"/>
          <w:between w:val="nil"/>
        </w:pBdr>
        <w:spacing w:after="0"/>
        <w:ind w:firstLine="709"/>
        <w:jc w:val="both"/>
        <w:rPr>
          <w:rFonts w:ascii="Verdana" w:eastAsia="Arial" w:hAnsi="Verdana" w:cs="Arial"/>
          <w:color w:val="000000"/>
          <w:sz w:val="18"/>
          <w:szCs w:val="18"/>
        </w:rPr>
      </w:pPr>
      <w:r w:rsidRPr="00B1039B">
        <w:rPr>
          <w:rFonts w:ascii="Verdana" w:hAnsi="Verdana" w:cs="Arial"/>
          <w:sz w:val="18"/>
          <w:szCs w:val="18"/>
          <w:vertAlign w:val="superscript"/>
        </w:rPr>
        <w:footnoteRef/>
      </w:r>
      <w:r w:rsidRPr="00B1039B">
        <w:rPr>
          <w:rFonts w:ascii="Verdana" w:eastAsia="Arial" w:hAnsi="Verdana" w:cs="Arial"/>
          <w:color w:val="000000"/>
          <w:sz w:val="18"/>
          <w:szCs w:val="18"/>
        </w:rPr>
        <w:t xml:space="preserve"> Consejo de Estado, Sala de Consulta y Servicio Civil, concepto del 6 de noviembre de 2008. C.P. William Zambrano Cetina. Rad. 2008-00079-00(1927).</w:t>
      </w:r>
    </w:p>
  </w:footnote>
  <w:footnote w:id="11">
    <w:p w14:paraId="54C0F78C" w14:textId="77777777" w:rsidR="00A30041" w:rsidRDefault="00A30041" w:rsidP="00A30041">
      <w:pPr>
        <w:pBdr>
          <w:top w:val="nil"/>
          <w:left w:val="nil"/>
          <w:bottom w:val="nil"/>
          <w:right w:val="nil"/>
          <w:between w:val="nil"/>
        </w:pBdr>
        <w:spacing w:after="0"/>
        <w:ind w:firstLine="709"/>
        <w:jc w:val="both"/>
        <w:rPr>
          <w:rFonts w:ascii="Verdana" w:eastAsia="Arial" w:hAnsi="Verdana" w:cs="Arial"/>
          <w:color w:val="000000"/>
          <w:sz w:val="18"/>
          <w:szCs w:val="18"/>
        </w:rPr>
      </w:pPr>
    </w:p>
    <w:p w14:paraId="09E5A249" w14:textId="77777777" w:rsidR="00A30041" w:rsidRPr="00B1039B" w:rsidRDefault="00A30041" w:rsidP="00A30041">
      <w:pPr>
        <w:pBdr>
          <w:top w:val="nil"/>
          <w:left w:val="nil"/>
          <w:bottom w:val="nil"/>
          <w:right w:val="nil"/>
          <w:between w:val="nil"/>
        </w:pBdr>
        <w:spacing w:after="0"/>
        <w:ind w:firstLine="709"/>
        <w:jc w:val="both"/>
        <w:rPr>
          <w:rFonts w:ascii="Verdana" w:eastAsia="Arial" w:hAnsi="Verdana" w:cs="Arial"/>
          <w:color w:val="000000"/>
          <w:sz w:val="18"/>
          <w:szCs w:val="18"/>
        </w:rPr>
      </w:pPr>
      <w:r w:rsidRPr="00B1039B">
        <w:rPr>
          <w:rFonts w:ascii="Verdana" w:hAnsi="Verdana" w:cs="Arial"/>
          <w:sz w:val="18"/>
          <w:szCs w:val="18"/>
          <w:vertAlign w:val="superscript"/>
        </w:rPr>
        <w:footnoteRef/>
      </w:r>
      <w:r w:rsidRPr="00B1039B">
        <w:rPr>
          <w:rFonts w:ascii="Verdana" w:eastAsia="Arial" w:hAnsi="Verdana" w:cs="Arial"/>
          <w:color w:val="000000"/>
          <w:sz w:val="18"/>
          <w:szCs w:val="18"/>
        </w:rPr>
        <w:t xml:space="preserve"> Consejo de Estado, Sección Tercera, Subsección C. Sentencia del 26 de febrero de 2011. C.P. Jaime Orlando Santofimio. Rad. 36.408.  </w:t>
      </w:r>
    </w:p>
  </w:footnote>
  <w:footnote w:id="12">
    <w:p w14:paraId="498F77A0" w14:textId="77777777" w:rsidR="00A30041" w:rsidRPr="00B1039B" w:rsidRDefault="00A30041" w:rsidP="00A30041">
      <w:pPr>
        <w:pBdr>
          <w:top w:val="nil"/>
          <w:left w:val="nil"/>
          <w:bottom w:val="nil"/>
          <w:right w:val="nil"/>
          <w:between w:val="nil"/>
        </w:pBdr>
        <w:spacing w:after="0"/>
        <w:ind w:firstLine="709"/>
        <w:jc w:val="both"/>
        <w:rPr>
          <w:rFonts w:ascii="Verdana" w:eastAsia="Arial" w:hAnsi="Verdana" w:cs="Arial"/>
          <w:color w:val="000000"/>
          <w:sz w:val="18"/>
          <w:szCs w:val="18"/>
        </w:rPr>
      </w:pPr>
    </w:p>
    <w:p w14:paraId="1FED1C4E" w14:textId="77777777" w:rsidR="00A30041" w:rsidRPr="00B1039B" w:rsidRDefault="00A30041" w:rsidP="00A30041">
      <w:pPr>
        <w:pBdr>
          <w:top w:val="nil"/>
          <w:left w:val="nil"/>
          <w:bottom w:val="nil"/>
          <w:right w:val="nil"/>
          <w:between w:val="nil"/>
        </w:pBdr>
        <w:spacing w:after="0"/>
        <w:ind w:firstLine="709"/>
        <w:jc w:val="both"/>
        <w:rPr>
          <w:rFonts w:ascii="Verdana" w:eastAsia="Arial" w:hAnsi="Verdana" w:cs="Arial"/>
          <w:color w:val="000000"/>
          <w:sz w:val="18"/>
          <w:szCs w:val="18"/>
        </w:rPr>
      </w:pPr>
      <w:r w:rsidRPr="00B1039B">
        <w:rPr>
          <w:rFonts w:ascii="Verdana" w:hAnsi="Verdana" w:cs="Arial"/>
          <w:sz w:val="18"/>
          <w:szCs w:val="18"/>
          <w:vertAlign w:val="superscript"/>
        </w:rPr>
        <w:footnoteRef/>
      </w:r>
      <w:r w:rsidRPr="00B1039B">
        <w:rPr>
          <w:rFonts w:ascii="Verdana" w:eastAsia="Arial" w:hAnsi="Verdana" w:cs="Arial"/>
          <w:color w:val="000000"/>
          <w:sz w:val="18"/>
          <w:szCs w:val="18"/>
        </w:rPr>
        <w:t xml:space="preserve"> Consejo de Estado, Sección Tercera, Subsección C. Sentencia del 26 de febrero de 2014. C.P. Enrique Gil Botero. Rad. 25.804.  </w:t>
      </w:r>
    </w:p>
  </w:footnote>
  <w:footnote w:id="13">
    <w:p w14:paraId="66639461" w14:textId="77777777" w:rsidR="00A30041" w:rsidRPr="00B1039B" w:rsidRDefault="00A30041" w:rsidP="00A30041">
      <w:pPr>
        <w:pBdr>
          <w:top w:val="nil"/>
          <w:left w:val="nil"/>
          <w:bottom w:val="nil"/>
          <w:right w:val="nil"/>
          <w:between w:val="nil"/>
        </w:pBdr>
        <w:spacing w:after="0"/>
        <w:ind w:firstLine="709"/>
        <w:jc w:val="both"/>
        <w:rPr>
          <w:rFonts w:ascii="Verdana" w:eastAsia="Arial" w:hAnsi="Verdana" w:cs="Arial"/>
          <w:color w:val="000000"/>
          <w:sz w:val="18"/>
          <w:szCs w:val="18"/>
        </w:rPr>
      </w:pPr>
      <w:r w:rsidRPr="00B1039B">
        <w:rPr>
          <w:rFonts w:ascii="Verdana" w:hAnsi="Verdana" w:cs="Arial"/>
          <w:sz w:val="18"/>
          <w:szCs w:val="18"/>
          <w:vertAlign w:val="superscript"/>
        </w:rPr>
        <w:footnoteRef/>
      </w:r>
      <w:r w:rsidRPr="00B1039B">
        <w:rPr>
          <w:rFonts w:ascii="Verdana" w:eastAsia="Arial" w:hAnsi="Verdana" w:cs="Arial"/>
          <w:color w:val="000000"/>
          <w:sz w:val="18"/>
          <w:szCs w:val="18"/>
        </w:rPr>
        <w:t xml:space="preserve"> Consejo de Estado, Sala de Consulta y Servicio Civil, concepto del 20 de mayo de 2010. C.P. Enrique José Arboleda Perdomo. Rad. 2010-00034-00(1992).</w:t>
      </w:r>
    </w:p>
    <w:p w14:paraId="15404859" w14:textId="77777777" w:rsidR="00A30041" w:rsidRPr="00B1039B" w:rsidRDefault="00A30041" w:rsidP="00A30041">
      <w:pPr>
        <w:pBdr>
          <w:top w:val="nil"/>
          <w:left w:val="nil"/>
          <w:bottom w:val="nil"/>
          <w:right w:val="nil"/>
          <w:between w:val="nil"/>
        </w:pBdr>
        <w:spacing w:after="0"/>
        <w:ind w:firstLine="709"/>
        <w:jc w:val="both"/>
        <w:rPr>
          <w:rFonts w:ascii="Verdana" w:eastAsia="Arial" w:hAnsi="Verdana" w:cs="Arial"/>
          <w:color w:val="000000"/>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44284" w14:textId="77777777" w:rsidR="00A30041" w:rsidRDefault="00A30041"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F6EC63D" wp14:editId="47B7EC86">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75F9ACC3" wp14:editId="0665BE1D">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018A708" w14:textId="77777777" w:rsidR="00A30041" w:rsidRDefault="00A30041">
    <w:pPr>
      <w:pStyle w:val="Encabezado"/>
    </w:pPr>
  </w:p>
  <w:p w14:paraId="3CCCB905" w14:textId="77777777" w:rsidR="00A30041" w:rsidRPr="004A305D" w:rsidRDefault="00A30041" w:rsidP="00B01B1A">
    <w:pPr>
      <w:spacing w:after="0" w:line="120" w:lineRule="auto"/>
      <w:rPr>
        <w:rFonts w:ascii="Century Gothic" w:eastAsia="Geo" w:hAnsi="Century Gothic" w:cs="Geo"/>
        <w:sz w:val="16"/>
        <w:szCs w:val="16"/>
        <w:lang w:eastAsia="es-CO"/>
      </w:rPr>
    </w:pPr>
  </w:p>
  <w:p w14:paraId="14E2C9DD" w14:textId="77777777" w:rsidR="00A30041" w:rsidRDefault="00A30041" w:rsidP="00844AE9">
    <w:pPr>
      <w:spacing w:after="0" w:line="240" w:lineRule="auto"/>
      <w:rPr>
        <w:rFonts w:ascii="Verdana" w:hAnsi="Verdana"/>
        <w:sz w:val="24"/>
        <w:szCs w:val="24"/>
      </w:rPr>
    </w:pPr>
  </w:p>
  <w:p w14:paraId="5B66DCFB" w14:textId="77777777" w:rsidR="00A30041" w:rsidRPr="00C925AC" w:rsidRDefault="00A30041" w:rsidP="00844AE9">
    <w:pPr>
      <w:spacing w:after="0" w:line="240" w:lineRule="auto"/>
      <w:rPr>
        <w:rFonts w:ascii="Verdana" w:hAnsi="Verdana"/>
        <w:sz w:val="24"/>
        <w:szCs w:val="24"/>
      </w:rPr>
    </w:pPr>
  </w:p>
  <w:p w14:paraId="14385DC8" w14:textId="77777777" w:rsidR="00A30041" w:rsidRPr="00C925AC" w:rsidRDefault="00A30041"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041"/>
    <w:rsid w:val="00014E82"/>
    <w:rsid w:val="005727E1"/>
    <w:rsid w:val="005818E2"/>
    <w:rsid w:val="00861C96"/>
    <w:rsid w:val="008815A1"/>
    <w:rsid w:val="008E5C2E"/>
    <w:rsid w:val="00905409"/>
    <w:rsid w:val="00A30041"/>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D22F6"/>
  <w15:chartTrackingRefBased/>
  <w15:docId w15:val="{2CB3D50A-F517-45C6-B67B-7004873B6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0041"/>
    <w:rPr>
      <w:kern w:val="0"/>
      <w14:ligatures w14:val="none"/>
    </w:rPr>
  </w:style>
  <w:style w:type="paragraph" w:styleId="Ttulo1">
    <w:name w:val="heading 1"/>
    <w:basedOn w:val="Normal"/>
    <w:next w:val="Normal"/>
    <w:link w:val="Ttulo1Car"/>
    <w:uiPriority w:val="9"/>
    <w:qFormat/>
    <w:rsid w:val="00A300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300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3004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3004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3004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3004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3004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3004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3004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3004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3004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3004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3004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3004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3004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3004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3004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30041"/>
    <w:rPr>
      <w:rFonts w:eastAsiaTheme="majorEastAsia" w:cstheme="majorBidi"/>
      <w:color w:val="272727" w:themeColor="text1" w:themeTint="D8"/>
    </w:rPr>
  </w:style>
  <w:style w:type="paragraph" w:styleId="Ttulo">
    <w:name w:val="Title"/>
    <w:basedOn w:val="Normal"/>
    <w:next w:val="Normal"/>
    <w:link w:val="TtuloCar"/>
    <w:uiPriority w:val="10"/>
    <w:qFormat/>
    <w:rsid w:val="00A300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3004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3004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3004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30041"/>
    <w:pPr>
      <w:spacing w:before="160"/>
      <w:jc w:val="center"/>
    </w:pPr>
    <w:rPr>
      <w:i/>
      <w:iCs/>
      <w:color w:val="404040" w:themeColor="text1" w:themeTint="BF"/>
    </w:rPr>
  </w:style>
  <w:style w:type="character" w:customStyle="1" w:styleId="CitaCar">
    <w:name w:val="Cita Car"/>
    <w:basedOn w:val="Fuentedeprrafopredeter"/>
    <w:link w:val="Cita"/>
    <w:uiPriority w:val="29"/>
    <w:rsid w:val="00A30041"/>
    <w:rPr>
      <w:i/>
      <w:iCs/>
      <w:color w:val="404040" w:themeColor="text1" w:themeTint="BF"/>
    </w:rPr>
  </w:style>
  <w:style w:type="paragraph" w:styleId="Prrafodelista">
    <w:name w:val="List Paragraph"/>
    <w:basedOn w:val="Normal"/>
    <w:uiPriority w:val="34"/>
    <w:qFormat/>
    <w:rsid w:val="00A30041"/>
    <w:pPr>
      <w:ind w:left="720"/>
      <w:contextualSpacing/>
    </w:pPr>
  </w:style>
  <w:style w:type="character" w:styleId="nfasisintenso">
    <w:name w:val="Intense Emphasis"/>
    <w:basedOn w:val="Fuentedeprrafopredeter"/>
    <w:uiPriority w:val="21"/>
    <w:qFormat/>
    <w:rsid w:val="00A30041"/>
    <w:rPr>
      <w:i/>
      <w:iCs/>
      <w:color w:val="0F4761" w:themeColor="accent1" w:themeShade="BF"/>
    </w:rPr>
  </w:style>
  <w:style w:type="paragraph" w:styleId="Citadestacada">
    <w:name w:val="Intense Quote"/>
    <w:basedOn w:val="Normal"/>
    <w:next w:val="Normal"/>
    <w:link w:val="CitadestacadaCar"/>
    <w:uiPriority w:val="30"/>
    <w:qFormat/>
    <w:rsid w:val="00A300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30041"/>
    <w:rPr>
      <w:i/>
      <w:iCs/>
      <w:color w:val="0F4761" w:themeColor="accent1" w:themeShade="BF"/>
    </w:rPr>
  </w:style>
  <w:style w:type="character" w:styleId="Referenciaintensa">
    <w:name w:val="Intense Reference"/>
    <w:basedOn w:val="Fuentedeprrafopredeter"/>
    <w:uiPriority w:val="32"/>
    <w:qFormat/>
    <w:rsid w:val="00A30041"/>
    <w:rPr>
      <w:b/>
      <w:bCs/>
      <w:smallCaps/>
      <w:color w:val="0F4761" w:themeColor="accent1" w:themeShade="BF"/>
      <w:spacing w:val="5"/>
    </w:rPr>
  </w:style>
  <w:style w:type="paragraph" w:styleId="Encabezado">
    <w:name w:val="header"/>
    <w:basedOn w:val="Normal"/>
    <w:link w:val="EncabezadoCar"/>
    <w:uiPriority w:val="99"/>
    <w:unhideWhenUsed/>
    <w:rsid w:val="00A3004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30041"/>
    <w:rPr>
      <w:kern w:val="0"/>
      <w14:ligatures w14:val="none"/>
    </w:rPr>
  </w:style>
  <w:style w:type="paragraph" w:styleId="Piedepgina">
    <w:name w:val="footer"/>
    <w:basedOn w:val="Normal"/>
    <w:link w:val="PiedepginaCar"/>
    <w:uiPriority w:val="99"/>
    <w:unhideWhenUsed/>
    <w:rsid w:val="00A3004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30041"/>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A30041"/>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A30041"/>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A30041"/>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A30041"/>
    <w:rPr>
      <w:vertAlign w:val="superscript"/>
    </w:rPr>
  </w:style>
  <w:style w:type="table" w:styleId="Tablaconcuadrcula">
    <w:name w:val="Table Grid"/>
    <w:basedOn w:val="Tablanormal"/>
    <w:uiPriority w:val="39"/>
    <w:qFormat/>
    <w:rsid w:val="00A3004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30041"/>
    <w:rPr>
      <w:color w:val="0000FF"/>
      <w:u w:val="single"/>
    </w:rPr>
  </w:style>
  <w:style w:type="paragraph" w:customStyle="1" w:styleId="Appelnotedebasde">
    <w:name w:val="Appel note de bas de..."/>
    <w:basedOn w:val="Normal"/>
    <w:link w:val="Refdenotaalpie"/>
    <w:uiPriority w:val="99"/>
    <w:rsid w:val="00A30041"/>
    <w:pPr>
      <w:spacing w:line="240" w:lineRule="exact"/>
    </w:pPr>
    <w:rPr>
      <w:kern w:val="2"/>
      <w:vertAlign w:val="superscript"/>
      <w14:ligatures w14:val="standardContextual"/>
    </w:rPr>
  </w:style>
  <w:style w:type="table" w:customStyle="1" w:styleId="Tablaconcuadrcula11">
    <w:name w:val="Tabla con cuadrícula11"/>
    <w:basedOn w:val="Tablanormal"/>
    <w:next w:val="Tablaconcuadrcula"/>
    <w:uiPriority w:val="59"/>
    <w:qFormat/>
    <w:rsid w:val="00A3004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ciones.corcooperativa05@gmail.com" TargetMode="External"/><Relationship Id="rId13" Type="http://schemas.openxmlformats.org/officeDocument/2006/relationships/image" Target="media/image2.png"/><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lombiacompra.gov.co/normativa-y-relatoria/documentos-tipo"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formacionvirtual.colombiacompra.gov.co/mod/page/view.php?id=3718"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https://relatoria.colombiacompra.gov.co/" TargetMode="Externa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www.lexbase.biz/lexbase/normas/leyes/2007/L1150de2007.htm" TargetMode="External"/><Relationship Id="rId1" Type="http://schemas.openxmlformats.org/officeDocument/2006/relationships/hyperlink" Target="https://www.colombiacompra.gov.co/normativa-y-relatoria/circular-unica-extern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208334C-76E2-44CC-A490-5030DEA537E7}"/>
</file>

<file path=customXml/itemProps2.xml><?xml version="1.0" encoding="utf-8"?>
<ds:datastoreItem xmlns:ds="http://schemas.openxmlformats.org/officeDocument/2006/customXml" ds:itemID="{AFC1F7D4-BC73-4BE9-A73E-1E59C36D714A}"/>
</file>

<file path=customXml/itemProps3.xml><?xml version="1.0" encoding="utf-8"?>
<ds:datastoreItem xmlns:ds="http://schemas.openxmlformats.org/officeDocument/2006/customXml" ds:itemID="{A7515BF5-215E-418F-B60A-4F0E32C86C50}"/>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23</Pages>
  <Words>7518</Words>
  <Characters>41349</Characters>
  <Application>Microsoft Office Word</Application>
  <DocSecurity>0</DocSecurity>
  <Lines>344</Lines>
  <Paragraphs>97</Paragraphs>
  <ScaleCrop>false</ScaleCrop>
  <Company/>
  <LinksUpToDate>false</LinksUpToDate>
  <CharactersWithSpaces>48770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3</cp:revision>
  <dcterms:created xsi:type="dcterms:W3CDTF">2026-05-12T22:05:00Z</dcterms:created>
  <dcterms:modified xsi:type="dcterms:W3CDTF">2026-05-12T22:06:00Z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