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AFFFA" w14:textId="596CBC45" w:rsidR="008759C7" w:rsidRDefault="008759C7" w:rsidP="00BC7D00">
      <w:pPr>
        <w:spacing w:after="0" w:line="240" w:lineRule="auto"/>
        <w:rPr>
          <w:rFonts w:ascii="Verdana" w:hAnsi="Verdana" w:cs="Arial"/>
          <w:b/>
          <w:color w:val="000000" w:themeColor="text1"/>
          <w:lang w:val="es-ES_tradnl"/>
        </w:rPr>
      </w:pPr>
      <w:bookmarkStart w:id="0" w:name="_Hlk143780582"/>
      <w:r w:rsidRPr="008759C7">
        <w:rPr>
          <w:rFonts w:ascii="Verdana" w:hAnsi="Verdana" w:cs="Arial"/>
          <w:b/>
          <w:color w:val="000000" w:themeColor="text1"/>
          <w:lang w:val="es-ES_tradnl"/>
        </w:rPr>
        <w:t>LEY DE GARANTÍAS ELECTORALES ‒ Finalidad</w:t>
      </w:r>
    </w:p>
    <w:p w14:paraId="6D70EA0A" w14:textId="77777777" w:rsidR="008759C7" w:rsidRDefault="008759C7" w:rsidP="00BC7D00">
      <w:pPr>
        <w:spacing w:after="0" w:line="240" w:lineRule="auto"/>
        <w:rPr>
          <w:rFonts w:ascii="Verdana" w:hAnsi="Verdana" w:cs="Arial"/>
          <w:b/>
          <w:color w:val="000000" w:themeColor="text1"/>
          <w:lang w:val="es-ES_tradnl"/>
        </w:rPr>
      </w:pPr>
    </w:p>
    <w:p w14:paraId="542B6445" w14:textId="2BAA791D" w:rsidR="008759C7" w:rsidRPr="008759C7" w:rsidRDefault="008759C7" w:rsidP="008759C7">
      <w:pPr>
        <w:spacing w:after="0" w:line="240" w:lineRule="auto"/>
        <w:jc w:val="both"/>
        <w:rPr>
          <w:rFonts w:ascii="Verdana" w:eastAsia="Times New Roman" w:hAnsi="Verdana" w:cs="Arial"/>
          <w:sz w:val="20"/>
          <w:szCs w:val="20"/>
          <w:lang w:val="es-MX" w:eastAsia="es-CO"/>
        </w:rPr>
      </w:pPr>
      <w:r w:rsidRPr="008759C7">
        <w:rPr>
          <w:rFonts w:ascii="Verdana" w:eastAsia="Times New Roman" w:hAnsi="Verdana" w:cs="Arial"/>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608E56A" w14:textId="77777777" w:rsidR="008759C7" w:rsidRDefault="008759C7" w:rsidP="008759C7">
      <w:pPr>
        <w:spacing w:after="0" w:line="240" w:lineRule="auto"/>
        <w:jc w:val="both"/>
        <w:rPr>
          <w:rFonts w:ascii="Verdana" w:eastAsia="Times New Roman" w:hAnsi="Verdana" w:cs="Arial"/>
          <w:lang w:val="es-MX" w:eastAsia="es-CO"/>
        </w:rPr>
      </w:pPr>
    </w:p>
    <w:p w14:paraId="29B75F29" w14:textId="484FD91D" w:rsidR="008759C7" w:rsidRDefault="008759C7" w:rsidP="008759C7">
      <w:pPr>
        <w:spacing w:after="0" w:line="240" w:lineRule="auto"/>
        <w:jc w:val="both"/>
        <w:rPr>
          <w:rFonts w:ascii="Verdana" w:hAnsi="Verdana" w:cs="Arial"/>
          <w:b/>
          <w:color w:val="000000" w:themeColor="text1"/>
          <w:lang w:val="es-ES_tradnl"/>
        </w:rPr>
      </w:pPr>
      <w:r w:rsidRPr="008759C7">
        <w:rPr>
          <w:rFonts w:ascii="Verdana" w:hAnsi="Verdana" w:cs="Arial"/>
          <w:b/>
          <w:color w:val="000000" w:themeColor="text1"/>
          <w:lang w:val="es-ES_tradnl"/>
        </w:rPr>
        <w:t>LEY DE GARANTÍAS ELECTORALES ‒ Tipos de restricciones</w:t>
      </w:r>
    </w:p>
    <w:p w14:paraId="4A1ABDD3" w14:textId="77777777" w:rsidR="008759C7" w:rsidRDefault="008759C7" w:rsidP="008759C7">
      <w:pPr>
        <w:spacing w:after="0" w:line="240" w:lineRule="auto"/>
        <w:jc w:val="both"/>
        <w:rPr>
          <w:rFonts w:ascii="Verdana" w:hAnsi="Verdana" w:cs="Arial"/>
          <w:b/>
          <w:color w:val="000000" w:themeColor="text1"/>
          <w:lang w:val="es-ES_tradnl"/>
        </w:rPr>
      </w:pPr>
    </w:p>
    <w:p w14:paraId="32E89990" w14:textId="615C3703" w:rsidR="008759C7" w:rsidRPr="008759C7" w:rsidRDefault="008759C7" w:rsidP="008759C7">
      <w:pPr>
        <w:spacing w:after="120" w:line="240"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 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418EFB3B" w14:textId="20580421" w:rsidR="008759C7" w:rsidRPr="008759C7" w:rsidRDefault="008759C7" w:rsidP="008759C7">
      <w:pPr>
        <w:spacing w:after="0" w:line="240" w:lineRule="auto"/>
        <w:jc w:val="both"/>
        <w:rPr>
          <w:rFonts w:ascii="Verdana" w:eastAsia="Times New Roman" w:hAnsi="Verdana" w:cs="Arial"/>
          <w:b/>
          <w:sz w:val="20"/>
          <w:szCs w:val="20"/>
          <w:lang w:val="es-MX" w:eastAsia="es-CO"/>
        </w:rPr>
      </w:pPr>
      <w:r w:rsidRPr="008759C7">
        <w:rPr>
          <w:rFonts w:ascii="Verdana" w:eastAsia="Times New Roman" w:hAnsi="Verdana" w:cs="Open Sans"/>
          <w:sz w:val="20"/>
          <w:szCs w:val="20"/>
          <w:lang w:eastAsia="es-CO"/>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p w14:paraId="3EB3378E" w14:textId="77777777" w:rsidR="008759C7" w:rsidRPr="008759C7" w:rsidRDefault="008759C7" w:rsidP="00BC7D00">
      <w:pPr>
        <w:spacing w:after="0" w:line="240" w:lineRule="auto"/>
        <w:rPr>
          <w:rFonts w:ascii="Verdana" w:eastAsia="Geomanist Light" w:hAnsi="Verdana" w:cs="Arial"/>
          <w:b/>
          <w:color w:val="000000" w:themeColor="text1"/>
          <w:lang w:val="es-MX"/>
        </w:rPr>
      </w:pPr>
    </w:p>
    <w:p w14:paraId="6EBF49F4" w14:textId="2008D146" w:rsidR="008759C7" w:rsidRDefault="008759C7" w:rsidP="00BC7D00">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t xml:space="preserve">[…] </w:t>
      </w:r>
    </w:p>
    <w:p w14:paraId="0C04D2A6" w14:textId="77777777" w:rsidR="008759C7" w:rsidRDefault="008759C7" w:rsidP="00BC7D00">
      <w:pPr>
        <w:spacing w:after="0" w:line="240" w:lineRule="auto"/>
        <w:rPr>
          <w:rFonts w:ascii="Verdana" w:eastAsia="Geomanist Light" w:hAnsi="Verdana" w:cs="Arial"/>
          <w:color w:val="000000" w:themeColor="text1"/>
          <w:lang w:val="es-MX"/>
        </w:rPr>
      </w:pPr>
    </w:p>
    <w:p w14:paraId="11A02302" w14:textId="2B815834" w:rsidR="008759C7" w:rsidRPr="008759C7" w:rsidRDefault="008759C7" w:rsidP="008759C7">
      <w:pPr>
        <w:spacing w:after="0" w:line="240"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 xml:space="preserve">[…] se observa entonces que el parágrafo del artículo 38 de la Ley 996 de 2005 prohíbe a los </w:t>
      </w:r>
      <w:proofErr w:type="gramStart"/>
      <w:r w:rsidRPr="008759C7">
        <w:rPr>
          <w:rFonts w:ascii="Verdana" w:eastAsia="Times New Roman" w:hAnsi="Verdana" w:cs="Open Sans"/>
          <w:sz w:val="20"/>
          <w:szCs w:val="20"/>
          <w:lang w:eastAsia="es-CO"/>
        </w:rPr>
        <w:t>Alcaldes</w:t>
      </w:r>
      <w:proofErr w:type="gramEnd"/>
      <w:r w:rsidRPr="008759C7">
        <w:rPr>
          <w:rFonts w:ascii="Verdana" w:eastAsia="Times New Roman" w:hAnsi="Verdana" w:cs="Open Sans"/>
          <w:sz w:val="20"/>
          <w:szCs w:val="20"/>
          <w:lang w:eastAsia="es-CO"/>
        </w:rPr>
        <w:t xml:space="preserve">, Gobernadores, </w:t>
      </w:r>
      <w:proofErr w:type="gramStart"/>
      <w:r w:rsidRPr="008759C7">
        <w:rPr>
          <w:rFonts w:ascii="Verdana" w:eastAsia="Times New Roman" w:hAnsi="Verdana" w:cs="Open Sans"/>
          <w:sz w:val="20"/>
          <w:szCs w:val="20"/>
          <w:lang w:eastAsia="es-CO"/>
        </w:rPr>
        <w:t>Secretarios</w:t>
      </w:r>
      <w:proofErr w:type="gramEnd"/>
      <w:r w:rsidRPr="008759C7">
        <w:rPr>
          <w:rFonts w:ascii="Verdana" w:eastAsia="Times New Roman" w:hAnsi="Verdana" w:cs="Open Sans"/>
          <w:sz w:val="20"/>
          <w:szCs w:val="20"/>
          <w:lang w:eastAsia="es-CO"/>
        </w:rPr>
        <w:t xml:space="preserve">, Gerentes y </w:t>
      </w:r>
      <w:proofErr w:type="gramStart"/>
      <w:r w:rsidRPr="008759C7">
        <w:rPr>
          <w:rFonts w:ascii="Verdana" w:eastAsia="Times New Roman" w:hAnsi="Verdana" w:cs="Open Sans"/>
          <w:sz w:val="20"/>
          <w:szCs w:val="20"/>
          <w:lang w:eastAsia="es-CO"/>
        </w:rPr>
        <w:t>Directores</w:t>
      </w:r>
      <w:proofErr w:type="gramEnd"/>
      <w:r w:rsidRPr="008759C7">
        <w:rPr>
          <w:rFonts w:ascii="Verdana" w:eastAsia="Times New Roman" w:hAnsi="Verdana" w:cs="Open Sans"/>
          <w:sz w:val="20"/>
          <w:szCs w:val="20"/>
          <w:lang w:eastAsia="es-CO"/>
        </w:rPr>
        <w:t xml:space="preserve"> de las entidades descentralizadas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665033BC" w14:textId="77777777" w:rsidR="008759C7" w:rsidRDefault="008759C7" w:rsidP="00BC7D00">
      <w:pPr>
        <w:spacing w:after="0" w:line="240" w:lineRule="auto"/>
        <w:rPr>
          <w:rFonts w:ascii="Verdana" w:eastAsia="Geomanist Light" w:hAnsi="Verdana" w:cs="Arial"/>
          <w:color w:val="000000" w:themeColor="text1"/>
          <w:lang w:val="es-MX"/>
        </w:rPr>
      </w:pPr>
    </w:p>
    <w:p w14:paraId="553EA83A" w14:textId="77777777" w:rsidR="008759C7" w:rsidRDefault="008759C7" w:rsidP="00BC7D00">
      <w:pPr>
        <w:spacing w:after="0" w:line="240" w:lineRule="auto"/>
        <w:rPr>
          <w:rFonts w:ascii="Verdana" w:eastAsia="Geomanist Light" w:hAnsi="Verdana" w:cs="Arial"/>
          <w:color w:val="000000" w:themeColor="text1"/>
          <w:lang w:val="es-MX"/>
        </w:rPr>
      </w:pPr>
    </w:p>
    <w:p w14:paraId="755E5B0D" w14:textId="177F90C8" w:rsidR="008759C7" w:rsidRPr="008759C7" w:rsidRDefault="008759C7" w:rsidP="008759C7">
      <w:pPr>
        <w:spacing w:after="0" w:line="240" w:lineRule="auto"/>
        <w:jc w:val="both"/>
        <w:rPr>
          <w:rFonts w:ascii="Verdana" w:eastAsia="Geomanist Light" w:hAnsi="Verdana" w:cs="Arial"/>
          <w:b/>
          <w:bCs/>
          <w:color w:val="000000" w:themeColor="text1"/>
          <w:lang w:val="es-MX"/>
        </w:rPr>
      </w:pPr>
      <w:r w:rsidRPr="008759C7">
        <w:rPr>
          <w:rFonts w:ascii="Verdana" w:eastAsia="Calibri" w:hAnsi="Verdana" w:cs="Arial"/>
          <w:b/>
          <w:bCs/>
          <w:lang w:val="es-ES" w:eastAsia="es-ES"/>
        </w:rPr>
        <w:lastRenderedPageBreak/>
        <w:t xml:space="preserve">LEY DE GARANTÍAS ELECTORALES </w:t>
      </w:r>
      <w:r w:rsidR="00391591" w:rsidRPr="00391591">
        <w:rPr>
          <w:rFonts w:ascii="Verdana" w:eastAsia="Calibri" w:hAnsi="Verdana" w:cs="Arial"/>
          <w:b/>
          <w:bCs/>
          <w:lang w:val="es-ES" w:eastAsia="es-ES"/>
        </w:rPr>
        <w:t>–</w:t>
      </w:r>
      <w:r w:rsidRPr="008759C7">
        <w:rPr>
          <w:rFonts w:ascii="Verdana" w:hAnsi="Verdana" w:cs="Arial"/>
          <w:b/>
          <w:bCs/>
          <w:color w:val="000000" w:themeColor="text1"/>
          <w:lang w:val="es-ES_tradnl"/>
        </w:rPr>
        <w:t xml:space="preserve"> </w:t>
      </w:r>
      <w:r w:rsidRPr="008759C7">
        <w:rPr>
          <w:rFonts w:ascii="Verdana" w:eastAsia="Calibri" w:hAnsi="Verdana" w:cs="Arial"/>
          <w:b/>
          <w:bCs/>
          <w:color w:val="000000" w:themeColor="text1"/>
          <w:lang w:val="es-ES" w:eastAsia="es-ES"/>
        </w:rPr>
        <w:t>Contratación Directa – Pluralidad de oferentes – Ausencia – Proveedor exclusivo – Alcance – Restricción – Excepciones</w:t>
      </w:r>
    </w:p>
    <w:p w14:paraId="2BFC3328" w14:textId="77777777" w:rsidR="008759C7" w:rsidRDefault="008759C7" w:rsidP="00BC7D00">
      <w:pPr>
        <w:spacing w:after="0" w:line="240" w:lineRule="auto"/>
        <w:rPr>
          <w:rFonts w:ascii="Verdana" w:eastAsia="Geomanist Light" w:hAnsi="Verdana" w:cs="Arial"/>
          <w:color w:val="000000" w:themeColor="text1"/>
          <w:lang w:val="es-MX"/>
        </w:rPr>
      </w:pPr>
    </w:p>
    <w:p w14:paraId="3C1D8397" w14:textId="77777777" w:rsidR="008759C7" w:rsidRPr="008759C7" w:rsidRDefault="008759C7" w:rsidP="008759C7">
      <w:pPr>
        <w:spacing w:line="276" w:lineRule="auto"/>
        <w:ind w:left="31"/>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La norma vigente para interpretar el alcance de la causal de contratación directa dispuesta en el artículo 2, numeral 4, literal g), de la Ley 1150 de 2007 está compilada en el artículo 2.2.1.2.1.4.8 del Decreto 1082 de 2015, el cual dispone lo siguiente: “Artículo 2.2.1.2.1.4.8. Contratación directa cuando no exista pluralidad de oferentes.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p>
    <w:p w14:paraId="534E1823" w14:textId="77777777" w:rsidR="008759C7" w:rsidRPr="008759C7" w:rsidRDefault="008759C7" w:rsidP="008759C7">
      <w:pPr>
        <w:spacing w:after="120" w:line="276"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 xml:space="preserve">La norma consagra dos (2) hipótesis. En primer lugar, 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7600E036" w14:textId="77777777" w:rsidR="008759C7" w:rsidRPr="008759C7" w:rsidRDefault="008759C7" w:rsidP="008759C7">
      <w:pPr>
        <w:spacing w:line="276"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 xml:space="preserve">En segundo lugar, 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 </w:t>
      </w:r>
    </w:p>
    <w:p w14:paraId="560A59DE" w14:textId="1AA66E3B" w:rsidR="008759C7" w:rsidRPr="008759C7" w:rsidRDefault="008759C7" w:rsidP="008759C7">
      <w:pPr>
        <w:spacing w:after="0" w:line="240"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Fuera de estas dos (2) situaciones, no es posible aplicar el artículo 2, numeral 4, literal g), de la Ley 1150 de 2007,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p>
    <w:p w14:paraId="6133A93D" w14:textId="77777777" w:rsidR="008759C7" w:rsidRPr="008759C7" w:rsidRDefault="008759C7" w:rsidP="00BC7D00">
      <w:pPr>
        <w:spacing w:after="0" w:line="240" w:lineRule="auto"/>
        <w:rPr>
          <w:rFonts w:ascii="Verdana" w:eastAsia="Times New Roman" w:hAnsi="Verdana" w:cs="Open Sans"/>
          <w:sz w:val="20"/>
          <w:szCs w:val="20"/>
          <w:lang w:eastAsia="es-CO"/>
        </w:rPr>
      </w:pPr>
    </w:p>
    <w:p w14:paraId="5231A75F" w14:textId="77777777" w:rsidR="008759C7" w:rsidRDefault="008759C7" w:rsidP="00BC7D00">
      <w:pPr>
        <w:spacing w:after="0" w:line="240" w:lineRule="auto"/>
        <w:rPr>
          <w:rFonts w:ascii="Verdana" w:eastAsia="Geomanist Light" w:hAnsi="Verdana" w:cs="Arial"/>
          <w:color w:val="000000" w:themeColor="text1"/>
          <w:lang w:val="es-MX"/>
        </w:rPr>
      </w:pPr>
    </w:p>
    <w:p w14:paraId="2A65E78C" w14:textId="77777777" w:rsidR="008759C7" w:rsidRDefault="008759C7" w:rsidP="00BC7D00">
      <w:pPr>
        <w:spacing w:after="0" w:line="240" w:lineRule="auto"/>
        <w:rPr>
          <w:rFonts w:ascii="Verdana" w:eastAsia="Geomanist Light" w:hAnsi="Verdana" w:cs="Arial"/>
          <w:color w:val="000000" w:themeColor="text1"/>
          <w:lang w:val="es-MX"/>
        </w:rPr>
      </w:pPr>
    </w:p>
    <w:p w14:paraId="5E5AD51F" w14:textId="77777777" w:rsidR="008759C7" w:rsidRDefault="008759C7" w:rsidP="00BC7D00">
      <w:pPr>
        <w:spacing w:after="0" w:line="240" w:lineRule="auto"/>
        <w:rPr>
          <w:rFonts w:ascii="Verdana" w:eastAsia="Geomanist Light" w:hAnsi="Verdana" w:cs="Arial"/>
          <w:color w:val="000000" w:themeColor="text1"/>
          <w:lang w:val="es-MX"/>
        </w:rPr>
      </w:pPr>
    </w:p>
    <w:p w14:paraId="3FDE4A8C" w14:textId="77777777" w:rsidR="008759C7" w:rsidRDefault="008759C7" w:rsidP="00BC7D00">
      <w:pPr>
        <w:spacing w:after="0" w:line="240" w:lineRule="auto"/>
        <w:rPr>
          <w:rFonts w:ascii="Verdana" w:eastAsia="Geomanist Light" w:hAnsi="Verdana" w:cs="Arial"/>
          <w:color w:val="000000" w:themeColor="text1"/>
          <w:lang w:val="es-MX"/>
        </w:rPr>
      </w:pPr>
    </w:p>
    <w:p w14:paraId="377FF2EE" w14:textId="14CF390C" w:rsidR="00BC7D00" w:rsidRDefault="00BC7D00" w:rsidP="00BC7D00">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8759C7">
        <w:rPr>
          <w:rFonts w:ascii="Verdana" w:eastAsia="Geomanist Light" w:hAnsi="Verdana" w:cs="Arial"/>
          <w:color w:val="201F1E"/>
          <w:lang w:val="es-MX"/>
        </w:rPr>
        <w:t xml:space="preserve">12 </w:t>
      </w:r>
      <w:r w:rsidRPr="00CF64C0">
        <w:rPr>
          <w:rFonts w:ascii="Verdana" w:eastAsia="Geomanist Light" w:hAnsi="Verdana" w:cs="Arial"/>
          <w:color w:val="201F1E"/>
          <w:lang w:val="es-MX"/>
        </w:rPr>
        <w:t xml:space="preserve">de </w:t>
      </w:r>
      <w:r w:rsidR="008759C7">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8759C7">
        <w:rPr>
          <w:rFonts w:ascii="Verdana" w:eastAsia="Geomanist Light" w:hAnsi="Verdana" w:cs="Arial"/>
          <w:color w:val="201F1E"/>
          <w:lang w:val="es-MX"/>
        </w:rPr>
        <w:t>2026</w:t>
      </w:r>
    </w:p>
    <w:p w14:paraId="0E9B6926" w14:textId="166E9BBC" w:rsidR="008759C7" w:rsidRPr="0050687B" w:rsidRDefault="008759C7" w:rsidP="00BC7D00">
      <w:pPr>
        <w:spacing w:after="0" w:line="240" w:lineRule="auto"/>
        <w:rPr>
          <w:rFonts w:ascii="Verdana" w:eastAsia="Times New Roman" w:hAnsi="Verdana" w:cs="Arial"/>
          <w:lang w:eastAsia="es-ES_tradnl"/>
        </w:rPr>
      </w:pPr>
    </w:p>
    <w:bookmarkEnd w:id="0"/>
    <w:p w14:paraId="45EDF777" w14:textId="79FFA753" w:rsidR="00BC7D00" w:rsidRPr="008759C7" w:rsidRDefault="00BC7D00" w:rsidP="008759C7">
      <w:pPr>
        <w:spacing w:after="0"/>
        <w:ind w:left="5664"/>
        <w:rPr>
          <w:rFonts w:ascii="Verdana" w:hAnsi="Verdana"/>
        </w:rPr>
      </w:pPr>
    </w:p>
    <w:p w14:paraId="3D9CAE8D" w14:textId="2C59416E" w:rsidR="008759C7" w:rsidRPr="008759C7" w:rsidRDefault="00391591" w:rsidP="00BC7D00">
      <w:pPr>
        <w:spacing w:after="0" w:line="240" w:lineRule="auto"/>
        <w:rPr>
          <w:rFonts w:ascii="Verdana" w:eastAsia="Calibri" w:hAnsi="Verdana" w:cs="Arial"/>
          <w:bCs/>
          <w:lang w:eastAsia="es-ES"/>
        </w:rPr>
      </w:pPr>
      <w:r w:rsidRPr="008759C7">
        <w:rPr>
          <w:rFonts w:ascii="Verdana" w:hAnsi="Verdana"/>
          <w:noProof/>
        </w:rPr>
        <w:drawing>
          <wp:anchor distT="0" distB="0" distL="114300" distR="114300" simplePos="0" relativeHeight="251658240" behindDoc="0" locked="0" layoutInCell="1" allowOverlap="1" wp14:anchorId="133D84C2" wp14:editId="4982EBD4">
            <wp:simplePos x="0" y="0"/>
            <wp:positionH relativeFrom="margin">
              <wp:align>right</wp:align>
            </wp:positionH>
            <wp:positionV relativeFrom="paragraph">
              <wp:posOffset>11430</wp:posOffset>
            </wp:positionV>
            <wp:extent cx="2533015" cy="771525"/>
            <wp:effectExtent l="0" t="0" r="635" b="9525"/>
            <wp:wrapSquare wrapText="bothSides"/>
            <wp:docPr id="9021098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109875" name=""/>
                    <pic:cNvPicPr/>
                  </pic:nvPicPr>
                  <pic:blipFill>
                    <a:blip r:embed="rId10">
                      <a:extLst>
                        <a:ext uri="{28A0092B-C50C-407E-A947-70E740481C1C}">
                          <a14:useLocalDpi xmlns:a14="http://schemas.microsoft.com/office/drawing/2010/main" val="0"/>
                        </a:ext>
                      </a:extLst>
                    </a:blip>
                    <a:stretch>
                      <a:fillRect/>
                    </a:stretch>
                  </pic:blipFill>
                  <pic:spPr>
                    <a:xfrm>
                      <a:off x="0" y="0"/>
                      <a:ext cx="2533015" cy="771525"/>
                    </a:xfrm>
                    <a:prstGeom prst="rect">
                      <a:avLst/>
                    </a:prstGeom>
                  </pic:spPr>
                </pic:pic>
              </a:graphicData>
            </a:graphic>
            <wp14:sizeRelV relativeFrom="margin">
              <wp14:pctHeight>0</wp14:pctHeight>
            </wp14:sizeRelV>
          </wp:anchor>
        </w:drawing>
      </w:r>
      <w:r w:rsidR="008759C7" w:rsidRPr="008759C7">
        <w:rPr>
          <w:rFonts w:ascii="Verdana" w:eastAsia="Calibri" w:hAnsi="Verdana" w:cs="Arial"/>
          <w:bCs/>
          <w:lang w:eastAsia="es-ES"/>
        </w:rPr>
        <w:t>Señor</w:t>
      </w:r>
    </w:p>
    <w:p w14:paraId="553B6340" w14:textId="26D75CBD" w:rsidR="00BC7D00" w:rsidRPr="00BC7D00" w:rsidRDefault="00BC7D00" w:rsidP="00BC7D00">
      <w:pPr>
        <w:spacing w:after="0" w:line="240" w:lineRule="auto"/>
        <w:rPr>
          <w:rFonts w:ascii="Verdana" w:eastAsia="Calibri" w:hAnsi="Verdana" w:cs="Arial"/>
          <w:b/>
          <w:lang w:eastAsia="es-ES"/>
        </w:rPr>
      </w:pPr>
      <w:r w:rsidRPr="00BC7D00">
        <w:rPr>
          <w:rFonts w:ascii="Verdana" w:eastAsia="Calibri" w:hAnsi="Verdana" w:cs="Arial"/>
          <w:b/>
          <w:lang w:eastAsia="es-ES"/>
        </w:rPr>
        <w:t>Henry Agudelo</w:t>
      </w:r>
    </w:p>
    <w:p w14:paraId="625B71FA" w14:textId="793691D2" w:rsidR="00BC7D00" w:rsidRPr="00BC7D00" w:rsidRDefault="00391591" w:rsidP="00BC7D00">
      <w:pPr>
        <w:spacing w:after="0" w:line="240" w:lineRule="auto"/>
        <w:rPr>
          <w:rFonts w:ascii="Verdana" w:hAnsi="Verdana" w:cs="ArialMT"/>
        </w:rPr>
      </w:pPr>
      <w:r w:rsidRPr="00391591">
        <w:rPr>
          <w:rFonts w:ascii="Verdana" w:hAnsi="Verdana"/>
        </w:rPr>
        <w:t>hagudelom@ulagrancolombia.edu.co</w:t>
      </w:r>
      <w:r w:rsidR="00BC7D00" w:rsidRPr="00BC7D00">
        <w:rPr>
          <w:rFonts w:ascii="Verdana" w:hAnsi="Verdana"/>
        </w:rPr>
        <w:t xml:space="preserve">; </w:t>
      </w:r>
      <w:r w:rsidR="00BC7D00" w:rsidRPr="00BC7D00">
        <w:rPr>
          <w:rFonts w:ascii="Verdana" w:hAnsi="Verdana" w:cs="ArialMT"/>
        </w:rPr>
        <w:t xml:space="preserve">    </w:t>
      </w:r>
    </w:p>
    <w:p w14:paraId="69307AF4" w14:textId="77777777" w:rsidR="00BC7D00" w:rsidRPr="00C53B42" w:rsidRDefault="00BC7D00" w:rsidP="00BC7D00">
      <w:pPr>
        <w:spacing w:after="0" w:line="240" w:lineRule="auto"/>
        <w:rPr>
          <w:rFonts w:ascii="Verdana" w:hAnsi="Verdana" w:cs="ArialMT"/>
        </w:rPr>
      </w:pPr>
      <w:r w:rsidRPr="00F60CF2">
        <w:rPr>
          <w:rFonts w:ascii="Verdana" w:eastAsia="Calibri" w:hAnsi="Verdana" w:cs="Arial"/>
          <w:lang w:val="es-ES" w:eastAsia="es-ES"/>
        </w:rPr>
        <w:t>Bogotá D.C.</w:t>
      </w:r>
    </w:p>
    <w:p w14:paraId="03E9DB81" w14:textId="77777777" w:rsidR="00BC7D00" w:rsidRPr="00C53B42" w:rsidRDefault="00BC7D00" w:rsidP="00BC7D0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BC7D00" w:rsidRPr="00C53B42" w14:paraId="0F23FA38" w14:textId="77777777" w:rsidTr="00A05D8D">
        <w:trPr>
          <w:trHeight w:val="218"/>
        </w:trPr>
        <w:tc>
          <w:tcPr>
            <w:tcW w:w="2175" w:type="dxa"/>
          </w:tcPr>
          <w:p w14:paraId="3D9696D1" w14:textId="77777777" w:rsidR="00BC7D00" w:rsidRPr="00C53B42" w:rsidRDefault="00BC7D00" w:rsidP="00A05D8D">
            <w:pPr>
              <w:jc w:val="both"/>
              <w:rPr>
                <w:rFonts w:ascii="Verdana" w:eastAsia="Calibri" w:hAnsi="Verdana" w:cs="Arial"/>
                <w:b/>
                <w:bCs/>
                <w:color w:val="7030A0"/>
                <w:lang w:val="es-ES_tradnl" w:eastAsia="es-ES_tradnl"/>
              </w:rPr>
            </w:pPr>
          </w:p>
        </w:tc>
        <w:tc>
          <w:tcPr>
            <w:tcW w:w="6614" w:type="dxa"/>
            <w:hideMark/>
          </w:tcPr>
          <w:p w14:paraId="5524972E" w14:textId="3E9DF90F" w:rsidR="00BC7D00" w:rsidRDefault="00BC7D00" w:rsidP="00A05D8D">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529</w:t>
            </w:r>
            <w:r w:rsidRPr="00C53B42">
              <w:rPr>
                <w:rFonts w:ascii="Verdana" w:eastAsia="Calibri" w:hAnsi="Verdana" w:cs="Arial"/>
                <w:b/>
                <w:bCs/>
                <w:lang w:val="es-ES" w:eastAsia="es-ES"/>
              </w:rPr>
              <w:t xml:space="preserve"> de 202</w:t>
            </w:r>
            <w:r>
              <w:rPr>
                <w:rFonts w:ascii="Verdana" w:eastAsia="Calibri" w:hAnsi="Verdana" w:cs="Arial"/>
                <w:b/>
                <w:bCs/>
                <w:lang w:val="es-ES" w:eastAsia="es-ES"/>
              </w:rPr>
              <w:t>6</w:t>
            </w:r>
          </w:p>
          <w:p w14:paraId="77C8B5F2" w14:textId="77777777" w:rsidR="00BC7D00" w:rsidRPr="00C53B42" w:rsidRDefault="00BC7D00" w:rsidP="00A05D8D">
            <w:pPr>
              <w:jc w:val="both"/>
              <w:rPr>
                <w:rFonts w:ascii="Verdana" w:eastAsia="Calibri" w:hAnsi="Verdana" w:cs="Arial"/>
                <w:b/>
                <w:bCs/>
                <w:lang w:val="es-ES" w:eastAsia="es-ES"/>
              </w:rPr>
            </w:pPr>
          </w:p>
          <w:p w14:paraId="69F8F6E1" w14:textId="77777777" w:rsidR="00BC7D00" w:rsidRPr="00C53B42" w:rsidRDefault="00BC7D00" w:rsidP="00A05D8D">
            <w:pPr>
              <w:jc w:val="both"/>
              <w:rPr>
                <w:rFonts w:ascii="Verdana" w:eastAsia="Calibri" w:hAnsi="Verdana" w:cs="Arial"/>
                <w:b/>
                <w:bCs/>
                <w:lang w:val="es-ES" w:eastAsia="es-ES"/>
              </w:rPr>
            </w:pPr>
          </w:p>
        </w:tc>
      </w:tr>
      <w:tr w:rsidR="00BC7D00" w:rsidRPr="00C53B42" w14:paraId="4728F7C6" w14:textId="77777777" w:rsidTr="00A05D8D">
        <w:trPr>
          <w:trHeight w:val="884"/>
        </w:trPr>
        <w:tc>
          <w:tcPr>
            <w:tcW w:w="2175" w:type="dxa"/>
            <w:hideMark/>
          </w:tcPr>
          <w:p w14:paraId="72430012" w14:textId="77777777" w:rsidR="00BC7D00" w:rsidRPr="00C53B42" w:rsidRDefault="00BC7D00" w:rsidP="00A05D8D">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0F66A88E" w14:textId="77777777" w:rsidR="00BC7D00" w:rsidRPr="000D3AA5" w:rsidRDefault="00BC7D00" w:rsidP="00A05D8D">
            <w:pPr>
              <w:jc w:val="both"/>
              <w:rPr>
                <w:rFonts w:ascii="Verdana" w:hAnsi="Verdana" w:cs="Arial"/>
                <w:bCs/>
                <w:color w:val="000000" w:themeColor="text1"/>
                <w:lang w:val="es-ES_tradnl"/>
              </w:rPr>
            </w:pPr>
            <w:r w:rsidRPr="00783D3F">
              <w:rPr>
                <w:rFonts w:ascii="Verdana" w:hAnsi="Verdana" w:cs="Arial"/>
                <w:bCs/>
                <w:color w:val="000000" w:themeColor="text1"/>
                <w:lang w:val="es-ES_tradnl"/>
              </w:rPr>
              <w:t xml:space="preserve">LEY DE GARANTÍAS ELECTORALES ‒ Finalidad / LEY DE GARANTÍAS ELECTORALES ‒ Tipos de restricciones / </w:t>
            </w:r>
            <w:r w:rsidRPr="00783D3F">
              <w:rPr>
                <w:rFonts w:ascii="Verdana" w:eastAsia="Calibri" w:hAnsi="Verdana" w:cs="Arial"/>
                <w:lang w:val="es-ES" w:eastAsia="es-ES"/>
              </w:rPr>
              <w:t>LEY DE GARANTÍAS ELECTORALES -</w:t>
            </w:r>
            <w:r w:rsidRPr="00783D3F">
              <w:rPr>
                <w:rFonts w:ascii="Verdana" w:hAnsi="Verdana" w:cs="Arial"/>
                <w:bCs/>
                <w:color w:val="000000" w:themeColor="text1"/>
                <w:lang w:val="es-ES_tradnl"/>
              </w:rPr>
              <w:t xml:space="preserve"> </w:t>
            </w:r>
            <w:r w:rsidRPr="00783D3F">
              <w:rPr>
                <w:rFonts w:ascii="Verdana" w:eastAsia="Calibri" w:hAnsi="Verdana" w:cs="Arial"/>
                <w:color w:val="000000" w:themeColor="text1"/>
                <w:lang w:val="es-ES" w:eastAsia="es-ES"/>
              </w:rPr>
              <w:t>Contratación Directa – Pluralidad de oferentes – Ausencia – Proveedor exclusivo – Alcance – Restricción – Excepciones</w:t>
            </w:r>
            <w:r>
              <w:rPr>
                <w:rFonts w:ascii="Verdana" w:eastAsia="Calibri" w:hAnsi="Verdana" w:cs="Arial"/>
                <w:color w:val="000000" w:themeColor="text1"/>
                <w:lang w:val="es-ES" w:eastAsia="es-ES"/>
              </w:rPr>
              <w:t xml:space="preserve"> </w:t>
            </w:r>
          </w:p>
          <w:p w14:paraId="705D065B" w14:textId="77777777" w:rsidR="00BC7D00" w:rsidRDefault="00BC7D00" w:rsidP="00A05D8D">
            <w:pPr>
              <w:jc w:val="both"/>
              <w:rPr>
                <w:rFonts w:ascii="Verdana" w:hAnsi="Verdana" w:cs="Arial"/>
                <w:bCs/>
                <w:color w:val="000000" w:themeColor="text1"/>
                <w:lang w:val="es-ES_tradnl"/>
              </w:rPr>
            </w:pPr>
          </w:p>
          <w:p w14:paraId="3BC9C8CB" w14:textId="77777777" w:rsidR="00BC7D00" w:rsidRPr="00C53B42" w:rsidRDefault="00BC7D00" w:rsidP="00A05D8D">
            <w:pPr>
              <w:jc w:val="both"/>
              <w:rPr>
                <w:rFonts w:ascii="Verdana" w:eastAsia="Calibri" w:hAnsi="Verdana" w:cs="Arial"/>
                <w:lang w:val="es-ES" w:eastAsia="es-ES"/>
              </w:rPr>
            </w:pPr>
          </w:p>
        </w:tc>
      </w:tr>
      <w:tr w:rsidR="00BC7D00" w14:paraId="4EC3AB1B" w14:textId="77777777" w:rsidTr="00A05D8D">
        <w:trPr>
          <w:trHeight w:val="360"/>
        </w:trPr>
        <w:tc>
          <w:tcPr>
            <w:tcW w:w="2175" w:type="dxa"/>
            <w:hideMark/>
          </w:tcPr>
          <w:p w14:paraId="09B65394" w14:textId="77777777" w:rsidR="00BC7D00" w:rsidRPr="00C53B42" w:rsidRDefault="00BC7D00" w:rsidP="00A05D8D">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32B116C7" w14:textId="77777777" w:rsidR="00BC7D00" w:rsidRPr="00C53B42" w:rsidRDefault="00BC7D00" w:rsidP="00A05D8D">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013586">
              <w:rPr>
                <w:rFonts w:ascii="Verdana" w:eastAsia="Calibri" w:hAnsi="Verdana" w:cs="Arial"/>
                <w:lang w:val="es-ES_tradnl" w:eastAsia="es-ES_tradnl"/>
              </w:rPr>
              <w:t>1_2026_03_30_004416</w:t>
            </w:r>
          </w:p>
        </w:tc>
      </w:tr>
    </w:tbl>
    <w:p w14:paraId="43880A58" w14:textId="77777777" w:rsidR="00BC7D00" w:rsidRDefault="00BC7D00" w:rsidP="00BC7D00">
      <w:pPr>
        <w:spacing w:after="0" w:line="240" w:lineRule="auto"/>
        <w:jc w:val="both"/>
        <w:rPr>
          <w:rFonts w:ascii="Verdana" w:eastAsia="Calibri" w:hAnsi="Verdana" w:cs="Arial"/>
          <w:color w:val="000000"/>
          <w:lang w:val="es-ES_tradnl" w:eastAsia="es-ES_tradnl"/>
        </w:rPr>
      </w:pPr>
    </w:p>
    <w:p w14:paraId="55019C26" w14:textId="77777777" w:rsidR="00BC7D00" w:rsidRDefault="00BC7D00" w:rsidP="00BC7D00">
      <w:pPr>
        <w:spacing w:after="0" w:line="240" w:lineRule="auto"/>
        <w:jc w:val="both"/>
        <w:rPr>
          <w:rFonts w:ascii="Verdana" w:eastAsia="Calibri" w:hAnsi="Verdana" w:cs="Arial"/>
          <w:color w:val="000000"/>
          <w:lang w:val="es-ES_tradnl" w:eastAsia="es-ES_tradnl"/>
        </w:rPr>
      </w:pPr>
    </w:p>
    <w:p w14:paraId="39D030E7" w14:textId="77777777" w:rsidR="00BC7D00" w:rsidRDefault="00BC7D00" w:rsidP="00BC7D00">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Agudelo,</w:t>
      </w:r>
    </w:p>
    <w:p w14:paraId="02F0D242" w14:textId="77777777" w:rsidR="00BC7D00" w:rsidRDefault="00BC7D00" w:rsidP="00BC7D0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BBED443" w14:textId="77777777" w:rsidR="00BC7D00" w:rsidRDefault="00BC7D00" w:rsidP="00BC7D00">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la </w:t>
      </w:r>
      <w:r w:rsidRPr="00C76F48">
        <w:rPr>
          <w:rFonts w:ascii="Verdana" w:hAnsi="Verdana" w:cs="Arial"/>
        </w:rPr>
        <w:t xml:space="preserve">Resolución 469 de 2025 </w:t>
      </w:r>
      <w:r>
        <w:rPr>
          <w:rFonts w:ascii="Verdana" w:hAnsi="Verdana" w:cs="Arial"/>
        </w:rPr>
        <w:t xml:space="preserve">expedida por esta Entidad, </w:t>
      </w:r>
      <w:r>
        <w:rPr>
          <w:rFonts w:ascii="Verdana" w:eastAsia="Calibri" w:hAnsi="Verdana" w:cs="Arial"/>
          <w:lang w:val="es-ES" w:eastAsia="es-ES"/>
        </w:rPr>
        <w:t xml:space="preserve">la Agencia Nacional de Contratación Pública – Colombia Compra Eficiente– responde su solicitud de consulta del 30 de marzo de 2026, en la cual manifiesta lo siguiente: </w:t>
      </w:r>
    </w:p>
    <w:p w14:paraId="12E20794" w14:textId="77777777" w:rsidR="00BC7D00" w:rsidRDefault="00BC7D00" w:rsidP="00BC7D0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4497F47" w14:textId="77777777" w:rsidR="00BC7D00"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lang w:val="es-ES"/>
        </w:rPr>
        <w:t xml:space="preserve">“[…] </w:t>
      </w:r>
    </w:p>
    <w:p w14:paraId="12A47759" w14:textId="77777777" w:rsidR="00BC7D00" w:rsidRPr="00013586"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1. </w:t>
      </w:r>
      <w:r w:rsidRPr="00013586">
        <w:rPr>
          <w:rFonts w:ascii="Verdana" w:eastAsia="Century Gothic" w:hAnsi="Verdana" w:cs="Century Gothic"/>
          <w:sz w:val="20"/>
          <w:szCs w:val="20"/>
        </w:rPr>
        <w:t xml:space="preserve">Se indique si, en vigencia de la Ley de Garantías, es jurídicamente viable adelantar contratación directa en los eventos en que exista un proveedor único o exclusivo. </w:t>
      </w:r>
    </w:p>
    <w:p w14:paraId="4A835FC8" w14:textId="77777777" w:rsidR="00BC7D00"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sidRPr="00013586">
        <w:rPr>
          <w:rFonts w:ascii="Verdana" w:eastAsia="Century Gothic" w:hAnsi="Verdana" w:cs="Century Gothic"/>
          <w:sz w:val="20"/>
          <w:szCs w:val="20"/>
        </w:rPr>
        <w:t xml:space="preserve">2. Se precise cuáles son los requisitos y soportes mínimos que deben acreditarse para justificar la inexistencia de pluralidad de oferentes en estos casos. </w:t>
      </w:r>
    </w:p>
    <w:p w14:paraId="2CFE5C51" w14:textId="77777777" w:rsidR="00BC7D00"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sidRPr="00013586">
        <w:rPr>
          <w:rFonts w:ascii="Verdana" w:eastAsia="Century Gothic" w:hAnsi="Verdana" w:cs="Century Gothic"/>
          <w:sz w:val="20"/>
          <w:szCs w:val="20"/>
        </w:rPr>
        <w:t xml:space="preserve">3. Se oriente o informe si existen lineamientos, conceptos o jurisprudencia reciente aplicable a: </w:t>
      </w:r>
    </w:p>
    <w:p w14:paraId="35284F0A" w14:textId="77777777" w:rsidR="00BC7D00"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 </w:t>
      </w:r>
      <w:r w:rsidRPr="00013586">
        <w:rPr>
          <w:rFonts w:ascii="Verdana" w:eastAsia="Century Gothic" w:hAnsi="Verdana" w:cs="Century Gothic"/>
          <w:sz w:val="20"/>
          <w:szCs w:val="20"/>
        </w:rPr>
        <w:t xml:space="preserve">Contratación por licencias, patentes o derechos exclusivos. </w:t>
      </w:r>
    </w:p>
    <w:p w14:paraId="666D14A3" w14:textId="77777777" w:rsidR="00BC7D00"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 </w:t>
      </w:r>
      <w:r w:rsidRPr="00013586">
        <w:rPr>
          <w:rFonts w:ascii="Verdana" w:eastAsia="Century Gothic" w:hAnsi="Verdana" w:cs="Century Gothic"/>
          <w:sz w:val="20"/>
          <w:szCs w:val="20"/>
        </w:rPr>
        <w:t xml:space="preserve">Representantes exclusivos de marca. </w:t>
      </w:r>
    </w:p>
    <w:p w14:paraId="01BDA189" w14:textId="77777777" w:rsidR="00BC7D00"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 </w:t>
      </w:r>
      <w:r w:rsidRPr="00013586">
        <w:rPr>
          <w:rFonts w:ascii="Verdana" w:eastAsia="Century Gothic" w:hAnsi="Verdana" w:cs="Century Gothic"/>
          <w:sz w:val="20"/>
          <w:szCs w:val="20"/>
        </w:rPr>
        <w:t xml:space="preserve">Servicios con operadores únicos (ej. sistemas de transporte masivo). </w:t>
      </w:r>
    </w:p>
    <w:p w14:paraId="62EAC2F5" w14:textId="77777777" w:rsidR="00BC7D00" w:rsidRPr="00013586" w:rsidRDefault="00BC7D00" w:rsidP="00BC7D00">
      <w:pPr>
        <w:autoSpaceDE w:val="0"/>
        <w:autoSpaceDN w:val="0"/>
        <w:adjustRightInd w:val="0"/>
        <w:spacing w:after="0" w:line="240" w:lineRule="auto"/>
        <w:ind w:left="709" w:right="709"/>
        <w:jc w:val="both"/>
        <w:rPr>
          <w:rFonts w:ascii="Verdana" w:eastAsia="Century Gothic" w:hAnsi="Verdana" w:cs="Century Gothic"/>
          <w:sz w:val="20"/>
          <w:szCs w:val="20"/>
        </w:rPr>
      </w:pPr>
      <w:r w:rsidRPr="00013586">
        <w:rPr>
          <w:rFonts w:ascii="Verdana" w:eastAsia="Century Gothic" w:hAnsi="Verdana" w:cs="Century Gothic"/>
          <w:sz w:val="20"/>
          <w:szCs w:val="20"/>
        </w:rPr>
        <w:lastRenderedPageBreak/>
        <w:t xml:space="preserve">4. Se remitan conceptos, circulares o sentencias adicionales que orienten la correcta aplicación de estas disposiciones en el marco de la Ley de Garantías. </w:t>
      </w:r>
      <w:r>
        <w:rPr>
          <w:rFonts w:ascii="Verdana" w:eastAsia="Century Gothic" w:hAnsi="Verdana" w:cs="Century Gothic"/>
          <w:sz w:val="20"/>
          <w:szCs w:val="20"/>
        </w:rPr>
        <w:t xml:space="preserve"> </w:t>
      </w:r>
      <w:r w:rsidRPr="00960B20">
        <w:rPr>
          <w:rFonts w:ascii="Verdana" w:hAnsi="Verdana"/>
          <w:sz w:val="20"/>
          <w:szCs w:val="20"/>
        </w:rPr>
        <w:t>[…]”</w:t>
      </w:r>
    </w:p>
    <w:p w14:paraId="63462811" w14:textId="77777777" w:rsidR="00BC7D00" w:rsidRPr="00924340" w:rsidRDefault="00BC7D00" w:rsidP="00BC7D00">
      <w:pPr>
        <w:autoSpaceDE w:val="0"/>
        <w:autoSpaceDN w:val="0"/>
        <w:adjustRightInd w:val="0"/>
        <w:spacing w:after="0" w:line="276" w:lineRule="auto"/>
        <w:ind w:left="851" w:right="616"/>
        <w:jc w:val="both"/>
        <w:rPr>
          <w:rFonts w:ascii="Verdana" w:eastAsia="Century Gothic" w:hAnsi="Verdana" w:cs="Century Gothic"/>
          <w:b/>
        </w:rPr>
      </w:pPr>
    </w:p>
    <w:p w14:paraId="157BF6B6" w14:textId="77777777" w:rsidR="00BC7D00" w:rsidRDefault="00BC7D00" w:rsidP="00BC7D00">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FB4521F" w14:textId="77777777" w:rsidR="00BC7D00" w:rsidRDefault="00BC7D00" w:rsidP="00BC7D00">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3BF5D55" w14:textId="77777777" w:rsidR="00BC7D00" w:rsidRDefault="00BC7D00" w:rsidP="00BC7D00">
      <w:pPr>
        <w:spacing w:after="0" w:line="276" w:lineRule="auto"/>
        <w:ind w:firstLine="709"/>
        <w:jc w:val="both"/>
        <w:rPr>
          <w:rFonts w:ascii="Verdana" w:eastAsia="Calibri" w:hAnsi="Verdana" w:cs="Arial"/>
          <w:color w:val="000000"/>
          <w:lang w:val="es-ES" w:eastAsia="es-ES"/>
        </w:rPr>
      </w:pPr>
    </w:p>
    <w:p w14:paraId="6F6C5932" w14:textId="77777777" w:rsidR="00BC7D00" w:rsidRDefault="00BC7D00" w:rsidP="00BC7D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2AA6D2C5" w14:textId="77777777" w:rsidR="00BC7D00" w:rsidRDefault="00BC7D00" w:rsidP="00BC7D00">
      <w:pPr>
        <w:tabs>
          <w:tab w:val="left" w:pos="426"/>
        </w:tabs>
        <w:spacing w:after="0" w:line="276" w:lineRule="auto"/>
        <w:jc w:val="both"/>
        <w:rPr>
          <w:rFonts w:ascii="Verdana" w:eastAsia="Century Gothic" w:hAnsi="Verdana" w:cs="Century Gothic"/>
          <w:lang w:val="es-ES"/>
        </w:rPr>
      </w:pPr>
    </w:p>
    <w:p w14:paraId="5CF08FEE" w14:textId="77777777" w:rsidR="00BC7D00" w:rsidRPr="00FC6F34" w:rsidRDefault="00BC7D00" w:rsidP="00BC7D00">
      <w:pPr>
        <w:spacing w:after="0" w:line="276" w:lineRule="auto"/>
        <w:jc w:val="both"/>
        <w:rPr>
          <w:rFonts w:ascii="Verdana" w:eastAsia="Century Gothic" w:hAnsi="Verdana" w:cs="Century Gothic"/>
          <w:color w:val="000000" w:themeColor="text1"/>
          <w:lang w:val="es-ES"/>
        </w:rPr>
      </w:pPr>
      <w:r>
        <w:rPr>
          <w:rFonts w:ascii="Verdana" w:eastAsia="Century Gothic" w:hAnsi="Verdana" w:cs="Century Gothic"/>
        </w:rPr>
        <w:t xml:space="preserve">De acuerdo con el contenido de su solicitud, esta Agencia resolverá los siguientes problemas jurídicos: i) ¿En vigencia de la Ley de Garantías Electorales es posible realizar la contratación de proveedores exclusivos bajo la modalidad de contratación directa?;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¿Cuándo aplica la causal de contratación directa establecida en el artículo 2, numeral 4, literal g) de la Ley 1150 de 2007?</w:t>
      </w:r>
    </w:p>
    <w:p w14:paraId="13CE786D" w14:textId="77777777" w:rsidR="00BC7D00" w:rsidRDefault="00BC7D00" w:rsidP="00BC7D00">
      <w:pPr>
        <w:spacing w:after="0" w:line="276" w:lineRule="auto"/>
        <w:jc w:val="both"/>
        <w:rPr>
          <w:rFonts w:ascii="Verdana" w:eastAsia="Calibri" w:hAnsi="Verdana" w:cs="Arial"/>
          <w:color w:val="7030A0"/>
          <w:lang w:val="es-ES"/>
        </w:rPr>
      </w:pPr>
    </w:p>
    <w:p w14:paraId="72EEB4B4" w14:textId="77777777" w:rsidR="00BC7D00" w:rsidRDefault="00BC7D00" w:rsidP="00BC7D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A9745B1" w14:textId="77777777" w:rsidR="00BC7D00" w:rsidRDefault="00BC7D00" w:rsidP="00BC7D0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7D00" w:rsidRPr="00DE5508" w14:paraId="244A8783" w14:textId="77777777" w:rsidTr="00A05D8D">
        <w:tc>
          <w:tcPr>
            <w:tcW w:w="8828" w:type="dxa"/>
            <w:tcBorders>
              <w:top w:val="dotted" w:sz="4" w:space="0" w:color="auto"/>
              <w:left w:val="dotted" w:sz="4" w:space="0" w:color="auto"/>
              <w:bottom w:val="dotted" w:sz="4" w:space="0" w:color="auto"/>
              <w:right w:val="dotted" w:sz="4" w:space="0" w:color="auto"/>
            </w:tcBorders>
          </w:tcPr>
          <w:p w14:paraId="28596B26" w14:textId="4C45696C" w:rsidR="00BC7D00" w:rsidRPr="00391591" w:rsidRDefault="00391591" w:rsidP="00391591">
            <w:pPr>
              <w:spacing w:after="120" w:line="276" w:lineRule="auto"/>
              <w:jc w:val="both"/>
              <w:rPr>
                <w:rFonts w:ascii="Verdana" w:eastAsia="Calibri" w:hAnsi="Verdana" w:cs="Arial"/>
              </w:rPr>
            </w:pPr>
            <w:proofErr w:type="spellStart"/>
            <w:r>
              <w:rPr>
                <w:rFonts w:ascii="Verdana" w:eastAsia="Calibri" w:hAnsi="Verdana" w:cs="Arial"/>
              </w:rPr>
              <w:t>i.</w:t>
            </w:r>
            <w:r w:rsidR="00BC7D00" w:rsidRPr="00391591">
              <w:rPr>
                <w:rFonts w:ascii="Verdana" w:eastAsia="Calibri" w:hAnsi="Verdana" w:cs="Arial"/>
              </w:rPr>
              <w:t>Dado</w:t>
            </w:r>
            <w:proofErr w:type="spellEnd"/>
            <w:r w:rsidR="00BC7D00" w:rsidRPr="00391591">
              <w:rPr>
                <w:rFonts w:ascii="Verdana" w:eastAsia="Calibri" w:hAnsi="Verdana" w:cs="Arial"/>
              </w:rPr>
              <w:t xml:space="preserve"> que las disposiciones de la Ley de Garantías Electorales tienen naturaleza restrictiva, su interpretación debe ser estricta y ceñida a los supuestos expresamente previstos por el legislador, sin admitir extensiones analógicas. Así, la prohibición contenida en el artículo 33 de la Ley 996 de </w:t>
            </w:r>
            <w:r w:rsidR="00BC7D00" w:rsidRPr="00391591">
              <w:rPr>
                <w:rFonts w:ascii="Verdana" w:eastAsia="Calibri" w:hAnsi="Verdana" w:cs="Arial"/>
              </w:rPr>
              <w:lastRenderedPageBreak/>
              <w:t>2005 se circunscribe a la contratación directa, entendida como cualquier mecanismo de selección que prescinda de una convocatoria pública y de la posibilidad real de concurrencia de una pluralidad de oferentes, con independencia de la denominación formal del procedimiento o del régimen contractual aplicable a la entidad.</w:t>
            </w:r>
          </w:p>
          <w:p w14:paraId="09704E1A" w14:textId="77777777" w:rsidR="00BC7D00" w:rsidRDefault="00BC7D00" w:rsidP="00A05D8D">
            <w:pPr>
              <w:spacing w:after="120" w:line="276" w:lineRule="auto"/>
              <w:ind w:firstLine="709"/>
              <w:jc w:val="both"/>
              <w:rPr>
                <w:rFonts w:ascii="Verdana" w:eastAsia="Calibri" w:hAnsi="Verdana" w:cs="Arial"/>
              </w:rPr>
            </w:pPr>
            <w:r w:rsidRPr="005E6C8F">
              <w:rPr>
                <w:rFonts w:ascii="Verdana" w:eastAsia="Calibri" w:hAnsi="Verdana" w:cs="Arial"/>
              </w:rPr>
              <w:t xml:space="preserve">Por consiguiente, durante el período preelectoral correspondiente a las elecciones presidenciales, los entes del Estado no pueden celebrar contratos mediante esquemas de contratación directa, salvo en los eventos expresamente exceptuados por la ley, orientados a atender urgencias en materia de </w:t>
            </w:r>
            <w:r w:rsidRPr="3A5322BA">
              <w:rPr>
                <w:rFonts w:ascii="Verdana" w:eastAsia="Times New Roman" w:hAnsi="Verdana" w:cs="Arial"/>
                <w:lang w:val="es-MX"/>
              </w:rPr>
              <w:t>defensa, salud, educación, infraestructura vial y de servicios públicos y ecológicas</w:t>
            </w:r>
            <w:r w:rsidRPr="005E6C8F">
              <w:rPr>
                <w:rFonts w:ascii="Verdana" w:eastAsia="Calibri" w:hAnsi="Verdana" w:cs="Arial"/>
              </w:rPr>
              <w:t>, de manera que no se limite de forma desproporcionada la acción estatal en el cumplimiento de sus fines; en contraste, las modalidades de selección que garantizan publicidad, concurrencia y competencia no se encuentran comprendidas dentro de dicha prohibición.</w:t>
            </w:r>
          </w:p>
          <w:p w14:paraId="3470DEE3" w14:textId="77777777" w:rsidR="00BC7D00" w:rsidRPr="00783D3F" w:rsidRDefault="00BC7D00" w:rsidP="00A05D8D">
            <w:pPr>
              <w:spacing w:after="120" w:line="276" w:lineRule="auto"/>
              <w:ind w:firstLine="709"/>
              <w:jc w:val="both"/>
              <w:rPr>
                <w:rFonts w:ascii="Verdana" w:eastAsia="Calibri" w:hAnsi="Verdana" w:cs="Arial"/>
              </w:rPr>
            </w:pPr>
            <w:r w:rsidRPr="00783D3F">
              <w:rPr>
                <w:rFonts w:ascii="Verdana" w:eastAsia="Calibri" w:hAnsi="Verdana" w:cs="Arial"/>
              </w:rPr>
              <w:t>Por lo anterior, en consideración a que el artículo 2, numeral 4, literal g) de la Ley 1150 de 2007 consagra como causal de contratación directa la inexistencia de pluralidad de oferentes en el mercado, dicho mecanismo de selección resulta procedente en tales circunstancias. Sin embargo, su utilización se encuentra limitada durante la vigencia de la Ley de Garantías Electorales, salvo en las excepciones previstas de manera expresa por el legislador.</w:t>
            </w:r>
          </w:p>
          <w:p w14:paraId="69238114" w14:textId="77777777" w:rsidR="00BC7D00" w:rsidRPr="00911AD2" w:rsidRDefault="00BC7D00" w:rsidP="00A05D8D">
            <w:pPr>
              <w:spacing w:line="276" w:lineRule="auto"/>
              <w:ind w:left="31"/>
              <w:jc w:val="both"/>
              <w:rPr>
                <w:rFonts w:ascii="Verdana" w:eastAsia="Calibri" w:hAnsi="Verdana" w:cs="Arial"/>
                <w:color w:val="000000" w:themeColor="text1"/>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911AD2">
              <w:rPr>
                <w:rFonts w:ascii="Verdana" w:eastAsia="Calibri" w:hAnsi="Verdana" w:cs="Arial"/>
                <w:color w:val="000000" w:themeColor="text1"/>
              </w:rPr>
              <w:t>La norma vigente para interpretar el alcance de la causal de contratación directa dispuesta en el artículo 2, numeral 4, literal g), de la Ley 1150 de 2007 está compilada en el artículo 2.2.1.2.1.4.8 del Decreto 1082 de 2015, el cual dispone lo siguiente: “Artículo 2.2.1.2.1.4.8. Contratación directa cuando no exista pluralidad de oferentes.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p>
          <w:p w14:paraId="121BDB92" w14:textId="77777777" w:rsidR="00BC7D00" w:rsidRDefault="00BC7D00" w:rsidP="00A05D8D">
            <w:pPr>
              <w:spacing w:after="120" w:line="276" w:lineRule="auto"/>
              <w:ind w:firstLine="708"/>
              <w:jc w:val="both"/>
              <w:rPr>
                <w:rFonts w:ascii="Verdana" w:eastAsia="Calibri" w:hAnsi="Verdana" w:cs="Arial"/>
                <w:color w:val="000000" w:themeColor="text1"/>
              </w:rPr>
            </w:pPr>
            <w:r w:rsidRPr="009A68AF">
              <w:rPr>
                <w:rFonts w:ascii="Verdana" w:eastAsia="Calibri" w:hAnsi="Verdana" w:cs="Arial"/>
                <w:color w:val="000000" w:themeColor="text1"/>
              </w:rPr>
              <w:t xml:space="preserve">La norma consagra dos (2) hipótesis. </w:t>
            </w:r>
            <w:r w:rsidRPr="009A68AF">
              <w:rPr>
                <w:rFonts w:ascii="Verdana" w:eastAsia="Calibri" w:hAnsi="Verdana" w:cs="Arial"/>
                <w:i/>
                <w:iCs/>
                <w:color w:val="000000" w:themeColor="text1"/>
              </w:rPr>
              <w:t>En primer lugar</w:t>
            </w:r>
            <w:r w:rsidRPr="009A68AF">
              <w:rPr>
                <w:rFonts w:ascii="Verdana" w:eastAsia="Calibri" w:hAnsi="Verdana" w:cs="Arial"/>
                <w:color w:val="000000" w:themeColor="text1"/>
              </w:rPr>
              <w:t xml:space="preserve">, no existe pluralidad de oferentes cuando solo una persona puede proveer el bien o servicio por ser titular de los derechos de propiedad industrial o de los derechos de autor. De esta manera, no basta con que sea la única persona </w:t>
            </w:r>
            <w:r w:rsidRPr="009A68AF">
              <w:rPr>
                <w:rFonts w:ascii="Verdana" w:eastAsia="Calibri" w:hAnsi="Verdana" w:cs="Arial"/>
                <w:color w:val="000000" w:themeColor="text1"/>
              </w:rPr>
              <w:lastRenderedPageBreak/>
              <w:t xml:space="preserve">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51C33AD1" w14:textId="1DEA259C" w:rsidR="00BC7D00" w:rsidRDefault="00BC7D00" w:rsidP="00A05D8D">
            <w:pPr>
              <w:spacing w:line="276" w:lineRule="auto"/>
              <w:ind w:firstLine="708"/>
              <w:jc w:val="both"/>
              <w:rPr>
                <w:rFonts w:ascii="Verdana" w:eastAsia="Calibri" w:hAnsi="Verdana" w:cs="Arial"/>
                <w:color w:val="000000" w:themeColor="text1"/>
              </w:rPr>
            </w:pPr>
            <w:r w:rsidRPr="009A68AF">
              <w:rPr>
                <w:rFonts w:ascii="Verdana" w:eastAsia="Calibri" w:hAnsi="Verdana" w:cs="Arial"/>
                <w:i/>
                <w:iCs/>
                <w:color w:val="000000" w:themeColor="text1"/>
              </w:rPr>
              <w:t>En segundo lugar</w:t>
            </w:r>
            <w:r w:rsidRPr="009A68AF">
              <w:rPr>
                <w:rFonts w:ascii="Verdana" w:eastAsia="Calibri" w:hAnsi="Verdana" w:cs="Arial"/>
                <w:color w:val="000000" w:themeColor="text1"/>
              </w:rPr>
              <w:t>, 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p>
          <w:p w14:paraId="48CF0326" w14:textId="77777777" w:rsidR="00391591" w:rsidRPr="009A68AF" w:rsidRDefault="00391591" w:rsidP="00A05D8D">
            <w:pPr>
              <w:spacing w:line="276" w:lineRule="auto"/>
              <w:ind w:firstLine="708"/>
              <w:jc w:val="both"/>
              <w:rPr>
                <w:rFonts w:ascii="Verdana" w:eastAsia="Calibri" w:hAnsi="Verdana" w:cs="Arial"/>
                <w:color w:val="000000" w:themeColor="text1"/>
              </w:rPr>
            </w:pPr>
          </w:p>
          <w:p w14:paraId="49B44868" w14:textId="77777777" w:rsidR="00BC7D00" w:rsidRPr="00783D3F" w:rsidRDefault="00BC7D00" w:rsidP="00A05D8D">
            <w:pPr>
              <w:spacing w:line="276" w:lineRule="auto"/>
              <w:ind w:firstLine="708"/>
              <w:jc w:val="both"/>
              <w:rPr>
                <w:rFonts w:ascii="Verdana" w:eastAsia="Calibri" w:hAnsi="Verdana" w:cs="Arial"/>
                <w:color w:val="000000" w:themeColor="text1"/>
              </w:rPr>
            </w:pPr>
            <w:r w:rsidRPr="009A68AF">
              <w:rPr>
                <w:rFonts w:ascii="Verdana" w:eastAsia="Calibri" w:hAnsi="Verdana" w:cs="Arial"/>
                <w:color w:val="000000" w:themeColor="text1"/>
              </w:rPr>
              <w:t>Fuera de estas dos (2) situaciones, no es posible aplicar el artículo 2, numeral 4, literal g), de la Ley 1150 de 2007,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p>
        </w:tc>
      </w:tr>
    </w:tbl>
    <w:p w14:paraId="5A3D7C3D" w14:textId="77777777" w:rsidR="00BC7D00" w:rsidRPr="00DE5508" w:rsidRDefault="00BC7D00" w:rsidP="00BC7D00">
      <w:pPr>
        <w:tabs>
          <w:tab w:val="left" w:pos="142"/>
          <w:tab w:val="left" w:pos="284"/>
        </w:tabs>
        <w:spacing w:after="0" w:line="276" w:lineRule="auto"/>
        <w:jc w:val="both"/>
        <w:rPr>
          <w:rFonts w:ascii="Verdana" w:eastAsia="Century Gothic" w:hAnsi="Verdana" w:cs="Century Gothic"/>
          <w:b/>
          <w:bCs/>
          <w:lang w:val="es-ES"/>
        </w:rPr>
      </w:pPr>
    </w:p>
    <w:p w14:paraId="03D40D3A" w14:textId="77777777" w:rsidR="00BC7D00" w:rsidRDefault="00BC7D00" w:rsidP="00BC7D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790C0E1C" w14:textId="77777777" w:rsidR="00BC7D00" w:rsidRDefault="00BC7D00" w:rsidP="00BC7D00">
      <w:pPr>
        <w:spacing w:after="0" w:line="276" w:lineRule="auto"/>
        <w:jc w:val="both"/>
        <w:rPr>
          <w:rFonts w:ascii="Verdana" w:eastAsia="Calibri" w:hAnsi="Verdana" w:cs="Arial"/>
          <w:color w:val="7030A0"/>
          <w:lang w:val="es-ES"/>
        </w:rPr>
      </w:pPr>
    </w:p>
    <w:p w14:paraId="5E86302C" w14:textId="77777777" w:rsidR="00BC7D00" w:rsidRDefault="00BC7D00" w:rsidP="00BC7D00">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5CF2E651" w14:textId="77777777" w:rsidR="00BC7D00" w:rsidRDefault="00BC7D00" w:rsidP="00BC7D00">
      <w:pPr>
        <w:widowControl w:val="0"/>
        <w:autoSpaceDE w:val="0"/>
        <w:autoSpaceDN w:val="0"/>
        <w:spacing w:after="0" w:line="276" w:lineRule="auto"/>
        <w:ind w:right="176"/>
        <w:jc w:val="both"/>
        <w:rPr>
          <w:rFonts w:ascii="Verdana" w:eastAsia="Calibri" w:hAnsi="Verdana" w:cs="Arial"/>
          <w:lang w:val="es-ES"/>
        </w:rPr>
      </w:pPr>
    </w:p>
    <w:p w14:paraId="6D7AA590" w14:textId="77777777" w:rsidR="00BC7D00" w:rsidRPr="006018C8" w:rsidRDefault="00BC7D00" w:rsidP="00BC7D00">
      <w:pPr>
        <w:pStyle w:val="Prrafodelista"/>
        <w:numPr>
          <w:ilvl w:val="0"/>
          <w:numId w:val="19"/>
        </w:numPr>
        <w:tabs>
          <w:tab w:val="left" w:pos="426"/>
        </w:tabs>
        <w:spacing w:after="120" w:line="276" w:lineRule="auto"/>
        <w:ind w:left="0" w:firstLine="0"/>
        <w:jc w:val="both"/>
        <w:rPr>
          <w:rFonts w:ascii="Verdana" w:eastAsia="Calibri" w:hAnsi="Verdana" w:cs="Arial"/>
          <w:lang w:val="es-ES_tradnl"/>
        </w:rPr>
      </w:pPr>
      <w:r w:rsidRPr="006018C8">
        <w:rPr>
          <w:rFonts w:ascii="Verdana" w:eastAsia="Times New Roman" w:hAnsi="Verdana" w:cs="Arial"/>
          <w:lang w:val="es-MX" w:eastAsia="es-CO"/>
        </w:rPr>
        <w:t>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1"/>
      </w:r>
      <w:r w:rsidRPr="006018C8">
        <w:rPr>
          <w:rFonts w:ascii="Verdana" w:eastAsia="Times New Roman" w:hAnsi="Verdana" w:cs="Arial"/>
          <w:lang w:val="es-MX" w:eastAsia="es-CO"/>
        </w:rPr>
        <w:t xml:space="preserve">. En esta medida, introduce limitaciones para realizar nombramientos, postulaciones, </w:t>
      </w:r>
      <w:r w:rsidRPr="006018C8">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sidRPr="006018C8">
        <w:rPr>
          <w:rFonts w:ascii="Verdana" w:eastAsia="Calibri" w:hAnsi="Verdana" w:cs="Arial"/>
          <w:lang w:val="es-ES_tradnl"/>
        </w:rPr>
        <w:t xml:space="preserve"> </w:t>
      </w:r>
    </w:p>
    <w:p w14:paraId="152E73FC" w14:textId="77777777" w:rsidR="00BC7D00" w:rsidRPr="006B14B5" w:rsidRDefault="00BC7D00" w:rsidP="00BC7D00">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22448F7" w14:textId="77777777" w:rsidR="00BC7D00" w:rsidRPr="00E2397D" w:rsidRDefault="00BC7D00" w:rsidP="00BC7D00">
      <w:pPr>
        <w:spacing w:after="0" w:line="276" w:lineRule="auto"/>
        <w:ind w:right="709"/>
        <w:contextualSpacing/>
        <w:jc w:val="both"/>
        <w:rPr>
          <w:rFonts w:ascii="Verdana" w:eastAsia="Times New Roman" w:hAnsi="Verdana" w:cs="Arial"/>
          <w:lang w:val="es-ES" w:eastAsia="es-CO"/>
        </w:rPr>
      </w:pPr>
    </w:p>
    <w:p w14:paraId="350FEAF9" w14:textId="77777777" w:rsidR="00BC7D00" w:rsidRPr="00E2397D" w:rsidRDefault="00BC7D00" w:rsidP="00BC7D0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EB6119F" w14:textId="77777777" w:rsidR="00BC7D00" w:rsidRPr="00E2397D" w:rsidRDefault="00BC7D00" w:rsidP="00BC7D0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9CEDF52" w14:textId="77777777" w:rsidR="00BC7D00" w:rsidRPr="00E2397D" w:rsidRDefault="00BC7D00" w:rsidP="00BC7D0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405A2F78" w14:textId="77777777" w:rsidR="00BC7D00" w:rsidRPr="00E2397D" w:rsidRDefault="00BC7D00" w:rsidP="00BC7D00">
      <w:pPr>
        <w:spacing w:after="0" w:line="276" w:lineRule="auto"/>
        <w:ind w:firstLine="709"/>
        <w:jc w:val="both"/>
        <w:rPr>
          <w:rFonts w:ascii="Verdana" w:eastAsia="Times New Roman" w:hAnsi="Verdana" w:cs="Arial"/>
          <w:lang w:val="es-MX" w:eastAsia="es-CO"/>
        </w:rPr>
      </w:pPr>
    </w:p>
    <w:p w14:paraId="5EDBF0E6" w14:textId="77777777" w:rsidR="00BC7D00" w:rsidRPr="00E2397D" w:rsidRDefault="00BC7D00" w:rsidP="00BC7D00">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6B58D62" w14:textId="77777777" w:rsidR="00BC7D00" w:rsidRPr="00886C02" w:rsidRDefault="00BC7D00" w:rsidP="00BC7D00">
      <w:pPr>
        <w:spacing w:after="0" w:line="276" w:lineRule="auto"/>
        <w:ind w:firstLine="709"/>
        <w:jc w:val="both"/>
        <w:rPr>
          <w:rFonts w:ascii="Verdana" w:eastAsia="Times New Roman" w:hAnsi="Verdana" w:cs="Arial"/>
          <w:lang w:val="es-MX" w:eastAsia="es-CO"/>
        </w:rPr>
      </w:pPr>
    </w:p>
    <w:p w14:paraId="6DFDBCAB" w14:textId="77777777" w:rsidR="00BC7D00" w:rsidRPr="00E2397D" w:rsidRDefault="00BC7D00" w:rsidP="00BC7D0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w:t>
      </w:r>
      <w:r w:rsidRPr="00E2397D">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3A3BE4AE" w14:textId="77777777" w:rsidR="00BC7D00" w:rsidRPr="00E2397D" w:rsidRDefault="00BC7D00" w:rsidP="00BC7D00">
      <w:pPr>
        <w:spacing w:after="0" w:line="240" w:lineRule="auto"/>
        <w:ind w:right="709"/>
        <w:contextualSpacing/>
        <w:jc w:val="both"/>
        <w:rPr>
          <w:rFonts w:ascii="Verdana" w:eastAsia="Times New Roman" w:hAnsi="Verdana" w:cs="Arial"/>
          <w:lang w:val="es-MX" w:eastAsia="es-CO"/>
        </w:rPr>
      </w:pPr>
    </w:p>
    <w:p w14:paraId="26C0CB18" w14:textId="77777777" w:rsidR="00BC7D00" w:rsidRPr="00E2397D" w:rsidRDefault="00BC7D00" w:rsidP="00BC7D0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4D3C1010" w14:textId="77777777" w:rsidR="00BC7D00" w:rsidRPr="00E2397D" w:rsidRDefault="00BC7D00" w:rsidP="00BC7D00">
      <w:pPr>
        <w:spacing w:after="0" w:line="276" w:lineRule="auto"/>
        <w:jc w:val="both"/>
        <w:rPr>
          <w:rFonts w:ascii="Verdana" w:eastAsia="Calibri" w:hAnsi="Verdana" w:cs="Arial"/>
          <w:bCs/>
          <w:lang w:val="es-ES_tradnl"/>
        </w:rPr>
      </w:pPr>
    </w:p>
    <w:p w14:paraId="1441266F" w14:textId="77777777" w:rsidR="00BC7D00" w:rsidRPr="00B3605D" w:rsidRDefault="00BC7D00" w:rsidP="00BC7D00">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26C2407" w14:textId="77777777" w:rsidR="00BC7D00" w:rsidRDefault="00BC7D00" w:rsidP="00BC7D00">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29AEE0C2" w14:textId="77777777" w:rsidR="00BC7D00" w:rsidRDefault="00BC7D00" w:rsidP="00BC7D00">
      <w:pPr>
        <w:spacing w:after="0" w:line="276" w:lineRule="auto"/>
        <w:ind w:firstLine="709"/>
        <w:jc w:val="both"/>
        <w:rPr>
          <w:rFonts w:ascii="Verdana" w:eastAsia="Arial" w:hAnsi="Verdana" w:cs="Arial"/>
          <w:lang w:val="es-ES" w:eastAsia="es-ES" w:bidi="es-ES"/>
        </w:rPr>
      </w:pPr>
    </w:p>
    <w:p w14:paraId="34F13F81" w14:textId="77777777" w:rsidR="00BC7D00" w:rsidRPr="00F2587B" w:rsidRDefault="00BC7D00" w:rsidP="00BC7D00">
      <w:pPr>
        <w:pStyle w:val="Prrafodelista"/>
        <w:numPr>
          <w:ilvl w:val="0"/>
          <w:numId w:val="18"/>
        </w:numPr>
        <w:spacing w:after="0" w:line="276" w:lineRule="auto"/>
        <w:jc w:val="both"/>
        <w:rPr>
          <w:rFonts w:ascii="Verdana" w:eastAsia="Arial" w:hAnsi="Verdana" w:cs="Arial"/>
          <w:i/>
          <w:lang w:eastAsia="es-ES" w:bidi="es-ES"/>
        </w:rPr>
      </w:pPr>
      <w:r w:rsidRPr="00F2587B">
        <w:rPr>
          <w:rFonts w:ascii="Verdana" w:eastAsia="Arial" w:hAnsi="Verdana" w:cs="Arial"/>
          <w:i/>
          <w:lang w:eastAsia="es-ES" w:bidi="es-ES"/>
        </w:rPr>
        <w:t xml:space="preserve">Restricciones elecciones presidenciales </w:t>
      </w:r>
    </w:p>
    <w:p w14:paraId="261E0737" w14:textId="77777777" w:rsidR="00BC7D00" w:rsidRPr="00A545DE" w:rsidRDefault="00BC7D00" w:rsidP="00BC7D00">
      <w:pPr>
        <w:pStyle w:val="Prrafodelista"/>
        <w:spacing w:after="0" w:line="276" w:lineRule="auto"/>
        <w:ind w:left="1080"/>
        <w:jc w:val="both"/>
        <w:rPr>
          <w:rFonts w:ascii="Verdana" w:eastAsia="Arial" w:hAnsi="Verdana" w:cs="Arial"/>
          <w:lang w:eastAsia="es-ES" w:bidi="es-ES"/>
        </w:rPr>
      </w:pPr>
    </w:p>
    <w:p w14:paraId="69078A2A" w14:textId="77777777" w:rsidR="00BC7D00" w:rsidRPr="00FC54ED" w:rsidRDefault="00BC7D00" w:rsidP="00BC7D00">
      <w:pPr>
        <w:spacing w:after="0" w:line="240" w:lineRule="auto"/>
        <w:ind w:left="709"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xml:space="preserve">  Durante los cuatro (4) meses anteriores a la elección presidencial y hasta la realización de la elección en la segunda vuelta, si </w:t>
      </w:r>
      <w:r w:rsidRPr="00FC54ED">
        <w:rPr>
          <w:rFonts w:ascii="Verdana" w:eastAsia="Times New Roman" w:hAnsi="Verdana" w:cs="Open Sans"/>
          <w:sz w:val="20"/>
          <w:szCs w:val="20"/>
          <w:lang w:eastAsia="es-CO"/>
        </w:rPr>
        <w:lastRenderedPageBreak/>
        <w:t>fuere el caso, queda prohibida la contratación directa por parte de todos los entes del Estado.</w:t>
      </w:r>
    </w:p>
    <w:p w14:paraId="614C6E82" w14:textId="77777777" w:rsidR="00BC7D00" w:rsidRPr="00FC54ED" w:rsidRDefault="00BC7D00" w:rsidP="00BC7D00">
      <w:pPr>
        <w:spacing w:after="0" w:line="240" w:lineRule="auto"/>
        <w:ind w:left="709" w:right="703"/>
        <w:jc w:val="both"/>
        <w:rPr>
          <w:rFonts w:ascii="Verdana" w:eastAsia="Times New Roman" w:hAnsi="Verdana" w:cs="Open Sans"/>
          <w:sz w:val="20"/>
          <w:szCs w:val="20"/>
          <w:lang w:eastAsia="es-CO"/>
        </w:rPr>
      </w:pPr>
    </w:p>
    <w:p w14:paraId="4C3857BA" w14:textId="77777777" w:rsidR="00BC7D00" w:rsidRPr="00B3605D" w:rsidRDefault="00BC7D00" w:rsidP="00BC7D00">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288A66FE" w14:textId="77777777" w:rsidR="00BC7D00" w:rsidRDefault="00BC7D00" w:rsidP="00BC7D00">
      <w:pPr>
        <w:spacing w:after="0" w:line="276" w:lineRule="auto"/>
        <w:ind w:right="618" w:firstLine="708"/>
        <w:jc w:val="both"/>
        <w:rPr>
          <w:rFonts w:ascii="Verdana" w:eastAsia="Times New Roman" w:hAnsi="Verdana" w:cs="Open Sans"/>
          <w:lang w:eastAsia="es-CO"/>
        </w:rPr>
      </w:pPr>
    </w:p>
    <w:p w14:paraId="609DF1BE" w14:textId="77777777" w:rsidR="00BC7D00" w:rsidRDefault="00BC7D00" w:rsidP="00BC7D00">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264FED34" w14:textId="77777777" w:rsidR="00BC7D00" w:rsidRDefault="00BC7D00" w:rsidP="00BC7D00">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634B9BEF" w14:textId="77777777" w:rsidR="00BC7D00" w:rsidRDefault="00BC7D00" w:rsidP="00BC7D00">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w:t>
      </w:r>
      <w:r w:rsidRPr="006A640E">
        <w:rPr>
          <w:rFonts w:ascii="Verdana" w:hAnsi="Verdana"/>
        </w:rPr>
        <w:lastRenderedPageBreak/>
        <w:t xml:space="preserve">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66AA1AEE" w14:textId="77777777" w:rsidR="00BC7D00" w:rsidRDefault="00BC7D00" w:rsidP="00BC7D00">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26D80703" w14:textId="77777777" w:rsidR="00BC7D00" w:rsidRPr="00F2587B" w:rsidRDefault="00BC7D00" w:rsidP="00BC7D00">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4891BCCE" w14:textId="77777777" w:rsidR="00BC7D00" w:rsidRDefault="00BC7D00" w:rsidP="00BC7D00">
      <w:pPr>
        <w:spacing w:after="0" w:line="276" w:lineRule="auto"/>
        <w:jc w:val="both"/>
        <w:rPr>
          <w:rFonts w:ascii="Verdana" w:eastAsia="Times New Roman" w:hAnsi="Verdana" w:cs="Open Sans"/>
          <w:lang w:eastAsia="es-CO"/>
        </w:rPr>
      </w:pPr>
    </w:p>
    <w:p w14:paraId="1A0505F4" w14:textId="77777777" w:rsidR="00BC7D00" w:rsidRPr="00D61E29" w:rsidRDefault="00BC7D00" w:rsidP="00BC7D00">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4DC21052" w14:textId="77777777" w:rsidR="00BC7D00" w:rsidRDefault="00BC7D00" w:rsidP="00BC7D00">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28F8F9D9" w14:textId="77777777" w:rsidR="00BC7D00" w:rsidRPr="00D61E29" w:rsidRDefault="00BC7D00" w:rsidP="00BC7D00">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295CE6C" w14:textId="77777777" w:rsidR="00BC7D00" w:rsidRPr="00D61E29" w:rsidRDefault="00BC7D00" w:rsidP="00BC7D00">
      <w:pPr>
        <w:pStyle w:val="NormalWeb"/>
        <w:spacing w:before="0" w:beforeAutospacing="0" w:after="0" w:afterAutospacing="0"/>
        <w:ind w:left="709" w:right="709"/>
        <w:jc w:val="both"/>
        <w:rPr>
          <w:rFonts w:ascii="Verdana" w:hAnsi="Verdana" w:cs="Open Sans"/>
          <w:sz w:val="20"/>
          <w:szCs w:val="20"/>
        </w:rPr>
      </w:pPr>
    </w:p>
    <w:p w14:paraId="781D0835" w14:textId="77777777" w:rsidR="00BC7D00" w:rsidRPr="00D61E29" w:rsidRDefault="00BC7D00" w:rsidP="00BC7D00">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0CD0C694" w14:textId="77777777" w:rsidR="00BC7D00" w:rsidRDefault="00BC7D00" w:rsidP="00BC7D00">
      <w:pPr>
        <w:pStyle w:val="NormalWeb"/>
        <w:spacing w:before="0" w:beforeAutospacing="0" w:after="0" w:afterAutospacing="0"/>
        <w:ind w:left="709" w:right="709"/>
        <w:jc w:val="both"/>
        <w:rPr>
          <w:rFonts w:ascii="Verdana" w:hAnsi="Verdana" w:cs="Open Sans"/>
          <w:sz w:val="20"/>
          <w:szCs w:val="20"/>
        </w:rPr>
      </w:pPr>
    </w:p>
    <w:p w14:paraId="405ECFD7" w14:textId="77777777" w:rsidR="00BC7D00" w:rsidRPr="00D61E29" w:rsidRDefault="00BC7D00" w:rsidP="00BC7D00">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No podrán autorizar la utilización de inmuebles o bienes muebles de carácter público para actividades proselitistas, ni para facilitar el </w:t>
      </w:r>
      <w:r w:rsidRPr="00D61E29">
        <w:rPr>
          <w:rFonts w:ascii="Verdana" w:hAnsi="Verdana" w:cs="Open Sans"/>
          <w:sz w:val="20"/>
          <w:szCs w:val="20"/>
        </w:rPr>
        <w:lastRenderedPageBreak/>
        <w:t>alojamiento, ni el transporte de electores de candidatos a cargos de elección popular. Tampoco podrán hacerlo cuando participen voceros de los candidatos.</w:t>
      </w:r>
    </w:p>
    <w:p w14:paraId="10584E2A" w14:textId="77777777" w:rsidR="00BC7D00" w:rsidRDefault="00BC7D00" w:rsidP="00BC7D00">
      <w:pPr>
        <w:pStyle w:val="NormalWeb"/>
        <w:spacing w:before="0" w:beforeAutospacing="0" w:after="0" w:afterAutospacing="0"/>
        <w:ind w:left="709" w:right="709"/>
        <w:jc w:val="both"/>
        <w:rPr>
          <w:rFonts w:ascii="Verdana" w:hAnsi="Verdana" w:cs="Open Sans"/>
          <w:sz w:val="20"/>
          <w:szCs w:val="20"/>
        </w:rPr>
      </w:pPr>
    </w:p>
    <w:p w14:paraId="26BB59AE" w14:textId="77777777" w:rsidR="00BC7D00" w:rsidRPr="00D61E29" w:rsidRDefault="00BC7D00" w:rsidP="00BC7D00">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7C6C396E" w14:textId="77777777" w:rsidR="00BC7D00" w:rsidRDefault="00BC7D00" w:rsidP="00BC7D00">
      <w:pPr>
        <w:widowControl w:val="0"/>
        <w:autoSpaceDE w:val="0"/>
        <w:autoSpaceDN w:val="0"/>
        <w:spacing w:after="0" w:line="276" w:lineRule="auto"/>
        <w:ind w:right="113"/>
        <w:contextualSpacing/>
        <w:jc w:val="both"/>
      </w:pPr>
    </w:p>
    <w:p w14:paraId="5EE42D44" w14:textId="77777777" w:rsidR="00BC7D00" w:rsidRPr="00775AB1" w:rsidRDefault="00BC7D00" w:rsidP="00BC7D00">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72A970BA" w14:textId="77777777" w:rsidR="00BC7D00" w:rsidRPr="00D61E29" w:rsidRDefault="00BC7D00" w:rsidP="00BC7D00">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9568668" w14:textId="77777777" w:rsidR="00BC7D00" w:rsidRPr="00D61E29" w:rsidRDefault="00BC7D00" w:rsidP="00BC7D00">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76F20EB" w14:textId="77777777" w:rsidR="00BC7D00" w:rsidRPr="00D61E29" w:rsidRDefault="00BC7D00" w:rsidP="00BC7D0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w:t>
      </w:r>
      <w:r w:rsidRPr="00D61E29">
        <w:rPr>
          <w:rFonts w:ascii="Verdana" w:eastAsia="Arial" w:hAnsi="Verdana" w:cs="Arial"/>
          <w:sz w:val="20"/>
          <w:szCs w:val="20"/>
          <w:lang w:eastAsia="es-ES" w:bidi="es-ES"/>
        </w:rPr>
        <w:lastRenderedPageBreak/>
        <w:t>contenidas en el parágrafo del artículo 38”.</w:t>
      </w:r>
      <w:r w:rsidRPr="00D61E29">
        <w:rPr>
          <w:rFonts w:ascii="Verdana" w:eastAsia="Arial" w:hAnsi="Verdana" w:cs="Arial"/>
          <w:sz w:val="20"/>
          <w:szCs w:val="20"/>
          <w:vertAlign w:val="superscript"/>
          <w:lang w:eastAsia="es-ES" w:bidi="es-ES"/>
        </w:rPr>
        <w:footnoteReference w:id="7"/>
      </w:r>
    </w:p>
    <w:p w14:paraId="3D4EA8BE" w14:textId="77777777" w:rsidR="00BC7D00" w:rsidRPr="00D61E29" w:rsidRDefault="00BC7D00" w:rsidP="00BC7D00">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0DAC64E8" w14:textId="77777777" w:rsidR="00BC7D00" w:rsidRPr="00947721" w:rsidRDefault="00BC7D00" w:rsidP="00BC7D00">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sidRPr="00E75C6D">
        <w:rPr>
          <w:rFonts w:ascii="Verdana" w:hAnsi="Verdana" w:cs="BCDHEE+Verdana"/>
          <w:color w:val="000000"/>
        </w:rPr>
        <w:t xml:space="preserve">Garantías </w:t>
      </w:r>
      <w:proofErr w:type="spellStart"/>
      <w:r w:rsidRPr="00E75C6D">
        <w:rPr>
          <w:rFonts w:ascii="Verdana" w:hAnsi="Verdana" w:cs="BCDHEE+Verdana"/>
          <w:color w:val="000000"/>
        </w:rPr>
        <w:t>Elecotrales</w:t>
      </w:r>
      <w:proofErr w:type="spellEnd"/>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9A7D0A1" w14:textId="77777777" w:rsidR="00BC7D00" w:rsidRPr="00B92E7C" w:rsidRDefault="00BC7D00" w:rsidP="00BC7D00">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25FB7ABE" w14:textId="77777777" w:rsidR="00BC7D00" w:rsidRDefault="00BC7D00" w:rsidP="00BC7D00">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w:t>
      </w:r>
      <w:r>
        <w:rPr>
          <w:rFonts w:ascii="Verdana" w:eastAsia="Arial" w:hAnsi="Verdana" w:cs="Arial"/>
          <w:bCs/>
          <w:color w:val="000000" w:themeColor="text1"/>
        </w:rPr>
        <w:t>del proveedor exclusivo-</w:t>
      </w:r>
      <w:r w:rsidRPr="00FF007A">
        <w:rPr>
          <w:rFonts w:ascii="Verdana" w:eastAsia="Arial" w:hAnsi="Verdana" w:cs="Arial"/>
          <w:bCs/>
          <w:color w:val="000000" w:themeColor="text1"/>
        </w:rPr>
        <w:t xml:space="preserve"> se realiza con ocasión a una </w:t>
      </w:r>
      <w:r>
        <w:rPr>
          <w:rFonts w:ascii="Verdana" w:eastAsia="Arial" w:hAnsi="Verdana" w:cs="Arial"/>
          <w:bCs/>
          <w:color w:val="000000" w:themeColor="text1"/>
        </w:rPr>
        <w:t>de las excepciones previstas en la norma</w:t>
      </w:r>
      <w:r w:rsidRPr="00FF007A">
        <w:rPr>
          <w:rFonts w:ascii="Verdana" w:eastAsia="Arial" w:hAnsi="Verdana" w:cs="Arial"/>
          <w:bCs/>
          <w:color w:val="000000" w:themeColor="text1"/>
        </w:rPr>
        <w:t xml:space="preserve">. De ser así, la entidad </w:t>
      </w:r>
      <w:r>
        <w:rPr>
          <w:rFonts w:ascii="Verdana" w:eastAsia="Arial" w:hAnsi="Verdana" w:cs="Arial"/>
          <w:bCs/>
          <w:color w:val="000000" w:themeColor="text1"/>
        </w:rPr>
        <w:t xml:space="preserve">previo análisis de dichas excepciones podrá proceder en tal sentido y </w:t>
      </w:r>
      <w:r>
        <w:rPr>
          <w:rFonts w:ascii="Verdana" w:eastAsia="Arial" w:hAnsi="Verdana" w:cs="Arial"/>
          <w:bCs/>
          <w:color w:val="000000" w:themeColor="text1"/>
        </w:rPr>
        <w:lastRenderedPageBreak/>
        <w:t xml:space="preserve">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3BA0A516" w14:textId="77777777" w:rsidR="00BC7D00" w:rsidRDefault="00BC7D00" w:rsidP="00BC7D00">
      <w:pPr>
        <w:spacing w:before="120" w:after="0" w:line="276" w:lineRule="auto"/>
        <w:ind w:firstLine="709"/>
        <w:jc w:val="both"/>
        <w:rPr>
          <w:rFonts w:ascii="Verdana" w:hAnsi="Verdana" w:cs="Arial"/>
          <w:lang w:eastAsia="es-CO"/>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w:t>
      </w:r>
      <w:r>
        <w:rPr>
          <w:rFonts w:ascii="Verdana" w:hAnsi="Verdana" w:cs="Arial"/>
          <w:lang w:eastAsia="es-CO"/>
        </w:rPr>
        <w:t>elebración de convenios</w:t>
      </w:r>
      <w:r w:rsidRPr="00FF007A">
        <w:rPr>
          <w:rFonts w:ascii="Verdana" w:hAnsi="Verdana" w:cs="Arial"/>
          <w:lang w:eastAsia="es-CO"/>
        </w:rPr>
        <w:t xml:space="preserve"> interadministrativ</w:t>
      </w:r>
      <w:r>
        <w:rPr>
          <w:rFonts w:ascii="Verdana" w:hAnsi="Verdana" w:cs="Arial"/>
          <w:lang w:eastAsia="es-CO"/>
        </w:rPr>
        <w:t>os</w:t>
      </w:r>
      <w:r w:rsidRPr="00FF007A">
        <w:rPr>
          <w:rFonts w:ascii="Verdana" w:hAnsi="Verdana" w:cs="Arial"/>
          <w:lang w:eastAsia="es-CO"/>
        </w:rPr>
        <w:t>, es decir, aquellas que no se encuentren restringidas por el artículo 33 o el parágrafo del artículo 38 de la Ley 996 de 2005.</w:t>
      </w:r>
    </w:p>
    <w:p w14:paraId="1CEA2392" w14:textId="77777777" w:rsidR="00BC7D00" w:rsidRPr="006018C8" w:rsidRDefault="00BC7D00" w:rsidP="00BC7D00">
      <w:pPr>
        <w:spacing w:before="120" w:after="0" w:line="276" w:lineRule="auto"/>
        <w:ind w:firstLine="709"/>
        <w:jc w:val="both"/>
        <w:rPr>
          <w:rFonts w:ascii="Verdana" w:eastAsia="Arial" w:hAnsi="Verdana" w:cs="Arial"/>
          <w:bCs/>
          <w:color w:val="000000" w:themeColor="text1"/>
        </w:rPr>
      </w:pPr>
    </w:p>
    <w:p w14:paraId="5D636510" w14:textId="77777777" w:rsidR="00BC7D00" w:rsidRDefault="00BC7D00" w:rsidP="00BC7D00">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9290C86" w14:textId="77777777" w:rsidR="00BC7D00" w:rsidRDefault="00BC7D00" w:rsidP="00BC7D00">
      <w:pPr>
        <w:spacing w:line="276" w:lineRule="auto"/>
        <w:jc w:val="both"/>
        <w:rPr>
          <w:rFonts w:ascii="Verdana" w:hAnsi="Verdana"/>
        </w:rPr>
      </w:pPr>
    </w:p>
    <w:p w14:paraId="46D2583B" w14:textId="77777777" w:rsidR="00BC7D00" w:rsidRPr="009A68AF" w:rsidRDefault="00BC7D00" w:rsidP="00BC7D00">
      <w:pPr>
        <w:spacing w:line="276" w:lineRule="auto"/>
        <w:jc w:val="both"/>
        <w:rPr>
          <w:rFonts w:ascii="Verdana" w:eastAsia="Calibri" w:hAnsi="Verdana" w:cs="Arial"/>
          <w:color w:val="000000" w:themeColor="text1"/>
        </w:rPr>
      </w:pPr>
      <w:proofErr w:type="spellStart"/>
      <w:r w:rsidRPr="009A68AF">
        <w:rPr>
          <w:rFonts w:ascii="Verdana" w:hAnsi="Verdana"/>
        </w:rPr>
        <w:t>ii</w:t>
      </w:r>
      <w:proofErr w:type="spellEnd"/>
      <w:r w:rsidRPr="009A68AF">
        <w:rPr>
          <w:rFonts w:ascii="Verdana" w:hAnsi="Verdana"/>
        </w:rPr>
        <w:t xml:space="preserve">. </w:t>
      </w:r>
      <w:r w:rsidRPr="009A68AF">
        <w:rPr>
          <w:rFonts w:ascii="Verdana" w:eastAsia="Calibri" w:hAnsi="Verdana" w:cs="Arial"/>
          <w:color w:val="000000" w:themeColor="text1"/>
        </w:rPr>
        <w:t>En la actualidad, la norma vigente para interpretar el alcance de la causal de contratación directa dispuesta en el artículo 2, numeral 4, literal g), de la Ley 1150 de 2007 está compilada en el artículo 2.2.1.2.1.4.8 del Decreto 1082 de 2015, el cual dispone lo siguiente:</w:t>
      </w:r>
    </w:p>
    <w:p w14:paraId="0E8FAA53" w14:textId="77777777" w:rsidR="00BC7D00" w:rsidRPr="009A68AF" w:rsidRDefault="00BC7D00" w:rsidP="00BC7D00">
      <w:pPr>
        <w:ind w:left="1560" w:right="709"/>
        <w:jc w:val="both"/>
        <w:rPr>
          <w:rFonts w:ascii="Verdana" w:eastAsia="Calibri" w:hAnsi="Verdana" w:cs="Arial"/>
          <w:color w:val="000000" w:themeColor="text1"/>
          <w:sz w:val="20"/>
          <w:szCs w:val="20"/>
        </w:rPr>
      </w:pPr>
      <w:r w:rsidRPr="009A68AF">
        <w:rPr>
          <w:rFonts w:ascii="Verdana" w:eastAsia="Calibri" w:hAnsi="Verdana" w:cs="Arial"/>
          <w:color w:val="000000" w:themeColor="text1"/>
          <w:sz w:val="20"/>
          <w:szCs w:val="20"/>
        </w:rPr>
        <w:lastRenderedPageBreak/>
        <w:t>“Artículo 2.2.1.2.1.4.8. Contratación directa cuando no exista pluralidad de oferentes.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p>
    <w:p w14:paraId="3885F24B" w14:textId="77777777" w:rsidR="00BC7D00" w:rsidRPr="009A68AF" w:rsidRDefault="00BC7D00" w:rsidP="00BC7D00">
      <w:pPr>
        <w:spacing w:after="120" w:line="276" w:lineRule="auto"/>
        <w:ind w:firstLine="708"/>
        <w:jc w:val="both"/>
        <w:rPr>
          <w:rFonts w:ascii="Verdana" w:eastAsia="Calibri" w:hAnsi="Verdana" w:cs="Arial"/>
          <w:color w:val="000000" w:themeColor="text1"/>
        </w:rPr>
      </w:pPr>
      <w:bookmarkStart w:id="3" w:name="_Hlk45532127"/>
      <w:r w:rsidRPr="009A68AF">
        <w:rPr>
          <w:rFonts w:ascii="Verdana" w:eastAsia="Calibri" w:hAnsi="Verdana" w:cs="Arial"/>
          <w:color w:val="000000" w:themeColor="text1"/>
        </w:rPr>
        <w:t xml:space="preserve">La norma consagra dos (2) hipótesis. </w:t>
      </w:r>
      <w:r w:rsidRPr="009A68AF">
        <w:rPr>
          <w:rFonts w:ascii="Verdana" w:eastAsia="Calibri" w:hAnsi="Verdana" w:cs="Arial"/>
          <w:i/>
          <w:iCs/>
          <w:color w:val="000000" w:themeColor="text1"/>
        </w:rPr>
        <w:t>En primer lugar</w:t>
      </w:r>
      <w:r w:rsidRPr="009A68AF">
        <w:rPr>
          <w:rFonts w:ascii="Verdana" w:eastAsia="Calibri" w:hAnsi="Verdana" w:cs="Arial"/>
          <w:color w:val="000000" w:themeColor="text1"/>
        </w:rPr>
        <w:t xml:space="preserve">, </w:t>
      </w:r>
      <w:bookmarkStart w:id="4" w:name="_Hlk45627093"/>
      <w:r w:rsidRPr="009A68AF">
        <w:rPr>
          <w:rFonts w:ascii="Verdana" w:eastAsia="Calibri" w:hAnsi="Verdana" w:cs="Arial"/>
          <w:color w:val="000000" w:themeColor="text1"/>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05ACED4F" w14:textId="77777777" w:rsidR="00BC7D00" w:rsidRPr="009A68AF" w:rsidRDefault="00BC7D00" w:rsidP="00BC7D00">
      <w:pPr>
        <w:spacing w:line="276" w:lineRule="auto"/>
        <w:ind w:firstLine="708"/>
        <w:jc w:val="both"/>
        <w:rPr>
          <w:rFonts w:ascii="Verdana" w:eastAsia="Calibri" w:hAnsi="Verdana" w:cs="Arial"/>
          <w:color w:val="000000" w:themeColor="text1"/>
        </w:rPr>
      </w:pPr>
      <w:bookmarkStart w:id="5" w:name="_Hlk45635593"/>
      <w:r w:rsidRPr="009A68AF">
        <w:rPr>
          <w:rFonts w:ascii="Verdana" w:eastAsia="Calibri" w:hAnsi="Verdana" w:cs="Arial"/>
          <w:color w:val="000000" w:themeColor="text1"/>
        </w:rPr>
        <w:t>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concurrencia</w:t>
      </w:r>
      <w:bookmarkEnd w:id="4"/>
      <w:bookmarkEnd w:id="5"/>
      <w:r w:rsidRPr="009A68AF">
        <w:rPr>
          <w:rFonts w:ascii="Verdana" w:eastAsia="Calibri" w:hAnsi="Verdana" w:cs="Arial"/>
          <w:color w:val="000000" w:themeColor="text1"/>
        </w:rPr>
        <w:t>.</w:t>
      </w:r>
      <w:bookmarkEnd w:id="3"/>
      <w:r w:rsidRPr="009A68AF">
        <w:rPr>
          <w:rFonts w:ascii="Verdana" w:eastAsia="Calibri" w:hAnsi="Verdana" w:cs="Arial"/>
          <w:color w:val="000000" w:themeColor="text1"/>
        </w:rPr>
        <w:t xml:space="preserve"> Por ello, explica que es posible la contratación directa con el oferente que es titular de una marca o privilegio, agregando que:</w:t>
      </w:r>
    </w:p>
    <w:p w14:paraId="56189CCE" w14:textId="77777777" w:rsidR="00BC7D00" w:rsidRPr="009A68AF" w:rsidRDefault="00BC7D00" w:rsidP="00BC7D00">
      <w:pPr>
        <w:ind w:left="1276" w:right="709"/>
        <w:jc w:val="both"/>
        <w:rPr>
          <w:rFonts w:ascii="Verdana" w:eastAsia="Calibri" w:hAnsi="Verdana" w:cs="Arial"/>
          <w:color w:val="000000" w:themeColor="text1"/>
          <w:sz w:val="20"/>
          <w:szCs w:val="20"/>
        </w:rPr>
      </w:pPr>
      <w:r w:rsidRPr="009A68AF">
        <w:rPr>
          <w:rFonts w:ascii="Verdana" w:eastAsia="Calibri" w:hAnsi="Verdana" w:cs="Arial"/>
          <w:color w:val="000000" w:themeColor="text1"/>
          <w:sz w:val="20"/>
          <w:szCs w:val="20"/>
        </w:rPr>
        <w:t>“La tutela de la propiedad intelectual del oferente o de un privilegio otorgado en modo expreso, vuelven imposible proceder por licitación, ya que solamente la persona, entidad o empresa que posee el privilegio de invención de invención o fabricación, podría presentarse formulando ofertas. Desde luego no habría pluralidad de concurrentes, ni puja que hiciera posible el cumplimiento de las finalidades básicas perseguidas por la licitación</w:t>
      </w:r>
      <w:r w:rsidRPr="009A68AF">
        <w:rPr>
          <w:rStyle w:val="Refdenotaalpie"/>
          <w:rFonts w:ascii="Verdana" w:eastAsia="Calibri" w:hAnsi="Verdana" w:cs="Arial"/>
          <w:color w:val="000000" w:themeColor="text1"/>
          <w:sz w:val="20"/>
          <w:szCs w:val="20"/>
        </w:rPr>
        <w:footnoteReference w:id="8"/>
      </w:r>
      <w:r w:rsidRPr="009A68AF">
        <w:rPr>
          <w:rFonts w:ascii="Verdana" w:eastAsia="Calibri" w:hAnsi="Verdana" w:cs="Arial"/>
          <w:color w:val="000000" w:themeColor="text1"/>
          <w:sz w:val="20"/>
          <w:szCs w:val="20"/>
        </w:rPr>
        <w:t>.”</w:t>
      </w:r>
    </w:p>
    <w:p w14:paraId="09447204" w14:textId="77777777" w:rsidR="00BC7D00" w:rsidRPr="009A68AF" w:rsidRDefault="00BC7D00" w:rsidP="00BC7D00">
      <w:pPr>
        <w:ind w:right="49" w:firstLine="708"/>
        <w:jc w:val="both"/>
        <w:rPr>
          <w:rFonts w:ascii="Verdana" w:eastAsia="Calibri" w:hAnsi="Verdana" w:cs="Arial"/>
          <w:color w:val="000000" w:themeColor="text1"/>
        </w:rPr>
      </w:pPr>
      <w:bookmarkStart w:id="6" w:name="_Hlk45532434"/>
      <w:r w:rsidRPr="009A68AF">
        <w:rPr>
          <w:rFonts w:ascii="Verdana" w:eastAsia="Calibri" w:hAnsi="Verdana" w:cs="Arial"/>
          <w:i/>
          <w:iCs/>
          <w:color w:val="000000" w:themeColor="text1"/>
        </w:rPr>
        <w:lastRenderedPageBreak/>
        <w:t>En segundo lugar</w:t>
      </w:r>
      <w:r w:rsidRPr="009A68AF">
        <w:rPr>
          <w:rFonts w:ascii="Verdana" w:eastAsia="Calibri" w:hAnsi="Verdana" w:cs="Arial"/>
          <w:color w:val="000000" w:themeColor="text1"/>
        </w:rPr>
        <w:t xml:space="preserve">, </w:t>
      </w:r>
      <w:bookmarkStart w:id="7" w:name="_Hlk45635630"/>
      <w:bookmarkStart w:id="8" w:name="_Hlk45627184"/>
      <w:r w:rsidRPr="009A68AF">
        <w:rPr>
          <w:rFonts w:ascii="Verdana" w:eastAsia="Calibri" w:hAnsi="Verdana" w:cs="Arial"/>
          <w:color w:val="000000" w:themeColor="text1"/>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7"/>
      <w:r w:rsidRPr="009A68AF">
        <w:rPr>
          <w:rFonts w:ascii="Verdana" w:eastAsia="Calibri" w:hAnsi="Verdana" w:cs="Arial"/>
          <w:color w:val="000000" w:themeColor="text1"/>
        </w:rPr>
        <w:t xml:space="preserve">. </w:t>
      </w:r>
      <w:bookmarkStart w:id="9" w:name="_Hlk45635661"/>
    </w:p>
    <w:p w14:paraId="21D6BB80" w14:textId="77777777" w:rsidR="00BC7D00" w:rsidRPr="009A68AF" w:rsidRDefault="00BC7D00" w:rsidP="00BC7D00">
      <w:pPr>
        <w:ind w:right="49" w:firstLine="708"/>
        <w:jc w:val="both"/>
        <w:rPr>
          <w:rFonts w:ascii="Verdana" w:eastAsia="Calibri" w:hAnsi="Verdana" w:cs="Arial"/>
          <w:color w:val="000000" w:themeColor="text1"/>
        </w:rPr>
      </w:pPr>
      <w:r w:rsidRPr="009A68AF">
        <w:rPr>
          <w:rFonts w:ascii="Verdana" w:eastAsia="Calibri" w:hAnsi="Verdana" w:cs="Arial"/>
          <w:color w:val="000000" w:themeColor="text1"/>
        </w:rPr>
        <w:t>Al igual que la hipótesis precedente, la presencia de un proveedor exclusivo supone una barrera de entrada para otros posibles oferentes, por lo que no es posible aplicar el principio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9"/>
      <w:r w:rsidRPr="009A68AF">
        <w:rPr>
          <w:rFonts w:ascii="Verdana" w:eastAsia="Calibri" w:hAnsi="Verdana" w:cs="Arial"/>
          <w:color w:val="000000" w:themeColor="text1"/>
        </w:rPr>
        <w:t>.</w:t>
      </w:r>
      <w:bookmarkEnd w:id="8"/>
      <w:r w:rsidRPr="009A68AF">
        <w:rPr>
          <w:rFonts w:ascii="Verdana" w:eastAsia="Calibri" w:hAnsi="Verdana" w:cs="Arial"/>
          <w:color w:val="000000" w:themeColor="text1"/>
        </w:rPr>
        <w:t xml:space="preserve"> </w:t>
      </w:r>
      <w:bookmarkEnd w:id="6"/>
      <w:r w:rsidRPr="009A68AF">
        <w:rPr>
          <w:rFonts w:ascii="Verdana" w:eastAsia="Calibri" w:hAnsi="Verdana" w:cs="Arial"/>
          <w:color w:val="000000" w:themeColor="text1"/>
        </w:rPr>
        <w:t xml:space="preserve"> </w:t>
      </w:r>
      <w:bookmarkStart w:id="10" w:name="_Hlk45532582"/>
      <w:bookmarkStart w:id="11" w:name="_Hlk45531535"/>
    </w:p>
    <w:p w14:paraId="45E3F23E" w14:textId="77777777" w:rsidR="00BC7D00" w:rsidRPr="009A68AF" w:rsidRDefault="00BC7D00" w:rsidP="00BC7D00">
      <w:pPr>
        <w:ind w:right="49" w:firstLine="708"/>
        <w:jc w:val="both"/>
        <w:rPr>
          <w:rFonts w:ascii="Verdana" w:eastAsia="Calibri" w:hAnsi="Verdana" w:cs="Arial"/>
          <w:color w:val="000000" w:themeColor="text1"/>
        </w:rPr>
      </w:pPr>
      <w:r w:rsidRPr="009A68AF">
        <w:rPr>
          <w:rFonts w:ascii="Verdana" w:eastAsia="Calibri" w:hAnsi="Verdana" w:cs="Arial"/>
          <w:color w:val="000000" w:themeColor="text1"/>
        </w:rPr>
        <w:t xml:space="preserve">Fuera de estas dos (2) situaciones, no es posible aplicar </w:t>
      </w:r>
      <w:bookmarkStart w:id="12" w:name="_Hlk45529265"/>
      <w:r w:rsidRPr="009A68AF">
        <w:rPr>
          <w:rFonts w:ascii="Verdana" w:eastAsia="Calibri" w:hAnsi="Verdana" w:cs="Arial"/>
          <w:color w:val="000000" w:themeColor="text1"/>
        </w:rPr>
        <w:t>el artículo 2, numeral 4, literal g), de la Ley 1150 de 2007</w:t>
      </w:r>
      <w:bookmarkEnd w:id="12"/>
      <w:r w:rsidRPr="009A68AF">
        <w:rPr>
          <w:rFonts w:ascii="Verdana" w:eastAsia="Calibri" w:hAnsi="Verdana" w:cs="Arial"/>
          <w:color w:val="000000" w:themeColor="text1"/>
        </w:rPr>
        <w:t>,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bookmarkEnd w:id="10"/>
      <w:r w:rsidRPr="009A68AF">
        <w:rPr>
          <w:rFonts w:ascii="Verdana" w:eastAsia="Calibri" w:hAnsi="Verdana" w:cs="Arial"/>
          <w:color w:val="000000" w:themeColor="text1"/>
        </w:rPr>
        <w:t>.</w:t>
      </w:r>
    </w:p>
    <w:bookmarkEnd w:id="11"/>
    <w:p w14:paraId="54D11F12" w14:textId="77777777" w:rsidR="00BC7D00" w:rsidRPr="00E61635" w:rsidRDefault="00BC7D00" w:rsidP="00BC7D00">
      <w:pPr>
        <w:widowControl w:val="0"/>
        <w:autoSpaceDE w:val="0"/>
        <w:autoSpaceDN w:val="0"/>
        <w:spacing w:after="0" w:line="276" w:lineRule="auto"/>
        <w:ind w:right="176" w:firstLine="708"/>
        <w:jc w:val="both"/>
        <w:rPr>
          <w:rFonts w:ascii="Verdana" w:hAnsi="Verdana"/>
        </w:rPr>
      </w:pPr>
    </w:p>
    <w:p w14:paraId="75A1DA9D" w14:textId="77777777" w:rsidR="00BC7D00" w:rsidRDefault="00BC7D00" w:rsidP="00BC7D00">
      <w:pPr>
        <w:widowControl w:val="0"/>
        <w:autoSpaceDE w:val="0"/>
        <w:autoSpaceDN w:val="0"/>
        <w:spacing w:after="0" w:line="276" w:lineRule="auto"/>
        <w:jc w:val="both"/>
        <w:rPr>
          <w:rFonts w:ascii="Verdana" w:hAnsi="Verdana" w:cs="Arial"/>
        </w:rPr>
      </w:pPr>
    </w:p>
    <w:p w14:paraId="5D4CBA83" w14:textId="77777777" w:rsidR="00BC7D00" w:rsidRDefault="00BC7D00" w:rsidP="00BC7D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639C08A2" w14:textId="77777777" w:rsidR="00BC7D00" w:rsidRDefault="00BC7D00" w:rsidP="00BC7D00">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C7D00" w14:paraId="6CEED672" w14:textId="77777777" w:rsidTr="00A05D8D">
        <w:trPr>
          <w:trHeight w:val="870"/>
        </w:trPr>
        <w:tc>
          <w:tcPr>
            <w:tcW w:w="8647" w:type="dxa"/>
            <w:tcBorders>
              <w:top w:val="dotted" w:sz="4" w:space="0" w:color="auto"/>
              <w:left w:val="dotted" w:sz="4" w:space="0" w:color="auto"/>
              <w:bottom w:val="dotted" w:sz="4" w:space="0" w:color="auto"/>
              <w:right w:val="dotted" w:sz="4" w:space="0" w:color="auto"/>
            </w:tcBorders>
            <w:hideMark/>
          </w:tcPr>
          <w:p w14:paraId="74040EE8" w14:textId="77777777" w:rsidR="00BC7D00" w:rsidRPr="000D3AA5" w:rsidRDefault="00BC7D00" w:rsidP="00A05D8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D3AA5">
              <w:rPr>
                <w:rFonts w:ascii="Verdana" w:eastAsia="Arial MT" w:hAnsi="Verdana" w:cs="Arial"/>
                <w:bCs/>
                <w:lang w:val="es-ES" w:eastAsia="es-ES" w:bidi="es-ES"/>
              </w:rPr>
              <w:t>Ley 996 de 2005: artículos 33 y 38 parágrafo.</w:t>
            </w:r>
          </w:p>
          <w:p w14:paraId="5ABCD53D" w14:textId="77777777" w:rsidR="00BC7D00" w:rsidRPr="000D3AA5" w:rsidRDefault="00BC7D00" w:rsidP="00A05D8D">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Ley 1150 de 2007, artículo 2, numeral 4, literal g)</w:t>
            </w:r>
          </w:p>
          <w:p w14:paraId="194D61D9" w14:textId="77777777" w:rsidR="00BC7D00" w:rsidRPr="000D3AA5" w:rsidRDefault="00BC7D00" w:rsidP="00A05D8D">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 xml:space="preserve">Decreto 1082 de 2015, Artículo </w:t>
            </w:r>
            <w:r w:rsidRPr="000D3AA5">
              <w:rPr>
                <w:rFonts w:ascii="Verdana" w:eastAsia="Calibri" w:hAnsi="Verdana" w:cs="Arial"/>
                <w:color w:val="000000" w:themeColor="text1"/>
              </w:rPr>
              <w:t xml:space="preserve">2.2.1.2.1.4.8 </w:t>
            </w:r>
          </w:p>
          <w:p w14:paraId="48AF8FC2" w14:textId="77777777" w:rsidR="00BC7D00" w:rsidRPr="000D3AA5" w:rsidRDefault="00BC7D00" w:rsidP="00A05D8D">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Resolución 1597 de 2025. Artículo 10 y 12. </w:t>
            </w:r>
          </w:p>
          <w:p w14:paraId="122ADBB9" w14:textId="77777777" w:rsidR="00BC7D00" w:rsidRPr="000D3AA5" w:rsidRDefault="00BC7D00" w:rsidP="00A05D8D">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lo Contencioso Administrativo. Sección Primera. Sentencia de 3 de marzo de 2005, Radicado: 25001-23-15-000-</w:t>
            </w:r>
            <w:r w:rsidRPr="000D3AA5">
              <w:rPr>
                <w:rFonts w:ascii="Verdana" w:eastAsia="Arial MT" w:hAnsi="Verdana" w:cs="Arial"/>
                <w:lang w:eastAsia="es-ES" w:bidi="es-ES"/>
              </w:rPr>
              <w:lastRenderedPageBreak/>
              <w:t>2004-00823-01 (PI). C.P: Camilo Arciniegas Andrade.</w:t>
            </w:r>
          </w:p>
          <w:p w14:paraId="113BFE4F" w14:textId="77777777" w:rsidR="00BC7D00" w:rsidRDefault="00BC7D00" w:rsidP="00A05D8D">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4597D5B8" w14:textId="77777777" w:rsidR="00BC7D00" w:rsidRPr="000D3AA5" w:rsidRDefault="00BC7D00" w:rsidP="00A05D8D">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Consulta y Servicio Civil. Concepto del 17 de febrero de 2015. Radicación No. 11001-03-06-000-2015-00164-00 (2269) C.P: William Zambrano Cetina.</w:t>
            </w:r>
          </w:p>
        </w:tc>
      </w:tr>
    </w:tbl>
    <w:p w14:paraId="21A5D51E" w14:textId="77777777" w:rsidR="00BC7D00" w:rsidRDefault="00BC7D00" w:rsidP="00BC7D00">
      <w:pPr>
        <w:widowControl w:val="0"/>
        <w:autoSpaceDE w:val="0"/>
        <w:autoSpaceDN w:val="0"/>
        <w:spacing w:after="0" w:line="276" w:lineRule="auto"/>
        <w:jc w:val="both"/>
        <w:rPr>
          <w:rFonts w:ascii="Verdana" w:hAnsi="Verdana" w:cs="Arial"/>
        </w:rPr>
      </w:pPr>
    </w:p>
    <w:p w14:paraId="71EDA38E" w14:textId="77777777" w:rsidR="00BC7D00" w:rsidRDefault="00BC7D00" w:rsidP="00BC7D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44A87F9D" w14:textId="77777777" w:rsidR="00BC7D00" w:rsidRDefault="00BC7D00" w:rsidP="00BC7D00">
      <w:pPr>
        <w:widowControl w:val="0"/>
        <w:autoSpaceDE w:val="0"/>
        <w:autoSpaceDN w:val="0"/>
        <w:spacing w:after="0" w:line="276" w:lineRule="auto"/>
        <w:jc w:val="both"/>
        <w:rPr>
          <w:rFonts w:ascii="Verdana" w:hAnsi="Verdana" w:cs="Arial"/>
        </w:rPr>
      </w:pPr>
    </w:p>
    <w:p w14:paraId="0F347BC9" w14:textId="77777777" w:rsidR="00BC7D00" w:rsidRPr="00783D3F" w:rsidRDefault="00BC7D00" w:rsidP="00BC7D00">
      <w:pPr>
        <w:widowControl w:val="0"/>
        <w:autoSpaceDE w:val="0"/>
        <w:autoSpaceDN w:val="0"/>
        <w:spacing w:after="0"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 C-1124 del 18 de septiembre de </w:t>
      </w:r>
      <w:proofErr w:type="gramStart"/>
      <w:r>
        <w:rPr>
          <w:rFonts w:ascii="Verdana" w:hAnsi="Verdana" w:cs="Arial"/>
          <w:shd w:val="clear" w:color="auto" w:fill="FFFFFF"/>
          <w:lang w:val="es-ES"/>
        </w:rPr>
        <w:t xml:space="preserve">2025, </w:t>
      </w:r>
      <w:r w:rsidRPr="00CF7C16">
        <w:rPr>
          <w:rFonts w:ascii="Verdana" w:hAnsi="Verdana" w:cs="Arial"/>
          <w:shd w:val="clear" w:color="auto" w:fill="FFFFFF"/>
          <w:lang w:val="es-ES"/>
        </w:rPr>
        <w:t xml:space="preserve"> entre</w:t>
      </w:r>
      <w:proofErr w:type="gramEnd"/>
      <w:r w:rsidRPr="00CF7C16">
        <w:rPr>
          <w:rFonts w:ascii="Verdana" w:hAnsi="Verdana" w:cs="Arial"/>
          <w:shd w:val="clear" w:color="auto" w:fill="FFFFFF"/>
          <w:lang w:val="es-ES"/>
        </w:rPr>
        <w:t xml:space="preserve"> otros.</w:t>
      </w:r>
      <w:r>
        <w:rPr>
          <w:rStyle w:val="normaltextrun"/>
          <w:rFonts w:ascii="Verdana" w:hAnsi="Verdana" w:cs="Arial"/>
          <w:shd w:val="clear" w:color="auto" w:fill="FFFFFF"/>
          <w:lang w:val="es-ES"/>
        </w:rPr>
        <w:t xml:space="preserve"> Sobre la causal de contratación directa por ausencia de pluralidad de oferentes, esta Subdirección se ha pronunciado en los conceptos C-321 de 2024, C, 567 de 2024, C-383 de 2025.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1"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6B7D8803" w14:textId="77777777" w:rsidR="00BC7D00" w:rsidRDefault="00BC7D00" w:rsidP="00BC7D00">
      <w:pPr>
        <w:spacing w:after="0" w:line="276" w:lineRule="auto"/>
        <w:jc w:val="both"/>
        <w:rPr>
          <w:rFonts w:ascii="Verdana" w:hAnsi="Verdana"/>
        </w:rPr>
      </w:pPr>
    </w:p>
    <w:p w14:paraId="49D7CB8F" w14:textId="77777777" w:rsidR="00BC7D00" w:rsidRPr="009A385A" w:rsidRDefault="00BC7D00" w:rsidP="00BC7D00">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76A8F926" w14:textId="77777777" w:rsidR="00BC7D00" w:rsidRDefault="00BC7D00" w:rsidP="00BC7D00">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xml:space="preserve">, promoviendo procesos más </w:t>
      </w:r>
      <w:r w:rsidRPr="00635F16">
        <w:rPr>
          <w:rFonts w:ascii="Verdana" w:hAnsi="Verdana"/>
        </w:rPr>
        <w:lastRenderedPageBreak/>
        <w:t>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4B6B1C97" w14:textId="77777777" w:rsidR="00BC7D00" w:rsidRDefault="00BC7D00" w:rsidP="00BC7D00">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734BB5F" w14:textId="77777777" w:rsidR="00BC7D00" w:rsidRDefault="00BC7D00" w:rsidP="00BC7D00">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D0528A4" w14:textId="77777777" w:rsidR="00BC7D00" w:rsidRDefault="00BC7D00" w:rsidP="00BC7D00">
      <w:pPr>
        <w:spacing w:after="0" w:line="276" w:lineRule="auto"/>
        <w:jc w:val="both"/>
        <w:rPr>
          <w:rFonts w:ascii="Verdana" w:hAnsi="Verdana"/>
        </w:rPr>
      </w:pPr>
    </w:p>
    <w:p w14:paraId="79F50274" w14:textId="77777777" w:rsidR="00BC7D00" w:rsidRDefault="00BC7D00" w:rsidP="00BC7D00">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76C051D" w14:textId="77777777" w:rsidR="00BC7D00" w:rsidRDefault="00BC7D00" w:rsidP="00BC7D00">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160D15CF" w14:textId="77777777" w:rsidR="00BC7D00" w:rsidRDefault="00BC7D00" w:rsidP="00BC7D00">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F0A6BBC" w14:textId="77777777" w:rsidR="00BC7D00" w:rsidRDefault="00BC7D00" w:rsidP="00BC7D00">
      <w:pPr>
        <w:widowControl w:val="0"/>
        <w:autoSpaceDE w:val="0"/>
        <w:autoSpaceDN w:val="0"/>
        <w:spacing w:after="0" w:line="276" w:lineRule="auto"/>
        <w:jc w:val="both"/>
        <w:rPr>
          <w:rFonts w:ascii="Verdana" w:hAnsi="Verdana" w:cs="Arial"/>
        </w:rPr>
      </w:pPr>
    </w:p>
    <w:p w14:paraId="1DD3D45B" w14:textId="77777777" w:rsidR="00BC7D00" w:rsidRDefault="00BC7D00" w:rsidP="00BC7D00">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62865E5B" w14:textId="77777777" w:rsidR="00BC7D00" w:rsidRDefault="00BC7D00" w:rsidP="00BC7D00">
      <w:pPr>
        <w:widowControl w:val="0"/>
        <w:autoSpaceDE w:val="0"/>
        <w:autoSpaceDN w:val="0"/>
        <w:spacing w:after="0" w:line="276" w:lineRule="auto"/>
        <w:jc w:val="both"/>
        <w:rPr>
          <w:rFonts w:ascii="Verdana" w:hAnsi="Verdana" w:cs="Arial"/>
        </w:rPr>
      </w:pPr>
    </w:p>
    <w:p w14:paraId="57DEA4D8" w14:textId="77777777" w:rsidR="00BC7D00" w:rsidRDefault="00BC7D00" w:rsidP="00BC7D00">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1366DFDE" w14:textId="438663D5" w:rsidR="00BC7D00" w:rsidRDefault="00701D46" w:rsidP="00BC7D00">
      <w:pPr>
        <w:spacing w:after="0" w:line="276" w:lineRule="auto"/>
        <w:jc w:val="center"/>
      </w:pPr>
      <w:r w:rsidRPr="002C3AD6">
        <w:rPr>
          <w:rFonts w:ascii="Century Gothic" w:hAnsi="Century Gothic"/>
          <w:noProof/>
        </w:rPr>
        <w:drawing>
          <wp:inline distT="0" distB="0" distL="0" distR="0" wp14:anchorId="15B0BFD1" wp14:editId="70A45BE8">
            <wp:extent cx="3771900" cy="108585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8" cy="108600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C7D00" w14:paraId="2ED6373F" w14:textId="77777777" w:rsidTr="00A05D8D">
        <w:trPr>
          <w:trHeight w:val="315"/>
        </w:trPr>
        <w:tc>
          <w:tcPr>
            <w:tcW w:w="893" w:type="dxa"/>
            <w:vAlign w:val="center"/>
            <w:hideMark/>
          </w:tcPr>
          <w:p w14:paraId="6CA7029D" w14:textId="77777777" w:rsidR="00BC7D00" w:rsidRDefault="00BC7D00" w:rsidP="00A05D8D">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E1C3F5D" w14:textId="77777777" w:rsidR="00BC7D00" w:rsidRDefault="00BC7D00" w:rsidP="00A05D8D">
            <w:pPr>
              <w:spacing w:after="255"/>
              <w:contextualSpacing/>
              <w:rPr>
                <w:rFonts w:ascii="Verdana" w:eastAsia="Arial" w:hAnsi="Verdana" w:cs="Arial"/>
                <w:sz w:val="16"/>
                <w:szCs w:val="16"/>
              </w:rPr>
            </w:pPr>
            <w:r>
              <w:rPr>
                <w:rFonts w:ascii="Verdana" w:eastAsia="Arial" w:hAnsi="Verdana" w:cs="Arial"/>
                <w:sz w:val="16"/>
                <w:szCs w:val="16"/>
              </w:rPr>
              <w:t>Richard Andrés Montenegro Siefken</w:t>
            </w:r>
          </w:p>
          <w:p w14:paraId="7CB7B636" w14:textId="77777777" w:rsidR="00BC7D00" w:rsidRDefault="00BC7D00" w:rsidP="00A05D8D">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BC7D00" w14:paraId="64AC194D" w14:textId="77777777" w:rsidTr="00A05D8D">
        <w:trPr>
          <w:trHeight w:val="330"/>
        </w:trPr>
        <w:tc>
          <w:tcPr>
            <w:tcW w:w="893" w:type="dxa"/>
            <w:vAlign w:val="center"/>
            <w:hideMark/>
          </w:tcPr>
          <w:p w14:paraId="6B1228A7" w14:textId="77777777" w:rsidR="00BC7D00" w:rsidRDefault="00BC7D00" w:rsidP="00A05D8D">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AE746C" w14:textId="77777777" w:rsidR="00BC7D00" w:rsidRDefault="00BC7D00" w:rsidP="00A05D8D">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69B5207C" w14:textId="77777777" w:rsidR="00BC7D00" w:rsidRDefault="00BC7D00" w:rsidP="00A05D8D">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BC7D00" w14:paraId="39FEBB50" w14:textId="77777777" w:rsidTr="00A05D8D">
        <w:trPr>
          <w:trHeight w:val="300"/>
        </w:trPr>
        <w:tc>
          <w:tcPr>
            <w:tcW w:w="893" w:type="dxa"/>
            <w:vAlign w:val="center"/>
            <w:hideMark/>
          </w:tcPr>
          <w:p w14:paraId="39537A29" w14:textId="77777777" w:rsidR="00BC7D00" w:rsidRDefault="00BC7D00" w:rsidP="00A05D8D">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8252E8" w14:textId="77777777" w:rsidR="00BC7D00" w:rsidRDefault="00BC7D00" w:rsidP="00A05D8D">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6CB36A37" w14:textId="77777777" w:rsidR="00BC7D00" w:rsidRDefault="00BC7D00" w:rsidP="00A05D8D">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 </w:t>
            </w:r>
          </w:p>
        </w:tc>
      </w:tr>
    </w:tbl>
    <w:p w14:paraId="7C64C54C" w14:textId="77777777" w:rsidR="00BC7D00" w:rsidRPr="001249F1" w:rsidRDefault="00BC7D00" w:rsidP="00BC7D00"/>
    <w:p w14:paraId="0F293BF4" w14:textId="24F78963" w:rsidR="00127233" w:rsidRPr="00EF786C" w:rsidRDefault="00127233" w:rsidP="00EF786C"/>
    <w:sectPr w:rsidR="00127233" w:rsidRPr="00EF786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EEF7F" w14:textId="77777777" w:rsidR="007B5436" w:rsidRDefault="007B5436" w:rsidP="004A1847">
      <w:pPr>
        <w:spacing w:after="0" w:line="240" w:lineRule="auto"/>
      </w:pPr>
      <w:r>
        <w:separator/>
      </w:r>
    </w:p>
  </w:endnote>
  <w:endnote w:type="continuationSeparator" w:id="0">
    <w:p w14:paraId="30F80BD9" w14:textId="77777777" w:rsidR="007B5436" w:rsidRDefault="007B54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F786C"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EF786C">
      <w:rPr>
        <w:rFonts w:ascii="Verdana" w:eastAsia="Verdana" w:hAnsi="Verdana" w:cs="Verdana"/>
        <w:b/>
        <w:bCs/>
        <w:color w:val="000000" w:themeColor="text1"/>
        <w:sz w:val="18"/>
        <w:szCs w:val="18"/>
        <w:lang w:val="pt-PT" w:eastAsia="es-CO"/>
      </w:rPr>
      <w:t xml:space="preserve">Código: </w:t>
    </w:r>
    <w:r w:rsidRPr="00EF786C">
      <w:rPr>
        <w:rFonts w:ascii="Verdana" w:eastAsia="Verdana" w:hAnsi="Verdana" w:cs="Verdana"/>
        <w:color w:val="000000" w:themeColor="text1"/>
        <w:sz w:val="18"/>
        <w:szCs w:val="18"/>
        <w:lang w:val="pt-PT" w:eastAsia="es-CO"/>
      </w:rPr>
      <w:t xml:space="preserve">CCE-REC-FM-17 </w:t>
    </w:r>
    <w:r w:rsidRPr="00EF786C">
      <w:rPr>
        <w:rFonts w:ascii="Verdana" w:eastAsia="Verdana" w:hAnsi="Verdana" w:cs="Verdana"/>
        <w:b/>
        <w:bCs/>
        <w:color w:val="000000" w:themeColor="text1"/>
        <w:sz w:val="18"/>
        <w:szCs w:val="18"/>
        <w:lang w:val="pt-PT" w:eastAsia="es-CO"/>
      </w:rPr>
      <w:t xml:space="preserve">V: </w:t>
    </w:r>
    <w:r w:rsidRPr="00EF786C">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6D8E2C" w14:textId="77777777" w:rsidR="007B5436" w:rsidRDefault="007B5436" w:rsidP="004A1847">
      <w:pPr>
        <w:spacing w:after="0" w:line="240" w:lineRule="auto"/>
      </w:pPr>
      <w:r>
        <w:separator/>
      </w:r>
    </w:p>
  </w:footnote>
  <w:footnote w:type="continuationSeparator" w:id="0">
    <w:p w14:paraId="2B719B0D" w14:textId="77777777" w:rsidR="007B5436" w:rsidRDefault="007B5436" w:rsidP="004A1847">
      <w:pPr>
        <w:spacing w:after="0" w:line="240" w:lineRule="auto"/>
      </w:pPr>
      <w:r>
        <w:continuationSeparator/>
      </w:r>
    </w:p>
  </w:footnote>
  <w:footnote w:id="1">
    <w:p w14:paraId="29FA5480" w14:textId="77777777" w:rsidR="00BC7D00" w:rsidRPr="00C05384" w:rsidRDefault="00BC7D00" w:rsidP="00BC7D00">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2">
    <w:p w14:paraId="03887E68" w14:textId="77777777" w:rsidR="00BC7D00" w:rsidRPr="00C05384" w:rsidRDefault="00BC7D00" w:rsidP="00BC7D00">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3">
    <w:p w14:paraId="26660F55" w14:textId="77777777" w:rsidR="00BC7D00" w:rsidRPr="00C05384" w:rsidRDefault="00BC7D00" w:rsidP="00BC7D00">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4">
    <w:p w14:paraId="34670885" w14:textId="77777777" w:rsidR="00BC7D00" w:rsidRPr="00C05384" w:rsidRDefault="00BC7D00" w:rsidP="00BC7D00">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6FBEAB95" w14:textId="77777777" w:rsidR="00BC7D00" w:rsidRPr="00C05384" w:rsidRDefault="00BC7D00" w:rsidP="00BC7D00">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6">
    <w:p w14:paraId="00C96819" w14:textId="77777777" w:rsidR="00BC7D00" w:rsidRPr="00C05384" w:rsidRDefault="00BC7D00" w:rsidP="00BC7D00">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7">
    <w:p w14:paraId="49AB2906" w14:textId="77777777" w:rsidR="00BC7D00" w:rsidRPr="00C05384" w:rsidRDefault="00BC7D00" w:rsidP="00BC7D00">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8">
    <w:p w14:paraId="4651AFE2" w14:textId="77777777" w:rsidR="00BC7D00" w:rsidRPr="00CB56F1" w:rsidRDefault="00BC7D00" w:rsidP="00BC7D00">
      <w:pPr>
        <w:pStyle w:val="Textonotapie"/>
        <w:ind w:firstLine="708"/>
        <w:jc w:val="both"/>
        <w:rPr>
          <w:rFonts w:ascii="Century Gothic" w:hAnsi="Century Gothic" w:cs="Arial"/>
          <w:sz w:val="19"/>
          <w:szCs w:val="19"/>
        </w:rPr>
      </w:pPr>
      <w:r w:rsidRPr="00CB56F1">
        <w:rPr>
          <w:rStyle w:val="Refdenotaalpie"/>
          <w:rFonts w:ascii="Century Gothic" w:hAnsi="Century Gothic" w:cs="Arial"/>
          <w:sz w:val="19"/>
          <w:szCs w:val="19"/>
        </w:rPr>
        <w:footnoteRef/>
      </w:r>
      <w:r w:rsidRPr="00CB56F1">
        <w:rPr>
          <w:rFonts w:ascii="Century Gothic" w:hAnsi="Century Gothic" w:cs="Arial"/>
          <w:sz w:val="19"/>
          <w:szCs w:val="19"/>
        </w:rPr>
        <w:t xml:space="preserve"> DROMI, José Roberto. La licitación pública. Buenos Aires: Ciudad Argentina, 1980. pp. 173-174. Para el autor, la aplicación de la causal supone que: i) las prestaciones están amparadas legalmente por un derecho de marca; 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(Ibidem., p. 174).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206909"/>
    <w:multiLevelType w:val="hybridMultilevel"/>
    <w:tmpl w:val="127696A0"/>
    <w:lvl w:ilvl="0" w:tplc="096AACDC">
      <w:start w:val="1"/>
      <w:numFmt w:val="lowerRoman"/>
      <w:lvlText w:val="%1."/>
      <w:lvlJc w:val="left"/>
      <w:pPr>
        <w:ind w:left="1080" w:hanging="720"/>
      </w:pPr>
      <w:rPr>
        <w:rFonts w:eastAsia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F363F9"/>
    <w:multiLevelType w:val="hybridMultilevel"/>
    <w:tmpl w:val="965A7E98"/>
    <w:lvl w:ilvl="0" w:tplc="FD66BB4A">
      <w:start w:val="1"/>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2"/>
  </w:num>
  <w:num w:numId="13" w16cid:durableId="1512908409">
    <w:abstractNumId w:val="5"/>
  </w:num>
  <w:num w:numId="14" w16cid:durableId="895897244">
    <w:abstractNumId w:val="17"/>
  </w:num>
  <w:num w:numId="15" w16cid:durableId="390349800">
    <w:abstractNumId w:val="12"/>
  </w:num>
  <w:num w:numId="16" w16cid:durableId="59004697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91805812">
    <w:abstractNumId w:val="4"/>
  </w:num>
  <w:num w:numId="18" w16cid:durableId="902712990">
    <w:abstractNumId w:val="11"/>
  </w:num>
  <w:num w:numId="19" w16cid:durableId="823203706">
    <w:abstractNumId w:val="13"/>
  </w:num>
  <w:num w:numId="20" w16cid:durableId="956568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5809"/>
    <w:rsid w:val="00116940"/>
    <w:rsid w:val="00125105"/>
    <w:rsid w:val="00127233"/>
    <w:rsid w:val="0015699B"/>
    <w:rsid w:val="001A33BF"/>
    <w:rsid w:val="001A651C"/>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0B75"/>
    <w:rsid w:val="002E2BF8"/>
    <w:rsid w:val="002E4FD9"/>
    <w:rsid w:val="0030657A"/>
    <w:rsid w:val="00322A85"/>
    <w:rsid w:val="00324168"/>
    <w:rsid w:val="00330834"/>
    <w:rsid w:val="003448F4"/>
    <w:rsid w:val="00374F5E"/>
    <w:rsid w:val="00377E3E"/>
    <w:rsid w:val="00386D72"/>
    <w:rsid w:val="00391591"/>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1D46"/>
    <w:rsid w:val="00706C16"/>
    <w:rsid w:val="007340C3"/>
    <w:rsid w:val="0075235A"/>
    <w:rsid w:val="00756841"/>
    <w:rsid w:val="007649AB"/>
    <w:rsid w:val="00771D0C"/>
    <w:rsid w:val="007833AC"/>
    <w:rsid w:val="007B268C"/>
    <w:rsid w:val="007B5436"/>
    <w:rsid w:val="007B7171"/>
    <w:rsid w:val="007C0C0F"/>
    <w:rsid w:val="007C3DC2"/>
    <w:rsid w:val="007D7B5F"/>
    <w:rsid w:val="007E5497"/>
    <w:rsid w:val="00806F5F"/>
    <w:rsid w:val="00807B07"/>
    <w:rsid w:val="00820278"/>
    <w:rsid w:val="008258C9"/>
    <w:rsid w:val="0082593E"/>
    <w:rsid w:val="00844AE9"/>
    <w:rsid w:val="00867F95"/>
    <w:rsid w:val="008759C7"/>
    <w:rsid w:val="008843B6"/>
    <w:rsid w:val="00891928"/>
    <w:rsid w:val="008A446D"/>
    <w:rsid w:val="008B25F1"/>
    <w:rsid w:val="008D180B"/>
    <w:rsid w:val="008D65B8"/>
    <w:rsid w:val="008F0EA7"/>
    <w:rsid w:val="00922B4B"/>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A00"/>
    <w:rsid w:val="00AB0ADB"/>
    <w:rsid w:val="00AC5039"/>
    <w:rsid w:val="00B00C0E"/>
    <w:rsid w:val="00B01B1A"/>
    <w:rsid w:val="00B0381D"/>
    <w:rsid w:val="00B44A47"/>
    <w:rsid w:val="00B55D4B"/>
    <w:rsid w:val="00B72CD3"/>
    <w:rsid w:val="00B72FFF"/>
    <w:rsid w:val="00BC3D36"/>
    <w:rsid w:val="00BC7D00"/>
    <w:rsid w:val="00BD54A6"/>
    <w:rsid w:val="00BD7F72"/>
    <w:rsid w:val="00BF7425"/>
    <w:rsid w:val="00C04FB3"/>
    <w:rsid w:val="00C11D8B"/>
    <w:rsid w:val="00C15139"/>
    <w:rsid w:val="00C330EB"/>
    <w:rsid w:val="00C50D69"/>
    <w:rsid w:val="00C5365C"/>
    <w:rsid w:val="00C754BE"/>
    <w:rsid w:val="00C76B1C"/>
    <w:rsid w:val="00C925AC"/>
    <w:rsid w:val="00CA12F3"/>
    <w:rsid w:val="00CA6EE2"/>
    <w:rsid w:val="00CB6357"/>
    <w:rsid w:val="00CC1B26"/>
    <w:rsid w:val="00D15EC6"/>
    <w:rsid w:val="00D361FD"/>
    <w:rsid w:val="00D4019C"/>
    <w:rsid w:val="00D423A2"/>
    <w:rsid w:val="00D44E26"/>
    <w:rsid w:val="00D520D8"/>
    <w:rsid w:val="00D63AC2"/>
    <w:rsid w:val="00D7383B"/>
    <w:rsid w:val="00D7788A"/>
    <w:rsid w:val="00DA231B"/>
    <w:rsid w:val="00DA4C76"/>
    <w:rsid w:val="00DC32B9"/>
    <w:rsid w:val="00DC39FC"/>
    <w:rsid w:val="00DC3DE7"/>
    <w:rsid w:val="00DF5254"/>
    <w:rsid w:val="00E02524"/>
    <w:rsid w:val="00E16408"/>
    <w:rsid w:val="00E20894"/>
    <w:rsid w:val="00E245AB"/>
    <w:rsid w:val="00E2764C"/>
    <w:rsid w:val="00E27F2E"/>
    <w:rsid w:val="00E50AFE"/>
    <w:rsid w:val="00E73E67"/>
    <w:rsid w:val="00E75C92"/>
    <w:rsid w:val="00E771DC"/>
    <w:rsid w:val="00E8772A"/>
    <w:rsid w:val="00E90F6B"/>
    <w:rsid w:val="00E92C27"/>
    <w:rsid w:val="00EA0E3D"/>
    <w:rsid w:val="00EC2C06"/>
    <w:rsid w:val="00EC38A7"/>
    <w:rsid w:val="00EE1AA8"/>
    <w:rsid w:val="00EE565A"/>
    <w:rsid w:val="00EF786C"/>
    <w:rsid w:val="00F23FEA"/>
    <w:rsid w:val="00F31EDC"/>
    <w:rsid w:val="00F462B3"/>
    <w:rsid w:val="00F5486D"/>
    <w:rsid w:val="00F5664F"/>
    <w:rsid w:val="00F666C4"/>
    <w:rsid w:val="00F76AFC"/>
    <w:rsid w:val="00FA47C0"/>
    <w:rsid w:val="00FB5DD1"/>
    <w:rsid w:val="00FC2B5D"/>
    <w:rsid w:val="00FF1449"/>
    <w:rsid w:val="00FF167C"/>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C7D00"/>
    <w:rPr>
      <w:rFonts w:ascii="Geomanist Light" w:hAnsi="Geomanist Light"/>
      <w:lang w:val="es-ES"/>
    </w:rPr>
  </w:style>
  <w:style w:type="paragraph" w:customStyle="1" w:styleId="Appelnotedebasde">
    <w:name w:val="Appel note de bas de..."/>
    <w:basedOn w:val="Normal"/>
    <w:link w:val="Refdenotaalpie"/>
    <w:uiPriority w:val="99"/>
    <w:rsid w:val="00BC7D00"/>
    <w:pPr>
      <w:spacing w:line="240" w:lineRule="exact"/>
    </w:pPr>
    <w:rPr>
      <w:vertAlign w:val="superscript"/>
    </w:rPr>
  </w:style>
  <w:style w:type="character" w:customStyle="1" w:styleId="baj">
    <w:name w:val="b_aj"/>
    <w:basedOn w:val="Fuentedeprrafopredeter"/>
    <w:rsid w:val="00BC7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A3EFCA1-E91C-4F81-9FEA-56BDFF969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18</Pages>
  <Words>6002</Words>
  <Characters>33016</Characters>
  <Application>Microsoft Office Word</Application>
  <DocSecurity>0</DocSecurity>
  <Lines>275</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2026-05-20T15:33:00Z</dcterms:created>
  <dcterms:modified xsi:type="dcterms:W3CDTF">2026-05-20T17:24:00Z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