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1EB42" w14:textId="77777777" w:rsidR="007A5381" w:rsidRPr="001B3C5D" w:rsidRDefault="007A5381" w:rsidP="007A5381">
      <w:pPr>
        <w:spacing w:after="0" w:line="240" w:lineRule="auto"/>
        <w:jc w:val="both"/>
        <w:rPr>
          <w:rFonts w:ascii="Verdana" w:eastAsia="Calibri" w:hAnsi="Verdana" w:cs="Arial"/>
          <w:b/>
          <w:bCs/>
          <w:lang w:val="es-ES_tradnl"/>
        </w:rPr>
      </w:pPr>
      <w:r w:rsidRPr="001B3C5D">
        <w:rPr>
          <w:rFonts w:ascii="Verdana" w:eastAsia="Calibri" w:hAnsi="Verdana" w:cs="Arial"/>
          <w:b/>
          <w:bCs/>
          <w:lang w:val="es-ES_tradnl"/>
        </w:rPr>
        <w:t xml:space="preserve">DOCUMENTOS TIPO – Fundamento normativo – Obligatoriedad </w:t>
      </w:r>
    </w:p>
    <w:p w14:paraId="747B11E0" w14:textId="77777777" w:rsidR="007A5381" w:rsidRPr="001B3C5D" w:rsidRDefault="007A5381" w:rsidP="007A5381">
      <w:pPr>
        <w:spacing w:after="0" w:line="240" w:lineRule="auto"/>
        <w:jc w:val="both"/>
        <w:rPr>
          <w:rFonts w:ascii="Verdana" w:eastAsia="Calibri" w:hAnsi="Verdana" w:cs="Arial"/>
          <w:b/>
          <w:bCs/>
          <w:sz w:val="20"/>
          <w:szCs w:val="20"/>
          <w:lang w:val="es-ES_tradnl"/>
        </w:rPr>
      </w:pPr>
    </w:p>
    <w:p w14:paraId="3069A27B" w14:textId="77777777" w:rsidR="007A5381" w:rsidRPr="001B3C5D" w:rsidRDefault="007A5381" w:rsidP="007A5381">
      <w:pPr>
        <w:spacing w:after="0" w:line="240" w:lineRule="auto"/>
        <w:jc w:val="both"/>
        <w:rPr>
          <w:rFonts w:ascii="Verdana" w:eastAsia="Aptos" w:hAnsi="Verdana" w:cs="Times New Roman"/>
          <w:kern w:val="2"/>
          <w:sz w:val="20"/>
          <w:szCs w:val="20"/>
          <w:lang w:val="es-MX"/>
          <w14:ligatures w14:val="standardContextual"/>
        </w:rPr>
      </w:pPr>
      <w:r w:rsidRPr="001B3C5D">
        <w:rPr>
          <w:rFonts w:ascii="Verdana" w:eastAsia="Aptos" w:hAnsi="Verdana" w:cs="Times New Roman"/>
          <w:kern w:val="2"/>
          <w:sz w:val="20"/>
          <w:szCs w:val="20"/>
          <w:lang w:val="es-MX"/>
          <w14:ligatures w14:val="standardContextual"/>
        </w:rPr>
        <w:t>El 22 de julio de 2020 se sancionó la Ley 2022, por medio de la cual se modificó el artículo 4 de la Ley 1882 de 2018.</w:t>
      </w:r>
    </w:p>
    <w:p w14:paraId="5F8B15EF" w14:textId="77777777" w:rsidR="007A5381" w:rsidRPr="001B3C5D" w:rsidRDefault="007A5381" w:rsidP="007A5381">
      <w:pPr>
        <w:spacing w:after="0" w:line="240" w:lineRule="auto"/>
        <w:jc w:val="both"/>
        <w:rPr>
          <w:rFonts w:ascii="Verdana" w:eastAsia="Aptos" w:hAnsi="Verdana" w:cs="Times New Roman"/>
          <w:kern w:val="2"/>
          <w:sz w:val="20"/>
          <w:szCs w:val="20"/>
          <w:lang w:val="es-MX"/>
          <w14:ligatures w14:val="standardContextual"/>
        </w:rPr>
      </w:pPr>
    </w:p>
    <w:p w14:paraId="75D55613" w14:textId="77777777" w:rsidR="007A5381" w:rsidRPr="001B3C5D" w:rsidRDefault="007A5381" w:rsidP="007A5381">
      <w:pPr>
        <w:spacing w:after="0" w:line="240" w:lineRule="auto"/>
        <w:jc w:val="both"/>
        <w:rPr>
          <w:rFonts w:ascii="Verdana" w:eastAsia="Aptos" w:hAnsi="Verdana" w:cs="Times New Roman"/>
          <w:kern w:val="2"/>
          <w:sz w:val="20"/>
          <w:szCs w:val="20"/>
          <w:lang w:val="es-MX"/>
          <w14:ligatures w14:val="standardContextual"/>
        </w:rPr>
      </w:pPr>
      <w:r w:rsidRPr="001B3C5D">
        <w:rPr>
          <w:rFonts w:ascii="Verdana" w:eastAsia="Aptos" w:hAnsi="Verdana" w:cs="Times New Roman"/>
          <w:kern w:val="2"/>
          <w:sz w:val="20"/>
          <w:szCs w:val="20"/>
          <w:lang w:val="es-MX"/>
          <w14:ligatures w14:val="standardContextual"/>
        </w:rPr>
        <w:t>(…)</w:t>
      </w:r>
    </w:p>
    <w:p w14:paraId="14541875" w14:textId="77777777" w:rsidR="007A5381" w:rsidRPr="001B3C5D" w:rsidRDefault="007A5381" w:rsidP="007A5381">
      <w:pPr>
        <w:spacing w:after="0" w:line="240" w:lineRule="auto"/>
        <w:jc w:val="both"/>
        <w:rPr>
          <w:rFonts w:ascii="Verdana" w:eastAsia="Calibri" w:hAnsi="Verdana" w:cs="Arial"/>
          <w:b/>
          <w:bCs/>
          <w:sz w:val="20"/>
          <w:szCs w:val="20"/>
          <w:lang w:val="es-ES_tradnl"/>
        </w:rPr>
      </w:pPr>
    </w:p>
    <w:p w14:paraId="793AF639" w14:textId="77777777" w:rsidR="007A5381" w:rsidRPr="001B3C5D" w:rsidRDefault="007A5381" w:rsidP="007A5381">
      <w:pPr>
        <w:spacing w:after="0" w:line="240" w:lineRule="auto"/>
        <w:jc w:val="both"/>
        <w:rPr>
          <w:rFonts w:ascii="Verdana" w:eastAsia="Calibri" w:hAnsi="Verdana" w:cs="Arial"/>
          <w:color w:val="000000"/>
          <w:kern w:val="2"/>
          <w:sz w:val="20"/>
          <w:szCs w:val="20"/>
          <w:lang w:val="es-MX"/>
          <w14:ligatures w14:val="standardContextual"/>
        </w:rPr>
      </w:pPr>
      <w:r w:rsidRPr="001B3C5D">
        <w:rPr>
          <w:rFonts w:ascii="Verdana" w:eastAsia="Aptos" w:hAnsi="Verdana" w:cs="Times New Roman"/>
          <w:kern w:val="2"/>
          <w:sz w:val="20"/>
          <w:szCs w:val="20"/>
          <w:lang w:val="es-ES"/>
          <w14:ligatures w14:val="standardContextual"/>
        </w:rPr>
        <w:t xml:space="preserve">La norma </w:t>
      </w:r>
      <w:r w:rsidRPr="001B3C5D">
        <w:rPr>
          <w:rFonts w:ascii="Verdana" w:eastAsia="Calibri" w:hAnsi="Verdana" w:cs="Arial"/>
          <w:color w:val="000000"/>
          <w:sz w:val="20"/>
          <w:szCs w:val="20"/>
          <w:lang w:val="es-MX"/>
        </w:rPr>
        <w:t>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 Así mismo, señala que, 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6604F1F9" w14:textId="77777777" w:rsidR="007A5381" w:rsidRPr="001B3C5D" w:rsidRDefault="007A5381" w:rsidP="007A5381">
      <w:pPr>
        <w:spacing w:after="0" w:line="240" w:lineRule="auto"/>
        <w:jc w:val="both"/>
        <w:rPr>
          <w:rFonts w:ascii="Aptos" w:eastAsia="Aptos" w:hAnsi="Aptos" w:cs="Times New Roman"/>
          <w:sz w:val="20"/>
          <w:szCs w:val="20"/>
          <w:lang w:val="es-MX"/>
        </w:rPr>
      </w:pPr>
    </w:p>
    <w:p w14:paraId="66C3D4AA" w14:textId="77777777" w:rsidR="007A5381" w:rsidRPr="001B3C5D" w:rsidRDefault="007A5381" w:rsidP="007A5381">
      <w:pPr>
        <w:spacing w:after="0" w:line="240" w:lineRule="auto"/>
        <w:jc w:val="both"/>
        <w:rPr>
          <w:rFonts w:ascii="Verdana" w:eastAsia="Calibri" w:hAnsi="Verdana" w:cs="Arial"/>
          <w:b/>
          <w:bCs/>
          <w:kern w:val="2"/>
          <w:sz w:val="24"/>
          <w:szCs w:val="24"/>
          <w:lang w:val="es-ES_tradnl"/>
          <w14:ligatures w14:val="standardContextual"/>
        </w:rPr>
      </w:pPr>
      <w:r w:rsidRPr="001B3C5D">
        <w:rPr>
          <w:rFonts w:ascii="Verdana" w:eastAsia="Calibri" w:hAnsi="Verdana" w:cs="Arial"/>
          <w:b/>
          <w:bCs/>
          <w:lang w:val="es-ES_tradnl"/>
        </w:rPr>
        <w:t>DOCUMENTOS TIPO – Adopción – Implementación</w:t>
      </w:r>
    </w:p>
    <w:p w14:paraId="01C27D97" w14:textId="77777777" w:rsidR="007A5381" w:rsidRPr="001B3C5D" w:rsidRDefault="007A5381" w:rsidP="007A5381">
      <w:pPr>
        <w:spacing w:after="0" w:line="240" w:lineRule="auto"/>
        <w:jc w:val="both"/>
        <w:rPr>
          <w:rFonts w:ascii="Verdana" w:eastAsia="Calibri" w:hAnsi="Verdana" w:cs="Arial"/>
          <w:color w:val="000000"/>
          <w:kern w:val="2"/>
          <w:sz w:val="20"/>
          <w:szCs w:val="20"/>
          <w:lang w:val="es-MX"/>
          <w14:ligatures w14:val="standardContextual"/>
        </w:rPr>
      </w:pPr>
    </w:p>
    <w:p w14:paraId="1D58B8B0" w14:textId="77777777" w:rsidR="007A5381" w:rsidRPr="001B3C5D" w:rsidRDefault="007A5381" w:rsidP="007A5381">
      <w:pPr>
        <w:spacing w:after="0" w:line="240" w:lineRule="auto"/>
        <w:jc w:val="both"/>
        <w:rPr>
          <w:rFonts w:ascii="Verdana" w:eastAsia="Calibri" w:hAnsi="Verdana" w:cs="Arial"/>
          <w:color w:val="000000"/>
          <w:kern w:val="2"/>
          <w:sz w:val="20"/>
          <w:szCs w:val="20"/>
          <w:lang w:val="es-MX"/>
          <w14:ligatures w14:val="standardContextual"/>
        </w:rPr>
      </w:pPr>
      <w:r w:rsidRPr="001B3C5D">
        <w:rPr>
          <w:rFonts w:ascii="Verdana" w:eastAsia="Calibri" w:hAnsi="Verdana" w:cs="Arial"/>
          <w:color w:val="000000"/>
          <w:sz w:val="20"/>
          <w:szCs w:val="20"/>
          <w:lang w:val="es-MX"/>
        </w:rPr>
        <w:t xml:space="preserve">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6FB1FF92" w14:textId="77777777" w:rsidR="007A5381" w:rsidRPr="001B3C5D" w:rsidRDefault="007A5381" w:rsidP="007A5381">
      <w:pPr>
        <w:spacing w:after="0" w:line="240" w:lineRule="auto"/>
        <w:jc w:val="both"/>
        <w:rPr>
          <w:rFonts w:ascii="Verdana" w:eastAsia="Calibri" w:hAnsi="Verdana" w:cs="Arial"/>
          <w:color w:val="000000"/>
          <w:sz w:val="20"/>
          <w:szCs w:val="20"/>
          <w:lang w:val="es-MX"/>
        </w:rPr>
      </w:pPr>
    </w:p>
    <w:p w14:paraId="1AA66766" w14:textId="77777777" w:rsidR="007A5381" w:rsidRPr="001B3C5D" w:rsidRDefault="007A5381" w:rsidP="007A5381">
      <w:pPr>
        <w:spacing w:after="0" w:line="240" w:lineRule="auto"/>
        <w:jc w:val="both"/>
        <w:rPr>
          <w:rFonts w:ascii="Verdana" w:eastAsia="Calibri" w:hAnsi="Verdana" w:cs="Arial"/>
          <w:b/>
          <w:bCs/>
          <w:kern w:val="2"/>
          <w:lang w:val="es-ES_tradnl"/>
          <w14:ligatures w14:val="standardContextual"/>
        </w:rPr>
      </w:pPr>
      <w:r w:rsidRPr="001B3C5D">
        <w:rPr>
          <w:rFonts w:ascii="Verdana" w:eastAsia="Calibri" w:hAnsi="Verdana" w:cs="Arial"/>
          <w:b/>
          <w:bCs/>
          <w:lang w:val="es-ES_tradnl"/>
        </w:rPr>
        <w:t>DOCUMENTOS TIPO – Sectores – Vigentes</w:t>
      </w:r>
    </w:p>
    <w:p w14:paraId="7CD96222" w14:textId="77777777" w:rsidR="007A5381" w:rsidRPr="001B3C5D" w:rsidRDefault="007A5381" w:rsidP="007A5381">
      <w:pPr>
        <w:spacing w:after="0" w:line="276" w:lineRule="auto"/>
        <w:jc w:val="both"/>
        <w:rPr>
          <w:rFonts w:ascii="Verdana" w:eastAsia="Calibri" w:hAnsi="Verdana" w:cs="Arial"/>
          <w:b/>
          <w:bCs/>
          <w:color w:val="000000"/>
          <w:lang w:eastAsia="es-ES_tradnl"/>
        </w:rPr>
      </w:pPr>
    </w:p>
    <w:p w14:paraId="3A96A764" w14:textId="77777777" w:rsidR="007A5381" w:rsidRPr="001B3C5D" w:rsidRDefault="007A5381" w:rsidP="007A5381">
      <w:pPr>
        <w:tabs>
          <w:tab w:val="left" w:pos="709"/>
        </w:tabs>
        <w:spacing w:after="0" w:line="240" w:lineRule="auto"/>
        <w:jc w:val="both"/>
        <w:rPr>
          <w:rFonts w:ascii="Verdana" w:eastAsia="Calibri" w:hAnsi="Verdana" w:cs="Arial"/>
          <w:sz w:val="20"/>
          <w:szCs w:val="20"/>
          <w:lang w:val="es-ES"/>
        </w:rPr>
      </w:pPr>
      <w:r w:rsidRPr="001B3C5D">
        <w:rPr>
          <w:rFonts w:ascii="Verdana" w:eastAsia="Calibri" w:hAnsi="Verdana" w:cs="Arial"/>
          <w:sz w:val="20"/>
          <w:szCs w:val="20"/>
          <w:lang w:val="es-ES"/>
        </w:rPr>
        <w:t>(…) esta Agencia 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40A076AD" w14:textId="77777777" w:rsidR="007A5381" w:rsidRPr="001B3C5D" w:rsidRDefault="007A5381" w:rsidP="007A5381">
      <w:pPr>
        <w:spacing w:after="0" w:line="276" w:lineRule="auto"/>
        <w:jc w:val="both"/>
        <w:rPr>
          <w:rFonts w:ascii="Verdana" w:eastAsia="Calibri" w:hAnsi="Verdana" w:cs="Arial"/>
          <w:color w:val="000000"/>
          <w:kern w:val="2"/>
          <w:sz w:val="20"/>
          <w:szCs w:val="20"/>
          <w:lang w:val="es-MX"/>
          <w14:ligatures w14:val="standardContextual"/>
        </w:rPr>
      </w:pPr>
    </w:p>
    <w:p w14:paraId="66F5B266" w14:textId="77777777" w:rsidR="007A5381" w:rsidRPr="001B3C5D" w:rsidRDefault="007A5381" w:rsidP="007A5381">
      <w:pPr>
        <w:spacing w:after="0" w:line="240" w:lineRule="auto"/>
        <w:jc w:val="both"/>
        <w:rPr>
          <w:rFonts w:ascii="Verdana" w:eastAsia="Calibri" w:hAnsi="Verdana" w:cs="Arial"/>
          <w:b/>
          <w:bCs/>
          <w:kern w:val="2"/>
          <w:sz w:val="24"/>
          <w:szCs w:val="24"/>
          <w:lang w:val="es-ES_tradnl"/>
          <w14:ligatures w14:val="standardContextual"/>
        </w:rPr>
      </w:pPr>
      <w:r w:rsidRPr="001B3C5D">
        <w:rPr>
          <w:rFonts w:ascii="Verdana" w:eastAsia="Calibri" w:hAnsi="Verdana" w:cs="Arial"/>
          <w:b/>
          <w:bCs/>
          <w:lang w:val="es-ES_tradnl"/>
        </w:rPr>
        <w:t xml:space="preserve">DOCUMENTOS TIPO – Colombia Compra Eficiente – Facultad de estandarización </w:t>
      </w:r>
    </w:p>
    <w:p w14:paraId="7AC9CDF0" w14:textId="77777777" w:rsidR="007A5381" w:rsidRPr="001B3C5D" w:rsidRDefault="007A5381" w:rsidP="007A5381">
      <w:pPr>
        <w:spacing w:after="0" w:line="276" w:lineRule="auto"/>
        <w:jc w:val="both"/>
        <w:rPr>
          <w:rFonts w:ascii="Verdana" w:eastAsia="Calibri" w:hAnsi="Verdana" w:cs="Arial"/>
          <w:b/>
          <w:bCs/>
          <w:kern w:val="2"/>
          <w:sz w:val="24"/>
          <w:szCs w:val="24"/>
          <w:lang w:val="es-ES_tradnl"/>
          <w14:ligatures w14:val="standardContextual"/>
        </w:rPr>
      </w:pPr>
    </w:p>
    <w:p w14:paraId="2AEE7D0E" w14:textId="77777777" w:rsidR="007A5381" w:rsidRPr="001B3C5D" w:rsidRDefault="007A5381" w:rsidP="007A5381">
      <w:pPr>
        <w:tabs>
          <w:tab w:val="center" w:pos="4419"/>
          <w:tab w:val="right" w:pos="8838"/>
        </w:tabs>
        <w:spacing w:after="0" w:line="240" w:lineRule="auto"/>
        <w:jc w:val="both"/>
        <w:rPr>
          <w:rFonts w:ascii="Verdana" w:eastAsia="Times New Roman" w:hAnsi="Verdana" w:cs="Arial"/>
          <w:kern w:val="2"/>
          <w:sz w:val="20"/>
          <w:szCs w:val="20"/>
          <w:lang w:eastAsia="es-ES"/>
          <w14:ligatures w14:val="standardContextual"/>
        </w:rPr>
      </w:pPr>
      <w:r w:rsidRPr="001B3C5D">
        <w:rPr>
          <w:rFonts w:ascii="Verdana" w:eastAsia="Times New Roman" w:hAnsi="Verdana" w:cs="Arial"/>
          <w:kern w:val="2"/>
          <w:sz w:val="20"/>
          <w:szCs w:val="20"/>
          <w:lang w:eastAsia="es-ES"/>
          <w14:ligatures w14:val="standardContextual"/>
        </w:rPr>
        <w:t>Conforme con lo anterior, m</w:t>
      </w:r>
      <w:r w:rsidRPr="001B3C5D">
        <w:rPr>
          <w:rFonts w:ascii="Verdana" w:eastAsia="Times New Roman" w:hAnsi="Verdana" w:cs="Arial"/>
          <w:sz w:val="20"/>
          <w:szCs w:val="20"/>
          <w:lang w:eastAsia="es-ES"/>
        </w:rPr>
        <w:t xml:space="preserve">ediante una interpretación sistemática de la normativa y jurisprudencia citada es posible concluir que </w:t>
      </w:r>
      <w:r w:rsidRPr="001B3C5D">
        <w:rPr>
          <w:rFonts w:ascii="Verdana" w:eastAsia="Times New Roman" w:hAnsi="Verdana" w:cs="Arial"/>
          <w:kern w:val="2"/>
          <w:sz w:val="20"/>
          <w:szCs w:val="20"/>
          <w:lang w:eastAsia="es-ES"/>
          <w14:ligatures w14:val="standardContextual"/>
        </w:rPr>
        <w:t>la</w:t>
      </w:r>
      <w:r w:rsidRPr="001B3C5D">
        <w:rPr>
          <w:rFonts w:ascii="Verdana" w:eastAsia="Times New Roman" w:hAnsi="Verdana" w:cs="Arial"/>
          <w:sz w:val="20"/>
          <w:szCs w:val="20"/>
          <w:lang w:eastAsia="es-ES"/>
        </w:rPr>
        <w:t xml:space="preserve"> Agencia</w:t>
      </w:r>
      <w:r w:rsidRPr="001B3C5D">
        <w:rPr>
          <w:rFonts w:ascii="Verdana" w:eastAsia="Times New Roman" w:hAnsi="Verdana" w:cs="Arial"/>
          <w:kern w:val="2"/>
          <w:sz w:val="20"/>
          <w:szCs w:val="20"/>
          <w:lang w:eastAsia="es-ES"/>
          <w14:ligatures w14:val="standardContextual"/>
        </w:rPr>
        <w:t xml:space="preserve"> Nacional de Contratación Pública – Colombia Compra Eficiente</w:t>
      </w:r>
      <w:r w:rsidRPr="001B3C5D">
        <w:rPr>
          <w:rFonts w:ascii="Verdana" w:eastAsia="Times New Roman" w:hAnsi="Verdana" w:cs="Arial"/>
          <w:sz w:val="20"/>
          <w:szCs w:val="20"/>
          <w:lang w:eastAsia="es-ES"/>
        </w:rPr>
        <w:t xml:space="preserve"> tiene facultad de regulación de la actividad contractual </w:t>
      </w:r>
      <w:r w:rsidRPr="001B3C5D">
        <w:rPr>
          <w:rFonts w:ascii="Verdana" w:eastAsia="Times New Roman" w:hAnsi="Verdana" w:cs="Arial"/>
          <w:sz w:val="20"/>
          <w:szCs w:val="20"/>
          <w:lang w:eastAsia="es-ES"/>
        </w:rPr>
        <w:lastRenderedPageBreak/>
        <w:t xml:space="preserve">pública, lo que implica la potestad para expedir normas de carácter técnico subordinadas a la Constitución y a la ley y que los documentos tipo son una manifestación de dicha potestad. En consecuencia, la Agencia Nacional de Contratación Pública – Colombia Compra Eficiente tiene la facultad de adoptar los documentos tipo, con fundamento en la potestad reglamentaria que le asignó el artículo 1º de la Ley 2022 de 2020. </w:t>
      </w:r>
    </w:p>
    <w:p w14:paraId="1A404826" w14:textId="77777777" w:rsidR="007A5381" w:rsidRPr="001B3C5D" w:rsidRDefault="007A5381" w:rsidP="007A5381">
      <w:pPr>
        <w:tabs>
          <w:tab w:val="center" w:pos="4419"/>
          <w:tab w:val="right" w:pos="8838"/>
        </w:tabs>
        <w:spacing w:after="0" w:line="240" w:lineRule="auto"/>
        <w:jc w:val="both"/>
        <w:rPr>
          <w:rFonts w:ascii="Verdana" w:eastAsia="MS Mincho" w:hAnsi="Verdana" w:cs="Arial"/>
          <w:sz w:val="20"/>
          <w:szCs w:val="20"/>
          <w:lang w:eastAsia="es-CO"/>
        </w:rPr>
      </w:pPr>
    </w:p>
    <w:p w14:paraId="2F1C86EA" w14:textId="77777777" w:rsidR="007A5381" w:rsidRPr="001B3C5D" w:rsidRDefault="007A5381" w:rsidP="007A5381">
      <w:pPr>
        <w:tabs>
          <w:tab w:val="center" w:pos="4419"/>
          <w:tab w:val="right" w:pos="8838"/>
        </w:tabs>
        <w:spacing w:after="0" w:line="240" w:lineRule="auto"/>
        <w:jc w:val="both"/>
        <w:rPr>
          <w:rFonts w:ascii="Verdana" w:eastAsia="Times New Roman" w:hAnsi="Verdana" w:cs="Arial"/>
          <w:kern w:val="2"/>
          <w:sz w:val="20"/>
          <w:szCs w:val="20"/>
          <w:lang w:eastAsia="es-ES"/>
          <w14:ligatures w14:val="standardContextual"/>
        </w:rPr>
      </w:pPr>
      <w:r w:rsidRPr="001B3C5D">
        <w:rPr>
          <w:rFonts w:ascii="Verdana" w:eastAsia="MS Mincho" w:hAnsi="Verdana" w:cs="Arial"/>
          <w:sz w:val="20"/>
          <w:szCs w:val="20"/>
          <w:lang w:eastAsia="es-CO"/>
        </w:rPr>
        <w:t>I</w:t>
      </w:r>
      <w:r w:rsidRPr="001B3C5D">
        <w:rPr>
          <w:rFonts w:ascii="Verdana" w:eastAsia="Times New Roman" w:hAnsi="Verdana" w:cs="Arial"/>
          <w:sz w:val="20"/>
          <w:szCs w:val="20"/>
          <w:lang w:eastAsia="es-ES"/>
        </w:rPr>
        <w:t>gualmente, en desarrollo de la función que recae en la Agencia Nacional de Contratación Pública – Colombia Compra Eficiente conforme al artículo 2º del Decreto Ley 4170 de 2011, la Agencia concretará la voluntad del legislador con la implementación, desarrollo, publicación, revisión y actualización de los documentos tipo, según el avance y aplicación que éstos vayan teniendo en los sectores en los cuales vienen siendo adoptados.</w:t>
      </w:r>
    </w:p>
    <w:p w14:paraId="74707FD1" w14:textId="77777777" w:rsidR="007A5381" w:rsidRPr="001B3C5D" w:rsidRDefault="007A5381" w:rsidP="007A5381">
      <w:pPr>
        <w:spacing w:after="0" w:line="276" w:lineRule="auto"/>
        <w:jc w:val="both"/>
        <w:rPr>
          <w:rFonts w:ascii="Verdana" w:eastAsia="Calibri" w:hAnsi="Verdana" w:cs="Arial"/>
          <w:b/>
          <w:bCs/>
          <w:highlight w:val="yellow"/>
          <w:lang w:val="es-ES_tradnl"/>
        </w:rPr>
      </w:pPr>
    </w:p>
    <w:p w14:paraId="1AE479B4" w14:textId="77777777" w:rsidR="007A5381" w:rsidRPr="001B3C5D" w:rsidRDefault="007A5381" w:rsidP="007A5381">
      <w:pPr>
        <w:spacing w:after="0" w:line="240" w:lineRule="auto"/>
        <w:rPr>
          <w:rFonts w:ascii="Verdana" w:eastAsia="Calibri" w:hAnsi="Verdana" w:cs="Times New Roman"/>
          <w:b/>
          <w:bCs/>
          <w:lang w:val="es-ES"/>
        </w:rPr>
      </w:pPr>
      <w:r w:rsidRPr="001B3C5D">
        <w:rPr>
          <w:rFonts w:ascii="Verdana" w:eastAsia="Calibri" w:hAnsi="Verdana" w:cs="Times New Roman"/>
          <w:b/>
          <w:bCs/>
          <w:lang w:val="es-ES"/>
        </w:rPr>
        <w:t>DOCUMENTOS TIPO – Inalterabilidad – Alcance</w:t>
      </w:r>
    </w:p>
    <w:p w14:paraId="4A1D9CC5" w14:textId="77777777" w:rsidR="007A5381" w:rsidRPr="001B3C5D" w:rsidRDefault="007A5381" w:rsidP="007A5381">
      <w:pPr>
        <w:spacing w:after="0" w:line="240" w:lineRule="auto"/>
        <w:rPr>
          <w:rFonts w:ascii="Verdana" w:eastAsia="Calibri" w:hAnsi="Verdana" w:cs="Times New Roman"/>
          <w:b/>
          <w:bCs/>
          <w:lang w:val="es-ES"/>
        </w:rPr>
      </w:pPr>
    </w:p>
    <w:p w14:paraId="6D141C1D" w14:textId="77777777" w:rsidR="007A5381" w:rsidRPr="001B3C5D" w:rsidRDefault="007A5381" w:rsidP="007A5381">
      <w:pPr>
        <w:tabs>
          <w:tab w:val="center" w:pos="4419"/>
          <w:tab w:val="right" w:pos="8838"/>
        </w:tabs>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1B3C5D">
        <w:rPr>
          <w:rFonts w:ascii="Verdana" w:eastAsia="Calibri" w:hAnsi="Verdana" w:cs="Arial"/>
          <w:i/>
          <w:iCs/>
          <w:color w:val="000000"/>
          <w:sz w:val="20"/>
          <w:szCs w:val="20"/>
          <w:lang w:val="es-ES"/>
        </w:rPr>
        <w:t>Documentos del Proceso</w:t>
      </w:r>
      <w:r w:rsidRPr="001B3C5D">
        <w:rPr>
          <w:rFonts w:ascii="Verdana" w:eastAsia="Calibri" w:hAnsi="Verdana" w:cs="Arial"/>
          <w:color w:val="000000"/>
          <w:sz w:val="20"/>
          <w:szCs w:val="2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3787699D" w14:textId="77777777" w:rsidR="007A5381" w:rsidRPr="001B3C5D" w:rsidRDefault="007A5381" w:rsidP="007A5381">
      <w:pPr>
        <w:tabs>
          <w:tab w:val="center" w:pos="4419"/>
          <w:tab w:val="right" w:pos="8838"/>
        </w:tabs>
        <w:spacing w:after="0" w:line="240" w:lineRule="auto"/>
        <w:jc w:val="both"/>
        <w:rPr>
          <w:rFonts w:ascii="Verdana" w:eastAsia="Calibri" w:hAnsi="Verdana" w:cs="Arial"/>
          <w:color w:val="000000"/>
          <w:sz w:val="20"/>
          <w:szCs w:val="20"/>
          <w:lang w:val="es-ES"/>
        </w:rPr>
      </w:pPr>
    </w:p>
    <w:p w14:paraId="60EB8739" w14:textId="77777777" w:rsidR="007A5381" w:rsidRPr="001B3C5D" w:rsidRDefault="007A5381" w:rsidP="007A5381">
      <w:pPr>
        <w:spacing w:after="0" w:line="240" w:lineRule="auto"/>
        <w:jc w:val="both"/>
        <w:rPr>
          <w:rFonts w:ascii="Verdana" w:eastAsia="Calibri" w:hAnsi="Verdana" w:cs="Arial"/>
          <w:sz w:val="20"/>
          <w:szCs w:val="20"/>
          <w:lang w:val="es-ES_tradnl"/>
        </w:rPr>
      </w:pPr>
      <w:r w:rsidRPr="001B3C5D">
        <w:rPr>
          <w:rFonts w:ascii="Verdana" w:eastAsia="Calibri" w:hAnsi="Verdana" w:cs="Arial"/>
          <w:sz w:val="20"/>
          <w:szCs w:val="20"/>
          <w:lang w:val="es-ES_tradnl"/>
        </w:rPr>
        <w:t>(…)</w:t>
      </w:r>
    </w:p>
    <w:p w14:paraId="46AF71B8" w14:textId="77777777" w:rsidR="007A5381" w:rsidRPr="001B3C5D" w:rsidRDefault="007A5381" w:rsidP="007A5381">
      <w:pPr>
        <w:spacing w:after="0" w:line="240" w:lineRule="auto"/>
        <w:jc w:val="both"/>
        <w:rPr>
          <w:rFonts w:ascii="Verdana" w:eastAsia="Calibri" w:hAnsi="Verdana" w:cs="Arial"/>
          <w:sz w:val="20"/>
          <w:szCs w:val="20"/>
          <w:lang w:val="es-ES_tradnl"/>
        </w:rPr>
      </w:pPr>
    </w:p>
    <w:p w14:paraId="53AA7BC8"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 xml:space="preserve">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 Si las autoridades pudiesen agregar, eliminar o modificar todos y cada uno de los aspectos contenidos en los pliegos tipo, estos documentos, llanamente, no podrían ser llamados pliegos tipo. </w:t>
      </w:r>
    </w:p>
    <w:p w14:paraId="4E5B7CA0"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p>
    <w:p w14:paraId="26C8DF37"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w:t>
      </w:r>
      <w:r w:rsidRPr="001B3C5D">
        <w:rPr>
          <w:rFonts w:ascii="Verdana" w:eastAsia="Calibri" w:hAnsi="Verdana" w:cs="Arial"/>
          <w:color w:val="000000"/>
          <w:sz w:val="20"/>
          <w:szCs w:val="20"/>
          <w:lang w:val="es-ES"/>
        </w:rPr>
        <w:lastRenderedPageBreak/>
        <w:t xml:space="preserve">ilimitadamente introducir ajustes, las entidades estatales podrían reintroducir los sesgos interpretativos incorrectos que se buscó erradicar con la introducción de la herramienta analizada. </w:t>
      </w:r>
    </w:p>
    <w:p w14:paraId="032819B3"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p>
    <w:p w14:paraId="346E9DE7"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w:t>
      </w:r>
    </w:p>
    <w:p w14:paraId="12AC7167"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p>
    <w:p w14:paraId="7C8735A9"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sz w:val="20"/>
          <w:szCs w:val="20"/>
          <w:lang w:val="es-MX"/>
        </w:rPr>
        <w:t xml:space="preserve">No obstante, la parte introductoria de los documentos base de los documentos tipo disponen que los aspectos incluidos en corchetes y resaltados en gris </w:t>
      </w:r>
      <w:r w:rsidRPr="001B3C5D">
        <w:rPr>
          <w:rFonts w:ascii="Verdana" w:eastAsia="Aptos" w:hAnsi="Verdana" w:cs="Arial"/>
          <w:sz w:val="20"/>
          <w:szCs w:val="20"/>
        </w:rPr>
        <w:t>–[</w:t>
      </w:r>
      <w:r w:rsidRPr="001B3C5D">
        <w:rPr>
          <w:rFonts w:ascii="Verdana" w:eastAsia="Aptos" w:hAnsi="Verdana" w:cs="Arial"/>
          <w:sz w:val="20"/>
          <w:szCs w:val="20"/>
          <w:highlight w:val="lightGray"/>
        </w:rPr>
        <w:t>texto de ejemplo</w:t>
      </w:r>
      <w:r w:rsidRPr="001B3C5D">
        <w:rPr>
          <w:rFonts w:ascii="Verdana" w:eastAsia="Aptos" w:hAnsi="Verdana" w:cs="Arial"/>
          <w:sz w:val="20"/>
          <w:szCs w:val="20"/>
        </w:rPr>
        <w:t xml:space="preserve">]– </w:t>
      </w:r>
      <w:r w:rsidRPr="001B3C5D">
        <w:rPr>
          <w:rFonts w:ascii="Verdana" w:eastAsia="Calibri" w:hAnsi="Verdana" w:cs="Arial"/>
          <w:sz w:val="20"/>
          <w:szCs w:val="20"/>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6A228BE7" w14:textId="77777777" w:rsidR="007A5381" w:rsidRPr="001B3C5D" w:rsidRDefault="007A5381" w:rsidP="007A5381">
      <w:pPr>
        <w:spacing w:after="0" w:line="240" w:lineRule="auto"/>
        <w:rPr>
          <w:rFonts w:ascii="Verdana" w:eastAsia="Calibri" w:hAnsi="Verdana" w:cs="Times New Roman"/>
          <w:b/>
          <w:bCs/>
          <w:lang w:val="es-ES"/>
        </w:rPr>
      </w:pPr>
    </w:p>
    <w:p w14:paraId="4A5E1255" w14:textId="77777777" w:rsidR="007A5381" w:rsidRPr="001B3C5D" w:rsidRDefault="007A5381" w:rsidP="007A5381">
      <w:pPr>
        <w:spacing w:after="0" w:line="240" w:lineRule="auto"/>
        <w:rPr>
          <w:rFonts w:ascii="Verdana" w:eastAsia="Calibri" w:hAnsi="Verdana" w:cs="Times New Roman"/>
          <w:b/>
          <w:bCs/>
          <w:lang w:val="es-ES"/>
        </w:rPr>
      </w:pPr>
      <w:r w:rsidRPr="001B3C5D">
        <w:rPr>
          <w:rFonts w:ascii="Verdana" w:eastAsia="Calibri" w:hAnsi="Verdana" w:cs="Times New Roman"/>
          <w:b/>
          <w:bCs/>
          <w:lang w:val="es-ES"/>
        </w:rPr>
        <w:t>DECRETO 287 DE 2026 – Incidencia – Documentos tipo</w:t>
      </w:r>
    </w:p>
    <w:p w14:paraId="15F2128F" w14:textId="77777777" w:rsidR="007A5381" w:rsidRPr="001B3C5D" w:rsidRDefault="007A5381" w:rsidP="007A5381">
      <w:pPr>
        <w:spacing w:after="0" w:line="240" w:lineRule="auto"/>
        <w:rPr>
          <w:rFonts w:ascii="Verdana" w:eastAsia="Calibri" w:hAnsi="Verdana" w:cs="Times New Roman"/>
          <w:b/>
          <w:bCs/>
          <w:lang w:val="es-ES"/>
        </w:rPr>
      </w:pPr>
    </w:p>
    <w:p w14:paraId="02BEBCF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otros sujetos obligados a su aplicación, pueden convertirse en barreras estructurales de acceso cuando no incorporan enfoques diferenciales, afectando la participación de poblaciones históricamente excluidas. </w:t>
      </w:r>
    </w:p>
    <w:p w14:paraId="6A63E801"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5C868E0" w14:textId="77777777" w:rsidR="007A5381" w:rsidRPr="001B3C5D" w:rsidRDefault="007A5381" w:rsidP="007A5381">
      <w:pPr>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DECRETO 287 DE 2026 – Documentos tipo – Licitación Pública – Selección abreviada de menor cuantía – Concurso de méritos – Requisitos habilitantes</w:t>
      </w:r>
    </w:p>
    <w:p w14:paraId="446C232E"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38E7255"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Desde el punto de vista jurídico, uno de los aspectos que exige la modificación de los documentos tipo de licitación pública, selección abreviada de menor cuantía y concurso 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de tal manera que se eliminen barreras de entrada injustificadas sin comprometer la idoneidad del contratista, en aplicación del principio de igualdad material.</w:t>
      </w:r>
    </w:p>
    <w:p w14:paraId="0AC4D97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CD72848" w14:textId="77777777" w:rsidR="007A5381" w:rsidRPr="001B3C5D" w:rsidRDefault="007A5381" w:rsidP="007A5381">
      <w:pPr>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DECRETO 287 DE 2026 – Documentos tipo – Licitación Pública – Concurso de méritos – Factores de evaluación</w:t>
      </w:r>
    </w:p>
    <w:p w14:paraId="253136A3"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lang w:val="es-ES"/>
          <w14:ligatures w14:val="standardContextual"/>
        </w:rPr>
      </w:pPr>
    </w:p>
    <w:p w14:paraId="6C09D4F1"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503B179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603CC74"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 xml:space="preserve">DECRETO 287 DE 2026 – Documentos tipo – Ejecución contractual </w:t>
      </w:r>
    </w:p>
    <w:p w14:paraId="5AC7292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5827AB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19A96A49"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35F3CC7"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47AB51FE"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27563DA"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 xml:space="preserve">DOCUMENTOS TIPO – Decreto 287 de 2026 – Aplicación </w:t>
      </w:r>
    </w:p>
    <w:p w14:paraId="3C846F39"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FABAD0E"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381AD9A3"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91C1D1A"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lastRenderedPageBreak/>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469554F2"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9E8B455"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w:t>
      </w:r>
    </w:p>
    <w:p w14:paraId="1F5B1AB7"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51C9F4C"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Adicionalmente, el propio Decreto 287 de 2026 en el artículo 1 que modifica el artículo 2.2.1.2.4.2.7.8 al Decreto 1082 de 2015,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 lo cual confirma que la operatividad de dichas disposiciones en el ámbito de los documentos tipo depende de su desarrollo por parte de esta entidad. </w:t>
      </w:r>
    </w:p>
    <w:p w14:paraId="3617DEA8"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4CC5A7C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55C2417A"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856CA67"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 xml:space="preserve">DOCUMENTOS TIPO – Decreto 287 de 2026 – Aplicación – Necesidad de modificación – Agencia Nacional de Contratación Pública </w:t>
      </w:r>
    </w:p>
    <w:p w14:paraId="549F862B"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6EAF4AB"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de compras y contratación pública.</w:t>
      </w:r>
    </w:p>
    <w:p w14:paraId="7EB8FDD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9EE0F8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w:t>
      </w:r>
      <w:r w:rsidRPr="001B3C5D">
        <w:rPr>
          <w:rFonts w:ascii="Verdana" w:eastAsia="Aptos" w:hAnsi="Verdana" w:cs="Times New Roman"/>
          <w:kern w:val="2"/>
          <w:sz w:val="20"/>
          <w:szCs w:val="20"/>
          <w14:ligatures w14:val="standardContextual"/>
        </w:rPr>
        <w:lastRenderedPageBreak/>
        <w:t xml:space="preserve">Ley 2022 de 2020, garantizando así la coherencia del sistema, el respeto por la jerarquía normativa y la efectividad de las medidas orientadas a la inclusión de las personas con discapacidad en el sistema de compras y contratación pública. </w:t>
      </w:r>
    </w:p>
    <w:p w14:paraId="5CD63E0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2157A4A"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DOCUMENTOS TIPO – Decreto 287 de 2026 – Modificación – Colombia Compra Eficiente</w:t>
      </w:r>
    </w:p>
    <w:p w14:paraId="2D013F2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3DF8B17"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51E7AA6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F80077B"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4A345C94"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36CDAB8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77AE0F19"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6B1275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0DD707F"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753F349A"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2C5829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21B69100"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43CF61A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75A613D7"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A2DA0D7"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0A1F8A89"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69B8B0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E864662"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DDA385D"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3CC37E14"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6F6D02F"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735E8A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79E0336"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3FB5ABEF"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6C23B0C2"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482AA94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56192A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62D221C9" w14:textId="3AA1706E" w:rsidR="001B064E" w:rsidRPr="00777292" w:rsidRDefault="008B6CB8" w:rsidP="001B064E">
      <w:pPr>
        <w:spacing w:after="0"/>
        <w:rPr>
          <w:rFonts w:ascii="Verdana" w:hAnsi="Verdana"/>
          <w:lang w:val="es-ES_tradnl"/>
        </w:rPr>
      </w:pPr>
      <w:r w:rsidRPr="008B6CB8">
        <w:rPr>
          <w:rFonts w:ascii="Verdana" w:hAnsi="Verdana"/>
        </w:rPr>
        <w:lastRenderedPageBreak/>
        <w:t xml:space="preserve">Bogotá D.C., 14 de </w:t>
      </w:r>
      <w:r w:rsidR="00520EAA" w:rsidRPr="008B6CB8">
        <w:rPr>
          <w:rFonts w:ascii="Verdana" w:hAnsi="Verdana"/>
        </w:rPr>
        <w:t>mayo</w:t>
      </w:r>
      <w:r w:rsidRPr="008B6CB8">
        <w:rPr>
          <w:rFonts w:ascii="Verdana" w:hAnsi="Verdana"/>
        </w:rPr>
        <w:t xml:space="preserve"> de 2026</w:t>
      </w:r>
    </w:p>
    <w:p w14:paraId="5DF4E0A1" w14:textId="60D66FFC" w:rsidR="008D5774" w:rsidRPr="00777292" w:rsidRDefault="008D5774" w:rsidP="008D5774">
      <w:pPr>
        <w:spacing w:after="0"/>
        <w:rPr>
          <w:rFonts w:ascii="Verdana" w:hAnsi="Verdana"/>
          <w:lang w:val="es-ES_tradnl"/>
        </w:rPr>
      </w:pPr>
    </w:p>
    <w:p w14:paraId="59B80F8E" w14:textId="1D930C7D" w:rsidR="00512CFA" w:rsidRPr="00777292" w:rsidRDefault="00520EAA" w:rsidP="00512CFA">
      <w:pPr>
        <w:spacing w:after="0" w:line="240" w:lineRule="auto"/>
        <w:rPr>
          <w:rFonts w:ascii="Verdana" w:hAnsi="Verdana"/>
          <w:lang w:val="es-ES"/>
        </w:rPr>
      </w:pPr>
      <w:bookmarkStart w:id="0" w:name="_Hlk143780582"/>
      <w:r w:rsidRPr="008B6CB8">
        <w:rPr>
          <w:rFonts w:ascii="Verdana" w:eastAsia="Calibri" w:hAnsi="Verdana" w:cs="Arial"/>
          <w:b/>
          <w:bCs/>
          <w:noProof/>
          <w:lang w:val="es-ES" w:eastAsia="es-ES"/>
        </w:rPr>
        <w:drawing>
          <wp:anchor distT="0" distB="0" distL="114300" distR="114300" simplePos="0" relativeHeight="251658240" behindDoc="1" locked="0" layoutInCell="1" allowOverlap="1" wp14:anchorId="4533C114" wp14:editId="48992D2C">
            <wp:simplePos x="0" y="0"/>
            <wp:positionH relativeFrom="margin">
              <wp:align>right</wp:align>
            </wp:positionH>
            <wp:positionV relativeFrom="paragraph">
              <wp:posOffset>8255</wp:posOffset>
            </wp:positionV>
            <wp:extent cx="2715260" cy="786765"/>
            <wp:effectExtent l="0" t="0" r="8890" b="0"/>
            <wp:wrapSquare wrapText="bothSides"/>
            <wp:docPr id="1589439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3947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5260" cy="786765"/>
                    </a:xfrm>
                    <a:prstGeom prst="rect">
                      <a:avLst/>
                    </a:prstGeom>
                  </pic:spPr>
                </pic:pic>
              </a:graphicData>
            </a:graphic>
            <wp14:sizeRelH relativeFrom="page">
              <wp14:pctWidth>0</wp14:pctWidth>
            </wp14:sizeRelH>
            <wp14:sizeRelV relativeFrom="page">
              <wp14:pctHeight>0</wp14:pctHeight>
            </wp14:sizeRelV>
          </wp:anchor>
        </w:drawing>
      </w:r>
      <w:r w:rsidR="00512CFA" w:rsidRPr="00777292">
        <w:rPr>
          <w:rFonts w:ascii="Verdana" w:eastAsia="Calibri" w:hAnsi="Verdana" w:cs="Arial"/>
          <w:lang w:val="es-ES" w:eastAsia="es-ES"/>
        </w:rPr>
        <w:t>Señor</w:t>
      </w:r>
    </w:p>
    <w:p w14:paraId="05399148" w14:textId="5088F98D" w:rsidR="00512CFA" w:rsidRPr="006B694D" w:rsidRDefault="008B6CB8" w:rsidP="00512CFA">
      <w:pPr>
        <w:spacing w:after="0"/>
        <w:rPr>
          <w:rFonts w:ascii="Verdana" w:eastAsia="Calibri" w:hAnsi="Verdana" w:cs="Arial"/>
          <w:b/>
          <w:bCs/>
          <w:lang w:val="es-ES" w:eastAsia="es-ES"/>
        </w:rPr>
      </w:pPr>
      <w:r>
        <w:rPr>
          <w:rFonts w:ascii="Verdana" w:eastAsia="Calibri" w:hAnsi="Verdana" w:cs="Arial"/>
          <w:b/>
          <w:bCs/>
          <w:lang w:val="es-ES" w:eastAsia="es-ES"/>
        </w:rPr>
        <w:t>Gustavo Adolfo Martínez Badillo</w:t>
      </w:r>
      <w:r w:rsidRPr="008B6CB8">
        <w:rPr>
          <w:noProof/>
        </w:rPr>
        <w:t xml:space="preserve"> </w:t>
      </w:r>
    </w:p>
    <w:p w14:paraId="0C8730B4" w14:textId="38A13555" w:rsidR="00512CFA" w:rsidRPr="006B694D" w:rsidRDefault="008B6CB8" w:rsidP="00512CFA">
      <w:pPr>
        <w:spacing w:after="0"/>
        <w:rPr>
          <w:rStyle w:val="Hipervnculo"/>
          <w:rFonts w:ascii="Verdana" w:hAnsi="Verdana"/>
          <w:color w:val="ED7D31" w:themeColor="accent2"/>
        </w:rPr>
      </w:pPr>
      <w:r>
        <w:rPr>
          <w:rFonts w:ascii="Verdana" w:hAnsi="Verdana"/>
        </w:rPr>
        <w:t>Martinezbadillo2018@gmail.com</w:t>
      </w:r>
    </w:p>
    <w:p w14:paraId="3964300C" w14:textId="2D8AFE12" w:rsidR="00512CFA" w:rsidRDefault="00512CFA" w:rsidP="00512CFA">
      <w:pPr>
        <w:spacing w:after="0"/>
        <w:rPr>
          <w:rFonts w:ascii="Verdana" w:eastAsia="Calibri" w:hAnsi="Verdana" w:cs="Arial"/>
          <w:lang w:eastAsia="es-ES"/>
        </w:rPr>
      </w:pPr>
      <w:r>
        <w:rPr>
          <w:rFonts w:ascii="Verdana" w:eastAsia="Calibri" w:hAnsi="Verdana" w:cs="Arial"/>
          <w:lang w:eastAsia="es-ES"/>
        </w:rPr>
        <w:t>Bogotá, Cundinamarca</w:t>
      </w:r>
    </w:p>
    <w:p w14:paraId="14D65E58" w14:textId="65ACAD80" w:rsidR="007A5381" w:rsidRPr="00777292" w:rsidRDefault="007A5381" w:rsidP="001B6C7C">
      <w:pPr>
        <w:spacing w:after="0"/>
        <w:rPr>
          <w:rFonts w:ascii="Verdana" w:eastAsia="Calibri" w:hAnsi="Verdana" w:cs="Arial"/>
          <w:lang w:eastAsia="es-ES"/>
        </w:rPr>
      </w:pP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100"/>
      </w:tblGrid>
      <w:tr w:rsidR="001B6C7C" w:rsidRPr="00777292" w14:paraId="085D21A1" w14:textId="77777777">
        <w:trPr>
          <w:trHeight w:val="190"/>
        </w:trPr>
        <w:tc>
          <w:tcPr>
            <w:tcW w:w="2689" w:type="dxa"/>
          </w:tcPr>
          <w:p w14:paraId="2CE989D5" w14:textId="77777777" w:rsidR="001B6C7C" w:rsidRPr="00777292" w:rsidRDefault="001B6C7C">
            <w:pPr>
              <w:jc w:val="both"/>
              <w:rPr>
                <w:rFonts w:ascii="Verdana" w:eastAsia="Calibri" w:hAnsi="Verdana" w:cs="Arial"/>
                <w:b/>
                <w:bCs/>
                <w:lang w:eastAsia="es-ES_tradnl"/>
              </w:rPr>
            </w:pPr>
          </w:p>
        </w:tc>
        <w:tc>
          <w:tcPr>
            <w:tcW w:w="6100" w:type="dxa"/>
          </w:tcPr>
          <w:p w14:paraId="16596E46" w14:textId="18CE1CBC" w:rsidR="001B6C7C" w:rsidRPr="00777292" w:rsidRDefault="001B6C7C">
            <w:pPr>
              <w:jc w:val="both"/>
              <w:rPr>
                <w:rFonts w:ascii="Verdana" w:eastAsia="Calibri" w:hAnsi="Verdana" w:cs="Arial"/>
                <w:b/>
                <w:bCs/>
                <w:lang w:eastAsia="es-ES"/>
              </w:rPr>
            </w:pPr>
            <w:r w:rsidRPr="00777292">
              <w:rPr>
                <w:rFonts w:ascii="Verdana" w:eastAsia="Calibri" w:hAnsi="Verdana" w:cs="Arial"/>
                <w:b/>
                <w:bCs/>
                <w:lang w:eastAsia="es-ES"/>
              </w:rPr>
              <w:t xml:space="preserve">Concepto C- </w:t>
            </w:r>
            <w:r w:rsidR="007A5381">
              <w:rPr>
                <w:rFonts w:ascii="Verdana" w:eastAsia="Calibri" w:hAnsi="Verdana" w:cs="Arial"/>
                <w:b/>
                <w:bCs/>
                <w:lang w:eastAsia="es-ES"/>
              </w:rPr>
              <w:t>5</w:t>
            </w:r>
            <w:r w:rsidR="008B6CB8">
              <w:rPr>
                <w:rFonts w:ascii="Verdana" w:eastAsia="Calibri" w:hAnsi="Verdana" w:cs="Arial"/>
                <w:b/>
                <w:bCs/>
                <w:lang w:eastAsia="es-ES"/>
              </w:rPr>
              <w:t>34</w:t>
            </w:r>
            <w:r w:rsidRPr="00777292">
              <w:rPr>
                <w:rFonts w:ascii="Verdana" w:eastAsia="Calibri" w:hAnsi="Verdana" w:cs="Arial"/>
                <w:b/>
                <w:bCs/>
                <w:lang w:eastAsia="es-ES"/>
              </w:rPr>
              <w:t xml:space="preserve"> de 2026</w:t>
            </w:r>
          </w:p>
          <w:p w14:paraId="7FE82840" w14:textId="77777777" w:rsidR="001B6C7C" w:rsidRPr="00777292" w:rsidRDefault="001B6C7C">
            <w:pPr>
              <w:jc w:val="both"/>
              <w:rPr>
                <w:rFonts w:ascii="Verdana" w:eastAsia="Calibri" w:hAnsi="Verdana" w:cs="Arial"/>
                <w:b/>
                <w:bCs/>
                <w:lang w:eastAsia="es-ES"/>
              </w:rPr>
            </w:pPr>
          </w:p>
        </w:tc>
      </w:tr>
      <w:tr w:rsidR="001B6C7C" w:rsidRPr="00777292" w14:paraId="63A5AB9D" w14:textId="77777777">
        <w:trPr>
          <w:trHeight w:val="884"/>
        </w:trPr>
        <w:tc>
          <w:tcPr>
            <w:tcW w:w="2689" w:type="dxa"/>
          </w:tcPr>
          <w:p w14:paraId="77DFD30F" w14:textId="77777777" w:rsidR="001B6C7C" w:rsidRPr="00777292" w:rsidRDefault="001B6C7C" w:rsidP="001B6C7C">
            <w:pPr>
              <w:jc w:val="both"/>
              <w:rPr>
                <w:rFonts w:ascii="Verdana" w:eastAsia="Calibri" w:hAnsi="Verdana" w:cs="Arial"/>
                <w:lang w:eastAsia="es-ES_tradnl"/>
              </w:rPr>
            </w:pPr>
            <w:r w:rsidRPr="00777292">
              <w:rPr>
                <w:rFonts w:ascii="Verdana" w:eastAsia="Calibri" w:hAnsi="Verdana" w:cs="Arial"/>
                <w:b/>
                <w:lang w:eastAsia="es-ES_tradnl"/>
              </w:rPr>
              <w:t>Tema:</w:t>
            </w:r>
            <w:r w:rsidRPr="00777292">
              <w:rPr>
                <w:rFonts w:ascii="Verdana" w:eastAsia="Calibri" w:hAnsi="Verdana" w:cs="Arial"/>
                <w:lang w:eastAsia="es-ES_tradnl"/>
              </w:rPr>
              <w:t xml:space="preserve">                   </w:t>
            </w:r>
          </w:p>
        </w:tc>
        <w:tc>
          <w:tcPr>
            <w:tcW w:w="6100" w:type="dxa"/>
          </w:tcPr>
          <w:p w14:paraId="109EE18A" w14:textId="77777777" w:rsidR="007A5381" w:rsidRPr="001B3C5D" w:rsidRDefault="007A5381" w:rsidP="007A5381">
            <w:pPr>
              <w:widowControl w:val="0"/>
              <w:autoSpaceDE w:val="0"/>
              <w:autoSpaceDN w:val="0"/>
              <w:jc w:val="both"/>
              <w:rPr>
                <w:rFonts w:ascii="Verdana" w:eastAsia="Calibri" w:hAnsi="Verdana" w:cs="Times New Roman"/>
                <w:lang w:val="es-ES"/>
              </w:rPr>
            </w:pPr>
            <w:r w:rsidRPr="001B3C5D">
              <w:rPr>
                <w:rFonts w:ascii="Verdana" w:eastAsia="Calibri" w:hAnsi="Verdana" w:cs="Arial"/>
                <w:lang w:val="es-ES_tradnl"/>
              </w:rPr>
              <w:t xml:space="preserve">DOCUMENTOS TIPO – Fundamento normativo – Obligatoriedad / DOCUMENTOS TIPO – Adopción – Implementación / DOCUMENTOS TIPO – Sectores – Vigentes / DOCUMENTOS TIPO – Colombia Compra Eficiente – Facultad de estandarización / </w:t>
            </w:r>
            <w:r w:rsidRPr="001B3C5D">
              <w:rPr>
                <w:rFonts w:ascii="Verdana" w:eastAsia="Calibri" w:hAnsi="Verdana" w:cs="Times New Roman"/>
                <w:lang w:val="es-ES"/>
              </w:rPr>
              <w:t>DOCUMENTOS TIPO – Inalterabilidad – Alcance / DECRETO 287 DE 2026 – Incidencia – Documentos tipo / DECRETO 287 DE 2026 – Documentos tipo – Licitación Pública – Selección abreviada de menor cuantía – Concurso de méritos – Requisitos habilitantes / DECRETO 287 DE 2026 – Documentos tipo – Licitación Pública – Concurso de méritos – Factores de evaluación / DECRETO 287 DE 2026 – Documentos tipo – Ejecución contractual / DOCUMENTOS TIPO – Decreto 287 de 2026 – Aplicación / DOCUMENTOS TIPO – Decreto 287 de 2026 – Aplicación – Necesidad de modificación – Agencia Nacional de Contratación Pública / DOCUMENTOS TIPO – Decreto 287 de 2026 – Modificación – Colombia Compra Eficiente</w:t>
            </w:r>
          </w:p>
          <w:p w14:paraId="34C0CDD8" w14:textId="0BEFBA74" w:rsidR="007A5381" w:rsidRPr="00777292" w:rsidRDefault="007A5381" w:rsidP="007A5381">
            <w:pPr>
              <w:contextualSpacing/>
              <w:jc w:val="both"/>
              <w:rPr>
                <w:rFonts w:ascii="Verdana" w:eastAsia="Calibri" w:hAnsi="Verdana" w:cs="Arial"/>
                <w:lang w:eastAsia="es-ES"/>
              </w:rPr>
            </w:pPr>
          </w:p>
        </w:tc>
      </w:tr>
      <w:tr w:rsidR="001B6C7C" w:rsidRPr="00777292" w14:paraId="18649ABC" w14:textId="77777777">
        <w:tc>
          <w:tcPr>
            <w:tcW w:w="2689" w:type="dxa"/>
          </w:tcPr>
          <w:p w14:paraId="65B57F33" w14:textId="77777777" w:rsidR="001B6C7C" w:rsidRPr="00777292" w:rsidRDefault="001B6C7C">
            <w:pPr>
              <w:jc w:val="both"/>
              <w:rPr>
                <w:rFonts w:ascii="Verdana" w:eastAsia="Calibri" w:hAnsi="Verdana" w:cs="Arial"/>
                <w:b/>
                <w:lang w:eastAsia="es-ES_tradnl"/>
              </w:rPr>
            </w:pPr>
            <w:r w:rsidRPr="00777292">
              <w:rPr>
                <w:rFonts w:ascii="Verdana" w:eastAsia="Calibri" w:hAnsi="Verdana" w:cs="Arial"/>
                <w:b/>
                <w:lang w:eastAsia="es-ES_tradnl"/>
              </w:rPr>
              <w:t>Radicación:</w:t>
            </w:r>
            <w:r w:rsidRPr="00777292">
              <w:rPr>
                <w:rFonts w:ascii="Verdana" w:eastAsia="Calibri" w:hAnsi="Verdana" w:cs="Arial"/>
                <w:lang w:eastAsia="es-ES_tradnl"/>
              </w:rPr>
              <w:t xml:space="preserve">               </w:t>
            </w:r>
          </w:p>
        </w:tc>
        <w:tc>
          <w:tcPr>
            <w:tcW w:w="6100" w:type="dxa"/>
          </w:tcPr>
          <w:p w14:paraId="7EDDA735" w14:textId="528FE59C" w:rsidR="001B6C7C" w:rsidRPr="00777292" w:rsidRDefault="001B6C7C">
            <w:pPr>
              <w:jc w:val="both"/>
              <w:rPr>
                <w:rFonts w:ascii="Verdana" w:eastAsia="Calibri" w:hAnsi="Verdana" w:cs="Arial"/>
                <w:lang w:eastAsia="es-ES_tradnl"/>
              </w:rPr>
            </w:pPr>
            <w:r w:rsidRPr="00777292">
              <w:rPr>
                <w:rFonts w:ascii="Verdana" w:eastAsia="Calibri" w:hAnsi="Verdana" w:cs="Arial"/>
                <w:lang w:eastAsia="es-ES_tradnl"/>
              </w:rPr>
              <w:t xml:space="preserve">Respuesta a consulta con radicado </w:t>
            </w:r>
            <w:r w:rsidR="008B6CB8" w:rsidRPr="008B6CB8">
              <w:rPr>
                <w:rFonts w:ascii="Verdana" w:eastAsia="Calibri" w:hAnsi="Verdana" w:cs="Arial"/>
                <w:lang w:eastAsia="es-ES_tradnl"/>
              </w:rPr>
              <w:t>1_2026_03_31_004453</w:t>
            </w:r>
          </w:p>
        </w:tc>
      </w:tr>
    </w:tbl>
    <w:p w14:paraId="170CD5C6" w14:textId="77777777" w:rsidR="001B6C7C" w:rsidRPr="00206556" w:rsidRDefault="001B6C7C" w:rsidP="001B6C7C">
      <w:pPr>
        <w:tabs>
          <w:tab w:val="left" w:pos="1520"/>
        </w:tabs>
        <w:spacing w:after="0" w:line="276" w:lineRule="auto"/>
        <w:jc w:val="both"/>
        <w:rPr>
          <w:rFonts w:ascii="Verdana" w:eastAsia="Calibri" w:hAnsi="Verdana" w:cs="Arial"/>
          <w:color w:val="ED7D31" w:themeColor="accent2"/>
          <w:sz w:val="20"/>
          <w:szCs w:val="20"/>
          <w:lang w:val="es-ES" w:eastAsia="es-ES"/>
        </w:rPr>
      </w:pPr>
    </w:p>
    <w:p w14:paraId="7B20ECE9" w14:textId="77777777" w:rsidR="008D5774" w:rsidRPr="00206556" w:rsidRDefault="008D5774" w:rsidP="008D5774">
      <w:pPr>
        <w:spacing w:after="0" w:line="276" w:lineRule="auto"/>
        <w:jc w:val="both"/>
        <w:rPr>
          <w:rFonts w:ascii="Verdana" w:eastAsia="Calibri" w:hAnsi="Verdana" w:cs="Arial"/>
          <w:color w:val="ED7D31" w:themeColor="accent2"/>
          <w:lang w:val="es-ES" w:eastAsia="es-ES"/>
        </w:rPr>
      </w:pPr>
    </w:p>
    <w:p w14:paraId="392D9012" w14:textId="11923FBA" w:rsidR="008D5774" w:rsidRPr="001B077C" w:rsidRDefault="008D5774" w:rsidP="008D5774">
      <w:pPr>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t>Estimad</w:t>
      </w:r>
      <w:r w:rsidR="008B6CB8">
        <w:rPr>
          <w:rFonts w:ascii="Verdana" w:eastAsia="Calibri" w:hAnsi="Verdana" w:cs="Arial"/>
          <w:lang w:val="es-ES" w:eastAsia="es-ES"/>
        </w:rPr>
        <w:t>o</w:t>
      </w:r>
      <w:r w:rsidRPr="001B077C">
        <w:rPr>
          <w:rFonts w:ascii="Verdana" w:eastAsia="Calibri" w:hAnsi="Verdana" w:cs="Arial"/>
          <w:lang w:val="es-ES" w:eastAsia="es-ES"/>
        </w:rPr>
        <w:t xml:space="preserve"> Señor</w:t>
      </w:r>
      <w:r w:rsidR="001B6C7C" w:rsidRPr="001B077C">
        <w:rPr>
          <w:rFonts w:ascii="Verdana" w:eastAsia="Calibri" w:hAnsi="Verdana" w:cs="Arial"/>
          <w:lang w:val="es-ES" w:eastAsia="es-ES"/>
        </w:rPr>
        <w:t xml:space="preserve"> </w:t>
      </w:r>
      <w:r w:rsidR="008B6CB8">
        <w:rPr>
          <w:rFonts w:ascii="Verdana" w:eastAsia="Calibri" w:hAnsi="Verdana" w:cs="Arial"/>
          <w:lang w:val="es-ES" w:eastAsia="es-ES"/>
        </w:rPr>
        <w:t>Martínez</w:t>
      </w:r>
      <w:r w:rsidRPr="001B077C">
        <w:rPr>
          <w:rFonts w:ascii="Verdana" w:eastAsia="Calibri" w:hAnsi="Verdana" w:cs="Arial"/>
          <w:lang w:val="es-ES" w:eastAsia="es-ES"/>
        </w:rPr>
        <w:t>,</w:t>
      </w:r>
    </w:p>
    <w:p w14:paraId="23FCCBE5" w14:textId="77777777" w:rsidR="008D5774" w:rsidRPr="001B077C" w:rsidRDefault="008D5774" w:rsidP="008D5774">
      <w:pPr>
        <w:tabs>
          <w:tab w:val="left" w:pos="3768"/>
        </w:tabs>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tab/>
      </w:r>
    </w:p>
    <w:p w14:paraId="3426E35D" w14:textId="5E72012C" w:rsidR="008D5774" w:rsidRPr="00206556" w:rsidRDefault="008D5774" w:rsidP="008D5774">
      <w:pPr>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t>En ejercicio de la competencia otorgada por los artículos 3, numeral 5º, y 11, numeral 8º, del Decreto Ley 4170 de 2011,</w:t>
      </w:r>
      <w:r w:rsidRPr="001B077C">
        <w:rPr>
          <w:rFonts w:ascii="Verdana" w:eastAsia="Arial MT" w:hAnsi="Verdana" w:cs="Arial MT"/>
          <w:lang w:val="es-ES" w:eastAsia="es-ES"/>
        </w:rPr>
        <w:t xml:space="preserve"> </w:t>
      </w:r>
      <w:r w:rsidRPr="001B077C">
        <w:rPr>
          <w:rFonts w:ascii="Verdana" w:hAnsi="Verdana" w:cs="Arial"/>
          <w:lang w:val="es-ES"/>
        </w:rPr>
        <w:t xml:space="preserve">así como lo establecido en </w:t>
      </w:r>
      <w:r w:rsidR="00995967" w:rsidRPr="001B077C">
        <w:rPr>
          <w:rFonts w:ascii="Verdana" w:hAnsi="Verdana" w:cs="Arial"/>
          <w:lang w:val="es-ES"/>
        </w:rPr>
        <w:t xml:space="preserve">la Resolución 469 de 2025 </w:t>
      </w:r>
      <w:r w:rsidRPr="001B077C">
        <w:rPr>
          <w:rFonts w:ascii="Verdana" w:hAnsi="Verdana" w:cs="Arial"/>
          <w:lang w:val="es-ES"/>
        </w:rPr>
        <w:t xml:space="preserve">expedida por esta Entidad, </w:t>
      </w:r>
      <w:r w:rsidRPr="001B077C">
        <w:rPr>
          <w:rFonts w:ascii="Verdana" w:eastAsia="Calibri" w:hAnsi="Verdana" w:cs="Arial"/>
          <w:lang w:val="es-ES" w:eastAsia="es-ES"/>
        </w:rPr>
        <w:t>la Agencia Nacional de Contratación Pública – Colombia Compra Eficiente– responde su solicitud de consulta de fecha</w:t>
      </w:r>
      <w:r w:rsidR="007A5381" w:rsidRPr="001B077C">
        <w:rPr>
          <w:rFonts w:ascii="Verdana" w:eastAsia="Calibri" w:hAnsi="Verdana" w:cs="Arial"/>
          <w:lang w:val="es-ES" w:eastAsia="es-ES"/>
        </w:rPr>
        <w:t xml:space="preserve"> </w:t>
      </w:r>
      <w:r w:rsidR="008B6CB8">
        <w:rPr>
          <w:rFonts w:ascii="Verdana" w:eastAsia="Calibri" w:hAnsi="Verdana" w:cs="Arial"/>
          <w:lang w:val="es-ES" w:eastAsia="es-ES"/>
        </w:rPr>
        <w:t>31</w:t>
      </w:r>
      <w:r w:rsidRPr="001B077C">
        <w:rPr>
          <w:rFonts w:ascii="Verdana" w:eastAsia="Calibri" w:hAnsi="Verdana" w:cs="Arial"/>
          <w:lang w:val="es-ES" w:eastAsia="es-ES"/>
        </w:rPr>
        <w:t xml:space="preserve"> de </w:t>
      </w:r>
      <w:r w:rsidR="008B6CB8">
        <w:rPr>
          <w:rFonts w:ascii="Verdana" w:eastAsia="Calibri" w:hAnsi="Verdana" w:cs="Arial"/>
          <w:lang w:val="es-ES" w:eastAsia="es-ES"/>
        </w:rPr>
        <w:t>marzo</w:t>
      </w:r>
      <w:r w:rsidRPr="001B077C">
        <w:rPr>
          <w:rFonts w:ascii="Verdana" w:eastAsia="Calibri" w:hAnsi="Verdana" w:cs="Arial"/>
          <w:lang w:val="es-ES" w:eastAsia="es-ES"/>
        </w:rPr>
        <w:t xml:space="preserve"> de 202</w:t>
      </w:r>
      <w:r w:rsidR="0006693F" w:rsidRPr="001B077C">
        <w:rPr>
          <w:rFonts w:ascii="Verdana" w:eastAsia="Calibri" w:hAnsi="Verdana" w:cs="Arial"/>
          <w:lang w:val="es-ES" w:eastAsia="es-ES"/>
        </w:rPr>
        <w:t>6</w:t>
      </w:r>
      <w:r w:rsidRPr="001B077C">
        <w:rPr>
          <w:rFonts w:ascii="Verdana" w:eastAsia="Calibri" w:hAnsi="Verdana" w:cs="Arial"/>
          <w:lang w:val="es-ES" w:eastAsia="es-ES"/>
        </w:rPr>
        <w:t>, en</w:t>
      </w:r>
      <w:r w:rsidRPr="00206556">
        <w:rPr>
          <w:rFonts w:ascii="Verdana" w:eastAsia="Calibri" w:hAnsi="Verdana" w:cs="Arial"/>
          <w:lang w:val="es-ES" w:eastAsia="es-ES"/>
        </w:rPr>
        <w:t xml:space="preserve"> la cual manifiesta lo siguiente: </w:t>
      </w:r>
    </w:p>
    <w:p w14:paraId="64073759" w14:textId="0A86B783" w:rsidR="009948E7" w:rsidRDefault="009948E7" w:rsidP="00346FE0">
      <w:pPr>
        <w:spacing w:before="120" w:after="120" w:line="240" w:lineRule="auto"/>
        <w:ind w:right="709"/>
        <w:contextualSpacing/>
        <w:jc w:val="both"/>
        <w:rPr>
          <w:rFonts w:ascii="Verdana" w:eastAsia="Century Gothic" w:hAnsi="Verdana" w:cs="Century Gothic"/>
          <w:i/>
          <w:iCs/>
          <w:sz w:val="20"/>
          <w:szCs w:val="20"/>
          <w:lang w:val="es-ES"/>
        </w:rPr>
      </w:pPr>
    </w:p>
    <w:p w14:paraId="448C66CB" w14:textId="4D35EFD4" w:rsidR="006C4B2C" w:rsidRDefault="008B6CB8" w:rsidP="00512CFA">
      <w:pPr>
        <w:spacing w:before="120" w:after="120" w:line="240" w:lineRule="auto"/>
        <w:ind w:left="709" w:right="709"/>
        <w:contextualSpacing/>
        <w:jc w:val="both"/>
        <w:rPr>
          <w:rFonts w:ascii="Verdana" w:eastAsia="Century Gothic" w:hAnsi="Verdana" w:cs="Century Gothic"/>
          <w:i/>
          <w:iCs/>
          <w:sz w:val="20"/>
          <w:szCs w:val="20"/>
          <w:lang w:val="es-ES"/>
        </w:rPr>
      </w:pPr>
      <w:r>
        <w:rPr>
          <w:rFonts w:ascii="Verdana" w:eastAsia="Century Gothic" w:hAnsi="Verdana" w:cs="Century Gothic"/>
          <w:i/>
          <w:iCs/>
          <w:sz w:val="20"/>
          <w:szCs w:val="20"/>
          <w:lang w:val="es-ES"/>
        </w:rPr>
        <w:t>“</w:t>
      </w:r>
      <w:r w:rsidRPr="008B6CB8">
        <w:rPr>
          <w:rFonts w:ascii="Verdana" w:eastAsia="Century Gothic" w:hAnsi="Verdana" w:cs="Century Gothic"/>
          <w:i/>
          <w:iCs/>
          <w:sz w:val="20"/>
          <w:szCs w:val="20"/>
        </w:rPr>
        <w:t>En atención a la entrada en vigencia del decreto 0287 es pertinente realizar la siguiente consulta relacionada con los criterios de ponderación establecidos en el Documento Tipo de Infraestructura Social, teniendo en cuenta que estos difieren de los señalados en el Decreto 0287 de 2026.En este sentido, de manera atenta solicitamos se nos informe si actualmente se encuentra en proceso de actualización una nueva versión de los pliegos tipo que incorpore las disposiciones del mencionado decreto, o si, en su defecto, las entidades cuentan con la facultad de ajustar y/o modificar los puntajes de ponderación en los procesos de selección, con el fin de armonizarlos con la normativa vigente. Lo anterior, con el propósito de garantizar la correcta aplicación del marco normativo y la estructuración adecuada de los procesos contractuales adelantados por la entidad.</w:t>
      </w:r>
      <w:r w:rsidR="00512CFA" w:rsidRPr="00512CFA">
        <w:rPr>
          <w:rFonts w:ascii="Verdana" w:eastAsia="Century Gothic" w:hAnsi="Verdana" w:cs="Century Gothic"/>
          <w:i/>
          <w:iCs/>
          <w:sz w:val="20"/>
          <w:szCs w:val="20"/>
          <w:lang w:val="es-ES"/>
        </w:rPr>
        <w:t>”</w:t>
      </w:r>
    </w:p>
    <w:p w14:paraId="15A62914" w14:textId="77777777" w:rsidR="007A5381" w:rsidRPr="00206556" w:rsidRDefault="007A5381" w:rsidP="007A5381">
      <w:pPr>
        <w:spacing w:before="120" w:after="120" w:line="240" w:lineRule="auto"/>
        <w:ind w:left="709" w:right="709"/>
        <w:contextualSpacing/>
        <w:jc w:val="both"/>
        <w:rPr>
          <w:rFonts w:ascii="Verdana" w:eastAsia="Century Gothic" w:hAnsi="Verdana" w:cs="Century Gothic"/>
          <w:i/>
          <w:iCs/>
          <w:sz w:val="20"/>
          <w:szCs w:val="20"/>
          <w:lang w:val="es-ES"/>
        </w:rPr>
      </w:pPr>
    </w:p>
    <w:p w14:paraId="07A0E538" w14:textId="6BA45CFF" w:rsidR="008D5774" w:rsidRPr="00206556" w:rsidRDefault="008D5774" w:rsidP="008D5774">
      <w:pPr>
        <w:spacing w:after="120" w:line="276" w:lineRule="auto"/>
        <w:ind w:firstLine="708"/>
        <w:jc w:val="both"/>
        <w:rPr>
          <w:rFonts w:ascii="Verdana" w:eastAsia="Calibri" w:hAnsi="Verdana" w:cs="Arial"/>
          <w:lang w:val="es-ES" w:eastAsia="es-ES"/>
        </w:rPr>
      </w:pPr>
      <w:r w:rsidRPr="00206556">
        <w:rPr>
          <w:rFonts w:ascii="Verdana" w:eastAsia="Calibri" w:hAnsi="Verdana" w:cs="Arial"/>
          <w:lang w:val="es-ES" w:eastAsia="es-ES"/>
        </w:rPr>
        <w:t>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w:t>
      </w:r>
      <w:r w:rsidR="008A5E24">
        <w:rPr>
          <w:rFonts w:ascii="Verdana" w:eastAsia="Calibri" w:hAnsi="Verdana" w:cs="Arial"/>
          <w:lang w:val="es-ES" w:eastAsia="es-ES"/>
        </w:rPr>
        <w:t xml:space="preserve"> al</w:t>
      </w:r>
      <w:r w:rsidRPr="00206556">
        <w:rPr>
          <w:rFonts w:ascii="Verdana" w:eastAsia="Calibri" w:hAnsi="Verdana" w:cs="Arial"/>
          <w:lang w:val="es-ES" w:eastAsia="es-ES"/>
        </w:rPr>
        <w:t xml:space="preserve"> </w:t>
      </w:r>
      <w:r w:rsidR="008A5E24">
        <w:rPr>
          <w:rFonts w:ascii="Verdana" w:hAnsi="Verdana"/>
        </w:rPr>
        <w:t>Estatuto General de Contratación Pública</w:t>
      </w:r>
      <w:r w:rsidR="008A5E24" w:rsidRPr="00206556">
        <w:rPr>
          <w:rFonts w:ascii="Verdana" w:eastAsia="Calibri" w:hAnsi="Verdana" w:cs="Arial"/>
          <w:lang w:val="es-ES" w:eastAsia="es-ES"/>
        </w:rPr>
        <w:t xml:space="preserve"> </w:t>
      </w:r>
      <w:r w:rsidRPr="00206556">
        <w:rPr>
          <w:rFonts w:ascii="Verdana" w:eastAsia="Calibri" w:hAnsi="Verdana" w:cs="Arial"/>
          <w:lang w:val="es-ES" w:eastAsia="es-ES"/>
        </w:rPr>
        <w:t xml:space="preserve">o de los demás participantes de la contratación pública. Esta competencia de interpretación de normas generales, por definición, no puede extenderse a la resolución de controversias, ni a brindar asesorías sobre casos puntuales.  </w:t>
      </w:r>
      <w:r w:rsidRPr="00206556">
        <w:rPr>
          <w:rFonts w:ascii="Verdana" w:hAnsi="Verdana"/>
          <w:lang w:val="es-ES"/>
        </w:rPr>
        <w:tab/>
      </w:r>
    </w:p>
    <w:p w14:paraId="428652EF" w14:textId="77777777" w:rsidR="008D5774" w:rsidRPr="00206556" w:rsidRDefault="008D5774" w:rsidP="008D5774">
      <w:pPr>
        <w:spacing w:after="0" w:line="276" w:lineRule="auto"/>
        <w:ind w:firstLine="709"/>
        <w:jc w:val="both"/>
        <w:rPr>
          <w:rFonts w:ascii="Verdana" w:eastAsia="Calibri" w:hAnsi="Verdana" w:cs="Arial"/>
          <w:lang w:val="es-ES" w:eastAsia="es-ES"/>
        </w:rPr>
      </w:pPr>
      <w:r w:rsidRPr="00206556">
        <w:rPr>
          <w:rFonts w:ascii="Verdana" w:eastAsia="Calibri" w:hAnsi="Verdana" w:cs="Arial"/>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sobre las normas generales relacionadas con el problema jurídico de su consulta. </w:t>
      </w:r>
    </w:p>
    <w:p w14:paraId="36288081" w14:textId="77777777" w:rsidR="008D5774" w:rsidRPr="00206556" w:rsidRDefault="008D5774" w:rsidP="008D5774">
      <w:pPr>
        <w:spacing w:after="0" w:line="276" w:lineRule="auto"/>
        <w:ind w:firstLine="709"/>
        <w:jc w:val="both"/>
        <w:rPr>
          <w:rFonts w:ascii="Verdana" w:eastAsia="Calibri" w:hAnsi="Verdana" w:cs="Arial"/>
          <w:lang w:val="es-ES" w:eastAsia="es-ES"/>
        </w:rPr>
      </w:pPr>
    </w:p>
    <w:p w14:paraId="4AD69AFF" w14:textId="77777777" w:rsidR="008D5774" w:rsidRPr="00206556" w:rsidRDefault="008D5774" w:rsidP="008D5774">
      <w:pPr>
        <w:tabs>
          <w:tab w:val="left" w:pos="142"/>
          <w:tab w:val="left" w:pos="284"/>
        </w:tabs>
        <w:spacing w:after="0" w:line="276" w:lineRule="auto"/>
        <w:contextualSpacing/>
        <w:jc w:val="both"/>
        <w:rPr>
          <w:rFonts w:ascii="Verdana" w:eastAsia="Century Gothic" w:hAnsi="Verdana" w:cs="Century Gothic"/>
          <w:b/>
          <w:lang w:val="es-ES"/>
        </w:rPr>
      </w:pPr>
      <w:r w:rsidRPr="00206556">
        <w:rPr>
          <w:rFonts w:ascii="Verdana" w:eastAsia="Century Gothic" w:hAnsi="Verdana" w:cs="Century Gothic"/>
          <w:b/>
          <w:lang w:val="es-ES"/>
        </w:rPr>
        <w:t>1. Problema planteado:</w:t>
      </w:r>
    </w:p>
    <w:p w14:paraId="26050314" w14:textId="77777777" w:rsidR="008D5774" w:rsidRDefault="008D5774" w:rsidP="008D5774">
      <w:pPr>
        <w:tabs>
          <w:tab w:val="left" w:pos="426"/>
        </w:tabs>
        <w:spacing w:after="0" w:line="276" w:lineRule="auto"/>
        <w:jc w:val="both"/>
        <w:rPr>
          <w:rFonts w:ascii="Verdana" w:eastAsia="Century Gothic" w:hAnsi="Verdana" w:cs="Century Gothic"/>
          <w:color w:val="ED7D31" w:themeColor="accent2"/>
          <w:lang w:val="es-ES"/>
        </w:rPr>
      </w:pPr>
    </w:p>
    <w:p w14:paraId="5622DE7E" w14:textId="77777777" w:rsidR="008B6CB8" w:rsidRPr="00206556" w:rsidRDefault="008B6CB8" w:rsidP="008D5774">
      <w:pPr>
        <w:tabs>
          <w:tab w:val="left" w:pos="426"/>
        </w:tabs>
        <w:spacing w:after="0" w:line="276" w:lineRule="auto"/>
        <w:jc w:val="both"/>
        <w:rPr>
          <w:rFonts w:ascii="Verdana" w:eastAsia="Century Gothic" w:hAnsi="Verdana" w:cs="Century Gothic"/>
          <w:color w:val="ED7D31" w:themeColor="accent2"/>
          <w:lang w:val="es-ES"/>
        </w:rPr>
      </w:pPr>
    </w:p>
    <w:p w14:paraId="2953D2F6" w14:textId="293E7215" w:rsidR="008D5774" w:rsidRDefault="008D5774" w:rsidP="008D5774">
      <w:pPr>
        <w:spacing w:after="0" w:line="276" w:lineRule="auto"/>
        <w:jc w:val="both"/>
        <w:rPr>
          <w:rFonts w:ascii="Verdana" w:eastAsia="Century Gothic" w:hAnsi="Verdana" w:cs="Century Gothic"/>
        </w:rPr>
      </w:pPr>
      <w:r w:rsidRPr="00206556">
        <w:rPr>
          <w:rFonts w:ascii="Verdana" w:eastAsia="Century Gothic" w:hAnsi="Verdana" w:cs="Century Gothic"/>
          <w:lang w:val="es-ES"/>
        </w:rPr>
        <w:t xml:space="preserve">De acuerdo con el contenido de su solicitud, esta Agencia resolverá el siguiente problema jurídico: </w:t>
      </w:r>
      <w:r w:rsidR="00512CFA" w:rsidRPr="00512CFA">
        <w:rPr>
          <w:rFonts w:ascii="Verdana" w:eastAsia="Century Gothic" w:hAnsi="Verdana" w:cs="Century Gothic"/>
        </w:rPr>
        <w:t>¿</w:t>
      </w:r>
      <w:r w:rsidR="008B6CB8" w:rsidRPr="008B6CB8">
        <w:rPr>
          <w:rFonts w:ascii="Verdana" w:eastAsia="Century Gothic" w:hAnsi="Verdana" w:cs="Century Gothic"/>
        </w:rPr>
        <w:t>Los documentos tipo de Infraestructura Social se encuentran en proceso de actualización para incorporar los criterios de ponderación del</w:t>
      </w:r>
      <w:r w:rsidR="008B6CB8">
        <w:rPr>
          <w:rFonts w:ascii="Verdana" w:eastAsia="Century Gothic" w:hAnsi="Verdana" w:cs="Century Gothic"/>
        </w:rPr>
        <w:t xml:space="preserve"> </w:t>
      </w:r>
      <w:r w:rsidR="008B6CB8" w:rsidRPr="008B6CB8">
        <w:rPr>
          <w:rFonts w:ascii="Verdana" w:eastAsia="Century Gothic" w:hAnsi="Verdana" w:cs="Century Gothic"/>
        </w:rPr>
        <w:lastRenderedPageBreak/>
        <w:t>Decreto 287 de 2026, o en su defecto las entidades están facultadas para ajustar los puntajes en sus procesos de selección con el fin de armonizarlos con dicho decreto?</w:t>
      </w:r>
    </w:p>
    <w:p w14:paraId="0FD0DFCB" w14:textId="77777777" w:rsidR="008D5774" w:rsidRPr="00206556" w:rsidRDefault="008D5774" w:rsidP="008D5774">
      <w:pPr>
        <w:spacing w:after="0" w:line="276" w:lineRule="auto"/>
        <w:jc w:val="both"/>
        <w:rPr>
          <w:rFonts w:ascii="Verdana" w:eastAsia="Century Gothic" w:hAnsi="Verdana" w:cs="Century Gothic"/>
          <w:color w:val="ED7D31" w:themeColor="accent2"/>
        </w:rPr>
      </w:pPr>
    </w:p>
    <w:p w14:paraId="5B26199B"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lang w:val="es-ES"/>
        </w:rPr>
      </w:pPr>
      <w:r w:rsidRPr="00206556">
        <w:rPr>
          <w:rFonts w:ascii="Verdana" w:eastAsia="Century Gothic" w:hAnsi="Verdana" w:cs="Century Gothic"/>
          <w:b/>
          <w:lang w:val="es-ES"/>
        </w:rPr>
        <w:t>2. Respuesta:</w:t>
      </w:r>
    </w:p>
    <w:p w14:paraId="59BA1073" w14:textId="77777777" w:rsidR="00E54F30" w:rsidRPr="00206556" w:rsidRDefault="00E54F30" w:rsidP="00E54F30">
      <w:pPr>
        <w:tabs>
          <w:tab w:val="left" w:pos="142"/>
          <w:tab w:val="left" w:pos="284"/>
        </w:tabs>
        <w:spacing w:after="0" w:line="276" w:lineRule="auto"/>
        <w:jc w:val="both"/>
        <w:rPr>
          <w:rFonts w:ascii="Verdana" w:eastAsia="Century Gothic" w:hAnsi="Verdana" w:cs="Century Gothic"/>
          <w:b/>
          <w:bCs/>
          <w:color w:val="ED7D31" w:themeColor="accent2"/>
          <w:lang w:val="es-ES"/>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E54F30" w:rsidRPr="00206556" w14:paraId="35A9DBAE" w14:textId="77777777">
        <w:tc>
          <w:tcPr>
            <w:tcW w:w="8828" w:type="dxa"/>
          </w:tcPr>
          <w:p w14:paraId="61FBB1AB" w14:textId="77777777" w:rsidR="007A5381" w:rsidRPr="001B3C5D" w:rsidRDefault="007A5381" w:rsidP="007A5381">
            <w:pPr>
              <w:spacing w:line="276" w:lineRule="auto"/>
              <w:jc w:val="both"/>
              <w:rPr>
                <w:rFonts w:ascii="Aptos" w:eastAsia="Aptos" w:hAnsi="Aptos" w:cs="Times New Roman"/>
                <w:lang w:val="es-MX"/>
              </w:rPr>
            </w:pPr>
            <w:r w:rsidRPr="001B3C5D">
              <w:rPr>
                <w:rFonts w:ascii="Verdana" w:eastAsia="Times New Roman" w:hAnsi="Verdana" w:cs="Arial"/>
                <w:color w:val="000000"/>
                <w:lang w:val="es-ES_tradnl" w:eastAsia="es-ES_tradnl"/>
              </w:rPr>
              <w:t xml:space="preserve">i. </w:t>
            </w:r>
            <w:r w:rsidRPr="001B3C5D">
              <w:rPr>
                <w:rFonts w:ascii="Verdana" w:eastAsia="Aptos" w:hAnsi="Verdana" w:cs="Times New Roman"/>
                <w:lang w:val="es-ES"/>
              </w:rPr>
              <w:t>El artículo 1 de la Ley 2022 de 20202,</w:t>
            </w:r>
            <w:r w:rsidRPr="001B3C5D">
              <w:rPr>
                <w:rFonts w:ascii="Aptos" w:eastAsia="Aptos" w:hAnsi="Aptos" w:cs="Times New Roman"/>
                <w:lang w:val="es-ES"/>
              </w:rPr>
              <w:t xml:space="preserve"> </w:t>
            </w:r>
            <w:r w:rsidRPr="001B3C5D">
              <w:rPr>
                <w:rFonts w:ascii="Verdana" w:eastAsia="Calibri" w:hAnsi="Verdana" w:cs="Arial"/>
                <w:color w:val="000000"/>
                <w:lang w:val="es-MX"/>
              </w:rPr>
              <w:t>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 Así mismo, señala que, 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0FDBD340" w14:textId="77777777" w:rsidR="007A5381" w:rsidRPr="001B3C5D" w:rsidRDefault="007A5381" w:rsidP="007A5381">
            <w:pPr>
              <w:spacing w:before="120" w:after="120" w:line="276" w:lineRule="auto"/>
              <w:ind w:firstLine="360"/>
              <w:jc w:val="both"/>
              <w:rPr>
                <w:rFonts w:ascii="Verdana" w:eastAsia="Calibri" w:hAnsi="Verdana" w:cs="Arial"/>
                <w:color w:val="000000"/>
                <w:lang w:val="es-MX"/>
              </w:rPr>
            </w:pPr>
            <w:r w:rsidRPr="001B3C5D">
              <w:rPr>
                <w:rFonts w:ascii="Verdana" w:eastAsia="Calibri" w:hAnsi="Verdana" w:cs="Arial"/>
                <w:color w:val="000000"/>
                <w:lang w:val="es-MX"/>
              </w:rPr>
              <w:t xml:space="preserve">  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7F4407D3" w14:textId="77777777" w:rsidR="007A5381" w:rsidRPr="001B3C5D" w:rsidRDefault="007A5381" w:rsidP="007A5381">
            <w:pPr>
              <w:spacing w:before="120" w:after="120" w:line="276" w:lineRule="auto"/>
              <w:ind w:firstLine="642"/>
              <w:jc w:val="both"/>
              <w:rPr>
                <w:rFonts w:ascii="Verdana" w:eastAsia="Aptos" w:hAnsi="Verdana" w:cs="Arial"/>
                <w:lang w:val="es-ES"/>
              </w:rPr>
            </w:pPr>
            <w:r w:rsidRPr="001B3C5D">
              <w:rPr>
                <w:rFonts w:ascii="Verdana" w:eastAsia="Calibri" w:hAnsi="Verdana" w:cs="Arial"/>
                <w:color w:val="000000"/>
                <w:lang w:val="es-MX"/>
              </w:rPr>
              <w:t xml:space="preserve">Con la finalidad de realizar un desarrollo armónico y ajustado a la ley que otorga esta competencia, la Agencia Nacional de Contratación Pública expidió la Resolución 160 del 15 de septiembre de 2020 “Por la cual se adopta el procedimiento para implementar los documentos tipo y se define el sistema para su revisión”. Asimismo, con fundamento en dicha Ley, se </w:t>
            </w:r>
            <w:r w:rsidRPr="001B3C5D">
              <w:rPr>
                <w:rFonts w:ascii="Verdana" w:eastAsia="Aptos" w:hAnsi="Verdana" w:cs="Arial"/>
                <w:lang w:val="es-ES"/>
              </w:rPr>
              <w:t xml:space="preserve">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w:t>
            </w:r>
            <w:r w:rsidRPr="001B3C5D">
              <w:rPr>
                <w:rFonts w:ascii="Verdana" w:eastAsia="Aptos" w:hAnsi="Verdana" w:cs="Arial"/>
                <w:lang w:val="es-ES"/>
              </w:rPr>
              <w:lastRenderedPageBreak/>
              <w:t>modalidades de selección de licitación pública, selección abreviada de menor cuantía, mínima cuantía, concurso de méritos y contratación directa.</w:t>
            </w:r>
          </w:p>
          <w:p w14:paraId="6FED3817" w14:textId="77777777" w:rsidR="007A5381" w:rsidRPr="001B3C5D" w:rsidRDefault="007A5381" w:rsidP="007A5381">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 xml:space="preserve">Ahora bien, como se explicó, la Ley 2022 de 2020 facultó a la Agencia Nacional de Contratación Pública – Colombia Compra Eficiente para adoptar documentos tipo. De este modo, la intención del legislador fue otorgarle esta facultad al ente rector del Sistema de Compra Pública. </w:t>
            </w:r>
          </w:p>
          <w:p w14:paraId="7A8DAFBB" w14:textId="77777777" w:rsidR="007A5381" w:rsidRPr="001B3C5D" w:rsidRDefault="007A5381" w:rsidP="007A5381">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Al respecto, la jurisprudencia constitucional ha reconocido a los organismos y a las autoridades que “en la jerarquía administrativa lo suceden al presidente de la República, una cierta competencia regulativa, de carácter residual, accesoria o auxiliar, que los habilita para insertar la voluntad del legislador en las últimas posibilidades de aplicación de la norma general</w:t>
            </w:r>
            <w:r w:rsidRPr="001B3C5D">
              <w:rPr>
                <w:rFonts w:ascii="Verdana" w:eastAsia="Times New Roman" w:hAnsi="Verdana" w:cs="Arial"/>
                <w:i/>
                <w:iCs/>
                <w:vertAlign w:val="superscript"/>
                <w:lang w:eastAsia="es-MX"/>
              </w:rPr>
              <w:footnoteReference w:id="1"/>
            </w:r>
            <w:r w:rsidRPr="001B3C5D">
              <w:rPr>
                <w:rFonts w:ascii="Verdana" w:eastAsia="Times New Roman" w:hAnsi="Verdana" w:cs="Arial"/>
                <w:lang w:eastAsia="es-MX"/>
              </w:rPr>
              <w:t>”</w:t>
            </w:r>
            <w:r w:rsidRPr="001B3C5D">
              <w:rPr>
                <w:rFonts w:ascii="Verdana" w:eastAsia="Times New Roman" w:hAnsi="Verdana" w:cs="Arial"/>
                <w:i/>
                <w:iCs/>
                <w:lang w:eastAsia="es-MX"/>
              </w:rPr>
              <w:t>.</w:t>
            </w:r>
            <w:r w:rsidRPr="001B3C5D">
              <w:rPr>
                <w:rFonts w:ascii="Verdana" w:eastAsia="Times New Roman" w:hAnsi="Verdana" w:cs="Arial"/>
                <w:lang w:eastAsia="es-MX"/>
              </w:rPr>
              <w:t xml:space="preserve"> Además, el Consejo de Estado, Sección Primera, en la Sentencia del 29 de abril de 2015, expediente 6.096, indicó que es posible que ley atribuya facultades reglamentarias a otras autoridades administrativas, particularmente a los ministerios, sin que se entienda disminuida la potestad reglamentaria del presidente de la República</w:t>
            </w:r>
            <w:r w:rsidRPr="001B3C5D">
              <w:rPr>
                <w:rFonts w:ascii="Verdana" w:eastAsia="Times New Roman" w:hAnsi="Verdana" w:cs="Arial"/>
                <w:vertAlign w:val="superscript"/>
                <w:lang w:eastAsia="es-MX"/>
              </w:rPr>
              <w:footnoteReference w:id="2"/>
            </w:r>
            <w:r w:rsidRPr="001B3C5D">
              <w:rPr>
                <w:rFonts w:ascii="Verdana" w:eastAsia="Times New Roman" w:hAnsi="Verdana" w:cs="Arial"/>
                <w:lang w:eastAsia="es-MX"/>
              </w:rPr>
              <w:t xml:space="preserve">. </w:t>
            </w:r>
          </w:p>
          <w:p w14:paraId="289B8FFF" w14:textId="77777777" w:rsidR="007A5381" w:rsidRPr="001B3C5D" w:rsidRDefault="007A5381" w:rsidP="007A5381">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En efecto, la Corte Constitucional, en Sentencia C-1005 de 2008, expresó que “la justificación de esta asignación de regulación gradual consiste en que precisamente son los organismos administrativos los depositarios de información relacionada de manera directa e inmediata con el funcionamiento práctico de las herramientas de creación legislativa”</w:t>
            </w:r>
            <w:r w:rsidRPr="001B3C5D">
              <w:rPr>
                <w:rFonts w:ascii="Verdana" w:eastAsia="Times New Roman" w:hAnsi="Verdana" w:cs="Arial"/>
                <w:vertAlign w:val="superscript"/>
                <w:lang w:eastAsia="es-MX"/>
              </w:rPr>
              <w:footnoteReference w:id="3"/>
            </w:r>
            <w:r w:rsidRPr="001B3C5D">
              <w:rPr>
                <w:rFonts w:ascii="Verdana" w:eastAsia="Times New Roman" w:hAnsi="Verdana" w:cs="Arial"/>
                <w:lang w:eastAsia="es-MX"/>
              </w:rPr>
              <w:t>, lo que implica que sean estos organismos quienes deban encargarse de aquello que la Corte ha denominado como “micro regulación de la ley”. Así mismo, en la Sentencia C-917 de 2002, señaló que “la imposibilidad de previsión total por parte del órgano legislativo es -para muchos- suficiente sustento de la necesidad de que sea una entidad técnica la que produzca el reglamento correspondiente”</w:t>
            </w:r>
            <w:r w:rsidRPr="001B3C5D">
              <w:rPr>
                <w:rFonts w:ascii="Verdana" w:eastAsia="Times New Roman" w:hAnsi="Verdana" w:cs="Arial"/>
                <w:vertAlign w:val="superscript"/>
                <w:lang w:eastAsia="es-MX"/>
              </w:rPr>
              <w:footnoteReference w:id="4"/>
            </w:r>
            <w:r w:rsidRPr="001B3C5D">
              <w:rPr>
                <w:rFonts w:ascii="Verdana" w:eastAsia="Times New Roman" w:hAnsi="Verdana" w:cs="Arial"/>
                <w:lang w:eastAsia="es-MX"/>
              </w:rPr>
              <w:t>.</w:t>
            </w:r>
          </w:p>
          <w:p w14:paraId="72EFF53D" w14:textId="77777777" w:rsidR="007A5381" w:rsidRPr="001B3C5D" w:rsidRDefault="007A5381" w:rsidP="007A5381">
            <w:pPr>
              <w:spacing w:line="276" w:lineRule="auto"/>
              <w:ind w:firstLine="708"/>
              <w:jc w:val="both"/>
              <w:rPr>
                <w:rFonts w:ascii="Verdana" w:eastAsia="Times New Roman" w:hAnsi="Verdana" w:cs="Arial"/>
                <w:lang w:eastAsia="es-CO"/>
              </w:rPr>
            </w:pPr>
            <w:r w:rsidRPr="001B3C5D">
              <w:rPr>
                <w:rFonts w:ascii="Verdana" w:eastAsia="Times New Roman" w:hAnsi="Verdana" w:cs="Arial"/>
                <w:lang w:eastAsia="es-CO"/>
              </w:rPr>
              <w:t xml:space="preserve">En este sentido, atendiendo lo previsto en el artículo 1 la Ley 2022 de 2020, </w:t>
            </w:r>
            <w:r w:rsidRPr="001B3C5D">
              <w:rPr>
                <w:rFonts w:ascii="Verdana" w:eastAsia="Times New Roman" w:hAnsi="Verdana" w:cs="Arial"/>
                <w:lang w:eastAsia="es-ES"/>
              </w:rPr>
              <w:t xml:space="preserve">debe señalarse que la Agencia Nacional de Contratación Pública – Colombia Compra Eficiente, es una Unidad Administrativa Especial, </w:t>
            </w:r>
            <w:r w:rsidRPr="001B3C5D">
              <w:rPr>
                <w:rFonts w:ascii="Verdana" w:eastAsia="Times New Roman" w:hAnsi="Verdana" w:cs="Arial"/>
                <w:lang w:eastAsia="es-ES"/>
              </w:rPr>
              <w:lastRenderedPageBreak/>
              <w:t>descentralizada de la Rama Ejecutiva del orden nacional, con personería jurídica, patrimonio propio y autonomía administrativa y financiera, adscrita al Departamento Nacional de Planeación</w:t>
            </w:r>
            <w:r w:rsidRPr="001B3C5D">
              <w:rPr>
                <w:rFonts w:ascii="Verdana" w:eastAsia="Calibri" w:hAnsi="Verdana" w:cs="Arial"/>
                <w:vertAlign w:val="superscript"/>
                <w:lang w:eastAsia="es-CO"/>
              </w:rPr>
              <w:footnoteReference w:id="5"/>
            </w:r>
            <w:r w:rsidRPr="001B3C5D">
              <w:rPr>
                <w:rFonts w:ascii="Verdana" w:eastAsia="Times New Roman" w:hAnsi="Verdana" w:cs="Arial"/>
                <w:lang w:eastAsia="es-ES"/>
              </w:rPr>
              <w:t>, que se erige como ente rector en materia de contratación pública en virtud de las funciones atribuidas por el ordenamiento jurídico, en particular en el numeral 2 del artículo 3 del</w:t>
            </w:r>
            <w:r w:rsidRPr="001B3C5D">
              <w:rPr>
                <w:rFonts w:ascii="Verdana" w:eastAsia="Times New Roman" w:hAnsi="Verdana" w:cs="Arial"/>
                <w:lang w:eastAsia="es-CO"/>
              </w:rPr>
              <w:t xml:space="preserve"> Decreto Ley 4170 de 2011, en el que se otorgó la función de:</w:t>
            </w:r>
          </w:p>
          <w:p w14:paraId="7AA00990" w14:textId="77777777" w:rsidR="007A5381" w:rsidRPr="001B3C5D" w:rsidRDefault="007A5381" w:rsidP="007A5381">
            <w:pPr>
              <w:jc w:val="both"/>
              <w:rPr>
                <w:rFonts w:ascii="Verdana" w:eastAsia="Times New Roman" w:hAnsi="Verdana" w:cs="Arial"/>
                <w:lang w:eastAsia="es-CO"/>
              </w:rPr>
            </w:pPr>
          </w:p>
          <w:p w14:paraId="689BC26F" w14:textId="77777777" w:rsidR="007A5381" w:rsidRPr="001B3C5D" w:rsidRDefault="007A5381" w:rsidP="007A5381">
            <w:pPr>
              <w:ind w:left="709" w:right="709"/>
              <w:jc w:val="both"/>
              <w:rPr>
                <w:rFonts w:ascii="Verdana" w:eastAsia="Times New Roman" w:hAnsi="Verdana" w:cs="Arial"/>
                <w:sz w:val="21"/>
                <w:szCs w:val="21"/>
                <w:lang w:eastAsia="es-CO"/>
              </w:rPr>
            </w:pPr>
            <w:r w:rsidRPr="001B3C5D">
              <w:rPr>
                <w:rFonts w:ascii="Verdana" w:eastAsia="Times New Roman" w:hAnsi="Verdana" w:cs="Arial"/>
                <w:sz w:val="21"/>
                <w:szCs w:val="21"/>
                <w:u w:val="single"/>
                <w:lang w:eastAsia="es-CO"/>
              </w:rPr>
              <w:t>“Desarrollar,</w:t>
            </w:r>
            <w:r w:rsidRPr="001B3C5D">
              <w:rPr>
                <w:rFonts w:ascii="Verdana" w:eastAsia="Times New Roman" w:hAnsi="Verdana" w:cs="Arial"/>
                <w:sz w:val="21"/>
                <w:szCs w:val="21"/>
                <w:lang w:eastAsia="es-CO"/>
              </w:rPr>
              <w:t xml:space="preserve"> </w:t>
            </w:r>
            <w:r w:rsidRPr="001B3C5D">
              <w:rPr>
                <w:rFonts w:ascii="Verdana" w:eastAsia="Times New Roman" w:hAnsi="Verdana" w:cs="Arial"/>
                <w:sz w:val="21"/>
                <w:szCs w:val="21"/>
                <w:u w:val="single"/>
                <w:lang w:eastAsia="es-CO"/>
              </w:rPr>
              <w:t>implementar y difundir</w:t>
            </w:r>
            <w:r w:rsidRPr="001B3C5D">
              <w:rPr>
                <w:rFonts w:ascii="Verdana" w:eastAsia="Times New Roman" w:hAnsi="Verdana" w:cs="Arial"/>
                <w:sz w:val="21"/>
                <w:szCs w:val="21"/>
                <w:lang w:eastAsia="es-CO"/>
              </w:rPr>
              <w:t xml:space="preserve"> las políticas públicas, planes, programas, </w:t>
            </w:r>
            <w:r w:rsidRPr="001B3C5D">
              <w:rPr>
                <w:rFonts w:ascii="Verdana" w:eastAsia="Times New Roman" w:hAnsi="Verdana" w:cs="Arial"/>
                <w:sz w:val="21"/>
                <w:szCs w:val="21"/>
                <w:u w:val="single"/>
                <w:lang w:eastAsia="es-CO"/>
              </w:rPr>
              <w:t>normas, instrumentos y herramientas</w:t>
            </w:r>
            <w:r w:rsidRPr="001B3C5D">
              <w:rPr>
                <w:rFonts w:ascii="Verdana" w:eastAsia="Times New Roman" w:hAnsi="Verdana" w:cs="Arial"/>
                <w:sz w:val="21"/>
                <w:szCs w:val="21"/>
                <w:lang w:eastAsia="es-CO"/>
              </w:rPr>
              <w:t xml:space="preserve"> que faciliten las compras y contratación pública del Estado y promuevan las mejores prácticas, la eficiencia, transparencia y competitividad </w:t>
            </w:r>
            <w:proofErr w:type="gramStart"/>
            <w:r w:rsidRPr="001B3C5D">
              <w:rPr>
                <w:rFonts w:ascii="Verdana" w:eastAsia="Times New Roman" w:hAnsi="Verdana" w:cs="Arial"/>
                <w:sz w:val="21"/>
                <w:szCs w:val="21"/>
                <w:lang w:eastAsia="es-CO"/>
              </w:rPr>
              <w:t>del mismo</w:t>
            </w:r>
            <w:proofErr w:type="gramEnd"/>
            <w:r w:rsidRPr="001B3C5D">
              <w:rPr>
                <w:rFonts w:ascii="Verdana" w:eastAsia="Times New Roman" w:hAnsi="Verdana" w:cs="Arial"/>
                <w:sz w:val="21"/>
                <w:szCs w:val="21"/>
                <w:lang w:eastAsia="es-CO"/>
              </w:rPr>
              <w:t>, a fin de que se cumplan los principios y procesos generales que deben gobernar la actividad contractual de las entidades públicas” (Subrayado fuera del texto).</w:t>
            </w:r>
          </w:p>
          <w:p w14:paraId="3A7F1688" w14:textId="77777777" w:rsidR="007A5381" w:rsidRPr="001B3C5D" w:rsidRDefault="007A5381" w:rsidP="007A5381">
            <w:pPr>
              <w:ind w:left="709" w:right="709"/>
              <w:jc w:val="both"/>
              <w:rPr>
                <w:rFonts w:ascii="Verdana" w:eastAsia="Times New Roman" w:hAnsi="Verdana" w:cs="Arial"/>
                <w:lang w:eastAsia="es-CO"/>
              </w:rPr>
            </w:pPr>
          </w:p>
          <w:p w14:paraId="38904310" w14:textId="77777777" w:rsidR="007A5381" w:rsidRPr="001B3C5D" w:rsidRDefault="007A5381" w:rsidP="007A5381">
            <w:pPr>
              <w:spacing w:line="276" w:lineRule="auto"/>
              <w:ind w:firstLine="708"/>
              <w:jc w:val="both"/>
              <w:rPr>
                <w:rFonts w:ascii="Verdana" w:eastAsia="Times New Roman" w:hAnsi="Verdana" w:cs="Arial"/>
                <w:lang w:eastAsia="es-ES"/>
              </w:rPr>
            </w:pPr>
            <w:r w:rsidRPr="001B3C5D">
              <w:rPr>
                <w:rFonts w:ascii="Verdana" w:eastAsia="Times New Roman" w:hAnsi="Verdana" w:cs="Arial"/>
                <w:lang w:eastAsia="es-MX"/>
              </w:rPr>
              <w:t>Así mismo, el Decreto Ley le otorgó a la Subdirección de Gestión Contractual la función de: “</w:t>
            </w:r>
            <w:r w:rsidRPr="001B3C5D">
              <w:rPr>
                <w:rFonts w:ascii="Verdana" w:eastAsia="Times New Roman" w:hAnsi="Verdana" w:cs="Arial"/>
                <w:u w:val="single"/>
                <w:lang w:eastAsia="es-MX"/>
              </w:rPr>
              <w:t>Desarrollar e implementar</w:t>
            </w:r>
            <w:r w:rsidRPr="001B3C5D">
              <w:rPr>
                <w:rFonts w:ascii="Verdana" w:eastAsia="Times New Roman" w:hAnsi="Verdana" w:cs="Arial"/>
                <w:lang w:eastAsia="es-MX"/>
              </w:rPr>
              <w:t xml:space="preserve"> </w:t>
            </w:r>
            <w:r w:rsidRPr="001B3C5D">
              <w:rPr>
                <w:rFonts w:ascii="Verdana" w:eastAsia="Times New Roman" w:hAnsi="Verdana" w:cs="Arial"/>
                <w:u w:val="single"/>
                <w:lang w:eastAsia="es-MX"/>
              </w:rPr>
              <w:t>estándares y documentos tipo</w:t>
            </w:r>
            <w:r w:rsidRPr="001B3C5D">
              <w:rPr>
                <w:rFonts w:ascii="Verdana" w:eastAsia="Times New Roman" w:hAnsi="Verdana" w:cs="Arial"/>
                <w:lang w:eastAsia="es-MX"/>
              </w:rPr>
              <w:t xml:space="preserve"> para las diferentes etapas de la gestión contractual </w:t>
            </w:r>
            <w:r w:rsidRPr="001B3C5D">
              <w:rPr>
                <w:rFonts w:ascii="Verdana" w:eastAsia="Times New Roman" w:hAnsi="Verdana" w:cs="Times New Roman"/>
                <w:lang w:eastAsia="es-MX"/>
              </w:rPr>
              <w:t>pública”</w:t>
            </w:r>
            <w:r w:rsidRPr="001B3C5D">
              <w:rPr>
                <w:rFonts w:ascii="Verdana" w:eastAsia="Times New Roman" w:hAnsi="Verdana" w:cs="Times New Roman"/>
                <w:vertAlign w:val="superscript"/>
                <w:lang w:eastAsia="es-MX"/>
              </w:rPr>
              <w:footnoteReference w:id="6"/>
            </w:r>
            <w:r w:rsidRPr="001B3C5D">
              <w:rPr>
                <w:rFonts w:ascii="Verdana" w:eastAsia="Times New Roman" w:hAnsi="Verdana" w:cs="Arial"/>
                <w:i/>
                <w:iCs/>
                <w:lang w:eastAsia="es-ES"/>
              </w:rPr>
              <w:t>.</w:t>
            </w:r>
            <w:r w:rsidRPr="001B3C5D">
              <w:rPr>
                <w:rFonts w:ascii="Verdana" w:eastAsia="Times New Roman" w:hAnsi="Verdana" w:cs="Arial"/>
                <w:lang w:eastAsia="es-ES"/>
              </w:rPr>
              <w:t>De conformidad con lo anterior, la Agencia Nacional de Contratación Pública – Colombia Compra Eficiente es un ente rector, técnico y especializado en materia de contratación pública. De ahí que el Consejo de Estado le haya reconocido potestad regulatoria, en los siguientes términos:</w:t>
            </w:r>
          </w:p>
          <w:p w14:paraId="1169869F" w14:textId="77777777" w:rsidR="007A5381" w:rsidRPr="001B3C5D" w:rsidRDefault="007A5381" w:rsidP="007A5381">
            <w:pPr>
              <w:jc w:val="both"/>
              <w:rPr>
                <w:rFonts w:ascii="Verdana" w:eastAsia="Times New Roman" w:hAnsi="Verdana" w:cs="Arial"/>
                <w:lang w:eastAsia="es-ES"/>
              </w:rPr>
            </w:pPr>
          </w:p>
          <w:p w14:paraId="185E3205" w14:textId="77777777" w:rsidR="007A5381" w:rsidRPr="001B3C5D" w:rsidRDefault="007A5381" w:rsidP="007A5381">
            <w:pPr>
              <w:ind w:left="709" w:right="709"/>
              <w:jc w:val="both"/>
              <w:rPr>
                <w:rFonts w:ascii="Verdana" w:eastAsia="Times New Roman" w:hAnsi="Verdana" w:cs="Arial"/>
                <w:i/>
                <w:iCs/>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Se cuenta con una base jurídica mínima que apoya la competencia de [Colombia Compra Eficiente] para [la expedición de la Circular] pues se sabe que esa Agencia […] se ubica dentro del sector descentralizado del orden nacional y cuenta dentro de su ámbito funcional con competencias atinentes a la materia de la contratación estatal, esto es, a la actividad administrativa vinculada a la provisión de bienes y/o servicios por cuenta del Estado […] y ejerce una competencia de orientación y coordinación toda vez que tiene a su cargo la formulación de políticas públicas […] y, concretamente, se le ha atribuido la competencia de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difundir las normas, reglas, procedimientos, medios tecnológicos y mejores prácticas para las compras y la contratación pública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 potestad reguladora que, en todo caso, debe ejercerse conforme a la Ley y ajustada a la potestad reglamentaria del Gobierno Nacional</w:t>
            </w:r>
            <w:r w:rsidRPr="001B3C5D">
              <w:rPr>
                <w:rFonts w:ascii="Verdana" w:eastAsia="Times New Roman" w:hAnsi="Verdana" w:cs="Arial"/>
                <w:sz w:val="21"/>
                <w:szCs w:val="21"/>
                <w:lang w:eastAsia="es-MX"/>
              </w:rPr>
              <w:t>”</w:t>
            </w:r>
            <w:r w:rsidRPr="001B3C5D">
              <w:rPr>
                <w:rFonts w:ascii="Verdana" w:eastAsia="Times New Roman" w:hAnsi="Verdana" w:cs="Arial"/>
                <w:i/>
                <w:iCs/>
                <w:sz w:val="21"/>
                <w:szCs w:val="21"/>
                <w:vertAlign w:val="superscript"/>
                <w:lang w:eastAsia="es-MX"/>
              </w:rPr>
              <w:footnoteReference w:id="7"/>
            </w:r>
            <w:r w:rsidRPr="001B3C5D">
              <w:rPr>
                <w:rFonts w:ascii="Verdana" w:eastAsia="Times New Roman" w:hAnsi="Verdana" w:cs="Arial"/>
                <w:i/>
                <w:iCs/>
                <w:sz w:val="21"/>
                <w:szCs w:val="21"/>
                <w:lang w:eastAsia="es-ES"/>
              </w:rPr>
              <w:t xml:space="preserve">. </w:t>
            </w:r>
          </w:p>
          <w:p w14:paraId="70B19C64" w14:textId="77777777" w:rsidR="007A5381" w:rsidRPr="001B3C5D" w:rsidRDefault="007A5381" w:rsidP="007A5381">
            <w:pPr>
              <w:ind w:left="709" w:right="709"/>
              <w:jc w:val="both"/>
              <w:rPr>
                <w:rFonts w:ascii="Verdana" w:eastAsia="Times New Roman" w:hAnsi="Verdana" w:cs="Arial"/>
                <w:i/>
                <w:sz w:val="21"/>
                <w:szCs w:val="21"/>
                <w:lang w:eastAsia="es-ES"/>
              </w:rPr>
            </w:pPr>
          </w:p>
          <w:p w14:paraId="68C99978" w14:textId="77777777" w:rsidR="007A5381" w:rsidRPr="001B3C5D" w:rsidRDefault="007A5381" w:rsidP="007A5381">
            <w:pPr>
              <w:spacing w:line="276" w:lineRule="auto"/>
              <w:ind w:firstLine="708"/>
              <w:jc w:val="both"/>
              <w:rPr>
                <w:rFonts w:ascii="Verdana" w:eastAsia="Times New Roman" w:hAnsi="Verdana" w:cs="Arial"/>
                <w:lang w:eastAsia="es-ES"/>
              </w:rPr>
            </w:pPr>
            <w:r w:rsidRPr="001B3C5D">
              <w:rPr>
                <w:rFonts w:ascii="Verdana" w:eastAsia="Times New Roman" w:hAnsi="Verdana" w:cs="Arial"/>
                <w:lang w:eastAsia="es-ES"/>
              </w:rPr>
              <w:t>Lo anterior fue reiterado por el Consejo de Estado, en la sentencia del 16 de agosto de 2017, en el expediente 56.166, en los siguientes términos:</w:t>
            </w:r>
          </w:p>
          <w:p w14:paraId="1911753A" w14:textId="77777777" w:rsidR="007A5381" w:rsidRPr="001B3C5D" w:rsidRDefault="007A5381" w:rsidP="007A5381">
            <w:pPr>
              <w:jc w:val="both"/>
              <w:rPr>
                <w:rFonts w:ascii="Verdana" w:eastAsia="Times New Roman" w:hAnsi="Verdana" w:cs="Arial"/>
                <w:lang w:eastAsia="es-ES"/>
              </w:rPr>
            </w:pPr>
          </w:p>
          <w:p w14:paraId="4DCAE35F" w14:textId="77777777" w:rsidR="007A5381" w:rsidRPr="001B3C5D" w:rsidRDefault="007A5381" w:rsidP="007A5381">
            <w:pPr>
              <w:ind w:left="709" w:right="709"/>
              <w:jc w:val="both"/>
              <w:rPr>
                <w:rFonts w:ascii="Verdana" w:eastAsia="Times New Roman" w:hAnsi="Verdana" w:cs="Arial"/>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Dígase que ese poder de regulación normativa en cabeza de CCE se ejerce </w:t>
            </w:r>
            <w:proofErr w:type="spellStart"/>
            <w:r w:rsidRPr="001B3C5D">
              <w:rPr>
                <w:rFonts w:ascii="Verdana" w:eastAsia="Times New Roman" w:hAnsi="Verdana" w:cs="Arial"/>
                <w:i/>
                <w:iCs/>
                <w:sz w:val="21"/>
                <w:szCs w:val="21"/>
                <w:lang w:eastAsia="es-ES"/>
              </w:rPr>
              <w:t>secundum</w:t>
            </w:r>
            <w:proofErr w:type="spellEnd"/>
            <w:r w:rsidRPr="001B3C5D">
              <w:rPr>
                <w:rFonts w:ascii="Verdana" w:eastAsia="Times New Roman" w:hAnsi="Verdana" w:cs="Arial"/>
                <w:i/>
                <w:iCs/>
                <w:sz w:val="21"/>
                <w:szCs w:val="21"/>
                <w:lang w:eastAsia="es-ES"/>
              </w:rPr>
              <w:t xml:space="preserve"> </w:t>
            </w:r>
            <w:proofErr w:type="spellStart"/>
            <w:r w:rsidRPr="001B3C5D">
              <w:rPr>
                <w:rFonts w:ascii="Verdana" w:eastAsia="Times New Roman" w:hAnsi="Verdana" w:cs="Arial"/>
                <w:i/>
                <w:iCs/>
                <w:sz w:val="21"/>
                <w:szCs w:val="21"/>
                <w:lang w:eastAsia="es-ES"/>
              </w:rPr>
              <w:t>legem</w:t>
            </w:r>
            <w:proofErr w:type="spellEnd"/>
            <w:r w:rsidRPr="001B3C5D">
              <w:rPr>
                <w:rFonts w:ascii="Verdana" w:eastAsia="Times New Roman" w:hAnsi="Verdana" w:cs="Arial"/>
                <w:sz w:val="21"/>
                <w:szCs w:val="21"/>
                <w:lang w:eastAsia="es-ES"/>
              </w:rPr>
              <w:t xml:space="preserve"> como también subordinado a la potestad reglamentaria del Gobierno Nacional, de suerte que no rivaliza con ésta o aquella, sino que constituye, en puridad, expresión del ejercicio de autoridad administrativa bajo habilitación legal expresa sujeta, entre otras cuestiones, a la concreción de aquellos principios y valores que subyacen a la función administrativa, de una parte, y los propios de la Constitución Económica, de otro tanto, como recién ha sido reiterado por esta Sección en asunto de similar naturaleza al aquí tratado. Con otras palabras, la Sala tiene averiguado que el poder de regulación otorgado a Colombia Compra Eficiente no es ejercicio de potestad reglamentaria constitucional, en los términos expuestos”</w:t>
            </w:r>
            <w:r w:rsidRPr="001B3C5D">
              <w:rPr>
                <w:rFonts w:ascii="Verdana" w:eastAsia="Times New Roman" w:hAnsi="Verdana" w:cs="Arial"/>
                <w:sz w:val="21"/>
                <w:szCs w:val="21"/>
                <w:vertAlign w:val="superscript"/>
                <w:lang w:eastAsia="es-ES"/>
              </w:rPr>
              <w:footnoteReference w:id="8"/>
            </w:r>
            <w:r w:rsidRPr="001B3C5D">
              <w:rPr>
                <w:rFonts w:ascii="Verdana" w:eastAsia="Times New Roman" w:hAnsi="Verdana" w:cs="Arial"/>
                <w:sz w:val="21"/>
                <w:szCs w:val="21"/>
                <w:lang w:eastAsia="es-ES"/>
              </w:rPr>
              <w:t>.</w:t>
            </w:r>
          </w:p>
          <w:p w14:paraId="7B81A147" w14:textId="77777777" w:rsidR="007A5381" w:rsidRPr="001B3C5D" w:rsidRDefault="007A5381" w:rsidP="007A5381">
            <w:pPr>
              <w:ind w:left="709" w:right="709"/>
              <w:jc w:val="both"/>
              <w:rPr>
                <w:rFonts w:ascii="Verdana" w:eastAsia="Times New Roman" w:hAnsi="Verdana" w:cs="Arial"/>
                <w:lang w:eastAsia="es-ES"/>
              </w:rPr>
            </w:pPr>
          </w:p>
          <w:p w14:paraId="371524F8" w14:textId="77777777" w:rsidR="007A5381" w:rsidRPr="001B3C5D" w:rsidRDefault="007A5381" w:rsidP="007A5381">
            <w:pPr>
              <w:tabs>
                <w:tab w:val="center" w:pos="4419"/>
                <w:tab w:val="right" w:pos="8838"/>
              </w:tabs>
              <w:spacing w:after="120" w:line="276" w:lineRule="auto"/>
              <w:ind w:firstLine="709"/>
              <w:jc w:val="both"/>
              <w:rPr>
                <w:rFonts w:ascii="Verdana" w:eastAsia="Times New Roman" w:hAnsi="Verdana" w:cs="Arial"/>
                <w:lang w:eastAsia="es-ES"/>
              </w:rPr>
            </w:pPr>
            <w:r w:rsidRPr="001B3C5D">
              <w:rPr>
                <w:rFonts w:ascii="Verdana" w:eastAsia="Times New Roman" w:hAnsi="Verdana" w:cs="Arial"/>
                <w:lang w:eastAsia="es-ES"/>
              </w:rPr>
              <w:t xml:space="preserve"> </w:t>
            </w:r>
            <w:r w:rsidRPr="001B3C5D">
              <w:rPr>
                <w:rFonts w:ascii="Verdana" w:eastAsia="Times New Roman" w:hAnsi="Verdana" w:cs="Arial"/>
                <w:lang w:eastAsia="es-MX"/>
              </w:rPr>
              <w:t>En la misma sentencia, el Consejo de Estado señaló la existencia de límites en el ejercicio de la facultad de regulación de las autoridades administrativas, las cuales se encaminan a concretar aspectos residuales y complementarios de la legislación general, sujeta en todo caso, a lo que dispongan los órdenes normativos de más alto rango, es decir, la Constitución y la ley. Esto en la medida que el ejercicio de esta facultad de regulación “en ningún caso implica el reconocimiento de una potestad autónoma y desligada de cualquier límite</w:t>
            </w:r>
            <w:r w:rsidRPr="001B3C5D">
              <w:rPr>
                <w:rFonts w:ascii="Verdana" w:eastAsia="MS Mincho" w:hAnsi="Verdana" w:cs="Arial"/>
                <w:vertAlign w:val="superscript"/>
                <w:lang w:eastAsia="es-ES"/>
              </w:rPr>
              <w:footnoteReference w:id="9"/>
            </w:r>
            <w:r w:rsidRPr="001B3C5D">
              <w:rPr>
                <w:rFonts w:ascii="Verdana" w:eastAsia="Times New Roman" w:hAnsi="Verdana" w:cs="Arial"/>
                <w:lang w:eastAsia="es-ES"/>
              </w:rPr>
              <w:t>.</w:t>
            </w:r>
          </w:p>
          <w:p w14:paraId="41380174" w14:textId="77777777" w:rsidR="007A5381" w:rsidRPr="001B3C5D" w:rsidRDefault="007A5381" w:rsidP="007A5381">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Conforme con lo anterior, mediante una interpretación sistemática de la normativa y jurisprudencia citada es posible concluir que la Agencia Nacional de Contratación Pública – Colombia Compra Eficiente tiene facultad de regulación de la actividad contractual pública, lo que implica la potestad para expedir normas de carácter técnico subordinadas a la Constitución y a la ley y que los documentos tipo son una manifestación de dicha potestad. En consecuencia, la Agencia Nacional de Contratación Pública – Colombia Compra </w:t>
            </w:r>
            <w:r w:rsidRPr="001B3C5D">
              <w:rPr>
                <w:rFonts w:ascii="Verdana" w:eastAsia="Times New Roman" w:hAnsi="Verdana" w:cs="Arial"/>
                <w:lang w:eastAsia="es-ES"/>
              </w:rPr>
              <w:lastRenderedPageBreak/>
              <w:t xml:space="preserve">Eficiente tiene la facultad de adoptar los documentos tipo, con fundamento en la potestad reglamentaria que le asignó el artículo 1º de la Ley 2022 de 2020. </w:t>
            </w:r>
          </w:p>
          <w:p w14:paraId="1C9CA44C" w14:textId="77777777" w:rsidR="007A5381" w:rsidRDefault="007A5381" w:rsidP="007A5381">
            <w:pPr>
              <w:tabs>
                <w:tab w:val="center" w:pos="4419"/>
                <w:tab w:val="right" w:pos="8838"/>
              </w:tabs>
              <w:spacing w:line="276" w:lineRule="auto"/>
              <w:ind w:firstLine="709"/>
              <w:jc w:val="both"/>
              <w:rPr>
                <w:rFonts w:ascii="Verdana" w:eastAsia="Times New Roman" w:hAnsi="Verdana" w:cs="Arial"/>
                <w:lang w:eastAsia="es-ES"/>
              </w:rPr>
            </w:pPr>
            <w:r w:rsidRPr="001B3C5D">
              <w:rPr>
                <w:rFonts w:ascii="Verdana" w:eastAsia="MS Mincho" w:hAnsi="Verdana" w:cs="Arial"/>
                <w:lang w:eastAsia="es-CO"/>
              </w:rPr>
              <w:t>I</w:t>
            </w:r>
            <w:r w:rsidRPr="001B3C5D">
              <w:rPr>
                <w:rFonts w:ascii="Verdana" w:eastAsia="Times New Roman" w:hAnsi="Verdana" w:cs="Arial"/>
                <w:lang w:eastAsia="es-ES"/>
              </w:rPr>
              <w:t>gualmente, en desarrollo de la función que recae en la Agencia Nacional de Contratación Pública – Colombia Compra Eficiente conforme al artículo 2º del Decreto Ley 4170 de 2011, la Agencia concretará la voluntad del legislador con la implementación, desarrollo, publicación, revisión y actualización de los documentos tipo, según el avance y aplicación que éstos vayan teniendo en los sectores en los cuales vienen siendo adoptados.</w:t>
            </w:r>
          </w:p>
          <w:p w14:paraId="4057B354" w14:textId="77777777" w:rsidR="007A5381" w:rsidRDefault="007A5381" w:rsidP="007A5381">
            <w:pPr>
              <w:tabs>
                <w:tab w:val="center" w:pos="4419"/>
                <w:tab w:val="right" w:pos="8838"/>
              </w:tabs>
              <w:spacing w:line="276" w:lineRule="auto"/>
              <w:ind w:firstLine="709"/>
              <w:jc w:val="both"/>
              <w:rPr>
                <w:rFonts w:ascii="Verdana" w:eastAsia="Times New Roman" w:hAnsi="Verdana" w:cs="Arial"/>
                <w:lang w:eastAsia="es-ES"/>
              </w:rPr>
            </w:pPr>
          </w:p>
          <w:p w14:paraId="7F876E6F" w14:textId="77777777" w:rsidR="007A5381" w:rsidRPr="001B3C5D" w:rsidRDefault="007A5381" w:rsidP="007A5381">
            <w:pPr>
              <w:tabs>
                <w:tab w:val="center" w:pos="4419"/>
                <w:tab w:val="right" w:pos="8838"/>
              </w:tabs>
              <w:spacing w:line="276" w:lineRule="auto"/>
              <w:ind w:firstLine="709"/>
              <w:jc w:val="both"/>
              <w:rPr>
                <w:rFonts w:ascii="Verdana" w:eastAsia="Times New Roman" w:hAnsi="Verdana" w:cs="Arial"/>
                <w:lang w:eastAsia="es-ES"/>
              </w:rPr>
            </w:pPr>
            <w:r w:rsidRPr="007B31F5">
              <w:rPr>
                <w:rFonts w:ascii="Verdana" w:eastAsia="Times New Roman" w:hAnsi="Verdana" w:cs="Arial"/>
                <w:lang w:eastAsia="es-ES"/>
              </w:rPr>
              <w:t>En este contexto, la Agencia Nacional de Contratación Pública – Colombia Compra Eficiente, una vez conoció el decreto desde su expedición, inició las labores de análisis y planeación orientadas a la modificación de los documentos tipo vigentes en los diferentes sectores y subsectores. Este proceso implica una importante carga administrativa y presupuestal para lograr su adecuada actualización, por lo cual se tomará un tiempo prudencial que permita dar cumplimiento integral a lo dispuesto en el referido decreto. No obstante, la Agencia dispondrá todos sus esfuerzos para adelantar este trabajo en el menor tiempo posible y garantizará la divulgación oportuna de cada etapa del proceso de modificación, tanto a las entidades estatales como a la ciudadanía en general.</w:t>
            </w:r>
          </w:p>
          <w:p w14:paraId="09A49F20" w14:textId="77777777" w:rsidR="007A5381" w:rsidRPr="001B3C5D" w:rsidRDefault="007A5381" w:rsidP="007A5381">
            <w:pPr>
              <w:tabs>
                <w:tab w:val="center" w:pos="4419"/>
                <w:tab w:val="right" w:pos="8838"/>
              </w:tabs>
              <w:spacing w:line="276" w:lineRule="auto"/>
              <w:jc w:val="both"/>
              <w:rPr>
                <w:rFonts w:ascii="Verdana" w:eastAsia="Times New Roman" w:hAnsi="Verdana" w:cs="Arial"/>
                <w:lang w:eastAsia="es-ES"/>
              </w:rPr>
            </w:pPr>
          </w:p>
          <w:p w14:paraId="0B79396A" w14:textId="12FFFF5B" w:rsidR="007A5381" w:rsidRPr="001B3C5D" w:rsidRDefault="007A5381" w:rsidP="007A5381">
            <w:pPr>
              <w:tabs>
                <w:tab w:val="center" w:pos="4419"/>
                <w:tab w:val="right" w:pos="8838"/>
              </w:tabs>
              <w:spacing w:line="276" w:lineRule="auto"/>
              <w:jc w:val="both"/>
              <w:rPr>
                <w:rFonts w:ascii="Verdana" w:eastAsia="Calibri" w:hAnsi="Verdana" w:cs="Arial"/>
                <w:color w:val="000000"/>
                <w:lang w:val="es-ES"/>
              </w:rPr>
            </w:pPr>
            <w:r>
              <w:rPr>
                <w:rFonts w:ascii="Verdana" w:eastAsia="Times New Roman" w:hAnsi="Verdana" w:cs="Arial"/>
                <w:lang w:eastAsia="es-ES"/>
              </w:rPr>
              <w:t xml:space="preserve">       </w:t>
            </w:r>
            <w:proofErr w:type="spellStart"/>
            <w:r w:rsidRPr="001B3C5D">
              <w:rPr>
                <w:rFonts w:ascii="Verdana" w:eastAsia="Times New Roman" w:hAnsi="Verdana" w:cs="Arial"/>
                <w:lang w:eastAsia="es-ES"/>
              </w:rPr>
              <w:t>ii</w:t>
            </w:r>
            <w:proofErr w:type="spellEnd"/>
            <w:r w:rsidRPr="001B3C5D">
              <w:rPr>
                <w:rFonts w:ascii="Verdana" w:eastAsia="Times New Roman" w:hAnsi="Verdana" w:cs="Arial"/>
                <w:lang w:eastAsia="es-ES"/>
              </w:rPr>
              <w:t xml:space="preserve">. </w:t>
            </w:r>
            <w:r w:rsidRPr="001B3C5D">
              <w:rPr>
                <w:rFonts w:ascii="Verdana" w:eastAsia="Calibri" w:hAnsi="Verdana" w:cs="Arial"/>
                <w:color w:val="000000"/>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1B3C5D">
              <w:rPr>
                <w:rFonts w:ascii="Verdana" w:eastAsia="Calibri" w:hAnsi="Verdana" w:cs="Arial"/>
                <w:i/>
                <w:iCs/>
                <w:color w:val="000000"/>
                <w:lang w:val="es-ES"/>
              </w:rPr>
              <w:t>Documentos del Proceso</w:t>
            </w:r>
            <w:r w:rsidRPr="001B3C5D">
              <w:rPr>
                <w:rFonts w:ascii="Verdana" w:eastAsia="Calibri" w:hAnsi="Verdana" w:cs="Arial"/>
                <w:color w:val="00000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449C401E" w14:textId="77777777" w:rsidR="007A5381" w:rsidRPr="001B3C5D" w:rsidRDefault="007A5381" w:rsidP="007A5381">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lastRenderedPageBreak/>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En esta línea, las entidades públicas deberán sujetarse de forma irrestricta a las reglas establecidas en los documentos tipo, dispuestas en las diferentes resoluciones expedidas por la Agencia, por lo que no pueden hacer excepciones bajo una supuesta discrecionalidad a estas reglas que son obligatorias. </w:t>
            </w:r>
          </w:p>
          <w:p w14:paraId="3954A9F9" w14:textId="77777777" w:rsidR="007A5381" w:rsidRPr="001B3C5D" w:rsidRDefault="007A5381" w:rsidP="007A5381">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 xml:space="preserve">La inalterabilidad de los documentos tipo es una manifestación en mayor grado de las potestades regladas, lo cual implica una reducción de la discrecionalidad de la Administración en el momento de tomar una decisión en el proceso de contratación. Cada entidad pública sujeta a los documentos tipo deberá hacer una aplicación o constatación irrestricta de las reglas y condiciones dispuestas en estos, salvo que las mismas posibilitan la discrecionalidad en determinados aspectos. </w:t>
            </w:r>
          </w:p>
          <w:p w14:paraId="00097E97" w14:textId="77777777" w:rsidR="007A5381" w:rsidRPr="001B3C5D" w:rsidRDefault="007A5381" w:rsidP="007A5381">
            <w:pPr>
              <w:spacing w:before="120" w:after="120" w:line="276" w:lineRule="auto"/>
              <w:ind w:firstLine="709"/>
              <w:jc w:val="both"/>
              <w:rPr>
                <w:rFonts w:ascii="Verdana" w:eastAsia="Calibri" w:hAnsi="Verdana" w:cs="Arial"/>
                <w:lang w:val="es-ES"/>
              </w:rPr>
            </w:pPr>
            <w:r w:rsidRPr="001B3C5D">
              <w:rPr>
                <w:rFonts w:ascii="Verdana" w:eastAsia="Calibri" w:hAnsi="Verdana" w:cs="Arial"/>
                <w:lang w:val="es-ES"/>
              </w:rPr>
              <w:t xml:space="preserve">Además, las entidades estatales deben garantizar el </w:t>
            </w:r>
            <w:r w:rsidRPr="001B3C5D">
              <w:rPr>
                <w:rFonts w:ascii="Verdana" w:eastAsia="Calibri" w:hAnsi="Verdana" w:cs="Arial"/>
                <w:i/>
                <w:iCs/>
                <w:lang w:val="es-ES"/>
              </w:rPr>
              <w:t>principio de economía</w:t>
            </w:r>
            <w:r w:rsidRPr="001B3C5D">
              <w:rPr>
                <w:rFonts w:ascii="Verdana" w:eastAsia="Calibri" w:hAnsi="Verdana" w:cs="Arial"/>
                <w:lang w:val="es-ES"/>
              </w:rPr>
              <w:t xml:space="preserve">, del cual se desprende que no pueden exigir documentos o requisitos más allá de los que permitan la Constitución, la ley y los reglamentos. Este postulado ha sido recogido no solo en la contratación estatal sino además en la normativa </w:t>
            </w:r>
            <w:proofErr w:type="spellStart"/>
            <w:r w:rsidRPr="001B3C5D">
              <w:rPr>
                <w:rFonts w:ascii="Verdana" w:eastAsia="Calibri" w:hAnsi="Verdana" w:cs="Arial"/>
                <w:lang w:val="es-ES"/>
              </w:rPr>
              <w:t>antitrámites</w:t>
            </w:r>
            <w:proofErr w:type="spellEnd"/>
            <w:r w:rsidRPr="001B3C5D">
              <w:rPr>
                <w:rFonts w:ascii="Verdana" w:eastAsia="Calibri" w:hAnsi="Verdana" w:cs="Arial"/>
                <w:lang w:val="es-ES"/>
              </w:rPr>
              <w:t>; pues se inscribe dentro de la tendencia de simplificación y racionalización de los procedimientos administrativos. De ahí que cuando las autoridades solicitan la entrega de documentación innecesaria, desconocen el principio de economía.</w:t>
            </w:r>
          </w:p>
          <w:p w14:paraId="074A2520"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1B3C5D">
              <w:rPr>
                <w:rFonts w:ascii="Verdana" w:eastAsia="Calibri" w:hAnsi="Verdana" w:cs="Arial"/>
                <w:color w:val="000000"/>
                <w:vertAlign w:val="superscript"/>
                <w:lang w:val="es-ES"/>
              </w:rPr>
              <w:footnoteReference w:id="10"/>
            </w:r>
            <w:r w:rsidRPr="001B3C5D">
              <w:rPr>
                <w:rFonts w:ascii="Verdana" w:eastAsia="Calibri" w:hAnsi="Verdana" w:cs="Arial"/>
                <w:color w:val="000000"/>
                <w:lang w:val="es-ES"/>
              </w:rPr>
              <w:t xml:space="preserve">. Si las autoridades pudiesen agregar, eliminar o modificar todos y cada uno de los aspectos contenidos en los pliegos tipo, estos documentos, llanamente, no podrían ser llamados pliegos tipo. </w:t>
            </w:r>
          </w:p>
          <w:p w14:paraId="427EEDEE"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lastRenderedPageBreak/>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1A7A9887"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6C3A24DE"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lang w:val="es-MX"/>
              </w:rPr>
              <w:t xml:space="preserve">No obstante, la parte introductoria de los documentos base de los documentos tipo disponen que los aspectos incluidos en corchetes y resaltados en gris </w:t>
            </w:r>
            <w:r w:rsidRPr="001B3C5D">
              <w:rPr>
                <w:rFonts w:ascii="Verdana" w:eastAsia="Aptos" w:hAnsi="Verdana" w:cs="Arial"/>
              </w:rPr>
              <w:t>–[</w:t>
            </w:r>
            <w:r w:rsidRPr="001B3C5D">
              <w:rPr>
                <w:rFonts w:ascii="Verdana" w:eastAsia="Aptos" w:hAnsi="Verdana" w:cs="Arial"/>
                <w:highlight w:val="lightGray"/>
              </w:rPr>
              <w:t>texto de ejemplo</w:t>
            </w:r>
            <w:r w:rsidRPr="001B3C5D">
              <w:rPr>
                <w:rFonts w:ascii="Verdana" w:eastAsia="Aptos" w:hAnsi="Verdana" w:cs="Arial"/>
              </w:rPr>
              <w:t xml:space="preserve">]– </w:t>
            </w:r>
            <w:r w:rsidRPr="001B3C5D">
              <w:rPr>
                <w:rFonts w:ascii="Verdana" w:eastAsia="Calibri" w:hAnsi="Verdana" w:cs="Arial"/>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0DA550D6" w14:textId="77777777" w:rsidR="007A5381" w:rsidRDefault="007A5381" w:rsidP="007A5381">
            <w:pPr>
              <w:spacing w:line="276" w:lineRule="auto"/>
              <w:ind w:firstLine="709"/>
              <w:jc w:val="both"/>
              <w:rPr>
                <w:rFonts w:ascii="Verdana" w:eastAsia="Calibri" w:hAnsi="Verdana" w:cs="Arial"/>
                <w:bCs/>
                <w:lang w:val="es-MX"/>
              </w:rPr>
            </w:pPr>
            <w:r w:rsidRPr="001B3C5D">
              <w:rPr>
                <w:rFonts w:ascii="Verdana" w:eastAsia="Calibri" w:hAnsi="Verdana" w:cs="Arial"/>
                <w:bCs/>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1A1AE2B5" w14:textId="77777777" w:rsidR="007A5381" w:rsidRDefault="007A5381" w:rsidP="007A5381">
            <w:pPr>
              <w:spacing w:line="276" w:lineRule="auto"/>
              <w:ind w:firstLine="709"/>
              <w:jc w:val="both"/>
              <w:rPr>
                <w:rFonts w:ascii="Verdana" w:eastAsia="Calibri" w:hAnsi="Verdana" w:cs="Arial"/>
                <w:bCs/>
                <w:lang w:val="es-MX"/>
              </w:rPr>
            </w:pPr>
          </w:p>
          <w:p w14:paraId="1477FFBD" w14:textId="77777777" w:rsidR="007A5381" w:rsidRPr="001B3C5D" w:rsidRDefault="007A5381" w:rsidP="007A5381">
            <w:pPr>
              <w:widowControl w:val="0"/>
              <w:autoSpaceDE w:val="0"/>
              <w:autoSpaceDN w:val="0"/>
              <w:spacing w:after="120" w:line="276" w:lineRule="auto"/>
              <w:jc w:val="both"/>
              <w:rPr>
                <w:rFonts w:ascii="Verdana" w:eastAsia="Aptos" w:hAnsi="Verdana" w:cs="Times New Roman"/>
              </w:rPr>
            </w:pPr>
            <w:proofErr w:type="spellStart"/>
            <w:r>
              <w:rPr>
                <w:rFonts w:ascii="Verdana" w:eastAsia="Aptos" w:hAnsi="Verdana" w:cs="Times New Roman"/>
              </w:rPr>
              <w:t>iii</w:t>
            </w:r>
            <w:proofErr w:type="spellEnd"/>
            <w:r w:rsidRPr="001B3C5D">
              <w:rPr>
                <w:rFonts w:ascii="Verdana" w:eastAsia="Aptos" w:hAnsi="Verdana" w:cs="Times New Roman"/>
              </w:rPr>
              <w:t>. L</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Ley 2022 de 2020 </w:t>
            </w:r>
            <w:r w:rsidRPr="001B3C5D">
              <w:rPr>
                <w:rFonts w:ascii="Verdana" w:eastAsia="Aptos" w:hAnsi="Verdana" w:cs="Times New Roman"/>
                <w:kern w:val="2"/>
                <w14:ligatures w14:val="standardContextual"/>
              </w:rPr>
              <w:t>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solo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atribuye</w:t>
            </w:r>
            <w:r w:rsidRPr="001B3C5D">
              <w:rPr>
                <w:rFonts w:ascii="Verdana" w:eastAsia="Aptos" w:hAnsi="Verdana" w:cs="Times New Roman"/>
              </w:rPr>
              <w:t xml:space="preserve"> la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Nacional de Contratación Pública – Colombia Compra Eficiente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adoptar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lastRenderedPageBreak/>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define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expresamente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contenido,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disponer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w:t>
            </w:r>
            <w:r w:rsidRPr="001B3C5D">
              <w:rPr>
                <w:rFonts w:ascii="Verdana" w:eastAsia="Aptos" w:hAnsi="Verdana" w:cs="Times New Roman"/>
              </w:rPr>
              <w:t xml:space="preserve">stos </w:t>
            </w:r>
            <w:r w:rsidRPr="001B3C5D">
              <w:rPr>
                <w:rFonts w:ascii="Verdana" w:eastAsia="Aptos" w:hAnsi="Verdana" w:cs="Times New Roman"/>
                <w:i/>
                <w:iCs/>
              </w:rPr>
              <w:t>“(…) se establecerán los requisitos habilitantes, factores técnicos, económicos y otros factores de escogencia, así como aquellos requisitos que, previa justificación, representen buenas prácticas contractuales”</w:t>
            </w:r>
            <w:r w:rsidRPr="001B3C5D">
              <w:rPr>
                <w:rFonts w:ascii="Verdana" w:eastAsia="Aptos" w:hAnsi="Verdana" w:cs="Times New Roman"/>
                <w:i/>
                <w:iCs/>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legislador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concentró</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la Agencia Nacional de Contratación Pública – Colombia Compra Eficiente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definición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elementos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estructurales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selección,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propósito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estandarización,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transparencia,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selección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objetiva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uso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recursos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públicos.</w:t>
            </w:r>
            <w:r w:rsidRPr="001B3C5D">
              <w:rPr>
                <w:rFonts w:ascii="Verdana" w:eastAsia="Aptos" w:hAnsi="Verdana" w:cs="Times New Roman"/>
              </w:rPr>
              <w:t xml:space="preserve"> </w:t>
            </w:r>
          </w:p>
          <w:p w14:paraId="5A9AC229"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rPr>
              <w:t xml:space="preserve">Concretamente, la competencia prevista en el artículo 1 de la Ley 2022 de 2020, se ejerció mediante la expedición de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Resolución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160</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2020</w:t>
            </w:r>
            <w:r w:rsidRPr="001B3C5D">
              <w:rPr>
                <w:rFonts w:ascii="Verdana" w:eastAsia="Aptos" w:hAnsi="Verdana" w:cs="Times New Roman"/>
              </w:rPr>
              <w:t xml:space="preserve"> del 15 de septiembre de 2020 “Por la cual se adopta el procedimiento para implementar los documentos tipo y se define el sistema para su revisión”</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así</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como</w:t>
            </w:r>
            <w:r w:rsidRPr="001B3C5D">
              <w:rPr>
                <w:rFonts w:ascii="Verdana" w:eastAsia="Aptos" w:hAnsi="Verdana" w:cs="Times New Roman"/>
              </w:rPr>
              <w:t xml:space="preserve"> con la expedición de </w:t>
            </w:r>
            <w:r w:rsidRPr="001B3C5D">
              <w:rPr>
                <w:rFonts w:ascii="Verdana" w:eastAsia="Aptos" w:hAnsi="Verdana" w:cs="Times New Roman"/>
                <w:kern w:val="2"/>
                <w14:ligatures w14:val="standardContextual"/>
              </w:rPr>
              <w:t>múltiples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resoluciones</w:t>
            </w:r>
            <w:r w:rsidRPr="001B3C5D">
              <w:rPr>
                <w:rFonts w:ascii="Verdana" w:eastAsia="Aptos" w:hAnsi="Verdana" w:cs="Times New Roman"/>
              </w:rPr>
              <w:t xml:space="preserve"> –señaladas en el numeral i de este concepto– mediante las cuales se adoptaron documentos tipo por parte de la Agencia Nacional de Contratación Pública – Colombia Compra Eficiente en diferentes modalidades de selección y sectores, en las cuales, además, se </w:t>
            </w:r>
            <w:r w:rsidRPr="001B3C5D">
              <w:rPr>
                <w:rFonts w:ascii="Verdana" w:eastAsia="Aptos" w:hAnsi="Verdana" w:cs="Times New Roman"/>
                <w:kern w:val="2"/>
                <w14:ligatures w14:val="standardContextual"/>
              </w:rPr>
              <w:t>reitera</w:t>
            </w:r>
            <w:r w:rsidRPr="001B3C5D">
              <w:rPr>
                <w:rFonts w:ascii="Verdana" w:eastAsia="Aptos" w:hAnsi="Verdana" w:cs="Times New Roman"/>
              </w:rPr>
              <w:t xml:space="preserve"> el </w:t>
            </w:r>
            <w:r w:rsidRPr="001B3C5D">
              <w:rPr>
                <w:rFonts w:ascii="Verdana" w:eastAsia="Aptos" w:hAnsi="Verdana" w:cs="Times New Roman"/>
                <w:kern w:val="2"/>
                <w14:ligatures w14:val="standardContextual"/>
              </w:rPr>
              <w:t>carácter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obligatorio</w:t>
            </w:r>
            <w:r w:rsidRPr="001B3C5D">
              <w:rPr>
                <w:rFonts w:ascii="Verdana" w:eastAsia="Aptos" w:hAnsi="Verdana" w:cs="Times New Roman"/>
              </w:rPr>
              <w:t xml:space="preserve"> de estos documentos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se </w:t>
            </w:r>
            <w:r w:rsidRPr="001B3C5D">
              <w:rPr>
                <w:rFonts w:ascii="Verdana" w:eastAsia="Aptos" w:hAnsi="Verdana" w:cs="Times New Roman"/>
                <w:kern w:val="2"/>
                <w14:ligatures w14:val="standardContextual"/>
              </w:rPr>
              <w:t>establecen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específicas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p>
          <w:p w14:paraId="7E178A30"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 xml:space="preserve">En este sentido, las resoluciones mediante las cuales la Agencia Nacional de Contratación Pública – Colombia Compra Eficiente adoptó documentos tipo, </w:t>
            </w:r>
            <w:r w:rsidRPr="001B3C5D">
              <w:rPr>
                <w:rFonts w:ascii="Verdana" w:eastAsia="Aptos" w:hAnsi="Verdana" w:cs="Times New Roman"/>
                <w:kern w:val="2"/>
                <w14:ligatures w14:val="standardContextual"/>
              </w:rPr>
              <w:t>consolida</w:t>
            </w:r>
            <w:r w:rsidRPr="001B3C5D">
              <w:rPr>
                <w:rFonts w:ascii="Verdana" w:eastAsia="Aptos" w:hAnsi="Verdana" w:cs="Times New Roman"/>
              </w:rPr>
              <w:t xml:space="preserve">n </w:t>
            </w:r>
            <w:r w:rsidRPr="001B3C5D">
              <w:rPr>
                <w:rFonts w:ascii="Verdana" w:eastAsia="Aptos" w:hAnsi="Verdana" w:cs="Times New Roman"/>
                <w:kern w:val="2"/>
                <w14:ligatures w14:val="standardContextual"/>
              </w:rPr>
              <w:t>un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estandarizado</w:t>
            </w:r>
            <w:r w:rsidRPr="001B3C5D">
              <w:rPr>
                <w:rFonts w:ascii="Verdana" w:eastAsia="Aptos" w:hAnsi="Verdana" w:cs="Times New Roman"/>
              </w:rPr>
              <w:t xml:space="preserve"> –en las modalidades y sectores adoptados–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estatales</w:t>
            </w:r>
            <w:r w:rsidRPr="001B3C5D">
              <w:rPr>
                <w:rFonts w:ascii="Verdana" w:eastAsia="Aptos" w:hAnsi="Verdana" w:cs="Times New Roman"/>
              </w:rPr>
              <w:t xml:space="preserve"> obligadas a la aplicación </w:t>
            </w:r>
            <w:r w:rsidRPr="001B3C5D">
              <w:rPr>
                <w:rFonts w:ascii="Verdana" w:eastAsia="Aptos" w:hAnsi="Verdana" w:cs="Times New Roman"/>
                <w:kern w:val="2"/>
                <w14:ligatures w14:val="standardContextual"/>
              </w:rPr>
              <w:t>deben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sujetarse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estricta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definidas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instrumentos,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particularmente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relacionado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requisitos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habilitantes,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factores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evaluación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ponderación.</w:t>
            </w:r>
          </w:p>
          <w:p w14:paraId="681D57D5"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Lo dispuesto en el párrafo precedente, es consecuente con lo desarrollado en el punto tres (</w:t>
            </w:r>
            <w:proofErr w:type="spellStart"/>
            <w:r w:rsidRPr="001B3C5D">
              <w:rPr>
                <w:rFonts w:ascii="Verdana" w:eastAsia="Aptos" w:hAnsi="Verdana" w:cs="Times New Roman"/>
              </w:rPr>
              <w:t>iii</w:t>
            </w:r>
            <w:proofErr w:type="spellEnd"/>
            <w:r w:rsidRPr="001B3C5D">
              <w:rPr>
                <w:rFonts w:ascii="Verdana" w:eastAsia="Aptos" w:hAnsi="Verdana" w:cs="Times New Roman"/>
              </w:rPr>
              <w:t xml:space="preserve">) de la parte considerativa de este concepto. En este se indicó que, sobre los documentos tipo expedidos por la Agencia Nacional de Contratación Pública – Colombia Compra Eficiente, recae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inalterabilidad</w:t>
            </w:r>
            <w:r w:rsidRPr="001B3C5D">
              <w:rPr>
                <w:rFonts w:ascii="Verdana" w:eastAsia="Aptos" w:hAnsi="Verdana" w:cs="Times New Roman"/>
              </w:rPr>
              <w:t>.</w:t>
            </w:r>
          </w:p>
          <w:p w14:paraId="48BF8515"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Considerando lo anterior, s</w:t>
            </w:r>
            <w:r w:rsidRPr="001B3C5D">
              <w:rPr>
                <w:rFonts w:ascii="Verdana" w:eastAsia="Aptos" w:hAnsi="Verdana" w:cs="Times New Roman"/>
                <w:kern w:val="2"/>
                <w14:ligatures w14:val="standardContextual"/>
              </w:rPr>
              <w:t>i</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bien</w:t>
            </w:r>
            <w:r w:rsidRPr="001B3C5D">
              <w:rPr>
                <w:rFonts w:ascii="Verdana" w:eastAsia="Aptos" w:hAnsi="Verdana" w:cs="Times New Roman"/>
              </w:rPr>
              <w:t xml:space="preserve"> es cierto que,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establece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rige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siguiente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publicación,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determina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vigencia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inmediata,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ámbito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sometidos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lastRenderedPageBreak/>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debe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interpretarse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sistemática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armónica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régimen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regula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instrumentos</w:t>
            </w:r>
            <w:r w:rsidRPr="001B3C5D">
              <w:rPr>
                <w:rFonts w:ascii="Verdana" w:eastAsia="Aptos" w:hAnsi="Verdana" w:cs="Times New Roman"/>
              </w:rPr>
              <w:t>, esto es, lo señalado en el artículo 1 de la Ley 2022 de 2020 y su desarrollo reglamentario a través de cada una de las Resoluciones expedidas por la Agencia Nacional de Contratación Pública – Colombia Compra Eficiente mediante las cuales, se han implementados documentos tipo</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efecto,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dado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contienen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obligatoria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requisitos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habilitantes,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factores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evaluación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criterios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escogencia,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estatales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cuentan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modificarlos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complementarlos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autónoma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fin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directamente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D</w:t>
            </w:r>
            <w:r w:rsidRPr="001B3C5D">
              <w:rPr>
                <w:rFonts w:ascii="Verdana" w:eastAsia="Aptos" w:hAnsi="Verdana" w:cs="Times New Roman"/>
                <w:kern w:val="2"/>
                <w14:ligatures w14:val="standardContextual"/>
              </w:rPr>
              <w:t>ecreto</w:t>
            </w:r>
            <w:r w:rsidRPr="001B3C5D">
              <w:rPr>
                <w:rFonts w:ascii="Verdana" w:eastAsia="Aptos" w:hAnsi="Verdana" w:cs="Times New Roman"/>
              </w:rPr>
              <w:t xml:space="preserve"> en mención</w:t>
            </w:r>
            <w:r w:rsidRPr="001B3C5D">
              <w:rPr>
                <w:rFonts w:ascii="Verdana" w:eastAsia="Aptos" w:hAnsi="Verdana" w:cs="Times New Roman"/>
                <w:kern w:val="2"/>
                <w14:ligatures w14:val="standardContextual"/>
              </w:rPr>
              <w:t>.</w:t>
            </w:r>
          </w:p>
          <w:p w14:paraId="76615662"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P</w:t>
            </w:r>
            <w:r w:rsidRPr="001B3C5D">
              <w:rPr>
                <w:rFonts w:ascii="Verdana" w:eastAsia="Aptos" w:hAnsi="Verdana" w:cs="Times New Roman"/>
                <w:kern w:val="2"/>
                <w14:ligatures w14:val="standardContextual"/>
              </w:rPr>
              <w:t>ermitir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introduzca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ajustes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inmediata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implicaría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desconocer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exclusiva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atribuida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legislador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mediante la expedición de la Ley 2022 de 2020</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así</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inalterabilidad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rige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estos</w:t>
            </w:r>
            <w:r w:rsidRPr="001B3C5D">
              <w:rPr>
                <w:rFonts w:ascii="Verdana" w:eastAsia="Aptos" w:hAnsi="Verdana" w:cs="Times New Roman"/>
              </w:rPr>
              <w:t xml:space="preserve"> documentos</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Además,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generaría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fragmentación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afectando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principios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igualdad,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transparencia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selección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objetiva,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contractuales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similares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podrían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regirse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distintas,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dependiendo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adelante</w:t>
            </w:r>
            <w:r w:rsidRPr="001B3C5D">
              <w:rPr>
                <w:rFonts w:ascii="Verdana" w:eastAsia="Aptos" w:hAnsi="Verdana" w:cs="Times New Roman"/>
              </w:rPr>
              <w:t xml:space="preserve"> y la forma como incorporó las previsiones contenidas en el Decreto 287 de 2026 a los procesos de selección regidos por documentos tipo</w:t>
            </w:r>
            <w:r w:rsidRPr="001B3C5D">
              <w:rPr>
                <w:rFonts w:ascii="Verdana" w:eastAsia="Aptos" w:hAnsi="Verdana" w:cs="Times New Roman"/>
                <w:kern w:val="2"/>
                <w14:ligatures w14:val="standardContextual"/>
              </w:rPr>
              <w:t>.</w:t>
            </w:r>
          </w:p>
          <w:p w14:paraId="0F3BF30D"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Desde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perspectiva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técnica,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constituyen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integral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articulado,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requisitos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habilitantes,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factores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evaluación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contractuales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encuentran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interrelacionados.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consecuencia,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aislada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modificaciones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podría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generar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inconsistencias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desajustes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afectando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coherencia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contractual.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razón,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2022</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2020</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prevé</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adopción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actualización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realice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mediante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procedimientos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estructurados,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coordinados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participativos,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cargo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w:t>
            </w:r>
            <w:r w:rsidRPr="001B3C5D">
              <w:rPr>
                <w:rFonts w:ascii="Verdana" w:eastAsia="Aptos" w:hAnsi="Verdana" w:cs="Times New Roman"/>
              </w:rPr>
              <w:t>ncia Nacional de Contratación Pública – Colombia Compra Eficiente</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quien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cuenta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capacidad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técnica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adecuada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integración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nuevas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como por ejemplo el Decreto 287 de 2026. </w:t>
            </w:r>
          </w:p>
          <w:p w14:paraId="09E80089"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kern w:val="2"/>
                <w14:ligatures w14:val="standardContextual"/>
              </w:rPr>
              <w:t>Adicionalmente,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propio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en el artículo 1 que modifica el artículo 2.2.1.2.4.2.7.8 al Decreto 1082 de 2015, </w:t>
            </w:r>
            <w:r w:rsidRPr="001B3C5D">
              <w:rPr>
                <w:rFonts w:ascii="Verdana" w:eastAsia="Aptos" w:hAnsi="Verdana" w:cs="Times New Roman"/>
                <w:kern w:val="2"/>
                <w14:ligatures w14:val="standardContextual"/>
              </w:rPr>
              <w:t>reconoce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necesidad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disponer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lastRenderedPageBreak/>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 garantizará la adopción permanente de las acciones necesarias para que las medidas señaladas en esta subsección se incorporen a los documentos e instrumentos que genera</w:t>
            </w:r>
            <w:r w:rsidRPr="001B3C5D">
              <w:rPr>
                <w:rFonts w:ascii="Aptos" w:eastAsia="Aptos" w:hAnsi="Aptos" w:cs="Times New Roman"/>
              </w:rPr>
              <w:t>”</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confirma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operatividad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ámbito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depende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desarrollo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w:t>
            </w:r>
            <w:r w:rsidRPr="001B3C5D">
              <w:rPr>
                <w:rFonts w:ascii="Verdana" w:eastAsia="Aptos" w:hAnsi="Verdana" w:cs="Times New Roman"/>
              </w:rPr>
              <w:t xml:space="preserve"> </w:t>
            </w:r>
          </w:p>
          <w:p w14:paraId="24692DD6"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721028B5"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consecuencia,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aunque</w:t>
            </w:r>
            <w:r w:rsidRPr="001B3C5D">
              <w:rPr>
                <w:rFonts w:ascii="Verdana" w:eastAsia="Aptos" w:hAnsi="Verdana" w:cs="Times New Roman"/>
              </w:rPr>
              <w:t xml:space="preserve"> de acuerdo con el artículo 2 del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este “(…) rige a partir del día siguiente a su publicación (…)”</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contracción </w:t>
            </w:r>
            <w:r w:rsidRPr="001B3C5D">
              <w:rPr>
                <w:rFonts w:ascii="Verdana" w:eastAsia="Aptos" w:hAnsi="Verdana" w:cs="Times New Roman"/>
                <w:kern w:val="2"/>
                <w14:ligatures w14:val="standardContextual"/>
              </w:rPr>
              <w:t>regidos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encuentra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formal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instrumentos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Así, s</w:t>
            </w:r>
            <w:r w:rsidRPr="001B3C5D">
              <w:rPr>
                <w:rFonts w:ascii="Verdana" w:eastAsia="Aptos" w:hAnsi="Verdana" w:cs="Times New Roman"/>
                <w:kern w:val="2"/>
                <w14:ligatures w14:val="standardContextual"/>
              </w:rPr>
              <w:t>olo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mediante la modificación a los documentos tipo, </w:t>
            </w:r>
            <w:r w:rsidRPr="001B3C5D">
              <w:rPr>
                <w:rFonts w:ascii="Verdana" w:eastAsia="Aptos" w:hAnsi="Verdana" w:cs="Times New Roman"/>
                <w:kern w:val="2"/>
                <w14:ligatures w14:val="standardContextual"/>
              </w:rPr>
              <w: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posible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uniforme,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coherente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jurídicamente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válida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afirmativas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previstas,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desconocer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distribución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establecida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legislador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ni</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estructura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normativa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compras y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p>
          <w:p w14:paraId="70F689E8"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conclusión,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implementación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relación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puede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realizarse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directa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estatales</w:t>
            </w:r>
            <w:r w:rsidRPr="001B3C5D">
              <w:rPr>
                <w:rFonts w:ascii="Verdana" w:eastAsia="Aptos" w:hAnsi="Verdana" w:cs="Times New Roman"/>
              </w:rPr>
              <w:t xml:space="preserve"> que obligatoriamente deben aplicarlos</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requiere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necesariamente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desarrollo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ejercicio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atribuida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2022</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2020,</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así</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coherencia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respeto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jerarquía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normativa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efectividad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orientadas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inclusión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personas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discapacidad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el sistema de compras y contratación pública. </w:t>
            </w:r>
          </w:p>
          <w:p w14:paraId="3D1587B0"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rPr>
              <w:t xml:space="preserve">Finalmente, debe indicarse que, la Agencia Nacional de Contratación Pública – Colombia Compra Eficiente se encuentra trabajando en la incorporación de los criterios establecidos en el Decreto 287 de 2026 en los </w:t>
            </w:r>
            <w:r w:rsidRPr="001B3C5D">
              <w:rPr>
                <w:rFonts w:ascii="Verdana" w:eastAsia="Aptos" w:hAnsi="Verdana" w:cs="Times New Roman"/>
              </w:rPr>
              <w:lastRenderedPageBreak/>
              <w:t>documentos tipo, lo que implica agotar el procedimiento previsto en la Resolución 160 de 2020 que establece el sistema para su revisión de estos documentos y la adopción de las modificaciones a que haya lugar mediante acto administrativo motivado.</w:t>
            </w:r>
          </w:p>
          <w:p w14:paraId="3F9441B7" w14:textId="7E032EE5" w:rsidR="00630A93" w:rsidRPr="00670CFB" w:rsidRDefault="007A5381" w:rsidP="007A5381">
            <w:pPr>
              <w:spacing w:before="120" w:after="120" w:line="276" w:lineRule="auto"/>
              <w:ind w:firstLine="709"/>
              <w:jc w:val="both"/>
              <w:rPr>
                <w:rFonts w:ascii="Verdana" w:eastAsia="Calibri" w:hAnsi="Verdana" w:cs="Arial"/>
              </w:rPr>
            </w:pPr>
            <w:r w:rsidRPr="001B3C5D">
              <w:rPr>
                <w:rFonts w:ascii="Verdana" w:eastAsia="Aptos" w:hAnsi="Verdana" w:cs="Times New Roman"/>
              </w:rPr>
              <w:t>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w:t>
            </w:r>
          </w:p>
        </w:tc>
      </w:tr>
    </w:tbl>
    <w:p w14:paraId="6914BB7C"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bCs/>
          <w:color w:val="ED7D31" w:themeColor="accent2"/>
          <w:lang w:val="es-ES"/>
        </w:rPr>
      </w:pPr>
    </w:p>
    <w:p w14:paraId="5B697DCE"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lang w:val="es-ES"/>
        </w:rPr>
      </w:pPr>
      <w:r w:rsidRPr="00206556">
        <w:rPr>
          <w:rFonts w:ascii="Verdana" w:eastAsia="Century Gothic" w:hAnsi="Verdana" w:cs="Century Gothic"/>
          <w:b/>
          <w:lang w:val="es-ES"/>
        </w:rPr>
        <w:t>3. Razones de la respuesta:</w:t>
      </w:r>
    </w:p>
    <w:p w14:paraId="790C280A"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color w:val="ED7D31" w:themeColor="accent2"/>
          <w:lang w:val="es-ES"/>
        </w:rPr>
      </w:pPr>
    </w:p>
    <w:p w14:paraId="62691086" w14:textId="77777777" w:rsidR="008D5774" w:rsidRPr="00206556" w:rsidRDefault="008D5774" w:rsidP="008D5774">
      <w:pPr>
        <w:spacing w:after="0" w:line="276" w:lineRule="auto"/>
        <w:jc w:val="both"/>
        <w:rPr>
          <w:rFonts w:ascii="Verdana" w:eastAsia="Calibri" w:hAnsi="Verdana" w:cs="Arial"/>
          <w:lang w:val="es-ES"/>
        </w:rPr>
      </w:pPr>
      <w:r w:rsidRPr="00206556">
        <w:rPr>
          <w:rFonts w:ascii="Verdana" w:eastAsia="Calibri" w:hAnsi="Verdana" w:cs="Arial"/>
          <w:lang w:val="es-ES"/>
        </w:rPr>
        <w:t>Lo anterior se sustenta en las siguientes consideraciones:</w:t>
      </w:r>
    </w:p>
    <w:p w14:paraId="16FC2502" w14:textId="77777777" w:rsidR="001C2502" w:rsidRPr="00206556" w:rsidRDefault="001C2502" w:rsidP="008D5774">
      <w:pPr>
        <w:spacing w:after="0" w:line="276" w:lineRule="auto"/>
        <w:jc w:val="both"/>
        <w:rPr>
          <w:rFonts w:ascii="Verdana" w:eastAsia="Calibri" w:hAnsi="Verdana" w:cs="Arial"/>
          <w:lang w:val="es-ES"/>
        </w:rPr>
      </w:pPr>
    </w:p>
    <w:p w14:paraId="54B5CEB7" w14:textId="77777777" w:rsidR="001B077C" w:rsidRPr="001B3C5D" w:rsidRDefault="001B077C" w:rsidP="001B077C">
      <w:pPr>
        <w:spacing w:after="0" w:line="240" w:lineRule="auto"/>
        <w:jc w:val="both"/>
        <w:rPr>
          <w:rFonts w:ascii="Aptos" w:eastAsia="Aptos" w:hAnsi="Aptos" w:cs="Times New Roman"/>
          <w:kern w:val="2"/>
          <w:sz w:val="24"/>
          <w:szCs w:val="24"/>
          <w:lang w:val="es-MX"/>
          <w14:ligatures w14:val="standardContextual"/>
        </w:rPr>
      </w:pPr>
      <w:r w:rsidRPr="001B3C5D">
        <w:rPr>
          <w:rFonts w:ascii="Aptos" w:eastAsia="Aptos" w:hAnsi="Aptos" w:cs="Times New Roman"/>
          <w:kern w:val="2"/>
          <w:sz w:val="24"/>
          <w:szCs w:val="24"/>
          <w:lang w:val="es-ES"/>
          <w14:ligatures w14:val="standardContextual"/>
        </w:rPr>
        <w:t xml:space="preserve">i. </w:t>
      </w:r>
      <w:r w:rsidRPr="001B3C5D">
        <w:rPr>
          <w:rFonts w:ascii="Verdana" w:eastAsia="Aptos" w:hAnsi="Verdana" w:cs="Times New Roman"/>
          <w:kern w:val="2"/>
          <w:lang w:val="es-MX"/>
          <w14:ligatures w14:val="standardContextual"/>
        </w:rPr>
        <w:t>El 22 de julio de 2020 se sancionó la Ley 2022, por medio de la cual se modificó el artículo 4 de la Ley 1882 de 2018. El objetivo de la modificación consiste en que los documentos tipo sean un referente obligatorio en la elaboración de cualquier pliego de condiciones y no solo en los relacionados con procesos de obra pública. De igual manera, busca que el contrato estatal pueda ser utilizado racionalmente como instrumento de ejecución de los recursos públicos, para garantizar el cumplimiento de los fines del Estado y la satisfacción de las necesidades de la comunidad</w:t>
      </w:r>
      <w:r w:rsidRPr="001B3C5D">
        <w:rPr>
          <w:rFonts w:ascii="Verdana" w:eastAsia="Aptos" w:hAnsi="Verdana" w:cs="Times New Roman"/>
          <w:kern w:val="2"/>
          <w:vertAlign w:val="superscript"/>
          <w:lang w:val="es-MX"/>
          <w14:ligatures w14:val="standardContextual"/>
        </w:rPr>
        <w:footnoteReference w:id="11"/>
      </w:r>
      <w:r w:rsidRPr="001B3C5D">
        <w:rPr>
          <w:rFonts w:ascii="Verdana" w:eastAsia="Aptos" w:hAnsi="Verdana" w:cs="Times New Roman"/>
          <w:kern w:val="2"/>
          <w:lang w:val="es-MX"/>
          <w14:ligatures w14:val="standardContextual"/>
        </w:rPr>
        <w:t>.</w:t>
      </w:r>
      <w:r w:rsidRPr="001B3C5D">
        <w:rPr>
          <w:rFonts w:ascii="Aptos" w:eastAsia="Aptos" w:hAnsi="Aptos" w:cs="Times New Roman"/>
          <w:kern w:val="2"/>
          <w:sz w:val="24"/>
          <w:szCs w:val="24"/>
          <w:lang w:val="es-MX"/>
          <w14:ligatures w14:val="standardContextual"/>
        </w:rPr>
        <w:t xml:space="preserve"> </w:t>
      </w:r>
    </w:p>
    <w:p w14:paraId="5DC8180C" w14:textId="77777777" w:rsidR="001B077C" w:rsidRPr="001B3C5D" w:rsidRDefault="001B077C" w:rsidP="001B077C">
      <w:pPr>
        <w:tabs>
          <w:tab w:val="left" w:pos="709"/>
        </w:tabs>
        <w:spacing w:before="120" w:after="120" w:line="276" w:lineRule="auto"/>
        <w:ind w:firstLine="642"/>
        <w:jc w:val="both"/>
        <w:rPr>
          <w:rFonts w:ascii="Verdana" w:eastAsia="Calibri" w:hAnsi="Verdana" w:cs="Arial"/>
          <w:color w:val="000000"/>
          <w:lang w:val="es-MX"/>
        </w:rPr>
      </w:pPr>
      <w:r w:rsidRPr="001B3C5D">
        <w:rPr>
          <w:rFonts w:ascii="Verdana" w:eastAsia="Calibri" w:hAnsi="Verdana" w:cs="Arial"/>
          <w:color w:val="000000"/>
          <w:lang w:val="es-MX"/>
        </w:rPr>
        <w:t>La norma 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w:t>
      </w:r>
      <w:r w:rsidRPr="001B3C5D">
        <w:rPr>
          <w:rFonts w:ascii="Verdana" w:eastAsia="Calibri" w:hAnsi="Verdana" w:cs="Arial"/>
          <w:color w:val="000000"/>
          <w:vertAlign w:val="superscript"/>
          <w:lang w:val="es-MX"/>
        </w:rPr>
        <w:footnoteReference w:id="12"/>
      </w:r>
      <w:r w:rsidRPr="001B3C5D">
        <w:rPr>
          <w:rFonts w:ascii="Verdana" w:eastAsia="Calibri" w:hAnsi="Verdana" w:cs="Arial"/>
          <w:color w:val="000000"/>
          <w:lang w:val="es-MX"/>
        </w:rPr>
        <w:t xml:space="preserve">. Así mismo, señala que, dentro de estos documentos tipo se </w:t>
      </w:r>
      <w:r w:rsidRPr="001B3C5D">
        <w:rPr>
          <w:rFonts w:ascii="Verdana" w:eastAsia="Calibri" w:hAnsi="Verdana" w:cs="Arial"/>
          <w:color w:val="000000"/>
          <w:lang w:val="es-MX"/>
        </w:rPr>
        <w:lastRenderedPageBreak/>
        <w:t>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604F6ED5" w14:textId="77777777" w:rsidR="001B077C" w:rsidRPr="001B3C5D" w:rsidRDefault="001B077C" w:rsidP="001B077C">
      <w:pPr>
        <w:spacing w:before="120" w:after="120" w:line="276" w:lineRule="auto"/>
        <w:ind w:firstLine="642"/>
        <w:jc w:val="both"/>
        <w:rPr>
          <w:rFonts w:ascii="Verdana" w:eastAsia="Calibri" w:hAnsi="Verdana" w:cs="Arial"/>
          <w:color w:val="000000"/>
          <w:lang w:val="es-MX"/>
        </w:rPr>
      </w:pPr>
      <w:r w:rsidRPr="001B3C5D">
        <w:rPr>
          <w:rFonts w:ascii="Verdana" w:eastAsia="Calibri" w:hAnsi="Verdana" w:cs="Arial"/>
          <w:color w:val="000000"/>
          <w:lang w:val="es-MX"/>
        </w:rPr>
        <w:t xml:space="preserve">Por su parte, indica que, con el ánimo de promover la descentralización, el empleo local, el desarrollo, los servicios e industria local, en la adopción de los documentos tipo, se tendrán en cuenta las características propias de las regiones, la cuantía, el fomento de la economía local y la naturaleza y especialidad de la contratación. Para tal efecto se deberá llevar a cabo un proceso de capacitación para los municipios. </w:t>
      </w:r>
    </w:p>
    <w:p w14:paraId="625BBF7D" w14:textId="77777777" w:rsidR="001B077C" w:rsidRPr="001B3C5D" w:rsidRDefault="001B077C" w:rsidP="001B077C">
      <w:pPr>
        <w:spacing w:before="120" w:after="120" w:line="276" w:lineRule="auto"/>
        <w:ind w:firstLine="360"/>
        <w:jc w:val="both"/>
        <w:rPr>
          <w:rFonts w:ascii="Verdana" w:eastAsia="Calibri" w:hAnsi="Verdana" w:cs="Arial"/>
          <w:color w:val="000000"/>
          <w:lang w:val="es-MX"/>
        </w:rPr>
      </w:pPr>
      <w:r w:rsidRPr="001B3C5D">
        <w:rPr>
          <w:rFonts w:ascii="Verdana" w:eastAsia="Calibri" w:hAnsi="Verdana" w:cs="Arial"/>
          <w:color w:val="000000"/>
          <w:lang w:val="es-MX"/>
        </w:rPr>
        <w:t xml:space="preserve"> 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74CDFDA4" w14:textId="77777777" w:rsidR="001B077C" w:rsidRPr="001B3C5D" w:rsidRDefault="001B077C" w:rsidP="001B077C">
      <w:pPr>
        <w:spacing w:before="120" w:after="120" w:line="276" w:lineRule="auto"/>
        <w:ind w:firstLine="642"/>
        <w:jc w:val="both"/>
        <w:rPr>
          <w:rFonts w:ascii="Verdana" w:eastAsia="Calibri" w:hAnsi="Verdana" w:cs="Arial"/>
          <w:color w:val="000000"/>
          <w:lang w:val="es-MX"/>
        </w:rPr>
      </w:pPr>
      <w:r w:rsidRPr="001B3C5D">
        <w:rPr>
          <w:rFonts w:ascii="Verdana" w:eastAsia="Calibri" w:hAnsi="Verdana" w:cs="Arial"/>
          <w:color w:val="000000"/>
          <w:lang w:val="es-MX"/>
        </w:rPr>
        <w:t xml:space="preserve">La norma señala que, en todo caso, serán de uso obligatorio los documentos tipo para los pliegos de condiciones de los procesos de selección de obras públicas, interventoría para las obras públicas, interventoría para consultoría de estudios y diseños para obras públicas, consultoría e ingeniería para obras, que llevan a cabo todas las entidades sometidas al Estatuto General de Contratación de la Administración Pública, es decir, aquellas entidades </w:t>
      </w:r>
      <w:r w:rsidRPr="001B3C5D">
        <w:rPr>
          <w:rFonts w:ascii="Verdana" w:eastAsia="Calibri" w:hAnsi="Verdana" w:cs="Arial"/>
          <w:color w:val="000000"/>
          <w:lang w:val="es-MX"/>
        </w:rPr>
        <w:lastRenderedPageBreak/>
        <w:t>estatales mencionadas en el artículo 2º de la Ley 80 de 1993</w:t>
      </w:r>
      <w:r w:rsidRPr="001B3C5D">
        <w:rPr>
          <w:rFonts w:ascii="Verdana" w:eastAsia="Calibri" w:hAnsi="Verdana" w:cs="Arial"/>
          <w:color w:val="000000"/>
          <w:vertAlign w:val="superscript"/>
          <w:lang w:val="es-MX"/>
        </w:rPr>
        <w:footnoteReference w:id="13"/>
      </w:r>
      <w:r w:rsidRPr="001B3C5D">
        <w:rPr>
          <w:rFonts w:ascii="Verdana" w:eastAsia="Calibri" w:hAnsi="Verdana" w:cs="Arial"/>
          <w:color w:val="000000"/>
          <w:lang w:val="es-MX"/>
        </w:rPr>
        <w:t>. Esto significa, de una parte, que dichos documentos tipo tienen como fin servir como fuente obligatoria para la elaboración de los pliegos de condiciones y, de otra, que los documentos tipo adoptados por la Agencia son obligatorios por expreso mandato del legislador para las entidades sometidas a la Ley 80 de 1993.</w:t>
      </w:r>
    </w:p>
    <w:p w14:paraId="1D88779D" w14:textId="77777777" w:rsidR="001B077C" w:rsidRPr="001B3C5D" w:rsidRDefault="001B077C" w:rsidP="001B077C">
      <w:pPr>
        <w:spacing w:before="120" w:after="120" w:line="276" w:lineRule="auto"/>
        <w:ind w:firstLine="642"/>
        <w:jc w:val="both"/>
        <w:rPr>
          <w:rFonts w:ascii="Verdana" w:eastAsia="Aptos" w:hAnsi="Verdana" w:cs="Arial"/>
          <w:kern w:val="2"/>
          <w:lang w:val="es-ES"/>
          <w14:ligatures w14:val="standardContextual"/>
        </w:rPr>
      </w:pPr>
      <w:r w:rsidRPr="001B3C5D">
        <w:rPr>
          <w:rFonts w:ascii="Verdana" w:eastAsia="Calibri" w:hAnsi="Verdana" w:cs="Arial"/>
          <w:color w:val="000000"/>
          <w:lang w:val="es-MX"/>
        </w:rPr>
        <w:t xml:space="preserve">Con la finalidad de realizar un desarrollo armónico y ajustado a la ley que otorga esta competencia, la Agencia Nacional de Contratación Pública expidió la Resolución 160 del 15 de septiembre de 2020 “Por la cual se adopta el procedimiento para implementar los documentos tipo y se define el sistema para su revisión”. Asimismo, con fundamento en dicha Ley, se </w:t>
      </w:r>
      <w:r w:rsidRPr="001B3C5D">
        <w:rPr>
          <w:rFonts w:ascii="Verdana" w:eastAsia="Aptos" w:hAnsi="Verdana" w:cs="Arial"/>
          <w:kern w:val="2"/>
          <w:lang w:val="es-ES"/>
          <w14:ligatures w14:val="standardContextual"/>
        </w:rPr>
        <w:t>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17617F67" w14:textId="77777777" w:rsidR="001B077C" w:rsidRPr="001B3C5D" w:rsidRDefault="001B077C" w:rsidP="001B077C">
      <w:pPr>
        <w:spacing w:after="120" w:line="276" w:lineRule="auto"/>
        <w:ind w:firstLine="708"/>
        <w:jc w:val="both"/>
        <w:rPr>
          <w:rFonts w:ascii="Verdana" w:eastAsia="Calibri" w:hAnsi="Verdana" w:cs="Arial"/>
          <w:kern w:val="2"/>
          <w14:ligatures w14:val="standardContextual"/>
        </w:rPr>
      </w:pPr>
      <w:r w:rsidRPr="001B3C5D">
        <w:rPr>
          <w:rFonts w:ascii="Verdana" w:eastAsia="Aptos" w:hAnsi="Verdana" w:cs="Arial"/>
          <w:kern w:val="2"/>
          <w14:ligatures w14:val="standardContextual"/>
        </w:rPr>
        <w:t xml:space="preserve">Concretamente, con fundamento en el artículo 1 de la Ley 2022 de 2020, </w:t>
      </w:r>
      <w:r w:rsidRPr="001B3C5D">
        <w:rPr>
          <w:rFonts w:ascii="Verdana" w:eastAsia="Calibri" w:hAnsi="Verdana" w:cs="Arial"/>
          <w:kern w:val="2"/>
          <w:lang w:val="es-MX"/>
          <w14:ligatures w14:val="standardContextual"/>
        </w:rPr>
        <w:t xml:space="preserve">la Agencia Nacional de Contratación Pública – Colombia Compra </w:t>
      </w:r>
      <w:r w:rsidRPr="001B3C5D">
        <w:rPr>
          <w:rFonts w:ascii="Verdana" w:eastAsia="Calibri" w:hAnsi="Verdana" w:cs="Arial"/>
          <w:kern w:val="2"/>
          <w14:ligatures w14:val="standardContextual"/>
        </w:rPr>
        <w:t>Eficiente expidió los siguientes documentos tipo que se encuentran vigentes:</w:t>
      </w:r>
    </w:p>
    <w:p w14:paraId="12616332"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i. Sector de Infraestructura de Transporte:</w:t>
      </w:r>
    </w:p>
    <w:p w14:paraId="3D27214C"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456 del 10 de septiembre de 2024: “Por la cual se adopta la versión 4 de los documentos tipo para los procesos de selección de licitación de obra pública de infraestructura de transporte y se deroga la Resolución 240 de 2020”.</w:t>
      </w:r>
    </w:p>
    <w:p w14:paraId="213539ED"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lastRenderedPageBreak/>
        <w:t>Resolución 463 del 10 de septiembre de 2024: “Por la cual se adopta la versión 3 de los documentos tipo para los procesos de selección abreviada de menor cuantía de obra pública de infraestructura de transporte y se deroga la Resolución 241 de 2020”.</w:t>
      </w:r>
    </w:p>
    <w:p w14:paraId="11FC005C"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Resolución 464 del 10 de septiembre de 2024: “Por la cual se actualizan los documentos tipo para los procesos de obra pública de infraestructura de transporte adelantados bajo la modalidad de mínima cuantía”. </w:t>
      </w:r>
    </w:p>
    <w:p w14:paraId="0BA672F0"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725 del 19 de diciembre de 2024: “Por la cual se adopta la versión 3 de los documentos tipo para los procesos de selección de concurso de méritos para contratar la interventoría de obras públicas de infraestructura de transporte y se deroga la Resolución 326 de 2022”.</w:t>
      </w:r>
    </w:p>
    <w:p w14:paraId="0B94066E"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726 del 19 de diciembre de 2024: “Por la cual se adopta la versión 2 de los documentos tipo para los procesos de selección de concurso de méritos para contratar la consultoría de ingeniería de infraestructura de transporte y se deroga la Resolución 193 de 2021”.</w:t>
      </w:r>
    </w:p>
    <w:p w14:paraId="48C76800"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proofErr w:type="spellStart"/>
      <w:r w:rsidRPr="001B3C5D">
        <w:rPr>
          <w:rFonts w:ascii="Verdana" w:eastAsia="Aptos" w:hAnsi="Verdana" w:cs="Arial"/>
          <w:kern w:val="2"/>
          <w14:ligatures w14:val="standardContextual"/>
        </w:rPr>
        <w:t>ii</w:t>
      </w:r>
      <w:proofErr w:type="spellEnd"/>
      <w:r w:rsidRPr="001B3C5D">
        <w:rPr>
          <w:rFonts w:ascii="Verdana" w:eastAsia="Aptos" w:hAnsi="Verdana" w:cs="Arial"/>
          <w:kern w:val="2"/>
          <w14:ligatures w14:val="standardContextual"/>
        </w:rPr>
        <w:t>. Sector de Infraestructura de Agua Potable y Saneamiento Básico:</w:t>
      </w:r>
    </w:p>
    <w:p w14:paraId="24EDB120"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248 del 1 de diciembre de 2020: "Por la cual se adoptan los documentos tipo para los procesos de licitación pública para obras de infraestructura de agua potable y saneamiento básico"</w:t>
      </w:r>
    </w:p>
    <w:p w14:paraId="4DB0EC65"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 Resolución 249 del 1 de diciembre de 2020: “"Por la cual se adoptan los documentos tipo para los procesos de licitación pública para obras de infraestructura de agua potable y saneamiento básico en la modalidad de llave en mano".</w:t>
      </w:r>
    </w:p>
    <w:p w14:paraId="1769BB61"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Resolución 333 del 27 de julio de 2022: “Por la cual se adoptan los documentos tipo para los procesos de selección de concurso de méritos para contratar la interventoría de obras públicas de infraestructura de agua potable y saneamiento básico”.  </w:t>
      </w:r>
    </w:p>
    <w:p w14:paraId="4E46462A"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proofErr w:type="spellStart"/>
      <w:r w:rsidRPr="001B3C5D">
        <w:rPr>
          <w:rFonts w:ascii="Verdana" w:eastAsia="Aptos" w:hAnsi="Verdana" w:cs="Arial"/>
          <w:kern w:val="2"/>
          <w14:ligatures w14:val="standardContextual"/>
        </w:rPr>
        <w:t>iii</w:t>
      </w:r>
      <w:proofErr w:type="spellEnd"/>
      <w:r w:rsidRPr="001B3C5D">
        <w:rPr>
          <w:rFonts w:ascii="Verdana" w:eastAsia="Aptos" w:hAnsi="Verdana" w:cs="Arial"/>
          <w:kern w:val="2"/>
          <w14:ligatures w14:val="standardContextual"/>
        </w:rPr>
        <w:t xml:space="preserve">. Sector de Infraestructura Social: </w:t>
      </w:r>
    </w:p>
    <w:p w14:paraId="78FE8F7F"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i) Resolución 539 del 21 de agosto de 2015 "Por la cual se adopta la versión -2- de los documentos tipo para los procesos de selección de licitación de obra pública del sector de infraestructura social y se deroga la Resolución 219 de 2021; se adoptan los documentos tipo complementarios para los procesos de licitación de obra pública de infraestructura social relacionados con los sectores </w:t>
      </w:r>
      <w:r w:rsidRPr="001B3C5D">
        <w:rPr>
          <w:rFonts w:ascii="Verdana" w:eastAsia="Aptos" w:hAnsi="Verdana" w:cs="Arial"/>
          <w:kern w:val="2"/>
          <w14:ligatures w14:val="standardContextual"/>
        </w:rPr>
        <w:lastRenderedPageBreak/>
        <w:t>de educación, salud, cultura, recreación y deporte - versión 2 y se derogan las Resoluciones 220, 392 у 454 de 2021; y se adoptan los documentos tipo complementarios para los procesos de licitación de obra pública de infraestructura social relacionados con los sectores institucional y vivienda".</w:t>
      </w:r>
    </w:p>
    <w:p w14:paraId="58D3FDF6"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 </w:t>
      </w:r>
      <w:proofErr w:type="spellStart"/>
      <w:r w:rsidRPr="001B3C5D">
        <w:rPr>
          <w:rFonts w:ascii="Verdana" w:eastAsia="Aptos" w:hAnsi="Verdana" w:cs="Arial"/>
          <w:kern w:val="2"/>
          <w14:ligatures w14:val="standardContextual"/>
        </w:rPr>
        <w:t>ii</w:t>
      </w:r>
      <w:proofErr w:type="spellEnd"/>
      <w:r w:rsidRPr="001B3C5D">
        <w:rPr>
          <w:rFonts w:ascii="Verdana" w:eastAsia="Aptos" w:hAnsi="Verdana" w:cs="Arial"/>
          <w:kern w:val="2"/>
          <w14:ligatures w14:val="standardContextual"/>
        </w:rPr>
        <w:t>) Resolución 540 del 21 de agosto de 2025 "Por la cual se adoptan los documentos tipo para los procesos de selección abreviada de menor cuantía de obra pública de infraestructura social; y los documentos tipo complementarios para los procesos de selección abreviada de menor cuantía de obra pública de infraestructura social relacionados con los sectores educación, salud, cultura, recreación y deporte, institucional y vivienda".</w:t>
      </w:r>
    </w:p>
    <w:p w14:paraId="57C2A5E6"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proofErr w:type="spellStart"/>
      <w:r w:rsidRPr="001B3C5D">
        <w:rPr>
          <w:rFonts w:ascii="Verdana" w:eastAsia="Aptos" w:hAnsi="Verdana" w:cs="Arial"/>
          <w:kern w:val="2"/>
          <w14:ligatures w14:val="standardContextual"/>
        </w:rPr>
        <w:t>iii</w:t>
      </w:r>
      <w:proofErr w:type="spellEnd"/>
      <w:r w:rsidRPr="001B3C5D">
        <w:rPr>
          <w:rFonts w:ascii="Verdana" w:eastAsia="Aptos" w:hAnsi="Verdana" w:cs="Arial"/>
          <w:kern w:val="2"/>
          <w14:ligatures w14:val="standardContextual"/>
        </w:rPr>
        <w:t xml:space="preserve">) Resolución 541 del 21 de agosto de 2025 “Por la cual se adoptan los documentos tipo para los procesos de mínima cuantía de obra pública de infraestructura social; y los documentos tipo complementarios para los procesos de mínima cuantía de obra pública de infraestructura social relacionados con los sectores educación, salud, cultura, recreación y deporte, institucional y vivienda”. </w:t>
      </w:r>
    </w:p>
    <w:p w14:paraId="61635918"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proofErr w:type="spellStart"/>
      <w:r w:rsidRPr="001B3C5D">
        <w:rPr>
          <w:rFonts w:ascii="Verdana" w:eastAsia="Aptos" w:hAnsi="Verdana" w:cs="Arial"/>
          <w:kern w:val="2"/>
          <w14:ligatures w14:val="standardContextual"/>
        </w:rPr>
        <w:t>iv</w:t>
      </w:r>
      <w:proofErr w:type="spellEnd"/>
      <w:r w:rsidRPr="001B3C5D">
        <w:rPr>
          <w:rFonts w:ascii="Verdana" w:eastAsia="Aptos" w:hAnsi="Verdana" w:cs="Arial"/>
          <w:kern w:val="2"/>
          <w14:ligatures w14:val="standardContextual"/>
        </w:rPr>
        <w:t>) Resolución 952 del 15 de diciembre de 2025 “Por la cual se adoptan los documentos tipo para los procesos de selección de concurso de méritos, para contratar la consultoría de estudios de ingeniería de infraestructura social; que agrupa los sectores de educación, salud, cultura, recreación y deporte, institucional y vivienda”.</w:t>
      </w:r>
    </w:p>
    <w:p w14:paraId="3B5DE72E"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v) Resolución 953 del 15 de diciembre de 2025 “Por la cual se adopta la versión - 2 de los documentos tipo transversales para los procesos de concurso de méritos para contratar la interventoría de obras públicas de infraestructura social, los documentos tipo complementarios para los procesos de concurso de méritos para contratar la interventoría de obras públicas de infraestructura social relacionados con el sector educación, salud, cultura, recreación y deporte, institucional y vivienda y se deroga la Resolución 798 del 29 de diciembre de 2023". </w:t>
      </w:r>
    </w:p>
    <w:p w14:paraId="1C7A940C"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proofErr w:type="spellStart"/>
      <w:r w:rsidRPr="001B3C5D">
        <w:rPr>
          <w:rFonts w:ascii="Verdana" w:eastAsia="Aptos" w:hAnsi="Verdana" w:cs="Arial"/>
          <w:kern w:val="2"/>
          <w14:ligatures w14:val="standardContextual"/>
        </w:rPr>
        <w:t>iv</w:t>
      </w:r>
      <w:proofErr w:type="spellEnd"/>
      <w:r w:rsidRPr="001B3C5D">
        <w:rPr>
          <w:rFonts w:ascii="Verdana" w:eastAsia="Aptos" w:hAnsi="Verdana" w:cs="Arial"/>
          <w:kern w:val="2"/>
          <w14:ligatures w14:val="standardContextual"/>
        </w:rPr>
        <w:t>. Documentos tipo para la contratación directa de convenios solidarios:</w:t>
      </w:r>
    </w:p>
    <w:p w14:paraId="258E5D03" w14:textId="77777777" w:rsidR="001B077C" w:rsidRPr="001B3C5D" w:rsidRDefault="001B077C" w:rsidP="001B077C">
      <w:pPr>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Arial"/>
          <w:kern w:val="2"/>
          <w14:ligatures w14:val="standardContextual"/>
        </w:rPr>
        <w:t>Resolución 358 del 30 de junio de 2023 “</w:t>
      </w:r>
      <w:r w:rsidRPr="001B3C5D">
        <w:rPr>
          <w:rFonts w:ascii="Verdana" w:eastAsia="Aptos" w:hAnsi="Verdana" w:cs="Times New Roman"/>
          <w:kern w:val="2"/>
          <w14:ligatures w14:val="standardContextual"/>
        </w:rPr>
        <w:t xml:space="preserve">Por la cual se adopta el documento tipo para la contratación directa de convenios solidarios para la ejecución de obras hasta la menor cuantía con organismos de acción comunal”. </w:t>
      </w:r>
    </w:p>
    <w:p w14:paraId="61930EF5" w14:textId="77777777" w:rsidR="001B077C" w:rsidRPr="001B3C5D" w:rsidRDefault="001B077C" w:rsidP="001B077C">
      <w:pPr>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lastRenderedPageBreak/>
        <w:t xml:space="preserve">v. Documentos tipo de gestión catastral: </w:t>
      </w:r>
    </w:p>
    <w:p w14:paraId="61B1C929"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Resolución 269 del 16 de diciembre de 2020 “Por la cual se adopta el documento tipo para los procesos de gestión catastral con enfoque multipropósito que se celebren a través de contratos interadministrativos”. </w:t>
      </w:r>
    </w:p>
    <w:p w14:paraId="7C7F02E8" w14:textId="77777777" w:rsidR="001B077C" w:rsidRPr="001B3C5D" w:rsidRDefault="001B077C" w:rsidP="001B077C">
      <w:pPr>
        <w:spacing w:after="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Las resoluciones señaladas reiteran el alcance de la obligatoriedad de los documentos tipo en la materia y establecen parámetros obligatorios para las entidades estatales obligadas a su aplicación, siempre que las actividades que se contraten estén incluidas en la “Matriz – Experiencia”, de acuerdo con el documento tipo a aplicar. Así, para determinar el ámbito de aplicación de los documentos tipo debe acudirse a la “Matriz – Experiencia”, en la que se contemplan las clases de obra aplicables al sector, sean de infraestructura de transporte, agua potable y saneamiento básico o infraestructura social.</w:t>
      </w:r>
    </w:p>
    <w:p w14:paraId="2F9F7665" w14:textId="77777777" w:rsidR="001B077C" w:rsidRPr="001B3C5D" w:rsidRDefault="001B077C" w:rsidP="001B077C">
      <w:pPr>
        <w:spacing w:after="0" w:line="276" w:lineRule="auto"/>
        <w:ind w:firstLine="708"/>
        <w:jc w:val="both"/>
        <w:rPr>
          <w:rFonts w:ascii="Verdana" w:eastAsia="Aptos" w:hAnsi="Verdana" w:cs="Arial"/>
          <w:kern w:val="2"/>
          <w14:ligatures w14:val="standardContextual"/>
        </w:rPr>
      </w:pPr>
    </w:p>
    <w:p w14:paraId="138DBAC4" w14:textId="77777777" w:rsidR="001B077C" w:rsidRPr="001B3C5D" w:rsidRDefault="001B077C" w:rsidP="001B077C">
      <w:pPr>
        <w:spacing w:after="0" w:line="276" w:lineRule="auto"/>
        <w:jc w:val="both"/>
        <w:rPr>
          <w:rFonts w:ascii="Verdana" w:eastAsia="Calibri" w:hAnsi="Verdana" w:cs="Arial"/>
          <w:color w:val="000000"/>
          <w:lang w:val="es-MX"/>
        </w:rPr>
      </w:pPr>
      <w:proofErr w:type="spellStart"/>
      <w:r w:rsidRPr="001B3C5D">
        <w:rPr>
          <w:rFonts w:ascii="Verdana" w:eastAsia="Aptos" w:hAnsi="Verdana" w:cs="Times New Roman"/>
          <w:color w:val="000000"/>
          <w:kern w:val="2"/>
          <w:szCs w:val="24"/>
          <w14:ligatures w14:val="standardContextual"/>
        </w:rPr>
        <w:t>ii</w:t>
      </w:r>
      <w:proofErr w:type="spellEnd"/>
      <w:r w:rsidRPr="001B3C5D">
        <w:rPr>
          <w:rFonts w:ascii="Verdana" w:eastAsia="Aptos" w:hAnsi="Verdana" w:cs="Times New Roman"/>
          <w:color w:val="000000"/>
          <w:kern w:val="2"/>
          <w:szCs w:val="24"/>
          <w14:ligatures w14:val="standardContextual"/>
        </w:rPr>
        <w:t>. La jurisprudencia de la Corte Constitucional</w:t>
      </w:r>
      <w:r w:rsidRPr="001B3C5D">
        <w:rPr>
          <w:rFonts w:ascii="Verdana" w:eastAsia="Aptos" w:hAnsi="Verdana" w:cs="Times New Roman"/>
          <w:color w:val="000000"/>
          <w:kern w:val="2"/>
          <w:szCs w:val="24"/>
          <w:vertAlign w:val="superscript"/>
          <w14:ligatures w14:val="standardContextual"/>
        </w:rPr>
        <w:footnoteReference w:id="14"/>
      </w:r>
      <w:r w:rsidRPr="001B3C5D">
        <w:rPr>
          <w:rFonts w:ascii="Verdana" w:eastAsia="Aptos" w:hAnsi="Verdana" w:cs="Times New Roman"/>
          <w:color w:val="000000"/>
          <w:kern w:val="2"/>
          <w:szCs w:val="24"/>
          <w14:ligatures w14:val="standardContextual"/>
        </w:rPr>
        <w:t xml:space="preserve"> y el Consejo de Estado</w:t>
      </w:r>
      <w:r w:rsidRPr="001B3C5D">
        <w:rPr>
          <w:rFonts w:ascii="Verdana" w:eastAsia="Aptos" w:hAnsi="Verdana" w:cs="Times New Roman"/>
          <w:color w:val="000000"/>
          <w:kern w:val="2"/>
          <w:szCs w:val="24"/>
          <w:vertAlign w:val="superscript"/>
          <w14:ligatures w14:val="standardContextual"/>
        </w:rPr>
        <w:footnoteReference w:id="15"/>
      </w:r>
      <w:r w:rsidRPr="001B3C5D">
        <w:rPr>
          <w:rFonts w:ascii="Verdana" w:eastAsia="Aptos" w:hAnsi="Verdana" w:cs="Times New Roman"/>
          <w:color w:val="000000"/>
          <w:kern w:val="2"/>
          <w:szCs w:val="24"/>
          <w14:ligatures w14:val="standardContextual"/>
        </w:rPr>
        <w:t xml:space="preserve"> coinciden en afirmar que la potestad reglamentaria no recae exclusivamente en el presidente de la República y que en Colombia opera un </w:t>
      </w:r>
      <w:r w:rsidRPr="001B3C5D">
        <w:rPr>
          <w:rFonts w:ascii="Verdana" w:eastAsia="Aptos" w:hAnsi="Verdana" w:cs="Times New Roman"/>
          <w:color w:val="000000"/>
          <w:kern w:val="2"/>
          <w:szCs w:val="24"/>
          <w:lang w:eastAsia="es-CO"/>
          <w14:ligatures w14:val="standardContextual"/>
        </w:rPr>
        <w:t>“</w:t>
      </w:r>
      <w:r w:rsidRPr="001B3C5D">
        <w:rPr>
          <w:rFonts w:ascii="Verdana" w:eastAsia="Aptos" w:hAnsi="Verdana" w:cs="Times New Roman"/>
          <w:color w:val="000000"/>
          <w:kern w:val="2"/>
          <w:szCs w:val="24"/>
          <w14:ligatures w14:val="standardContextual"/>
        </w:rPr>
        <w:t>sistema difuso</w:t>
      </w:r>
      <w:r w:rsidRPr="001B3C5D">
        <w:rPr>
          <w:rFonts w:ascii="Verdana" w:eastAsia="Aptos" w:hAnsi="Verdana" w:cs="Times New Roman"/>
          <w:color w:val="000000"/>
          <w:kern w:val="2"/>
          <w:szCs w:val="24"/>
          <w:lang w:eastAsia="es-CO"/>
          <w14:ligatures w14:val="standardContextual"/>
        </w:rPr>
        <w:t>”</w:t>
      </w:r>
      <w:r w:rsidRPr="001B3C5D">
        <w:rPr>
          <w:rFonts w:ascii="Verdana" w:eastAsia="Aptos" w:hAnsi="Verdana" w:cs="Times New Roman"/>
          <w:color w:val="000000"/>
          <w:kern w:val="2"/>
          <w:szCs w:val="24"/>
          <w14:ligatures w14:val="standardContextual"/>
        </w:rPr>
        <w:t xml:space="preserve"> de producción normativa de carácter general. </w:t>
      </w:r>
      <w:r w:rsidRPr="001B3C5D">
        <w:rPr>
          <w:rFonts w:ascii="Verdana" w:eastAsia="Aptos" w:hAnsi="Verdana" w:cs="Times New Roman"/>
          <w:color w:val="000000"/>
          <w:kern w:val="2"/>
          <w:szCs w:val="24"/>
          <w:lang w:eastAsia="es-CO"/>
          <w14:ligatures w14:val="standardContextual"/>
        </w:rPr>
        <w:t>Además, señalan que son dos los elementos fundamentales de la potestad reglamentaria, a saber:</w:t>
      </w:r>
    </w:p>
    <w:p w14:paraId="3F429BEA" w14:textId="77777777" w:rsidR="001B077C" w:rsidRPr="001B3C5D" w:rsidRDefault="001B077C" w:rsidP="001B077C">
      <w:pPr>
        <w:spacing w:after="0" w:line="276" w:lineRule="auto"/>
        <w:ind w:right="51"/>
        <w:jc w:val="both"/>
        <w:rPr>
          <w:rFonts w:ascii="Verdana" w:eastAsia="Times New Roman" w:hAnsi="Verdana" w:cs="Arial"/>
          <w:szCs w:val="24"/>
          <w:lang w:eastAsia="es-MX"/>
        </w:rPr>
      </w:pPr>
    </w:p>
    <w:p w14:paraId="79642803" w14:textId="77777777" w:rsidR="001B077C" w:rsidRPr="001B3C5D" w:rsidRDefault="001B077C" w:rsidP="001B077C">
      <w:pPr>
        <w:numPr>
          <w:ilvl w:val="0"/>
          <w:numId w:val="21"/>
        </w:numPr>
        <w:spacing w:after="0" w:line="276" w:lineRule="auto"/>
        <w:ind w:right="51"/>
        <w:contextualSpacing/>
        <w:jc w:val="both"/>
        <w:rPr>
          <w:rFonts w:ascii="Verdana" w:eastAsia="Times New Roman" w:hAnsi="Verdana" w:cs="Arial"/>
          <w:szCs w:val="24"/>
          <w:lang w:eastAsia="es-MX"/>
        </w:rPr>
      </w:pPr>
      <w:r w:rsidRPr="001B3C5D">
        <w:rPr>
          <w:rFonts w:ascii="Verdana" w:eastAsia="Times New Roman" w:hAnsi="Verdana" w:cs="Arial"/>
          <w:b/>
          <w:bCs/>
          <w:szCs w:val="24"/>
          <w:lang w:eastAsia="es-MX"/>
        </w:rPr>
        <w:t>Necesidad:</w:t>
      </w:r>
      <w:r w:rsidRPr="001B3C5D">
        <w:rPr>
          <w:rFonts w:ascii="Verdana" w:eastAsia="Times New Roman" w:hAnsi="Verdana" w:cs="Arial"/>
          <w:szCs w:val="24"/>
          <w:lang w:eastAsia="es-MX"/>
        </w:rPr>
        <w:t xml:space="preserve"> consiste en que el ejercicio de la potestad reglamentaria se justifica en la medida en que la ley deje espacios de regulación que necesitan llenarse para la ejecución de esta mediante la expedición de actos jurídicos de contenido normativo, pues el legislador puede, en virtud del principio de libertad de configuración legislativa, determinar libremente hasta dónde regula la materia respectiva</w:t>
      </w:r>
      <w:r w:rsidRPr="001B3C5D">
        <w:rPr>
          <w:rFonts w:ascii="Verdana" w:eastAsia="Times New Roman" w:hAnsi="Verdana" w:cs="Arial"/>
          <w:szCs w:val="24"/>
          <w:vertAlign w:val="superscript"/>
          <w:lang w:eastAsia="es-MX"/>
        </w:rPr>
        <w:footnoteReference w:id="16"/>
      </w:r>
      <w:r w:rsidRPr="001B3C5D">
        <w:rPr>
          <w:rFonts w:ascii="Verdana" w:eastAsia="Times New Roman" w:hAnsi="Verdana" w:cs="Arial"/>
          <w:szCs w:val="24"/>
          <w:vertAlign w:val="superscript"/>
          <w:lang w:eastAsia="es-MX"/>
        </w:rPr>
        <w:t>;</w:t>
      </w:r>
    </w:p>
    <w:p w14:paraId="125FEA49" w14:textId="77777777" w:rsidR="001B077C" w:rsidRPr="001B3C5D" w:rsidRDefault="001B077C" w:rsidP="001B077C">
      <w:pPr>
        <w:spacing w:after="0" w:line="276" w:lineRule="auto"/>
        <w:ind w:right="51"/>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 </w:t>
      </w:r>
    </w:p>
    <w:p w14:paraId="04ABBB47" w14:textId="77777777" w:rsidR="001B077C" w:rsidRPr="001B3C5D" w:rsidRDefault="001B077C" w:rsidP="001B077C">
      <w:pPr>
        <w:numPr>
          <w:ilvl w:val="0"/>
          <w:numId w:val="21"/>
        </w:numPr>
        <w:spacing w:after="0" w:line="276" w:lineRule="auto"/>
        <w:ind w:right="51"/>
        <w:contextualSpacing/>
        <w:jc w:val="both"/>
        <w:rPr>
          <w:rFonts w:ascii="Verdana" w:eastAsia="Times New Roman" w:hAnsi="Verdana" w:cs="Arial"/>
          <w:szCs w:val="24"/>
          <w:lang w:eastAsia="es-MX"/>
        </w:rPr>
      </w:pPr>
      <w:r w:rsidRPr="001B3C5D">
        <w:rPr>
          <w:rFonts w:ascii="Verdana" w:eastAsia="Times New Roman" w:hAnsi="Verdana" w:cs="Arial"/>
          <w:b/>
          <w:bCs/>
          <w:szCs w:val="24"/>
          <w:lang w:eastAsia="es-MX"/>
        </w:rPr>
        <w:t>Finalidad:</w:t>
      </w:r>
      <w:r w:rsidRPr="001B3C5D">
        <w:rPr>
          <w:rFonts w:ascii="Verdana" w:eastAsia="Times New Roman" w:hAnsi="Verdana" w:cs="Arial"/>
          <w:szCs w:val="24"/>
          <w:lang w:eastAsia="es-MX"/>
        </w:rPr>
        <w:t xml:space="preserve"> tiene que ver con el contenido material de los actos que se dicten en ejercicio de la potestad reglamentaria, pues los decretos y resoluciones expedidos por el Gobierno nacional en ejercicio de dicha </w:t>
      </w:r>
      <w:r w:rsidRPr="001B3C5D">
        <w:rPr>
          <w:rFonts w:ascii="Verdana" w:eastAsia="Times New Roman" w:hAnsi="Verdana" w:cs="Arial"/>
          <w:szCs w:val="24"/>
          <w:lang w:eastAsia="es-MX"/>
        </w:rPr>
        <w:lastRenderedPageBreak/>
        <w:t>potestad están subordinados a la ley, de manera que el reglamento no puede modificarla, ampliarla o restringir sus efectos. Este último elemento, está asociado al respeto del principio de supremacía normativa pues, el ordenamiento jurídico colombiano supone una jerarquía que emana de la propia Constitución</w:t>
      </w:r>
      <w:r w:rsidRPr="001B3C5D">
        <w:rPr>
          <w:rFonts w:ascii="Verdana" w:eastAsia="Times New Roman" w:hAnsi="Verdana" w:cs="Arial"/>
          <w:szCs w:val="24"/>
          <w:vertAlign w:val="superscript"/>
          <w:lang w:eastAsia="es-MX"/>
        </w:rPr>
        <w:footnoteReference w:id="17"/>
      </w:r>
      <w:r w:rsidRPr="001B3C5D">
        <w:rPr>
          <w:rFonts w:ascii="Verdana" w:eastAsia="Times New Roman" w:hAnsi="Verdana" w:cs="Arial"/>
          <w:szCs w:val="24"/>
          <w:lang w:eastAsia="es-MX"/>
        </w:rPr>
        <w:t>.</w:t>
      </w:r>
    </w:p>
    <w:p w14:paraId="4B3C5494" w14:textId="77777777" w:rsidR="001B077C" w:rsidRPr="001B3C5D" w:rsidRDefault="001B077C" w:rsidP="001B077C">
      <w:pPr>
        <w:spacing w:after="0" w:line="240" w:lineRule="auto"/>
        <w:ind w:left="357" w:right="51"/>
        <w:jc w:val="both"/>
        <w:rPr>
          <w:rFonts w:ascii="Verdana" w:eastAsia="Times New Roman" w:hAnsi="Verdana" w:cs="Arial"/>
          <w:szCs w:val="24"/>
          <w:lang w:eastAsia="es-MX"/>
        </w:rPr>
      </w:pPr>
    </w:p>
    <w:p w14:paraId="64859E09" w14:textId="77777777" w:rsidR="001B077C" w:rsidRPr="001B3C5D" w:rsidRDefault="001B077C" w:rsidP="001B077C">
      <w:pPr>
        <w:spacing w:after="0" w:line="276" w:lineRule="auto"/>
        <w:ind w:right="50" w:firstLine="708"/>
        <w:jc w:val="both"/>
        <w:rPr>
          <w:rFonts w:ascii="Verdana" w:eastAsia="Times New Roman" w:hAnsi="Verdana" w:cs="Arial"/>
          <w:szCs w:val="24"/>
          <w:lang w:eastAsia="es-MX"/>
        </w:rPr>
      </w:pPr>
      <w:r w:rsidRPr="001B3C5D">
        <w:rPr>
          <w:rFonts w:ascii="Verdana" w:eastAsia="Times New Roman" w:hAnsi="Verdana" w:cs="Arial"/>
          <w:szCs w:val="24"/>
          <w:lang w:eastAsia="es-ES"/>
        </w:rPr>
        <w:t>En efecto, el desarrollo de la potestad reglamentaria exige que la ley haya configurado una materialidad legislativa básica, pues busca convertir en realidad un enunciado normativo abstracto. Los límites de esta facultad han sido desarrollados por la jurisprudencia de las Altas Cortes, en especial por la Corte Constitucional, quien a modo de subreglas</w:t>
      </w:r>
      <w:r w:rsidRPr="001B3C5D">
        <w:rPr>
          <w:rFonts w:ascii="Verdana" w:eastAsia="Times New Roman" w:hAnsi="Verdana" w:cs="Arial"/>
          <w:szCs w:val="24"/>
          <w:vertAlign w:val="superscript"/>
          <w:lang w:eastAsia="es-MX"/>
        </w:rPr>
        <w:footnoteReference w:id="18"/>
      </w:r>
      <w:r w:rsidRPr="001B3C5D">
        <w:rPr>
          <w:rFonts w:ascii="Verdana" w:eastAsia="Times New Roman" w:hAnsi="Verdana" w:cs="Arial"/>
          <w:szCs w:val="24"/>
          <w:lang w:eastAsia="es-ES"/>
        </w:rPr>
        <w:t xml:space="preserve"> explica ciertas limitaciones en el ejercicio de esta competencia</w:t>
      </w:r>
      <w:r w:rsidRPr="001B3C5D">
        <w:rPr>
          <w:rFonts w:ascii="Verdana" w:eastAsia="Times New Roman" w:hAnsi="Verdana" w:cs="Arial"/>
          <w:szCs w:val="24"/>
          <w:lang w:eastAsia="es-MX"/>
        </w:rPr>
        <w:t>:</w:t>
      </w:r>
    </w:p>
    <w:p w14:paraId="750CAB2A" w14:textId="77777777" w:rsidR="001B077C" w:rsidRPr="001B3C5D" w:rsidRDefault="001B077C" w:rsidP="001B077C">
      <w:pPr>
        <w:spacing w:after="0" w:line="276" w:lineRule="auto"/>
        <w:ind w:right="50"/>
        <w:jc w:val="both"/>
        <w:rPr>
          <w:rFonts w:ascii="Verdana" w:eastAsia="Times New Roman" w:hAnsi="Verdana" w:cs="Arial"/>
          <w:szCs w:val="24"/>
          <w:lang w:eastAsia="es-MX"/>
        </w:rPr>
      </w:pPr>
    </w:p>
    <w:p w14:paraId="020F59AE" w14:textId="77777777" w:rsidR="001B077C" w:rsidRPr="001B3C5D" w:rsidRDefault="001B077C" w:rsidP="001B077C">
      <w:pPr>
        <w:numPr>
          <w:ilvl w:val="0"/>
          <w:numId w:val="20"/>
        </w:numPr>
        <w:spacing w:before="100" w:beforeAutospacing="1" w:after="12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La potestad reglamentaria se restringe en la medida en que el Congreso de la República utilice en mayor o menor grado sus poderes jurídicos. Tanto así, que se ha manifestado que la misma es inversamente proporcional a la extensión de la ley. </w:t>
      </w:r>
    </w:p>
    <w:p w14:paraId="21F01F96" w14:textId="77777777" w:rsidR="001B077C" w:rsidRPr="001B3C5D" w:rsidRDefault="001B077C" w:rsidP="001B077C">
      <w:pPr>
        <w:numPr>
          <w:ilvl w:val="0"/>
          <w:numId w:val="20"/>
        </w:numPr>
        <w:spacing w:before="100" w:beforeAutospacing="1" w:after="12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El presidente no podrá establecer por vía de decreto reglamentario una excepción, aun cuando la misma fuera supuestamente temporal, sin que previa y expresamente el legislador lo hubiere autorizado para ello y fijado un límite temporal específico. </w:t>
      </w:r>
    </w:p>
    <w:p w14:paraId="13F879E4" w14:textId="77777777" w:rsidR="001B077C" w:rsidRPr="001B3C5D" w:rsidRDefault="001B077C" w:rsidP="001B077C">
      <w:pPr>
        <w:numPr>
          <w:ilvl w:val="0"/>
          <w:numId w:val="20"/>
        </w:numPr>
        <w:spacing w:before="100" w:beforeAutospacing="1" w:after="12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Cualquier determinación sobre la vigencia de las leyes sólo puede definirla el propio legislador. </w:t>
      </w:r>
    </w:p>
    <w:p w14:paraId="3E68D361" w14:textId="77777777" w:rsidR="001B077C" w:rsidRPr="001B3C5D" w:rsidRDefault="001B077C" w:rsidP="001B077C">
      <w:pPr>
        <w:numPr>
          <w:ilvl w:val="0"/>
          <w:numId w:val="20"/>
        </w:numPr>
        <w:spacing w:before="100" w:beforeAutospacing="1" w:after="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El ejercicio de la potestad reglamentaria no debe sobrepasar ni invadir la competencia del Congreso de la República, en el sentido de que el reglamento no puede desfigurar la situación regulada por la ley ni hacerla nugatoria.</w:t>
      </w:r>
    </w:p>
    <w:p w14:paraId="568208E1" w14:textId="77777777" w:rsidR="001B077C" w:rsidRPr="001B3C5D" w:rsidRDefault="001B077C" w:rsidP="001B077C">
      <w:pPr>
        <w:numPr>
          <w:ilvl w:val="0"/>
          <w:numId w:val="20"/>
        </w:numPr>
        <w:spacing w:after="0" w:line="276" w:lineRule="auto"/>
        <w:ind w:left="709" w:right="51" w:hanging="567"/>
        <w:jc w:val="both"/>
        <w:rPr>
          <w:rFonts w:ascii="Verdana" w:eastAsia="Times New Roman" w:hAnsi="Verdana" w:cs="Arial"/>
          <w:szCs w:val="24"/>
          <w:lang w:eastAsia="es-MX"/>
        </w:rPr>
      </w:pPr>
      <w:r w:rsidRPr="001B3C5D">
        <w:rPr>
          <w:rFonts w:ascii="Verdana" w:eastAsia="Times New Roman" w:hAnsi="Verdana" w:cs="Arial"/>
          <w:szCs w:val="24"/>
          <w:lang w:eastAsia="es-MX"/>
        </w:rPr>
        <w:t>La potestad reglamentaria no puede incluir requisitos adicionales a los previstos en la ley, y el Gobierno no puede desconocer la Constitución ni el contenido o las pautas trazadas en la ley ni reglamentar normas que no ejecuta la administración.</w:t>
      </w:r>
    </w:p>
    <w:p w14:paraId="559B7501" w14:textId="77777777" w:rsidR="001B077C" w:rsidRPr="001B3C5D" w:rsidRDefault="001B077C" w:rsidP="001B077C">
      <w:pPr>
        <w:spacing w:after="0" w:line="240" w:lineRule="auto"/>
        <w:jc w:val="both"/>
        <w:rPr>
          <w:rFonts w:ascii="Verdana" w:eastAsia="Times New Roman" w:hAnsi="Verdana" w:cs="Arial"/>
          <w:lang w:eastAsia="es-MX"/>
        </w:rPr>
      </w:pPr>
    </w:p>
    <w:p w14:paraId="47E49C54" w14:textId="77777777" w:rsidR="001B077C" w:rsidRPr="001B3C5D" w:rsidRDefault="001B077C" w:rsidP="001B077C">
      <w:pPr>
        <w:spacing w:after="120" w:line="276" w:lineRule="auto"/>
        <w:ind w:firstLine="708"/>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Como se explicó en acápites anteriores, la Ley 2022 de 2020 facultó a la Agencia Nacional de Contratación Pública – Colombia Compra Eficiente para adoptar documentos tipo que serán de obligatorio cumplimiento en la actividad contractual de las entidades sometidas al Estatuto General de Contratación de la Administración Pública. De este modo, la intención del legislador fue otorgarle esta facultad al ente rector del Sistema de Compra Pública. </w:t>
      </w:r>
    </w:p>
    <w:p w14:paraId="284E0AC0" w14:textId="77777777" w:rsidR="001B077C" w:rsidRPr="001B3C5D" w:rsidRDefault="001B077C" w:rsidP="001B077C">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szCs w:val="24"/>
          <w:lang w:eastAsia="es-MX"/>
        </w:rPr>
        <w:t>Al respecto, la jurisprudencia constitucional ha reconocido a los organismos y a las autoridades que “en la jerarquía administrativa lo suceden al presidente de la República, una cierta competencia regulativa, de carácter residual, accesoria o auxiliar, que los habilita para insertar la voluntad del legislador en las últimas posibilidades de aplicación de la norma general</w:t>
      </w:r>
      <w:r w:rsidRPr="001B3C5D">
        <w:rPr>
          <w:rFonts w:ascii="Verdana" w:eastAsia="Times New Roman" w:hAnsi="Verdana" w:cs="Arial"/>
          <w:i/>
          <w:iCs/>
          <w:szCs w:val="24"/>
          <w:vertAlign w:val="superscript"/>
          <w:lang w:eastAsia="es-MX"/>
        </w:rPr>
        <w:footnoteReference w:id="19"/>
      </w:r>
      <w:r w:rsidRPr="001B3C5D">
        <w:rPr>
          <w:rFonts w:ascii="Verdana" w:eastAsia="Times New Roman" w:hAnsi="Verdana" w:cs="Arial"/>
          <w:szCs w:val="24"/>
          <w:lang w:eastAsia="es-MX"/>
        </w:rPr>
        <w:t>”</w:t>
      </w:r>
      <w:r w:rsidRPr="001B3C5D">
        <w:rPr>
          <w:rFonts w:ascii="Verdana" w:eastAsia="Times New Roman" w:hAnsi="Verdana" w:cs="Arial"/>
          <w:i/>
          <w:iCs/>
          <w:szCs w:val="24"/>
          <w:lang w:eastAsia="es-MX"/>
        </w:rPr>
        <w:t>.</w:t>
      </w:r>
      <w:r w:rsidRPr="001B3C5D">
        <w:rPr>
          <w:rFonts w:ascii="Verdana" w:eastAsia="Times New Roman" w:hAnsi="Verdana" w:cs="Arial"/>
          <w:szCs w:val="24"/>
          <w:lang w:eastAsia="es-MX"/>
        </w:rPr>
        <w:t xml:space="preserve"> Además, el Consejo de Estado, Sección Primera, en la Sentencia del 29 de abril </w:t>
      </w:r>
      <w:r w:rsidRPr="001B3C5D">
        <w:rPr>
          <w:rFonts w:ascii="Verdana" w:eastAsia="Times New Roman" w:hAnsi="Verdana" w:cs="Arial"/>
          <w:lang w:eastAsia="es-MX"/>
        </w:rPr>
        <w:t>de 2015, expediente 6.096, indicó que es posible que ley atribuya facultades reglamentarias a otras autoridades administrativas, particularmente a los ministerios, sin que se entienda disminuida la potestad reglamentaria del presidente de la República</w:t>
      </w:r>
      <w:r w:rsidRPr="001B3C5D">
        <w:rPr>
          <w:rFonts w:ascii="Verdana" w:eastAsia="Times New Roman" w:hAnsi="Verdana" w:cs="Arial"/>
          <w:vertAlign w:val="superscript"/>
          <w:lang w:eastAsia="es-MX"/>
        </w:rPr>
        <w:footnoteReference w:id="20"/>
      </w:r>
      <w:r w:rsidRPr="001B3C5D">
        <w:rPr>
          <w:rFonts w:ascii="Verdana" w:eastAsia="Times New Roman" w:hAnsi="Verdana" w:cs="Arial"/>
          <w:lang w:eastAsia="es-MX"/>
        </w:rPr>
        <w:t xml:space="preserve">. </w:t>
      </w:r>
    </w:p>
    <w:p w14:paraId="54FF1F1F" w14:textId="77777777" w:rsidR="001B077C" w:rsidRPr="001B3C5D" w:rsidRDefault="001B077C" w:rsidP="001B077C">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En efecto, la Corte Constitucional, en Sentencia C-1005 de 2008, expresó que “la justificación de esta asignación de regulación gradual consiste en que precisamente son los organismos administrativos los depositarios de información relacionada de manera directa e inmediata con el funcionamiento práctico de las herramientas de creación legislativa”</w:t>
      </w:r>
      <w:r w:rsidRPr="001B3C5D">
        <w:rPr>
          <w:rFonts w:ascii="Verdana" w:eastAsia="Times New Roman" w:hAnsi="Verdana" w:cs="Arial"/>
          <w:vertAlign w:val="superscript"/>
          <w:lang w:eastAsia="es-MX"/>
        </w:rPr>
        <w:footnoteReference w:id="21"/>
      </w:r>
      <w:r w:rsidRPr="001B3C5D">
        <w:rPr>
          <w:rFonts w:ascii="Verdana" w:eastAsia="Times New Roman" w:hAnsi="Verdana" w:cs="Arial"/>
          <w:lang w:eastAsia="es-MX"/>
        </w:rPr>
        <w:t>, lo que implica que sean estos organismos quienes deban encargarse de aquello que la Corte ha denominado como “micro regulación de la ley”. Así mismo, en la Sentencia C-917 de 2002, señaló que “la imposibilidad de previsión total por parte del órgano legislativo es -para muchos- suficiente sustento de la necesidad de que sea una entidad técnica la que produzca el reglamento correspondiente”</w:t>
      </w:r>
      <w:r w:rsidRPr="001B3C5D">
        <w:rPr>
          <w:rFonts w:ascii="Verdana" w:eastAsia="Times New Roman" w:hAnsi="Verdana" w:cs="Arial"/>
          <w:vertAlign w:val="superscript"/>
          <w:lang w:eastAsia="es-MX"/>
        </w:rPr>
        <w:footnoteReference w:id="22"/>
      </w:r>
      <w:r w:rsidRPr="001B3C5D">
        <w:rPr>
          <w:rFonts w:ascii="Verdana" w:eastAsia="Times New Roman" w:hAnsi="Verdana" w:cs="Arial"/>
          <w:lang w:eastAsia="es-MX"/>
        </w:rPr>
        <w:t>.</w:t>
      </w:r>
    </w:p>
    <w:p w14:paraId="5A59CB04" w14:textId="77777777" w:rsidR="001B077C" w:rsidRPr="001B3C5D" w:rsidRDefault="001B077C" w:rsidP="001B077C">
      <w:pPr>
        <w:spacing w:after="0" w:line="276" w:lineRule="auto"/>
        <w:ind w:firstLine="708"/>
        <w:jc w:val="both"/>
        <w:rPr>
          <w:rFonts w:ascii="Verdana" w:eastAsia="Times New Roman" w:hAnsi="Verdana" w:cs="Arial"/>
          <w:lang w:eastAsia="es-CO"/>
        </w:rPr>
      </w:pPr>
      <w:r w:rsidRPr="001B3C5D">
        <w:rPr>
          <w:rFonts w:ascii="Verdana" w:eastAsia="Times New Roman" w:hAnsi="Verdana" w:cs="Arial"/>
          <w:lang w:eastAsia="es-CO"/>
        </w:rPr>
        <w:t xml:space="preserve">En este sentido, atendiendo lo previsto en el artículo 1 la Ley 2022 de 2020, </w:t>
      </w:r>
      <w:r w:rsidRPr="001B3C5D">
        <w:rPr>
          <w:rFonts w:ascii="Verdana" w:eastAsia="Times New Roman" w:hAnsi="Verdana" w:cs="Arial"/>
          <w:lang w:eastAsia="es-ES"/>
        </w:rPr>
        <w:t xml:space="preserve">debe señalarse que la Agencia Nacional de Contratación Pública – Colombia Compra Eficiente, es una Unidad Administrativa Especial, </w:t>
      </w:r>
      <w:r w:rsidRPr="001B3C5D">
        <w:rPr>
          <w:rFonts w:ascii="Verdana" w:eastAsia="Times New Roman" w:hAnsi="Verdana" w:cs="Arial"/>
          <w:lang w:eastAsia="es-ES"/>
        </w:rPr>
        <w:lastRenderedPageBreak/>
        <w:t>descentralizada de la Rama Ejecutiva del orden nacional, con personería jurídica, patrimonio propio y autonomía administrativa y financiera, adscrita al Departamento Nacional de Planeación</w:t>
      </w:r>
      <w:r w:rsidRPr="001B3C5D">
        <w:rPr>
          <w:rFonts w:ascii="Verdana" w:eastAsia="Calibri" w:hAnsi="Verdana" w:cs="Arial"/>
          <w:vertAlign w:val="superscript"/>
          <w:lang w:eastAsia="es-CO"/>
        </w:rPr>
        <w:footnoteReference w:id="23"/>
      </w:r>
      <w:r w:rsidRPr="001B3C5D">
        <w:rPr>
          <w:rFonts w:ascii="Verdana" w:eastAsia="Times New Roman" w:hAnsi="Verdana" w:cs="Arial"/>
          <w:lang w:eastAsia="es-ES"/>
        </w:rPr>
        <w:t>, que se erige como ente rector en materia de contratación pública en virtud de las funciones atribuidas por el ordenamiento jurídico, en particular en el numeral 2 del artículo 3 del</w:t>
      </w:r>
      <w:r w:rsidRPr="001B3C5D">
        <w:rPr>
          <w:rFonts w:ascii="Verdana" w:eastAsia="Times New Roman" w:hAnsi="Verdana" w:cs="Arial"/>
          <w:lang w:eastAsia="es-CO"/>
        </w:rPr>
        <w:t xml:space="preserve"> Decreto Ley 4170 de 2011, en el que se otorgó la función de:</w:t>
      </w:r>
    </w:p>
    <w:p w14:paraId="41CE41BA" w14:textId="77777777" w:rsidR="001B077C" w:rsidRPr="001B3C5D" w:rsidRDefault="001B077C" w:rsidP="001B077C">
      <w:pPr>
        <w:spacing w:after="0" w:line="240" w:lineRule="auto"/>
        <w:jc w:val="both"/>
        <w:rPr>
          <w:rFonts w:ascii="Verdana" w:eastAsia="Times New Roman" w:hAnsi="Verdana" w:cs="Arial"/>
          <w:lang w:eastAsia="es-CO"/>
        </w:rPr>
      </w:pPr>
    </w:p>
    <w:p w14:paraId="20BC5E47" w14:textId="77777777" w:rsidR="001B077C" w:rsidRPr="001B3C5D" w:rsidRDefault="001B077C" w:rsidP="001B077C">
      <w:pPr>
        <w:spacing w:after="0" w:line="240" w:lineRule="auto"/>
        <w:ind w:left="709" w:right="709"/>
        <w:jc w:val="both"/>
        <w:rPr>
          <w:rFonts w:ascii="Verdana" w:eastAsia="Times New Roman" w:hAnsi="Verdana" w:cs="Arial"/>
          <w:sz w:val="21"/>
          <w:szCs w:val="21"/>
          <w:lang w:eastAsia="es-CO"/>
        </w:rPr>
      </w:pPr>
      <w:r w:rsidRPr="001B3C5D">
        <w:rPr>
          <w:rFonts w:ascii="Verdana" w:eastAsia="Times New Roman" w:hAnsi="Verdana" w:cs="Arial"/>
          <w:sz w:val="21"/>
          <w:szCs w:val="21"/>
          <w:u w:val="single"/>
          <w:lang w:eastAsia="es-CO"/>
        </w:rPr>
        <w:t>“Desarrollar,</w:t>
      </w:r>
      <w:r w:rsidRPr="001B3C5D">
        <w:rPr>
          <w:rFonts w:ascii="Verdana" w:eastAsia="Times New Roman" w:hAnsi="Verdana" w:cs="Arial"/>
          <w:sz w:val="21"/>
          <w:szCs w:val="21"/>
          <w:lang w:eastAsia="es-CO"/>
        </w:rPr>
        <w:t xml:space="preserve"> </w:t>
      </w:r>
      <w:r w:rsidRPr="001B3C5D">
        <w:rPr>
          <w:rFonts w:ascii="Verdana" w:eastAsia="Times New Roman" w:hAnsi="Verdana" w:cs="Arial"/>
          <w:sz w:val="21"/>
          <w:szCs w:val="21"/>
          <w:u w:val="single"/>
          <w:lang w:eastAsia="es-CO"/>
        </w:rPr>
        <w:t>implementar y difundir</w:t>
      </w:r>
      <w:r w:rsidRPr="001B3C5D">
        <w:rPr>
          <w:rFonts w:ascii="Verdana" w:eastAsia="Times New Roman" w:hAnsi="Verdana" w:cs="Arial"/>
          <w:sz w:val="21"/>
          <w:szCs w:val="21"/>
          <w:lang w:eastAsia="es-CO"/>
        </w:rPr>
        <w:t xml:space="preserve"> las políticas públicas, planes, programas, </w:t>
      </w:r>
      <w:r w:rsidRPr="001B3C5D">
        <w:rPr>
          <w:rFonts w:ascii="Verdana" w:eastAsia="Times New Roman" w:hAnsi="Verdana" w:cs="Arial"/>
          <w:sz w:val="21"/>
          <w:szCs w:val="21"/>
          <w:u w:val="single"/>
          <w:lang w:eastAsia="es-CO"/>
        </w:rPr>
        <w:t>normas, instrumentos y herramientas</w:t>
      </w:r>
      <w:r w:rsidRPr="001B3C5D">
        <w:rPr>
          <w:rFonts w:ascii="Verdana" w:eastAsia="Times New Roman" w:hAnsi="Verdana" w:cs="Arial"/>
          <w:sz w:val="21"/>
          <w:szCs w:val="21"/>
          <w:lang w:eastAsia="es-CO"/>
        </w:rPr>
        <w:t xml:space="preserve"> que faciliten las compras y contratación pública del Estado y promuevan las mejores prácticas, la eficiencia, transparencia y competitividad </w:t>
      </w:r>
      <w:proofErr w:type="gramStart"/>
      <w:r w:rsidRPr="001B3C5D">
        <w:rPr>
          <w:rFonts w:ascii="Verdana" w:eastAsia="Times New Roman" w:hAnsi="Verdana" w:cs="Arial"/>
          <w:sz w:val="21"/>
          <w:szCs w:val="21"/>
          <w:lang w:eastAsia="es-CO"/>
        </w:rPr>
        <w:t>del mismo</w:t>
      </w:r>
      <w:proofErr w:type="gramEnd"/>
      <w:r w:rsidRPr="001B3C5D">
        <w:rPr>
          <w:rFonts w:ascii="Verdana" w:eastAsia="Times New Roman" w:hAnsi="Verdana" w:cs="Arial"/>
          <w:sz w:val="21"/>
          <w:szCs w:val="21"/>
          <w:lang w:eastAsia="es-CO"/>
        </w:rPr>
        <w:t>, a fin de que se cumplan los principios y procesos generales que deben gobernar la actividad contractual de las entidades públicas” (Subrayado fuera del texto).</w:t>
      </w:r>
    </w:p>
    <w:p w14:paraId="75799E3C" w14:textId="77777777" w:rsidR="001B077C" w:rsidRPr="001B3C5D" w:rsidRDefault="001B077C" w:rsidP="001B077C">
      <w:pPr>
        <w:spacing w:after="0" w:line="240" w:lineRule="auto"/>
        <w:ind w:left="709" w:right="709"/>
        <w:jc w:val="both"/>
        <w:rPr>
          <w:rFonts w:ascii="Verdana" w:eastAsia="Times New Roman" w:hAnsi="Verdana" w:cs="Arial"/>
          <w:lang w:eastAsia="es-CO"/>
        </w:rPr>
      </w:pPr>
    </w:p>
    <w:p w14:paraId="55B858D5" w14:textId="77777777" w:rsidR="001B077C" w:rsidRPr="001B3C5D" w:rsidRDefault="001B077C" w:rsidP="001B077C">
      <w:pPr>
        <w:spacing w:after="0" w:line="276" w:lineRule="auto"/>
        <w:ind w:firstLine="708"/>
        <w:jc w:val="both"/>
        <w:rPr>
          <w:rFonts w:ascii="Verdana" w:eastAsia="Times New Roman" w:hAnsi="Verdana" w:cs="Arial"/>
          <w:lang w:eastAsia="es-ES"/>
        </w:rPr>
      </w:pPr>
      <w:r w:rsidRPr="001B3C5D">
        <w:rPr>
          <w:rFonts w:ascii="Verdana" w:eastAsia="Times New Roman" w:hAnsi="Verdana" w:cs="Arial"/>
          <w:lang w:eastAsia="es-MX"/>
        </w:rPr>
        <w:t>Así mismo, el Decreto Ley le otorgó a la Subdirección de Gestión Contractual la función de: “</w:t>
      </w:r>
      <w:r w:rsidRPr="001B3C5D">
        <w:rPr>
          <w:rFonts w:ascii="Verdana" w:eastAsia="Times New Roman" w:hAnsi="Verdana" w:cs="Arial"/>
          <w:u w:val="single"/>
          <w:lang w:eastAsia="es-MX"/>
        </w:rPr>
        <w:t>Desarrollar e implementar</w:t>
      </w:r>
      <w:r w:rsidRPr="001B3C5D">
        <w:rPr>
          <w:rFonts w:ascii="Verdana" w:eastAsia="Times New Roman" w:hAnsi="Verdana" w:cs="Arial"/>
          <w:lang w:eastAsia="es-MX"/>
        </w:rPr>
        <w:t xml:space="preserve"> </w:t>
      </w:r>
      <w:r w:rsidRPr="001B3C5D">
        <w:rPr>
          <w:rFonts w:ascii="Verdana" w:eastAsia="Times New Roman" w:hAnsi="Verdana" w:cs="Arial"/>
          <w:u w:val="single"/>
          <w:lang w:eastAsia="es-MX"/>
        </w:rPr>
        <w:t>estándares y documentos tipo</w:t>
      </w:r>
      <w:r w:rsidRPr="001B3C5D">
        <w:rPr>
          <w:rFonts w:ascii="Verdana" w:eastAsia="Times New Roman" w:hAnsi="Verdana" w:cs="Arial"/>
          <w:lang w:eastAsia="es-MX"/>
        </w:rPr>
        <w:t xml:space="preserve"> para las diferentes etapas de la gestión contractual </w:t>
      </w:r>
      <w:r w:rsidRPr="001B3C5D">
        <w:rPr>
          <w:rFonts w:ascii="Verdana" w:eastAsia="Times New Roman" w:hAnsi="Verdana" w:cs="Times New Roman"/>
          <w:lang w:eastAsia="es-MX"/>
        </w:rPr>
        <w:t>pública”</w:t>
      </w:r>
      <w:r w:rsidRPr="001B3C5D">
        <w:rPr>
          <w:rFonts w:ascii="Verdana" w:eastAsia="Times New Roman" w:hAnsi="Verdana" w:cs="Times New Roman"/>
          <w:vertAlign w:val="superscript"/>
          <w:lang w:eastAsia="es-MX"/>
        </w:rPr>
        <w:footnoteReference w:id="24"/>
      </w:r>
      <w:r w:rsidRPr="001B3C5D">
        <w:rPr>
          <w:rFonts w:ascii="Verdana" w:eastAsia="Times New Roman" w:hAnsi="Verdana" w:cs="Arial"/>
          <w:i/>
          <w:iCs/>
          <w:lang w:eastAsia="es-ES"/>
        </w:rPr>
        <w:t>.</w:t>
      </w:r>
      <w:r w:rsidRPr="001B3C5D">
        <w:rPr>
          <w:rFonts w:ascii="Verdana" w:eastAsia="Times New Roman" w:hAnsi="Verdana" w:cs="Arial"/>
          <w:lang w:eastAsia="es-ES"/>
        </w:rPr>
        <w:t>De conformidad con lo anterior, la Agencia Nacional de Contratación Pública – Colombia Compra Eficiente es un ente rector, técnico y especializado en materia de contratación pública. De ahí que el Consejo de Estado le haya reconocido potestad regulatoria, en los siguientes términos:</w:t>
      </w:r>
    </w:p>
    <w:p w14:paraId="1C34D918" w14:textId="77777777" w:rsidR="001B077C" w:rsidRPr="001B3C5D" w:rsidRDefault="001B077C" w:rsidP="001B077C">
      <w:pPr>
        <w:spacing w:after="0" w:line="240" w:lineRule="auto"/>
        <w:jc w:val="both"/>
        <w:rPr>
          <w:rFonts w:ascii="Verdana" w:eastAsia="Times New Roman" w:hAnsi="Verdana" w:cs="Arial"/>
          <w:lang w:eastAsia="es-ES"/>
        </w:rPr>
      </w:pPr>
    </w:p>
    <w:p w14:paraId="32792EE8" w14:textId="77777777" w:rsidR="001B077C" w:rsidRPr="001B3C5D" w:rsidRDefault="001B077C" w:rsidP="001B077C">
      <w:pPr>
        <w:spacing w:after="240" w:line="240" w:lineRule="auto"/>
        <w:ind w:left="709" w:right="709"/>
        <w:jc w:val="both"/>
        <w:rPr>
          <w:rFonts w:ascii="Verdana" w:eastAsia="Times New Roman" w:hAnsi="Verdana" w:cs="Arial"/>
          <w:i/>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Se cuenta con una base jurídica mínima que apoya la competencia de [Colombia Compra Eficiente] para [la expedición de la Circular] pues se sabe que esa Agencia […] se ubica dentro del sector descentralizado del orden nacional y cuenta dentro de su ámbito funcional con competencias atinentes a la materia de la contratación estatal, esto es, a la actividad administrativa vinculada a la provisión de bienes y/o servicios por cuenta del Estado […] y ejerce una competencia de orientación y coordinación toda vez que tiene a su cargo la formulación de políticas públicas […] y, concretamente, se le ha atribuido la competencia de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difundir las normas, reglas, procedimientos, medios tecnológicos y mejores prácticas para las compras y la contratación pública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 potestad reguladora que, en todo caso, debe ejercerse </w:t>
      </w:r>
      <w:r w:rsidRPr="001B3C5D">
        <w:rPr>
          <w:rFonts w:ascii="Verdana" w:eastAsia="Times New Roman" w:hAnsi="Verdana" w:cs="Arial"/>
          <w:sz w:val="21"/>
          <w:szCs w:val="21"/>
          <w:lang w:eastAsia="es-ES"/>
        </w:rPr>
        <w:lastRenderedPageBreak/>
        <w:t>conforme a la Ley y ajustada a la potestad reglamentaria del Gobierno Nacional</w:t>
      </w:r>
      <w:r w:rsidRPr="001B3C5D">
        <w:rPr>
          <w:rFonts w:ascii="Verdana" w:eastAsia="Times New Roman" w:hAnsi="Verdana" w:cs="Arial"/>
          <w:sz w:val="21"/>
          <w:szCs w:val="21"/>
          <w:lang w:eastAsia="es-MX"/>
        </w:rPr>
        <w:t>”</w:t>
      </w:r>
      <w:r w:rsidRPr="001B3C5D">
        <w:rPr>
          <w:rFonts w:ascii="Verdana" w:eastAsia="Times New Roman" w:hAnsi="Verdana" w:cs="Arial"/>
          <w:i/>
          <w:iCs/>
          <w:sz w:val="21"/>
          <w:szCs w:val="21"/>
          <w:vertAlign w:val="superscript"/>
          <w:lang w:eastAsia="es-MX"/>
        </w:rPr>
        <w:footnoteReference w:id="25"/>
      </w:r>
      <w:r w:rsidRPr="001B3C5D">
        <w:rPr>
          <w:rFonts w:ascii="Verdana" w:eastAsia="Times New Roman" w:hAnsi="Verdana" w:cs="Arial"/>
          <w:i/>
          <w:iCs/>
          <w:sz w:val="21"/>
          <w:szCs w:val="21"/>
          <w:lang w:eastAsia="es-ES"/>
        </w:rPr>
        <w:t xml:space="preserve">. </w:t>
      </w:r>
    </w:p>
    <w:p w14:paraId="6E09552B" w14:textId="77777777" w:rsidR="001B077C" w:rsidRPr="001B3C5D" w:rsidRDefault="001B077C" w:rsidP="001B077C">
      <w:pPr>
        <w:spacing w:after="0" w:line="276" w:lineRule="auto"/>
        <w:ind w:firstLine="708"/>
        <w:jc w:val="both"/>
        <w:rPr>
          <w:rFonts w:ascii="Verdana" w:eastAsia="Times New Roman" w:hAnsi="Verdana" w:cs="Arial"/>
          <w:lang w:eastAsia="es-ES"/>
        </w:rPr>
      </w:pPr>
      <w:r w:rsidRPr="001B3C5D">
        <w:rPr>
          <w:rFonts w:ascii="Verdana" w:eastAsia="Times New Roman" w:hAnsi="Verdana" w:cs="Arial"/>
          <w:lang w:eastAsia="es-ES"/>
        </w:rPr>
        <w:t>Lo anterior fue reiterado por el Consejo de Estado, en la sentencia del 16 de agosto de 2017, en el expediente 56.166, en los siguientes términos:</w:t>
      </w:r>
    </w:p>
    <w:p w14:paraId="7715391F" w14:textId="77777777" w:rsidR="001B077C" w:rsidRPr="001B3C5D" w:rsidRDefault="001B077C" w:rsidP="001B077C">
      <w:pPr>
        <w:spacing w:after="0" w:line="240" w:lineRule="auto"/>
        <w:jc w:val="both"/>
        <w:rPr>
          <w:rFonts w:ascii="Verdana" w:eastAsia="Times New Roman" w:hAnsi="Verdana" w:cs="Arial"/>
          <w:lang w:eastAsia="es-ES"/>
        </w:rPr>
      </w:pPr>
    </w:p>
    <w:p w14:paraId="043D46B0" w14:textId="77777777" w:rsidR="001B077C" w:rsidRPr="001B3C5D" w:rsidRDefault="001B077C" w:rsidP="001B077C">
      <w:pPr>
        <w:spacing w:after="0" w:line="240" w:lineRule="auto"/>
        <w:ind w:left="709" w:right="709"/>
        <w:jc w:val="both"/>
        <w:rPr>
          <w:rFonts w:ascii="Verdana" w:eastAsia="Times New Roman" w:hAnsi="Verdana" w:cs="Arial"/>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Dígase que ese poder de regulación normativa en cabeza de CCE se ejerce </w:t>
      </w:r>
      <w:proofErr w:type="spellStart"/>
      <w:r w:rsidRPr="001B3C5D">
        <w:rPr>
          <w:rFonts w:ascii="Verdana" w:eastAsia="Times New Roman" w:hAnsi="Verdana" w:cs="Arial"/>
          <w:i/>
          <w:iCs/>
          <w:sz w:val="21"/>
          <w:szCs w:val="21"/>
          <w:lang w:eastAsia="es-ES"/>
        </w:rPr>
        <w:t>secundum</w:t>
      </w:r>
      <w:proofErr w:type="spellEnd"/>
      <w:r w:rsidRPr="001B3C5D">
        <w:rPr>
          <w:rFonts w:ascii="Verdana" w:eastAsia="Times New Roman" w:hAnsi="Verdana" w:cs="Arial"/>
          <w:i/>
          <w:iCs/>
          <w:sz w:val="21"/>
          <w:szCs w:val="21"/>
          <w:lang w:eastAsia="es-ES"/>
        </w:rPr>
        <w:t xml:space="preserve"> </w:t>
      </w:r>
      <w:proofErr w:type="spellStart"/>
      <w:r w:rsidRPr="001B3C5D">
        <w:rPr>
          <w:rFonts w:ascii="Verdana" w:eastAsia="Times New Roman" w:hAnsi="Verdana" w:cs="Arial"/>
          <w:i/>
          <w:iCs/>
          <w:sz w:val="21"/>
          <w:szCs w:val="21"/>
          <w:lang w:eastAsia="es-ES"/>
        </w:rPr>
        <w:t>legem</w:t>
      </w:r>
      <w:proofErr w:type="spellEnd"/>
      <w:r w:rsidRPr="001B3C5D">
        <w:rPr>
          <w:rFonts w:ascii="Verdana" w:eastAsia="Times New Roman" w:hAnsi="Verdana" w:cs="Arial"/>
          <w:sz w:val="21"/>
          <w:szCs w:val="21"/>
          <w:lang w:eastAsia="es-ES"/>
        </w:rPr>
        <w:t xml:space="preserve"> como también subordinado a la potestad reglamentaria del Gobierno Nacional, de suerte que no rivaliza con ésta o aquella, sino que constituye, en puridad, expresión del ejercicio de autoridad administrativa bajo habilitación legal expresa sujeta, entre otras cuestiones, a la concreción de aquellos principios y valores que subyacen a la función administrativa, de una parte, y los propios de la Constitución Económica, de otro tanto, como recién ha sido reiterado por esta Sección en asunto de similar naturaleza al aquí tratado. Con otras palabras, la Sala tiene averiguado que el poder de regulación otorgado a Colombia Compra Eficiente no es ejercicio de potestad reglamentaria constitucional, en los términos expuestos”</w:t>
      </w:r>
      <w:r w:rsidRPr="001B3C5D">
        <w:rPr>
          <w:rFonts w:ascii="Verdana" w:eastAsia="Times New Roman" w:hAnsi="Verdana" w:cs="Arial"/>
          <w:sz w:val="21"/>
          <w:szCs w:val="21"/>
          <w:vertAlign w:val="superscript"/>
          <w:lang w:eastAsia="es-ES"/>
        </w:rPr>
        <w:footnoteReference w:id="26"/>
      </w:r>
      <w:r w:rsidRPr="001B3C5D">
        <w:rPr>
          <w:rFonts w:ascii="Verdana" w:eastAsia="Times New Roman" w:hAnsi="Verdana" w:cs="Arial"/>
          <w:sz w:val="21"/>
          <w:szCs w:val="21"/>
          <w:lang w:eastAsia="es-ES"/>
        </w:rPr>
        <w:t>.</w:t>
      </w:r>
    </w:p>
    <w:p w14:paraId="3DCD7B1F" w14:textId="77777777" w:rsidR="001B077C" w:rsidRPr="001B3C5D" w:rsidRDefault="001B077C" w:rsidP="001B077C">
      <w:pPr>
        <w:spacing w:after="0" w:line="240" w:lineRule="auto"/>
        <w:ind w:left="709" w:right="709"/>
        <w:jc w:val="both"/>
        <w:rPr>
          <w:rFonts w:ascii="Verdana" w:eastAsia="Times New Roman" w:hAnsi="Verdana" w:cs="Arial"/>
          <w:lang w:eastAsia="es-ES"/>
        </w:rPr>
      </w:pPr>
    </w:p>
    <w:p w14:paraId="0EF91C0C" w14:textId="77777777" w:rsidR="001B077C" w:rsidRPr="001B3C5D" w:rsidRDefault="001B077C" w:rsidP="001B077C">
      <w:pPr>
        <w:tabs>
          <w:tab w:val="center" w:pos="4419"/>
          <w:tab w:val="right" w:pos="8838"/>
        </w:tabs>
        <w:spacing w:after="120" w:line="276" w:lineRule="auto"/>
        <w:ind w:firstLine="709"/>
        <w:jc w:val="both"/>
        <w:rPr>
          <w:rFonts w:ascii="Verdana" w:eastAsia="Times New Roman" w:hAnsi="Verdana" w:cs="Arial"/>
          <w:lang w:eastAsia="es-ES"/>
        </w:rPr>
      </w:pPr>
      <w:r w:rsidRPr="001B3C5D">
        <w:rPr>
          <w:rFonts w:ascii="Verdana" w:eastAsia="Times New Roman" w:hAnsi="Verdana" w:cs="Arial"/>
          <w:lang w:eastAsia="es-ES"/>
        </w:rPr>
        <w:t xml:space="preserve"> </w:t>
      </w:r>
      <w:r w:rsidRPr="001B3C5D">
        <w:rPr>
          <w:rFonts w:ascii="Verdana" w:eastAsia="Times New Roman" w:hAnsi="Verdana" w:cs="Arial"/>
          <w:lang w:eastAsia="es-MX"/>
        </w:rPr>
        <w:t>En la misma sentencia, el Consejo de Estado señaló la existencia de límites en el ejercicio de la facultad de regulación de las autoridades administrativas, las cuales se encaminan a concretar aspectos residuales y complementarios de la legislación general, sujeta en todo caso, a lo que dispongan los órdenes normativos de más alto rango, es decir, la Constitución y la ley. Esto en la medida que el ejercicio de esta facultad de regulación “en ningún caso implica el reconocimiento de una potestad autónoma y desligada de cualquier límite</w:t>
      </w:r>
      <w:r w:rsidRPr="001B3C5D">
        <w:rPr>
          <w:rFonts w:ascii="Verdana" w:eastAsia="MS Mincho" w:hAnsi="Verdana" w:cs="Arial"/>
          <w:vertAlign w:val="superscript"/>
          <w:lang w:eastAsia="es-ES"/>
        </w:rPr>
        <w:footnoteReference w:id="27"/>
      </w:r>
      <w:r w:rsidRPr="001B3C5D">
        <w:rPr>
          <w:rFonts w:ascii="Verdana" w:eastAsia="Times New Roman" w:hAnsi="Verdana" w:cs="Arial"/>
          <w:lang w:eastAsia="es-ES"/>
        </w:rPr>
        <w:t>.</w:t>
      </w:r>
    </w:p>
    <w:p w14:paraId="05B5AC4A" w14:textId="77777777" w:rsidR="001B077C" w:rsidRPr="001B3C5D" w:rsidRDefault="001B077C" w:rsidP="001B077C">
      <w:pPr>
        <w:tabs>
          <w:tab w:val="center" w:pos="4419"/>
          <w:tab w:val="right" w:pos="8838"/>
        </w:tabs>
        <w:spacing w:after="0" w:line="276" w:lineRule="auto"/>
        <w:ind w:firstLine="709"/>
        <w:jc w:val="both"/>
        <w:rPr>
          <w:rFonts w:ascii="Verdana" w:eastAsia="Times New Roman" w:hAnsi="Verdana" w:cs="Arial"/>
          <w:lang w:eastAsia="es-ES"/>
        </w:rPr>
      </w:pPr>
      <w:r w:rsidRPr="001B3C5D">
        <w:rPr>
          <w:rFonts w:ascii="Verdana" w:eastAsia="Times New Roman" w:hAnsi="Verdana" w:cs="Arial"/>
          <w:lang w:eastAsia="es-ES"/>
        </w:rPr>
        <w:t>Conviene reiterar que, conforme con lo manifestado por el Consejo de Estado</w:t>
      </w:r>
      <w:r w:rsidRPr="001B3C5D">
        <w:rPr>
          <w:rFonts w:ascii="Verdana" w:eastAsia="Times New Roman" w:hAnsi="Verdana" w:cs="Arial"/>
          <w:vertAlign w:val="superscript"/>
          <w:lang w:eastAsia="es-ES"/>
        </w:rPr>
        <w:footnoteReference w:id="28"/>
      </w:r>
      <w:r w:rsidRPr="001B3C5D">
        <w:rPr>
          <w:rFonts w:ascii="Verdana" w:eastAsia="Times New Roman" w:hAnsi="Verdana" w:cs="Arial"/>
          <w:lang w:eastAsia="es-ES"/>
        </w:rPr>
        <w:t>, la facultad que recae en la Agencia Nacional de Contratación Pública – Colombia Compra Eficiente para regular aspectos técnicos en el marco de las competencias que le fueron otorgadas por el Decreto Ley 4170 de 2011, como es el caso del desarrollo e implementación de documentos tipo, no implica modificar el esquema constitucional establecido para el ejercicio de la potestad reglamentaria en cabeza del Gobierno Nacional:</w:t>
      </w:r>
    </w:p>
    <w:p w14:paraId="259F41A4" w14:textId="77777777" w:rsidR="001B077C" w:rsidRPr="001B3C5D" w:rsidRDefault="001B077C" w:rsidP="001B077C">
      <w:pPr>
        <w:tabs>
          <w:tab w:val="center" w:pos="4419"/>
          <w:tab w:val="right" w:pos="8838"/>
        </w:tabs>
        <w:spacing w:after="0" w:line="240" w:lineRule="auto"/>
        <w:jc w:val="both"/>
        <w:rPr>
          <w:rFonts w:ascii="Verdana" w:eastAsia="Times New Roman" w:hAnsi="Verdana" w:cs="Arial"/>
          <w:lang w:eastAsia="es-ES"/>
        </w:rPr>
      </w:pPr>
    </w:p>
    <w:p w14:paraId="69A5F13D" w14:textId="77777777" w:rsidR="001B077C" w:rsidRPr="001B3C5D" w:rsidRDefault="001B077C" w:rsidP="001B077C">
      <w:pPr>
        <w:spacing w:after="0" w:line="240" w:lineRule="auto"/>
        <w:ind w:left="709" w:right="709"/>
        <w:jc w:val="both"/>
        <w:rPr>
          <w:rFonts w:ascii="Verdana" w:eastAsia="Times New Roman" w:hAnsi="Verdana" w:cs="Arial"/>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 para la Sala resulta claro que con el Decreto-Ley 4170 de 2011 el legislador extraordinario no quiso modificar –como en efecto no lo hizo– el esquema de producción normativa establecido en la Constitución Política y, por lo mismo, las funciones asignadas a Colombia Compra Eficiente guardan una estricta lógica de jerarquía normativa respecto de las facultades reglamentarias reservadas al presidente de la República y, por supuesto, respecto de los lineamientos legislativos. No podría considerarse que con el Decreto-Ley mencionado se distribuyeron las competencias reglamentarias entre el presidente de la República y la nueva agencia, asignando a esta última todo aquello relativo a la contratación del Estado. Por el contrario, lo que resulta evidente es que </w:t>
      </w:r>
      <w:r w:rsidRPr="001B3C5D">
        <w:rPr>
          <w:rFonts w:ascii="Verdana" w:eastAsia="Times New Roman" w:hAnsi="Verdana" w:cs="Arial"/>
          <w:sz w:val="21"/>
          <w:szCs w:val="21"/>
          <w:u w:val="single"/>
          <w:lang w:eastAsia="es-ES"/>
        </w:rPr>
        <w:t>el presidente de la República cuenta ahora con una entidad especializada que lo apoya técnicamente</w:t>
      </w:r>
      <w:r w:rsidRPr="001B3C5D">
        <w:rPr>
          <w:rFonts w:ascii="Verdana" w:eastAsia="Times New Roman" w:hAnsi="Verdana" w:cs="Arial"/>
          <w:sz w:val="21"/>
          <w:szCs w:val="21"/>
          <w:lang w:eastAsia="es-ES"/>
        </w:rPr>
        <w:t xml:space="preserve"> tanto en la formulación de una política pública en materia de compras y contratación pública, </w:t>
      </w:r>
      <w:r w:rsidRPr="001B3C5D">
        <w:rPr>
          <w:rFonts w:ascii="Verdana" w:eastAsia="Times New Roman" w:hAnsi="Verdana" w:cs="Arial"/>
          <w:sz w:val="21"/>
          <w:szCs w:val="21"/>
          <w:u w:val="single"/>
          <w:lang w:eastAsia="es-ES"/>
        </w:rPr>
        <w:t>como en su labor de producción normativa, sin que por ello se desprenda de las normas pertinentes alguna suerte de escisión de las facultades</w:t>
      </w:r>
      <w:r w:rsidRPr="001B3C5D">
        <w:rPr>
          <w:rFonts w:ascii="Verdana" w:eastAsia="Times New Roman" w:hAnsi="Verdana" w:cs="Arial"/>
          <w:b/>
          <w:bCs/>
          <w:sz w:val="21"/>
          <w:szCs w:val="21"/>
          <w:lang w:eastAsia="es-ES"/>
        </w:rPr>
        <w:t>.</w:t>
      </w:r>
      <w:r w:rsidRPr="001B3C5D">
        <w:rPr>
          <w:rFonts w:ascii="Verdana" w:eastAsia="Times New Roman" w:hAnsi="Verdana" w:cs="Arial"/>
          <w:sz w:val="21"/>
          <w:szCs w:val="21"/>
          <w:lang w:eastAsia="es-ES"/>
        </w:rPr>
        <w:t xml:space="preserve"> Adicionalmente, las funciones asignadas a la Agencia, si bien pueden comportar una facultad de regulación de la actividad contractual pública, ella debe ser ejercida con sometimiento al esquema jerárquico normativo del sistema jurídico, por lo que deberá sujetarse, como consecuencia, a los dictados constitucionales, legales y a la reglamentación expedida por el presidente de la República”</w:t>
      </w:r>
      <w:r w:rsidRPr="001B3C5D">
        <w:rPr>
          <w:rFonts w:ascii="Verdana" w:eastAsia="Times New Roman" w:hAnsi="Verdana" w:cs="Arial"/>
          <w:sz w:val="21"/>
          <w:szCs w:val="21"/>
          <w:vertAlign w:val="superscript"/>
          <w:lang w:eastAsia="es-ES"/>
        </w:rPr>
        <w:footnoteReference w:id="29"/>
      </w:r>
      <w:r w:rsidRPr="001B3C5D">
        <w:rPr>
          <w:rFonts w:ascii="Verdana" w:eastAsia="Times New Roman" w:hAnsi="Verdana" w:cs="Arial"/>
          <w:i/>
          <w:iCs/>
          <w:sz w:val="21"/>
          <w:szCs w:val="21"/>
          <w:lang w:eastAsia="es-ES"/>
        </w:rPr>
        <w:t>.</w:t>
      </w:r>
      <w:r w:rsidRPr="001B3C5D">
        <w:rPr>
          <w:rFonts w:ascii="Verdana" w:eastAsia="Times New Roman" w:hAnsi="Verdana" w:cs="Arial"/>
          <w:sz w:val="21"/>
          <w:szCs w:val="21"/>
          <w:lang w:eastAsia="es-ES"/>
        </w:rPr>
        <w:t xml:space="preserve"> (Subrayado fuera del texto) </w:t>
      </w:r>
    </w:p>
    <w:p w14:paraId="1E24A800" w14:textId="77777777" w:rsidR="001B077C" w:rsidRPr="001B3C5D" w:rsidRDefault="001B077C" w:rsidP="001B077C">
      <w:pPr>
        <w:tabs>
          <w:tab w:val="center" w:pos="4419"/>
          <w:tab w:val="right" w:pos="8838"/>
        </w:tabs>
        <w:spacing w:after="0" w:line="240" w:lineRule="auto"/>
        <w:jc w:val="both"/>
        <w:rPr>
          <w:rFonts w:ascii="Verdana" w:eastAsia="Times New Roman" w:hAnsi="Verdana" w:cs="Arial"/>
          <w:lang w:eastAsia="es-ES"/>
        </w:rPr>
      </w:pPr>
    </w:p>
    <w:p w14:paraId="7F4DBE9F"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 El anterior pronunciamiento fue proferido por parte del Consejo de Estado al estudiar la legalidad del artículo 159 del Decreto 1510 de 2013, respecto de la competencia de la Agencia Nacional de Contratación Pública - Colombia Compra Eficiente para el diseño e implementación de documentos estandarizados y especializados, dentro de los cuales se encuentran, entre otros, los documentos tipo. Al respecto, el Alto Tribunal consideró que esta competencia carecía de sustento normativo desde el punto de vista reglamentario por cuanto el artículo 2 de la Ley 1150 de 2007 confirió al Gobierno Nacional la facultad de fijar con fuerza vinculante, </w:t>
      </w:r>
      <w:r w:rsidRPr="001B3C5D">
        <w:rPr>
          <w:rFonts w:ascii="Verdana" w:eastAsia="MS Mincho" w:hAnsi="Verdana" w:cs="Arial"/>
          <w:lang w:eastAsia="es-CO"/>
        </w:rPr>
        <w:t>“</w:t>
      </w:r>
      <w:r w:rsidRPr="001B3C5D">
        <w:rPr>
          <w:rFonts w:ascii="Verdana" w:eastAsia="Times New Roman" w:hAnsi="Verdana" w:cs="Arial"/>
          <w:iCs/>
          <w:lang w:eastAsia="es-ES"/>
        </w:rPr>
        <w:t>las condiciones generales de los pliegos de condiciones y los contratos de las entidades estatales</w:t>
      </w:r>
      <w:r w:rsidRPr="001B3C5D">
        <w:rPr>
          <w:rFonts w:ascii="Verdana" w:eastAsia="MS Mincho" w:hAnsi="Verdana" w:cs="Arial"/>
          <w:lang w:eastAsia="es-CO"/>
        </w:rPr>
        <w:t>”</w:t>
      </w:r>
      <w:r w:rsidRPr="001B3C5D">
        <w:rPr>
          <w:rFonts w:ascii="Verdana" w:eastAsia="Times New Roman" w:hAnsi="Verdana" w:cs="Arial"/>
          <w:lang w:eastAsia="es-ES"/>
        </w:rPr>
        <w:t xml:space="preserve"> para la adquisición de bienes y servicios de características técnicas uniformes y de común utilización, sin hacer referencia a la adopción de otro tipo de contratos o modalidades. </w:t>
      </w:r>
    </w:p>
    <w:p w14:paraId="6496C38F"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lastRenderedPageBreak/>
        <w:t>De igual manera, aclaró que en el marco normativo en el cual fue expedido el Decreto 1510 de 2013 no se contaba con la facultad legal por parte de la Agencia Nacional de Contratación Pública - Colombia Compra Eficiente para el diseño e implementación de documentos estandarizados para ninguna modalidad de contratación con efectos obligatorios para las entidades públicas, salvo el evento señalado en el parágrafo 3 del artículo 2 de la Ley 1150 de 2007.  No obstante, la expedición de la presente resolución se fundamenta en el artículo 1 de la Ley 2022 de 2020 que brinda el sustento normativo para la adopción de los documentos tipo. Esto con el fin de que la Agencia, como entidad administrativa especializada, los desarrolle e implemente dentro de los límites establecidos en la ley citada acorde con las funciones, objeto y misión de la entidad.</w:t>
      </w:r>
    </w:p>
    <w:p w14:paraId="06D93113"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Por lo tanto, a diferencia de lo establecido en el numeral 3 del artículo 159 del Decreto 1510 de 2013, esta reglamentación cuenta con un sustento jurídico suficiente, dado en el artículo 1 de la Ley 2022 de 2020 y permite a la Agencia Nacional de Contratación Pública – Colombia Compra Eficiente concretar y aterrizar la voluntad del legislador mediante el ejercicio de la potestad reglamentaria.</w:t>
      </w:r>
      <w:r w:rsidRPr="001B3C5D">
        <w:rPr>
          <w:rFonts w:ascii="Verdana" w:eastAsia="MS Mincho" w:hAnsi="Verdana" w:cs="Arial"/>
          <w:lang w:eastAsia="es-CO"/>
        </w:rPr>
        <w:t xml:space="preserve"> </w:t>
      </w:r>
    </w:p>
    <w:p w14:paraId="553C5D80"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Mediante una interpretación sistemática de la normativa y jurisprudencia citada es posible concluir que esta Agencia tiene facultad de regulación de la actividad contractual pública, lo que implica la potestad para expedir normas de carácter técnico subordinadas a la Constitución y a la ley y que los documentos tipo son una manifestación de dicha potestad. En consecuencia, la Agencia Nacional de Contratación Pública – Colombia Compra Eficiente tiene la facultad de adoptar los documentos tipo, con fundamento en la potestad reglamentaria que le asignó el artículo 1º de la Ley 2022 de 2020. </w:t>
      </w:r>
    </w:p>
    <w:p w14:paraId="07DBC8CD" w14:textId="77777777" w:rsidR="001B077C" w:rsidRPr="001B3C5D" w:rsidRDefault="001B077C" w:rsidP="001B077C">
      <w:pPr>
        <w:tabs>
          <w:tab w:val="center" w:pos="4419"/>
          <w:tab w:val="right" w:pos="8838"/>
        </w:tabs>
        <w:spacing w:after="0" w:line="240" w:lineRule="auto"/>
        <w:ind w:firstLine="709"/>
        <w:jc w:val="both"/>
        <w:rPr>
          <w:rFonts w:ascii="Verdana" w:eastAsia="Aptos" w:hAnsi="Verdana" w:cs="Times New Roman"/>
          <w:kern w:val="2"/>
          <w:sz w:val="24"/>
          <w:szCs w:val="24"/>
          <w14:ligatures w14:val="standardContextual"/>
        </w:rPr>
      </w:pPr>
      <w:r w:rsidRPr="001B3C5D">
        <w:rPr>
          <w:rFonts w:ascii="Verdana" w:eastAsia="MS Mincho" w:hAnsi="Verdana" w:cs="Arial"/>
          <w:lang w:eastAsia="es-CO"/>
        </w:rPr>
        <w:t>I</w:t>
      </w:r>
      <w:r w:rsidRPr="001B3C5D">
        <w:rPr>
          <w:rFonts w:ascii="Verdana" w:eastAsia="Times New Roman" w:hAnsi="Verdana" w:cs="Arial"/>
          <w:lang w:eastAsia="es-ES"/>
        </w:rPr>
        <w:t>gualmente, en desarrollo de la función que recae en la Agencia Nacional de Contratación Pública – Colombia Compra Eficiente conforme al artículo 2º del Decreto Ley 4170 de 2011, la Agencia concretará la voluntad del legislador con la implementación, desarrollo, publicación, revisión y actualización de los documentos tipo, según el avance y aplicación que éstos vayan teniendo en los sectores en los cuales vienen siendo adoptados.</w:t>
      </w:r>
    </w:p>
    <w:p w14:paraId="15B31706" w14:textId="77777777" w:rsidR="001B077C" w:rsidRPr="001B3C5D" w:rsidRDefault="001B077C" w:rsidP="001B077C">
      <w:pPr>
        <w:tabs>
          <w:tab w:val="center" w:pos="4419"/>
          <w:tab w:val="right" w:pos="8838"/>
        </w:tabs>
        <w:spacing w:after="0" w:line="240" w:lineRule="auto"/>
        <w:ind w:firstLine="709"/>
        <w:jc w:val="both"/>
        <w:rPr>
          <w:rFonts w:ascii="Verdana" w:eastAsia="Aptos" w:hAnsi="Verdana" w:cs="Times New Roman"/>
          <w:kern w:val="2"/>
          <w:sz w:val="24"/>
          <w:szCs w:val="24"/>
          <w14:ligatures w14:val="standardContextual"/>
        </w:rPr>
      </w:pPr>
    </w:p>
    <w:p w14:paraId="1286FDA6" w14:textId="77777777" w:rsidR="001B077C" w:rsidRPr="001B3C5D" w:rsidRDefault="001B077C" w:rsidP="001B077C">
      <w:pPr>
        <w:tabs>
          <w:tab w:val="center" w:pos="4419"/>
          <w:tab w:val="right" w:pos="8838"/>
        </w:tabs>
        <w:spacing w:after="0" w:line="276" w:lineRule="auto"/>
        <w:jc w:val="both"/>
        <w:rPr>
          <w:rFonts w:ascii="Verdana" w:eastAsia="Calibri" w:hAnsi="Verdana" w:cs="Arial"/>
          <w:color w:val="000000"/>
          <w:lang w:val="es-ES"/>
        </w:rPr>
      </w:pPr>
      <w:proofErr w:type="spellStart"/>
      <w:r w:rsidRPr="001B3C5D">
        <w:rPr>
          <w:rFonts w:ascii="Verdana" w:eastAsia="Aptos" w:hAnsi="Verdana" w:cs="Times New Roman"/>
          <w:kern w:val="2"/>
          <w:sz w:val="24"/>
          <w:szCs w:val="24"/>
          <w14:ligatures w14:val="standardContextual"/>
        </w:rPr>
        <w:lastRenderedPageBreak/>
        <w:t>iii</w:t>
      </w:r>
      <w:proofErr w:type="spellEnd"/>
      <w:r w:rsidRPr="001B3C5D">
        <w:rPr>
          <w:rFonts w:ascii="Verdana" w:eastAsia="Aptos" w:hAnsi="Verdana" w:cs="Times New Roman"/>
          <w:kern w:val="2"/>
          <w:sz w:val="24"/>
          <w:szCs w:val="24"/>
          <w14:ligatures w14:val="standardContextual"/>
        </w:rPr>
        <w:t xml:space="preserve">. </w:t>
      </w:r>
      <w:r w:rsidRPr="001B3C5D">
        <w:rPr>
          <w:rFonts w:ascii="Verdana" w:eastAsia="Calibri" w:hAnsi="Verdana" w:cs="Arial"/>
          <w:color w:val="000000"/>
          <w:lang w:val="es-ES"/>
        </w:rPr>
        <w:t>Todas las resoluciones</w:t>
      </w:r>
      <w:r w:rsidRPr="001B3C5D">
        <w:rPr>
          <w:rFonts w:ascii="Verdana" w:eastAsia="Calibri" w:hAnsi="Verdana" w:cs="Arial"/>
          <w:color w:val="000000"/>
          <w:vertAlign w:val="superscript"/>
          <w:lang w:val="es-ES"/>
        </w:rPr>
        <w:footnoteReference w:id="30"/>
      </w:r>
      <w:r w:rsidRPr="001B3C5D">
        <w:rPr>
          <w:rFonts w:ascii="Verdana" w:eastAsia="Calibri" w:hAnsi="Verdana" w:cs="Arial"/>
          <w:color w:val="000000"/>
          <w:lang w:val="es-ES"/>
        </w:rPr>
        <w:t xml:space="preserve">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1B3C5D">
        <w:rPr>
          <w:rFonts w:ascii="Verdana" w:eastAsia="Calibri" w:hAnsi="Verdana" w:cs="Arial"/>
          <w:i/>
          <w:iCs/>
          <w:color w:val="000000"/>
          <w:lang w:val="es-ES"/>
        </w:rPr>
        <w:t>Documentos del Proceso</w:t>
      </w:r>
      <w:r w:rsidRPr="001B3C5D">
        <w:rPr>
          <w:rFonts w:ascii="Verdana" w:eastAsia="Calibri" w:hAnsi="Verdana" w:cs="Arial"/>
          <w:color w:val="00000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5FBD932F" w14:textId="77777777" w:rsidR="001B077C" w:rsidRPr="001B3C5D" w:rsidRDefault="001B077C" w:rsidP="001B077C">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Pero eso no significa que antes no rigiera, pues así también lo disponía el artículo 4 de la Ley 1882 de 2018. Por vía reglamentaria, también quedó consignado en su momento el carácter inmodificable de los pliegos tipo en el artículo 1 de los Decretos 342 de 2019, Decreto 2096 de 2019 y 594 de 2020, que adicionaron, respectivamente, los artículos 2.2.1.2.6.1.4, 2.2.1.2.6.2.3 y 2.2.1.2.6.3.4 al Decreto 1082 de 2015. En esta línea, las entidades públicas deberán sujetarse de forma irrestricta a las reglas establecidas en los documentos tipo, dispuestas en las diferentes resoluciones expedidas por la Agencia, por lo que no pueden hacer excepciones bajo una supuesta discrecionalidad a estas reglas que son obligatorias. </w:t>
      </w:r>
    </w:p>
    <w:p w14:paraId="06C44FAA" w14:textId="77777777" w:rsidR="001B077C" w:rsidRPr="001B3C5D" w:rsidRDefault="001B077C" w:rsidP="001B077C">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La inalterabilidad de los documentos tipo es una manifestación en mayor grado de las potestades regladas, lo cual implica una reducción de la discrecionalidad de la Administración en el momento de tomar una decisión en el proceso de contratación</w:t>
      </w:r>
      <w:r w:rsidRPr="001B3C5D">
        <w:rPr>
          <w:rFonts w:ascii="Verdana" w:eastAsia="Calibri" w:hAnsi="Verdana" w:cs="Arial"/>
          <w:vertAlign w:val="superscript"/>
          <w:lang w:val="es-ES_tradnl"/>
        </w:rPr>
        <w:footnoteReference w:id="31"/>
      </w:r>
      <w:r w:rsidRPr="001B3C5D">
        <w:rPr>
          <w:rFonts w:ascii="Verdana" w:eastAsia="Calibri" w:hAnsi="Verdana" w:cs="Arial"/>
          <w:lang w:val="es-ES_tradnl"/>
        </w:rPr>
        <w:t xml:space="preserve">. Cada entidad pública sujeta a los documentos tipo </w:t>
      </w:r>
      <w:r w:rsidRPr="001B3C5D">
        <w:rPr>
          <w:rFonts w:ascii="Verdana" w:eastAsia="Calibri" w:hAnsi="Verdana" w:cs="Arial"/>
          <w:lang w:val="es-ES_tradnl"/>
        </w:rPr>
        <w:lastRenderedPageBreak/>
        <w:t xml:space="preserve">deberá hacer una aplicación o constatación irrestricta de las reglas y condiciones dispuestas en estos, salvo que las mismas posibilitan la discrecionalidad en determinados aspectos. </w:t>
      </w:r>
    </w:p>
    <w:p w14:paraId="3430DB37" w14:textId="77777777" w:rsidR="001B077C" w:rsidRPr="001B3C5D" w:rsidRDefault="001B077C" w:rsidP="001B077C">
      <w:pPr>
        <w:spacing w:before="120" w:after="120" w:line="276" w:lineRule="auto"/>
        <w:ind w:firstLine="709"/>
        <w:jc w:val="both"/>
        <w:rPr>
          <w:rFonts w:ascii="Verdana" w:eastAsia="Calibri" w:hAnsi="Verdana" w:cs="Arial"/>
          <w:lang w:val="es-ES"/>
        </w:rPr>
      </w:pPr>
      <w:r w:rsidRPr="001B3C5D">
        <w:rPr>
          <w:rFonts w:ascii="Verdana" w:eastAsia="Calibri" w:hAnsi="Verdana" w:cs="Arial"/>
          <w:lang w:val="es-ES"/>
        </w:rPr>
        <w:t xml:space="preserve">Además, las entidades estatales deben garantizar el </w:t>
      </w:r>
      <w:r w:rsidRPr="001B3C5D">
        <w:rPr>
          <w:rFonts w:ascii="Verdana" w:eastAsia="Calibri" w:hAnsi="Verdana" w:cs="Arial"/>
          <w:i/>
          <w:iCs/>
          <w:lang w:val="es-ES"/>
        </w:rPr>
        <w:t>principio de economía</w:t>
      </w:r>
      <w:r w:rsidRPr="001B3C5D">
        <w:rPr>
          <w:rFonts w:ascii="Verdana" w:eastAsia="Calibri" w:hAnsi="Verdana" w:cs="Arial"/>
          <w:lang w:val="es-ES"/>
        </w:rPr>
        <w:t>, del cual se desprende que no pueden exigir documentos o requisitos más allá de los que permitan la Constitución, la ley y los reglamentos. Este postulado ha sido recogido no solo en la contratación estatal</w:t>
      </w:r>
      <w:r w:rsidRPr="001B3C5D">
        <w:rPr>
          <w:rFonts w:ascii="Verdana" w:eastAsia="Calibri" w:hAnsi="Verdana" w:cs="Arial"/>
          <w:vertAlign w:val="superscript"/>
          <w:lang w:val="es-ES"/>
        </w:rPr>
        <w:footnoteReference w:id="32"/>
      </w:r>
      <w:r w:rsidRPr="001B3C5D">
        <w:rPr>
          <w:rFonts w:ascii="Verdana" w:eastAsia="Calibri" w:hAnsi="Verdana" w:cs="Arial"/>
          <w:lang w:val="es-ES"/>
        </w:rPr>
        <w:t xml:space="preserve"> sino además en la normativa </w:t>
      </w:r>
      <w:proofErr w:type="spellStart"/>
      <w:r w:rsidRPr="001B3C5D">
        <w:rPr>
          <w:rFonts w:ascii="Verdana" w:eastAsia="Calibri" w:hAnsi="Verdana" w:cs="Arial"/>
          <w:lang w:val="es-ES"/>
        </w:rPr>
        <w:t>antitrámites</w:t>
      </w:r>
      <w:proofErr w:type="spellEnd"/>
      <w:r w:rsidRPr="001B3C5D">
        <w:rPr>
          <w:rFonts w:ascii="Verdana" w:eastAsia="Calibri" w:hAnsi="Verdana" w:cs="Arial"/>
          <w:vertAlign w:val="superscript"/>
          <w:lang w:val="es-ES"/>
        </w:rPr>
        <w:footnoteReference w:id="33"/>
      </w:r>
      <w:r w:rsidRPr="001B3C5D">
        <w:rPr>
          <w:rFonts w:ascii="Verdana" w:eastAsia="Calibri" w:hAnsi="Verdana" w:cs="Arial"/>
          <w:lang w:val="es-ES"/>
        </w:rPr>
        <w:t>; pues se inscribe dentro de la tendencia de simplificación y racionalización de los procedimientos administrativos. De ahí que cuando las autoridades solicitan la entrega de documentación innecesaria, desconocen el principio de economía.</w:t>
      </w:r>
    </w:p>
    <w:p w14:paraId="51569822"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1B3C5D">
        <w:rPr>
          <w:rFonts w:ascii="Verdana" w:eastAsia="Calibri" w:hAnsi="Verdana" w:cs="Arial"/>
          <w:color w:val="000000"/>
          <w:vertAlign w:val="superscript"/>
          <w:lang w:val="es-ES"/>
        </w:rPr>
        <w:footnoteReference w:id="34"/>
      </w:r>
      <w:r w:rsidRPr="001B3C5D">
        <w:rPr>
          <w:rFonts w:ascii="Verdana" w:eastAsia="Calibri" w:hAnsi="Verdana" w:cs="Arial"/>
          <w:color w:val="000000"/>
          <w:lang w:val="es-ES"/>
        </w:rPr>
        <w:t xml:space="preserve">. Si las autoridades pudiesen agregar, eliminar o modificar todos y cada uno de los aspectos contenidos en los pliegos tipo, estos documentos, llanamente, no podrían ser llamados pliegos tipo. </w:t>
      </w:r>
    </w:p>
    <w:p w14:paraId="02173150"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w:t>
      </w:r>
      <w:r w:rsidRPr="001B3C5D">
        <w:rPr>
          <w:rFonts w:ascii="Verdana" w:eastAsia="Calibri" w:hAnsi="Verdana" w:cs="Arial"/>
          <w:color w:val="000000"/>
          <w:lang w:val="es-ES"/>
        </w:rPr>
        <w:lastRenderedPageBreak/>
        <w:t xml:space="preserve">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4ECB7F30"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6FDB25F6"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lang w:val="es-MX"/>
        </w:rPr>
        <w:t xml:space="preserve">No obstante, la parte introductoria de los documentos base de los documentos tipo disponen que los aspectos incluidos en corchetes y resaltados en gris </w:t>
      </w:r>
      <w:r w:rsidRPr="001B3C5D">
        <w:rPr>
          <w:rFonts w:ascii="Verdana" w:eastAsia="Aptos" w:hAnsi="Verdana" w:cs="Arial"/>
        </w:rPr>
        <w:t>–[</w:t>
      </w:r>
      <w:r w:rsidRPr="001B3C5D">
        <w:rPr>
          <w:rFonts w:ascii="Verdana" w:eastAsia="Aptos" w:hAnsi="Verdana" w:cs="Arial"/>
          <w:highlight w:val="lightGray"/>
        </w:rPr>
        <w:t>texto de ejemplo</w:t>
      </w:r>
      <w:r w:rsidRPr="001B3C5D">
        <w:rPr>
          <w:rFonts w:ascii="Verdana" w:eastAsia="Aptos" w:hAnsi="Verdana" w:cs="Arial"/>
        </w:rPr>
        <w:t xml:space="preserve">]– </w:t>
      </w:r>
      <w:r w:rsidRPr="001B3C5D">
        <w:rPr>
          <w:rFonts w:ascii="Verdana" w:eastAsia="Calibri" w:hAnsi="Verdana" w:cs="Arial"/>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454C30D3" w14:textId="77777777" w:rsidR="001B077C" w:rsidRPr="001B3C5D" w:rsidRDefault="001B077C" w:rsidP="001B077C">
      <w:pPr>
        <w:spacing w:line="276" w:lineRule="auto"/>
        <w:ind w:firstLine="708"/>
        <w:jc w:val="both"/>
        <w:rPr>
          <w:rFonts w:ascii="Aptos" w:eastAsia="Aptos" w:hAnsi="Aptos" w:cs="Times New Roman"/>
          <w:kern w:val="2"/>
          <w:sz w:val="24"/>
          <w:szCs w:val="24"/>
          <w:lang w:val="es-MX"/>
          <w14:ligatures w14:val="standardContextual"/>
        </w:rPr>
      </w:pPr>
      <w:r w:rsidRPr="001B3C5D">
        <w:rPr>
          <w:rFonts w:ascii="Verdana" w:eastAsia="Calibri" w:hAnsi="Verdana" w:cs="Arial"/>
          <w:lang w:val="es-MX"/>
        </w:rPr>
        <w:t xml:space="preserve">Debe indicarse que, la regla de inalterabilidad que recae sobre los documentos tipo, también se encuentra consagrada de forma expresa en el documento base. Así, en el aparte sobre las normas de interpretación del pliego de condiciones, el literal I del numeral 1.17 del pliego tipo de los documentos tipo de licitación de obra pública de infraestructura de transporte dispone lo siguiente: </w:t>
      </w:r>
      <w:r w:rsidRPr="001B3C5D">
        <w:rPr>
          <w:rFonts w:ascii="Verdana" w:eastAsia="Calibri" w:hAnsi="Verdana" w:cs="Arial"/>
          <w:i/>
          <w:iCs/>
          <w:lang w:val="es-MX"/>
        </w:rPr>
        <w:t>“</w:t>
      </w:r>
      <w:r w:rsidRPr="001B3C5D">
        <w:rPr>
          <w:rFonts w:ascii="Verdana" w:eastAsia="Aptos" w:hAnsi="Verdana" w:cs="Times New Roman"/>
          <w:i/>
          <w:iCs/>
          <w:kern w:val="2"/>
          <w:lang w:val="es-MX"/>
          <w14:ligatures w14:val="standardContextual"/>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Pr="001B3C5D">
        <w:rPr>
          <w:rFonts w:ascii="Aptos" w:eastAsia="Aptos" w:hAnsi="Aptos" w:cs="Times New Roman"/>
          <w:kern w:val="2"/>
          <w:sz w:val="24"/>
          <w:szCs w:val="24"/>
          <w:lang w:val="es-MX"/>
          <w14:ligatures w14:val="standardContextual"/>
        </w:rPr>
        <w:t xml:space="preserve"> </w:t>
      </w:r>
    </w:p>
    <w:p w14:paraId="16F9DC35" w14:textId="77777777" w:rsidR="001B077C" w:rsidRPr="001B3C5D" w:rsidRDefault="001B077C" w:rsidP="001B077C">
      <w:pPr>
        <w:spacing w:before="120" w:after="120" w:line="276" w:lineRule="auto"/>
        <w:ind w:firstLine="709"/>
        <w:jc w:val="both"/>
        <w:rPr>
          <w:rFonts w:ascii="Verdana" w:eastAsia="Calibri" w:hAnsi="Verdana" w:cs="Arial"/>
          <w:bCs/>
          <w:lang w:val="es-MX"/>
        </w:rPr>
      </w:pPr>
      <w:r w:rsidRPr="001B3C5D">
        <w:rPr>
          <w:rFonts w:ascii="Verdana" w:eastAsia="Calibri" w:hAnsi="Verdana" w:cs="Arial"/>
          <w:bCs/>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0A8190A9" w14:textId="77777777" w:rsidR="001B077C" w:rsidRPr="001B3C5D" w:rsidRDefault="001B077C" w:rsidP="001B077C">
      <w:pPr>
        <w:spacing w:before="120" w:after="120" w:line="276" w:lineRule="auto"/>
        <w:ind w:firstLine="709"/>
        <w:jc w:val="both"/>
        <w:rPr>
          <w:rFonts w:ascii="Verdana" w:eastAsia="Calibri" w:hAnsi="Verdana" w:cs="Arial"/>
          <w:bCs/>
          <w:lang w:val="es-MX"/>
        </w:rPr>
      </w:pPr>
      <w:r w:rsidRPr="001B3C5D">
        <w:rPr>
          <w:rFonts w:ascii="Verdana" w:eastAsia="Calibri" w:hAnsi="Verdana" w:cs="Arial"/>
          <w:bCs/>
          <w:lang w:val="es-MX"/>
        </w:rPr>
        <w:lastRenderedPageBreak/>
        <w:t xml:space="preserve">Esta regla de inalterabilidad </w:t>
      </w:r>
      <w:r w:rsidRPr="001B3C5D">
        <w:rPr>
          <w:rFonts w:ascii="Verdana" w:eastAsia="Calibri" w:hAnsi="Verdana" w:cs="Arial"/>
          <w:bCs/>
          <w:i/>
          <w:iCs/>
          <w:lang w:val="es-MX"/>
        </w:rPr>
        <w:t>también aplica a los formatos, formularios, anexos y matrices</w:t>
      </w:r>
      <w:r w:rsidRPr="001B3C5D">
        <w:rPr>
          <w:rFonts w:ascii="Verdana" w:eastAsia="Calibri" w:hAnsi="Verdana" w:cs="Arial"/>
          <w:bCs/>
          <w:lang w:val="es-MX"/>
        </w:rPr>
        <w:t xml:space="preserve"> implementados junto con el “Documento Base”, los cuales deben usarse en el procedimiento de contratación. Estos, al igual que el “Documento Base”, contienen apartes entre corchetes y resaltados en gris, los cuales deben ser diligenciados por la entidad, al igual que otros aspectos relativos a información que debe ser completada por los oferentes al hacer uso del formato. </w:t>
      </w:r>
    </w:p>
    <w:p w14:paraId="279747BD" w14:textId="77777777" w:rsidR="001B077C" w:rsidRPr="001B3C5D" w:rsidRDefault="001B077C" w:rsidP="001B077C">
      <w:pPr>
        <w:spacing w:before="120" w:after="120" w:line="276" w:lineRule="auto"/>
        <w:ind w:firstLine="709"/>
        <w:jc w:val="both"/>
        <w:rPr>
          <w:rFonts w:ascii="Verdana" w:eastAsia="Calibri" w:hAnsi="Verdana" w:cs="Arial"/>
          <w:lang w:val="es-MX"/>
        </w:rPr>
      </w:pPr>
      <w:r w:rsidRPr="001B3C5D">
        <w:rPr>
          <w:rFonts w:ascii="Verdana" w:eastAsia="Calibri" w:hAnsi="Verdana" w:cs="Arial"/>
          <w:lang w:val="es-MX"/>
        </w:rPr>
        <w:t xml:space="preserve">Con todo, la regla de inalterabilidad de los documentos tipo debe armonizarse con principios de orden constitucional, especialmente con el de prevalencia del derecho sustancial, consagrado en el artículo 228 de la Constitución Política. La interpretación armónica de tales principios, a juicio de la Agencia Nacional de Contratación Pública, impide que la entidad que adelanta el proceso contractual le rinda culto a las “formas”, pues, en últimas, el deber que le asiste es el de tener en cuenta y aplicar los aspectos sustanciales de los documentos tipo, sin distingo de la formalidad de la que se sirva para ello los actores de la contratación pública. </w:t>
      </w:r>
    </w:p>
    <w:p w14:paraId="71A7D4CE" w14:textId="77777777" w:rsidR="001B077C" w:rsidRPr="001B3C5D" w:rsidRDefault="001B077C" w:rsidP="001B077C">
      <w:pPr>
        <w:spacing w:before="120" w:line="276" w:lineRule="auto"/>
        <w:ind w:firstLine="709"/>
        <w:jc w:val="both"/>
        <w:rPr>
          <w:rFonts w:ascii="Verdana" w:eastAsia="Aptos" w:hAnsi="Verdana" w:cs="Arial"/>
        </w:rPr>
      </w:pPr>
      <w:r w:rsidRPr="001B3C5D">
        <w:rPr>
          <w:rFonts w:ascii="Verdana" w:eastAsia="Aptos" w:hAnsi="Verdana" w:cs="Arial"/>
        </w:rPr>
        <w:t xml:space="preserve">En relación con el principio constitucional </w:t>
      </w:r>
      <w:r w:rsidRPr="001B3C5D">
        <w:rPr>
          <w:rFonts w:ascii="Verdana" w:eastAsia="Aptos" w:hAnsi="Verdana" w:cs="Arial"/>
          <w:i/>
          <w:iCs/>
        </w:rPr>
        <w:t>sub examine</w:t>
      </w:r>
      <w:r w:rsidRPr="001B3C5D">
        <w:rPr>
          <w:rFonts w:ascii="Verdana" w:eastAsia="Aptos" w:hAnsi="Verdana" w:cs="Arial"/>
        </w:rPr>
        <w:t>, la Corte Constitucional explica que “(…) por disposición del artículo 228 Superior, las formas no deben convertirse en un obstáculo para la efectividad del derecho sustancial, sino que deben propender por su realización. Es decir, que las normas procesales son un medio para lograr la efectividad de los derechos subjetivos y no fines en sí mismas”</w:t>
      </w:r>
      <w:r w:rsidRPr="001B3C5D">
        <w:rPr>
          <w:rFonts w:ascii="Verdana" w:eastAsia="Aptos" w:hAnsi="Verdana" w:cs="Arial"/>
          <w:vertAlign w:val="superscript"/>
        </w:rPr>
        <w:footnoteReference w:id="35"/>
      </w:r>
      <w:r w:rsidRPr="001B3C5D">
        <w:rPr>
          <w:rFonts w:ascii="Verdana" w:eastAsia="Aptos" w:hAnsi="Verdana" w:cs="Arial"/>
        </w:rPr>
        <w:t xml:space="preserve">. </w:t>
      </w:r>
    </w:p>
    <w:p w14:paraId="4E9BD70D" w14:textId="77777777" w:rsidR="001B077C" w:rsidRPr="001B3C5D" w:rsidRDefault="001B077C" w:rsidP="001B077C">
      <w:pPr>
        <w:spacing w:after="0" w:line="276" w:lineRule="auto"/>
        <w:ind w:firstLine="709"/>
        <w:jc w:val="both"/>
        <w:rPr>
          <w:rFonts w:ascii="Verdana" w:eastAsia="Calibri" w:hAnsi="Verdana" w:cs="Arial"/>
          <w:lang w:val="es-MX"/>
        </w:rPr>
      </w:pPr>
      <w:r w:rsidRPr="001B3C5D">
        <w:rPr>
          <w:rFonts w:ascii="Verdana" w:eastAsia="Calibri" w:hAnsi="Verdana" w:cs="Arial"/>
          <w:lang w:val="es-MX"/>
        </w:rPr>
        <w:t>El carácter inalterable de los documentos tipo no puede, por tanto, hacerse extensivo a los aspectos meramente formales de tales documentos, esto es, el tamaño y tipo de letra, las márgenes o las expresiones que pretenden hacer más comprensible el documento, como es el caso de aquellas que informan que una expresión larga será referida con otra similar pero más corta. Lo anterior considerando que estos aspectos en nada afectan la aplicación y alcance de los documentos tipos, es decir, no afectan su contenido esencial y, mucho menos, las obligaciones, deberes y derechos que se derivan para las partes contratantes.</w:t>
      </w:r>
    </w:p>
    <w:p w14:paraId="4B95DD12" w14:textId="77777777" w:rsidR="001B077C" w:rsidRPr="001B3C5D" w:rsidRDefault="001B077C" w:rsidP="001B077C">
      <w:pPr>
        <w:widowControl w:val="0"/>
        <w:autoSpaceDE w:val="0"/>
        <w:autoSpaceDN w:val="0"/>
        <w:spacing w:after="0" w:line="276" w:lineRule="auto"/>
        <w:jc w:val="both"/>
        <w:rPr>
          <w:rFonts w:ascii="Verdana" w:eastAsia="Aptos" w:hAnsi="Verdana" w:cs="Times New Roman"/>
          <w:kern w:val="2"/>
          <w:sz w:val="24"/>
          <w:szCs w:val="24"/>
          <w14:ligatures w14:val="standardContextual"/>
        </w:rPr>
      </w:pPr>
    </w:p>
    <w:p w14:paraId="4F4EE317" w14:textId="77777777" w:rsidR="001B077C" w:rsidRPr="001B3C5D" w:rsidRDefault="001B077C" w:rsidP="001B077C">
      <w:pPr>
        <w:widowControl w:val="0"/>
        <w:autoSpaceDE w:val="0"/>
        <w:autoSpaceDN w:val="0"/>
        <w:spacing w:after="120" w:line="276" w:lineRule="auto"/>
        <w:jc w:val="both"/>
        <w:rPr>
          <w:rFonts w:ascii="Verdana" w:eastAsia="Aptos" w:hAnsi="Verdana" w:cs="Times New Roman"/>
          <w:kern w:val="2"/>
          <w14:ligatures w14:val="standardContextual"/>
        </w:rPr>
      </w:pPr>
      <w:proofErr w:type="spellStart"/>
      <w:r w:rsidRPr="001B3C5D">
        <w:rPr>
          <w:rFonts w:ascii="Verdana" w:eastAsia="Aptos" w:hAnsi="Verdana" w:cs="Times New Roman"/>
          <w:kern w:val="2"/>
          <w14:ligatures w14:val="standardContextual"/>
        </w:rPr>
        <w:t>iv</w:t>
      </w:r>
      <w:proofErr w:type="spellEnd"/>
      <w:r w:rsidRPr="001B3C5D">
        <w:rPr>
          <w:rFonts w:ascii="Verdana" w:eastAsia="Aptos" w:hAnsi="Verdana" w:cs="Times New Roman"/>
          <w:kern w:val="2"/>
          <w14:ligatures w14:val="standardContextual"/>
        </w:rPr>
        <w:t xml:space="preserve">. De acuerdo con la memoria justificativa del Decreto 287 del 19 de marzo de </w:t>
      </w:r>
      <w:r w:rsidRPr="001B3C5D">
        <w:rPr>
          <w:rFonts w:ascii="Verdana" w:eastAsia="Aptos" w:hAnsi="Verdana" w:cs="Times New Roman"/>
          <w:kern w:val="2"/>
          <w14:ligatures w14:val="standardContextual"/>
        </w:rPr>
        <w:lastRenderedPageBreak/>
        <w:t>2026</w:t>
      </w:r>
      <w:r w:rsidRPr="001B3C5D">
        <w:rPr>
          <w:rFonts w:ascii="Verdana" w:eastAsia="Aptos" w:hAnsi="Verdana" w:cs="Times New Roman"/>
          <w:kern w:val="2"/>
          <w:vertAlign w:val="superscript"/>
          <w14:ligatures w14:val="standardContextual"/>
        </w:rPr>
        <w:footnoteReference w:id="36"/>
      </w:r>
      <w:r w:rsidRPr="001B3C5D">
        <w:rPr>
          <w:rFonts w:ascii="Verdana" w:eastAsia="Aptos" w:hAnsi="Verdana" w:cs="Times New Roman"/>
          <w:kern w:val="2"/>
          <w14:ligatures w14:val="standardContextual"/>
        </w:rPr>
        <w:t>, históricamente las Personas con Discapacidad han enfrentado mayores tasas de desempleo y barreras de acceso al mercado. Aunque leyes previas como la Ley 1618 de 2013, ordenaban un sistema de preferencias para estas personas, la regulación anterior –el Decreto 392 de 2018–, se limitaba a medidas aisladas de puntaje que no garantizaban una participación equitativa desde el inicio de los procesos contractuales. Esto fue ratificado por el Consejo de Estado</w:t>
      </w:r>
      <w:r w:rsidRPr="001B3C5D">
        <w:rPr>
          <w:rFonts w:ascii="Verdana" w:eastAsia="Aptos" w:hAnsi="Verdana" w:cs="Times New Roman"/>
          <w:kern w:val="2"/>
          <w:vertAlign w:val="superscript"/>
          <w14:ligatures w14:val="standardContextual"/>
        </w:rPr>
        <w:footnoteReference w:id="37"/>
      </w:r>
      <w:r w:rsidRPr="001B3C5D">
        <w:rPr>
          <w:rFonts w:ascii="Verdana" w:eastAsia="Aptos" w:hAnsi="Verdana" w:cs="Times New Roman"/>
          <w:kern w:val="2"/>
          <w14:ligatures w14:val="standardContextual"/>
        </w:rPr>
        <w:t xml:space="preserve"> que mediante una acción de cumplimiento declaró el incumplimiento del deber de reglamentar integralmente el artículo 13 de la Ley 1618 de 2013 y ordenó al Gobierno Nacional expedir la regulación necesaria para hacer efectivo el sistema de preferencias en favor de las personas con discapacidad, sus emprendimientos y empresas que las contratan.</w:t>
      </w:r>
    </w:p>
    <w:p w14:paraId="206AC43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este sentido, la parte considerativa del Decreto 287 de 2026, indica que la Ley Estatutaria 1618 del 2013 establece un conjunto de medidas en favor de las personas con discapacidad, “(…) dentro de las que se destacan las contenidas en el numeral 1, que establece el deber del Gobierno Nacional de reglamentar una puntuación adicional en procesos de licitación pública, concurso de méritos y contratación directa para i) las empresas que tengan personas con discapacidad y para </w:t>
      </w:r>
      <w:proofErr w:type="spellStart"/>
      <w:r w:rsidRPr="001B3C5D">
        <w:rPr>
          <w:rFonts w:ascii="Verdana" w:eastAsia="Aptos" w:hAnsi="Verdana" w:cs="Times New Roman"/>
          <w:kern w:val="2"/>
          <w14:ligatures w14:val="standardContextual"/>
        </w:rPr>
        <w:t>ii</w:t>
      </w:r>
      <w:proofErr w:type="spellEnd"/>
      <w:r w:rsidRPr="001B3C5D">
        <w:rPr>
          <w:rFonts w:ascii="Verdana" w:eastAsia="Aptos" w:hAnsi="Verdana" w:cs="Times New Roman"/>
          <w:kern w:val="2"/>
          <w14:ligatures w14:val="standardContextual"/>
        </w:rPr>
        <w:t xml:space="preserve">) las empresas de personas con discapacidad, familiares y tutores, así como también la contenida en el numeral 7, que demanda del Gobierno Nacional reglamentar la implementación de un sistema de preferencias en favor de empleadores de personas con discapacidad aplicable a procesos de selección y celebración de contratos; y la consagrada en el numeral 8, que demanda de los gobiernos nacional, departamentales, distritales y municipales fijar mediante decreto reglamentario la implementación de un sistema de preferencias en favor de las personas con discapacidad aplicable a procesos de selección de contratistas (…)”. </w:t>
      </w:r>
    </w:p>
    <w:p w14:paraId="3AF76507"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 virtud de lo exigido por los numerales uno (1), siete (7) y ocho (8) del artículo 13 de la Ley Estatutaria 1618 del 2013, fue expedido el Decreto 392 del 26 de febrero de 2018</w:t>
      </w:r>
      <w:r w:rsidRPr="001B3C5D">
        <w:rPr>
          <w:rFonts w:ascii="Verdana" w:eastAsia="Aptos" w:hAnsi="Verdana" w:cs="Times New Roman"/>
          <w:kern w:val="2"/>
          <w:vertAlign w:val="superscript"/>
          <w14:ligatures w14:val="standardContextual"/>
        </w:rPr>
        <w:footnoteReference w:id="38"/>
      </w:r>
      <w:r w:rsidRPr="001B3C5D">
        <w:rPr>
          <w:rFonts w:ascii="Verdana" w:eastAsia="Aptos" w:hAnsi="Verdana" w:cs="Times New Roman"/>
          <w:kern w:val="2"/>
          <w14:ligatures w14:val="standardContextual"/>
        </w:rPr>
        <w:t xml:space="preserve">, mediante el cual se adicionan los artículos 2.2.1.2.4.2.6., 2.2.1.2.4.2.7. y 2.2.1.2.4.2.8. al Decreto 1082 de 2015. El primero de estos artículos, reglamenta parcialmente el numeral 1 del artículo 13 </w:t>
      </w:r>
      <w:r w:rsidRPr="001B3C5D">
        <w:rPr>
          <w:rFonts w:ascii="Verdana" w:eastAsia="Aptos" w:hAnsi="Verdana" w:cs="Times New Roman"/>
          <w:kern w:val="2"/>
          <w14:ligatures w14:val="standardContextual"/>
        </w:rPr>
        <w:lastRenderedPageBreak/>
        <w:t>de la Ley Estatutaria 1618 del 2013, estableciendo que, las entidades estatales deberán otorgar el uno por ciento (1 %) del total de los puntos establecidos en el pliego de condiciones en los procesos de licitación pública y concurso de méritos, a los proponentes que acrediten la vinculación de trabajadores con discapacidad en su planta de personal. Sin embargo, de acuerdo con la parte considerativa del Decreto 287 de 2026 esta regulación favorece “(…) única y exclusivamente a las empresas que vinculan personas con discapacidad en su planta de personal, omitiendo el favorecimiento que debía reglamentarse en favor de las empresas de personas con discapacidad, familiares y tutores, tal y como lo dispuso el numeral 1 de la norma referida”.</w:t>
      </w:r>
    </w:p>
    <w:p w14:paraId="3FEB839A"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Por su parte, el artículo 2.2.1.2.4.2.8. del Decreto 1082 de 2015, de acuerdo con su literalidad, reglamenta los numerales 7 y 8 del artículo 13 de la Ley Estatutaria 1618 del 2013, en la medida en que establece los sistemas de preferencias a los que hacen referencia dichos numerales, pero los reduce a la aplicación de la metodología de desempate consagrada en el artículo 2.2.1.2.4.2.8. de ese mismo Decreto. No obstante, de acuerdo con la parte motiva del Decreto 287 de 2026 “(…) se omite el favorecimiento de las propuestas presentadas por los oferentes que sean personas con discapacidad, como lo exige el numeral 8 del artículo 13 de la Ley Estatutaria 1618 del 2013.</w:t>
      </w:r>
    </w:p>
    <w:p w14:paraId="49247E6A"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 consecuencia, de acuerdo con las consideraciones desarrolladas en el Decreto 287 de 2026, la Ley 1618 de 2013 carece de reglamentación concreta sobre los aspectos señalados, que no fueron cubiertos por las disposiciones que para el efecto desarrolló el Decreto 392 del 26 de febrero de 2018. Por lo tanto, mediante la expedición del mencionado decreto, en aplicación directa de la Constitución Política y para que exista una igualdad material para las personas con discapacidad, este pretende subsanar la falta de acciones afirmativas del Decreto 392 de 2018, modificando los artículos 2.2.1.2.4.2.6, 2.2.1.2.4.2.7. y 2.2.1.2.4.2.8. del Decreto 1082 de 2015. Entre otros, para efectos de este concepto, resulta pertinente referirse a las siguiente</w:t>
      </w:r>
      <w:r>
        <w:rPr>
          <w:rFonts w:ascii="Verdana" w:eastAsia="Aptos" w:hAnsi="Verdana" w:cs="Times New Roman"/>
          <w:kern w:val="2"/>
          <w14:ligatures w14:val="standardContextual"/>
        </w:rPr>
        <w:t>s</w:t>
      </w:r>
      <w:r w:rsidRPr="001B3C5D">
        <w:rPr>
          <w:rFonts w:ascii="Verdana" w:eastAsia="Aptos" w:hAnsi="Verdana" w:cs="Times New Roman"/>
          <w:kern w:val="2"/>
          <w14:ligatures w14:val="standardContextual"/>
        </w:rPr>
        <w:t xml:space="preserve"> modificaciones: </w:t>
      </w:r>
    </w:p>
    <w:p w14:paraId="18128FB0"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 i). El artículo 1, modifica el artículo 2.2.1.2.4.2.6. Del Decreto 1082 de 2015, incorporando la definición de emprendimientos y empresas de personas con discapacidad, con el propósito de adoptar medidas afirmativas que incentiven las personas en condición de discapacidad en el sistema de compras y contratación pública.</w:t>
      </w:r>
    </w:p>
    <w:p w14:paraId="1B1F0AFD"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proofErr w:type="spellStart"/>
      <w:r w:rsidRPr="001B3C5D">
        <w:rPr>
          <w:rFonts w:ascii="Verdana" w:eastAsia="Aptos" w:hAnsi="Verdana" w:cs="Times New Roman"/>
          <w:kern w:val="2"/>
          <w14:ligatures w14:val="standardContextual"/>
        </w:rPr>
        <w:t>ii</w:t>
      </w:r>
      <w:proofErr w:type="spellEnd"/>
      <w:r w:rsidRPr="001B3C5D">
        <w:rPr>
          <w:rFonts w:ascii="Verdana" w:eastAsia="Aptos" w:hAnsi="Verdana" w:cs="Times New Roman"/>
          <w:kern w:val="2"/>
          <w14:ligatures w14:val="standardContextual"/>
        </w:rPr>
        <w:t xml:space="preserve">). El artículo 1, modifica el artículo 2.2.1.2.4.2.7. del Decreto 1082 de </w:t>
      </w:r>
      <w:r w:rsidRPr="001B3C5D">
        <w:rPr>
          <w:rFonts w:ascii="Verdana" w:eastAsia="Aptos" w:hAnsi="Verdana" w:cs="Times New Roman"/>
          <w:kern w:val="2"/>
          <w14:ligatures w14:val="standardContextual"/>
        </w:rPr>
        <w:lastRenderedPageBreak/>
        <w:t xml:space="preserve">2015, estableciendo un Sistema de Preferencias en Favor de las Personas con Discapacidad en el Sistema de Compras y Contratación Pública, mediante medidas afirmativas, que deben adoptar las Entidades Estatales en sus Procesos de Contratación, para promover condiciones efectivas de igualdad para estas personas, corregir barreras estructurales de acceso y fomentar su participación como proponentes, contratistas o integrantes de la cadena de valor. </w:t>
      </w:r>
    </w:p>
    <w:p w14:paraId="10F53A4B"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proofErr w:type="spellStart"/>
      <w:r w:rsidRPr="001B3C5D">
        <w:rPr>
          <w:rFonts w:ascii="Verdana" w:eastAsia="Aptos" w:hAnsi="Verdana" w:cs="Times New Roman"/>
          <w:kern w:val="2"/>
          <w14:ligatures w14:val="standardContextual"/>
        </w:rPr>
        <w:t>iii</w:t>
      </w:r>
      <w:proofErr w:type="spellEnd"/>
      <w:r w:rsidRPr="001B3C5D">
        <w:rPr>
          <w:rFonts w:ascii="Verdana" w:eastAsia="Aptos" w:hAnsi="Verdana" w:cs="Times New Roman"/>
          <w:kern w:val="2"/>
          <w14:ligatures w14:val="standardContextual"/>
        </w:rPr>
        <w:t xml:space="preserve">). El artículo 1, modifica el artículo 2.2.1.2.4.2.7.1. del Decreto 1082 de 2015, disponiendo que todas las entidades que manejen recursos públicos están obligadas a garantizar la accesibilidad para personas con discapacidad en sus procesos de contratación. </w:t>
      </w:r>
    </w:p>
    <w:p w14:paraId="2ACA136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proofErr w:type="spellStart"/>
      <w:r w:rsidRPr="001B3C5D">
        <w:rPr>
          <w:rFonts w:ascii="Aptos" w:eastAsia="Aptos" w:hAnsi="Aptos" w:cs="Times New Roman"/>
          <w:kern w:val="2"/>
          <w:sz w:val="24"/>
          <w:szCs w:val="24"/>
          <w14:ligatures w14:val="standardContextual"/>
        </w:rPr>
        <w:t>iv</w:t>
      </w:r>
      <w:proofErr w:type="spellEnd"/>
      <w:r w:rsidRPr="001B3C5D">
        <w:rPr>
          <w:rFonts w:ascii="Aptos" w:eastAsia="Aptos" w:hAnsi="Aptos" w:cs="Times New Roman"/>
          <w:kern w:val="2"/>
          <w:sz w:val="24"/>
          <w:szCs w:val="24"/>
          <w14:ligatures w14:val="standardContextual"/>
        </w:rPr>
        <w:t xml:space="preserve">). </w:t>
      </w:r>
      <w:r w:rsidRPr="001B3C5D">
        <w:rPr>
          <w:rFonts w:ascii="Verdana" w:eastAsia="Aptos" w:hAnsi="Verdana" w:cs="Times New Roman"/>
          <w:kern w:val="2"/>
          <w14:ligatures w14:val="standardContextual"/>
        </w:rPr>
        <w:t>El artículo 1, modifica el 2.2.1.2.4.2.7.2. del Decreto 1082 de 2015. De esta forma, se consagra que, en la planeación contractual, las Entidades Estatales deben implementar acciones concretas para promover la participación de emprendimientos y empresas de personas con discapacidad, asegurando igualdad de oportunidades en los procesos de contratación pública. Esto implica diseñar mecanismos que eliminen barreras de acceso y fomenten una participación más inclusiva desde las etapas iniciales del proceso.</w:t>
      </w:r>
    </w:p>
    <w:p w14:paraId="2558480B"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v). El artículo 1, modifica el artículo 2.2.1.2.4.2.7.3. del Decreto 1082 de 2015, incorporando criterios diferenciales en favor de los emprendimientos y empresas de personas con discapacidad en la habilitación, como parte del sistema de preferencias para esta población en la contratación pública que impone reglamentar la Ley 1618 de 2013. Este aspecto considerando que “(…) es necesario flexibilizar los requisitos habilitantes de los procesos de contratación para facilitar la participación de las personas con discapacidad, debido a que sin esto el puntaje que también regula el presente Decreto (287 de 2026) se vuelve inocuo porque no se podría aplicar si las personas con discapacidad no superan el primer filtro, que resulta de la aplicación de los requisitos habilitantes que pueden resultar un impedimento para la posterior evaluación de su oferta y que pueda tener efectividad el puntaje”</w:t>
      </w:r>
      <w:r w:rsidRPr="001B3C5D">
        <w:rPr>
          <w:rFonts w:ascii="Verdana" w:eastAsia="Aptos" w:hAnsi="Verdana" w:cs="Times New Roman"/>
          <w:kern w:val="2"/>
          <w:vertAlign w:val="superscript"/>
          <w14:ligatures w14:val="standardContextual"/>
        </w:rPr>
        <w:footnoteReference w:id="39"/>
      </w:r>
      <w:r w:rsidRPr="001B3C5D">
        <w:rPr>
          <w:rFonts w:ascii="Verdana" w:eastAsia="Aptos" w:hAnsi="Verdana" w:cs="Times New Roman"/>
          <w:kern w:val="2"/>
          <w14:ligatures w14:val="standardContextual"/>
        </w:rPr>
        <w:t xml:space="preserve">. </w:t>
      </w:r>
    </w:p>
    <w:p w14:paraId="46D082B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vi) El artículo 1, modifica el artículo 2.1.2.4.2.7.4 del Decreto 1082 de 2015. Así, se establece un puntaje adicional en favor de los empleadores de personas con discapacidad y de los emprendimientos y empresas de personas con discapacidad del dos por ciento (2%) del valor total de los puntos </w:t>
      </w:r>
      <w:r w:rsidRPr="001B3C5D">
        <w:rPr>
          <w:rFonts w:ascii="Verdana" w:eastAsia="Aptos" w:hAnsi="Verdana" w:cs="Times New Roman"/>
          <w:kern w:val="2"/>
          <w14:ligatures w14:val="standardContextual"/>
        </w:rPr>
        <w:lastRenderedPageBreak/>
        <w:t xml:space="preserve">establecidos en el pliego de condiciones o documentos equivalentes, para promover la inclusión laboral de personas con discapacidad en los procedimientos de licitación pública y concurso de méritos que adelanten las entidades estatales, cuando se configuren las situaciones previstas en ese artículo. </w:t>
      </w:r>
    </w:p>
    <w:p w14:paraId="4834AE6E"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proofErr w:type="spellStart"/>
      <w:r w:rsidRPr="001B3C5D">
        <w:rPr>
          <w:rFonts w:ascii="Verdana" w:eastAsia="Aptos" w:hAnsi="Verdana" w:cs="Times New Roman"/>
          <w:kern w:val="2"/>
          <w14:ligatures w14:val="standardContextual"/>
        </w:rPr>
        <w:t>vii</w:t>
      </w:r>
      <w:proofErr w:type="spellEnd"/>
      <w:r w:rsidRPr="001B3C5D">
        <w:rPr>
          <w:rFonts w:ascii="Verdana" w:eastAsia="Aptos" w:hAnsi="Verdana" w:cs="Times New Roman"/>
          <w:kern w:val="2"/>
          <w14:ligatures w14:val="standardContextual"/>
        </w:rPr>
        <w:t xml:space="preserve">)El artículo 1, modifica el artículo 2.2.1.2.4.2.7.5. del Decreto 1082 de 2015, indicando condiciones especiales de sujeción en favor de personas con discapacidad, que deberán incluir las entidades estatales como obligación contractual en los documentos del proceso, previo análisis de oportunidad y conveniencia. </w:t>
      </w:r>
    </w:p>
    <w:p w14:paraId="28149205"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proofErr w:type="spellStart"/>
      <w:r w:rsidRPr="001B3C5D">
        <w:rPr>
          <w:rFonts w:ascii="Verdana" w:eastAsia="Aptos" w:hAnsi="Verdana" w:cs="Times New Roman"/>
          <w:kern w:val="2"/>
          <w14:ligatures w14:val="standardContextual"/>
        </w:rPr>
        <w:t>viii</w:t>
      </w:r>
      <w:proofErr w:type="spellEnd"/>
      <w:r w:rsidRPr="001B3C5D">
        <w:rPr>
          <w:rFonts w:ascii="Verdana" w:eastAsia="Aptos" w:hAnsi="Verdana" w:cs="Times New Roman"/>
          <w:kern w:val="2"/>
          <w14:ligatures w14:val="standardContextual"/>
        </w:rPr>
        <w:t>) El artículo 1, modifica el artículo 2.2.1.2.4.2.7.6. del Decreto 1082 de 2015, incluyendo que, las Entidades Estatales propenderán por la contratación de personas con discapacidad mediante la celebración de contratos de prestación de servicios profesionales y/o de apoyo a la gestión, de acuerdo con su planeación contractual, disponibilidad presupuestal y las necesidades del servicio.</w:t>
      </w:r>
    </w:p>
    <w:p w14:paraId="38329E69"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proofErr w:type="spellStart"/>
      <w:r w:rsidRPr="001B3C5D">
        <w:rPr>
          <w:rFonts w:ascii="Verdana" w:eastAsia="Aptos" w:hAnsi="Verdana" w:cs="Times New Roman"/>
          <w:kern w:val="2"/>
          <w14:ligatures w14:val="standardContextual"/>
        </w:rPr>
        <w:t>ix</w:t>
      </w:r>
      <w:proofErr w:type="spellEnd"/>
      <w:r w:rsidRPr="001B3C5D">
        <w:rPr>
          <w:rFonts w:ascii="Verdana" w:eastAsia="Aptos" w:hAnsi="Verdana" w:cs="Times New Roman"/>
          <w:kern w:val="2"/>
          <w14:ligatures w14:val="standardContextual"/>
        </w:rPr>
        <w:t xml:space="preserve">). El artículo 1, modifica el artículo 2.2.1.2.4.2.7.8 del Decreto 1082 de 2015. La modificación dispone que, la Agencia Nacional de Contratación Pública –Colombia Compra Eficiente garantizará la adopción permanente de las acciones necesarias para que las medidas señaladas en favor de las Personas con Discapacidad se incorporen a los documentos e instrumentos que genera. </w:t>
      </w:r>
    </w:p>
    <w:p w14:paraId="08F3FEC2" w14:textId="77777777" w:rsidR="001B077C" w:rsidRPr="001B3C5D" w:rsidRDefault="001B077C" w:rsidP="001B077C">
      <w:pPr>
        <w:widowControl w:val="0"/>
        <w:autoSpaceDE w:val="0"/>
        <w:autoSpaceDN w:val="0"/>
        <w:spacing w:after="12"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Finalmente, el artículo 2 del Decreto 287 de 2026 establece las vigencias y derogatorias, en los siguiente</w:t>
      </w:r>
      <w:r>
        <w:rPr>
          <w:rFonts w:ascii="Verdana" w:eastAsia="Aptos" w:hAnsi="Verdana" w:cs="Times New Roman"/>
          <w:kern w:val="2"/>
          <w14:ligatures w14:val="standardContextual"/>
        </w:rPr>
        <w:t>s</w:t>
      </w:r>
      <w:r w:rsidRPr="001B3C5D">
        <w:rPr>
          <w:rFonts w:ascii="Verdana" w:eastAsia="Aptos" w:hAnsi="Verdana" w:cs="Times New Roman"/>
          <w:kern w:val="2"/>
          <w14:ligatures w14:val="standardContextual"/>
        </w:rPr>
        <w:t xml:space="preserve"> términos: “El presente Decreto rige a partir del día siguiente a su publicación, modifica los artículos 2.2.1.2.4.2.6., 2.2.1 .2.4.2.7. Y 2.2.1.2.4.2.8. de la Subsección 2 de la Sección 4 del Capítulo 2 del Título 1 de la Parte 2 del Libro 2 del Decreto 1082 de 2015, Único Reglamentario del Sector Administrativo de Planeación, y deroga todas las disposiciones que le sean contrarias”.</w:t>
      </w:r>
    </w:p>
    <w:p w14:paraId="13811F70" w14:textId="77777777" w:rsidR="001B077C" w:rsidRPr="001B3C5D" w:rsidRDefault="001B077C" w:rsidP="001B077C">
      <w:pPr>
        <w:widowControl w:val="0"/>
        <w:autoSpaceDE w:val="0"/>
        <w:autoSpaceDN w:val="0"/>
        <w:spacing w:after="12" w:line="276" w:lineRule="auto"/>
        <w:ind w:firstLine="708"/>
        <w:jc w:val="both"/>
        <w:rPr>
          <w:rFonts w:ascii="Verdana" w:eastAsia="Aptos" w:hAnsi="Verdana" w:cs="Times New Roman"/>
          <w:kern w:val="2"/>
          <w14:ligatures w14:val="standardContextual"/>
        </w:rPr>
      </w:pPr>
    </w:p>
    <w:p w14:paraId="5B9FBFB0" w14:textId="77777777" w:rsidR="001B077C" w:rsidRPr="001B3C5D" w:rsidRDefault="001B077C" w:rsidP="001B077C">
      <w:pPr>
        <w:widowControl w:val="0"/>
        <w:autoSpaceDE w:val="0"/>
        <w:autoSpaceDN w:val="0"/>
        <w:spacing w:after="120" w:line="276" w:lineRule="auto"/>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v. De acuerdo con el desarrollo del numeral precedente, </w:t>
      </w:r>
      <w:r w:rsidRPr="001B3C5D">
        <w:rPr>
          <w:rFonts w:ascii="Verdana" w:eastAsia="Aptos" w:hAnsi="Verdana" w:cs="AppleSystemUIFont"/>
          <w:lang w:val="es-MX"/>
          <w14:ligatures w14:val="standardContextual"/>
        </w:rPr>
        <w:t xml:space="preserve">la expedición del Decreto 287 de 2026 introduce un conjunto de prerrogativas dirigidas a garantizar la igualdad material de las personas con discapacidad, en desarrollo de la Ley 1618 de 2013 y del mandato constitucional de no discriminación, lo que impone la necesidad de una adecuación de los documentos tipo expedidos por la Agencia Nacional </w:t>
      </w:r>
      <w:r w:rsidRPr="001B3C5D">
        <w:rPr>
          <w:rFonts w:ascii="Verdana" w:eastAsia="Aptos" w:hAnsi="Verdana" w:cs="Times New Roman"/>
          <w:kern w:val="2"/>
          <w14:ligatures w14:val="standardContextual"/>
        </w:rPr>
        <w:t>de Contratación Pública – Colombia Compra Eficiente.</w:t>
      </w:r>
    </w:p>
    <w:p w14:paraId="1A899F07"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lastRenderedPageBreak/>
        <w:t xml:space="preserve">Esta situación resulta particularmente relevante teniendo en cuenta que, los documentos tipo, al fijar reglas uniformes para las entidades estatales sometidas al estatuto general de contratación de la administración pública y otros sujetos obligados a su aplicación, pueden convertirse en barreras estructurales de acceso cuando no incorporan enfoques diferenciales, afectando la participación de poblaciones históricamente excluidas. </w:t>
      </w:r>
    </w:p>
    <w:p w14:paraId="2CA68C16"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Desde el punto de vista jurídico, uno de los aspectos que exige la modificación de los documentos tipo de licitación pública, selección abreviada de menor cuantía y concurso 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w:t>
      </w:r>
      <w:r w:rsidRPr="001B3C5D">
        <w:rPr>
          <w:rFonts w:ascii="Verdana" w:eastAsia="Aptos" w:hAnsi="Verdana" w:cs="Times New Roman"/>
          <w:kern w:val="2"/>
          <w:vertAlign w:val="superscript"/>
          <w14:ligatures w14:val="standardContextual"/>
        </w:rPr>
        <w:footnoteReference w:id="40"/>
      </w:r>
      <w:r w:rsidRPr="001B3C5D">
        <w:rPr>
          <w:rFonts w:ascii="Verdana" w:eastAsia="Aptos" w:hAnsi="Verdana" w:cs="Times New Roman"/>
          <w:kern w:val="2"/>
          <w14:ligatures w14:val="standardContextual"/>
        </w:rPr>
        <w:t>, de tal manera que se eliminen barreras de entrada injustificadas sin comprometer la idoneidad del contratista, en aplicación del principio de igualdad material.</w:t>
      </w:r>
    </w:p>
    <w:p w14:paraId="0C58F8D8"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Así, los documentos tipo de licitación pública, selección abreviada de menor cuantía y concurso de méritos deben ser modificados por la Agencia Nacional de Contratación Pública – Colombia Compra Eficiente para incluir la reciente modificación al artículo 2.2.1.2.4.2.7.3 del Decreto 1082 de 2015. Lo anterior implica que, además de los requisitos habilitantes diferenciales previstos para </w:t>
      </w:r>
      <w:proofErr w:type="spellStart"/>
      <w:r w:rsidRPr="001B3C5D">
        <w:rPr>
          <w:rFonts w:ascii="Verdana" w:eastAsia="Aptos" w:hAnsi="Verdana" w:cs="Times New Roman"/>
          <w:kern w:val="2"/>
          <w14:ligatures w14:val="standardContextual"/>
        </w:rPr>
        <w:t>Mipymes</w:t>
      </w:r>
      <w:proofErr w:type="spellEnd"/>
      <w:r w:rsidRPr="001B3C5D">
        <w:rPr>
          <w:rFonts w:ascii="Verdana" w:eastAsia="Aptos" w:hAnsi="Verdana" w:cs="Times New Roman"/>
          <w:kern w:val="2"/>
          <w14:ligatures w14:val="standardContextual"/>
        </w:rPr>
        <w:t xml:space="preserve"> y emprendimientos y empresas de mujeres, se incluyan los </w:t>
      </w:r>
      <w:r w:rsidRPr="001B3C5D">
        <w:rPr>
          <w:rFonts w:ascii="Verdana" w:eastAsia="Aptos" w:hAnsi="Verdana" w:cs="Times New Roman"/>
          <w:kern w:val="2"/>
          <w14:ligatures w14:val="standardContextual"/>
        </w:rPr>
        <w:lastRenderedPageBreak/>
        <w:t>dispuestos en el Decreto 287 de 2026 en favor de los emprendimientos y empresas de personas con discapacidad.</w:t>
      </w:r>
    </w:p>
    <w:p w14:paraId="4C4F2992"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13FA9B3C"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Esta incorporación debe realizarse de manera estandarizada en los documentos tipo de licitación pública y concurso de méritos en los sectores en los que estos han sido adoptados por parte de la Agencia Nacional de Contratación Pública – Colombia Compra Eficiente, considerando que, actualmente en estos se señala como factor de ponderación un puntaje máximo de un (1) punto por la vinculación de personas con discapacidad, evento este que, con la modificación realizada por el Decreto 287 de 2026 debe ajustarse. </w:t>
      </w:r>
    </w:p>
    <w:p w14:paraId="1022146E"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De esta forma, la modificación del artículo 1 del Decreto 287 de 2026 al artículo 2.2.1.2.4.2.7.4 del Decreto 1082 de 2015, incide en el ajuste del puntaje que se otorga en los documentos tipo de licitación pública y concurso de méritos por la incorporación de personas con discapacidad, en </w:t>
      </w:r>
      <w:proofErr w:type="gramStart"/>
      <w:r w:rsidRPr="001B3C5D">
        <w:rPr>
          <w:rFonts w:ascii="Verdana" w:eastAsia="Aptos" w:hAnsi="Verdana" w:cs="Times New Roman"/>
          <w:kern w:val="2"/>
          <w14:ligatures w14:val="standardContextual"/>
        </w:rPr>
        <w:t>donde</w:t>
      </w:r>
      <w:proofErr w:type="gramEnd"/>
      <w:r w:rsidRPr="001B3C5D">
        <w:rPr>
          <w:rFonts w:ascii="Verdana" w:eastAsia="Aptos" w:hAnsi="Verdana" w:cs="Times New Roman"/>
          <w:kern w:val="2"/>
          <w14:ligatures w14:val="standardContextual"/>
        </w:rPr>
        <w:t xml:space="preserve"> además, se amplía el ámbito de aplicación a emprendimientos y empresas de personas con discapacidad. Además, la modificación señalada incide en el formato que actualmente se encuentra previsto en los documentos tipo para acreditar esta condición, por lo que se debe definir con claridad los mecanismos de acreditación y verificación, con el fin de evitar discrecionalidades y garantizar la transparencia del proceso. </w:t>
      </w:r>
    </w:p>
    <w:p w14:paraId="06768C51"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Adicionalmente, en cuanto a la ejecución contractual, el artículo 2.2.1.2.4.2.7.5 del Decreto 1082 de 2015, modificado por el artículo 1 del Decreto 287 de 2026, prevé la incorporación de condiciones especiales de </w:t>
      </w:r>
      <w:r w:rsidRPr="001B3C5D">
        <w:rPr>
          <w:rFonts w:ascii="Verdana" w:eastAsia="Aptos" w:hAnsi="Verdana" w:cs="Times New Roman"/>
          <w:kern w:val="2"/>
          <w14:ligatures w14:val="standardContextual"/>
        </w:rPr>
        <w:lastRenderedPageBreak/>
        <w:t>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0CF1B66D" w14:textId="77777777" w:rsidR="001B077C" w:rsidRPr="001B3C5D" w:rsidRDefault="001B077C" w:rsidP="001B077C">
      <w:pPr>
        <w:widowControl w:val="0"/>
        <w:autoSpaceDE w:val="0"/>
        <w:autoSpaceDN w:val="0"/>
        <w:spacing w:after="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2FF03383" w14:textId="77777777" w:rsidR="001B077C" w:rsidRPr="001B3C5D" w:rsidRDefault="001B077C" w:rsidP="001B077C">
      <w:pPr>
        <w:widowControl w:val="0"/>
        <w:autoSpaceDE w:val="0"/>
        <w:autoSpaceDN w:val="0"/>
        <w:spacing w:after="0" w:line="276" w:lineRule="auto"/>
        <w:ind w:firstLine="708"/>
        <w:jc w:val="both"/>
        <w:rPr>
          <w:rFonts w:ascii="Verdana" w:eastAsia="Aptos" w:hAnsi="Verdana" w:cs="Times New Roman"/>
          <w:kern w:val="2"/>
          <w14:ligatures w14:val="standardContextual"/>
        </w:rPr>
      </w:pPr>
    </w:p>
    <w:p w14:paraId="2CF5001C" w14:textId="77777777" w:rsidR="001B077C" w:rsidRPr="001B3C5D" w:rsidRDefault="001B077C" w:rsidP="001B077C">
      <w:pPr>
        <w:widowControl w:val="0"/>
        <w:autoSpaceDE w:val="0"/>
        <w:autoSpaceDN w:val="0"/>
        <w:spacing w:after="120" w:line="276" w:lineRule="auto"/>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vi. Los documentos tipo expedidos por la Agencia Nacional de Contratación Pública – Colombia Compra Eficiente constituyen instrumentos de obligatorio cumplimiento que estructuran de manera integral los procesos de selección contractual. Tal como se estableció en el punto i. de este concepto, esta naturaleza vinculante tiene fundamento directo en el artículo 1 de la Ley 2022 de 2020, en la que se establece que, los documentos tipo serán obligatorios para las entidades estatales sometidas al Estatuto General de Contratación de la Administración Pública – EGCAP.</w:t>
      </w:r>
    </w:p>
    <w:p w14:paraId="4E11EBA4"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este sentido, la Ley 2022 de 2020 no solo atribuye la competencia a la Agencia Nacional de Contratación Pública – Colombia Compra Eficiente para adoptar documentos tipo, sino que define expresamente su contenido, al disponer que en estos </w:t>
      </w:r>
      <w:r w:rsidRPr="001B3C5D">
        <w:rPr>
          <w:rFonts w:ascii="Verdana" w:eastAsia="Aptos" w:hAnsi="Verdana" w:cs="Times New Roman"/>
          <w:i/>
          <w:iCs/>
          <w:kern w:val="2"/>
          <w14:ligatures w14:val="standardContextual"/>
        </w:rPr>
        <w:t>“(…) se establecerán los requisitos habilitantes, factores técnicos, económicos y otros factores de escogencia, así como aquellos requisitos que, previa justificación, representen buenas prácticas contractuales”.</w:t>
      </w:r>
      <w:r w:rsidRPr="001B3C5D">
        <w:rPr>
          <w:rFonts w:ascii="Verdana" w:eastAsia="Aptos" w:hAnsi="Verdana" w:cs="Times New Roman"/>
          <w:kern w:val="2"/>
          <w14:ligatures w14:val="standardContextual"/>
        </w:rPr>
        <w:t xml:space="preserve"> De esta manera, el legislador concentró en la Agencia Nacional de Contratación Pública – Colombia Compra Eficiente la definición de los elementos estructurales de los procesos de selección, con el propósito de garantizar la estandarización, la transparencia, la selección objetiva y la eficiencia en el uso de los recursos públicos. Esta competencia se ejerce mediante la expedición de actos administrativos de carácter general –resoluciones– a través de las cuales, la Agencia Nacional de Contratación Pública – Colombia Compra Eficiente adopta los documentos tipo.</w:t>
      </w:r>
    </w:p>
    <w:p w14:paraId="2089D8A2"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lastRenderedPageBreak/>
        <w:t>Conforme con el contenido de la Ley 2022 de 202, la jurisprudencia ha determinado que, la Agencia Nacional de Contratación Pública – Colombia Compra Eficiente ejerce una potestad regulatoria de naturaleza subordinada (</w:t>
      </w:r>
      <w:proofErr w:type="spellStart"/>
      <w:r w:rsidRPr="001B3C5D">
        <w:rPr>
          <w:rFonts w:ascii="Verdana" w:eastAsia="Aptos" w:hAnsi="Verdana" w:cs="Times New Roman"/>
          <w:kern w:val="2"/>
          <w14:ligatures w14:val="standardContextual"/>
        </w:rPr>
        <w:t>secundum</w:t>
      </w:r>
      <w:proofErr w:type="spellEnd"/>
      <w:r w:rsidRPr="001B3C5D">
        <w:rPr>
          <w:rFonts w:ascii="Verdana" w:eastAsia="Aptos" w:hAnsi="Verdana" w:cs="Times New Roman"/>
          <w:kern w:val="2"/>
          <w14:ligatures w14:val="standardContextual"/>
        </w:rPr>
        <w:t xml:space="preserve"> </w:t>
      </w:r>
      <w:proofErr w:type="spellStart"/>
      <w:r w:rsidRPr="001B3C5D">
        <w:rPr>
          <w:rFonts w:ascii="Verdana" w:eastAsia="Aptos" w:hAnsi="Verdana" w:cs="Times New Roman"/>
          <w:kern w:val="2"/>
          <w14:ligatures w14:val="standardContextual"/>
        </w:rPr>
        <w:t>legem</w:t>
      </w:r>
      <w:proofErr w:type="spellEnd"/>
      <w:r w:rsidRPr="001B3C5D">
        <w:rPr>
          <w:rFonts w:ascii="Verdana" w:eastAsia="Aptos" w:hAnsi="Verdana" w:cs="Times New Roman"/>
          <w:kern w:val="2"/>
          <w14:ligatures w14:val="standardContextual"/>
        </w:rPr>
        <w:t>) de carácter técnico especializado, que le permite desarrollar, implementar y actualizar instrumentos como los documentos tipo, con el fin de concretar la voluntad del legislador en aspectos técnicos de la contratación pública. No obstante, dicha potestad debe ejercerse en armonía con la Constitución, la ley y los decretos reglamentarios, sin invadir competencias superiores ni desbordar los límites de la regulación técnica.</w:t>
      </w:r>
    </w:p>
    <w:p w14:paraId="63488176"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Concretamente, la competencia prevista en el artículo 1 de la Ley 2022 de 2020, se ejerció mediante la expedición de la Resolución 160 de 2020 del 15 de septiembre de 2020 “Por la cual se adopta el procedimiento para implementar los documentos tipo y se define el sistema para su revisión”, así como con la expedición de múltiples resoluciones –señaladas en el numeral i de este concepto– mediante las cuales se adoptaron documentos tipo por parte de la Agencia Nacional de Contratación Pública – Colombia Compra Eficiente en diferentes modalidades de selección y sectores, en las cuales, además, se reitera el carácter obligatorio de estos documentos y se establecen reglas específicas para su aplicación. </w:t>
      </w:r>
    </w:p>
    <w:p w14:paraId="6F9B7810"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 este sentido, las resoluciones mediante las cuales la Agencia Nacional de Contratación Pública – Colombia Compra Eficiente adoptó documentos tipo, consolidan un sistema de contratación estandarizado –en las modalidades y sectores adoptados– en el que las entidades estatales obligadas a la aplicación deben sujetarse de manera estricta a las condiciones definidas en dichos instrumentos, particularmente en lo relacionado con requisitos habilitantes, factores de evaluación y sistemas de ponderación.</w:t>
      </w:r>
    </w:p>
    <w:p w14:paraId="3A59E2BE"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Lo dispuesto en el párrafo precedente, es consecuente con lo desarrollado en el punto tres (</w:t>
      </w:r>
      <w:proofErr w:type="spellStart"/>
      <w:r w:rsidRPr="001B3C5D">
        <w:rPr>
          <w:rFonts w:ascii="Verdana" w:eastAsia="Aptos" w:hAnsi="Verdana" w:cs="Times New Roman"/>
          <w:kern w:val="2"/>
          <w14:ligatures w14:val="standardContextual"/>
        </w:rPr>
        <w:t>iii</w:t>
      </w:r>
      <w:proofErr w:type="spellEnd"/>
      <w:r w:rsidRPr="001B3C5D">
        <w:rPr>
          <w:rFonts w:ascii="Verdana" w:eastAsia="Aptos" w:hAnsi="Verdana" w:cs="Times New Roman"/>
          <w:kern w:val="2"/>
          <w14:ligatures w14:val="standardContextual"/>
        </w:rPr>
        <w:t xml:space="preserve">) de este concepto. En este se indicó que, sobre los documentos tipo expedidos por la Agencia Nacional de Contratación Pública – Colombia Compra Eficiente, recae la regla de inalterabilidad, en virtud de la cual, las entidades estatales obligadas a su aplicación no pueden modificar ni adicionar los requisitos habilitantes, los factores técnicos y económicos de escogencia ni los criterios de evaluación previstos en ellos, salvo en aquellos aspectos expresamente habilitados entre corchetes y resaltados en gris. Esta regla encuentra sustento tanto en el mandato legal de obligatoriedad contenido en la </w:t>
      </w:r>
      <w:r w:rsidRPr="001B3C5D">
        <w:rPr>
          <w:rFonts w:ascii="Verdana" w:eastAsia="Aptos" w:hAnsi="Verdana" w:cs="Times New Roman"/>
          <w:kern w:val="2"/>
          <w14:ligatures w14:val="standardContextual"/>
        </w:rPr>
        <w:lastRenderedPageBreak/>
        <w:t>Ley 2022 de 2020, como en su desarrollo reglamentario y en las disposiciones contenidas en los propios documentos tipo, y constituye una manifestación del carácter reglado de la actividad contractual, limitando la discrecionalidad de las entidades con el fin de evitar prácticas restrictivas de la competencia, como los denominados “pliegos sastre”, y garantizar la uniformidad del sistema.</w:t>
      </w:r>
    </w:p>
    <w:p w14:paraId="255C6047"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63E641A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1372B1C4"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Desde una perspectiva técnica, los documentos tipo constituyen un sistema integral y articulado, en el cual los requisitos habilitantes, los factores de evaluación y las condiciones contractuales se encuentran interrelacionados. En consecuencia, la incorporación aislada de modificaciones podría generar inconsistencias o desajustes en su aplicación, afectando la coherencia del proceso contractual. Por esta razón, la Ley 2022 de 2020 prevé que su adopción </w:t>
      </w:r>
      <w:r w:rsidRPr="001B3C5D">
        <w:rPr>
          <w:rFonts w:ascii="Verdana" w:eastAsia="Aptos" w:hAnsi="Verdana" w:cs="Times New Roman"/>
          <w:kern w:val="2"/>
          <w14:ligatures w14:val="standardContextual"/>
        </w:rPr>
        <w:lastRenderedPageBreak/>
        <w:t>y actualización se realice mediante procedimientos estructurados, coordinados y participativos, a cargo de la Agencia Nacional de Contratación Pública – Colombia Compra Eficiente</w:t>
      </w:r>
      <w:r w:rsidRPr="001B3C5D">
        <w:rPr>
          <w:rFonts w:ascii="Verdana" w:eastAsia="Aptos" w:hAnsi="Verdana" w:cs="Times New Roman"/>
          <w:kern w:val="2"/>
          <w:vertAlign w:val="superscript"/>
          <w14:ligatures w14:val="standardContextual"/>
        </w:rPr>
        <w:footnoteReference w:id="41"/>
      </w:r>
      <w:r w:rsidRPr="001B3C5D">
        <w:rPr>
          <w:rFonts w:ascii="Verdana" w:eastAsia="Aptos" w:hAnsi="Verdana" w:cs="Times New Roman"/>
          <w:kern w:val="2"/>
          <w14:ligatures w14:val="standardContextual"/>
        </w:rPr>
        <w:t xml:space="preserve">, quien cuenta con la capacidad técnica para garantizar la adecuada integración de las nuevas disposiciones, como por ejemplo el Decreto 287 de 2026. </w:t>
      </w:r>
    </w:p>
    <w:p w14:paraId="321A61DA"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Adicionalmente, el propio Decreto 287 de 2026 en el artículo 1 que modifica el artículo 2.2.1.2.4.2.7.8 al Decreto 1082 de 2015</w:t>
      </w:r>
      <w:r w:rsidRPr="001B3C5D">
        <w:rPr>
          <w:rFonts w:ascii="Verdana" w:eastAsia="Aptos" w:hAnsi="Verdana" w:cs="Times New Roman"/>
          <w:kern w:val="2"/>
          <w:vertAlign w:val="superscript"/>
          <w14:ligatures w14:val="standardContextual"/>
        </w:rPr>
        <w:footnoteReference w:id="42"/>
      </w:r>
      <w:r w:rsidRPr="001B3C5D">
        <w:rPr>
          <w:rFonts w:ascii="Verdana" w:eastAsia="Aptos" w:hAnsi="Verdana" w:cs="Times New Roman"/>
          <w:kern w:val="2"/>
          <w14:ligatures w14:val="standardContextual"/>
        </w:rPr>
        <w:t>,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w:t>
      </w:r>
      <w:r w:rsidRPr="001B3C5D">
        <w:rPr>
          <w:rFonts w:ascii="Aptos" w:eastAsia="Aptos" w:hAnsi="Aptos" w:cs="Times New Roman"/>
          <w:kern w:val="2"/>
          <w:sz w:val="24"/>
          <w:szCs w:val="24"/>
          <w14:ligatures w14:val="standardContextual"/>
        </w:rPr>
        <w:t>”</w:t>
      </w:r>
      <w:r w:rsidRPr="001B3C5D">
        <w:rPr>
          <w:rFonts w:ascii="Aptos" w:eastAsia="Aptos" w:hAnsi="Aptos" w:cs="Times New Roman"/>
          <w:kern w:val="2"/>
          <w:sz w:val="24"/>
          <w:szCs w:val="24"/>
          <w:vertAlign w:val="superscript"/>
          <w14:ligatures w14:val="standardContextual"/>
        </w:rPr>
        <w:footnoteReference w:id="43"/>
      </w:r>
      <w:r w:rsidRPr="001B3C5D">
        <w:rPr>
          <w:rFonts w:ascii="Verdana" w:eastAsia="Aptos" w:hAnsi="Verdana" w:cs="Times New Roman"/>
          <w:kern w:val="2"/>
          <w14:ligatures w14:val="standardContextual"/>
        </w:rPr>
        <w:t xml:space="preserve">, lo cual confirma que la operatividad de dichas disposiciones en el ámbito de los documentos tipo depende de su desarrollo por parte de esta entidad. </w:t>
      </w:r>
    </w:p>
    <w:p w14:paraId="3928C422"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Lo anterior es consecuente con lo dispuesto en el ABC del Decreto 0287 de 2026 “Contratación pública inclusiva para personas con discapacidad”</w:t>
      </w:r>
      <w:r w:rsidRPr="001B3C5D">
        <w:rPr>
          <w:rFonts w:ascii="Verdana" w:eastAsia="Aptos" w:hAnsi="Verdana" w:cs="Times New Roman"/>
          <w:kern w:val="2"/>
          <w:vertAlign w:val="superscript"/>
          <w14:ligatures w14:val="standardContextual"/>
        </w:rPr>
        <w:footnoteReference w:id="44"/>
      </w:r>
      <w:r w:rsidRPr="001B3C5D">
        <w:rPr>
          <w:rFonts w:ascii="Verdana" w:eastAsia="Aptos" w:hAnsi="Verdana" w:cs="Times New Roman"/>
          <w:kern w:val="2"/>
          <w14:ligatures w14:val="standardContextual"/>
        </w:rPr>
        <w:t xml:space="preserve">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6BF92151"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w:t>
      </w:r>
      <w:r w:rsidRPr="001B3C5D">
        <w:rPr>
          <w:rFonts w:ascii="Verdana" w:eastAsia="Aptos" w:hAnsi="Verdana" w:cs="Times New Roman"/>
          <w:kern w:val="2"/>
          <w14:ligatures w14:val="standardContextual"/>
        </w:rPr>
        <w:lastRenderedPageBreak/>
        <w:t>de las medidas afirmativas previstas, sin desconocer la distribución de competencias establecida por el legislador ni la estructura normativa del sistema de compras y contratación pública.</w:t>
      </w:r>
    </w:p>
    <w:p w14:paraId="4F801FE1"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Ley 2022 de 2020, garantizando así la coherencia del sistema, el respeto por la jerarquía normativa y la efectividad de las medidas orientadas a la inclusión de las personas con discapacidad en el sistema de compras y contratación pública. </w:t>
      </w:r>
    </w:p>
    <w:p w14:paraId="0153D388"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07E6C540" w14:textId="77777777" w:rsidR="001B077C" w:rsidRPr="001B3C5D" w:rsidRDefault="001B077C" w:rsidP="001B077C">
      <w:pPr>
        <w:widowControl w:val="0"/>
        <w:autoSpaceDE w:val="0"/>
        <w:autoSpaceDN w:val="0"/>
        <w:spacing w:after="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3B29EE9C" w14:textId="77777777" w:rsidR="001B077C" w:rsidRPr="001B3C5D" w:rsidRDefault="001B077C" w:rsidP="001B077C">
      <w:pPr>
        <w:tabs>
          <w:tab w:val="left" w:pos="142"/>
          <w:tab w:val="left" w:pos="284"/>
        </w:tabs>
        <w:spacing w:after="0" w:line="276" w:lineRule="auto"/>
        <w:jc w:val="both"/>
        <w:rPr>
          <w:rFonts w:ascii="Verdana" w:eastAsia="Century Gothic" w:hAnsi="Verdana" w:cs="Century Gothic"/>
          <w:lang w:val="es-ES_tradnl"/>
        </w:rPr>
      </w:pPr>
    </w:p>
    <w:p w14:paraId="52B3AB27" w14:textId="77777777" w:rsidR="001B077C" w:rsidRPr="001B3C5D" w:rsidRDefault="001B077C" w:rsidP="001B077C">
      <w:pPr>
        <w:tabs>
          <w:tab w:val="left" w:pos="142"/>
          <w:tab w:val="left" w:pos="284"/>
        </w:tabs>
        <w:spacing w:after="0" w:line="276" w:lineRule="auto"/>
        <w:jc w:val="both"/>
        <w:rPr>
          <w:rFonts w:ascii="Verdana" w:eastAsia="Century Gothic" w:hAnsi="Verdana" w:cs="Century Gothic"/>
          <w:b/>
          <w:bCs/>
          <w:lang w:val="es-ES_tradnl"/>
        </w:rPr>
      </w:pPr>
      <w:r w:rsidRPr="001B3C5D">
        <w:rPr>
          <w:rFonts w:ascii="Verdana" w:eastAsia="Century Gothic" w:hAnsi="Verdana" w:cs="Century Gothic"/>
          <w:b/>
          <w:bCs/>
          <w:lang w:val="es-ES_tradnl"/>
        </w:rPr>
        <w:t>4. Referencias normativas, jurisprudenciales y otras fuentes:</w:t>
      </w:r>
    </w:p>
    <w:p w14:paraId="51B9DC78" w14:textId="77777777" w:rsidR="001B077C" w:rsidRPr="001B3C5D" w:rsidRDefault="001B077C" w:rsidP="001B077C">
      <w:pPr>
        <w:spacing w:after="0"/>
        <w:ind w:left="-15840"/>
        <w:jc w:val="both"/>
        <w:rPr>
          <w:rFonts w:ascii="Verdana" w:eastAsia="Calibri" w:hAnsi="Verdana" w:cs="Arial"/>
          <w:b/>
          <w:bCs/>
        </w:rPr>
      </w:pPr>
      <w:r w:rsidRPr="001B3C5D">
        <w:rPr>
          <w:rFonts w:ascii="Verdana" w:eastAsia="Calibri" w:hAnsi="Verdana" w:cs="Arial"/>
          <w:b/>
          <w:bCs/>
        </w:rPr>
        <w:t>4. Referencias normativas, jurisprudenciales y otras fuentes:</w:t>
      </w:r>
    </w:p>
    <w:tbl>
      <w:tblPr>
        <w:tblStyle w:val="Tablaconcuadrcula1"/>
        <w:tblW w:w="864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0"/>
      </w:tblGrid>
      <w:tr w:rsidR="001B077C" w:rsidRPr="001B3C5D" w14:paraId="26A35E4C" w14:textId="77777777" w:rsidTr="006A0B0F">
        <w:trPr>
          <w:trHeight w:val="870"/>
        </w:trPr>
        <w:tc>
          <w:tcPr>
            <w:tcW w:w="8647" w:type="dxa"/>
            <w:tcBorders>
              <w:top w:val="dotted" w:sz="4" w:space="0" w:color="auto"/>
              <w:left w:val="dotted" w:sz="4" w:space="0" w:color="auto"/>
              <w:bottom w:val="dotted" w:sz="4" w:space="0" w:color="auto"/>
              <w:right w:val="dotted" w:sz="4" w:space="0" w:color="auto"/>
            </w:tcBorders>
          </w:tcPr>
          <w:p w14:paraId="624BD79C" w14:textId="77777777" w:rsidR="001B077C" w:rsidRPr="001B3C5D" w:rsidRDefault="001B077C" w:rsidP="006A0B0F">
            <w:pPr>
              <w:widowControl w:val="0"/>
              <w:autoSpaceDE w:val="0"/>
              <w:autoSpaceDN w:val="0"/>
              <w:spacing w:line="276" w:lineRule="auto"/>
              <w:contextualSpacing/>
              <w:jc w:val="both"/>
              <w:rPr>
                <w:rFonts w:ascii="Verdana" w:eastAsia="Aptos" w:hAnsi="Verdana" w:cs="Arial"/>
              </w:rPr>
            </w:pPr>
          </w:p>
          <w:p w14:paraId="129B6AB8" w14:textId="77777777" w:rsidR="001B077C" w:rsidRPr="0055082D" w:rsidRDefault="001B077C" w:rsidP="001B077C">
            <w:pPr>
              <w:widowControl w:val="0"/>
              <w:numPr>
                <w:ilvl w:val="0"/>
                <w:numId w:val="19"/>
              </w:numPr>
              <w:autoSpaceDE w:val="0"/>
              <w:autoSpaceDN w:val="0"/>
              <w:spacing w:line="276" w:lineRule="auto"/>
              <w:contextualSpacing/>
              <w:jc w:val="both"/>
              <w:rPr>
                <w:rFonts w:ascii="Verdana" w:eastAsia="Aptos" w:hAnsi="Verdana" w:cs="Arial"/>
                <w:lang w:val="it-IT"/>
              </w:rPr>
            </w:pPr>
            <w:r w:rsidRPr="00F16D67">
              <w:rPr>
                <w:rFonts w:ascii="Verdana" w:eastAsia="Aptos" w:hAnsi="Verdana" w:cs="Arial"/>
                <w:lang w:val="pt-BR"/>
              </w:rPr>
              <w:t xml:space="preserve">Corte Constitucional, Sentencia C–1005 de 2008. </w:t>
            </w:r>
            <w:r w:rsidRPr="0055082D">
              <w:rPr>
                <w:rFonts w:ascii="Verdana" w:eastAsia="Aptos" w:hAnsi="Verdana" w:cs="Arial"/>
                <w:lang w:val="it-IT"/>
              </w:rPr>
              <w:t>M.P.: Humberto Antonio Sierra Porto.</w:t>
            </w:r>
          </w:p>
          <w:p w14:paraId="6F59CFA9"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F16D67">
              <w:rPr>
                <w:rFonts w:ascii="Verdana" w:eastAsia="Aptos" w:hAnsi="Verdana" w:cs="Arial"/>
                <w:lang w:val="it-IT"/>
              </w:rPr>
              <w:t xml:space="preserve">Consejo de Estado, Sala de lo Contencioso Administrativo, Sección </w:t>
            </w:r>
            <w:r w:rsidRPr="00F16D67">
              <w:rPr>
                <w:rFonts w:ascii="Verdana" w:eastAsia="Aptos" w:hAnsi="Verdana" w:cs="Arial"/>
                <w:lang w:val="it-IT"/>
              </w:rPr>
              <w:lastRenderedPageBreak/>
              <w:t xml:space="preserve">Primera. Consejero ponente: Juan Alberto Polo Figueroa. Bogotá D.C., 24 de agosto de 2000. </w:t>
            </w:r>
            <w:r w:rsidRPr="001B3C5D">
              <w:rPr>
                <w:rFonts w:ascii="Verdana" w:eastAsia="Aptos" w:hAnsi="Verdana" w:cs="Arial"/>
              </w:rPr>
              <w:t>Radicación número 6096.</w:t>
            </w:r>
          </w:p>
          <w:p w14:paraId="638076C9"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F16D67">
              <w:rPr>
                <w:rFonts w:ascii="Verdana" w:eastAsia="Aptos" w:hAnsi="Verdana" w:cs="Arial"/>
                <w:lang w:val="pt-BR"/>
              </w:rPr>
              <w:t xml:space="preserve">Corte Constitucional, Sentencia C-917 de 2002. </w:t>
            </w:r>
            <w:r w:rsidRPr="001B3C5D">
              <w:rPr>
                <w:rFonts w:ascii="Verdana" w:eastAsia="Aptos" w:hAnsi="Verdana" w:cs="Arial"/>
              </w:rPr>
              <w:t xml:space="preserve">M.P.: Marco Gerardo Monroy Cabra. </w:t>
            </w:r>
          </w:p>
          <w:p w14:paraId="5259E88A"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Tercera. Auto del 14 de agosto de 2017. Rad. 58820.</w:t>
            </w:r>
          </w:p>
          <w:p w14:paraId="5E3AE912"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Tercera. Sentencia del 16 de agosto de 2017. Rad.56166.</w:t>
            </w:r>
          </w:p>
          <w:p w14:paraId="150C49CF"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Tercera. Sentencia de 11 de abril de 2019. Rad. 52.055.</w:t>
            </w:r>
          </w:p>
          <w:p w14:paraId="13783DC1"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Quinta, del 12 de diciembre de 2024 (Rad. 05001-23-33-000-2024-00847-01, M.P. Omar Joaquín Barreto Suárez)</w:t>
            </w:r>
          </w:p>
          <w:p w14:paraId="06E5C765"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Ley 80 de 1993: artículo 2.</w:t>
            </w:r>
          </w:p>
          <w:p w14:paraId="381F1C99" w14:textId="77777777" w:rsidR="001B077C" w:rsidRPr="001B3C5D" w:rsidRDefault="001B077C" w:rsidP="001B077C">
            <w:pPr>
              <w:widowControl w:val="0"/>
              <w:numPr>
                <w:ilvl w:val="0"/>
                <w:numId w:val="18"/>
              </w:numPr>
              <w:autoSpaceDE w:val="0"/>
              <w:autoSpaceDN w:val="0"/>
              <w:spacing w:line="276" w:lineRule="auto"/>
              <w:ind w:left="714" w:hanging="357"/>
              <w:jc w:val="both"/>
              <w:rPr>
                <w:rFonts w:ascii="Verdana" w:eastAsia="Calibri" w:hAnsi="Verdana" w:cs="Arial"/>
                <w:lang w:val="es-ES_tradnl"/>
              </w:rPr>
            </w:pPr>
            <w:r w:rsidRPr="001B3C5D">
              <w:rPr>
                <w:rFonts w:ascii="Verdana" w:eastAsia="Calibri" w:hAnsi="Verdana" w:cs="Arial"/>
                <w:lang w:val="es-ES_tradnl"/>
              </w:rPr>
              <w:t xml:space="preserve">Ley 2022 de 2020, artículo 1. </w:t>
            </w:r>
          </w:p>
          <w:p w14:paraId="1C98E82F" w14:textId="77777777" w:rsidR="001B077C" w:rsidRPr="001B3C5D" w:rsidRDefault="001B077C" w:rsidP="001B077C">
            <w:pPr>
              <w:widowControl w:val="0"/>
              <w:numPr>
                <w:ilvl w:val="0"/>
                <w:numId w:val="18"/>
              </w:numPr>
              <w:autoSpaceDE w:val="0"/>
              <w:autoSpaceDN w:val="0"/>
              <w:spacing w:line="276" w:lineRule="auto"/>
              <w:contextualSpacing/>
              <w:jc w:val="both"/>
              <w:rPr>
                <w:rFonts w:ascii="Verdana" w:eastAsia="Calibri" w:hAnsi="Verdana" w:cs="Arial"/>
              </w:rPr>
            </w:pPr>
            <w:r w:rsidRPr="001B3C5D">
              <w:rPr>
                <w:rFonts w:ascii="Verdana" w:eastAsia="Calibri" w:hAnsi="Verdana" w:cs="Arial"/>
                <w:lang w:val="es-ES_tradnl"/>
              </w:rPr>
              <w:t xml:space="preserve">Documentos Tipo. Disponibles en: </w:t>
            </w:r>
            <w:hyperlink r:id="rId12" w:history="1">
              <w:r w:rsidRPr="001B3C5D">
                <w:rPr>
                  <w:rFonts w:ascii="Verdana" w:eastAsia="Calibri" w:hAnsi="Verdana" w:cs="Arial"/>
                  <w:color w:val="0000FF"/>
                  <w:u w:val="single"/>
                  <w:lang w:val="es-ES_tradnl"/>
                </w:rPr>
                <w:t>https://www.colombiacompra.gov.co/documentos-tipo/documentos-tipo</w:t>
              </w:r>
            </w:hyperlink>
            <w:r w:rsidRPr="001B3C5D">
              <w:rPr>
                <w:rFonts w:ascii="Verdana" w:eastAsia="Calibri" w:hAnsi="Verdana" w:cs="Arial"/>
                <w:lang w:val="es-ES_tradnl"/>
              </w:rPr>
              <w:t>.</w:t>
            </w:r>
          </w:p>
          <w:p w14:paraId="31101B4E" w14:textId="77777777" w:rsidR="001B077C" w:rsidRPr="001B3C5D" w:rsidRDefault="001B077C" w:rsidP="001B077C">
            <w:pPr>
              <w:widowControl w:val="0"/>
              <w:numPr>
                <w:ilvl w:val="0"/>
                <w:numId w:val="18"/>
              </w:numPr>
              <w:autoSpaceDE w:val="0"/>
              <w:autoSpaceDN w:val="0"/>
              <w:spacing w:line="276" w:lineRule="auto"/>
              <w:contextualSpacing/>
              <w:jc w:val="both"/>
              <w:rPr>
                <w:rFonts w:ascii="Verdana" w:eastAsia="Calibri" w:hAnsi="Verdana" w:cs="Arial"/>
              </w:rPr>
            </w:pPr>
            <w:r w:rsidRPr="001B3C5D">
              <w:rPr>
                <w:rFonts w:ascii="Verdana" w:eastAsia="Aptos" w:hAnsi="Verdana" w:cs="Arial"/>
              </w:rPr>
              <w:t>Decreto Ley 4170 de 2011: artículo 1, artículo 11</w:t>
            </w:r>
          </w:p>
          <w:p w14:paraId="51F45D12" w14:textId="77777777" w:rsidR="001B077C" w:rsidRPr="001B3C5D" w:rsidRDefault="001B077C" w:rsidP="001B077C">
            <w:pPr>
              <w:widowControl w:val="0"/>
              <w:numPr>
                <w:ilvl w:val="0"/>
                <w:numId w:val="18"/>
              </w:numPr>
              <w:autoSpaceDE w:val="0"/>
              <w:autoSpaceDN w:val="0"/>
              <w:spacing w:line="276" w:lineRule="auto"/>
              <w:contextualSpacing/>
              <w:jc w:val="both"/>
              <w:rPr>
                <w:rFonts w:ascii="Verdana" w:eastAsia="Calibri" w:hAnsi="Verdana" w:cs="Arial"/>
              </w:rPr>
            </w:pPr>
            <w:r w:rsidRPr="001B3C5D">
              <w:rPr>
                <w:rFonts w:ascii="Verdana" w:eastAsia="Calibri" w:hAnsi="Verdana" w:cs="Arial"/>
                <w:lang w:val="es-ES_tradnl"/>
              </w:rPr>
              <w:t>Decreto 287 de 2026: Artículo 1 y artículo 2.</w:t>
            </w:r>
          </w:p>
        </w:tc>
      </w:tr>
    </w:tbl>
    <w:p w14:paraId="64654C85" w14:textId="77777777" w:rsidR="001B077C" w:rsidRPr="001B3C5D" w:rsidRDefault="001B077C" w:rsidP="001B077C">
      <w:pPr>
        <w:tabs>
          <w:tab w:val="left" w:pos="142"/>
          <w:tab w:val="left" w:pos="284"/>
        </w:tabs>
        <w:spacing w:after="0" w:line="276" w:lineRule="auto"/>
        <w:jc w:val="both"/>
        <w:rPr>
          <w:rFonts w:ascii="Verdana" w:eastAsia="Calibri" w:hAnsi="Verdana" w:cs="Arial"/>
        </w:rPr>
      </w:pPr>
    </w:p>
    <w:p w14:paraId="1D356C06" w14:textId="77777777" w:rsidR="001B077C" w:rsidRPr="001B3C5D" w:rsidRDefault="001B077C" w:rsidP="001B077C">
      <w:pPr>
        <w:tabs>
          <w:tab w:val="left" w:pos="142"/>
          <w:tab w:val="left" w:pos="284"/>
        </w:tabs>
        <w:spacing w:after="0" w:line="276" w:lineRule="auto"/>
        <w:jc w:val="both"/>
        <w:rPr>
          <w:rFonts w:ascii="Verdana" w:eastAsia="Century Gothic" w:hAnsi="Verdana" w:cs="Century Gothic"/>
          <w:b/>
          <w:bCs/>
          <w:lang w:val="es-ES"/>
        </w:rPr>
      </w:pPr>
      <w:r w:rsidRPr="001B3C5D">
        <w:rPr>
          <w:rFonts w:ascii="Verdana" w:eastAsia="Calibri" w:hAnsi="Verdana" w:cs="Arial"/>
          <w:b/>
          <w:bCs/>
        </w:rPr>
        <w:t>5</w:t>
      </w:r>
      <w:r w:rsidRPr="001B3C5D">
        <w:rPr>
          <w:rFonts w:ascii="Verdana" w:eastAsia="Calibri" w:hAnsi="Verdana" w:cs="Arial"/>
        </w:rPr>
        <w:t>.</w:t>
      </w:r>
      <w:r w:rsidRPr="001B3C5D">
        <w:rPr>
          <w:rFonts w:ascii="Verdana" w:eastAsia="Century Gothic" w:hAnsi="Verdana" w:cs="Century Gothic"/>
          <w:b/>
          <w:bCs/>
          <w:lang w:val="es-ES"/>
        </w:rPr>
        <w:t>Doctrina de la Agencia Nacional de Contratación Pública:</w:t>
      </w:r>
    </w:p>
    <w:p w14:paraId="257DF6A0" w14:textId="77777777" w:rsidR="001B077C" w:rsidRPr="001B3C5D" w:rsidRDefault="001B077C" w:rsidP="001B077C">
      <w:pPr>
        <w:widowControl w:val="0"/>
        <w:autoSpaceDE w:val="0"/>
        <w:autoSpaceDN w:val="0"/>
        <w:spacing w:after="0" w:line="276" w:lineRule="auto"/>
        <w:jc w:val="both"/>
        <w:rPr>
          <w:rFonts w:ascii="Verdana" w:eastAsia="Calibri" w:hAnsi="Verdana" w:cs="Arial"/>
        </w:rPr>
      </w:pPr>
    </w:p>
    <w:p w14:paraId="6FE230E8" w14:textId="010B2960" w:rsidR="008D5774" w:rsidRPr="001B077C" w:rsidRDefault="001B077C" w:rsidP="001B077C">
      <w:pPr>
        <w:widowControl w:val="0"/>
        <w:autoSpaceDE w:val="0"/>
        <w:autoSpaceDN w:val="0"/>
        <w:spacing w:after="0" w:line="276" w:lineRule="auto"/>
        <w:jc w:val="both"/>
        <w:rPr>
          <w:rFonts w:ascii="Verdana" w:eastAsia="Times New Roman" w:hAnsi="Verdana" w:cs="Arial"/>
          <w:kern w:val="2"/>
          <w:shd w:val="clear" w:color="auto" w:fill="FFFFFF"/>
          <w:lang w:val="es-ES"/>
          <w14:ligatures w14:val="standardContextual"/>
        </w:rPr>
      </w:pPr>
      <w:r w:rsidRPr="001B3C5D">
        <w:rPr>
          <w:rFonts w:ascii="Verdana" w:eastAsia="Calibri" w:hAnsi="Verdana" w:cs="Arial"/>
          <w:kern w:val="2"/>
          <w:shd w:val="clear" w:color="auto" w:fill="FFFFFF"/>
          <w14:ligatures w14:val="standardContextual"/>
        </w:rPr>
        <w:t>L</w:t>
      </w:r>
      <w:r w:rsidRPr="001B3C5D">
        <w:rPr>
          <w:rFonts w:ascii="Verdana" w:eastAsia="Calibri" w:hAnsi="Verdana" w:cs="Arial"/>
          <w:kern w:val="2"/>
          <w:shd w:val="clear" w:color="auto" w:fill="FFFFFF"/>
          <w:lang w:val="es-ES"/>
          <w14:ligatures w14:val="standardContextual"/>
        </w:rPr>
        <w:t>a Agencia Nacional de Contratación Pública – Colombia Compra Eficiente, se ha pronunciado sobre la regla de la inalterabilidad de los documentos tipo en los siguiente conceptos:C-058 del 8 de marzo de 2022, C-657 del 11 de octubre de 2022, C-051 del 28 de abril de 2023</w:t>
      </w:r>
      <w:r w:rsidRPr="001B3C5D">
        <w:rPr>
          <w:rFonts w:ascii="Verdana" w:eastAsia="Times New Roman" w:hAnsi="Verdana" w:cs="Arial"/>
          <w:kern w:val="2"/>
          <w:shd w:val="clear" w:color="auto" w:fill="FFFFFF"/>
          <w:lang w:val="es-ES"/>
          <w14:ligatures w14:val="standardContextual"/>
        </w:rPr>
        <w:t xml:space="preserve">, </w:t>
      </w:r>
      <w:r w:rsidRPr="001B3C5D">
        <w:rPr>
          <w:rFonts w:ascii="Verdana" w:eastAsia="Calibri" w:hAnsi="Verdana" w:cs="Arial"/>
          <w:kern w:val="2"/>
          <w:shd w:val="clear" w:color="auto" w:fill="FFFFFF"/>
          <w:lang w:val="es-ES"/>
          <w14:ligatures w14:val="standardContextual"/>
        </w:rPr>
        <w:t>C-513 del 7 de octubre de 2024, C-730 del 27 de noviembre de 2024, C-870 del 15 de diciembre de 2024, C-092 del 4 de marzo de 2025, C-110 del 7 de marzo de 2025, C-133 del 10 de marzo de 2025, C-241 del 14 de marzo de 2025, C-283 del 14 de abril de 2025, C-302 del 21 de abril de 2025, C-386 del 22 de abril de 2025, C-322 del 25 de abril de 2025, C-325 del 25 de abril de 2025, C-342 del 25 de abril de 2025, C-365 del 2 de mayo de 2025, C-382 del 6 de mayo de 2025, C497 del 5 de junio de 2025, C-522 del 9 de junio de 2025, C-562 del 19 de junio de 2025, C-582 del 25 de junio de 2025</w:t>
      </w:r>
      <w:r w:rsidRPr="001B3C5D">
        <w:rPr>
          <w:rFonts w:ascii="Verdana" w:eastAsia="Calibri" w:hAnsi="Verdana" w:cs="Arial"/>
          <w:shd w:val="clear" w:color="auto" w:fill="FFFFFF"/>
          <w:lang w:val="es-ES"/>
        </w:rPr>
        <w:t xml:space="preserve">, C-043 del 13 de febrero de 2026 y C-246 del 12 de marzo de 2026, entre otros. </w:t>
      </w:r>
      <w:r w:rsidR="008D5774" w:rsidRPr="00206556">
        <w:rPr>
          <w:rFonts w:ascii="Verdana" w:hAnsi="Verdana" w:cs="Arial"/>
          <w:shd w:val="clear" w:color="auto" w:fill="FFFFFF"/>
          <w:lang w:val="es-ES"/>
        </w:rPr>
        <w:t>Est</w:t>
      </w:r>
      <w:r w:rsidR="00852A3D">
        <w:rPr>
          <w:rFonts w:ascii="Verdana" w:hAnsi="Verdana" w:cs="Arial"/>
          <w:shd w:val="clear" w:color="auto" w:fill="FFFFFF"/>
          <w:lang w:val="es-ES"/>
        </w:rPr>
        <w:t>e</w:t>
      </w:r>
      <w:r w:rsidR="008D5774" w:rsidRPr="00206556">
        <w:rPr>
          <w:rFonts w:ascii="Verdana" w:hAnsi="Verdana"/>
          <w:lang w:val="es-ES"/>
        </w:rPr>
        <w:t xml:space="preserve"> y otros se encuentran disponibles para consulta en el Sistema de </w:t>
      </w:r>
      <w:r w:rsidR="008D5774" w:rsidRPr="00206556">
        <w:rPr>
          <w:rFonts w:ascii="Verdana" w:hAnsi="Verdana"/>
          <w:lang w:val="es-ES"/>
        </w:rPr>
        <w:lastRenderedPageBreak/>
        <w:t>relatoría de la Agencia, al cual se puede acceder a través del siguiente enlace:</w:t>
      </w:r>
      <w:r w:rsidR="008D5774" w:rsidRPr="00206556">
        <w:rPr>
          <w:rFonts w:ascii="Verdana" w:hAnsi="Verdana" w:cs="Arial"/>
          <w:shd w:val="clear" w:color="auto" w:fill="FFFFFF"/>
          <w:lang w:val="es-ES"/>
        </w:rPr>
        <w:t xml:space="preserve"> </w:t>
      </w:r>
      <w:hyperlink r:id="rId13" w:history="1">
        <w:r w:rsidR="008D5774" w:rsidRPr="00206556">
          <w:rPr>
            <w:rStyle w:val="Hipervnculo"/>
            <w:rFonts w:ascii="Verdana" w:hAnsi="Verdana" w:cs="Arial"/>
            <w:shd w:val="clear" w:color="auto" w:fill="FFFFFF"/>
            <w:lang w:val="es-ES"/>
          </w:rPr>
          <w:t>https://relatoria.colombiacompra.gov.co/busqueda/conceptos</w:t>
        </w:r>
      </w:hyperlink>
    </w:p>
    <w:p w14:paraId="537B2233" w14:textId="77777777" w:rsidR="008D5774" w:rsidRPr="00206556" w:rsidRDefault="008D5774" w:rsidP="003C3B8B">
      <w:pPr>
        <w:spacing w:after="0" w:line="276" w:lineRule="auto"/>
        <w:jc w:val="both"/>
        <w:rPr>
          <w:rFonts w:ascii="Verdana" w:hAnsi="Verdana" w:cs="Arial"/>
          <w:color w:val="ED7D31" w:themeColor="accent2"/>
          <w:shd w:val="clear" w:color="auto" w:fill="FFFFFF"/>
          <w:lang w:val="es-ES"/>
        </w:rPr>
      </w:pPr>
    </w:p>
    <w:p w14:paraId="53F8138D" w14:textId="775728F2" w:rsidR="005179DF" w:rsidRPr="00206556" w:rsidRDefault="005179DF" w:rsidP="003C3B8B">
      <w:pPr>
        <w:spacing w:after="0" w:line="276" w:lineRule="auto"/>
        <w:jc w:val="both"/>
        <w:rPr>
          <w:rFonts w:ascii="Verdana" w:hAnsi="Verdana" w:cs="Arial"/>
          <w:shd w:val="clear" w:color="auto" w:fill="FFFFFF"/>
        </w:rPr>
      </w:pPr>
      <w:r w:rsidRPr="00206556">
        <w:rPr>
          <w:rFonts w:ascii="Verdana" w:hAnsi="Verdana" w:cs="Arial"/>
          <w:shd w:val="clear" w:color="auto" w:fill="FFFFFF"/>
        </w:rPr>
        <w:t xml:space="preserve">La sostenibilidad no es una opción, es una obligación. Por ello, la Agencia Nacional de Contratación Pública –Colombia Compra Eficiente– te invita a realizar el Curso de Contratación Pública Sostenible y Socialmente Responsable, una herramienta clave para fortalecer las capacidades de todos los compradores públicos, proveedores, servidores públicos v para generar mayor valor público. Accede al curso y aprende como implementar criterios sociales y ambientales en las diferentes etapas del proceso de contratación: </w:t>
      </w:r>
      <w:hyperlink r:id="rId14" w:history="1">
        <w:r w:rsidR="00CF24C0" w:rsidRPr="00206556">
          <w:rPr>
            <w:rStyle w:val="Hipervnculo"/>
            <w:rFonts w:ascii="Verdana" w:hAnsi="Verdana" w:cs="Arial"/>
            <w:shd w:val="clear" w:color="auto" w:fill="FFFFFF"/>
          </w:rPr>
          <w:t>https://formacionvirtual.colombiacompra.gov.co/mod/page/view.php?id=3718</w:t>
        </w:r>
      </w:hyperlink>
      <w:r w:rsidR="00CF24C0" w:rsidRPr="00206556">
        <w:rPr>
          <w:rFonts w:ascii="Verdana" w:hAnsi="Verdana" w:cs="Arial"/>
          <w:shd w:val="clear" w:color="auto" w:fill="FFFFFF"/>
        </w:rPr>
        <w:t xml:space="preserve"> </w:t>
      </w:r>
    </w:p>
    <w:p w14:paraId="2D72AF6B" w14:textId="77777777" w:rsidR="005179DF" w:rsidRPr="00206556" w:rsidRDefault="005179DF" w:rsidP="003C3B8B">
      <w:pPr>
        <w:spacing w:after="0" w:line="276" w:lineRule="auto"/>
        <w:jc w:val="both"/>
        <w:rPr>
          <w:rFonts w:ascii="Verdana" w:hAnsi="Verdana" w:cs="Arial"/>
          <w:shd w:val="clear" w:color="auto" w:fill="FFFFFF"/>
        </w:rPr>
      </w:pPr>
    </w:p>
    <w:p w14:paraId="6F12E20F" w14:textId="1D3FA391" w:rsidR="005179DF" w:rsidRPr="00206556" w:rsidRDefault="005179DF" w:rsidP="003C3B8B">
      <w:pPr>
        <w:spacing w:after="0" w:line="276" w:lineRule="auto"/>
        <w:jc w:val="both"/>
        <w:rPr>
          <w:rFonts w:ascii="Verdana" w:hAnsi="Verdana" w:cs="Arial"/>
          <w:shd w:val="clear" w:color="auto" w:fill="FFFFFF"/>
        </w:rPr>
      </w:pPr>
      <w:r w:rsidRPr="00206556">
        <w:rPr>
          <w:rFonts w:ascii="Verdana" w:hAnsi="Verdana" w:cs="Arial"/>
          <w:shd w:val="clear" w:color="auto" w:fill="FFFFFF"/>
        </w:rPr>
        <w:t xml:space="preserve">De otro lado, te contamos que esta Agencia ha da un paso decisivo en la estandarización y modernización del sector social con la expedición de las Resoluciones 539, 540, 541, 952 y 953 de 2025, mediante las cuales adoptó Documentos Tipo para las modalidades de selección de licitación pública (versión 2), selección abreviada de menor cuantía, mínima cuantía, consultoría e interventoría, promoviendo procesos más transparentes, eficientes competitivos y sostenibles en sectores estratégicos como educación, salud, cultura, recreación, deporte, institucional y vivienda. Consulta y descarga los documentos aquí: </w:t>
      </w:r>
      <w:hyperlink r:id="rId15" w:history="1">
        <w:r w:rsidRPr="00206556">
          <w:rPr>
            <w:rStyle w:val="Hipervnculo"/>
            <w:rFonts w:ascii="Verdana" w:hAnsi="Verdana" w:cs="Arial"/>
            <w:shd w:val="clear" w:color="auto" w:fill="FFFFFF"/>
          </w:rPr>
          <w:t>https://www.colombiacompra.gov.co/normativa-y-relatoria/documentos-tipo</w:t>
        </w:r>
      </w:hyperlink>
    </w:p>
    <w:p w14:paraId="16F44F44" w14:textId="77777777" w:rsidR="005179DF" w:rsidRPr="00206556" w:rsidRDefault="005179DF" w:rsidP="003C3B8B">
      <w:pPr>
        <w:spacing w:after="0" w:line="276" w:lineRule="auto"/>
        <w:jc w:val="both"/>
        <w:rPr>
          <w:rFonts w:ascii="Verdana" w:hAnsi="Verdana" w:cs="Arial"/>
          <w:shd w:val="clear" w:color="auto" w:fill="FFFFFF"/>
        </w:rPr>
      </w:pPr>
    </w:p>
    <w:p w14:paraId="4277517C" w14:textId="77777777" w:rsidR="005179DF" w:rsidRPr="00206556" w:rsidRDefault="005179DF" w:rsidP="003C3B8B">
      <w:pPr>
        <w:spacing w:after="0" w:line="276" w:lineRule="auto"/>
        <w:jc w:val="both"/>
        <w:rPr>
          <w:rFonts w:ascii="Verdana" w:hAnsi="Verdana" w:cs="Arial"/>
          <w:shd w:val="clear" w:color="auto" w:fill="FFFFFF"/>
        </w:rPr>
      </w:pPr>
      <w:r w:rsidRPr="00206556">
        <w:rPr>
          <w:rFonts w:ascii="Verdana" w:hAnsi="Verdana" w:cs="Arial"/>
          <w:shd w:val="clear" w:color="auto" w:fill="FFFFFF"/>
        </w:rPr>
        <w:t xml:space="preserve">Si quieres conocer más sobre la aplicación de Documentos Tipo puedes consultar la última versión de la Guía para la comprensión e implementación de los Documentos Tipo de obra pública de infraestructura de transporte. En esta actualización se incorporaron orientaciones prácticas dirigidas a entidades públicas, proveedores, organismos de control y demás interesados, con el propósito de facilitar la adecuada implementación de estos instrumentos en los procesos contractuales. </w:t>
      </w:r>
      <w:proofErr w:type="gramStart"/>
      <w:r w:rsidRPr="00206556">
        <w:rPr>
          <w:rFonts w:ascii="Verdana" w:hAnsi="Verdana" w:cs="Arial"/>
          <w:shd w:val="clear" w:color="auto" w:fill="FFFFFF"/>
        </w:rPr>
        <w:t>Además</w:t>
      </w:r>
      <w:proofErr w:type="gramEnd"/>
      <w:r w:rsidRPr="00206556">
        <w:rPr>
          <w:rFonts w:ascii="Verdana" w:hAnsi="Verdana" w:cs="Arial"/>
          <w:shd w:val="clear" w:color="auto" w:fill="FFFFFF"/>
        </w:rPr>
        <w:t xml:space="preserve"> se incluyeron lineamientos que orientan la implementación de los criterios ambientales y sociales incluidos en los documentos tipo: Consulta la guía aquí: https://www.colombiacompra.gov.co/archivos/manual/guia-para-la-comprension-e-implementacion-de-los-documentos-tipo-de-obra-publica-de-infraestructura-de-transporte-bajo-las-diferentes-modalidades-de-contratacion-vigentes</w:t>
      </w:r>
    </w:p>
    <w:p w14:paraId="50BA40C8" w14:textId="77777777" w:rsidR="008D5774" w:rsidRPr="00206556" w:rsidRDefault="008D5774" w:rsidP="003C3B8B">
      <w:pPr>
        <w:spacing w:after="0" w:line="276" w:lineRule="auto"/>
        <w:jc w:val="both"/>
        <w:rPr>
          <w:rFonts w:ascii="Verdana" w:hAnsi="Verdana" w:cs="Arial"/>
          <w:color w:val="ED7D31" w:themeColor="accent2"/>
          <w:shd w:val="clear" w:color="auto" w:fill="FFFFFF"/>
        </w:rPr>
      </w:pPr>
    </w:p>
    <w:p w14:paraId="14541A71"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Por último, lo invitamos a seguirnos en las redes sociales en las cuales se difunde información institucional: </w:t>
      </w:r>
    </w:p>
    <w:p w14:paraId="79871619" w14:textId="77777777" w:rsidR="008D5774" w:rsidRPr="00206556" w:rsidRDefault="008D5774" w:rsidP="008D5774">
      <w:pPr>
        <w:spacing w:after="0"/>
        <w:jc w:val="both"/>
        <w:rPr>
          <w:rFonts w:ascii="Verdana" w:hAnsi="Verdana" w:cs="Arial"/>
          <w:shd w:val="clear" w:color="auto" w:fill="FFFFFF"/>
        </w:rPr>
      </w:pPr>
    </w:p>
    <w:p w14:paraId="4E67AE00"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Twitter: </w:t>
      </w:r>
      <w:r w:rsidRPr="00206556">
        <w:rPr>
          <w:rStyle w:val="Hipervnculo"/>
          <w:rFonts w:ascii="Verdana" w:hAnsi="Verdana"/>
          <w:lang w:val="es-ES"/>
        </w:rPr>
        <w:t>@colombiacompra</w:t>
      </w:r>
      <w:r w:rsidRPr="00206556">
        <w:rPr>
          <w:rStyle w:val="Hipervnculo"/>
          <w:rFonts w:ascii="Verdana" w:hAnsi="Verdana"/>
          <w:color w:val="auto"/>
          <w:lang w:val="es-ES"/>
        </w:rPr>
        <w:t xml:space="preserve"> </w:t>
      </w:r>
    </w:p>
    <w:p w14:paraId="7A8B05A5"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Facebook:</w:t>
      </w:r>
      <w:r w:rsidRPr="00206556">
        <w:rPr>
          <w:rStyle w:val="Hipervnculo"/>
          <w:rFonts w:ascii="Verdana" w:hAnsi="Verdana"/>
          <w:lang w:val="es-ES"/>
        </w:rPr>
        <w:t xml:space="preserve"> </w:t>
      </w:r>
      <w:proofErr w:type="spellStart"/>
      <w:r w:rsidRPr="00206556">
        <w:rPr>
          <w:rStyle w:val="Hipervnculo"/>
          <w:rFonts w:ascii="Verdana" w:hAnsi="Verdana"/>
          <w:lang w:val="es-ES"/>
        </w:rPr>
        <w:t>ColombiaCompraEficiente</w:t>
      </w:r>
      <w:proofErr w:type="spellEnd"/>
    </w:p>
    <w:p w14:paraId="42648E5E"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LinkedIn: </w:t>
      </w:r>
      <w:r w:rsidRPr="00206556">
        <w:rPr>
          <w:rStyle w:val="Hipervnculo"/>
          <w:rFonts w:ascii="Verdana" w:hAnsi="Verdana"/>
          <w:lang w:val="es-ES"/>
        </w:rPr>
        <w:t>Agencia Nacional de Contratación Pública - Colombia Compra Eficiente</w:t>
      </w:r>
      <w:r w:rsidRPr="00206556">
        <w:rPr>
          <w:rFonts w:ascii="Verdana" w:hAnsi="Verdana" w:cs="Arial"/>
          <w:color w:val="0000FF"/>
          <w:shd w:val="clear" w:color="auto" w:fill="FFFFFF"/>
        </w:rPr>
        <w:t xml:space="preserve"> </w:t>
      </w:r>
    </w:p>
    <w:p w14:paraId="26B676B4"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Instagram: </w:t>
      </w:r>
      <w:r w:rsidRPr="00206556">
        <w:rPr>
          <w:rStyle w:val="Hipervnculo"/>
          <w:rFonts w:ascii="Verdana" w:hAnsi="Verdana"/>
          <w:lang w:val="es-ES"/>
        </w:rPr>
        <w:t>@colombiacompraeficiente_cce</w:t>
      </w:r>
    </w:p>
    <w:p w14:paraId="40F4A6F7" w14:textId="77777777" w:rsidR="008D5774" w:rsidRPr="00206556" w:rsidRDefault="008D5774" w:rsidP="008D5774">
      <w:pPr>
        <w:widowControl w:val="0"/>
        <w:autoSpaceDE w:val="0"/>
        <w:autoSpaceDN w:val="0"/>
        <w:spacing w:after="0" w:line="276" w:lineRule="auto"/>
        <w:jc w:val="both"/>
        <w:rPr>
          <w:rFonts w:ascii="Verdana" w:hAnsi="Verdana" w:cs="Arial"/>
          <w:color w:val="ED7D31" w:themeColor="accent2"/>
          <w:lang w:val="es-ES"/>
        </w:rPr>
      </w:pPr>
    </w:p>
    <w:p w14:paraId="04B627D4" w14:textId="77777777" w:rsidR="008D5774" w:rsidRPr="00206556" w:rsidRDefault="008D5774" w:rsidP="008D5774">
      <w:pPr>
        <w:widowControl w:val="0"/>
        <w:autoSpaceDE w:val="0"/>
        <w:autoSpaceDN w:val="0"/>
        <w:spacing w:after="0" w:line="276" w:lineRule="auto"/>
        <w:jc w:val="both"/>
        <w:rPr>
          <w:rFonts w:ascii="Verdana" w:hAnsi="Verdana" w:cs="Arial"/>
          <w:lang w:val="es-ES"/>
        </w:rPr>
      </w:pPr>
      <w:r w:rsidRPr="00206556">
        <w:rPr>
          <w:rFonts w:ascii="Verdana" w:hAnsi="Verdana" w:cs="Arial"/>
          <w:lang w:val="es-ES"/>
        </w:rPr>
        <w:t>Este concepto tiene el alcance previsto en el artículo 28 del Código de Procedimiento Administrativo y de lo Contencioso Administrativo y las expresiones aquí utilizadas con mayúscula inicial deben ser entendidas con el significado que les otorga el artículo 2.2.1.1.1.3.1. del Decreto 1082 de 2015.</w:t>
      </w:r>
    </w:p>
    <w:p w14:paraId="5B22982D" w14:textId="77777777" w:rsidR="008D5774" w:rsidRPr="00206556" w:rsidRDefault="008D5774" w:rsidP="008D5774">
      <w:pPr>
        <w:widowControl w:val="0"/>
        <w:autoSpaceDE w:val="0"/>
        <w:autoSpaceDN w:val="0"/>
        <w:spacing w:after="0" w:line="276" w:lineRule="auto"/>
        <w:jc w:val="both"/>
        <w:rPr>
          <w:rFonts w:ascii="Verdana" w:hAnsi="Verdana" w:cs="Arial"/>
          <w:lang w:val="es-ES"/>
        </w:rPr>
      </w:pPr>
    </w:p>
    <w:p w14:paraId="5934DDF9" w14:textId="77777777" w:rsidR="008D5774" w:rsidRPr="00206556" w:rsidRDefault="008D5774" w:rsidP="008D5774">
      <w:pPr>
        <w:spacing w:after="0" w:line="276" w:lineRule="auto"/>
        <w:rPr>
          <w:rFonts w:ascii="Verdana" w:hAnsi="Verdana" w:cs="Arial"/>
          <w:lang w:val="es-ES" w:eastAsia="es-CO"/>
        </w:rPr>
      </w:pPr>
      <w:r w:rsidRPr="00206556">
        <w:rPr>
          <w:rFonts w:ascii="Verdana" w:eastAsia="Times New Roman" w:hAnsi="Verdana" w:cs="Arial"/>
          <w:lang w:val="es-ES" w:eastAsia="es-CO"/>
        </w:rPr>
        <w:t>Atentamente,</w:t>
      </w:r>
      <w:r w:rsidRPr="00206556">
        <w:rPr>
          <w:rFonts w:ascii="Verdana" w:hAnsi="Verdana" w:cs="Arial"/>
          <w:lang w:val="es-ES" w:eastAsia="es-CO"/>
        </w:rPr>
        <w:t xml:space="preserve"> </w:t>
      </w:r>
    </w:p>
    <w:p w14:paraId="75F00371" w14:textId="77777777" w:rsidR="00A754B1" w:rsidRPr="00206556" w:rsidRDefault="00A754B1" w:rsidP="00670CFB">
      <w:pPr>
        <w:autoSpaceDE w:val="0"/>
        <w:autoSpaceDN w:val="0"/>
        <w:adjustRightInd w:val="0"/>
        <w:spacing w:after="0" w:line="276" w:lineRule="auto"/>
        <w:rPr>
          <w:rFonts w:ascii="Verdana" w:eastAsia="Calibri" w:hAnsi="Verdana" w:cs="Arial"/>
          <w:noProof/>
          <w:sz w:val="20"/>
          <w:szCs w:val="20"/>
        </w:rPr>
      </w:pPr>
    </w:p>
    <w:p w14:paraId="13C0EB0F" w14:textId="26225E3F" w:rsidR="00A754B1" w:rsidRPr="00206556" w:rsidRDefault="008B6CB8" w:rsidP="00A754B1">
      <w:pPr>
        <w:spacing w:after="0" w:line="256" w:lineRule="auto"/>
        <w:jc w:val="center"/>
        <w:rPr>
          <w:rFonts w:ascii="Verdana" w:eastAsia="Times New Roman" w:hAnsi="Verdana" w:cs="Arial"/>
          <w:lang w:eastAsia="es-ES"/>
        </w:rPr>
      </w:pPr>
      <w:r>
        <w:rPr>
          <w:rFonts w:ascii="Verdana" w:eastAsia="Times New Roman" w:hAnsi="Verdana" w:cs="Arial"/>
          <w:noProof/>
          <w:lang w:eastAsia="es-ES"/>
        </w:rPr>
        <w:drawing>
          <wp:inline distT="0" distB="0" distL="0" distR="0" wp14:anchorId="0F8667E3" wp14:editId="70E4123D">
            <wp:extent cx="3639058" cy="1343212"/>
            <wp:effectExtent l="0" t="0" r="0" b="0"/>
            <wp:docPr id="828625299"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25299" name="Imagen 1" descr="Texto&#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3639058" cy="1343212"/>
                    </a:xfrm>
                    <a:prstGeom prst="rect">
                      <a:avLst/>
                    </a:prstGeom>
                  </pic:spPr>
                </pic:pic>
              </a:graphicData>
            </a:graphic>
          </wp:inline>
        </w:drawing>
      </w:r>
    </w:p>
    <w:p w14:paraId="6B064C3A" w14:textId="77777777" w:rsidR="00A754B1" w:rsidRPr="00206556" w:rsidRDefault="00A754B1" w:rsidP="00A754B1">
      <w:pPr>
        <w:spacing w:after="0" w:line="240" w:lineRule="auto"/>
        <w:jc w:val="center"/>
        <w:rPr>
          <w:rFonts w:ascii="Verdana" w:eastAsia="Times New Roman" w:hAnsi="Verdana" w:cs="Arial"/>
          <w:lang w:eastAsia="es-ES"/>
        </w:rPr>
      </w:pPr>
    </w:p>
    <w:tbl>
      <w:tblPr>
        <w:tblW w:w="6570" w:type="dxa"/>
        <w:tblInd w:w="14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33"/>
        <w:gridCol w:w="5837"/>
      </w:tblGrid>
      <w:tr w:rsidR="00A754B1" w:rsidRPr="00206556" w14:paraId="5C634FCB" w14:textId="77777777">
        <w:trPr>
          <w:trHeight w:val="322"/>
        </w:trPr>
        <w:tc>
          <w:tcPr>
            <w:tcW w:w="733" w:type="dxa"/>
            <w:tcBorders>
              <w:top w:val="nil"/>
              <w:left w:val="nil"/>
              <w:bottom w:val="nil"/>
              <w:right w:val="nil"/>
            </w:tcBorders>
            <w:vAlign w:val="center"/>
            <w:hideMark/>
          </w:tcPr>
          <w:p w14:paraId="6BA74C99" w14:textId="77777777"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val="es-MX" w:eastAsia="es-CO"/>
              </w:rPr>
              <w:t>Elaboró:         </w:t>
            </w:r>
            <w:r w:rsidRPr="00206556">
              <w:rPr>
                <w:rFonts w:ascii="Verdana" w:eastAsia="Times New Roman" w:hAnsi="Verdana" w:cs="Times New Roman"/>
                <w:sz w:val="16"/>
                <w:szCs w:val="16"/>
                <w:lang w:eastAsia="es-CO"/>
              </w:rPr>
              <w:t> </w:t>
            </w:r>
          </w:p>
        </w:tc>
        <w:tc>
          <w:tcPr>
            <w:tcW w:w="5837" w:type="dxa"/>
            <w:tcBorders>
              <w:top w:val="dotted" w:sz="6" w:space="0" w:color="7F7F7F"/>
              <w:left w:val="nil"/>
              <w:bottom w:val="dotted" w:sz="6" w:space="0" w:color="7F7F7F"/>
              <w:right w:val="nil"/>
            </w:tcBorders>
            <w:vAlign w:val="center"/>
            <w:hideMark/>
          </w:tcPr>
          <w:p w14:paraId="076F1BA0" w14:textId="77777777" w:rsidR="00670CFB" w:rsidRPr="00206556" w:rsidRDefault="00670CFB" w:rsidP="00670CFB">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eastAsia="es-CO"/>
              </w:rPr>
              <w:t>Gloria Elizabeth Arango Builes</w:t>
            </w:r>
          </w:p>
          <w:p w14:paraId="0502EDA4" w14:textId="4C8370B0" w:rsidR="00A754B1" w:rsidRPr="00206556" w:rsidRDefault="00670CFB" w:rsidP="00670CFB">
            <w:pPr>
              <w:spacing w:after="0" w:line="256" w:lineRule="auto"/>
              <w:rPr>
                <w:rFonts w:ascii="Verdana" w:eastAsia="Times New Roman" w:hAnsi="Verdana" w:cs="Arial"/>
                <w:sz w:val="16"/>
                <w:szCs w:val="16"/>
                <w:lang w:val="es-ES_tradnl" w:eastAsia="es-ES"/>
              </w:rPr>
            </w:pPr>
            <w:r w:rsidRPr="00206556">
              <w:rPr>
                <w:rFonts w:ascii="Verdana" w:eastAsia="Times New Roman" w:hAnsi="Verdana" w:cs="Arial"/>
                <w:sz w:val="16"/>
                <w:szCs w:val="16"/>
                <w:lang w:eastAsia="es-ES"/>
              </w:rPr>
              <w:t xml:space="preserve">Contratista </w:t>
            </w:r>
            <w:r w:rsidRPr="00206556">
              <w:rPr>
                <w:rFonts w:ascii="Verdana" w:eastAsia="Times New Roman" w:hAnsi="Verdana" w:cs="Times New Roman"/>
                <w:sz w:val="16"/>
                <w:szCs w:val="16"/>
                <w:lang w:eastAsia="es-CO"/>
              </w:rPr>
              <w:t>de la Subdirección de Gestión Contractual</w:t>
            </w:r>
          </w:p>
        </w:tc>
      </w:tr>
      <w:tr w:rsidR="00A754B1" w:rsidRPr="00206556" w14:paraId="4384CD0E" w14:textId="77777777">
        <w:trPr>
          <w:trHeight w:val="322"/>
        </w:trPr>
        <w:tc>
          <w:tcPr>
            <w:tcW w:w="733" w:type="dxa"/>
            <w:tcBorders>
              <w:top w:val="nil"/>
              <w:left w:val="nil"/>
              <w:bottom w:val="nil"/>
              <w:right w:val="nil"/>
            </w:tcBorders>
            <w:vAlign w:val="center"/>
            <w:hideMark/>
          </w:tcPr>
          <w:p w14:paraId="68F906D2" w14:textId="77777777"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val="es-MX" w:eastAsia="es-CO"/>
              </w:rPr>
              <w:t>Revisó:</w:t>
            </w:r>
            <w:r w:rsidRPr="00206556">
              <w:rPr>
                <w:rFonts w:ascii="Verdana" w:eastAsia="Times New Roman" w:hAnsi="Verdana" w:cs="Times New Roman"/>
                <w:sz w:val="16"/>
                <w:szCs w:val="16"/>
                <w:lang w:eastAsia="es-CO"/>
              </w:rPr>
              <w:t> </w:t>
            </w:r>
          </w:p>
        </w:tc>
        <w:tc>
          <w:tcPr>
            <w:tcW w:w="5837" w:type="dxa"/>
            <w:tcBorders>
              <w:top w:val="dotted" w:sz="6" w:space="0" w:color="7F7F7F"/>
              <w:left w:val="nil"/>
              <w:bottom w:val="dotted" w:sz="6" w:space="0" w:color="7F7F7F"/>
              <w:right w:val="nil"/>
            </w:tcBorders>
            <w:vAlign w:val="center"/>
            <w:hideMark/>
          </w:tcPr>
          <w:p w14:paraId="0F65E976" w14:textId="3600DF05" w:rsidR="00670CFB" w:rsidRPr="00206556" w:rsidRDefault="001B077C" w:rsidP="00670CFB">
            <w:pPr>
              <w:spacing w:after="0" w:line="256" w:lineRule="auto"/>
              <w:rPr>
                <w:rFonts w:ascii="Verdana" w:eastAsia="Times New Roman" w:hAnsi="Verdana" w:cs="Arial"/>
                <w:sz w:val="16"/>
                <w:szCs w:val="16"/>
                <w:lang w:val="es-ES_tradnl" w:eastAsia="es-ES"/>
              </w:rPr>
            </w:pPr>
            <w:r>
              <w:rPr>
                <w:rFonts w:ascii="Verdana" w:eastAsia="Times New Roman" w:hAnsi="Verdana" w:cs="Arial"/>
                <w:sz w:val="16"/>
                <w:szCs w:val="16"/>
                <w:lang w:val="es-ES_tradnl" w:eastAsia="es-ES"/>
              </w:rPr>
              <w:t>Diana Saavedra Castañeda</w:t>
            </w:r>
          </w:p>
          <w:p w14:paraId="53BA1B20" w14:textId="05E2A54E" w:rsidR="00670CFB" w:rsidRPr="00206556" w:rsidRDefault="001B077C" w:rsidP="00670CFB">
            <w:pPr>
              <w:autoSpaceDE w:val="0"/>
              <w:autoSpaceDN w:val="0"/>
              <w:adjustRightInd w:val="0"/>
              <w:spacing w:after="0" w:line="276" w:lineRule="auto"/>
              <w:rPr>
                <w:rFonts w:ascii="Verdana" w:eastAsia="Calibri" w:hAnsi="Verdana" w:cs="Arial"/>
              </w:rPr>
            </w:pPr>
            <w:r>
              <w:rPr>
                <w:rFonts w:ascii="Verdana" w:eastAsia="Times New Roman" w:hAnsi="Verdana" w:cs="Arial"/>
                <w:sz w:val="16"/>
                <w:szCs w:val="16"/>
                <w:lang w:eastAsia="es-ES"/>
              </w:rPr>
              <w:t>Contratista</w:t>
            </w:r>
            <w:r w:rsidR="00670CFB" w:rsidRPr="00206556">
              <w:rPr>
                <w:rFonts w:ascii="Verdana" w:eastAsia="Times New Roman" w:hAnsi="Verdana" w:cs="Arial"/>
                <w:sz w:val="16"/>
                <w:szCs w:val="16"/>
                <w:lang w:eastAsia="es-ES"/>
              </w:rPr>
              <w:t xml:space="preserve"> de la Subdirección de Gestión Contractual</w:t>
            </w:r>
          </w:p>
          <w:p w14:paraId="4F030FDF" w14:textId="6BB16468"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p>
        </w:tc>
      </w:tr>
      <w:tr w:rsidR="00A754B1" w:rsidRPr="00206556" w14:paraId="51B53319" w14:textId="77777777">
        <w:trPr>
          <w:trHeight w:val="307"/>
        </w:trPr>
        <w:tc>
          <w:tcPr>
            <w:tcW w:w="733" w:type="dxa"/>
            <w:tcBorders>
              <w:top w:val="nil"/>
              <w:left w:val="nil"/>
              <w:bottom w:val="nil"/>
              <w:right w:val="nil"/>
            </w:tcBorders>
            <w:vAlign w:val="center"/>
            <w:hideMark/>
          </w:tcPr>
          <w:p w14:paraId="58BB7344" w14:textId="77777777"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val="es-MX" w:eastAsia="es-CO"/>
              </w:rPr>
              <w:t>Aprobó:</w:t>
            </w:r>
            <w:r w:rsidRPr="00206556">
              <w:rPr>
                <w:rFonts w:ascii="Verdana" w:eastAsia="Times New Roman" w:hAnsi="Verdana" w:cs="Times New Roman"/>
                <w:sz w:val="16"/>
                <w:szCs w:val="16"/>
                <w:lang w:eastAsia="es-CO"/>
              </w:rPr>
              <w:t> </w:t>
            </w:r>
          </w:p>
        </w:tc>
        <w:tc>
          <w:tcPr>
            <w:tcW w:w="5837" w:type="dxa"/>
            <w:tcBorders>
              <w:top w:val="dotted" w:sz="6" w:space="0" w:color="7F7F7F"/>
              <w:left w:val="nil"/>
              <w:bottom w:val="dotted" w:sz="6" w:space="0" w:color="7F7F7F"/>
              <w:right w:val="nil"/>
            </w:tcBorders>
            <w:vAlign w:val="center"/>
            <w:hideMark/>
          </w:tcPr>
          <w:p w14:paraId="2A41E819" w14:textId="77777777" w:rsidR="00A754B1" w:rsidRPr="00206556" w:rsidRDefault="00A754B1" w:rsidP="00A754B1">
            <w:pPr>
              <w:spacing w:after="0" w:line="256" w:lineRule="auto"/>
              <w:rPr>
                <w:rFonts w:ascii="Verdana" w:eastAsia="Times New Roman" w:hAnsi="Verdana" w:cs="Arial"/>
                <w:sz w:val="16"/>
                <w:szCs w:val="16"/>
                <w:lang w:eastAsia="es-ES"/>
              </w:rPr>
            </w:pPr>
            <w:r w:rsidRPr="00206556">
              <w:rPr>
                <w:rFonts w:ascii="Verdana" w:eastAsia="Times New Roman" w:hAnsi="Verdana" w:cs="Arial"/>
                <w:sz w:val="16"/>
                <w:szCs w:val="16"/>
                <w:lang w:eastAsia="es-ES"/>
              </w:rPr>
              <w:t>Carolina Quintero Gacharná</w:t>
            </w:r>
          </w:p>
          <w:p w14:paraId="3D71CC3E" w14:textId="77777777" w:rsidR="00A754B1" w:rsidRPr="00206556" w:rsidRDefault="00A754B1" w:rsidP="00A754B1">
            <w:pPr>
              <w:spacing w:after="0" w:line="256" w:lineRule="auto"/>
              <w:rPr>
                <w:rFonts w:ascii="Verdana" w:eastAsia="Times New Roman" w:hAnsi="Verdana" w:cs="Arial"/>
                <w:sz w:val="16"/>
                <w:szCs w:val="16"/>
                <w:lang w:eastAsia="es-ES"/>
              </w:rPr>
            </w:pPr>
            <w:r w:rsidRPr="00206556">
              <w:rPr>
                <w:rFonts w:ascii="Verdana" w:eastAsia="Times New Roman" w:hAnsi="Verdana" w:cs="Arial"/>
                <w:sz w:val="16"/>
                <w:szCs w:val="16"/>
                <w:lang w:eastAsia="es-ES"/>
              </w:rPr>
              <w:t>Subdirectora de Gestión Contractual ANCP – CCE</w:t>
            </w:r>
          </w:p>
        </w:tc>
      </w:tr>
      <w:bookmarkEnd w:id="0"/>
    </w:tbl>
    <w:p w14:paraId="1F1E5D50" w14:textId="77777777" w:rsidR="00A754B1" w:rsidRDefault="00A754B1" w:rsidP="00A754B1">
      <w:pPr>
        <w:autoSpaceDE w:val="0"/>
        <w:autoSpaceDN w:val="0"/>
        <w:adjustRightInd w:val="0"/>
        <w:spacing w:after="0" w:line="276" w:lineRule="auto"/>
        <w:jc w:val="center"/>
        <w:rPr>
          <w:rFonts w:ascii="Verdana" w:eastAsia="Calibri" w:hAnsi="Verdana" w:cs="Arial"/>
        </w:rPr>
      </w:pPr>
    </w:p>
    <w:p w14:paraId="0F8936C8" w14:textId="77777777" w:rsidR="00670CFB" w:rsidRDefault="00670CFB" w:rsidP="00A754B1">
      <w:pPr>
        <w:autoSpaceDE w:val="0"/>
        <w:autoSpaceDN w:val="0"/>
        <w:adjustRightInd w:val="0"/>
        <w:spacing w:after="0" w:line="276" w:lineRule="auto"/>
        <w:jc w:val="center"/>
        <w:rPr>
          <w:rFonts w:ascii="Verdana" w:eastAsia="Calibri" w:hAnsi="Verdana" w:cs="Arial"/>
        </w:rPr>
      </w:pPr>
    </w:p>
    <w:p w14:paraId="179A18B3" w14:textId="5C20A6F1" w:rsidR="00670CFB" w:rsidRPr="00206556" w:rsidRDefault="00670CFB" w:rsidP="00670CFB">
      <w:pPr>
        <w:autoSpaceDE w:val="0"/>
        <w:autoSpaceDN w:val="0"/>
        <w:adjustRightInd w:val="0"/>
        <w:spacing w:after="0" w:line="276" w:lineRule="auto"/>
        <w:jc w:val="center"/>
        <w:rPr>
          <w:rFonts w:ascii="Verdana" w:eastAsia="Calibri" w:hAnsi="Verdana" w:cs="Arial"/>
        </w:rPr>
      </w:pPr>
    </w:p>
    <w:sectPr w:rsidR="00670CFB" w:rsidRPr="00206556" w:rsidSect="007C0C0F">
      <w:headerReference w:type="default" r:id="rId17"/>
      <w:footerReference w:type="default" r:id="rId1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21592" w14:textId="77777777" w:rsidR="00E669F3" w:rsidRDefault="00E669F3" w:rsidP="004A1847">
      <w:pPr>
        <w:spacing w:after="0" w:line="240" w:lineRule="auto"/>
      </w:pPr>
      <w:r>
        <w:separator/>
      </w:r>
    </w:p>
  </w:endnote>
  <w:endnote w:type="continuationSeparator" w:id="0">
    <w:p w14:paraId="6B9A54EF" w14:textId="77777777" w:rsidR="00E669F3" w:rsidRDefault="00E669F3"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0D520D8"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0A735DD5" w14:textId="77777777" w:rsidR="00D520D8" w:rsidRDefault="00D520D8"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06E36B88" w14:textId="77777777" w:rsidR="00D520D8" w:rsidRPr="00E41027" w:rsidRDefault="00D520D8" w:rsidP="00D520D8">
    <w:pPr>
      <w:spacing w:after="0"/>
      <w:jc w:val="both"/>
      <w:rPr>
        <w:rFonts w:ascii="Verdana" w:hAnsi="Verdana"/>
        <w:sz w:val="18"/>
        <w:szCs w:val="18"/>
      </w:rPr>
    </w:pPr>
    <w:r w:rsidRPr="00E41027">
      <w:rPr>
        <w:rFonts w:ascii="Verdana" w:hAnsi="Verdana"/>
        <w:sz w:val="18"/>
        <w:szCs w:val="18"/>
      </w:rPr>
      <w:t>Mesa de servicio: (+57) 601 7456788</w:t>
    </w:r>
  </w:p>
  <w:p w14:paraId="744661F5" w14:textId="22B9E88F" w:rsidR="006219F8" w:rsidRDefault="356CEDFD" w:rsidP="356CEDFD">
    <w:pPr>
      <w:pBdr>
        <w:top w:val="nil"/>
        <w:left w:val="nil"/>
        <w:bottom w:val="nil"/>
        <w:right w:val="nil"/>
        <w:between w:val="nil"/>
      </w:pBdr>
      <w:tabs>
        <w:tab w:val="center" w:pos="4419"/>
        <w:tab w:val="right" w:pos="8838"/>
        <w:tab w:val="center" w:pos="5400"/>
      </w:tabs>
      <w:spacing w:after="0"/>
      <w:jc w:val="right"/>
    </w:pPr>
    <w:r w:rsidRPr="356CEDFD">
      <w:rPr>
        <w:rFonts w:ascii="Century Gothic" w:eastAsia="Geo" w:hAnsi="Century Gothic" w:cs="Geo"/>
        <w:b/>
        <w:bCs/>
        <w:color w:val="000000" w:themeColor="text1"/>
        <w:sz w:val="16"/>
        <w:szCs w:val="16"/>
        <w:lang w:eastAsia="es-CO"/>
      </w:rPr>
      <w:t xml:space="preserve">Código: </w:t>
    </w:r>
    <w:r w:rsidRPr="356CEDFD">
      <w:rPr>
        <w:rFonts w:ascii="Century Gothic" w:eastAsia="Geo" w:hAnsi="Century Gothic" w:cs="Geo"/>
        <w:color w:val="000000" w:themeColor="text1"/>
        <w:sz w:val="16"/>
        <w:szCs w:val="16"/>
        <w:lang w:eastAsia="es-CO"/>
      </w:rPr>
      <w:t xml:space="preserve">CCE-REC-FM-17 </w:t>
    </w:r>
    <w:r w:rsidRPr="356CEDFD">
      <w:rPr>
        <w:rFonts w:ascii="Century Gothic" w:eastAsia="Geo" w:hAnsi="Century Gothic" w:cs="Geo"/>
        <w:b/>
        <w:bCs/>
        <w:color w:val="000000" w:themeColor="text1"/>
        <w:sz w:val="16"/>
        <w:szCs w:val="16"/>
        <w:lang w:eastAsia="es-CO"/>
      </w:rPr>
      <w:t>V</w:t>
    </w:r>
    <w:r w:rsidRPr="356CEDFD">
      <w:rPr>
        <w:rFonts w:ascii="Century Gothic" w:eastAsia="Arial Nova" w:hAnsi="Century Gothic" w:cs="Arial Nova"/>
        <w:b/>
        <w:bCs/>
        <w:color w:val="000000" w:themeColor="text1"/>
        <w:sz w:val="16"/>
        <w:szCs w:val="16"/>
        <w:lang w:eastAsia="es-CO"/>
      </w:rPr>
      <w:t xml:space="preserve">: </w:t>
    </w:r>
    <w:r w:rsidRPr="356CEDFD">
      <w:rPr>
        <w:rFonts w:ascii="Century Gothic" w:eastAsia="Geo" w:hAnsi="Century Gothic" w:cs="Geo"/>
        <w:sz w:val="16"/>
        <w:szCs w:val="16"/>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CC8A5" w14:textId="77777777" w:rsidR="00E669F3" w:rsidRDefault="00E669F3" w:rsidP="004A1847">
      <w:pPr>
        <w:spacing w:after="0" w:line="240" w:lineRule="auto"/>
      </w:pPr>
      <w:r>
        <w:separator/>
      </w:r>
    </w:p>
  </w:footnote>
  <w:footnote w:type="continuationSeparator" w:id="0">
    <w:p w14:paraId="7AD2311B" w14:textId="77777777" w:rsidR="00E669F3" w:rsidRDefault="00E669F3" w:rsidP="004A1847">
      <w:pPr>
        <w:spacing w:after="0" w:line="240" w:lineRule="auto"/>
      </w:pPr>
      <w:r>
        <w:continuationSeparator/>
      </w:r>
    </w:p>
  </w:footnote>
  <w:footnote w:id="1">
    <w:p w14:paraId="5B2AFDBA" w14:textId="77777777" w:rsidR="007A5381" w:rsidRPr="001B077C" w:rsidRDefault="007A5381" w:rsidP="007A5381">
      <w:pPr>
        <w:pStyle w:val="Textonotapie"/>
        <w:ind w:firstLine="708"/>
        <w:jc w:val="both"/>
        <w:rPr>
          <w:rFonts w:ascii="Verdana" w:hAnsi="Verdana" w:cs="Arial"/>
          <w:sz w:val="12"/>
          <w:szCs w:val="12"/>
          <w:lang w:val="it-IT"/>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Corte Constitucional, Sentencia C–1005 de 2008. </w:t>
      </w:r>
      <w:r w:rsidRPr="001B077C">
        <w:rPr>
          <w:rFonts w:ascii="Verdana" w:hAnsi="Verdana" w:cs="Arial"/>
          <w:sz w:val="12"/>
          <w:szCs w:val="12"/>
          <w:lang w:val="it-IT"/>
        </w:rPr>
        <w:t xml:space="preserve">M.P.: Humberto Antonio Sierra Porto. </w:t>
      </w:r>
    </w:p>
    <w:p w14:paraId="1B54B033" w14:textId="77777777" w:rsidR="007A5381" w:rsidRPr="001B077C" w:rsidRDefault="007A5381" w:rsidP="007A5381">
      <w:pPr>
        <w:pStyle w:val="Textonotapie"/>
        <w:ind w:firstLine="708"/>
        <w:jc w:val="both"/>
        <w:rPr>
          <w:rFonts w:ascii="Verdana" w:hAnsi="Verdana" w:cs="Arial"/>
          <w:sz w:val="12"/>
          <w:szCs w:val="12"/>
          <w:lang w:val="it-IT"/>
        </w:rPr>
      </w:pPr>
    </w:p>
  </w:footnote>
  <w:footnote w:id="2">
    <w:p w14:paraId="1AF85006" w14:textId="77777777" w:rsidR="007A5381" w:rsidRPr="001B077C" w:rsidRDefault="007A5381" w:rsidP="007A5381">
      <w:pPr>
        <w:pStyle w:val="Textonotapie"/>
        <w:ind w:firstLine="708"/>
        <w:jc w:val="both"/>
        <w:rPr>
          <w:rFonts w:ascii="Verdana" w:hAnsi="Verdana" w:cs="Arial"/>
          <w:sz w:val="12"/>
          <w:szCs w:val="12"/>
          <w:lang w:val="pt-BR"/>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Consejo</w:t>
      </w:r>
      <w:proofErr w:type="spellEnd"/>
      <w:r w:rsidRPr="001B077C">
        <w:rPr>
          <w:rFonts w:ascii="Verdana" w:hAnsi="Verdana" w:cs="Arial"/>
          <w:sz w:val="12"/>
          <w:szCs w:val="12"/>
          <w:lang w:val="pt-BR"/>
        </w:rPr>
        <w:t xml:space="preserve"> de Estado, Sala de </w:t>
      </w:r>
      <w:proofErr w:type="spellStart"/>
      <w:r w:rsidRPr="001B077C">
        <w:rPr>
          <w:rFonts w:ascii="Verdana" w:hAnsi="Verdana" w:cs="Arial"/>
          <w:sz w:val="12"/>
          <w:szCs w:val="12"/>
          <w:lang w:val="pt-BR"/>
        </w:rPr>
        <w:t>lo</w:t>
      </w:r>
      <w:proofErr w:type="spellEnd"/>
      <w:r w:rsidRPr="001B077C">
        <w:rPr>
          <w:rFonts w:ascii="Verdana" w:hAnsi="Verdana" w:cs="Arial"/>
          <w:sz w:val="12"/>
          <w:szCs w:val="12"/>
          <w:lang w:val="pt-BR"/>
        </w:rPr>
        <w:t xml:space="preserve"> Contencioso Administrativo, </w:t>
      </w:r>
      <w:proofErr w:type="spellStart"/>
      <w:r w:rsidRPr="001B077C">
        <w:rPr>
          <w:rFonts w:ascii="Verdana" w:hAnsi="Verdana" w:cs="Arial"/>
          <w:sz w:val="12"/>
          <w:szCs w:val="12"/>
          <w:lang w:val="pt-BR"/>
        </w:rPr>
        <w:t>Sección</w:t>
      </w:r>
      <w:proofErr w:type="spellEnd"/>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Primera</w:t>
      </w:r>
      <w:proofErr w:type="spellEnd"/>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Consejero</w:t>
      </w:r>
      <w:proofErr w:type="spellEnd"/>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ponente</w:t>
      </w:r>
      <w:proofErr w:type="spellEnd"/>
      <w:r w:rsidRPr="001B077C">
        <w:rPr>
          <w:rFonts w:ascii="Verdana" w:hAnsi="Verdana" w:cs="Arial"/>
          <w:sz w:val="12"/>
          <w:szCs w:val="12"/>
          <w:lang w:val="pt-BR"/>
        </w:rPr>
        <w:t xml:space="preserve">: Juan Alberto Polo Figueroa. Bogotá D.C., 24 de agosto de 2000. </w:t>
      </w:r>
      <w:proofErr w:type="spellStart"/>
      <w:r w:rsidRPr="001B077C">
        <w:rPr>
          <w:rFonts w:ascii="Verdana" w:hAnsi="Verdana" w:cs="Arial"/>
          <w:sz w:val="12"/>
          <w:szCs w:val="12"/>
          <w:lang w:val="pt-BR"/>
        </w:rPr>
        <w:t>Radicación</w:t>
      </w:r>
      <w:proofErr w:type="spellEnd"/>
      <w:r w:rsidRPr="001B077C">
        <w:rPr>
          <w:rFonts w:ascii="Verdana" w:hAnsi="Verdana" w:cs="Arial"/>
          <w:sz w:val="12"/>
          <w:szCs w:val="12"/>
          <w:lang w:val="pt-BR"/>
        </w:rPr>
        <w:t xml:space="preserve"> número 6096.</w:t>
      </w:r>
    </w:p>
    <w:p w14:paraId="4322B233" w14:textId="77777777" w:rsidR="007A5381" w:rsidRPr="001B077C" w:rsidRDefault="007A5381" w:rsidP="007A5381">
      <w:pPr>
        <w:pStyle w:val="Textonotapie"/>
        <w:ind w:firstLine="708"/>
        <w:jc w:val="both"/>
        <w:rPr>
          <w:rFonts w:ascii="Verdana" w:hAnsi="Verdana" w:cs="Arial"/>
          <w:sz w:val="12"/>
          <w:szCs w:val="12"/>
          <w:lang w:val="pt-BR"/>
        </w:rPr>
      </w:pPr>
    </w:p>
  </w:footnote>
  <w:footnote w:id="3">
    <w:p w14:paraId="251B14F6" w14:textId="77777777" w:rsidR="007A5381" w:rsidRPr="001B077C" w:rsidRDefault="007A5381" w:rsidP="007A5381">
      <w:pPr>
        <w:pStyle w:val="Textonotapie"/>
        <w:ind w:firstLine="708"/>
        <w:jc w:val="both"/>
        <w:rPr>
          <w:rFonts w:ascii="Verdana" w:hAnsi="Verdana"/>
          <w:sz w:val="12"/>
          <w:szCs w:val="12"/>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Ibidem </w:t>
      </w:r>
    </w:p>
    <w:p w14:paraId="1AFFF151" w14:textId="77777777" w:rsidR="007A5381" w:rsidRPr="001B077C" w:rsidRDefault="007A5381" w:rsidP="007A5381">
      <w:pPr>
        <w:pStyle w:val="Textonotapie"/>
        <w:ind w:firstLine="708"/>
        <w:jc w:val="both"/>
        <w:rPr>
          <w:rFonts w:ascii="Verdana" w:hAnsi="Verdana"/>
          <w:sz w:val="12"/>
          <w:szCs w:val="12"/>
          <w:lang w:val="pt-BR"/>
        </w:rPr>
      </w:pPr>
    </w:p>
  </w:footnote>
  <w:footnote w:id="4">
    <w:p w14:paraId="67D982FF" w14:textId="77777777" w:rsidR="007A5381" w:rsidRPr="001B077C" w:rsidRDefault="007A5381" w:rsidP="007A5381">
      <w:pPr>
        <w:pStyle w:val="Textonotapie"/>
        <w:ind w:firstLine="708"/>
        <w:jc w:val="both"/>
        <w:rPr>
          <w:rFonts w:ascii="Verdana" w:hAnsi="Verdana"/>
          <w:color w:val="333333"/>
          <w:sz w:val="12"/>
          <w:szCs w:val="12"/>
          <w:shd w:val="clear" w:color="auto" w:fill="FFFFFF"/>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w:t>
      </w:r>
      <w:r w:rsidRPr="001B077C">
        <w:rPr>
          <w:rFonts w:ascii="Verdana" w:hAnsi="Verdana" w:cs="Arial"/>
          <w:sz w:val="12"/>
          <w:szCs w:val="12"/>
          <w:lang w:val="pt-BR"/>
        </w:rPr>
        <w:t xml:space="preserve">Corte Constitucional, Sentencia </w:t>
      </w:r>
      <w:r w:rsidRPr="001B077C">
        <w:rPr>
          <w:rFonts w:ascii="Verdana" w:eastAsia="Times New Roman" w:hAnsi="Verdana" w:cs="Arial"/>
          <w:sz w:val="12"/>
          <w:szCs w:val="12"/>
          <w:lang w:val="pt-BR" w:eastAsia="es-MX"/>
        </w:rPr>
        <w:t>C-917 de 2002</w:t>
      </w:r>
      <w:r w:rsidRPr="001B077C">
        <w:rPr>
          <w:rFonts w:ascii="Verdana" w:hAnsi="Verdana" w:cs="Arial"/>
          <w:sz w:val="12"/>
          <w:szCs w:val="12"/>
          <w:lang w:val="pt-BR"/>
        </w:rPr>
        <w:t xml:space="preserve">. M.P.: </w:t>
      </w:r>
      <w:r w:rsidRPr="001B077C">
        <w:rPr>
          <w:rFonts w:ascii="Verdana" w:hAnsi="Verdana"/>
          <w:color w:val="333333"/>
          <w:sz w:val="12"/>
          <w:szCs w:val="12"/>
          <w:shd w:val="clear" w:color="auto" w:fill="FFFFFF"/>
          <w:lang w:val="pt-BR"/>
        </w:rPr>
        <w:t xml:space="preserve">Marco Gerardo </w:t>
      </w:r>
      <w:proofErr w:type="spellStart"/>
      <w:r w:rsidRPr="001B077C">
        <w:rPr>
          <w:rFonts w:ascii="Verdana" w:hAnsi="Verdana"/>
          <w:color w:val="333333"/>
          <w:sz w:val="12"/>
          <w:szCs w:val="12"/>
          <w:shd w:val="clear" w:color="auto" w:fill="FFFFFF"/>
          <w:lang w:val="pt-BR"/>
        </w:rPr>
        <w:t>Monroy</w:t>
      </w:r>
      <w:proofErr w:type="spellEnd"/>
      <w:r w:rsidRPr="001B077C">
        <w:rPr>
          <w:rFonts w:ascii="Verdana" w:hAnsi="Verdana"/>
          <w:color w:val="333333"/>
          <w:sz w:val="12"/>
          <w:szCs w:val="12"/>
          <w:shd w:val="clear" w:color="auto" w:fill="FFFFFF"/>
          <w:lang w:val="pt-BR"/>
        </w:rPr>
        <w:t xml:space="preserve"> Cabra.</w:t>
      </w:r>
    </w:p>
    <w:p w14:paraId="1E8350EC" w14:textId="77777777" w:rsidR="007A5381" w:rsidRPr="001B077C" w:rsidRDefault="007A5381" w:rsidP="007A5381">
      <w:pPr>
        <w:pStyle w:val="Textonotapie"/>
        <w:ind w:firstLine="708"/>
        <w:jc w:val="both"/>
        <w:rPr>
          <w:rFonts w:ascii="Verdana" w:hAnsi="Verdana"/>
          <w:sz w:val="12"/>
          <w:szCs w:val="12"/>
          <w:lang w:val="pt-BR"/>
        </w:rPr>
      </w:pPr>
    </w:p>
  </w:footnote>
  <w:footnote w:id="5">
    <w:p w14:paraId="2EC430DF"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Artículo 1º del Decreto Ley 4170 de 2011.</w:t>
      </w:r>
    </w:p>
    <w:p w14:paraId="3793AB43" w14:textId="77777777" w:rsidR="007A5381" w:rsidRPr="001B077C" w:rsidRDefault="007A5381" w:rsidP="007A5381">
      <w:pPr>
        <w:pStyle w:val="Textonotapie"/>
        <w:ind w:firstLine="708"/>
        <w:jc w:val="both"/>
        <w:rPr>
          <w:rFonts w:ascii="Verdana" w:hAnsi="Verdana" w:cs="Arial"/>
          <w:sz w:val="12"/>
          <w:szCs w:val="12"/>
        </w:rPr>
      </w:pPr>
    </w:p>
  </w:footnote>
  <w:footnote w:id="6">
    <w:p w14:paraId="371DF16C"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sz w:val="12"/>
          <w:szCs w:val="12"/>
        </w:rPr>
        <w:footnoteRef/>
      </w:r>
      <w:r w:rsidRPr="001B077C">
        <w:rPr>
          <w:rFonts w:ascii="Verdana" w:hAnsi="Verdana"/>
          <w:sz w:val="12"/>
          <w:szCs w:val="12"/>
        </w:rPr>
        <w:t xml:space="preserve"> </w:t>
      </w:r>
      <w:r w:rsidRPr="001B077C">
        <w:rPr>
          <w:rFonts w:ascii="Verdana" w:hAnsi="Verdana" w:cs="Arial"/>
          <w:sz w:val="12"/>
          <w:szCs w:val="12"/>
        </w:rPr>
        <w:t>Ver el Artículo 11 numeral 12 del Decreto Ley 4170 de 2011.</w:t>
      </w:r>
    </w:p>
    <w:p w14:paraId="12C38C09" w14:textId="77777777" w:rsidR="007A5381" w:rsidRPr="001B077C" w:rsidRDefault="007A5381" w:rsidP="007A5381">
      <w:pPr>
        <w:pStyle w:val="Textonotapie"/>
        <w:ind w:firstLine="708"/>
        <w:jc w:val="both"/>
        <w:rPr>
          <w:rFonts w:ascii="Verdana" w:hAnsi="Verdana"/>
          <w:sz w:val="12"/>
          <w:szCs w:val="12"/>
        </w:rPr>
      </w:pPr>
    </w:p>
  </w:footnote>
  <w:footnote w:id="7">
    <w:p w14:paraId="72DFF9E7"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Style w:val="Refdenotaalpie"/>
          <w:rFonts w:ascii="Verdana" w:hAnsi="Verdana" w:cs="Arial"/>
          <w:sz w:val="12"/>
          <w:szCs w:val="12"/>
        </w:rPr>
        <w:t xml:space="preserve"> </w:t>
      </w:r>
      <w:r w:rsidRPr="001B077C">
        <w:rPr>
          <w:rFonts w:ascii="Verdana" w:hAnsi="Verdana" w:cs="Arial"/>
          <w:sz w:val="12"/>
          <w:szCs w:val="12"/>
        </w:rPr>
        <w:t>Consejo de Estado. Sección Tercera. Auto del 14 de agosto de 2017. Rad. 58820.</w:t>
      </w:r>
    </w:p>
    <w:p w14:paraId="1582FB72" w14:textId="77777777" w:rsidR="007A5381" w:rsidRPr="001B077C" w:rsidRDefault="007A5381" w:rsidP="007A5381">
      <w:pPr>
        <w:pStyle w:val="Textonotapie"/>
        <w:ind w:firstLine="708"/>
        <w:jc w:val="both"/>
        <w:rPr>
          <w:rFonts w:ascii="Verdana" w:hAnsi="Verdana" w:cs="Arial"/>
          <w:sz w:val="12"/>
          <w:szCs w:val="12"/>
        </w:rPr>
      </w:pPr>
    </w:p>
  </w:footnote>
  <w:footnote w:id="8">
    <w:p w14:paraId="5CF506E0" w14:textId="77777777" w:rsidR="007A5381" w:rsidRPr="001B077C" w:rsidRDefault="007A5381" w:rsidP="007A5381">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Consejo de Estado. Sección Tercera. Sentencia del 16 de agosto de 2017. Rad. 56166.</w:t>
      </w:r>
    </w:p>
    <w:p w14:paraId="3F159DA3" w14:textId="77777777" w:rsidR="007A5381" w:rsidRPr="001B077C" w:rsidRDefault="007A5381" w:rsidP="007A5381">
      <w:pPr>
        <w:pStyle w:val="Textonotapie"/>
        <w:ind w:firstLine="708"/>
        <w:jc w:val="both"/>
        <w:rPr>
          <w:rFonts w:ascii="Verdana" w:hAnsi="Verdana"/>
          <w:sz w:val="12"/>
          <w:szCs w:val="12"/>
        </w:rPr>
      </w:pPr>
    </w:p>
  </w:footnote>
  <w:footnote w:id="9">
    <w:p w14:paraId="3B4D3D06"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proofErr w:type="spellStart"/>
      <w:r w:rsidRPr="001B077C">
        <w:rPr>
          <w:rFonts w:ascii="Verdana" w:hAnsi="Verdana" w:cs="Arial"/>
          <w:sz w:val="12"/>
          <w:szCs w:val="12"/>
        </w:rPr>
        <w:t>Ibídem</w:t>
      </w:r>
      <w:proofErr w:type="spellEnd"/>
      <w:r w:rsidRPr="001B077C">
        <w:rPr>
          <w:rFonts w:ascii="Verdana" w:hAnsi="Verdana" w:cs="Arial"/>
          <w:sz w:val="12"/>
          <w:szCs w:val="12"/>
        </w:rPr>
        <w:t xml:space="preserve">. </w:t>
      </w:r>
    </w:p>
    <w:p w14:paraId="1D2ADB9C" w14:textId="77777777" w:rsidR="007A5381" w:rsidRPr="00C80FF3" w:rsidRDefault="007A5381" w:rsidP="007A5381">
      <w:pPr>
        <w:pStyle w:val="Textonotapie"/>
        <w:ind w:firstLine="708"/>
        <w:jc w:val="both"/>
        <w:rPr>
          <w:rFonts w:ascii="Verdana" w:hAnsi="Verdana" w:cs="Arial"/>
          <w:sz w:val="19"/>
          <w:szCs w:val="19"/>
        </w:rPr>
      </w:pPr>
    </w:p>
  </w:footnote>
  <w:footnote w:id="10">
    <w:p w14:paraId="1037ADA4" w14:textId="77777777" w:rsidR="007A5381" w:rsidRPr="00C80FF3" w:rsidRDefault="007A5381" w:rsidP="007A5381">
      <w:pPr>
        <w:pStyle w:val="Textonotapie"/>
        <w:ind w:firstLine="708"/>
        <w:jc w:val="both"/>
        <w:rPr>
          <w:rFonts w:ascii="Verdana" w:hAnsi="Verdana" w:cs="Arial"/>
          <w:sz w:val="19"/>
          <w:szCs w:val="19"/>
          <w:lang w:val="es-ES"/>
        </w:rPr>
      </w:pPr>
      <w:r w:rsidRPr="00C80FF3">
        <w:rPr>
          <w:rStyle w:val="Refdenotaalpie"/>
          <w:rFonts w:ascii="Verdana" w:hAnsi="Verdana" w:cs="Arial"/>
          <w:sz w:val="19"/>
          <w:szCs w:val="19"/>
        </w:rPr>
        <w:footnoteRef/>
      </w:r>
      <w:r w:rsidRPr="00C80FF3">
        <w:rPr>
          <w:rFonts w:ascii="Verdana" w:hAnsi="Verdana" w:cs="Arial"/>
          <w:sz w:val="19"/>
          <w:szCs w:val="19"/>
        </w:rPr>
        <w:t xml:space="preserve"> Diccionario de la Real Academia Española, versión online disponible en: </w:t>
      </w:r>
      <w:hyperlink r:id="rId1" w:history="1">
        <w:r w:rsidRPr="00C80FF3">
          <w:rPr>
            <w:rStyle w:val="Hipervnculo"/>
            <w:rFonts w:ascii="Verdana" w:hAnsi="Verdana" w:cs="Arial"/>
            <w:sz w:val="19"/>
            <w:szCs w:val="19"/>
          </w:rPr>
          <w:t>https://dle.rae.es/est%C3%A1ndar</w:t>
        </w:r>
      </w:hyperlink>
      <w:r w:rsidRPr="00C80FF3">
        <w:rPr>
          <w:rFonts w:ascii="Verdana" w:hAnsi="Verdana" w:cs="Arial"/>
          <w:sz w:val="19"/>
          <w:szCs w:val="19"/>
        </w:rPr>
        <w:t xml:space="preserve">, consultado el 2 de junio de 2020. </w:t>
      </w:r>
    </w:p>
  </w:footnote>
  <w:footnote w:id="11">
    <w:p w14:paraId="052F812D" w14:textId="77777777" w:rsidR="001B077C" w:rsidRPr="001B077C" w:rsidRDefault="001B077C" w:rsidP="001B077C">
      <w:pPr>
        <w:pStyle w:val="Textonotapie"/>
        <w:ind w:firstLine="708"/>
        <w:jc w:val="both"/>
        <w:rPr>
          <w:rFonts w:ascii="Verdana" w:hAnsi="Verdana"/>
          <w:sz w:val="12"/>
          <w:szCs w:val="12"/>
        </w:rPr>
      </w:pPr>
      <w:r w:rsidRPr="00861BF3">
        <w:rPr>
          <w:rStyle w:val="Refdenotaalpie"/>
          <w:rFonts w:ascii="Verdana" w:hAnsi="Verdana"/>
          <w:sz w:val="19"/>
          <w:szCs w:val="19"/>
        </w:rPr>
        <w:footnoteRef/>
      </w:r>
      <w:r w:rsidRPr="00861BF3">
        <w:rPr>
          <w:rFonts w:ascii="Verdana" w:hAnsi="Verdana"/>
          <w:sz w:val="19"/>
          <w:szCs w:val="19"/>
        </w:rPr>
        <w:t xml:space="preserve"> </w:t>
      </w:r>
      <w:r w:rsidRPr="001B077C">
        <w:rPr>
          <w:rFonts w:ascii="Verdana" w:hAnsi="Verdana" w:cs="Arial"/>
          <w:sz w:val="12"/>
          <w:szCs w:val="12"/>
        </w:rPr>
        <w:t>Gaceta del Congreso No. 733 del 2018. Pág. 19</w:t>
      </w:r>
    </w:p>
    <w:p w14:paraId="0A7B5F16" w14:textId="77777777" w:rsidR="001B077C" w:rsidRPr="001B077C" w:rsidRDefault="001B077C" w:rsidP="001B077C">
      <w:pPr>
        <w:pStyle w:val="Textonotapie"/>
        <w:jc w:val="both"/>
        <w:rPr>
          <w:rFonts w:ascii="Verdana" w:hAnsi="Verdana"/>
          <w:sz w:val="12"/>
          <w:szCs w:val="12"/>
          <w:lang w:val="es-CO"/>
        </w:rPr>
      </w:pPr>
    </w:p>
  </w:footnote>
  <w:footnote w:id="12">
    <w:p w14:paraId="39FB8A43"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sz w:val="12"/>
          <w:szCs w:val="12"/>
        </w:rPr>
        <w:footnoteRef/>
      </w:r>
      <w:r w:rsidRPr="001B077C">
        <w:rPr>
          <w:rFonts w:ascii="Verdana" w:hAnsi="Verdana"/>
          <w:sz w:val="12"/>
          <w:szCs w:val="12"/>
        </w:rPr>
        <w:t xml:space="preserve"> </w:t>
      </w:r>
      <w:r w:rsidRPr="001B077C">
        <w:rPr>
          <w:rFonts w:ascii="Verdana" w:hAnsi="Verdana" w:cs="Arial"/>
          <w:sz w:val="12"/>
          <w:szCs w:val="12"/>
        </w:rPr>
        <w:t xml:space="preserve">Ley 2022 de 2020: “Artículo 1. Modifíquese el artículo </w:t>
      </w:r>
      <w:hyperlink r:id="rId2" w:anchor="4" w:history="1">
        <w:r w:rsidRPr="001B077C">
          <w:rPr>
            <w:rFonts w:ascii="Verdana" w:hAnsi="Verdana" w:cs="Arial"/>
            <w:sz w:val="12"/>
            <w:szCs w:val="12"/>
          </w:rPr>
          <w:t>4</w:t>
        </w:r>
      </w:hyperlink>
      <w:r w:rsidRPr="001B077C">
        <w:rPr>
          <w:rFonts w:ascii="Verdana" w:hAnsi="Verdana" w:cs="Arial"/>
          <w:sz w:val="12"/>
          <w:szCs w:val="12"/>
        </w:rPr>
        <w:t xml:space="preserve">º de la Ley 1882 de 2018, el cual quedará así: </w:t>
      </w:r>
    </w:p>
    <w:p w14:paraId="01F3F9D2" w14:textId="77777777" w:rsidR="001B077C" w:rsidRPr="001B077C" w:rsidRDefault="001B077C" w:rsidP="001B077C">
      <w:pPr>
        <w:pStyle w:val="Textonotapie"/>
        <w:ind w:firstLine="708"/>
        <w:jc w:val="both"/>
        <w:rPr>
          <w:rFonts w:ascii="Verdana" w:hAnsi="Verdana" w:cs="Arial"/>
          <w:sz w:val="12"/>
          <w:szCs w:val="12"/>
        </w:rPr>
      </w:pPr>
    </w:p>
    <w:p w14:paraId="07C399BA"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 xml:space="preserve">“Artículo 4º. Adiciónese el </w:t>
      </w:r>
      <w:proofErr w:type="gramStart"/>
      <w:r w:rsidRPr="001B077C">
        <w:rPr>
          <w:rFonts w:ascii="Verdana" w:hAnsi="Verdana" w:cs="Arial"/>
          <w:sz w:val="12"/>
          <w:szCs w:val="12"/>
        </w:rPr>
        <w:t xml:space="preserve">siguiente </w:t>
      </w:r>
      <w:r w:rsidRPr="001B077C">
        <w:rPr>
          <w:rFonts w:ascii="Verdana" w:hAnsi="Verdana"/>
          <w:sz w:val="12"/>
          <w:szCs w:val="12"/>
        </w:rPr>
        <w:t xml:space="preserve"> </w:t>
      </w:r>
      <w:r w:rsidRPr="001B077C">
        <w:rPr>
          <w:rFonts w:ascii="Verdana" w:hAnsi="Verdana" w:cs="Arial"/>
          <w:sz w:val="12"/>
          <w:szCs w:val="12"/>
        </w:rPr>
        <w:t>al</w:t>
      </w:r>
      <w:proofErr w:type="gramEnd"/>
      <w:r w:rsidRPr="001B077C">
        <w:rPr>
          <w:rFonts w:ascii="Verdana" w:hAnsi="Verdana" w:cs="Arial"/>
          <w:sz w:val="12"/>
          <w:szCs w:val="12"/>
        </w:rPr>
        <w:t xml:space="preserve"> artículo 2º de la Ley 1150 de 2007.</w:t>
      </w:r>
    </w:p>
    <w:p w14:paraId="75ED1D08" w14:textId="77777777" w:rsidR="001B077C" w:rsidRPr="001B077C" w:rsidRDefault="001B077C" w:rsidP="001B077C">
      <w:pPr>
        <w:pStyle w:val="Textonotapie"/>
        <w:ind w:firstLine="708"/>
        <w:jc w:val="both"/>
        <w:rPr>
          <w:rFonts w:ascii="Verdana" w:hAnsi="Verdana" w:cs="Arial"/>
          <w:sz w:val="12"/>
          <w:szCs w:val="12"/>
        </w:rPr>
      </w:pPr>
    </w:p>
    <w:p w14:paraId="247FB00A"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Parágrafo 7º. La Agencia Nacional de Contratación Pública Colombia Compra Eficiente o quien haga sus veces, adoptará documentos tipo que serán de obligatorio cumplimiento en la actividad contractual de todas las entidades sometidas al Estatuto General de Contratación de la Administración Pública.</w:t>
      </w:r>
    </w:p>
    <w:p w14:paraId="519128CD" w14:textId="77777777" w:rsidR="001B077C" w:rsidRPr="001B077C" w:rsidRDefault="001B077C" w:rsidP="001B077C">
      <w:pPr>
        <w:pStyle w:val="Textonotapie"/>
        <w:ind w:firstLine="708"/>
        <w:jc w:val="both"/>
        <w:rPr>
          <w:rFonts w:ascii="Verdana" w:hAnsi="Verdana" w:cs="Arial"/>
          <w:sz w:val="12"/>
          <w:szCs w:val="12"/>
        </w:rPr>
      </w:pPr>
    </w:p>
    <w:p w14:paraId="48D73104"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0280398D" w14:textId="77777777" w:rsidR="001B077C" w:rsidRPr="001B077C" w:rsidRDefault="001B077C" w:rsidP="001B077C">
      <w:pPr>
        <w:pStyle w:val="Textonotapie"/>
        <w:ind w:firstLine="708"/>
        <w:jc w:val="both"/>
        <w:rPr>
          <w:rFonts w:ascii="Verdana" w:hAnsi="Verdana" w:cs="Arial"/>
          <w:sz w:val="12"/>
          <w:szCs w:val="12"/>
        </w:rPr>
      </w:pPr>
    </w:p>
    <w:p w14:paraId="0C2C9A90"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Con el ánimo de promover la descentralización, el empleo local el desarrollo, los servicios e industria local, en la adopción de los documentos tipo, se tendrá en cuenta las características propias de las regiones, la cuantía, el fomento de la economía local y la naturaleza y especialidad de la contratación. Para tal efecto se deberá llevar a cabo un proceso de capacitación para los municipios.</w:t>
      </w:r>
    </w:p>
    <w:p w14:paraId="26322C9B" w14:textId="77777777" w:rsidR="001B077C" w:rsidRPr="001B077C" w:rsidRDefault="001B077C" w:rsidP="001B077C">
      <w:pPr>
        <w:pStyle w:val="Textonotapie"/>
        <w:ind w:firstLine="708"/>
        <w:jc w:val="both"/>
        <w:rPr>
          <w:rFonts w:ascii="Verdana" w:hAnsi="Verdana" w:cs="Arial"/>
          <w:sz w:val="12"/>
          <w:szCs w:val="12"/>
        </w:rPr>
      </w:pPr>
    </w:p>
    <w:p w14:paraId="6DE5F9CF"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2AAD5E0B" w14:textId="77777777" w:rsidR="001B077C" w:rsidRPr="001B077C" w:rsidRDefault="001B077C" w:rsidP="001B077C">
      <w:pPr>
        <w:pStyle w:val="Textonotapie"/>
        <w:ind w:firstLine="708"/>
        <w:jc w:val="both"/>
        <w:rPr>
          <w:rFonts w:ascii="Verdana" w:hAnsi="Verdana" w:cs="Arial"/>
          <w:sz w:val="12"/>
          <w:szCs w:val="12"/>
        </w:rPr>
      </w:pPr>
    </w:p>
    <w:p w14:paraId="57FD9427"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En todo caso, serán de uso obligatorio los documentos tipo para los pliegos de condiciones de los procesos de selección de obras públicas, interventoría para las obras públicas, interventoría para consultoría de estudios y diseños para obras públicas, consultoría en ingeniería para obras, que lleven a cabo todas las entidades sometidas al Estatuto General de Contratación de la Administración Pública, en los términos fijados mediante la reglamentación correspondiente”.</w:t>
      </w:r>
    </w:p>
    <w:p w14:paraId="362972F0"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 xml:space="preserve"> </w:t>
      </w:r>
    </w:p>
  </w:footnote>
  <w:footnote w:id="13">
    <w:p w14:paraId="6F2B21B3"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Ley 80 de 1993. “Artículo 2. De la definición de entidades, servidores y servicios públicos. Para los solos efectos de esta ley:</w:t>
      </w:r>
    </w:p>
    <w:p w14:paraId="64B8B8ED" w14:textId="77777777" w:rsidR="001B077C" w:rsidRPr="001B077C" w:rsidRDefault="001B077C" w:rsidP="001B077C">
      <w:pPr>
        <w:pStyle w:val="Textonotapie"/>
        <w:ind w:firstLine="708"/>
        <w:jc w:val="both"/>
        <w:rPr>
          <w:rFonts w:ascii="Verdana" w:hAnsi="Verdana" w:cs="Arial"/>
          <w:sz w:val="12"/>
          <w:szCs w:val="12"/>
        </w:rPr>
      </w:pPr>
    </w:p>
    <w:p w14:paraId="1D9B4154"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1o. Se denominan entidades estatales:</w:t>
      </w:r>
    </w:p>
    <w:p w14:paraId="6825F633" w14:textId="77777777" w:rsidR="001B077C" w:rsidRPr="001B077C" w:rsidRDefault="001B077C" w:rsidP="001B077C">
      <w:pPr>
        <w:pStyle w:val="Textonotapie"/>
        <w:ind w:firstLine="708"/>
        <w:jc w:val="both"/>
        <w:rPr>
          <w:rFonts w:ascii="Verdana" w:hAnsi="Verdana" w:cs="Arial"/>
          <w:sz w:val="12"/>
          <w:szCs w:val="12"/>
        </w:rPr>
      </w:pPr>
    </w:p>
    <w:p w14:paraId="1362F5B2"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w:t>
      </w:r>
    </w:p>
    <w:p w14:paraId="5678681B" w14:textId="77777777" w:rsidR="001B077C" w:rsidRPr="001B077C" w:rsidRDefault="001B077C" w:rsidP="001B077C">
      <w:pPr>
        <w:pStyle w:val="Textonotapie"/>
        <w:ind w:firstLine="708"/>
        <w:jc w:val="both"/>
        <w:rPr>
          <w:rFonts w:ascii="Verdana" w:hAnsi="Verdana" w:cs="Arial"/>
          <w:sz w:val="12"/>
          <w:szCs w:val="12"/>
        </w:rPr>
      </w:pPr>
    </w:p>
    <w:p w14:paraId="643EC7B9" w14:textId="77777777" w:rsidR="001B077C" w:rsidRPr="001B077C" w:rsidRDefault="001B077C" w:rsidP="001B077C">
      <w:pPr>
        <w:pStyle w:val="Textonotapie"/>
        <w:ind w:firstLine="708"/>
        <w:jc w:val="both"/>
        <w:rPr>
          <w:rFonts w:ascii="Verdana" w:hAnsi="Verdana" w:cs="Arial"/>
          <w:i/>
          <w:sz w:val="12"/>
          <w:szCs w:val="12"/>
        </w:rPr>
      </w:pPr>
      <w:r w:rsidRPr="001B077C">
        <w:rPr>
          <w:rFonts w:ascii="Verdana" w:hAnsi="Verdana" w:cs="Arial"/>
          <w:sz w:val="12"/>
          <w:szCs w:val="12"/>
        </w:rPr>
        <w:t>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y, en general, los organismos o dependencias del Estado a los que la ley otorgue capacidad para celebrar contratos […]”.</w:t>
      </w:r>
    </w:p>
  </w:footnote>
  <w:footnote w:id="14">
    <w:p w14:paraId="5780DDF8" w14:textId="77777777" w:rsidR="001B077C" w:rsidRPr="001B077C" w:rsidRDefault="001B077C" w:rsidP="001B077C">
      <w:pPr>
        <w:pStyle w:val="Textonotapie"/>
        <w:ind w:firstLine="708"/>
        <w:jc w:val="both"/>
        <w:rPr>
          <w:rFonts w:ascii="Verdana" w:hAnsi="Verdana" w:cs="Arial"/>
          <w:sz w:val="12"/>
          <w:szCs w:val="12"/>
          <w:lang w:val="it-IT"/>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Corte Constitucional. Sentencia C-1005 de 2008. </w:t>
      </w:r>
      <w:r w:rsidRPr="001B077C">
        <w:rPr>
          <w:rFonts w:ascii="Verdana" w:hAnsi="Verdana" w:cs="Arial"/>
          <w:sz w:val="12"/>
          <w:szCs w:val="12"/>
          <w:lang w:val="it-IT"/>
        </w:rPr>
        <w:t>M.P.: Humberto Sierra Porto.</w:t>
      </w:r>
    </w:p>
    <w:p w14:paraId="05D0642A" w14:textId="77777777" w:rsidR="001B077C" w:rsidRPr="001B077C" w:rsidRDefault="001B077C" w:rsidP="001B077C">
      <w:pPr>
        <w:pStyle w:val="Textonotapie"/>
        <w:ind w:firstLine="708"/>
        <w:jc w:val="both"/>
        <w:rPr>
          <w:rFonts w:ascii="Verdana" w:hAnsi="Verdana" w:cs="Arial"/>
          <w:sz w:val="12"/>
          <w:szCs w:val="12"/>
          <w:lang w:val="it-IT"/>
        </w:rPr>
      </w:pPr>
    </w:p>
  </w:footnote>
  <w:footnote w:id="15">
    <w:p w14:paraId="269F5668"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Consejo de Estado. Sección Primera. Sentencia del 20 de noviembre de 2014. Rad. 1101-03-24-000-2010-00119-00. C.P.: Guillermo Vargas Ayala. </w:t>
      </w:r>
    </w:p>
    <w:p w14:paraId="49C2A1A2" w14:textId="77777777" w:rsidR="001B077C" w:rsidRPr="001B077C" w:rsidRDefault="001B077C" w:rsidP="001B077C">
      <w:pPr>
        <w:pStyle w:val="Textonotapie"/>
        <w:ind w:firstLine="708"/>
        <w:jc w:val="both"/>
        <w:rPr>
          <w:rFonts w:ascii="Verdana" w:hAnsi="Verdana" w:cs="Arial"/>
          <w:sz w:val="12"/>
          <w:szCs w:val="12"/>
        </w:rPr>
      </w:pPr>
    </w:p>
  </w:footnote>
  <w:footnote w:id="16">
    <w:p w14:paraId="4ABF9320" w14:textId="77777777" w:rsidR="001B077C" w:rsidRPr="001B077C" w:rsidRDefault="001B077C" w:rsidP="001B077C">
      <w:pPr>
        <w:spacing w:after="0" w:line="240" w:lineRule="auto"/>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Al respecto, el Congreso puede dictar normas minuciosamente detalladas, en cuyo caso no será necesaria la expedición de decretos reglamentarios; o puede limitarse a dictar una ley de contenidos generales y dejar al Gobierno nacional la potestad de completar todos los aspectos que sean necesarios para su correcta ejecución. Por su parte, no puede el presidente saturar el ordenamiento, reglamentando lo que ya ha sido objeto de reglamentación por el legislador, pues si se repite con exactitud el contenido de las normas reglamentadas se violaría el principio conocido como “prohibición de tautología legal”. Ver Consejo de Estado. Sección Cuarta. Sentencia del 11 de febrero de 2014. Rad. 11001-03-27-000-2011-00023-00(18973). C.P. Carmen Teresa Ortiz De Rodríguez. </w:t>
      </w:r>
    </w:p>
    <w:p w14:paraId="327C1335" w14:textId="77777777" w:rsidR="001B077C" w:rsidRPr="001B077C" w:rsidRDefault="001B077C" w:rsidP="001B077C">
      <w:pPr>
        <w:spacing w:after="0" w:line="240" w:lineRule="auto"/>
        <w:ind w:firstLine="708"/>
        <w:jc w:val="both"/>
        <w:rPr>
          <w:rFonts w:ascii="Verdana" w:hAnsi="Verdana" w:cs="Arial"/>
          <w:sz w:val="12"/>
          <w:szCs w:val="12"/>
        </w:rPr>
      </w:pPr>
    </w:p>
  </w:footnote>
  <w:footnote w:id="17">
    <w:p w14:paraId="5CF9B743"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De acuerdo con la Sentencia C–037 de 2000, si bien la Constitución Política no contiene disposición expresa que determine dicho orden, de su articulado puede deducirse su existencia, así no siempre resulte sencilla esta tarea. En efecto, diversas disposiciones superiores se refieren a la sujeción de cierto rango de normas frente a otras. Además de ser evidente que las normas constitucionales ocupan, sin discusión, el primer lugar dentro de la jerarquía del ordenamiento jurídico, dentro de la propia Carta, no todas las normas son igualmente prevalentes.</w:t>
      </w:r>
    </w:p>
    <w:p w14:paraId="72F86B77" w14:textId="77777777" w:rsidR="001B077C" w:rsidRPr="001B077C" w:rsidRDefault="001B077C" w:rsidP="001B077C">
      <w:pPr>
        <w:pStyle w:val="Textonotapie"/>
        <w:ind w:firstLine="708"/>
        <w:jc w:val="both"/>
        <w:rPr>
          <w:rFonts w:ascii="Verdana" w:hAnsi="Verdana" w:cs="Arial"/>
          <w:sz w:val="12"/>
          <w:szCs w:val="12"/>
        </w:rPr>
      </w:pPr>
    </w:p>
  </w:footnote>
  <w:footnote w:id="18">
    <w:p w14:paraId="3F3FA42C"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Ver entre otras, las Sentencias de la Corte Constitucional C–162 de 2008; C–823 de 2011; C–810 de 2014. Consejo de Estado. Sección Segunda. Sentencia del 21 de octubre de 2010. Rad. 11001-03-25-000-2005-00125-00(5242-05). C.P. Alfonso Vargas Rincón; Consejo de Estado. Sección Tercera. Subsección B. Sentencia del 29 de abril de 2015. Rad. 11001-03-26-000-2004-00044-00(28615). C.P. Stella Conto Díaz del Castillo.</w:t>
      </w:r>
    </w:p>
    <w:p w14:paraId="078A1437" w14:textId="77777777" w:rsidR="001B077C" w:rsidRPr="001B077C" w:rsidRDefault="001B077C" w:rsidP="001B077C">
      <w:pPr>
        <w:pStyle w:val="Textonotapie"/>
        <w:ind w:firstLine="708"/>
        <w:jc w:val="both"/>
        <w:rPr>
          <w:rFonts w:ascii="Verdana" w:hAnsi="Verdana" w:cs="Arial"/>
          <w:sz w:val="12"/>
          <w:szCs w:val="12"/>
        </w:rPr>
      </w:pPr>
    </w:p>
  </w:footnote>
  <w:footnote w:id="19">
    <w:p w14:paraId="5736287E" w14:textId="77777777" w:rsidR="001B077C" w:rsidRPr="001B077C" w:rsidRDefault="001B077C" w:rsidP="001B077C">
      <w:pPr>
        <w:pStyle w:val="Textonotapie"/>
        <w:ind w:firstLine="708"/>
        <w:jc w:val="both"/>
        <w:rPr>
          <w:rFonts w:ascii="Verdana" w:hAnsi="Verdana" w:cs="Arial"/>
          <w:sz w:val="12"/>
          <w:szCs w:val="12"/>
          <w:lang w:val="it-IT"/>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Corte Constitucional, Sentencia C–1005 de 2008. </w:t>
      </w:r>
      <w:r w:rsidRPr="001B077C">
        <w:rPr>
          <w:rFonts w:ascii="Verdana" w:hAnsi="Verdana" w:cs="Arial"/>
          <w:sz w:val="12"/>
          <w:szCs w:val="12"/>
          <w:lang w:val="it-IT"/>
        </w:rPr>
        <w:t xml:space="preserve">M.P.: Humberto Antonio Sierra Porto. </w:t>
      </w:r>
    </w:p>
    <w:p w14:paraId="53BC518C" w14:textId="77777777" w:rsidR="001B077C" w:rsidRPr="001B077C" w:rsidRDefault="001B077C" w:rsidP="001B077C">
      <w:pPr>
        <w:pStyle w:val="Textonotapie"/>
        <w:ind w:firstLine="708"/>
        <w:jc w:val="both"/>
        <w:rPr>
          <w:rFonts w:ascii="Verdana" w:hAnsi="Verdana" w:cs="Arial"/>
          <w:sz w:val="12"/>
          <w:szCs w:val="12"/>
          <w:lang w:val="it-IT"/>
        </w:rPr>
      </w:pPr>
    </w:p>
  </w:footnote>
  <w:footnote w:id="20">
    <w:p w14:paraId="7A9157A6" w14:textId="77777777" w:rsidR="001B077C" w:rsidRPr="001B077C" w:rsidRDefault="001B077C" w:rsidP="001B077C">
      <w:pPr>
        <w:pStyle w:val="Textonotapie"/>
        <w:ind w:firstLine="708"/>
        <w:jc w:val="both"/>
        <w:rPr>
          <w:rFonts w:ascii="Verdana" w:hAnsi="Verdana" w:cs="Arial"/>
          <w:sz w:val="12"/>
          <w:szCs w:val="12"/>
          <w:lang w:val="pt-BR"/>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Consejo</w:t>
      </w:r>
      <w:proofErr w:type="spellEnd"/>
      <w:r w:rsidRPr="001B077C">
        <w:rPr>
          <w:rFonts w:ascii="Verdana" w:hAnsi="Verdana" w:cs="Arial"/>
          <w:sz w:val="12"/>
          <w:szCs w:val="12"/>
          <w:lang w:val="pt-BR"/>
        </w:rPr>
        <w:t xml:space="preserve"> de Estado, Sala de </w:t>
      </w:r>
      <w:proofErr w:type="spellStart"/>
      <w:r w:rsidRPr="001B077C">
        <w:rPr>
          <w:rFonts w:ascii="Verdana" w:hAnsi="Verdana" w:cs="Arial"/>
          <w:sz w:val="12"/>
          <w:szCs w:val="12"/>
          <w:lang w:val="pt-BR"/>
        </w:rPr>
        <w:t>lo</w:t>
      </w:r>
      <w:proofErr w:type="spellEnd"/>
      <w:r w:rsidRPr="001B077C">
        <w:rPr>
          <w:rFonts w:ascii="Verdana" w:hAnsi="Verdana" w:cs="Arial"/>
          <w:sz w:val="12"/>
          <w:szCs w:val="12"/>
          <w:lang w:val="pt-BR"/>
        </w:rPr>
        <w:t xml:space="preserve"> Contencioso Administrativo, </w:t>
      </w:r>
      <w:proofErr w:type="spellStart"/>
      <w:r w:rsidRPr="001B077C">
        <w:rPr>
          <w:rFonts w:ascii="Verdana" w:hAnsi="Verdana" w:cs="Arial"/>
          <w:sz w:val="12"/>
          <w:szCs w:val="12"/>
          <w:lang w:val="pt-BR"/>
        </w:rPr>
        <w:t>Sección</w:t>
      </w:r>
      <w:proofErr w:type="spellEnd"/>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Primera</w:t>
      </w:r>
      <w:proofErr w:type="spellEnd"/>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Consejero</w:t>
      </w:r>
      <w:proofErr w:type="spellEnd"/>
      <w:r w:rsidRPr="001B077C">
        <w:rPr>
          <w:rFonts w:ascii="Verdana" w:hAnsi="Verdana" w:cs="Arial"/>
          <w:sz w:val="12"/>
          <w:szCs w:val="12"/>
          <w:lang w:val="pt-BR"/>
        </w:rPr>
        <w:t xml:space="preserve"> </w:t>
      </w:r>
      <w:proofErr w:type="spellStart"/>
      <w:r w:rsidRPr="001B077C">
        <w:rPr>
          <w:rFonts w:ascii="Verdana" w:hAnsi="Verdana" w:cs="Arial"/>
          <w:sz w:val="12"/>
          <w:szCs w:val="12"/>
          <w:lang w:val="pt-BR"/>
        </w:rPr>
        <w:t>ponente</w:t>
      </w:r>
      <w:proofErr w:type="spellEnd"/>
      <w:r w:rsidRPr="001B077C">
        <w:rPr>
          <w:rFonts w:ascii="Verdana" w:hAnsi="Verdana" w:cs="Arial"/>
          <w:sz w:val="12"/>
          <w:szCs w:val="12"/>
          <w:lang w:val="pt-BR"/>
        </w:rPr>
        <w:t xml:space="preserve">: Juan Alberto Polo Figueroa. Bogotá D.C., 24 de agosto de 2000. </w:t>
      </w:r>
      <w:proofErr w:type="spellStart"/>
      <w:r w:rsidRPr="001B077C">
        <w:rPr>
          <w:rFonts w:ascii="Verdana" w:hAnsi="Verdana" w:cs="Arial"/>
          <w:sz w:val="12"/>
          <w:szCs w:val="12"/>
          <w:lang w:val="pt-BR"/>
        </w:rPr>
        <w:t>Radicación</w:t>
      </w:r>
      <w:proofErr w:type="spellEnd"/>
      <w:r w:rsidRPr="001B077C">
        <w:rPr>
          <w:rFonts w:ascii="Verdana" w:hAnsi="Verdana" w:cs="Arial"/>
          <w:sz w:val="12"/>
          <w:szCs w:val="12"/>
          <w:lang w:val="pt-BR"/>
        </w:rPr>
        <w:t xml:space="preserve"> número 6096.</w:t>
      </w:r>
    </w:p>
    <w:p w14:paraId="34DC7BCF" w14:textId="77777777" w:rsidR="001B077C" w:rsidRPr="001B077C" w:rsidRDefault="001B077C" w:rsidP="001B077C">
      <w:pPr>
        <w:pStyle w:val="Textonotapie"/>
        <w:ind w:firstLine="708"/>
        <w:jc w:val="both"/>
        <w:rPr>
          <w:rFonts w:ascii="Verdana" w:hAnsi="Verdana" w:cs="Arial"/>
          <w:sz w:val="12"/>
          <w:szCs w:val="12"/>
          <w:lang w:val="pt-BR"/>
        </w:rPr>
      </w:pPr>
    </w:p>
  </w:footnote>
  <w:footnote w:id="21">
    <w:p w14:paraId="09867B76" w14:textId="77777777" w:rsidR="001B077C" w:rsidRPr="001B077C" w:rsidRDefault="001B077C" w:rsidP="001B077C">
      <w:pPr>
        <w:pStyle w:val="Textonotapie"/>
        <w:ind w:firstLine="708"/>
        <w:jc w:val="both"/>
        <w:rPr>
          <w:rFonts w:ascii="Verdana" w:hAnsi="Verdana"/>
          <w:sz w:val="12"/>
          <w:szCs w:val="12"/>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Ibidem </w:t>
      </w:r>
    </w:p>
    <w:p w14:paraId="073B0762" w14:textId="77777777" w:rsidR="001B077C" w:rsidRPr="001B077C" w:rsidRDefault="001B077C" w:rsidP="001B077C">
      <w:pPr>
        <w:pStyle w:val="Textonotapie"/>
        <w:ind w:firstLine="708"/>
        <w:jc w:val="both"/>
        <w:rPr>
          <w:rFonts w:ascii="Verdana" w:hAnsi="Verdana"/>
          <w:sz w:val="12"/>
          <w:szCs w:val="12"/>
          <w:lang w:val="pt-BR"/>
        </w:rPr>
      </w:pPr>
    </w:p>
  </w:footnote>
  <w:footnote w:id="22">
    <w:p w14:paraId="7E96DFD6" w14:textId="77777777" w:rsidR="001B077C" w:rsidRPr="001B077C" w:rsidRDefault="001B077C" w:rsidP="001B077C">
      <w:pPr>
        <w:pStyle w:val="Textonotapie"/>
        <w:ind w:firstLine="708"/>
        <w:jc w:val="both"/>
        <w:rPr>
          <w:rFonts w:ascii="Verdana" w:hAnsi="Verdana"/>
          <w:color w:val="333333"/>
          <w:sz w:val="12"/>
          <w:szCs w:val="12"/>
          <w:shd w:val="clear" w:color="auto" w:fill="FFFFFF"/>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w:t>
      </w:r>
      <w:r w:rsidRPr="001B077C">
        <w:rPr>
          <w:rFonts w:ascii="Verdana" w:hAnsi="Verdana" w:cs="Arial"/>
          <w:sz w:val="12"/>
          <w:szCs w:val="12"/>
          <w:lang w:val="pt-BR"/>
        </w:rPr>
        <w:t xml:space="preserve">Corte Constitucional, Sentencia </w:t>
      </w:r>
      <w:r w:rsidRPr="001B077C">
        <w:rPr>
          <w:rFonts w:ascii="Verdana" w:eastAsia="Times New Roman" w:hAnsi="Verdana" w:cs="Arial"/>
          <w:sz w:val="12"/>
          <w:szCs w:val="12"/>
          <w:lang w:val="pt-BR" w:eastAsia="es-MX"/>
        </w:rPr>
        <w:t>C-917 de 2002</w:t>
      </w:r>
      <w:r w:rsidRPr="001B077C">
        <w:rPr>
          <w:rFonts w:ascii="Verdana" w:hAnsi="Verdana" w:cs="Arial"/>
          <w:sz w:val="12"/>
          <w:szCs w:val="12"/>
          <w:lang w:val="pt-BR"/>
        </w:rPr>
        <w:t xml:space="preserve">. M.P.: </w:t>
      </w:r>
      <w:r w:rsidRPr="001B077C">
        <w:rPr>
          <w:rFonts w:ascii="Verdana" w:hAnsi="Verdana"/>
          <w:color w:val="333333"/>
          <w:sz w:val="12"/>
          <w:szCs w:val="12"/>
          <w:shd w:val="clear" w:color="auto" w:fill="FFFFFF"/>
          <w:lang w:val="pt-BR"/>
        </w:rPr>
        <w:t xml:space="preserve">Marco Gerardo </w:t>
      </w:r>
      <w:proofErr w:type="spellStart"/>
      <w:r w:rsidRPr="001B077C">
        <w:rPr>
          <w:rFonts w:ascii="Verdana" w:hAnsi="Verdana"/>
          <w:color w:val="333333"/>
          <w:sz w:val="12"/>
          <w:szCs w:val="12"/>
          <w:shd w:val="clear" w:color="auto" w:fill="FFFFFF"/>
          <w:lang w:val="pt-BR"/>
        </w:rPr>
        <w:t>Monroy</w:t>
      </w:r>
      <w:proofErr w:type="spellEnd"/>
      <w:r w:rsidRPr="001B077C">
        <w:rPr>
          <w:rFonts w:ascii="Verdana" w:hAnsi="Verdana"/>
          <w:color w:val="333333"/>
          <w:sz w:val="12"/>
          <w:szCs w:val="12"/>
          <w:shd w:val="clear" w:color="auto" w:fill="FFFFFF"/>
          <w:lang w:val="pt-BR"/>
        </w:rPr>
        <w:t xml:space="preserve"> Cabra.</w:t>
      </w:r>
    </w:p>
    <w:p w14:paraId="7D161F82" w14:textId="77777777" w:rsidR="001B077C" w:rsidRPr="001B077C" w:rsidRDefault="001B077C" w:rsidP="001B077C">
      <w:pPr>
        <w:pStyle w:val="Textonotapie"/>
        <w:ind w:firstLine="708"/>
        <w:jc w:val="both"/>
        <w:rPr>
          <w:rFonts w:ascii="Verdana" w:hAnsi="Verdana"/>
          <w:sz w:val="12"/>
          <w:szCs w:val="12"/>
          <w:lang w:val="pt-BR"/>
        </w:rPr>
      </w:pPr>
    </w:p>
  </w:footnote>
  <w:footnote w:id="23">
    <w:p w14:paraId="54C3A75A"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Artículo 1º del Decreto Ley 4170 de 2011.</w:t>
      </w:r>
    </w:p>
    <w:p w14:paraId="70F7FB8A" w14:textId="77777777" w:rsidR="001B077C" w:rsidRPr="001B077C" w:rsidRDefault="001B077C" w:rsidP="001B077C">
      <w:pPr>
        <w:pStyle w:val="Textonotapie"/>
        <w:ind w:firstLine="708"/>
        <w:jc w:val="both"/>
        <w:rPr>
          <w:rFonts w:ascii="Verdana" w:hAnsi="Verdana" w:cs="Arial"/>
          <w:sz w:val="12"/>
          <w:szCs w:val="12"/>
        </w:rPr>
      </w:pPr>
    </w:p>
  </w:footnote>
  <w:footnote w:id="24">
    <w:p w14:paraId="7479C0C9"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sz w:val="12"/>
          <w:szCs w:val="12"/>
        </w:rPr>
        <w:footnoteRef/>
      </w:r>
      <w:r w:rsidRPr="001B077C">
        <w:rPr>
          <w:rFonts w:ascii="Verdana" w:hAnsi="Verdana"/>
          <w:sz w:val="12"/>
          <w:szCs w:val="12"/>
        </w:rPr>
        <w:t xml:space="preserve"> </w:t>
      </w:r>
      <w:r w:rsidRPr="001B077C">
        <w:rPr>
          <w:rFonts w:ascii="Verdana" w:hAnsi="Verdana" w:cs="Arial"/>
          <w:sz w:val="12"/>
          <w:szCs w:val="12"/>
        </w:rPr>
        <w:t>Ver el Artículo 11 numeral 12 del Decreto Ley 4170 de 2011.</w:t>
      </w:r>
    </w:p>
    <w:p w14:paraId="7DE5CF55" w14:textId="77777777" w:rsidR="001B077C" w:rsidRPr="001B077C" w:rsidRDefault="001B077C" w:rsidP="001B077C">
      <w:pPr>
        <w:pStyle w:val="Textonotapie"/>
        <w:ind w:firstLine="708"/>
        <w:jc w:val="both"/>
        <w:rPr>
          <w:rFonts w:ascii="Verdana" w:hAnsi="Verdana"/>
          <w:sz w:val="12"/>
          <w:szCs w:val="12"/>
        </w:rPr>
      </w:pPr>
    </w:p>
  </w:footnote>
  <w:footnote w:id="25">
    <w:p w14:paraId="744FFADE"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Style w:val="Refdenotaalpie"/>
          <w:rFonts w:ascii="Verdana" w:hAnsi="Verdana" w:cs="Arial"/>
          <w:sz w:val="12"/>
          <w:szCs w:val="12"/>
        </w:rPr>
        <w:t xml:space="preserve"> </w:t>
      </w:r>
      <w:r w:rsidRPr="001B077C">
        <w:rPr>
          <w:rFonts w:ascii="Verdana" w:hAnsi="Verdana" w:cs="Arial"/>
          <w:sz w:val="12"/>
          <w:szCs w:val="12"/>
        </w:rPr>
        <w:t>Consejo de Estado. Sección Tercera. Auto del 14 de agosto de 2017. Rad. 58820.</w:t>
      </w:r>
    </w:p>
    <w:p w14:paraId="3B5814C1" w14:textId="77777777" w:rsidR="001B077C" w:rsidRPr="001B077C" w:rsidRDefault="001B077C" w:rsidP="001B077C">
      <w:pPr>
        <w:pStyle w:val="Textonotapie"/>
        <w:ind w:firstLine="708"/>
        <w:jc w:val="both"/>
        <w:rPr>
          <w:rFonts w:ascii="Verdana" w:hAnsi="Verdana" w:cs="Arial"/>
          <w:sz w:val="12"/>
          <w:szCs w:val="12"/>
        </w:rPr>
      </w:pPr>
    </w:p>
  </w:footnote>
  <w:footnote w:id="26">
    <w:p w14:paraId="3D20FE90"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Consejo de Estado. Sección Tercera. Sentencia del 16 de agosto de 2017. Rad. 56166.</w:t>
      </w:r>
    </w:p>
    <w:p w14:paraId="35D2BAF9" w14:textId="77777777" w:rsidR="001B077C" w:rsidRPr="001B077C" w:rsidRDefault="001B077C" w:rsidP="001B077C">
      <w:pPr>
        <w:pStyle w:val="Textonotapie"/>
        <w:ind w:firstLine="708"/>
        <w:jc w:val="both"/>
        <w:rPr>
          <w:rFonts w:ascii="Verdana" w:hAnsi="Verdana"/>
          <w:sz w:val="12"/>
          <w:szCs w:val="12"/>
        </w:rPr>
      </w:pPr>
    </w:p>
  </w:footnote>
  <w:footnote w:id="27">
    <w:p w14:paraId="705BA212"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proofErr w:type="spellStart"/>
      <w:r w:rsidRPr="001B077C">
        <w:rPr>
          <w:rFonts w:ascii="Verdana" w:hAnsi="Verdana" w:cs="Arial"/>
          <w:sz w:val="12"/>
          <w:szCs w:val="12"/>
        </w:rPr>
        <w:t>Ibídem</w:t>
      </w:r>
      <w:proofErr w:type="spellEnd"/>
      <w:r w:rsidRPr="001B077C">
        <w:rPr>
          <w:rFonts w:ascii="Verdana" w:hAnsi="Verdana" w:cs="Arial"/>
          <w:sz w:val="12"/>
          <w:szCs w:val="12"/>
        </w:rPr>
        <w:t xml:space="preserve">. </w:t>
      </w:r>
    </w:p>
    <w:p w14:paraId="06656E8D" w14:textId="77777777" w:rsidR="001B077C" w:rsidRPr="001B077C" w:rsidRDefault="001B077C" w:rsidP="001B077C">
      <w:pPr>
        <w:pStyle w:val="Textonotapie"/>
        <w:ind w:firstLine="708"/>
        <w:jc w:val="both"/>
        <w:rPr>
          <w:rFonts w:ascii="Verdana" w:hAnsi="Verdana" w:cs="Arial"/>
          <w:sz w:val="12"/>
          <w:szCs w:val="12"/>
        </w:rPr>
      </w:pPr>
    </w:p>
  </w:footnote>
  <w:footnote w:id="28">
    <w:p w14:paraId="7C4EBACF"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Style w:val="Refdenotaalpie"/>
          <w:rFonts w:ascii="Verdana" w:hAnsi="Verdana" w:cs="Arial"/>
          <w:sz w:val="12"/>
          <w:szCs w:val="12"/>
        </w:rPr>
        <w:t xml:space="preserve"> </w:t>
      </w:r>
      <w:r w:rsidRPr="001B077C">
        <w:rPr>
          <w:rFonts w:ascii="Verdana" w:hAnsi="Verdana" w:cs="Arial"/>
          <w:sz w:val="12"/>
          <w:szCs w:val="12"/>
        </w:rPr>
        <w:t>Consejo de Estado. Sección Tercera. Sentencia de 11 de abril de 2019. Rad. 52.055.</w:t>
      </w:r>
    </w:p>
  </w:footnote>
  <w:footnote w:id="29">
    <w:p w14:paraId="7361A21D"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Ibidem.</w:t>
      </w:r>
    </w:p>
  </w:footnote>
  <w:footnote w:id="30">
    <w:p w14:paraId="039529C0" w14:textId="77777777" w:rsidR="001B077C" w:rsidRPr="001B077C" w:rsidRDefault="001B077C" w:rsidP="001B077C">
      <w:pPr>
        <w:pStyle w:val="Textonotapie"/>
        <w:ind w:firstLine="709"/>
        <w:jc w:val="both"/>
        <w:rPr>
          <w:rFonts w:ascii="Verdana" w:hAnsi="Verdana" w:cs="Arial"/>
          <w:color w:val="000000"/>
          <w:sz w:val="12"/>
          <w:szCs w:val="12"/>
        </w:rPr>
      </w:pPr>
    </w:p>
    <w:p w14:paraId="0C6F5DEE" w14:textId="77777777" w:rsidR="001B077C" w:rsidRPr="001B077C" w:rsidRDefault="001B077C" w:rsidP="001B077C">
      <w:pPr>
        <w:pStyle w:val="Textonotapie"/>
        <w:ind w:firstLine="709"/>
        <w:jc w:val="both"/>
        <w:rPr>
          <w:rFonts w:ascii="Verdana" w:hAnsi="Verdana" w:cs="Arial"/>
          <w:color w:val="000000"/>
          <w:sz w:val="12"/>
          <w:szCs w:val="12"/>
          <w:lang w:val="es-ES"/>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w:t>
      </w:r>
      <w:r w:rsidRPr="001B077C">
        <w:rPr>
          <w:rFonts w:ascii="Verdana" w:hAnsi="Verdana" w:cs="Arial"/>
          <w:color w:val="000000"/>
          <w:sz w:val="12"/>
          <w:szCs w:val="12"/>
          <w:lang w:val="es-ES"/>
        </w:rPr>
        <w:t>En cuanto a las resoluciones vigentes, dicha regla se observa en el artículo 3 de las Resoluciones</w:t>
      </w:r>
      <w:bookmarkStart w:id="1" w:name="_Hlk82363077"/>
      <w:r w:rsidRPr="001B077C">
        <w:rPr>
          <w:rFonts w:ascii="Verdana" w:hAnsi="Verdana" w:cs="Arial"/>
          <w:color w:val="000000"/>
          <w:sz w:val="12"/>
          <w:szCs w:val="12"/>
          <w:lang w:val="es-ES"/>
        </w:rPr>
        <w:t xml:space="preserve"> 248 de 2020, 249 de 2020, 269 de 2020, 219 de 2021, 220 de 2021, 392 de 2021, 454 de 2021, 333 de 2022, 358 de 2023, 798 de 2023, 456 de 2024, 463 de 2024, 464 de 2024, 725 de 2024, 726 de 2024, entre otras</w:t>
      </w:r>
      <w:bookmarkEnd w:id="1"/>
      <w:r w:rsidRPr="001B077C">
        <w:rPr>
          <w:rFonts w:ascii="Verdana" w:hAnsi="Verdana" w:cs="Arial"/>
          <w:color w:val="000000"/>
          <w:sz w:val="12"/>
          <w:szCs w:val="12"/>
          <w:lang w:val="es-ES"/>
        </w:rPr>
        <w:t xml:space="preserve">. </w:t>
      </w:r>
    </w:p>
    <w:p w14:paraId="27732943" w14:textId="77777777" w:rsidR="001B077C" w:rsidRPr="001B077C" w:rsidRDefault="001B077C" w:rsidP="001B077C">
      <w:pPr>
        <w:pStyle w:val="Textonotapie"/>
        <w:ind w:firstLine="709"/>
        <w:jc w:val="both"/>
        <w:rPr>
          <w:rFonts w:ascii="Verdana" w:hAnsi="Verdana" w:cs="Arial"/>
          <w:color w:val="000000"/>
          <w:sz w:val="12"/>
          <w:szCs w:val="12"/>
          <w:lang w:val="es-ES"/>
        </w:rPr>
      </w:pPr>
    </w:p>
  </w:footnote>
  <w:footnote w:id="31">
    <w:p w14:paraId="0802B2DB" w14:textId="77777777" w:rsidR="001B077C" w:rsidRPr="001B077C" w:rsidRDefault="001B077C" w:rsidP="001B077C">
      <w:pPr>
        <w:pStyle w:val="Textonotapie"/>
        <w:ind w:firstLine="708"/>
        <w:jc w:val="both"/>
        <w:rPr>
          <w:rFonts w:ascii="Verdana" w:hAnsi="Verdana" w:cs="Arial"/>
          <w:color w:val="000000"/>
          <w:sz w:val="12"/>
          <w:szCs w:val="12"/>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En torno a las potestades regladas, García de Enterría y Ramón Fernández manifiestan: “El ejercicio de las potestades regladas reduce a la Administración a la constatación (</w:t>
      </w:r>
      <w:proofErr w:type="spellStart"/>
      <w:r w:rsidRPr="001B077C">
        <w:rPr>
          <w:rFonts w:ascii="Verdana" w:hAnsi="Verdana" w:cs="Arial"/>
          <w:color w:val="000000"/>
          <w:sz w:val="12"/>
          <w:szCs w:val="12"/>
        </w:rPr>
        <w:t>accertamento</w:t>
      </w:r>
      <w:proofErr w:type="spellEnd"/>
      <w:r w:rsidRPr="001B077C">
        <w:rPr>
          <w:rFonts w:ascii="Verdana" w:hAnsi="Verdana" w:cs="Arial"/>
          <w:color w:val="000000"/>
          <w:sz w:val="12"/>
          <w:szCs w:val="12"/>
        </w:rPr>
        <w:t xml:space="preserve">, en el expresivo concepto italiano) del supuesto de hecho legalmente definido de manera completa y aplicar en presencia del mismo lo que la propia Ley ha determinado también agotadoramente […] La decisión en que consista el ejercicio de la potestad es obligatoria en presencia de dicho supuesto y su contenido no puede ser configurado libremente por la Administración, sino que ha de limitarse a lo que la propia Ley ha previsto sobre ese contenido de modo preciso y completo” (GARCÍA DE ENTERRÍA, Eduardo; y RAMÓN FERNÁNDEZ, Tomas. Curso de derecho administrativo. Tomo I. Madrid: </w:t>
      </w:r>
      <w:proofErr w:type="spellStart"/>
      <w:r w:rsidRPr="001B077C">
        <w:rPr>
          <w:rFonts w:ascii="Verdana" w:hAnsi="Verdana" w:cs="Arial"/>
          <w:color w:val="000000"/>
          <w:sz w:val="12"/>
          <w:szCs w:val="12"/>
        </w:rPr>
        <w:t>Civitas</w:t>
      </w:r>
      <w:proofErr w:type="spellEnd"/>
      <w:r w:rsidRPr="001B077C">
        <w:rPr>
          <w:rFonts w:ascii="Verdana" w:hAnsi="Verdana" w:cs="Arial"/>
          <w:color w:val="000000"/>
          <w:sz w:val="12"/>
          <w:szCs w:val="12"/>
        </w:rPr>
        <w:t>, 1997. pp. 444-445)</w:t>
      </w:r>
    </w:p>
    <w:p w14:paraId="6A9421EB" w14:textId="77777777" w:rsidR="001B077C" w:rsidRPr="001B077C" w:rsidRDefault="001B077C" w:rsidP="001B077C">
      <w:pPr>
        <w:pStyle w:val="Textonotapie"/>
        <w:ind w:firstLine="708"/>
        <w:jc w:val="both"/>
        <w:rPr>
          <w:rFonts w:ascii="Verdana" w:hAnsi="Verdana" w:cs="Arial"/>
          <w:color w:val="000000"/>
          <w:sz w:val="12"/>
          <w:szCs w:val="12"/>
        </w:rPr>
      </w:pPr>
    </w:p>
  </w:footnote>
  <w:footnote w:id="32">
    <w:p w14:paraId="4FE63493" w14:textId="77777777" w:rsidR="001B077C" w:rsidRPr="001B077C" w:rsidRDefault="001B077C" w:rsidP="001B077C">
      <w:pPr>
        <w:pStyle w:val="Textonotapie"/>
        <w:ind w:firstLine="709"/>
        <w:jc w:val="both"/>
        <w:rPr>
          <w:rFonts w:ascii="Verdana" w:hAnsi="Verdana" w:cs="Arial"/>
          <w:color w:val="000000"/>
          <w:sz w:val="12"/>
          <w:szCs w:val="12"/>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El artículo 25, numeral 1º de la Ley 80 de 1993 establece que “En las normas de selección y en los pliegos de condiciones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w:t>
      </w:r>
    </w:p>
    <w:p w14:paraId="4D7BBD13" w14:textId="77777777" w:rsidR="001B077C" w:rsidRPr="001B077C" w:rsidRDefault="001B077C" w:rsidP="001B077C">
      <w:pPr>
        <w:pStyle w:val="Textonotapie"/>
        <w:ind w:firstLine="709"/>
        <w:jc w:val="both"/>
        <w:rPr>
          <w:rFonts w:ascii="Verdana" w:hAnsi="Verdana" w:cs="Arial"/>
          <w:color w:val="000000"/>
          <w:sz w:val="12"/>
          <w:szCs w:val="12"/>
        </w:rPr>
      </w:pPr>
    </w:p>
  </w:footnote>
  <w:footnote w:id="33">
    <w:p w14:paraId="1F115B4B" w14:textId="77777777" w:rsidR="001B077C" w:rsidRPr="001B077C" w:rsidRDefault="001B077C" w:rsidP="001B077C">
      <w:pPr>
        <w:spacing w:after="0" w:line="240" w:lineRule="auto"/>
        <w:ind w:firstLine="709"/>
        <w:jc w:val="both"/>
        <w:rPr>
          <w:rFonts w:ascii="Verdana" w:hAnsi="Verdana" w:cs="Arial"/>
          <w:color w:val="000000"/>
          <w:sz w:val="12"/>
          <w:szCs w:val="12"/>
          <w:lang w:val="es-ES"/>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w:t>
      </w:r>
      <w:r w:rsidRPr="001B077C">
        <w:rPr>
          <w:rFonts w:ascii="Verdana" w:hAnsi="Verdana" w:cs="Arial"/>
          <w:color w:val="000000"/>
          <w:sz w:val="12"/>
          <w:szCs w:val="12"/>
          <w:lang w:val="es-ES"/>
        </w:rPr>
        <w:t>En efecto, el artículo 5 del Decreto 019 de 2012 prevé lo siguiente: “Las normas de procedimiento administrativo deben ser utilizadas para agilizar las decisiones; 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ni autenticaciones ni notas de presentación personal sino cuando la ley lo ordene en forma expresa, o tratándose de poderes especiales. En tal virtud, las autoridades deberán proceder con austeridad y eficiencia, optimizar el uso del tiempo y de los demás recursos, procurando el más alto nivel de calidad en sus actuaciones y la protección de los derechos de las personas”.</w:t>
      </w:r>
    </w:p>
    <w:p w14:paraId="77E81A78" w14:textId="77777777" w:rsidR="001B077C" w:rsidRPr="001B077C" w:rsidRDefault="001B077C" w:rsidP="001B077C">
      <w:pPr>
        <w:spacing w:after="0" w:line="240" w:lineRule="auto"/>
        <w:ind w:firstLine="709"/>
        <w:jc w:val="both"/>
        <w:rPr>
          <w:rFonts w:ascii="Verdana" w:hAnsi="Verdana" w:cs="Arial"/>
          <w:color w:val="000000"/>
          <w:sz w:val="12"/>
          <w:szCs w:val="12"/>
          <w:lang w:val="es-ES"/>
        </w:rPr>
      </w:pPr>
    </w:p>
  </w:footnote>
  <w:footnote w:id="34">
    <w:p w14:paraId="1E4C5FB6" w14:textId="77777777" w:rsidR="001B077C" w:rsidRPr="001B077C" w:rsidRDefault="001B077C" w:rsidP="001B077C">
      <w:pPr>
        <w:pStyle w:val="Textonotapie"/>
        <w:ind w:firstLine="708"/>
        <w:jc w:val="both"/>
        <w:rPr>
          <w:rFonts w:ascii="Verdana" w:hAnsi="Verdana" w:cs="Arial"/>
          <w:sz w:val="12"/>
          <w:szCs w:val="12"/>
          <w:lang w:val="es-ES"/>
        </w:rPr>
      </w:pPr>
      <w:r w:rsidRPr="001B077C">
        <w:rPr>
          <w:rStyle w:val="Refdenotaalpie"/>
          <w:rFonts w:ascii="Verdana" w:hAnsi="Verdana" w:cs="Arial"/>
          <w:sz w:val="12"/>
          <w:szCs w:val="12"/>
        </w:rPr>
        <w:footnoteRef/>
      </w:r>
      <w:r w:rsidRPr="001B077C">
        <w:rPr>
          <w:rFonts w:ascii="Verdana" w:hAnsi="Verdana" w:cs="Arial"/>
          <w:sz w:val="12"/>
          <w:szCs w:val="12"/>
        </w:rPr>
        <w:t xml:space="preserve"> Diccionario de la Real Academia Española, versión online disponible en: </w:t>
      </w:r>
      <w:hyperlink r:id="rId3" w:history="1">
        <w:r w:rsidRPr="001B077C">
          <w:rPr>
            <w:rStyle w:val="Hipervnculo"/>
            <w:rFonts w:ascii="Verdana" w:hAnsi="Verdana" w:cs="Arial"/>
            <w:sz w:val="12"/>
            <w:szCs w:val="12"/>
          </w:rPr>
          <w:t>https://dle.rae.es/est%C3%A1ndar</w:t>
        </w:r>
      </w:hyperlink>
      <w:r w:rsidRPr="001B077C">
        <w:rPr>
          <w:rFonts w:ascii="Verdana" w:hAnsi="Verdana" w:cs="Arial"/>
          <w:sz w:val="12"/>
          <w:szCs w:val="12"/>
        </w:rPr>
        <w:t xml:space="preserve">, consultado el 2 de junio de 2020. </w:t>
      </w:r>
    </w:p>
  </w:footnote>
  <w:footnote w:id="35">
    <w:p w14:paraId="7300952B" w14:textId="77777777" w:rsidR="001B077C" w:rsidRPr="001B077C" w:rsidRDefault="001B077C" w:rsidP="001B077C">
      <w:pPr>
        <w:spacing w:after="0" w:line="240" w:lineRule="auto"/>
        <w:ind w:firstLine="708"/>
        <w:jc w:val="both"/>
        <w:rPr>
          <w:rFonts w:ascii="Verdana" w:hAnsi="Verdana" w:cs="Arial"/>
          <w:color w:val="000000"/>
          <w:sz w:val="12"/>
          <w:szCs w:val="12"/>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Cita tomada de la providencia del 20 de febrero de 2020, dictada por el Consejo de Estado. Sección Tercera. Subsección A, dentro del expediente 47001-23-33-000-2018-00035-01 (63.854), cuya ponente fue Marta Nubia Velásquez Rico.</w:t>
      </w:r>
    </w:p>
    <w:p w14:paraId="78677A78" w14:textId="77777777" w:rsidR="001B077C" w:rsidRPr="001B077C" w:rsidRDefault="001B077C" w:rsidP="001B077C">
      <w:pPr>
        <w:spacing w:after="0" w:line="240" w:lineRule="auto"/>
        <w:ind w:firstLine="708"/>
        <w:jc w:val="both"/>
        <w:rPr>
          <w:rFonts w:ascii="Verdana" w:hAnsi="Verdana" w:cs="Arial"/>
          <w:color w:val="000000"/>
          <w:sz w:val="12"/>
          <w:szCs w:val="12"/>
        </w:rPr>
      </w:pPr>
    </w:p>
  </w:footnote>
  <w:footnote w:id="36">
    <w:p w14:paraId="34D24482"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Por el cual se modifican los artículos 2.2.1.2.4.2.6.,2.2.1.2.4.2.7. Y 2.2.1.2.4.2.8. del Decreto 1082 de 2015, Único Reglamentario del Sector Administrativo de Planeación".</w:t>
      </w:r>
    </w:p>
    <w:p w14:paraId="019AECE6" w14:textId="77777777" w:rsidR="001B077C" w:rsidRPr="001B077C" w:rsidRDefault="001B077C" w:rsidP="001B077C">
      <w:pPr>
        <w:pStyle w:val="Textonotapie"/>
        <w:ind w:firstLine="708"/>
        <w:jc w:val="both"/>
        <w:rPr>
          <w:rFonts w:ascii="Verdana" w:hAnsi="Verdana"/>
          <w:sz w:val="12"/>
          <w:szCs w:val="12"/>
          <w:lang w:val="es-ES_tradnl"/>
        </w:rPr>
      </w:pPr>
    </w:p>
  </w:footnote>
  <w:footnote w:id="37">
    <w:p w14:paraId="2F7ED37A"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Consejo de Estado, Sección Quinta, del 12 de diciembre de 2024 (Rad. 05001-23-33-000-2024-00847-01, M.P. Omar Joaquín Barreto Suárez)</w:t>
      </w:r>
    </w:p>
    <w:p w14:paraId="2F83B156" w14:textId="77777777" w:rsidR="001B077C" w:rsidRPr="001B077C" w:rsidRDefault="001B077C" w:rsidP="001B077C">
      <w:pPr>
        <w:pStyle w:val="Textonotapie"/>
        <w:ind w:firstLine="708"/>
        <w:jc w:val="both"/>
        <w:rPr>
          <w:rFonts w:ascii="Verdana" w:hAnsi="Verdana"/>
          <w:sz w:val="12"/>
          <w:szCs w:val="12"/>
          <w:lang w:val="es-ES_tradnl"/>
        </w:rPr>
      </w:pPr>
    </w:p>
  </w:footnote>
  <w:footnote w:id="38">
    <w:p w14:paraId="6A36F031" w14:textId="77777777" w:rsidR="001B077C" w:rsidRPr="001B077C" w:rsidRDefault="001B077C" w:rsidP="001B077C">
      <w:pPr>
        <w:pStyle w:val="Textonotapie"/>
        <w:ind w:firstLine="708"/>
        <w:jc w:val="both"/>
        <w:rPr>
          <w:rFonts w:ascii="Verdana" w:hAnsi="Verdana"/>
          <w:sz w:val="12"/>
          <w:szCs w:val="12"/>
          <w:lang w:val="es-ES_tradnl"/>
        </w:rPr>
      </w:pPr>
      <w:r w:rsidRPr="001B077C">
        <w:rPr>
          <w:rStyle w:val="Refdenotaalpie"/>
          <w:rFonts w:ascii="Verdana" w:hAnsi="Verdana"/>
          <w:sz w:val="12"/>
          <w:szCs w:val="12"/>
        </w:rPr>
        <w:footnoteRef/>
      </w:r>
      <w:r w:rsidRPr="001B077C">
        <w:rPr>
          <w:rFonts w:ascii="Verdana" w:hAnsi="Verdana"/>
          <w:sz w:val="12"/>
          <w:szCs w:val="12"/>
        </w:rPr>
        <w:t xml:space="preserve"> "Por el cual se reglamentan los numerales 1 y 8 del artículo 13 de la Ley 1618 de 2013, sobre incentivos en Procesos de Contratación en favor de personas con discapacidad”. </w:t>
      </w:r>
    </w:p>
  </w:footnote>
  <w:footnote w:id="39">
    <w:p w14:paraId="58A975FB" w14:textId="77777777" w:rsidR="001B077C" w:rsidRPr="001B077C" w:rsidRDefault="001B077C" w:rsidP="001B077C">
      <w:pPr>
        <w:pStyle w:val="Textonotapie"/>
        <w:ind w:firstLine="708"/>
        <w:jc w:val="both"/>
        <w:rPr>
          <w:rFonts w:ascii="Verdana" w:hAnsi="Verdana"/>
          <w:sz w:val="12"/>
          <w:szCs w:val="12"/>
          <w:lang w:val="es-ES_tradnl"/>
        </w:rPr>
      </w:pPr>
      <w:r w:rsidRPr="001B077C">
        <w:rPr>
          <w:rStyle w:val="Refdenotaalpie"/>
          <w:rFonts w:ascii="Verdana" w:hAnsi="Verdana"/>
          <w:sz w:val="12"/>
          <w:szCs w:val="12"/>
        </w:rPr>
        <w:footnoteRef/>
      </w:r>
      <w:r w:rsidRPr="001B077C">
        <w:rPr>
          <w:rFonts w:ascii="Verdana" w:hAnsi="Verdana"/>
          <w:sz w:val="12"/>
          <w:szCs w:val="12"/>
        </w:rPr>
        <w:t xml:space="preserve"> Parte considerativa del Decreto 287 de 2026.</w:t>
      </w:r>
    </w:p>
  </w:footnote>
  <w:footnote w:id="40">
    <w:p w14:paraId="78200F2C"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Artículo 2.2.1.2.4.2.7.3. del Decreto 1082 de 2015, modificado por el artículo 1 del Decreto 287 de 2026: “Incorporación de criterios habilitantes diferenciales en favor de los emprendimientos y empresas de personas con discapacidad. En los procesos de licitación pública, selección abreviada y concurso de méritos, así como en los procesos competitivos adelantados por entidades no sometidas al Estatuto General de Contratación de la Administración Pública,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w:t>
      </w:r>
    </w:p>
    <w:p w14:paraId="00F307E5" w14:textId="77777777" w:rsidR="001B077C" w:rsidRPr="001B077C" w:rsidRDefault="001B077C" w:rsidP="001B077C">
      <w:pPr>
        <w:pStyle w:val="Textonotapie"/>
        <w:ind w:firstLine="708"/>
        <w:jc w:val="both"/>
        <w:rPr>
          <w:rFonts w:ascii="Verdana" w:hAnsi="Verdana"/>
          <w:sz w:val="12"/>
          <w:szCs w:val="12"/>
        </w:rPr>
      </w:pPr>
    </w:p>
    <w:p w14:paraId="068287E1" w14:textId="77777777" w:rsidR="001B077C" w:rsidRPr="001B077C" w:rsidRDefault="001B077C" w:rsidP="001B077C">
      <w:pPr>
        <w:pStyle w:val="Textonotapie"/>
        <w:ind w:firstLine="708"/>
        <w:jc w:val="both"/>
        <w:rPr>
          <w:rFonts w:ascii="Verdana" w:hAnsi="Verdana"/>
          <w:sz w:val="12"/>
          <w:szCs w:val="12"/>
        </w:rPr>
      </w:pPr>
      <w:r w:rsidRPr="001B077C">
        <w:rPr>
          <w:rFonts w:ascii="Verdana" w:hAnsi="Verdana"/>
          <w:sz w:val="12"/>
          <w:szCs w:val="12"/>
        </w:rPr>
        <w:t>Estos requisitos deberán estructurarse garantizando el cumplimiento adecuado del objeto contractual, teniendo en cuenta el alcance de las obligaciones y el principio de proporcionalidad. En desarrollo de lo anterior, se deberán establecer condiciones habilitantes diferenciadas o ajustadas que, sin comprometer los fines del contrato, faciliten el acceso de los emprendimientos y empresas de personas con discapacidad.</w:t>
      </w:r>
    </w:p>
    <w:p w14:paraId="58A3723E" w14:textId="77777777" w:rsidR="001B077C" w:rsidRPr="001B077C" w:rsidRDefault="001B077C" w:rsidP="001B077C">
      <w:pPr>
        <w:pStyle w:val="Textonotapie"/>
        <w:ind w:firstLine="708"/>
        <w:jc w:val="both"/>
        <w:rPr>
          <w:rFonts w:ascii="Verdana" w:hAnsi="Verdana"/>
          <w:sz w:val="12"/>
          <w:szCs w:val="12"/>
        </w:rPr>
      </w:pPr>
    </w:p>
    <w:p w14:paraId="1162A002" w14:textId="77777777" w:rsidR="001B077C" w:rsidRPr="001B077C" w:rsidRDefault="001B077C" w:rsidP="001B077C">
      <w:pPr>
        <w:pStyle w:val="Textonotapie"/>
        <w:ind w:firstLine="708"/>
        <w:jc w:val="both"/>
        <w:rPr>
          <w:rFonts w:ascii="Verdana" w:hAnsi="Verdana"/>
          <w:sz w:val="12"/>
          <w:szCs w:val="12"/>
          <w:lang w:val="es-ES_tradnl"/>
        </w:rPr>
      </w:pPr>
      <w:r w:rsidRPr="001B077C">
        <w:rPr>
          <w:rFonts w:ascii="Verdana" w:hAnsi="Verdana"/>
          <w:sz w:val="12"/>
          <w:szCs w:val="12"/>
        </w:rPr>
        <w:t xml:space="preserve">(…)”. </w:t>
      </w:r>
    </w:p>
  </w:footnote>
  <w:footnote w:id="41">
    <w:p w14:paraId="0FA11B09" w14:textId="77777777" w:rsidR="001B077C" w:rsidRPr="001B077C" w:rsidRDefault="001B077C" w:rsidP="001B077C">
      <w:pPr>
        <w:shd w:val="clear" w:color="auto" w:fill="FFFFFF"/>
        <w:spacing w:after="0" w:line="240" w:lineRule="auto"/>
        <w:ind w:firstLine="708"/>
        <w:jc w:val="both"/>
        <w:rPr>
          <w:rFonts w:ascii="Verdana" w:eastAsia="Times New Roman" w:hAnsi="Verdana" w:cs="Times New Roman"/>
          <w:color w:val="333333"/>
          <w:sz w:val="12"/>
          <w:szCs w:val="12"/>
          <w:lang w:eastAsia="es-MX"/>
        </w:rPr>
      </w:pPr>
      <w:r w:rsidRPr="001B077C">
        <w:rPr>
          <w:rStyle w:val="Refdenotaalpie"/>
          <w:rFonts w:ascii="Verdana" w:hAnsi="Verdana"/>
          <w:sz w:val="12"/>
          <w:szCs w:val="12"/>
        </w:rPr>
        <w:footnoteRef/>
      </w:r>
      <w:r w:rsidRPr="001B077C">
        <w:rPr>
          <w:rFonts w:ascii="Verdana" w:hAnsi="Verdana"/>
          <w:sz w:val="12"/>
          <w:szCs w:val="12"/>
        </w:rPr>
        <w:t xml:space="preserve"> Al respecto el artículo 1 de la Ley 2022 de 2020 señala: “(…) </w:t>
      </w:r>
      <w:r w:rsidRPr="001B077C">
        <w:rPr>
          <w:rFonts w:ascii="Verdana" w:eastAsia="Times New Roman" w:hAnsi="Verdana" w:cs="Times New Roman"/>
          <w:color w:val="333333"/>
          <w:sz w:val="12"/>
          <w:szCs w:val="12"/>
          <w:lang w:eastAsia="es-MX"/>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3296E57D" w14:textId="77777777" w:rsidR="001B077C" w:rsidRPr="001B077C" w:rsidRDefault="001B077C" w:rsidP="001B077C">
      <w:pPr>
        <w:pStyle w:val="Textonotapie"/>
        <w:jc w:val="both"/>
        <w:rPr>
          <w:rFonts w:ascii="Verdana" w:hAnsi="Verdana"/>
          <w:sz w:val="12"/>
          <w:szCs w:val="12"/>
          <w:lang w:val="es-CO"/>
        </w:rPr>
      </w:pPr>
    </w:p>
  </w:footnote>
  <w:footnote w:id="42">
    <w:p w14:paraId="61EEAF3F"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Artículo 1 Decreto 287 de 2026: “Artículo 2.2.1.2.4.2.7.8. Pliegos tipo, instrumentos de agregación de demanda y acuerdos marco de precios. La Agencia Nacional de Contratación Pública - Colombia Compra Eficiente garantizará la adopción permanente de las acciones necesarias para que las medidas señaladas en esta subsección se incorporen a los documentos e instrumentos que genera”. </w:t>
      </w:r>
    </w:p>
    <w:p w14:paraId="1CC5DEA1" w14:textId="77777777" w:rsidR="001B077C" w:rsidRPr="001B077C" w:rsidRDefault="001B077C" w:rsidP="001B077C">
      <w:pPr>
        <w:pStyle w:val="Textonotapie"/>
        <w:ind w:firstLine="708"/>
        <w:jc w:val="both"/>
        <w:rPr>
          <w:rFonts w:ascii="Verdana" w:hAnsi="Verdana"/>
          <w:sz w:val="12"/>
          <w:szCs w:val="12"/>
          <w:lang w:val="es-ES_tradnl"/>
        </w:rPr>
      </w:pPr>
    </w:p>
  </w:footnote>
  <w:footnote w:id="43">
    <w:p w14:paraId="6DFA78B0"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Artículo 2.2.1.2.4.2.7.8. del Decreto 1082 de 2015, modificado por el artículo 1 del Decreto 287 de 2026.</w:t>
      </w:r>
    </w:p>
    <w:p w14:paraId="3CF4EC9A" w14:textId="77777777" w:rsidR="001B077C" w:rsidRPr="001B077C" w:rsidRDefault="001B077C" w:rsidP="001B077C">
      <w:pPr>
        <w:pStyle w:val="Textonotapie"/>
        <w:ind w:firstLine="708"/>
        <w:jc w:val="both"/>
        <w:rPr>
          <w:rFonts w:ascii="Verdana" w:hAnsi="Verdana"/>
          <w:sz w:val="12"/>
          <w:szCs w:val="12"/>
          <w:lang w:val="es-ES_tradnl"/>
        </w:rPr>
      </w:pPr>
    </w:p>
  </w:footnote>
  <w:footnote w:id="44">
    <w:p w14:paraId="1B25A2BE" w14:textId="77777777" w:rsidR="001B077C" w:rsidRPr="001B077C" w:rsidRDefault="001B077C" w:rsidP="001B077C">
      <w:pPr>
        <w:pStyle w:val="Textonotapie"/>
        <w:ind w:firstLine="708"/>
        <w:jc w:val="both"/>
        <w:rPr>
          <w:rFonts w:ascii="Verdana" w:hAnsi="Verdana"/>
          <w:sz w:val="12"/>
          <w:szCs w:val="12"/>
          <w:lang w:val="es-ES_tradnl"/>
        </w:rPr>
      </w:pPr>
      <w:r w:rsidRPr="001B077C">
        <w:rPr>
          <w:rStyle w:val="Refdenotaalpie"/>
          <w:rFonts w:ascii="Verdana" w:hAnsi="Verdana"/>
          <w:sz w:val="12"/>
          <w:szCs w:val="12"/>
        </w:rPr>
        <w:footnoteRef/>
      </w:r>
      <w:r w:rsidRPr="001B077C">
        <w:rPr>
          <w:rFonts w:ascii="Verdana" w:hAnsi="Verdana"/>
          <w:sz w:val="12"/>
          <w:szCs w:val="12"/>
        </w:rPr>
        <w:t xml:space="preserve"> Documento disponible en el siguiente enlace: </w:t>
      </w:r>
      <w:hyperlink r:id="rId4" w:history="1">
        <w:r w:rsidRPr="001B077C">
          <w:rPr>
            <w:rStyle w:val="Hipervnculo"/>
            <w:rFonts w:ascii="Verdana" w:hAnsi="Verdana"/>
            <w:sz w:val="12"/>
            <w:szCs w:val="12"/>
          </w:rPr>
          <w:t>https://www.colombiacompra.gov.co/wp-content/uploads/2026/04/ABC-Decreto-0287-de-2026-1.pdf</w:t>
        </w:r>
      </w:hyperlink>
      <w:r w:rsidRPr="001B077C">
        <w:rPr>
          <w:rFonts w:ascii="Verdana" w:hAnsi="Verdana"/>
          <w:sz w:val="12"/>
          <w:szCs w:val="1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pt;height:11.9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0733F7"/>
    <w:multiLevelType w:val="hybridMultilevel"/>
    <w:tmpl w:val="AF12C2B6"/>
    <w:lvl w:ilvl="0" w:tplc="672EB6E4">
      <w:start w:val="4"/>
      <w:numFmt w:val="bullet"/>
      <w:lvlText w:val=""/>
      <w:lvlJc w:val="left"/>
      <w:pPr>
        <w:ind w:left="720" w:hanging="360"/>
      </w:pPr>
      <w:rPr>
        <w:rFonts w:ascii="Symbol" w:eastAsia="Arial MT"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A6D018E"/>
    <w:multiLevelType w:val="hybridMultilevel"/>
    <w:tmpl w:val="0B4CAD0C"/>
    <w:lvl w:ilvl="0" w:tplc="173E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18679D0"/>
    <w:multiLevelType w:val="hybridMultilevel"/>
    <w:tmpl w:val="002007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E7336F"/>
    <w:multiLevelType w:val="hybridMultilevel"/>
    <w:tmpl w:val="0C4E6BFA"/>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04C2A5F"/>
    <w:multiLevelType w:val="hybridMultilevel"/>
    <w:tmpl w:val="622ED3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5"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779781">
    <w:abstractNumId w:val="7"/>
  </w:num>
  <w:num w:numId="2" w16cid:durableId="19822139">
    <w:abstractNumId w:val="2"/>
  </w:num>
  <w:num w:numId="3" w16cid:durableId="876742304">
    <w:abstractNumId w:val="5"/>
  </w:num>
  <w:num w:numId="4" w16cid:durableId="245186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2"/>
  </w:num>
  <w:num w:numId="6" w16cid:durableId="316692925">
    <w:abstractNumId w:val="17"/>
  </w:num>
  <w:num w:numId="7" w16cid:durableId="1946422806">
    <w:abstractNumId w:val="6"/>
  </w:num>
  <w:num w:numId="8" w16cid:durableId="152644682">
    <w:abstractNumId w:val="16"/>
  </w:num>
  <w:num w:numId="9" w16cid:durableId="1317221377">
    <w:abstractNumId w:val="8"/>
  </w:num>
  <w:num w:numId="10" w16cid:durableId="1471245386">
    <w:abstractNumId w:val="15"/>
  </w:num>
  <w:num w:numId="11" w16cid:durableId="289172385">
    <w:abstractNumId w:val="9"/>
  </w:num>
  <w:num w:numId="12" w16cid:durableId="1470781324">
    <w:abstractNumId w:val="0"/>
  </w:num>
  <w:num w:numId="13" w16cid:durableId="1512908409">
    <w:abstractNumId w:val="4"/>
  </w:num>
  <w:num w:numId="14" w16cid:durableId="895897244">
    <w:abstractNumId w:val="18"/>
  </w:num>
  <w:num w:numId="15" w16cid:durableId="390349800">
    <w:abstractNumId w:val="14"/>
  </w:num>
  <w:num w:numId="16" w16cid:durableId="153255849">
    <w:abstractNumId w:val="11"/>
  </w:num>
  <w:num w:numId="17" w16cid:durableId="1245649885">
    <w:abstractNumId w:val="1"/>
  </w:num>
  <w:num w:numId="18" w16cid:durableId="679089576">
    <w:abstractNumId w:val="10"/>
  </w:num>
  <w:num w:numId="19" w16cid:durableId="1300108123">
    <w:abstractNumId w:val="12"/>
  </w:num>
  <w:num w:numId="20" w16cid:durableId="1069183687">
    <w:abstractNumId w:val="13"/>
  </w:num>
  <w:num w:numId="21" w16cid:durableId="1865904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5670"/>
    <w:rsid w:val="00016C94"/>
    <w:rsid w:val="00016F78"/>
    <w:rsid w:val="0002168A"/>
    <w:rsid w:val="00021872"/>
    <w:rsid w:val="00022CC8"/>
    <w:rsid w:val="00042A91"/>
    <w:rsid w:val="00046945"/>
    <w:rsid w:val="00046C5F"/>
    <w:rsid w:val="00053563"/>
    <w:rsid w:val="000542B4"/>
    <w:rsid w:val="00055B9D"/>
    <w:rsid w:val="00060428"/>
    <w:rsid w:val="00060B14"/>
    <w:rsid w:val="00061B2A"/>
    <w:rsid w:val="0006693F"/>
    <w:rsid w:val="00070BF4"/>
    <w:rsid w:val="00073658"/>
    <w:rsid w:val="00080209"/>
    <w:rsid w:val="00082362"/>
    <w:rsid w:val="000834DD"/>
    <w:rsid w:val="000916EA"/>
    <w:rsid w:val="00092965"/>
    <w:rsid w:val="00094252"/>
    <w:rsid w:val="000A5E13"/>
    <w:rsid w:val="000A683E"/>
    <w:rsid w:val="000A72A9"/>
    <w:rsid w:val="000A7D46"/>
    <w:rsid w:val="000B19B9"/>
    <w:rsid w:val="000B4D47"/>
    <w:rsid w:val="000B6F89"/>
    <w:rsid w:val="000C0C33"/>
    <w:rsid w:val="000C7411"/>
    <w:rsid w:val="000D0334"/>
    <w:rsid w:val="000D2F32"/>
    <w:rsid w:val="000D4B26"/>
    <w:rsid w:val="000D5DA7"/>
    <w:rsid w:val="000E7C7B"/>
    <w:rsid w:val="000F1443"/>
    <w:rsid w:val="000F3D1E"/>
    <w:rsid w:val="000F6486"/>
    <w:rsid w:val="00103BFE"/>
    <w:rsid w:val="001068E1"/>
    <w:rsid w:val="00112DCB"/>
    <w:rsid w:val="00115970"/>
    <w:rsid w:val="00116940"/>
    <w:rsid w:val="00117A5A"/>
    <w:rsid w:val="001228DC"/>
    <w:rsid w:val="00124C21"/>
    <w:rsid w:val="00125105"/>
    <w:rsid w:val="0012666F"/>
    <w:rsid w:val="00127233"/>
    <w:rsid w:val="00134886"/>
    <w:rsid w:val="001406B4"/>
    <w:rsid w:val="00142035"/>
    <w:rsid w:val="0015042F"/>
    <w:rsid w:val="00152F52"/>
    <w:rsid w:val="0015488B"/>
    <w:rsid w:val="0015650E"/>
    <w:rsid w:val="0015699B"/>
    <w:rsid w:val="00163017"/>
    <w:rsid w:val="0016488C"/>
    <w:rsid w:val="00165A70"/>
    <w:rsid w:val="001679AE"/>
    <w:rsid w:val="001726AF"/>
    <w:rsid w:val="0017343D"/>
    <w:rsid w:val="00180418"/>
    <w:rsid w:val="00182010"/>
    <w:rsid w:val="001930C3"/>
    <w:rsid w:val="00196F75"/>
    <w:rsid w:val="001A2C19"/>
    <w:rsid w:val="001A2E74"/>
    <w:rsid w:val="001A33BF"/>
    <w:rsid w:val="001B064E"/>
    <w:rsid w:val="001B077C"/>
    <w:rsid w:val="001B3AEB"/>
    <w:rsid w:val="001B6C7C"/>
    <w:rsid w:val="001C2502"/>
    <w:rsid w:val="001C73B4"/>
    <w:rsid w:val="001E4177"/>
    <w:rsid w:val="001F0B24"/>
    <w:rsid w:val="001F46EB"/>
    <w:rsid w:val="001F5656"/>
    <w:rsid w:val="001F7294"/>
    <w:rsid w:val="001F7DC6"/>
    <w:rsid w:val="00203EC3"/>
    <w:rsid w:val="00206556"/>
    <w:rsid w:val="00206F7B"/>
    <w:rsid w:val="0022400B"/>
    <w:rsid w:val="00224979"/>
    <w:rsid w:val="00233946"/>
    <w:rsid w:val="002418DF"/>
    <w:rsid w:val="002421BB"/>
    <w:rsid w:val="0024618D"/>
    <w:rsid w:val="002506B7"/>
    <w:rsid w:val="00251EEA"/>
    <w:rsid w:val="0025796E"/>
    <w:rsid w:val="00261EC2"/>
    <w:rsid w:val="002630D9"/>
    <w:rsid w:val="002667E1"/>
    <w:rsid w:val="002676A6"/>
    <w:rsid w:val="002707A2"/>
    <w:rsid w:val="00277337"/>
    <w:rsid w:val="002809EE"/>
    <w:rsid w:val="0028353A"/>
    <w:rsid w:val="002951A0"/>
    <w:rsid w:val="002962BC"/>
    <w:rsid w:val="002A00A1"/>
    <w:rsid w:val="002A093D"/>
    <w:rsid w:val="002A0DD0"/>
    <w:rsid w:val="002A49AC"/>
    <w:rsid w:val="002A64FD"/>
    <w:rsid w:val="002B0A25"/>
    <w:rsid w:val="002B3B70"/>
    <w:rsid w:val="002C7A84"/>
    <w:rsid w:val="002D3D4B"/>
    <w:rsid w:val="002E043C"/>
    <w:rsid w:val="002E1E54"/>
    <w:rsid w:val="002E2BF8"/>
    <w:rsid w:val="002E2C06"/>
    <w:rsid w:val="002E410E"/>
    <w:rsid w:val="002E46C5"/>
    <w:rsid w:val="002E4FD9"/>
    <w:rsid w:val="002F04E0"/>
    <w:rsid w:val="002F3F1B"/>
    <w:rsid w:val="002F6EDD"/>
    <w:rsid w:val="00302E7B"/>
    <w:rsid w:val="0030657A"/>
    <w:rsid w:val="003116AA"/>
    <w:rsid w:val="00316B4B"/>
    <w:rsid w:val="0031712D"/>
    <w:rsid w:val="0032249D"/>
    <w:rsid w:val="00322A85"/>
    <w:rsid w:val="00322AC7"/>
    <w:rsid w:val="00324168"/>
    <w:rsid w:val="00330834"/>
    <w:rsid w:val="003348C1"/>
    <w:rsid w:val="00336915"/>
    <w:rsid w:val="00337110"/>
    <w:rsid w:val="003404B1"/>
    <w:rsid w:val="00341D29"/>
    <w:rsid w:val="003448F4"/>
    <w:rsid w:val="00346FE0"/>
    <w:rsid w:val="00351706"/>
    <w:rsid w:val="0035753C"/>
    <w:rsid w:val="00363F8D"/>
    <w:rsid w:val="00366AAB"/>
    <w:rsid w:val="003677C2"/>
    <w:rsid w:val="00373B36"/>
    <w:rsid w:val="00374F5E"/>
    <w:rsid w:val="00377E3E"/>
    <w:rsid w:val="00395FD0"/>
    <w:rsid w:val="003974B1"/>
    <w:rsid w:val="003A613F"/>
    <w:rsid w:val="003A779E"/>
    <w:rsid w:val="003B4D9D"/>
    <w:rsid w:val="003C3B8B"/>
    <w:rsid w:val="003C64A5"/>
    <w:rsid w:val="003D0F4D"/>
    <w:rsid w:val="003D15AD"/>
    <w:rsid w:val="003D37EE"/>
    <w:rsid w:val="003D3EB2"/>
    <w:rsid w:val="003D45B0"/>
    <w:rsid w:val="003D5B0D"/>
    <w:rsid w:val="003E0499"/>
    <w:rsid w:val="003E4F80"/>
    <w:rsid w:val="003E6439"/>
    <w:rsid w:val="003E68FC"/>
    <w:rsid w:val="003F0D9A"/>
    <w:rsid w:val="003F0E92"/>
    <w:rsid w:val="003F21FF"/>
    <w:rsid w:val="003F3941"/>
    <w:rsid w:val="00406575"/>
    <w:rsid w:val="00414C74"/>
    <w:rsid w:val="00424469"/>
    <w:rsid w:val="0042722E"/>
    <w:rsid w:val="004317A8"/>
    <w:rsid w:val="0043275B"/>
    <w:rsid w:val="0043526E"/>
    <w:rsid w:val="0044528D"/>
    <w:rsid w:val="00445E6C"/>
    <w:rsid w:val="00451BB4"/>
    <w:rsid w:val="00451BBD"/>
    <w:rsid w:val="00454707"/>
    <w:rsid w:val="004566CD"/>
    <w:rsid w:val="004654BF"/>
    <w:rsid w:val="00466E39"/>
    <w:rsid w:val="0047233C"/>
    <w:rsid w:val="00486F02"/>
    <w:rsid w:val="00491868"/>
    <w:rsid w:val="00492EFE"/>
    <w:rsid w:val="004A1847"/>
    <w:rsid w:val="004A305D"/>
    <w:rsid w:val="004B1246"/>
    <w:rsid w:val="004B2ACC"/>
    <w:rsid w:val="004B305D"/>
    <w:rsid w:val="004B4114"/>
    <w:rsid w:val="004C046B"/>
    <w:rsid w:val="004D6D8D"/>
    <w:rsid w:val="004E19DC"/>
    <w:rsid w:val="004E7B1E"/>
    <w:rsid w:val="004F21C4"/>
    <w:rsid w:val="004F2BF5"/>
    <w:rsid w:val="004F5ED9"/>
    <w:rsid w:val="004F685F"/>
    <w:rsid w:val="00502309"/>
    <w:rsid w:val="00512CFA"/>
    <w:rsid w:val="00516F85"/>
    <w:rsid w:val="005179DF"/>
    <w:rsid w:val="00520EAA"/>
    <w:rsid w:val="005259F2"/>
    <w:rsid w:val="0053070B"/>
    <w:rsid w:val="00534597"/>
    <w:rsid w:val="00536F7E"/>
    <w:rsid w:val="005541CB"/>
    <w:rsid w:val="005566E8"/>
    <w:rsid w:val="00556BFA"/>
    <w:rsid w:val="005608AE"/>
    <w:rsid w:val="00574867"/>
    <w:rsid w:val="00577188"/>
    <w:rsid w:val="00580FC8"/>
    <w:rsid w:val="00591460"/>
    <w:rsid w:val="00594718"/>
    <w:rsid w:val="005A65E0"/>
    <w:rsid w:val="005A7A1B"/>
    <w:rsid w:val="005C13BA"/>
    <w:rsid w:val="005C3777"/>
    <w:rsid w:val="005C56B5"/>
    <w:rsid w:val="005C5CDC"/>
    <w:rsid w:val="005C6779"/>
    <w:rsid w:val="005D3CF1"/>
    <w:rsid w:val="005D476C"/>
    <w:rsid w:val="005E2AFD"/>
    <w:rsid w:val="005E492A"/>
    <w:rsid w:val="005E76F5"/>
    <w:rsid w:val="005E7FBC"/>
    <w:rsid w:val="00603D11"/>
    <w:rsid w:val="00607E13"/>
    <w:rsid w:val="00620032"/>
    <w:rsid w:val="006200BF"/>
    <w:rsid w:val="00620BC7"/>
    <w:rsid w:val="00620E38"/>
    <w:rsid w:val="006219F8"/>
    <w:rsid w:val="00622F1C"/>
    <w:rsid w:val="00624038"/>
    <w:rsid w:val="006302F7"/>
    <w:rsid w:val="00630A93"/>
    <w:rsid w:val="00631EDC"/>
    <w:rsid w:val="00635683"/>
    <w:rsid w:val="006378E7"/>
    <w:rsid w:val="0064564D"/>
    <w:rsid w:val="00645740"/>
    <w:rsid w:val="00646B9F"/>
    <w:rsid w:val="006521AC"/>
    <w:rsid w:val="006552C5"/>
    <w:rsid w:val="00665D70"/>
    <w:rsid w:val="00670CFB"/>
    <w:rsid w:val="00671A77"/>
    <w:rsid w:val="006900D9"/>
    <w:rsid w:val="00690862"/>
    <w:rsid w:val="006A64D0"/>
    <w:rsid w:val="006A66C8"/>
    <w:rsid w:val="006A7374"/>
    <w:rsid w:val="006B0EAB"/>
    <w:rsid w:val="006C00A6"/>
    <w:rsid w:val="006C3CE7"/>
    <w:rsid w:val="006C4B2C"/>
    <w:rsid w:val="006C5EB1"/>
    <w:rsid w:val="006C678A"/>
    <w:rsid w:val="006D595B"/>
    <w:rsid w:val="006D6B3F"/>
    <w:rsid w:val="006E4EC5"/>
    <w:rsid w:val="006E6F85"/>
    <w:rsid w:val="006E7113"/>
    <w:rsid w:val="007009C8"/>
    <w:rsid w:val="0070142E"/>
    <w:rsid w:val="0070233A"/>
    <w:rsid w:val="00703453"/>
    <w:rsid w:val="00706C16"/>
    <w:rsid w:val="00713052"/>
    <w:rsid w:val="00715ED7"/>
    <w:rsid w:val="00723433"/>
    <w:rsid w:val="00731DFB"/>
    <w:rsid w:val="007340C3"/>
    <w:rsid w:val="00737577"/>
    <w:rsid w:val="00741328"/>
    <w:rsid w:val="0074357A"/>
    <w:rsid w:val="007437DE"/>
    <w:rsid w:val="0075235A"/>
    <w:rsid w:val="0075272A"/>
    <w:rsid w:val="00756841"/>
    <w:rsid w:val="00764624"/>
    <w:rsid w:val="007649AB"/>
    <w:rsid w:val="0076758B"/>
    <w:rsid w:val="00771D0C"/>
    <w:rsid w:val="0077201E"/>
    <w:rsid w:val="00774862"/>
    <w:rsid w:val="00774956"/>
    <w:rsid w:val="00777292"/>
    <w:rsid w:val="00777A45"/>
    <w:rsid w:val="007833AC"/>
    <w:rsid w:val="0078375B"/>
    <w:rsid w:val="00792D67"/>
    <w:rsid w:val="00796E68"/>
    <w:rsid w:val="007A1BCB"/>
    <w:rsid w:val="007A2CE0"/>
    <w:rsid w:val="007A5381"/>
    <w:rsid w:val="007B01BA"/>
    <w:rsid w:val="007B268C"/>
    <w:rsid w:val="007B3C5F"/>
    <w:rsid w:val="007B5AD4"/>
    <w:rsid w:val="007B7171"/>
    <w:rsid w:val="007C0C0F"/>
    <w:rsid w:val="007C3DC2"/>
    <w:rsid w:val="007C435B"/>
    <w:rsid w:val="007C6F9B"/>
    <w:rsid w:val="007D3227"/>
    <w:rsid w:val="007D3DBF"/>
    <w:rsid w:val="007D4373"/>
    <w:rsid w:val="007D4B07"/>
    <w:rsid w:val="007E5497"/>
    <w:rsid w:val="007F778E"/>
    <w:rsid w:val="00806318"/>
    <w:rsid w:val="00806F5F"/>
    <w:rsid w:val="00812D27"/>
    <w:rsid w:val="00816452"/>
    <w:rsid w:val="00816FE1"/>
    <w:rsid w:val="00820278"/>
    <w:rsid w:val="008258C9"/>
    <w:rsid w:val="00831262"/>
    <w:rsid w:val="00835946"/>
    <w:rsid w:val="008403BF"/>
    <w:rsid w:val="00843BB2"/>
    <w:rsid w:val="0084403B"/>
    <w:rsid w:val="00844AE9"/>
    <w:rsid w:val="0084550E"/>
    <w:rsid w:val="00850360"/>
    <w:rsid w:val="00852A3D"/>
    <w:rsid w:val="00864642"/>
    <w:rsid w:val="00867F95"/>
    <w:rsid w:val="00870496"/>
    <w:rsid w:val="008843B6"/>
    <w:rsid w:val="00886133"/>
    <w:rsid w:val="00887E82"/>
    <w:rsid w:val="0089143B"/>
    <w:rsid w:val="008917C7"/>
    <w:rsid w:val="00891928"/>
    <w:rsid w:val="008A3A49"/>
    <w:rsid w:val="008A446D"/>
    <w:rsid w:val="008A5E24"/>
    <w:rsid w:val="008B25F1"/>
    <w:rsid w:val="008B6CB8"/>
    <w:rsid w:val="008C1642"/>
    <w:rsid w:val="008C727F"/>
    <w:rsid w:val="008D10BF"/>
    <w:rsid w:val="008D180B"/>
    <w:rsid w:val="008D55CB"/>
    <w:rsid w:val="008D5774"/>
    <w:rsid w:val="008E1F8B"/>
    <w:rsid w:val="008E3F41"/>
    <w:rsid w:val="008E4A2D"/>
    <w:rsid w:val="008F0EA7"/>
    <w:rsid w:val="008F1293"/>
    <w:rsid w:val="00900AB5"/>
    <w:rsid w:val="00900DB0"/>
    <w:rsid w:val="009032C3"/>
    <w:rsid w:val="0090530F"/>
    <w:rsid w:val="00906AE6"/>
    <w:rsid w:val="0091370F"/>
    <w:rsid w:val="00917748"/>
    <w:rsid w:val="00920D56"/>
    <w:rsid w:val="00923EEF"/>
    <w:rsid w:val="009252BB"/>
    <w:rsid w:val="00925CA2"/>
    <w:rsid w:val="00930A08"/>
    <w:rsid w:val="009363F6"/>
    <w:rsid w:val="009419F9"/>
    <w:rsid w:val="0095685E"/>
    <w:rsid w:val="00961B09"/>
    <w:rsid w:val="00965055"/>
    <w:rsid w:val="00965334"/>
    <w:rsid w:val="0097093E"/>
    <w:rsid w:val="00973F3B"/>
    <w:rsid w:val="00975224"/>
    <w:rsid w:val="0098182E"/>
    <w:rsid w:val="00982ACA"/>
    <w:rsid w:val="009948E7"/>
    <w:rsid w:val="00995967"/>
    <w:rsid w:val="00996F0C"/>
    <w:rsid w:val="009A0DFA"/>
    <w:rsid w:val="009A1A4B"/>
    <w:rsid w:val="009A1C6F"/>
    <w:rsid w:val="009A5ED3"/>
    <w:rsid w:val="009B0CF4"/>
    <w:rsid w:val="009B2D26"/>
    <w:rsid w:val="009B3626"/>
    <w:rsid w:val="009B7C82"/>
    <w:rsid w:val="009C44A9"/>
    <w:rsid w:val="009C6FD0"/>
    <w:rsid w:val="009C71FA"/>
    <w:rsid w:val="009C72E7"/>
    <w:rsid w:val="009C7F7E"/>
    <w:rsid w:val="009D1B97"/>
    <w:rsid w:val="009D3058"/>
    <w:rsid w:val="009D377E"/>
    <w:rsid w:val="009D40B6"/>
    <w:rsid w:val="009E1A2D"/>
    <w:rsid w:val="009E451E"/>
    <w:rsid w:val="009E593E"/>
    <w:rsid w:val="009E5E98"/>
    <w:rsid w:val="009E6BF4"/>
    <w:rsid w:val="009F05FF"/>
    <w:rsid w:val="009F3A13"/>
    <w:rsid w:val="00A0302B"/>
    <w:rsid w:val="00A122D3"/>
    <w:rsid w:val="00A14468"/>
    <w:rsid w:val="00A150CF"/>
    <w:rsid w:val="00A17F13"/>
    <w:rsid w:val="00A20739"/>
    <w:rsid w:val="00A21CA3"/>
    <w:rsid w:val="00A23AF9"/>
    <w:rsid w:val="00A300AA"/>
    <w:rsid w:val="00A31841"/>
    <w:rsid w:val="00A33C78"/>
    <w:rsid w:val="00A420A9"/>
    <w:rsid w:val="00A42C60"/>
    <w:rsid w:val="00A500F1"/>
    <w:rsid w:val="00A51816"/>
    <w:rsid w:val="00A52C8E"/>
    <w:rsid w:val="00A54668"/>
    <w:rsid w:val="00A57140"/>
    <w:rsid w:val="00A709D2"/>
    <w:rsid w:val="00A754B1"/>
    <w:rsid w:val="00A8025C"/>
    <w:rsid w:val="00A87C26"/>
    <w:rsid w:val="00A925AD"/>
    <w:rsid w:val="00A97194"/>
    <w:rsid w:val="00AA0274"/>
    <w:rsid w:val="00AA080B"/>
    <w:rsid w:val="00AB0ADB"/>
    <w:rsid w:val="00AB30D4"/>
    <w:rsid w:val="00AC466D"/>
    <w:rsid w:val="00AD6F80"/>
    <w:rsid w:val="00AF1D25"/>
    <w:rsid w:val="00AF5B25"/>
    <w:rsid w:val="00AF7544"/>
    <w:rsid w:val="00B00C0E"/>
    <w:rsid w:val="00B01B1A"/>
    <w:rsid w:val="00B02418"/>
    <w:rsid w:val="00B024CD"/>
    <w:rsid w:val="00B0381D"/>
    <w:rsid w:val="00B0404B"/>
    <w:rsid w:val="00B04D3B"/>
    <w:rsid w:val="00B162DD"/>
    <w:rsid w:val="00B16B28"/>
    <w:rsid w:val="00B22BE8"/>
    <w:rsid w:val="00B443A2"/>
    <w:rsid w:val="00B44A47"/>
    <w:rsid w:val="00B4752F"/>
    <w:rsid w:val="00B53C1C"/>
    <w:rsid w:val="00B5706D"/>
    <w:rsid w:val="00B6113F"/>
    <w:rsid w:val="00B72CD3"/>
    <w:rsid w:val="00B72FFF"/>
    <w:rsid w:val="00B75E25"/>
    <w:rsid w:val="00B9043C"/>
    <w:rsid w:val="00B94F8F"/>
    <w:rsid w:val="00BA1EA8"/>
    <w:rsid w:val="00BA3D9C"/>
    <w:rsid w:val="00BB1DB6"/>
    <w:rsid w:val="00BC3D36"/>
    <w:rsid w:val="00BC5CA2"/>
    <w:rsid w:val="00BC7C68"/>
    <w:rsid w:val="00BD0EA5"/>
    <w:rsid w:val="00BD4175"/>
    <w:rsid w:val="00BD4742"/>
    <w:rsid w:val="00BD54A6"/>
    <w:rsid w:val="00BD7F72"/>
    <w:rsid w:val="00BE1819"/>
    <w:rsid w:val="00BE228B"/>
    <w:rsid w:val="00BE732E"/>
    <w:rsid w:val="00BF7425"/>
    <w:rsid w:val="00C00F79"/>
    <w:rsid w:val="00C01610"/>
    <w:rsid w:val="00C03F30"/>
    <w:rsid w:val="00C04FB3"/>
    <w:rsid w:val="00C11D8B"/>
    <w:rsid w:val="00C15139"/>
    <w:rsid w:val="00C17086"/>
    <w:rsid w:val="00C330EB"/>
    <w:rsid w:val="00C34A82"/>
    <w:rsid w:val="00C47291"/>
    <w:rsid w:val="00C50D69"/>
    <w:rsid w:val="00C5146A"/>
    <w:rsid w:val="00C5365C"/>
    <w:rsid w:val="00C53B15"/>
    <w:rsid w:val="00C622DE"/>
    <w:rsid w:val="00C62EF1"/>
    <w:rsid w:val="00C63846"/>
    <w:rsid w:val="00C654FA"/>
    <w:rsid w:val="00C71DE4"/>
    <w:rsid w:val="00C754BE"/>
    <w:rsid w:val="00C75BA3"/>
    <w:rsid w:val="00C76B1C"/>
    <w:rsid w:val="00C76B5F"/>
    <w:rsid w:val="00C820EF"/>
    <w:rsid w:val="00C824BD"/>
    <w:rsid w:val="00C831EC"/>
    <w:rsid w:val="00C91D70"/>
    <w:rsid w:val="00C925AC"/>
    <w:rsid w:val="00C93DAC"/>
    <w:rsid w:val="00C95F94"/>
    <w:rsid w:val="00CA0621"/>
    <w:rsid w:val="00CA2E8A"/>
    <w:rsid w:val="00CB0A50"/>
    <w:rsid w:val="00CB44F3"/>
    <w:rsid w:val="00CB6357"/>
    <w:rsid w:val="00CC1B26"/>
    <w:rsid w:val="00CC29BA"/>
    <w:rsid w:val="00CE2A60"/>
    <w:rsid w:val="00CF24C0"/>
    <w:rsid w:val="00D027C3"/>
    <w:rsid w:val="00D0376A"/>
    <w:rsid w:val="00D05F46"/>
    <w:rsid w:val="00D078C9"/>
    <w:rsid w:val="00D109FE"/>
    <w:rsid w:val="00D11C80"/>
    <w:rsid w:val="00D22B7C"/>
    <w:rsid w:val="00D24AA6"/>
    <w:rsid w:val="00D27B04"/>
    <w:rsid w:val="00D31DC0"/>
    <w:rsid w:val="00D33696"/>
    <w:rsid w:val="00D35983"/>
    <w:rsid w:val="00D361FD"/>
    <w:rsid w:val="00D37660"/>
    <w:rsid w:val="00D423A2"/>
    <w:rsid w:val="00D44E26"/>
    <w:rsid w:val="00D520D8"/>
    <w:rsid w:val="00D63AC2"/>
    <w:rsid w:val="00D7383B"/>
    <w:rsid w:val="00D7788A"/>
    <w:rsid w:val="00D851ED"/>
    <w:rsid w:val="00D9033C"/>
    <w:rsid w:val="00DA1940"/>
    <w:rsid w:val="00DA231B"/>
    <w:rsid w:val="00DA71B3"/>
    <w:rsid w:val="00DC051E"/>
    <w:rsid w:val="00DC39FC"/>
    <w:rsid w:val="00DC7D55"/>
    <w:rsid w:val="00DD24B2"/>
    <w:rsid w:val="00DF021B"/>
    <w:rsid w:val="00DF1C4B"/>
    <w:rsid w:val="00DF32B2"/>
    <w:rsid w:val="00DF3D9A"/>
    <w:rsid w:val="00DF5254"/>
    <w:rsid w:val="00E00882"/>
    <w:rsid w:val="00E02524"/>
    <w:rsid w:val="00E1505C"/>
    <w:rsid w:val="00E16408"/>
    <w:rsid w:val="00E20894"/>
    <w:rsid w:val="00E245AB"/>
    <w:rsid w:val="00E25712"/>
    <w:rsid w:val="00E26E9D"/>
    <w:rsid w:val="00E2764C"/>
    <w:rsid w:val="00E27F2E"/>
    <w:rsid w:val="00E36715"/>
    <w:rsid w:val="00E425E8"/>
    <w:rsid w:val="00E50AFE"/>
    <w:rsid w:val="00E53EA1"/>
    <w:rsid w:val="00E53FCC"/>
    <w:rsid w:val="00E54F30"/>
    <w:rsid w:val="00E55CFA"/>
    <w:rsid w:val="00E65677"/>
    <w:rsid w:val="00E669F3"/>
    <w:rsid w:val="00E727F0"/>
    <w:rsid w:val="00E75C92"/>
    <w:rsid w:val="00E771DC"/>
    <w:rsid w:val="00E84734"/>
    <w:rsid w:val="00E85CA7"/>
    <w:rsid w:val="00E8772A"/>
    <w:rsid w:val="00E90F6B"/>
    <w:rsid w:val="00E910FB"/>
    <w:rsid w:val="00E92C27"/>
    <w:rsid w:val="00E92DD0"/>
    <w:rsid w:val="00EA02F5"/>
    <w:rsid w:val="00EA06E6"/>
    <w:rsid w:val="00EA0E3D"/>
    <w:rsid w:val="00EA16FC"/>
    <w:rsid w:val="00EA31C7"/>
    <w:rsid w:val="00EA44A1"/>
    <w:rsid w:val="00EA5D59"/>
    <w:rsid w:val="00EB7308"/>
    <w:rsid w:val="00EC38A7"/>
    <w:rsid w:val="00EC7C37"/>
    <w:rsid w:val="00EE1AA8"/>
    <w:rsid w:val="00EE7A5D"/>
    <w:rsid w:val="00EF41C4"/>
    <w:rsid w:val="00F14CCF"/>
    <w:rsid w:val="00F23FEA"/>
    <w:rsid w:val="00F31EDC"/>
    <w:rsid w:val="00F32723"/>
    <w:rsid w:val="00F33CF5"/>
    <w:rsid w:val="00F41C3E"/>
    <w:rsid w:val="00F462B3"/>
    <w:rsid w:val="00F47458"/>
    <w:rsid w:val="00F5119A"/>
    <w:rsid w:val="00F52E27"/>
    <w:rsid w:val="00F5664F"/>
    <w:rsid w:val="00F579DF"/>
    <w:rsid w:val="00F666C4"/>
    <w:rsid w:val="00F76AC9"/>
    <w:rsid w:val="00F76AFC"/>
    <w:rsid w:val="00F805C5"/>
    <w:rsid w:val="00F82724"/>
    <w:rsid w:val="00F955C6"/>
    <w:rsid w:val="00FA47C0"/>
    <w:rsid w:val="00FA5003"/>
    <w:rsid w:val="00FB16EC"/>
    <w:rsid w:val="00FB3899"/>
    <w:rsid w:val="00FB5DD1"/>
    <w:rsid w:val="00FB7920"/>
    <w:rsid w:val="00FC2B5D"/>
    <w:rsid w:val="00FC36AB"/>
    <w:rsid w:val="00FD4A49"/>
    <w:rsid w:val="00FE26DE"/>
    <w:rsid w:val="00FF1449"/>
    <w:rsid w:val="00FF2610"/>
    <w:rsid w:val="00FF7963"/>
    <w:rsid w:val="071B8F93"/>
    <w:rsid w:val="09908A09"/>
    <w:rsid w:val="0FF4CCA8"/>
    <w:rsid w:val="13CFC91B"/>
    <w:rsid w:val="19A2EC2C"/>
    <w:rsid w:val="2859CA1B"/>
    <w:rsid w:val="32A4F9CF"/>
    <w:rsid w:val="356CEDFD"/>
    <w:rsid w:val="69614A15"/>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E03CD496-8D74-491F-B9C0-152AFA3D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rsid w:val="00C47291"/>
    <w:pPr>
      <w:spacing w:line="240" w:lineRule="exact"/>
    </w:pPr>
    <w:rPr>
      <w:vertAlign w:val="superscript"/>
    </w:rPr>
  </w:style>
  <w:style w:type="character" w:customStyle="1" w:styleId="baj">
    <w:name w:val="b_aj"/>
    <w:basedOn w:val="Fuentedeprrafopredeter"/>
    <w:rsid w:val="00C47291"/>
  </w:style>
  <w:style w:type="character" w:customStyle="1" w:styleId="NormalWebCar">
    <w:name w:val="Normal (Web) Car"/>
    <w:link w:val="NormalWeb"/>
    <w:uiPriority w:val="99"/>
    <w:locked/>
    <w:rsid w:val="00C47291"/>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8D55CB"/>
    <w:rPr>
      <w:sz w:val="16"/>
      <w:szCs w:val="16"/>
    </w:rPr>
  </w:style>
  <w:style w:type="paragraph" w:styleId="Textocomentario">
    <w:name w:val="annotation text"/>
    <w:basedOn w:val="Normal"/>
    <w:link w:val="TextocomentarioCar"/>
    <w:uiPriority w:val="99"/>
    <w:unhideWhenUsed/>
    <w:rsid w:val="008D55CB"/>
    <w:pPr>
      <w:spacing w:line="240" w:lineRule="auto"/>
    </w:pPr>
    <w:rPr>
      <w:sz w:val="20"/>
      <w:szCs w:val="20"/>
    </w:rPr>
  </w:style>
  <w:style w:type="character" w:customStyle="1" w:styleId="TextocomentarioCar">
    <w:name w:val="Texto comentario Car"/>
    <w:basedOn w:val="Fuentedeprrafopredeter"/>
    <w:link w:val="Textocomentario"/>
    <w:uiPriority w:val="99"/>
    <w:rsid w:val="008D55CB"/>
    <w:rPr>
      <w:sz w:val="20"/>
      <w:szCs w:val="20"/>
    </w:rPr>
  </w:style>
  <w:style w:type="paragraph" w:styleId="Asuntodelcomentario">
    <w:name w:val="annotation subject"/>
    <w:basedOn w:val="Textocomentario"/>
    <w:next w:val="Textocomentario"/>
    <w:link w:val="AsuntodelcomentarioCar"/>
    <w:uiPriority w:val="99"/>
    <w:semiHidden/>
    <w:unhideWhenUsed/>
    <w:rsid w:val="008D55CB"/>
    <w:rPr>
      <w:b/>
      <w:bCs/>
    </w:rPr>
  </w:style>
  <w:style w:type="character" w:customStyle="1" w:styleId="AsuntodelcomentarioCar">
    <w:name w:val="Asunto del comentario Car"/>
    <w:basedOn w:val="TextocomentarioCar"/>
    <w:link w:val="Asuntodelcomentario"/>
    <w:uiPriority w:val="99"/>
    <w:semiHidden/>
    <w:rsid w:val="008D55CB"/>
    <w:rPr>
      <w:b/>
      <w:bCs/>
      <w:sz w:val="20"/>
      <w:szCs w:val="20"/>
    </w:rPr>
  </w:style>
  <w:style w:type="table" w:customStyle="1" w:styleId="Tablaconcuadrcula1">
    <w:name w:val="Tabla con cuadrícula1"/>
    <w:basedOn w:val="Tablanormal"/>
    <w:next w:val="Tablaconcuadrcula"/>
    <w:uiPriority w:val="39"/>
    <w:qFormat/>
    <w:rsid w:val="001B0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9241">
      <w:bodyDiv w:val="1"/>
      <w:marLeft w:val="0"/>
      <w:marRight w:val="0"/>
      <w:marTop w:val="0"/>
      <w:marBottom w:val="0"/>
      <w:divBdr>
        <w:top w:val="none" w:sz="0" w:space="0" w:color="auto"/>
        <w:left w:val="none" w:sz="0" w:space="0" w:color="auto"/>
        <w:bottom w:val="none" w:sz="0" w:space="0" w:color="auto"/>
        <w:right w:val="none" w:sz="0" w:space="0" w:color="auto"/>
      </w:divBdr>
    </w:div>
    <w:div w:id="63797035">
      <w:bodyDiv w:val="1"/>
      <w:marLeft w:val="0"/>
      <w:marRight w:val="0"/>
      <w:marTop w:val="0"/>
      <w:marBottom w:val="0"/>
      <w:divBdr>
        <w:top w:val="none" w:sz="0" w:space="0" w:color="auto"/>
        <w:left w:val="none" w:sz="0" w:space="0" w:color="auto"/>
        <w:bottom w:val="none" w:sz="0" w:space="0" w:color="auto"/>
        <w:right w:val="none" w:sz="0" w:space="0" w:color="auto"/>
      </w:divBdr>
    </w:div>
    <w:div w:id="124738522">
      <w:bodyDiv w:val="1"/>
      <w:marLeft w:val="0"/>
      <w:marRight w:val="0"/>
      <w:marTop w:val="0"/>
      <w:marBottom w:val="0"/>
      <w:divBdr>
        <w:top w:val="none" w:sz="0" w:space="0" w:color="auto"/>
        <w:left w:val="none" w:sz="0" w:space="0" w:color="auto"/>
        <w:bottom w:val="none" w:sz="0" w:space="0" w:color="auto"/>
        <w:right w:val="none" w:sz="0" w:space="0" w:color="auto"/>
      </w:divBdr>
    </w:div>
    <w:div w:id="156120696">
      <w:bodyDiv w:val="1"/>
      <w:marLeft w:val="0"/>
      <w:marRight w:val="0"/>
      <w:marTop w:val="0"/>
      <w:marBottom w:val="0"/>
      <w:divBdr>
        <w:top w:val="none" w:sz="0" w:space="0" w:color="auto"/>
        <w:left w:val="none" w:sz="0" w:space="0" w:color="auto"/>
        <w:bottom w:val="none" w:sz="0" w:space="0" w:color="auto"/>
        <w:right w:val="none" w:sz="0" w:space="0" w:color="auto"/>
      </w:divBdr>
    </w:div>
    <w:div w:id="208539241">
      <w:bodyDiv w:val="1"/>
      <w:marLeft w:val="0"/>
      <w:marRight w:val="0"/>
      <w:marTop w:val="0"/>
      <w:marBottom w:val="0"/>
      <w:divBdr>
        <w:top w:val="none" w:sz="0" w:space="0" w:color="auto"/>
        <w:left w:val="none" w:sz="0" w:space="0" w:color="auto"/>
        <w:bottom w:val="none" w:sz="0" w:space="0" w:color="auto"/>
        <w:right w:val="none" w:sz="0" w:space="0" w:color="auto"/>
      </w:divBdr>
    </w:div>
    <w:div w:id="271012095">
      <w:bodyDiv w:val="1"/>
      <w:marLeft w:val="0"/>
      <w:marRight w:val="0"/>
      <w:marTop w:val="0"/>
      <w:marBottom w:val="0"/>
      <w:divBdr>
        <w:top w:val="none" w:sz="0" w:space="0" w:color="auto"/>
        <w:left w:val="none" w:sz="0" w:space="0" w:color="auto"/>
        <w:bottom w:val="none" w:sz="0" w:space="0" w:color="auto"/>
        <w:right w:val="none" w:sz="0" w:space="0" w:color="auto"/>
      </w:divBdr>
    </w:div>
    <w:div w:id="309529247">
      <w:bodyDiv w:val="1"/>
      <w:marLeft w:val="0"/>
      <w:marRight w:val="0"/>
      <w:marTop w:val="0"/>
      <w:marBottom w:val="0"/>
      <w:divBdr>
        <w:top w:val="none" w:sz="0" w:space="0" w:color="auto"/>
        <w:left w:val="none" w:sz="0" w:space="0" w:color="auto"/>
        <w:bottom w:val="none" w:sz="0" w:space="0" w:color="auto"/>
        <w:right w:val="none" w:sz="0" w:space="0" w:color="auto"/>
      </w:divBdr>
    </w:div>
    <w:div w:id="325669828">
      <w:bodyDiv w:val="1"/>
      <w:marLeft w:val="0"/>
      <w:marRight w:val="0"/>
      <w:marTop w:val="0"/>
      <w:marBottom w:val="0"/>
      <w:divBdr>
        <w:top w:val="none" w:sz="0" w:space="0" w:color="auto"/>
        <w:left w:val="none" w:sz="0" w:space="0" w:color="auto"/>
        <w:bottom w:val="none" w:sz="0" w:space="0" w:color="auto"/>
        <w:right w:val="none" w:sz="0" w:space="0" w:color="auto"/>
      </w:divBdr>
    </w:div>
    <w:div w:id="392658240">
      <w:bodyDiv w:val="1"/>
      <w:marLeft w:val="0"/>
      <w:marRight w:val="0"/>
      <w:marTop w:val="0"/>
      <w:marBottom w:val="0"/>
      <w:divBdr>
        <w:top w:val="none" w:sz="0" w:space="0" w:color="auto"/>
        <w:left w:val="none" w:sz="0" w:space="0" w:color="auto"/>
        <w:bottom w:val="none" w:sz="0" w:space="0" w:color="auto"/>
        <w:right w:val="none" w:sz="0" w:space="0" w:color="auto"/>
      </w:divBdr>
    </w:div>
    <w:div w:id="495611751">
      <w:bodyDiv w:val="1"/>
      <w:marLeft w:val="0"/>
      <w:marRight w:val="0"/>
      <w:marTop w:val="0"/>
      <w:marBottom w:val="0"/>
      <w:divBdr>
        <w:top w:val="none" w:sz="0" w:space="0" w:color="auto"/>
        <w:left w:val="none" w:sz="0" w:space="0" w:color="auto"/>
        <w:bottom w:val="none" w:sz="0" w:space="0" w:color="auto"/>
        <w:right w:val="none" w:sz="0" w:space="0" w:color="auto"/>
      </w:divBdr>
    </w:div>
    <w:div w:id="611016565">
      <w:bodyDiv w:val="1"/>
      <w:marLeft w:val="0"/>
      <w:marRight w:val="0"/>
      <w:marTop w:val="0"/>
      <w:marBottom w:val="0"/>
      <w:divBdr>
        <w:top w:val="none" w:sz="0" w:space="0" w:color="auto"/>
        <w:left w:val="none" w:sz="0" w:space="0" w:color="auto"/>
        <w:bottom w:val="none" w:sz="0" w:space="0" w:color="auto"/>
        <w:right w:val="none" w:sz="0" w:space="0" w:color="auto"/>
      </w:divBdr>
    </w:div>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819152002">
      <w:bodyDiv w:val="1"/>
      <w:marLeft w:val="0"/>
      <w:marRight w:val="0"/>
      <w:marTop w:val="0"/>
      <w:marBottom w:val="0"/>
      <w:divBdr>
        <w:top w:val="none" w:sz="0" w:space="0" w:color="auto"/>
        <w:left w:val="none" w:sz="0" w:space="0" w:color="auto"/>
        <w:bottom w:val="none" w:sz="0" w:space="0" w:color="auto"/>
        <w:right w:val="none" w:sz="0" w:space="0" w:color="auto"/>
      </w:divBdr>
    </w:div>
    <w:div w:id="1054893991">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11960701">
      <w:bodyDiv w:val="1"/>
      <w:marLeft w:val="0"/>
      <w:marRight w:val="0"/>
      <w:marTop w:val="0"/>
      <w:marBottom w:val="0"/>
      <w:divBdr>
        <w:top w:val="none" w:sz="0" w:space="0" w:color="auto"/>
        <w:left w:val="none" w:sz="0" w:space="0" w:color="auto"/>
        <w:bottom w:val="none" w:sz="0" w:space="0" w:color="auto"/>
        <w:right w:val="none" w:sz="0" w:space="0" w:color="auto"/>
      </w:divBdr>
    </w:div>
    <w:div w:id="125200626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24454764">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568075362">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816871884">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953637238">
          <w:marLeft w:val="0"/>
          <w:marRight w:val="0"/>
          <w:marTop w:val="0"/>
          <w:marBottom w:val="0"/>
          <w:divBdr>
            <w:top w:val="none" w:sz="0" w:space="0" w:color="auto"/>
            <w:left w:val="none" w:sz="0" w:space="0" w:color="auto"/>
            <w:bottom w:val="none" w:sz="0" w:space="0" w:color="auto"/>
            <w:right w:val="none" w:sz="0" w:space="0" w:color="auto"/>
          </w:divBdr>
          <w:divsChild>
            <w:div w:id="220364327">
              <w:marLeft w:val="0"/>
              <w:marRight w:val="0"/>
              <w:marTop w:val="0"/>
              <w:marBottom w:val="0"/>
              <w:divBdr>
                <w:top w:val="none" w:sz="0" w:space="0" w:color="auto"/>
                <w:left w:val="none" w:sz="0" w:space="0" w:color="auto"/>
                <w:bottom w:val="none" w:sz="0" w:space="0" w:color="auto"/>
                <w:right w:val="none" w:sz="0" w:space="0" w:color="auto"/>
              </w:divBdr>
            </w:div>
            <w:div w:id="330067371">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sChild>
        </w:div>
        <w:div w:id="1002320289">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1134103737">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521668105">
                      <w:marLeft w:val="0"/>
                      <w:marRight w:val="0"/>
                      <w:marTop w:val="0"/>
                      <w:marBottom w:val="0"/>
                      <w:divBdr>
                        <w:top w:val="none" w:sz="0" w:space="0" w:color="auto"/>
                        <w:left w:val="none" w:sz="0" w:space="0" w:color="auto"/>
                        <w:bottom w:val="none" w:sz="0" w:space="0" w:color="auto"/>
                        <w:right w:val="none" w:sz="0" w:space="0" w:color="auto"/>
                      </w:divBdr>
                    </w:div>
                    <w:div w:id="1617329362">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061059177">
                      <w:marLeft w:val="0"/>
                      <w:marRight w:val="0"/>
                      <w:marTop w:val="0"/>
                      <w:marBottom w:val="0"/>
                      <w:divBdr>
                        <w:top w:val="none" w:sz="0" w:space="0" w:color="auto"/>
                        <w:left w:val="none" w:sz="0" w:space="0" w:color="auto"/>
                        <w:bottom w:val="none" w:sz="0" w:space="0" w:color="auto"/>
                        <w:right w:val="none" w:sz="0" w:space="0" w:color="auto"/>
                      </w:divBdr>
                    </w:div>
                    <w:div w:id="1669867117">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1791318772">
          <w:marLeft w:val="0"/>
          <w:marRight w:val="0"/>
          <w:marTop w:val="0"/>
          <w:marBottom w:val="0"/>
          <w:divBdr>
            <w:top w:val="none" w:sz="0" w:space="0" w:color="auto"/>
            <w:left w:val="none" w:sz="0" w:space="0" w:color="auto"/>
            <w:bottom w:val="none" w:sz="0" w:space="0" w:color="auto"/>
            <w:right w:val="none" w:sz="0" w:space="0" w:color="auto"/>
          </w:divBdr>
        </w:div>
        <w:div w:id="1814251553">
          <w:marLeft w:val="0"/>
          <w:marRight w:val="0"/>
          <w:marTop w:val="0"/>
          <w:marBottom w:val="0"/>
          <w:divBdr>
            <w:top w:val="none" w:sz="0" w:space="0" w:color="auto"/>
            <w:left w:val="none" w:sz="0" w:space="0" w:color="auto"/>
            <w:bottom w:val="none" w:sz="0" w:space="0" w:color="auto"/>
            <w:right w:val="none" w:sz="0" w:space="0" w:color="auto"/>
          </w:divBdr>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15305961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916237550">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524707673">
              <w:marLeft w:val="0"/>
              <w:marRight w:val="0"/>
              <w:marTop w:val="0"/>
              <w:marBottom w:val="0"/>
              <w:divBdr>
                <w:top w:val="none" w:sz="0" w:space="0" w:color="auto"/>
                <w:left w:val="none" w:sz="0" w:space="0" w:color="auto"/>
                <w:bottom w:val="none" w:sz="0" w:space="0" w:color="auto"/>
                <w:right w:val="none" w:sz="0" w:space="0" w:color="auto"/>
              </w:divBdr>
            </w:div>
            <w:div w:id="1192113255">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932930429">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52644634">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375154655">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sChild>
        </w:div>
        <w:div w:id="2033648475">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539319864">
                      <w:marLeft w:val="0"/>
                      <w:marRight w:val="0"/>
                      <w:marTop w:val="0"/>
                      <w:marBottom w:val="0"/>
                      <w:divBdr>
                        <w:top w:val="none" w:sz="0" w:space="0" w:color="auto"/>
                        <w:left w:val="none" w:sz="0" w:space="0" w:color="auto"/>
                        <w:bottom w:val="none" w:sz="0" w:space="0" w:color="auto"/>
                        <w:right w:val="none" w:sz="0" w:space="0" w:color="auto"/>
                      </w:divBdr>
                    </w:div>
                    <w:div w:id="1112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6280">
          <w:marLeft w:val="0"/>
          <w:marRight w:val="0"/>
          <w:marTop w:val="0"/>
          <w:marBottom w:val="0"/>
          <w:divBdr>
            <w:top w:val="none" w:sz="0" w:space="0" w:color="auto"/>
            <w:left w:val="none" w:sz="0" w:space="0" w:color="auto"/>
            <w:bottom w:val="none" w:sz="0" w:space="0" w:color="auto"/>
            <w:right w:val="none" w:sz="0" w:space="0" w:color="auto"/>
          </w:divBdr>
        </w:div>
      </w:divsChild>
    </w:div>
    <w:div w:id="1401055532">
      <w:bodyDiv w:val="1"/>
      <w:marLeft w:val="0"/>
      <w:marRight w:val="0"/>
      <w:marTop w:val="0"/>
      <w:marBottom w:val="0"/>
      <w:divBdr>
        <w:top w:val="none" w:sz="0" w:space="0" w:color="auto"/>
        <w:left w:val="none" w:sz="0" w:space="0" w:color="auto"/>
        <w:bottom w:val="none" w:sz="0" w:space="0" w:color="auto"/>
        <w:right w:val="none" w:sz="0" w:space="0" w:color="auto"/>
      </w:divBdr>
    </w:div>
    <w:div w:id="1414081077">
      <w:bodyDiv w:val="1"/>
      <w:marLeft w:val="0"/>
      <w:marRight w:val="0"/>
      <w:marTop w:val="0"/>
      <w:marBottom w:val="0"/>
      <w:divBdr>
        <w:top w:val="none" w:sz="0" w:space="0" w:color="auto"/>
        <w:left w:val="none" w:sz="0" w:space="0" w:color="auto"/>
        <w:bottom w:val="none" w:sz="0" w:space="0" w:color="auto"/>
        <w:right w:val="none" w:sz="0" w:space="0" w:color="auto"/>
      </w:divBdr>
    </w:div>
    <w:div w:id="1620992496">
      <w:bodyDiv w:val="1"/>
      <w:marLeft w:val="0"/>
      <w:marRight w:val="0"/>
      <w:marTop w:val="0"/>
      <w:marBottom w:val="0"/>
      <w:divBdr>
        <w:top w:val="none" w:sz="0" w:space="0" w:color="auto"/>
        <w:left w:val="none" w:sz="0" w:space="0" w:color="auto"/>
        <w:bottom w:val="none" w:sz="0" w:space="0" w:color="auto"/>
        <w:right w:val="none" w:sz="0" w:space="0" w:color="auto"/>
      </w:divBdr>
    </w:div>
    <w:div w:id="1667980077">
      <w:bodyDiv w:val="1"/>
      <w:marLeft w:val="0"/>
      <w:marRight w:val="0"/>
      <w:marTop w:val="0"/>
      <w:marBottom w:val="0"/>
      <w:divBdr>
        <w:top w:val="none" w:sz="0" w:space="0" w:color="auto"/>
        <w:left w:val="none" w:sz="0" w:space="0" w:color="auto"/>
        <w:bottom w:val="none" w:sz="0" w:space="0" w:color="auto"/>
        <w:right w:val="none" w:sz="0" w:space="0" w:color="auto"/>
      </w:divBdr>
    </w:div>
    <w:div w:id="1701468496">
      <w:bodyDiv w:val="1"/>
      <w:marLeft w:val="0"/>
      <w:marRight w:val="0"/>
      <w:marTop w:val="0"/>
      <w:marBottom w:val="0"/>
      <w:divBdr>
        <w:top w:val="none" w:sz="0" w:space="0" w:color="auto"/>
        <w:left w:val="none" w:sz="0" w:space="0" w:color="auto"/>
        <w:bottom w:val="none" w:sz="0" w:space="0" w:color="auto"/>
        <w:right w:val="none" w:sz="0" w:space="0" w:color="auto"/>
      </w:divBdr>
    </w:div>
    <w:div w:id="1755012375">
      <w:bodyDiv w:val="1"/>
      <w:marLeft w:val="0"/>
      <w:marRight w:val="0"/>
      <w:marTop w:val="0"/>
      <w:marBottom w:val="0"/>
      <w:divBdr>
        <w:top w:val="none" w:sz="0" w:space="0" w:color="auto"/>
        <w:left w:val="none" w:sz="0" w:space="0" w:color="auto"/>
        <w:bottom w:val="none" w:sz="0" w:space="0" w:color="auto"/>
        <w:right w:val="none" w:sz="0" w:space="0" w:color="auto"/>
      </w:divBdr>
    </w:div>
    <w:div w:id="1796830007">
      <w:bodyDiv w:val="1"/>
      <w:marLeft w:val="0"/>
      <w:marRight w:val="0"/>
      <w:marTop w:val="0"/>
      <w:marBottom w:val="0"/>
      <w:divBdr>
        <w:top w:val="none" w:sz="0" w:space="0" w:color="auto"/>
        <w:left w:val="none" w:sz="0" w:space="0" w:color="auto"/>
        <w:bottom w:val="none" w:sz="0" w:space="0" w:color="auto"/>
        <w:right w:val="none" w:sz="0" w:space="0" w:color="auto"/>
      </w:divBdr>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latoria.colombiacompra.gov.co/busqueda/concepto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documentos-tipo/documentos-tip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colombiacompra.gov.co/normativa-y-relatoria/documentos-tip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acionvirtual.colombiacompra.gov.co/mod/page/view.php?id=371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le.rae.es/est%C3%A1ndar" TargetMode="External"/><Relationship Id="rId2" Type="http://schemas.openxmlformats.org/officeDocument/2006/relationships/hyperlink" Target="https://www.funcionpublica.gov.co/eva/gestornormativo/norma.php?i=84899" TargetMode="External"/><Relationship Id="rId1" Type="http://schemas.openxmlformats.org/officeDocument/2006/relationships/hyperlink" Target="https://dle.rae.es/est%C3%A1ndar" TargetMode="External"/><Relationship Id="rId4" Type="http://schemas.openxmlformats.org/officeDocument/2006/relationships/hyperlink" Target="https://www.colombiacompra.gov.co/wp-content/uploads/2026/04/ABC-Decreto-0287-de-2026-1.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2.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CDB8A3B-31BC-41B2-A240-320703FDCCFB}">
  <ds:schemaRefs>
    <ds:schemaRef ds:uri="http://schemas.openxmlformats.org/officeDocument/2006/bibliography"/>
  </ds:schemaRefs>
</ds:datastoreItem>
</file>

<file path=customXml/itemProps4.xml><?xml version="1.0" encoding="utf-8"?>
<ds:datastoreItem xmlns:ds="http://schemas.openxmlformats.org/officeDocument/2006/customXml" ds:itemID="{04333088-527E-4F9B-A765-958550EF8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35</TotalTime>
  <Pages>48</Pages>
  <Words>16689</Words>
  <Characters>91794</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6</cp:revision>
  <cp:lastPrinted>2023-01-10T21:18:00Z</cp:lastPrinted>
  <dcterms:created xsi:type="dcterms:W3CDTF">2026-05-07T01:30:00Z</dcterms:created>
  <dcterms:modified xsi:type="dcterms:W3CDTF">2026-05-22T13:47:00Z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