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4559C" w14:textId="77777777" w:rsidR="0007245B" w:rsidRDefault="0007245B" w:rsidP="0007245B">
      <w:pPr>
        <w:spacing w:after="0" w:line="240" w:lineRule="auto"/>
        <w:rPr>
          <w:rFonts w:ascii="Verdana" w:hAnsi="Verdana" w:cs="Arial"/>
          <w:b/>
          <w:color w:val="000000" w:themeColor="text1"/>
          <w:lang w:val="es-ES_tradnl"/>
        </w:rPr>
      </w:pPr>
      <w:r w:rsidRPr="008759C7">
        <w:rPr>
          <w:rFonts w:ascii="Verdana" w:hAnsi="Verdana" w:cs="Arial"/>
          <w:b/>
          <w:color w:val="000000" w:themeColor="text1"/>
          <w:lang w:val="es-ES_tradnl"/>
        </w:rPr>
        <w:t>LEY DE GARANTÍAS ELECTORALES ‒ Finalidad</w:t>
      </w:r>
    </w:p>
    <w:p w14:paraId="6504FC30" w14:textId="77777777" w:rsidR="0007245B" w:rsidRDefault="0007245B" w:rsidP="0007245B">
      <w:pPr>
        <w:spacing w:after="0" w:line="240" w:lineRule="auto"/>
        <w:rPr>
          <w:rFonts w:ascii="Verdana" w:hAnsi="Verdana" w:cs="Arial"/>
          <w:b/>
          <w:color w:val="000000" w:themeColor="text1"/>
          <w:lang w:val="es-ES_tradnl"/>
        </w:rPr>
      </w:pPr>
    </w:p>
    <w:p w14:paraId="0B4BB853" w14:textId="77777777" w:rsidR="0007245B" w:rsidRPr="008759C7" w:rsidRDefault="0007245B" w:rsidP="0007245B">
      <w:pPr>
        <w:spacing w:after="0" w:line="240" w:lineRule="auto"/>
        <w:jc w:val="both"/>
        <w:rPr>
          <w:rFonts w:ascii="Verdana" w:eastAsia="Times New Roman" w:hAnsi="Verdana" w:cs="Arial"/>
          <w:sz w:val="20"/>
          <w:szCs w:val="20"/>
          <w:lang w:val="es-MX" w:eastAsia="es-CO"/>
        </w:rPr>
      </w:pPr>
      <w:r w:rsidRPr="008759C7">
        <w:rPr>
          <w:rFonts w:ascii="Verdana" w:eastAsia="Times New Roman" w:hAnsi="Verdana" w:cs="Arial"/>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72EAF76E" w14:textId="77777777" w:rsidR="0007245B" w:rsidRPr="0007245B" w:rsidRDefault="0007245B" w:rsidP="0007245B">
      <w:pPr>
        <w:spacing w:after="0" w:line="240" w:lineRule="auto"/>
        <w:jc w:val="both"/>
        <w:rPr>
          <w:rFonts w:ascii="Verdana" w:eastAsia="Times New Roman" w:hAnsi="Verdana" w:cs="Arial"/>
          <w:b/>
          <w:bCs/>
          <w:lang w:val="es-MX" w:eastAsia="es-CO"/>
        </w:rPr>
      </w:pPr>
    </w:p>
    <w:p w14:paraId="3B232867" w14:textId="3BF848F5" w:rsidR="0007245B" w:rsidRPr="0007245B" w:rsidRDefault="0007245B" w:rsidP="0007245B">
      <w:pPr>
        <w:spacing w:after="0" w:line="240" w:lineRule="auto"/>
        <w:jc w:val="both"/>
        <w:rPr>
          <w:rFonts w:ascii="Verdana" w:hAnsi="Verdana" w:cs="Arial"/>
          <w:b/>
          <w:bCs/>
          <w:color w:val="000000" w:themeColor="text1"/>
          <w:lang w:val="es-ES_tradnl"/>
        </w:rPr>
      </w:pPr>
      <w:r w:rsidRPr="0007245B">
        <w:rPr>
          <w:rFonts w:ascii="Verdana" w:hAnsi="Verdana" w:cs="Arial"/>
          <w:b/>
          <w:bCs/>
          <w:color w:val="000000" w:themeColor="text1"/>
          <w:lang w:val="es-ES_tradnl"/>
        </w:rPr>
        <w:t xml:space="preserve">LEY DE GARANTÍAS ELECTORALES ‒ Tipos de restricciones - </w:t>
      </w:r>
      <w:r w:rsidRPr="0007245B">
        <w:rPr>
          <w:rFonts w:ascii="Verdana" w:eastAsia="Calibri" w:hAnsi="Verdana" w:cs="Arial"/>
          <w:b/>
          <w:bCs/>
          <w:lang w:val="es-ES" w:eastAsia="es-ES"/>
        </w:rPr>
        <w:t xml:space="preserve">Ámbito temporal – </w:t>
      </w:r>
      <w:r w:rsidR="00BD02C9">
        <w:rPr>
          <w:rFonts w:ascii="Verdana" w:eastAsia="Calibri" w:hAnsi="Verdana" w:cs="Arial"/>
          <w:b/>
          <w:bCs/>
          <w:lang w:val="es-ES" w:eastAsia="es-ES"/>
        </w:rPr>
        <w:t>C</w:t>
      </w:r>
      <w:r w:rsidRPr="0007245B">
        <w:rPr>
          <w:rFonts w:ascii="Verdana" w:eastAsia="Calibri" w:hAnsi="Verdana" w:cs="Arial"/>
          <w:b/>
          <w:bCs/>
          <w:lang w:val="es-ES" w:eastAsia="es-ES"/>
        </w:rPr>
        <w:t>elebración</w:t>
      </w:r>
      <w:r w:rsidR="00BD02C9">
        <w:rPr>
          <w:rFonts w:ascii="Verdana" w:eastAsia="Calibri" w:hAnsi="Verdana" w:cs="Arial"/>
          <w:b/>
          <w:bCs/>
          <w:lang w:val="es-ES" w:eastAsia="es-ES"/>
        </w:rPr>
        <w:t xml:space="preserve"> </w:t>
      </w:r>
      <w:r w:rsidR="00BD02C9" w:rsidRPr="00BD02C9">
        <w:rPr>
          <w:rFonts w:ascii="Verdana" w:eastAsia="Calibri" w:hAnsi="Verdana" w:cs="Arial"/>
          <w:b/>
          <w:bCs/>
          <w:lang w:val="es-ES" w:eastAsia="es-ES"/>
        </w:rPr>
        <w:t>–</w:t>
      </w:r>
      <w:r w:rsidR="00BD02C9">
        <w:rPr>
          <w:rFonts w:ascii="Verdana" w:eastAsia="Calibri" w:hAnsi="Verdana" w:cs="Arial"/>
          <w:b/>
          <w:bCs/>
          <w:lang w:val="es-ES" w:eastAsia="es-ES"/>
        </w:rPr>
        <w:t xml:space="preserve"> L</w:t>
      </w:r>
      <w:r w:rsidRPr="0007245B">
        <w:rPr>
          <w:rFonts w:ascii="Verdana" w:eastAsia="Calibri" w:hAnsi="Verdana" w:cs="Arial"/>
          <w:b/>
          <w:bCs/>
          <w:lang w:val="es-ES" w:eastAsia="es-ES"/>
        </w:rPr>
        <w:t>ímite</w:t>
      </w:r>
    </w:p>
    <w:p w14:paraId="4ED1D18E" w14:textId="77777777" w:rsidR="0007245B" w:rsidRDefault="0007245B" w:rsidP="0007245B">
      <w:pPr>
        <w:spacing w:after="0" w:line="240" w:lineRule="auto"/>
        <w:jc w:val="both"/>
        <w:rPr>
          <w:rFonts w:ascii="Verdana" w:hAnsi="Verdana" w:cs="Arial"/>
          <w:b/>
          <w:color w:val="000000" w:themeColor="text1"/>
          <w:lang w:val="es-ES_tradnl"/>
        </w:rPr>
      </w:pPr>
    </w:p>
    <w:p w14:paraId="62612221" w14:textId="77777777" w:rsidR="0007245B" w:rsidRPr="008759C7" w:rsidRDefault="0007245B" w:rsidP="0007245B">
      <w:pPr>
        <w:spacing w:after="120" w:line="240"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 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43673B42" w14:textId="77777777" w:rsidR="0007245B" w:rsidRPr="008759C7" w:rsidRDefault="0007245B" w:rsidP="0007245B">
      <w:pPr>
        <w:spacing w:after="0" w:line="240" w:lineRule="auto"/>
        <w:jc w:val="both"/>
        <w:rPr>
          <w:rFonts w:ascii="Verdana" w:eastAsia="Times New Roman" w:hAnsi="Verdana" w:cs="Arial"/>
          <w:b/>
          <w:sz w:val="20"/>
          <w:szCs w:val="20"/>
          <w:lang w:val="es-MX" w:eastAsia="es-CO"/>
        </w:rPr>
      </w:pPr>
      <w:r w:rsidRPr="008759C7">
        <w:rPr>
          <w:rFonts w:ascii="Verdana" w:eastAsia="Times New Roman" w:hAnsi="Verdana" w:cs="Open Sans"/>
          <w:sz w:val="20"/>
          <w:szCs w:val="20"/>
          <w:lang w:eastAsia="es-CO"/>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p w14:paraId="6A5922B3" w14:textId="77777777" w:rsidR="0007245B" w:rsidRPr="008759C7" w:rsidRDefault="0007245B" w:rsidP="0007245B">
      <w:pPr>
        <w:spacing w:after="0" w:line="240" w:lineRule="auto"/>
        <w:rPr>
          <w:rFonts w:ascii="Verdana" w:eastAsia="Geomanist Light" w:hAnsi="Verdana" w:cs="Arial"/>
          <w:b/>
          <w:color w:val="000000" w:themeColor="text1"/>
          <w:lang w:val="es-MX"/>
        </w:rPr>
      </w:pPr>
    </w:p>
    <w:p w14:paraId="7895110E" w14:textId="77777777" w:rsidR="0007245B" w:rsidRDefault="0007245B" w:rsidP="0007245B">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t xml:space="preserve">[…] </w:t>
      </w:r>
    </w:p>
    <w:p w14:paraId="09BC32BC" w14:textId="77777777" w:rsidR="0007245B" w:rsidRDefault="0007245B" w:rsidP="0007245B">
      <w:pPr>
        <w:spacing w:after="0" w:line="240" w:lineRule="auto"/>
        <w:rPr>
          <w:rFonts w:ascii="Verdana" w:eastAsia="Geomanist Light" w:hAnsi="Verdana" w:cs="Arial"/>
          <w:color w:val="000000" w:themeColor="text1"/>
          <w:lang w:val="es-MX"/>
        </w:rPr>
      </w:pPr>
    </w:p>
    <w:p w14:paraId="13F31876" w14:textId="77777777" w:rsidR="0007245B" w:rsidRPr="008759C7" w:rsidRDefault="0007245B" w:rsidP="0007245B">
      <w:pPr>
        <w:spacing w:after="0" w:line="240" w:lineRule="auto"/>
        <w:jc w:val="both"/>
        <w:rPr>
          <w:rFonts w:ascii="Verdana" w:eastAsia="Times New Roman" w:hAnsi="Verdana" w:cs="Open Sans"/>
          <w:sz w:val="20"/>
          <w:szCs w:val="20"/>
          <w:lang w:eastAsia="es-CO"/>
        </w:rPr>
      </w:pPr>
      <w:r w:rsidRPr="008759C7">
        <w:rPr>
          <w:rFonts w:ascii="Verdana" w:eastAsia="Times New Roman" w:hAnsi="Verdana" w:cs="Open Sans"/>
          <w:sz w:val="20"/>
          <w:szCs w:val="20"/>
          <w:lang w:eastAsia="es-CO"/>
        </w:rPr>
        <w:t xml:space="preserve">[…] se observa entonces que el parágrafo del artículo 38 de la Ley 996 de 2005 prohíbe a los </w:t>
      </w:r>
      <w:proofErr w:type="gramStart"/>
      <w:r w:rsidRPr="008759C7">
        <w:rPr>
          <w:rFonts w:ascii="Verdana" w:eastAsia="Times New Roman" w:hAnsi="Verdana" w:cs="Open Sans"/>
          <w:sz w:val="20"/>
          <w:szCs w:val="20"/>
          <w:lang w:eastAsia="es-CO"/>
        </w:rPr>
        <w:t>Alcaldes</w:t>
      </w:r>
      <w:proofErr w:type="gramEnd"/>
      <w:r w:rsidRPr="008759C7">
        <w:rPr>
          <w:rFonts w:ascii="Verdana" w:eastAsia="Times New Roman" w:hAnsi="Verdana" w:cs="Open Sans"/>
          <w:sz w:val="20"/>
          <w:szCs w:val="20"/>
          <w:lang w:eastAsia="es-CO"/>
        </w:rPr>
        <w:t xml:space="preserve">, Gobernadores, </w:t>
      </w:r>
      <w:proofErr w:type="gramStart"/>
      <w:r w:rsidRPr="008759C7">
        <w:rPr>
          <w:rFonts w:ascii="Verdana" w:eastAsia="Times New Roman" w:hAnsi="Verdana" w:cs="Open Sans"/>
          <w:sz w:val="20"/>
          <w:szCs w:val="20"/>
          <w:lang w:eastAsia="es-CO"/>
        </w:rPr>
        <w:t>Secretarios</w:t>
      </w:r>
      <w:proofErr w:type="gramEnd"/>
      <w:r w:rsidRPr="008759C7">
        <w:rPr>
          <w:rFonts w:ascii="Verdana" w:eastAsia="Times New Roman" w:hAnsi="Verdana" w:cs="Open Sans"/>
          <w:sz w:val="20"/>
          <w:szCs w:val="20"/>
          <w:lang w:eastAsia="es-CO"/>
        </w:rPr>
        <w:t xml:space="preserve">, Gerentes y </w:t>
      </w:r>
      <w:proofErr w:type="gramStart"/>
      <w:r w:rsidRPr="008759C7">
        <w:rPr>
          <w:rFonts w:ascii="Verdana" w:eastAsia="Times New Roman" w:hAnsi="Verdana" w:cs="Open Sans"/>
          <w:sz w:val="20"/>
          <w:szCs w:val="20"/>
          <w:lang w:eastAsia="es-CO"/>
        </w:rPr>
        <w:t>Directores</w:t>
      </w:r>
      <w:proofErr w:type="gramEnd"/>
      <w:r w:rsidRPr="008759C7">
        <w:rPr>
          <w:rFonts w:ascii="Verdana" w:eastAsia="Times New Roman" w:hAnsi="Verdana" w:cs="Open Sans"/>
          <w:sz w:val="20"/>
          <w:szCs w:val="20"/>
          <w:lang w:eastAsia="es-CO"/>
        </w:rPr>
        <w:t xml:space="preserve"> de las entidades descentralizadas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1A67B415" w14:textId="77777777" w:rsidR="0007245B" w:rsidRDefault="0007245B" w:rsidP="00F62F1C">
      <w:pPr>
        <w:spacing w:after="0" w:line="240" w:lineRule="auto"/>
        <w:rPr>
          <w:rFonts w:ascii="Verdana" w:eastAsia="Geomanist Light" w:hAnsi="Verdana" w:cs="Arial"/>
          <w:color w:val="000000" w:themeColor="text1"/>
        </w:rPr>
      </w:pPr>
    </w:p>
    <w:p w14:paraId="44A7CA3B" w14:textId="77777777" w:rsidR="0007245B" w:rsidRDefault="0007245B" w:rsidP="00F62F1C">
      <w:pPr>
        <w:spacing w:after="0" w:line="240" w:lineRule="auto"/>
        <w:rPr>
          <w:rFonts w:ascii="Verdana" w:eastAsia="Geomanist Light" w:hAnsi="Verdana" w:cs="Arial"/>
          <w:color w:val="000000" w:themeColor="text1"/>
        </w:rPr>
      </w:pPr>
    </w:p>
    <w:p w14:paraId="1ABDFAEB" w14:textId="407C0BF1" w:rsidR="0007245B" w:rsidRDefault="0007245B" w:rsidP="00F62F1C">
      <w:pPr>
        <w:spacing w:after="0" w:line="240" w:lineRule="auto"/>
        <w:rPr>
          <w:rFonts w:ascii="Verdana" w:eastAsia="Calibri" w:hAnsi="Verdana" w:cs="Arial"/>
          <w:b/>
          <w:bCs/>
          <w:lang w:val="es-ES" w:eastAsia="es-ES"/>
        </w:rPr>
      </w:pPr>
      <w:r w:rsidRPr="0007245B">
        <w:rPr>
          <w:rFonts w:ascii="Verdana" w:eastAsia="Calibri" w:hAnsi="Verdana" w:cs="Arial"/>
          <w:b/>
          <w:bCs/>
          <w:lang w:val="es-ES" w:eastAsia="es-ES"/>
        </w:rPr>
        <w:lastRenderedPageBreak/>
        <w:t xml:space="preserve">LEY DE GARANTÍAS ELECTORALES </w:t>
      </w:r>
      <w:r w:rsidR="00BD02C9" w:rsidRPr="00BD02C9">
        <w:rPr>
          <w:rFonts w:ascii="Verdana" w:eastAsia="Calibri" w:hAnsi="Verdana" w:cs="Arial"/>
          <w:b/>
          <w:bCs/>
          <w:lang w:val="es-ES" w:eastAsia="es-ES"/>
        </w:rPr>
        <w:t>–</w:t>
      </w:r>
      <w:r w:rsidRPr="0007245B">
        <w:rPr>
          <w:rFonts w:ascii="Verdana" w:eastAsia="Calibri" w:hAnsi="Verdana" w:cs="Arial"/>
          <w:b/>
          <w:bCs/>
          <w:lang w:val="es-ES" w:eastAsia="es-ES"/>
        </w:rPr>
        <w:t xml:space="preserve"> Adiciones – Prórrogas</w:t>
      </w:r>
    </w:p>
    <w:p w14:paraId="2896F0AC" w14:textId="77777777" w:rsidR="0007245B" w:rsidRDefault="0007245B" w:rsidP="00F62F1C">
      <w:pPr>
        <w:spacing w:after="0" w:line="240" w:lineRule="auto"/>
        <w:rPr>
          <w:rFonts w:ascii="Verdana" w:eastAsia="Calibri" w:hAnsi="Verdana" w:cs="Arial"/>
          <w:b/>
          <w:bCs/>
          <w:lang w:val="es-ES" w:eastAsia="es-ES"/>
        </w:rPr>
      </w:pPr>
    </w:p>
    <w:p w14:paraId="76E79C9D" w14:textId="37C2FE3D" w:rsidR="0007245B" w:rsidRPr="0007245B" w:rsidRDefault="0007245B" w:rsidP="0007245B">
      <w:pPr>
        <w:spacing w:after="0" w:line="240" w:lineRule="auto"/>
        <w:jc w:val="both"/>
        <w:rPr>
          <w:rFonts w:ascii="Verdana" w:eastAsia="Times New Roman" w:hAnsi="Verdana" w:cs="Open Sans"/>
          <w:sz w:val="20"/>
          <w:szCs w:val="20"/>
          <w:lang w:eastAsia="es-CO"/>
        </w:rPr>
      </w:pPr>
      <w:r w:rsidRPr="0007245B">
        <w:rPr>
          <w:rFonts w:ascii="Verdana" w:eastAsia="Times New Roman" w:hAnsi="Verdana" w:cs="Open Sans"/>
          <w:sz w:val="20"/>
          <w:szCs w:val="20"/>
          <w:lang w:eastAsia="es-CO"/>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 Es por eso </w:t>
      </w:r>
      <w:proofErr w:type="gramStart"/>
      <w:r w:rsidRPr="0007245B">
        <w:rPr>
          <w:rFonts w:ascii="Verdana" w:eastAsia="Times New Roman" w:hAnsi="Verdana" w:cs="Open Sans"/>
          <w:sz w:val="20"/>
          <w:szCs w:val="20"/>
          <w:lang w:eastAsia="es-CO"/>
        </w:rPr>
        <w:t>que</w:t>
      </w:r>
      <w:proofErr w:type="gramEnd"/>
      <w:r w:rsidRPr="0007245B">
        <w:rPr>
          <w:rFonts w:ascii="Verdana" w:eastAsia="Times New Roman" w:hAnsi="Verdana" w:cs="Open Sans"/>
          <w:sz w:val="20"/>
          <w:szCs w:val="20"/>
          <w:lang w:eastAsia="es-CO"/>
        </w:rPr>
        <w:t>, los contratos estatales pueden ser objeto de situaciones que impliquen la necesidad de adicionar o modificar las condiciones inicialmente pactadas, conforme lo establece el artículo 40 de la Ley 80 de 1993</w:t>
      </w:r>
      <w:r w:rsidR="00BD02C9">
        <w:rPr>
          <w:rFonts w:ascii="Verdana" w:eastAsia="Times New Roman" w:hAnsi="Verdana" w:cs="Open Sans"/>
          <w:sz w:val="20"/>
          <w:szCs w:val="20"/>
          <w:lang w:eastAsia="es-CO"/>
        </w:rPr>
        <w:t>.</w:t>
      </w:r>
    </w:p>
    <w:p w14:paraId="6211DFB7" w14:textId="77777777" w:rsidR="0007245B" w:rsidRPr="0007245B" w:rsidRDefault="0007245B" w:rsidP="00F62F1C">
      <w:pPr>
        <w:spacing w:after="0" w:line="240" w:lineRule="auto"/>
        <w:rPr>
          <w:rFonts w:ascii="Verdana" w:eastAsia="Geomanist Light" w:hAnsi="Verdana" w:cs="Arial"/>
          <w:color w:val="000000" w:themeColor="text1"/>
        </w:rPr>
      </w:pPr>
    </w:p>
    <w:p w14:paraId="0E91747D" w14:textId="77777777" w:rsidR="0007245B" w:rsidRDefault="0007245B" w:rsidP="00F62F1C">
      <w:pPr>
        <w:spacing w:after="0" w:line="240" w:lineRule="auto"/>
        <w:rPr>
          <w:rFonts w:ascii="Verdana" w:eastAsia="Geomanist Light" w:hAnsi="Verdana" w:cs="Arial"/>
          <w:color w:val="000000" w:themeColor="text1"/>
          <w:lang w:val="es-MX"/>
        </w:rPr>
      </w:pPr>
    </w:p>
    <w:p w14:paraId="7D7E2EE0" w14:textId="77777777" w:rsidR="0007245B" w:rsidRDefault="0007245B" w:rsidP="00F62F1C">
      <w:pPr>
        <w:spacing w:after="0" w:line="240" w:lineRule="auto"/>
        <w:rPr>
          <w:rFonts w:ascii="Verdana" w:eastAsia="Geomanist Light" w:hAnsi="Verdana" w:cs="Arial"/>
          <w:color w:val="000000" w:themeColor="text1"/>
          <w:lang w:val="es-MX"/>
        </w:rPr>
      </w:pPr>
    </w:p>
    <w:p w14:paraId="67F4BAFE" w14:textId="77777777" w:rsidR="0007245B" w:rsidRDefault="0007245B" w:rsidP="00F62F1C">
      <w:pPr>
        <w:spacing w:after="0" w:line="240" w:lineRule="auto"/>
        <w:rPr>
          <w:rFonts w:ascii="Verdana" w:eastAsia="Geomanist Light" w:hAnsi="Verdana" w:cs="Arial"/>
          <w:color w:val="000000" w:themeColor="text1"/>
          <w:lang w:val="es-MX"/>
        </w:rPr>
      </w:pPr>
    </w:p>
    <w:p w14:paraId="1F622396" w14:textId="77777777" w:rsidR="0007245B" w:rsidRDefault="0007245B" w:rsidP="00F62F1C">
      <w:pPr>
        <w:spacing w:after="0" w:line="240" w:lineRule="auto"/>
        <w:rPr>
          <w:rFonts w:ascii="Verdana" w:eastAsia="Geomanist Light" w:hAnsi="Verdana" w:cs="Arial"/>
          <w:color w:val="000000" w:themeColor="text1"/>
          <w:lang w:val="es-MX"/>
        </w:rPr>
      </w:pPr>
    </w:p>
    <w:p w14:paraId="67886D5D" w14:textId="77777777" w:rsidR="0007245B" w:rsidRDefault="0007245B" w:rsidP="00F62F1C">
      <w:pPr>
        <w:spacing w:after="0" w:line="240" w:lineRule="auto"/>
        <w:rPr>
          <w:rFonts w:ascii="Verdana" w:eastAsia="Geomanist Light" w:hAnsi="Verdana" w:cs="Arial"/>
          <w:color w:val="000000" w:themeColor="text1"/>
          <w:lang w:val="es-MX"/>
        </w:rPr>
      </w:pPr>
    </w:p>
    <w:p w14:paraId="45ADCA61" w14:textId="77777777" w:rsidR="0007245B" w:rsidRDefault="0007245B" w:rsidP="00F62F1C">
      <w:pPr>
        <w:spacing w:after="0" w:line="240" w:lineRule="auto"/>
        <w:rPr>
          <w:rFonts w:ascii="Verdana" w:eastAsia="Geomanist Light" w:hAnsi="Verdana" w:cs="Arial"/>
          <w:color w:val="000000" w:themeColor="text1"/>
          <w:lang w:val="es-MX"/>
        </w:rPr>
      </w:pPr>
    </w:p>
    <w:p w14:paraId="3F8C5374" w14:textId="77777777" w:rsidR="0007245B" w:rsidRDefault="0007245B" w:rsidP="00F62F1C">
      <w:pPr>
        <w:spacing w:after="0" w:line="240" w:lineRule="auto"/>
        <w:rPr>
          <w:rFonts w:ascii="Verdana" w:eastAsia="Geomanist Light" w:hAnsi="Verdana" w:cs="Arial"/>
          <w:color w:val="000000" w:themeColor="text1"/>
          <w:lang w:val="es-MX"/>
        </w:rPr>
      </w:pPr>
    </w:p>
    <w:p w14:paraId="5D24CBB3" w14:textId="77777777" w:rsidR="0007245B" w:rsidRDefault="0007245B" w:rsidP="00F62F1C">
      <w:pPr>
        <w:spacing w:after="0" w:line="240" w:lineRule="auto"/>
        <w:rPr>
          <w:rFonts w:ascii="Verdana" w:eastAsia="Geomanist Light" w:hAnsi="Verdana" w:cs="Arial"/>
          <w:color w:val="000000" w:themeColor="text1"/>
          <w:lang w:val="es-MX"/>
        </w:rPr>
      </w:pPr>
    </w:p>
    <w:p w14:paraId="1EE75E0B" w14:textId="77777777" w:rsidR="0007245B" w:rsidRDefault="0007245B" w:rsidP="00F62F1C">
      <w:pPr>
        <w:spacing w:after="0" w:line="240" w:lineRule="auto"/>
        <w:rPr>
          <w:rFonts w:ascii="Verdana" w:eastAsia="Geomanist Light" w:hAnsi="Verdana" w:cs="Arial"/>
          <w:color w:val="000000" w:themeColor="text1"/>
          <w:lang w:val="es-MX"/>
        </w:rPr>
      </w:pPr>
    </w:p>
    <w:p w14:paraId="4A5A2B6F" w14:textId="77777777" w:rsidR="0007245B" w:rsidRDefault="0007245B" w:rsidP="00F62F1C">
      <w:pPr>
        <w:spacing w:after="0" w:line="240" w:lineRule="auto"/>
        <w:rPr>
          <w:rFonts w:ascii="Verdana" w:eastAsia="Geomanist Light" w:hAnsi="Verdana" w:cs="Arial"/>
          <w:color w:val="000000" w:themeColor="text1"/>
          <w:lang w:val="es-MX"/>
        </w:rPr>
      </w:pPr>
    </w:p>
    <w:p w14:paraId="5D5CE4B0" w14:textId="77777777" w:rsidR="0007245B" w:rsidRDefault="0007245B" w:rsidP="00F62F1C">
      <w:pPr>
        <w:spacing w:after="0" w:line="240" w:lineRule="auto"/>
        <w:rPr>
          <w:rFonts w:ascii="Verdana" w:eastAsia="Geomanist Light" w:hAnsi="Verdana" w:cs="Arial"/>
          <w:color w:val="000000" w:themeColor="text1"/>
          <w:lang w:val="es-MX"/>
        </w:rPr>
      </w:pPr>
    </w:p>
    <w:p w14:paraId="48FB2D29" w14:textId="77777777" w:rsidR="0007245B" w:rsidRDefault="0007245B" w:rsidP="00F62F1C">
      <w:pPr>
        <w:spacing w:after="0" w:line="240" w:lineRule="auto"/>
        <w:rPr>
          <w:rFonts w:ascii="Verdana" w:eastAsia="Geomanist Light" w:hAnsi="Verdana" w:cs="Arial"/>
          <w:color w:val="000000" w:themeColor="text1"/>
          <w:lang w:val="es-MX"/>
        </w:rPr>
      </w:pPr>
    </w:p>
    <w:p w14:paraId="154F00A9" w14:textId="77777777" w:rsidR="0007245B" w:rsidRDefault="0007245B" w:rsidP="00F62F1C">
      <w:pPr>
        <w:spacing w:after="0" w:line="240" w:lineRule="auto"/>
        <w:rPr>
          <w:rFonts w:ascii="Verdana" w:eastAsia="Geomanist Light" w:hAnsi="Verdana" w:cs="Arial"/>
          <w:color w:val="000000" w:themeColor="text1"/>
          <w:lang w:val="es-MX"/>
        </w:rPr>
      </w:pPr>
    </w:p>
    <w:p w14:paraId="29B8B865" w14:textId="77777777" w:rsidR="0007245B" w:rsidRDefault="0007245B" w:rsidP="00F62F1C">
      <w:pPr>
        <w:spacing w:after="0" w:line="240" w:lineRule="auto"/>
        <w:rPr>
          <w:rFonts w:ascii="Verdana" w:eastAsia="Geomanist Light" w:hAnsi="Verdana" w:cs="Arial"/>
          <w:color w:val="000000" w:themeColor="text1"/>
          <w:lang w:val="es-MX"/>
        </w:rPr>
      </w:pPr>
    </w:p>
    <w:p w14:paraId="01FC6077" w14:textId="77777777" w:rsidR="0007245B" w:rsidRDefault="0007245B" w:rsidP="00F62F1C">
      <w:pPr>
        <w:spacing w:after="0" w:line="240" w:lineRule="auto"/>
        <w:rPr>
          <w:rFonts w:ascii="Verdana" w:eastAsia="Geomanist Light" w:hAnsi="Verdana" w:cs="Arial"/>
          <w:color w:val="000000" w:themeColor="text1"/>
          <w:lang w:val="es-MX"/>
        </w:rPr>
      </w:pPr>
    </w:p>
    <w:p w14:paraId="018D6161" w14:textId="77777777" w:rsidR="0007245B" w:rsidRDefault="0007245B" w:rsidP="00F62F1C">
      <w:pPr>
        <w:spacing w:after="0" w:line="240" w:lineRule="auto"/>
        <w:rPr>
          <w:rFonts w:ascii="Verdana" w:eastAsia="Geomanist Light" w:hAnsi="Verdana" w:cs="Arial"/>
          <w:color w:val="000000" w:themeColor="text1"/>
          <w:lang w:val="es-MX"/>
        </w:rPr>
      </w:pPr>
    </w:p>
    <w:p w14:paraId="74516D25" w14:textId="77777777" w:rsidR="0007245B" w:rsidRDefault="0007245B" w:rsidP="00F62F1C">
      <w:pPr>
        <w:spacing w:after="0" w:line="240" w:lineRule="auto"/>
        <w:rPr>
          <w:rFonts w:ascii="Verdana" w:eastAsia="Geomanist Light" w:hAnsi="Verdana" w:cs="Arial"/>
          <w:color w:val="000000" w:themeColor="text1"/>
          <w:lang w:val="es-MX"/>
        </w:rPr>
      </w:pPr>
    </w:p>
    <w:p w14:paraId="753AD79A" w14:textId="77777777" w:rsidR="0007245B" w:rsidRDefault="0007245B" w:rsidP="00F62F1C">
      <w:pPr>
        <w:spacing w:after="0" w:line="240" w:lineRule="auto"/>
        <w:rPr>
          <w:rFonts w:ascii="Verdana" w:eastAsia="Geomanist Light" w:hAnsi="Verdana" w:cs="Arial"/>
          <w:color w:val="000000" w:themeColor="text1"/>
          <w:lang w:val="es-MX"/>
        </w:rPr>
      </w:pPr>
    </w:p>
    <w:p w14:paraId="3547AB3F" w14:textId="77777777" w:rsidR="0007245B" w:rsidRDefault="0007245B" w:rsidP="00F62F1C">
      <w:pPr>
        <w:spacing w:after="0" w:line="240" w:lineRule="auto"/>
        <w:rPr>
          <w:rFonts w:ascii="Verdana" w:eastAsia="Geomanist Light" w:hAnsi="Verdana" w:cs="Arial"/>
          <w:color w:val="000000" w:themeColor="text1"/>
          <w:lang w:val="es-MX"/>
        </w:rPr>
      </w:pPr>
    </w:p>
    <w:p w14:paraId="111300AA" w14:textId="77777777" w:rsidR="0007245B" w:rsidRDefault="0007245B" w:rsidP="00F62F1C">
      <w:pPr>
        <w:spacing w:after="0" w:line="240" w:lineRule="auto"/>
        <w:rPr>
          <w:rFonts w:ascii="Verdana" w:eastAsia="Geomanist Light" w:hAnsi="Verdana" w:cs="Arial"/>
          <w:color w:val="000000" w:themeColor="text1"/>
          <w:lang w:val="es-MX"/>
        </w:rPr>
      </w:pPr>
    </w:p>
    <w:p w14:paraId="12D4D9BB" w14:textId="77777777" w:rsidR="0007245B" w:rsidRDefault="0007245B" w:rsidP="00F62F1C">
      <w:pPr>
        <w:spacing w:after="0" w:line="240" w:lineRule="auto"/>
        <w:rPr>
          <w:rFonts w:ascii="Verdana" w:eastAsia="Geomanist Light" w:hAnsi="Verdana" w:cs="Arial"/>
          <w:color w:val="000000" w:themeColor="text1"/>
          <w:lang w:val="es-MX"/>
        </w:rPr>
      </w:pPr>
    </w:p>
    <w:p w14:paraId="5735B4E3" w14:textId="77777777" w:rsidR="0007245B" w:rsidRDefault="0007245B" w:rsidP="00F62F1C">
      <w:pPr>
        <w:spacing w:after="0" w:line="240" w:lineRule="auto"/>
        <w:rPr>
          <w:rFonts w:ascii="Verdana" w:eastAsia="Geomanist Light" w:hAnsi="Verdana" w:cs="Arial"/>
          <w:color w:val="000000" w:themeColor="text1"/>
          <w:lang w:val="es-MX"/>
        </w:rPr>
      </w:pPr>
    </w:p>
    <w:p w14:paraId="5C18B0E2" w14:textId="77777777" w:rsidR="0007245B" w:rsidRDefault="0007245B" w:rsidP="00F62F1C">
      <w:pPr>
        <w:spacing w:after="0" w:line="240" w:lineRule="auto"/>
        <w:rPr>
          <w:rFonts w:ascii="Verdana" w:eastAsia="Geomanist Light" w:hAnsi="Verdana" w:cs="Arial"/>
          <w:color w:val="000000" w:themeColor="text1"/>
          <w:lang w:val="es-MX"/>
        </w:rPr>
      </w:pPr>
    </w:p>
    <w:p w14:paraId="47F56890" w14:textId="77777777" w:rsidR="0007245B" w:rsidRDefault="0007245B" w:rsidP="00F62F1C">
      <w:pPr>
        <w:spacing w:after="0" w:line="240" w:lineRule="auto"/>
        <w:rPr>
          <w:rFonts w:ascii="Verdana" w:eastAsia="Geomanist Light" w:hAnsi="Verdana" w:cs="Arial"/>
          <w:color w:val="000000" w:themeColor="text1"/>
          <w:lang w:val="es-MX"/>
        </w:rPr>
      </w:pPr>
    </w:p>
    <w:p w14:paraId="56DE192B" w14:textId="77777777" w:rsidR="0007245B" w:rsidRDefault="0007245B" w:rsidP="00F62F1C">
      <w:pPr>
        <w:spacing w:after="0" w:line="240" w:lineRule="auto"/>
        <w:rPr>
          <w:rFonts w:ascii="Verdana" w:eastAsia="Geomanist Light" w:hAnsi="Verdana" w:cs="Arial"/>
          <w:color w:val="000000" w:themeColor="text1"/>
          <w:lang w:val="es-MX"/>
        </w:rPr>
      </w:pPr>
    </w:p>
    <w:p w14:paraId="244CC731" w14:textId="77777777" w:rsidR="0007245B" w:rsidRDefault="0007245B" w:rsidP="00F62F1C">
      <w:pPr>
        <w:spacing w:after="0" w:line="240" w:lineRule="auto"/>
        <w:rPr>
          <w:rFonts w:ascii="Verdana" w:eastAsia="Geomanist Light" w:hAnsi="Verdana" w:cs="Arial"/>
          <w:color w:val="000000" w:themeColor="text1"/>
          <w:lang w:val="es-MX"/>
        </w:rPr>
      </w:pPr>
    </w:p>
    <w:p w14:paraId="1892B5A6" w14:textId="77777777" w:rsidR="0007245B" w:rsidRDefault="0007245B" w:rsidP="00F62F1C">
      <w:pPr>
        <w:spacing w:after="0" w:line="240" w:lineRule="auto"/>
        <w:rPr>
          <w:rFonts w:ascii="Verdana" w:eastAsia="Geomanist Light" w:hAnsi="Verdana" w:cs="Arial"/>
          <w:color w:val="000000" w:themeColor="text1"/>
          <w:lang w:val="es-MX"/>
        </w:rPr>
      </w:pPr>
    </w:p>
    <w:p w14:paraId="352323E9" w14:textId="77777777" w:rsidR="0007245B" w:rsidRDefault="0007245B" w:rsidP="00F62F1C">
      <w:pPr>
        <w:spacing w:after="0" w:line="240" w:lineRule="auto"/>
        <w:rPr>
          <w:rFonts w:ascii="Verdana" w:eastAsia="Geomanist Light" w:hAnsi="Verdana" w:cs="Arial"/>
          <w:color w:val="000000" w:themeColor="text1"/>
          <w:lang w:val="es-MX"/>
        </w:rPr>
      </w:pPr>
    </w:p>
    <w:p w14:paraId="5794E603" w14:textId="77777777" w:rsidR="0007245B" w:rsidRDefault="0007245B" w:rsidP="00F62F1C">
      <w:pPr>
        <w:spacing w:after="0" w:line="240" w:lineRule="auto"/>
        <w:rPr>
          <w:rFonts w:ascii="Verdana" w:eastAsia="Geomanist Light" w:hAnsi="Verdana" w:cs="Arial"/>
          <w:color w:val="000000" w:themeColor="text1"/>
          <w:lang w:val="es-MX"/>
        </w:rPr>
      </w:pPr>
    </w:p>
    <w:p w14:paraId="267C0E18" w14:textId="3D3C793B" w:rsidR="00F62F1C" w:rsidRPr="0050687B" w:rsidRDefault="00F62F1C" w:rsidP="00F62F1C">
      <w:pPr>
        <w:spacing w:after="0" w:line="240" w:lineRule="auto"/>
        <w:rPr>
          <w:rFonts w:ascii="Verdana" w:eastAsia="Times New Roman" w:hAnsi="Verdana" w:cs="Arial"/>
          <w:lang w:eastAsia="es-ES_tradnl"/>
        </w:rPr>
      </w:pPr>
      <w:r w:rsidRPr="00CF64C0">
        <w:rPr>
          <w:rFonts w:ascii="Verdana" w:eastAsia="Geomanist Light" w:hAnsi="Verdana" w:cs="Arial"/>
          <w:color w:val="000000" w:themeColor="text1"/>
          <w:lang w:val="es-MX"/>
        </w:rPr>
        <w:lastRenderedPageBreak/>
        <w:t>Bogotá D.C., </w:t>
      </w:r>
      <w:r w:rsidR="0007245B">
        <w:rPr>
          <w:rFonts w:ascii="Verdana" w:eastAsia="Geomanist Light" w:hAnsi="Verdana" w:cs="Arial"/>
          <w:color w:val="201F1E"/>
          <w:lang w:val="es-MX"/>
        </w:rPr>
        <w:t>13</w:t>
      </w:r>
      <w:r w:rsidRPr="00CF64C0">
        <w:rPr>
          <w:rFonts w:ascii="Verdana" w:eastAsia="Geomanist Light" w:hAnsi="Verdana" w:cs="Arial"/>
          <w:color w:val="201F1E"/>
          <w:lang w:val="es-MX"/>
        </w:rPr>
        <w:t xml:space="preserve"> de </w:t>
      </w:r>
      <w:r w:rsidR="0007245B">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07245B">
        <w:rPr>
          <w:rFonts w:ascii="Verdana" w:eastAsia="Geomanist Light" w:hAnsi="Verdana" w:cs="Arial"/>
          <w:color w:val="201F1E"/>
          <w:lang w:val="es-MX"/>
        </w:rPr>
        <w:t>2026</w:t>
      </w:r>
    </w:p>
    <w:p w14:paraId="00357C80" w14:textId="77777777" w:rsidR="00F62F1C" w:rsidRPr="00AC1A3B" w:rsidRDefault="00F62F1C" w:rsidP="00F62F1C">
      <w:pPr>
        <w:spacing w:after="0" w:line="240" w:lineRule="auto"/>
        <w:jc w:val="both"/>
        <w:rPr>
          <w:rFonts w:ascii="Verdana" w:eastAsia="Calibri" w:hAnsi="Verdana" w:cs="Arial"/>
          <w:color w:val="000000"/>
        </w:rPr>
      </w:pPr>
    </w:p>
    <w:p w14:paraId="270643E5" w14:textId="031822F0" w:rsidR="0007245B" w:rsidRDefault="0007245B" w:rsidP="0007245B">
      <w:pPr>
        <w:spacing w:after="0" w:line="240" w:lineRule="auto"/>
        <w:ind w:left="4956"/>
        <w:jc w:val="both"/>
        <w:rPr>
          <w:rFonts w:ascii="Verdana" w:eastAsia="Calibri" w:hAnsi="Verdana" w:cs="Arial"/>
          <w:lang w:val="es-ES" w:eastAsia="es-ES"/>
        </w:rPr>
      </w:pPr>
      <w:r w:rsidRPr="0007245B">
        <w:rPr>
          <w:rFonts w:ascii="Verdana" w:eastAsia="Calibri" w:hAnsi="Verdana" w:cs="Arial"/>
          <w:noProof/>
          <w:lang w:val="es-ES" w:eastAsia="es-ES"/>
        </w:rPr>
        <w:drawing>
          <wp:inline distT="0" distB="0" distL="0" distR="0" wp14:anchorId="5000F00F" wp14:editId="22A25886">
            <wp:extent cx="2466975" cy="779228"/>
            <wp:effectExtent l="0" t="0" r="0" b="1905"/>
            <wp:docPr id="1936964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96438" name=""/>
                    <pic:cNvPicPr/>
                  </pic:nvPicPr>
                  <pic:blipFill>
                    <a:blip r:embed="rId11"/>
                    <a:stretch>
                      <a:fillRect/>
                    </a:stretch>
                  </pic:blipFill>
                  <pic:spPr>
                    <a:xfrm>
                      <a:off x="0" y="0"/>
                      <a:ext cx="2467675" cy="779449"/>
                    </a:xfrm>
                    <a:prstGeom prst="rect">
                      <a:avLst/>
                    </a:prstGeom>
                  </pic:spPr>
                </pic:pic>
              </a:graphicData>
            </a:graphic>
          </wp:inline>
        </w:drawing>
      </w:r>
    </w:p>
    <w:p w14:paraId="1EF5DC72" w14:textId="6EB16896" w:rsidR="00F62F1C" w:rsidRPr="00B96799" w:rsidRDefault="00F62F1C" w:rsidP="00F62F1C">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5916BFC1" w14:textId="77777777" w:rsidR="00F62F1C" w:rsidRPr="00875F03" w:rsidRDefault="00F62F1C" w:rsidP="00F62F1C">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Poema Jineth Cardona Lancheros</w:t>
      </w:r>
    </w:p>
    <w:p w14:paraId="58C73C22" w14:textId="77777777" w:rsidR="00F62F1C" w:rsidRDefault="00F62F1C" w:rsidP="00F62F1C">
      <w:pPr>
        <w:spacing w:after="0" w:line="240" w:lineRule="auto"/>
        <w:rPr>
          <w:rFonts w:ascii="Verdana" w:eastAsia="Calibri" w:hAnsi="Verdana" w:cs="Arial"/>
          <w:lang w:val="es-ES" w:eastAsia="es-ES"/>
        </w:rPr>
      </w:pPr>
      <w:r w:rsidRPr="00AC1A3B">
        <w:rPr>
          <w:rFonts w:ascii="Verdana" w:eastAsia="Calibri" w:hAnsi="Verdana" w:cs="Arial"/>
          <w:lang w:val="es-ES" w:eastAsia="es-ES"/>
        </w:rPr>
        <w:t xml:space="preserve">Consejo Profesional de Administración Ambiental </w:t>
      </w:r>
      <w:r>
        <w:rPr>
          <w:rFonts w:ascii="Verdana" w:eastAsia="Calibri" w:hAnsi="Verdana" w:cs="Arial"/>
          <w:lang w:val="es-ES" w:eastAsia="es-ES"/>
        </w:rPr>
        <w:t>–</w:t>
      </w:r>
      <w:r w:rsidRPr="00AC1A3B">
        <w:rPr>
          <w:rFonts w:ascii="Verdana" w:eastAsia="Calibri" w:hAnsi="Verdana" w:cs="Arial"/>
          <w:lang w:val="es-ES" w:eastAsia="es-ES"/>
        </w:rPr>
        <w:t xml:space="preserve"> CPAA</w:t>
      </w:r>
    </w:p>
    <w:p w14:paraId="6E5AC934" w14:textId="6E1F718C" w:rsidR="00F62F1C" w:rsidRPr="00AC1A3B" w:rsidRDefault="00F62F1C" w:rsidP="00F62F1C">
      <w:pPr>
        <w:spacing w:after="0" w:line="240" w:lineRule="auto"/>
        <w:rPr>
          <w:rFonts w:ascii="Verdana" w:eastAsia="Calibri" w:hAnsi="Verdana" w:cs="Arial"/>
          <w:lang w:val="es-ES" w:eastAsia="es-ES"/>
        </w:rPr>
      </w:pPr>
      <w:r w:rsidRPr="00BD02C9">
        <w:rPr>
          <w:rFonts w:ascii="Verdana" w:eastAsia="Calibri" w:hAnsi="Verdana" w:cs="Arial"/>
          <w:lang w:val="es-ES" w:eastAsia="es-ES"/>
        </w:rPr>
        <w:t>info@cpaa.gov.co</w:t>
      </w:r>
      <w:r>
        <w:rPr>
          <w:rFonts w:ascii="Verdana" w:eastAsia="Calibri" w:hAnsi="Verdana" w:cs="Arial"/>
          <w:lang w:val="es-ES" w:eastAsia="es-ES"/>
        </w:rPr>
        <w:t xml:space="preserve">; </w:t>
      </w:r>
    </w:p>
    <w:p w14:paraId="2BE5BC77" w14:textId="77777777" w:rsidR="00F62F1C" w:rsidRPr="00B96799" w:rsidRDefault="00F62F1C" w:rsidP="00F62F1C">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Ciudad. </w:t>
      </w:r>
    </w:p>
    <w:p w14:paraId="277BDC5A" w14:textId="77777777" w:rsidR="00F62F1C" w:rsidRPr="00593A5F" w:rsidRDefault="00F62F1C" w:rsidP="00F62F1C">
      <w:pPr>
        <w:spacing w:after="0" w:line="240" w:lineRule="auto"/>
        <w:rPr>
          <w:rFonts w:ascii="Verdana" w:eastAsia="Calibri" w:hAnsi="Verdana" w:cs="Arial"/>
          <w:b/>
          <w:bCs/>
          <w:color w:val="000000"/>
          <w:lang w:val="es-ES_tradnl" w:eastAsia="es-ES_tradnl"/>
        </w:rPr>
      </w:pPr>
    </w:p>
    <w:p w14:paraId="55C1283C" w14:textId="77777777" w:rsidR="00F62F1C" w:rsidRPr="00593A5F" w:rsidRDefault="00F62F1C" w:rsidP="00F62F1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62F1C" w:rsidRPr="00593A5F" w14:paraId="3C379941" w14:textId="77777777" w:rsidTr="00A05D8D">
        <w:trPr>
          <w:trHeight w:val="884"/>
        </w:trPr>
        <w:tc>
          <w:tcPr>
            <w:tcW w:w="2689" w:type="dxa"/>
          </w:tcPr>
          <w:p w14:paraId="6E3160D5" w14:textId="77777777" w:rsidR="00F62F1C" w:rsidRPr="00C00976" w:rsidRDefault="00F62F1C" w:rsidP="00A05D8D">
            <w:pPr>
              <w:jc w:val="both"/>
              <w:rPr>
                <w:rFonts w:ascii="Verdana" w:eastAsia="Calibri" w:hAnsi="Verdana" w:cs="Arial"/>
                <w:b/>
                <w:bCs/>
                <w:color w:val="7030A0"/>
                <w:lang w:val="es-ES_tradnl" w:eastAsia="es-ES_tradnl"/>
              </w:rPr>
            </w:pPr>
          </w:p>
        </w:tc>
        <w:tc>
          <w:tcPr>
            <w:tcW w:w="6100" w:type="dxa"/>
          </w:tcPr>
          <w:p w14:paraId="775CBFD0" w14:textId="3F0128C5" w:rsidR="00F62F1C" w:rsidRPr="00F17825" w:rsidRDefault="00F62F1C" w:rsidP="00A05D8D">
            <w:pPr>
              <w:jc w:val="both"/>
              <w:rPr>
                <w:rFonts w:ascii="Verdana" w:eastAsia="Calibri" w:hAnsi="Verdana" w:cs="Arial"/>
                <w:b/>
                <w:bCs/>
                <w:lang w:val="es-ES" w:eastAsia="es-ES"/>
              </w:rPr>
            </w:pPr>
            <w:r w:rsidRPr="00F17825">
              <w:rPr>
                <w:rFonts w:ascii="Verdana" w:eastAsia="Calibri" w:hAnsi="Verdana" w:cs="Arial"/>
                <w:b/>
                <w:bCs/>
                <w:lang w:val="es-ES" w:eastAsia="es-ES"/>
              </w:rPr>
              <w:t>Concepto C-</w:t>
            </w:r>
            <w:r>
              <w:rPr>
                <w:rFonts w:ascii="Verdana" w:eastAsia="Calibri" w:hAnsi="Verdana" w:cs="Arial"/>
                <w:b/>
                <w:bCs/>
                <w:lang w:val="es-ES" w:eastAsia="es-ES"/>
              </w:rPr>
              <w:t>535</w:t>
            </w:r>
            <w:r w:rsidRPr="00F17825">
              <w:rPr>
                <w:rFonts w:ascii="Verdana" w:eastAsia="Calibri" w:hAnsi="Verdana" w:cs="Arial"/>
                <w:b/>
                <w:bCs/>
                <w:lang w:val="es-ES" w:eastAsia="es-ES"/>
              </w:rPr>
              <w:t xml:space="preserve"> de </w:t>
            </w:r>
            <w:r>
              <w:rPr>
                <w:rFonts w:ascii="Verdana" w:eastAsia="Calibri" w:hAnsi="Verdana" w:cs="Arial"/>
                <w:b/>
                <w:bCs/>
                <w:lang w:val="es-ES" w:eastAsia="es-ES"/>
              </w:rPr>
              <w:t>2026</w:t>
            </w:r>
          </w:p>
        </w:tc>
      </w:tr>
      <w:tr w:rsidR="00F62F1C" w:rsidRPr="00593A5F" w14:paraId="025A6BB6" w14:textId="77777777" w:rsidTr="00A05D8D">
        <w:trPr>
          <w:trHeight w:val="884"/>
        </w:trPr>
        <w:tc>
          <w:tcPr>
            <w:tcW w:w="2689" w:type="dxa"/>
          </w:tcPr>
          <w:p w14:paraId="3BFF34D8" w14:textId="77777777" w:rsidR="00F62F1C" w:rsidRPr="00593A5F" w:rsidRDefault="00F62F1C" w:rsidP="00A05D8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89B2154" w14:textId="5E5EC1BE" w:rsidR="00F62F1C" w:rsidRPr="00F17825" w:rsidRDefault="00F62F1C" w:rsidP="00A05D8D">
            <w:pPr>
              <w:spacing w:line="276" w:lineRule="auto"/>
              <w:jc w:val="both"/>
              <w:rPr>
                <w:rFonts w:ascii="Verdana" w:eastAsia="Calibri" w:hAnsi="Verdana" w:cs="Arial"/>
                <w:lang w:val="es-ES" w:eastAsia="es-ES"/>
              </w:rPr>
            </w:pPr>
            <w:r w:rsidRPr="00AC1A3B">
              <w:rPr>
                <w:rFonts w:ascii="Verdana" w:eastAsia="Calibri" w:hAnsi="Verdana" w:cs="Arial"/>
                <w:lang w:val="es-ES" w:eastAsia="es-ES"/>
              </w:rPr>
              <w:t xml:space="preserve">LEY DE GARANTÍAS ELECTORALES ‒ Finalidad / LEY DE GARANTÍAS ELECTORALES ‒ Tipos de restricciones ‒ Ámbito temporal – </w:t>
            </w:r>
            <w:r w:rsidR="00E55703">
              <w:rPr>
                <w:rFonts w:ascii="Verdana" w:eastAsia="Calibri" w:hAnsi="Verdana" w:cs="Arial"/>
                <w:lang w:val="es-ES" w:eastAsia="es-ES"/>
              </w:rPr>
              <w:t>C</w:t>
            </w:r>
            <w:r w:rsidRPr="00AC1A3B">
              <w:rPr>
                <w:rFonts w:ascii="Verdana" w:eastAsia="Calibri" w:hAnsi="Verdana" w:cs="Arial"/>
                <w:lang w:val="es-ES" w:eastAsia="es-ES"/>
              </w:rPr>
              <w:t>elebración</w:t>
            </w:r>
            <w:r w:rsidR="00E55703">
              <w:rPr>
                <w:rFonts w:ascii="Verdana" w:eastAsia="Calibri" w:hAnsi="Verdana" w:cs="Arial"/>
                <w:lang w:val="es-ES" w:eastAsia="es-ES"/>
              </w:rPr>
              <w:t xml:space="preserve"> </w:t>
            </w:r>
            <w:r w:rsidR="00E55703" w:rsidRPr="00E55703">
              <w:rPr>
                <w:rFonts w:ascii="Verdana" w:eastAsia="Calibri" w:hAnsi="Verdana" w:cs="Arial"/>
                <w:b/>
                <w:bCs/>
                <w:lang w:val="es-ES" w:eastAsia="es-ES"/>
              </w:rPr>
              <w:t>–</w:t>
            </w:r>
            <w:r w:rsidRPr="00AC1A3B">
              <w:rPr>
                <w:rFonts w:ascii="Verdana" w:eastAsia="Calibri" w:hAnsi="Verdana" w:cs="Arial"/>
                <w:lang w:val="es-ES" w:eastAsia="es-ES"/>
              </w:rPr>
              <w:t xml:space="preserve"> </w:t>
            </w:r>
            <w:r w:rsidR="00E55703">
              <w:rPr>
                <w:rFonts w:ascii="Verdana" w:eastAsia="Calibri" w:hAnsi="Verdana" w:cs="Arial"/>
                <w:lang w:val="es-ES" w:eastAsia="es-ES"/>
              </w:rPr>
              <w:t>L</w:t>
            </w:r>
            <w:r w:rsidRPr="00AC1A3B">
              <w:rPr>
                <w:rFonts w:ascii="Verdana" w:eastAsia="Calibri" w:hAnsi="Verdana" w:cs="Arial"/>
                <w:lang w:val="es-ES" w:eastAsia="es-ES"/>
              </w:rPr>
              <w:t xml:space="preserve">ímite / LEY DE GARANTÍAS ELECTORALES </w:t>
            </w:r>
            <w:r w:rsidR="00E55703" w:rsidRPr="00E55703">
              <w:rPr>
                <w:rFonts w:ascii="Verdana" w:eastAsia="Calibri" w:hAnsi="Verdana" w:cs="Arial"/>
                <w:b/>
                <w:bCs/>
                <w:lang w:val="es-ES" w:eastAsia="es-ES"/>
              </w:rPr>
              <w:t>–</w:t>
            </w:r>
            <w:r w:rsidRPr="00AC1A3B">
              <w:rPr>
                <w:rFonts w:ascii="Verdana" w:eastAsia="Calibri" w:hAnsi="Verdana" w:cs="Arial"/>
                <w:lang w:val="es-ES" w:eastAsia="es-ES"/>
              </w:rPr>
              <w:t xml:space="preserve"> Adiciones – Prórrogas</w:t>
            </w:r>
          </w:p>
        </w:tc>
      </w:tr>
      <w:tr w:rsidR="00F62F1C" w:rsidRPr="00F17825" w14:paraId="24D2A8EC" w14:textId="77777777" w:rsidTr="00A05D8D">
        <w:trPr>
          <w:trHeight w:val="70"/>
        </w:trPr>
        <w:tc>
          <w:tcPr>
            <w:tcW w:w="2689" w:type="dxa"/>
          </w:tcPr>
          <w:p w14:paraId="61E2D093" w14:textId="77777777" w:rsidR="00F62F1C" w:rsidRPr="00F17825" w:rsidRDefault="00F62F1C" w:rsidP="00A05D8D">
            <w:pPr>
              <w:jc w:val="both"/>
              <w:rPr>
                <w:rFonts w:ascii="Verdana" w:eastAsia="Calibri" w:hAnsi="Verdana" w:cs="Arial"/>
                <w:b/>
                <w:lang w:val="es-ES_tradnl" w:eastAsia="es-ES_tradnl"/>
              </w:rPr>
            </w:pPr>
            <w:r w:rsidRPr="00F17825">
              <w:rPr>
                <w:rFonts w:ascii="Verdana" w:eastAsia="Calibri" w:hAnsi="Verdana" w:cs="Arial"/>
                <w:b/>
                <w:lang w:val="es-ES_tradnl" w:eastAsia="es-ES_tradnl"/>
              </w:rPr>
              <w:t>Radicación:</w:t>
            </w:r>
            <w:r w:rsidRPr="00F17825">
              <w:rPr>
                <w:rFonts w:ascii="Verdana" w:eastAsia="Calibri" w:hAnsi="Verdana" w:cs="Arial"/>
                <w:lang w:val="es-ES_tradnl" w:eastAsia="es-ES_tradnl"/>
              </w:rPr>
              <w:t xml:space="preserve">               </w:t>
            </w:r>
          </w:p>
        </w:tc>
        <w:tc>
          <w:tcPr>
            <w:tcW w:w="6100" w:type="dxa"/>
          </w:tcPr>
          <w:p w14:paraId="55687EBB" w14:textId="56D37226" w:rsidR="00F62F1C" w:rsidRPr="00E55703" w:rsidRDefault="00F62F1C" w:rsidP="00A05D8D">
            <w:pPr>
              <w:jc w:val="both"/>
              <w:rPr>
                <w:rFonts w:ascii="Verdana" w:eastAsia="Calibri" w:hAnsi="Verdana" w:cs="Arial"/>
                <w:lang w:val="es-ES_tradnl" w:eastAsia="es-ES_tradnl"/>
              </w:rPr>
            </w:pPr>
            <w:r w:rsidRPr="00E55703">
              <w:rPr>
                <w:rFonts w:ascii="Verdana" w:eastAsia="Calibri" w:hAnsi="Verdana" w:cs="Arial"/>
                <w:lang w:val="es-ES_tradnl" w:eastAsia="es-ES_tradnl"/>
              </w:rPr>
              <w:t xml:space="preserve">Respuesta a consulta con radicado </w:t>
            </w:r>
            <w:r w:rsidR="00E55703" w:rsidRPr="00E55703">
              <w:rPr>
                <w:rFonts w:ascii="Verdana" w:eastAsia="Calibri" w:hAnsi="Verdana" w:cs="Arial"/>
                <w:lang w:val="es-ES_tradnl" w:eastAsia="es-ES_tradnl"/>
              </w:rPr>
              <w:t xml:space="preserve">No. </w:t>
            </w:r>
            <w:r w:rsidR="00E55703" w:rsidRPr="00E55703">
              <w:rPr>
                <w:rFonts w:ascii="Verdana" w:hAnsi="Verdana"/>
              </w:rPr>
              <w:t>1</w:t>
            </w:r>
            <w:r w:rsidRPr="00E55703">
              <w:rPr>
                <w:rFonts w:ascii="Verdana" w:eastAsia="Calibri" w:hAnsi="Verdana" w:cs="Arial"/>
                <w:lang w:val="es-ES_tradnl" w:eastAsia="es-ES_tradnl"/>
              </w:rPr>
              <w:t>_2026_03_31_004459</w:t>
            </w:r>
          </w:p>
        </w:tc>
      </w:tr>
    </w:tbl>
    <w:p w14:paraId="40A7292C" w14:textId="77777777" w:rsidR="00F62F1C" w:rsidRPr="00F17825" w:rsidRDefault="00F62F1C" w:rsidP="00F62F1C">
      <w:pPr>
        <w:spacing w:after="0" w:line="240" w:lineRule="auto"/>
        <w:jc w:val="both"/>
        <w:rPr>
          <w:rFonts w:ascii="Verdana" w:eastAsia="Calibri" w:hAnsi="Verdana" w:cs="Arial"/>
          <w:lang w:val="es-ES_tradnl" w:eastAsia="es-ES_tradnl"/>
        </w:rPr>
      </w:pPr>
    </w:p>
    <w:p w14:paraId="67E342BE" w14:textId="77777777" w:rsidR="00F62F1C" w:rsidRPr="00F17825" w:rsidRDefault="00F62F1C" w:rsidP="00F62F1C">
      <w:pPr>
        <w:spacing w:after="0" w:line="240" w:lineRule="auto"/>
        <w:jc w:val="both"/>
        <w:rPr>
          <w:rFonts w:ascii="Verdana" w:eastAsia="Calibri" w:hAnsi="Verdana" w:cs="Arial"/>
          <w:lang w:val="es-ES_tradnl" w:eastAsia="es-ES_tradnl"/>
        </w:rPr>
      </w:pPr>
    </w:p>
    <w:p w14:paraId="148450FD" w14:textId="77777777" w:rsidR="00F62F1C" w:rsidRPr="00F17825" w:rsidRDefault="00F62F1C" w:rsidP="00F62F1C">
      <w:pPr>
        <w:spacing w:after="0" w:line="276" w:lineRule="auto"/>
        <w:jc w:val="both"/>
        <w:rPr>
          <w:rFonts w:ascii="Verdana" w:eastAsia="Calibri" w:hAnsi="Verdana" w:cs="Arial"/>
          <w:lang w:val="es-ES" w:eastAsia="es-ES"/>
        </w:rPr>
      </w:pPr>
      <w:r w:rsidRPr="00F17825">
        <w:rPr>
          <w:rFonts w:ascii="Verdana" w:eastAsia="Calibri" w:hAnsi="Verdana" w:cs="Arial"/>
          <w:lang w:val="es-ES" w:eastAsia="es-ES"/>
        </w:rPr>
        <w:t>Estimad</w:t>
      </w:r>
      <w:r>
        <w:rPr>
          <w:rFonts w:ascii="Verdana" w:eastAsia="Calibri" w:hAnsi="Verdana" w:cs="Arial"/>
          <w:lang w:val="es-ES" w:eastAsia="es-ES"/>
        </w:rPr>
        <w:t>o</w:t>
      </w:r>
      <w:r w:rsidRPr="00F17825">
        <w:rPr>
          <w:rFonts w:ascii="Verdana" w:eastAsia="Calibri" w:hAnsi="Verdana" w:cs="Arial"/>
          <w:lang w:val="es-ES" w:eastAsia="es-ES"/>
        </w:rPr>
        <w:t xml:space="preserve"> señor</w:t>
      </w:r>
      <w:r>
        <w:rPr>
          <w:rFonts w:ascii="Verdana" w:eastAsia="Calibri" w:hAnsi="Verdana" w:cs="Arial"/>
          <w:lang w:val="es-ES" w:eastAsia="es-ES"/>
        </w:rPr>
        <w:t xml:space="preserve"> Cardona Lancheros</w:t>
      </w:r>
      <w:r w:rsidRPr="00F17825">
        <w:rPr>
          <w:rFonts w:ascii="Verdana" w:eastAsia="Calibri" w:hAnsi="Verdana" w:cs="Arial"/>
          <w:lang w:val="es-ES" w:eastAsia="es-ES"/>
        </w:rPr>
        <w:t>:</w:t>
      </w:r>
    </w:p>
    <w:p w14:paraId="3323A4D8" w14:textId="77777777" w:rsidR="00F62F1C" w:rsidRDefault="00F62F1C" w:rsidP="00F62F1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977CF60" w14:textId="77777777" w:rsidR="00F62F1C" w:rsidRPr="00F17825" w:rsidRDefault="00F62F1C" w:rsidP="00F62F1C">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así como lo establecido en</w:t>
      </w:r>
      <w:r>
        <w:rPr>
          <w:rFonts w:ascii="Verdana" w:hAnsi="Verdana" w:cs="Arial"/>
        </w:rPr>
        <w:t xml:space="preserve"> </w:t>
      </w:r>
      <w:r w:rsidRPr="00593A5F">
        <w:rPr>
          <w:rFonts w:ascii="Verdana" w:hAnsi="Verdana" w:cs="Arial"/>
        </w:rPr>
        <w:t xml:space="preserve">la </w:t>
      </w:r>
      <w:r w:rsidRPr="00C76F48">
        <w:rPr>
          <w:rFonts w:ascii="Verdana" w:hAnsi="Verdana" w:cs="Arial"/>
        </w:rPr>
        <w:t xml:space="preserve">Resolución 469 de 2025 </w:t>
      </w:r>
      <w:r w:rsidRPr="00F17825">
        <w:rPr>
          <w:rFonts w:ascii="Verdana" w:hAnsi="Verdana" w:cs="Arial"/>
        </w:rPr>
        <w:t xml:space="preserve">expedida por esta Entidad, </w:t>
      </w:r>
      <w:r w:rsidRPr="00F17825">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31</w:t>
      </w:r>
      <w:r w:rsidRPr="00F17825">
        <w:rPr>
          <w:rFonts w:ascii="Verdana" w:eastAsia="Calibri" w:hAnsi="Verdana" w:cs="Arial"/>
          <w:lang w:val="es-ES" w:eastAsia="es-ES"/>
        </w:rPr>
        <w:t xml:space="preserve"> de </w:t>
      </w:r>
      <w:r>
        <w:rPr>
          <w:rFonts w:ascii="Verdana" w:eastAsia="Calibri" w:hAnsi="Verdana" w:cs="Arial"/>
          <w:lang w:val="es-ES" w:eastAsia="es-ES"/>
        </w:rPr>
        <w:t>marzo</w:t>
      </w:r>
      <w:r w:rsidRPr="00F17825">
        <w:rPr>
          <w:rFonts w:ascii="Verdana" w:eastAsia="Calibri" w:hAnsi="Verdana" w:cs="Arial"/>
          <w:lang w:val="es-ES" w:eastAsia="es-ES"/>
        </w:rPr>
        <w:t xml:space="preserve"> de 202</w:t>
      </w:r>
      <w:r>
        <w:rPr>
          <w:rFonts w:ascii="Verdana" w:eastAsia="Calibri" w:hAnsi="Verdana" w:cs="Arial"/>
          <w:lang w:val="es-ES" w:eastAsia="es-ES"/>
        </w:rPr>
        <w:t>6</w:t>
      </w:r>
      <w:r w:rsidRPr="00F17825">
        <w:rPr>
          <w:rFonts w:ascii="Verdana" w:eastAsia="Calibri" w:hAnsi="Verdana" w:cs="Arial"/>
          <w:lang w:val="es-ES" w:eastAsia="es-ES"/>
        </w:rPr>
        <w:t xml:space="preserve">, en la cual manifiesta lo siguiente: </w:t>
      </w:r>
    </w:p>
    <w:p w14:paraId="045B9F13" w14:textId="77777777" w:rsidR="00F62F1C" w:rsidRDefault="00F62F1C" w:rsidP="00F62F1C">
      <w:pPr>
        <w:pStyle w:val="Prrafodelista"/>
        <w:tabs>
          <w:tab w:val="left" w:pos="142"/>
          <w:tab w:val="left" w:pos="284"/>
        </w:tabs>
        <w:spacing w:line="276" w:lineRule="auto"/>
        <w:ind w:left="0"/>
        <w:jc w:val="both"/>
        <w:rPr>
          <w:rFonts w:ascii="Verdana" w:eastAsia="Century Gothic" w:hAnsi="Verdana" w:cs="Century Gothic"/>
          <w:b/>
          <w:bCs/>
        </w:rPr>
      </w:pPr>
    </w:p>
    <w:p w14:paraId="49F23F7E" w14:textId="77777777" w:rsidR="00F62F1C" w:rsidRPr="00D85864" w:rsidRDefault="00F62F1C" w:rsidP="00F62F1C">
      <w:pPr>
        <w:numPr>
          <w:ilvl w:val="0"/>
          <w:numId w:val="18"/>
        </w:numPr>
        <w:spacing w:after="0" w:line="240" w:lineRule="auto"/>
        <w:ind w:right="709"/>
        <w:jc w:val="both"/>
        <w:rPr>
          <w:rFonts w:ascii="Verdana" w:hAnsi="Verdana" w:cs="Arial"/>
          <w:sz w:val="20"/>
          <w:szCs w:val="20"/>
          <w:shd w:val="clear" w:color="auto" w:fill="FFFFFF"/>
        </w:rPr>
      </w:pPr>
      <w:bookmarkStart w:id="0" w:name="_Hlk95313578"/>
      <w:r w:rsidRPr="00F17825">
        <w:rPr>
          <w:rFonts w:ascii="Verdana" w:eastAsia="Century Gothic" w:hAnsi="Verdana" w:cs="Century Gothic"/>
          <w:sz w:val="20"/>
          <w:szCs w:val="20"/>
          <w:lang w:val="es-ES"/>
        </w:rPr>
        <w:t>“</w:t>
      </w:r>
      <w:bookmarkEnd w:id="0"/>
      <w:r w:rsidRPr="00D85864">
        <w:rPr>
          <w:rFonts w:ascii="Verdana" w:hAnsi="Verdana" w:cs="Arial"/>
          <w:sz w:val="20"/>
          <w:szCs w:val="20"/>
          <w:shd w:val="clear" w:color="auto" w:fill="FFFFFF"/>
        </w:rPr>
        <w:t>Si durante la vigencia de la Ley de Garantías es posible realizar adiciones a los contratos tanto en tiempo como en valor, o si únicamente se permiten prórrogas en tiempo.</w:t>
      </w:r>
    </w:p>
    <w:p w14:paraId="6D7AA953" w14:textId="77777777" w:rsidR="00F62F1C" w:rsidRPr="00D85864" w:rsidRDefault="00F62F1C" w:rsidP="00F62F1C">
      <w:pPr>
        <w:numPr>
          <w:ilvl w:val="0"/>
          <w:numId w:val="18"/>
        </w:numPr>
        <w:spacing w:after="0" w:line="240" w:lineRule="auto"/>
        <w:ind w:right="709"/>
        <w:jc w:val="both"/>
        <w:rPr>
          <w:rFonts w:ascii="Verdana" w:hAnsi="Verdana" w:cs="Arial"/>
          <w:sz w:val="20"/>
          <w:szCs w:val="20"/>
          <w:shd w:val="clear" w:color="auto" w:fill="FFFFFF"/>
        </w:rPr>
      </w:pPr>
      <w:r w:rsidRPr="00D85864">
        <w:rPr>
          <w:rFonts w:ascii="Verdana" w:hAnsi="Verdana" w:cs="Arial"/>
          <w:sz w:val="20"/>
          <w:szCs w:val="20"/>
          <w:shd w:val="clear" w:color="auto" w:fill="FFFFFF"/>
        </w:rPr>
        <w:t>En caso de que sea procedente realizar adiciones en valor, cuál es el porcentaje máximo permitido para aumentar los contratos.</w:t>
      </w:r>
    </w:p>
    <w:p w14:paraId="15BECC37" w14:textId="77777777" w:rsidR="00F62F1C" w:rsidRPr="00D85864" w:rsidRDefault="00F62F1C" w:rsidP="00F62F1C">
      <w:pPr>
        <w:numPr>
          <w:ilvl w:val="0"/>
          <w:numId w:val="18"/>
        </w:numPr>
        <w:spacing w:after="0" w:line="240" w:lineRule="auto"/>
        <w:ind w:right="709"/>
        <w:jc w:val="both"/>
        <w:rPr>
          <w:rFonts w:ascii="Verdana" w:hAnsi="Verdana" w:cs="Arial"/>
          <w:sz w:val="20"/>
          <w:szCs w:val="20"/>
          <w:shd w:val="clear" w:color="auto" w:fill="FFFFFF"/>
        </w:rPr>
      </w:pPr>
      <w:r w:rsidRPr="00D85864">
        <w:rPr>
          <w:rFonts w:ascii="Verdana" w:hAnsi="Verdana" w:cs="Arial"/>
          <w:sz w:val="20"/>
          <w:szCs w:val="20"/>
          <w:shd w:val="clear" w:color="auto" w:fill="FFFFFF"/>
        </w:rPr>
        <w:t>Con cuánta anticipación respecto al vencimiento del contrato deberían tramitarse estas adiciones para ajustarse a la normativa aplicable.</w:t>
      </w:r>
      <w:r>
        <w:rPr>
          <w:rFonts w:ascii="Verdana" w:hAnsi="Verdana" w:cs="Arial"/>
          <w:sz w:val="20"/>
          <w:szCs w:val="20"/>
          <w:shd w:val="clear" w:color="auto" w:fill="FFFFFF"/>
        </w:rPr>
        <w:t xml:space="preserve"> </w:t>
      </w:r>
      <w:r w:rsidRPr="00D85864">
        <w:rPr>
          <w:rStyle w:val="normaltextrun"/>
          <w:rFonts w:ascii="Verdana" w:hAnsi="Verdana" w:cs="Arial"/>
          <w:sz w:val="20"/>
          <w:szCs w:val="20"/>
          <w:shd w:val="clear" w:color="auto" w:fill="FFFFFF"/>
          <w:lang w:val="es-ES"/>
        </w:rPr>
        <w:t>[…]”</w:t>
      </w:r>
    </w:p>
    <w:p w14:paraId="53AD2595" w14:textId="77777777" w:rsidR="00F62F1C" w:rsidRPr="00F17825" w:rsidRDefault="00F62F1C" w:rsidP="00F62F1C">
      <w:pPr>
        <w:pStyle w:val="Prrafodelista"/>
        <w:tabs>
          <w:tab w:val="left" w:pos="142"/>
          <w:tab w:val="left" w:pos="284"/>
        </w:tabs>
        <w:spacing w:line="276" w:lineRule="auto"/>
        <w:ind w:left="0"/>
        <w:jc w:val="both"/>
        <w:rPr>
          <w:rFonts w:ascii="Verdana" w:eastAsia="Century Gothic" w:hAnsi="Verdana" w:cs="Century Gothic"/>
          <w:b/>
          <w:bCs/>
        </w:rPr>
      </w:pPr>
    </w:p>
    <w:p w14:paraId="3487A989" w14:textId="77777777" w:rsidR="00F62F1C" w:rsidRDefault="00F62F1C" w:rsidP="00F62F1C">
      <w:pPr>
        <w:spacing w:after="120" w:line="276" w:lineRule="auto"/>
        <w:ind w:firstLine="709"/>
        <w:jc w:val="both"/>
        <w:rPr>
          <w:rFonts w:ascii="Verdana" w:eastAsia="Calibri" w:hAnsi="Verdana" w:cs="Arial"/>
          <w:color w:val="000000"/>
          <w:szCs w:val="24"/>
          <w:lang w:val="es-ES_tradnl" w:eastAsia="es-ES_tradnl"/>
        </w:rPr>
      </w:pPr>
      <w:r w:rsidRPr="00F17825">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w:t>
      </w:r>
      <w:r w:rsidRPr="00593A5F">
        <w:rPr>
          <w:rFonts w:ascii="Verdana" w:eastAsia="Calibri" w:hAnsi="Verdana" w:cs="Arial"/>
          <w:color w:val="000000"/>
          <w:lang w:val="es-ES" w:eastAsia="es-ES"/>
        </w:rPr>
        <w:t xml:space="preserve">a brindar asesorías sobre casos puntuales. </w:t>
      </w:r>
      <w:r w:rsidRPr="00593A5F">
        <w:rPr>
          <w:rFonts w:ascii="Verdana" w:eastAsia="Calibri" w:hAnsi="Verdana" w:cs="Arial"/>
          <w:color w:val="000000"/>
          <w:szCs w:val="24"/>
          <w:lang w:val="es-ES_tradnl" w:eastAsia="es-ES_tradnl"/>
        </w:rPr>
        <w:tab/>
      </w:r>
    </w:p>
    <w:p w14:paraId="537FAF88" w14:textId="77777777" w:rsidR="00F62F1C" w:rsidRDefault="00F62F1C" w:rsidP="00F62F1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47DC82D" w14:textId="77777777" w:rsidR="00F62F1C" w:rsidRPr="00593A5F" w:rsidRDefault="00F62F1C" w:rsidP="00F62F1C">
      <w:pPr>
        <w:spacing w:after="0" w:line="276" w:lineRule="auto"/>
        <w:ind w:firstLine="709"/>
        <w:jc w:val="both"/>
        <w:rPr>
          <w:rFonts w:ascii="Verdana" w:eastAsia="Calibri" w:hAnsi="Verdana" w:cs="Arial"/>
          <w:color w:val="000000"/>
          <w:lang w:val="es-ES" w:eastAsia="es-ES"/>
        </w:rPr>
      </w:pPr>
    </w:p>
    <w:p w14:paraId="48754309" w14:textId="77777777" w:rsidR="00F62F1C" w:rsidRPr="00593A5F" w:rsidRDefault="00F62F1C" w:rsidP="00F62F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5997E32" w14:textId="77777777" w:rsidR="00F62F1C" w:rsidRPr="00593A5F" w:rsidRDefault="00F62F1C" w:rsidP="00F62F1C">
      <w:pPr>
        <w:tabs>
          <w:tab w:val="left" w:pos="426"/>
        </w:tabs>
        <w:spacing w:after="0" w:line="276" w:lineRule="auto"/>
        <w:jc w:val="both"/>
        <w:rPr>
          <w:rFonts w:ascii="Verdana" w:eastAsia="Century Gothic" w:hAnsi="Verdana" w:cs="Century Gothic"/>
          <w:lang w:val="es-ES"/>
        </w:rPr>
      </w:pPr>
    </w:p>
    <w:p w14:paraId="7C8B1A67" w14:textId="77777777" w:rsidR="00F62F1C" w:rsidRPr="00593A5F" w:rsidRDefault="00F62F1C" w:rsidP="00F62F1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w:t>
      </w:r>
      <w:r w:rsidRPr="009B6BC9">
        <w:rPr>
          <w:rFonts w:ascii="Verdana" w:eastAsia="Century Gothic" w:hAnsi="Verdana" w:cs="Century Gothic"/>
        </w:rPr>
        <w:t xml:space="preserve">contenido de su solicitud, esta Agencia resolverá el siguiente problema jurídico: </w:t>
      </w:r>
      <w:r>
        <w:rPr>
          <w:rFonts w:ascii="Verdana" w:eastAsia="Century Gothic" w:hAnsi="Verdana" w:cs="Century Gothic"/>
        </w:rPr>
        <w:t xml:space="preserve">i. </w:t>
      </w:r>
      <w:r w:rsidRPr="009B6BC9">
        <w:rPr>
          <w:rFonts w:ascii="Verdana" w:eastAsia="Century Gothic" w:hAnsi="Verdana" w:cs="Century Gothic"/>
        </w:rPr>
        <w:t>¿</w:t>
      </w:r>
      <w:r>
        <w:rPr>
          <w:rFonts w:ascii="Verdana" w:eastAsia="Century Gothic" w:hAnsi="Verdana" w:cs="Century Gothic"/>
        </w:rPr>
        <w:t>D</w:t>
      </w:r>
      <w:r w:rsidRPr="009B6BC9">
        <w:rPr>
          <w:rFonts w:ascii="Verdana" w:eastAsia="Century Gothic" w:hAnsi="Verdana" w:cs="Century Gothic"/>
        </w:rPr>
        <w:t>urante el periodo de Ley de Garantías pueden realizarse prórrogas y adiciones a los contratos suscritos antes</w:t>
      </w:r>
      <w:r>
        <w:rPr>
          <w:rFonts w:ascii="Verdana" w:eastAsia="Century Gothic" w:hAnsi="Verdana" w:cs="Century Gothic"/>
        </w:rPr>
        <w:t xml:space="preserve"> de la </w:t>
      </w:r>
      <w:proofErr w:type="gramStart"/>
      <w:r>
        <w:rPr>
          <w:rFonts w:ascii="Verdana" w:eastAsia="Century Gothic" w:hAnsi="Verdana" w:cs="Century Gothic"/>
        </w:rPr>
        <w:t>entrada en vigencia</w:t>
      </w:r>
      <w:proofErr w:type="gramEnd"/>
      <w:r>
        <w:rPr>
          <w:rFonts w:ascii="Verdana" w:eastAsia="Century Gothic" w:hAnsi="Verdana" w:cs="Century Gothic"/>
        </w:rPr>
        <w:t xml:space="preserve"> de dicha norma</w:t>
      </w:r>
      <w:r w:rsidRPr="009B6BC9">
        <w:rPr>
          <w:rFonts w:ascii="Verdana" w:eastAsia="Century Gothic" w:hAnsi="Verdana" w:cs="Century Gothic"/>
        </w:rPr>
        <w:t xml:space="preserve">l? </w:t>
      </w:r>
      <w:r>
        <w:rPr>
          <w:rFonts w:ascii="Verdana" w:eastAsia="Century Gothic" w:hAnsi="Verdana" w:cs="Century Gothic"/>
        </w:rPr>
        <w:t xml:space="preserve">En caso afirmativo, ¿Qué limitantes existen para dicha modificación?;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D85864">
        <w:rPr>
          <w:rFonts w:ascii="Verdana" w:eastAsia="Century Gothic" w:hAnsi="Verdana" w:cs="Century Gothic"/>
        </w:rPr>
        <w:t xml:space="preserve">¿Cuál es la oportunidad en la que deben tramitarse las </w:t>
      </w:r>
      <w:r>
        <w:rPr>
          <w:rFonts w:ascii="Verdana" w:eastAsia="Century Gothic" w:hAnsi="Verdana" w:cs="Century Gothic"/>
        </w:rPr>
        <w:t>modificaciones</w:t>
      </w:r>
      <w:r w:rsidRPr="00D85864">
        <w:rPr>
          <w:rFonts w:ascii="Verdana" w:eastAsia="Century Gothic" w:hAnsi="Verdana" w:cs="Century Gothic"/>
        </w:rPr>
        <w:t xml:space="preserve"> a los contratos estatales, en relación con su plazo de ejecución, para asegurar su validez jurídica, en el marco de los principios</w:t>
      </w:r>
      <w:r>
        <w:rPr>
          <w:rFonts w:ascii="Verdana" w:eastAsia="Century Gothic" w:hAnsi="Verdana" w:cs="Century Gothic"/>
        </w:rPr>
        <w:t xml:space="preserve"> de la contratación estatal?</w:t>
      </w:r>
    </w:p>
    <w:p w14:paraId="7F80E43D" w14:textId="77777777" w:rsidR="00F62F1C" w:rsidRPr="00593A5F" w:rsidRDefault="00F62F1C" w:rsidP="00F62F1C">
      <w:pPr>
        <w:spacing w:after="0" w:line="276" w:lineRule="auto"/>
        <w:jc w:val="both"/>
        <w:rPr>
          <w:rFonts w:ascii="Verdana" w:eastAsia="Calibri" w:hAnsi="Verdana" w:cs="Arial"/>
          <w:color w:val="7030A0"/>
          <w:lang w:val="es-ES"/>
        </w:rPr>
      </w:pPr>
    </w:p>
    <w:p w14:paraId="0EC0FE0F" w14:textId="77777777" w:rsidR="00F62F1C" w:rsidRPr="00593A5F" w:rsidRDefault="00F62F1C" w:rsidP="00F62F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CDF4FB5" w14:textId="77777777" w:rsidR="00F62F1C" w:rsidRPr="00593A5F" w:rsidRDefault="00F62F1C" w:rsidP="00F62F1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2F1C" w:rsidRPr="00593A5F" w14:paraId="5A2B6C04" w14:textId="77777777" w:rsidTr="00A05D8D">
        <w:tc>
          <w:tcPr>
            <w:tcW w:w="8828" w:type="dxa"/>
          </w:tcPr>
          <w:p w14:paraId="3E018674" w14:textId="77777777" w:rsidR="00F62F1C" w:rsidRDefault="00F62F1C" w:rsidP="00A05D8D">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i. L</w:t>
            </w:r>
            <w:r w:rsidRPr="00E2397D">
              <w:rPr>
                <w:rFonts w:ascii="Verdana" w:eastAsia="Times New Roman" w:hAnsi="Verdana" w:cs="Arial"/>
                <w:lang w:val="es-MX" w:eastAsia="es-CO"/>
              </w:rPr>
              <w:t xml:space="preserve">a Ley 996 de 2005, conocida como “Ley de Garantías Electorales”, se suma al andamiaje de orden constitucional y legal que se ha ocupado de evitar la injerencia inadecuada de intereses particulares en el ejercicio de la función </w:t>
            </w:r>
            <w:r w:rsidRPr="00E2397D">
              <w:rPr>
                <w:rFonts w:ascii="Verdana" w:eastAsia="Times New Roman" w:hAnsi="Verdana" w:cs="Arial"/>
                <w:lang w:val="es-MX" w:eastAsia="es-CO"/>
              </w:rPr>
              <w:lastRenderedPageBreak/>
              <w:t>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5B8FF6B7" w14:textId="77777777" w:rsidR="00F62F1C" w:rsidRDefault="00F62F1C" w:rsidP="00A05D8D">
            <w:pPr>
              <w:tabs>
                <w:tab w:val="left" w:pos="426"/>
              </w:tabs>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 xml:space="preserve">Esta Ley </w:t>
            </w:r>
            <w:r w:rsidRPr="00E2397D">
              <w:rPr>
                <w:rFonts w:ascii="Verdana" w:eastAsia="Arial" w:hAnsi="Verdana" w:cs="Arial"/>
                <w:lang w:val="es-ES" w:eastAsia="es-ES" w:bidi="es-ES"/>
              </w:rPr>
              <w:t xml:space="preserve">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CF8BDDF" w14:textId="77777777" w:rsidR="00F62F1C" w:rsidRDefault="00F62F1C" w:rsidP="00A05D8D">
            <w:pPr>
              <w:tabs>
                <w:tab w:val="left" w:pos="426"/>
              </w:tabs>
              <w:spacing w:after="120" w:line="276" w:lineRule="auto"/>
              <w:jc w:val="both"/>
              <w:rPr>
                <w:rFonts w:ascii="Verdana" w:eastAsia="Arial" w:hAnsi="Verdana" w:cs="Arial"/>
                <w:lang w:val="es-ES" w:eastAsia="es-ES" w:bidi="es-ES"/>
              </w:rPr>
            </w:pPr>
            <w:r w:rsidRPr="00D85864">
              <w:rPr>
                <w:rFonts w:ascii="Verdana" w:eastAsia="Arial" w:hAnsi="Verdana" w:cs="Arial"/>
                <w:lang w:val="es-ES" w:eastAsia="es-ES" w:bidi="es-ES"/>
              </w:rPr>
              <w:t>Por último, para responder al</w:t>
            </w:r>
            <w:r>
              <w:rPr>
                <w:rFonts w:ascii="Verdana" w:eastAsia="Arial" w:hAnsi="Verdana" w:cs="Arial"/>
                <w:lang w:val="es-ES" w:eastAsia="es-ES" w:bidi="es-ES"/>
              </w:rPr>
              <w:t xml:space="preserve"> primer</w:t>
            </w:r>
            <w:r w:rsidRPr="00D85864">
              <w:rPr>
                <w:rFonts w:ascii="Verdana" w:eastAsia="Arial" w:hAnsi="Verdana" w:cs="Arial"/>
                <w:lang w:val="es-ES" w:eastAsia="es-ES" w:bidi="es-ES"/>
              </w:rPr>
              <w:t xml:space="preserve"> problema jurídico planteado se aclara que sí es posible realizar adiciones y prórrogas durante la aplicación de la Ley de garantías a</w:t>
            </w:r>
            <w:r>
              <w:rPr>
                <w:rFonts w:ascii="Verdana" w:eastAsia="Arial" w:hAnsi="Verdana" w:cs="Arial"/>
                <w:lang w:val="es-ES" w:eastAsia="es-ES" w:bidi="es-ES"/>
              </w:rPr>
              <w:t xml:space="preserve"> los</w:t>
            </w:r>
            <w:r w:rsidRPr="00D85864">
              <w:rPr>
                <w:rFonts w:ascii="Verdana" w:eastAsia="Arial" w:hAnsi="Verdana" w:cs="Arial"/>
                <w:lang w:val="es-ES" w:eastAsia="es-ES" w:bidi="es-ES"/>
              </w:rPr>
              <w:t xml:space="preserve"> contratos suscritos previamente </w:t>
            </w:r>
            <w:r>
              <w:rPr>
                <w:rFonts w:ascii="Verdana" w:eastAsia="Arial" w:hAnsi="Verdana" w:cs="Arial"/>
                <w:lang w:val="es-ES" w:eastAsia="es-ES" w:bidi="es-ES"/>
              </w:rPr>
              <w:t xml:space="preserve">a la </w:t>
            </w:r>
            <w:proofErr w:type="gramStart"/>
            <w:r>
              <w:rPr>
                <w:rFonts w:ascii="Verdana" w:eastAsia="Arial" w:hAnsi="Verdana" w:cs="Arial"/>
                <w:lang w:val="es-ES" w:eastAsia="es-ES" w:bidi="es-ES"/>
              </w:rPr>
              <w:t>entrada en vigencia</w:t>
            </w:r>
            <w:proofErr w:type="gramEnd"/>
            <w:r>
              <w:rPr>
                <w:rFonts w:ascii="Verdana" w:eastAsia="Arial" w:hAnsi="Verdana" w:cs="Arial"/>
                <w:lang w:val="es-ES" w:eastAsia="es-ES" w:bidi="es-ES"/>
              </w:rPr>
              <w:t xml:space="preserve"> de dicha norma. </w:t>
            </w:r>
            <w:r w:rsidRPr="00D85864">
              <w:rPr>
                <w:rFonts w:ascii="Verdana" w:eastAsia="Arial" w:hAnsi="Verdana" w:cs="Arial"/>
                <w:lang w:val="es-ES" w:eastAsia="es-ES" w:bidi="es-ES"/>
              </w:rPr>
              <w:t xml:space="preserve"> </w:t>
            </w:r>
          </w:p>
          <w:p w14:paraId="2D98E35D" w14:textId="77777777" w:rsidR="00F62F1C" w:rsidRDefault="00F62F1C" w:rsidP="00A05D8D">
            <w:pPr>
              <w:tabs>
                <w:tab w:val="left" w:pos="426"/>
              </w:tabs>
              <w:spacing w:after="120" w:line="276" w:lineRule="auto"/>
              <w:jc w:val="both"/>
              <w:rPr>
                <w:rFonts w:ascii="Verdana" w:eastAsia="Arial" w:hAnsi="Verdana" w:cs="Arial"/>
                <w:lang w:val="es-ES" w:eastAsia="es-ES" w:bidi="es-ES"/>
              </w:rPr>
            </w:pPr>
            <w:r w:rsidRPr="00DC117C">
              <w:rPr>
                <w:rFonts w:ascii="Verdana" w:eastAsia="Arial" w:hAnsi="Verdana" w:cs="Arial"/>
                <w:lang w:val="es-ES" w:eastAsia="es-ES" w:bidi="es-ES"/>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En este sentido, las prórrogas, modificaciones o adiciones, y la cesión de los contratos suscritos antes del período de la campaña electoral, pueden realizarse en cualquier tiempo antes o después del comienzo de la </w:t>
            </w:r>
            <w:r w:rsidRPr="00DC117C">
              <w:rPr>
                <w:rFonts w:ascii="Verdana" w:eastAsia="Arial" w:hAnsi="Verdana" w:cs="Arial"/>
                <w:lang w:val="es-ES" w:eastAsia="es-ES" w:bidi="es-ES"/>
              </w:rPr>
              <w:lastRenderedPageBreak/>
              <w:t>aplicación de la Ley de Garantías, siempre y cuando el contrato se encuentre vigente y se observen las demás disposiciones conforme a las cuales deben realizarse dichas actuaciones.</w:t>
            </w:r>
            <w:r>
              <w:rPr>
                <w:rFonts w:ascii="Verdana" w:eastAsia="Arial" w:hAnsi="Verdana" w:cs="Arial"/>
                <w:lang w:val="es-ES" w:eastAsia="es-ES" w:bidi="es-ES"/>
              </w:rPr>
              <w:t xml:space="preserve"> Es por eso </w:t>
            </w:r>
            <w:proofErr w:type="gramStart"/>
            <w:r>
              <w:rPr>
                <w:rFonts w:ascii="Verdana" w:eastAsia="Arial" w:hAnsi="Verdana" w:cs="Arial"/>
                <w:lang w:val="es-ES" w:eastAsia="es-ES" w:bidi="es-ES"/>
              </w:rPr>
              <w:t>que</w:t>
            </w:r>
            <w:proofErr w:type="gramEnd"/>
            <w:r>
              <w:rPr>
                <w:rFonts w:ascii="Verdana" w:eastAsia="Arial" w:hAnsi="Verdana" w:cs="Arial"/>
                <w:lang w:val="es-ES" w:eastAsia="es-ES" w:bidi="es-ES"/>
              </w:rPr>
              <w:t>, l</w:t>
            </w:r>
            <w:r w:rsidRPr="00AF687F">
              <w:rPr>
                <w:rFonts w:ascii="Verdana" w:eastAsia="Arial" w:hAnsi="Verdana" w:cs="Arial"/>
                <w:lang w:val="es-MX" w:eastAsia="es-ES" w:bidi="es-ES"/>
              </w:rPr>
              <w:t>os contratos estatales pueden ser objeto de situaciones que impliquen la necesidad de adicionar o modificar las condiciones inicialmente pactadas, conforme lo establece el artículo 40 de la Ley 80 de 1993</w:t>
            </w:r>
          </w:p>
          <w:p w14:paraId="5D5727F9" w14:textId="77777777" w:rsidR="00F62F1C" w:rsidRDefault="00F62F1C" w:rsidP="00A05D8D">
            <w:pPr>
              <w:tabs>
                <w:tab w:val="left" w:pos="284"/>
              </w:tabs>
              <w:spacing w:after="160" w:line="259" w:lineRule="auto"/>
              <w:jc w:val="both"/>
              <w:rPr>
                <w:rFonts w:ascii="Verdana" w:eastAsia="Arial" w:hAnsi="Verdana" w:cs="Arial"/>
                <w:lang w:eastAsia="es-ES" w:bidi="es-ES"/>
              </w:rPr>
            </w:pPr>
            <w:r w:rsidRPr="00AF687F">
              <w:rPr>
                <w:rFonts w:ascii="Verdana" w:eastAsia="Calibri" w:hAnsi="Verdana" w:cs="Arial"/>
                <w:color w:val="000000" w:themeColor="text1"/>
                <w:lang w:eastAsia="es-ES"/>
              </w:rPr>
              <w:t xml:space="preserve">Dicha norma, además de consagrar una prohibición, trae implícita una autorización para adicionar los contratos estatales, siempre que no se supere el tope establecido. El límite debe establecerse en salarios mínimos para que el cálculo sea preciso; de manera que, para adicionar un contrato, se divide el valor inicial por el salario mínimo vigente al momento de la suscripción del contrato, y luego se divide por dos (2). El resultado obtenido constituye el número de SMLMV por los cuales la entidad podrá adicionar el contrato. En este sentido, lo ideal es estimar el valor de la adición en salarios mínimos, calculados con base en el valor vigente, de manera que este valor se descuente de los salarios mínimos que restan </w:t>
            </w:r>
            <w:r w:rsidRPr="00C57384">
              <w:rPr>
                <w:rFonts w:ascii="Verdana" w:eastAsia="Calibri" w:hAnsi="Verdana" w:cs="Arial"/>
                <w:color w:val="000000" w:themeColor="text1"/>
                <w:lang w:eastAsia="es-ES"/>
              </w:rPr>
              <w:t xml:space="preserve">por adicionar. Lo anterior, pues las </w:t>
            </w:r>
            <w:r w:rsidRPr="00C57384">
              <w:rPr>
                <w:rFonts w:ascii="Verdana" w:eastAsia="Arial" w:hAnsi="Verdana" w:cs="Arial"/>
                <w:lang w:val="es-MX" w:eastAsia="es-ES" w:bidi="es-ES"/>
              </w:rPr>
              <w:t xml:space="preserve">modificaciones podrían hacerse en diferentes años. </w:t>
            </w:r>
            <w:r w:rsidRPr="00C57384">
              <w:rPr>
                <w:rFonts w:ascii="Verdana" w:eastAsia="Arial" w:hAnsi="Verdana" w:cs="Arial"/>
                <w:lang w:eastAsia="es-ES" w:bidi="es-ES"/>
              </w:rPr>
              <w:t>De lo anterior se colige que, al tratarse de un mandato de carácter legal, su aplicación resulta obligatoria durante la vigencia de la Ley de Garantías Electorales.</w:t>
            </w:r>
          </w:p>
          <w:p w14:paraId="73A55658" w14:textId="77777777" w:rsidR="00F62F1C" w:rsidRPr="00C57384" w:rsidRDefault="00F62F1C" w:rsidP="00A05D8D">
            <w:pPr>
              <w:tabs>
                <w:tab w:val="left" w:pos="284"/>
              </w:tabs>
              <w:spacing w:after="160" w:line="259" w:lineRule="auto"/>
              <w:jc w:val="both"/>
              <w:rPr>
                <w:rFonts w:ascii="Verdana" w:eastAsia="Arial" w:hAnsi="Verdana" w:cs="Arial"/>
                <w:lang w:eastAsia="es-ES" w:bidi="es-ES"/>
              </w:rPr>
            </w:pPr>
            <w:proofErr w:type="spellStart"/>
            <w:r>
              <w:rPr>
                <w:rFonts w:ascii="Verdana" w:eastAsia="Arial" w:hAnsi="Verdana" w:cs="Arial"/>
                <w:lang w:val="es-MX" w:eastAsia="es-ES" w:bidi="es-ES"/>
              </w:rPr>
              <w:t>ii</w:t>
            </w:r>
            <w:proofErr w:type="spellEnd"/>
            <w:r>
              <w:rPr>
                <w:rFonts w:ascii="Verdana" w:eastAsia="Arial" w:hAnsi="Verdana" w:cs="Arial"/>
                <w:lang w:val="es-MX" w:eastAsia="es-ES" w:bidi="es-ES"/>
              </w:rPr>
              <w:t xml:space="preserve">. </w:t>
            </w:r>
            <w:r w:rsidRPr="00C57384">
              <w:rPr>
                <w:rFonts w:ascii="Verdana" w:eastAsia="Arial" w:hAnsi="Verdana" w:cs="Arial"/>
                <w:lang w:eastAsia="es-ES" w:bidi="es-ES"/>
              </w:rPr>
              <w:t>Dentro del ordenamiento jurídico colombiano no existe una disposición que establezca un término específico o una anticipación mínima para tramitar modificaciones a los contratos estatales. No obstante, en aplicación de los principios de planeación, economía, responsabilidad y de la función administrativa, las entidades estatales deben procurar que dichas modificaciones se tramiten, aprueben y perfeccionen antes del vencimiento del plazo de ejecución del contrato.</w:t>
            </w:r>
          </w:p>
          <w:p w14:paraId="28EE5479" w14:textId="77777777" w:rsidR="00F62F1C" w:rsidRPr="00C57384" w:rsidRDefault="00F62F1C" w:rsidP="00A05D8D">
            <w:pPr>
              <w:tabs>
                <w:tab w:val="left" w:pos="284"/>
              </w:tabs>
              <w:spacing w:after="160" w:line="259" w:lineRule="auto"/>
              <w:jc w:val="both"/>
              <w:rPr>
                <w:rFonts w:ascii="Verdana" w:eastAsia="Arial" w:hAnsi="Verdana" w:cs="Arial"/>
                <w:lang w:eastAsia="es-ES" w:bidi="es-ES"/>
              </w:rPr>
            </w:pPr>
            <w:r w:rsidRPr="00C57384">
              <w:rPr>
                <w:rFonts w:ascii="Verdana" w:eastAsia="Arial" w:hAnsi="Verdana" w:cs="Arial"/>
                <w:lang w:eastAsia="es-ES" w:bidi="es-ES"/>
              </w:rPr>
              <w:t>Lo anterior, por cuanto la modificación de un contrato estatal exige su vigencia, de modo que cualquier adición o modificación posterior al vencimiento del plazo contractual podría carecer de sustento jurídico y dar lugar a la configuración de un hecho cumplido, así como a eventuales responsabilidades disciplinarias, fiscales y/o contractuales para los servidores públicos intervinientes.</w:t>
            </w:r>
          </w:p>
        </w:tc>
      </w:tr>
    </w:tbl>
    <w:p w14:paraId="4EDBA8EC" w14:textId="77777777" w:rsidR="00F62F1C" w:rsidRPr="00593A5F" w:rsidRDefault="00F62F1C" w:rsidP="00F62F1C">
      <w:pPr>
        <w:tabs>
          <w:tab w:val="left" w:pos="142"/>
          <w:tab w:val="left" w:pos="284"/>
        </w:tabs>
        <w:spacing w:after="0" w:line="276" w:lineRule="auto"/>
        <w:jc w:val="both"/>
        <w:rPr>
          <w:rFonts w:ascii="Verdana" w:eastAsia="Century Gothic" w:hAnsi="Verdana" w:cs="Century Gothic"/>
          <w:b/>
          <w:bCs/>
          <w:lang w:val="es-ES"/>
        </w:rPr>
      </w:pPr>
    </w:p>
    <w:p w14:paraId="5BEC4CE9" w14:textId="77777777" w:rsidR="00F62F1C" w:rsidRPr="00593A5F" w:rsidRDefault="00F62F1C" w:rsidP="00F62F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34F650F" w14:textId="77777777" w:rsidR="00F62F1C" w:rsidRPr="00593A5F" w:rsidRDefault="00F62F1C" w:rsidP="00F62F1C">
      <w:pPr>
        <w:spacing w:after="0" w:line="276" w:lineRule="auto"/>
        <w:jc w:val="both"/>
        <w:rPr>
          <w:rFonts w:ascii="Verdana" w:eastAsia="Calibri" w:hAnsi="Verdana" w:cs="Arial"/>
          <w:color w:val="7030A0"/>
          <w:lang w:val="es-ES"/>
        </w:rPr>
      </w:pPr>
    </w:p>
    <w:p w14:paraId="67E49ED4" w14:textId="77777777" w:rsidR="00F62F1C" w:rsidRPr="00B96799" w:rsidRDefault="00F62F1C" w:rsidP="00F62F1C">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8AE1590" w14:textId="77777777" w:rsidR="00F62F1C" w:rsidRDefault="00F62F1C" w:rsidP="00F62F1C">
      <w:pPr>
        <w:spacing w:after="0" w:line="276" w:lineRule="auto"/>
        <w:jc w:val="both"/>
        <w:rPr>
          <w:rFonts w:ascii="Verdana" w:eastAsia="Calibri" w:hAnsi="Verdana" w:cs="Arial"/>
          <w:color w:val="7030A0"/>
          <w:lang w:val="es-ES"/>
        </w:rPr>
      </w:pPr>
    </w:p>
    <w:p w14:paraId="597E1A64" w14:textId="77777777" w:rsidR="00F62F1C" w:rsidRPr="00C57384" w:rsidRDefault="00F62F1C" w:rsidP="00F62F1C">
      <w:pPr>
        <w:tabs>
          <w:tab w:val="left" w:pos="426"/>
        </w:tabs>
        <w:spacing w:after="120" w:line="276" w:lineRule="auto"/>
        <w:jc w:val="both"/>
        <w:rPr>
          <w:rFonts w:ascii="Verdana" w:eastAsia="Calibri" w:hAnsi="Verdana" w:cs="Arial"/>
          <w:lang w:val="es-ES_tradnl"/>
        </w:rPr>
      </w:pPr>
      <w:proofErr w:type="spellStart"/>
      <w:r>
        <w:rPr>
          <w:rFonts w:ascii="Verdana" w:eastAsia="Times New Roman" w:hAnsi="Verdana" w:cs="Arial"/>
          <w:lang w:val="es-MX" w:eastAsia="es-CO"/>
        </w:rPr>
        <w:t>i.</w:t>
      </w:r>
      <w:r w:rsidRPr="00C57384">
        <w:rPr>
          <w:rFonts w:ascii="Verdana" w:eastAsia="Times New Roman" w:hAnsi="Verdana" w:cs="Arial"/>
          <w:lang w:val="es-MX" w:eastAsia="es-CO"/>
        </w:rPr>
        <w:t>La</w:t>
      </w:r>
      <w:proofErr w:type="spellEnd"/>
      <w:r w:rsidRPr="00C57384">
        <w:rPr>
          <w:rFonts w:ascii="Verdana" w:eastAsia="Times New Roman" w:hAnsi="Verdana" w:cs="Arial"/>
          <w:lang w:val="es-MX" w:eastAsia="es-CO"/>
        </w:rPr>
        <w:t xml:space="preserve">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2"/>
      </w:r>
      <w:r w:rsidRPr="00C57384">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57384">
        <w:rPr>
          <w:rFonts w:ascii="Verdana" w:eastAsia="Calibri" w:hAnsi="Verdana" w:cs="Arial"/>
          <w:lang w:val="es-ES_tradnl"/>
        </w:rPr>
        <w:t xml:space="preserve"> </w:t>
      </w:r>
    </w:p>
    <w:p w14:paraId="55C74971" w14:textId="77777777" w:rsidR="00F62F1C" w:rsidRPr="006B14B5" w:rsidRDefault="00F62F1C" w:rsidP="00F62F1C">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9594918" w14:textId="77777777" w:rsidR="00F62F1C" w:rsidRPr="00E2397D" w:rsidRDefault="00F62F1C" w:rsidP="00F62F1C">
      <w:pPr>
        <w:spacing w:after="0" w:line="276" w:lineRule="auto"/>
        <w:ind w:right="709"/>
        <w:contextualSpacing/>
        <w:jc w:val="both"/>
        <w:rPr>
          <w:rFonts w:ascii="Verdana" w:eastAsia="Times New Roman" w:hAnsi="Verdana" w:cs="Arial"/>
          <w:lang w:val="es-ES" w:eastAsia="es-CO"/>
        </w:rPr>
      </w:pPr>
    </w:p>
    <w:p w14:paraId="5155FDC7" w14:textId="77777777" w:rsidR="00F62F1C" w:rsidRPr="00E2397D" w:rsidRDefault="00F62F1C" w:rsidP="00F62F1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AF58FE2" w14:textId="77777777" w:rsidR="00F62F1C" w:rsidRPr="00E2397D" w:rsidRDefault="00F62F1C" w:rsidP="00F62F1C">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99DD413" w14:textId="77777777" w:rsidR="00F62F1C" w:rsidRPr="00E2397D" w:rsidRDefault="00F62F1C" w:rsidP="00F62F1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66DDCA38" w14:textId="77777777" w:rsidR="00F62F1C" w:rsidRPr="00E2397D" w:rsidRDefault="00F62F1C" w:rsidP="00F62F1C">
      <w:pPr>
        <w:spacing w:after="0" w:line="276" w:lineRule="auto"/>
        <w:ind w:firstLine="709"/>
        <w:jc w:val="both"/>
        <w:rPr>
          <w:rFonts w:ascii="Verdana" w:eastAsia="Times New Roman" w:hAnsi="Verdana" w:cs="Arial"/>
          <w:lang w:val="es-MX" w:eastAsia="es-CO"/>
        </w:rPr>
      </w:pPr>
    </w:p>
    <w:p w14:paraId="65A3C712" w14:textId="77777777" w:rsidR="00F62F1C" w:rsidRPr="00E2397D" w:rsidRDefault="00F62F1C" w:rsidP="00F62F1C">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w:t>
      </w:r>
      <w:r w:rsidRPr="00E2397D">
        <w:rPr>
          <w:rFonts w:ascii="Verdana" w:eastAsia="Times New Roman" w:hAnsi="Verdana" w:cs="Arial"/>
          <w:lang w:val="es-MX" w:eastAsia="es-CO"/>
        </w:rPr>
        <w:lastRenderedPageBreak/>
        <w:t>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718D9A0" w14:textId="77777777" w:rsidR="00F62F1C" w:rsidRPr="00886C02" w:rsidRDefault="00F62F1C" w:rsidP="00F62F1C">
      <w:pPr>
        <w:spacing w:after="0" w:line="276" w:lineRule="auto"/>
        <w:ind w:firstLine="709"/>
        <w:jc w:val="both"/>
        <w:rPr>
          <w:rFonts w:ascii="Verdana" w:eastAsia="Times New Roman" w:hAnsi="Verdana" w:cs="Arial"/>
          <w:lang w:val="es-MX" w:eastAsia="es-CO"/>
        </w:rPr>
      </w:pPr>
    </w:p>
    <w:p w14:paraId="6F61B207" w14:textId="77777777" w:rsidR="00F62F1C" w:rsidRPr="00E2397D" w:rsidRDefault="00F62F1C" w:rsidP="00F62F1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1F7ADC2" w14:textId="77777777" w:rsidR="00F62F1C" w:rsidRPr="00E2397D" w:rsidRDefault="00F62F1C" w:rsidP="00F62F1C">
      <w:pPr>
        <w:spacing w:after="0" w:line="240" w:lineRule="auto"/>
        <w:ind w:right="709"/>
        <w:contextualSpacing/>
        <w:jc w:val="both"/>
        <w:rPr>
          <w:rFonts w:ascii="Verdana" w:eastAsia="Times New Roman" w:hAnsi="Verdana" w:cs="Arial"/>
          <w:lang w:val="es-MX" w:eastAsia="es-CO"/>
        </w:rPr>
      </w:pPr>
    </w:p>
    <w:p w14:paraId="65D19EA7" w14:textId="77777777" w:rsidR="00F62F1C" w:rsidRPr="00E2397D" w:rsidRDefault="00F62F1C" w:rsidP="00F62F1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35C048D5" w14:textId="77777777" w:rsidR="00F62F1C" w:rsidRPr="00E2397D" w:rsidRDefault="00F62F1C" w:rsidP="00F62F1C">
      <w:pPr>
        <w:spacing w:after="0" w:line="276" w:lineRule="auto"/>
        <w:jc w:val="both"/>
        <w:rPr>
          <w:rFonts w:ascii="Verdana" w:eastAsia="Calibri" w:hAnsi="Verdana" w:cs="Arial"/>
          <w:bCs/>
          <w:lang w:val="es-ES_tradnl"/>
        </w:rPr>
      </w:pPr>
    </w:p>
    <w:p w14:paraId="2CB6D6E4" w14:textId="77777777" w:rsidR="00F62F1C" w:rsidRPr="00B3605D" w:rsidRDefault="00F62F1C" w:rsidP="00F62F1C">
      <w:pPr>
        <w:spacing w:after="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D5EB58D" w14:textId="77777777" w:rsidR="00F62F1C" w:rsidRPr="00B3605D" w:rsidRDefault="00F62F1C" w:rsidP="00F62F1C">
      <w:pPr>
        <w:widowControl w:val="0"/>
        <w:autoSpaceDE w:val="0"/>
        <w:autoSpaceDN w:val="0"/>
        <w:spacing w:after="0" w:line="276" w:lineRule="auto"/>
        <w:jc w:val="both"/>
        <w:rPr>
          <w:rFonts w:ascii="Verdana" w:eastAsia="Calibri" w:hAnsi="Verdana" w:cs="Arial"/>
          <w:lang w:val="es-ES"/>
        </w:rPr>
      </w:pPr>
    </w:p>
    <w:p w14:paraId="3567E26D" w14:textId="77777777" w:rsidR="00F62F1C" w:rsidRPr="00B3605D" w:rsidRDefault="00F62F1C" w:rsidP="00F62F1C">
      <w:pPr>
        <w:spacing w:after="120" w:line="276" w:lineRule="auto"/>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6D664158" w14:textId="77777777" w:rsidR="00F62F1C" w:rsidRPr="00FC54ED" w:rsidRDefault="00F62F1C" w:rsidP="00F62F1C">
      <w:pPr>
        <w:spacing w:before="100" w:beforeAutospacing="1" w:after="100" w:afterAutospacing="1" w:line="270" w:lineRule="atLeast"/>
        <w:ind w:left="708" w:right="616"/>
        <w:jc w:val="both"/>
        <w:rPr>
          <w:rFonts w:ascii="Verdana" w:eastAsia="Times New Roman" w:hAnsi="Verdana" w:cs="Open Sans"/>
          <w:sz w:val="20"/>
          <w:szCs w:val="20"/>
          <w:lang w:eastAsia="es-CO"/>
        </w:rPr>
      </w:pPr>
      <w:bookmarkStart w:id="1" w:name="33"/>
      <w:r w:rsidRPr="00FC54ED">
        <w:rPr>
          <w:rFonts w:ascii="Verdana" w:eastAsia="Times New Roman" w:hAnsi="Verdana" w:cs="Open Sans"/>
          <w:b/>
          <w:bCs/>
          <w:sz w:val="20"/>
          <w:szCs w:val="20"/>
          <w:lang w:eastAsia="es-CO"/>
        </w:rPr>
        <w:lastRenderedPageBreak/>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06E5AD55" w14:textId="77777777" w:rsidR="00F62F1C" w:rsidRPr="00B3605D" w:rsidRDefault="00F62F1C" w:rsidP="00F62F1C">
      <w:pPr>
        <w:spacing w:before="100" w:beforeAutospacing="1" w:after="100" w:afterAutospacing="1" w:line="270" w:lineRule="atLeast"/>
        <w:ind w:left="708" w:right="616"/>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43739C5" w14:textId="77777777" w:rsidR="00F62F1C" w:rsidRPr="00D61E29" w:rsidRDefault="00F62F1C" w:rsidP="00F62F1C">
      <w:pPr>
        <w:spacing w:before="100" w:beforeAutospacing="1" w:after="100" w:afterAutospacing="1" w:line="270" w:lineRule="atLeast"/>
        <w:ind w:right="616"/>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meses anteriores a las elecciones presidenciales y dispone las excepciones a dicha prohibición. </w:t>
      </w:r>
    </w:p>
    <w:p w14:paraId="45B014A1" w14:textId="77777777" w:rsidR="00F62F1C" w:rsidRPr="00D61E29" w:rsidRDefault="00F62F1C" w:rsidP="00F62F1C">
      <w:pPr>
        <w:spacing w:before="100" w:beforeAutospacing="1" w:after="100" w:afterAutospacing="1" w:line="270" w:lineRule="atLeast"/>
        <w:ind w:right="616"/>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0F144B12" w14:textId="77777777" w:rsidR="00F62F1C" w:rsidRPr="00D61E29" w:rsidRDefault="00F62F1C" w:rsidP="00F62F1C">
      <w:pPr>
        <w:pStyle w:val="NormalWeb"/>
        <w:spacing w:line="270" w:lineRule="atLeast"/>
        <w:ind w:left="709" w:right="616"/>
        <w:jc w:val="both"/>
        <w:rPr>
          <w:rFonts w:ascii="Verdana" w:hAnsi="Verdana" w:cs="Open Sans"/>
          <w:sz w:val="20"/>
          <w:szCs w:val="20"/>
        </w:rPr>
      </w:pP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8909834" w14:textId="77777777" w:rsidR="00F62F1C" w:rsidRPr="00D61E29" w:rsidRDefault="00F62F1C" w:rsidP="00F62F1C">
      <w:pPr>
        <w:pStyle w:val="NormalWeb"/>
        <w:spacing w:line="270" w:lineRule="atLeast"/>
        <w:ind w:left="709" w:right="616"/>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7E2BD23C" w14:textId="77777777" w:rsidR="00F62F1C" w:rsidRPr="00D61E29" w:rsidRDefault="00F62F1C" w:rsidP="00F62F1C">
      <w:pPr>
        <w:pStyle w:val="NormalWeb"/>
        <w:spacing w:line="270" w:lineRule="atLeast"/>
        <w:ind w:left="709" w:right="616"/>
        <w:jc w:val="both"/>
        <w:rPr>
          <w:rFonts w:ascii="Verdana" w:hAnsi="Verdana" w:cs="Open Sans"/>
          <w:sz w:val="20"/>
          <w:szCs w:val="20"/>
        </w:rPr>
      </w:pPr>
      <w:r w:rsidRPr="00D61E29">
        <w:rPr>
          <w:rFonts w:ascii="Verdana" w:hAnsi="Verdana" w:cs="Open Sans"/>
          <w:sz w:val="20"/>
          <w:szCs w:val="20"/>
        </w:rPr>
        <w:t xml:space="preserve">No podrán autorizar la utilización de inmuebles o bienes muebles de carácter público para actividades proselitistas, ni para facilitar el alojamiento, ni el transporte de electores de candidatos a cargos de </w:t>
      </w:r>
      <w:r w:rsidRPr="00D61E29">
        <w:rPr>
          <w:rFonts w:ascii="Verdana" w:hAnsi="Verdana" w:cs="Open Sans"/>
          <w:sz w:val="20"/>
          <w:szCs w:val="20"/>
        </w:rPr>
        <w:lastRenderedPageBreak/>
        <w:t>elección popular. Tampoco podrán hacerlo cuando participen voceros de los candidatos.</w:t>
      </w:r>
    </w:p>
    <w:p w14:paraId="722D55B5" w14:textId="77777777" w:rsidR="00F62F1C" w:rsidRPr="00D61E29" w:rsidRDefault="00F62F1C" w:rsidP="00F62F1C">
      <w:pPr>
        <w:pStyle w:val="NormalWeb"/>
        <w:spacing w:line="270" w:lineRule="atLeast"/>
        <w:ind w:left="709" w:right="616"/>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503E0228" w14:textId="77777777" w:rsidR="00F62F1C" w:rsidRPr="00D61E29" w:rsidRDefault="00F62F1C" w:rsidP="00F62F1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5E586AE" w14:textId="77777777" w:rsidR="00F62F1C" w:rsidRPr="00D61E29" w:rsidRDefault="00F62F1C" w:rsidP="00F62F1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16CAC5D" w14:textId="77777777" w:rsidR="00F62F1C" w:rsidRPr="00D61E29" w:rsidRDefault="00F62F1C" w:rsidP="00F62F1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7"/>
      </w:r>
    </w:p>
    <w:p w14:paraId="411D15AC" w14:textId="77777777" w:rsidR="00F62F1C" w:rsidRPr="00D61E29" w:rsidRDefault="00F62F1C" w:rsidP="00F62F1C">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3D52F92" w14:textId="77777777" w:rsidR="00F62F1C" w:rsidRPr="00E2397D" w:rsidRDefault="00F62F1C" w:rsidP="00F62F1C">
      <w:pPr>
        <w:spacing w:after="120" w:line="276" w:lineRule="auto"/>
        <w:ind w:firstLine="709"/>
        <w:jc w:val="both"/>
        <w:rPr>
          <w:rFonts w:ascii="Verdana" w:eastAsia="Arial" w:hAnsi="Verdana" w:cs="Arial"/>
          <w:lang w:val="es-ES" w:eastAsia="es-ES" w:bidi="es-ES"/>
        </w:rPr>
      </w:pPr>
      <w:r w:rsidRPr="00D61E29">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D61E29">
        <w:rPr>
          <w:rFonts w:ascii="Verdana" w:eastAsia="Arial" w:hAnsi="Verdana" w:cs="Arial"/>
          <w:i/>
          <w:lang w:val="es-ES" w:eastAsia="es-ES" w:bidi="es-ES"/>
        </w:rPr>
        <w:t>En primer lugar</w:t>
      </w:r>
      <w:r w:rsidRPr="00D61E29">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w:t>
      </w:r>
      <w:r w:rsidRPr="00D61E29">
        <w:rPr>
          <w:rFonts w:ascii="Verdana" w:eastAsia="Arial" w:hAnsi="Verdana" w:cs="Arial"/>
          <w:lang w:val="es-ES" w:eastAsia="es-ES" w:bidi="es-ES"/>
        </w:rPr>
        <w:lastRenderedPageBreak/>
        <w:t xml:space="preserve">la que sólo participarán los dos candidatos que hubieren obtenido las votaciones más altas, de conformidad con el artículo </w:t>
      </w:r>
      <w:r w:rsidRPr="00E2397D">
        <w:rPr>
          <w:rFonts w:ascii="Verdana" w:eastAsia="Arial" w:hAnsi="Verdana" w:cs="Arial"/>
          <w:lang w:val="es-ES" w:eastAsia="es-ES" w:bidi="es-ES"/>
        </w:rPr>
        <w:t xml:space="preserve">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48EA8F0" w14:textId="77777777" w:rsidR="00F62F1C" w:rsidRPr="00B3605D" w:rsidRDefault="00F62F1C" w:rsidP="00F62F1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w:t>
      </w:r>
      <w:r w:rsidRPr="00B3605D">
        <w:rPr>
          <w:rFonts w:ascii="Verdana" w:eastAsia="Arial" w:hAnsi="Verdana" w:cs="Arial"/>
          <w:lang w:val="es-ES" w:eastAsia="es-ES" w:bidi="es-ES"/>
        </w:rPr>
        <w:t>la República, las autoridades allí mencionadas sólo deben aplicar las restricciones contenidas en el parágrafo del artículo 38.</w:t>
      </w:r>
    </w:p>
    <w:p w14:paraId="1FF3E22C" w14:textId="77777777" w:rsidR="00F62F1C" w:rsidRPr="00B3605D" w:rsidRDefault="00F62F1C" w:rsidP="00F62F1C">
      <w:pPr>
        <w:tabs>
          <w:tab w:val="left" w:pos="8080"/>
        </w:tabs>
        <w:spacing w:before="100" w:beforeAutospacing="1" w:after="100" w:afterAutospacing="1" w:line="270" w:lineRule="atLeast"/>
        <w:ind w:right="49"/>
        <w:jc w:val="both"/>
        <w:rPr>
          <w:rFonts w:ascii="Verdana" w:hAnsi="Verdana"/>
        </w:rPr>
      </w:pPr>
      <w:r w:rsidRPr="00B3605D">
        <w:rPr>
          <w:rFonts w:ascii="Verdana" w:eastAsia="Times New Roman" w:hAnsi="Verdana" w:cs="Open Sans"/>
          <w:lang w:eastAsia="es-CO"/>
        </w:rPr>
        <w:t>Ahora bien, para responder al problema jurídico planteado se resalta el numeral 16.5 de la Circular Externa Única</w:t>
      </w:r>
      <w:r w:rsidRPr="00B3605D">
        <w:rPr>
          <w:rStyle w:val="Refdenotaalpie"/>
          <w:rFonts w:ascii="Verdana" w:eastAsia="Times New Roman" w:hAnsi="Verdana" w:cs="Open Sans"/>
          <w:lang w:eastAsia="es-CO"/>
        </w:rPr>
        <w:footnoteReference w:id="8"/>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6A386382" w14:textId="77777777" w:rsidR="00F62F1C" w:rsidRPr="00B3605D" w:rsidRDefault="00F62F1C" w:rsidP="00F62F1C">
      <w:pPr>
        <w:spacing w:before="100" w:beforeAutospacing="1" w:after="100" w:afterAutospacing="1" w:line="270" w:lineRule="atLeast"/>
        <w:ind w:left="708" w:right="616"/>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104E74E8" w14:textId="77777777" w:rsidR="00F62F1C" w:rsidRPr="00FC54ED" w:rsidRDefault="00F62F1C" w:rsidP="00F62F1C">
      <w:pPr>
        <w:spacing w:before="100" w:beforeAutospacing="1" w:after="100" w:afterAutospacing="1" w:line="270" w:lineRule="atLeast"/>
        <w:ind w:left="708" w:right="616"/>
        <w:jc w:val="both"/>
        <w:rPr>
          <w:rFonts w:ascii="Verdana" w:eastAsia="Times New Roman" w:hAnsi="Verdana" w:cs="Open Sans"/>
          <w:sz w:val="20"/>
          <w:szCs w:val="20"/>
          <w:lang w:eastAsia="es-CO"/>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2CE7935E" w14:textId="77777777" w:rsidR="00F62F1C" w:rsidRDefault="00F62F1C" w:rsidP="00F62F1C">
      <w:pPr>
        <w:spacing w:after="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 xml:space="preserve">lo ha manifestado esta Agencia, las prórrogas, modificaciones o adiciones de los contratos suscritos </w:t>
      </w:r>
      <w:r w:rsidRPr="00894384">
        <w:rPr>
          <w:rFonts w:ascii="Verdana" w:eastAsia="Times New Roman" w:hAnsi="Verdana" w:cs="Arial"/>
          <w:bCs/>
          <w:lang w:val="es-MX" w:eastAsia="es-CO"/>
        </w:rPr>
        <w:lastRenderedPageBreak/>
        <w:t>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4B0D41A2" w14:textId="77777777" w:rsidR="00F62F1C" w:rsidRDefault="00F62F1C" w:rsidP="00F62F1C">
      <w:pPr>
        <w:spacing w:after="0" w:line="276" w:lineRule="auto"/>
        <w:ind w:firstLine="708"/>
        <w:jc w:val="both"/>
        <w:rPr>
          <w:rFonts w:ascii="Verdana" w:eastAsia="Times New Roman" w:hAnsi="Verdana" w:cs="Arial"/>
          <w:bCs/>
          <w:lang w:val="es-MX" w:eastAsia="es-CO"/>
        </w:rPr>
      </w:pPr>
    </w:p>
    <w:p w14:paraId="569BBE70" w14:textId="77777777" w:rsidR="00F62F1C" w:rsidRDefault="00F62F1C" w:rsidP="00F62F1C">
      <w:pPr>
        <w:widowControl w:val="0"/>
        <w:autoSpaceDE w:val="0"/>
        <w:autoSpaceDN w:val="0"/>
        <w:ind w:firstLine="709"/>
        <w:jc w:val="both"/>
        <w:rPr>
          <w:rFonts w:ascii="Verdana" w:eastAsia="Arial" w:hAnsi="Verdana" w:cs="Arial"/>
          <w:color w:val="000000"/>
          <w:lang w:eastAsia="es-ES" w:bidi="es-ES"/>
        </w:rPr>
      </w:pPr>
      <w:r>
        <w:rPr>
          <w:rFonts w:ascii="Verdana" w:eastAsia="Arial" w:hAnsi="Verdana" w:cs="Arial"/>
          <w:color w:val="000000"/>
          <w:lang w:eastAsia="es-ES" w:bidi="es-ES"/>
        </w:rPr>
        <w:t xml:space="preserve">Mencionado lo anterior, esta subdirección en torno a la limitación de la adición contractual en vigencia de la Ley de Garantías Electorales establece </w:t>
      </w:r>
      <w:proofErr w:type="gramStart"/>
      <w:r>
        <w:rPr>
          <w:rFonts w:ascii="Verdana" w:eastAsia="Arial" w:hAnsi="Verdana" w:cs="Arial"/>
          <w:color w:val="000000"/>
          <w:lang w:eastAsia="es-ES" w:bidi="es-ES"/>
        </w:rPr>
        <w:t>que,  u</w:t>
      </w:r>
      <w:r w:rsidRPr="00B31C7B">
        <w:rPr>
          <w:rFonts w:ascii="Verdana" w:eastAsia="Arial" w:hAnsi="Verdana" w:cs="Arial"/>
          <w:color w:val="000000"/>
          <w:lang w:eastAsia="es-ES" w:bidi="es-ES"/>
        </w:rPr>
        <w:t>na</w:t>
      </w:r>
      <w:proofErr w:type="gramEnd"/>
      <w:r w:rsidRPr="00B31C7B">
        <w:rPr>
          <w:rFonts w:ascii="Verdana" w:eastAsia="Arial" w:hAnsi="Verdana" w:cs="Arial"/>
          <w:color w:val="000000"/>
          <w:lang w:eastAsia="es-ES" w:bidi="es-ES"/>
        </w:rPr>
        <w:t xml:space="preserve"> de las manifestaciones de modificación de los contratos es la adición</w:t>
      </w:r>
      <w:r>
        <w:rPr>
          <w:rFonts w:ascii="Verdana" w:eastAsia="Arial" w:hAnsi="Verdana" w:cs="Arial"/>
          <w:color w:val="000000"/>
          <w:lang w:eastAsia="es-ES" w:bidi="es-ES"/>
        </w:rPr>
        <w:t xml:space="preserve"> al valor pactado</w:t>
      </w:r>
      <w:r w:rsidRPr="00B31C7B">
        <w:rPr>
          <w:rFonts w:ascii="Verdana" w:eastAsia="Arial" w:hAnsi="Verdana" w:cs="Arial"/>
          <w:color w:val="000000"/>
          <w:lang w:eastAsia="es-ES" w:bidi="es-ES"/>
        </w:rPr>
        <w:t xml:space="preserve">. Los contratos estatales pueden ser objeto de situaciones que impliquen la necesidad de adicionar o modificar las condiciones inicialmente pactadas, conforme lo </w:t>
      </w:r>
      <w:r>
        <w:rPr>
          <w:rFonts w:ascii="Verdana" w:eastAsia="Arial" w:hAnsi="Verdana" w:cs="Arial"/>
          <w:color w:val="000000"/>
          <w:lang w:eastAsia="es-ES" w:bidi="es-ES"/>
        </w:rPr>
        <w:t xml:space="preserve">establece </w:t>
      </w:r>
      <w:r w:rsidRPr="00B31C7B">
        <w:rPr>
          <w:rFonts w:ascii="Verdana" w:eastAsia="Arial" w:hAnsi="Verdana" w:cs="Arial"/>
          <w:color w:val="000000"/>
          <w:lang w:eastAsia="es-ES" w:bidi="es-ES"/>
        </w:rPr>
        <w:t>el artículo 40 de la Ley 80 de 1993</w:t>
      </w:r>
      <w:r>
        <w:rPr>
          <w:rFonts w:ascii="Verdana" w:eastAsia="Arial" w:hAnsi="Verdana" w:cs="Arial"/>
          <w:color w:val="000000"/>
          <w:lang w:eastAsia="es-ES" w:bidi="es-ES"/>
        </w:rPr>
        <w:t>.</w:t>
      </w:r>
    </w:p>
    <w:p w14:paraId="2FE5BFAE" w14:textId="77777777" w:rsidR="00F62F1C" w:rsidRDefault="00F62F1C" w:rsidP="00F62F1C">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La ejecución de los contratos estatales está sujeta a los cambios propios del paso del tiempo. Así, durante la etapa de planeación, las entidades estiman y determinan las prestaciones que demanda la satisfacción de la necesidad</w:t>
      </w:r>
      <w:r>
        <w:rPr>
          <w:rFonts w:ascii="Verdana" w:eastAsia="Calibri" w:hAnsi="Verdana" w:cs="Arial"/>
          <w:color w:val="000000"/>
          <w:szCs w:val="24"/>
          <w:lang w:eastAsia="es-ES_tradnl"/>
        </w:rPr>
        <w:t xml:space="preserve"> identificada</w:t>
      </w:r>
      <w:r w:rsidRPr="00B31C7B">
        <w:rPr>
          <w:rFonts w:ascii="Verdana" w:eastAsia="Calibri" w:hAnsi="Verdana" w:cs="Arial"/>
          <w:color w:val="000000"/>
          <w:szCs w:val="24"/>
          <w:lang w:eastAsia="es-ES_tradnl"/>
        </w:rPr>
        <w:t xml:space="preserve">. No obstante, durante la ejecución del contrato, las partes </w:t>
      </w:r>
      <w:r>
        <w:rPr>
          <w:rFonts w:ascii="Verdana" w:eastAsia="Calibri" w:hAnsi="Verdana" w:cs="Arial"/>
          <w:color w:val="000000"/>
          <w:szCs w:val="24"/>
          <w:lang w:eastAsia="es-ES_tradnl"/>
        </w:rPr>
        <w:t xml:space="preserve">pueden evidenciar </w:t>
      </w:r>
      <w:r w:rsidRPr="00B31C7B">
        <w:rPr>
          <w:rFonts w:ascii="Verdana" w:eastAsia="Calibri" w:hAnsi="Verdana" w:cs="Arial"/>
          <w:color w:val="000000"/>
          <w:szCs w:val="24"/>
          <w:lang w:eastAsia="es-ES_tradnl"/>
        </w:rPr>
        <w:t xml:space="preserve">alguna de las siguientes situaciones: </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i) la necesidad de mayores cantidades de bienes o actividades</w:t>
      </w:r>
      <w:r>
        <w:rPr>
          <w:rFonts w:ascii="Verdana" w:eastAsia="Calibri" w:hAnsi="Verdana" w:cs="Arial"/>
          <w:color w:val="000000"/>
          <w:szCs w:val="24"/>
          <w:lang w:eastAsia="es-ES_tradnl"/>
        </w:rPr>
        <w:t xml:space="preserve"> a las</w:t>
      </w:r>
      <w:r w:rsidRPr="00B31C7B">
        <w:rPr>
          <w:rFonts w:ascii="Verdana" w:eastAsia="Calibri" w:hAnsi="Verdana" w:cs="Arial"/>
          <w:color w:val="000000"/>
          <w:szCs w:val="24"/>
          <w:lang w:eastAsia="es-ES_tradnl"/>
        </w:rPr>
        <w:t xml:space="preserve"> inicialmente previst</w:t>
      </w:r>
      <w:r>
        <w:rPr>
          <w:rFonts w:ascii="Verdana" w:eastAsia="Calibri" w:hAnsi="Verdana" w:cs="Arial"/>
          <w:color w:val="000000"/>
          <w:szCs w:val="24"/>
          <w:lang w:eastAsia="es-ES_tradnl"/>
        </w:rPr>
        <w:t>a</w:t>
      </w:r>
      <w:r w:rsidRPr="00B31C7B">
        <w:rPr>
          <w:rFonts w:ascii="Verdana" w:eastAsia="Calibri" w:hAnsi="Verdana" w:cs="Arial"/>
          <w:color w:val="000000"/>
          <w:szCs w:val="24"/>
          <w:lang w:eastAsia="es-ES_tradnl"/>
        </w:rPr>
        <w:t xml:space="preserve">s, a lo que se le conoce como “mayores cantidades de obra”, “obras adicionales” o adición de “ítems contractuales”; </w:t>
      </w:r>
      <w:r>
        <w:rPr>
          <w:rFonts w:ascii="Verdana" w:eastAsia="Calibri" w:hAnsi="Verdana" w:cs="Arial"/>
          <w:color w:val="000000"/>
          <w:szCs w:val="24"/>
          <w:lang w:eastAsia="es-ES_tradnl"/>
        </w:rPr>
        <w:t>o</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 xml:space="preserve">No obstante, estos términos –algunos de ellos usualmente empleados en contratos de obra– son nociones doctrinarias que se utilizan en la práctica por las entidades estatales, </w:t>
      </w:r>
      <w:r>
        <w:rPr>
          <w:rFonts w:ascii="Verdana" w:eastAsia="Calibri" w:hAnsi="Verdana" w:cs="Arial"/>
          <w:color w:val="000000"/>
          <w:szCs w:val="24"/>
          <w:lang w:eastAsia="es-ES_tradnl"/>
        </w:rPr>
        <w:t xml:space="preserve">y </w:t>
      </w:r>
      <w:r w:rsidRPr="00B31C7B">
        <w:rPr>
          <w:rFonts w:ascii="Verdana" w:eastAsia="Calibri" w:hAnsi="Verdana" w:cs="Arial"/>
          <w:color w:val="000000"/>
          <w:szCs w:val="24"/>
          <w:lang w:eastAsia="es-ES_tradnl"/>
        </w:rPr>
        <w:t>que no tienen un fundamento particular en el ordenamiento jurídico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p>
    <w:p w14:paraId="1BF74CC1" w14:textId="77777777" w:rsidR="00F62F1C" w:rsidRDefault="00F62F1C" w:rsidP="00F62F1C">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Lo importante es que, frente a cualquier incremento del valor inicial del contrato</w:t>
      </w:r>
      <w:r>
        <w:rPr>
          <w:rFonts w:ascii="Verdana" w:eastAsia="Calibri" w:hAnsi="Verdana" w:cs="Arial"/>
          <w:color w:val="000000"/>
          <w:szCs w:val="24"/>
          <w:lang w:eastAsia="es-ES_tradnl"/>
        </w:rPr>
        <w:t>,</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 xml:space="preserve">por cualquiera de los dos supuestos señalados previamente, e independiente </w:t>
      </w:r>
      <w:r>
        <w:rPr>
          <w:rFonts w:ascii="Verdana" w:eastAsia="Calibri" w:hAnsi="Verdana" w:cs="Arial"/>
          <w:color w:val="000000"/>
          <w:szCs w:val="24"/>
          <w:lang w:eastAsia="es-ES_tradnl"/>
        </w:rPr>
        <w:t xml:space="preserve">de la denominación </w:t>
      </w:r>
      <w:r w:rsidRPr="00B31C7B">
        <w:rPr>
          <w:rFonts w:ascii="Verdana" w:eastAsia="Calibri" w:hAnsi="Verdana" w:cs="Arial"/>
          <w:color w:val="000000"/>
          <w:szCs w:val="24"/>
          <w:lang w:eastAsia="es-ES_tradnl"/>
        </w:rPr>
        <w:t>-otrosí, adición</w:t>
      </w:r>
      <w:r>
        <w:rPr>
          <w:rFonts w:ascii="Verdana" w:eastAsia="Calibri" w:hAnsi="Verdana" w:cs="Arial"/>
          <w:color w:val="000000"/>
          <w:szCs w:val="24"/>
          <w:lang w:eastAsia="es-ES_tradnl"/>
        </w:rPr>
        <w:t xml:space="preserve"> o</w:t>
      </w:r>
      <w:r w:rsidRPr="00B31C7B">
        <w:rPr>
          <w:rFonts w:ascii="Verdana" w:eastAsia="Calibri" w:hAnsi="Verdana" w:cs="Arial"/>
          <w:color w:val="000000"/>
          <w:szCs w:val="24"/>
          <w:lang w:eastAsia="es-ES_tradnl"/>
        </w:rPr>
        <w:t xml:space="preserve"> modificación- aplica el límite previsto en el parágrafo del artículo 40 de la Ley 80 de 1993</w:t>
      </w:r>
      <w:r>
        <w:rPr>
          <w:rFonts w:ascii="Verdana" w:eastAsia="Calibri" w:hAnsi="Verdana" w:cs="Arial"/>
          <w:color w:val="000000"/>
          <w:szCs w:val="24"/>
          <w:lang w:eastAsia="es-ES_tradnl"/>
        </w:rPr>
        <w:t>, según el cual</w:t>
      </w:r>
      <w:r w:rsidRPr="00B31C7B">
        <w:rPr>
          <w:rFonts w:ascii="Verdana" w:eastAsia="Calibri" w:hAnsi="Verdana" w:cs="Arial"/>
          <w:color w:val="000000"/>
          <w:szCs w:val="24"/>
          <w:lang w:eastAsia="es-ES_tradnl"/>
        </w:rPr>
        <w:t xml:space="preserve"> “Los contratos no podrán adicionarse en más del cincuenta por ciento (50%) de su valor inicial, expresado éste en salarios mínimos legales mensuales”. De manera, aunque es posible </w:t>
      </w:r>
      <w:r>
        <w:rPr>
          <w:rFonts w:ascii="Verdana" w:eastAsia="Calibri" w:hAnsi="Verdana" w:cs="Arial"/>
          <w:color w:val="000000"/>
          <w:szCs w:val="24"/>
          <w:lang w:eastAsia="es-ES_tradnl"/>
        </w:rPr>
        <w:t xml:space="preserve">que las entidades estatales celebren este </w:t>
      </w:r>
      <w:r w:rsidRPr="00B31C7B">
        <w:rPr>
          <w:rFonts w:ascii="Verdana" w:eastAsia="Calibri" w:hAnsi="Verdana" w:cs="Arial"/>
          <w:color w:val="000000"/>
          <w:szCs w:val="24"/>
          <w:lang w:eastAsia="es-ES_tradnl"/>
        </w:rPr>
        <w:t>tipo de acuerdos</w:t>
      </w:r>
      <w:r>
        <w:rPr>
          <w:rFonts w:ascii="Verdana" w:eastAsia="Calibri" w:hAnsi="Verdana" w:cs="Arial"/>
          <w:color w:val="000000"/>
          <w:szCs w:val="24"/>
          <w:lang w:eastAsia="es-ES_tradnl"/>
        </w:rPr>
        <w:t xml:space="preserve"> para adicionar el valor inicial</w:t>
      </w:r>
      <w:r w:rsidRPr="00B31C7B">
        <w:rPr>
          <w:rFonts w:ascii="Verdana" w:eastAsia="Calibri" w:hAnsi="Verdana" w:cs="Arial"/>
          <w:color w:val="000000"/>
          <w:szCs w:val="24"/>
          <w:lang w:eastAsia="es-ES_tradnl"/>
        </w:rPr>
        <w:t>, siempre debe</w:t>
      </w:r>
      <w:r>
        <w:rPr>
          <w:rFonts w:ascii="Verdana" w:eastAsia="Calibri" w:hAnsi="Verdana" w:cs="Arial"/>
          <w:color w:val="000000"/>
          <w:szCs w:val="24"/>
          <w:lang w:eastAsia="es-ES_tradnl"/>
        </w:rPr>
        <w:t>n</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 xml:space="preserve">cumplir con el límite señalado en </w:t>
      </w:r>
      <w:r>
        <w:rPr>
          <w:rFonts w:ascii="Verdana" w:eastAsia="Calibri" w:hAnsi="Verdana" w:cs="Arial"/>
          <w:color w:val="000000"/>
          <w:szCs w:val="24"/>
          <w:lang w:eastAsia="es-ES_tradnl"/>
        </w:rPr>
        <w:lastRenderedPageBreak/>
        <w:t>la Ley 80 de 1993</w:t>
      </w:r>
      <w:r w:rsidRPr="00B31C7B">
        <w:rPr>
          <w:rFonts w:ascii="Verdana" w:eastAsia="Calibri" w:hAnsi="Verdana" w:cs="Arial"/>
          <w:color w:val="000000"/>
          <w:szCs w:val="24"/>
          <w:vertAlign w:val="superscript"/>
          <w:lang w:eastAsia="es-ES_tradnl"/>
        </w:rPr>
        <w:footnoteReference w:id="9"/>
      </w:r>
      <w:r w:rsidRPr="00B31C7B">
        <w:rPr>
          <w:rFonts w:ascii="Verdana" w:eastAsia="Calibri" w:hAnsi="Verdana" w:cs="Arial"/>
          <w:color w:val="000000"/>
          <w:szCs w:val="24"/>
          <w:lang w:eastAsia="es-ES_tradnl"/>
        </w:rPr>
        <w:t>.</w:t>
      </w:r>
    </w:p>
    <w:p w14:paraId="79485A15" w14:textId="77777777" w:rsidR="00F62F1C" w:rsidRDefault="00F62F1C" w:rsidP="00F62F1C">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Dicha norma</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además de consagrar una prohibición</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trae implícita una autorización </w:t>
      </w:r>
      <w:r>
        <w:rPr>
          <w:rFonts w:ascii="Verdana" w:eastAsia="Calibri" w:hAnsi="Verdana" w:cs="Arial"/>
          <w:color w:val="000000"/>
          <w:szCs w:val="24"/>
          <w:lang w:eastAsia="es-ES_tradnl"/>
        </w:rPr>
        <w:t xml:space="preserve">para </w:t>
      </w:r>
      <w:r w:rsidRPr="00B31C7B">
        <w:rPr>
          <w:rFonts w:ascii="Verdana" w:eastAsia="Calibri" w:hAnsi="Verdana" w:cs="Arial"/>
          <w:color w:val="000000"/>
          <w:szCs w:val="24"/>
          <w:lang w:eastAsia="es-ES_tradnl"/>
        </w:rPr>
        <w:t xml:space="preserve">adicionar los contratos estatales, siempre que no se supere el tope establecido. </w:t>
      </w:r>
      <w:r>
        <w:rPr>
          <w:rFonts w:ascii="Verdana" w:eastAsia="Calibri" w:hAnsi="Verdana" w:cs="Arial"/>
          <w:color w:val="000000"/>
          <w:szCs w:val="24"/>
          <w:lang w:eastAsia="es-ES_tradnl"/>
        </w:rPr>
        <w:t>E</w:t>
      </w:r>
      <w:r w:rsidRPr="00B31C7B">
        <w:rPr>
          <w:rFonts w:ascii="Verdana" w:eastAsia="Calibri" w:hAnsi="Verdana" w:cs="Arial"/>
          <w:color w:val="000000"/>
          <w:szCs w:val="24"/>
          <w:lang w:eastAsia="es-ES_tradnl"/>
        </w:rPr>
        <w:t>l límite debe establecerse en salarios mínimos para que el cálculo sea preciso; de manera que</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para adicionar un contrato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 xml:space="preserve">se divide </w:t>
      </w:r>
      <w:r w:rsidRPr="00B31C7B">
        <w:rPr>
          <w:rFonts w:ascii="Verdana" w:eastAsia="Calibri" w:hAnsi="Verdana" w:cs="Arial"/>
          <w:color w:val="000000"/>
          <w:szCs w:val="24"/>
          <w:lang w:eastAsia="es-ES_tradnl"/>
        </w:rPr>
        <w:t xml:space="preserve">el valor inicial por el salario mínimo vigente al momento de la suscripción del contrato, y luego </w:t>
      </w:r>
      <w:r>
        <w:rPr>
          <w:rFonts w:ascii="Verdana" w:eastAsia="Calibri" w:hAnsi="Verdana" w:cs="Arial"/>
          <w:color w:val="000000"/>
          <w:szCs w:val="24"/>
          <w:lang w:eastAsia="es-ES_tradnl"/>
        </w:rPr>
        <w:t xml:space="preserve">se divide </w:t>
      </w:r>
      <w:r w:rsidRPr="00B31C7B">
        <w:rPr>
          <w:rFonts w:ascii="Verdana" w:eastAsia="Calibri" w:hAnsi="Verdana" w:cs="Arial"/>
          <w:color w:val="000000"/>
          <w:szCs w:val="24"/>
          <w:lang w:eastAsia="es-ES_tradnl"/>
        </w:rPr>
        <w:t>por dos (2)</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E</w:t>
      </w:r>
      <w:r w:rsidRPr="00B31C7B">
        <w:rPr>
          <w:rFonts w:ascii="Verdana" w:eastAsia="Calibri" w:hAnsi="Verdana" w:cs="Arial"/>
          <w:color w:val="000000"/>
          <w:szCs w:val="24"/>
          <w:lang w:eastAsia="es-ES_tradnl"/>
        </w:rPr>
        <w:t>l resultado obtenido con</w:t>
      </w:r>
      <w:r>
        <w:rPr>
          <w:rFonts w:ascii="Verdana" w:eastAsia="Calibri" w:hAnsi="Verdana" w:cs="Arial"/>
          <w:color w:val="000000"/>
          <w:szCs w:val="24"/>
          <w:lang w:eastAsia="es-ES_tradnl"/>
        </w:rPr>
        <w:t>stituye</w:t>
      </w:r>
      <w:r w:rsidRPr="00B31C7B">
        <w:rPr>
          <w:rFonts w:ascii="Verdana" w:eastAsia="Calibri" w:hAnsi="Verdana" w:cs="Arial"/>
          <w:color w:val="000000"/>
          <w:szCs w:val="24"/>
          <w:lang w:eastAsia="es-ES_tradnl"/>
        </w:rPr>
        <w:t xml:space="preserve"> el número de SMLMV por los cuales </w:t>
      </w:r>
      <w:r>
        <w:rPr>
          <w:rFonts w:ascii="Verdana" w:eastAsia="Calibri" w:hAnsi="Verdana" w:cs="Arial"/>
          <w:color w:val="000000"/>
          <w:szCs w:val="24"/>
          <w:lang w:eastAsia="es-ES_tradnl"/>
        </w:rPr>
        <w:t xml:space="preserve">la entidad </w:t>
      </w:r>
      <w:r w:rsidRPr="00B31C7B">
        <w:rPr>
          <w:rFonts w:ascii="Verdana" w:eastAsia="Calibri" w:hAnsi="Verdana" w:cs="Arial"/>
          <w:color w:val="000000"/>
          <w:szCs w:val="24"/>
          <w:lang w:eastAsia="es-ES_tradnl"/>
        </w:rPr>
        <w:t xml:space="preserve">podrá adicionar el contrato. En este sentido, lo ideal es </w:t>
      </w:r>
      <w:r>
        <w:rPr>
          <w:rFonts w:ascii="Verdana" w:eastAsia="Calibri" w:hAnsi="Verdana" w:cs="Arial"/>
          <w:color w:val="000000"/>
          <w:szCs w:val="24"/>
          <w:lang w:eastAsia="es-ES_tradnl"/>
        </w:rPr>
        <w:t>estimar el</w:t>
      </w:r>
      <w:r w:rsidRPr="00B31C7B">
        <w:rPr>
          <w:rFonts w:ascii="Verdana" w:eastAsia="Calibri" w:hAnsi="Verdana" w:cs="Arial"/>
          <w:color w:val="000000"/>
          <w:szCs w:val="24"/>
          <w:lang w:eastAsia="es-ES_tradnl"/>
        </w:rPr>
        <w:t xml:space="preserve"> valor </w:t>
      </w:r>
      <w:r>
        <w:rPr>
          <w:rFonts w:ascii="Verdana" w:eastAsia="Calibri" w:hAnsi="Verdana" w:cs="Arial"/>
          <w:color w:val="000000"/>
          <w:szCs w:val="24"/>
          <w:lang w:eastAsia="es-ES_tradnl"/>
        </w:rPr>
        <w:t xml:space="preserve">de la adición </w:t>
      </w:r>
      <w:r w:rsidRPr="00B31C7B">
        <w:rPr>
          <w:rFonts w:ascii="Verdana" w:eastAsia="Calibri" w:hAnsi="Verdana" w:cs="Arial"/>
          <w:color w:val="000000"/>
          <w:szCs w:val="24"/>
          <w:lang w:eastAsia="es-ES_tradnl"/>
        </w:rPr>
        <w:t xml:space="preserve">en salarios mínimos, </w:t>
      </w:r>
      <w:r>
        <w:rPr>
          <w:rFonts w:ascii="Verdana" w:eastAsia="Calibri" w:hAnsi="Verdana" w:cs="Arial"/>
          <w:color w:val="000000"/>
          <w:szCs w:val="24"/>
          <w:lang w:eastAsia="es-ES_tradnl"/>
        </w:rPr>
        <w:t xml:space="preserve">calculados </w:t>
      </w:r>
      <w:r w:rsidRPr="00B31C7B">
        <w:rPr>
          <w:rFonts w:ascii="Verdana" w:eastAsia="Calibri" w:hAnsi="Verdana" w:cs="Arial"/>
          <w:color w:val="000000"/>
          <w:szCs w:val="24"/>
          <w:lang w:eastAsia="es-ES_tradnl"/>
        </w:rPr>
        <w:t xml:space="preserve">con base en el </w:t>
      </w:r>
      <w:r>
        <w:rPr>
          <w:rFonts w:ascii="Verdana" w:eastAsia="Calibri" w:hAnsi="Verdana" w:cs="Arial"/>
          <w:color w:val="000000"/>
          <w:szCs w:val="24"/>
          <w:lang w:eastAsia="es-ES_tradnl"/>
        </w:rPr>
        <w:t xml:space="preserve">valor </w:t>
      </w:r>
      <w:r w:rsidRPr="00B31C7B">
        <w:rPr>
          <w:rFonts w:ascii="Verdana" w:eastAsia="Calibri" w:hAnsi="Verdana" w:cs="Arial"/>
          <w:color w:val="000000"/>
          <w:szCs w:val="24"/>
          <w:lang w:eastAsia="es-ES_tradnl"/>
        </w:rPr>
        <w:t xml:space="preserve">vigente, de manera que </w:t>
      </w:r>
      <w:r>
        <w:rPr>
          <w:rFonts w:ascii="Verdana" w:eastAsia="Calibri" w:hAnsi="Verdana" w:cs="Arial"/>
          <w:color w:val="000000"/>
          <w:szCs w:val="24"/>
          <w:lang w:eastAsia="es-ES_tradnl"/>
        </w:rPr>
        <w:t xml:space="preserve">este valor se descuente </w:t>
      </w:r>
      <w:r w:rsidRPr="00B31C7B">
        <w:rPr>
          <w:rFonts w:ascii="Verdana" w:eastAsia="Calibri" w:hAnsi="Verdana" w:cs="Arial"/>
          <w:color w:val="000000"/>
          <w:szCs w:val="24"/>
          <w:lang w:eastAsia="es-ES_tradnl"/>
        </w:rPr>
        <w:t>de los salarios mínimos que restan por adicionar</w:t>
      </w:r>
      <w:r>
        <w:rPr>
          <w:rFonts w:ascii="Verdana" w:eastAsia="Calibri" w:hAnsi="Verdana" w:cs="Arial"/>
          <w:color w:val="000000"/>
          <w:szCs w:val="24"/>
          <w:lang w:eastAsia="es-ES_tradnl"/>
        </w:rPr>
        <w:t>. Lo anterior, pues</w:t>
      </w:r>
      <w:r w:rsidRPr="00B31C7B">
        <w:rPr>
          <w:rFonts w:ascii="Verdana" w:eastAsia="Calibri" w:hAnsi="Verdana" w:cs="Arial"/>
          <w:color w:val="000000"/>
          <w:szCs w:val="24"/>
          <w:lang w:eastAsia="es-ES_tradnl"/>
        </w:rPr>
        <w:t xml:space="preserve"> las modificaciones podrían hacerse en diferentes años</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p>
    <w:p w14:paraId="67B4CCE4" w14:textId="77777777" w:rsidR="00F62F1C" w:rsidRDefault="00F62F1C" w:rsidP="00F62F1C">
      <w:pPr>
        <w:widowControl w:val="0"/>
        <w:autoSpaceDE w:val="0"/>
        <w:autoSpaceDN w:val="0"/>
        <w:ind w:firstLine="709"/>
        <w:jc w:val="both"/>
        <w:rPr>
          <w:rFonts w:ascii="Verdana" w:eastAsia="Arial" w:hAnsi="Verdana" w:cs="Arial"/>
          <w:color w:val="000000"/>
          <w:lang w:eastAsia="es-ES" w:bidi="es-ES"/>
        </w:rPr>
      </w:pPr>
      <w:r>
        <w:rPr>
          <w:rFonts w:ascii="Verdana" w:eastAsia="Calibri" w:hAnsi="Verdana" w:cs="Arial"/>
          <w:color w:val="000000"/>
          <w:szCs w:val="24"/>
          <w:lang w:eastAsia="es-ES_tradnl"/>
        </w:rPr>
        <w:t xml:space="preserve">Lo anterior </w:t>
      </w:r>
      <w:r w:rsidRPr="00B31C7B">
        <w:rPr>
          <w:rFonts w:ascii="Verdana" w:eastAsia="Calibri" w:hAnsi="Verdana" w:cs="Arial"/>
          <w:color w:val="000000"/>
          <w:szCs w:val="24"/>
          <w:lang w:eastAsia="es-ES_tradnl"/>
        </w:rPr>
        <w:t xml:space="preserve">se fundamenta en la forma </w:t>
      </w:r>
      <w:r>
        <w:rPr>
          <w:rFonts w:ascii="Verdana" w:eastAsia="Calibri" w:hAnsi="Verdana" w:cs="Arial"/>
          <w:color w:val="000000"/>
          <w:szCs w:val="24"/>
          <w:lang w:eastAsia="es-ES_tradnl"/>
        </w:rPr>
        <w:t xml:space="preserve">en que </w:t>
      </w:r>
      <w:r w:rsidRPr="00B31C7B">
        <w:rPr>
          <w:rFonts w:ascii="Verdana" w:eastAsia="Calibri" w:hAnsi="Verdana" w:cs="Arial"/>
          <w:color w:val="000000"/>
          <w:szCs w:val="24"/>
          <w:lang w:eastAsia="es-ES_tradnl"/>
        </w:rPr>
        <w:t>la Ley 80 de 1993 estableció el tope para las adiciones</w:t>
      </w:r>
      <w:r>
        <w:rPr>
          <w:rFonts w:ascii="Verdana" w:eastAsia="Calibri" w:hAnsi="Verdana" w:cs="Arial"/>
          <w:color w:val="000000"/>
          <w:szCs w:val="24"/>
          <w:lang w:eastAsia="es-ES_tradnl"/>
        </w:rPr>
        <w:t>. La norma se refiere</w:t>
      </w:r>
      <w:r w:rsidRPr="00B31C7B">
        <w:rPr>
          <w:rFonts w:ascii="Verdana" w:eastAsia="Calibri" w:hAnsi="Verdana" w:cs="Arial"/>
          <w:color w:val="000000"/>
          <w:szCs w:val="24"/>
          <w:lang w:eastAsia="es-ES_tradnl"/>
        </w:rPr>
        <w:t xml:space="preserve">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contemplado en el contrato originario</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cualquier alteración a ese valor constituirá</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 xml:space="preserve">una adición, independientemente de cuál sea su causa. </w:t>
      </w:r>
    </w:p>
    <w:p w14:paraId="1E252B02" w14:textId="77777777" w:rsidR="00F62F1C" w:rsidRDefault="00F62F1C" w:rsidP="00F62F1C">
      <w:pPr>
        <w:widowControl w:val="0"/>
        <w:autoSpaceDE w:val="0"/>
        <w:autoSpaceDN w:val="0"/>
        <w:ind w:firstLine="709"/>
        <w:jc w:val="both"/>
        <w:rPr>
          <w:rFonts w:ascii="Verdana" w:eastAsia="Arial" w:hAnsi="Verdana" w:cs="Arial"/>
          <w:color w:val="000000"/>
          <w:lang w:eastAsia="es-ES" w:bidi="es-ES"/>
        </w:rPr>
      </w:pPr>
      <w:r w:rsidRPr="00612B6B">
        <w:rPr>
          <w:rFonts w:ascii="Verdana" w:hAnsi="Verdana" w:cs="Arial"/>
          <w:szCs w:val="24"/>
          <w:lang w:eastAsia="es-ES_tradnl"/>
        </w:rPr>
        <w:t>Sin perjuicio de lo anterior, conforme precisó recientemente esta Subdirección en el Concepto C-466 del 23 de septiembre de 2024, el límite a la adición previsto en segundo inciso del parágrafo del artículo 40 de la Ley 80 de 1993, no resulta a</w:t>
      </w:r>
      <w:r w:rsidRPr="00612B6B">
        <w:rPr>
          <w:rFonts w:ascii="Verdana" w:hAnsi="Verdana" w:cs="Arial"/>
          <w:lang w:eastAsia="es-ES_tradnl"/>
        </w:rPr>
        <w:t xml:space="preserve"> las mayores cantidades que deban ejecutarse en el marco de contratos cuya contraprestación se haya pactado bajo la modalidad de precios unitarios</w:t>
      </w:r>
      <w:r w:rsidRPr="00612B6B">
        <w:rPr>
          <w:rStyle w:val="Refdenotaalpie"/>
          <w:rFonts w:ascii="Verdana" w:hAnsi="Verdana" w:cs="Arial"/>
          <w:lang w:eastAsia="es-ES_tradnl"/>
        </w:rPr>
        <w:footnoteReference w:id="10"/>
      </w:r>
      <w:r w:rsidRPr="00612B6B">
        <w:rPr>
          <w:rFonts w:ascii="Verdana" w:hAnsi="Verdana" w:cs="Arial"/>
          <w:lang w:eastAsia="es-ES_tradnl"/>
        </w:rPr>
        <w:t xml:space="preserve">. </w:t>
      </w:r>
      <w:r w:rsidRPr="00612B6B">
        <w:rPr>
          <w:rFonts w:ascii="Verdana" w:eastAsia="Calibri" w:hAnsi="Verdana" w:cs="Arial"/>
        </w:rPr>
        <w:t xml:space="preserve">De acuerdo con la jurisprudencia reciente del Consejo de Estado, esta limitación no es aplicable a dichos contratos, </w:t>
      </w:r>
      <w:r w:rsidRPr="00612B6B">
        <w:rPr>
          <w:rFonts w:ascii="Verdana" w:hAnsi="Verdana" w:cs="Arial"/>
          <w:lang w:eastAsia="es-ES_tradnl"/>
        </w:rPr>
        <w:t>por cuanto en estos contratos el valor estipulado es estimativo y está sujeto a multiplicar las cantidades de obra ejecutadas por el precio de cada una de ellas</w:t>
      </w:r>
      <w:r w:rsidRPr="00612B6B">
        <w:rPr>
          <w:rStyle w:val="Refdenotaalpie"/>
          <w:rFonts w:ascii="Verdana" w:hAnsi="Verdana" w:cs="Arial"/>
          <w:lang w:eastAsia="es-ES_tradnl"/>
        </w:rPr>
        <w:footnoteReference w:id="11"/>
      </w:r>
      <w:r w:rsidRPr="00612B6B">
        <w:rPr>
          <w:rFonts w:ascii="Verdana" w:hAnsi="Verdana" w:cs="Arial"/>
          <w:lang w:eastAsia="es-ES_tradnl"/>
        </w:rPr>
        <w:t>.</w:t>
      </w:r>
    </w:p>
    <w:p w14:paraId="12EFBFF3" w14:textId="77777777" w:rsidR="00F62F1C" w:rsidRPr="00F42CE1" w:rsidRDefault="00F62F1C" w:rsidP="00F62F1C">
      <w:pPr>
        <w:widowControl w:val="0"/>
        <w:autoSpaceDE w:val="0"/>
        <w:autoSpaceDN w:val="0"/>
        <w:ind w:firstLine="709"/>
        <w:jc w:val="both"/>
        <w:rPr>
          <w:rFonts w:ascii="Verdana" w:eastAsia="Arial" w:hAnsi="Verdana" w:cs="Arial"/>
          <w:color w:val="000000"/>
          <w:lang w:eastAsia="es-ES" w:bidi="es-ES"/>
        </w:rPr>
      </w:pPr>
      <w:r>
        <w:rPr>
          <w:rFonts w:ascii="Verdana" w:hAnsi="Verdana" w:cs="Arial"/>
          <w:szCs w:val="24"/>
          <w:lang w:eastAsia="es-ES_tradnl"/>
        </w:rPr>
        <w:lastRenderedPageBreak/>
        <w:t>Por otra parte, es importante destacar que l</w:t>
      </w:r>
      <w:r w:rsidRPr="00612B6B">
        <w:rPr>
          <w:rFonts w:ascii="Verdana" w:hAnsi="Verdana" w:cs="Arial"/>
          <w:szCs w:val="24"/>
          <w:lang w:eastAsia="es-ES_tradnl"/>
        </w:rPr>
        <w:t xml:space="preserve">a regla señalada en el parágrafo del artículo 40 de la Ley 80 de 1993 aplica a todos los contratos estatales regidos por el </w:t>
      </w:r>
      <w:r>
        <w:rPr>
          <w:rFonts w:ascii="Verdana" w:hAnsi="Verdana" w:cs="Arial"/>
          <w:szCs w:val="24"/>
          <w:lang w:eastAsia="es-ES_tradnl"/>
        </w:rPr>
        <w:t>EGCAP</w:t>
      </w:r>
      <w:r w:rsidRPr="00612B6B">
        <w:rPr>
          <w:rFonts w:ascii="Verdana" w:hAnsi="Verdana" w:cs="Arial"/>
          <w:szCs w:val="24"/>
          <w:lang w:eastAsia="es-ES_tradnl"/>
        </w:rPr>
        <w:t>, independientemente de la modalidad de selección</w:t>
      </w:r>
      <w:r>
        <w:rPr>
          <w:rFonts w:ascii="Verdana" w:hAnsi="Verdana" w:cs="Arial"/>
          <w:szCs w:val="24"/>
          <w:lang w:eastAsia="es-ES_tradnl"/>
        </w:rPr>
        <w:t xml:space="preserve"> aplicable</w:t>
      </w:r>
      <w:r w:rsidRPr="00612B6B">
        <w:rPr>
          <w:rFonts w:ascii="Verdana" w:hAnsi="Verdana" w:cs="Arial"/>
          <w:szCs w:val="24"/>
          <w:lang w:eastAsia="es-ES_tradnl"/>
        </w:rPr>
        <w:t xml:space="preserve">. </w:t>
      </w:r>
      <w:r w:rsidRPr="00612B6B">
        <w:rPr>
          <w:rFonts w:ascii="Verdana" w:eastAsia="Calibri" w:hAnsi="Verdana" w:cs="Arial"/>
          <w:lang w:val="es-ES"/>
        </w:rPr>
        <w:t xml:space="preserve">En atención a esto, los contratos adjudicados son susceptibles de ser adicionados hasta por el cincuenta por ciento (50%) del valor inicial, expresado en salarios mínimos, incluso cuando el valor del contrato resultante de la adición supere el monto máximo de </w:t>
      </w:r>
      <w:r>
        <w:rPr>
          <w:rFonts w:ascii="Verdana" w:eastAsia="Calibri" w:hAnsi="Verdana" w:cs="Arial"/>
          <w:lang w:val="es-ES"/>
        </w:rPr>
        <w:t xml:space="preserve">la </w:t>
      </w:r>
      <w:r w:rsidRPr="00612B6B">
        <w:rPr>
          <w:rFonts w:ascii="Verdana" w:eastAsia="Calibri" w:hAnsi="Verdana" w:cs="Arial"/>
          <w:lang w:val="es-ES"/>
        </w:rPr>
        <w:t>cuantía</w:t>
      </w:r>
      <w:r>
        <w:rPr>
          <w:rFonts w:ascii="Verdana" w:eastAsia="Calibri" w:hAnsi="Verdana" w:cs="Arial"/>
          <w:lang w:val="es-ES"/>
        </w:rPr>
        <w:t xml:space="preserve"> correspondiente</w:t>
      </w:r>
      <w:r w:rsidRPr="00612B6B">
        <w:rPr>
          <w:rFonts w:ascii="Verdana" w:eastAsia="Calibri" w:hAnsi="Verdana" w:cs="Arial"/>
          <w:lang w:val="es-ES"/>
        </w:rPr>
        <w:t xml:space="preserve">.  </w:t>
      </w:r>
    </w:p>
    <w:p w14:paraId="12A3870D" w14:textId="77777777" w:rsidR="00F62F1C" w:rsidRDefault="00F62F1C" w:rsidP="00F62F1C">
      <w:pPr>
        <w:ind w:firstLine="709"/>
        <w:jc w:val="both"/>
        <w:rPr>
          <w:rFonts w:ascii="Verdana" w:eastAsia="Calibri" w:hAnsi="Verdana" w:cs="Arial"/>
          <w:color w:val="000000" w:themeColor="text1"/>
        </w:rPr>
      </w:pPr>
      <w:r w:rsidRPr="00612B6B">
        <w:rPr>
          <w:rFonts w:ascii="Verdana" w:eastAsia="Calibri" w:hAnsi="Verdana" w:cs="Arial"/>
          <w:lang w:val="es-ES"/>
        </w:rPr>
        <w:t xml:space="preserve">Sin embargo, es importante mencionar que, tales adiciones solo </w:t>
      </w:r>
      <w:r>
        <w:rPr>
          <w:rFonts w:ascii="Verdana" w:eastAsia="Calibri" w:hAnsi="Verdana" w:cs="Arial"/>
          <w:lang w:val="es-ES"/>
        </w:rPr>
        <w:t xml:space="preserve">son </w:t>
      </w:r>
      <w:r w:rsidRPr="00612B6B">
        <w:rPr>
          <w:rFonts w:ascii="Verdana" w:eastAsia="Calibri" w:hAnsi="Verdana" w:cs="Arial"/>
          <w:lang w:val="es-ES"/>
        </w:rPr>
        <w:t>válidas cuando la necesidad de adicionar el contrato se presenta de manera sobreviniente al inicio de su ejecución. Esto comoquiera que, si la plan</w:t>
      </w:r>
      <w:r>
        <w:rPr>
          <w:rFonts w:ascii="Verdana" w:eastAsia="Calibri" w:hAnsi="Verdana" w:cs="Arial"/>
          <w:lang w:val="es-ES"/>
        </w:rPr>
        <w:t xml:space="preserve">eación </w:t>
      </w:r>
      <w:r w:rsidRPr="00612B6B">
        <w:rPr>
          <w:rFonts w:ascii="Verdana" w:eastAsia="Calibri" w:hAnsi="Verdana" w:cs="Arial"/>
          <w:lang w:val="es-ES"/>
        </w:rPr>
        <w:t>realizada por la entidad estatal desde un principio indicaba que el valor del contrato requerido para satisfacer la necesidad superaría el monto de la cuantía</w:t>
      </w:r>
      <w:r>
        <w:rPr>
          <w:rFonts w:ascii="Verdana" w:eastAsia="Calibri" w:hAnsi="Verdana" w:cs="Arial"/>
          <w:lang w:val="es-ES"/>
        </w:rPr>
        <w:t xml:space="preserve"> que determina la modalidad</w:t>
      </w:r>
      <w:r w:rsidRPr="00612B6B">
        <w:rPr>
          <w:rFonts w:ascii="Verdana" w:eastAsia="Calibri" w:hAnsi="Verdana" w:cs="Arial"/>
          <w:lang w:val="es-ES"/>
        </w:rPr>
        <w:t xml:space="preserve">, lo correcto es adjudicar el contrato mediante </w:t>
      </w:r>
      <w:r>
        <w:rPr>
          <w:rFonts w:ascii="Verdana" w:eastAsia="Calibri" w:hAnsi="Verdana" w:cs="Arial"/>
          <w:lang w:val="es-ES"/>
        </w:rPr>
        <w:t xml:space="preserve">aquella </w:t>
      </w:r>
      <w:r w:rsidRPr="00612B6B">
        <w:rPr>
          <w:rFonts w:ascii="Verdana" w:eastAsia="Calibri" w:hAnsi="Verdana" w:cs="Arial"/>
          <w:lang w:val="es-ES"/>
        </w:rPr>
        <w:t>que result</w:t>
      </w:r>
      <w:r>
        <w:rPr>
          <w:rFonts w:ascii="Verdana" w:eastAsia="Calibri" w:hAnsi="Verdana" w:cs="Arial"/>
          <w:lang w:val="es-ES"/>
        </w:rPr>
        <w:t>ara</w:t>
      </w:r>
      <w:r w:rsidRPr="00612B6B">
        <w:rPr>
          <w:rFonts w:ascii="Verdana" w:eastAsia="Calibri" w:hAnsi="Verdana" w:cs="Arial"/>
          <w:lang w:val="es-ES"/>
        </w:rPr>
        <w:t xml:space="preserve"> realmente aplicable de acuerdo con el objeto</w:t>
      </w:r>
      <w:r>
        <w:rPr>
          <w:rFonts w:ascii="Verdana" w:eastAsia="Calibri" w:hAnsi="Verdana" w:cs="Arial"/>
          <w:lang w:val="es-ES"/>
        </w:rPr>
        <w:t xml:space="preserve"> y el valor</w:t>
      </w:r>
      <w:r w:rsidRPr="00612B6B">
        <w:rPr>
          <w:rFonts w:ascii="Verdana" w:eastAsia="Calibri" w:hAnsi="Verdana" w:cs="Arial"/>
          <w:lang w:val="es-ES"/>
        </w:rPr>
        <w:t xml:space="preserve"> del contrato.</w:t>
      </w:r>
      <w:r>
        <w:rPr>
          <w:rFonts w:ascii="Verdana" w:eastAsia="Calibri" w:hAnsi="Verdana" w:cs="Arial"/>
          <w:color w:val="000000" w:themeColor="text1"/>
        </w:rPr>
        <w:t xml:space="preserve"> </w:t>
      </w:r>
    </w:p>
    <w:p w14:paraId="2680B2EC" w14:textId="77777777" w:rsidR="00F62F1C" w:rsidRDefault="00F62F1C" w:rsidP="00F62F1C">
      <w:pPr>
        <w:spacing w:after="0" w:line="276" w:lineRule="auto"/>
        <w:ind w:firstLine="708"/>
        <w:jc w:val="both"/>
        <w:rPr>
          <w:rFonts w:ascii="Verdana" w:eastAsia="Times New Roman" w:hAnsi="Verdana" w:cs="Arial"/>
          <w:bCs/>
          <w:lang w:eastAsia="es-CO"/>
        </w:rPr>
      </w:pPr>
      <w:r w:rsidRPr="00F21F57">
        <w:rPr>
          <w:rFonts w:ascii="Verdana" w:eastAsia="Times New Roman" w:hAnsi="Verdana" w:cs="Arial"/>
          <w:bCs/>
          <w:lang w:eastAsia="es-CO"/>
        </w:rPr>
        <w:t>En consecuencia, una vez delimitado el marco normativo aplicable a la modificación de los contratos estatales, y en atención a su naturaleza legal, se concluye que las limitaciones allí previstas resultan plenamente exigibles durante la vigencia de la Ley de Garantías Electorales.</w:t>
      </w:r>
    </w:p>
    <w:p w14:paraId="325CE03A" w14:textId="77777777" w:rsidR="00F62F1C" w:rsidRDefault="00F62F1C" w:rsidP="00F62F1C">
      <w:pPr>
        <w:spacing w:after="0" w:line="276" w:lineRule="auto"/>
        <w:ind w:firstLine="708"/>
        <w:jc w:val="both"/>
        <w:rPr>
          <w:rFonts w:ascii="Verdana" w:eastAsia="Times New Roman" w:hAnsi="Verdana" w:cs="Arial"/>
          <w:bCs/>
          <w:lang w:val="es-MX" w:eastAsia="es-CO"/>
        </w:rPr>
      </w:pPr>
    </w:p>
    <w:p w14:paraId="3012D867" w14:textId="77777777" w:rsidR="00F62F1C" w:rsidRPr="00C57384" w:rsidRDefault="00F62F1C" w:rsidP="00F62F1C">
      <w:pPr>
        <w:tabs>
          <w:tab w:val="left" w:pos="284"/>
        </w:tabs>
        <w:jc w:val="both"/>
        <w:rPr>
          <w:rFonts w:ascii="Verdana" w:eastAsia="Arial" w:hAnsi="Verdana" w:cs="Arial"/>
          <w:lang w:eastAsia="es-ES" w:bidi="es-ES"/>
        </w:rPr>
      </w:pPr>
      <w:proofErr w:type="spellStart"/>
      <w:r>
        <w:rPr>
          <w:rFonts w:ascii="Verdana" w:eastAsia="Times New Roman" w:hAnsi="Verdana" w:cs="Arial"/>
          <w:bCs/>
          <w:lang w:val="es-MX" w:eastAsia="es-CO"/>
        </w:rPr>
        <w:t>ii</w:t>
      </w:r>
      <w:proofErr w:type="spellEnd"/>
      <w:r>
        <w:rPr>
          <w:rFonts w:ascii="Verdana" w:eastAsia="Times New Roman" w:hAnsi="Verdana" w:cs="Arial"/>
          <w:bCs/>
          <w:lang w:val="es-MX" w:eastAsia="es-CO"/>
        </w:rPr>
        <w:t xml:space="preserve">. </w:t>
      </w:r>
      <w:r w:rsidRPr="00C57384">
        <w:rPr>
          <w:rFonts w:ascii="Verdana" w:eastAsia="Arial" w:hAnsi="Verdana" w:cs="Arial"/>
          <w:lang w:eastAsia="es-ES" w:bidi="es-ES"/>
        </w:rPr>
        <w:t>Dentro del ordenamiento jurídico colombiano no existe una disposición que establezca un término específico o una anticipación mínima para tramitar modificaciones a los contratos estatales. No obstante, en aplicación de los principios de planeación, economía, responsabilidad y de la función administrativa, las entidades estatales deben procurar que dichas modificaciones se tramiten, aprueben y perfeccionen antes del vencimiento del plazo de ejecución del contrato.</w:t>
      </w:r>
    </w:p>
    <w:p w14:paraId="5E04BE42" w14:textId="77777777" w:rsidR="00F62F1C" w:rsidRDefault="00F62F1C" w:rsidP="00F62F1C">
      <w:pPr>
        <w:spacing w:after="0" w:line="276" w:lineRule="auto"/>
        <w:ind w:firstLine="708"/>
        <w:jc w:val="both"/>
        <w:rPr>
          <w:rFonts w:ascii="Verdana" w:eastAsia="Arial" w:hAnsi="Verdana" w:cs="Arial"/>
          <w:lang w:eastAsia="es-ES" w:bidi="es-ES"/>
        </w:rPr>
      </w:pPr>
      <w:r w:rsidRPr="00C57384">
        <w:rPr>
          <w:rFonts w:ascii="Verdana" w:eastAsia="Arial" w:hAnsi="Verdana" w:cs="Arial"/>
          <w:lang w:eastAsia="es-ES" w:bidi="es-ES"/>
        </w:rPr>
        <w:t>Lo anterior, por cuanto la modificación de un contrato estatal exige su vigencia, de modo que cualquier adición o modificación posterior al vencimiento del plazo contractual podría carecer de sustento jurídico y dar lugar a la configuración de un hecho cumplido, así como a eventuales responsabilidades disciplinarias, fiscales y/o contractuales para los servidores públicos intervinientes.</w:t>
      </w:r>
    </w:p>
    <w:p w14:paraId="7703D7D2" w14:textId="77777777" w:rsidR="00F62F1C" w:rsidRDefault="00F62F1C" w:rsidP="00F62F1C">
      <w:pPr>
        <w:spacing w:after="0" w:line="276" w:lineRule="auto"/>
        <w:ind w:firstLine="708"/>
        <w:jc w:val="both"/>
        <w:rPr>
          <w:rFonts w:ascii="Verdana" w:eastAsia="Arial" w:hAnsi="Verdana" w:cs="Arial"/>
          <w:lang w:eastAsia="es-ES" w:bidi="es-ES"/>
        </w:rPr>
      </w:pPr>
    </w:p>
    <w:p w14:paraId="697B7811" w14:textId="77777777" w:rsidR="00F62F1C" w:rsidRDefault="00F62F1C" w:rsidP="00F62F1C">
      <w:pPr>
        <w:spacing w:after="0" w:line="276" w:lineRule="auto"/>
        <w:ind w:firstLine="708"/>
        <w:jc w:val="both"/>
        <w:rPr>
          <w:rFonts w:ascii="Verdana" w:eastAsia="Times New Roman" w:hAnsi="Verdana" w:cs="Arial"/>
          <w:bCs/>
          <w:lang w:val="es-MX" w:eastAsia="es-CO"/>
        </w:rPr>
      </w:pPr>
      <w:r w:rsidRPr="00C57384">
        <w:rPr>
          <w:rFonts w:ascii="Verdana" w:eastAsia="Times New Roman" w:hAnsi="Verdana" w:cs="Arial"/>
          <w:bCs/>
          <w:lang w:val="es-MX" w:eastAsia="es-CO"/>
        </w:rPr>
        <w:lastRenderedPageBreak/>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Pr>
          <w:rFonts w:ascii="Verdana" w:eastAsia="Times New Roman" w:hAnsi="Verdana" w:cs="Arial"/>
          <w:bCs/>
          <w:lang w:val="es-MX" w:eastAsia="es-CO"/>
        </w:rPr>
        <w:t>.</w:t>
      </w:r>
    </w:p>
    <w:p w14:paraId="40BA09DB" w14:textId="77777777" w:rsidR="00F62F1C" w:rsidRDefault="00F62F1C" w:rsidP="00F62F1C">
      <w:pPr>
        <w:spacing w:after="0" w:line="276" w:lineRule="auto"/>
        <w:ind w:firstLine="708"/>
        <w:jc w:val="both"/>
        <w:rPr>
          <w:rFonts w:ascii="Verdana" w:eastAsia="Times New Roman" w:hAnsi="Verdana" w:cs="Arial"/>
          <w:bCs/>
          <w:lang w:val="es-MX" w:eastAsia="es-CO"/>
        </w:rPr>
      </w:pPr>
    </w:p>
    <w:p w14:paraId="3C18DCB1" w14:textId="77777777" w:rsidR="00F62F1C" w:rsidRPr="00C57384" w:rsidRDefault="00F62F1C" w:rsidP="00F62F1C">
      <w:pPr>
        <w:spacing w:after="0" w:line="276" w:lineRule="auto"/>
        <w:ind w:firstLine="708"/>
        <w:jc w:val="both"/>
        <w:rPr>
          <w:rFonts w:ascii="Verdana" w:eastAsia="Arial" w:hAnsi="Verdana" w:cs="Arial"/>
          <w:lang w:eastAsia="es-ES" w:bidi="es-ES"/>
        </w:rPr>
      </w:pPr>
      <w:r w:rsidRPr="00C57384">
        <w:rPr>
          <w:rFonts w:ascii="Verdana" w:eastAsia="Times New Roman" w:hAnsi="Verdana" w:cs="Arial"/>
          <w:bCs/>
          <w:lang w:val="es-MX" w:eastAsia="es-CO"/>
        </w:rPr>
        <w:t>Así las cosas,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0D74CBE" w14:textId="77777777" w:rsidR="00F62F1C" w:rsidRPr="00593A5F" w:rsidRDefault="00F62F1C" w:rsidP="00F62F1C">
      <w:pPr>
        <w:widowControl w:val="0"/>
        <w:autoSpaceDE w:val="0"/>
        <w:autoSpaceDN w:val="0"/>
        <w:spacing w:after="0" w:line="276" w:lineRule="auto"/>
        <w:jc w:val="both"/>
        <w:rPr>
          <w:rFonts w:ascii="Verdana" w:hAnsi="Verdana" w:cs="Arial"/>
        </w:rPr>
      </w:pPr>
    </w:p>
    <w:p w14:paraId="7EA7D1B6" w14:textId="77777777" w:rsidR="00F62F1C" w:rsidRPr="00593A5F" w:rsidRDefault="00F62F1C" w:rsidP="00F62F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7253845" w14:textId="77777777" w:rsidR="00F62F1C" w:rsidRPr="00593A5F" w:rsidRDefault="00F62F1C" w:rsidP="00F62F1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62F1C" w:rsidRPr="00593A5F" w14:paraId="1D873819" w14:textId="77777777" w:rsidTr="00A05D8D">
        <w:trPr>
          <w:trHeight w:val="870"/>
        </w:trPr>
        <w:tc>
          <w:tcPr>
            <w:tcW w:w="8647" w:type="dxa"/>
          </w:tcPr>
          <w:p w14:paraId="39EC5A00" w14:textId="77777777" w:rsidR="00F62F1C" w:rsidRPr="00C57384" w:rsidRDefault="00F62F1C" w:rsidP="00A05D8D">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3B458EE9" w14:textId="3B48D6FA" w:rsidR="00F62F1C" w:rsidRPr="00B3605D" w:rsidRDefault="00324822" w:rsidP="00A05D8D">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t>Artículo</w:t>
            </w:r>
            <w:r w:rsidR="00F62F1C">
              <w:rPr>
                <w:rFonts w:ascii="Verdana" w:eastAsia="Arial MT" w:hAnsi="Verdana" w:cs="Arial"/>
                <w:bCs/>
                <w:lang w:val="es-ES" w:eastAsia="es-ES" w:bidi="es-ES"/>
              </w:rPr>
              <w:t xml:space="preserve"> 40, ley 80 de 1993.</w:t>
            </w:r>
          </w:p>
          <w:p w14:paraId="76886379" w14:textId="77777777" w:rsidR="00F62F1C" w:rsidRDefault="00F62F1C" w:rsidP="00A05D8D">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695D0933" w14:textId="77777777" w:rsidR="00F62F1C" w:rsidRPr="00274DBA" w:rsidRDefault="00F62F1C" w:rsidP="00A05D8D">
            <w:pPr>
              <w:widowControl w:val="0"/>
              <w:numPr>
                <w:ilvl w:val="0"/>
                <w:numId w:val="17"/>
              </w:numPr>
              <w:autoSpaceDE w:val="0"/>
              <w:autoSpaceDN w:val="0"/>
              <w:spacing w:after="120" w:line="276" w:lineRule="auto"/>
              <w:ind w:left="714" w:hanging="357"/>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3136C744" w14:textId="77777777" w:rsidR="00F62F1C" w:rsidRPr="00C57384" w:rsidRDefault="00F62F1C" w:rsidP="00A05D8D">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677FD9FE" w14:textId="77777777" w:rsidR="00F62F1C" w:rsidRPr="00593A5F" w:rsidRDefault="00F62F1C" w:rsidP="00F62F1C">
      <w:pPr>
        <w:widowControl w:val="0"/>
        <w:autoSpaceDE w:val="0"/>
        <w:autoSpaceDN w:val="0"/>
        <w:spacing w:after="0" w:line="276" w:lineRule="auto"/>
        <w:jc w:val="both"/>
        <w:rPr>
          <w:rFonts w:ascii="Verdana" w:hAnsi="Verdana" w:cs="Arial"/>
        </w:rPr>
      </w:pPr>
    </w:p>
    <w:p w14:paraId="2EDAC6FB" w14:textId="77777777" w:rsidR="00F62F1C" w:rsidRPr="00593A5F" w:rsidRDefault="00F62F1C" w:rsidP="00F62F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A105FA1" w14:textId="77777777" w:rsidR="00F62F1C" w:rsidRPr="00593A5F" w:rsidRDefault="00F62F1C" w:rsidP="00F62F1C">
      <w:pPr>
        <w:widowControl w:val="0"/>
        <w:autoSpaceDE w:val="0"/>
        <w:autoSpaceDN w:val="0"/>
        <w:spacing w:after="0" w:line="276" w:lineRule="auto"/>
        <w:jc w:val="both"/>
        <w:rPr>
          <w:rFonts w:ascii="Verdana" w:hAnsi="Verdana" w:cs="Arial"/>
        </w:rPr>
      </w:pPr>
    </w:p>
    <w:p w14:paraId="0131722B" w14:textId="77777777" w:rsidR="00F62F1C" w:rsidRDefault="00F62F1C" w:rsidP="00F62F1C">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F7C16">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w:t>
      </w:r>
      <w:r w:rsidRPr="00CF7C16">
        <w:rPr>
          <w:rFonts w:ascii="Verdana" w:hAnsi="Verdana" w:cs="Arial"/>
          <w:shd w:val="clear" w:color="auto" w:fill="FFFFFF"/>
          <w:lang w:val="es-ES"/>
        </w:rPr>
        <w:lastRenderedPageBreak/>
        <w:t xml:space="preserve">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entre otros.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60F58475" w14:textId="77777777" w:rsidR="00F62F1C" w:rsidRDefault="00F62F1C" w:rsidP="00F62F1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5E7561F" w14:textId="77777777" w:rsidR="00F62F1C" w:rsidRPr="009A385A" w:rsidRDefault="00F62F1C" w:rsidP="00F62F1C">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56DFAB7E" w14:textId="77777777" w:rsidR="00F62F1C" w:rsidRDefault="00F62F1C" w:rsidP="00F62F1C">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DC2DE82" w14:textId="77777777" w:rsidR="00F62F1C" w:rsidRPr="009A385A" w:rsidRDefault="00F62F1C" w:rsidP="00F62F1C">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 xml:space="preserve">Guía para la comprensión e implementación de los </w:t>
      </w:r>
      <w:r w:rsidRPr="009A385A">
        <w:rPr>
          <w:rFonts w:ascii="Verdana" w:hAnsi="Verdana"/>
          <w:b/>
          <w:bCs/>
        </w:rPr>
        <w:lastRenderedPageBreak/>
        <w:t>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7DF03FC" w14:textId="77777777" w:rsidR="00F62F1C" w:rsidRDefault="00F62F1C" w:rsidP="00F62F1C">
      <w:pPr>
        <w:spacing w:after="0" w:line="240" w:lineRule="auto"/>
        <w:jc w:val="both"/>
        <w:rPr>
          <w:rFonts w:ascii="Verdana" w:hAnsi="Verdana"/>
        </w:rPr>
      </w:pPr>
    </w:p>
    <w:p w14:paraId="61A89D75" w14:textId="77777777" w:rsidR="00F62F1C" w:rsidRPr="003E2460" w:rsidRDefault="00F62F1C" w:rsidP="00F62F1C">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1CAD7336" w14:textId="77777777" w:rsidR="00F62F1C" w:rsidRPr="003E2460" w:rsidRDefault="00F62F1C" w:rsidP="00F62F1C">
      <w:pPr>
        <w:spacing w:after="0" w:line="240" w:lineRule="auto"/>
        <w:jc w:val="both"/>
        <w:rPr>
          <w:rFonts w:ascii="Verdana" w:hAnsi="Verdana"/>
        </w:rPr>
      </w:pPr>
    </w:p>
    <w:p w14:paraId="4529B310" w14:textId="77777777" w:rsidR="00F62F1C" w:rsidRPr="003E2460" w:rsidRDefault="00F62F1C" w:rsidP="00F62F1C">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6BC73B7C" w14:textId="77777777" w:rsidR="00F62F1C" w:rsidRPr="003E2460" w:rsidRDefault="00F62F1C" w:rsidP="00F62F1C">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5541F99C" w14:textId="77777777" w:rsidR="00F62F1C" w:rsidRPr="003E2460" w:rsidRDefault="00F62F1C" w:rsidP="00F62F1C">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5F11AF5C" w14:textId="77777777" w:rsidR="00F62F1C" w:rsidRPr="00593A5F" w:rsidRDefault="00F62F1C" w:rsidP="00F62F1C">
      <w:pPr>
        <w:widowControl w:val="0"/>
        <w:autoSpaceDE w:val="0"/>
        <w:autoSpaceDN w:val="0"/>
        <w:spacing w:after="0" w:line="276" w:lineRule="auto"/>
        <w:jc w:val="both"/>
        <w:rPr>
          <w:rFonts w:ascii="Verdana" w:hAnsi="Verdana" w:cs="Arial"/>
        </w:rPr>
      </w:pPr>
    </w:p>
    <w:p w14:paraId="44814685" w14:textId="77777777" w:rsidR="00F62F1C" w:rsidRPr="00593A5F" w:rsidRDefault="00F62F1C" w:rsidP="00F62F1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E7B3DF3" w14:textId="77777777" w:rsidR="00F62F1C" w:rsidRPr="00593A5F" w:rsidRDefault="00F62F1C" w:rsidP="00F62F1C">
      <w:pPr>
        <w:widowControl w:val="0"/>
        <w:autoSpaceDE w:val="0"/>
        <w:autoSpaceDN w:val="0"/>
        <w:spacing w:after="0" w:line="276" w:lineRule="auto"/>
        <w:jc w:val="both"/>
        <w:rPr>
          <w:rFonts w:ascii="Verdana" w:hAnsi="Verdana" w:cs="Arial"/>
        </w:rPr>
      </w:pPr>
    </w:p>
    <w:p w14:paraId="490460C1" w14:textId="77777777" w:rsidR="00F62F1C" w:rsidRPr="00593A5F" w:rsidRDefault="00F62F1C" w:rsidP="00F62F1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8009EE9" w14:textId="7A5F1FEB" w:rsidR="00F62F1C" w:rsidRPr="00593A5F" w:rsidRDefault="0007245B" w:rsidP="00F62F1C">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2E5873C2" wp14:editId="40C9AF70">
            <wp:extent cx="3771900" cy="116205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30" cy="1162213"/>
                    </a:xfrm>
                    <a:prstGeom prst="rect">
                      <a:avLst/>
                    </a:prstGeom>
                  </pic:spPr>
                </pic:pic>
              </a:graphicData>
            </a:graphic>
          </wp:inline>
        </w:drawing>
      </w:r>
    </w:p>
    <w:tbl>
      <w:tblPr>
        <w:tblStyle w:val="Tablaconcuadrcula"/>
        <w:tblW w:w="6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12"/>
      </w:tblGrid>
      <w:tr w:rsidR="00F62F1C" w:rsidRPr="00593A5F" w14:paraId="5511E25D" w14:textId="77777777" w:rsidTr="0007245B">
        <w:trPr>
          <w:trHeight w:val="330"/>
        </w:trPr>
        <w:tc>
          <w:tcPr>
            <w:tcW w:w="890" w:type="dxa"/>
            <w:vAlign w:val="center"/>
            <w:hideMark/>
          </w:tcPr>
          <w:p w14:paraId="5ADD1F78" w14:textId="77777777" w:rsidR="00F62F1C" w:rsidRPr="003751C7" w:rsidRDefault="00F62F1C" w:rsidP="00A05D8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15" w:type="dxa"/>
            <w:tcBorders>
              <w:top w:val="nil"/>
              <w:left w:val="nil"/>
              <w:bottom w:val="dotted" w:sz="4" w:space="0" w:color="7F7F7F" w:themeColor="text1" w:themeTint="80"/>
              <w:right w:val="nil"/>
            </w:tcBorders>
            <w:vAlign w:val="center"/>
            <w:hideMark/>
          </w:tcPr>
          <w:p w14:paraId="700D1BBA" w14:textId="77777777" w:rsidR="00F62F1C" w:rsidRPr="00B3605D" w:rsidRDefault="00F62F1C" w:rsidP="00A05D8D">
            <w:pPr>
              <w:contextualSpacing/>
              <w:rPr>
                <w:rFonts w:ascii="Verdana" w:eastAsia="Arial" w:hAnsi="Verdana" w:cs="Arial"/>
                <w:sz w:val="16"/>
                <w:szCs w:val="16"/>
              </w:rPr>
            </w:pPr>
            <w:r>
              <w:rPr>
                <w:rFonts w:ascii="Verdana" w:eastAsia="Arial" w:hAnsi="Verdana" w:cs="Arial"/>
                <w:sz w:val="16"/>
                <w:szCs w:val="16"/>
              </w:rPr>
              <w:t>Richard Andrés Montenegro Siefken</w:t>
            </w:r>
          </w:p>
          <w:p w14:paraId="41EDA64E" w14:textId="77777777" w:rsidR="00F62F1C" w:rsidRPr="00B3605D" w:rsidRDefault="00F62F1C" w:rsidP="00A05D8D">
            <w:pPr>
              <w:contextualSpacing/>
              <w:rPr>
                <w:rFonts w:ascii="Verdana" w:eastAsia="Arial" w:hAnsi="Verdana" w:cs="Arial"/>
                <w:sz w:val="16"/>
                <w:szCs w:val="16"/>
              </w:rPr>
            </w:pPr>
            <w:r w:rsidRPr="00B3605D">
              <w:rPr>
                <w:rStyle w:val="normaltextrun"/>
                <w:rFonts w:ascii="Verdana" w:eastAsia="Arial" w:hAnsi="Verdana" w:cs="Arial"/>
                <w:sz w:val="16"/>
                <w:szCs w:val="16"/>
              </w:rPr>
              <w:t>Contratista de la Subdirección de Gestión Contractual</w:t>
            </w:r>
          </w:p>
        </w:tc>
      </w:tr>
      <w:tr w:rsidR="00F62F1C" w:rsidRPr="00593A5F" w14:paraId="1B72509F" w14:textId="77777777" w:rsidTr="0007245B">
        <w:trPr>
          <w:trHeight w:val="346"/>
        </w:trPr>
        <w:tc>
          <w:tcPr>
            <w:tcW w:w="890" w:type="dxa"/>
            <w:vAlign w:val="center"/>
            <w:hideMark/>
          </w:tcPr>
          <w:p w14:paraId="2A25F66F" w14:textId="77777777" w:rsidR="00F62F1C" w:rsidRPr="003751C7" w:rsidRDefault="00F62F1C" w:rsidP="00A05D8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15" w:type="dxa"/>
            <w:tcBorders>
              <w:top w:val="dotted" w:sz="4" w:space="0" w:color="7F7F7F" w:themeColor="text1" w:themeTint="80"/>
              <w:left w:val="nil"/>
              <w:bottom w:val="dotted" w:sz="4" w:space="0" w:color="7F7F7F" w:themeColor="text1" w:themeTint="80"/>
              <w:right w:val="nil"/>
            </w:tcBorders>
            <w:vAlign w:val="center"/>
            <w:hideMark/>
          </w:tcPr>
          <w:p w14:paraId="0D6BC257" w14:textId="283C3794" w:rsidR="00F62F1C" w:rsidRPr="00B3605D" w:rsidRDefault="00F62F1C" w:rsidP="00A05D8D">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Adriana Katherine López</w:t>
            </w:r>
            <w:r w:rsidRPr="00B3605D">
              <w:rPr>
                <w:rFonts w:ascii="Verdana" w:hAnsi="Verdana" w:cs="Segoe UI"/>
                <w:sz w:val="16"/>
                <w:szCs w:val="16"/>
              </w:rPr>
              <w:t xml:space="preserve"> </w:t>
            </w:r>
            <w:r w:rsidR="00E55703">
              <w:rPr>
                <w:rFonts w:ascii="Verdana" w:hAnsi="Verdana" w:cs="Segoe UI"/>
                <w:sz w:val="16"/>
                <w:szCs w:val="16"/>
              </w:rPr>
              <w:t>Rodríguez</w:t>
            </w:r>
          </w:p>
          <w:p w14:paraId="7A0B380D" w14:textId="77777777" w:rsidR="00F62F1C" w:rsidRPr="00B3605D" w:rsidRDefault="00F62F1C" w:rsidP="00A05D8D">
            <w:pPr>
              <w:pStyle w:val="paragraph"/>
              <w:spacing w:before="0" w:beforeAutospacing="0" w:after="0" w:afterAutospacing="0"/>
              <w:contextualSpacing/>
              <w:textAlignment w:val="baseline"/>
              <w:rPr>
                <w:rFonts w:ascii="Verdana" w:hAnsi="Verdana" w:cs="Segoe UI"/>
                <w:sz w:val="16"/>
                <w:szCs w:val="16"/>
              </w:rPr>
            </w:pPr>
            <w:r w:rsidRPr="00B3605D">
              <w:rPr>
                <w:rStyle w:val="normaltextrun"/>
                <w:rFonts w:ascii="Verdana" w:hAnsi="Verdana" w:cs="Arial"/>
                <w:sz w:val="16"/>
                <w:szCs w:val="16"/>
                <w:lang w:val="es-ES"/>
              </w:rPr>
              <w:t>Contratista de la Subdirección de Gestión Contractual</w:t>
            </w:r>
            <w:r w:rsidRPr="00B3605D">
              <w:rPr>
                <w:rStyle w:val="eop"/>
                <w:rFonts w:ascii="Verdana" w:hAnsi="Verdana" w:cs="Arial"/>
                <w:sz w:val="16"/>
                <w:szCs w:val="16"/>
              </w:rPr>
              <w:t> </w:t>
            </w:r>
          </w:p>
        </w:tc>
      </w:tr>
      <w:tr w:rsidR="00F62F1C" w:rsidRPr="00593A5F" w14:paraId="0BF51570" w14:textId="77777777" w:rsidTr="0007245B">
        <w:trPr>
          <w:trHeight w:val="315"/>
        </w:trPr>
        <w:tc>
          <w:tcPr>
            <w:tcW w:w="890" w:type="dxa"/>
            <w:vAlign w:val="center"/>
          </w:tcPr>
          <w:p w14:paraId="0B8BAE05" w14:textId="77777777" w:rsidR="00F62F1C" w:rsidRPr="003751C7" w:rsidRDefault="00F62F1C" w:rsidP="00A05D8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15" w:type="dxa"/>
            <w:tcBorders>
              <w:top w:val="dotted" w:sz="4" w:space="0" w:color="7F7F7F" w:themeColor="text1" w:themeTint="80"/>
              <w:left w:val="nil"/>
              <w:bottom w:val="dotted" w:sz="4" w:space="0" w:color="7F7F7F" w:themeColor="text1" w:themeTint="80"/>
              <w:right w:val="nil"/>
            </w:tcBorders>
            <w:vAlign w:val="center"/>
          </w:tcPr>
          <w:p w14:paraId="089FA985" w14:textId="77777777" w:rsidR="00F62F1C" w:rsidRPr="003751C7" w:rsidRDefault="00F62F1C" w:rsidP="00A05D8D">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70371387" w14:textId="77777777" w:rsidR="00F62F1C" w:rsidRPr="003751C7" w:rsidRDefault="00F62F1C" w:rsidP="00A05D8D">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1081BF7F" w:rsidR="00127233" w:rsidRPr="007F513A" w:rsidRDefault="00127233" w:rsidP="007F513A"/>
    <w:sectPr w:rsidR="00127233" w:rsidRPr="007F513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57182" w14:textId="77777777" w:rsidR="00825651" w:rsidRDefault="00825651" w:rsidP="004A1847">
      <w:pPr>
        <w:spacing w:after="0" w:line="240" w:lineRule="auto"/>
      </w:pPr>
      <w:r>
        <w:separator/>
      </w:r>
    </w:p>
  </w:endnote>
  <w:endnote w:type="continuationSeparator" w:id="0">
    <w:p w14:paraId="6D963907" w14:textId="77777777" w:rsidR="00825651" w:rsidRDefault="0082565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7F513A"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7F513A">
      <w:rPr>
        <w:rFonts w:ascii="Verdana" w:eastAsia="Verdana" w:hAnsi="Verdana" w:cs="Verdana"/>
        <w:b/>
        <w:bCs/>
        <w:color w:val="000000" w:themeColor="text1"/>
        <w:sz w:val="18"/>
        <w:szCs w:val="18"/>
        <w:lang w:val="pt-PT" w:eastAsia="es-CO"/>
      </w:rPr>
      <w:t xml:space="preserve">Código: </w:t>
    </w:r>
    <w:r w:rsidRPr="007F513A">
      <w:rPr>
        <w:rFonts w:ascii="Verdana" w:eastAsia="Verdana" w:hAnsi="Verdana" w:cs="Verdana"/>
        <w:color w:val="000000" w:themeColor="text1"/>
        <w:sz w:val="18"/>
        <w:szCs w:val="18"/>
        <w:lang w:val="pt-PT" w:eastAsia="es-CO"/>
      </w:rPr>
      <w:t xml:space="preserve">CCE-REC-FM-17 </w:t>
    </w:r>
    <w:r w:rsidRPr="007F513A">
      <w:rPr>
        <w:rFonts w:ascii="Verdana" w:eastAsia="Verdana" w:hAnsi="Verdana" w:cs="Verdana"/>
        <w:b/>
        <w:bCs/>
        <w:color w:val="000000" w:themeColor="text1"/>
        <w:sz w:val="18"/>
        <w:szCs w:val="18"/>
        <w:lang w:val="pt-PT" w:eastAsia="es-CO"/>
      </w:rPr>
      <w:t xml:space="preserve">V: </w:t>
    </w:r>
    <w:r w:rsidRPr="007F513A">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69789" w14:textId="77777777" w:rsidR="00825651" w:rsidRDefault="00825651" w:rsidP="004A1847">
      <w:pPr>
        <w:spacing w:after="0" w:line="240" w:lineRule="auto"/>
      </w:pPr>
      <w:r>
        <w:separator/>
      </w:r>
    </w:p>
  </w:footnote>
  <w:footnote w:type="continuationSeparator" w:id="0">
    <w:p w14:paraId="19BD8E62" w14:textId="77777777" w:rsidR="00825651" w:rsidRDefault="00825651" w:rsidP="004A1847">
      <w:pPr>
        <w:spacing w:after="0" w:line="240" w:lineRule="auto"/>
      </w:pPr>
      <w:r>
        <w:continuationSeparator/>
      </w:r>
    </w:p>
  </w:footnote>
  <w:footnote w:id="1">
    <w:p w14:paraId="4A7535FC" w14:textId="77777777" w:rsidR="00F62F1C" w:rsidRDefault="00F62F1C" w:rsidP="00F62F1C">
      <w:pPr>
        <w:pStyle w:val="Textonotapie"/>
        <w:jc w:val="both"/>
        <w:rPr>
          <w:rFonts w:ascii="Verdana" w:hAnsi="Verdana" w:cs="Arial"/>
          <w:sz w:val="13"/>
          <w:szCs w:val="13"/>
        </w:rPr>
      </w:pPr>
    </w:p>
    <w:p w14:paraId="0DA4EBBA" w14:textId="77777777" w:rsidR="00F62F1C" w:rsidRPr="00F87F29" w:rsidRDefault="00F62F1C" w:rsidP="00F62F1C">
      <w:pPr>
        <w:pStyle w:val="Textonotapie"/>
        <w:ind w:firstLine="709"/>
        <w:jc w:val="both"/>
        <w:rPr>
          <w:rFonts w:ascii="Verdana" w:hAnsi="Verdana" w:cs="Arial"/>
          <w:sz w:val="13"/>
          <w:szCs w:val="13"/>
        </w:rPr>
      </w:pPr>
      <w:r w:rsidRPr="00F87F29">
        <w:rPr>
          <w:rStyle w:val="Refdenotaalpie"/>
          <w:rFonts w:ascii="Verdana" w:hAnsi="Verdana" w:cs="Arial"/>
          <w:sz w:val="13"/>
          <w:szCs w:val="13"/>
        </w:rPr>
        <w:footnoteRef/>
      </w:r>
      <w:r w:rsidRPr="00F87F29">
        <w:rPr>
          <w:rFonts w:ascii="Verdana" w:hAnsi="Verdana" w:cs="Arial"/>
          <w:sz w:val="13"/>
          <w:szCs w:val="13"/>
        </w:rPr>
        <w:t xml:space="preserve"> Gaceta del Congreso de la República No. 71 del 2005.</w:t>
      </w:r>
    </w:p>
    <w:p w14:paraId="0AF3F69F" w14:textId="77777777" w:rsidR="00F62F1C" w:rsidRPr="00F87F29" w:rsidRDefault="00F62F1C" w:rsidP="00F62F1C">
      <w:pPr>
        <w:pStyle w:val="Textonotapie"/>
        <w:ind w:firstLine="709"/>
        <w:jc w:val="both"/>
        <w:rPr>
          <w:rFonts w:ascii="Verdana" w:hAnsi="Verdana" w:cs="Arial"/>
          <w:sz w:val="13"/>
          <w:szCs w:val="13"/>
        </w:rPr>
      </w:pPr>
    </w:p>
  </w:footnote>
  <w:footnote w:id="2">
    <w:p w14:paraId="4C48E024" w14:textId="77777777" w:rsidR="00F62F1C" w:rsidRDefault="00F62F1C" w:rsidP="00F62F1C">
      <w:pPr>
        <w:pStyle w:val="Textonotapie"/>
        <w:jc w:val="both"/>
        <w:rPr>
          <w:rFonts w:ascii="Verdana" w:hAnsi="Verdana" w:cs="Arial"/>
          <w:sz w:val="13"/>
          <w:szCs w:val="13"/>
        </w:rPr>
      </w:pPr>
    </w:p>
    <w:p w14:paraId="22CBAFA1" w14:textId="77777777" w:rsidR="00F62F1C" w:rsidRPr="00F87F29" w:rsidRDefault="00F62F1C" w:rsidP="00F62F1C">
      <w:pPr>
        <w:pStyle w:val="Textonotapie"/>
        <w:ind w:firstLine="709"/>
        <w:jc w:val="both"/>
        <w:rPr>
          <w:rFonts w:ascii="Verdana" w:hAnsi="Verdana" w:cs="Arial"/>
          <w:sz w:val="13"/>
          <w:szCs w:val="13"/>
        </w:rPr>
      </w:pPr>
      <w:r w:rsidRPr="00F87F29">
        <w:rPr>
          <w:rStyle w:val="Refdenotaalpie"/>
          <w:rFonts w:ascii="Verdana" w:hAnsi="Verdana" w:cs="Arial"/>
          <w:sz w:val="13"/>
          <w:szCs w:val="13"/>
        </w:rPr>
        <w:footnoteRef/>
      </w:r>
      <w:r w:rsidRPr="00F87F29">
        <w:rPr>
          <w:rFonts w:ascii="Verdana" w:hAnsi="Verdana" w:cs="Arial"/>
          <w:sz w:val="13"/>
          <w:szCs w:val="13"/>
        </w:rPr>
        <w:t xml:space="preserve"> Gaceta del Congreso de la República No. 71 del 2005.</w:t>
      </w:r>
    </w:p>
    <w:p w14:paraId="7B1D7233" w14:textId="77777777" w:rsidR="00F62F1C" w:rsidRPr="00F87F29" w:rsidRDefault="00F62F1C" w:rsidP="00F62F1C">
      <w:pPr>
        <w:pStyle w:val="Textonotapie"/>
        <w:ind w:firstLine="709"/>
        <w:jc w:val="both"/>
        <w:rPr>
          <w:rFonts w:ascii="Verdana" w:hAnsi="Verdana" w:cs="Arial"/>
          <w:sz w:val="13"/>
          <w:szCs w:val="13"/>
        </w:rPr>
      </w:pPr>
    </w:p>
  </w:footnote>
  <w:footnote w:id="3">
    <w:p w14:paraId="33B31001" w14:textId="77777777" w:rsidR="00F62F1C" w:rsidRPr="00F87F29" w:rsidRDefault="00F62F1C" w:rsidP="00F62F1C">
      <w:pPr>
        <w:pStyle w:val="Textonotapie"/>
        <w:ind w:firstLine="709"/>
        <w:jc w:val="both"/>
        <w:rPr>
          <w:rFonts w:ascii="Verdana" w:hAnsi="Verdana" w:cs="Arial"/>
          <w:sz w:val="13"/>
          <w:szCs w:val="13"/>
          <w:lang w:val="pt-BR"/>
        </w:rPr>
      </w:pPr>
      <w:r w:rsidRPr="00F87F29">
        <w:rPr>
          <w:rStyle w:val="Refdenotaalpie"/>
          <w:rFonts w:ascii="Verdana" w:hAnsi="Verdana" w:cs="Arial"/>
          <w:sz w:val="13"/>
          <w:szCs w:val="13"/>
        </w:rPr>
        <w:footnoteRef/>
      </w:r>
      <w:r w:rsidRPr="00F87F29">
        <w:rPr>
          <w:rFonts w:ascii="Verdana" w:hAnsi="Verdana" w:cs="Arial"/>
          <w:sz w:val="13"/>
          <w:szCs w:val="13"/>
          <w:lang w:val="pt-BR"/>
        </w:rPr>
        <w:t xml:space="preserve"> Corte Constitucional, Sentencia C- 1153 de 2005, M.P. Marco Gerardo Monroy Cabra.</w:t>
      </w:r>
    </w:p>
  </w:footnote>
  <w:footnote w:id="4">
    <w:p w14:paraId="7779CB67" w14:textId="77777777" w:rsidR="00F62F1C" w:rsidRPr="00F87F29" w:rsidRDefault="00F62F1C" w:rsidP="00F62F1C">
      <w:pPr>
        <w:pStyle w:val="Textonotapie"/>
        <w:ind w:firstLine="709"/>
        <w:jc w:val="both"/>
        <w:rPr>
          <w:rFonts w:ascii="Verdana" w:hAnsi="Verdana" w:cs="Arial"/>
          <w:sz w:val="13"/>
          <w:szCs w:val="13"/>
          <w:lang w:val="pt-BR"/>
        </w:rPr>
      </w:pPr>
      <w:r w:rsidRPr="00F87F29">
        <w:rPr>
          <w:rStyle w:val="Refdenotaalpie"/>
          <w:rFonts w:ascii="Verdana" w:hAnsi="Verdana" w:cs="Arial"/>
          <w:sz w:val="13"/>
          <w:szCs w:val="13"/>
        </w:rPr>
        <w:footnoteRef/>
      </w:r>
      <w:r w:rsidRPr="00F87F29">
        <w:rPr>
          <w:rFonts w:ascii="Verdana" w:hAnsi="Verdana" w:cs="Arial"/>
          <w:sz w:val="13"/>
          <w:szCs w:val="13"/>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67D34D8" w14:textId="77777777" w:rsidR="00F62F1C" w:rsidRPr="00F87F29" w:rsidRDefault="00F62F1C" w:rsidP="00F62F1C">
      <w:pPr>
        <w:pStyle w:val="Textonotapie"/>
        <w:ind w:firstLine="709"/>
        <w:jc w:val="both"/>
        <w:rPr>
          <w:rFonts w:ascii="Verdana" w:hAnsi="Verdana" w:cs="Arial"/>
          <w:sz w:val="13"/>
          <w:szCs w:val="13"/>
          <w:lang w:val="es-CO"/>
        </w:rPr>
      </w:pPr>
      <w:r w:rsidRPr="00F87F29">
        <w:rPr>
          <w:rStyle w:val="Refdenotaalpie"/>
          <w:rFonts w:ascii="Verdana" w:hAnsi="Verdana" w:cs="Arial"/>
          <w:sz w:val="13"/>
          <w:szCs w:val="13"/>
        </w:rPr>
        <w:footnoteRef/>
      </w:r>
      <w:r w:rsidRPr="00F87F29">
        <w:rPr>
          <w:rFonts w:ascii="Verdana" w:hAnsi="Verdana" w:cs="Arial"/>
          <w:sz w:val="13"/>
          <w:szCs w:val="13"/>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C60F0D9" w14:textId="77777777" w:rsidR="00F62F1C" w:rsidRPr="00F87F29" w:rsidRDefault="00F62F1C" w:rsidP="00F62F1C">
      <w:pPr>
        <w:pStyle w:val="Textonotapie"/>
        <w:ind w:firstLine="709"/>
        <w:jc w:val="both"/>
        <w:rPr>
          <w:rFonts w:ascii="Verdana" w:hAnsi="Verdana" w:cs="Arial"/>
          <w:sz w:val="13"/>
          <w:szCs w:val="13"/>
        </w:rPr>
      </w:pPr>
      <w:r w:rsidRPr="00F87F29">
        <w:rPr>
          <w:rStyle w:val="Refdenotaalpie"/>
          <w:rFonts w:ascii="Verdana" w:hAnsi="Verdana" w:cs="Arial"/>
          <w:sz w:val="13"/>
          <w:szCs w:val="13"/>
        </w:rPr>
        <w:footnoteRef/>
      </w:r>
      <w:r w:rsidRPr="00F87F29">
        <w:rPr>
          <w:rFonts w:ascii="Verdana" w:hAnsi="Verdana" w:cs="Arial"/>
          <w:sz w:val="13"/>
          <w:szCs w:val="13"/>
        </w:rPr>
        <w:t xml:space="preserve"> Consejo de Estado, Sala de Consulta y Servicio Civil de fecha 24 de julio de 2013, Rad. 2166, C. P. Álvaro Namén Vargas.  </w:t>
      </w:r>
    </w:p>
  </w:footnote>
  <w:footnote w:id="7">
    <w:p w14:paraId="0E049F62" w14:textId="77777777" w:rsidR="00F62F1C" w:rsidRPr="00F87F29" w:rsidRDefault="00F62F1C" w:rsidP="00F62F1C">
      <w:pPr>
        <w:spacing w:after="0" w:line="240" w:lineRule="auto"/>
        <w:ind w:left="100" w:right="244" w:firstLine="709"/>
        <w:jc w:val="both"/>
        <w:rPr>
          <w:rFonts w:ascii="Verdana" w:hAnsi="Verdana" w:cs="Arial"/>
          <w:sz w:val="13"/>
          <w:szCs w:val="13"/>
          <w:lang w:val="es-ES"/>
        </w:rPr>
      </w:pPr>
      <w:r w:rsidRPr="00F87F29">
        <w:rPr>
          <w:rStyle w:val="Refdenotaalpie"/>
          <w:rFonts w:ascii="Verdana" w:hAnsi="Verdana" w:cs="Arial"/>
          <w:sz w:val="13"/>
          <w:szCs w:val="13"/>
        </w:rPr>
        <w:footnoteRef/>
      </w:r>
      <w:r w:rsidRPr="00F87F29">
        <w:rPr>
          <w:rFonts w:ascii="Verdana" w:hAnsi="Verdana" w:cs="Arial"/>
          <w:sz w:val="13"/>
          <w:szCs w:val="13"/>
        </w:rPr>
        <w:t xml:space="preserve"> Consejo de Estado. Sala de Consulta y Servicio Civil. Concepto del 17 de febrero de 2015. C.P. William Zambrano Cetina. Radicación No. 11001-03-06-000-2015-00164-00(2269).</w:t>
      </w:r>
    </w:p>
  </w:footnote>
  <w:footnote w:id="8">
    <w:p w14:paraId="62633151" w14:textId="77777777" w:rsidR="00F62F1C" w:rsidRPr="00B3605D" w:rsidRDefault="00F62F1C" w:rsidP="00F62F1C">
      <w:pPr>
        <w:pStyle w:val="Textonotapie"/>
        <w:rPr>
          <w:lang w:val="es-ES"/>
        </w:rPr>
      </w:pPr>
      <w:r>
        <w:rPr>
          <w:rStyle w:val="Refdenotaalpie"/>
        </w:rPr>
        <w:footnoteRef/>
      </w:r>
      <w:r>
        <w:t xml:space="preserve"> </w:t>
      </w:r>
      <w:hyperlink r:id="rId1" w:history="1">
        <w:r w:rsidRPr="007E2F6C">
          <w:rPr>
            <w:rStyle w:val="Hipervnculo"/>
          </w:rPr>
          <w:t>https://www.colombiacompra.gov.co/wp-content/uploads/2024/08/circular_externa_unica_version_3_vf49-1.pdf</w:t>
        </w:r>
      </w:hyperlink>
      <w:r>
        <w:t xml:space="preserve"> </w:t>
      </w:r>
    </w:p>
  </w:footnote>
  <w:footnote w:id="9">
    <w:p w14:paraId="1267CB8B" w14:textId="77777777" w:rsidR="00F62F1C" w:rsidRPr="00ED7FC7" w:rsidRDefault="00F62F1C" w:rsidP="00F62F1C">
      <w:pPr>
        <w:pStyle w:val="Textonotapie"/>
        <w:spacing w:before="120" w:after="120"/>
        <w:ind w:firstLine="708"/>
        <w:contextualSpacing/>
        <w:jc w:val="both"/>
        <w:rPr>
          <w:rFonts w:ascii="Verdana" w:hAnsi="Verdana" w:cs="Arial"/>
          <w:color w:val="000000"/>
          <w:sz w:val="14"/>
          <w:szCs w:val="14"/>
        </w:rPr>
      </w:pPr>
      <w:r w:rsidRPr="00F9771D">
        <w:rPr>
          <w:rStyle w:val="Refdenotaalpie"/>
          <w:rFonts w:ascii="Verdana" w:hAnsi="Verdana" w:cs="Arial"/>
          <w:color w:val="000000"/>
          <w:sz w:val="14"/>
          <w:szCs w:val="14"/>
        </w:rPr>
        <w:footnoteRef/>
      </w:r>
      <w:r w:rsidRPr="00F9771D">
        <w:rPr>
          <w:rFonts w:ascii="Verdana" w:hAnsi="Verdana" w:cs="Arial"/>
          <w:color w:val="000000"/>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footnote>
  <w:footnote w:id="10">
    <w:p w14:paraId="32F8422D" w14:textId="77777777" w:rsidR="00F62F1C" w:rsidRPr="00F373CD" w:rsidRDefault="00F62F1C" w:rsidP="00F62F1C">
      <w:pPr>
        <w:pStyle w:val="Textonotapie"/>
        <w:ind w:firstLine="708"/>
        <w:contextualSpacing/>
        <w:jc w:val="both"/>
        <w:rPr>
          <w:rFonts w:ascii="Verdana" w:hAnsi="Verdana"/>
          <w:color w:val="4472C4" w:themeColor="accent1"/>
          <w:sz w:val="14"/>
          <w:szCs w:val="14"/>
        </w:rPr>
      </w:pPr>
      <w:r w:rsidRPr="00F373CD">
        <w:rPr>
          <w:rStyle w:val="Refdenotaalpie"/>
          <w:rFonts w:ascii="Verdana" w:hAnsi="Verdana"/>
          <w:sz w:val="14"/>
          <w:szCs w:val="14"/>
        </w:rPr>
        <w:footnoteRef/>
      </w:r>
      <w:r w:rsidRPr="00F373CD">
        <w:rPr>
          <w:rFonts w:ascii="Verdana" w:hAnsi="Verdana"/>
          <w:sz w:val="14"/>
          <w:szCs w:val="14"/>
        </w:rPr>
        <w:t xml:space="preserve"> Agencia Nacional de Contratación Pública. Concepto C-466 de 23 de septiembre de 2024. Radicado de salida No. </w:t>
      </w:r>
      <w:r w:rsidRPr="00F373CD">
        <w:rPr>
          <w:rFonts w:ascii="Verdana" w:hAnsi="Verdana"/>
          <w:sz w:val="14"/>
          <w:szCs w:val="14"/>
          <w:lang w:val="es-CO"/>
        </w:rPr>
        <w:t xml:space="preserve">RS20240923013372. Disponible en: </w:t>
      </w:r>
      <w:hyperlink r:id="rId2" w:history="1">
        <w:r w:rsidRPr="00F373CD">
          <w:rPr>
            <w:rStyle w:val="Hipervnculo"/>
            <w:rFonts w:ascii="Verdana" w:hAnsi="Verdana"/>
            <w:color w:val="4472C4" w:themeColor="accent1"/>
            <w:sz w:val="14"/>
            <w:szCs w:val="14"/>
          </w:rPr>
          <w:t>https://relatoria.colombiacompra.gov.co/conceptos/c-466-de-2024/</w:t>
        </w:r>
      </w:hyperlink>
      <w:r w:rsidRPr="00F373CD">
        <w:rPr>
          <w:rFonts w:ascii="Verdana" w:hAnsi="Verdana"/>
          <w:color w:val="4472C4" w:themeColor="accent1"/>
          <w:sz w:val="14"/>
          <w:szCs w:val="14"/>
        </w:rPr>
        <w:t xml:space="preserve"> </w:t>
      </w:r>
    </w:p>
  </w:footnote>
  <w:footnote w:id="11">
    <w:p w14:paraId="790F9867" w14:textId="77777777" w:rsidR="00F62F1C" w:rsidRPr="00F373CD" w:rsidRDefault="00F62F1C" w:rsidP="00F62F1C">
      <w:pPr>
        <w:pStyle w:val="Textonotapie"/>
        <w:ind w:firstLine="708"/>
        <w:contextualSpacing/>
        <w:jc w:val="both"/>
        <w:rPr>
          <w:rFonts w:ascii="Verdana" w:hAnsi="Verdana"/>
          <w:sz w:val="14"/>
          <w:szCs w:val="14"/>
        </w:rPr>
      </w:pPr>
      <w:r w:rsidRPr="00F373CD">
        <w:rPr>
          <w:rStyle w:val="Refdenotaalpie"/>
          <w:rFonts w:ascii="Verdana" w:hAnsi="Verdana"/>
          <w:sz w:val="14"/>
          <w:szCs w:val="14"/>
        </w:rPr>
        <w:footnoteRef/>
      </w:r>
      <w:r w:rsidRPr="00F373CD">
        <w:rPr>
          <w:rFonts w:ascii="Verdana" w:hAnsi="Verdana"/>
          <w:sz w:val="14"/>
          <w:szCs w:val="14"/>
        </w:rPr>
        <w:t xml:space="preserve"> Consejo de Estado, Sección Tercera, Subsección A, Sentencia del 22 de agosto de 2023. Exp. No. 58634. </w:t>
      </w:r>
      <w:r w:rsidRPr="00F373CD">
        <w:rPr>
          <w:rFonts w:ascii="Verdana" w:hAnsi="Verdana"/>
          <w:sz w:val="14"/>
          <w:szCs w:val="14"/>
          <w:lang w:val="es-CO"/>
        </w:rPr>
        <w:t>C. P: María Adriana Marín; Subsección C. Sentencia del 19 de septiembre de 2022. Exp. No. 54714. C.P: Jaime Enrique Rodríguez Navas;</w:t>
      </w:r>
      <w:r w:rsidRPr="00F373CD">
        <w:rPr>
          <w:rFonts w:ascii="Verdana" w:hAnsi="Verdana"/>
          <w:sz w:val="14"/>
          <w:szCs w:val="14"/>
        </w:rPr>
        <w:t xml:space="preserve"> Subsección C</w:t>
      </w:r>
      <w:bookmarkStart w:id="2" w:name="_Hlk176969946"/>
      <w:r w:rsidRPr="00F373CD">
        <w:rPr>
          <w:rFonts w:ascii="Verdana" w:hAnsi="Verdana"/>
          <w:sz w:val="14"/>
          <w:szCs w:val="14"/>
        </w:rPr>
        <w:t>, Sentencia del 24 de abril de 2024</w:t>
      </w:r>
      <w:bookmarkEnd w:id="2"/>
      <w:r w:rsidRPr="00F373CD">
        <w:rPr>
          <w:rFonts w:ascii="Verdana" w:hAnsi="Verdana"/>
          <w:sz w:val="14"/>
          <w:szCs w:val="14"/>
        </w:rPr>
        <w:t xml:space="preserve">. Exp. No. 67095. </w:t>
      </w:r>
      <w:r w:rsidRPr="00F373CD">
        <w:rPr>
          <w:rFonts w:ascii="Verdana" w:hAnsi="Verdana"/>
          <w:sz w:val="14"/>
          <w:szCs w:val="14"/>
          <w:lang w:val="es-CO"/>
        </w:rPr>
        <w:t>C.P: Nicolás Yepes Corrales.</w:t>
      </w:r>
      <w:r w:rsidRPr="00F373CD">
        <w:rPr>
          <w:rFonts w:ascii="Verdana" w:hAnsi="Verdana"/>
          <w:sz w:val="14"/>
          <w:szCs w:val="14"/>
        </w:rPr>
        <w:t xml:space="preserve"> </w:t>
      </w:r>
    </w:p>
    <w:p w14:paraId="6656A260" w14:textId="77777777" w:rsidR="00F62F1C" w:rsidRPr="00635F71" w:rsidRDefault="00F62F1C" w:rsidP="00F62F1C">
      <w:pPr>
        <w:pStyle w:val="Textonotapie"/>
        <w:ind w:firstLine="708"/>
        <w:contextualSpacing/>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2F30717"/>
    <w:multiLevelType w:val="multilevel"/>
    <w:tmpl w:val="468A8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599673362">
    <w:abstractNumId w:val="0"/>
  </w:num>
  <w:num w:numId="17" w16cid:durableId="1595554871">
    <w:abstractNumId w:val="9"/>
  </w:num>
  <w:num w:numId="18" w16cid:durableId="14820399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245B"/>
    <w:rsid w:val="00082362"/>
    <w:rsid w:val="000A683E"/>
    <w:rsid w:val="000B19B9"/>
    <w:rsid w:val="000D0334"/>
    <w:rsid w:val="000D5DA7"/>
    <w:rsid w:val="000E29FC"/>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4822"/>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2602"/>
    <w:rsid w:val="007340C3"/>
    <w:rsid w:val="0075235A"/>
    <w:rsid w:val="00756841"/>
    <w:rsid w:val="007649AB"/>
    <w:rsid w:val="00771D0C"/>
    <w:rsid w:val="007833AC"/>
    <w:rsid w:val="007B268C"/>
    <w:rsid w:val="007B7171"/>
    <w:rsid w:val="007C0C0F"/>
    <w:rsid w:val="007C3DC2"/>
    <w:rsid w:val="007E36F6"/>
    <w:rsid w:val="007E5497"/>
    <w:rsid w:val="007F513A"/>
    <w:rsid w:val="00806F5F"/>
    <w:rsid w:val="00820278"/>
    <w:rsid w:val="00825651"/>
    <w:rsid w:val="008258C9"/>
    <w:rsid w:val="00844AE9"/>
    <w:rsid w:val="00867F95"/>
    <w:rsid w:val="008843B6"/>
    <w:rsid w:val="00891928"/>
    <w:rsid w:val="008A446D"/>
    <w:rsid w:val="008B25F1"/>
    <w:rsid w:val="008D180B"/>
    <w:rsid w:val="008D65B8"/>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02C9"/>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4C76"/>
    <w:rsid w:val="00DC39FC"/>
    <w:rsid w:val="00DE21CC"/>
    <w:rsid w:val="00DF5254"/>
    <w:rsid w:val="00E02524"/>
    <w:rsid w:val="00E16408"/>
    <w:rsid w:val="00E20894"/>
    <w:rsid w:val="00E245AB"/>
    <w:rsid w:val="00E2764C"/>
    <w:rsid w:val="00E27F2E"/>
    <w:rsid w:val="00E413F8"/>
    <w:rsid w:val="00E50AFE"/>
    <w:rsid w:val="00E55703"/>
    <w:rsid w:val="00E73E67"/>
    <w:rsid w:val="00E75C92"/>
    <w:rsid w:val="00E771DC"/>
    <w:rsid w:val="00E8772A"/>
    <w:rsid w:val="00E90F6B"/>
    <w:rsid w:val="00E92C27"/>
    <w:rsid w:val="00EA0E3D"/>
    <w:rsid w:val="00EC38A7"/>
    <w:rsid w:val="00EE1AA8"/>
    <w:rsid w:val="00F23FEA"/>
    <w:rsid w:val="00F31EDC"/>
    <w:rsid w:val="00F462B3"/>
    <w:rsid w:val="00F5664F"/>
    <w:rsid w:val="00F62F1C"/>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62F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62F1C"/>
    <w:rPr>
      <w:rFonts w:ascii="Geomanist Light" w:hAnsi="Geomanist Light"/>
      <w:lang w:val="es-ES"/>
    </w:rPr>
  </w:style>
  <w:style w:type="character" w:customStyle="1" w:styleId="baj">
    <w:name w:val="b_aj"/>
    <w:basedOn w:val="Fuentedeprrafopredeter"/>
    <w:rsid w:val="00F62F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conceptos/c-466-de-2024/" TargetMode="External"/><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0387DF-320A-4C43-83BC-9B1680B39632}">
  <ds:schemaRefs>
    <ds:schemaRef ds:uri="http://schemas.openxmlformats.org/officeDocument/2006/bibliography"/>
  </ds:schemaRefs>
</ds:datastoreItem>
</file>

<file path=customXml/itemProps2.xml><?xml version="1.0" encoding="utf-8"?>
<ds:datastoreItem xmlns:ds="http://schemas.openxmlformats.org/officeDocument/2006/customXml" ds:itemID="{8A276E18-6CCE-49F5-9E15-6272FA4C96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17</Pages>
  <Words>5682</Words>
  <Characters>31256</Characters>
  <Application>Microsoft Office Word</Application>
  <DocSecurity>0</DocSecurity>
  <Lines>260</Lines>
  <Paragraphs>73</Paragraphs>
  <ScaleCrop>false</ScaleCrop>
  <Company/>
  <LinksUpToDate>false</LinksUpToDate>
  <CharactersWithSpaces>36865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2026-05-20T15:41:00Z</dcterms:created>
  <dcterms:modified xsi:type="dcterms:W3CDTF">2026-05-20T17:41:00Z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