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113C4" w14:textId="7B7BDBE6" w:rsidR="008F08D7" w:rsidRDefault="008F08D7" w:rsidP="008F08D7">
      <w:pPr>
        <w:spacing w:after="0" w:line="240" w:lineRule="auto"/>
        <w:contextualSpacing/>
        <w:jc w:val="both"/>
        <w:rPr>
          <w:rFonts w:ascii="Verdana" w:eastAsia="Calibri" w:hAnsi="Verdana" w:cs="Arial"/>
          <w:b/>
          <w:bCs/>
          <w:color w:val="000000" w:themeColor="text1"/>
          <w:lang w:val="es-ES" w:eastAsia="es-ES"/>
        </w:rPr>
      </w:pPr>
      <w:r w:rsidRPr="00054520">
        <w:rPr>
          <w:rFonts w:ascii="Verdana" w:eastAsia="Calibri" w:hAnsi="Verdana" w:cs="Arial"/>
          <w:b/>
          <w:bCs/>
          <w:color w:val="000000" w:themeColor="text1"/>
          <w:lang w:val="es-ES" w:eastAsia="es-ES"/>
        </w:rPr>
        <w:t xml:space="preserve">SISTEMA DE SEGURIDAD SOCIAL INTEGRAL – Obligaciones </w:t>
      </w:r>
      <w:r w:rsidR="005A27D5"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Contratación Estatal  </w:t>
      </w:r>
    </w:p>
    <w:p w14:paraId="48300D03" w14:textId="77777777" w:rsidR="008F08D7" w:rsidRDefault="008F08D7" w:rsidP="008F08D7">
      <w:pPr>
        <w:spacing w:after="0" w:line="240" w:lineRule="auto"/>
        <w:contextualSpacing/>
        <w:jc w:val="both"/>
        <w:rPr>
          <w:rStyle w:val="normaltextrun"/>
          <w:rFonts w:ascii="Verdana" w:hAnsi="Verdana"/>
          <w:color w:val="000000" w:themeColor="text1"/>
          <w:shd w:val="clear" w:color="auto" w:fill="FFFFFF"/>
        </w:rPr>
      </w:pPr>
    </w:p>
    <w:p w14:paraId="766FF884" w14:textId="77777777" w:rsidR="008F08D7" w:rsidRDefault="008F08D7" w:rsidP="008F08D7">
      <w:pPr>
        <w:spacing w:after="0" w:line="240" w:lineRule="auto"/>
        <w:contextualSpacing/>
        <w:jc w:val="both"/>
        <w:rPr>
          <w:rStyle w:val="normaltextrun"/>
          <w:rFonts w:ascii="Verdana" w:hAnsi="Verdana"/>
          <w:color w:val="000000" w:themeColor="text1"/>
          <w:sz w:val="20"/>
          <w:szCs w:val="20"/>
          <w:shd w:val="clear" w:color="auto" w:fill="FFFFFF"/>
        </w:rPr>
      </w:pPr>
      <w:r w:rsidRPr="00414A41">
        <w:rPr>
          <w:rStyle w:val="normaltextrun"/>
          <w:rFonts w:ascii="Verdana" w:hAnsi="Verdana"/>
          <w:color w:val="000000" w:themeColor="text1"/>
          <w:sz w:val="20"/>
          <w:szCs w:val="20"/>
          <w:shd w:val="clear" w:color="auto" w:fill="FFFFFF"/>
        </w:rPr>
        <w:t>Por su parte, el artículo 50 de la Ley 789 de 2002 dispuso como obligación de quien quiere celebrar, renovar o liquidar contratos de cualquier naturaleza con entidades estatales,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p>
    <w:p w14:paraId="7820235F" w14:textId="77777777" w:rsidR="008F08D7" w:rsidRDefault="008F08D7" w:rsidP="008F08D7">
      <w:pPr>
        <w:spacing w:after="0" w:line="240" w:lineRule="auto"/>
        <w:contextualSpacing/>
        <w:jc w:val="both"/>
        <w:rPr>
          <w:rStyle w:val="normaltextrun"/>
          <w:rFonts w:ascii="Verdana" w:hAnsi="Verdana"/>
          <w:color w:val="000000" w:themeColor="text1"/>
          <w:sz w:val="20"/>
          <w:szCs w:val="20"/>
          <w:shd w:val="clear" w:color="auto" w:fill="FFFFFF"/>
        </w:rPr>
      </w:pPr>
    </w:p>
    <w:p w14:paraId="4224A565" w14:textId="2647544F" w:rsidR="008F08D7" w:rsidRDefault="008F08D7" w:rsidP="008F08D7">
      <w:pPr>
        <w:spacing w:after="0" w:line="240" w:lineRule="auto"/>
        <w:contextualSpacing/>
        <w:jc w:val="both"/>
        <w:rPr>
          <w:rFonts w:ascii="Verdana" w:eastAsia="Calibri" w:hAnsi="Verdana" w:cs="Arial"/>
          <w:b/>
          <w:bCs/>
          <w:color w:val="000000" w:themeColor="text1"/>
          <w:lang w:val="es-ES" w:eastAsia="es-ES"/>
        </w:rPr>
      </w:pPr>
      <w:r w:rsidRPr="00054520">
        <w:rPr>
          <w:rFonts w:ascii="Verdana" w:eastAsia="Calibri" w:hAnsi="Verdana" w:cs="Arial"/>
          <w:b/>
          <w:bCs/>
          <w:color w:val="000000" w:themeColor="text1"/>
          <w:lang w:val="es-ES" w:eastAsia="es-ES"/>
        </w:rPr>
        <w:t xml:space="preserve">SEGURIDAD SOCIAL </w:t>
      </w:r>
      <w:r w:rsidR="005A27D5"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Verificación </w:t>
      </w:r>
      <w:r w:rsidR="005A27D5"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Persona natural </w:t>
      </w:r>
      <w:r w:rsidR="005A27D5" w:rsidRPr="005A27D5">
        <w:rPr>
          <w:rFonts w:ascii="Verdana" w:eastAsia="Calibri" w:hAnsi="Verdana" w:cs="Arial"/>
          <w:b/>
          <w:bCs/>
          <w:color w:val="000000" w:themeColor="text1"/>
          <w:lang w:val="es-ES" w:eastAsia="es-ES"/>
        </w:rPr>
        <w:t>–</w:t>
      </w:r>
      <w:r w:rsidRPr="00054520">
        <w:rPr>
          <w:rFonts w:ascii="Verdana" w:eastAsia="Calibri" w:hAnsi="Verdana" w:cs="Arial"/>
          <w:b/>
          <w:bCs/>
          <w:color w:val="000000" w:themeColor="text1"/>
          <w:lang w:val="es-ES" w:eastAsia="es-ES"/>
        </w:rPr>
        <w:t xml:space="preserve"> Persona jurídica </w:t>
      </w:r>
    </w:p>
    <w:p w14:paraId="12E9F853" w14:textId="77777777" w:rsidR="008F08D7" w:rsidRDefault="008F08D7" w:rsidP="008F08D7">
      <w:pPr>
        <w:spacing w:after="0" w:line="240" w:lineRule="auto"/>
        <w:contextualSpacing/>
        <w:jc w:val="both"/>
        <w:rPr>
          <w:rFonts w:ascii="Verdana" w:eastAsia="Calibri" w:hAnsi="Verdana" w:cs="Arial"/>
          <w:b/>
          <w:bCs/>
          <w:color w:val="000000" w:themeColor="text1"/>
          <w:lang w:val="es-ES" w:eastAsia="es-ES"/>
        </w:rPr>
      </w:pPr>
    </w:p>
    <w:p w14:paraId="34E83975" w14:textId="77777777" w:rsidR="008F08D7" w:rsidRDefault="008F08D7" w:rsidP="008F08D7">
      <w:pPr>
        <w:widowControl w:val="0"/>
        <w:autoSpaceDE w:val="0"/>
        <w:autoSpaceDN w:val="0"/>
        <w:spacing w:after="0" w:line="240" w:lineRule="auto"/>
        <w:contextualSpacing/>
        <w:jc w:val="both"/>
        <w:rPr>
          <w:rFonts w:ascii="Verdana" w:eastAsia="Arial" w:hAnsi="Verdana" w:cs="Arial"/>
          <w:sz w:val="20"/>
          <w:szCs w:val="20"/>
          <w:lang w:val="es-ES"/>
        </w:rPr>
      </w:pPr>
      <w:r w:rsidRPr="001B5D97">
        <w:rPr>
          <w:rFonts w:ascii="Verdana" w:eastAsia="Arial" w:hAnsi="Verdana" w:cs="Arial"/>
          <w:sz w:val="20"/>
          <w:szCs w:val="20"/>
          <w:lang w:val="es-ES"/>
        </w:rPr>
        <w:t xml:space="preserve">[…] Se concluye de lo anterior que los proponentes que tengan la calidad de personas jurídicas, como las sociedades colombianas o las sociedades extranjeras con sucursal en Colombia, únicamente deberán acreditar el pago de los aportes de sus representantes legales cuando éstos cumplan con la condición de ser </w:t>
      </w:r>
      <w:r w:rsidRPr="001B5D97">
        <w:rPr>
          <w:rFonts w:ascii="Verdana" w:eastAsia="Arial" w:hAnsi="Verdana" w:cs="Arial"/>
          <w:i/>
          <w:iCs/>
          <w:sz w:val="20"/>
          <w:szCs w:val="20"/>
          <w:lang w:val="es-ES"/>
        </w:rPr>
        <w:t>empleados</w:t>
      </w:r>
      <w:r w:rsidRPr="001B5D97">
        <w:rPr>
          <w:rFonts w:ascii="Verdana" w:eastAsia="Arial" w:hAnsi="Verdana" w:cs="Arial"/>
          <w:sz w:val="20"/>
          <w:szCs w:val="20"/>
          <w:lang w:val="es-ES"/>
        </w:rPr>
        <w:t xml:space="preserve">, tal como lo exige el artículo 50 de la Ley 789 de 2002. En concordancia, no deberán acreditar dichos pagos con respecto a los representantes legales que cuenten con un tipo de vinculación distinta al contrato laboral, como es el caso de aquellos contratados mediante prestación de servicios. </w:t>
      </w:r>
    </w:p>
    <w:p w14:paraId="77B853E4" w14:textId="77777777" w:rsidR="008F08D7" w:rsidRPr="001B5D97" w:rsidRDefault="008F08D7" w:rsidP="008F08D7">
      <w:pPr>
        <w:widowControl w:val="0"/>
        <w:autoSpaceDE w:val="0"/>
        <w:autoSpaceDN w:val="0"/>
        <w:spacing w:after="0" w:line="240" w:lineRule="auto"/>
        <w:contextualSpacing/>
        <w:jc w:val="both"/>
        <w:rPr>
          <w:rFonts w:ascii="Verdana" w:eastAsia="Arial" w:hAnsi="Verdana" w:cs="Arial"/>
          <w:sz w:val="20"/>
          <w:szCs w:val="20"/>
          <w:lang w:val="es-ES"/>
        </w:rPr>
      </w:pPr>
    </w:p>
    <w:p w14:paraId="00CB1F25" w14:textId="77777777" w:rsidR="008F08D7" w:rsidRDefault="008F08D7" w:rsidP="008F08D7">
      <w:pPr>
        <w:widowControl w:val="0"/>
        <w:autoSpaceDE w:val="0"/>
        <w:autoSpaceDN w:val="0"/>
        <w:spacing w:after="0" w:line="240" w:lineRule="auto"/>
        <w:contextualSpacing/>
        <w:jc w:val="both"/>
        <w:rPr>
          <w:rFonts w:ascii="Verdana" w:eastAsia="Arial" w:hAnsi="Verdana" w:cs="Arial"/>
          <w:sz w:val="20"/>
          <w:szCs w:val="20"/>
          <w:lang w:val="es-ES"/>
        </w:rPr>
      </w:pPr>
      <w:r w:rsidRPr="001B5D97">
        <w:rPr>
          <w:rFonts w:ascii="Verdana" w:eastAsia="Arial" w:hAnsi="Verdana" w:cs="Arial"/>
          <w:sz w:val="20"/>
          <w:szCs w:val="20"/>
          <w:lang w:val="es-ES"/>
        </w:rPr>
        <w:t xml:space="preserve">[…] </w:t>
      </w:r>
    </w:p>
    <w:p w14:paraId="59D38387" w14:textId="77777777" w:rsidR="008F08D7" w:rsidRDefault="008F08D7" w:rsidP="008F08D7">
      <w:pPr>
        <w:widowControl w:val="0"/>
        <w:autoSpaceDE w:val="0"/>
        <w:autoSpaceDN w:val="0"/>
        <w:spacing w:after="0" w:line="240" w:lineRule="auto"/>
        <w:contextualSpacing/>
        <w:jc w:val="both"/>
        <w:rPr>
          <w:rFonts w:ascii="Verdana" w:eastAsia="Arial" w:hAnsi="Verdana" w:cs="Arial"/>
          <w:sz w:val="20"/>
          <w:szCs w:val="20"/>
          <w:lang w:val="es-ES"/>
        </w:rPr>
      </w:pPr>
    </w:p>
    <w:p w14:paraId="4BF104E9" w14:textId="0B7670D6" w:rsidR="008F08D7" w:rsidRDefault="008F08D7" w:rsidP="008F08D7">
      <w:pPr>
        <w:widowControl w:val="0"/>
        <w:autoSpaceDE w:val="0"/>
        <w:autoSpaceDN w:val="0"/>
        <w:spacing w:after="0" w:line="240" w:lineRule="auto"/>
        <w:contextualSpacing/>
        <w:jc w:val="both"/>
        <w:rPr>
          <w:rFonts w:ascii="Verdana" w:hAnsi="Verdana"/>
          <w:sz w:val="20"/>
          <w:szCs w:val="20"/>
          <w:shd w:val="clear" w:color="auto" w:fill="FFFFFF"/>
        </w:rPr>
      </w:pPr>
      <w:r w:rsidRPr="001B5D97">
        <w:rPr>
          <w:rStyle w:val="normaltextrun"/>
          <w:rFonts w:ascii="Verdana" w:hAnsi="Verdana"/>
          <w:sz w:val="20"/>
          <w:szCs w:val="20"/>
          <w:shd w:val="clear" w:color="auto" w:fill="FFFFFF"/>
          <w:lang w:val="es-ES"/>
        </w:rPr>
        <w:t xml:space="preserve">Finalmente, con respecto a los proponentes plurales, </w:t>
      </w:r>
      <w:r w:rsidRPr="001B5D97">
        <w:rPr>
          <w:rFonts w:ascii="Verdana" w:hAnsi="Verdana"/>
          <w:sz w:val="20"/>
          <w:szCs w:val="20"/>
          <w:shd w:val="clear" w:color="auto" w:fill="FFFFFF"/>
        </w:rPr>
        <w:t xml:space="preserve">se resalta que la obligación establecida en el artículo 50 </w:t>
      </w:r>
      <w:r w:rsidRPr="001B5D97">
        <w:rPr>
          <w:rFonts w:ascii="Verdana" w:eastAsia="Arial" w:hAnsi="Verdana" w:cs="Arial"/>
          <w:sz w:val="20"/>
          <w:szCs w:val="20"/>
          <w:lang w:val="es-ES"/>
        </w:rPr>
        <w:t>de</w:t>
      </w:r>
      <w:r w:rsidRPr="001B5D97">
        <w:rPr>
          <w:rFonts w:ascii="Verdana" w:eastAsia="Arial" w:hAnsi="Verdana" w:cs="Arial"/>
          <w:spacing w:val="-5"/>
          <w:sz w:val="20"/>
          <w:szCs w:val="20"/>
          <w:lang w:val="es-ES"/>
        </w:rPr>
        <w:t xml:space="preserve"> </w:t>
      </w:r>
      <w:r w:rsidRPr="001B5D97">
        <w:rPr>
          <w:rFonts w:ascii="Verdana" w:eastAsia="Arial" w:hAnsi="Verdana" w:cs="Arial"/>
          <w:sz w:val="20"/>
          <w:szCs w:val="20"/>
          <w:lang w:val="es-ES"/>
        </w:rPr>
        <w:t>la</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Ley</w:t>
      </w:r>
      <w:r w:rsidRPr="001B5D97">
        <w:rPr>
          <w:rFonts w:ascii="Verdana" w:eastAsia="Arial" w:hAnsi="Verdana" w:cs="Arial"/>
          <w:spacing w:val="-5"/>
          <w:sz w:val="20"/>
          <w:szCs w:val="20"/>
          <w:lang w:val="es-ES"/>
        </w:rPr>
        <w:t xml:space="preserve"> </w:t>
      </w:r>
      <w:r w:rsidRPr="001B5D97">
        <w:rPr>
          <w:rFonts w:ascii="Verdana" w:eastAsia="Arial" w:hAnsi="Verdana" w:cs="Arial"/>
          <w:sz w:val="20"/>
          <w:szCs w:val="20"/>
          <w:lang w:val="es-ES"/>
        </w:rPr>
        <w:t>789</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de</w:t>
      </w:r>
      <w:r w:rsidRPr="001B5D97">
        <w:rPr>
          <w:rFonts w:ascii="Verdana" w:eastAsia="Arial" w:hAnsi="Verdana" w:cs="Arial"/>
          <w:spacing w:val="-6"/>
          <w:sz w:val="20"/>
          <w:szCs w:val="20"/>
          <w:lang w:val="es-ES"/>
        </w:rPr>
        <w:t xml:space="preserve"> </w:t>
      </w:r>
      <w:r w:rsidRPr="001B5D97">
        <w:rPr>
          <w:rFonts w:ascii="Verdana" w:eastAsia="Arial" w:hAnsi="Verdana" w:cs="Arial"/>
          <w:sz w:val="20"/>
          <w:szCs w:val="20"/>
          <w:lang w:val="es-ES"/>
        </w:rPr>
        <w:t xml:space="preserve">2002 se refiere indistintamente a todo particular que pretenda </w:t>
      </w:r>
      <w:r w:rsidRPr="001B5D97">
        <w:rPr>
          <w:rFonts w:ascii="Verdana" w:eastAsia="Arial" w:hAnsi="Verdana" w:cs="Arial"/>
          <w:sz w:val="20"/>
          <w:szCs w:val="20"/>
        </w:rPr>
        <w:t>la celebración, renovación o liquidación de contratos con entidades del sector público.</w:t>
      </w:r>
      <w:r w:rsidRPr="001B5D97">
        <w:rPr>
          <w:rFonts w:ascii="Verdana" w:hAnsi="Verdana"/>
          <w:sz w:val="20"/>
          <w:szCs w:val="20"/>
          <w:shd w:val="clear" w:color="auto" w:fill="FFFFFF"/>
        </w:rPr>
        <w:t xml:space="preserve"> De esta manera, en el caso de consorcios o uniones temporales, </w:t>
      </w:r>
      <w:r w:rsidRPr="001B5D97">
        <w:rPr>
          <w:rFonts w:ascii="Verdana" w:hAnsi="Verdana"/>
          <w:i/>
          <w:iCs/>
          <w:sz w:val="20"/>
          <w:szCs w:val="20"/>
          <w:shd w:val="clear" w:color="auto" w:fill="FFFFFF"/>
        </w:rPr>
        <w:t xml:space="preserve">cada uno de sus miembros </w:t>
      </w:r>
      <w:r w:rsidRPr="001B5D97">
        <w:rPr>
          <w:rFonts w:ascii="Verdana" w:hAnsi="Verdana"/>
          <w:sz w:val="20"/>
          <w:szCs w:val="20"/>
          <w:shd w:val="clear" w:color="auto" w:fill="FFFFFF"/>
        </w:rPr>
        <w:t xml:space="preserve">deberá acreditar que se encuentra afiliado y al día en el pago de los aportes al Sistema de Seguridad Social y aportes parafiscales. Así, el cumplimiento de la obligación se acreditará dependiendo de la naturaleza jurídica de los integrantes, es decir, de si el miembro de la estructura plural es una persona natural o una persona jurídica. En </w:t>
      </w:r>
      <w:proofErr w:type="gramStart"/>
      <w:r w:rsidRPr="001B5D97">
        <w:rPr>
          <w:rFonts w:ascii="Verdana" w:hAnsi="Verdana"/>
          <w:sz w:val="20"/>
          <w:szCs w:val="20"/>
          <w:shd w:val="clear" w:color="auto" w:fill="FFFFFF"/>
        </w:rPr>
        <w:t>éste</w:t>
      </w:r>
      <w:proofErr w:type="gramEnd"/>
      <w:r w:rsidRPr="001B5D97">
        <w:rPr>
          <w:rFonts w:ascii="Verdana" w:hAnsi="Verdana"/>
          <w:sz w:val="20"/>
          <w:szCs w:val="20"/>
          <w:shd w:val="clear" w:color="auto" w:fill="FFFFFF"/>
        </w:rPr>
        <w:t xml:space="preserve"> último supuesto, será procedente la regla antes expuesta frente a la acreditación de los pagos de los representantes legales que cumplan con la condición de “empleados” de la persona jurídica. </w:t>
      </w:r>
    </w:p>
    <w:p w14:paraId="507904FA" w14:textId="77777777" w:rsidR="008F08D7" w:rsidRDefault="008F08D7" w:rsidP="008F08D7">
      <w:pPr>
        <w:widowControl w:val="0"/>
        <w:autoSpaceDE w:val="0"/>
        <w:autoSpaceDN w:val="0"/>
        <w:spacing w:after="0" w:line="240" w:lineRule="auto"/>
        <w:contextualSpacing/>
        <w:jc w:val="both"/>
        <w:rPr>
          <w:rFonts w:ascii="Verdana" w:hAnsi="Verdana"/>
          <w:sz w:val="20"/>
          <w:szCs w:val="20"/>
          <w:shd w:val="clear" w:color="auto" w:fill="FFFFFF"/>
        </w:rPr>
      </w:pPr>
    </w:p>
    <w:p w14:paraId="39ACA7B0" w14:textId="21765754" w:rsidR="008F08D7" w:rsidRDefault="008F08D7" w:rsidP="008F08D7">
      <w:pPr>
        <w:spacing w:after="0" w:line="240" w:lineRule="auto"/>
        <w:contextualSpacing/>
        <w:jc w:val="both"/>
        <w:rPr>
          <w:rFonts w:ascii="Verdana" w:hAnsi="Verdana" w:cs="Arial"/>
          <w:b/>
          <w:bCs/>
          <w:lang w:val="es-ES" w:eastAsia="es-ES_tradnl"/>
        </w:rPr>
      </w:pPr>
      <w:r w:rsidRPr="00054520">
        <w:rPr>
          <w:rFonts w:ascii="Verdana" w:hAnsi="Verdana" w:cs="Arial"/>
          <w:b/>
          <w:bCs/>
          <w:lang w:val="es-ES" w:eastAsia="es-ES_tradnl"/>
        </w:rPr>
        <w:t xml:space="preserve">SEGURIDAD SOCIAL </w:t>
      </w:r>
      <w:r w:rsidR="005A27D5" w:rsidRPr="005A27D5">
        <w:rPr>
          <w:rFonts w:ascii="Verdana" w:hAnsi="Verdana" w:cs="Arial"/>
          <w:b/>
          <w:bCs/>
          <w:lang w:val="es-ES" w:eastAsia="es-ES_tradnl"/>
        </w:rPr>
        <w:t>–</w:t>
      </w:r>
      <w:r w:rsidRPr="00054520">
        <w:rPr>
          <w:rFonts w:ascii="Verdana" w:hAnsi="Verdana" w:cs="Arial"/>
          <w:b/>
          <w:bCs/>
          <w:lang w:val="es-ES" w:eastAsia="es-ES_tradnl"/>
        </w:rPr>
        <w:t xml:space="preserve"> Verificación </w:t>
      </w:r>
      <w:r w:rsidR="005A27D5" w:rsidRPr="005A27D5">
        <w:rPr>
          <w:rFonts w:ascii="Verdana" w:hAnsi="Verdana" w:cs="Arial"/>
          <w:b/>
          <w:bCs/>
          <w:lang w:val="es-ES" w:eastAsia="es-ES_tradnl"/>
        </w:rPr>
        <w:t>–</w:t>
      </w:r>
      <w:r w:rsidRPr="00054520">
        <w:rPr>
          <w:rFonts w:ascii="Verdana" w:hAnsi="Verdana" w:cs="Arial"/>
          <w:b/>
          <w:bCs/>
          <w:lang w:val="es-ES" w:eastAsia="es-ES_tradnl"/>
        </w:rPr>
        <w:t xml:space="preserve"> Persona jurídica </w:t>
      </w:r>
      <w:r w:rsidR="005A27D5" w:rsidRPr="005A27D5">
        <w:rPr>
          <w:rFonts w:ascii="Verdana" w:hAnsi="Verdana" w:cs="Arial"/>
          <w:b/>
          <w:bCs/>
          <w:lang w:val="es-ES" w:eastAsia="es-ES_tradnl"/>
        </w:rPr>
        <w:t>–</w:t>
      </w:r>
      <w:r w:rsidRPr="00054520">
        <w:rPr>
          <w:rFonts w:ascii="Verdana" w:hAnsi="Verdana" w:cs="Arial"/>
          <w:b/>
          <w:bCs/>
          <w:lang w:val="es-ES" w:eastAsia="es-ES_tradnl"/>
        </w:rPr>
        <w:t xml:space="preserve"> Empleados </w:t>
      </w:r>
      <w:r w:rsidR="005A27D5" w:rsidRPr="005A27D5">
        <w:rPr>
          <w:rFonts w:ascii="Verdana" w:hAnsi="Verdana" w:cs="Arial"/>
          <w:b/>
          <w:bCs/>
          <w:lang w:val="es-ES" w:eastAsia="es-ES_tradnl"/>
        </w:rPr>
        <w:t>–</w:t>
      </w:r>
      <w:r w:rsidRPr="00054520">
        <w:rPr>
          <w:rFonts w:ascii="Verdana" w:hAnsi="Verdana" w:cs="Arial"/>
          <w:b/>
          <w:bCs/>
          <w:lang w:val="es-ES" w:eastAsia="es-ES_tradnl"/>
        </w:rPr>
        <w:t xml:space="preserve"> Prohibición de exigir planillas </w:t>
      </w:r>
    </w:p>
    <w:p w14:paraId="2FA9D39F" w14:textId="77777777" w:rsidR="008F08D7" w:rsidRDefault="008F08D7" w:rsidP="008F08D7">
      <w:pPr>
        <w:spacing w:after="0" w:line="240" w:lineRule="auto"/>
        <w:contextualSpacing/>
        <w:jc w:val="both"/>
        <w:rPr>
          <w:rFonts w:ascii="Verdana" w:hAnsi="Verdana" w:cs="Arial"/>
          <w:b/>
          <w:bCs/>
          <w:lang w:val="es-ES" w:eastAsia="es-ES_tradnl"/>
        </w:rPr>
      </w:pPr>
    </w:p>
    <w:p w14:paraId="21283595" w14:textId="77777777" w:rsidR="008F08D7" w:rsidRPr="00414A41" w:rsidRDefault="008F08D7" w:rsidP="008F08D7">
      <w:pPr>
        <w:spacing w:after="0" w:line="240" w:lineRule="auto"/>
        <w:contextualSpacing/>
        <w:jc w:val="both"/>
        <w:rPr>
          <w:rFonts w:ascii="Verdana" w:hAnsi="Verdana" w:cs="Arial"/>
          <w:b/>
          <w:bCs/>
          <w:sz w:val="20"/>
          <w:szCs w:val="20"/>
          <w:lang w:val="es-ES" w:eastAsia="es-ES_tradnl"/>
        </w:rPr>
      </w:pPr>
      <w:r w:rsidRPr="00414A41">
        <w:rPr>
          <w:rFonts w:ascii="Verdana" w:eastAsia="Arial" w:hAnsi="Verdana" w:cs="Arial"/>
          <w:sz w:val="20"/>
          <w:szCs w:val="20"/>
          <w:lang w:val="es-ES"/>
        </w:rPr>
        <w:t xml:space="preserve">En esta medida, el artículo 50 de la Ley 789 de 2002 dispone que las personas jurídicas deben acreditar el pago de los aportes de sus </w:t>
      </w:r>
      <w:r w:rsidRPr="00414A41">
        <w:rPr>
          <w:rFonts w:ascii="Verdana" w:eastAsia="Arial" w:hAnsi="Verdana" w:cs="Arial"/>
          <w:i/>
          <w:iCs/>
          <w:sz w:val="20"/>
          <w:szCs w:val="20"/>
          <w:lang w:val="es-ES"/>
        </w:rPr>
        <w:t>empleados</w:t>
      </w:r>
      <w:r w:rsidRPr="00414A41">
        <w:rPr>
          <w:rFonts w:ascii="Verdana" w:eastAsia="Arial" w:hAnsi="Verdana" w:cs="Arial"/>
          <w:sz w:val="20"/>
          <w:szCs w:val="20"/>
          <w:lang w:val="es-ES"/>
        </w:rPr>
        <w:t xml:space="preserve">, con lo que se refiere a aquellas personas que cuenten con una relación laboral en los términos de los artículos 22 y 23 del Código Sustantivo del Trabajo. Teniendo en cuenta que el artículo 84 de la </w:t>
      </w:r>
      <w:r w:rsidRPr="00414A41">
        <w:rPr>
          <w:rFonts w:ascii="Verdana" w:eastAsia="Arial" w:hAnsi="Verdana" w:cs="Arial"/>
          <w:sz w:val="20"/>
          <w:szCs w:val="20"/>
          <w:lang w:val="es-ES"/>
        </w:rPr>
        <w:lastRenderedPageBreak/>
        <w:t xml:space="preserve">Constitución Política dispone que “cuando un derecho o una actividad hayan sido reglamentados de manera general, las </w:t>
      </w:r>
      <w:proofErr w:type="gramStart"/>
      <w:r w:rsidRPr="00414A41">
        <w:rPr>
          <w:rFonts w:ascii="Verdana" w:eastAsia="Arial" w:hAnsi="Verdana" w:cs="Arial"/>
          <w:sz w:val="20"/>
          <w:szCs w:val="20"/>
          <w:lang w:val="es-ES"/>
        </w:rPr>
        <w:t>autoridades públicas</w:t>
      </w:r>
      <w:proofErr w:type="gramEnd"/>
      <w:r w:rsidRPr="00414A41">
        <w:rPr>
          <w:rFonts w:ascii="Verdana" w:eastAsia="Arial" w:hAnsi="Verdana" w:cs="Arial"/>
          <w:sz w:val="20"/>
          <w:szCs w:val="20"/>
          <w:lang w:val="es-ES"/>
        </w:rPr>
        <w:t xml:space="preserve"> no podrán establecer ni exigir permisos, licencias o requisitos adicionales para su ejercicio”, es posible señalar que la ley no exigió que las personas jurídicas acrediten el pago de los aportes de sus contratistas, ni aporten las planillas de pago.</w:t>
      </w:r>
    </w:p>
    <w:p w14:paraId="74E22067" w14:textId="77777777" w:rsidR="008F08D7" w:rsidRPr="001B5D97" w:rsidRDefault="008F08D7" w:rsidP="008F08D7">
      <w:pPr>
        <w:widowControl w:val="0"/>
        <w:autoSpaceDE w:val="0"/>
        <w:autoSpaceDN w:val="0"/>
        <w:spacing w:after="0" w:line="240" w:lineRule="auto"/>
        <w:contextualSpacing/>
        <w:jc w:val="both"/>
        <w:rPr>
          <w:rFonts w:ascii="Verdana" w:hAnsi="Verdana"/>
          <w:sz w:val="20"/>
          <w:szCs w:val="20"/>
          <w:shd w:val="clear" w:color="auto" w:fill="FFFFFF"/>
        </w:rPr>
      </w:pPr>
    </w:p>
    <w:p w14:paraId="26C08114" w14:textId="77777777" w:rsidR="008F08D7" w:rsidRPr="00414A41" w:rsidRDefault="008F08D7" w:rsidP="008F08D7">
      <w:pPr>
        <w:spacing w:after="0" w:line="240" w:lineRule="auto"/>
        <w:contextualSpacing/>
        <w:jc w:val="both"/>
        <w:rPr>
          <w:rFonts w:ascii="Verdana" w:eastAsia="Calibri" w:hAnsi="Verdana" w:cs="Arial"/>
          <w:b/>
          <w:bCs/>
          <w:color w:val="000000" w:themeColor="text1"/>
          <w:sz w:val="20"/>
          <w:szCs w:val="20"/>
          <w:lang w:val="es-ES" w:eastAsia="es-ES"/>
        </w:rPr>
      </w:pPr>
    </w:p>
    <w:p w14:paraId="409DC448" w14:textId="77777777" w:rsidR="008F08D7" w:rsidRPr="00054520" w:rsidRDefault="008F08D7" w:rsidP="008F08D7">
      <w:pPr>
        <w:spacing w:after="0" w:line="240" w:lineRule="auto"/>
        <w:contextualSpacing/>
        <w:jc w:val="both"/>
        <w:rPr>
          <w:rFonts w:ascii="Verdana" w:eastAsia="Calibri" w:hAnsi="Verdana" w:cs="Arial"/>
          <w:b/>
          <w:bCs/>
          <w:color w:val="000000" w:themeColor="text1"/>
          <w:lang w:val="es-ES" w:eastAsia="es-ES"/>
        </w:rPr>
      </w:pPr>
    </w:p>
    <w:p w14:paraId="56989175" w14:textId="77777777" w:rsidR="008F08D7" w:rsidRDefault="008F08D7" w:rsidP="0044771E">
      <w:pPr>
        <w:spacing w:after="0"/>
        <w:rPr>
          <w:rFonts w:ascii="Verdana" w:hAnsi="Verdana"/>
          <w:lang w:val="es-ES"/>
        </w:rPr>
      </w:pPr>
    </w:p>
    <w:p w14:paraId="4F702B25" w14:textId="77777777" w:rsidR="008F08D7" w:rsidRDefault="008F08D7" w:rsidP="0044771E">
      <w:pPr>
        <w:spacing w:after="0"/>
        <w:rPr>
          <w:rFonts w:ascii="Verdana" w:hAnsi="Verdana"/>
          <w:lang w:val="es-ES"/>
        </w:rPr>
      </w:pPr>
    </w:p>
    <w:p w14:paraId="708684F6" w14:textId="77777777" w:rsidR="008F08D7" w:rsidRDefault="008F08D7" w:rsidP="0044771E">
      <w:pPr>
        <w:spacing w:after="0"/>
        <w:rPr>
          <w:rFonts w:ascii="Verdana" w:hAnsi="Verdana"/>
          <w:lang w:val="es-ES"/>
        </w:rPr>
      </w:pPr>
    </w:p>
    <w:p w14:paraId="07EBE21E" w14:textId="77777777" w:rsidR="008F08D7" w:rsidRDefault="008F08D7" w:rsidP="0044771E">
      <w:pPr>
        <w:spacing w:after="0"/>
        <w:rPr>
          <w:rFonts w:ascii="Verdana" w:hAnsi="Verdana"/>
          <w:lang w:val="es-ES"/>
        </w:rPr>
      </w:pPr>
    </w:p>
    <w:p w14:paraId="7A70098F" w14:textId="77777777" w:rsidR="008F08D7" w:rsidRDefault="008F08D7" w:rsidP="0044771E">
      <w:pPr>
        <w:spacing w:after="0"/>
        <w:rPr>
          <w:rFonts w:ascii="Verdana" w:hAnsi="Verdana"/>
          <w:lang w:val="es-ES"/>
        </w:rPr>
      </w:pPr>
    </w:p>
    <w:p w14:paraId="2398A480" w14:textId="77777777" w:rsidR="008F08D7" w:rsidRDefault="008F08D7" w:rsidP="0044771E">
      <w:pPr>
        <w:spacing w:after="0"/>
        <w:rPr>
          <w:rFonts w:ascii="Verdana" w:hAnsi="Verdana"/>
          <w:lang w:val="es-ES"/>
        </w:rPr>
      </w:pPr>
    </w:p>
    <w:p w14:paraId="3607B0B8" w14:textId="77777777" w:rsidR="008F08D7" w:rsidRDefault="008F08D7" w:rsidP="0044771E">
      <w:pPr>
        <w:spacing w:after="0"/>
        <w:rPr>
          <w:rFonts w:ascii="Verdana" w:hAnsi="Verdana"/>
          <w:lang w:val="es-ES"/>
        </w:rPr>
      </w:pPr>
    </w:p>
    <w:p w14:paraId="60DD627F" w14:textId="77777777" w:rsidR="008F08D7" w:rsidRDefault="008F08D7" w:rsidP="0044771E">
      <w:pPr>
        <w:spacing w:after="0"/>
        <w:rPr>
          <w:rFonts w:ascii="Verdana" w:hAnsi="Verdana"/>
          <w:lang w:val="es-ES"/>
        </w:rPr>
      </w:pPr>
    </w:p>
    <w:p w14:paraId="50448160" w14:textId="77777777" w:rsidR="008F08D7" w:rsidRDefault="008F08D7" w:rsidP="0044771E">
      <w:pPr>
        <w:spacing w:after="0"/>
        <w:rPr>
          <w:rFonts w:ascii="Verdana" w:hAnsi="Verdana"/>
          <w:lang w:val="es-ES"/>
        </w:rPr>
      </w:pPr>
    </w:p>
    <w:p w14:paraId="5A8A8A28" w14:textId="77777777" w:rsidR="008F08D7" w:rsidRDefault="008F08D7" w:rsidP="0044771E">
      <w:pPr>
        <w:spacing w:after="0"/>
        <w:rPr>
          <w:rFonts w:ascii="Verdana" w:hAnsi="Verdana"/>
          <w:lang w:val="es-ES"/>
        </w:rPr>
      </w:pPr>
    </w:p>
    <w:p w14:paraId="114FE453" w14:textId="77777777" w:rsidR="008F08D7" w:rsidRDefault="008F08D7" w:rsidP="0044771E">
      <w:pPr>
        <w:spacing w:after="0"/>
        <w:rPr>
          <w:rFonts w:ascii="Verdana" w:hAnsi="Verdana"/>
          <w:lang w:val="es-ES"/>
        </w:rPr>
      </w:pPr>
    </w:p>
    <w:p w14:paraId="5FF950F7" w14:textId="77777777" w:rsidR="008F08D7" w:rsidRDefault="008F08D7" w:rsidP="0044771E">
      <w:pPr>
        <w:spacing w:after="0"/>
        <w:rPr>
          <w:rFonts w:ascii="Verdana" w:hAnsi="Verdana"/>
          <w:lang w:val="es-ES"/>
        </w:rPr>
      </w:pPr>
    </w:p>
    <w:p w14:paraId="012525F4" w14:textId="77777777" w:rsidR="008F08D7" w:rsidRDefault="008F08D7" w:rsidP="0044771E">
      <w:pPr>
        <w:spacing w:after="0"/>
        <w:rPr>
          <w:rFonts w:ascii="Verdana" w:hAnsi="Verdana"/>
          <w:lang w:val="es-ES"/>
        </w:rPr>
      </w:pPr>
    </w:p>
    <w:p w14:paraId="37622A67" w14:textId="77777777" w:rsidR="008F08D7" w:rsidRDefault="008F08D7" w:rsidP="0044771E">
      <w:pPr>
        <w:spacing w:after="0"/>
        <w:rPr>
          <w:rFonts w:ascii="Verdana" w:hAnsi="Verdana"/>
          <w:lang w:val="es-ES"/>
        </w:rPr>
      </w:pPr>
    </w:p>
    <w:p w14:paraId="71C84A70" w14:textId="77777777" w:rsidR="008F08D7" w:rsidRDefault="008F08D7" w:rsidP="0044771E">
      <w:pPr>
        <w:spacing w:after="0"/>
        <w:rPr>
          <w:rFonts w:ascii="Verdana" w:hAnsi="Verdana"/>
          <w:lang w:val="es-ES"/>
        </w:rPr>
      </w:pPr>
    </w:p>
    <w:p w14:paraId="4AC5C7E3" w14:textId="77777777" w:rsidR="008F08D7" w:rsidRDefault="008F08D7" w:rsidP="0044771E">
      <w:pPr>
        <w:spacing w:after="0"/>
        <w:rPr>
          <w:rFonts w:ascii="Verdana" w:hAnsi="Verdana"/>
          <w:lang w:val="es-ES"/>
        </w:rPr>
      </w:pPr>
    </w:p>
    <w:p w14:paraId="21BA8D59" w14:textId="77777777" w:rsidR="008F08D7" w:rsidRDefault="008F08D7" w:rsidP="0044771E">
      <w:pPr>
        <w:spacing w:after="0"/>
        <w:rPr>
          <w:rFonts w:ascii="Verdana" w:hAnsi="Verdana"/>
          <w:lang w:val="es-ES"/>
        </w:rPr>
      </w:pPr>
    </w:p>
    <w:p w14:paraId="3AFBA030" w14:textId="77777777" w:rsidR="008F08D7" w:rsidRDefault="008F08D7" w:rsidP="0044771E">
      <w:pPr>
        <w:spacing w:after="0"/>
        <w:rPr>
          <w:rFonts w:ascii="Verdana" w:hAnsi="Verdana"/>
          <w:lang w:val="es-ES"/>
        </w:rPr>
      </w:pPr>
    </w:p>
    <w:p w14:paraId="6072ABCC" w14:textId="77777777" w:rsidR="008F08D7" w:rsidRDefault="008F08D7" w:rsidP="0044771E">
      <w:pPr>
        <w:spacing w:after="0"/>
        <w:rPr>
          <w:rFonts w:ascii="Verdana" w:hAnsi="Verdana"/>
          <w:lang w:val="es-ES"/>
        </w:rPr>
      </w:pPr>
    </w:p>
    <w:p w14:paraId="67AC8992" w14:textId="77777777" w:rsidR="008F08D7" w:rsidRDefault="008F08D7" w:rsidP="0044771E">
      <w:pPr>
        <w:spacing w:after="0"/>
        <w:rPr>
          <w:rFonts w:ascii="Verdana" w:hAnsi="Verdana"/>
          <w:lang w:val="es-ES"/>
        </w:rPr>
      </w:pPr>
    </w:p>
    <w:p w14:paraId="1FCAAC78" w14:textId="77777777" w:rsidR="008F08D7" w:rsidRDefault="008F08D7" w:rsidP="0044771E">
      <w:pPr>
        <w:spacing w:after="0"/>
        <w:rPr>
          <w:rFonts w:ascii="Verdana" w:hAnsi="Verdana"/>
          <w:lang w:val="es-ES"/>
        </w:rPr>
      </w:pPr>
    </w:p>
    <w:p w14:paraId="70E9E513" w14:textId="77777777" w:rsidR="008F08D7" w:rsidRDefault="008F08D7" w:rsidP="0044771E">
      <w:pPr>
        <w:spacing w:after="0"/>
        <w:rPr>
          <w:rFonts w:ascii="Verdana" w:hAnsi="Verdana"/>
          <w:lang w:val="es-ES"/>
        </w:rPr>
      </w:pPr>
    </w:p>
    <w:p w14:paraId="7A822258" w14:textId="77777777" w:rsidR="008F08D7" w:rsidRDefault="008F08D7" w:rsidP="0044771E">
      <w:pPr>
        <w:spacing w:after="0"/>
        <w:rPr>
          <w:rFonts w:ascii="Verdana" w:hAnsi="Verdana"/>
          <w:lang w:val="es-ES"/>
        </w:rPr>
      </w:pPr>
    </w:p>
    <w:p w14:paraId="75BBC5CC" w14:textId="77777777" w:rsidR="008F08D7" w:rsidRDefault="008F08D7" w:rsidP="0044771E">
      <w:pPr>
        <w:spacing w:after="0"/>
        <w:rPr>
          <w:rFonts w:ascii="Verdana" w:hAnsi="Verdana"/>
          <w:lang w:val="es-ES"/>
        </w:rPr>
      </w:pPr>
    </w:p>
    <w:p w14:paraId="7D27096D" w14:textId="77777777" w:rsidR="008F08D7" w:rsidRDefault="008F08D7" w:rsidP="0044771E">
      <w:pPr>
        <w:spacing w:after="0"/>
        <w:rPr>
          <w:rFonts w:ascii="Verdana" w:hAnsi="Verdana"/>
          <w:lang w:val="es-ES"/>
        </w:rPr>
      </w:pPr>
    </w:p>
    <w:p w14:paraId="1CC21087" w14:textId="77777777" w:rsidR="008F08D7" w:rsidRDefault="008F08D7" w:rsidP="0044771E">
      <w:pPr>
        <w:spacing w:after="0"/>
        <w:rPr>
          <w:rFonts w:ascii="Verdana" w:hAnsi="Verdana"/>
          <w:lang w:val="es-ES"/>
        </w:rPr>
      </w:pPr>
    </w:p>
    <w:p w14:paraId="26E9BFD7" w14:textId="77777777" w:rsidR="008F08D7" w:rsidRDefault="008F08D7" w:rsidP="0044771E">
      <w:pPr>
        <w:spacing w:after="0"/>
        <w:rPr>
          <w:rFonts w:ascii="Verdana" w:hAnsi="Verdana"/>
          <w:lang w:val="es-ES"/>
        </w:rPr>
      </w:pPr>
    </w:p>
    <w:p w14:paraId="47984804" w14:textId="77777777" w:rsidR="008F08D7" w:rsidRDefault="008F08D7" w:rsidP="0044771E">
      <w:pPr>
        <w:spacing w:after="0"/>
        <w:rPr>
          <w:rFonts w:ascii="Verdana" w:hAnsi="Verdana"/>
          <w:lang w:val="es-ES"/>
        </w:rPr>
      </w:pPr>
    </w:p>
    <w:p w14:paraId="4735FB67" w14:textId="77777777" w:rsidR="008F08D7" w:rsidRDefault="008F08D7" w:rsidP="0044771E">
      <w:pPr>
        <w:spacing w:after="0"/>
        <w:rPr>
          <w:rFonts w:ascii="Verdana" w:hAnsi="Verdana"/>
          <w:lang w:val="es-ES"/>
        </w:rPr>
      </w:pPr>
    </w:p>
    <w:p w14:paraId="32A76DD6" w14:textId="77777777" w:rsidR="008F08D7" w:rsidRDefault="008F08D7" w:rsidP="0044771E">
      <w:pPr>
        <w:spacing w:after="0"/>
        <w:rPr>
          <w:rFonts w:ascii="Verdana" w:hAnsi="Verdana"/>
          <w:lang w:val="es-ES"/>
        </w:rPr>
      </w:pPr>
    </w:p>
    <w:p w14:paraId="56C036C5" w14:textId="77777777" w:rsidR="008F08D7" w:rsidRDefault="008F08D7" w:rsidP="0044771E">
      <w:pPr>
        <w:spacing w:after="0"/>
        <w:rPr>
          <w:rFonts w:ascii="Verdana" w:hAnsi="Verdana"/>
          <w:lang w:val="es-ES"/>
        </w:rPr>
      </w:pPr>
    </w:p>
    <w:p w14:paraId="44D939DE" w14:textId="77777777" w:rsidR="005A27D5" w:rsidRDefault="005A27D5" w:rsidP="0044771E">
      <w:pPr>
        <w:spacing w:after="0"/>
        <w:rPr>
          <w:rFonts w:ascii="Verdana" w:hAnsi="Verdana"/>
          <w:lang w:val="es-ES"/>
        </w:rPr>
      </w:pPr>
    </w:p>
    <w:p w14:paraId="44FF9565" w14:textId="37D6C1E5" w:rsidR="0044771E" w:rsidRPr="00E10433" w:rsidRDefault="0044771E" w:rsidP="0044771E">
      <w:pPr>
        <w:spacing w:after="0"/>
        <w:rPr>
          <w:rFonts w:ascii="Verdana" w:hAnsi="Verdana"/>
          <w:lang w:val="es-ES"/>
        </w:rPr>
      </w:pPr>
      <w:r w:rsidRPr="00E10433">
        <w:rPr>
          <w:rFonts w:ascii="Verdana" w:hAnsi="Verdana"/>
          <w:lang w:val="es-ES"/>
        </w:rPr>
        <w:lastRenderedPageBreak/>
        <w:t xml:space="preserve">Bogotá D.C., </w:t>
      </w:r>
      <w:r w:rsidR="008F08D7">
        <w:rPr>
          <w:rFonts w:ascii="Verdana" w:hAnsi="Verdana"/>
          <w:lang w:val="es-ES"/>
        </w:rPr>
        <w:t>13 de mayo de 2026</w:t>
      </w:r>
    </w:p>
    <w:p w14:paraId="1C131F08" w14:textId="7D7CA0C8" w:rsidR="0044771E" w:rsidRPr="00E10433" w:rsidRDefault="008F08D7" w:rsidP="0044771E">
      <w:pPr>
        <w:spacing w:after="0"/>
        <w:rPr>
          <w:rFonts w:ascii="Verdana" w:hAnsi="Verdana"/>
          <w:lang w:val="es-ES"/>
        </w:rPr>
      </w:pPr>
      <w:r>
        <w:rPr>
          <w:rFonts w:ascii="Verdana" w:hAnsi="Verdana"/>
          <w:noProof/>
          <w:lang w:val="es-ES"/>
        </w:rPr>
        <w:drawing>
          <wp:anchor distT="0" distB="0" distL="114300" distR="114300" simplePos="0" relativeHeight="251659264" behindDoc="0" locked="0" layoutInCell="1" allowOverlap="1" wp14:anchorId="037F3F4D" wp14:editId="7A1983FA">
            <wp:simplePos x="0" y="0"/>
            <wp:positionH relativeFrom="column">
              <wp:posOffset>2585085</wp:posOffset>
            </wp:positionH>
            <wp:positionV relativeFrom="paragraph">
              <wp:posOffset>96520</wp:posOffset>
            </wp:positionV>
            <wp:extent cx="2871470" cy="802640"/>
            <wp:effectExtent l="0" t="0" r="5080" b="0"/>
            <wp:wrapSquare wrapText="bothSides"/>
            <wp:docPr id="278607612" name="Picture 1" descr="A close-up of a white c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607612" name="Picture 1" descr="A close-up of a white card&#10;&#10;Description automatically generated"/>
                    <pic:cNvPicPr/>
                  </pic:nvPicPr>
                  <pic:blipFill>
                    <a:blip r:embed="rId11">
                      <a:extLst>
                        <a:ext uri="{28A0092B-C50C-407E-A947-70E740481C1C}">
                          <a14:useLocalDpi xmlns:a14="http://schemas.microsoft.com/office/drawing/2010/main" val="0"/>
                        </a:ext>
                      </a:extLst>
                    </a:blip>
                    <a:stretch>
                      <a:fillRect/>
                    </a:stretch>
                  </pic:blipFill>
                  <pic:spPr>
                    <a:xfrm>
                      <a:off x="0" y="0"/>
                      <a:ext cx="2871470" cy="802640"/>
                    </a:xfrm>
                    <a:prstGeom prst="rect">
                      <a:avLst/>
                    </a:prstGeom>
                  </pic:spPr>
                </pic:pic>
              </a:graphicData>
            </a:graphic>
            <wp14:sizeRelH relativeFrom="page">
              <wp14:pctWidth>0</wp14:pctWidth>
            </wp14:sizeRelH>
            <wp14:sizeRelV relativeFrom="page">
              <wp14:pctHeight>0</wp14:pctHeight>
            </wp14:sizeRelV>
          </wp:anchor>
        </w:drawing>
      </w:r>
    </w:p>
    <w:p w14:paraId="249A397E" w14:textId="329AF382" w:rsidR="0044771E" w:rsidRPr="00E10433" w:rsidRDefault="0044771E" w:rsidP="0044771E">
      <w:pPr>
        <w:spacing w:after="0" w:line="240" w:lineRule="auto"/>
        <w:rPr>
          <w:rFonts w:ascii="Verdana" w:hAnsi="Verdana"/>
          <w:lang w:val="es-ES"/>
        </w:rPr>
      </w:pPr>
      <w:bookmarkStart w:id="0" w:name="_Hlk143780582"/>
      <w:r w:rsidRPr="00E10433">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4B9C6A78" w14:textId="4E42A129" w:rsidR="0044771E" w:rsidRPr="00AA309B" w:rsidRDefault="0044771E" w:rsidP="79D18F0F">
      <w:pPr>
        <w:spacing w:after="0"/>
        <w:rPr>
          <w:rFonts w:ascii="Verdana" w:eastAsia="Calibri" w:hAnsi="Verdana" w:cs="Arial"/>
          <w:b/>
          <w:bCs/>
          <w:color w:val="000000" w:themeColor="text1"/>
          <w:lang w:eastAsia="es-ES"/>
        </w:rPr>
      </w:pPr>
      <w:r w:rsidRPr="00AA309B">
        <w:rPr>
          <w:rFonts w:ascii="Verdana" w:eastAsia="Calibri" w:hAnsi="Verdana" w:cs="Arial"/>
          <w:b/>
          <w:bCs/>
          <w:color w:val="000000" w:themeColor="text1"/>
          <w:lang w:eastAsia="es-ES"/>
        </w:rPr>
        <w:t xml:space="preserve">Isabela Meza Bedoya </w:t>
      </w:r>
    </w:p>
    <w:p w14:paraId="4AAD5350" w14:textId="77777777" w:rsidR="0044771E" w:rsidRPr="004E2DF2" w:rsidRDefault="0044771E" w:rsidP="0044771E">
      <w:pPr>
        <w:spacing w:after="0"/>
        <w:rPr>
          <w:rFonts w:ascii="Verdana" w:eastAsia="Calibri" w:hAnsi="Verdana" w:cs="Arial"/>
          <w:color w:val="000000" w:themeColor="text1"/>
          <w:lang w:eastAsia="es-ES"/>
        </w:rPr>
      </w:pPr>
      <w:hyperlink r:id="rId12" w:history="1">
        <w:r w:rsidRPr="004E2DF2">
          <w:rPr>
            <w:rStyle w:val="Hipervnculo"/>
            <w:rFonts w:ascii="Verdana" w:eastAsia="Calibri" w:hAnsi="Verdana" w:cs="Arial"/>
            <w:lang w:eastAsia="es-ES"/>
          </w:rPr>
          <w:t>imezabedoya@gmail.com</w:t>
        </w:r>
      </w:hyperlink>
      <w:r>
        <w:rPr>
          <w:rFonts w:ascii="Verdana" w:eastAsia="Calibri" w:hAnsi="Verdana" w:cs="Arial"/>
          <w:color w:val="000000" w:themeColor="text1"/>
          <w:lang w:eastAsia="es-ES"/>
        </w:rPr>
        <w:t xml:space="preserve"> </w:t>
      </w:r>
      <w:r w:rsidRPr="004E2DF2">
        <w:rPr>
          <w:rFonts w:ascii="Verdana" w:eastAsia="Calibri" w:hAnsi="Verdana" w:cs="Arial"/>
          <w:color w:val="000000" w:themeColor="text1"/>
          <w:lang w:eastAsia="es-ES"/>
        </w:rPr>
        <w:t xml:space="preserve"> </w:t>
      </w:r>
    </w:p>
    <w:p w14:paraId="7661F61B" w14:textId="77777777" w:rsidR="0044771E" w:rsidRPr="00E10433" w:rsidRDefault="0044771E" w:rsidP="0044771E">
      <w:pPr>
        <w:spacing w:after="0" w:line="240" w:lineRule="auto"/>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Bogotá D.C.</w:t>
      </w:r>
    </w:p>
    <w:tbl>
      <w:tblPr>
        <w:tblStyle w:val="Tablaconcuadrcula"/>
        <w:tblW w:w="8510"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100"/>
      </w:tblGrid>
      <w:tr w:rsidR="0044771E" w:rsidRPr="00E10433" w14:paraId="43991A12" w14:textId="77777777">
        <w:trPr>
          <w:trHeight w:val="300"/>
        </w:trPr>
        <w:tc>
          <w:tcPr>
            <w:tcW w:w="2410" w:type="dxa"/>
          </w:tcPr>
          <w:p w14:paraId="272B660B" w14:textId="77777777" w:rsidR="0044771E" w:rsidRPr="00E10433" w:rsidRDefault="0044771E">
            <w:pPr>
              <w:ind w:left="-142"/>
              <w:jc w:val="both"/>
              <w:rPr>
                <w:rFonts w:ascii="Verdana" w:eastAsia="Calibri" w:hAnsi="Verdana" w:cs="Arial"/>
                <w:b/>
                <w:bCs/>
                <w:color w:val="000000" w:themeColor="text1"/>
                <w:lang w:val="es-ES" w:eastAsia="es-ES_tradnl"/>
              </w:rPr>
            </w:pPr>
          </w:p>
        </w:tc>
        <w:tc>
          <w:tcPr>
            <w:tcW w:w="6100" w:type="dxa"/>
          </w:tcPr>
          <w:p w14:paraId="46F66DC4" w14:textId="77777777" w:rsidR="0044771E" w:rsidRPr="00E10433" w:rsidRDefault="0044771E">
            <w:pPr>
              <w:ind w:left="3"/>
              <w:jc w:val="both"/>
              <w:rPr>
                <w:rFonts w:ascii="Verdana" w:eastAsia="Calibri" w:hAnsi="Verdana" w:cs="Arial"/>
                <w:b/>
                <w:bCs/>
                <w:color w:val="000000" w:themeColor="text1"/>
                <w:lang w:val="es-ES" w:eastAsia="es-ES"/>
              </w:rPr>
            </w:pPr>
          </w:p>
          <w:p w14:paraId="76DDD3C3" w14:textId="34B7585E" w:rsidR="0044771E" w:rsidRPr="00E10433" w:rsidRDefault="0044771E">
            <w:pPr>
              <w:ind w:left="3"/>
              <w:jc w:val="both"/>
              <w:rPr>
                <w:rFonts w:ascii="Verdana" w:eastAsia="Calibri" w:hAnsi="Verdana" w:cs="Arial"/>
                <w:b/>
                <w:bCs/>
                <w:color w:val="000000" w:themeColor="text1"/>
                <w:lang w:val="es-ES" w:eastAsia="es-ES"/>
              </w:rPr>
            </w:pPr>
            <w:r w:rsidRPr="00E10433">
              <w:rPr>
                <w:rFonts w:ascii="Verdana" w:eastAsia="Calibri" w:hAnsi="Verdana" w:cs="Arial"/>
                <w:b/>
                <w:bCs/>
                <w:color w:val="000000" w:themeColor="text1"/>
                <w:lang w:val="es-ES" w:eastAsia="es-ES"/>
              </w:rPr>
              <w:t>Concepto C</w:t>
            </w:r>
            <w:r>
              <w:rPr>
                <w:rFonts w:ascii="Verdana" w:eastAsia="Calibri" w:hAnsi="Verdana" w:cs="Arial"/>
                <w:b/>
                <w:bCs/>
                <w:color w:val="000000" w:themeColor="text1"/>
                <w:lang w:val="es-ES" w:eastAsia="es-ES"/>
              </w:rPr>
              <w:t>-</w:t>
            </w:r>
            <w:r w:rsidR="00E6693B">
              <w:rPr>
                <w:rFonts w:ascii="Verdana" w:eastAsia="Calibri" w:hAnsi="Verdana" w:cs="Arial"/>
                <w:b/>
                <w:bCs/>
                <w:color w:val="000000" w:themeColor="text1"/>
                <w:lang w:val="es-ES" w:eastAsia="es-ES"/>
              </w:rPr>
              <w:t>536</w:t>
            </w:r>
            <w:r w:rsidRPr="00E10433">
              <w:rPr>
                <w:rFonts w:ascii="Verdana" w:eastAsia="Calibri" w:hAnsi="Verdana" w:cs="Arial"/>
                <w:b/>
                <w:bCs/>
                <w:color w:val="000000" w:themeColor="text1"/>
                <w:lang w:val="es-ES" w:eastAsia="es-ES"/>
              </w:rPr>
              <w:t xml:space="preserve"> de 2026</w:t>
            </w:r>
          </w:p>
          <w:p w14:paraId="3711DEB2" w14:textId="77777777" w:rsidR="0044771E" w:rsidRPr="00E10433" w:rsidRDefault="0044771E">
            <w:pPr>
              <w:ind w:left="3"/>
              <w:jc w:val="both"/>
              <w:rPr>
                <w:rFonts w:ascii="Verdana" w:eastAsia="Calibri" w:hAnsi="Verdana" w:cs="Arial"/>
                <w:b/>
                <w:bCs/>
                <w:color w:val="000000" w:themeColor="text1"/>
                <w:lang w:val="es-ES" w:eastAsia="es-ES"/>
              </w:rPr>
            </w:pPr>
          </w:p>
        </w:tc>
      </w:tr>
      <w:tr w:rsidR="0044771E" w:rsidRPr="00E10433" w14:paraId="7B5A963D" w14:textId="77777777">
        <w:trPr>
          <w:trHeight w:val="300"/>
        </w:trPr>
        <w:tc>
          <w:tcPr>
            <w:tcW w:w="2410" w:type="dxa"/>
          </w:tcPr>
          <w:p w14:paraId="638A0259" w14:textId="77777777" w:rsidR="0044771E" w:rsidRPr="00E10433" w:rsidRDefault="0044771E">
            <w:pPr>
              <w:ind w:left="424" w:firstLine="142"/>
              <w:jc w:val="both"/>
              <w:rPr>
                <w:rFonts w:ascii="Verdana" w:eastAsia="Calibri" w:hAnsi="Verdana" w:cs="Arial"/>
                <w:color w:val="000000" w:themeColor="text1"/>
                <w:lang w:val="es-ES" w:eastAsia="es-ES_tradnl"/>
              </w:rPr>
            </w:pPr>
            <w:r w:rsidRPr="00E10433">
              <w:rPr>
                <w:rFonts w:ascii="Verdana" w:eastAsia="Calibri" w:hAnsi="Verdana" w:cs="Arial"/>
                <w:b/>
                <w:color w:val="000000" w:themeColor="text1"/>
                <w:lang w:val="es-ES" w:eastAsia="es-ES_tradnl"/>
              </w:rPr>
              <w:t>Temas:</w:t>
            </w:r>
            <w:r w:rsidRPr="00E10433">
              <w:rPr>
                <w:rFonts w:ascii="Verdana" w:eastAsia="Calibri" w:hAnsi="Verdana" w:cs="Arial"/>
                <w:color w:val="000000" w:themeColor="text1"/>
                <w:lang w:val="es-ES" w:eastAsia="es-ES_tradnl"/>
              </w:rPr>
              <w:t xml:space="preserve">                  </w:t>
            </w:r>
          </w:p>
        </w:tc>
        <w:tc>
          <w:tcPr>
            <w:tcW w:w="6100" w:type="dxa"/>
          </w:tcPr>
          <w:p w14:paraId="4088FA0E" w14:textId="77777777" w:rsidR="0044771E" w:rsidRDefault="0044771E">
            <w:pPr>
              <w:jc w:val="both"/>
              <w:rPr>
                <w:rFonts w:ascii="Verdana" w:hAnsi="Verdana" w:cs="Arial"/>
                <w:bCs/>
                <w:lang w:val="es-ES" w:eastAsia="es-ES_tradnl"/>
              </w:rPr>
            </w:pPr>
            <w:r>
              <w:rPr>
                <w:rFonts w:ascii="Verdana" w:eastAsia="Calibri" w:hAnsi="Verdana" w:cs="Arial"/>
                <w:color w:val="000000" w:themeColor="text1"/>
                <w:lang w:val="es-ES" w:eastAsia="es-ES"/>
              </w:rPr>
              <w:t>SISTEMA</w:t>
            </w:r>
            <w:r w:rsidRPr="00B66299">
              <w:rPr>
                <w:rFonts w:ascii="Verdana" w:eastAsia="Calibri" w:hAnsi="Verdana" w:cs="Arial"/>
                <w:color w:val="000000" w:themeColor="text1"/>
                <w:lang w:val="es-ES" w:eastAsia="es-ES"/>
              </w:rPr>
              <w:t xml:space="preserve"> DE</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xml:space="preserve">SEGURIDAD SOCIAL INTEGRAL – </w:t>
            </w:r>
            <w:r>
              <w:rPr>
                <w:rFonts w:ascii="Verdana" w:eastAsia="Calibri" w:hAnsi="Verdana" w:cs="Arial"/>
                <w:color w:val="000000" w:themeColor="text1"/>
                <w:lang w:val="es-ES" w:eastAsia="es-ES"/>
              </w:rPr>
              <w:t xml:space="preserve">Obligaciones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Contratación Estatal</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 SEGURIDAD SOCIAL ― Verificación ― Persona natural ― Persona jurídica</w:t>
            </w:r>
            <w:r>
              <w:rPr>
                <w:rFonts w:ascii="Verdana" w:eastAsia="Calibri" w:hAnsi="Verdana" w:cs="Arial"/>
                <w:color w:val="000000" w:themeColor="text1"/>
                <w:lang w:val="es-ES" w:eastAsia="es-ES"/>
              </w:rPr>
              <w:t xml:space="preserve"> </w:t>
            </w:r>
            <w:r w:rsidRPr="00B66299">
              <w:rPr>
                <w:rFonts w:ascii="Verdana" w:eastAsia="Calibri" w:hAnsi="Verdana" w:cs="Arial"/>
                <w:color w:val="000000" w:themeColor="text1"/>
                <w:lang w:val="es-ES" w:eastAsia="es-ES"/>
              </w:rPr>
              <w:t>/</w:t>
            </w:r>
            <w:r>
              <w:rPr>
                <w:rFonts w:ascii="Verdana" w:eastAsia="Calibri" w:hAnsi="Verdana" w:cs="Arial"/>
                <w:color w:val="000000" w:themeColor="text1"/>
                <w:lang w:val="es-ES" w:eastAsia="es-ES"/>
              </w:rPr>
              <w:t xml:space="preserve"> </w:t>
            </w:r>
            <w:r w:rsidRPr="003D2146">
              <w:rPr>
                <w:rFonts w:ascii="Verdana" w:hAnsi="Verdana" w:cs="Arial"/>
                <w:bCs/>
                <w:lang w:val="es-ES" w:eastAsia="es-ES_tradnl"/>
              </w:rPr>
              <w:t xml:space="preserve">SEGURIDAD SOCIAL ― Verificación ― </w:t>
            </w:r>
            <w:r>
              <w:rPr>
                <w:rFonts w:ascii="Verdana" w:hAnsi="Verdana" w:cs="Arial"/>
                <w:bCs/>
                <w:lang w:val="es-ES" w:eastAsia="es-ES_tradnl"/>
              </w:rPr>
              <w:t xml:space="preserve">Persona jurídica </w:t>
            </w:r>
            <w:r w:rsidRPr="003D2146">
              <w:rPr>
                <w:rFonts w:ascii="Verdana" w:hAnsi="Verdana" w:cs="Arial"/>
                <w:bCs/>
                <w:lang w:val="es-ES" w:eastAsia="es-ES_tradnl"/>
              </w:rPr>
              <w:t xml:space="preserve">― </w:t>
            </w:r>
            <w:r>
              <w:rPr>
                <w:rFonts w:ascii="Verdana" w:hAnsi="Verdana" w:cs="Arial"/>
                <w:bCs/>
                <w:lang w:val="es-ES" w:eastAsia="es-ES_tradnl"/>
              </w:rPr>
              <w:t xml:space="preserve">Empleados </w:t>
            </w:r>
            <w:r w:rsidRPr="003D2146">
              <w:rPr>
                <w:rFonts w:ascii="Verdana" w:hAnsi="Verdana" w:cs="Arial"/>
                <w:bCs/>
                <w:lang w:val="es-ES" w:eastAsia="es-ES_tradnl"/>
              </w:rPr>
              <w:t>―</w:t>
            </w:r>
            <w:r>
              <w:rPr>
                <w:rFonts w:ascii="Verdana" w:hAnsi="Verdana" w:cs="Arial"/>
                <w:bCs/>
                <w:lang w:val="es-ES" w:eastAsia="es-ES_tradnl"/>
              </w:rPr>
              <w:t xml:space="preserve"> </w:t>
            </w:r>
            <w:r w:rsidRPr="003D2146">
              <w:rPr>
                <w:rFonts w:ascii="Verdana" w:hAnsi="Verdana" w:cs="Arial"/>
                <w:bCs/>
                <w:lang w:val="es-ES" w:eastAsia="es-ES_tradnl"/>
              </w:rPr>
              <w:t>Prohibición de exigir planillas</w:t>
            </w:r>
          </w:p>
          <w:p w14:paraId="61EDD03D" w14:textId="77777777" w:rsidR="0044771E" w:rsidRPr="00E10433" w:rsidRDefault="0044771E">
            <w:pPr>
              <w:jc w:val="both"/>
              <w:rPr>
                <w:rFonts w:ascii="Verdana" w:eastAsia="Calibri" w:hAnsi="Verdana" w:cs="Arial"/>
                <w:color w:val="000000" w:themeColor="text1"/>
                <w:lang w:val="es-ES" w:eastAsia="es-ES"/>
              </w:rPr>
            </w:pPr>
          </w:p>
        </w:tc>
      </w:tr>
      <w:tr w:rsidR="0044771E" w:rsidRPr="00E10433" w14:paraId="72AC77E7" w14:textId="77777777">
        <w:tc>
          <w:tcPr>
            <w:tcW w:w="2410" w:type="dxa"/>
          </w:tcPr>
          <w:p w14:paraId="5D429972" w14:textId="77777777" w:rsidR="0044771E" w:rsidRPr="00E10433" w:rsidRDefault="0044771E">
            <w:pPr>
              <w:ind w:left="561"/>
              <w:jc w:val="both"/>
              <w:rPr>
                <w:rFonts w:ascii="Verdana" w:eastAsia="Calibri" w:hAnsi="Verdana" w:cs="Arial"/>
                <w:b/>
                <w:color w:val="000000" w:themeColor="text1"/>
                <w:lang w:val="es-ES" w:eastAsia="es-ES_tradnl"/>
              </w:rPr>
            </w:pPr>
            <w:r w:rsidRPr="00E10433">
              <w:rPr>
                <w:rFonts w:ascii="Verdana" w:eastAsia="Calibri" w:hAnsi="Verdana" w:cs="Arial"/>
                <w:b/>
                <w:color w:val="000000" w:themeColor="text1"/>
                <w:lang w:val="es-ES" w:eastAsia="es-ES_tradnl"/>
              </w:rPr>
              <w:t>Radicación:</w:t>
            </w:r>
            <w:r w:rsidRPr="00E10433">
              <w:rPr>
                <w:rFonts w:ascii="Verdana" w:eastAsia="Calibri" w:hAnsi="Verdana" w:cs="Arial"/>
                <w:color w:val="000000" w:themeColor="text1"/>
                <w:lang w:val="es-ES" w:eastAsia="es-ES_tradnl"/>
              </w:rPr>
              <w:t xml:space="preserve">              </w:t>
            </w:r>
          </w:p>
        </w:tc>
        <w:tc>
          <w:tcPr>
            <w:tcW w:w="6100" w:type="dxa"/>
          </w:tcPr>
          <w:p w14:paraId="5F058AD8" w14:textId="77777777" w:rsidR="0044771E" w:rsidRPr="00E10433" w:rsidRDefault="0044771E">
            <w:pPr>
              <w:ind w:left="3"/>
              <w:jc w:val="both"/>
              <w:rPr>
                <w:rFonts w:ascii="Verdana" w:hAnsi="Verdana"/>
                <w:color w:val="000000"/>
                <w:lang w:val="es-ES"/>
              </w:rPr>
            </w:pPr>
            <w:r w:rsidRPr="00E10433">
              <w:rPr>
                <w:rFonts w:ascii="Verdana" w:eastAsia="Calibri" w:hAnsi="Verdana" w:cs="Arial"/>
                <w:color w:val="000000" w:themeColor="text1"/>
                <w:lang w:val="es-ES" w:eastAsia="es-ES"/>
              </w:rPr>
              <w:t>Respuesta a consulta con radicado No.</w:t>
            </w:r>
            <w:r>
              <w:rPr>
                <w:rFonts w:ascii="Verdana" w:eastAsia="Calibri" w:hAnsi="Verdana" w:cs="Arial"/>
                <w:color w:val="000000" w:themeColor="text1"/>
                <w:lang w:val="es-ES" w:eastAsia="es-ES"/>
              </w:rPr>
              <w:t xml:space="preserve"> </w:t>
            </w:r>
            <w:r w:rsidRPr="004E2DF2">
              <w:rPr>
                <w:rFonts w:ascii="Verdana" w:eastAsia="Calibri" w:hAnsi="Verdana" w:cs="Arial"/>
                <w:color w:val="000000" w:themeColor="text1"/>
                <w:lang w:val="es-ES" w:eastAsia="es-ES"/>
              </w:rPr>
              <w:t>1_2026_03_31_004464</w:t>
            </w:r>
            <w:r w:rsidRPr="00E10433">
              <w:rPr>
                <w:rFonts w:ascii="Verdana" w:eastAsia="Calibri" w:hAnsi="Verdana" w:cs="Arial"/>
                <w:color w:val="000000" w:themeColor="text1"/>
                <w:lang w:val="es-ES" w:eastAsia="es-ES"/>
              </w:rPr>
              <w:t xml:space="preserve"> </w:t>
            </w:r>
          </w:p>
        </w:tc>
      </w:tr>
    </w:tbl>
    <w:p w14:paraId="5D80C749" w14:textId="77777777" w:rsidR="0044771E" w:rsidRPr="00E10433" w:rsidRDefault="0044771E" w:rsidP="0044771E">
      <w:pPr>
        <w:spacing w:after="0" w:line="276" w:lineRule="auto"/>
        <w:jc w:val="both"/>
        <w:rPr>
          <w:rFonts w:ascii="Verdana" w:eastAsia="Calibri" w:hAnsi="Verdana" w:cs="Arial"/>
          <w:color w:val="000000" w:themeColor="text1"/>
          <w:lang w:val="es-ES" w:eastAsia="es-ES"/>
        </w:rPr>
      </w:pPr>
    </w:p>
    <w:p w14:paraId="306A2ACA" w14:textId="77777777" w:rsidR="0044771E" w:rsidRPr="00E10433" w:rsidRDefault="0044771E" w:rsidP="0044771E">
      <w:pPr>
        <w:spacing w:after="0" w:line="276" w:lineRule="auto"/>
        <w:jc w:val="both"/>
        <w:rPr>
          <w:rFonts w:ascii="Verdana" w:eastAsia="Calibri" w:hAnsi="Verdana" w:cs="Arial"/>
          <w:color w:val="000000" w:themeColor="text1"/>
          <w:lang w:val="es-ES" w:eastAsia="es-ES"/>
        </w:rPr>
      </w:pPr>
    </w:p>
    <w:p w14:paraId="73F8571B" w14:textId="77777777" w:rsidR="0044771E" w:rsidRPr="00E10433" w:rsidRDefault="0044771E" w:rsidP="0044771E">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E10433">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E10433">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Meza</w:t>
      </w:r>
      <w:r w:rsidRPr="00E10433">
        <w:rPr>
          <w:rFonts w:ascii="Verdana" w:eastAsia="Calibri" w:hAnsi="Verdana" w:cs="Arial"/>
          <w:color w:val="000000" w:themeColor="text1"/>
          <w:lang w:val="es-ES" w:eastAsia="es-ES"/>
        </w:rPr>
        <w:t xml:space="preserve">: </w:t>
      </w:r>
    </w:p>
    <w:p w14:paraId="19328AD7" w14:textId="77777777" w:rsidR="0044771E" w:rsidRPr="00E10433" w:rsidRDefault="0044771E" w:rsidP="0044771E">
      <w:pPr>
        <w:tabs>
          <w:tab w:val="left" w:pos="3768"/>
        </w:tabs>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ab/>
      </w:r>
    </w:p>
    <w:p w14:paraId="43052077" w14:textId="77777777" w:rsidR="0044771E" w:rsidRPr="00E10433" w:rsidRDefault="0044771E" w:rsidP="0044771E">
      <w:pPr>
        <w:spacing w:after="0" w:line="276" w:lineRule="auto"/>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En ejercicio de la competencia otorgada por los artículos 3, numeral 5º, y 11, numeral 8º, del Decreto Ley 4170 de 2011,</w:t>
      </w:r>
      <w:r w:rsidRPr="00E10433">
        <w:rPr>
          <w:rFonts w:ascii="Verdana" w:eastAsia="Arial MT" w:hAnsi="Verdana" w:cs="Arial MT"/>
          <w:color w:val="000000" w:themeColor="text1"/>
          <w:lang w:val="es-ES" w:eastAsia="es-ES"/>
        </w:rPr>
        <w:t xml:space="preserve"> </w:t>
      </w:r>
      <w:r w:rsidRPr="00E10433">
        <w:rPr>
          <w:rFonts w:ascii="Verdana" w:hAnsi="Verdana" w:cs="Arial"/>
          <w:color w:val="000000" w:themeColor="text1"/>
          <w:lang w:val="es-ES"/>
        </w:rPr>
        <w:t xml:space="preserve">así como lo establecido en el artículo 4 de la Resolución 1707 de 2018 expedida por esta Entidad, </w:t>
      </w:r>
      <w:r w:rsidRPr="00E10433">
        <w:rPr>
          <w:rFonts w:ascii="Verdana" w:eastAsia="Calibri" w:hAnsi="Verdana" w:cs="Arial"/>
          <w:color w:val="000000" w:themeColor="text1"/>
          <w:lang w:val="es-ES" w:eastAsia="es-ES"/>
        </w:rPr>
        <w:t xml:space="preserve">la Agencia Nacional de Contratación Pública – Colombia Compra Eficiente– responde su solicitud de consulta de fecha </w:t>
      </w:r>
      <w:r>
        <w:rPr>
          <w:rFonts w:ascii="Verdana" w:eastAsia="Calibri" w:hAnsi="Verdana" w:cs="Arial"/>
          <w:color w:val="000000" w:themeColor="text1"/>
          <w:lang w:val="es-ES" w:eastAsia="es-ES"/>
        </w:rPr>
        <w:t>31</w:t>
      </w:r>
      <w:r w:rsidRPr="00E10433">
        <w:rPr>
          <w:rFonts w:ascii="Verdana" w:eastAsia="Calibri" w:hAnsi="Verdana" w:cs="Arial"/>
          <w:color w:val="000000" w:themeColor="text1"/>
          <w:lang w:val="es-ES" w:eastAsia="es-ES"/>
        </w:rPr>
        <w:t xml:space="preserve"> de marzo de 2026, en la cual manifiesta lo siguiente: </w:t>
      </w:r>
    </w:p>
    <w:p w14:paraId="36BB3E36" w14:textId="77777777" w:rsidR="0044771E" w:rsidRPr="00E10433" w:rsidRDefault="0044771E" w:rsidP="0044771E">
      <w:pPr>
        <w:tabs>
          <w:tab w:val="left" w:pos="142"/>
          <w:tab w:val="left" w:pos="284"/>
        </w:tabs>
        <w:spacing w:after="0" w:line="276" w:lineRule="auto"/>
        <w:jc w:val="both"/>
        <w:rPr>
          <w:rFonts w:ascii="Verdana" w:eastAsia="Century Gothic" w:hAnsi="Verdana" w:cs="Century Gothic"/>
          <w:b/>
          <w:color w:val="000000" w:themeColor="text1"/>
          <w:sz w:val="20"/>
          <w:szCs w:val="20"/>
          <w:lang w:val="es-ES"/>
        </w:rPr>
      </w:pPr>
    </w:p>
    <w:p w14:paraId="484E744F" w14:textId="77777777" w:rsidR="0044771E" w:rsidRPr="004E2DF2" w:rsidRDefault="0044771E" w:rsidP="003210AE">
      <w:pPr>
        <w:spacing w:after="0" w:line="240" w:lineRule="auto"/>
        <w:ind w:left="709" w:right="709"/>
        <w:jc w:val="both"/>
        <w:rPr>
          <w:rFonts w:ascii="Verdana" w:eastAsia="Century Gothic" w:hAnsi="Verdana" w:cs="Century Gothic"/>
          <w:i/>
          <w:color w:val="000000" w:themeColor="text1"/>
          <w:sz w:val="20"/>
          <w:szCs w:val="20"/>
        </w:rPr>
      </w:pPr>
      <w:r w:rsidRPr="00E10433">
        <w:rPr>
          <w:rFonts w:ascii="Verdana" w:eastAsia="Century Gothic" w:hAnsi="Verdana" w:cs="Century Gothic"/>
          <w:i/>
          <w:color w:val="000000" w:themeColor="text1"/>
          <w:sz w:val="20"/>
          <w:szCs w:val="20"/>
          <w:lang w:val="es-ES"/>
        </w:rPr>
        <w:t>“</w:t>
      </w:r>
      <w:r w:rsidRPr="004E2DF2">
        <w:rPr>
          <w:rFonts w:ascii="Verdana" w:eastAsia="Century Gothic" w:hAnsi="Verdana" w:cs="Century Gothic"/>
          <w:i/>
          <w:color w:val="000000" w:themeColor="text1"/>
          <w:sz w:val="20"/>
          <w:szCs w:val="20"/>
        </w:rPr>
        <w:t xml:space="preserve">La inquietud surge en </w:t>
      </w:r>
      <w:proofErr w:type="spellStart"/>
      <w:r w:rsidRPr="004E2DF2">
        <w:rPr>
          <w:rFonts w:ascii="Verdana" w:eastAsia="Century Gothic" w:hAnsi="Verdana" w:cs="Century Gothic"/>
          <w:i/>
          <w:color w:val="000000" w:themeColor="text1"/>
          <w:sz w:val="20"/>
          <w:szCs w:val="20"/>
        </w:rPr>
        <w:t>relación</w:t>
      </w:r>
      <w:proofErr w:type="spellEnd"/>
      <w:r w:rsidRPr="004E2DF2">
        <w:rPr>
          <w:rFonts w:ascii="Verdana" w:eastAsia="Century Gothic" w:hAnsi="Verdana" w:cs="Century Gothic"/>
          <w:i/>
          <w:color w:val="000000" w:themeColor="text1"/>
          <w:sz w:val="20"/>
          <w:szCs w:val="20"/>
        </w:rPr>
        <w:t xml:space="preserve"> con los eventos en que una persona </w:t>
      </w:r>
      <w:proofErr w:type="spellStart"/>
      <w:r w:rsidRPr="004E2DF2">
        <w:rPr>
          <w:rFonts w:ascii="Verdana" w:eastAsia="Century Gothic" w:hAnsi="Verdana" w:cs="Century Gothic"/>
          <w:i/>
          <w:color w:val="000000" w:themeColor="text1"/>
          <w:sz w:val="20"/>
          <w:szCs w:val="20"/>
        </w:rPr>
        <w:t>jurídica</w:t>
      </w:r>
      <w:proofErr w:type="spellEnd"/>
      <w:r w:rsidRPr="004E2DF2">
        <w:rPr>
          <w:rFonts w:ascii="Verdana" w:eastAsia="Century Gothic" w:hAnsi="Verdana" w:cs="Century Gothic"/>
          <w:i/>
          <w:color w:val="000000" w:themeColor="text1"/>
          <w:sz w:val="20"/>
          <w:szCs w:val="20"/>
        </w:rPr>
        <w:t xml:space="preserve"> contratista del Estado, </w:t>
      </w:r>
      <w:proofErr w:type="spellStart"/>
      <w:r w:rsidRPr="004E2DF2">
        <w:rPr>
          <w:rFonts w:ascii="Verdana" w:eastAsia="Century Gothic" w:hAnsi="Verdana" w:cs="Century Gothic"/>
          <w:i/>
          <w:color w:val="000000" w:themeColor="text1"/>
          <w:sz w:val="20"/>
          <w:szCs w:val="20"/>
        </w:rPr>
        <w:t>además</w:t>
      </w:r>
      <w:proofErr w:type="spellEnd"/>
      <w:r w:rsidRPr="004E2DF2">
        <w:rPr>
          <w:rFonts w:ascii="Verdana" w:eastAsia="Century Gothic" w:hAnsi="Verdana" w:cs="Century Gothic"/>
          <w:i/>
          <w:color w:val="000000" w:themeColor="text1"/>
          <w:sz w:val="20"/>
          <w:szCs w:val="20"/>
        </w:rPr>
        <w:t xml:space="preserve"> de su planta de personal, vincula personas naturales mediante contratos de </w:t>
      </w:r>
      <w:proofErr w:type="spellStart"/>
      <w:r w:rsidRPr="004E2DF2">
        <w:rPr>
          <w:rFonts w:ascii="Verdana" w:eastAsia="Century Gothic" w:hAnsi="Verdana" w:cs="Century Gothic"/>
          <w:i/>
          <w:color w:val="000000" w:themeColor="text1"/>
          <w:sz w:val="20"/>
          <w:szCs w:val="20"/>
        </w:rPr>
        <w:t>prestación</w:t>
      </w:r>
      <w:proofErr w:type="spellEnd"/>
      <w:r w:rsidRPr="004E2DF2">
        <w:rPr>
          <w:rFonts w:ascii="Verdana" w:eastAsia="Century Gothic" w:hAnsi="Verdana" w:cs="Century Gothic"/>
          <w:i/>
          <w:color w:val="000000" w:themeColor="text1"/>
          <w:sz w:val="20"/>
          <w:szCs w:val="20"/>
        </w:rPr>
        <w:t xml:space="preserve"> de servicios para apoyar la </w:t>
      </w:r>
      <w:proofErr w:type="spellStart"/>
      <w:r w:rsidRPr="004E2DF2">
        <w:rPr>
          <w:rFonts w:ascii="Verdana" w:eastAsia="Century Gothic" w:hAnsi="Verdana" w:cs="Century Gothic"/>
          <w:i/>
          <w:color w:val="000000" w:themeColor="text1"/>
          <w:sz w:val="20"/>
          <w:szCs w:val="20"/>
        </w:rPr>
        <w:t>ejecución</w:t>
      </w:r>
      <w:proofErr w:type="spellEnd"/>
      <w:r w:rsidRPr="004E2DF2">
        <w:rPr>
          <w:rFonts w:ascii="Verdana" w:eastAsia="Century Gothic" w:hAnsi="Verdana" w:cs="Century Gothic"/>
          <w:i/>
          <w:color w:val="000000" w:themeColor="text1"/>
          <w:sz w:val="20"/>
          <w:szCs w:val="20"/>
        </w:rPr>
        <w:t xml:space="preserve"> del contrato estatal. En la </w:t>
      </w:r>
      <w:proofErr w:type="spellStart"/>
      <w:r w:rsidRPr="004E2DF2">
        <w:rPr>
          <w:rFonts w:ascii="Verdana" w:eastAsia="Century Gothic" w:hAnsi="Verdana" w:cs="Century Gothic"/>
          <w:i/>
          <w:color w:val="000000" w:themeColor="text1"/>
          <w:sz w:val="20"/>
          <w:szCs w:val="20"/>
        </w:rPr>
        <w:t>práctica</w:t>
      </w:r>
      <w:proofErr w:type="spellEnd"/>
      <w:r w:rsidRPr="004E2DF2">
        <w:rPr>
          <w:rFonts w:ascii="Verdana" w:eastAsia="Century Gothic" w:hAnsi="Verdana" w:cs="Century Gothic"/>
          <w:i/>
          <w:color w:val="000000" w:themeColor="text1"/>
          <w:sz w:val="20"/>
          <w:szCs w:val="20"/>
        </w:rPr>
        <w:t xml:space="preserve">, algunas entidades contratantes exigen a la persona </w:t>
      </w:r>
      <w:proofErr w:type="spellStart"/>
      <w:r w:rsidRPr="004E2DF2">
        <w:rPr>
          <w:rFonts w:ascii="Verdana" w:eastAsia="Century Gothic" w:hAnsi="Verdana" w:cs="Century Gothic"/>
          <w:i/>
          <w:color w:val="000000" w:themeColor="text1"/>
          <w:sz w:val="20"/>
          <w:szCs w:val="20"/>
        </w:rPr>
        <w:t>jurídica</w:t>
      </w:r>
      <w:proofErr w:type="spellEnd"/>
      <w:r w:rsidRPr="004E2DF2">
        <w:rPr>
          <w:rFonts w:ascii="Verdana" w:eastAsia="Century Gothic" w:hAnsi="Verdana" w:cs="Century Gothic"/>
          <w:i/>
          <w:color w:val="000000" w:themeColor="text1"/>
          <w:sz w:val="20"/>
          <w:szCs w:val="20"/>
        </w:rPr>
        <w:t xml:space="preserve"> no solo la </w:t>
      </w:r>
      <w:proofErr w:type="spellStart"/>
      <w:r w:rsidRPr="004E2DF2">
        <w:rPr>
          <w:rFonts w:ascii="Verdana" w:eastAsia="Century Gothic" w:hAnsi="Verdana" w:cs="Century Gothic"/>
          <w:i/>
          <w:color w:val="000000" w:themeColor="text1"/>
          <w:sz w:val="20"/>
          <w:szCs w:val="20"/>
        </w:rPr>
        <w:t>certificación</w:t>
      </w:r>
      <w:proofErr w:type="spellEnd"/>
      <w:r w:rsidRPr="004E2DF2">
        <w:rPr>
          <w:rFonts w:ascii="Verdana" w:eastAsia="Century Gothic" w:hAnsi="Verdana" w:cs="Century Gothic"/>
          <w:i/>
          <w:color w:val="000000" w:themeColor="text1"/>
          <w:sz w:val="20"/>
          <w:szCs w:val="20"/>
        </w:rPr>
        <w:t xml:space="preserve"> suscrita por el revisor fiscal o, en su defecto, por el representante legal, sino </w:t>
      </w:r>
      <w:proofErr w:type="spellStart"/>
      <w:r w:rsidRPr="004E2DF2">
        <w:rPr>
          <w:rFonts w:ascii="Verdana" w:eastAsia="Century Gothic" w:hAnsi="Verdana" w:cs="Century Gothic"/>
          <w:i/>
          <w:color w:val="000000" w:themeColor="text1"/>
          <w:sz w:val="20"/>
          <w:szCs w:val="20"/>
        </w:rPr>
        <w:t>también</w:t>
      </w:r>
      <w:proofErr w:type="spellEnd"/>
      <w:r w:rsidRPr="004E2DF2">
        <w:rPr>
          <w:rFonts w:ascii="Verdana" w:eastAsia="Century Gothic" w:hAnsi="Verdana" w:cs="Century Gothic"/>
          <w:i/>
          <w:color w:val="000000" w:themeColor="text1"/>
          <w:sz w:val="20"/>
          <w:szCs w:val="20"/>
        </w:rPr>
        <w:t xml:space="preserve"> la </w:t>
      </w:r>
      <w:proofErr w:type="spellStart"/>
      <w:r w:rsidRPr="004E2DF2">
        <w:rPr>
          <w:rFonts w:ascii="Verdana" w:eastAsia="Century Gothic" w:hAnsi="Verdana" w:cs="Century Gothic"/>
          <w:i/>
          <w:color w:val="000000" w:themeColor="text1"/>
          <w:sz w:val="20"/>
          <w:szCs w:val="20"/>
        </w:rPr>
        <w:t>presentación</w:t>
      </w:r>
      <w:proofErr w:type="spellEnd"/>
      <w:r w:rsidRPr="004E2DF2">
        <w:rPr>
          <w:rFonts w:ascii="Verdana" w:eastAsia="Century Gothic" w:hAnsi="Verdana" w:cs="Century Gothic"/>
          <w:i/>
          <w:color w:val="000000" w:themeColor="text1"/>
          <w:sz w:val="20"/>
          <w:szCs w:val="20"/>
        </w:rPr>
        <w:t xml:space="preserve"> de las planillas PILA de tales contratistas independientes para tramitar pagos, cuentas o la </w:t>
      </w:r>
      <w:proofErr w:type="spellStart"/>
      <w:r w:rsidRPr="004E2DF2">
        <w:rPr>
          <w:rFonts w:ascii="Verdana" w:eastAsia="Century Gothic" w:hAnsi="Verdana" w:cs="Century Gothic"/>
          <w:i/>
          <w:color w:val="000000" w:themeColor="text1"/>
          <w:sz w:val="20"/>
          <w:szCs w:val="20"/>
        </w:rPr>
        <w:t>liquidación</w:t>
      </w:r>
      <w:proofErr w:type="spellEnd"/>
      <w:r w:rsidRPr="004E2DF2">
        <w:rPr>
          <w:rFonts w:ascii="Verdana" w:eastAsia="Century Gothic" w:hAnsi="Verdana" w:cs="Century Gothic"/>
          <w:i/>
          <w:color w:val="000000" w:themeColor="text1"/>
          <w:sz w:val="20"/>
          <w:szCs w:val="20"/>
        </w:rPr>
        <w:t xml:space="preserve"> contractual. </w:t>
      </w:r>
    </w:p>
    <w:p w14:paraId="04D0DA9D" w14:textId="77777777" w:rsidR="0044771E" w:rsidRPr="004E2DF2" w:rsidRDefault="0044771E" w:rsidP="00B874FA">
      <w:pPr>
        <w:spacing w:after="0" w:line="240" w:lineRule="auto"/>
        <w:ind w:left="709" w:right="709"/>
        <w:jc w:val="both"/>
        <w:rPr>
          <w:rFonts w:ascii="Verdana" w:eastAsia="Century Gothic" w:hAnsi="Verdana" w:cs="Century Gothic"/>
          <w:i/>
          <w:color w:val="000000" w:themeColor="text1"/>
          <w:sz w:val="20"/>
          <w:szCs w:val="20"/>
        </w:rPr>
      </w:pPr>
      <w:r w:rsidRPr="004E2DF2">
        <w:rPr>
          <w:rFonts w:ascii="Verdana" w:eastAsia="Century Gothic" w:hAnsi="Verdana" w:cs="Century Gothic"/>
          <w:i/>
          <w:color w:val="000000" w:themeColor="text1"/>
          <w:sz w:val="20"/>
          <w:szCs w:val="20"/>
        </w:rPr>
        <w:t xml:space="preserve">La duda </w:t>
      </w:r>
      <w:proofErr w:type="spellStart"/>
      <w:r w:rsidRPr="004E2DF2">
        <w:rPr>
          <w:rFonts w:ascii="Verdana" w:eastAsia="Century Gothic" w:hAnsi="Verdana" w:cs="Century Gothic"/>
          <w:i/>
          <w:color w:val="000000" w:themeColor="text1"/>
          <w:sz w:val="20"/>
          <w:szCs w:val="20"/>
        </w:rPr>
        <w:t>jurídica</w:t>
      </w:r>
      <w:proofErr w:type="spellEnd"/>
      <w:r w:rsidRPr="004E2DF2">
        <w:rPr>
          <w:rFonts w:ascii="Verdana" w:eastAsia="Century Gothic" w:hAnsi="Verdana" w:cs="Century Gothic"/>
          <w:i/>
          <w:color w:val="000000" w:themeColor="text1"/>
          <w:sz w:val="20"/>
          <w:szCs w:val="20"/>
        </w:rPr>
        <w:t xml:space="preserve"> radica en determinar si esa exigencia adicional es compatible con el artículo 50 de la Ley 789 de 2002, el artículo 23 de la Ley 1150 de 2007, el artículo 84 de la Constitución Política y la competencia asignada a la Unidad Administrativa Especial de </w:t>
      </w:r>
      <w:proofErr w:type="spellStart"/>
      <w:r w:rsidRPr="004E2DF2">
        <w:rPr>
          <w:rFonts w:ascii="Verdana" w:eastAsia="Century Gothic" w:hAnsi="Verdana" w:cs="Century Gothic"/>
          <w:i/>
          <w:color w:val="000000" w:themeColor="text1"/>
          <w:sz w:val="20"/>
          <w:szCs w:val="20"/>
        </w:rPr>
        <w:t>Gestión</w:t>
      </w:r>
      <w:proofErr w:type="spellEnd"/>
      <w:r w:rsidRPr="004E2DF2">
        <w:rPr>
          <w:rFonts w:ascii="Verdana" w:eastAsia="Century Gothic" w:hAnsi="Verdana" w:cs="Century Gothic"/>
          <w:i/>
          <w:color w:val="000000" w:themeColor="text1"/>
          <w:sz w:val="20"/>
          <w:szCs w:val="20"/>
        </w:rPr>
        <w:t xml:space="preserve"> Pensional y Contribuciones Parafiscales de la </w:t>
      </w:r>
      <w:proofErr w:type="spellStart"/>
      <w:r w:rsidRPr="004E2DF2">
        <w:rPr>
          <w:rFonts w:ascii="Verdana" w:eastAsia="Century Gothic" w:hAnsi="Verdana" w:cs="Century Gothic"/>
          <w:i/>
          <w:color w:val="000000" w:themeColor="text1"/>
          <w:sz w:val="20"/>
          <w:szCs w:val="20"/>
        </w:rPr>
        <w:t>Protección</w:t>
      </w:r>
      <w:proofErr w:type="spellEnd"/>
      <w:r w:rsidRPr="004E2DF2">
        <w:rPr>
          <w:rFonts w:ascii="Verdana" w:eastAsia="Century Gothic" w:hAnsi="Verdana" w:cs="Century Gothic"/>
          <w:i/>
          <w:color w:val="000000" w:themeColor="text1"/>
          <w:sz w:val="20"/>
          <w:szCs w:val="20"/>
        </w:rPr>
        <w:t xml:space="preserve"> Social –UGPP– </w:t>
      </w:r>
      <w:r w:rsidRPr="004E2DF2">
        <w:rPr>
          <w:rFonts w:ascii="Verdana" w:eastAsia="Century Gothic" w:hAnsi="Verdana" w:cs="Century Gothic"/>
          <w:i/>
          <w:color w:val="000000" w:themeColor="text1"/>
          <w:sz w:val="20"/>
          <w:szCs w:val="20"/>
        </w:rPr>
        <w:lastRenderedPageBreak/>
        <w:t xml:space="preserve">para el seguimiento, </w:t>
      </w:r>
      <w:proofErr w:type="spellStart"/>
      <w:r w:rsidRPr="004E2DF2">
        <w:rPr>
          <w:rFonts w:ascii="Verdana" w:eastAsia="Century Gothic" w:hAnsi="Verdana" w:cs="Century Gothic"/>
          <w:i/>
          <w:color w:val="000000" w:themeColor="text1"/>
          <w:sz w:val="20"/>
          <w:szCs w:val="20"/>
        </w:rPr>
        <w:t>colaboración</w:t>
      </w:r>
      <w:proofErr w:type="spellEnd"/>
      <w:r w:rsidRPr="004E2DF2">
        <w:rPr>
          <w:rFonts w:ascii="Verdana" w:eastAsia="Century Gothic" w:hAnsi="Verdana" w:cs="Century Gothic"/>
          <w:i/>
          <w:color w:val="000000" w:themeColor="text1"/>
          <w:sz w:val="20"/>
          <w:szCs w:val="20"/>
        </w:rPr>
        <w:t xml:space="preserve">, </w:t>
      </w:r>
      <w:proofErr w:type="spellStart"/>
      <w:r w:rsidRPr="004E2DF2">
        <w:rPr>
          <w:rFonts w:ascii="Verdana" w:eastAsia="Century Gothic" w:hAnsi="Verdana" w:cs="Century Gothic"/>
          <w:i/>
          <w:color w:val="000000" w:themeColor="text1"/>
          <w:sz w:val="20"/>
          <w:szCs w:val="20"/>
        </w:rPr>
        <w:t>determinación</w:t>
      </w:r>
      <w:proofErr w:type="spellEnd"/>
      <w:r w:rsidRPr="004E2DF2">
        <w:rPr>
          <w:rFonts w:ascii="Verdana" w:eastAsia="Century Gothic" w:hAnsi="Verdana" w:cs="Century Gothic"/>
          <w:i/>
          <w:color w:val="000000" w:themeColor="text1"/>
          <w:sz w:val="20"/>
          <w:szCs w:val="20"/>
        </w:rPr>
        <w:t xml:space="preserve"> y cobro de las </w:t>
      </w:r>
      <w:proofErr w:type="spellStart"/>
      <w:r w:rsidRPr="004E2DF2">
        <w:rPr>
          <w:rFonts w:ascii="Verdana" w:eastAsia="Century Gothic" w:hAnsi="Verdana" w:cs="Century Gothic"/>
          <w:i/>
          <w:color w:val="000000" w:themeColor="text1"/>
          <w:sz w:val="20"/>
          <w:szCs w:val="20"/>
        </w:rPr>
        <w:t>contribucio</w:t>
      </w:r>
      <w:proofErr w:type="spellEnd"/>
      <w:r w:rsidRPr="00E10433">
        <w:rPr>
          <w:rFonts w:ascii="Verdana" w:hAnsi="Verdana"/>
          <w:sz w:val="20"/>
          <w:szCs w:val="20"/>
          <w:lang w:val="es-ES"/>
        </w:rPr>
        <w:t>”</w:t>
      </w:r>
    </w:p>
    <w:p w14:paraId="5B5F5954" w14:textId="77777777" w:rsidR="0044771E" w:rsidRPr="00E10433" w:rsidRDefault="0044771E" w:rsidP="0044771E">
      <w:pPr>
        <w:spacing w:after="0" w:line="276" w:lineRule="auto"/>
        <w:ind w:right="709"/>
        <w:jc w:val="both"/>
        <w:rPr>
          <w:rFonts w:ascii="Verdana" w:eastAsia="Calibri" w:hAnsi="Verdana" w:cs="Arial"/>
          <w:lang w:val="es-ES"/>
        </w:rPr>
      </w:pPr>
    </w:p>
    <w:p w14:paraId="73F2D05E" w14:textId="77777777" w:rsidR="0044771E" w:rsidRPr="00E10433" w:rsidRDefault="0044771E" w:rsidP="0044771E">
      <w:pPr>
        <w:spacing w:after="120" w:line="276" w:lineRule="auto"/>
        <w:ind w:firstLine="708"/>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w:t>
      </w:r>
      <w:r>
        <w:rPr>
          <w:rFonts w:ascii="Verdana" w:eastAsia="Calibri" w:hAnsi="Verdana" w:cs="Arial"/>
          <w:color w:val="000000" w:themeColor="text1"/>
          <w:lang w:val="es-ES" w:eastAsia="es-ES"/>
        </w:rPr>
        <w:t xml:space="preserve">la Agencia Nacional de Contratación Pública – </w:t>
      </w:r>
      <w:r w:rsidRPr="00E10433">
        <w:rPr>
          <w:rFonts w:ascii="Verdana" w:eastAsia="Calibri" w:hAnsi="Verdana" w:cs="Arial"/>
          <w:color w:val="000000" w:themeColor="text1"/>
          <w:lang w:val="es-ES" w:eastAsia="es-ES"/>
        </w:rPr>
        <w:t xml:space="preserve">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E10433">
        <w:rPr>
          <w:lang w:val="es-ES"/>
        </w:rPr>
        <w:tab/>
      </w:r>
    </w:p>
    <w:p w14:paraId="453092B8" w14:textId="77777777" w:rsidR="0044771E" w:rsidRPr="00E10433" w:rsidRDefault="0044771E" w:rsidP="0044771E">
      <w:pPr>
        <w:spacing w:after="0" w:line="276" w:lineRule="auto"/>
        <w:ind w:firstLine="709"/>
        <w:jc w:val="both"/>
        <w:rPr>
          <w:rFonts w:ascii="Verdana" w:eastAsia="Calibri" w:hAnsi="Verdana" w:cs="Arial"/>
          <w:color w:val="000000" w:themeColor="text1"/>
          <w:lang w:val="es-ES" w:eastAsia="es-ES"/>
        </w:rPr>
      </w:pPr>
      <w:r w:rsidRPr="00E10433">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3797E53" w14:textId="77777777" w:rsidR="0044771E" w:rsidRPr="00E10433" w:rsidRDefault="0044771E" w:rsidP="00B874FA">
      <w:pPr>
        <w:spacing w:after="0" w:line="276" w:lineRule="auto"/>
        <w:jc w:val="both"/>
        <w:rPr>
          <w:rFonts w:ascii="Verdana" w:eastAsia="Calibri" w:hAnsi="Verdana" w:cs="Arial"/>
          <w:color w:val="000000" w:themeColor="text1"/>
          <w:lang w:val="es-ES" w:eastAsia="es-ES"/>
        </w:rPr>
      </w:pPr>
    </w:p>
    <w:p w14:paraId="16F01C0F" w14:textId="77777777" w:rsidR="0044771E" w:rsidRPr="00E10433" w:rsidRDefault="0044771E" w:rsidP="00B874FA">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Problema planteado:</w:t>
      </w:r>
    </w:p>
    <w:p w14:paraId="14712020" w14:textId="77777777" w:rsidR="0044771E" w:rsidRPr="00E10433" w:rsidRDefault="0044771E" w:rsidP="00B874FA">
      <w:pPr>
        <w:tabs>
          <w:tab w:val="left" w:pos="426"/>
        </w:tabs>
        <w:spacing w:after="0" w:line="276" w:lineRule="auto"/>
        <w:jc w:val="both"/>
        <w:rPr>
          <w:rFonts w:ascii="Verdana" w:eastAsia="Century Gothic" w:hAnsi="Verdana" w:cs="Century Gothic"/>
          <w:color w:val="000000" w:themeColor="text1"/>
          <w:lang w:val="es-ES"/>
        </w:rPr>
      </w:pPr>
    </w:p>
    <w:p w14:paraId="52EA39B3" w14:textId="77777777" w:rsidR="0044771E" w:rsidRPr="00E10433" w:rsidRDefault="0044771E" w:rsidP="00B874FA">
      <w:pPr>
        <w:spacing w:after="0" w:line="276" w:lineRule="auto"/>
        <w:jc w:val="both"/>
        <w:rPr>
          <w:rFonts w:ascii="Verdana" w:eastAsia="Century Gothic" w:hAnsi="Verdana" w:cs="Century Gothic"/>
          <w:color w:val="000000" w:themeColor="text1"/>
          <w:lang w:val="es-ES"/>
        </w:rPr>
      </w:pPr>
      <w:r w:rsidRPr="00E10433">
        <w:rPr>
          <w:rFonts w:ascii="Verdana" w:eastAsia="Century Gothic" w:hAnsi="Verdana" w:cs="Century Gothic"/>
          <w:color w:val="000000" w:themeColor="text1"/>
          <w:lang w:val="es-ES"/>
        </w:rPr>
        <w:t>De acuerdo con el contenido de su solicitud, esta Agencia resolverá el siguiente problema jurídico: ¿</w:t>
      </w:r>
      <w:r>
        <w:rPr>
          <w:rFonts w:ascii="Verdana" w:eastAsia="Arial" w:hAnsi="Verdana" w:cs="Arial"/>
          <w:lang w:val="es-ES"/>
        </w:rPr>
        <w:t>Deben las personas jurídicas acreditar el pago de los aportes al Sistema de Seguridad Social de sus</w:t>
      </w:r>
      <w:r>
        <w:rPr>
          <w:rFonts w:ascii="Verdana" w:eastAsia="Arial" w:hAnsi="Verdana" w:cs="Arial"/>
          <w:i/>
          <w:iCs/>
          <w:lang w:val="es-ES"/>
        </w:rPr>
        <w:t xml:space="preserve"> contratistas</w:t>
      </w:r>
      <w:r w:rsidRPr="00E10433">
        <w:rPr>
          <w:rFonts w:ascii="Verdana" w:eastAsia="Century Gothic" w:hAnsi="Verdana" w:cs="Century Gothic"/>
          <w:color w:val="000000" w:themeColor="text1"/>
          <w:lang w:val="es-ES"/>
        </w:rPr>
        <w:t>?</w:t>
      </w:r>
    </w:p>
    <w:p w14:paraId="7EB46C34" w14:textId="77777777" w:rsidR="0044771E" w:rsidRPr="00E10433" w:rsidRDefault="0044771E" w:rsidP="00B874FA">
      <w:pPr>
        <w:spacing w:after="0" w:line="276" w:lineRule="auto"/>
        <w:jc w:val="both"/>
        <w:rPr>
          <w:rFonts w:ascii="Verdana" w:eastAsia="Calibri" w:hAnsi="Verdana" w:cs="Arial"/>
          <w:color w:val="000000" w:themeColor="text1"/>
          <w:lang w:val="es-ES"/>
        </w:rPr>
      </w:pPr>
    </w:p>
    <w:p w14:paraId="6AA80179" w14:textId="77777777" w:rsidR="0044771E" w:rsidRPr="00E10433" w:rsidRDefault="0044771E" w:rsidP="00B874FA">
      <w:pPr>
        <w:pStyle w:val="Prrafodelista"/>
        <w:numPr>
          <w:ilvl w:val="0"/>
          <w:numId w:val="17"/>
        </w:numPr>
        <w:tabs>
          <w:tab w:val="left" w:pos="142"/>
          <w:tab w:val="left" w:pos="284"/>
        </w:tabs>
        <w:spacing w:after="0" w:line="276" w:lineRule="auto"/>
        <w:contextualSpacing w:val="0"/>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Respuesta:</w:t>
      </w:r>
    </w:p>
    <w:p w14:paraId="4A4D5F17" w14:textId="77777777" w:rsidR="0044771E" w:rsidRPr="00E10433" w:rsidRDefault="0044771E" w:rsidP="00B874FA">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4771E" w:rsidRPr="00E10433" w14:paraId="5A518124" w14:textId="77777777">
        <w:tc>
          <w:tcPr>
            <w:tcW w:w="8828" w:type="dxa"/>
          </w:tcPr>
          <w:p w14:paraId="1545D0EC" w14:textId="77777777" w:rsidR="0044771E" w:rsidRDefault="0044771E" w:rsidP="003210AE">
            <w:pPr>
              <w:widowControl w:val="0"/>
              <w:autoSpaceDE w:val="0"/>
              <w:autoSpaceDN w:val="0"/>
              <w:spacing w:after="120" w:line="276" w:lineRule="auto"/>
              <w:jc w:val="both"/>
              <w:rPr>
                <w:rFonts w:ascii="Verdana" w:eastAsia="Arial" w:hAnsi="Verdana" w:cs="Arial"/>
                <w:lang w:val="es-ES"/>
              </w:rPr>
            </w:pPr>
            <w:r>
              <w:rPr>
                <w:rFonts w:ascii="Verdana" w:eastAsia="Arial" w:hAnsi="Verdana" w:cs="Arial"/>
                <w:lang w:val="es-ES"/>
              </w:rPr>
              <w:t>E</w:t>
            </w:r>
            <w:r w:rsidRPr="003A426C">
              <w:rPr>
                <w:rFonts w:ascii="Verdana" w:eastAsia="Arial" w:hAnsi="Verdana" w:cs="Arial"/>
                <w:lang w:val="es-ES"/>
              </w:rPr>
              <w:t>star al día en el pago de las obligaciones relacionadas con el Sistema de Seguridad Social Integral</w:t>
            </w:r>
            <w:r w:rsidRPr="003A426C" w:rsidDel="00822685">
              <w:rPr>
                <w:rFonts w:ascii="Verdana" w:eastAsia="Arial" w:hAnsi="Verdana" w:cs="Arial"/>
                <w:lang w:val="es-ES"/>
              </w:rPr>
              <w:t xml:space="preserve"> </w:t>
            </w:r>
            <w:r w:rsidRPr="003A426C">
              <w:rPr>
                <w:rFonts w:ascii="Verdana" w:eastAsia="Arial" w:hAnsi="Verdana" w:cs="Arial"/>
                <w:lang w:val="es-ES"/>
              </w:rPr>
              <w:t>es un requisito cuya verificación debe realizarse en distintos momentos del proceso contractual. Además, dicha verificación deberá efectuarse en relación con todos los contratos que celebren las entidades estatales independientemente de su naturaleza o modalidad de selección.</w:t>
            </w:r>
          </w:p>
          <w:p w14:paraId="326C9FDD" w14:textId="77777777" w:rsidR="0044771E" w:rsidRDefault="0044771E" w:rsidP="003210AE">
            <w:pPr>
              <w:widowControl w:val="0"/>
              <w:autoSpaceDE w:val="0"/>
              <w:autoSpaceDN w:val="0"/>
              <w:spacing w:after="120" w:line="276" w:lineRule="auto"/>
              <w:ind w:firstLine="738"/>
              <w:jc w:val="both"/>
              <w:rPr>
                <w:rFonts w:ascii="Verdana" w:eastAsia="Arial" w:hAnsi="Verdana" w:cs="Arial"/>
                <w:lang w:val="es-ES"/>
              </w:rPr>
            </w:pPr>
            <w:r>
              <w:rPr>
                <w:rFonts w:ascii="Verdana" w:eastAsia="Arial" w:hAnsi="Verdana" w:cs="Arial"/>
                <w:lang w:val="es-ES"/>
              </w:rPr>
              <w:lastRenderedPageBreak/>
              <w:t xml:space="preserve">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jurídicas deben acreditar el pago de los aportes al Sistema de Seguridad Social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relación laboral en los términos de los artículos 22 y 23 del Código Sustantivo del Trabajo</w:t>
            </w:r>
            <w:r w:rsidRPr="003A426C">
              <w:rPr>
                <w:rFonts w:ascii="Verdana" w:eastAsia="Arial" w:hAnsi="Verdana" w:cs="Arial"/>
                <w:lang w:val="es-ES"/>
              </w:rPr>
              <w:t>.</w:t>
            </w:r>
            <w:r>
              <w:rPr>
                <w:rFonts w:ascii="Verdana" w:eastAsia="Arial" w:hAnsi="Verdana" w:cs="Arial"/>
                <w:lang w:val="es-ES"/>
              </w:rPr>
              <w:t xml:space="preserve"> Teniendo en cuenta que el artículo </w:t>
            </w:r>
            <w:r w:rsidRPr="007F734F">
              <w:rPr>
                <w:rFonts w:ascii="Verdana" w:eastAsia="Arial" w:hAnsi="Verdana" w:cs="Arial"/>
                <w:lang w:val="es-ES"/>
              </w:rPr>
              <w:t>84 de la Constitución Política dispone que “</w:t>
            </w:r>
            <w:r>
              <w:rPr>
                <w:rFonts w:ascii="Verdana" w:eastAsia="Arial" w:hAnsi="Verdana" w:cs="Arial"/>
                <w:lang w:val="es-ES"/>
              </w:rPr>
              <w:t>c</w:t>
            </w:r>
            <w:r w:rsidRPr="007F734F">
              <w:rPr>
                <w:rFonts w:ascii="Verdana" w:eastAsia="Arial" w:hAnsi="Verdana" w:cs="Arial"/>
                <w:lang w:val="es-ES"/>
              </w:rPr>
              <w:t xml:space="preserve">uando un derecho o una actividad hayan sido reglamentados de manera general, las </w:t>
            </w:r>
            <w:proofErr w:type="gramStart"/>
            <w:r w:rsidRPr="007F734F">
              <w:rPr>
                <w:rFonts w:ascii="Verdana" w:eastAsia="Arial" w:hAnsi="Verdana" w:cs="Arial"/>
                <w:lang w:val="es-ES"/>
              </w:rPr>
              <w:t>autoridades públicas</w:t>
            </w:r>
            <w:proofErr w:type="gramEnd"/>
            <w:r w:rsidRPr="007F734F">
              <w:rPr>
                <w:rFonts w:ascii="Verdana" w:eastAsia="Arial" w:hAnsi="Verdana" w:cs="Arial"/>
                <w:lang w:val="es-ES"/>
              </w:rPr>
              <w:t xml:space="preserve"> no podrán establecer ni exigir permisos, licencias o requisitos adicionales para su ejercicio”</w:t>
            </w:r>
            <w:r>
              <w:rPr>
                <w:rFonts w:ascii="Verdana" w:eastAsia="Arial" w:hAnsi="Verdana" w:cs="Arial"/>
                <w:lang w:val="es-ES"/>
              </w:rPr>
              <w:t xml:space="preserve">, es posible señalar que la ley no exigió que las personas jurídicas acrediten </w:t>
            </w:r>
            <w:r w:rsidRPr="007F734F">
              <w:rPr>
                <w:rFonts w:ascii="Verdana" w:eastAsia="Arial" w:hAnsi="Verdana" w:cs="Arial"/>
                <w:lang w:val="es-ES"/>
              </w:rPr>
              <w:t>el pago de los aportes de sus contratistas</w:t>
            </w:r>
            <w:r>
              <w:rPr>
                <w:rFonts w:ascii="Verdana" w:eastAsia="Arial" w:hAnsi="Verdana" w:cs="Arial"/>
                <w:lang w:val="es-ES"/>
              </w:rPr>
              <w:t>,</w:t>
            </w:r>
            <w:r w:rsidRPr="007F734F">
              <w:rPr>
                <w:rFonts w:ascii="Verdana" w:eastAsia="Arial" w:hAnsi="Verdana" w:cs="Arial"/>
                <w:lang w:val="es-ES"/>
              </w:rPr>
              <w:t xml:space="preserve"> ni aporte</w:t>
            </w:r>
            <w:r>
              <w:rPr>
                <w:rFonts w:ascii="Verdana" w:eastAsia="Arial" w:hAnsi="Verdana" w:cs="Arial"/>
                <w:lang w:val="es-ES"/>
              </w:rPr>
              <w:t>n</w:t>
            </w:r>
            <w:r w:rsidRPr="007F734F">
              <w:rPr>
                <w:rFonts w:ascii="Verdana" w:eastAsia="Arial" w:hAnsi="Verdana" w:cs="Arial"/>
                <w:lang w:val="es-ES"/>
              </w:rPr>
              <w:t xml:space="preserve"> las planillas de pago.</w:t>
            </w:r>
          </w:p>
          <w:p w14:paraId="0C3DA89F" w14:textId="77777777" w:rsidR="0044771E" w:rsidRDefault="0044771E" w:rsidP="003210AE">
            <w:pPr>
              <w:widowControl w:val="0"/>
              <w:autoSpaceDE w:val="0"/>
              <w:autoSpaceDN w:val="0"/>
              <w:spacing w:after="120" w:line="276" w:lineRule="auto"/>
              <w:ind w:firstLine="738"/>
              <w:jc w:val="both"/>
              <w:rPr>
                <w:rFonts w:ascii="Verdana" w:eastAsia="Arial" w:hAnsi="Verdana" w:cs="Arial"/>
                <w:lang w:val="es-ES"/>
              </w:rPr>
            </w:pPr>
            <w:r>
              <w:rPr>
                <w:rFonts w:ascii="Verdana" w:eastAsia="Arial" w:hAnsi="Verdana" w:cs="Arial"/>
                <w:lang w:val="es-ES"/>
              </w:rPr>
              <w:t xml:space="preserve">Se concluye de lo anterior que los proponentes que tengan la calidad de personas </w:t>
            </w:r>
            <w:proofErr w:type="gramStart"/>
            <w:r>
              <w:rPr>
                <w:rFonts w:ascii="Verdana" w:eastAsia="Arial" w:hAnsi="Verdana" w:cs="Arial"/>
                <w:lang w:val="es-ES"/>
              </w:rPr>
              <w:t>jurídicas,</w:t>
            </w:r>
            <w:proofErr w:type="gramEnd"/>
            <w:r>
              <w:rPr>
                <w:rFonts w:ascii="Verdana" w:eastAsia="Arial" w:hAnsi="Verdana" w:cs="Arial"/>
                <w:lang w:val="es-ES"/>
              </w:rPr>
              <w:t xml:space="preserve"> únicamente deberán acreditar el pago de los aportes quienes cumplan con la condición de ser </w:t>
            </w:r>
            <w:r w:rsidRPr="00341944">
              <w:rPr>
                <w:rFonts w:ascii="Verdana" w:eastAsia="Arial" w:hAnsi="Verdana" w:cs="Arial"/>
                <w:i/>
                <w:iCs/>
                <w:lang w:val="es-ES"/>
              </w:rPr>
              <w:t>empleados</w:t>
            </w:r>
            <w:r>
              <w:rPr>
                <w:rFonts w:ascii="Verdana" w:eastAsia="Arial" w:hAnsi="Verdana" w:cs="Arial"/>
                <w:i/>
                <w:iCs/>
                <w:lang w:val="es-ES"/>
              </w:rPr>
              <w:t xml:space="preserve">, </w:t>
            </w:r>
            <w:r w:rsidRPr="005772FF">
              <w:rPr>
                <w:rFonts w:ascii="Verdana" w:eastAsia="Arial" w:hAnsi="Verdana" w:cs="Arial"/>
                <w:lang w:val="es-ES"/>
              </w:rPr>
              <w:t xml:space="preserve">en los términos </w:t>
            </w:r>
            <w:r>
              <w:rPr>
                <w:rFonts w:ascii="Verdana" w:eastAsia="Arial" w:hAnsi="Verdana" w:cs="Arial"/>
                <w:lang w:val="es-ES"/>
              </w:rPr>
              <w:t xml:space="preserve">exigidos </w:t>
            </w:r>
            <w:r w:rsidRPr="005772FF">
              <w:rPr>
                <w:rFonts w:ascii="Verdana" w:eastAsia="Arial" w:hAnsi="Verdana" w:cs="Arial"/>
                <w:lang w:val="es-ES"/>
              </w:rPr>
              <w:t>e</w:t>
            </w:r>
            <w:r>
              <w:rPr>
                <w:rFonts w:ascii="Verdana" w:eastAsia="Arial" w:hAnsi="Verdana" w:cs="Arial"/>
                <w:lang w:val="es-ES"/>
              </w:rPr>
              <w:t>n</w:t>
            </w:r>
            <w:r w:rsidRPr="005772FF">
              <w:rPr>
                <w:rFonts w:ascii="Verdana" w:eastAsia="Arial" w:hAnsi="Verdana" w:cs="Arial"/>
                <w:lang w:val="es-ES"/>
              </w:rPr>
              <w:t xml:space="preserve"> la Ley 789 de 2002.</w:t>
            </w:r>
            <w:r>
              <w:rPr>
                <w:rFonts w:ascii="Verdana" w:eastAsia="Arial" w:hAnsi="Verdana" w:cs="Arial"/>
                <w:lang w:val="es-ES"/>
              </w:rPr>
              <w:t xml:space="preserve"> En concordancia, no deberán acreditar dichos pagos con respecto a quienes cuenten con un tipo de vinculación distinta, como es el caso de aquellos contratados mediante prestación de servicios. </w:t>
            </w:r>
          </w:p>
          <w:p w14:paraId="347A8C3E" w14:textId="77777777" w:rsidR="0044771E" w:rsidRPr="002C7E7A" w:rsidRDefault="0044771E" w:rsidP="003210AE">
            <w:pPr>
              <w:widowControl w:val="0"/>
              <w:autoSpaceDE w:val="0"/>
              <w:autoSpaceDN w:val="0"/>
              <w:spacing w:after="120" w:line="276" w:lineRule="auto"/>
              <w:ind w:firstLine="709"/>
              <w:jc w:val="both"/>
              <w:rPr>
                <w:rFonts w:ascii="Verdana" w:eastAsia="Arial" w:hAnsi="Verdana" w:cs="Arial"/>
                <w:lang w:val="es-ES"/>
              </w:rPr>
            </w:pPr>
            <w:r>
              <w:rPr>
                <w:rFonts w:ascii="Verdana" w:eastAsia="Arial" w:hAnsi="Verdana" w:cs="Arial"/>
                <w:lang w:val="es-ES"/>
              </w:rPr>
              <w:t xml:space="preserve">De cualquier modo, la persona jurídica deberá acreditar con la presentación de la oferta el </w:t>
            </w:r>
            <w:r w:rsidRPr="00CB781B">
              <w:rPr>
                <w:rFonts w:ascii="Verdana" w:eastAsia="Arial" w:hAnsi="Verdana" w:cs="Arial"/>
                <w:lang w:val="es-ES"/>
              </w:rPr>
              <w:t xml:space="preserve">pago de los aportes al Sistema de </w:t>
            </w:r>
            <w:r>
              <w:rPr>
                <w:rFonts w:ascii="Verdana" w:eastAsia="Arial" w:hAnsi="Verdana" w:cs="Arial"/>
                <w:lang w:val="es-ES"/>
              </w:rPr>
              <w:t>S</w:t>
            </w:r>
            <w:r w:rsidRPr="00CB781B">
              <w:rPr>
                <w:rFonts w:ascii="Verdana" w:eastAsia="Arial" w:hAnsi="Verdana" w:cs="Arial"/>
                <w:lang w:val="es-ES"/>
              </w:rPr>
              <w:t>eguridad Social de</w:t>
            </w:r>
            <w:r>
              <w:rPr>
                <w:rFonts w:ascii="Verdana" w:eastAsia="Arial" w:hAnsi="Verdana" w:cs="Arial"/>
                <w:lang w:val="es-ES"/>
              </w:rPr>
              <w:t xml:space="preserve"> sus empleados, por lo que</w:t>
            </w:r>
            <w:r w:rsidRPr="00CB781B">
              <w:rPr>
                <w:rFonts w:ascii="Verdana" w:eastAsia="Arial" w:hAnsi="Verdana" w:cs="Arial"/>
                <w:lang w:val="es-ES"/>
              </w:rPr>
              <w:t xml:space="preserve"> </w:t>
            </w:r>
            <w:r>
              <w:rPr>
                <w:rFonts w:ascii="Verdana" w:eastAsia="Arial" w:hAnsi="Verdana" w:cs="Arial"/>
                <w:lang w:val="es-ES"/>
              </w:rPr>
              <w:t>é</w:t>
            </w:r>
            <w:r w:rsidRPr="00CB781B">
              <w:rPr>
                <w:rFonts w:ascii="Verdana" w:eastAsia="Arial" w:hAnsi="Verdana" w:cs="Arial"/>
                <w:lang w:val="es-ES"/>
              </w:rPr>
              <w:t>ste constituye un criterio de admisión de</w:t>
            </w:r>
            <w:r>
              <w:rPr>
                <w:rFonts w:ascii="Verdana" w:eastAsia="Arial" w:hAnsi="Verdana" w:cs="Arial"/>
                <w:lang w:val="es-ES"/>
              </w:rPr>
              <w:t xml:space="preserve"> su propuesta. Lo anterior,</w:t>
            </w:r>
            <w:r w:rsidRPr="00CB781B">
              <w:rPr>
                <w:rFonts w:ascii="Verdana" w:eastAsia="Arial" w:hAnsi="Verdana" w:cs="Arial"/>
                <w:lang w:val="es-ES"/>
              </w:rPr>
              <w:t xml:space="preserve"> sin perjuicio de que durante la ejecución del contrato también se acredite para </w:t>
            </w:r>
            <w:r>
              <w:rPr>
                <w:rFonts w:ascii="Verdana" w:eastAsia="Arial" w:hAnsi="Verdana" w:cs="Arial"/>
                <w:lang w:val="es-ES"/>
              </w:rPr>
              <w:t xml:space="preserve">que la entidad </w:t>
            </w:r>
            <w:r w:rsidRPr="00CB781B">
              <w:rPr>
                <w:rFonts w:ascii="Verdana" w:eastAsia="Arial" w:hAnsi="Verdana" w:cs="Arial"/>
                <w:lang w:val="es-ES"/>
              </w:rPr>
              <w:t>pag</w:t>
            </w:r>
            <w:r>
              <w:rPr>
                <w:rFonts w:ascii="Verdana" w:eastAsia="Arial" w:hAnsi="Verdana" w:cs="Arial"/>
                <w:lang w:val="es-ES"/>
              </w:rPr>
              <w:t>ue</w:t>
            </w:r>
            <w:r w:rsidRPr="00CB781B">
              <w:rPr>
                <w:rFonts w:ascii="Verdana" w:eastAsia="Arial" w:hAnsi="Verdana" w:cs="Arial"/>
                <w:lang w:val="es-ES"/>
              </w:rPr>
              <w:t xml:space="preserve"> las cuentas o facturas</w:t>
            </w:r>
            <w:r>
              <w:rPr>
                <w:rFonts w:ascii="Verdana" w:eastAsia="Arial" w:hAnsi="Verdana" w:cs="Arial"/>
                <w:lang w:val="es-ES"/>
              </w:rPr>
              <w:t xml:space="preserve"> correspondientes</w:t>
            </w:r>
            <w:r w:rsidRPr="00CB781B">
              <w:rPr>
                <w:rFonts w:ascii="Verdana" w:eastAsia="Arial" w:hAnsi="Verdana" w:cs="Arial"/>
                <w:lang w:val="es-ES"/>
              </w:rPr>
              <w:t>. En los casos en los que opere, también constitu</w:t>
            </w:r>
            <w:r>
              <w:rPr>
                <w:rFonts w:ascii="Verdana" w:eastAsia="Arial" w:hAnsi="Verdana" w:cs="Arial"/>
                <w:lang w:val="es-ES"/>
              </w:rPr>
              <w:t>irá</w:t>
            </w:r>
            <w:r w:rsidRPr="00CB781B">
              <w:rPr>
                <w:rFonts w:ascii="Verdana" w:eastAsia="Arial" w:hAnsi="Verdana" w:cs="Arial"/>
                <w:lang w:val="es-ES"/>
              </w:rPr>
              <w:t xml:space="preserve"> un requisito para la liquidación.</w:t>
            </w:r>
          </w:p>
          <w:p w14:paraId="5C62EE01" w14:textId="77777777" w:rsidR="0044771E" w:rsidRPr="0042565D" w:rsidRDefault="0044771E">
            <w:pPr>
              <w:widowControl w:val="0"/>
              <w:autoSpaceDE w:val="0"/>
              <w:autoSpaceDN w:val="0"/>
              <w:spacing w:before="120" w:after="120" w:line="276" w:lineRule="auto"/>
              <w:ind w:firstLine="708"/>
              <w:jc w:val="both"/>
              <w:rPr>
                <w:rFonts w:ascii="Verdana" w:hAnsi="Verdana" w:cs="Arial"/>
                <w:lang w:val="es-ES"/>
              </w:rPr>
            </w:pPr>
            <w:r w:rsidRPr="00E10433">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tc>
      </w:tr>
    </w:tbl>
    <w:p w14:paraId="03D427AF" w14:textId="77777777" w:rsidR="0044771E" w:rsidRPr="00E10433" w:rsidRDefault="0044771E" w:rsidP="0044771E">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7D0323BC" w14:textId="77777777" w:rsidR="0044771E" w:rsidRPr="00E10433" w:rsidRDefault="0044771E" w:rsidP="0044771E">
      <w:pPr>
        <w:pStyle w:val="Prrafodelista"/>
        <w:numPr>
          <w:ilvl w:val="0"/>
          <w:numId w:val="17"/>
        </w:numPr>
        <w:tabs>
          <w:tab w:val="left" w:pos="142"/>
          <w:tab w:val="left" w:pos="284"/>
        </w:tabs>
        <w:spacing w:after="0" w:line="276" w:lineRule="auto"/>
        <w:jc w:val="both"/>
        <w:rPr>
          <w:rFonts w:ascii="Verdana" w:eastAsia="Century Gothic" w:hAnsi="Verdana" w:cs="Century Gothic"/>
          <w:b/>
          <w:color w:val="000000" w:themeColor="text1"/>
        </w:rPr>
      </w:pPr>
      <w:r w:rsidRPr="00E10433">
        <w:rPr>
          <w:rFonts w:ascii="Verdana" w:eastAsia="Century Gothic" w:hAnsi="Verdana" w:cs="Century Gothic"/>
          <w:b/>
          <w:color w:val="000000" w:themeColor="text1"/>
        </w:rPr>
        <w:t>Razones de la respuesta:</w:t>
      </w:r>
    </w:p>
    <w:p w14:paraId="7C7EE837" w14:textId="77777777" w:rsidR="0044771E" w:rsidRDefault="0044771E" w:rsidP="0044771E">
      <w:pPr>
        <w:spacing w:after="0" w:line="276" w:lineRule="auto"/>
        <w:jc w:val="both"/>
        <w:rPr>
          <w:rFonts w:ascii="Verdana" w:eastAsia="Calibri" w:hAnsi="Verdana" w:cs="Arial"/>
          <w:color w:val="000000" w:themeColor="text1"/>
          <w:lang w:val="es-ES"/>
        </w:rPr>
      </w:pPr>
    </w:p>
    <w:p w14:paraId="2B9F8F2D" w14:textId="77777777" w:rsidR="0044771E" w:rsidRPr="00FE5A24" w:rsidRDefault="0044771E" w:rsidP="0044771E">
      <w:pPr>
        <w:spacing w:after="0" w:line="276" w:lineRule="auto"/>
        <w:jc w:val="both"/>
        <w:rPr>
          <w:rFonts w:ascii="Verdana" w:eastAsia="Calibri" w:hAnsi="Verdana" w:cs="Arial"/>
          <w:color w:val="000000" w:themeColor="text1"/>
          <w:lang w:val="es-ES"/>
        </w:rPr>
      </w:pPr>
      <w:r w:rsidRPr="00FE5A24">
        <w:rPr>
          <w:rFonts w:ascii="Verdana" w:eastAsia="Calibri" w:hAnsi="Verdana" w:cs="Arial"/>
          <w:color w:val="000000" w:themeColor="text1"/>
          <w:lang w:val="es-ES"/>
        </w:rPr>
        <w:lastRenderedPageBreak/>
        <w:t xml:space="preserve">Lo anterior se sustenta en las siguientes consideraciones: </w:t>
      </w:r>
    </w:p>
    <w:p w14:paraId="23447B4E" w14:textId="77777777" w:rsidR="0044771E" w:rsidRPr="00E10433" w:rsidRDefault="0044771E" w:rsidP="0044771E">
      <w:pPr>
        <w:spacing w:after="0" w:line="276" w:lineRule="auto"/>
        <w:jc w:val="both"/>
        <w:rPr>
          <w:rFonts w:ascii="Verdana" w:eastAsia="Calibri" w:hAnsi="Verdana" w:cs="Arial"/>
          <w:color w:val="000000" w:themeColor="text1"/>
          <w:lang w:val="es-ES"/>
        </w:rPr>
      </w:pPr>
    </w:p>
    <w:p w14:paraId="153B1D88" w14:textId="77777777" w:rsidR="0044771E" w:rsidRPr="00385241" w:rsidRDefault="0044771E" w:rsidP="0044771E">
      <w:pPr>
        <w:widowControl w:val="0"/>
        <w:autoSpaceDE w:val="0"/>
        <w:autoSpaceDN w:val="0"/>
        <w:spacing w:after="120" w:line="276" w:lineRule="auto"/>
        <w:jc w:val="both"/>
        <w:rPr>
          <w:rStyle w:val="normaltextrun"/>
          <w:rFonts w:ascii="Verdana" w:hAnsi="Verdana"/>
          <w:color w:val="000000" w:themeColor="text1"/>
          <w:shd w:val="clear" w:color="auto" w:fill="FFFFFF"/>
        </w:rPr>
      </w:pPr>
      <w:bookmarkStart w:id="1" w:name="_Hlk102983874"/>
      <w:bookmarkStart w:id="2" w:name="_Hlk102388095"/>
      <w:r w:rsidRPr="00385241">
        <w:rPr>
          <w:rStyle w:val="normaltextrun"/>
          <w:rFonts w:ascii="Verdana" w:hAnsi="Verdana"/>
          <w:color w:val="000000" w:themeColor="text1"/>
          <w:shd w:val="clear" w:color="auto" w:fill="FFFFFF"/>
        </w:rPr>
        <w:t>La Seguridad Social es un servicio público obligatorio, cuya dirección, coordinación y control está a cargo del Estado y es prestado por entidades públicas y privadas. Mediante esta se evitan desequilibrios económicos y sociales que, de no resolverse, significarían la reducción o la pérdida de los ingresos por causa de contingencias como la enfermedad, los accidentes, la maternidad o el desempleo, entre otras. De acuerdo con la Ley 100 de 1993, el Sistema de Seguridad Social Integral en Colombia se compone de los sistemas de pensiones, de salud y de riesgos laborales y de los servicios sociales complementarios.</w:t>
      </w:r>
    </w:p>
    <w:p w14:paraId="17E894BE" w14:textId="77777777" w:rsidR="0044771E" w:rsidRPr="00385241" w:rsidRDefault="0044771E" w:rsidP="0044771E">
      <w:pPr>
        <w:widowControl w:val="0"/>
        <w:autoSpaceDE w:val="0"/>
        <w:autoSpaceDN w:val="0"/>
        <w:spacing w:after="120" w:line="276" w:lineRule="auto"/>
        <w:jc w:val="both"/>
        <w:rPr>
          <w:rStyle w:val="normaltextrun"/>
          <w:rFonts w:ascii="Verdana" w:hAnsi="Verdana"/>
          <w:color w:val="000000" w:themeColor="text1"/>
          <w:shd w:val="clear" w:color="auto" w:fill="FFFFFF"/>
        </w:rPr>
      </w:pPr>
      <w:r w:rsidRPr="00385241">
        <w:rPr>
          <w:rStyle w:val="normaltextrun"/>
          <w:rFonts w:ascii="Verdana" w:hAnsi="Verdana"/>
          <w:color w:val="000000" w:themeColor="text1"/>
          <w:shd w:val="clear" w:color="auto" w:fill="FFFFFF"/>
        </w:rPr>
        <w:tab/>
        <w:t xml:space="preserve">En materia de contratación estatal, el texto original del artículo 41 de la Ley 80 de 1993 dispuso que los requisitos para perfeccionar el contrato son: i) el acuerdo sobre el objeto y la contraprestación, y </w:t>
      </w:r>
      <w:proofErr w:type="spellStart"/>
      <w:r w:rsidRPr="00385241">
        <w:rPr>
          <w:rStyle w:val="normaltextrun"/>
          <w:rFonts w:ascii="Verdana" w:hAnsi="Verdana"/>
          <w:color w:val="000000" w:themeColor="text1"/>
          <w:shd w:val="clear" w:color="auto" w:fill="FFFFFF"/>
        </w:rPr>
        <w:t>ii</w:t>
      </w:r>
      <w:proofErr w:type="spellEnd"/>
      <w:r w:rsidRPr="00385241">
        <w:rPr>
          <w:rStyle w:val="normaltextrun"/>
          <w:rFonts w:ascii="Verdana" w:hAnsi="Verdana"/>
          <w:color w:val="000000" w:themeColor="text1"/>
          <w:shd w:val="clear" w:color="auto" w:fill="FFFFFF"/>
        </w:rPr>
        <w:t xml:space="preserve">) que conste por escrito. Por su parte, para iniciar la ejecución se requiere: i) la constitución y aprobación de la garantía y </w:t>
      </w:r>
      <w:proofErr w:type="spellStart"/>
      <w:r w:rsidRPr="00385241">
        <w:rPr>
          <w:rStyle w:val="normaltextrun"/>
          <w:rFonts w:ascii="Verdana" w:hAnsi="Verdana"/>
          <w:color w:val="000000" w:themeColor="text1"/>
          <w:shd w:val="clear" w:color="auto" w:fill="FFFFFF"/>
        </w:rPr>
        <w:t>ii</w:t>
      </w:r>
      <w:proofErr w:type="spellEnd"/>
      <w:r w:rsidRPr="00385241">
        <w:rPr>
          <w:rStyle w:val="normaltextrun"/>
          <w:rFonts w:ascii="Verdana" w:hAnsi="Verdana"/>
          <w:color w:val="000000" w:themeColor="text1"/>
          <w:shd w:val="clear" w:color="auto" w:fill="FFFFFF"/>
        </w:rPr>
        <w:t>) la existencia del registro presupuestal, salvo que se tratara de la contratación con recursos de vigencias fiscales futuras, de conformidad con lo previsto en la Ley Orgánica del Presupuesto, condiciones que solo son posibles cumplir una vez se haya suscrito el contrato. Posteriormente, el artículo 23 de la Ley 1150 de 2007 modificó el inciso segundo del artículo 41 de la Ley 80 de 1993, incluyendo la obligación, para los proponentes y contratistas, de acreditar estar a paz y salvo con los aportes parafiscales al Sistema de Seguridad Social Integral.</w:t>
      </w:r>
    </w:p>
    <w:p w14:paraId="509F088D" w14:textId="77777777" w:rsidR="0044771E" w:rsidRDefault="0044771E" w:rsidP="0044771E">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sidRPr="00385241">
        <w:rPr>
          <w:rStyle w:val="normaltextrun"/>
          <w:rFonts w:ascii="Verdana" w:hAnsi="Verdana"/>
          <w:color w:val="000000" w:themeColor="text1"/>
          <w:shd w:val="clear" w:color="auto" w:fill="FFFFFF"/>
        </w:rPr>
        <w:t>Por su parte, el artículo 50 de la Ley 789 de 2002 dispuso como obligación de quien quiere celebrar, renovar o liquidar contratos de cualquier naturaleza con entidades</w:t>
      </w:r>
      <w:r>
        <w:rPr>
          <w:rStyle w:val="normaltextrun"/>
          <w:rFonts w:ascii="Verdana" w:hAnsi="Verdana"/>
          <w:color w:val="000000" w:themeColor="text1"/>
          <w:shd w:val="clear" w:color="auto" w:fill="FFFFFF"/>
        </w:rPr>
        <w:t xml:space="preserve"> estatales</w:t>
      </w:r>
      <w:r w:rsidRPr="00385241">
        <w:rPr>
          <w:rStyle w:val="normaltextrun"/>
          <w:rFonts w:ascii="Verdana" w:hAnsi="Verdana"/>
          <w:color w:val="000000" w:themeColor="text1"/>
          <w:shd w:val="clear" w:color="auto" w:fill="FFFFFF"/>
        </w:rPr>
        <w:t>, cumplir con las obligaciones a los sistemas de salud, riesgos profesionales, pensiones y aportes a la Caja de Compensación Familiar, Instituto Colombiano de Bienestar Familiar y Servicio Nacional de Aprendizaje. Asimismo, faculta a la entidad estatal, al momento de liquidar los contratos, para verificar y dejar constancia del cumplimiento de las obligaciones del contratista frente a los aportes mencionados durante toda su vigencia, estableciendo una correcta relación entre el monto cancelado y las sumas que debió cotizar</w:t>
      </w:r>
      <w:r w:rsidRPr="000C2285">
        <w:rPr>
          <w:rStyle w:val="normaltextrun"/>
          <w:rFonts w:ascii="Verdana" w:hAnsi="Verdana"/>
          <w:color w:val="000000" w:themeColor="text1"/>
          <w:shd w:val="clear" w:color="auto" w:fill="FFFFFF"/>
          <w:vertAlign w:val="superscript"/>
        </w:rPr>
        <w:footnoteReference w:id="1"/>
      </w:r>
      <w:r w:rsidRPr="00385241">
        <w:rPr>
          <w:rStyle w:val="normaltextrun"/>
          <w:rFonts w:ascii="Verdana" w:hAnsi="Verdana"/>
          <w:color w:val="000000" w:themeColor="text1"/>
          <w:shd w:val="clear" w:color="auto" w:fill="FFFFFF"/>
        </w:rPr>
        <w:t>.</w:t>
      </w:r>
    </w:p>
    <w:p w14:paraId="0017E6AA" w14:textId="77777777" w:rsidR="0044771E" w:rsidRPr="003A426C" w:rsidRDefault="0044771E" w:rsidP="0044771E">
      <w:pPr>
        <w:widowControl w:val="0"/>
        <w:autoSpaceDE w:val="0"/>
        <w:autoSpaceDN w:val="0"/>
        <w:spacing w:after="120" w:line="276" w:lineRule="auto"/>
        <w:ind w:firstLine="709"/>
        <w:jc w:val="both"/>
        <w:rPr>
          <w:rStyle w:val="normaltextrun"/>
          <w:rFonts w:ascii="Verdana" w:hAnsi="Verdana"/>
          <w:color w:val="000000" w:themeColor="text1"/>
          <w:shd w:val="clear" w:color="auto" w:fill="FFFFFF"/>
        </w:rPr>
      </w:pPr>
      <w:r w:rsidRPr="003A426C">
        <w:rPr>
          <w:rStyle w:val="normaltextrun"/>
          <w:rFonts w:ascii="Verdana" w:hAnsi="Verdana"/>
          <w:color w:val="000000" w:themeColor="text1"/>
          <w:shd w:val="clear" w:color="auto" w:fill="FFFFFF"/>
        </w:rPr>
        <w:lastRenderedPageBreak/>
        <w:t xml:space="preserve">Además, el artículo referido aclara que las personas jurídicas que quieran celebrar contratos con las entidades estatales deben acreditar el pago al sistema de seguridad social de sus </w:t>
      </w:r>
      <w:r w:rsidRPr="00F7651F">
        <w:rPr>
          <w:rStyle w:val="normaltextrun"/>
          <w:rFonts w:ascii="Verdana" w:hAnsi="Verdana"/>
          <w:i/>
          <w:iCs/>
          <w:color w:val="000000" w:themeColor="text1"/>
          <w:shd w:val="clear" w:color="auto" w:fill="FFFFFF"/>
        </w:rPr>
        <w:t>empleados</w:t>
      </w:r>
      <w:r w:rsidRPr="003A426C">
        <w:rPr>
          <w:rStyle w:val="normaltextrun"/>
          <w:rFonts w:ascii="Verdana" w:hAnsi="Verdana"/>
          <w:color w:val="000000" w:themeColor="text1"/>
          <w:shd w:val="clear" w:color="auto" w:fill="FFFFFF"/>
        </w:rPr>
        <w:t>, mediante una certificación expedida por el revisor fiscal o por el representante legal, durante un lapso equivalente al que exija el respectivo régimen de contratación para que se hubiera constituido la sociedad, el cual no será inferior a los seis (6) meses anteriores a la celebración del contrato. En este sentido, la ley señala que para presentar la oferta las personas jurídicas deben acreditar el requisito señalado anteriormente.</w:t>
      </w:r>
    </w:p>
    <w:p w14:paraId="2FF8A847" w14:textId="77777777" w:rsidR="0044771E" w:rsidRDefault="0044771E" w:rsidP="0044771E">
      <w:pPr>
        <w:widowControl w:val="0"/>
        <w:autoSpaceDE w:val="0"/>
        <w:autoSpaceDN w:val="0"/>
        <w:spacing w:after="120" w:line="276" w:lineRule="auto"/>
        <w:ind w:firstLine="708"/>
        <w:jc w:val="both"/>
        <w:rPr>
          <w:rFonts w:ascii="Verdana" w:eastAsia="Arial" w:hAnsi="Verdana" w:cs="Arial"/>
          <w:spacing w:val="-8"/>
          <w:lang w:val="es-ES"/>
        </w:rPr>
      </w:pPr>
      <w:r w:rsidRPr="003A426C">
        <w:rPr>
          <w:rFonts w:ascii="Verdana" w:eastAsia="Arial" w:hAnsi="Verdana" w:cs="Arial"/>
          <w:lang w:val="es-ES"/>
        </w:rPr>
        <w:t>Esta norma fue analizada por la Sección Tercera del Consejo de Estado, que consideró</w:t>
      </w:r>
      <w:r w:rsidRPr="003A426C">
        <w:rPr>
          <w:rFonts w:ascii="Verdana" w:eastAsia="Arial" w:hAnsi="Verdana" w:cs="Arial"/>
          <w:spacing w:val="-6"/>
          <w:lang w:val="es-ES"/>
        </w:rPr>
        <w:t xml:space="preserve"> </w:t>
      </w:r>
      <w:r w:rsidRPr="003A426C">
        <w:rPr>
          <w:rFonts w:ascii="Verdana" w:eastAsia="Arial" w:hAnsi="Verdana" w:cs="Arial"/>
          <w:lang w:val="es-ES"/>
        </w:rPr>
        <w:t>que</w:t>
      </w:r>
      <w:r w:rsidRPr="003A426C">
        <w:rPr>
          <w:rFonts w:ascii="Verdana" w:eastAsia="Arial" w:hAnsi="Verdana" w:cs="Arial"/>
          <w:spacing w:val="-6"/>
          <w:lang w:val="es-ES"/>
        </w:rPr>
        <w:t xml:space="preserve"> </w:t>
      </w:r>
      <w:r w:rsidRPr="003A426C">
        <w:rPr>
          <w:rFonts w:ascii="Verdana" w:eastAsia="Arial" w:hAnsi="Verdana" w:cs="Arial"/>
          <w:lang w:val="es-ES"/>
        </w:rPr>
        <w:t>el</w:t>
      </w:r>
      <w:r w:rsidRPr="003A426C">
        <w:rPr>
          <w:rFonts w:ascii="Verdana" w:eastAsia="Arial" w:hAnsi="Verdana" w:cs="Arial"/>
          <w:spacing w:val="-5"/>
          <w:lang w:val="es-ES"/>
        </w:rPr>
        <w:t xml:space="preserve"> </w:t>
      </w:r>
      <w:r w:rsidRPr="003A426C">
        <w:rPr>
          <w:rFonts w:ascii="Verdana" w:eastAsia="Arial" w:hAnsi="Verdana" w:cs="Arial"/>
          <w:lang w:val="es-ES"/>
        </w:rPr>
        <w:t>artículo</w:t>
      </w:r>
      <w:r w:rsidRPr="003A426C">
        <w:rPr>
          <w:rFonts w:ascii="Verdana" w:eastAsia="Arial" w:hAnsi="Verdana" w:cs="Arial"/>
          <w:spacing w:val="-6"/>
          <w:lang w:val="es-ES"/>
        </w:rPr>
        <w:t xml:space="preserve"> </w:t>
      </w:r>
      <w:r w:rsidRPr="003A426C">
        <w:rPr>
          <w:rFonts w:ascii="Verdana" w:eastAsia="Arial" w:hAnsi="Verdana" w:cs="Arial"/>
          <w:lang w:val="es-ES"/>
        </w:rPr>
        <w:t>50</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5"/>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Ley</w:t>
      </w:r>
      <w:r w:rsidRPr="003A426C">
        <w:rPr>
          <w:rFonts w:ascii="Verdana" w:eastAsia="Arial" w:hAnsi="Verdana" w:cs="Arial"/>
          <w:spacing w:val="-5"/>
          <w:lang w:val="es-ES"/>
        </w:rPr>
        <w:t xml:space="preserve"> </w:t>
      </w:r>
      <w:r w:rsidRPr="003A426C">
        <w:rPr>
          <w:rFonts w:ascii="Verdana" w:eastAsia="Arial" w:hAnsi="Verdana" w:cs="Arial"/>
          <w:lang w:val="es-ES"/>
        </w:rPr>
        <w:t>789</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6"/>
          <w:lang w:val="es-ES"/>
        </w:rPr>
        <w:t xml:space="preserve"> </w:t>
      </w:r>
      <w:r w:rsidRPr="003A426C">
        <w:rPr>
          <w:rFonts w:ascii="Verdana" w:eastAsia="Arial" w:hAnsi="Verdana" w:cs="Arial"/>
          <w:lang w:val="es-ES"/>
        </w:rPr>
        <w:t>2002</w:t>
      </w:r>
      <w:r w:rsidRPr="003A426C">
        <w:rPr>
          <w:rFonts w:ascii="Verdana" w:eastAsia="Arial" w:hAnsi="Verdana" w:cs="Arial"/>
          <w:spacing w:val="-5"/>
          <w:lang w:val="es-ES"/>
        </w:rPr>
        <w:t xml:space="preserve"> </w:t>
      </w:r>
      <w:r w:rsidRPr="003A426C">
        <w:rPr>
          <w:rFonts w:ascii="Verdana" w:eastAsia="Arial" w:hAnsi="Verdana" w:cs="Arial"/>
          <w:lang w:val="es-ES"/>
        </w:rPr>
        <w:t>tiene</w:t>
      </w:r>
      <w:r w:rsidRPr="003A426C">
        <w:rPr>
          <w:rFonts w:ascii="Verdana" w:eastAsia="Arial" w:hAnsi="Verdana" w:cs="Arial"/>
          <w:spacing w:val="-5"/>
          <w:lang w:val="es-ES"/>
        </w:rPr>
        <w:t xml:space="preserve"> </w:t>
      </w:r>
      <w:r w:rsidRPr="003A426C">
        <w:rPr>
          <w:rFonts w:ascii="Verdana" w:eastAsia="Arial" w:hAnsi="Verdana" w:cs="Arial"/>
          <w:lang w:val="es-ES"/>
        </w:rPr>
        <w:t>por</w:t>
      </w:r>
      <w:r w:rsidRPr="003A426C">
        <w:rPr>
          <w:rFonts w:ascii="Verdana" w:eastAsia="Arial" w:hAnsi="Verdana" w:cs="Arial"/>
          <w:spacing w:val="-6"/>
          <w:lang w:val="es-ES"/>
        </w:rPr>
        <w:t xml:space="preserve"> </w:t>
      </w:r>
      <w:r w:rsidRPr="003A426C">
        <w:rPr>
          <w:rFonts w:ascii="Verdana" w:eastAsia="Arial" w:hAnsi="Verdana" w:cs="Arial"/>
          <w:lang w:val="es-ES"/>
        </w:rPr>
        <w:t>objeto</w:t>
      </w:r>
      <w:r w:rsidRPr="003A426C">
        <w:rPr>
          <w:rFonts w:ascii="Verdana" w:eastAsia="Arial" w:hAnsi="Verdana" w:cs="Arial"/>
          <w:spacing w:val="-5"/>
          <w:lang w:val="es-ES"/>
        </w:rPr>
        <w:t xml:space="preserve"> </w:t>
      </w:r>
      <w:r w:rsidRPr="003A426C">
        <w:rPr>
          <w:rFonts w:ascii="Verdana" w:eastAsia="Arial" w:hAnsi="Verdana" w:cs="Arial"/>
          <w:lang w:val="es-ES"/>
        </w:rPr>
        <w:t>evitar</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5"/>
          <w:lang w:val="es-ES"/>
        </w:rPr>
        <w:t xml:space="preserve"> </w:t>
      </w:r>
      <w:r w:rsidRPr="003A426C">
        <w:rPr>
          <w:rFonts w:ascii="Verdana" w:eastAsia="Arial" w:hAnsi="Verdana" w:cs="Arial"/>
          <w:lang w:val="es-ES"/>
        </w:rPr>
        <w:t>evasión</w:t>
      </w:r>
      <w:r w:rsidRPr="003A426C">
        <w:rPr>
          <w:rFonts w:ascii="Verdana" w:eastAsia="Arial" w:hAnsi="Verdana" w:cs="Arial"/>
          <w:spacing w:val="-6"/>
          <w:lang w:val="es-ES"/>
        </w:rPr>
        <w:t xml:space="preserve"> </w:t>
      </w:r>
      <w:r w:rsidRPr="003A426C">
        <w:rPr>
          <w:rFonts w:ascii="Verdana" w:eastAsia="Arial" w:hAnsi="Verdana" w:cs="Arial"/>
          <w:lang w:val="es-ES"/>
        </w:rPr>
        <w:t>por parte de los empleadores de las cotizaciones al sistema de seguridad social y de los aportes parafiscales, y para lograr esa finalidad el legislador impuso a las entidades estatales la obligación de verificar, en los procesos de selección de contratistas y durante la ejecución y liquidación de los contratos, que tanto los oferentes como los contratistas</w:t>
      </w:r>
      <w:r w:rsidRPr="003A426C">
        <w:rPr>
          <w:rFonts w:ascii="Verdana" w:eastAsia="Arial" w:hAnsi="Verdana" w:cs="Arial"/>
          <w:spacing w:val="-9"/>
          <w:lang w:val="es-ES"/>
        </w:rPr>
        <w:t xml:space="preserve"> </w:t>
      </w:r>
      <w:r w:rsidRPr="003A426C">
        <w:rPr>
          <w:rFonts w:ascii="Verdana" w:eastAsia="Arial" w:hAnsi="Verdana" w:cs="Arial"/>
          <w:lang w:val="es-ES"/>
        </w:rPr>
        <w:t>hayan</w:t>
      </w:r>
      <w:r w:rsidRPr="003A426C">
        <w:rPr>
          <w:rFonts w:ascii="Verdana" w:eastAsia="Arial" w:hAnsi="Verdana" w:cs="Arial"/>
          <w:spacing w:val="-8"/>
          <w:lang w:val="es-ES"/>
        </w:rPr>
        <w:t xml:space="preserve"> </w:t>
      </w:r>
      <w:r w:rsidRPr="003A426C">
        <w:rPr>
          <w:rFonts w:ascii="Verdana" w:eastAsia="Arial" w:hAnsi="Verdana" w:cs="Arial"/>
          <w:lang w:val="es-ES"/>
        </w:rPr>
        <w:t>realizado</w:t>
      </w:r>
      <w:r w:rsidRPr="003A426C">
        <w:rPr>
          <w:rFonts w:ascii="Verdana" w:eastAsia="Arial" w:hAnsi="Verdana" w:cs="Arial"/>
          <w:spacing w:val="-8"/>
          <w:lang w:val="es-ES"/>
        </w:rPr>
        <w:t xml:space="preserve"> </w:t>
      </w:r>
      <w:r w:rsidRPr="003A426C">
        <w:rPr>
          <w:rFonts w:ascii="Verdana" w:eastAsia="Arial" w:hAnsi="Verdana" w:cs="Arial"/>
          <w:lang w:val="es-ES"/>
        </w:rPr>
        <w:t>los</w:t>
      </w:r>
      <w:r w:rsidRPr="003A426C">
        <w:rPr>
          <w:rFonts w:ascii="Verdana" w:eastAsia="Arial" w:hAnsi="Verdana" w:cs="Arial"/>
          <w:spacing w:val="-8"/>
          <w:lang w:val="es-ES"/>
        </w:rPr>
        <w:t xml:space="preserve"> </w:t>
      </w:r>
      <w:r w:rsidRPr="003A426C">
        <w:rPr>
          <w:rFonts w:ascii="Verdana" w:eastAsia="Arial" w:hAnsi="Verdana" w:cs="Arial"/>
          <w:lang w:val="es-ES"/>
        </w:rPr>
        <w:t>aportes</w:t>
      </w:r>
      <w:r w:rsidRPr="003A426C">
        <w:rPr>
          <w:rFonts w:ascii="Verdana" w:eastAsia="Arial" w:hAnsi="Verdana" w:cs="Arial"/>
          <w:spacing w:val="-9"/>
          <w:lang w:val="es-ES"/>
        </w:rPr>
        <w:t xml:space="preserve"> </w:t>
      </w:r>
      <w:r w:rsidRPr="003A426C">
        <w:rPr>
          <w:rFonts w:ascii="Verdana" w:eastAsia="Arial" w:hAnsi="Verdana" w:cs="Arial"/>
          <w:lang w:val="es-ES"/>
        </w:rPr>
        <w:t>al</w:t>
      </w:r>
      <w:r w:rsidRPr="003A426C">
        <w:rPr>
          <w:rFonts w:ascii="Verdana" w:eastAsia="Arial" w:hAnsi="Verdana" w:cs="Arial"/>
          <w:spacing w:val="-8"/>
          <w:lang w:val="es-ES"/>
        </w:rPr>
        <w:t xml:space="preserve"> </w:t>
      </w:r>
      <w:r w:rsidRPr="003A426C">
        <w:rPr>
          <w:rFonts w:ascii="Verdana" w:eastAsia="Arial" w:hAnsi="Verdana" w:cs="Arial"/>
          <w:lang w:val="es-ES"/>
        </w:rPr>
        <w:t>Sistema</w:t>
      </w:r>
      <w:r w:rsidRPr="003A426C">
        <w:rPr>
          <w:rFonts w:ascii="Verdana" w:eastAsia="Arial" w:hAnsi="Verdana" w:cs="Arial"/>
          <w:spacing w:val="-7"/>
          <w:lang w:val="es-ES"/>
        </w:rPr>
        <w:t xml:space="preserve"> </w:t>
      </w:r>
      <w:r w:rsidRPr="003A426C">
        <w:rPr>
          <w:rFonts w:ascii="Verdana" w:eastAsia="Arial" w:hAnsi="Verdana" w:cs="Arial"/>
          <w:lang w:val="es-ES"/>
        </w:rPr>
        <w:t>de</w:t>
      </w:r>
      <w:r w:rsidRPr="003A426C">
        <w:rPr>
          <w:rFonts w:ascii="Verdana" w:eastAsia="Arial" w:hAnsi="Verdana" w:cs="Arial"/>
          <w:spacing w:val="-8"/>
          <w:lang w:val="es-ES"/>
        </w:rPr>
        <w:t xml:space="preserve"> </w:t>
      </w:r>
      <w:r w:rsidRPr="003A426C">
        <w:rPr>
          <w:rFonts w:ascii="Verdana" w:eastAsia="Arial" w:hAnsi="Verdana" w:cs="Arial"/>
          <w:lang w:val="es-ES"/>
        </w:rPr>
        <w:t>Seguridad</w:t>
      </w:r>
      <w:r w:rsidRPr="003A426C">
        <w:rPr>
          <w:rFonts w:ascii="Verdana" w:eastAsia="Arial" w:hAnsi="Verdana" w:cs="Arial"/>
          <w:spacing w:val="-7"/>
          <w:lang w:val="es-ES"/>
        </w:rPr>
        <w:t xml:space="preserve"> </w:t>
      </w:r>
      <w:r w:rsidRPr="003A426C">
        <w:rPr>
          <w:rFonts w:ascii="Verdana" w:eastAsia="Arial" w:hAnsi="Verdana" w:cs="Arial"/>
          <w:lang w:val="es-ES"/>
        </w:rPr>
        <w:t>Social</w:t>
      </w:r>
      <w:r w:rsidRPr="003A426C">
        <w:rPr>
          <w:rFonts w:ascii="Verdana" w:eastAsia="Arial" w:hAnsi="Verdana" w:cs="Arial"/>
          <w:spacing w:val="-7"/>
          <w:lang w:val="es-ES"/>
        </w:rPr>
        <w:t xml:space="preserve"> </w:t>
      </w:r>
      <w:r w:rsidRPr="003A426C">
        <w:rPr>
          <w:rFonts w:ascii="Verdana" w:eastAsia="Arial" w:hAnsi="Verdana" w:cs="Arial"/>
          <w:lang w:val="es-ES"/>
        </w:rPr>
        <w:t>Integral</w:t>
      </w:r>
      <w:r w:rsidRPr="003A426C">
        <w:rPr>
          <w:rStyle w:val="Refdenotaalpie"/>
          <w:rFonts w:ascii="Verdana" w:eastAsia="Arial" w:hAnsi="Verdana" w:cs="Arial"/>
          <w:lang w:val="es-ES"/>
        </w:rPr>
        <w:footnoteReference w:id="2"/>
      </w:r>
      <w:r w:rsidRPr="003A426C">
        <w:rPr>
          <w:rFonts w:ascii="Verdana" w:eastAsia="Arial" w:hAnsi="Verdana" w:cs="Arial"/>
          <w:lang w:val="es-ES"/>
        </w:rPr>
        <w:t>.</w:t>
      </w:r>
      <w:r w:rsidRPr="003A426C">
        <w:rPr>
          <w:rFonts w:ascii="Verdana" w:eastAsia="Arial" w:hAnsi="Verdana" w:cs="Arial"/>
          <w:spacing w:val="-8"/>
          <w:lang w:val="es-ES"/>
        </w:rPr>
        <w:t xml:space="preserve"> </w:t>
      </w:r>
    </w:p>
    <w:p w14:paraId="715C7F30" w14:textId="77777777" w:rsidR="0044771E" w:rsidRPr="003A426C" w:rsidRDefault="0044771E" w:rsidP="0044771E">
      <w:pPr>
        <w:widowControl w:val="0"/>
        <w:autoSpaceDE w:val="0"/>
        <w:autoSpaceDN w:val="0"/>
        <w:spacing w:after="0" w:line="276" w:lineRule="auto"/>
        <w:ind w:firstLine="708"/>
        <w:jc w:val="both"/>
        <w:rPr>
          <w:rFonts w:ascii="Verdana" w:eastAsia="Arial" w:hAnsi="Verdana" w:cs="Arial"/>
          <w:lang w:val="es-ES"/>
        </w:rPr>
      </w:pPr>
      <w:r w:rsidRPr="003A426C">
        <w:rPr>
          <w:rFonts w:ascii="Verdana" w:eastAsia="Arial" w:hAnsi="Verdana" w:cs="Arial"/>
          <w:lang w:val="es-ES"/>
        </w:rPr>
        <w:t>Por</w:t>
      </w:r>
      <w:r w:rsidRPr="003A426C">
        <w:rPr>
          <w:rFonts w:ascii="Verdana" w:eastAsia="Arial" w:hAnsi="Verdana" w:cs="Arial"/>
          <w:spacing w:val="-8"/>
          <w:lang w:val="es-ES"/>
        </w:rPr>
        <w:t xml:space="preserve"> </w:t>
      </w:r>
      <w:r w:rsidRPr="003A426C">
        <w:rPr>
          <w:rFonts w:ascii="Verdana" w:eastAsia="Arial" w:hAnsi="Verdana" w:cs="Arial"/>
          <w:lang w:val="es-ES"/>
        </w:rPr>
        <w:t xml:space="preserve">lo tanto, la jurisprudencia reiteró la necesidad de que las entidades estatales, </w:t>
      </w:r>
      <w:r w:rsidRPr="003A426C">
        <w:rPr>
          <w:rFonts w:ascii="Verdana" w:eastAsia="Arial" w:hAnsi="Verdana" w:cs="Arial"/>
          <w:i/>
          <w:iCs/>
          <w:lang w:val="es-ES"/>
        </w:rPr>
        <w:t>durante la ejecución de un contrato</w:t>
      </w:r>
      <w:r w:rsidRPr="003A426C">
        <w:rPr>
          <w:rFonts w:ascii="Verdana" w:eastAsia="Arial" w:hAnsi="Verdana" w:cs="Arial"/>
          <w:lang w:val="es-ES"/>
        </w:rPr>
        <w:t>, verifiquen el</w:t>
      </w:r>
      <w:r w:rsidRPr="00D61C11">
        <w:rPr>
          <w:rFonts w:ascii="Century Gothic" w:eastAsia="Arial" w:hAnsi="Century Gothic" w:cs="Arial"/>
          <w:lang w:val="es-ES"/>
        </w:rPr>
        <w:t xml:space="preserve"> </w:t>
      </w:r>
      <w:r w:rsidRPr="003A426C">
        <w:rPr>
          <w:rFonts w:ascii="Verdana" w:eastAsia="Arial" w:hAnsi="Verdana" w:cs="Arial"/>
          <w:lang w:val="es-ES"/>
        </w:rPr>
        <w:t>cumplimiento de las obligaciones del sistema de seguridad</w:t>
      </w:r>
      <w:r w:rsidRPr="003A426C">
        <w:rPr>
          <w:rFonts w:ascii="Verdana" w:eastAsia="Arial" w:hAnsi="Verdana" w:cs="Arial"/>
          <w:spacing w:val="-18"/>
          <w:lang w:val="es-ES"/>
        </w:rPr>
        <w:t xml:space="preserve"> </w:t>
      </w:r>
      <w:r w:rsidRPr="003A426C">
        <w:rPr>
          <w:rFonts w:ascii="Verdana" w:eastAsia="Arial" w:hAnsi="Verdana" w:cs="Arial"/>
          <w:lang w:val="es-ES"/>
        </w:rPr>
        <w:t>social</w:t>
      </w:r>
      <w:r w:rsidRPr="003A426C">
        <w:rPr>
          <w:rFonts w:ascii="Verdana" w:eastAsia="Arial" w:hAnsi="Verdana" w:cs="Arial"/>
          <w:spacing w:val="-17"/>
          <w:lang w:val="es-ES"/>
        </w:rPr>
        <w:t xml:space="preserve"> </w:t>
      </w:r>
      <w:r w:rsidRPr="003A426C">
        <w:rPr>
          <w:rFonts w:ascii="Verdana" w:eastAsia="Arial" w:hAnsi="Verdana" w:cs="Arial"/>
          <w:lang w:val="es-ES"/>
        </w:rPr>
        <w:t>por</w:t>
      </w:r>
      <w:r w:rsidRPr="003A426C">
        <w:rPr>
          <w:rFonts w:ascii="Verdana" w:eastAsia="Arial" w:hAnsi="Verdana" w:cs="Arial"/>
          <w:spacing w:val="-17"/>
          <w:lang w:val="es-ES"/>
        </w:rPr>
        <w:t xml:space="preserve"> </w:t>
      </w:r>
      <w:r w:rsidRPr="003A426C">
        <w:rPr>
          <w:rFonts w:ascii="Verdana" w:eastAsia="Arial" w:hAnsi="Verdana" w:cs="Arial"/>
          <w:lang w:val="es-ES"/>
        </w:rPr>
        <w:t>parte</w:t>
      </w:r>
      <w:r w:rsidRPr="003A426C">
        <w:rPr>
          <w:rFonts w:ascii="Verdana" w:eastAsia="Arial" w:hAnsi="Verdana" w:cs="Arial"/>
          <w:spacing w:val="-18"/>
          <w:lang w:val="es-ES"/>
        </w:rPr>
        <w:t xml:space="preserve"> </w:t>
      </w:r>
      <w:r w:rsidRPr="003A426C">
        <w:rPr>
          <w:rFonts w:ascii="Verdana" w:eastAsia="Arial" w:hAnsi="Verdana" w:cs="Arial"/>
          <w:lang w:val="es-ES"/>
        </w:rPr>
        <w:t>de</w:t>
      </w:r>
      <w:r w:rsidRPr="003A426C">
        <w:rPr>
          <w:rFonts w:ascii="Verdana" w:eastAsia="Arial" w:hAnsi="Verdana" w:cs="Arial"/>
          <w:spacing w:val="-17"/>
          <w:lang w:val="es-ES"/>
        </w:rPr>
        <w:t xml:space="preserve"> </w:t>
      </w:r>
      <w:r w:rsidRPr="003A426C">
        <w:rPr>
          <w:rFonts w:ascii="Verdana" w:eastAsia="Arial" w:hAnsi="Verdana" w:cs="Arial"/>
          <w:lang w:val="es-ES"/>
        </w:rPr>
        <w:t>los</w:t>
      </w:r>
      <w:r w:rsidRPr="003A426C">
        <w:rPr>
          <w:rFonts w:ascii="Verdana" w:eastAsia="Arial" w:hAnsi="Verdana" w:cs="Arial"/>
          <w:spacing w:val="-17"/>
          <w:lang w:val="es-ES"/>
        </w:rPr>
        <w:t xml:space="preserve"> </w:t>
      </w:r>
      <w:r w:rsidRPr="003A426C">
        <w:rPr>
          <w:rFonts w:ascii="Verdana" w:eastAsia="Arial" w:hAnsi="Verdana" w:cs="Arial"/>
          <w:lang w:val="es-ES"/>
        </w:rPr>
        <w:t>oferentes.</w:t>
      </w:r>
      <w:r w:rsidRPr="003A426C">
        <w:rPr>
          <w:rFonts w:ascii="Verdana" w:eastAsia="Arial" w:hAnsi="Verdana" w:cs="Arial"/>
          <w:spacing w:val="-16"/>
          <w:lang w:val="es-ES"/>
        </w:rPr>
        <w:t xml:space="preserve"> </w:t>
      </w:r>
      <w:r w:rsidRPr="003A426C">
        <w:rPr>
          <w:rFonts w:ascii="Verdana" w:eastAsia="Arial" w:hAnsi="Verdana" w:cs="Arial"/>
          <w:lang w:val="es-ES"/>
        </w:rPr>
        <w:t>De</w:t>
      </w:r>
      <w:r w:rsidRPr="003A426C">
        <w:rPr>
          <w:rFonts w:ascii="Verdana" w:eastAsia="Arial" w:hAnsi="Verdana" w:cs="Arial"/>
          <w:spacing w:val="-18"/>
          <w:lang w:val="es-ES"/>
        </w:rPr>
        <w:t xml:space="preserve"> </w:t>
      </w:r>
      <w:r w:rsidRPr="003A426C">
        <w:rPr>
          <w:rFonts w:ascii="Verdana" w:eastAsia="Arial" w:hAnsi="Verdana" w:cs="Arial"/>
          <w:lang w:val="es-ES"/>
        </w:rPr>
        <w:t>esta</w:t>
      </w:r>
      <w:r w:rsidRPr="003A426C">
        <w:rPr>
          <w:rFonts w:ascii="Verdana" w:eastAsia="Arial" w:hAnsi="Verdana" w:cs="Arial"/>
          <w:spacing w:val="-17"/>
          <w:lang w:val="es-ES"/>
        </w:rPr>
        <w:t xml:space="preserve"> </w:t>
      </w:r>
      <w:r w:rsidRPr="003A426C">
        <w:rPr>
          <w:rFonts w:ascii="Verdana" w:eastAsia="Arial" w:hAnsi="Verdana" w:cs="Arial"/>
          <w:lang w:val="es-ES"/>
        </w:rPr>
        <w:t>manera,</w:t>
      </w:r>
      <w:r w:rsidRPr="003A426C">
        <w:rPr>
          <w:rFonts w:ascii="Verdana" w:eastAsia="Arial" w:hAnsi="Verdana" w:cs="Arial"/>
          <w:spacing w:val="-17"/>
          <w:lang w:val="es-ES"/>
        </w:rPr>
        <w:t xml:space="preserve"> </w:t>
      </w:r>
      <w:r w:rsidRPr="003A426C">
        <w:rPr>
          <w:rFonts w:ascii="Verdana" w:eastAsia="Arial" w:hAnsi="Verdana" w:cs="Arial"/>
          <w:lang w:val="es-ES"/>
        </w:rPr>
        <w:t>el</w:t>
      </w:r>
      <w:r w:rsidRPr="003A426C">
        <w:rPr>
          <w:rFonts w:ascii="Verdana" w:eastAsia="Arial" w:hAnsi="Verdana" w:cs="Arial"/>
          <w:spacing w:val="-18"/>
          <w:lang w:val="es-ES"/>
        </w:rPr>
        <w:t xml:space="preserve"> </w:t>
      </w:r>
      <w:r w:rsidRPr="003A426C">
        <w:rPr>
          <w:rFonts w:ascii="Verdana" w:eastAsia="Arial" w:hAnsi="Verdana" w:cs="Arial"/>
          <w:lang w:val="es-ES"/>
        </w:rPr>
        <w:t>artículo</w:t>
      </w:r>
      <w:r w:rsidRPr="003A426C">
        <w:rPr>
          <w:rFonts w:ascii="Verdana" w:eastAsia="Arial" w:hAnsi="Verdana" w:cs="Arial"/>
          <w:spacing w:val="-17"/>
          <w:lang w:val="es-ES"/>
        </w:rPr>
        <w:t xml:space="preserve"> </w:t>
      </w:r>
      <w:r w:rsidRPr="003A426C">
        <w:rPr>
          <w:rFonts w:ascii="Verdana" w:eastAsia="Arial" w:hAnsi="Verdana" w:cs="Arial"/>
          <w:lang w:val="es-ES"/>
        </w:rPr>
        <w:t>23</w:t>
      </w:r>
      <w:r w:rsidRPr="003A426C">
        <w:rPr>
          <w:rFonts w:ascii="Verdana" w:eastAsia="Arial" w:hAnsi="Verdana" w:cs="Arial"/>
          <w:spacing w:val="-17"/>
          <w:lang w:val="es-ES"/>
        </w:rPr>
        <w:t xml:space="preserve"> </w:t>
      </w:r>
      <w:r w:rsidRPr="003A426C">
        <w:rPr>
          <w:rFonts w:ascii="Verdana" w:eastAsia="Arial" w:hAnsi="Verdana" w:cs="Arial"/>
          <w:lang w:val="es-ES"/>
        </w:rPr>
        <w:t>de</w:t>
      </w:r>
      <w:r w:rsidRPr="003A426C">
        <w:rPr>
          <w:rFonts w:ascii="Verdana" w:eastAsia="Arial" w:hAnsi="Verdana" w:cs="Arial"/>
          <w:spacing w:val="-17"/>
          <w:lang w:val="es-ES"/>
        </w:rPr>
        <w:t xml:space="preserve"> </w:t>
      </w:r>
      <w:r w:rsidRPr="003A426C">
        <w:rPr>
          <w:rFonts w:ascii="Verdana" w:eastAsia="Arial" w:hAnsi="Verdana" w:cs="Arial"/>
          <w:lang w:val="es-ES"/>
        </w:rPr>
        <w:t>la</w:t>
      </w:r>
      <w:r w:rsidRPr="003A426C">
        <w:rPr>
          <w:rFonts w:ascii="Verdana" w:eastAsia="Arial" w:hAnsi="Verdana" w:cs="Arial"/>
          <w:spacing w:val="-18"/>
          <w:lang w:val="es-ES"/>
        </w:rPr>
        <w:t xml:space="preserve"> </w:t>
      </w:r>
      <w:r w:rsidRPr="003A426C">
        <w:rPr>
          <w:rFonts w:ascii="Verdana" w:eastAsia="Arial" w:hAnsi="Verdana" w:cs="Arial"/>
          <w:lang w:val="es-ES"/>
        </w:rPr>
        <w:t>Ley</w:t>
      </w:r>
      <w:r w:rsidRPr="003A426C">
        <w:rPr>
          <w:rFonts w:ascii="Verdana" w:eastAsia="Arial" w:hAnsi="Verdana" w:cs="Arial"/>
          <w:spacing w:val="-17"/>
          <w:lang w:val="es-ES"/>
        </w:rPr>
        <w:t xml:space="preserve"> </w:t>
      </w:r>
      <w:r w:rsidRPr="003A426C">
        <w:rPr>
          <w:rFonts w:ascii="Verdana" w:eastAsia="Arial" w:hAnsi="Verdana" w:cs="Arial"/>
          <w:lang w:val="es-ES"/>
        </w:rPr>
        <w:t>1150 de 2007 que modificó el inciso segundo del artículo 41 de la Ley 80 de 1993, incluye la obligación, para los proponentes y contratistas, de estar a paz y salvo con los aportes parafiscales al Sistema de Seguridad Social Integral, al</w:t>
      </w:r>
      <w:r w:rsidRPr="003A426C">
        <w:rPr>
          <w:rFonts w:ascii="Verdana" w:eastAsia="Arial" w:hAnsi="Verdana" w:cs="Arial"/>
          <w:spacing w:val="-16"/>
          <w:lang w:val="es-ES"/>
        </w:rPr>
        <w:t xml:space="preserve"> </w:t>
      </w:r>
      <w:r w:rsidRPr="003A426C">
        <w:rPr>
          <w:rFonts w:ascii="Verdana" w:eastAsia="Arial" w:hAnsi="Verdana" w:cs="Arial"/>
          <w:lang w:val="es-ES"/>
        </w:rPr>
        <w:t>señalar:</w:t>
      </w:r>
    </w:p>
    <w:p w14:paraId="04884249" w14:textId="77777777" w:rsidR="0044771E" w:rsidRPr="00D61C11" w:rsidRDefault="0044771E" w:rsidP="0044771E">
      <w:pPr>
        <w:widowControl w:val="0"/>
        <w:autoSpaceDE w:val="0"/>
        <w:autoSpaceDN w:val="0"/>
        <w:spacing w:after="0" w:line="276" w:lineRule="auto"/>
        <w:rPr>
          <w:rFonts w:ascii="Century Gothic" w:eastAsia="Arial" w:hAnsi="Century Gothic" w:cs="Arial"/>
          <w:lang w:val="es-ES"/>
        </w:rPr>
      </w:pPr>
    </w:p>
    <w:p w14:paraId="7A63A915" w14:textId="77777777" w:rsidR="0044771E" w:rsidRPr="00FF29DB" w:rsidRDefault="0044771E" w:rsidP="0044771E">
      <w:pPr>
        <w:widowControl w:val="0"/>
        <w:autoSpaceDE w:val="0"/>
        <w:autoSpaceDN w:val="0"/>
        <w:spacing w:after="0" w:line="240" w:lineRule="auto"/>
        <w:ind w:left="709" w:right="709"/>
        <w:jc w:val="both"/>
        <w:rPr>
          <w:rFonts w:ascii="Verdana" w:eastAsia="Arial" w:hAnsi="Verdana" w:cs="Arial"/>
          <w:sz w:val="20"/>
          <w:szCs w:val="20"/>
          <w:lang w:val="es-ES"/>
        </w:rPr>
      </w:pPr>
      <w:r w:rsidRPr="00FF29DB">
        <w:rPr>
          <w:rFonts w:ascii="Verdana" w:eastAsia="Arial" w:hAnsi="Verdana" w:cs="Arial"/>
          <w:sz w:val="20"/>
          <w:szCs w:val="20"/>
          <w:lang w:val="es-ES"/>
        </w:rPr>
        <w:t xml:space="preserve">“Para la ejecución se requerirá de la aprobación de la garantía y de la </w:t>
      </w:r>
      <w:r w:rsidRPr="00FF29DB">
        <w:rPr>
          <w:rFonts w:ascii="Verdana" w:eastAsia="Arial" w:hAnsi="Verdana" w:cs="Arial"/>
          <w:sz w:val="20"/>
          <w:szCs w:val="20"/>
          <w:lang w:val="es-ES"/>
        </w:rPr>
        <w:lastRenderedPageBreak/>
        <w:t>existencia de las disponibilidades presupuestales correspondientes, salvo que se trate de la contratación con recursos de vigencias fiscales futuras de conformidad con lo previsto en la ley orgánica del presupuesto. El proponente y el contratista deberán acreditar que se encuentran al día en el pago de aportes parafiscales relativos al Sistema de Seguridad Social Integral, así como los propios del Sena, ICBF y Cajas de Compensación Familiar, cuando corresponda.</w:t>
      </w:r>
    </w:p>
    <w:p w14:paraId="5C5A7E2B" w14:textId="77777777" w:rsidR="0044771E" w:rsidRPr="00FF29DB" w:rsidRDefault="0044771E" w:rsidP="0044771E">
      <w:pPr>
        <w:widowControl w:val="0"/>
        <w:autoSpaceDE w:val="0"/>
        <w:autoSpaceDN w:val="0"/>
        <w:spacing w:after="0" w:line="240" w:lineRule="auto"/>
        <w:ind w:left="709" w:right="709"/>
        <w:jc w:val="both"/>
        <w:rPr>
          <w:rFonts w:ascii="Verdana" w:eastAsia="Arial" w:hAnsi="Verdana" w:cs="Arial"/>
          <w:sz w:val="20"/>
          <w:szCs w:val="20"/>
          <w:lang w:val="es-ES"/>
        </w:rPr>
      </w:pPr>
      <w:r w:rsidRPr="00FF29DB">
        <w:rPr>
          <w:rFonts w:ascii="Verdana" w:eastAsia="Arial" w:hAnsi="Verdana" w:cs="Arial"/>
          <w:sz w:val="20"/>
          <w:szCs w:val="20"/>
          <w:lang w:val="es-ES"/>
        </w:rPr>
        <w:t>Parágrafo 1. El requisito establecido en la parte final del inciso segundo de este artículo deberá acreditarse para la realización de cada pago derivado del contrato estatal.</w:t>
      </w:r>
    </w:p>
    <w:p w14:paraId="16A7150F" w14:textId="77777777" w:rsidR="0044771E" w:rsidRPr="00FF29DB" w:rsidRDefault="0044771E" w:rsidP="0044771E">
      <w:pPr>
        <w:widowControl w:val="0"/>
        <w:autoSpaceDE w:val="0"/>
        <w:autoSpaceDN w:val="0"/>
        <w:spacing w:after="0" w:line="240" w:lineRule="auto"/>
        <w:ind w:left="709" w:right="709"/>
        <w:jc w:val="both"/>
        <w:rPr>
          <w:rFonts w:ascii="Verdana" w:eastAsia="Arial" w:hAnsi="Verdana" w:cs="Arial"/>
          <w:sz w:val="20"/>
          <w:szCs w:val="20"/>
          <w:lang w:val="es-ES"/>
        </w:rPr>
      </w:pPr>
      <w:r w:rsidRPr="00FF29DB">
        <w:rPr>
          <w:rFonts w:ascii="Verdana" w:eastAsia="Arial" w:hAnsi="Verdana" w:cs="Arial"/>
          <w:sz w:val="20"/>
          <w:szCs w:val="20"/>
          <w:lang w:val="es-ES"/>
        </w:rPr>
        <w:t>El servidor público que sin justa causa no verifique el pago de los aportes a que</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se</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refiere</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el</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presente</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artículo,</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incurrirá</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en</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causal</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de</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mala</w:t>
      </w:r>
      <w:r w:rsidRPr="00FF29DB">
        <w:rPr>
          <w:rFonts w:ascii="Verdana" w:eastAsia="Arial" w:hAnsi="Verdana" w:cs="Arial"/>
          <w:spacing w:val="-7"/>
          <w:sz w:val="20"/>
          <w:szCs w:val="20"/>
          <w:lang w:val="es-ES"/>
        </w:rPr>
        <w:t xml:space="preserve"> </w:t>
      </w:r>
      <w:r w:rsidRPr="00FF29DB">
        <w:rPr>
          <w:rFonts w:ascii="Verdana" w:eastAsia="Arial" w:hAnsi="Verdana" w:cs="Arial"/>
          <w:sz w:val="20"/>
          <w:szCs w:val="20"/>
          <w:lang w:val="es-ES"/>
        </w:rPr>
        <w:t>conducta,</w:t>
      </w:r>
      <w:r w:rsidRPr="00FF29DB">
        <w:rPr>
          <w:rFonts w:ascii="Verdana" w:eastAsia="Arial" w:hAnsi="Verdana" w:cs="Arial"/>
          <w:spacing w:val="-8"/>
          <w:sz w:val="20"/>
          <w:szCs w:val="20"/>
          <w:lang w:val="es-ES"/>
        </w:rPr>
        <w:t xml:space="preserve"> </w:t>
      </w:r>
      <w:r w:rsidRPr="00FF29DB">
        <w:rPr>
          <w:rFonts w:ascii="Verdana" w:eastAsia="Arial" w:hAnsi="Verdana" w:cs="Arial"/>
          <w:sz w:val="20"/>
          <w:szCs w:val="20"/>
          <w:lang w:val="es-ES"/>
        </w:rPr>
        <w:t>que será sancionada con arreglo al régimen disciplinario</w:t>
      </w:r>
      <w:r w:rsidRPr="00FF29DB">
        <w:rPr>
          <w:rFonts w:ascii="Verdana" w:eastAsia="Arial" w:hAnsi="Verdana" w:cs="Arial"/>
          <w:spacing w:val="-12"/>
          <w:sz w:val="20"/>
          <w:szCs w:val="20"/>
          <w:lang w:val="es-ES"/>
        </w:rPr>
        <w:t xml:space="preserve"> </w:t>
      </w:r>
      <w:r w:rsidRPr="00FF29DB">
        <w:rPr>
          <w:rFonts w:ascii="Verdana" w:eastAsia="Arial" w:hAnsi="Verdana" w:cs="Arial"/>
          <w:sz w:val="20"/>
          <w:szCs w:val="20"/>
          <w:lang w:val="es-ES"/>
        </w:rPr>
        <w:t>vigente”.</w:t>
      </w:r>
    </w:p>
    <w:p w14:paraId="22DFA755" w14:textId="77777777" w:rsidR="0044771E" w:rsidRPr="00D61C11" w:rsidRDefault="0044771E" w:rsidP="0044771E">
      <w:pPr>
        <w:widowControl w:val="0"/>
        <w:autoSpaceDE w:val="0"/>
        <w:autoSpaceDN w:val="0"/>
        <w:spacing w:after="0" w:line="276" w:lineRule="auto"/>
        <w:ind w:left="709" w:right="709"/>
        <w:jc w:val="both"/>
        <w:rPr>
          <w:rFonts w:ascii="Century Gothic" w:eastAsia="Arial" w:hAnsi="Century Gothic" w:cs="Arial"/>
          <w:lang w:val="es-ES"/>
        </w:rPr>
      </w:pPr>
    </w:p>
    <w:p w14:paraId="79233B45" w14:textId="77777777" w:rsidR="0044771E" w:rsidRPr="003A426C" w:rsidRDefault="0044771E" w:rsidP="004477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lang w:val="es-ES"/>
        </w:rPr>
        <w:t>Del artículo 23 de la Ley 1150 de 2007 se concluye que</w:t>
      </w:r>
      <w:r>
        <w:rPr>
          <w:rFonts w:ascii="Verdana" w:eastAsia="Arial" w:hAnsi="Verdana" w:cs="Arial"/>
          <w:lang w:val="es-ES"/>
        </w:rPr>
        <w:t>,</w:t>
      </w:r>
      <w:r w:rsidRPr="003A426C">
        <w:rPr>
          <w:rFonts w:ascii="Verdana" w:eastAsia="Arial" w:hAnsi="Verdana" w:cs="Arial"/>
          <w:lang w:val="es-ES"/>
        </w:rPr>
        <w:t xml:space="preserve"> si bien los proponentes y los contratistas deben estar al día en el pago al Sistema de Seguridad Social, la verificación de este requisito, por parte de las entidades estatales, se realizará como requisito para iniciar la ejecución de los contratos –inciso primero– y cuando realicen cada pago originado en el contrato estatal –parágrafo 1–, es decir, durante la ejecución del contrato. En estos términos, la obligación de estar al día en el pago al Sistema de Seguridad Social Integral es un requisito de ejecución de los contratos estatales. Sin embargo, ello no significa que no se solicite en momentos previos y posteriores a la celebración del contrato, teniendo en cuenta lo prescrito en el artículo 50 de la Ley 789 de 2002. </w:t>
      </w:r>
    </w:p>
    <w:p w14:paraId="57A5CCA3" w14:textId="77777777" w:rsidR="0044771E" w:rsidRDefault="0044771E" w:rsidP="004477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lang w:val="es-ES"/>
        </w:rPr>
        <w:t>De esta manera, integrando las diferentes disposiciones que regulan el deber de acreditar el cumplimiento de las obligaciones relacionadas con el Sistema de Seguridad Social Integral, en concreto, el artículo 50 de la Ley 789 de 2002 y el artículo 41 de la Ley 80 de 1993, modificado por el artículo 23 de la Ley 1150 de 2007, es posible concluir</w:t>
      </w:r>
      <w:r w:rsidRPr="003A426C" w:rsidDel="006B64E9">
        <w:rPr>
          <w:rFonts w:ascii="Verdana" w:eastAsia="Arial" w:hAnsi="Verdana" w:cs="Arial"/>
          <w:lang w:val="es-ES"/>
        </w:rPr>
        <w:t xml:space="preserve"> </w:t>
      </w:r>
      <w:r w:rsidRPr="003A426C">
        <w:rPr>
          <w:rFonts w:ascii="Verdana" w:eastAsia="Arial" w:hAnsi="Verdana" w:cs="Arial"/>
          <w:lang w:val="es-ES"/>
        </w:rPr>
        <w:t xml:space="preserve">que la acreditación de dicho requisito se realiza en diferentes momentos del proceso contractual, tal como se detalla a continuación. </w:t>
      </w:r>
    </w:p>
    <w:p w14:paraId="0EA86BC0" w14:textId="77777777" w:rsidR="0044771E" w:rsidRDefault="0044771E" w:rsidP="0044771E">
      <w:pPr>
        <w:widowControl w:val="0"/>
        <w:autoSpaceDE w:val="0"/>
        <w:autoSpaceDN w:val="0"/>
        <w:spacing w:after="120" w:line="276" w:lineRule="auto"/>
        <w:ind w:firstLine="709"/>
        <w:jc w:val="both"/>
        <w:rPr>
          <w:rFonts w:ascii="Verdana" w:eastAsia="Arial" w:hAnsi="Verdana" w:cs="Arial"/>
          <w:lang w:val="es-ES"/>
        </w:rPr>
      </w:pPr>
      <w:r w:rsidRPr="00FF29DB">
        <w:rPr>
          <w:rFonts w:ascii="Verdana" w:eastAsia="Arial" w:hAnsi="Verdana" w:cs="Arial"/>
          <w:lang w:val="es-ES"/>
        </w:rPr>
        <w:t>1.</w:t>
      </w:r>
      <w:r w:rsidRPr="00D61C11">
        <w:rPr>
          <w:rFonts w:ascii="Century Gothic" w:eastAsia="Arial" w:hAnsi="Century Gothic" w:cs="Arial"/>
          <w:lang w:val="es-ES"/>
        </w:rPr>
        <w:t xml:space="preserve"> </w:t>
      </w:r>
      <w:r w:rsidRPr="003A426C">
        <w:rPr>
          <w:rFonts w:ascii="Verdana" w:eastAsia="Arial" w:hAnsi="Verdana" w:cs="Arial"/>
          <w:i/>
          <w:iCs/>
          <w:lang w:val="es-ES"/>
        </w:rPr>
        <w:t>Para presentar la oferta</w:t>
      </w:r>
      <w:r w:rsidRPr="003A426C">
        <w:rPr>
          <w:rFonts w:ascii="Verdana" w:eastAsia="Arial" w:hAnsi="Verdana" w:cs="Arial"/>
          <w:lang w:val="es-ES"/>
        </w:rPr>
        <w:t xml:space="preserve"> los proponentes deben acreditar el pago de los aportes de sus</w:t>
      </w:r>
      <w:r w:rsidRPr="003A426C">
        <w:rPr>
          <w:rFonts w:ascii="Verdana" w:eastAsia="Arial" w:hAnsi="Verdana" w:cs="Arial"/>
          <w:spacing w:val="-6"/>
          <w:lang w:val="es-ES"/>
        </w:rPr>
        <w:t xml:space="preserve"> </w:t>
      </w:r>
      <w:r w:rsidRPr="00A97348">
        <w:rPr>
          <w:rFonts w:ascii="Verdana" w:eastAsia="Arial" w:hAnsi="Verdana" w:cs="Arial"/>
          <w:i/>
          <w:iCs/>
          <w:lang w:val="es-ES"/>
        </w:rPr>
        <w:t>empleados</w:t>
      </w:r>
      <w:r w:rsidRPr="003A426C">
        <w:rPr>
          <w:rFonts w:ascii="Verdana" w:eastAsia="Arial" w:hAnsi="Verdana" w:cs="Arial"/>
          <w:lang w:val="es-ES"/>
        </w:rPr>
        <w:t>,</w:t>
      </w:r>
      <w:r w:rsidRPr="003A426C">
        <w:rPr>
          <w:rFonts w:ascii="Verdana" w:eastAsia="Arial" w:hAnsi="Verdana" w:cs="Arial"/>
          <w:spacing w:val="-6"/>
          <w:lang w:val="es-ES"/>
        </w:rPr>
        <w:t xml:space="preserve"> </w:t>
      </w:r>
      <w:r w:rsidRPr="003A426C">
        <w:rPr>
          <w:rFonts w:ascii="Verdana" w:eastAsia="Arial" w:hAnsi="Verdana" w:cs="Arial"/>
          <w:lang w:val="es-ES"/>
        </w:rPr>
        <w:t>mediante</w:t>
      </w:r>
      <w:r w:rsidRPr="003A426C">
        <w:rPr>
          <w:rFonts w:ascii="Verdana" w:eastAsia="Arial" w:hAnsi="Verdana" w:cs="Arial"/>
          <w:spacing w:val="-6"/>
          <w:lang w:val="es-ES"/>
        </w:rPr>
        <w:t xml:space="preserve"> </w:t>
      </w:r>
      <w:r w:rsidRPr="003A426C">
        <w:rPr>
          <w:rFonts w:ascii="Verdana" w:eastAsia="Arial" w:hAnsi="Verdana" w:cs="Arial"/>
          <w:lang w:val="es-ES"/>
        </w:rPr>
        <w:t>certificación</w:t>
      </w:r>
      <w:r w:rsidRPr="003A426C">
        <w:rPr>
          <w:rFonts w:ascii="Verdana" w:eastAsia="Arial" w:hAnsi="Verdana" w:cs="Arial"/>
          <w:spacing w:val="-6"/>
          <w:lang w:val="es-ES"/>
        </w:rPr>
        <w:t xml:space="preserve"> </w:t>
      </w:r>
      <w:r w:rsidRPr="003A426C">
        <w:rPr>
          <w:rFonts w:ascii="Verdana" w:eastAsia="Arial" w:hAnsi="Verdana" w:cs="Arial"/>
          <w:lang w:val="es-ES"/>
        </w:rPr>
        <w:t>expedida</w:t>
      </w:r>
      <w:r w:rsidRPr="003A426C">
        <w:rPr>
          <w:rFonts w:ascii="Verdana" w:eastAsia="Arial" w:hAnsi="Verdana" w:cs="Arial"/>
          <w:spacing w:val="-6"/>
          <w:lang w:val="es-ES"/>
        </w:rPr>
        <w:t xml:space="preserve"> </w:t>
      </w:r>
      <w:r w:rsidRPr="003A426C">
        <w:rPr>
          <w:rFonts w:ascii="Verdana" w:eastAsia="Arial" w:hAnsi="Verdana" w:cs="Arial"/>
          <w:lang w:val="es-ES"/>
        </w:rPr>
        <w:t>por</w:t>
      </w:r>
      <w:r w:rsidRPr="003A426C">
        <w:rPr>
          <w:rFonts w:ascii="Verdana" w:eastAsia="Arial" w:hAnsi="Verdana" w:cs="Arial"/>
          <w:spacing w:val="-6"/>
          <w:lang w:val="es-ES"/>
        </w:rPr>
        <w:t xml:space="preserve"> </w:t>
      </w:r>
      <w:r w:rsidRPr="003A426C">
        <w:rPr>
          <w:rFonts w:ascii="Verdana" w:eastAsia="Arial" w:hAnsi="Verdana" w:cs="Arial"/>
          <w:lang w:val="es-ES"/>
        </w:rPr>
        <w:t>el</w:t>
      </w:r>
      <w:r w:rsidRPr="003A426C">
        <w:rPr>
          <w:rFonts w:ascii="Verdana" w:eastAsia="Arial" w:hAnsi="Verdana" w:cs="Arial"/>
          <w:spacing w:val="-6"/>
          <w:lang w:val="es-ES"/>
        </w:rPr>
        <w:t xml:space="preserve"> </w:t>
      </w:r>
      <w:r w:rsidRPr="003A426C">
        <w:rPr>
          <w:rFonts w:ascii="Verdana" w:eastAsia="Arial" w:hAnsi="Verdana" w:cs="Arial"/>
          <w:lang w:val="es-ES"/>
        </w:rPr>
        <w:t>revisor</w:t>
      </w:r>
      <w:r w:rsidRPr="003A426C">
        <w:rPr>
          <w:rFonts w:ascii="Verdana" w:eastAsia="Arial" w:hAnsi="Verdana" w:cs="Arial"/>
          <w:spacing w:val="-6"/>
          <w:lang w:val="es-ES"/>
        </w:rPr>
        <w:t xml:space="preserve"> </w:t>
      </w:r>
      <w:r w:rsidRPr="003A426C">
        <w:rPr>
          <w:rFonts w:ascii="Verdana" w:eastAsia="Arial" w:hAnsi="Verdana" w:cs="Arial"/>
          <w:lang w:val="es-ES"/>
        </w:rPr>
        <w:t>fiscal,</w:t>
      </w:r>
      <w:r w:rsidRPr="003A426C">
        <w:rPr>
          <w:rFonts w:ascii="Verdana" w:eastAsia="Arial" w:hAnsi="Verdana" w:cs="Arial"/>
          <w:spacing w:val="-5"/>
          <w:lang w:val="es-ES"/>
        </w:rPr>
        <w:t xml:space="preserve"> </w:t>
      </w:r>
      <w:r w:rsidRPr="003A426C">
        <w:rPr>
          <w:rFonts w:ascii="Verdana" w:eastAsia="Arial" w:hAnsi="Verdana" w:cs="Arial"/>
          <w:lang w:val="es-ES"/>
        </w:rPr>
        <w:t>cuando</w:t>
      </w:r>
      <w:r w:rsidRPr="003A426C">
        <w:rPr>
          <w:rFonts w:ascii="Verdana" w:eastAsia="Arial" w:hAnsi="Verdana" w:cs="Arial"/>
          <w:spacing w:val="-6"/>
          <w:lang w:val="es-ES"/>
        </w:rPr>
        <w:t xml:space="preserve"> </w:t>
      </w:r>
      <w:r w:rsidRPr="003A426C">
        <w:rPr>
          <w:rFonts w:ascii="Verdana" w:eastAsia="Arial" w:hAnsi="Verdana" w:cs="Arial"/>
          <w:lang w:val="es-ES"/>
        </w:rPr>
        <w:t>este</w:t>
      </w:r>
      <w:r w:rsidRPr="003A426C">
        <w:rPr>
          <w:rFonts w:ascii="Verdana" w:eastAsia="Arial" w:hAnsi="Verdana" w:cs="Arial"/>
          <w:spacing w:val="-6"/>
          <w:lang w:val="es-ES"/>
        </w:rPr>
        <w:t xml:space="preserve"> </w:t>
      </w:r>
      <w:r w:rsidRPr="003A426C">
        <w:rPr>
          <w:rFonts w:ascii="Verdana" w:eastAsia="Arial" w:hAnsi="Verdana" w:cs="Arial"/>
          <w:lang w:val="es-ES"/>
        </w:rPr>
        <w:t>exista de</w:t>
      </w:r>
      <w:r w:rsidRPr="003A426C">
        <w:rPr>
          <w:rFonts w:ascii="Verdana" w:eastAsia="Arial" w:hAnsi="Verdana" w:cs="Arial"/>
          <w:spacing w:val="-9"/>
          <w:lang w:val="es-ES"/>
        </w:rPr>
        <w:t xml:space="preserve"> </w:t>
      </w:r>
      <w:r w:rsidRPr="003A426C">
        <w:rPr>
          <w:rFonts w:ascii="Verdana" w:eastAsia="Arial" w:hAnsi="Verdana" w:cs="Arial"/>
          <w:lang w:val="es-ES"/>
        </w:rPr>
        <w:t>acuerdo</w:t>
      </w:r>
      <w:r w:rsidRPr="003A426C">
        <w:rPr>
          <w:rFonts w:ascii="Verdana" w:eastAsia="Arial" w:hAnsi="Verdana" w:cs="Arial"/>
          <w:spacing w:val="-8"/>
          <w:lang w:val="es-ES"/>
        </w:rPr>
        <w:t xml:space="preserve"> </w:t>
      </w:r>
      <w:r w:rsidRPr="003A426C">
        <w:rPr>
          <w:rFonts w:ascii="Verdana" w:eastAsia="Arial" w:hAnsi="Verdana" w:cs="Arial"/>
          <w:lang w:val="es-ES"/>
        </w:rPr>
        <w:t>con</w:t>
      </w:r>
      <w:r w:rsidRPr="003A426C">
        <w:rPr>
          <w:rFonts w:ascii="Verdana" w:eastAsia="Arial" w:hAnsi="Verdana" w:cs="Arial"/>
          <w:spacing w:val="-8"/>
          <w:lang w:val="es-ES"/>
        </w:rPr>
        <w:t xml:space="preserve"> </w:t>
      </w:r>
      <w:r w:rsidRPr="003A426C">
        <w:rPr>
          <w:rFonts w:ascii="Verdana" w:eastAsia="Arial" w:hAnsi="Verdana" w:cs="Arial"/>
          <w:lang w:val="es-ES"/>
        </w:rPr>
        <w:t>los</w:t>
      </w:r>
      <w:r w:rsidRPr="003A426C">
        <w:rPr>
          <w:rFonts w:ascii="Verdana" w:eastAsia="Arial" w:hAnsi="Verdana" w:cs="Arial"/>
          <w:spacing w:val="-8"/>
          <w:lang w:val="es-ES"/>
        </w:rPr>
        <w:t xml:space="preserve"> </w:t>
      </w:r>
      <w:r w:rsidRPr="003A426C">
        <w:rPr>
          <w:rFonts w:ascii="Verdana" w:eastAsia="Arial" w:hAnsi="Verdana" w:cs="Arial"/>
          <w:lang w:val="es-ES"/>
        </w:rPr>
        <w:t>requerimientos</w:t>
      </w:r>
      <w:r w:rsidRPr="003A426C">
        <w:rPr>
          <w:rFonts w:ascii="Verdana" w:eastAsia="Arial" w:hAnsi="Verdana" w:cs="Arial"/>
          <w:spacing w:val="-9"/>
          <w:lang w:val="es-ES"/>
        </w:rPr>
        <w:t xml:space="preserve"> </w:t>
      </w:r>
      <w:r w:rsidRPr="003A426C">
        <w:rPr>
          <w:rFonts w:ascii="Verdana" w:eastAsia="Arial" w:hAnsi="Verdana" w:cs="Arial"/>
          <w:lang w:val="es-ES"/>
        </w:rPr>
        <w:t>de</w:t>
      </w:r>
      <w:r w:rsidRPr="003A426C">
        <w:rPr>
          <w:rFonts w:ascii="Verdana" w:eastAsia="Arial" w:hAnsi="Verdana" w:cs="Arial"/>
          <w:spacing w:val="-8"/>
          <w:lang w:val="es-ES"/>
        </w:rPr>
        <w:t xml:space="preserve"> </w:t>
      </w:r>
      <w:r w:rsidRPr="003A426C">
        <w:rPr>
          <w:rFonts w:ascii="Verdana" w:eastAsia="Arial" w:hAnsi="Verdana" w:cs="Arial"/>
          <w:lang w:val="es-ES"/>
        </w:rPr>
        <w:t>ley,</w:t>
      </w:r>
      <w:r w:rsidRPr="003A426C">
        <w:rPr>
          <w:rFonts w:ascii="Verdana" w:eastAsia="Arial" w:hAnsi="Verdana" w:cs="Arial"/>
          <w:spacing w:val="-8"/>
          <w:lang w:val="es-ES"/>
        </w:rPr>
        <w:t xml:space="preserve"> </w:t>
      </w:r>
      <w:r w:rsidRPr="003A426C">
        <w:rPr>
          <w:rFonts w:ascii="Verdana" w:eastAsia="Arial" w:hAnsi="Verdana" w:cs="Arial"/>
          <w:lang w:val="es-ES"/>
        </w:rPr>
        <w:t>o</w:t>
      </w:r>
      <w:r w:rsidRPr="003A426C">
        <w:rPr>
          <w:rFonts w:ascii="Verdana" w:eastAsia="Arial" w:hAnsi="Verdana" w:cs="Arial"/>
          <w:spacing w:val="-8"/>
          <w:lang w:val="es-ES"/>
        </w:rPr>
        <w:t xml:space="preserve"> </w:t>
      </w:r>
      <w:r w:rsidRPr="003A426C">
        <w:rPr>
          <w:rFonts w:ascii="Verdana" w:eastAsia="Arial" w:hAnsi="Verdana" w:cs="Arial"/>
          <w:lang w:val="es-ES"/>
        </w:rPr>
        <w:t>por</w:t>
      </w:r>
      <w:r w:rsidRPr="003A426C">
        <w:rPr>
          <w:rFonts w:ascii="Verdana" w:eastAsia="Arial" w:hAnsi="Verdana" w:cs="Arial"/>
          <w:spacing w:val="-9"/>
          <w:lang w:val="es-ES"/>
        </w:rPr>
        <w:t xml:space="preserve"> </w:t>
      </w:r>
      <w:r w:rsidRPr="003A426C">
        <w:rPr>
          <w:rFonts w:ascii="Verdana" w:eastAsia="Arial" w:hAnsi="Verdana" w:cs="Arial"/>
          <w:lang w:val="es-ES"/>
        </w:rPr>
        <w:t>el</w:t>
      </w:r>
      <w:r w:rsidRPr="003A426C">
        <w:rPr>
          <w:rFonts w:ascii="Verdana" w:eastAsia="Arial" w:hAnsi="Verdana" w:cs="Arial"/>
          <w:spacing w:val="-8"/>
          <w:lang w:val="es-ES"/>
        </w:rPr>
        <w:t xml:space="preserve"> </w:t>
      </w:r>
      <w:r w:rsidRPr="003A426C">
        <w:rPr>
          <w:rFonts w:ascii="Verdana" w:eastAsia="Arial" w:hAnsi="Verdana" w:cs="Arial"/>
          <w:lang w:val="es-ES"/>
        </w:rPr>
        <w:t>representante</w:t>
      </w:r>
      <w:r w:rsidRPr="003A426C">
        <w:rPr>
          <w:rFonts w:ascii="Verdana" w:eastAsia="Arial" w:hAnsi="Verdana" w:cs="Arial"/>
          <w:spacing w:val="-8"/>
          <w:lang w:val="es-ES"/>
        </w:rPr>
        <w:t xml:space="preserve"> </w:t>
      </w:r>
      <w:r w:rsidRPr="003A426C">
        <w:rPr>
          <w:rFonts w:ascii="Verdana" w:eastAsia="Arial" w:hAnsi="Verdana" w:cs="Arial"/>
          <w:lang w:val="es-ES"/>
        </w:rPr>
        <w:t>legal,</w:t>
      </w:r>
      <w:r w:rsidRPr="003A426C">
        <w:rPr>
          <w:rFonts w:ascii="Verdana" w:eastAsia="Arial" w:hAnsi="Verdana" w:cs="Arial"/>
          <w:spacing w:val="-8"/>
          <w:lang w:val="es-ES"/>
        </w:rPr>
        <w:t xml:space="preserve"> </w:t>
      </w:r>
      <w:r w:rsidRPr="003A426C">
        <w:rPr>
          <w:rFonts w:ascii="Verdana" w:eastAsia="Arial" w:hAnsi="Verdana" w:cs="Arial"/>
          <w:lang w:val="es-ES"/>
        </w:rPr>
        <w:t>durante</w:t>
      </w:r>
      <w:r w:rsidRPr="003A426C">
        <w:rPr>
          <w:rFonts w:ascii="Verdana" w:eastAsia="Arial" w:hAnsi="Verdana" w:cs="Arial"/>
          <w:spacing w:val="-9"/>
          <w:lang w:val="es-ES"/>
        </w:rPr>
        <w:t xml:space="preserve"> </w:t>
      </w:r>
      <w:r w:rsidRPr="003A426C">
        <w:rPr>
          <w:rFonts w:ascii="Verdana" w:eastAsia="Arial" w:hAnsi="Verdana" w:cs="Arial"/>
          <w:lang w:val="es-ES"/>
        </w:rPr>
        <w:t>un</w:t>
      </w:r>
      <w:r w:rsidRPr="003A426C">
        <w:rPr>
          <w:rFonts w:ascii="Verdana" w:eastAsia="Arial" w:hAnsi="Verdana" w:cs="Arial"/>
          <w:spacing w:val="-8"/>
          <w:lang w:val="es-ES"/>
        </w:rPr>
        <w:t xml:space="preserve"> </w:t>
      </w:r>
      <w:r w:rsidRPr="003A426C">
        <w:rPr>
          <w:rFonts w:ascii="Verdana" w:eastAsia="Arial" w:hAnsi="Verdana" w:cs="Arial"/>
          <w:lang w:val="es-ES"/>
        </w:rPr>
        <w:t xml:space="preserve">lapso equivalente al que exija el respectivo régimen de contratación para el que se hubiera constituido la sociedad, el cual, en todo caso, no será inferior a los seis (6) meses anteriores a la celebración del </w:t>
      </w:r>
      <w:r w:rsidRPr="003A426C">
        <w:rPr>
          <w:rFonts w:ascii="Verdana" w:eastAsia="Arial" w:hAnsi="Verdana" w:cs="Arial"/>
          <w:lang w:val="es-ES"/>
        </w:rPr>
        <w:lastRenderedPageBreak/>
        <w:t>contrato</w:t>
      </w:r>
      <w:r w:rsidRPr="003A426C">
        <w:rPr>
          <w:rStyle w:val="Refdenotaalpie"/>
          <w:rFonts w:ascii="Verdana" w:eastAsia="Arial" w:hAnsi="Verdana" w:cs="Arial"/>
          <w:lang w:val="es-ES"/>
        </w:rPr>
        <w:footnoteReference w:id="3"/>
      </w:r>
      <w:r w:rsidRPr="003A426C">
        <w:rPr>
          <w:rFonts w:ascii="Verdana" w:eastAsia="Arial" w:hAnsi="Verdana" w:cs="Arial"/>
          <w:lang w:val="es-ES"/>
        </w:rPr>
        <w:t>. Si bien este certificado no es un requisito</w:t>
      </w:r>
      <w:r w:rsidRPr="003A426C">
        <w:rPr>
          <w:rFonts w:ascii="Verdana" w:eastAsia="Arial" w:hAnsi="Verdana" w:cs="Arial"/>
          <w:spacing w:val="45"/>
          <w:lang w:val="es-ES"/>
        </w:rPr>
        <w:t xml:space="preserve"> </w:t>
      </w:r>
      <w:r w:rsidRPr="003A426C">
        <w:rPr>
          <w:rFonts w:ascii="Verdana" w:eastAsia="Arial" w:hAnsi="Verdana" w:cs="Arial"/>
          <w:lang w:val="es-ES"/>
        </w:rPr>
        <w:t xml:space="preserve">para perfeccionar ni para ejecutarlo, sí lo es para admitir la oferta en el procedimiento de selección. Cabe señalar que la acreditación en los términos indicado solo procede frente a las </w:t>
      </w:r>
      <w:r w:rsidRPr="003A426C">
        <w:rPr>
          <w:rFonts w:ascii="Verdana" w:eastAsia="Arial" w:hAnsi="Verdana" w:cs="Arial"/>
          <w:i/>
          <w:iCs/>
          <w:lang w:val="es-ES"/>
        </w:rPr>
        <w:t xml:space="preserve">personas jurídicas </w:t>
      </w:r>
      <w:r w:rsidRPr="003A426C">
        <w:rPr>
          <w:rFonts w:ascii="Verdana" w:eastAsia="Arial" w:hAnsi="Verdana" w:cs="Arial"/>
          <w:lang w:val="es-ES"/>
        </w:rPr>
        <w:t>–Ley 789 de 2002, art. 50, inciso 3°–.</w:t>
      </w:r>
    </w:p>
    <w:p w14:paraId="6E3A52C1" w14:textId="77777777" w:rsidR="0044771E" w:rsidRPr="00581B36" w:rsidRDefault="0044771E" w:rsidP="0044771E">
      <w:pPr>
        <w:widowControl w:val="0"/>
        <w:autoSpaceDE w:val="0"/>
        <w:autoSpaceDN w:val="0"/>
        <w:spacing w:before="120" w:after="0" w:line="276" w:lineRule="auto"/>
        <w:ind w:firstLine="708"/>
        <w:jc w:val="both"/>
        <w:rPr>
          <w:rFonts w:ascii="Verdana" w:hAnsi="Verdana"/>
          <w:shd w:val="clear" w:color="auto" w:fill="FFFFFF"/>
        </w:rPr>
      </w:pPr>
      <w:r>
        <w:rPr>
          <w:rFonts w:ascii="Verdana" w:hAnsi="Verdana"/>
          <w:shd w:val="clear" w:color="auto" w:fill="FFFFFF"/>
        </w:rPr>
        <w:t xml:space="preserve">En efecto el inciso final del artículo 50 de la Ley </w:t>
      </w:r>
      <w:r w:rsidRPr="003A426C">
        <w:rPr>
          <w:rFonts w:ascii="Verdana" w:eastAsia="Arial" w:hAnsi="Verdana" w:cs="Arial"/>
          <w:lang w:val="es-ES"/>
        </w:rPr>
        <w:t xml:space="preserve">789 de 2002 </w:t>
      </w:r>
      <w:r>
        <w:rPr>
          <w:rFonts w:ascii="Verdana" w:hAnsi="Verdana"/>
          <w:shd w:val="clear" w:color="auto" w:fill="FFFFFF"/>
        </w:rPr>
        <w:t xml:space="preserve">señala expresamente que las </w:t>
      </w:r>
      <w:r w:rsidRPr="00F62F80">
        <w:rPr>
          <w:rFonts w:ascii="Verdana" w:hAnsi="Verdana"/>
          <w:i/>
          <w:iCs/>
          <w:shd w:val="clear" w:color="auto" w:fill="FFFFFF"/>
        </w:rPr>
        <w:t>personas jurídicas</w:t>
      </w:r>
      <w:r>
        <w:rPr>
          <w:rFonts w:ascii="Verdana" w:hAnsi="Verdana"/>
          <w:shd w:val="clear" w:color="auto" w:fill="FFFFFF"/>
        </w:rPr>
        <w:t xml:space="preserve"> deben acreditar </w:t>
      </w:r>
      <w:r w:rsidRPr="002C7E7A">
        <w:rPr>
          <w:rFonts w:ascii="Verdana" w:hAnsi="Verdana"/>
          <w:i/>
          <w:iCs/>
          <w:shd w:val="clear" w:color="auto" w:fill="FFFFFF"/>
        </w:rPr>
        <w:t>el pago de los aportes</w:t>
      </w:r>
      <w:r>
        <w:rPr>
          <w:rFonts w:ascii="Verdana" w:hAnsi="Verdana"/>
          <w:shd w:val="clear" w:color="auto" w:fill="FFFFFF"/>
        </w:rPr>
        <w:t xml:space="preserve"> de los empleados al Sistema de Seguridad Social </w:t>
      </w:r>
      <w:r w:rsidRPr="00F62F80">
        <w:rPr>
          <w:rFonts w:ascii="Verdana" w:hAnsi="Verdana"/>
          <w:shd w:val="clear" w:color="auto" w:fill="FFFFFF"/>
        </w:rPr>
        <w:t>para la presentación de la oferta</w:t>
      </w:r>
      <w:r>
        <w:rPr>
          <w:rFonts w:ascii="Verdana" w:hAnsi="Verdana"/>
          <w:shd w:val="clear" w:color="auto" w:fill="FFFFFF"/>
        </w:rPr>
        <w:t>. De modo que el cumplimiento de dicha obligación es un requisito que condiciona la participación de estos proponentes. Al respecto, el Consejo de Estado señaló recientemente que:</w:t>
      </w:r>
    </w:p>
    <w:p w14:paraId="4E85A42F" w14:textId="77777777" w:rsidR="0044771E" w:rsidRPr="00581B36" w:rsidRDefault="0044771E" w:rsidP="0044771E">
      <w:pPr>
        <w:widowControl w:val="0"/>
        <w:autoSpaceDE w:val="0"/>
        <w:autoSpaceDN w:val="0"/>
        <w:spacing w:after="0" w:line="276" w:lineRule="auto"/>
        <w:ind w:firstLine="708"/>
        <w:jc w:val="both"/>
        <w:rPr>
          <w:rFonts w:ascii="Verdana" w:hAnsi="Verdana"/>
          <w:shd w:val="clear" w:color="auto" w:fill="FFFFFF"/>
        </w:rPr>
      </w:pPr>
    </w:p>
    <w:p w14:paraId="77F87277" w14:textId="77777777" w:rsidR="0044771E" w:rsidRDefault="0044771E" w:rsidP="0044771E">
      <w:pPr>
        <w:widowControl w:val="0"/>
        <w:autoSpaceDE w:val="0"/>
        <w:autoSpaceDN w:val="0"/>
        <w:spacing w:after="0" w:line="240" w:lineRule="auto"/>
        <w:ind w:left="709" w:right="709"/>
        <w:jc w:val="both"/>
        <w:rPr>
          <w:rFonts w:ascii="Verdana" w:eastAsia="Arial" w:hAnsi="Verdana" w:cs="Arial"/>
          <w:sz w:val="20"/>
          <w:szCs w:val="20"/>
          <w:lang w:val="es-ES"/>
        </w:rPr>
      </w:pPr>
      <w:r w:rsidRPr="00FF29DB">
        <w:rPr>
          <w:rFonts w:ascii="Verdana" w:eastAsia="Arial" w:hAnsi="Verdana" w:cs="Arial"/>
          <w:sz w:val="20"/>
          <w:szCs w:val="20"/>
          <w:lang w:val="es-ES"/>
        </w:rPr>
        <w:t xml:space="preserve">“[…] la acreditación de estar al día con el sistema de seguridad social y aportes </w:t>
      </w:r>
      <w:proofErr w:type="gramStart"/>
      <w:r w:rsidRPr="00FF29DB">
        <w:rPr>
          <w:rFonts w:ascii="Verdana" w:eastAsia="Arial" w:hAnsi="Verdana" w:cs="Arial"/>
          <w:sz w:val="20"/>
          <w:szCs w:val="20"/>
          <w:lang w:val="es-ES"/>
        </w:rPr>
        <w:t>parafiscales,</w:t>
      </w:r>
      <w:proofErr w:type="gramEnd"/>
      <w:r w:rsidRPr="00FF29DB">
        <w:rPr>
          <w:rFonts w:ascii="Verdana" w:eastAsia="Arial" w:hAnsi="Verdana" w:cs="Arial"/>
          <w:sz w:val="20"/>
          <w:szCs w:val="20"/>
          <w:lang w:val="es-ES"/>
        </w:rPr>
        <w:t xml:space="preserve"> se configura en un requisito de admisibilidad de los proponentes, quienes deberán demostrar que han sido cumplidos en su obligación. Ello, porque se trata de un requisito frente a las condiciones del proponente y no relativos al contenido mismo de la oferta”</w:t>
      </w:r>
      <w:r w:rsidRPr="00FF29DB">
        <w:rPr>
          <w:rStyle w:val="Refdenotaalpie"/>
          <w:rFonts w:ascii="Verdana" w:eastAsia="Arial" w:hAnsi="Verdana" w:cs="Arial"/>
          <w:sz w:val="20"/>
          <w:szCs w:val="20"/>
          <w:lang w:val="es-ES"/>
        </w:rPr>
        <w:footnoteReference w:id="4"/>
      </w:r>
    </w:p>
    <w:p w14:paraId="114C45CE" w14:textId="77777777" w:rsidR="0044771E" w:rsidRPr="00FF29DB" w:rsidRDefault="0044771E" w:rsidP="0044771E">
      <w:pPr>
        <w:widowControl w:val="0"/>
        <w:autoSpaceDE w:val="0"/>
        <w:autoSpaceDN w:val="0"/>
        <w:spacing w:after="0" w:line="276" w:lineRule="auto"/>
        <w:ind w:left="709" w:right="709"/>
        <w:jc w:val="both"/>
        <w:rPr>
          <w:rFonts w:ascii="Verdana" w:eastAsia="Arial" w:hAnsi="Verdana" w:cs="Arial"/>
          <w:lang w:val="es-ES"/>
        </w:rPr>
      </w:pPr>
    </w:p>
    <w:p w14:paraId="361EAC01" w14:textId="77777777" w:rsidR="0044771E" w:rsidRPr="003A426C" w:rsidRDefault="0044771E" w:rsidP="0044771E">
      <w:pPr>
        <w:widowControl w:val="0"/>
        <w:autoSpaceDE w:val="0"/>
        <w:autoSpaceDN w:val="0"/>
        <w:spacing w:after="120" w:line="276" w:lineRule="auto"/>
        <w:jc w:val="both"/>
        <w:rPr>
          <w:rFonts w:ascii="Verdana" w:eastAsia="Arial" w:hAnsi="Verdana" w:cs="Arial"/>
          <w:lang w:val="es-ES"/>
        </w:rPr>
      </w:pPr>
      <w:r w:rsidRPr="00D61C11">
        <w:rPr>
          <w:rFonts w:ascii="Century Gothic" w:eastAsia="Arial" w:hAnsi="Century Gothic" w:cs="Arial"/>
          <w:lang w:val="es-ES"/>
        </w:rPr>
        <w:tab/>
      </w:r>
      <w:r w:rsidRPr="003A426C">
        <w:rPr>
          <w:rFonts w:ascii="Verdana" w:eastAsia="Arial" w:hAnsi="Verdana" w:cs="Arial"/>
          <w:bCs/>
          <w:lang w:val="es-ES"/>
        </w:rPr>
        <w:t>2.</w:t>
      </w:r>
      <w:r w:rsidRPr="003A426C">
        <w:rPr>
          <w:rFonts w:ascii="Verdana" w:eastAsia="Arial" w:hAnsi="Verdana" w:cs="Arial"/>
          <w:lang w:val="es-ES"/>
        </w:rPr>
        <w:t xml:space="preserve"> En el momento del </w:t>
      </w:r>
      <w:r w:rsidRPr="003A426C">
        <w:rPr>
          <w:rFonts w:ascii="Verdana" w:eastAsia="Arial" w:hAnsi="Verdana" w:cs="Arial"/>
          <w:i/>
          <w:iCs/>
          <w:lang w:val="es-ES"/>
        </w:rPr>
        <w:t>perfeccionamiento del contrato estatal</w:t>
      </w:r>
      <w:r w:rsidRPr="003A426C">
        <w:rPr>
          <w:rFonts w:ascii="Verdana" w:eastAsia="Arial" w:hAnsi="Verdana" w:cs="Arial"/>
          <w:lang w:val="es-ES"/>
        </w:rPr>
        <w:t xml:space="preserve">, se hace necesario que la entidad pública verifique que </w:t>
      </w:r>
      <w:r>
        <w:rPr>
          <w:rFonts w:ascii="Verdana" w:eastAsia="Arial" w:hAnsi="Verdana" w:cs="Arial"/>
          <w:lang w:val="es-ES"/>
        </w:rPr>
        <w:t>el contratista</w:t>
      </w:r>
      <w:r w:rsidRPr="003A426C">
        <w:rPr>
          <w:rFonts w:ascii="Verdana" w:eastAsia="Arial" w:hAnsi="Verdana" w:cs="Arial"/>
          <w:lang w:val="es-ES"/>
        </w:rPr>
        <w:t xml:space="preserve"> se encuentra a paz y salvo del pago de Seguridad Social. En este sentido, esta obligación legal no se constituye en un elemento de existencia del contrato estatal, puesto que el artículo 41 define que los requisitos de perfeccionamiento son el objeto, precio y solemnidad por escrito. Sin embargo, el legislador estableció que para la celebración del contrato debía acreditarse el cumplimiento de este requisito.</w:t>
      </w:r>
    </w:p>
    <w:p w14:paraId="51B976BB" w14:textId="77777777" w:rsidR="0044771E" w:rsidRDefault="0044771E" w:rsidP="0044771E">
      <w:pPr>
        <w:widowControl w:val="0"/>
        <w:autoSpaceDE w:val="0"/>
        <w:autoSpaceDN w:val="0"/>
        <w:spacing w:after="120" w:line="276" w:lineRule="auto"/>
        <w:jc w:val="both"/>
        <w:rPr>
          <w:rFonts w:ascii="Verdana" w:eastAsia="Arial" w:hAnsi="Verdana" w:cs="Arial"/>
          <w:lang w:val="es-ES"/>
        </w:rPr>
      </w:pPr>
      <w:r w:rsidRPr="003A426C">
        <w:rPr>
          <w:rFonts w:ascii="Verdana" w:eastAsia="Arial" w:hAnsi="Verdana" w:cs="Arial"/>
          <w:lang w:val="es-ES"/>
        </w:rPr>
        <w:tab/>
      </w:r>
      <w:r w:rsidRPr="003A426C">
        <w:rPr>
          <w:rFonts w:ascii="Verdana" w:eastAsia="Arial" w:hAnsi="Verdana" w:cs="Arial"/>
          <w:bCs/>
          <w:lang w:val="es-ES"/>
        </w:rPr>
        <w:t>3.</w:t>
      </w:r>
      <w:r w:rsidRPr="003A426C">
        <w:rPr>
          <w:rFonts w:ascii="Verdana" w:eastAsia="Arial" w:hAnsi="Verdana" w:cs="Arial"/>
          <w:lang w:val="es-ES"/>
        </w:rPr>
        <w:t xml:space="preserve"> El pago de los aportes de Seguridad Social es un </w:t>
      </w:r>
      <w:r w:rsidRPr="003A426C">
        <w:rPr>
          <w:rFonts w:ascii="Verdana" w:eastAsia="Arial" w:hAnsi="Verdana" w:cs="Arial"/>
          <w:i/>
          <w:iCs/>
          <w:lang w:val="es-ES"/>
        </w:rPr>
        <w:t>requisito de ejecución</w:t>
      </w:r>
      <w:r w:rsidRPr="003A426C">
        <w:rPr>
          <w:rFonts w:ascii="Verdana" w:eastAsia="Arial" w:hAnsi="Verdana" w:cs="Arial"/>
          <w:lang w:val="es-ES"/>
        </w:rPr>
        <w:t xml:space="preserve"> del contrato, es decir, es un elemento </w:t>
      </w:r>
      <w:r w:rsidRPr="003A426C">
        <w:rPr>
          <w:rFonts w:ascii="Verdana" w:eastAsia="Arial" w:hAnsi="Verdana" w:cs="Arial"/>
          <w:i/>
          <w:lang w:val="es-ES"/>
        </w:rPr>
        <w:t>sine qua non</w:t>
      </w:r>
      <w:r w:rsidRPr="003A426C">
        <w:rPr>
          <w:rFonts w:ascii="Verdana" w:eastAsia="Arial" w:hAnsi="Verdana" w:cs="Arial"/>
          <w:lang w:val="es-ES"/>
        </w:rPr>
        <w:t xml:space="preserve"> para que las partes puedan empezar a cumplir con las obligaciones contractuales, de acuerdo con el artículo 23 de la Ley 1150 de 2007 –inciso primero–. Sin perjuicio de lo anterior, es posible que la entidad estatal, atendiendo a las circunstancias de cada caso, considere que con los documentos mediante los cuales se acreditó el </w:t>
      </w:r>
      <w:r w:rsidRPr="003A426C">
        <w:rPr>
          <w:rFonts w:ascii="Verdana" w:eastAsia="Arial" w:hAnsi="Verdana" w:cs="Arial"/>
          <w:lang w:val="es-ES"/>
        </w:rPr>
        <w:lastRenderedPageBreak/>
        <w:t>cumplimiento de este requisito para la celebración del contrato, también sean idóneos para entender que se encuentra acreditado para iniciar la ejecución, atendiendo a principios como el de economía.</w:t>
      </w:r>
    </w:p>
    <w:p w14:paraId="530CD201" w14:textId="77777777" w:rsidR="0044771E" w:rsidRPr="003A426C" w:rsidRDefault="0044771E" w:rsidP="0044771E">
      <w:pPr>
        <w:widowControl w:val="0"/>
        <w:autoSpaceDE w:val="0"/>
        <w:autoSpaceDN w:val="0"/>
        <w:spacing w:after="120" w:line="276" w:lineRule="auto"/>
        <w:ind w:firstLine="708"/>
        <w:jc w:val="both"/>
        <w:rPr>
          <w:rFonts w:ascii="Verdana" w:eastAsia="Arial" w:hAnsi="Verdana" w:cs="Arial"/>
          <w:lang w:val="es-ES"/>
        </w:rPr>
      </w:pPr>
      <w:r w:rsidRPr="003A426C">
        <w:rPr>
          <w:rFonts w:ascii="Verdana" w:eastAsia="Arial" w:hAnsi="Verdana" w:cs="Arial"/>
          <w:lang w:val="es-ES"/>
        </w:rPr>
        <w:t xml:space="preserve">Sin embargo, como se indicó, ello dependerá de cada caso, pues usualmente entre el momento del perfeccionamiento del contrato y el inicio de la ejecución no suelen pasar muchos días, por lo que dependiendo de cada caso se analizará si con los documentos presentados para suscribir el contrato puede entenderse cumplido el requisito para el momento de iniciar la ejecución.  </w:t>
      </w:r>
    </w:p>
    <w:p w14:paraId="2DE143AF" w14:textId="77777777" w:rsidR="0044771E" w:rsidRPr="003A426C" w:rsidRDefault="0044771E" w:rsidP="0044771E">
      <w:pPr>
        <w:widowControl w:val="0"/>
        <w:autoSpaceDE w:val="0"/>
        <w:autoSpaceDN w:val="0"/>
        <w:spacing w:after="120" w:line="276" w:lineRule="auto"/>
        <w:ind w:firstLine="709"/>
        <w:jc w:val="both"/>
        <w:rPr>
          <w:rFonts w:ascii="Verdana" w:eastAsia="Arial" w:hAnsi="Verdana" w:cs="Arial"/>
          <w:lang w:val="es-ES"/>
        </w:rPr>
      </w:pPr>
      <w:r w:rsidRPr="003A426C">
        <w:rPr>
          <w:rFonts w:ascii="Verdana" w:eastAsia="Arial" w:hAnsi="Verdana" w:cs="Arial"/>
          <w:bCs/>
          <w:lang w:val="es-ES"/>
        </w:rPr>
        <w:t>4.</w:t>
      </w:r>
      <w:r w:rsidRPr="003A426C">
        <w:rPr>
          <w:rFonts w:ascii="Verdana" w:eastAsia="Arial" w:hAnsi="Verdana" w:cs="Arial"/>
          <w:lang w:val="es-ES"/>
        </w:rPr>
        <w:t xml:space="preserve"> </w:t>
      </w:r>
      <w:r w:rsidRPr="003A426C">
        <w:rPr>
          <w:rFonts w:ascii="Verdana" w:eastAsia="Arial" w:hAnsi="Verdana" w:cs="Arial"/>
          <w:i/>
          <w:iCs/>
          <w:lang w:val="es-ES"/>
        </w:rPr>
        <w:t>Durante la ejecución del contrato</w:t>
      </w:r>
      <w:r w:rsidRPr="003A426C">
        <w:rPr>
          <w:rFonts w:ascii="Verdana" w:eastAsia="Arial" w:hAnsi="Verdana" w:cs="Arial"/>
          <w:lang w:val="es-ES"/>
        </w:rPr>
        <w:t xml:space="preserve">, la entidad estatal debe verificar el pago a los aportes a Seguridad Social, verificación que deberá efectuar para realizar cada pago originado en el contrato –parágrafo 1, art. 41 de la Ley 80 de 1993, modificado por el art. 23 de la Ley 1150 de 2007. </w:t>
      </w:r>
    </w:p>
    <w:p w14:paraId="35EE69D1" w14:textId="77777777" w:rsidR="0044771E" w:rsidRPr="003A426C" w:rsidRDefault="0044771E" w:rsidP="0044771E">
      <w:pPr>
        <w:widowControl w:val="0"/>
        <w:autoSpaceDE w:val="0"/>
        <w:autoSpaceDN w:val="0"/>
        <w:spacing w:after="120" w:line="276" w:lineRule="auto"/>
        <w:jc w:val="both"/>
        <w:rPr>
          <w:rFonts w:ascii="Verdana" w:eastAsia="Arial" w:hAnsi="Verdana" w:cs="Arial"/>
          <w:lang w:val="es-ES"/>
        </w:rPr>
      </w:pPr>
      <w:r w:rsidRPr="003A426C">
        <w:rPr>
          <w:rFonts w:ascii="Verdana" w:eastAsia="Arial" w:hAnsi="Verdana" w:cs="Arial"/>
          <w:lang w:val="es-ES"/>
        </w:rPr>
        <w:tab/>
      </w:r>
      <w:r w:rsidRPr="003A426C">
        <w:rPr>
          <w:rFonts w:ascii="Verdana" w:eastAsia="Arial" w:hAnsi="Verdana" w:cs="Arial"/>
          <w:bCs/>
          <w:lang w:val="es-ES"/>
        </w:rPr>
        <w:t>5.</w:t>
      </w:r>
      <w:r w:rsidRPr="003A426C">
        <w:rPr>
          <w:rFonts w:ascii="Verdana" w:eastAsia="Arial" w:hAnsi="Verdana" w:cs="Arial"/>
          <w:lang w:val="es-ES"/>
        </w:rPr>
        <w:t xml:space="preserve"> Finalmente,</w:t>
      </w:r>
      <w:r w:rsidRPr="003A426C">
        <w:rPr>
          <w:rFonts w:ascii="Verdana" w:eastAsia="Arial" w:hAnsi="Verdana" w:cs="Arial"/>
          <w:spacing w:val="-4"/>
          <w:lang w:val="es-ES"/>
        </w:rPr>
        <w:t xml:space="preserve"> </w:t>
      </w:r>
      <w:r w:rsidRPr="003A426C">
        <w:rPr>
          <w:rFonts w:ascii="Verdana" w:eastAsia="Arial" w:hAnsi="Verdana" w:cs="Arial"/>
          <w:lang w:val="es-ES"/>
        </w:rPr>
        <w:t>en</w:t>
      </w:r>
      <w:r w:rsidRPr="003A426C">
        <w:rPr>
          <w:rFonts w:ascii="Verdana" w:eastAsia="Arial" w:hAnsi="Verdana" w:cs="Arial"/>
          <w:spacing w:val="-6"/>
          <w:lang w:val="es-ES"/>
        </w:rPr>
        <w:t xml:space="preserve"> </w:t>
      </w:r>
      <w:r w:rsidRPr="003A426C">
        <w:rPr>
          <w:rFonts w:ascii="Verdana" w:eastAsia="Arial" w:hAnsi="Verdana" w:cs="Arial"/>
          <w:lang w:val="es-ES"/>
        </w:rPr>
        <w:t>virtud</w:t>
      </w:r>
      <w:r w:rsidRPr="003A426C">
        <w:rPr>
          <w:rFonts w:ascii="Verdana" w:eastAsia="Arial" w:hAnsi="Verdana" w:cs="Arial"/>
          <w:spacing w:val="-5"/>
          <w:lang w:val="es-ES"/>
        </w:rPr>
        <w:t xml:space="preserve"> </w:t>
      </w:r>
      <w:r w:rsidRPr="003A426C">
        <w:rPr>
          <w:rFonts w:ascii="Verdana" w:eastAsia="Arial" w:hAnsi="Verdana" w:cs="Arial"/>
          <w:lang w:val="es-ES"/>
        </w:rPr>
        <w:t>del</w:t>
      </w:r>
      <w:r w:rsidRPr="003A426C">
        <w:rPr>
          <w:rFonts w:ascii="Verdana" w:eastAsia="Arial" w:hAnsi="Verdana" w:cs="Arial"/>
          <w:spacing w:val="-6"/>
          <w:lang w:val="es-ES"/>
        </w:rPr>
        <w:t xml:space="preserve"> </w:t>
      </w:r>
      <w:r w:rsidRPr="003A426C">
        <w:rPr>
          <w:rFonts w:ascii="Verdana" w:eastAsia="Arial" w:hAnsi="Verdana" w:cs="Arial"/>
          <w:lang w:val="es-ES"/>
        </w:rPr>
        <w:t>artículo</w:t>
      </w:r>
      <w:r w:rsidRPr="003A426C">
        <w:rPr>
          <w:rFonts w:ascii="Verdana" w:eastAsia="Arial" w:hAnsi="Verdana" w:cs="Arial"/>
          <w:spacing w:val="-6"/>
          <w:lang w:val="es-ES"/>
        </w:rPr>
        <w:t xml:space="preserve"> </w:t>
      </w:r>
      <w:r w:rsidRPr="003A426C">
        <w:rPr>
          <w:rFonts w:ascii="Verdana" w:eastAsia="Arial" w:hAnsi="Verdana" w:cs="Arial"/>
          <w:lang w:val="es-ES"/>
        </w:rPr>
        <w:t>50</w:t>
      </w:r>
      <w:r w:rsidRPr="003A426C">
        <w:rPr>
          <w:rFonts w:ascii="Verdana" w:eastAsia="Arial" w:hAnsi="Verdana" w:cs="Arial"/>
          <w:spacing w:val="-5"/>
          <w:lang w:val="es-ES"/>
        </w:rPr>
        <w:t xml:space="preserve"> </w:t>
      </w:r>
      <w:r w:rsidRPr="003A426C">
        <w:rPr>
          <w:rFonts w:ascii="Verdana" w:eastAsia="Arial" w:hAnsi="Verdana" w:cs="Arial"/>
          <w:lang w:val="es-ES"/>
        </w:rPr>
        <w:t>de</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Ley</w:t>
      </w:r>
      <w:r w:rsidRPr="003A426C">
        <w:rPr>
          <w:rFonts w:ascii="Verdana" w:eastAsia="Arial" w:hAnsi="Verdana" w:cs="Arial"/>
          <w:spacing w:val="-5"/>
          <w:lang w:val="es-ES"/>
        </w:rPr>
        <w:t xml:space="preserve"> </w:t>
      </w:r>
      <w:r w:rsidRPr="003A426C">
        <w:rPr>
          <w:rFonts w:ascii="Verdana" w:eastAsia="Arial" w:hAnsi="Verdana" w:cs="Arial"/>
          <w:lang w:val="es-ES"/>
        </w:rPr>
        <w:t>789</w:t>
      </w:r>
      <w:r w:rsidRPr="003A426C">
        <w:rPr>
          <w:rFonts w:ascii="Verdana" w:eastAsia="Arial" w:hAnsi="Verdana" w:cs="Arial"/>
          <w:spacing w:val="-6"/>
          <w:lang w:val="es-ES"/>
        </w:rPr>
        <w:t xml:space="preserve"> </w:t>
      </w:r>
      <w:r w:rsidRPr="003A426C">
        <w:rPr>
          <w:rFonts w:ascii="Verdana" w:eastAsia="Arial" w:hAnsi="Verdana" w:cs="Arial"/>
          <w:lang w:val="es-ES"/>
        </w:rPr>
        <w:t>de</w:t>
      </w:r>
      <w:r w:rsidRPr="003A426C">
        <w:rPr>
          <w:rFonts w:ascii="Verdana" w:eastAsia="Arial" w:hAnsi="Verdana" w:cs="Arial"/>
          <w:spacing w:val="-5"/>
          <w:lang w:val="es-ES"/>
        </w:rPr>
        <w:t xml:space="preserve"> </w:t>
      </w:r>
      <w:r w:rsidRPr="003A426C">
        <w:rPr>
          <w:rFonts w:ascii="Verdana" w:eastAsia="Arial" w:hAnsi="Verdana" w:cs="Arial"/>
          <w:lang w:val="es-ES"/>
        </w:rPr>
        <w:t>2002,</w:t>
      </w:r>
      <w:r w:rsidRPr="003A426C">
        <w:rPr>
          <w:rFonts w:ascii="Verdana" w:eastAsia="Arial" w:hAnsi="Verdana" w:cs="Arial"/>
          <w:spacing w:val="-6"/>
          <w:lang w:val="es-ES"/>
        </w:rPr>
        <w:t xml:space="preserve"> </w:t>
      </w:r>
      <w:r w:rsidRPr="003A426C">
        <w:rPr>
          <w:rFonts w:ascii="Verdana" w:eastAsia="Arial" w:hAnsi="Verdana" w:cs="Arial"/>
          <w:lang w:val="es-ES"/>
        </w:rPr>
        <w:t>la</w:t>
      </w:r>
      <w:r w:rsidRPr="003A426C">
        <w:rPr>
          <w:rFonts w:ascii="Verdana" w:eastAsia="Arial" w:hAnsi="Verdana" w:cs="Arial"/>
          <w:spacing w:val="-6"/>
          <w:lang w:val="es-ES"/>
        </w:rPr>
        <w:t xml:space="preserve"> </w:t>
      </w:r>
      <w:r w:rsidRPr="003A426C">
        <w:rPr>
          <w:rFonts w:ascii="Verdana" w:eastAsia="Arial" w:hAnsi="Verdana" w:cs="Arial"/>
          <w:lang w:val="es-ES"/>
        </w:rPr>
        <w:t>entidad</w:t>
      </w:r>
      <w:r w:rsidRPr="003A426C">
        <w:rPr>
          <w:rFonts w:ascii="Verdana" w:eastAsia="Arial" w:hAnsi="Verdana" w:cs="Arial"/>
          <w:spacing w:val="-5"/>
          <w:lang w:val="es-ES"/>
        </w:rPr>
        <w:t xml:space="preserve"> </w:t>
      </w:r>
      <w:r w:rsidRPr="003A426C">
        <w:rPr>
          <w:rFonts w:ascii="Verdana" w:eastAsia="Arial" w:hAnsi="Verdana" w:cs="Arial"/>
          <w:lang w:val="es-ES"/>
        </w:rPr>
        <w:t xml:space="preserve">verificará, tanto para las personas naturales como para las jurídicas, la realización de los aportes al Sistema de Seguridad Social Integral, al </w:t>
      </w:r>
      <w:r w:rsidRPr="003A426C">
        <w:rPr>
          <w:rFonts w:ascii="Verdana" w:eastAsia="Arial" w:hAnsi="Verdana" w:cs="Arial"/>
          <w:i/>
          <w:iCs/>
          <w:lang w:val="es-ES"/>
        </w:rPr>
        <w:t>momento de su liquidación</w:t>
      </w:r>
      <w:r w:rsidRPr="003A426C">
        <w:rPr>
          <w:rFonts w:ascii="Verdana" w:eastAsia="Arial" w:hAnsi="Verdana" w:cs="Arial"/>
          <w:lang w:val="es-ES"/>
        </w:rPr>
        <w:t>, y dejarán constancia del cumplimiento de las obligaciones del contratista frente a los aportes mencionados durante toda su vigencia, estableciendo una correcta relación entre el monto cancelado y las sumas que debieron</w:t>
      </w:r>
      <w:r w:rsidRPr="003A426C">
        <w:rPr>
          <w:rFonts w:ascii="Verdana" w:eastAsia="Arial" w:hAnsi="Verdana" w:cs="Arial"/>
          <w:spacing w:val="-9"/>
          <w:lang w:val="es-ES"/>
        </w:rPr>
        <w:t xml:space="preserve"> </w:t>
      </w:r>
      <w:r w:rsidRPr="003A426C">
        <w:rPr>
          <w:rFonts w:ascii="Verdana" w:eastAsia="Arial" w:hAnsi="Verdana" w:cs="Arial"/>
          <w:lang w:val="es-ES"/>
        </w:rPr>
        <w:t>cotizar.</w:t>
      </w:r>
    </w:p>
    <w:p w14:paraId="165E3738" w14:textId="77777777" w:rsidR="0044771E" w:rsidRDefault="0044771E" w:rsidP="0044771E">
      <w:pPr>
        <w:widowControl w:val="0"/>
        <w:autoSpaceDE w:val="0"/>
        <w:autoSpaceDN w:val="0"/>
        <w:spacing w:after="0" w:line="276" w:lineRule="auto"/>
        <w:ind w:firstLine="709"/>
        <w:jc w:val="both"/>
        <w:rPr>
          <w:rFonts w:ascii="Verdana" w:eastAsia="Arial" w:hAnsi="Verdana" w:cs="Arial"/>
          <w:lang w:val="es-ES"/>
        </w:rPr>
      </w:pPr>
      <w:r w:rsidRPr="003A426C">
        <w:rPr>
          <w:rFonts w:ascii="Verdana" w:eastAsia="Arial" w:hAnsi="Verdana" w:cs="Arial"/>
          <w:lang w:val="es-ES"/>
        </w:rPr>
        <w:t xml:space="preserve"> A partir de las reglas mencionadas, se evidencia que estar al día en el pago de las obligaciones relacionadas con el Sistema de Seguridad Social Integral</w:t>
      </w:r>
      <w:r w:rsidRPr="003A426C" w:rsidDel="00822685">
        <w:rPr>
          <w:rFonts w:ascii="Verdana" w:eastAsia="Arial" w:hAnsi="Verdana" w:cs="Arial"/>
          <w:lang w:val="es-ES"/>
        </w:rPr>
        <w:t xml:space="preserve"> </w:t>
      </w:r>
      <w:r w:rsidRPr="003A426C">
        <w:rPr>
          <w:rFonts w:ascii="Verdana" w:eastAsia="Arial" w:hAnsi="Verdana" w:cs="Arial"/>
          <w:lang w:val="es-ES"/>
        </w:rPr>
        <w:t>es un requisito cuya verificación debe realizarse en distintos momentos del proceso contractual. Además, dicha verificación deberá efectuarse en relación con todos los contratos que celebren las entidades estatales independientemente de su naturaleza o modalidad de selección.</w:t>
      </w:r>
    </w:p>
    <w:p w14:paraId="37790CFA" w14:textId="77777777" w:rsidR="0044771E" w:rsidRDefault="0044771E" w:rsidP="0044771E">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Ahora bien, </w:t>
      </w:r>
      <w:bookmarkStart w:id="3" w:name="_Hlk80881612"/>
      <w:r>
        <w:rPr>
          <w:rFonts w:ascii="Verdana" w:eastAsia="Arial" w:hAnsi="Verdana" w:cs="Arial"/>
          <w:lang w:val="es-ES"/>
        </w:rPr>
        <w:t xml:space="preserve">los parámetros descritos también se refieren a la forma en que las personas jurídicas deben acreditar el cumplimiento de sus obligaciones con el Sistema de Seguridad Social. En esta medida, el artículo 50 de la Ley </w:t>
      </w:r>
      <w:r w:rsidRPr="007F734F">
        <w:rPr>
          <w:rFonts w:ascii="Verdana" w:eastAsia="Arial" w:hAnsi="Verdana" w:cs="Arial"/>
          <w:lang w:val="es-ES"/>
        </w:rPr>
        <w:t>789 de 2002 dispone que</w:t>
      </w:r>
      <w:r>
        <w:rPr>
          <w:rFonts w:ascii="Verdana" w:eastAsia="Arial" w:hAnsi="Verdana" w:cs="Arial"/>
          <w:lang w:val="es-ES"/>
        </w:rPr>
        <w:t xml:space="preserve"> las personas jurídicas deben acreditar el pago de los aportes de sus </w:t>
      </w:r>
      <w:r w:rsidRPr="00F7651F">
        <w:rPr>
          <w:rFonts w:ascii="Verdana" w:eastAsia="Arial" w:hAnsi="Verdana" w:cs="Arial"/>
          <w:i/>
          <w:iCs/>
          <w:lang w:val="es-ES"/>
        </w:rPr>
        <w:t>empleados</w:t>
      </w:r>
      <w:r w:rsidRPr="007F734F">
        <w:rPr>
          <w:rFonts w:ascii="Verdana" w:eastAsia="Arial" w:hAnsi="Verdana" w:cs="Arial"/>
          <w:lang w:val="es-ES"/>
        </w:rPr>
        <w:t xml:space="preserve">, con lo que se refiere </w:t>
      </w:r>
      <w:r>
        <w:rPr>
          <w:rFonts w:ascii="Verdana" w:eastAsia="Arial" w:hAnsi="Verdana" w:cs="Arial"/>
          <w:lang w:val="es-ES"/>
        </w:rPr>
        <w:t xml:space="preserve">a </w:t>
      </w:r>
      <w:r w:rsidRPr="007F734F">
        <w:rPr>
          <w:rFonts w:ascii="Verdana" w:eastAsia="Arial" w:hAnsi="Verdana" w:cs="Arial"/>
          <w:lang w:val="es-ES"/>
        </w:rPr>
        <w:t>aquellas personas que cuenten con</w:t>
      </w:r>
      <w:r w:rsidRPr="00F7651F">
        <w:rPr>
          <w:rFonts w:ascii="Verdana" w:eastAsia="Arial" w:hAnsi="Verdana" w:cs="Arial"/>
          <w:lang w:val="es-ES"/>
        </w:rPr>
        <w:t xml:space="preserve"> una relación laboral en los términos de los artículos 22 y 23 del Código Sustantivo del Trabajo</w:t>
      </w:r>
      <w:r>
        <w:rPr>
          <w:rFonts w:ascii="Verdana" w:eastAsia="Arial" w:hAnsi="Verdana" w:cs="Arial"/>
          <w:lang w:val="es-ES"/>
        </w:rPr>
        <w:t xml:space="preserve">. Teniendo en cuenta que el artículo </w:t>
      </w:r>
      <w:r w:rsidRPr="007F734F">
        <w:rPr>
          <w:rFonts w:ascii="Verdana" w:eastAsia="Arial" w:hAnsi="Verdana" w:cs="Arial"/>
          <w:lang w:val="es-ES"/>
        </w:rPr>
        <w:t>84 de la Constitución Política dispone que “</w:t>
      </w:r>
      <w:r>
        <w:rPr>
          <w:rFonts w:ascii="Verdana" w:eastAsia="Arial" w:hAnsi="Verdana" w:cs="Arial"/>
          <w:lang w:val="es-ES"/>
        </w:rPr>
        <w:t>c</w:t>
      </w:r>
      <w:r w:rsidRPr="007F734F">
        <w:rPr>
          <w:rFonts w:ascii="Verdana" w:eastAsia="Arial" w:hAnsi="Verdana" w:cs="Arial"/>
          <w:lang w:val="es-ES"/>
        </w:rPr>
        <w:t xml:space="preserve">uando un derecho o una actividad hayan sido reglamentados de manera general, las </w:t>
      </w:r>
      <w:proofErr w:type="gramStart"/>
      <w:r w:rsidRPr="007F734F">
        <w:rPr>
          <w:rFonts w:ascii="Verdana" w:eastAsia="Arial" w:hAnsi="Verdana" w:cs="Arial"/>
          <w:lang w:val="es-ES"/>
        </w:rPr>
        <w:t>autoridades públicas</w:t>
      </w:r>
      <w:proofErr w:type="gramEnd"/>
      <w:r w:rsidRPr="007F734F">
        <w:rPr>
          <w:rFonts w:ascii="Verdana" w:eastAsia="Arial" w:hAnsi="Verdana" w:cs="Arial"/>
          <w:lang w:val="es-ES"/>
        </w:rPr>
        <w:t xml:space="preserve"> no podrán </w:t>
      </w:r>
      <w:r w:rsidRPr="007F734F">
        <w:rPr>
          <w:rFonts w:ascii="Verdana" w:eastAsia="Arial" w:hAnsi="Verdana" w:cs="Arial"/>
          <w:lang w:val="es-ES"/>
        </w:rPr>
        <w:lastRenderedPageBreak/>
        <w:t>establecer ni exigir permisos, licencias o requisitos adicionales para su ejercicio”</w:t>
      </w:r>
      <w:r>
        <w:rPr>
          <w:rFonts w:ascii="Verdana" w:eastAsia="Arial" w:hAnsi="Verdana" w:cs="Arial"/>
          <w:lang w:val="es-ES"/>
        </w:rPr>
        <w:t xml:space="preserve">, es posible señalar que la ley no exigió que las personas jurídicas acrediten </w:t>
      </w:r>
      <w:r w:rsidRPr="007F734F">
        <w:rPr>
          <w:rFonts w:ascii="Verdana" w:eastAsia="Arial" w:hAnsi="Verdana" w:cs="Arial"/>
          <w:lang w:val="es-ES"/>
        </w:rPr>
        <w:t>el pago de los aportes de sus contratistas</w:t>
      </w:r>
      <w:r>
        <w:rPr>
          <w:rFonts w:ascii="Verdana" w:eastAsia="Arial" w:hAnsi="Verdana" w:cs="Arial"/>
          <w:lang w:val="es-ES"/>
        </w:rPr>
        <w:t>,</w:t>
      </w:r>
      <w:r w:rsidRPr="007F734F">
        <w:rPr>
          <w:rFonts w:ascii="Verdana" w:eastAsia="Arial" w:hAnsi="Verdana" w:cs="Arial"/>
          <w:lang w:val="es-ES"/>
        </w:rPr>
        <w:t xml:space="preserve"> ni aporte</w:t>
      </w:r>
      <w:r>
        <w:rPr>
          <w:rFonts w:ascii="Verdana" w:eastAsia="Arial" w:hAnsi="Verdana" w:cs="Arial"/>
          <w:lang w:val="es-ES"/>
        </w:rPr>
        <w:t>n</w:t>
      </w:r>
      <w:r w:rsidRPr="007F734F">
        <w:rPr>
          <w:rFonts w:ascii="Verdana" w:eastAsia="Arial" w:hAnsi="Verdana" w:cs="Arial"/>
          <w:lang w:val="es-ES"/>
        </w:rPr>
        <w:t xml:space="preserve"> las planillas de pago.</w:t>
      </w:r>
      <w:r>
        <w:rPr>
          <w:rFonts w:ascii="Verdana" w:eastAsia="Arial" w:hAnsi="Verdana" w:cs="Arial"/>
          <w:lang w:val="es-ES"/>
        </w:rPr>
        <w:t xml:space="preserve"> </w:t>
      </w:r>
    </w:p>
    <w:p w14:paraId="39F39E0D" w14:textId="77777777" w:rsidR="0044771E" w:rsidRDefault="0044771E" w:rsidP="0044771E">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Se concluye de lo anterior que los proponentes que tengan la calidad de personas jurídicas únicamente deberán acreditar el pago de los aportes de quienes cumplan con la condición de ser sus </w:t>
      </w:r>
      <w:r w:rsidRPr="00041FDD">
        <w:rPr>
          <w:rFonts w:ascii="Verdana" w:eastAsia="Arial" w:hAnsi="Verdana" w:cs="Arial"/>
          <w:i/>
          <w:iCs/>
          <w:lang w:val="es-ES"/>
        </w:rPr>
        <w:t>empleados</w:t>
      </w:r>
      <w:r>
        <w:rPr>
          <w:rFonts w:ascii="Verdana" w:eastAsia="Arial" w:hAnsi="Verdana" w:cs="Arial"/>
          <w:lang w:val="es-ES"/>
        </w:rPr>
        <w:t xml:space="preserve">, tal como lo exige el artículo 50 de la Ley </w:t>
      </w:r>
      <w:r w:rsidRPr="007F734F">
        <w:rPr>
          <w:rFonts w:ascii="Verdana" w:eastAsia="Arial" w:hAnsi="Verdana" w:cs="Arial"/>
          <w:lang w:val="es-ES"/>
        </w:rPr>
        <w:t>789 de 2002</w:t>
      </w:r>
      <w:r>
        <w:rPr>
          <w:rFonts w:ascii="Verdana" w:eastAsia="Arial" w:hAnsi="Verdana" w:cs="Arial"/>
          <w:lang w:val="es-ES"/>
        </w:rPr>
        <w:t xml:space="preserve">. En concordancia, no deberán acreditar dichos pagos con respecto a quienes cuenten con un tipo de vinculación distinta al contrato laboral, como es el caso de aquellos contratados mediante prestación de servicios. </w:t>
      </w:r>
    </w:p>
    <w:p w14:paraId="52031A49" w14:textId="77777777" w:rsidR="0044771E" w:rsidRPr="002C7E7A" w:rsidRDefault="0044771E" w:rsidP="0044771E">
      <w:pPr>
        <w:widowControl w:val="0"/>
        <w:autoSpaceDE w:val="0"/>
        <w:autoSpaceDN w:val="0"/>
        <w:spacing w:before="120" w:after="0" w:line="276" w:lineRule="auto"/>
        <w:ind w:firstLine="709"/>
        <w:jc w:val="both"/>
        <w:rPr>
          <w:rFonts w:ascii="Verdana" w:eastAsia="Arial" w:hAnsi="Verdana" w:cs="Arial"/>
          <w:lang w:val="es-ES"/>
        </w:rPr>
      </w:pPr>
      <w:r>
        <w:rPr>
          <w:rFonts w:ascii="Verdana" w:eastAsia="Arial" w:hAnsi="Verdana" w:cs="Arial"/>
          <w:lang w:val="es-ES"/>
        </w:rPr>
        <w:t xml:space="preserve">De cualquier modo, la persona jurídica deberá acreditar con la presentación de la oferta el </w:t>
      </w:r>
      <w:r w:rsidRPr="00CB781B">
        <w:rPr>
          <w:rFonts w:ascii="Verdana" w:eastAsia="Arial" w:hAnsi="Verdana" w:cs="Arial"/>
          <w:lang w:val="es-ES"/>
        </w:rPr>
        <w:t xml:space="preserve">pago de los aportes al Sistema de </w:t>
      </w:r>
      <w:r>
        <w:rPr>
          <w:rFonts w:ascii="Verdana" w:eastAsia="Arial" w:hAnsi="Verdana" w:cs="Arial"/>
          <w:lang w:val="es-ES"/>
        </w:rPr>
        <w:t>S</w:t>
      </w:r>
      <w:r w:rsidRPr="00CB781B">
        <w:rPr>
          <w:rFonts w:ascii="Verdana" w:eastAsia="Arial" w:hAnsi="Verdana" w:cs="Arial"/>
          <w:lang w:val="es-ES"/>
        </w:rPr>
        <w:t>eguridad Social de</w:t>
      </w:r>
      <w:r>
        <w:rPr>
          <w:rFonts w:ascii="Verdana" w:eastAsia="Arial" w:hAnsi="Verdana" w:cs="Arial"/>
          <w:lang w:val="es-ES"/>
        </w:rPr>
        <w:t xml:space="preserve"> sus empleados, por lo que</w:t>
      </w:r>
      <w:r w:rsidRPr="00CB781B">
        <w:rPr>
          <w:rFonts w:ascii="Verdana" w:eastAsia="Arial" w:hAnsi="Verdana" w:cs="Arial"/>
          <w:lang w:val="es-ES"/>
        </w:rPr>
        <w:t xml:space="preserve"> </w:t>
      </w:r>
      <w:r>
        <w:rPr>
          <w:rFonts w:ascii="Verdana" w:eastAsia="Arial" w:hAnsi="Verdana" w:cs="Arial"/>
          <w:lang w:val="es-ES"/>
        </w:rPr>
        <w:t>é</w:t>
      </w:r>
      <w:r w:rsidRPr="00CB781B">
        <w:rPr>
          <w:rFonts w:ascii="Verdana" w:eastAsia="Arial" w:hAnsi="Verdana" w:cs="Arial"/>
          <w:lang w:val="es-ES"/>
        </w:rPr>
        <w:t>ste constituye un criterio de admisión de</w:t>
      </w:r>
      <w:r>
        <w:rPr>
          <w:rFonts w:ascii="Verdana" w:eastAsia="Arial" w:hAnsi="Verdana" w:cs="Arial"/>
          <w:lang w:val="es-ES"/>
        </w:rPr>
        <w:t xml:space="preserve"> su propuesta. Lo anterior,</w:t>
      </w:r>
      <w:r w:rsidRPr="00CB781B">
        <w:rPr>
          <w:rFonts w:ascii="Verdana" w:eastAsia="Arial" w:hAnsi="Verdana" w:cs="Arial"/>
          <w:lang w:val="es-ES"/>
        </w:rPr>
        <w:t xml:space="preserve"> sin perjuicio de que durante la ejecución del contrato también se acredite para </w:t>
      </w:r>
      <w:r>
        <w:rPr>
          <w:rFonts w:ascii="Verdana" w:eastAsia="Arial" w:hAnsi="Verdana" w:cs="Arial"/>
          <w:lang w:val="es-ES"/>
        </w:rPr>
        <w:t xml:space="preserve">que la entidad </w:t>
      </w:r>
      <w:r w:rsidRPr="00CB781B">
        <w:rPr>
          <w:rFonts w:ascii="Verdana" w:eastAsia="Arial" w:hAnsi="Verdana" w:cs="Arial"/>
          <w:lang w:val="es-ES"/>
        </w:rPr>
        <w:t>pag</w:t>
      </w:r>
      <w:r>
        <w:rPr>
          <w:rFonts w:ascii="Verdana" w:eastAsia="Arial" w:hAnsi="Verdana" w:cs="Arial"/>
          <w:lang w:val="es-ES"/>
        </w:rPr>
        <w:t>ue</w:t>
      </w:r>
      <w:r w:rsidRPr="00CB781B">
        <w:rPr>
          <w:rFonts w:ascii="Verdana" w:eastAsia="Arial" w:hAnsi="Verdana" w:cs="Arial"/>
          <w:lang w:val="es-ES"/>
        </w:rPr>
        <w:t xml:space="preserve"> las cuentas o facturas</w:t>
      </w:r>
      <w:r>
        <w:rPr>
          <w:rFonts w:ascii="Verdana" w:eastAsia="Arial" w:hAnsi="Verdana" w:cs="Arial"/>
          <w:lang w:val="es-ES"/>
        </w:rPr>
        <w:t xml:space="preserve"> correspondientes</w:t>
      </w:r>
      <w:r w:rsidRPr="00CB781B">
        <w:rPr>
          <w:rFonts w:ascii="Verdana" w:eastAsia="Arial" w:hAnsi="Verdana" w:cs="Arial"/>
          <w:lang w:val="es-ES"/>
        </w:rPr>
        <w:t>. En los casos en los que opere, también constitu</w:t>
      </w:r>
      <w:r>
        <w:rPr>
          <w:rFonts w:ascii="Verdana" w:eastAsia="Arial" w:hAnsi="Verdana" w:cs="Arial"/>
          <w:lang w:val="es-ES"/>
        </w:rPr>
        <w:t>irá</w:t>
      </w:r>
      <w:r w:rsidRPr="00CB781B">
        <w:rPr>
          <w:rFonts w:ascii="Verdana" w:eastAsia="Arial" w:hAnsi="Verdana" w:cs="Arial"/>
          <w:lang w:val="es-ES"/>
        </w:rPr>
        <w:t xml:space="preserve"> un requisito para la liquidación.</w:t>
      </w:r>
      <w:bookmarkEnd w:id="3"/>
    </w:p>
    <w:p w14:paraId="5C1439E2" w14:textId="77777777" w:rsidR="0044771E" w:rsidRPr="00E3541D" w:rsidRDefault="0044771E" w:rsidP="0044771E">
      <w:pPr>
        <w:widowControl w:val="0"/>
        <w:autoSpaceDE w:val="0"/>
        <w:autoSpaceDN w:val="0"/>
        <w:spacing w:before="120" w:after="120" w:line="276" w:lineRule="auto"/>
        <w:ind w:firstLine="708"/>
        <w:jc w:val="both"/>
        <w:rPr>
          <w:rFonts w:ascii="Verdana" w:hAnsi="Verdana" w:cs="Arial"/>
          <w:lang w:val="es-ES"/>
        </w:rPr>
      </w:pPr>
      <w:r w:rsidRPr="00E10433">
        <w:rPr>
          <w:rFonts w:ascii="Verdana" w:eastAsia="Calibri" w:hAnsi="Verdana" w:cs="Arial"/>
          <w:bCs/>
          <w:color w:val="000000" w:themeColor="text1"/>
          <w:lang w:val="es-ES"/>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r w:rsidRPr="00E10433">
        <w:rPr>
          <w:rFonts w:ascii="Verdana" w:hAnsi="Verdana" w:cs="Arial"/>
          <w:lang w:val="es-ES"/>
        </w:rPr>
        <w:t xml:space="preserve">  </w:t>
      </w:r>
    </w:p>
    <w:bookmarkEnd w:id="1"/>
    <w:bookmarkEnd w:id="2"/>
    <w:p w14:paraId="0EFD8B5D" w14:textId="77777777" w:rsidR="0044771E" w:rsidRPr="00E10433" w:rsidRDefault="0044771E" w:rsidP="0044771E">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4.Referencias normativas, jurisprudenciales y otras fuentes:</w:t>
      </w:r>
    </w:p>
    <w:p w14:paraId="2FD836B8" w14:textId="77777777" w:rsidR="0044771E" w:rsidRPr="00E10433" w:rsidRDefault="0044771E" w:rsidP="0044771E">
      <w:pPr>
        <w:widowControl w:val="0"/>
        <w:autoSpaceDE w:val="0"/>
        <w:autoSpaceDN w:val="0"/>
        <w:spacing w:after="0" w:line="276" w:lineRule="auto"/>
        <w:jc w:val="both"/>
        <w:rPr>
          <w:rFonts w:ascii="Verdana" w:hAnsi="Verdana" w:cs="Arial"/>
          <w:color w:val="000000" w:themeColor="text1"/>
          <w:lang w:val="es-ES"/>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4771E" w:rsidRPr="00E10433" w14:paraId="69DDBEBC" w14:textId="77777777">
        <w:trPr>
          <w:trHeight w:val="870"/>
        </w:trPr>
        <w:tc>
          <w:tcPr>
            <w:tcW w:w="8647" w:type="dxa"/>
          </w:tcPr>
          <w:p w14:paraId="14B7F2B5"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hAnsi="Verdana" w:cs="Arial"/>
                <w:color w:val="000000" w:themeColor="text1"/>
              </w:rPr>
              <w:t>Constitución Política: artículo 84.</w:t>
            </w:r>
          </w:p>
          <w:p w14:paraId="6FE6D6A1"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hAnsi="Verdana" w:cs="Arial"/>
                <w:color w:val="000000" w:themeColor="text1"/>
              </w:rPr>
              <w:t>Ley 80 de 1993: artículos 6, 7, 8, 13 y 41.</w:t>
            </w:r>
          </w:p>
          <w:p w14:paraId="05C4C645"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hAnsi="Verdana" w:cs="Arial"/>
                <w:color w:val="000000" w:themeColor="text1"/>
              </w:rPr>
              <w:t>Ley 100 de 1993:</w:t>
            </w:r>
            <w:r w:rsidRPr="007B35CC">
              <w:rPr>
                <w:rStyle w:val="normaltextrun"/>
                <w:rFonts w:ascii="Verdana" w:hAnsi="Verdana"/>
                <w:shd w:val="clear" w:color="auto" w:fill="FFFFFF"/>
              </w:rPr>
              <w:t xml:space="preserve"> artículo 153.</w:t>
            </w:r>
          </w:p>
          <w:p w14:paraId="68F6E835"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hAnsi="Verdana" w:cs="Arial"/>
                <w:color w:val="000000" w:themeColor="text1"/>
              </w:rPr>
              <w:t>Ley 789 de 2002: artículo 50.</w:t>
            </w:r>
          </w:p>
          <w:p w14:paraId="63371A5C"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hAnsi="Verdana" w:cs="Arial"/>
                <w:color w:val="000000" w:themeColor="text1"/>
              </w:rPr>
              <w:lastRenderedPageBreak/>
              <w:t>Ley 1150 de 2007: artículo 23.</w:t>
            </w:r>
          </w:p>
          <w:p w14:paraId="53FB24D8" w14:textId="77777777" w:rsidR="0044771E" w:rsidRPr="007B35CC"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eastAsia="Arial" w:hAnsi="Verdana" w:cs="Arial"/>
              </w:rPr>
              <w:t xml:space="preserve">Consejo de Estado. Sección Tercera. Subsección C. Sentencia del 24 de julio de 2024. </w:t>
            </w:r>
            <w:proofErr w:type="spellStart"/>
            <w:r w:rsidRPr="007B35CC">
              <w:rPr>
                <w:rFonts w:ascii="Verdana" w:eastAsia="Arial" w:hAnsi="Verdana" w:cs="Arial"/>
              </w:rPr>
              <w:t>Exp</w:t>
            </w:r>
            <w:proofErr w:type="spellEnd"/>
            <w:r w:rsidRPr="007B35CC">
              <w:rPr>
                <w:rFonts w:ascii="Verdana" w:eastAsia="Arial" w:hAnsi="Verdana" w:cs="Arial"/>
              </w:rPr>
              <w:t xml:space="preserve">. </w:t>
            </w:r>
            <w:r w:rsidRPr="007B35CC">
              <w:rPr>
                <w:rFonts w:ascii="Verdana" w:eastAsia="Arial" w:hAnsi="Verdana" w:cs="Arial"/>
                <w:lang w:val="es-CO"/>
              </w:rPr>
              <w:t>05001-23-31-000-2005-04664-02 (47.156)</w:t>
            </w:r>
            <w:r w:rsidRPr="007B35CC">
              <w:rPr>
                <w:rFonts w:ascii="Verdana" w:eastAsia="Arial" w:hAnsi="Verdana" w:cs="Arial"/>
              </w:rPr>
              <w:t xml:space="preserve">. C.P. </w:t>
            </w:r>
            <w:r w:rsidRPr="007B35CC">
              <w:rPr>
                <w:rFonts w:ascii="Verdana" w:eastAsia="Arial" w:hAnsi="Verdana" w:cs="Arial"/>
                <w:lang w:val="es-CO"/>
              </w:rPr>
              <w:t>William Barrera Muñoz.</w:t>
            </w:r>
          </w:p>
          <w:p w14:paraId="64C1621C" w14:textId="77777777" w:rsidR="0044771E" w:rsidRPr="00B1775B" w:rsidRDefault="0044771E">
            <w:pPr>
              <w:pStyle w:val="Prrafodelista"/>
              <w:widowControl w:val="0"/>
              <w:numPr>
                <w:ilvl w:val="0"/>
                <w:numId w:val="16"/>
              </w:numPr>
              <w:autoSpaceDE w:val="0"/>
              <w:autoSpaceDN w:val="0"/>
              <w:snapToGrid w:val="0"/>
              <w:spacing w:before="120" w:after="120" w:line="276" w:lineRule="auto"/>
              <w:ind w:left="714" w:hanging="357"/>
              <w:contextualSpacing w:val="0"/>
              <w:jc w:val="both"/>
              <w:rPr>
                <w:rFonts w:ascii="Verdana" w:hAnsi="Verdana" w:cs="Arial"/>
                <w:color w:val="000000" w:themeColor="text1"/>
              </w:rPr>
            </w:pPr>
            <w:r w:rsidRPr="007B35CC">
              <w:rPr>
                <w:rFonts w:ascii="Verdana" w:eastAsia="Arial" w:hAnsi="Verdana" w:cs="Arial"/>
              </w:rPr>
              <w:t xml:space="preserve">Consejo de Estado. Sección Tercera. Subsección C. Sentencia del 8 de junio de 2011. </w:t>
            </w:r>
            <w:proofErr w:type="spellStart"/>
            <w:r w:rsidRPr="007B35CC">
              <w:rPr>
                <w:rFonts w:ascii="Verdana" w:eastAsia="Arial" w:hAnsi="Verdana" w:cs="Arial"/>
              </w:rPr>
              <w:t>Exp</w:t>
            </w:r>
            <w:proofErr w:type="spellEnd"/>
            <w:r w:rsidRPr="007B35CC">
              <w:rPr>
                <w:rFonts w:ascii="Verdana" w:eastAsia="Arial" w:hAnsi="Verdana" w:cs="Arial"/>
              </w:rPr>
              <w:t>. 20001-23-31-000-2005-00409-01(AP), C.P. Enrique Gil Botero.</w:t>
            </w:r>
          </w:p>
        </w:tc>
      </w:tr>
    </w:tbl>
    <w:p w14:paraId="7AEB2815" w14:textId="77777777" w:rsidR="0044771E" w:rsidRPr="00E10433" w:rsidRDefault="0044771E" w:rsidP="0044771E">
      <w:pPr>
        <w:widowControl w:val="0"/>
        <w:autoSpaceDE w:val="0"/>
        <w:autoSpaceDN w:val="0"/>
        <w:spacing w:after="0" w:line="276" w:lineRule="auto"/>
        <w:jc w:val="both"/>
        <w:rPr>
          <w:rFonts w:ascii="Verdana" w:hAnsi="Verdana" w:cs="Arial"/>
          <w:color w:val="000000" w:themeColor="text1"/>
          <w:lang w:val="es-ES"/>
        </w:rPr>
      </w:pPr>
    </w:p>
    <w:p w14:paraId="2A6D9C26" w14:textId="77777777" w:rsidR="0044771E" w:rsidRPr="00E10433" w:rsidRDefault="0044771E" w:rsidP="0044771E">
      <w:pPr>
        <w:tabs>
          <w:tab w:val="left" w:pos="142"/>
          <w:tab w:val="left" w:pos="284"/>
        </w:tabs>
        <w:spacing w:after="0" w:line="276" w:lineRule="auto"/>
        <w:jc w:val="both"/>
        <w:rPr>
          <w:rFonts w:ascii="Verdana" w:eastAsia="Century Gothic" w:hAnsi="Verdana" w:cs="Century Gothic"/>
          <w:b/>
          <w:color w:val="000000" w:themeColor="text1"/>
          <w:lang w:val="es-ES"/>
        </w:rPr>
      </w:pPr>
      <w:r w:rsidRPr="00E10433">
        <w:rPr>
          <w:rFonts w:ascii="Verdana" w:eastAsia="Century Gothic" w:hAnsi="Verdana" w:cs="Century Gothic"/>
          <w:b/>
          <w:color w:val="000000" w:themeColor="text1"/>
          <w:lang w:val="es-ES"/>
        </w:rPr>
        <w:t>5.Doctrina de la Agencia Nacional de Contratación Pública:</w:t>
      </w:r>
    </w:p>
    <w:p w14:paraId="4A0C34A5" w14:textId="77777777" w:rsidR="0044771E" w:rsidRPr="00E10433" w:rsidRDefault="0044771E" w:rsidP="0044771E">
      <w:pPr>
        <w:widowControl w:val="0"/>
        <w:autoSpaceDE w:val="0"/>
        <w:autoSpaceDN w:val="0"/>
        <w:spacing w:after="0" w:line="276" w:lineRule="auto"/>
        <w:jc w:val="both"/>
        <w:rPr>
          <w:rFonts w:ascii="Verdana" w:hAnsi="Verdana" w:cs="Arial"/>
          <w:color w:val="000000" w:themeColor="text1"/>
          <w:lang w:val="es-ES"/>
        </w:rPr>
      </w:pPr>
    </w:p>
    <w:p w14:paraId="514C8BC9" w14:textId="77777777" w:rsidR="0044771E" w:rsidRPr="00E10433" w:rsidRDefault="0044771E" w:rsidP="0044771E">
      <w:pPr>
        <w:jc w:val="both"/>
        <w:rPr>
          <w:rFonts w:ascii="Arial" w:eastAsia="Calibri" w:hAnsi="Arial" w:cs="Arial"/>
          <w:b/>
          <w:bCs/>
          <w:color w:val="000000" w:themeColor="text1"/>
          <w:lang w:val="es-ES"/>
        </w:rPr>
      </w:pPr>
      <w:r w:rsidRPr="00E10433">
        <w:rPr>
          <w:rFonts w:ascii="Verdana" w:eastAsia="Calibri" w:hAnsi="Verdana" w:cs="Arial"/>
          <w:lang w:val="es-ES"/>
        </w:rPr>
        <w:t xml:space="preserve">La Agencia Nacional de Contratación Pública – Colombia Compra Eficiente se ha referido </w:t>
      </w:r>
      <w:r w:rsidRPr="00E10433">
        <w:rPr>
          <w:rFonts w:ascii="Verdana" w:hAnsi="Verdana" w:cs="Arial"/>
          <w:shd w:val="clear" w:color="auto" w:fill="FFFFFF"/>
          <w:lang w:val="es-ES"/>
        </w:rPr>
        <w:t>sobre</w:t>
      </w:r>
      <w:r>
        <w:rPr>
          <w:rFonts w:ascii="Verdana" w:hAnsi="Verdana" w:cs="Arial"/>
          <w:shd w:val="clear" w:color="auto" w:fill="FFFFFF"/>
          <w:lang w:val="es-ES"/>
        </w:rPr>
        <w:t xml:space="preserve"> </w:t>
      </w:r>
      <w:r w:rsidRPr="00F7651F">
        <w:rPr>
          <w:rStyle w:val="normaltextrun"/>
          <w:rFonts w:ascii="Verdana" w:hAnsi="Verdana" w:cs="Arial"/>
          <w:color w:val="000000" w:themeColor="text1"/>
          <w:shd w:val="clear" w:color="auto" w:fill="FFFFFF"/>
          <w:lang w:val="es-ES"/>
        </w:rPr>
        <w:t>la verificación del pago de la Seguridad Social en los conceptos C-040 de 5 de febrero de 2020 y, C-042 de 5 de febrero de 2020, C-205 del 07 de abril de 2020, C-134 del 07 de abril de 2021, C-181 de</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7 de abril de 2022, C-679 del 14 de octubre de 2022, C</w:t>
      </w:r>
      <w:r>
        <w:rPr>
          <w:rStyle w:val="normaltextrun"/>
          <w:rFonts w:ascii="Verdana" w:hAnsi="Verdana" w:cs="Arial"/>
          <w:color w:val="000000" w:themeColor="text1"/>
          <w:shd w:val="clear" w:color="auto" w:fill="FFFFFF"/>
          <w:lang w:val="es-ES"/>
        </w:rPr>
        <w:t>-</w:t>
      </w:r>
      <w:r w:rsidRPr="00F7651F">
        <w:rPr>
          <w:rStyle w:val="normaltextrun"/>
          <w:rFonts w:ascii="Verdana" w:hAnsi="Verdana" w:cs="Arial"/>
          <w:color w:val="000000" w:themeColor="text1"/>
          <w:shd w:val="clear" w:color="auto" w:fill="FFFFFF"/>
          <w:lang w:val="es-ES"/>
        </w:rPr>
        <w:t>778 del 29 de noviembre de 2022,</w:t>
      </w:r>
      <w:r>
        <w:rPr>
          <w:rStyle w:val="normaltextrun"/>
          <w:rFonts w:ascii="Verdana" w:hAnsi="Verdana" w:cs="Arial"/>
          <w:color w:val="000000" w:themeColor="text1"/>
          <w:shd w:val="clear" w:color="auto" w:fill="FFFFFF"/>
          <w:lang w:val="es-ES"/>
        </w:rPr>
        <w:t xml:space="preserve"> C-110 de 14 de junio de 2024,</w:t>
      </w:r>
      <w:r w:rsidRPr="00F7651F">
        <w:rPr>
          <w:rStyle w:val="normaltextrun"/>
          <w:rFonts w:ascii="Verdana" w:hAnsi="Verdana" w:cs="Arial"/>
          <w:color w:val="000000" w:themeColor="text1"/>
          <w:shd w:val="clear" w:color="auto" w:fill="FFFFFF"/>
          <w:lang w:val="es-ES"/>
        </w:rPr>
        <w:t xml:space="preserve"> C-273 del 22 de agosto de 2024</w:t>
      </w:r>
      <w:r>
        <w:rPr>
          <w:rStyle w:val="normaltextrun"/>
          <w:rFonts w:ascii="Verdana" w:hAnsi="Verdana" w:cs="Arial"/>
          <w:color w:val="000000" w:themeColor="text1"/>
          <w:shd w:val="clear" w:color="auto" w:fill="FFFFFF"/>
          <w:lang w:val="es-ES"/>
        </w:rPr>
        <w:t xml:space="preserve">, </w:t>
      </w:r>
      <w:r w:rsidRPr="00F7651F">
        <w:rPr>
          <w:rStyle w:val="normaltextrun"/>
          <w:rFonts w:ascii="Verdana" w:hAnsi="Verdana" w:cs="Arial"/>
          <w:color w:val="000000" w:themeColor="text1"/>
          <w:shd w:val="clear" w:color="auto" w:fill="FFFFFF"/>
          <w:lang w:val="es-ES"/>
        </w:rPr>
        <w:t>C-779 del 12 de noviembre de 2024</w:t>
      </w:r>
      <w:r>
        <w:rPr>
          <w:rStyle w:val="normaltextrun"/>
          <w:rFonts w:ascii="Verdana" w:hAnsi="Verdana" w:cs="Arial"/>
          <w:color w:val="000000" w:themeColor="text1"/>
          <w:shd w:val="clear" w:color="auto" w:fill="FFFFFF"/>
          <w:lang w:val="es-ES"/>
        </w:rPr>
        <w:t>, C-909 de 17 de diciembre de 2024, C-074 de 20 de febrero de 2025 y C-233 del 01 de abril de 2025, entre otros</w:t>
      </w:r>
      <w:r w:rsidRPr="00E10433">
        <w:rPr>
          <w:rFonts w:ascii="Verdana" w:eastAsia="Calibri" w:hAnsi="Verdana" w:cs="Arial"/>
          <w:lang w:val="es-ES" w:eastAsia="es-ES"/>
        </w:rPr>
        <w:t xml:space="preserve">. </w:t>
      </w:r>
      <w:r w:rsidRPr="00E10433">
        <w:rPr>
          <w:rFonts w:ascii="Verdana" w:hAnsi="Verdana" w:cs="Arial"/>
          <w:shd w:val="clear" w:color="auto" w:fill="FFFFFF"/>
          <w:lang w:val="es-ES"/>
        </w:rPr>
        <w:t>Estos</w:t>
      </w:r>
      <w:r w:rsidRPr="00E10433">
        <w:rPr>
          <w:rFonts w:ascii="Verdana" w:hAnsi="Verdana"/>
          <w:lang w:val="es-ES"/>
        </w:rPr>
        <w:t xml:space="preserve"> y otros se encuentran disponibles para consulta en el Sistema de relatoría de la Agencia, al cual se puede acceder a través del siguiente enlace:</w:t>
      </w:r>
      <w:r w:rsidRPr="00E10433">
        <w:rPr>
          <w:rFonts w:ascii="Verdana" w:hAnsi="Verdana" w:cs="Arial"/>
          <w:shd w:val="clear" w:color="auto" w:fill="FFFFFF"/>
          <w:lang w:val="es-ES"/>
        </w:rPr>
        <w:t xml:space="preserve"> </w:t>
      </w:r>
      <w:hyperlink r:id="rId13" w:history="1">
        <w:r w:rsidRPr="00E10433">
          <w:rPr>
            <w:rFonts w:ascii="Verdana" w:hAnsi="Verdana" w:cs="Arial"/>
            <w:color w:val="0000FF"/>
            <w:u w:val="single"/>
            <w:shd w:val="clear" w:color="auto" w:fill="FFFFFF"/>
            <w:lang w:val="es-ES"/>
          </w:rPr>
          <w:t>https://relatoria.colombiacompra.gov.co/busqueda/concept os</w:t>
        </w:r>
      </w:hyperlink>
      <w:r w:rsidRPr="00E10433">
        <w:rPr>
          <w:rFonts w:ascii="Verdana" w:hAnsi="Verdana" w:cs="Arial"/>
          <w:shd w:val="clear" w:color="auto" w:fill="FFFFFF"/>
          <w:lang w:val="es-ES"/>
        </w:rPr>
        <w:t>.</w:t>
      </w:r>
      <w:r w:rsidRPr="00E10433">
        <w:rPr>
          <w:rFonts w:ascii="Verdana" w:hAnsi="Verdana" w:cs="Arial"/>
          <w:color w:val="FF0000"/>
          <w:shd w:val="clear" w:color="auto" w:fill="FFFFFF"/>
          <w:lang w:val="es-ES"/>
        </w:rPr>
        <w:t xml:space="preserve"> </w:t>
      </w:r>
      <w:r w:rsidRPr="00E10433">
        <w:rPr>
          <w:rFonts w:ascii="Verdana" w:hAnsi="Verdana" w:cs="Arial"/>
          <w:color w:val="000000" w:themeColor="text1"/>
          <w:shd w:val="clear" w:color="auto" w:fill="FFFFFF"/>
          <w:lang w:val="es-ES"/>
        </w:rPr>
        <w:t>  </w:t>
      </w:r>
    </w:p>
    <w:p w14:paraId="009B82CD" w14:textId="77777777" w:rsidR="0044771E" w:rsidRPr="00E10433" w:rsidRDefault="0044771E" w:rsidP="0044771E">
      <w:pPr>
        <w:spacing w:after="0" w:line="276" w:lineRule="auto"/>
        <w:jc w:val="both"/>
        <w:rPr>
          <w:rFonts w:ascii="Verdana" w:hAnsi="Verdana"/>
          <w:lang w:val="es-ES"/>
        </w:rPr>
      </w:pPr>
      <w:r w:rsidRPr="00E10433">
        <w:rPr>
          <w:rFonts w:ascii="Verdana" w:hAnsi="Verdana"/>
          <w:lang w:val="es-ES"/>
        </w:rPr>
        <w:t xml:space="preserve">Por último, lo invitamos a seguirnos en las redes sociales en las cuales se difunde información institucional: </w:t>
      </w:r>
    </w:p>
    <w:p w14:paraId="68F5B1B6" w14:textId="77777777" w:rsidR="0044771E" w:rsidRPr="00E10433" w:rsidRDefault="0044771E" w:rsidP="0044771E">
      <w:pPr>
        <w:spacing w:after="0" w:line="276" w:lineRule="auto"/>
        <w:jc w:val="both"/>
        <w:rPr>
          <w:rFonts w:ascii="Verdana" w:hAnsi="Verdana"/>
          <w:lang w:val="es-ES"/>
        </w:rPr>
      </w:pPr>
    </w:p>
    <w:p w14:paraId="34AF78A6" w14:textId="77777777" w:rsidR="0044771E" w:rsidRPr="00E10433" w:rsidRDefault="0044771E" w:rsidP="0044771E">
      <w:pPr>
        <w:spacing w:after="0" w:line="276" w:lineRule="auto"/>
        <w:jc w:val="both"/>
        <w:rPr>
          <w:rFonts w:ascii="Verdana" w:hAnsi="Verdana"/>
          <w:lang w:val="es-ES"/>
        </w:rPr>
      </w:pPr>
      <w:r w:rsidRPr="00E10433">
        <w:rPr>
          <w:rFonts w:ascii="Verdana" w:hAnsi="Verdana"/>
          <w:lang w:val="es-ES"/>
        </w:rPr>
        <w:t xml:space="preserve">Twitter: </w:t>
      </w:r>
      <w:r w:rsidRPr="00E10433">
        <w:rPr>
          <w:rStyle w:val="Hipervnculo"/>
          <w:rFonts w:ascii="Verdana" w:hAnsi="Verdana" w:cs="Arial"/>
          <w:shd w:val="clear" w:color="auto" w:fill="FFFFFF"/>
          <w:lang w:val="es-ES"/>
        </w:rPr>
        <w:t>@colombiacompra</w:t>
      </w:r>
      <w:r w:rsidRPr="00E10433">
        <w:rPr>
          <w:rFonts w:ascii="Verdana" w:hAnsi="Verdana"/>
          <w:color w:val="4472C4" w:themeColor="accent1"/>
          <w:lang w:val="es-ES"/>
        </w:rPr>
        <w:t xml:space="preserve"> </w:t>
      </w:r>
    </w:p>
    <w:p w14:paraId="4AB43BF7" w14:textId="77777777" w:rsidR="0044771E" w:rsidRPr="00E10433" w:rsidRDefault="0044771E" w:rsidP="0044771E">
      <w:pPr>
        <w:spacing w:after="0" w:line="276" w:lineRule="auto"/>
        <w:jc w:val="both"/>
        <w:rPr>
          <w:rFonts w:ascii="Verdana" w:hAnsi="Verdana"/>
          <w:lang w:val="es-ES"/>
        </w:rPr>
      </w:pPr>
      <w:r w:rsidRPr="00E10433">
        <w:rPr>
          <w:rFonts w:ascii="Verdana" w:hAnsi="Verdana"/>
          <w:lang w:val="es-ES"/>
        </w:rPr>
        <w:t xml:space="preserve">Facebook: </w:t>
      </w:r>
      <w:proofErr w:type="spellStart"/>
      <w:r w:rsidRPr="00E10433">
        <w:rPr>
          <w:rStyle w:val="Hipervnculo"/>
          <w:rFonts w:ascii="Verdana" w:hAnsi="Verdana" w:cs="Arial"/>
          <w:shd w:val="clear" w:color="auto" w:fill="FFFFFF"/>
          <w:lang w:val="es-ES"/>
        </w:rPr>
        <w:t>ColombiaCompraEficiente</w:t>
      </w:r>
      <w:proofErr w:type="spellEnd"/>
    </w:p>
    <w:p w14:paraId="7F6D4D64" w14:textId="77777777" w:rsidR="0044771E" w:rsidRPr="00E10433" w:rsidRDefault="0044771E" w:rsidP="0044771E">
      <w:pPr>
        <w:spacing w:after="0" w:line="276" w:lineRule="auto"/>
        <w:jc w:val="both"/>
        <w:rPr>
          <w:rFonts w:ascii="Verdana" w:hAnsi="Verdana"/>
          <w:lang w:val="es-ES"/>
        </w:rPr>
      </w:pPr>
      <w:r w:rsidRPr="00E10433">
        <w:rPr>
          <w:rFonts w:ascii="Verdana" w:hAnsi="Verdana"/>
          <w:lang w:val="es-ES"/>
        </w:rPr>
        <w:t xml:space="preserve">LinkedIn: </w:t>
      </w:r>
      <w:r w:rsidRPr="00E10433">
        <w:rPr>
          <w:rStyle w:val="Hipervnculo"/>
          <w:rFonts w:ascii="Verdana" w:hAnsi="Verdana" w:cs="Arial"/>
          <w:shd w:val="clear" w:color="auto" w:fill="FFFFFF"/>
          <w:lang w:val="es-ES"/>
        </w:rPr>
        <w:t xml:space="preserve">Agencia Nacional de Contratación Pública - Colombia Compra Eficiente </w:t>
      </w:r>
      <w:r w:rsidRPr="00E10433">
        <w:rPr>
          <w:rFonts w:ascii="Verdana" w:hAnsi="Verdana"/>
          <w:lang w:val="es-ES"/>
        </w:rPr>
        <w:t xml:space="preserve">Instagram: </w:t>
      </w:r>
      <w:r w:rsidRPr="00E10433">
        <w:rPr>
          <w:rStyle w:val="Hipervnculo"/>
          <w:rFonts w:ascii="Verdana" w:hAnsi="Verdana" w:cs="Arial"/>
          <w:shd w:val="clear" w:color="auto" w:fill="FFFFFF"/>
          <w:lang w:val="es-ES"/>
        </w:rPr>
        <w:t>@colombiacompraeficiente_cce</w:t>
      </w:r>
    </w:p>
    <w:p w14:paraId="1F3EED4A" w14:textId="77777777" w:rsidR="0044771E" w:rsidRPr="00E10433" w:rsidRDefault="0044771E" w:rsidP="0044771E">
      <w:pPr>
        <w:widowControl w:val="0"/>
        <w:autoSpaceDE w:val="0"/>
        <w:autoSpaceDN w:val="0"/>
        <w:spacing w:after="0" w:line="276" w:lineRule="auto"/>
        <w:jc w:val="both"/>
        <w:rPr>
          <w:rFonts w:ascii="Verdana" w:hAnsi="Verdana" w:cs="Arial"/>
          <w:lang w:val="es-ES"/>
        </w:rPr>
      </w:pPr>
    </w:p>
    <w:p w14:paraId="4C220261" w14:textId="77777777" w:rsidR="0044771E" w:rsidRPr="00E10433" w:rsidRDefault="0044771E" w:rsidP="0044771E">
      <w:pPr>
        <w:widowControl w:val="0"/>
        <w:autoSpaceDE w:val="0"/>
        <w:autoSpaceDN w:val="0"/>
        <w:spacing w:after="0" w:line="276" w:lineRule="auto"/>
        <w:jc w:val="both"/>
        <w:rPr>
          <w:rFonts w:ascii="Verdana" w:hAnsi="Verdana" w:cs="Arial"/>
          <w:lang w:val="es-ES"/>
        </w:rPr>
      </w:pPr>
      <w:r w:rsidRPr="00E10433">
        <w:rPr>
          <w:rFonts w:ascii="Verdana" w:hAnsi="Verdana" w:cs="Arial"/>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4FC21C8D" w14:textId="77777777" w:rsidR="0044771E" w:rsidRPr="00E10433" w:rsidRDefault="0044771E" w:rsidP="0044771E">
      <w:pPr>
        <w:widowControl w:val="0"/>
        <w:autoSpaceDE w:val="0"/>
        <w:autoSpaceDN w:val="0"/>
        <w:spacing w:after="0" w:line="276" w:lineRule="auto"/>
        <w:jc w:val="both"/>
        <w:rPr>
          <w:rFonts w:ascii="Verdana" w:hAnsi="Verdana" w:cs="Arial"/>
          <w:lang w:val="es-ES"/>
        </w:rPr>
      </w:pPr>
    </w:p>
    <w:p w14:paraId="64CE3AD7" w14:textId="77777777" w:rsidR="0044771E" w:rsidRPr="00E10433" w:rsidRDefault="0044771E" w:rsidP="0044771E">
      <w:pPr>
        <w:spacing w:after="0" w:line="276" w:lineRule="auto"/>
        <w:rPr>
          <w:rFonts w:ascii="Verdana" w:hAnsi="Verdana" w:cs="Arial"/>
          <w:color w:val="000000" w:themeColor="text1"/>
          <w:lang w:val="es-ES" w:eastAsia="es-CO"/>
        </w:rPr>
      </w:pPr>
      <w:r w:rsidRPr="00E10433">
        <w:rPr>
          <w:rFonts w:ascii="Verdana" w:eastAsia="Times New Roman" w:hAnsi="Verdana" w:cs="Arial"/>
          <w:color w:val="000000" w:themeColor="text1"/>
          <w:lang w:val="es-ES" w:eastAsia="es-CO"/>
        </w:rPr>
        <w:t>Atentamente,</w:t>
      </w:r>
      <w:r w:rsidRPr="00E10433">
        <w:rPr>
          <w:rFonts w:ascii="Verdana" w:hAnsi="Verdana" w:cs="Arial"/>
          <w:color w:val="000000" w:themeColor="text1"/>
          <w:lang w:val="es-ES" w:eastAsia="es-CO"/>
        </w:rPr>
        <w:t xml:space="preserve"> </w:t>
      </w:r>
    </w:p>
    <w:p w14:paraId="56B44057" w14:textId="0DA187E4" w:rsidR="0044771E" w:rsidRPr="00E10433" w:rsidRDefault="008F08D7" w:rsidP="0044771E">
      <w:pPr>
        <w:spacing w:after="0" w:line="276" w:lineRule="auto"/>
        <w:rPr>
          <w:rFonts w:ascii="Verdana" w:hAnsi="Verdana" w:cs="Arial"/>
          <w:color w:val="000000" w:themeColor="text1"/>
          <w:lang w:val="es-ES" w:eastAsia="es-CO"/>
        </w:rPr>
      </w:pPr>
      <w:r w:rsidRPr="002C3AD6">
        <w:rPr>
          <w:rFonts w:ascii="Century Gothic" w:hAnsi="Century Gothic"/>
          <w:noProof/>
        </w:rPr>
        <w:lastRenderedPageBreak/>
        <w:drawing>
          <wp:anchor distT="0" distB="0" distL="114300" distR="114300" simplePos="0" relativeHeight="251661312" behindDoc="0" locked="0" layoutInCell="1" allowOverlap="1" wp14:anchorId="6451BE41" wp14:editId="1DFEAC35">
            <wp:simplePos x="0" y="0"/>
            <wp:positionH relativeFrom="column">
              <wp:posOffset>968188</wp:posOffset>
            </wp:positionH>
            <wp:positionV relativeFrom="paragraph">
              <wp:posOffset>486</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5C153B92" w14:textId="4B1C0967" w:rsidR="0044771E" w:rsidRPr="00E10433" w:rsidRDefault="0044771E" w:rsidP="0044771E">
      <w:pPr>
        <w:spacing w:line="276" w:lineRule="auto"/>
        <w:jc w:val="center"/>
        <w:rPr>
          <w:rFonts w:ascii="Verdana" w:hAnsi="Verdana" w:cs="Arial"/>
          <w:color w:val="000000" w:themeColor="text1"/>
          <w:lang w:val="es-ES"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4771E" w:rsidRPr="00E10433" w14:paraId="7C680195" w14:textId="77777777">
        <w:trPr>
          <w:trHeight w:val="315"/>
        </w:trPr>
        <w:tc>
          <w:tcPr>
            <w:tcW w:w="893" w:type="dxa"/>
            <w:vAlign w:val="center"/>
            <w:hideMark/>
          </w:tcPr>
          <w:p w14:paraId="359B3472" w14:textId="77777777" w:rsidR="0044771E" w:rsidRPr="00E10433" w:rsidRDefault="0044771E">
            <w:pPr>
              <w:contextualSpacing/>
              <w:rPr>
                <w:rFonts w:ascii="Verdana" w:hAnsi="Verdana" w:cs="Arial"/>
                <w:sz w:val="16"/>
                <w:szCs w:val="16"/>
                <w:lang w:val="es-ES" w:eastAsia="es-ES"/>
              </w:rPr>
            </w:pPr>
            <w:r w:rsidRPr="00E1043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E37BC2D" w14:textId="77777777" w:rsidR="0044771E" w:rsidRPr="00E10433" w:rsidRDefault="0044771E">
            <w:pPr>
              <w:contextualSpacing/>
              <w:rPr>
                <w:rFonts w:ascii="Verdana" w:eastAsia="Arial" w:hAnsi="Verdana" w:cs="Arial"/>
                <w:color w:val="000000" w:themeColor="text1"/>
                <w:sz w:val="16"/>
                <w:szCs w:val="16"/>
                <w:lang w:val="es-ES"/>
              </w:rPr>
            </w:pPr>
            <w:r w:rsidRPr="00E10433">
              <w:rPr>
                <w:rFonts w:ascii="Verdana" w:eastAsia="Arial" w:hAnsi="Verdana" w:cs="Arial"/>
                <w:color w:val="000000" w:themeColor="text1"/>
                <w:sz w:val="16"/>
                <w:szCs w:val="16"/>
                <w:lang w:val="es-ES"/>
              </w:rPr>
              <w:t>Anamaría Bonilla Prieto</w:t>
            </w:r>
          </w:p>
          <w:p w14:paraId="5B3ADE1E" w14:textId="77777777" w:rsidR="0044771E" w:rsidRPr="00E10433" w:rsidRDefault="0044771E">
            <w:pPr>
              <w:contextualSpacing/>
              <w:rPr>
                <w:rFonts w:ascii="Verdana" w:eastAsia="Arial" w:hAnsi="Verdana" w:cs="Arial"/>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44771E" w:rsidRPr="00E10433" w14:paraId="72B94A05" w14:textId="77777777">
        <w:trPr>
          <w:trHeight w:val="330"/>
        </w:trPr>
        <w:tc>
          <w:tcPr>
            <w:tcW w:w="893" w:type="dxa"/>
            <w:vAlign w:val="center"/>
            <w:hideMark/>
          </w:tcPr>
          <w:p w14:paraId="3D11A56B" w14:textId="77777777" w:rsidR="0044771E" w:rsidRPr="00E10433" w:rsidRDefault="0044771E">
            <w:pPr>
              <w:contextualSpacing/>
              <w:rPr>
                <w:rFonts w:ascii="Verdana" w:hAnsi="Verdana" w:cs="Arial"/>
                <w:sz w:val="16"/>
                <w:szCs w:val="16"/>
                <w:lang w:val="es-ES" w:eastAsia="es-ES"/>
              </w:rPr>
            </w:pPr>
            <w:r w:rsidRPr="00E1043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6903D01D" w14:textId="77777777" w:rsidR="0044771E" w:rsidRPr="00E10433" w:rsidRDefault="0044771E">
            <w:pPr>
              <w:pStyle w:val="paragraph"/>
              <w:spacing w:before="0" w:beforeAutospacing="0" w:after="0" w:afterAutospacing="0"/>
              <w:contextualSpacing/>
              <w:textAlignment w:val="baseline"/>
              <w:rPr>
                <w:rFonts w:ascii="Verdana" w:hAnsi="Verdana" w:cs="Segoe UI"/>
                <w:sz w:val="16"/>
                <w:szCs w:val="16"/>
                <w:lang w:val="es-ES"/>
              </w:rPr>
            </w:pPr>
            <w:r w:rsidRPr="00E10433">
              <w:rPr>
                <w:rFonts w:ascii="Verdana" w:hAnsi="Verdana" w:cs="Segoe UI"/>
                <w:sz w:val="16"/>
                <w:szCs w:val="16"/>
                <w:lang w:val="es-ES"/>
              </w:rPr>
              <w:t>Diana Saavedra Castañeda</w:t>
            </w:r>
          </w:p>
          <w:p w14:paraId="5253C4FF" w14:textId="77777777" w:rsidR="0044771E" w:rsidRPr="00E10433" w:rsidRDefault="0044771E">
            <w:pPr>
              <w:pStyle w:val="paragraph"/>
              <w:spacing w:before="0" w:beforeAutospacing="0" w:after="0" w:afterAutospacing="0"/>
              <w:contextualSpacing/>
              <w:textAlignment w:val="baseline"/>
              <w:rPr>
                <w:rFonts w:ascii="Verdana" w:hAnsi="Verdana" w:cs="Segoe UI"/>
                <w:sz w:val="16"/>
                <w:szCs w:val="16"/>
                <w:lang w:val="es-ES"/>
              </w:rPr>
            </w:pPr>
            <w:r w:rsidRPr="00E10433">
              <w:rPr>
                <w:rStyle w:val="normaltextrun"/>
                <w:rFonts w:ascii="Verdana" w:eastAsia="Arial" w:hAnsi="Verdana" w:cs="Arial"/>
                <w:color w:val="000000" w:themeColor="text1"/>
                <w:sz w:val="16"/>
                <w:szCs w:val="16"/>
                <w:lang w:val="es-ES"/>
              </w:rPr>
              <w:t xml:space="preserve">Contratista de la Subdirección </w:t>
            </w:r>
            <w:r w:rsidRPr="00E10433">
              <w:rPr>
                <w:rStyle w:val="normaltextrun"/>
                <w:rFonts w:ascii="Verdana" w:eastAsia="Arial" w:hAnsi="Verdana" w:cs="Arial"/>
                <w:sz w:val="16"/>
                <w:szCs w:val="16"/>
                <w:lang w:val="es-ES"/>
              </w:rPr>
              <w:t>de Gestión Contractual</w:t>
            </w:r>
          </w:p>
        </w:tc>
      </w:tr>
      <w:tr w:rsidR="0044771E" w:rsidRPr="00E10433" w14:paraId="7AE08D9A" w14:textId="77777777">
        <w:trPr>
          <w:trHeight w:val="300"/>
        </w:trPr>
        <w:tc>
          <w:tcPr>
            <w:tcW w:w="893" w:type="dxa"/>
            <w:vAlign w:val="center"/>
          </w:tcPr>
          <w:p w14:paraId="4959846C" w14:textId="77777777" w:rsidR="0044771E" w:rsidRPr="00E10433" w:rsidRDefault="0044771E">
            <w:pPr>
              <w:contextualSpacing/>
              <w:rPr>
                <w:rFonts w:ascii="Verdana" w:hAnsi="Verdana" w:cs="Arial"/>
                <w:sz w:val="16"/>
                <w:szCs w:val="16"/>
                <w:lang w:val="es-ES" w:eastAsia="es-ES"/>
              </w:rPr>
            </w:pPr>
            <w:r w:rsidRPr="00E1043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A39FE93" w14:textId="77777777" w:rsidR="0044771E" w:rsidRPr="00E10433" w:rsidRDefault="0044771E">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Carolina Quintero Gacharná</w:t>
            </w:r>
          </w:p>
          <w:p w14:paraId="6DE810FC" w14:textId="77777777" w:rsidR="0044771E" w:rsidRPr="00E10433" w:rsidRDefault="0044771E">
            <w:pPr>
              <w:contextualSpacing/>
              <w:rPr>
                <w:rFonts w:ascii="Verdana" w:eastAsia="Calibri" w:hAnsi="Verdana" w:cs="Arial"/>
                <w:sz w:val="16"/>
                <w:szCs w:val="16"/>
                <w:lang w:val="es-ES" w:eastAsia="es-ES"/>
              </w:rPr>
            </w:pPr>
            <w:r w:rsidRPr="00E10433">
              <w:rPr>
                <w:rFonts w:ascii="Verdana" w:eastAsia="Calibri" w:hAnsi="Verdana" w:cs="Arial"/>
                <w:sz w:val="16"/>
                <w:szCs w:val="16"/>
                <w:lang w:val="es-ES" w:eastAsia="es-ES"/>
              </w:rPr>
              <w:t>Subdirectora de Gestión Contractual ANCP – CCE</w:t>
            </w:r>
          </w:p>
        </w:tc>
      </w:tr>
    </w:tbl>
    <w:p w14:paraId="13A5491B" w14:textId="75D646BE" w:rsidR="0044771E" w:rsidRPr="00E10433" w:rsidRDefault="0044771E" w:rsidP="0044771E">
      <w:pPr>
        <w:spacing w:after="0" w:line="276" w:lineRule="auto"/>
        <w:jc w:val="center"/>
        <w:rPr>
          <w:lang w:val="es-ES"/>
        </w:rPr>
      </w:pPr>
    </w:p>
    <w:bookmarkEnd w:id="0"/>
    <w:p w14:paraId="46F24389" w14:textId="77777777" w:rsidR="0044771E" w:rsidRPr="00E10433" w:rsidRDefault="0044771E" w:rsidP="0044771E">
      <w:pPr>
        <w:spacing w:after="0" w:line="240" w:lineRule="auto"/>
        <w:textAlignment w:val="baseline"/>
        <w:rPr>
          <w:rFonts w:ascii="Verdana" w:eastAsia="Times New Roman" w:hAnsi="Verdana" w:cs="Segoe UI"/>
          <w:b/>
          <w:bCs/>
          <w:color w:val="46589C"/>
          <w:lang w:val="es-ES" w:eastAsia="es-CO"/>
        </w:rPr>
      </w:pPr>
    </w:p>
    <w:p w14:paraId="5715B77C" w14:textId="77777777" w:rsidR="0044771E" w:rsidRPr="00E10433" w:rsidRDefault="0044771E" w:rsidP="0044771E">
      <w:pPr>
        <w:rPr>
          <w:lang w:val="es-ES"/>
        </w:rPr>
      </w:pPr>
    </w:p>
    <w:p w14:paraId="772CEC48" w14:textId="77777777" w:rsidR="0044771E" w:rsidRPr="00E10433" w:rsidRDefault="0044771E" w:rsidP="0044771E">
      <w:pPr>
        <w:rPr>
          <w:lang w:val="es-ES"/>
        </w:rPr>
      </w:pPr>
    </w:p>
    <w:p w14:paraId="11717700" w14:textId="77777777" w:rsidR="0044771E" w:rsidRPr="0080789C" w:rsidRDefault="0044771E" w:rsidP="0044771E"/>
    <w:p w14:paraId="0F293BF4" w14:textId="3126AF0A" w:rsidR="00127233" w:rsidRPr="0044771E" w:rsidRDefault="00127233" w:rsidP="0044771E"/>
    <w:sectPr w:rsidR="00127233" w:rsidRPr="0044771E"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06FD9A" w14:textId="77777777" w:rsidR="00042BCE" w:rsidRDefault="00042BCE" w:rsidP="004A1847">
      <w:pPr>
        <w:spacing w:after="0" w:line="240" w:lineRule="auto"/>
      </w:pPr>
      <w:r>
        <w:separator/>
      </w:r>
    </w:p>
  </w:endnote>
  <w:endnote w:type="continuationSeparator" w:id="0">
    <w:p w14:paraId="493C98CC" w14:textId="77777777" w:rsidR="00042BCE" w:rsidRDefault="00042BC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7B0DB0" w14:textId="77777777" w:rsidR="00042BCE" w:rsidRDefault="00042BCE" w:rsidP="004A1847">
      <w:pPr>
        <w:spacing w:after="0" w:line="240" w:lineRule="auto"/>
      </w:pPr>
      <w:r>
        <w:separator/>
      </w:r>
    </w:p>
  </w:footnote>
  <w:footnote w:type="continuationSeparator" w:id="0">
    <w:p w14:paraId="1A19C4DC" w14:textId="77777777" w:rsidR="00042BCE" w:rsidRDefault="00042BCE" w:rsidP="004A1847">
      <w:pPr>
        <w:spacing w:after="0" w:line="240" w:lineRule="auto"/>
      </w:pPr>
      <w:r>
        <w:continuationSeparator/>
      </w:r>
    </w:p>
  </w:footnote>
  <w:footnote w:id="1">
    <w:p w14:paraId="24070319" w14:textId="77777777" w:rsidR="0044771E" w:rsidRPr="00491E28" w:rsidRDefault="0044771E" w:rsidP="0044771E">
      <w:pPr>
        <w:widowControl w:val="0"/>
        <w:autoSpaceDE w:val="0"/>
        <w:autoSpaceDN w:val="0"/>
        <w:snapToGrid w:val="0"/>
        <w:spacing w:after="0" w:line="240" w:lineRule="auto"/>
        <w:ind w:firstLine="708"/>
        <w:contextualSpacing/>
        <w:jc w:val="both"/>
        <w:rPr>
          <w:rFonts w:ascii="Verdana" w:eastAsia="Arial" w:hAnsi="Verdana" w:cs="Arial"/>
          <w:sz w:val="15"/>
          <w:szCs w:val="15"/>
          <w:lang w:val="es-ES"/>
        </w:rPr>
      </w:pPr>
      <w:r w:rsidRPr="00491E28">
        <w:rPr>
          <w:rStyle w:val="Refdenotaalpie"/>
          <w:rFonts w:ascii="Verdana" w:hAnsi="Verdana" w:cs="Arial"/>
          <w:sz w:val="15"/>
          <w:szCs w:val="15"/>
        </w:rPr>
        <w:footnoteRef/>
      </w:r>
      <w:r w:rsidRPr="00491E28">
        <w:rPr>
          <w:rFonts w:ascii="Verdana" w:hAnsi="Verdana" w:cs="Arial"/>
          <w:sz w:val="15"/>
          <w:szCs w:val="15"/>
        </w:rPr>
        <w:t xml:space="preserve"> </w:t>
      </w:r>
      <w:r w:rsidRPr="00491E28">
        <w:rPr>
          <w:rFonts w:ascii="Verdana" w:eastAsia="Arial" w:hAnsi="Verdana" w:cs="Arial"/>
          <w:sz w:val="15"/>
          <w:szCs w:val="15"/>
          <w:lang w:val="es-ES"/>
        </w:rPr>
        <w:t>Ley 789 de 2002: “Artículo 50. Control a la evasión de los recursos parafiscales. La celebración, renovación o liquidación por parte de un particular, de contratos de cualquier naturaleza con Entidades del sector público, requerirá para el efecto, del cumplimiento por parte del contratista 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sus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obligaciones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con</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sistemas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salud,</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riesgos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profesionales,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pensiones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y</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aportes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Cajas de Compensación Familiar, Instituto Colombiano de Bienestar Familiar y Servicio Nacional de Aprendizaje,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cuando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ello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haya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lugar.</w:t>
      </w:r>
      <w:r w:rsidRPr="00491E28">
        <w:rPr>
          <w:rFonts w:ascii="Verdana" w:eastAsia="Arial" w:hAnsi="Verdana" w:cs="Arial"/>
          <w:spacing w:val="-11"/>
          <w:sz w:val="15"/>
          <w:szCs w:val="15"/>
          <w:lang w:val="es-ES"/>
        </w:rPr>
        <w:t xml:space="preserve"> </w:t>
      </w:r>
      <w:r w:rsidRPr="00491E28">
        <w:rPr>
          <w:rFonts w:ascii="Verdana" w:eastAsia="Arial" w:hAnsi="Verdana" w:cs="Arial"/>
          <w:sz w:val="15"/>
          <w:szCs w:val="15"/>
          <w:lang w:val="es-ES"/>
        </w:rPr>
        <w:t>Las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Entidades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públicas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en</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momento</w:t>
      </w:r>
      <w:r w:rsidRPr="00491E28">
        <w:rPr>
          <w:rFonts w:ascii="Verdana" w:eastAsia="Arial" w:hAnsi="Verdana" w:cs="Arial"/>
          <w:spacing w:val="-11"/>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liquidar</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contratos deberán verificar y dejar constancia del cumplimiento de las obligaciones del contratista frente a los aportes mencionados durante toda su vigencia, estableciendo una correcta relación entre el monto cancelado y las sumas que debieron haber sido</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cotizadas.</w:t>
      </w:r>
    </w:p>
    <w:p w14:paraId="3C0E8D61" w14:textId="77777777" w:rsidR="0044771E" w:rsidRPr="00491E28" w:rsidRDefault="0044771E" w:rsidP="0044771E">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491E28">
        <w:rPr>
          <w:rFonts w:ascii="Verdana" w:eastAsia="Arial" w:hAnsi="Verdana" w:cs="Arial"/>
          <w:sz w:val="15"/>
          <w:szCs w:val="15"/>
          <w:lang w:val="es-ES"/>
        </w:rPr>
        <w:t>En el evento en que no se hubieran realizado totalmente los aportes correspondientes, la Entidad pública deberá retener las sumas adeudadas al sistema en el momento de la liquidación y efectuará el giro directo de dichos recursos a los correspondientes sistemas con prioridad a los regímenes de salud y pensiones, conforme lo define el reglamento.</w:t>
      </w:r>
    </w:p>
    <w:p w14:paraId="15529E07" w14:textId="77777777" w:rsidR="0044771E" w:rsidRPr="00491E28" w:rsidRDefault="0044771E" w:rsidP="0044771E">
      <w:pPr>
        <w:widowControl w:val="0"/>
        <w:autoSpaceDE w:val="0"/>
        <w:autoSpaceDN w:val="0"/>
        <w:spacing w:after="0" w:line="240" w:lineRule="auto"/>
        <w:ind w:firstLine="708"/>
        <w:contextualSpacing/>
        <w:jc w:val="both"/>
        <w:rPr>
          <w:rFonts w:ascii="Verdana" w:eastAsia="Arial" w:hAnsi="Verdana" w:cs="Arial"/>
          <w:sz w:val="15"/>
          <w:szCs w:val="15"/>
          <w:lang w:val="es-ES"/>
        </w:rPr>
      </w:pPr>
      <w:r w:rsidRPr="00491E28">
        <w:rPr>
          <w:rFonts w:ascii="Verdana" w:eastAsia="Arial" w:hAnsi="Verdana" w:cs="Arial"/>
          <w:sz w:val="15"/>
          <w:szCs w:val="15"/>
          <w:lang w:val="es-ES"/>
        </w:rPr>
        <w:t>Cuando</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la</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contratación</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se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realice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con</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personas</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jurídicas,</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se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deberá</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acreditar</w:t>
      </w:r>
      <w:r w:rsidRPr="00491E28">
        <w:rPr>
          <w:rFonts w:ascii="Verdana" w:eastAsia="Arial" w:hAnsi="Verdana" w:cs="Arial"/>
          <w:spacing w:val="-7"/>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pago</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8"/>
          <w:sz w:val="15"/>
          <w:szCs w:val="15"/>
          <w:lang w:val="es-ES"/>
        </w:rPr>
        <w:t xml:space="preserve"> </w:t>
      </w:r>
      <w:r w:rsidRPr="00491E28">
        <w:rPr>
          <w:rFonts w:ascii="Verdana" w:eastAsia="Arial" w:hAnsi="Verdana" w:cs="Arial"/>
          <w:sz w:val="15"/>
          <w:szCs w:val="15"/>
          <w:lang w:val="es-ES"/>
        </w:rPr>
        <w:t>los aportes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sus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empleados,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a</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los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sistemas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mencionados</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mediante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certificación</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expedida</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por</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el</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revisor fiscal, cuando este exista de acuerdo con los requerimientos de ley, o por el representante legal durante un lapso equivalente al que exija el respectivo régimen de contratación para que se hubiera constituido la sociedad, el cual en todo caso no será inferior a los seis (6) meses anteriores a la celebración del contrato. En el evento en que la sociedad no tenga más de seis (6) meses de constituida, deberá acreditar los pagos a partir de la fecha de su</w:t>
      </w:r>
      <w:r w:rsidRPr="00491E28">
        <w:rPr>
          <w:rFonts w:ascii="Verdana" w:eastAsia="Arial" w:hAnsi="Verdana" w:cs="Arial"/>
          <w:spacing w:val="-20"/>
          <w:sz w:val="15"/>
          <w:szCs w:val="15"/>
          <w:lang w:val="es-ES"/>
        </w:rPr>
        <w:t xml:space="preserve"> </w:t>
      </w:r>
      <w:r w:rsidRPr="00491E28">
        <w:rPr>
          <w:rFonts w:ascii="Verdana" w:eastAsia="Arial" w:hAnsi="Verdana" w:cs="Arial"/>
          <w:sz w:val="15"/>
          <w:szCs w:val="15"/>
          <w:lang w:val="es-ES"/>
        </w:rPr>
        <w:t>constitución.</w:t>
      </w:r>
    </w:p>
    <w:p w14:paraId="1D853994" w14:textId="77777777" w:rsidR="0044771E" w:rsidRPr="00491E28" w:rsidRDefault="0044771E" w:rsidP="0044771E">
      <w:pPr>
        <w:pStyle w:val="Textonotapie"/>
        <w:contextualSpacing/>
        <w:jc w:val="both"/>
        <w:rPr>
          <w:rFonts w:ascii="Verdana" w:eastAsia="Arial" w:hAnsi="Verdana" w:cs="Arial"/>
          <w:sz w:val="15"/>
          <w:szCs w:val="15"/>
          <w:lang w:val="es-ES"/>
        </w:rPr>
      </w:pPr>
      <w:r w:rsidRPr="00491E28">
        <w:rPr>
          <w:rFonts w:ascii="Verdana" w:eastAsia="Arial" w:hAnsi="Verdana" w:cs="Arial"/>
          <w:sz w:val="15"/>
          <w:szCs w:val="15"/>
          <w:lang w:val="es-ES"/>
        </w:rPr>
        <w:tab/>
        <w:t>Para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la</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presentación</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ofertas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por</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parte</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de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personas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jurídicas</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será</w:t>
      </w:r>
      <w:r w:rsidRPr="00491E28">
        <w:rPr>
          <w:rFonts w:ascii="Verdana" w:eastAsia="Arial" w:hAnsi="Verdana" w:cs="Arial"/>
          <w:spacing w:val="-10"/>
          <w:sz w:val="15"/>
          <w:szCs w:val="15"/>
          <w:lang w:val="es-ES"/>
        </w:rPr>
        <w:t xml:space="preserve"> </w:t>
      </w:r>
      <w:r w:rsidRPr="00491E28">
        <w:rPr>
          <w:rFonts w:ascii="Verdana" w:eastAsia="Arial" w:hAnsi="Verdana" w:cs="Arial"/>
          <w:sz w:val="15"/>
          <w:szCs w:val="15"/>
          <w:lang w:val="es-ES"/>
        </w:rPr>
        <w:t>indispensable</w:t>
      </w:r>
      <w:r w:rsidRPr="00491E28">
        <w:rPr>
          <w:rFonts w:ascii="Verdana" w:eastAsia="Arial" w:hAnsi="Verdana" w:cs="Arial"/>
          <w:spacing w:val="-9"/>
          <w:sz w:val="15"/>
          <w:szCs w:val="15"/>
          <w:lang w:val="es-ES"/>
        </w:rPr>
        <w:t xml:space="preserve"> </w:t>
      </w:r>
      <w:r w:rsidRPr="00491E28">
        <w:rPr>
          <w:rFonts w:ascii="Verdana" w:eastAsia="Arial" w:hAnsi="Verdana" w:cs="Arial"/>
          <w:sz w:val="15"/>
          <w:szCs w:val="15"/>
          <w:lang w:val="es-ES"/>
        </w:rPr>
        <w:t>acreditar el requisito señalado anteriormente. El funcionario que no deje constancia de la verificación del cumplimiento de este requisito incurrirá en causal de mala</w:t>
      </w:r>
      <w:r w:rsidRPr="00491E28">
        <w:rPr>
          <w:rFonts w:ascii="Verdana" w:eastAsia="Arial" w:hAnsi="Verdana" w:cs="Arial"/>
          <w:spacing w:val="-12"/>
          <w:sz w:val="15"/>
          <w:szCs w:val="15"/>
          <w:lang w:val="es-ES"/>
        </w:rPr>
        <w:t xml:space="preserve"> </w:t>
      </w:r>
      <w:r w:rsidRPr="00491E28">
        <w:rPr>
          <w:rFonts w:ascii="Verdana" w:eastAsia="Arial" w:hAnsi="Verdana" w:cs="Arial"/>
          <w:sz w:val="15"/>
          <w:szCs w:val="15"/>
          <w:lang w:val="es-ES"/>
        </w:rPr>
        <w:t>conducta”.</w:t>
      </w:r>
    </w:p>
  </w:footnote>
  <w:footnote w:id="2">
    <w:p w14:paraId="1AFE9DBD" w14:textId="77777777" w:rsidR="0044771E" w:rsidRPr="00867B95" w:rsidRDefault="0044771E" w:rsidP="0044771E">
      <w:pPr>
        <w:pStyle w:val="Textonotapie"/>
        <w:ind w:firstLine="708"/>
        <w:jc w:val="both"/>
        <w:rPr>
          <w:rFonts w:ascii="Verdana" w:eastAsia="Arial" w:hAnsi="Verdana" w:cs="Arial"/>
          <w:sz w:val="15"/>
          <w:szCs w:val="15"/>
          <w:lang w:val="es-ES"/>
        </w:rPr>
      </w:pPr>
      <w:r w:rsidRPr="00867B95">
        <w:rPr>
          <w:rStyle w:val="Refdenotaalpie"/>
          <w:rFonts w:ascii="Verdana" w:hAnsi="Verdana" w:cs="Arial"/>
          <w:sz w:val="15"/>
          <w:szCs w:val="15"/>
        </w:rPr>
        <w:footnoteRef/>
      </w:r>
      <w:r w:rsidRPr="00867B95">
        <w:rPr>
          <w:rFonts w:ascii="Verdana" w:hAnsi="Verdana" w:cs="Arial"/>
          <w:sz w:val="15"/>
          <w:szCs w:val="15"/>
        </w:rPr>
        <w:t xml:space="preserve"> </w:t>
      </w:r>
      <w:r w:rsidRPr="00867B95">
        <w:rPr>
          <w:rFonts w:ascii="Verdana" w:eastAsia="Arial" w:hAnsi="Verdana" w:cs="Arial"/>
          <w:sz w:val="15"/>
          <w:szCs w:val="15"/>
          <w:lang w:val="es-ES"/>
        </w:rPr>
        <w:t>Consejo de Estado. Sección Tercera. Subsección C. Sentencia del 8 de junio de 2011. Exp. 20001-23-31-000-2005-00409-01(AP), C.P. Enrique Gil Botero.</w:t>
      </w:r>
    </w:p>
  </w:footnote>
  <w:footnote w:id="3">
    <w:p w14:paraId="34F60D44" w14:textId="77777777" w:rsidR="0044771E" w:rsidRPr="00867B95" w:rsidRDefault="0044771E" w:rsidP="0044771E">
      <w:pPr>
        <w:pStyle w:val="Textonotapie"/>
        <w:ind w:firstLine="708"/>
        <w:jc w:val="both"/>
        <w:rPr>
          <w:rFonts w:ascii="Verdana" w:hAnsi="Verdana" w:cs="Arial"/>
          <w:sz w:val="15"/>
          <w:szCs w:val="15"/>
          <w:lang w:val="es-CO"/>
        </w:rPr>
      </w:pPr>
      <w:r w:rsidRPr="00867B95">
        <w:rPr>
          <w:rStyle w:val="Refdenotaalpie"/>
          <w:rFonts w:ascii="Verdana" w:hAnsi="Verdana" w:cs="Arial"/>
          <w:sz w:val="15"/>
          <w:szCs w:val="15"/>
        </w:rPr>
        <w:footnoteRef/>
      </w:r>
      <w:r w:rsidRPr="00867B95">
        <w:rPr>
          <w:rFonts w:ascii="Verdana" w:hAnsi="Verdana" w:cs="Arial"/>
          <w:sz w:val="15"/>
          <w:szCs w:val="15"/>
        </w:rPr>
        <w:t xml:space="preserve"> Respecto a la revisoría fiscal de las sociedades extranjeras con sucursal en Colombia, el artículo 472.6 del Código de Comercio dispone que </w:t>
      </w:r>
      <w:r w:rsidRPr="00867B95">
        <w:rPr>
          <w:rFonts w:ascii="Verdana" w:hAnsi="Verdana" w:cs="Arial"/>
          <w:sz w:val="15"/>
          <w:szCs w:val="15"/>
          <w:lang w:val="es-CO"/>
        </w:rPr>
        <w:t xml:space="preserve">la resolución o acto en que la sociedad acuerda establecer negocios permanentes en Colombia expresará “La designación del revisor fiscal, quien será persona natural con residencia permanente en Colombia”. Por lo demás, el artículo el artículo 489 </w:t>
      </w:r>
      <w:r w:rsidRPr="00867B95">
        <w:rPr>
          <w:rFonts w:ascii="Verdana" w:hAnsi="Verdana" w:cs="Arial"/>
          <w:i/>
          <w:iCs/>
          <w:sz w:val="15"/>
          <w:szCs w:val="15"/>
          <w:lang w:val="es-CO"/>
        </w:rPr>
        <w:t>ibidem</w:t>
      </w:r>
      <w:r w:rsidRPr="00867B95">
        <w:rPr>
          <w:rFonts w:ascii="Verdana" w:hAnsi="Verdana" w:cs="Arial"/>
          <w:sz w:val="15"/>
          <w:szCs w:val="15"/>
          <w:lang w:val="es-CO"/>
        </w:rPr>
        <w:t xml:space="preserve"> prescribe que “Los revisores fiscales de las sociedades domiciliadas en el exterior se sujetarán, en lo pertinente, a las disposiciones de este Código sobre los revisores fiscales de las sociedades domiciliadas en el país”. Además, agrega lo siguiente: “Estos revisores deberán, además, informar a la correspondiente Superintendencia cualquier irregularidad de las que puedan ser causales de suspensión o de revocación del permiso de funcionamiento de tales sociedades”.</w:t>
      </w:r>
    </w:p>
  </w:footnote>
  <w:footnote w:id="4">
    <w:p w14:paraId="5E67A69E" w14:textId="77777777" w:rsidR="0044771E" w:rsidRPr="00867B95" w:rsidRDefault="0044771E" w:rsidP="0044771E">
      <w:pPr>
        <w:pStyle w:val="Textonotapie"/>
        <w:ind w:firstLine="708"/>
        <w:jc w:val="both"/>
        <w:rPr>
          <w:rFonts w:ascii="Verdana" w:hAnsi="Verdana"/>
          <w:sz w:val="15"/>
          <w:szCs w:val="15"/>
          <w:lang w:val="es-ES"/>
        </w:rPr>
      </w:pPr>
      <w:r w:rsidRPr="00867B95">
        <w:rPr>
          <w:rStyle w:val="Refdenotaalpie"/>
          <w:rFonts w:ascii="Verdana" w:hAnsi="Verdana"/>
          <w:sz w:val="15"/>
          <w:szCs w:val="15"/>
        </w:rPr>
        <w:footnoteRef/>
      </w:r>
      <w:r w:rsidRPr="00867B95">
        <w:rPr>
          <w:rFonts w:ascii="Verdana" w:hAnsi="Verdana"/>
          <w:sz w:val="15"/>
          <w:szCs w:val="15"/>
        </w:rPr>
        <w:t xml:space="preserve"> </w:t>
      </w:r>
      <w:r w:rsidRPr="00867B95">
        <w:rPr>
          <w:rFonts w:ascii="Verdana" w:eastAsia="Arial" w:hAnsi="Verdana" w:cs="Arial"/>
          <w:sz w:val="15"/>
          <w:szCs w:val="15"/>
          <w:lang w:val="es-ES"/>
        </w:rPr>
        <w:t xml:space="preserve">Consejo de Estado. Sección Tercera. Subsección C. Sentencia del 24 de julio de 2024. Exp. </w:t>
      </w:r>
      <w:r w:rsidRPr="00867B95">
        <w:rPr>
          <w:rFonts w:ascii="Verdana" w:eastAsia="Arial" w:hAnsi="Verdana" w:cs="Arial"/>
          <w:sz w:val="15"/>
          <w:szCs w:val="15"/>
          <w:lang w:val="es-CO"/>
        </w:rPr>
        <w:t>05001-23-31-000-2005-04664-02 (47.156)</w:t>
      </w:r>
      <w:r w:rsidRPr="00867B95">
        <w:rPr>
          <w:rFonts w:ascii="Verdana" w:eastAsia="Arial" w:hAnsi="Verdana" w:cs="Arial"/>
          <w:sz w:val="15"/>
          <w:szCs w:val="15"/>
          <w:lang w:val="es-ES"/>
        </w:rPr>
        <w:t xml:space="preserve">. C.P. </w:t>
      </w:r>
      <w:r w:rsidRPr="00867B95">
        <w:rPr>
          <w:rFonts w:ascii="Verdana" w:eastAsia="Arial" w:hAnsi="Verdana" w:cs="Arial"/>
          <w:sz w:val="15"/>
          <w:szCs w:val="15"/>
          <w:lang w:val="es-CO"/>
        </w:rPr>
        <w:t>William Barrera Muñoz.</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18679D0"/>
    <w:multiLevelType w:val="hybridMultilevel"/>
    <w:tmpl w:val="00200732"/>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497E2709"/>
    <w:multiLevelType w:val="hybridMultilevel"/>
    <w:tmpl w:val="527A8C5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5"/>
  </w:num>
  <w:num w:numId="2" w16cid:durableId="19822139">
    <w:abstractNumId w:val="1"/>
  </w:num>
  <w:num w:numId="3" w16cid:durableId="876742304">
    <w:abstractNumId w:val="3"/>
  </w:num>
  <w:num w:numId="4" w16cid:durableId="24518640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4"/>
  </w:num>
  <w:num w:numId="8" w16cid:durableId="152644682">
    <w:abstractNumId w:val="12"/>
  </w:num>
  <w:num w:numId="9" w16cid:durableId="1317221377">
    <w:abstractNumId w:val="6"/>
  </w:num>
  <w:num w:numId="10" w16cid:durableId="1471245386">
    <w:abstractNumId w:val="11"/>
  </w:num>
  <w:num w:numId="11" w16cid:durableId="289172385">
    <w:abstractNumId w:val="7"/>
  </w:num>
  <w:num w:numId="12" w16cid:durableId="1470781324">
    <w:abstractNumId w:val="0"/>
  </w:num>
  <w:num w:numId="13" w16cid:durableId="1512908409">
    <w:abstractNumId w:val="2"/>
  </w:num>
  <w:num w:numId="14" w16cid:durableId="895897244">
    <w:abstractNumId w:val="14"/>
  </w:num>
  <w:num w:numId="15" w16cid:durableId="390349800">
    <w:abstractNumId w:val="10"/>
  </w:num>
  <w:num w:numId="16" w16cid:durableId="153255849">
    <w:abstractNumId w:val="8"/>
  </w:num>
  <w:num w:numId="17" w16cid:durableId="1337683695">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2E23"/>
    <w:rsid w:val="00042BCE"/>
    <w:rsid w:val="00046945"/>
    <w:rsid w:val="00061B2A"/>
    <w:rsid w:val="00082362"/>
    <w:rsid w:val="000A683E"/>
    <w:rsid w:val="000B19B9"/>
    <w:rsid w:val="000D0334"/>
    <w:rsid w:val="000D5DA7"/>
    <w:rsid w:val="000F6486"/>
    <w:rsid w:val="00116940"/>
    <w:rsid w:val="00125105"/>
    <w:rsid w:val="00127233"/>
    <w:rsid w:val="00153CB4"/>
    <w:rsid w:val="0015699B"/>
    <w:rsid w:val="001A33BF"/>
    <w:rsid w:val="001E4177"/>
    <w:rsid w:val="001F0B24"/>
    <w:rsid w:val="001F7DC6"/>
    <w:rsid w:val="0022400B"/>
    <w:rsid w:val="002421BB"/>
    <w:rsid w:val="0025796E"/>
    <w:rsid w:val="002707A2"/>
    <w:rsid w:val="002951A0"/>
    <w:rsid w:val="002962BC"/>
    <w:rsid w:val="002A093D"/>
    <w:rsid w:val="002A0DD0"/>
    <w:rsid w:val="002A49AC"/>
    <w:rsid w:val="002A64FD"/>
    <w:rsid w:val="002B7035"/>
    <w:rsid w:val="002C7A84"/>
    <w:rsid w:val="002E2BF8"/>
    <w:rsid w:val="002E4FD9"/>
    <w:rsid w:val="0030657A"/>
    <w:rsid w:val="003210AE"/>
    <w:rsid w:val="00322A85"/>
    <w:rsid w:val="00324168"/>
    <w:rsid w:val="00330834"/>
    <w:rsid w:val="003448F4"/>
    <w:rsid w:val="00374F5E"/>
    <w:rsid w:val="00377E3E"/>
    <w:rsid w:val="003A779E"/>
    <w:rsid w:val="003D0F4D"/>
    <w:rsid w:val="003D5B0D"/>
    <w:rsid w:val="003E0499"/>
    <w:rsid w:val="003E4F80"/>
    <w:rsid w:val="003E6439"/>
    <w:rsid w:val="003F3941"/>
    <w:rsid w:val="00405171"/>
    <w:rsid w:val="00406575"/>
    <w:rsid w:val="00414C74"/>
    <w:rsid w:val="0042722E"/>
    <w:rsid w:val="0044528D"/>
    <w:rsid w:val="0044764F"/>
    <w:rsid w:val="0044771E"/>
    <w:rsid w:val="00462B9F"/>
    <w:rsid w:val="00466E39"/>
    <w:rsid w:val="00484471"/>
    <w:rsid w:val="004A1847"/>
    <w:rsid w:val="004A305D"/>
    <w:rsid w:val="004F21C4"/>
    <w:rsid w:val="004F685F"/>
    <w:rsid w:val="005566E8"/>
    <w:rsid w:val="00574867"/>
    <w:rsid w:val="00591460"/>
    <w:rsid w:val="005A27D5"/>
    <w:rsid w:val="005A65E0"/>
    <w:rsid w:val="005C3777"/>
    <w:rsid w:val="005C5CDC"/>
    <w:rsid w:val="005D476C"/>
    <w:rsid w:val="006200BF"/>
    <w:rsid w:val="006219F8"/>
    <w:rsid w:val="006302F7"/>
    <w:rsid w:val="00637272"/>
    <w:rsid w:val="00646B9F"/>
    <w:rsid w:val="00665D70"/>
    <w:rsid w:val="006900D9"/>
    <w:rsid w:val="006A0A4A"/>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8D7"/>
    <w:rsid w:val="008F0EA7"/>
    <w:rsid w:val="00902B2F"/>
    <w:rsid w:val="00923EEF"/>
    <w:rsid w:val="009419F9"/>
    <w:rsid w:val="00951762"/>
    <w:rsid w:val="0095685E"/>
    <w:rsid w:val="00961B09"/>
    <w:rsid w:val="00965334"/>
    <w:rsid w:val="0097093E"/>
    <w:rsid w:val="0097506B"/>
    <w:rsid w:val="009A0DFA"/>
    <w:rsid w:val="009A1C6F"/>
    <w:rsid w:val="009B2D26"/>
    <w:rsid w:val="009C71FA"/>
    <w:rsid w:val="009C72E7"/>
    <w:rsid w:val="009C7F7E"/>
    <w:rsid w:val="009D3058"/>
    <w:rsid w:val="009F3A13"/>
    <w:rsid w:val="00A122D3"/>
    <w:rsid w:val="00A14468"/>
    <w:rsid w:val="00A15E11"/>
    <w:rsid w:val="00A17F13"/>
    <w:rsid w:val="00A20739"/>
    <w:rsid w:val="00A23AF9"/>
    <w:rsid w:val="00A27B95"/>
    <w:rsid w:val="00A33C78"/>
    <w:rsid w:val="00A81D3C"/>
    <w:rsid w:val="00AA309B"/>
    <w:rsid w:val="00AA405A"/>
    <w:rsid w:val="00AB0ADB"/>
    <w:rsid w:val="00AF1746"/>
    <w:rsid w:val="00B00C0E"/>
    <w:rsid w:val="00B01B1A"/>
    <w:rsid w:val="00B0381D"/>
    <w:rsid w:val="00B44A47"/>
    <w:rsid w:val="00B72CD3"/>
    <w:rsid w:val="00B72FFF"/>
    <w:rsid w:val="00B874FA"/>
    <w:rsid w:val="00BC3D36"/>
    <w:rsid w:val="00BD54A6"/>
    <w:rsid w:val="00BD7932"/>
    <w:rsid w:val="00BD7F72"/>
    <w:rsid w:val="00BF7425"/>
    <w:rsid w:val="00C04FB3"/>
    <w:rsid w:val="00C11D8B"/>
    <w:rsid w:val="00C15139"/>
    <w:rsid w:val="00C330EB"/>
    <w:rsid w:val="00C50D69"/>
    <w:rsid w:val="00C5365C"/>
    <w:rsid w:val="00C754BE"/>
    <w:rsid w:val="00C76B1C"/>
    <w:rsid w:val="00C925AC"/>
    <w:rsid w:val="00CB6357"/>
    <w:rsid w:val="00CC1B26"/>
    <w:rsid w:val="00D361FD"/>
    <w:rsid w:val="00D423A2"/>
    <w:rsid w:val="00D44E26"/>
    <w:rsid w:val="00D520D8"/>
    <w:rsid w:val="00D63AC2"/>
    <w:rsid w:val="00D7383B"/>
    <w:rsid w:val="00D75A40"/>
    <w:rsid w:val="00D7788A"/>
    <w:rsid w:val="00DA231B"/>
    <w:rsid w:val="00DC39FC"/>
    <w:rsid w:val="00DF5254"/>
    <w:rsid w:val="00E02524"/>
    <w:rsid w:val="00E16408"/>
    <w:rsid w:val="00E20894"/>
    <w:rsid w:val="00E245AB"/>
    <w:rsid w:val="00E2764C"/>
    <w:rsid w:val="00E27F2E"/>
    <w:rsid w:val="00E50AFE"/>
    <w:rsid w:val="00E6693B"/>
    <w:rsid w:val="00E75C92"/>
    <w:rsid w:val="00E771DC"/>
    <w:rsid w:val="00E8772A"/>
    <w:rsid w:val="00E90F6B"/>
    <w:rsid w:val="00E92C27"/>
    <w:rsid w:val="00EA0E3D"/>
    <w:rsid w:val="00EB33E4"/>
    <w:rsid w:val="00EC38A7"/>
    <w:rsid w:val="00EE1AA8"/>
    <w:rsid w:val="00F23FEA"/>
    <w:rsid w:val="00F31EDC"/>
    <w:rsid w:val="00F462B3"/>
    <w:rsid w:val="00F5664F"/>
    <w:rsid w:val="00F666C4"/>
    <w:rsid w:val="00F76AFC"/>
    <w:rsid w:val="00FA47C0"/>
    <w:rsid w:val="00FB5DD1"/>
    <w:rsid w:val="00FC2B5D"/>
    <w:rsid w:val="00FC65AF"/>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9D18F0F"/>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18751141-727B-4FA2-AAB2-38E6FC4271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44771E"/>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4771E"/>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20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imezabedoya@gmail.com"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BFFD13-7EBA-48E9-BE81-D92C6A4E2C9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63A1EEE-F933-C143-9F72-4FE348EF2B31}">
  <ds:schemaRefs>
    <ds:schemaRef ds:uri="http://schemas.openxmlformats.org/officeDocument/2006/bibliography"/>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9</TotalTime>
  <Pages>13</Pages>
  <Words>3841</Words>
  <Characters>21129</Characters>
  <Application>Microsoft Office Word</Application>
  <DocSecurity>0</DocSecurity>
  <Lines>176</Lines>
  <Paragraphs>49</Paragraphs>
  <ScaleCrop>false</ScaleCrop>
  <Company/>
  <LinksUpToDate>false</LinksUpToDate>
  <CharactersWithSpaces>24921</CharactersWithSpaces>
  <SharedDoc>false</SharedDoc>
  <HLinks>
    <vt:vector size="12" baseType="variant">
      <vt:variant>
        <vt:i4>7209021</vt:i4>
      </vt:variant>
      <vt:variant>
        <vt:i4>3</vt:i4>
      </vt:variant>
      <vt:variant>
        <vt:i4>0</vt:i4>
      </vt:variant>
      <vt:variant>
        <vt:i4>5</vt:i4>
      </vt:variant>
      <vt:variant>
        <vt:lpwstr>https://relatoria.colombiacompra.gov.co/busqueda/concept os</vt:lpwstr>
      </vt:variant>
      <vt:variant>
        <vt:lpwstr/>
      </vt:variant>
      <vt:variant>
        <vt:i4>39</vt:i4>
      </vt:variant>
      <vt:variant>
        <vt:i4>0</vt:i4>
      </vt:variant>
      <vt:variant>
        <vt:i4>0</vt:i4>
      </vt:variant>
      <vt:variant>
        <vt:i4>5</vt:i4>
      </vt:variant>
      <vt:variant>
        <vt:lpwstr>mailto:imezabedoya@gmail.com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2023-01-11T00:18:00Z</cp:lastPrinted>
  <dcterms:created xsi:type="dcterms:W3CDTF">2026-05-20T00:54:00Z</dcterms:created>
  <dcterms:modified xsi:type="dcterms:W3CDTF">2026-05-20T22:58:00Z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