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012B8" w14:textId="77777777" w:rsidR="006A7632" w:rsidRDefault="006A7632" w:rsidP="008D6C62">
      <w:pPr>
        <w:spacing w:after="0"/>
        <w:rPr>
          <w:rFonts w:ascii="Verdana" w:eastAsia="Verdana" w:hAnsi="Verdana" w:cs="Verdana"/>
        </w:rPr>
      </w:pPr>
      <w:bookmarkStart w:id="0" w:name="_Hlk143780582"/>
    </w:p>
    <w:p w14:paraId="61E41A8F" w14:textId="77777777" w:rsidR="006A7632" w:rsidRDefault="006A7632" w:rsidP="008D6C62">
      <w:pPr>
        <w:spacing w:after="0"/>
        <w:rPr>
          <w:rFonts w:ascii="Verdana" w:eastAsia="Verdana" w:hAnsi="Verdana" w:cs="Verdana"/>
        </w:rPr>
      </w:pPr>
    </w:p>
    <w:p w14:paraId="17C374C4" w14:textId="53FB11BB" w:rsidR="008D6C62" w:rsidRPr="008D6C62" w:rsidRDefault="008D6C62" w:rsidP="008D6C62">
      <w:pPr>
        <w:spacing w:after="0"/>
        <w:rPr>
          <w:rFonts w:ascii="Verdana" w:eastAsia="Verdana" w:hAnsi="Verdana" w:cs="Verdana"/>
        </w:rPr>
      </w:pPr>
      <w:r>
        <w:rPr>
          <w:rFonts w:ascii="Verdana" w:eastAsia="Verdana" w:hAnsi="Verdana" w:cs="Verdana"/>
        </w:rPr>
        <w:t xml:space="preserve">                                                                  </w:t>
      </w:r>
      <w:r w:rsidRPr="008D6C62">
        <w:rPr>
          <w:rFonts w:ascii="Verdana" w:eastAsia="Calibri" w:hAnsi="Verdana" w:cs="Times New Roman"/>
          <w:b/>
          <w:bCs/>
          <w:noProof/>
        </w:rPr>
        <w:drawing>
          <wp:inline distT="0" distB="0" distL="0" distR="0" wp14:anchorId="6F659471" wp14:editId="495B8859">
            <wp:extent cx="1852654" cy="514416"/>
            <wp:effectExtent l="0" t="0" r="0" b="0"/>
            <wp:docPr id="19153861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55680" cy="515256"/>
                    </a:xfrm>
                    <a:prstGeom prst="rect">
                      <a:avLst/>
                    </a:prstGeom>
                    <a:noFill/>
                    <a:ln>
                      <a:noFill/>
                    </a:ln>
                  </pic:spPr>
                </pic:pic>
              </a:graphicData>
            </a:graphic>
          </wp:inline>
        </w:drawing>
      </w:r>
    </w:p>
    <w:p w14:paraId="1468C46D" w14:textId="0D250024" w:rsidR="00C15139" w:rsidRPr="008D6C62" w:rsidRDefault="008D6C62" w:rsidP="008D6C62">
      <w:pPr>
        <w:spacing w:after="0"/>
        <w:rPr>
          <w:rFonts w:ascii="Verdana" w:eastAsia="Verdana" w:hAnsi="Verdana" w:cs="Verdana"/>
        </w:rPr>
      </w:pPr>
      <w:r w:rsidRPr="008D6C62">
        <w:rPr>
          <w:rFonts w:ascii="Verdana" w:hAnsi="Verdana"/>
        </w:rPr>
        <w:t>Bogotá D.C., 29 Abril 2026</w:t>
      </w:r>
      <w:r w:rsidR="00C15139" w:rsidRPr="008D6C62">
        <w:rPr>
          <w:rFonts w:ascii="Verdana" w:hAnsi="Verdana"/>
        </w:rPr>
        <w:tab/>
      </w:r>
      <w:r w:rsidR="00C15139" w:rsidRPr="008D6C62">
        <w:rPr>
          <w:rFonts w:ascii="Verdana" w:hAnsi="Verdana"/>
        </w:rPr>
        <w:br/>
      </w:r>
      <w:r w:rsidR="00C15139" w:rsidRPr="008D6C62">
        <w:rPr>
          <w:rFonts w:ascii="Verdana" w:hAnsi="Verdana"/>
        </w:rPr>
        <w:tab/>
      </w:r>
    </w:p>
    <w:p w14:paraId="03C078DE" w14:textId="77777777" w:rsidR="00452A8D" w:rsidRPr="00C15DD4" w:rsidRDefault="00452A8D" w:rsidP="00452A8D">
      <w:pPr>
        <w:spacing w:after="0" w:line="276" w:lineRule="auto"/>
        <w:jc w:val="both"/>
        <w:rPr>
          <w:rFonts w:ascii="Verdana" w:eastAsia="Calibri" w:hAnsi="Verdana" w:cs="Arial"/>
          <w:lang w:eastAsia="es-ES"/>
        </w:rPr>
      </w:pPr>
      <w:r w:rsidRPr="00C15DD4">
        <w:rPr>
          <w:rFonts w:ascii="Verdana" w:eastAsia="Calibri" w:hAnsi="Verdana" w:cs="Arial"/>
          <w:lang w:eastAsia="es-ES"/>
        </w:rPr>
        <w:t>Señor</w:t>
      </w:r>
    </w:p>
    <w:p w14:paraId="2D71885E" w14:textId="4992063A" w:rsidR="001F0E7F" w:rsidRDefault="00115CC9" w:rsidP="00452A8D">
      <w:pPr>
        <w:spacing w:after="0" w:line="276" w:lineRule="auto"/>
        <w:rPr>
          <w:rFonts w:ascii="Verdana" w:eastAsia="Calibri" w:hAnsi="Verdana" w:cs="Times New Roman"/>
          <w:b/>
          <w:bCs/>
        </w:rPr>
      </w:pPr>
      <w:r>
        <w:rPr>
          <w:rFonts w:ascii="Verdana" w:eastAsia="Calibri" w:hAnsi="Verdana" w:cs="Times New Roman"/>
          <w:b/>
          <w:bCs/>
        </w:rPr>
        <w:t xml:space="preserve">Andrés Felipe </w:t>
      </w:r>
      <w:r w:rsidR="001F0E7F">
        <w:rPr>
          <w:rFonts w:ascii="Verdana" w:eastAsia="Calibri" w:hAnsi="Verdana" w:cs="Times New Roman"/>
          <w:b/>
          <w:bCs/>
        </w:rPr>
        <w:t>Triana Ramírez</w:t>
      </w:r>
    </w:p>
    <w:p w14:paraId="4AB0C363" w14:textId="5F654F76" w:rsidR="001F0E7F" w:rsidRDefault="001F0E7F" w:rsidP="00452A8D">
      <w:pPr>
        <w:spacing w:after="0" w:line="276" w:lineRule="auto"/>
        <w:rPr>
          <w:rFonts w:ascii="Verdana" w:eastAsia="Calibri" w:hAnsi="Verdana" w:cs="Times New Roman"/>
        </w:rPr>
      </w:pPr>
      <w:hyperlink r:id="rId12" w:history="1">
        <w:r w:rsidRPr="005953DC">
          <w:rPr>
            <w:rStyle w:val="Hipervnculo"/>
            <w:rFonts w:ascii="Verdana" w:eastAsia="Calibri" w:hAnsi="Verdana" w:cs="Times New Roman"/>
          </w:rPr>
          <w:t>trianaandres_@hotmail.com</w:t>
        </w:r>
      </w:hyperlink>
    </w:p>
    <w:p w14:paraId="5AD86648" w14:textId="10C44EAB" w:rsidR="00452A8D" w:rsidRDefault="001F0E7F" w:rsidP="00452A8D">
      <w:pPr>
        <w:spacing w:line="276" w:lineRule="auto"/>
        <w:rPr>
          <w:rFonts w:ascii="Verdana" w:hAnsi="Verdana"/>
        </w:rPr>
      </w:pPr>
      <w:r>
        <w:rPr>
          <w:rFonts w:ascii="Verdana" w:hAnsi="Verdana"/>
        </w:rPr>
        <w:t>Ricaurte</w:t>
      </w:r>
      <w:r w:rsidR="00452A8D">
        <w:rPr>
          <w:rFonts w:ascii="Verdana" w:hAnsi="Verdana"/>
        </w:rPr>
        <w:t xml:space="preserve"> -</w:t>
      </w:r>
      <w:r>
        <w:rPr>
          <w:rFonts w:ascii="Verdana" w:hAnsi="Verdana"/>
        </w:rPr>
        <w:t xml:space="preserve"> Cundinamarca</w:t>
      </w:r>
      <w:r w:rsidR="00452A8D">
        <w:rPr>
          <w:rFonts w:ascii="Verdana" w:hAnsi="Verdana"/>
        </w:rPr>
        <w:t>, Colombia</w:t>
      </w:r>
    </w:p>
    <w:p w14:paraId="3AD8B31F" w14:textId="77777777" w:rsidR="00452A8D" w:rsidRPr="00892D76" w:rsidRDefault="00452A8D" w:rsidP="00452A8D">
      <w:pPr>
        <w:spacing w:after="0" w:line="276" w:lineRule="auto"/>
        <w:rPr>
          <w:rFonts w:ascii="Verdana" w:hAnsi="Verdana"/>
        </w:rPr>
      </w:pPr>
    </w:p>
    <w:p w14:paraId="265C735F" w14:textId="7BCA6863" w:rsidR="00452A8D" w:rsidRPr="00C15DD4" w:rsidRDefault="00452A8D" w:rsidP="00452A8D">
      <w:pPr>
        <w:spacing w:line="276" w:lineRule="auto"/>
        <w:ind w:left="2124"/>
        <w:rPr>
          <w:rFonts w:ascii="Verdana" w:eastAsia="Calibri" w:hAnsi="Verdana" w:cs="Arial"/>
          <w:b/>
          <w:bCs/>
          <w:lang w:eastAsia="es-ES"/>
        </w:rPr>
      </w:pPr>
      <w:r>
        <w:rPr>
          <w:rFonts w:ascii="Verdana" w:eastAsia="Calibri" w:hAnsi="Verdana" w:cs="Arial"/>
          <w:b/>
          <w:bCs/>
          <w:lang w:eastAsia="es-ES"/>
        </w:rPr>
        <w:t xml:space="preserve">        </w:t>
      </w:r>
      <w:r w:rsidRPr="00C15DD4">
        <w:rPr>
          <w:rFonts w:ascii="Verdana" w:eastAsia="Calibri" w:hAnsi="Verdana" w:cs="Arial"/>
          <w:b/>
          <w:bCs/>
          <w:lang w:eastAsia="es-ES"/>
        </w:rPr>
        <w:t xml:space="preserve">Concepto C – </w:t>
      </w:r>
      <w:r w:rsidR="00585340">
        <w:rPr>
          <w:rFonts w:ascii="Verdana" w:eastAsia="Calibri" w:hAnsi="Verdana" w:cs="Arial"/>
          <w:b/>
          <w:bCs/>
          <w:lang w:eastAsia="es-ES"/>
        </w:rPr>
        <w:t>537</w:t>
      </w:r>
      <w:r w:rsidRPr="00C15DD4">
        <w:rPr>
          <w:rFonts w:ascii="Verdana" w:eastAsia="Calibri" w:hAnsi="Verdana" w:cs="Arial"/>
          <w:b/>
          <w:bCs/>
          <w:lang w:eastAsia="es-ES"/>
        </w:rPr>
        <w:t xml:space="preserve"> de 20</w:t>
      </w:r>
      <w:r>
        <w:rPr>
          <w:rFonts w:ascii="Verdana" w:eastAsia="Calibri" w:hAnsi="Verdana" w:cs="Arial"/>
          <w:b/>
          <w:bCs/>
          <w:lang w:eastAsia="es-ES"/>
        </w:rPr>
        <w:t>2</w:t>
      </w:r>
      <w:r w:rsidRPr="00C15DD4">
        <w:rPr>
          <w:rFonts w:ascii="Verdana" w:eastAsia="Calibri" w:hAnsi="Verdana" w:cs="Arial"/>
          <w:b/>
          <w:bCs/>
          <w:lang w:eastAsia="es-ES"/>
        </w:rPr>
        <w:t>6</w:t>
      </w: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52A8D" w:rsidRPr="00C15DD4" w14:paraId="72FFEDAC" w14:textId="77777777" w:rsidTr="00915292">
        <w:trPr>
          <w:trHeight w:val="884"/>
        </w:trPr>
        <w:tc>
          <w:tcPr>
            <w:tcW w:w="2689" w:type="dxa"/>
          </w:tcPr>
          <w:p w14:paraId="43C2C573" w14:textId="77777777" w:rsidR="00452A8D" w:rsidRPr="00C15DD4" w:rsidRDefault="00452A8D" w:rsidP="00915292">
            <w:pPr>
              <w:spacing w:line="276" w:lineRule="auto"/>
              <w:jc w:val="both"/>
              <w:rPr>
                <w:rFonts w:ascii="Verdana" w:eastAsia="Calibri" w:hAnsi="Verdana" w:cs="Arial"/>
                <w:color w:val="000000"/>
                <w:lang w:eastAsia="es-ES_tradnl"/>
              </w:rPr>
            </w:pPr>
            <w:r w:rsidRPr="00C15DD4">
              <w:rPr>
                <w:rFonts w:ascii="Verdana" w:eastAsia="Calibri" w:hAnsi="Verdana" w:cs="Arial"/>
                <w:b/>
                <w:color w:val="000000"/>
                <w:lang w:eastAsia="es-ES_tradnl"/>
              </w:rPr>
              <w:t>Temas:</w:t>
            </w:r>
            <w:r w:rsidRPr="00C15DD4">
              <w:rPr>
                <w:rFonts w:ascii="Verdana" w:eastAsia="Calibri" w:hAnsi="Verdana" w:cs="Arial"/>
                <w:color w:val="000000"/>
                <w:lang w:eastAsia="es-ES_tradnl"/>
              </w:rPr>
              <w:t xml:space="preserve">                   </w:t>
            </w:r>
          </w:p>
        </w:tc>
        <w:tc>
          <w:tcPr>
            <w:tcW w:w="6100" w:type="dxa"/>
          </w:tcPr>
          <w:p w14:paraId="3E36098D" w14:textId="3B1D6D80" w:rsidR="00017963" w:rsidRPr="00992288" w:rsidRDefault="00452A8D" w:rsidP="00017963">
            <w:pPr>
              <w:spacing w:line="276" w:lineRule="auto"/>
              <w:jc w:val="both"/>
              <w:rPr>
                <w:rFonts w:ascii="Verdana" w:hAnsi="Verdana" w:cs="Arial"/>
                <w:color w:val="000000" w:themeColor="text1"/>
                <w:lang w:val="es-ES"/>
              </w:rPr>
            </w:pPr>
            <w:r w:rsidRPr="00992288">
              <w:rPr>
                <w:rFonts w:ascii="Verdana" w:eastAsia="Calibri" w:hAnsi="Verdana" w:cs="Arial"/>
                <w:lang w:val="es-ES" w:eastAsia="es-ES"/>
              </w:rPr>
              <w:t xml:space="preserve">LEY DE GARANTÍAS ELECTORALES ‒ Finalidad / LEY DE LEY DE GARANTÍAS ELECTORALES – Prohibición artículo 33 – Contratación directa – Alcance / LEY DE GARANTÍAS ELECTORALES – Excepciones </w:t>
            </w:r>
            <w:r w:rsidR="00017963" w:rsidRPr="00992288">
              <w:rPr>
                <w:rFonts w:ascii="Verdana" w:eastAsia="Calibri" w:hAnsi="Verdana" w:cs="Arial"/>
                <w:lang w:val="es-ES" w:eastAsia="es-ES"/>
              </w:rPr>
              <w:t xml:space="preserve">/ LEY DE GARANTÍAS ELECTORALES </w:t>
            </w:r>
            <w:r w:rsidR="004403DC">
              <w:rPr>
                <w:rFonts w:ascii="Verdana" w:eastAsia="Calibri" w:hAnsi="Verdana" w:cs="Arial"/>
                <w:lang w:val="es-ES" w:eastAsia="es-ES"/>
              </w:rPr>
              <w:t>-</w:t>
            </w:r>
            <w:r w:rsidR="00017963" w:rsidRPr="00992288">
              <w:rPr>
                <w:rFonts w:ascii="Verdana" w:eastAsia="Calibri" w:hAnsi="Verdana" w:cs="Arial"/>
                <w:lang w:val="es-ES" w:eastAsia="es-ES"/>
              </w:rPr>
              <w:t xml:space="preserve">Contratación por Tienda Virtual del Estado Colombiano </w:t>
            </w:r>
          </w:p>
          <w:p w14:paraId="65A7D76A" w14:textId="77777777" w:rsidR="00452A8D" w:rsidRPr="00992288" w:rsidRDefault="00452A8D" w:rsidP="00915292">
            <w:pPr>
              <w:jc w:val="both"/>
              <w:rPr>
                <w:rFonts w:ascii="Verdana" w:eastAsia="Calibri" w:hAnsi="Verdana" w:cs="Arial"/>
                <w:lang w:eastAsia="es-ES"/>
              </w:rPr>
            </w:pPr>
          </w:p>
        </w:tc>
      </w:tr>
      <w:tr w:rsidR="00452A8D" w:rsidRPr="00C15DD4" w14:paraId="769A54C3" w14:textId="77777777" w:rsidTr="00915292">
        <w:tc>
          <w:tcPr>
            <w:tcW w:w="2689" w:type="dxa"/>
          </w:tcPr>
          <w:p w14:paraId="5F4DDC77" w14:textId="77777777" w:rsidR="00452A8D" w:rsidRPr="00C15DD4" w:rsidRDefault="00452A8D" w:rsidP="00915292">
            <w:pPr>
              <w:spacing w:line="276" w:lineRule="auto"/>
              <w:jc w:val="both"/>
              <w:rPr>
                <w:rFonts w:ascii="Verdana" w:eastAsia="Calibri" w:hAnsi="Verdana" w:cs="Arial"/>
                <w:b/>
                <w:lang w:eastAsia="es-ES_tradnl"/>
              </w:rPr>
            </w:pPr>
            <w:r w:rsidRPr="00C15DD4">
              <w:rPr>
                <w:rFonts w:ascii="Verdana" w:eastAsia="Calibri" w:hAnsi="Verdana" w:cs="Arial"/>
                <w:b/>
                <w:lang w:eastAsia="es-ES_tradnl"/>
              </w:rPr>
              <w:t>Radicación:</w:t>
            </w:r>
            <w:r w:rsidRPr="00C15DD4">
              <w:rPr>
                <w:rFonts w:ascii="Verdana" w:eastAsia="Calibri" w:hAnsi="Verdana" w:cs="Arial"/>
                <w:lang w:eastAsia="es-ES_tradnl"/>
              </w:rPr>
              <w:t xml:space="preserve">               </w:t>
            </w:r>
          </w:p>
        </w:tc>
        <w:tc>
          <w:tcPr>
            <w:tcW w:w="6100" w:type="dxa"/>
          </w:tcPr>
          <w:p w14:paraId="490F9A2C" w14:textId="62BC53D9" w:rsidR="00452A8D" w:rsidRPr="00C15DD4" w:rsidRDefault="00452A8D" w:rsidP="00A952BB">
            <w:pPr>
              <w:spacing w:line="276" w:lineRule="auto"/>
              <w:jc w:val="both"/>
              <w:rPr>
                <w:rFonts w:ascii="Verdana" w:eastAsia="Calibri" w:hAnsi="Verdana" w:cs="Arial"/>
                <w:lang w:eastAsia="es-ES_tradnl"/>
              </w:rPr>
            </w:pPr>
            <w:r w:rsidRPr="00C15DD4">
              <w:rPr>
                <w:rFonts w:ascii="Verdana" w:eastAsia="Calibri" w:hAnsi="Verdana" w:cs="Arial"/>
                <w:lang w:eastAsia="es-ES_tradnl"/>
              </w:rPr>
              <w:t xml:space="preserve">Respuesta a consultas con radicado No. </w:t>
            </w:r>
            <w:r w:rsidR="00A952BB" w:rsidRPr="00A952BB">
              <w:rPr>
                <w:rFonts w:ascii="Verdana" w:eastAsia="Calibri" w:hAnsi="Verdana" w:cs="Arial"/>
                <w:lang w:eastAsia="es-ES_tradnl"/>
              </w:rPr>
              <w:t>1_2026_03_31_004467</w:t>
            </w:r>
          </w:p>
        </w:tc>
      </w:tr>
    </w:tbl>
    <w:p w14:paraId="74E39097" w14:textId="0051AB88" w:rsidR="00452A8D" w:rsidRPr="00992288" w:rsidRDefault="00452A8D" w:rsidP="00992288">
      <w:pPr>
        <w:spacing w:before="240" w:after="0" w:line="276" w:lineRule="auto"/>
        <w:jc w:val="both"/>
        <w:rPr>
          <w:rFonts w:ascii="Verdana" w:eastAsia="Calibri" w:hAnsi="Verdana" w:cs="Arial"/>
          <w:lang w:eastAsia="es-ES"/>
        </w:rPr>
      </w:pPr>
      <w:r w:rsidRPr="00C15DD4">
        <w:rPr>
          <w:rFonts w:ascii="Verdana" w:eastAsia="Calibri" w:hAnsi="Verdana" w:cs="Arial"/>
          <w:lang w:eastAsia="es-ES"/>
        </w:rPr>
        <w:t xml:space="preserve">Estimado </w:t>
      </w:r>
      <w:r>
        <w:rPr>
          <w:rFonts w:ascii="Verdana" w:eastAsia="Calibri" w:hAnsi="Verdana" w:cs="Arial"/>
          <w:lang w:eastAsia="es-ES"/>
        </w:rPr>
        <w:t xml:space="preserve">señor </w:t>
      </w:r>
      <w:r w:rsidR="00992288">
        <w:rPr>
          <w:rFonts w:ascii="Verdana" w:eastAsia="Calibri" w:hAnsi="Verdana" w:cs="Arial"/>
          <w:lang w:eastAsia="es-ES"/>
        </w:rPr>
        <w:t>Triana</w:t>
      </w:r>
      <w:r>
        <w:rPr>
          <w:rFonts w:ascii="Verdana" w:eastAsia="Calibri" w:hAnsi="Verdana" w:cs="Arial"/>
          <w:lang w:eastAsia="es-ES"/>
        </w:rPr>
        <w:t>,</w:t>
      </w:r>
    </w:p>
    <w:p w14:paraId="592EEDD6" w14:textId="430E1785" w:rsidR="00452A8D" w:rsidRPr="00C15DD4" w:rsidRDefault="00452A8D" w:rsidP="00992288">
      <w:pPr>
        <w:spacing w:before="240"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en el artículo 4 de la Resolución 1707 de 2018 expedida por esta Entidad, </w:t>
      </w:r>
      <w:r w:rsidRPr="00C15DD4">
        <w:rPr>
          <w:rFonts w:ascii="Verdana" w:eastAsia="Calibri" w:hAnsi="Verdana" w:cs="Arial"/>
          <w:color w:val="000000"/>
          <w:lang w:eastAsia="es-ES"/>
        </w:rPr>
        <w:t xml:space="preserve">la Agencia Nacional de Contratación Pública – Colombia Compra Eficiente responde su solicitud de concepto del </w:t>
      </w:r>
      <w:r w:rsidR="008063B9">
        <w:rPr>
          <w:rFonts w:ascii="Verdana" w:eastAsia="Calibri" w:hAnsi="Verdana" w:cs="Arial"/>
          <w:color w:val="000000"/>
          <w:lang w:eastAsia="es-ES"/>
        </w:rPr>
        <w:t>31</w:t>
      </w:r>
      <w:r w:rsidRPr="00C15DD4">
        <w:rPr>
          <w:rFonts w:ascii="Verdana" w:eastAsia="Calibri" w:hAnsi="Verdana" w:cs="Arial"/>
          <w:color w:val="000000"/>
          <w:lang w:eastAsia="es-ES"/>
        </w:rPr>
        <w:t xml:space="preserve"> de </w:t>
      </w:r>
      <w:r w:rsidR="008063B9">
        <w:rPr>
          <w:rFonts w:ascii="Verdana" w:eastAsia="Calibri" w:hAnsi="Verdana" w:cs="Arial"/>
          <w:color w:val="000000"/>
          <w:lang w:eastAsia="es-ES"/>
        </w:rPr>
        <w:t>marzo</w:t>
      </w:r>
      <w:r w:rsidRPr="00C15DD4">
        <w:rPr>
          <w:rFonts w:ascii="Verdana" w:eastAsia="Calibri" w:hAnsi="Verdana" w:cs="Arial"/>
          <w:color w:val="000000"/>
          <w:lang w:eastAsia="es-ES"/>
        </w:rPr>
        <w:t xml:space="preserve">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1" w:name="_Hlk95313578"/>
    </w:p>
    <w:p w14:paraId="786703AE" w14:textId="77777777" w:rsidR="00452A8D" w:rsidRPr="00C15DD4" w:rsidRDefault="00452A8D" w:rsidP="00452A8D">
      <w:pPr>
        <w:spacing w:after="0" w:line="276" w:lineRule="auto"/>
        <w:jc w:val="both"/>
        <w:rPr>
          <w:rFonts w:ascii="Verdana" w:eastAsia="Calibri" w:hAnsi="Verdana" w:cs="Arial"/>
          <w:i/>
          <w:iCs/>
          <w:lang w:eastAsia="es-ES"/>
        </w:rPr>
      </w:pPr>
    </w:p>
    <w:p w14:paraId="23051B5B" w14:textId="77777777" w:rsidR="00452A8D" w:rsidRPr="00E32F02" w:rsidRDefault="00452A8D" w:rsidP="00452A8D">
      <w:pPr>
        <w:spacing w:after="0" w:line="276" w:lineRule="auto"/>
        <w:ind w:left="709" w:right="709"/>
        <w:jc w:val="both"/>
        <w:rPr>
          <w:rFonts w:ascii="Verdana" w:eastAsia="Arial" w:hAnsi="Verdana" w:cs="Arial"/>
          <w:i/>
          <w:iCs/>
          <w:color w:val="000000" w:themeColor="text1"/>
          <w:sz w:val="20"/>
          <w:szCs w:val="20"/>
        </w:rPr>
      </w:pPr>
      <w:r w:rsidRPr="00E32F02">
        <w:rPr>
          <w:rFonts w:ascii="Verdana" w:eastAsia="Arial" w:hAnsi="Verdana" w:cs="Arial"/>
          <w:i/>
          <w:iCs/>
          <w:color w:val="000000" w:themeColor="text1"/>
          <w:sz w:val="20"/>
          <w:szCs w:val="20"/>
        </w:rPr>
        <w:t>“</w:t>
      </w:r>
      <w:bookmarkEnd w:id="1"/>
      <w:r w:rsidRPr="00E32F02">
        <w:rPr>
          <w:rFonts w:ascii="Verdana" w:eastAsia="Arial" w:hAnsi="Verdana" w:cs="Arial"/>
          <w:i/>
          <w:iCs/>
          <w:color w:val="000000" w:themeColor="text1"/>
          <w:sz w:val="20"/>
          <w:szCs w:val="20"/>
        </w:rPr>
        <w:t xml:space="preserve">(…) </w:t>
      </w:r>
    </w:p>
    <w:p w14:paraId="15F73054" w14:textId="77777777" w:rsidR="00452A8D" w:rsidRPr="00E32F02" w:rsidRDefault="00452A8D" w:rsidP="00452A8D">
      <w:pPr>
        <w:spacing w:after="0" w:line="276" w:lineRule="auto"/>
        <w:ind w:left="709" w:right="709"/>
        <w:jc w:val="both"/>
        <w:rPr>
          <w:rFonts w:ascii="Verdana" w:eastAsia="Arial" w:hAnsi="Verdana" w:cs="Arial"/>
          <w:i/>
          <w:iCs/>
          <w:color w:val="000000" w:themeColor="text1"/>
          <w:sz w:val="20"/>
          <w:szCs w:val="20"/>
        </w:rPr>
      </w:pPr>
    </w:p>
    <w:p w14:paraId="25967925" w14:textId="77777777" w:rsidR="00C659EB" w:rsidRPr="00C659EB" w:rsidRDefault="00C659EB" w:rsidP="00C659EB">
      <w:pPr>
        <w:spacing w:line="276" w:lineRule="auto"/>
        <w:ind w:left="709" w:right="709"/>
        <w:jc w:val="both"/>
        <w:rPr>
          <w:rFonts w:ascii="Verdana" w:eastAsia="Aptos" w:hAnsi="Verdana" w:cs="Times New Roman"/>
          <w:i/>
          <w:iCs/>
          <w:kern w:val="2"/>
          <w:sz w:val="20"/>
          <w:szCs w:val="20"/>
          <w14:ligatures w14:val="standardContextual"/>
        </w:rPr>
      </w:pPr>
      <w:r w:rsidRPr="00C659EB">
        <w:rPr>
          <w:rFonts w:ascii="Verdana" w:eastAsia="Aptos" w:hAnsi="Verdana" w:cs="Times New Roman"/>
          <w:i/>
          <w:iCs/>
          <w:kern w:val="2"/>
          <w:sz w:val="20"/>
          <w:szCs w:val="20"/>
          <w14:ligatures w14:val="standardContextual"/>
        </w:rPr>
        <w:t>De manera atenta, solicito su concepto respecto a la aplicación de la Ley 996 de 2005 (Ley de Garantías), en el marco de lo establecido en la Circular Externa No. 001 de 2026.</w:t>
      </w:r>
    </w:p>
    <w:p w14:paraId="09A67737" w14:textId="77777777" w:rsidR="00C659EB" w:rsidRPr="00C659EB" w:rsidRDefault="00C659EB" w:rsidP="00C659EB">
      <w:pPr>
        <w:spacing w:line="276" w:lineRule="auto"/>
        <w:ind w:left="709" w:right="709"/>
        <w:jc w:val="both"/>
        <w:rPr>
          <w:rFonts w:ascii="Verdana" w:eastAsia="Aptos" w:hAnsi="Verdana" w:cs="Times New Roman"/>
          <w:i/>
          <w:iCs/>
          <w:kern w:val="2"/>
          <w:sz w:val="20"/>
          <w:szCs w:val="20"/>
          <w14:ligatures w14:val="standardContextual"/>
        </w:rPr>
      </w:pPr>
      <w:r w:rsidRPr="00C659EB">
        <w:rPr>
          <w:rFonts w:ascii="Verdana" w:eastAsia="Aptos" w:hAnsi="Verdana" w:cs="Times New Roman"/>
          <w:i/>
          <w:iCs/>
          <w:kern w:val="2"/>
          <w:sz w:val="20"/>
          <w:szCs w:val="20"/>
          <w14:ligatures w14:val="standardContextual"/>
        </w:rPr>
        <w:t xml:space="preserve">Según lo indicado en dicha circular, en la tabla “Grandes Almacenes” se establece que este tipo de contratación está sujeto a las restricciones de </w:t>
      </w:r>
      <w:r w:rsidRPr="00C659EB">
        <w:rPr>
          <w:rFonts w:ascii="Verdana" w:eastAsia="Aptos" w:hAnsi="Verdana" w:cs="Times New Roman"/>
          <w:i/>
          <w:iCs/>
          <w:kern w:val="2"/>
          <w:sz w:val="20"/>
          <w:szCs w:val="20"/>
          <w14:ligatures w14:val="standardContextual"/>
        </w:rPr>
        <w:lastRenderedPageBreak/>
        <w:t>la Ley 996 de 2005 cuando se configure la contratación directa, específicamente en casos de único proveedor.</w:t>
      </w:r>
    </w:p>
    <w:p w14:paraId="52383A64" w14:textId="77777777" w:rsidR="00C659EB" w:rsidRPr="00C659EB" w:rsidRDefault="00C659EB" w:rsidP="00C659EB">
      <w:pPr>
        <w:spacing w:line="276" w:lineRule="auto"/>
        <w:ind w:left="709" w:right="709"/>
        <w:jc w:val="both"/>
        <w:rPr>
          <w:rFonts w:ascii="Verdana" w:eastAsia="Aptos" w:hAnsi="Verdana" w:cs="Times New Roman"/>
          <w:i/>
          <w:iCs/>
          <w:kern w:val="2"/>
          <w:sz w:val="20"/>
          <w:szCs w:val="20"/>
          <w14:ligatures w14:val="standardContextual"/>
        </w:rPr>
      </w:pPr>
    </w:p>
    <w:p w14:paraId="5224FE1F" w14:textId="77777777" w:rsidR="00C659EB" w:rsidRPr="00C659EB" w:rsidRDefault="00C659EB" w:rsidP="00C659EB">
      <w:pPr>
        <w:spacing w:line="276" w:lineRule="auto"/>
        <w:ind w:left="709" w:right="709"/>
        <w:jc w:val="both"/>
        <w:rPr>
          <w:rFonts w:ascii="Verdana" w:eastAsia="Aptos" w:hAnsi="Verdana" w:cs="Times New Roman"/>
          <w:i/>
          <w:iCs/>
          <w:kern w:val="2"/>
          <w:sz w:val="20"/>
          <w:szCs w:val="20"/>
          <w14:ligatures w14:val="standardContextual"/>
        </w:rPr>
      </w:pPr>
      <w:r w:rsidRPr="00C659EB">
        <w:rPr>
          <w:rFonts w:ascii="Verdana" w:eastAsia="Aptos" w:hAnsi="Verdana" w:cs="Times New Roman"/>
          <w:i/>
          <w:iCs/>
          <w:kern w:val="2"/>
          <w:sz w:val="20"/>
          <w:szCs w:val="20"/>
          <w14:ligatures w14:val="standardContextual"/>
        </w:rPr>
        <w:t>En este sentido, agradezco su orientación frente al siguiente caso:</w:t>
      </w:r>
    </w:p>
    <w:p w14:paraId="295E335C" w14:textId="77777777" w:rsidR="00C659EB" w:rsidRDefault="00C659EB" w:rsidP="00C659EB">
      <w:pPr>
        <w:spacing w:line="276" w:lineRule="auto"/>
        <w:ind w:left="709" w:right="709"/>
        <w:jc w:val="both"/>
        <w:rPr>
          <w:rFonts w:ascii="Verdana" w:eastAsia="Aptos" w:hAnsi="Verdana" w:cs="Times New Roman"/>
          <w:i/>
          <w:iCs/>
          <w:kern w:val="2"/>
          <w:sz w:val="20"/>
          <w:szCs w:val="20"/>
          <w14:ligatures w14:val="standardContextual"/>
        </w:rPr>
      </w:pPr>
      <w:r w:rsidRPr="00C659EB">
        <w:rPr>
          <w:rFonts w:ascii="Verdana" w:eastAsia="Aptos" w:hAnsi="Verdana" w:cs="Times New Roman"/>
          <w:i/>
          <w:iCs/>
          <w:kern w:val="2"/>
          <w:sz w:val="20"/>
          <w:szCs w:val="20"/>
          <w14:ligatures w14:val="standardContextual"/>
        </w:rPr>
        <w:t xml:space="preserve">Si al momento de estructurar una solicitud en el carrito de compras se incluyen bienes de más de un proveedor, lo que conlleva a la generación de múltiples órdenes de compra en grandes superficies, ¿se mantiene la aplicación de las restricciones de la Ley 996 de 2005, o se entiende que no configura una contratación directa con único proveedor? </w:t>
      </w:r>
    </w:p>
    <w:p w14:paraId="4169BAB2" w14:textId="5E777F5E" w:rsidR="00452A8D" w:rsidRPr="00C15DD4" w:rsidRDefault="00452A8D" w:rsidP="00C659EB">
      <w:pPr>
        <w:spacing w:line="276" w:lineRule="auto"/>
        <w:ind w:left="709" w:right="709"/>
        <w:jc w:val="both"/>
        <w:rPr>
          <w:rFonts w:ascii="Verdana" w:eastAsia="Aptos" w:hAnsi="Verdana" w:cs="Times New Roman"/>
          <w:kern w:val="2"/>
          <w14:ligatures w14:val="standardContextual"/>
        </w:rPr>
      </w:pPr>
      <w:r w:rsidRPr="00E32F02">
        <w:rPr>
          <w:rFonts w:ascii="Verdana" w:eastAsia="Aptos" w:hAnsi="Verdana" w:cs="Times New Roman"/>
          <w:i/>
          <w:iCs/>
          <w:kern w:val="2"/>
          <w:sz w:val="20"/>
          <w:szCs w:val="20"/>
          <w14:ligatures w14:val="standardContextual"/>
        </w:rPr>
        <w:t>(…)</w:t>
      </w:r>
      <w:r w:rsidRPr="00E32F02">
        <w:rPr>
          <w:rFonts w:ascii="Verdana" w:eastAsia="Calibri" w:hAnsi="Verdana" w:cs="Times New Roman"/>
          <w:i/>
          <w:iCs/>
          <w:sz w:val="20"/>
          <w:szCs w:val="20"/>
        </w:rPr>
        <w:t>”.</w:t>
      </w:r>
    </w:p>
    <w:p w14:paraId="102C1C7A" w14:textId="77777777" w:rsidR="00452A8D" w:rsidRPr="00C15DD4" w:rsidRDefault="00452A8D" w:rsidP="00452A8D">
      <w:pPr>
        <w:spacing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385DF35D" w14:textId="76A7927B" w:rsidR="00452A8D" w:rsidRPr="00C15DD4" w:rsidRDefault="00452A8D" w:rsidP="00E44342">
      <w:pPr>
        <w:spacing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074E18DF" w14:textId="77777777" w:rsidR="00452A8D" w:rsidRPr="00B52ACA" w:rsidRDefault="00452A8D" w:rsidP="00452A8D">
      <w:pPr>
        <w:pStyle w:val="Prrafodelista"/>
        <w:numPr>
          <w:ilvl w:val="0"/>
          <w:numId w:val="16"/>
        </w:numPr>
        <w:rPr>
          <w:rFonts w:ascii="Verdana" w:hAnsi="Verdana"/>
          <w:b/>
          <w:bCs/>
        </w:rPr>
      </w:pPr>
      <w:r w:rsidRPr="00B52ACA">
        <w:rPr>
          <w:rFonts w:ascii="Verdana" w:hAnsi="Verdana"/>
          <w:b/>
          <w:bCs/>
        </w:rPr>
        <w:t>Problema planteado:</w:t>
      </w:r>
    </w:p>
    <w:p w14:paraId="5A1CCD92" w14:textId="6B74ACC5" w:rsidR="00452A8D" w:rsidRPr="00E44342" w:rsidRDefault="00452A8D" w:rsidP="00E44342">
      <w:pPr>
        <w:spacing w:line="276" w:lineRule="auto"/>
        <w:jc w:val="both"/>
        <w:rPr>
          <w:rFonts w:ascii="Verdana" w:eastAsia="Century Gothic" w:hAnsi="Verdana" w:cs="Century Gothic"/>
          <w:color w:val="000000" w:themeColor="text1"/>
          <w:lang w:val="es-ES"/>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D85666">
        <w:rPr>
          <w:rFonts w:ascii="Verdana" w:eastAsia="Century Gothic" w:hAnsi="Verdana" w:cs="Century Gothic"/>
        </w:rPr>
        <w:t>¿Qué alcance tiene la Ley de Garantías</w:t>
      </w:r>
      <w:r>
        <w:rPr>
          <w:rFonts w:ascii="Verdana" w:eastAsia="Century Gothic" w:hAnsi="Verdana" w:cs="Century Gothic"/>
        </w:rPr>
        <w:t xml:space="preserve"> Electorales</w:t>
      </w:r>
      <w:r w:rsidRPr="00D85666">
        <w:rPr>
          <w:rFonts w:ascii="Verdana" w:eastAsia="Century Gothic" w:hAnsi="Verdana" w:cs="Century Gothic"/>
        </w:rPr>
        <w:t xml:space="preserve"> </w:t>
      </w:r>
      <w:r w:rsidR="00E44342">
        <w:rPr>
          <w:rFonts w:ascii="Verdana" w:eastAsia="Century Gothic" w:hAnsi="Verdana" w:cs="Century Gothic"/>
          <w:color w:val="000000" w:themeColor="text1"/>
          <w:lang w:val="es-ES"/>
        </w:rPr>
        <w:t>en el marco procesos adelantados a través de la Tienda Virtual del Estado Colombiano</w:t>
      </w:r>
      <w:r w:rsidR="00E44342" w:rsidRPr="00982071">
        <w:rPr>
          <w:rFonts w:ascii="Verdana" w:eastAsia="Century Gothic" w:hAnsi="Verdana" w:cs="Century Gothic"/>
          <w:color w:val="000000" w:themeColor="text1"/>
          <w:lang w:val="es-ES"/>
        </w:rPr>
        <w:t>?</w:t>
      </w:r>
    </w:p>
    <w:p w14:paraId="1E073A79" w14:textId="77777777" w:rsidR="00452A8D" w:rsidRPr="00B52ACA" w:rsidRDefault="00452A8D" w:rsidP="00452A8D">
      <w:pPr>
        <w:pStyle w:val="Prrafodelista"/>
        <w:numPr>
          <w:ilvl w:val="0"/>
          <w:numId w:val="16"/>
        </w:numPr>
        <w:tabs>
          <w:tab w:val="left" w:pos="142"/>
          <w:tab w:val="left" w:pos="284"/>
        </w:tabs>
        <w:spacing w:line="276" w:lineRule="auto"/>
        <w:jc w:val="both"/>
        <w:rPr>
          <w:rFonts w:ascii="Verdana" w:eastAsia="Century Gothic" w:hAnsi="Verdana" w:cs="Century Gothic"/>
          <w:b/>
          <w:bCs/>
        </w:rPr>
      </w:pPr>
      <w:r w:rsidRPr="00B52ACA">
        <w:rPr>
          <w:rFonts w:ascii="Verdana" w:eastAsia="Century Gothic" w:hAnsi="Verdana" w:cs="Century Gothic"/>
          <w:b/>
          <w:bCs/>
        </w:rPr>
        <w:t>Respuesta:</w:t>
      </w: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52A8D" w:rsidRPr="00593A5F" w14:paraId="03B7D6AF" w14:textId="77777777" w:rsidTr="00915292">
        <w:trPr>
          <w:jc w:val="center"/>
        </w:trPr>
        <w:tc>
          <w:tcPr>
            <w:tcW w:w="8828" w:type="dxa"/>
          </w:tcPr>
          <w:p w14:paraId="242F16BE" w14:textId="099E1B01" w:rsidR="00CF72F4" w:rsidRPr="00CF72F4" w:rsidRDefault="00A96ABC" w:rsidP="00CF72F4">
            <w:pPr>
              <w:spacing w:before="120" w:after="120" w:line="276" w:lineRule="auto"/>
              <w:jc w:val="both"/>
              <w:rPr>
                <w:rFonts w:ascii="Verdana" w:eastAsia="Calibri" w:hAnsi="Verdana" w:cs="Arial"/>
              </w:rPr>
            </w:pPr>
            <w:bookmarkStart w:id="2" w:name="_Hlk171694685"/>
            <w:r>
              <w:rPr>
                <w:rFonts w:ascii="Verdana" w:eastAsia="Calibri" w:hAnsi="Verdana" w:cs="Arial"/>
                <w:color w:val="000000" w:themeColor="text1"/>
              </w:rPr>
              <w:lastRenderedPageBreak/>
              <w:t xml:space="preserve">Para contestar su consulta, en principio es </w:t>
            </w:r>
            <w:r w:rsidR="00ED548B">
              <w:rPr>
                <w:rFonts w:ascii="Verdana" w:eastAsia="Calibri" w:hAnsi="Verdana" w:cs="Arial"/>
                <w:color w:val="000000" w:themeColor="text1"/>
              </w:rPr>
              <w:t>menester precisar que e</w:t>
            </w:r>
            <w:r w:rsidR="00CF72F4" w:rsidRPr="00CF72F4">
              <w:rPr>
                <w:rFonts w:ascii="Verdana" w:eastAsia="Calibri" w:hAnsi="Verdana" w:cs="Arial"/>
              </w:rPr>
              <w:t xml:space="preserve">l </w:t>
            </w:r>
            <w:r w:rsidR="00CF72F4" w:rsidRPr="00CF72F4">
              <w:rPr>
                <w:rFonts w:ascii="Verdana" w:eastAsia="Calibri" w:hAnsi="Verdana" w:cs="Arial"/>
                <w:i/>
                <w:iCs/>
              </w:rPr>
              <w:t>artículo 33</w:t>
            </w:r>
            <w:r w:rsidR="00CF72F4" w:rsidRPr="00CF72F4">
              <w:rPr>
                <w:rFonts w:ascii="Verdana" w:eastAsia="Calibri" w:hAnsi="Verdana" w:cs="Arial"/>
              </w:rPr>
              <w:t xml:space="preserve">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D8845DA" w14:textId="77777777" w:rsidR="00CF72F4" w:rsidRPr="00CF72F4" w:rsidRDefault="00CF72F4" w:rsidP="00CF72F4">
            <w:pPr>
              <w:widowControl w:val="0"/>
              <w:autoSpaceDE w:val="0"/>
              <w:autoSpaceDN w:val="0"/>
              <w:spacing w:after="120" w:line="276" w:lineRule="auto"/>
              <w:ind w:right="113"/>
              <w:jc w:val="both"/>
              <w:rPr>
                <w:rFonts w:ascii="Verdana" w:eastAsia="Arial" w:hAnsi="Verdana" w:cs="Arial"/>
                <w:lang w:eastAsia="es-ES" w:bidi="es-ES"/>
              </w:rPr>
            </w:pPr>
            <w:r w:rsidRPr="00CF72F4">
              <w:rPr>
                <w:rFonts w:ascii="Verdana" w:eastAsia="Calibri" w:hAnsi="Verdana" w:cs="Arial"/>
              </w:rPr>
              <w:t xml:space="preserve">Por otro lado, </w:t>
            </w:r>
            <w:r w:rsidRPr="00CF72F4">
              <w:rPr>
                <w:rFonts w:ascii="Verdana" w:eastAsia="Calibri" w:hAnsi="Verdana" w:cs="Arial"/>
                <w:i/>
                <w:iCs/>
              </w:rPr>
              <w:t xml:space="preserve">el parágrafo del artículo 38 </w:t>
            </w:r>
            <w:r w:rsidRPr="00CF72F4">
              <w:rPr>
                <w:rFonts w:ascii="Verdana" w:eastAsia="Calibri" w:hAnsi="Verdana" w:cs="Arial"/>
              </w:rPr>
              <w:t>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F72F4">
              <w:rPr>
                <w:rFonts w:ascii="Verdana" w:eastAsia="Arial" w:hAnsi="Verdana" w:cs="Arial"/>
                <w:lang w:eastAsia="es-ES" w:bidi="es-ES"/>
              </w:rPr>
              <w:t xml:space="preserve"> </w:t>
            </w:r>
          </w:p>
          <w:p w14:paraId="2C8A700B" w14:textId="77777777" w:rsidR="00BD02C2" w:rsidRDefault="00ED548B" w:rsidP="00CF72F4">
            <w:pPr>
              <w:widowControl w:val="0"/>
              <w:autoSpaceDE w:val="0"/>
              <w:autoSpaceDN w:val="0"/>
              <w:spacing w:after="120" w:line="276" w:lineRule="auto"/>
              <w:ind w:right="113"/>
              <w:jc w:val="both"/>
              <w:rPr>
                <w:rFonts w:ascii="Verdana" w:eastAsia="Arial" w:hAnsi="Verdana" w:cs="Arial"/>
                <w:lang w:eastAsia="es-ES" w:bidi="es-ES"/>
              </w:rPr>
            </w:pPr>
            <w:r>
              <w:rPr>
                <w:rFonts w:ascii="Verdana" w:eastAsia="Arial" w:hAnsi="Verdana" w:cs="Arial"/>
                <w:lang w:eastAsia="es-ES" w:bidi="es-ES"/>
              </w:rPr>
              <w:t xml:space="preserve">Ahora bien, en tratándose sobre </w:t>
            </w:r>
            <w:r w:rsidR="00CF72F4" w:rsidRPr="00CF72F4">
              <w:rPr>
                <w:rFonts w:ascii="Verdana" w:eastAsia="Arial" w:hAnsi="Verdana" w:cs="Arial"/>
                <w:lang w:eastAsia="es-ES" w:bidi="es-ES"/>
              </w:rPr>
              <w:t>la contratación mediante la Tienda Virtual del Estado Colombiano (TVEC) durante la vigencia de la Ley de Garantías Electorales, es importante precisar que las restricciones previstas en la Ley 996 de 2005 no implican la suspensión general de la contratación pública ni la paralización de las plataformas transaccionales del Estado. En efecto, la TVEC opera sobre la base de Acuerdos Marco de Precios (AMP), los cuales son instrumentos de agregación de demanda que han surtido previamente un proceso de selección objetivo, público y competitivo, adelantado por Colombia Compra Eficiente</w:t>
            </w:r>
            <w:r w:rsidR="001046BF">
              <w:rPr>
                <w:rFonts w:ascii="Verdana" w:eastAsia="Arial" w:hAnsi="Verdana" w:cs="Arial"/>
                <w:lang w:eastAsia="es-ES" w:bidi="es-ES"/>
              </w:rPr>
              <w:t xml:space="preserve">, </w:t>
            </w:r>
            <w:r w:rsidR="005F3768">
              <w:rPr>
                <w:rFonts w:ascii="Verdana" w:eastAsia="Arial" w:hAnsi="Verdana" w:cs="Arial"/>
                <w:lang w:eastAsia="es-ES" w:bidi="es-ES"/>
              </w:rPr>
              <w:t>estructurados y adjudicados por regla general bajo la modalidad se Licitación Pública,</w:t>
            </w:r>
            <w:r w:rsidR="00C8735D">
              <w:rPr>
                <w:rFonts w:ascii="Verdana" w:eastAsia="Arial" w:hAnsi="Verdana" w:cs="Arial"/>
                <w:lang w:eastAsia="es-ES" w:bidi="es-ES"/>
              </w:rPr>
              <w:t xml:space="preserve"> del cual se deriva</w:t>
            </w:r>
            <w:r w:rsidR="00442EEF">
              <w:rPr>
                <w:rFonts w:ascii="Verdana" w:eastAsia="Arial" w:hAnsi="Verdana" w:cs="Arial"/>
                <w:lang w:eastAsia="es-ES" w:bidi="es-ES"/>
              </w:rPr>
              <w:t xml:space="preserve"> la suscripción del acuerdo marco de precios la definición del respectivo catalogo y el desarrollo </w:t>
            </w:r>
            <w:r w:rsidR="00FD0E84">
              <w:rPr>
                <w:rFonts w:ascii="Verdana" w:eastAsia="Arial" w:hAnsi="Verdana" w:cs="Arial"/>
                <w:lang w:eastAsia="es-ES" w:bidi="es-ES"/>
              </w:rPr>
              <w:t>de las herramientas tecnológicas requeridas para la ejecución de los mismos.</w:t>
            </w:r>
            <w:r w:rsidR="005F3768">
              <w:rPr>
                <w:rFonts w:ascii="Verdana" w:eastAsia="Arial" w:hAnsi="Verdana" w:cs="Arial"/>
                <w:lang w:eastAsia="es-ES" w:bidi="es-ES"/>
              </w:rPr>
              <w:t xml:space="preserve"> </w:t>
            </w:r>
          </w:p>
          <w:p w14:paraId="261355E6" w14:textId="77777777" w:rsidR="00E74428" w:rsidRDefault="00BD02C2" w:rsidP="00CF72F4">
            <w:pPr>
              <w:widowControl w:val="0"/>
              <w:autoSpaceDE w:val="0"/>
              <w:autoSpaceDN w:val="0"/>
              <w:spacing w:after="120" w:line="276" w:lineRule="auto"/>
              <w:ind w:right="113"/>
              <w:jc w:val="both"/>
              <w:rPr>
                <w:rFonts w:ascii="Verdana" w:eastAsia="Arial" w:hAnsi="Verdana" w:cs="Arial"/>
                <w:lang w:eastAsia="es-ES" w:bidi="es-ES"/>
              </w:rPr>
            </w:pPr>
            <w:r w:rsidRPr="00BD02C2">
              <w:rPr>
                <w:rFonts w:ascii="Verdana" w:eastAsia="Arial" w:hAnsi="Verdana" w:cs="Arial"/>
                <w:lang w:eastAsia="es-ES" w:bidi="es-ES"/>
              </w:rPr>
              <w:t xml:space="preserve">En este sentido, las entidades compradoras, durante la operación secundaria, realizan la adquisición de bienes y/o Servicios de características técnicas uniformes y no uniformes de común utilización bajo la modalidad de selección abreviada, cuyas causales se definen en los literales a) y j) del numeral 2 de la Ley 1150 de 2007. Por tanto, se encuentran exceptuados de la aplicación de la Ley de Garantías Electorales, en tanto no corresponden a contratación </w:t>
            </w:r>
            <w:r w:rsidRPr="00BD02C2">
              <w:rPr>
                <w:rFonts w:ascii="Verdana" w:eastAsia="Arial" w:hAnsi="Verdana" w:cs="Arial"/>
                <w:lang w:eastAsia="es-ES" w:bidi="es-ES"/>
              </w:rPr>
              <w:lastRenderedPageBreak/>
              <w:t xml:space="preserve">directa, en los términos de los artículos 33 y 38 de la Ley 996 de 2005. </w:t>
            </w:r>
          </w:p>
          <w:p w14:paraId="1427C20F" w14:textId="388DE412" w:rsidR="00E74428" w:rsidRDefault="00E74428" w:rsidP="00CF72F4">
            <w:pPr>
              <w:widowControl w:val="0"/>
              <w:autoSpaceDE w:val="0"/>
              <w:autoSpaceDN w:val="0"/>
              <w:spacing w:after="120" w:line="276" w:lineRule="auto"/>
              <w:ind w:right="113"/>
              <w:jc w:val="both"/>
              <w:rPr>
                <w:rFonts w:ascii="Verdana" w:eastAsia="Arial" w:hAnsi="Verdana" w:cs="Arial"/>
                <w:lang w:eastAsia="es-ES" w:bidi="es-ES"/>
              </w:rPr>
            </w:pPr>
            <w:r>
              <w:rPr>
                <w:rFonts w:ascii="Verdana" w:eastAsia="Arial" w:hAnsi="Verdana" w:cs="Arial"/>
                <w:lang w:eastAsia="es-ES" w:bidi="es-ES"/>
              </w:rPr>
              <w:t xml:space="preserve">Sin embargo, </w:t>
            </w:r>
            <w:r w:rsidR="001873CA">
              <w:rPr>
                <w:rFonts w:ascii="Verdana" w:eastAsia="Arial" w:hAnsi="Verdana" w:cs="Arial"/>
                <w:lang w:eastAsia="es-ES" w:bidi="es-ES"/>
              </w:rPr>
              <w:t>en</w:t>
            </w:r>
            <w:r w:rsidR="001873CA" w:rsidRPr="001873CA">
              <w:rPr>
                <w:rFonts w:ascii="Verdana" w:eastAsia="Arial" w:hAnsi="Verdana" w:cs="Arial"/>
                <w:lang w:eastAsia="es-ES" w:bidi="es-ES"/>
              </w:rPr>
              <w:t xml:space="preserve"> cuanto a los IAD, existe un marco general en el Decreto 1082 de 2015, en virtud del cual la ANCP-CCE diseña y organiza los procesos con base en el análisis del sector y utilizando la modalidad de selección que corresponda. No obstante, a diferencia de los AMP, los IAD no responden a un único patrón procedimental, en la medida en que su diseño puede variar según el mercado y el objetivo de agregación; por ello, la operación principal puede incluir —según el instrumento— esquemas de vinculación/habilitación de proveedores u operador, convocatoria pública y competencia, mecanismos de precalificación, eventos de cotización u otras reglas transaccionales previstas en los documentos del proceso y en las condiciones del instrumento específico, sin perjuicio de su sujeción al marco general del Sistema de Compra Pública.</w:t>
            </w:r>
            <w:r>
              <w:rPr>
                <w:rFonts w:ascii="Verdana" w:eastAsia="Arial" w:hAnsi="Verdana" w:cs="Arial"/>
                <w:lang w:eastAsia="es-ES" w:bidi="es-ES"/>
              </w:rPr>
              <w:t xml:space="preserve"> </w:t>
            </w:r>
          </w:p>
          <w:p w14:paraId="21C92F08" w14:textId="68D64B92" w:rsidR="00A07E3A" w:rsidRDefault="00992577" w:rsidP="00CF72F4">
            <w:pPr>
              <w:widowControl w:val="0"/>
              <w:autoSpaceDE w:val="0"/>
              <w:autoSpaceDN w:val="0"/>
              <w:spacing w:after="120" w:line="276" w:lineRule="auto"/>
              <w:ind w:right="113"/>
              <w:jc w:val="both"/>
              <w:rPr>
                <w:rFonts w:ascii="Verdana" w:eastAsia="Arial" w:hAnsi="Verdana" w:cs="Arial"/>
                <w:lang w:eastAsia="es-ES" w:bidi="es-ES"/>
              </w:rPr>
            </w:pPr>
            <w:r>
              <w:rPr>
                <w:rFonts w:ascii="Verdana" w:eastAsia="Arial" w:hAnsi="Verdana" w:cs="Arial"/>
                <w:lang w:eastAsia="es-ES" w:bidi="es-ES"/>
              </w:rPr>
              <w:t>En ese sentido</w:t>
            </w:r>
            <w:r w:rsidR="0043004D" w:rsidRPr="0043004D">
              <w:rPr>
                <w:rFonts w:ascii="Verdana" w:eastAsia="Arial" w:hAnsi="Verdana" w:cs="Arial"/>
                <w:lang w:eastAsia="es-ES" w:bidi="es-ES"/>
              </w:rPr>
              <w:t>, por el diseño particular de algunos instrumentos o por configuraciones específicas del mercado, ciertos casos de operación secundaria pueden materializarse excepcionalmente en escenarios que deben analizarse de manera particular frente a la Ley 996 de 2005</w:t>
            </w:r>
            <w:r w:rsidR="00817A16">
              <w:rPr>
                <w:rFonts w:ascii="Verdana" w:eastAsia="Arial" w:hAnsi="Verdana" w:cs="Arial"/>
                <w:lang w:eastAsia="es-ES" w:bidi="es-ES"/>
              </w:rPr>
              <w:t xml:space="preserve">, pues durante la operación secundaria de los IAD, </w:t>
            </w:r>
            <w:r w:rsidR="00CF2F9C" w:rsidRPr="00CF2F9C">
              <w:rPr>
                <w:rFonts w:ascii="Verdana" w:eastAsia="Arial" w:hAnsi="Verdana" w:cs="Arial"/>
                <w:lang w:eastAsia="es-ES" w:bidi="es-ES"/>
              </w:rPr>
              <w:t>se identifican tres escenarios posibles, de los cuales dos</w:t>
            </w:r>
            <w:r w:rsidR="00A07E3A">
              <w:rPr>
                <w:rFonts w:ascii="Verdana" w:eastAsia="Arial" w:hAnsi="Verdana" w:cs="Arial"/>
                <w:lang w:eastAsia="es-ES" w:bidi="es-ES"/>
              </w:rPr>
              <w:t xml:space="preserve">, </w:t>
            </w:r>
            <w:r w:rsidR="00CF2F9C" w:rsidRPr="00CF2F9C">
              <w:rPr>
                <w:rFonts w:ascii="Verdana" w:eastAsia="Arial" w:hAnsi="Verdana" w:cs="Arial"/>
                <w:lang w:eastAsia="es-ES" w:bidi="es-ES"/>
              </w:rPr>
              <w:t>pueden estar sujetos a las restricciones previstas en dicha ley, en la medida en que impliquen o puedan implicar supuestos de contratación directa.</w:t>
            </w:r>
            <w:r w:rsidR="00CD0DDF">
              <w:rPr>
                <w:rStyle w:val="Refdenotaalpie"/>
                <w:rFonts w:ascii="Verdana" w:eastAsia="Arial" w:hAnsi="Verdana" w:cs="Arial"/>
                <w:lang w:eastAsia="es-ES" w:bidi="es-ES"/>
              </w:rPr>
              <w:footnoteReference w:id="1"/>
            </w:r>
          </w:p>
          <w:p w14:paraId="07EB068B" w14:textId="4D90D892" w:rsidR="007A693A" w:rsidRDefault="0079540B" w:rsidP="007A693A">
            <w:pPr>
              <w:widowControl w:val="0"/>
              <w:autoSpaceDE w:val="0"/>
              <w:autoSpaceDN w:val="0"/>
              <w:spacing w:after="120" w:line="276" w:lineRule="auto"/>
              <w:ind w:right="113"/>
              <w:jc w:val="both"/>
              <w:rPr>
                <w:rFonts w:ascii="Verdana" w:eastAsia="Arial" w:hAnsi="Verdana" w:cs="Arial"/>
                <w:lang w:eastAsia="es-ES" w:bidi="es-ES"/>
              </w:rPr>
            </w:pPr>
            <w:r>
              <w:rPr>
                <w:rFonts w:ascii="Verdana" w:eastAsia="Arial" w:hAnsi="Verdana" w:cs="Arial"/>
                <w:lang w:eastAsia="es-ES" w:bidi="es-ES"/>
              </w:rPr>
              <w:t>En suma</w:t>
            </w:r>
            <w:r w:rsidR="00234D6C" w:rsidRPr="00234D6C">
              <w:rPr>
                <w:rFonts w:ascii="Verdana" w:eastAsia="Arial" w:hAnsi="Verdana" w:cs="Arial"/>
                <w:lang w:eastAsia="es-ES" w:bidi="es-ES"/>
              </w:rPr>
              <w:t xml:space="preserve">, la eventual aplicación de las restricciones de la Ley 996 de 2005 en la operación secundaria a través de la TVEC no depende del número de órdenes de compra que se generen, sino de la naturaleza jurídica y material del mecanismo de selección que subyace a cada </w:t>
            </w:r>
            <w:r w:rsidR="00643092">
              <w:rPr>
                <w:rFonts w:ascii="Verdana" w:eastAsia="Arial" w:hAnsi="Verdana" w:cs="Arial"/>
                <w:lang w:eastAsia="es-ES" w:bidi="es-ES"/>
              </w:rPr>
              <w:t>proceso</w:t>
            </w:r>
            <w:r w:rsidR="00234D6C" w:rsidRPr="00234D6C">
              <w:rPr>
                <w:rFonts w:ascii="Verdana" w:eastAsia="Arial" w:hAnsi="Verdana" w:cs="Arial"/>
                <w:lang w:eastAsia="es-ES" w:bidi="es-ES"/>
              </w:rPr>
              <w:t xml:space="preserve">. En efecto, conforme a lo precisado por </w:t>
            </w:r>
            <w:r w:rsidR="00643092">
              <w:rPr>
                <w:rFonts w:ascii="Verdana" w:eastAsia="Arial" w:hAnsi="Verdana" w:cs="Arial"/>
                <w:lang w:eastAsia="es-ES" w:bidi="es-ES"/>
              </w:rPr>
              <w:t>esta Agencia</w:t>
            </w:r>
            <w:r w:rsidR="00234D6C" w:rsidRPr="00234D6C">
              <w:rPr>
                <w:rFonts w:ascii="Verdana" w:eastAsia="Arial" w:hAnsi="Verdana" w:cs="Arial"/>
                <w:lang w:eastAsia="es-ES" w:bidi="es-ES"/>
              </w:rPr>
              <w:t xml:space="preserve">, la restricción </w:t>
            </w:r>
            <w:r w:rsidR="00643092">
              <w:rPr>
                <w:rFonts w:ascii="Verdana" w:eastAsia="Arial" w:hAnsi="Verdana" w:cs="Arial"/>
                <w:lang w:eastAsia="es-ES" w:bidi="es-ES"/>
              </w:rPr>
              <w:t>aplica</w:t>
            </w:r>
            <w:r w:rsidR="00234D6C" w:rsidRPr="00234D6C">
              <w:rPr>
                <w:rFonts w:ascii="Verdana" w:eastAsia="Arial" w:hAnsi="Verdana" w:cs="Arial"/>
                <w:lang w:eastAsia="es-ES" w:bidi="es-ES"/>
              </w:rPr>
              <w:t xml:space="preserve"> únicamente cuando, por el diseño o la ejecución del instrumento, la operación equivale materialmente a un esquema de contratación directa, esto es, cuando no se garantiza convocatoria pública ni pluralidad de oferentes</w:t>
            </w:r>
            <w:r w:rsidR="007A693A">
              <w:rPr>
                <w:rFonts w:ascii="Verdana" w:eastAsia="Arial" w:hAnsi="Verdana" w:cs="Arial"/>
                <w:lang w:eastAsia="es-ES" w:bidi="es-ES"/>
              </w:rPr>
              <w:t xml:space="preserve"> durante el respectivo proceso.</w:t>
            </w:r>
            <w:r w:rsidR="00234D6C" w:rsidRPr="00234D6C">
              <w:rPr>
                <w:rFonts w:ascii="Verdana" w:eastAsia="Arial" w:hAnsi="Verdana" w:cs="Arial"/>
                <w:lang w:eastAsia="es-ES" w:bidi="es-ES"/>
              </w:rPr>
              <w:t xml:space="preserve"> Por el contrario, cuando la adquisición se realiza en condiciones de competencia y selección objetiva, aun dentro de instrumentos como los AMP o ciertos IAD, no resulta aplicable la Ley de Garantías, con independencia del volumen o cantidad de órdenes de compra que se tramiten.</w:t>
            </w:r>
          </w:p>
          <w:p w14:paraId="3B353826" w14:textId="0886280D" w:rsidR="00452A8D" w:rsidRPr="00CF72F4" w:rsidRDefault="00CF72F4" w:rsidP="007A693A">
            <w:pPr>
              <w:widowControl w:val="0"/>
              <w:autoSpaceDE w:val="0"/>
              <w:autoSpaceDN w:val="0"/>
              <w:spacing w:after="120" w:line="276" w:lineRule="auto"/>
              <w:ind w:right="113"/>
              <w:jc w:val="both"/>
              <w:rPr>
                <w:rFonts w:ascii="Times New Roman" w:eastAsia="Times New Roman" w:hAnsi="Times New Roman" w:cs="Times New Roman"/>
              </w:rPr>
            </w:pPr>
            <w:r w:rsidRPr="00CF72F4">
              <w:rPr>
                <w:rFonts w:ascii="Verdana" w:eastAsia="Arial" w:hAnsi="Verdana" w:cs="Arial"/>
                <w:color w:val="000000" w:themeColor="text1"/>
              </w:rPr>
              <w:t xml:space="preserve">Finalmente, es importante advertir que </w:t>
            </w:r>
            <w:r w:rsidRPr="00CF72F4">
              <w:rPr>
                <w:rFonts w:ascii="Verdana" w:eastAsia="Times New Roman" w:hAnsi="Verdana" w:cs="Arial"/>
              </w:rPr>
              <w:t xml:space="preserve">compete a cada Entidad Estatal que considera celebrar un proceso de contratación específico definir si este se </w:t>
            </w:r>
            <w:r w:rsidRPr="00CF72F4">
              <w:rPr>
                <w:rFonts w:ascii="Verdana" w:eastAsia="Times New Roman" w:hAnsi="Verdana" w:cs="Arial"/>
              </w:rPr>
              <w:lastRenderedPageBreak/>
              <w:t xml:space="preserve">enmarca en alguna de las prohibiciones de la Ley de Garantías Electorales. </w:t>
            </w:r>
            <w:r w:rsidRPr="00CF72F4">
              <w:rPr>
                <w:rFonts w:ascii="Verdana" w:eastAsia="Times New Roman" w:hAnsi="Verdana" w:cs="Arial"/>
                <w:color w:val="000000" w:themeColor="text1"/>
                <w:lang w:eastAsia="es-ES"/>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tc>
      </w:tr>
    </w:tbl>
    <w:p w14:paraId="3EB3B8FD" w14:textId="77777777" w:rsidR="00452A8D" w:rsidRPr="00593A5F" w:rsidRDefault="00452A8D" w:rsidP="00452A8D">
      <w:pPr>
        <w:tabs>
          <w:tab w:val="left" w:pos="142"/>
          <w:tab w:val="left" w:pos="284"/>
        </w:tabs>
        <w:spacing w:after="0" w:line="276" w:lineRule="auto"/>
        <w:jc w:val="both"/>
        <w:rPr>
          <w:rFonts w:ascii="Verdana" w:eastAsia="Century Gothic" w:hAnsi="Verdana" w:cs="Century Gothic"/>
          <w:b/>
          <w:bCs/>
          <w:lang w:val="es-ES"/>
        </w:rPr>
      </w:pPr>
    </w:p>
    <w:bookmarkEnd w:id="2"/>
    <w:p w14:paraId="0FCC8B58" w14:textId="77777777" w:rsidR="00452A8D" w:rsidRPr="00593A5F" w:rsidRDefault="00452A8D" w:rsidP="00452A8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A7B0091" w14:textId="77777777" w:rsidR="00452A8D" w:rsidRPr="0010142F" w:rsidRDefault="00452A8D" w:rsidP="00452A8D">
      <w:pPr>
        <w:tabs>
          <w:tab w:val="left" w:pos="426"/>
        </w:tabs>
        <w:spacing w:before="240" w:after="120" w:line="276" w:lineRule="auto"/>
        <w:ind w:firstLine="425"/>
        <w:jc w:val="both"/>
        <w:rPr>
          <w:rFonts w:ascii="Verdana" w:eastAsia="Calibri" w:hAnsi="Verdana" w:cs="Arial"/>
        </w:rPr>
      </w:pPr>
      <w:r w:rsidRPr="0010142F">
        <w:rPr>
          <w:rFonts w:ascii="Verdana" w:eastAsia="Calibri" w:hAnsi="Verdana" w:cs="Arial"/>
        </w:rPr>
        <w:t>Lo anterior se sustenta en las siguientes consideraciones:</w:t>
      </w:r>
    </w:p>
    <w:p w14:paraId="0BD1A9F3" w14:textId="77777777" w:rsidR="00452A8D" w:rsidRPr="002D6B43" w:rsidRDefault="00452A8D" w:rsidP="00452A8D">
      <w:pPr>
        <w:tabs>
          <w:tab w:val="left" w:pos="426"/>
        </w:tabs>
        <w:spacing w:before="240" w:after="120" w:line="276" w:lineRule="auto"/>
        <w:jc w:val="both"/>
        <w:rPr>
          <w:rFonts w:ascii="Verdana" w:eastAsia="Times New Roman" w:hAnsi="Verdana" w:cs="Arial"/>
          <w:lang w:eastAsia="es-CO"/>
        </w:rPr>
      </w:pPr>
      <w:r>
        <w:rPr>
          <w:rFonts w:ascii="Verdana" w:eastAsia="Calibri" w:hAnsi="Verdana" w:cs="Arial"/>
        </w:rPr>
        <w:tab/>
      </w:r>
      <w:r w:rsidRPr="0010142F">
        <w:rPr>
          <w:rFonts w:ascii="Verdana" w:eastAsia="Calibri" w:hAnsi="Verdana" w:cs="Arial"/>
        </w:rPr>
        <w:t>El ordenamiento jurídico colombiano contempla previsiones claras para evitar la</w:t>
      </w:r>
      <w:r w:rsidRPr="0010142F">
        <w:rPr>
          <w:rFonts w:ascii="Verdana" w:eastAsia="Times New Roman" w:hAnsi="Verdana" w:cs="Arial"/>
          <w:lang w:eastAsia="es-CO"/>
        </w:rPr>
        <w:t xml:space="preserve"> obtención de beneficios personales en asuntos propios de la administración pública. Por ejemplo, el artículo 127 de la Constitución Política establece</w:t>
      </w:r>
      <w:r w:rsidRPr="002D6B43">
        <w:rPr>
          <w:rFonts w:ascii="Verdana" w:eastAsia="Calibri" w:hAnsi="Verdana" w:cs="Arial"/>
        </w:rPr>
        <w:t xml:space="preserv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057178A4" w14:textId="77777777" w:rsidR="00452A8D" w:rsidRPr="006B14B5" w:rsidRDefault="00452A8D" w:rsidP="00452A8D">
      <w:pPr>
        <w:tabs>
          <w:tab w:val="left" w:pos="426"/>
        </w:tabs>
        <w:spacing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 xml:space="preserve">En armonía </w:t>
      </w:r>
      <w:r w:rsidRPr="00E2397D">
        <w:rPr>
          <w:rFonts w:ascii="Verdana" w:eastAsia="Times New Roman" w:hAnsi="Verdana" w:cs="Arial"/>
          <w:lang w:val="es-MX" w:eastAsia="es-CO"/>
        </w:rPr>
        <w:lastRenderedPageBreak/>
        <w:t>con lo anterior, la Corte Constitucional ha abordado la definición de la Ley de Garantías Electorales. De esta manera, explica que tiene como propósito:</w:t>
      </w:r>
    </w:p>
    <w:p w14:paraId="6D2DE93E" w14:textId="77777777" w:rsidR="00452A8D" w:rsidRPr="00E2397D" w:rsidRDefault="00452A8D" w:rsidP="00452A8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559DC2C" w14:textId="77777777" w:rsidR="00452A8D" w:rsidRDefault="00452A8D" w:rsidP="00452A8D">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3604626" w14:textId="77777777" w:rsidR="00452A8D" w:rsidRPr="000B35C5" w:rsidRDefault="00452A8D" w:rsidP="00452A8D">
      <w:pPr>
        <w:spacing w:after="0" w:line="240" w:lineRule="auto"/>
        <w:ind w:left="709" w:right="709"/>
        <w:contextualSpacing/>
        <w:jc w:val="both"/>
        <w:rPr>
          <w:rFonts w:ascii="Verdana" w:eastAsia="Times New Roman" w:hAnsi="Verdana" w:cs="Arial"/>
          <w:sz w:val="12"/>
          <w:szCs w:val="12"/>
          <w:lang w:val="es-MX" w:eastAsia="es-CO"/>
        </w:rPr>
      </w:pPr>
    </w:p>
    <w:p w14:paraId="0F6FE232" w14:textId="77777777" w:rsidR="00452A8D" w:rsidRPr="00E2397D" w:rsidRDefault="00452A8D" w:rsidP="00452A8D">
      <w:pPr>
        <w:spacing w:after="0" w:line="240" w:lineRule="auto"/>
        <w:ind w:left="709" w:right="709"/>
        <w:contextualSpacing/>
        <w:jc w:val="both"/>
        <w:rPr>
          <w:rFonts w:ascii="Verdana" w:eastAsia="Times New Roman" w:hAnsi="Verdana" w:cs="Arial"/>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bookmarkStart w:id="4" w:name="_Hlk78818186"/>
    </w:p>
    <w:p w14:paraId="52454917" w14:textId="77777777" w:rsidR="00452A8D" w:rsidRPr="00E2397D" w:rsidRDefault="00452A8D" w:rsidP="00452A8D">
      <w:pPr>
        <w:spacing w:before="24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4711E8A6" w14:textId="77777777" w:rsidR="00452A8D" w:rsidRPr="00E2397D" w:rsidRDefault="00452A8D" w:rsidP="00452A8D">
      <w:pPr>
        <w:spacing w:before="240"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516F45C" w14:textId="77777777" w:rsidR="00452A8D" w:rsidRPr="000B35C5" w:rsidRDefault="00452A8D" w:rsidP="00452A8D">
      <w:pPr>
        <w:spacing w:after="0" w:line="240" w:lineRule="auto"/>
        <w:ind w:right="709"/>
        <w:contextualSpacing/>
        <w:jc w:val="both"/>
        <w:rPr>
          <w:rFonts w:ascii="Verdana" w:eastAsia="Times New Roman" w:hAnsi="Verdana" w:cs="Arial"/>
          <w:sz w:val="12"/>
          <w:szCs w:val="12"/>
          <w:lang w:val="es-MX" w:eastAsia="es-CO"/>
        </w:rPr>
      </w:pPr>
    </w:p>
    <w:p w14:paraId="2CA92EE9" w14:textId="77777777" w:rsidR="00452A8D" w:rsidRPr="00E2397D" w:rsidRDefault="00452A8D" w:rsidP="00452A8D">
      <w:pPr>
        <w:spacing w:before="240"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xml:space="preserve">, coinciden en que las normas que establecen prohibiciones deben estar de </w:t>
      </w:r>
      <w:r w:rsidRPr="00E2397D">
        <w:rPr>
          <w:rFonts w:ascii="Verdana" w:eastAsia="Times New Roman" w:hAnsi="Verdana" w:cs="Arial"/>
          <w:sz w:val="20"/>
          <w:szCs w:val="20"/>
          <w:lang w:val="es-MX"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7179710A" w14:textId="77777777" w:rsidR="00452A8D" w:rsidRPr="00E2397D" w:rsidRDefault="00452A8D" w:rsidP="00452A8D">
      <w:pPr>
        <w:spacing w:before="24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AF28903" w14:textId="77777777" w:rsidR="00452A8D" w:rsidRPr="00E2397D" w:rsidRDefault="00452A8D" w:rsidP="00452A8D">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Ahora bien, p</w:t>
      </w:r>
      <w:r w:rsidRPr="00E2397D">
        <w:rPr>
          <w:rFonts w:ascii="Verdana" w:eastAsia="Arial" w:hAnsi="Verdana" w:cs="Arial"/>
          <w:lang w:val="es-ES" w:eastAsia="es-ES" w:bidi="es-ES"/>
        </w:rPr>
        <w:t>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257F2603" w14:textId="77777777" w:rsidR="00452A8D" w:rsidRPr="00E2397D" w:rsidRDefault="00452A8D" w:rsidP="00452A8D">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19E2067A" w14:textId="77777777" w:rsidR="00452A8D" w:rsidRDefault="00452A8D" w:rsidP="00452A8D">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w:t>
      </w:r>
      <w:r w:rsidRPr="00E2397D">
        <w:rPr>
          <w:rFonts w:ascii="Verdana" w:eastAsia="Calibri" w:hAnsi="Verdana" w:cs="Arial"/>
        </w:rPr>
        <w:lastRenderedPageBreak/>
        <w:t xml:space="preserve">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0F1F3171" w14:textId="77777777" w:rsidR="00452A8D" w:rsidRDefault="00452A8D" w:rsidP="00452A8D">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AB87B97" w14:textId="77777777" w:rsidR="00452A8D" w:rsidRDefault="00452A8D" w:rsidP="00452A8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526A2AE4" w14:textId="77777777" w:rsidR="00452A8D" w:rsidRDefault="00452A8D" w:rsidP="00452A8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DFC6144" w14:textId="77777777" w:rsidR="00452A8D" w:rsidRPr="00894384" w:rsidRDefault="00452A8D" w:rsidP="00452A8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lastRenderedPageBreak/>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662C51E1" w14:textId="77777777" w:rsidR="00452A8D" w:rsidRPr="00E2397D" w:rsidRDefault="00452A8D" w:rsidP="00452A8D">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4D4E1F52" w14:textId="77777777" w:rsidR="00452A8D" w:rsidRPr="00E2397D" w:rsidRDefault="00452A8D" w:rsidP="00452A8D">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49146CEC" w14:textId="77777777" w:rsidR="00452A8D" w:rsidRPr="00E2397D" w:rsidRDefault="00452A8D" w:rsidP="00452A8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2FA3754C" w14:textId="77777777" w:rsidR="00452A8D" w:rsidRPr="00E2397D" w:rsidRDefault="00452A8D" w:rsidP="00452A8D">
      <w:pPr>
        <w:widowControl w:val="0"/>
        <w:autoSpaceDE w:val="0"/>
        <w:autoSpaceDN w:val="0"/>
        <w:spacing w:after="0" w:line="276" w:lineRule="auto"/>
        <w:contextualSpacing/>
        <w:rPr>
          <w:rFonts w:ascii="Verdana" w:eastAsia="Arial" w:hAnsi="Verdana" w:cs="Arial"/>
          <w:lang w:val="es-ES" w:eastAsia="es-ES" w:bidi="es-ES"/>
        </w:rPr>
      </w:pPr>
    </w:p>
    <w:p w14:paraId="2CD7BD1A" w14:textId="77777777" w:rsidR="00452A8D" w:rsidRPr="00E2397D" w:rsidRDefault="00452A8D" w:rsidP="00452A8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xml:space="preserve">, también se encuentra la prohibición del </w:t>
      </w:r>
      <w:r w:rsidRPr="00E2397D">
        <w:rPr>
          <w:rFonts w:ascii="Verdana" w:eastAsia="Arial" w:hAnsi="Verdana" w:cs="Arial"/>
          <w:lang w:val="es-ES" w:eastAsia="es-ES" w:bidi="es-ES"/>
        </w:rPr>
        <w:lastRenderedPageBreak/>
        <w:t>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6B7E55C6" w14:textId="77777777" w:rsidR="00452A8D" w:rsidRPr="00E2397D" w:rsidRDefault="00452A8D" w:rsidP="00452A8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68AD8A22" w14:textId="77777777" w:rsidR="00452A8D" w:rsidRPr="00E2397D" w:rsidRDefault="00452A8D" w:rsidP="00452A8D">
      <w:pPr>
        <w:spacing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bookmarkStart w:id="13" w:name="_Hlk78820161"/>
    </w:p>
    <w:p w14:paraId="64992845" w14:textId="77777777" w:rsidR="00452A8D" w:rsidRPr="00D631B0" w:rsidRDefault="00452A8D" w:rsidP="00452A8D">
      <w:pPr>
        <w:spacing w:line="276" w:lineRule="auto"/>
        <w:ind w:firstLine="709"/>
        <w:jc w:val="both"/>
        <w:rPr>
          <w:rFonts w:ascii="Verdana" w:eastAsia="Calibri" w:hAnsi="Verdana" w:cs="Arial"/>
          <w:lang w:val="es-MX"/>
        </w:rPr>
      </w:pP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62AACAD0" w14:textId="77777777" w:rsidR="00452A8D" w:rsidRPr="00BB5022" w:rsidRDefault="00452A8D" w:rsidP="00452A8D">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2"/>
      </w:r>
      <w:r w:rsidRPr="00BB5022">
        <w:rPr>
          <w:rFonts w:ascii="Verdana" w:eastAsia="Calibri" w:hAnsi="Verdana" w:cs="Arial"/>
          <w:sz w:val="20"/>
          <w:szCs w:val="20"/>
          <w:lang w:val="es-MX"/>
        </w:rPr>
        <w:t>.</w:t>
      </w:r>
    </w:p>
    <w:p w14:paraId="4D336F0B" w14:textId="77777777" w:rsidR="00452A8D" w:rsidRPr="0057193B" w:rsidRDefault="00452A8D" w:rsidP="00452A8D">
      <w:pPr>
        <w:spacing w:line="240" w:lineRule="auto"/>
        <w:ind w:left="708" w:right="709"/>
        <w:jc w:val="both"/>
        <w:rPr>
          <w:rFonts w:ascii="Verdana" w:eastAsia="Times New Roman" w:hAnsi="Verdana" w:cs="Arial"/>
          <w:lang w:eastAsia="x-none"/>
        </w:rPr>
      </w:pPr>
      <w:r w:rsidRPr="00BB5022">
        <w:rPr>
          <w:rFonts w:ascii="Verdana" w:eastAsia="Calibri" w:hAnsi="Verdana" w:cs="Arial"/>
          <w:sz w:val="20"/>
          <w:szCs w:val="20"/>
          <w:lang w:val="es-MX"/>
        </w:rPr>
        <w:lastRenderedPageBreak/>
        <w:t xml:space="preserve">Esta Sala ha entendido </w:t>
      </w:r>
      <w:proofErr w:type="gramStart"/>
      <w:r w:rsidRPr="00BB5022">
        <w:rPr>
          <w:rFonts w:ascii="Verdana" w:eastAsia="Calibri" w:hAnsi="Verdana" w:cs="Arial"/>
          <w:sz w:val="20"/>
          <w:szCs w:val="20"/>
          <w:lang w:val="es-MX"/>
        </w:rPr>
        <w:t>que</w:t>
      </w:r>
      <w:proofErr w:type="gramEnd"/>
      <w:r w:rsidRPr="00BB5022">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3"/>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4"/>
      </w:r>
      <w:r w:rsidRPr="00BB5022">
        <w:rPr>
          <w:rFonts w:ascii="Verdana" w:eastAsia="Calibri" w:hAnsi="Verdana" w:cs="Arial"/>
          <w:sz w:val="20"/>
          <w:szCs w:val="20"/>
          <w:lang w:val="es-MX"/>
        </w:rPr>
        <w:t>.</w:t>
      </w:r>
    </w:p>
    <w:p w14:paraId="4937DEE6" w14:textId="77777777" w:rsidR="00452A8D" w:rsidRPr="0057193B" w:rsidRDefault="00452A8D" w:rsidP="00452A8D">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7F6EF897" w14:textId="77777777" w:rsidR="00452A8D" w:rsidRPr="0057193B" w:rsidRDefault="00452A8D" w:rsidP="00452A8D">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5F43AD4B" w14:textId="77777777" w:rsidR="00452A8D" w:rsidRPr="0057193B" w:rsidRDefault="00452A8D" w:rsidP="00452A8D">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lastRenderedPageBreak/>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425BFA93" w14:textId="77777777" w:rsidR="00452A8D" w:rsidRPr="0057193B" w:rsidRDefault="00452A8D" w:rsidP="00452A8D">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5DA8BB8F" w14:textId="77777777" w:rsidR="00452A8D" w:rsidRPr="0057193B" w:rsidRDefault="00452A8D" w:rsidP="00452A8D">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w:t>
      </w:r>
      <w:r w:rsidRPr="00263563">
        <w:rPr>
          <w:rFonts w:ascii="Verdana" w:eastAsia="Times New Roman" w:hAnsi="Verdana" w:cs="Arial"/>
          <w:bCs/>
          <w:i/>
          <w:iCs/>
          <w:lang w:val="es-MX" w:eastAsia="x-none"/>
        </w:rPr>
        <w:t>no incluya la convocatoria pública en alguna de sus etapas</w:t>
      </w:r>
      <w:r w:rsidRPr="0057193B">
        <w:rPr>
          <w:rFonts w:ascii="Verdana" w:eastAsia="Times New Roman" w:hAnsi="Verdana" w:cs="Arial"/>
          <w:bCs/>
          <w:lang w:val="es-MX" w:eastAsia="x-none"/>
        </w:rPr>
        <w:t xml:space="preserve">, </w:t>
      </w:r>
      <w:r w:rsidRPr="00263563">
        <w:rPr>
          <w:rFonts w:ascii="Verdana" w:eastAsia="Times New Roman" w:hAnsi="Verdana" w:cs="Arial"/>
          <w:bCs/>
          <w:i/>
          <w:iCs/>
          <w:lang w:val="es-MX" w:eastAsia="x-none"/>
        </w:rPr>
        <w:t>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2D3034D7" w14:textId="77777777" w:rsidR="00452A8D" w:rsidRPr="0057193B" w:rsidRDefault="00452A8D" w:rsidP="00452A8D">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D67F86B" w14:textId="77777777" w:rsidR="00452A8D" w:rsidRPr="00447D82" w:rsidRDefault="00452A8D" w:rsidP="00452A8D">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57193B">
        <w:rPr>
          <w:rFonts w:ascii="Verdana" w:eastAsia="Times New Roman" w:hAnsi="Verdana" w:cs="Arial"/>
          <w:bCs/>
          <w:lang w:val="es-MX" w:eastAsia="es-CO"/>
        </w:rPr>
        <w:t>entrada en vigencia</w:t>
      </w:r>
      <w:proofErr w:type="gramEnd"/>
      <w:r w:rsidRPr="0057193B">
        <w:rPr>
          <w:rFonts w:ascii="Verdana" w:eastAsia="Times New Roman" w:hAnsi="Verdana" w:cs="Arial"/>
          <w:bCs/>
          <w:lang w:val="es-MX" w:eastAsia="es-CO"/>
        </w:rPr>
        <w:t xml:space="preserve"> de las prohibiciones anotadas, así como la cesión de </w:t>
      </w:r>
      <w:proofErr w:type="gramStart"/>
      <w:r w:rsidRPr="0057193B">
        <w:rPr>
          <w:rFonts w:ascii="Verdana" w:eastAsia="Times New Roman" w:hAnsi="Verdana" w:cs="Arial"/>
          <w:bCs/>
          <w:lang w:val="es-MX" w:eastAsia="es-CO"/>
        </w:rPr>
        <w:t xml:space="preserve">los </w:t>
      </w:r>
      <w:r w:rsidRPr="0057193B">
        <w:rPr>
          <w:rFonts w:ascii="Verdana" w:eastAsia="Times New Roman" w:hAnsi="Verdana" w:cs="Arial"/>
          <w:bCs/>
          <w:lang w:val="es-MX" w:eastAsia="es-CO"/>
        </w:rPr>
        <w:lastRenderedPageBreak/>
        <w:t>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08B1F252" w14:textId="77777777" w:rsidR="00452A8D" w:rsidRPr="0057193B" w:rsidRDefault="00452A8D" w:rsidP="00452A8D">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DA9F846" w14:textId="77777777" w:rsidR="00452A8D" w:rsidRPr="0057193B" w:rsidRDefault="00452A8D" w:rsidP="00452A8D">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1"/>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CA67004" w14:textId="77777777" w:rsidR="00452A8D" w:rsidRPr="0057193B" w:rsidRDefault="00452A8D" w:rsidP="00452A8D">
      <w:pPr>
        <w:spacing w:before="24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48243A72" w14:textId="77777777" w:rsidR="00452A8D" w:rsidRPr="00883B81" w:rsidRDefault="00452A8D" w:rsidP="00452A8D">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2"/>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30E2FDF5" w14:textId="77777777" w:rsidR="00452A8D" w:rsidRPr="0057193B" w:rsidRDefault="00452A8D" w:rsidP="00452A8D">
      <w:pPr>
        <w:spacing w:before="240"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3"/>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0F3571FB" w14:textId="77777777" w:rsidR="00452A8D" w:rsidRPr="001924B7" w:rsidRDefault="00452A8D" w:rsidP="00452A8D">
      <w:pPr>
        <w:spacing w:before="240"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lastRenderedPageBreak/>
        <w:t>“</w:t>
      </w: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06252B9" w14:textId="77777777" w:rsidR="00452A8D" w:rsidRPr="00883B81" w:rsidRDefault="00452A8D" w:rsidP="00452A8D">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270C40F3" w14:textId="77777777" w:rsidR="00452A8D" w:rsidRPr="001924B7" w:rsidRDefault="00452A8D" w:rsidP="00452A8D">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4"/>
      </w:r>
      <w:r w:rsidRPr="001924B7">
        <w:rPr>
          <w:rFonts w:ascii="Verdana" w:eastAsia="Times New Roman" w:hAnsi="Verdana" w:cs="Arial"/>
          <w:bCs/>
          <w:sz w:val="20"/>
          <w:szCs w:val="20"/>
          <w:lang w:val="es-MX" w:eastAsia="x-none"/>
        </w:rPr>
        <w:t>.</w:t>
      </w:r>
    </w:p>
    <w:p w14:paraId="1C247788" w14:textId="77777777" w:rsidR="00452A8D" w:rsidRPr="0057193B" w:rsidRDefault="00452A8D" w:rsidP="00452A8D">
      <w:pPr>
        <w:spacing w:before="240"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3E0A5A4C" w14:textId="77777777" w:rsidR="00452A8D" w:rsidRPr="00B852F0" w:rsidRDefault="00452A8D" w:rsidP="00452A8D">
      <w:pPr>
        <w:pStyle w:val="paragraph"/>
        <w:shd w:val="clear" w:color="auto" w:fill="FFFFFF"/>
        <w:spacing w:before="0" w:beforeAutospacing="0" w:after="120" w:afterAutospacing="0" w:line="276" w:lineRule="auto"/>
        <w:ind w:firstLine="709"/>
        <w:jc w:val="both"/>
        <w:textAlignment w:val="baseline"/>
        <w:rPr>
          <w:rFonts w:ascii="Verdana" w:hAnsi="Verdana" w:cs="Arial"/>
          <w:bCs/>
          <w:color w:val="000000" w:themeColor="text1"/>
          <w:sz w:val="22"/>
          <w:szCs w:val="22"/>
          <w:lang w:val="es-ES"/>
        </w:rPr>
      </w:pPr>
      <w:r w:rsidRPr="00B852F0">
        <w:rPr>
          <w:rFonts w:ascii="Verdana" w:hAnsi="Verdana" w:cs="Arial"/>
          <w:sz w:val="22"/>
          <w:szCs w:val="22"/>
        </w:rPr>
        <w:lastRenderedPageBreak/>
        <w:t>Sin perjuicio de estos pronunciamientos de la Sala de Consulta y Servicio Civil</w:t>
      </w:r>
      <w:r w:rsidRPr="00B852F0">
        <w:rPr>
          <w:rFonts w:ascii="Verdana" w:eastAsia="Calibri" w:hAnsi="Verdana" w:cs="Arial"/>
          <w:sz w:val="22"/>
          <w:szCs w:val="22"/>
          <w:lang w:val="es-MX"/>
        </w:rPr>
        <w:t xml:space="preserve">, como lo ha señalado esa misma Corporación, la restricción prevista en la Ley 996 de 2005 </w:t>
      </w:r>
      <w:r w:rsidRPr="00B852F0">
        <w:rPr>
          <w:rFonts w:ascii="Verdana" w:hAnsi="Verdana" w:cs="Arial"/>
          <w:bCs/>
          <w:sz w:val="22"/>
          <w:szCs w:val="22"/>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w:t>
      </w:r>
      <w:r w:rsidRPr="00B852F0">
        <w:rPr>
          <w:rFonts w:ascii="Verdana" w:hAnsi="Verdana" w:cs="Arial"/>
          <w:bCs/>
          <w:color w:val="000000" w:themeColor="text1"/>
          <w:sz w:val="22"/>
          <w:szCs w:val="22"/>
          <w:lang w:val="es-ES"/>
        </w:rPr>
        <w:t>presentarse tanto en la contratación regulada por la Ley 80 de 1993 como en la regida por normas especiales.</w:t>
      </w:r>
    </w:p>
    <w:bookmarkEnd w:id="13"/>
    <w:p w14:paraId="2D9C0C28" w14:textId="77777777" w:rsidR="00442F9C" w:rsidRPr="00442F9C" w:rsidRDefault="00442F9C" w:rsidP="00442F9C">
      <w:pPr>
        <w:widowControl w:val="0"/>
        <w:autoSpaceDE w:val="0"/>
        <w:autoSpaceDN w:val="0"/>
        <w:spacing w:after="120" w:line="276" w:lineRule="auto"/>
        <w:ind w:right="113" w:firstLine="709"/>
        <w:jc w:val="both"/>
        <w:rPr>
          <w:rFonts w:ascii="Verdana" w:hAnsi="Verdana" w:cs="Arial"/>
          <w:bCs/>
          <w:color w:val="000000" w:themeColor="text1"/>
        </w:rPr>
      </w:pPr>
      <w:r w:rsidRPr="00442F9C">
        <w:rPr>
          <w:rFonts w:ascii="Verdana" w:hAnsi="Verdana" w:cs="Arial"/>
          <w:bCs/>
          <w:color w:val="000000" w:themeColor="text1"/>
        </w:rPr>
        <w:t xml:space="preserve">Ahora bien, para aterrizar la respuesta al problema jurídico planteado, es necesario referirse al alcance precisado a través de la Circular Externa No. 001 de 2026. En este sentido, resulta pertinente señalar que la Tienda Virtual del Estado Colombiano es una plataforma de compra pública administrada por Colombia Compra Eficiente, mediante la cual las entidades estatales adquieren bienes y servicios a través de distintos Acuerdos Marco de Precios (AMP) e Instrumentos de Agregación de Demanda (IAD). Dichos instrumentos son el resultado de procesos de selección previamente adelantados por la Agencia, los cuales se caracterizan por ser públicos, objetivos y </w:t>
      </w:r>
      <w:r w:rsidRPr="00442F9C">
        <w:rPr>
          <w:rFonts w:ascii="Verdana" w:hAnsi="Verdana" w:cs="Arial"/>
          <w:bCs/>
          <w:i/>
          <w:iCs/>
          <w:color w:val="000000" w:themeColor="text1"/>
        </w:rPr>
        <w:t>competitivos</w:t>
      </w:r>
      <w:r w:rsidRPr="00442F9C">
        <w:rPr>
          <w:rFonts w:ascii="Verdana" w:hAnsi="Verdana" w:cs="Arial"/>
          <w:bCs/>
          <w:color w:val="000000" w:themeColor="text1"/>
        </w:rPr>
        <w:t>, en concordancia con los principios de transparencia y selección objetiva.</w:t>
      </w:r>
    </w:p>
    <w:p w14:paraId="568B18F2" w14:textId="77777777" w:rsidR="00442F9C" w:rsidRPr="00442F9C" w:rsidRDefault="00442F9C" w:rsidP="00442F9C">
      <w:pPr>
        <w:widowControl w:val="0"/>
        <w:autoSpaceDE w:val="0"/>
        <w:autoSpaceDN w:val="0"/>
        <w:spacing w:after="120" w:line="276" w:lineRule="auto"/>
        <w:ind w:right="113" w:firstLine="709"/>
        <w:jc w:val="both"/>
        <w:rPr>
          <w:rFonts w:ascii="Verdana" w:hAnsi="Verdana" w:cs="Arial"/>
          <w:bCs/>
          <w:color w:val="000000" w:themeColor="text1"/>
        </w:rPr>
      </w:pPr>
      <w:r w:rsidRPr="00442F9C">
        <w:rPr>
          <w:rFonts w:ascii="Verdana" w:hAnsi="Verdana" w:cs="Arial"/>
          <w:bCs/>
          <w:color w:val="000000" w:themeColor="text1"/>
        </w:rPr>
        <w:t>Bajo este marco, en lo que respecta a la contratación mediante la Tienda Virtual del Estado Colombiano durante la vigencia de la Ley de Garantías Electorales, es importante precisar que las restricciones previstas en la Ley 996 de 2005 no implican la suspensión general de la contratación pública ni la paralización de las plataformas transaccionales del Estado. En efecto, la TVEC opera sobre la base de Acuerdos Marco de Precios, que constituyen instrumentos de agregación de demanda previamente estructurados a partir de procesos de selección objetiva, pública y competitiva adelantados por Colombia Compra Eficiente. Estos procesos, por regla general, se desarrollan bajo la modalidad de licitación pública, de la cual se deriva la suscripción del acuerdo marco de precios, la definición del respectivo catálogo y la implementación de las herramientas tecnológicas necesarias para su ejecución.</w:t>
      </w:r>
    </w:p>
    <w:p w14:paraId="01CCA3BB" w14:textId="77777777" w:rsidR="00913682" w:rsidRDefault="00913682" w:rsidP="00115C56">
      <w:pPr>
        <w:widowControl w:val="0"/>
        <w:autoSpaceDE w:val="0"/>
        <w:autoSpaceDN w:val="0"/>
        <w:spacing w:after="120" w:line="276" w:lineRule="auto"/>
        <w:ind w:right="113" w:firstLine="709"/>
        <w:jc w:val="both"/>
        <w:rPr>
          <w:rFonts w:ascii="Verdana" w:eastAsia="Arial" w:hAnsi="Verdana" w:cs="Arial"/>
          <w:lang w:eastAsia="es-ES" w:bidi="es-ES"/>
        </w:rPr>
      </w:pPr>
      <w:r w:rsidRPr="00BD02C2">
        <w:rPr>
          <w:rFonts w:ascii="Verdana" w:eastAsia="Arial" w:hAnsi="Verdana" w:cs="Arial"/>
          <w:lang w:eastAsia="es-ES" w:bidi="es-ES"/>
        </w:rPr>
        <w:t xml:space="preserve">En este sentido, las entidades compradoras, durante la operación secundaria, realizan la adquisición de bienes y/o Servicios de características técnicas uniformes y no uniformes de común utilización bajo la modalidad de </w:t>
      </w:r>
      <w:r w:rsidRPr="00BD02C2">
        <w:rPr>
          <w:rFonts w:ascii="Verdana" w:eastAsia="Arial" w:hAnsi="Verdana" w:cs="Arial"/>
          <w:lang w:eastAsia="es-ES" w:bidi="es-ES"/>
        </w:rPr>
        <w:lastRenderedPageBreak/>
        <w:t xml:space="preserve">selección abreviada, cuyas causales se definen en los literales a) y j) del numeral 2 de la Ley 1150 de 2007. Por tanto, se encuentran exceptuados de la aplicación de la Ley de Garantías Electorales, en tanto no corresponden a contratación directa, en los términos de los artículos 33 y 38 de la Ley 996 de 2005. </w:t>
      </w:r>
    </w:p>
    <w:p w14:paraId="22B1F548" w14:textId="77777777" w:rsidR="00913682" w:rsidRDefault="00913682" w:rsidP="00206BA4">
      <w:pPr>
        <w:widowControl w:val="0"/>
        <w:autoSpaceDE w:val="0"/>
        <w:autoSpaceDN w:val="0"/>
        <w:spacing w:after="120" w:line="276" w:lineRule="auto"/>
        <w:ind w:right="113" w:firstLine="709"/>
        <w:jc w:val="both"/>
        <w:rPr>
          <w:rFonts w:ascii="Verdana" w:eastAsia="Arial" w:hAnsi="Verdana" w:cs="Arial"/>
          <w:lang w:eastAsia="es-ES" w:bidi="es-ES"/>
        </w:rPr>
      </w:pPr>
      <w:r>
        <w:rPr>
          <w:rFonts w:ascii="Verdana" w:eastAsia="Arial" w:hAnsi="Verdana" w:cs="Arial"/>
          <w:lang w:eastAsia="es-ES" w:bidi="es-ES"/>
        </w:rPr>
        <w:t>Sin embargo, en</w:t>
      </w:r>
      <w:r w:rsidRPr="001873CA">
        <w:rPr>
          <w:rFonts w:ascii="Verdana" w:eastAsia="Arial" w:hAnsi="Verdana" w:cs="Arial"/>
          <w:lang w:eastAsia="es-ES" w:bidi="es-ES"/>
        </w:rPr>
        <w:t xml:space="preserve"> cuanto a los IAD, existe un marco general en el Decreto 1082 de 2015, en virtud del cual la ANCP-CCE diseña y organiza los procesos con base en el análisis del sector y utilizando la modalidad de selección que corresponda. No obstante, a diferencia de los AMP, los IAD </w:t>
      </w:r>
      <w:r w:rsidRPr="00206BA4">
        <w:rPr>
          <w:rFonts w:ascii="Verdana" w:eastAsia="Arial" w:hAnsi="Verdana" w:cs="Arial"/>
          <w:i/>
          <w:iCs/>
          <w:lang w:eastAsia="es-ES" w:bidi="es-ES"/>
        </w:rPr>
        <w:t>no responden a un único patrón procedimental</w:t>
      </w:r>
      <w:r w:rsidRPr="001873CA">
        <w:rPr>
          <w:rFonts w:ascii="Verdana" w:eastAsia="Arial" w:hAnsi="Verdana" w:cs="Arial"/>
          <w:lang w:eastAsia="es-ES" w:bidi="es-ES"/>
        </w:rPr>
        <w:t>, en la medida en que su diseño puede variar según el mercado y el objetivo de agregación; por ello, la operación principal puede incluir —según el instrumento— esquemas de vinculación/habilitación de proveedores u operador, convocatoria pública y competencia, mecanismos de precalificación, eventos de cotización u otras reglas transaccionales previstas en los documentos del proceso y en las condiciones del instrumento específico, sin perjuicio de su sujeción al marco general del Sistema de Compra Pública.</w:t>
      </w:r>
      <w:r>
        <w:rPr>
          <w:rFonts w:ascii="Verdana" w:eastAsia="Arial" w:hAnsi="Verdana" w:cs="Arial"/>
          <w:lang w:eastAsia="es-ES" w:bidi="es-ES"/>
        </w:rPr>
        <w:t xml:space="preserve"> </w:t>
      </w:r>
    </w:p>
    <w:p w14:paraId="201B956A" w14:textId="50857A41" w:rsidR="00913682" w:rsidRDefault="00913682" w:rsidP="00913682">
      <w:pPr>
        <w:widowControl w:val="0"/>
        <w:autoSpaceDE w:val="0"/>
        <w:autoSpaceDN w:val="0"/>
        <w:spacing w:after="120" w:line="276" w:lineRule="auto"/>
        <w:ind w:right="113"/>
        <w:jc w:val="both"/>
        <w:rPr>
          <w:rFonts w:ascii="Verdana" w:eastAsia="Arial" w:hAnsi="Verdana" w:cs="Arial"/>
          <w:lang w:eastAsia="es-ES" w:bidi="es-ES"/>
        </w:rPr>
      </w:pPr>
      <w:r>
        <w:rPr>
          <w:rFonts w:ascii="Verdana" w:eastAsia="Arial" w:hAnsi="Verdana" w:cs="Arial"/>
          <w:lang w:eastAsia="es-ES" w:bidi="es-ES"/>
        </w:rPr>
        <w:t>En ese sentido</w:t>
      </w:r>
      <w:r w:rsidRPr="0043004D">
        <w:rPr>
          <w:rFonts w:ascii="Verdana" w:eastAsia="Arial" w:hAnsi="Verdana" w:cs="Arial"/>
          <w:lang w:eastAsia="es-ES" w:bidi="es-ES"/>
        </w:rPr>
        <w:t>, por el diseño particular de algunos instrumentos o por configuraciones específicas del mercado, ciertos casos de operación secundaria pueden materializarse excepcionalmente en escenarios que deben analizarse de manera particular frente a la Ley 996 de 2005</w:t>
      </w:r>
      <w:r>
        <w:rPr>
          <w:rFonts w:ascii="Verdana" w:eastAsia="Arial" w:hAnsi="Verdana" w:cs="Arial"/>
          <w:lang w:eastAsia="es-ES" w:bidi="es-ES"/>
        </w:rPr>
        <w:t xml:space="preserve">, pues durante la operación secundaria de los IAD, </w:t>
      </w:r>
      <w:r w:rsidRPr="00CF2F9C">
        <w:rPr>
          <w:rFonts w:ascii="Verdana" w:eastAsia="Arial" w:hAnsi="Verdana" w:cs="Arial"/>
          <w:lang w:eastAsia="es-ES" w:bidi="es-ES"/>
        </w:rPr>
        <w:t>se identifican tres escenarios posibles, de los cuales dos</w:t>
      </w:r>
      <w:r>
        <w:rPr>
          <w:rFonts w:ascii="Verdana" w:eastAsia="Arial" w:hAnsi="Verdana" w:cs="Arial"/>
          <w:lang w:eastAsia="es-ES" w:bidi="es-ES"/>
        </w:rPr>
        <w:t xml:space="preserve">, </w:t>
      </w:r>
      <w:r w:rsidRPr="00CF2F9C">
        <w:rPr>
          <w:rFonts w:ascii="Verdana" w:eastAsia="Arial" w:hAnsi="Verdana" w:cs="Arial"/>
          <w:lang w:eastAsia="es-ES" w:bidi="es-ES"/>
        </w:rPr>
        <w:t>pueden estar sujetos a las restricciones previstas en dicha ley, en la medida en que impliquen o puedan implicar supuestos de contratación directa</w:t>
      </w:r>
      <w:r w:rsidR="00C82EB9">
        <w:rPr>
          <w:rFonts w:ascii="Verdana" w:eastAsia="Arial" w:hAnsi="Verdana" w:cs="Arial"/>
          <w:lang w:eastAsia="es-ES" w:bidi="es-ES"/>
        </w:rPr>
        <w:t>,</w:t>
      </w:r>
      <w:r>
        <w:rPr>
          <w:rStyle w:val="Refdenotaalpie"/>
          <w:rFonts w:ascii="Verdana" w:eastAsia="Arial" w:hAnsi="Verdana" w:cs="Arial"/>
          <w:lang w:eastAsia="es-ES" w:bidi="es-ES"/>
        </w:rPr>
        <w:footnoteReference w:id="26"/>
      </w:r>
      <w:r w:rsidR="00C82EB9">
        <w:rPr>
          <w:rFonts w:ascii="Verdana" w:eastAsia="Arial" w:hAnsi="Verdana" w:cs="Arial"/>
          <w:lang w:eastAsia="es-ES" w:bidi="es-ES"/>
        </w:rPr>
        <w:t xml:space="preserve"> a saber: </w:t>
      </w:r>
    </w:p>
    <w:p w14:paraId="33537A88" w14:textId="77777777" w:rsidR="00490DED" w:rsidRPr="00BE2B7D" w:rsidRDefault="00F97AD1" w:rsidP="00BE2B7D">
      <w:pPr>
        <w:widowControl w:val="0"/>
        <w:autoSpaceDE w:val="0"/>
        <w:autoSpaceDN w:val="0"/>
        <w:spacing w:after="120" w:line="276" w:lineRule="auto"/>
        <w:ind w:left="851" w:right="758"/>
        <w:jc w:val="both"/>
        <w:rPr>
          <w:rFonts w:ascii="Verdana" w:eastAsia="Arial" w:hAnsi="Verdana" w:cs="Arial"/>
          <w:sz w:val="20"/>
          <w:szCs w:val="20"/>
          <w:lang w:eastAsia="es-ES" w:bidi="es-ES"/>
        </w:rPr>
      </w:pPr>
      <w:r w:rsidRPr="00BE2B7D">
        <w:rPr>
          <w:rFonts w:ascii="Verdana" w:eastAsia="Arial" w:hAnsi="Verdana" w:cs="Arial"/>
          <w:sz w:val="20"/>
          <w:szCs w:val="20"/>
          <w:lang w:eastAsia="es-ES" w:bidi="es-ES"/>
        </w:rPr>
        <w:t>“</w:t>
      </w:r>
      <w:r w:rsidR="00490DED" w:rsidRPr="00BE2B7D">
        <w:rPr>
          <w:rFonts w:ascii="Verdana" w:eastAsia="Arial" w:hAnsi="Verdana" w:cs="Arial"/>
          <w:sz w:val="20"/>
          <w:szCs w:val="20"/>
          <w:lang w:eastAsia="es-ES" w:bidi="es-ES"/>
        </w:rPr>
        <w:t xml:space="preserve">i) </w:t>
      </w:r>
      <w:r w:rsidRPr="00BE2B7D">
        <w:rPr>
          <w:rFonts w:ascii="Verdana" w:eastAsia="Arial" w:hAnsi="Verdana" w:cs="Arial"/>
          <w:sz w:val="20"/>
          <w:szCs w:val="20"/>
          <w:lang w:eastAsia="es-ES" w:bidi="es-ES"/>
        </w:rPr>
        <w:t xml:space="preserve">Como regla general, no existe restricción alguna para que las entidades realicen sus adquisiciones a través de estos instrumentos, como resulta en el caso de los IAD que conforman “Mi Mercado Popular, puesto que se garantiza la convocatoria pública y pluralidad de oferentes. </w:t>
      </w:r>
    </w:p>
    <w:p w14:paraId="660B9D0F" w14:textId="77777777" w:rsidR="00BE2B7D" w:rsidRPr="00BE2B7D" w:rsidRDefault="00490DED" w:rsidP="00BE2B7D">
      <w:pPr>
        <w:widowControl w:val="0"/>
        <w:autoSpaceDE w:val="0"/>
        <w:autoSpaceDN w:val="0"/>
        <w:spacing w:after="120" w:line="276" w:lineRule="auto"/>
        <w:ind w:left="851" w:right="758"/>
        <w:jc w:val="both"/>
        <w:rPr>
          <w:rFonts w:ascii="Verdana" w:eastAsia="Arial" w:hAnsi="Verdana" w:cs="Arial"/>
          <w:sz w:val="20"/>
          <w:szCs w:val="20"/>
          <w:lang w:eastAsia="es-ES" w:bidi="es-ES"/>
        </w:rPr>
      </w:pPr>
      <w:proofErr w:type="spellStart"/>
      <w:r w:rsidRPr="00BE2B7D">
        <w:rPr>
          <w:rFonts w:ascii="Verdana" w:eastAsia="Arial" w:hAnsi="Verdana" w:cs="Arial"/>
          <w:sz w:val="20"/>
          <w:szCs w:val="20"/>
          <w:lang w:eastAsia="es-ES" w:bidi="es-ES"/>
        </w:rPr>
        <w:t>ii</w:t>
      </w:r>
      <w:proofErr w:type="spellEnd"/>
      <w:r w:rsidRPr="00BE2B7D">
        <w:rPr>
          <w:rFonts w:ascii="Verdana" w:eastAsia="Arial" w:hAnsi="Verdana" w:cs="Arial"/>
          <w:sz w:val="20"/>
          <w:szCs w:val="20"/>
          <w:lang w:eastAsia="es-ES" w:bidi="es-ES"/>
        </w:rPr>
        <w:t xml:space="preserve">) </w:t>
      </w:r>
      <w:r w:rsidR="00F97AD1" w:rsidRPr="00BE2B7D">
        <w:rPr>
          <w:rFonts w:ascii="Verdana" w:eastAsia="Arial" w:hAnsi="Verdana" w:cs="Arial"/>
          <w:sz w:val="20"/>
          <w:szCs w:val="20"/>
          <w:lang w:eastAsia="es-ES" w:bidi="es-ES"/>
        </w:rPr>
        <w:t xml:space="preserve">Excepcionalmente aplicaría la restricción para aquellos casos en que se derive una contratación directa, por el diseño específico de estos, de la estructura del mercado correspondiente o de la modalidad prevista para su adquisición y, </w:t>
      </w:r>
    </w:p>
    <w:p w14:paraId="3C28DFE8" w14:textId="77777777" w:rsidR="00BE2B7D" w:rsidRDefault="00BE2B7D" w:rsidP="00BE2B7D">
      <w:pPr>
        <w:widowControl w:val="0"/>
        <w:autoSpaceDE w:val="0"/>
        <w:autoSpaceDN w:val="0"/>
        <w:spacing w:after="120" w:line="276" w:lineRule="auto"/>
        <w:ind w:left="851" w:right="758"/>
        <w:jc w:val="both"/>
        <w:rPr>
          <w:rFonts w:ascii="Verdana" w:eastAsia="Arial" w:hAnsi="Verdana" w:cs="Arial"/>
          <w:sz w:val="20"/>
          <w:szCs w:val="20"/>
          <w:lang w:eastAsia="es-ES" w:bidi="es-ES"/>
        </w:rPr>
      </w:pPr>
      <w:proofErr w:type="spellStart"/>
      <w:r w:rsidRPr="00BE2B7D">
        <w:rPr>
          <w:rFonts w:ascii="Verdana" w:eastAsia="Arial" w:hAnsi="Verdana" w:cs="Arial"/>
          <w:sz w:val="20"/>
          <w:szCs w:val="20"/>
          <w:lang w:eastAsia="es-ES" w:bidi="es-ES"/>
        </w:rPr>
        <w:t>iii</w:t>
      </w:r>
      <w:proofErr w:type="spellEnd"/>
      <w:r w:rsidRPr="00BE2B7D">
        <w:rPr>
          <w:rFonts w:ascii="Verdana" w:eastAsia="Arial" w:hAnsi="Verdana" w:cs="Arial"/>
          <w:sz w:val="20"/>
          <w:szCs w:val="20"/>
          <w:lang w:eastAsia="es-ES" w:bidi="es-ES"/>
        </w:rPr>
        <w:t xml:space="preserve">) </w:t>
      </w:r>
      <w:r w:rsidR="00F97AD1" w:rsidRPr="00BE2B7D">
        <w:rPr>
          <w:rFonts w:ascii="Verdana" w:eastAsia="Arial" w:hAnsi="Verdana" w:cs="Arial"/>
          <w:sz w:val="20"/>
          <w:szCs w:val="20"/>
          <w:lang w:eastAsia="es-ES" w:bidi="es-ES"/>
        </w:rPr>
        <w:t xml:space="preserve">Cuando la utilización del IAD, conlleve a las siguientes situaciones: en algunos de sus segmentos exista una pluralidad de oferentes en los cuales se pueda realizar la selección mediante la comparación de valores </w:t>
      </w:r>
      <w:r w:rsidR="00F97AD1" w:rsidRPr="00BE2B7D">
        <w:rPr>
          <w:rFonts w:ascii="Verdana" w:eastAsia="Arial" w:hAnsi="Verdana" w:cs="Arial"/>
          <w:sz w:val="20"/>
          <w:szCs w:val="20"/>
          <w:lang w:eastAsia="es-ES" w:bidi="es-ES"/>
        </w:rPr>
        <w:lastRenderedPageBreak/>
        <w:t>o el cumplimiento de requisitos o condiciones definidos por la entidad compradora de acuerdo con su necesidad, en los que no aplicaría la restricción definida en el art. 33 de la Ley 996 de 2005; y en otros segmentos, se configure la contratación directa (contratos interadministrativos, único proveedor, proveedor exclusivo, entre otros), caso en el cual si aplicaría dicha restricción.</w:t>
      </w:r>
      <w:r w:rsidRPr="00BE2B7D">
        <w:rPr>
          <w:rFonts w:ascii="Verdana" w:eastAsia="Arial" w:hAnsi="Verdana" w:cs="Arial"/>
          <w:sz w:val="20"/>
          <w:szCs w:val="20"/>
          <w:lang w:eastAsia="es-ES" w:bidi="es-ES"/>
        </w:rPr>
        <w:t>”</w:t>
      </w:r>
    </w:p>
    <w:p w14:paraId="500B17E6" w14:textId="77777777" w:rsidR="00272FE5" w:rsidRDefault="00272FE5" w:rsidP="00441BCE">
      <w:pPr>
        <w:widowControl w:val="0"/>
        <w:autoSpaceDE w:val="0"/>
        <w:autoSpaceDN w:val="0"/>
        <w:spacing w:after="120" w:line="276" w:lineRule="auto"/>
        <w:ind w:right="113" w:firstLine="709"/>
        <w:jc w:val="both"/>
        <w:rPr>
          <w:rFonts w:ascii="Verdana" w:eastAsia="Times New Roman" w:hAnsi="Verdana" w:cs="Arial"/>
          <w:bCs/>
          <w:lang w:val="es-ES" w:eastAsia="es-CO"/>
        </w:rPr>
      </w:pPr>
      <w:r w:rsidRPr="00612A2E">
        <w:rPr>
          <w:rFonts w:ascii="Verdana" w:eastAsia="Times New Roman" w:hAnsi="Verdana" w:cs="Arial"/>
          <w:bCs/>
          <w:lang w:val="es-ES" w:eastAsia="es-CO"/>
        </w:rPr>
        <w:t xml:space="preserve">Para estos dos eventos excepcionales mencionados dentro de la Circular externa 001 de 2026, si aplica las restricciones contenidas en la Ley de Garantías Electorales y sus excepciones dado el caso, las cuales deben ser validadas por las propias entidades compradoras para cada caso. </w:t>
      </w:r>
    </w:p>
    <w:p w14:paraId="65C54A76" w14:textId="77777777" w:rsidR="0031796F" w:rsidRDefault="0031796F" w:rsidP="00441BCE">
      <w:pPr>
        <w:widowControl w:val="0"/>
        <w:autoSpaceDE w:val="0"/>
        <w:autoSpaceDN w:val="0"/>
        <w:spacing w:after="120" w:line="276" w:lineRule="auto"/>
        <w:ind w:right="113" w:firstLine="709"/>
        <w:jc w:val="both"/>
        <w:rPr>
          <w:rFonts w:ascii="Verdana" w:eastAsia="Times New Roman" w:hAnsi="Verdana" w:cs="Arial"/>
          <w:bCs/>
          <w:lang w:eastAsia="es-CO"/>
        </w:rPr>
      </w:pPr>
      <w:r w:rsidRPr="0031796F">
        <w:rPr>
          <w:rFonts w:ascii="Verdana" w:eastAsia="Times New Roman" w:hAnsi="Verdana" w:cs="Arial"/>
          <w:bCs/>
          <w:lang w:eastAsia="es-CO"/>
        </w:rPr>
        <w:t>En el mismo documento previamente mencionado, se relacionan los instrumentos sujetos a la aplicación de la Ley 996 de 2005, precisando para cada uno su sector, el mecanismo de agregación de demanda y el alcance específico de la restricción durante la vigencia de la Ley de Garantías Electorales.</w:t>
      </w:r>
    </w:p>
    <w:p w14:paraId="2AA64971" w14:textId="77777777" w:rsidR="00854E8F" w:rsidRDefault="00854E8F" w:rsidP="00441BCE">
      <w:pPr>
        <w:widowControl w:val="0"/>
        <w:autoSpaceDE w:val="0"/>
        <w:autoSpaceDN w:val="0"/>
        <w:spacing w:after="120" w:line="276" w:lineRule="auto"/>
        <w:ind w:right="113" w:firstLine="709"/>
        <w:jc w:val="both"/>
        <w:rPr>
          <w:rFonts w:ascii="Verdana" w:eastAsia="Times New Roman" w:hAnsi="Verdana" w:cs="Arial"/>
          <w:bCs/>
          <w:lang w:eastAsia="es-CO"/>
        </w:rPr>
      </w:pPr>
      <w:r w:rsidRPr="00854E8F">
        <w:rPr>
          <w:rFonts w:ascii="Verdana" w:eastAsia="Times New Roman" w:hAnsi="Verdana" w:cs="Arial"/>
          <w:bCs/>
          <w:lang w:eastAsia="es-CO"/>
        </w:rPr>
        <w:t>En este contexto, esta Agencia ha adoptado medidas orientadas a mitigar el impacto derivado de la aplicación de la Ley de Garantías Electorales en el uso de la TVEC, entre ellas la no implementación de restricciones operativas o automáticas en la Tienda Virtual del Estado Colombiano durante su vigencia. En consecuencia, corresponde a cada entidad compradora analizar y determinar, en cada caso concreto, la aplicabilidad de la Ley 996 de 2005 respecto del mecanismo de agregación de demanda que pretenda utilizar.</w:t>
      </w:r>
    </w:p>
    <w:p w14:paraId="08110F51" w14:textId="77777777" w:rsidR="00636BD2" w:rsidRDefault="00636BD2" w:rsidP="00441BCE">
      <w:pPr>
        <w:widowControl w:val="0"/>
        <w:autoSpaceDE w:val="0"/>
        <w:autoSpaceDN w:val="0"/>
        <w:spacing w:after="120" w:line="276" w:lineRule="auto"/>
        <w:ind w:right="113" w:firstLine="709"/>
        <w:jc w:val="both"/>
        <w:rPr>
          <w:rFonts w:ascii="Verdana" w:eastAsia="Times New Roman" w:hAnsi="Verdana" w:cs="Arial"/>
          <w:bCs/>
          <w:lang w:eastAsia="es-CO"/>
        </w:rPr>
      </w:pPr>
      <w:r w:rsidRPr="00636BD2">
        <w:rPr>
          <w:rFonts w:ascii="Verdana" w:eastAsia="Times New Roman" w:hAnsi="Verdana" w:cs="Arial"/>
          <w:bCs/>
          <w:lang w:eastAsia="es-CO"/>
        </w:rPr>
        <w:t>En el evento en que, como resultado del análisis jurídico efectuado por la entidad compradora, se concluya que la Ley 996 de 2005 resulta aplicable a un mecanismo no contemplado en el listado incluido en la Tabla de la Circular Externa 001 de 2026, denominada “Aplicación de la Ley de Garantías (MAD)”, deberán aplicarse las restricciones previstas en dicha ley, de conformidad con el marco normativo vigente.</w:t>
      </w:r>
    </w:p>
    <w:p w14:paraId="20D629AC" w14:textId="23796F11" w:rsidR="00E66831" w:rsidRPr="00E66831" w:rsidRDefault="00084B1C" w:rsidP="00441BCE">
      <w:pPr>
        <w:widowControl w:val="0"/>
        <w:autoSpaceDE w:val="0"/>
        <w:autoSpaceDN w:val="0"/>
        <w:spacing w:after="120" w:line="276" w:lineRule="auto"/>
        <w:ind w:right="113" w:firstLine="709"/>
        <w:jc w:val="both"/>
        <w:rPr>
          <w:rFonts w:ascii="Verdana" w:eastAsia="Times New Roman" w:hAnsi="Verdana" w:cs="Arial"/>
          <w:bCs/>
          <w:lang w:eastAsia="es-CO"/>
        </w:rPr>
      </w:pPr>
      <w:r>
        <w:rPr>
          <w:rFonts w:ascii="Verdana" w:eastAsia="Times New Roman" w:hAnsi="Verdana" w:cs="Arial"/>
          <w:bCs/>
          <w:lang w:eastAsia="es-CO"/>
        </w:rPr>
        <w:t>Como última medida, c</w:t>
      </w:r>
      <w:r w:rsidRPr="00084B1C">
        <w:rPr>
          <w:rFonts w:ascii="Verdana" w:eastAsia="Times New Roman" w:hAnsi="Verdana" w:cs="Arial"/>
          <w:bCs/>
          <w:lang w:eastAsia="es-CO"/>
        </w:rPr>
        <w:t>orresponde a cada entidad compradora incorporar y sustentar, en sus estudios y documentos previos, el análisis sobre la procedencia de las restricciones y, cuando haya lugar, de las excepciones previstas en la Ley 996 de 2005, así como asegurar la debida trazabilidad en el expediente contractual</w:t>
      </w:r>
      <w:r w:rsidR="00E66831" w:rsidRPr="00E66831">
        <w:rPr>
          <w:rFonts w:ascii="Verdana" w:eastAsia="Times New Roman" w:hAnsi="Verdana" w:cs="Arial"/>
          <w:bCs/>
          <w:lang w:eastAsia="es-CO"/>
        </w:rPr>
        <w:t>.</w:t>
      </w:r>
    </w:p>
    <w:p w14:paraId="3C7198D8" w14:textId="31C4CBA5" w:rsidR="00612A2E" w:rsidRDefault="00913682" w:rsidP="00441BCE">
      <w:pPr>
        <w:widowControl w:val="0"/>
        <w:autoSpaceDE w:val="0"/>
        <w:autoSpaceDN w:val="0"/>
        <w:spacing w:after="120" w:line="276" w:lineRule="auto"/>
        <w:ind w:right="113" w:firstLine="709"/>
        <w:jc w:val="both"/>
        <w:rPr>
          <w:rFonts w:ascii="Verdana" w:eastAsia="Arial" w:hAnsi="Verdana" w:cs="Arial"/>
          <w:lang w:eastAsia="es-ES" w:bidi="es-ES"/>
        </w:rPr>
      </w:pPr>
      <w:r>
        <w:rPr>
          <w:rFonts w:ascii="Verdana" w:eastAsia="Arial" w:hAnsi="Verdana" w:cs="Arial"/>
          <w:lang w:eastAsia="es-ES" w:bidi="es-ES"/>
        </w:rPr>
        <w:t>En suma</w:t>
      </w:r>
      <w:r w:rsidRPr="00234D6C">
        <w:rPr>
          <w:rFonts w:ascii="Verdana" w:eastAsia="Arial" w:hAnsi="Verdana" w:cs="Arial"/>
          <w:lang w:eastAsia="es-ES" w:bidi="es-ES"/>
        </w:rPr>
        <w:t xml:space="preserve">, la eventual aplicación de las restricciones de la Ley 996 de 2005 en la operación secundaria a través de la TVEC no depende del número de órdenes de compra que se generen, sino de la naturaleza jurídica y material del mecanismo de selección que subyace a cada </w:t>
      </w:r>
      <w:r>
        <w:rPr>
          <w:rFonts w:ascii="Verdana" w:eastAsia="Arial" w:hAnsi="Verdana" w:cs="Arial"/>
          <w:lang w:eastAsia="es-ES" w:bidi="es-ES"/>
        </w:rPr>
        <w:t>proceso</w:t>
      </w:r>
      <w:r w:rsidRPr="00234D6C">
        <w:rPr>
          <w:rFonts w:ascii="Verdana" w:eastAsia="Arial" w:hAnsi="Verdana" w:cs="Arial"/>
          <w:lang w:eastAsia="es-ES" w:bidi="es-ES"/>
        </w:rPr>
        <w:t xml:space="preserve">. En efecto, conforme </w:t>
      </w:r>
      <w:r w:rsidRPr="00234D6C">
        <w:rPr>
          <w:rFonts w:ascii="Verdana" w:eastAsia="Arial" w:hAnsi="Verdana" w:cs="Arial"/>
          <w:lang w:eastAsia="es-ES" w:bidi="es-ES"/>
        </w:rPr>
        <w:lastRenderedPageBreak/>
        <w:t xml:space="preserve">a lo precisado por </w:t>
      </w:r>
      <w:r>
        <w:rPr>
          <w:rFonts w:ascii="Verdana" w:eastAsia="Arial" w:hAnsi="Verdana" w:cs="Arial"/>
          <w:lang w:eastAsia="es-ES" w:bidi="es-ES"/>
        </w:rPr>
        <w:t>esta Agencia</w:t>
      </w:r>
      <w:r w:rsidRPr="00234D6C">
        <w:rPr>
          <w:rFonts w:ascii="Verdana" w:eastAsia="Arial" w:hAnsi="Verdana" w:cs="Arial"/>
          <w:lang w:eastAsia="es-ES" w:bidi="es-ES"/>
        </w:rPr>
        <w:t xml:space="preserve">, la restricción </w:t>
      </w:r>
      <w:r>
        <w:rPr>
          <w:rFonts w:ascii="Verdana" w:eastAsia="Arial" w:hAnsi="Verdana" w:cs="Arial"/>
          <w:lang w:eastAsia="es-ES" w:bidi="es-ES"/>
        </w:rPr>
        <w:t>aplica</w:t>
      </w:r>
      <w:r w:rsidRPr="00234D6C">
        <w:rPr>
          <w:rFonts w:ascii="Verdana" w:eastAsia="Arial" w:hAnsi="Verdana" w:cs="Arial"/>
          <w:lang w:eastAsia="es-ES" w:bidi="es-ES"/>
        </w:rPr>
        <w:t xml:space="preserve"> únicamente cuando, por el diseño o la ejecución del instrumento, la operación equivale materialmente a un esquema de contratación directa, esto es, cuando no se garantiza convocatoria pública ni pluralidad de oferentes</w:t>
      </w:r>
      <w:r>
        <w:rPr>
          <w:rFonts w:ascii="Verdana" w:eastAsia="Arial" w:hAnsi="Verdana" w:cs="Arial"/>
          <w:lang w:eastAsia="es-ES" w:bidi="es-ES"/>
        </w:rPr>
        <w:t xml:space="preserve"> durante el respectivo proceso.</w:t>
      </w:r>
      <w:r w:rsidRPr="00234D6C">
        <w:rPr>
          <w:rFonts w:ascii="Verdana" w:eastAsia="Arial" w:hAnsi="Verdana" w:cs="Arial"/>
          <w:lang w:eastAsia="es-ES" w:bidi="es-ES"/>
        </w:rPr>
        <w:t xml:space="preserve"> Por el contrario, cuando la adquisición se realiza en condiciones de competencia y selección objetiva, aun dentro de instrumentos como los AMP o ciertos IAD, no resulta aplicable la Ley de Garantías, con independencia del volumen o cantidad de órdenes de compra que se tramiten.</w:t>
      </w:r>
    </w:p>
    <w:p w14:paraId="661B22C7" w14:textId="5D911E7E" w:rsidR="00DB37BA" w:rsidRDefault="00DB37BA" w:rsidP="00364C3F">
      <w:pPr>
        <w:spacing w:after="120" w:line="276" w:lineRule="auto"/>
        <w:ind w:firstLine="708"/>
        <w:jc w:val="both"/>
        <w:rPr>
          <w:rFonts w:ascii="Verdana" w:eastAsia="Times New Roman" w:hAnsi="Verdana" w:cs="Arial"/>
          <w:bCs/>
          <w:lang w:val="es-ES" w:eastAsia="es-CO"/>
        </w:rPr>
      </w:pPr>
      <w:r w:rsidRPr="003A282E">
        <w:rPr>
          <w:rFonts w:ascii="Verdana" w:eastAsia="Times New Roman" w:hAnsi="Verdana" w:cs="Arial"/>
          <w:bCs/>
          <w:lang w:val="es-ES" w:eastAsia="es-CO"/>
        </w:rPr>
        <w:t xml:space="preserve">En ese sentido, las órdenes de compra que las entidades generan dentro de la TVEC no constituyen una nueva modalidad de selección, ni pueden asimilarse a la contratación directa prohibida por la Ley de Garantías. Por el contrario, representan la ejecución de un contrato o instrumento ya perfeccionado previamente, dentro del cual las reglas de competencia ya fueron agotadas. Por lo tanto, su expedición no encuadra dentro de los supuestos de prohibición previstos en el artículo 33 de la Ley 996 de </w:t>
      </w:r>
      <w:r w:rsidR="00360B51">
        <w:rPr>
          <w:rFonts w:ascii="Verdana" w:eastAsia="Times New Roman" w:hAnsi="Verdana" w:cs="Arial"/>
          <w:bCs/>
          <w:lang w:val="es-ES" w:eastAsia="es-CO"/>
        </w:rPr>
        <w:t>2005.</w:t>
      </w:r>
      <w:r w:rsidRPr="003A282E">
        <w:rPr>
          <w:rFonts w:ascii="Verdana" w:eastAsia="Times New Roman" w:hAnsi="Verdana" w:cs="Arial"/>
          <w:bCs/>
          <w:lang w:val="es-ES" w:eastAsia="es-CO"/>
        </w:rPr>
        <w:t xml:space="preserve"> Esta Agencia, en diversos conceptos, ha reiterado que las prohibiciones contenidas en la Ley 996 de 2005 deben interpretarse de manera restrictiva, en la medida en que se trata de limitaciones excepcionales a la actividad contractual del Estado. En consecuencia, tales restricciones no pueden extenderse a supuestos no contemplados expresamente por el legislador, y únicamente aplican a las modalidades prohibidas de forma taxativa.</w:t>
      </w:r>
    </w:p>
    <w:p w14:paraId="03F07776" w14:textId="77777777" w:rsidR="00452A8D" w:rsidRPr="00F4158D" w:rsidRDefault="00452A8D" w:rsidP="00452A8D">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bCs/>
          <w:color w:val="000000" w:themeColor="text1"/>
          <w:sz w:val="22"/>
          <w:szCs w:val="22"/>
        </w:rPr>
      </w:pP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B238C1C" w14:textId="77777777" w:rsidR="00452A8D" w:rsidRPr="00F4158D" w:rsidRDefault="00452A8D" w:rsidP="00452A8D">
      <w:pPr>
        <w:spacing w:line="276" w:lineRule="auto"/>
        <w:ind w:firstLine="708"/>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F4158D">
        <w:rPr>
          <w:rFonts w:ascii="Verdana" w:eastAsia="Calibri" w:hAnsi="Verdana" w:cs="Arial"/>
          <w:bCs/>
          <w:color w:val="000000" w:themeColor="text1"/>
        </w:rPr>
        <w:lastRenderedPageBreak/>
        <w:t xml:space="preserve">el principio de juridicidad. Así, cada entidad definirá la forma de adelantar su gestión contractual, sin que sea atribución de Colombia Compra Eficiente validar sus actuaciones. </w:t>
      </w:r>
    </w:p>
    <w:p w14:paraId="5DC2E862" w14:textId="77777777" w:rsidR="00452A8D" w:rsidRPr="00EF658E" w:rsidRDefault="00452A8D" w:rsidP="00452A8D">
      <w:pPr>
        <w:pStyle w:val="Prrafodelista"/>
        <w:numPr>
          <w:ilvl w:val="0"/>
          <w:numId w:val="16"/>
        </w:numPr>
        <w:tabs>
          <w:tab w:val="left" w:pos="142"/>
          <w:tab w:val="left" w:pos="284"/>
        </w:tabs>
        <w:spacing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52A8D" w:rsidRPr="002407CE" w14:paraId="731C3858" w14:textId="77777777" w:rsidTr="00915292">
        <w:trPr>
          <w:trHeight w:val="870"/>
          <w:jc w:val="center"/>
        </w:trPr>
        <w:tc>
          <w:tcPr>
            <w:tcW w:w="8647" w:type="dxa"/>
          </w:tcPr>
          <w:p w14:paraId="1959EC1E" w14:textId="289E4315" w:rsidR="00452A8D" w:rsidRPr="00326282" w:rsidRDefault="00452A8D" w:rsidP="00452A8D">
            <w:pPr>
              <w:pStyle w:val="Prrafodelista"/>
              <w:numPr>
                <w:ilvl w:val="0"/>
                <w:numId w:val="17"/>
              </w:numPr>
              <w:spacing w:line="276" w:lineRule="auto"/>
              <w:rPr>
                <w:rFonts w:ascii="Verdana" w:hAnsi="Verdana"/>
              </w:rPr>
            </w:pPr>
            <w:r w:rsidRPr="00326282">
              <w:rPr>
                <w:rFonts w:ascii="Verdana" w:hAnsi="Verdana"/>
              </w:rPr>
              <w:t>Constitución Política de 1991, artículos 127</w:t>
            </w:r>
            <w:r w:rsidR="00207104">
              <w:rPr>
                <w:rFonts w:ascii="Verdana" w:hAnsi="Verdana"/>
              </w:rPr>
              <w:t>, 190</w:t>
            </w:r>
            <w:r w:rsidRPr="00326282">
              <w:rPr>
                <w:rFonts w:ascii="Verdana" w:hAnsi="Verdana"/>
              </w:rPr>
              <w:t xml:space="preserve"> y 197.</w:t>
            </w:r>
          </w:p>
          <w:p w14:paraId="29C3FFAF" w14:textId="77777777" w:rsidR="00452A8D" w:rsidRPr="00326282" w:rsidRDefault="00452A8D" w:rsidP="00452A8D">
            <w:pPr>
              <w:pStyle w:val="Prrafodelista"/>
              <w:numPr>
                <w:ilvl w:val="0"/>
                <w:numId w:val="17"/>
              </w:numPr>
              <w:spacing w:line="276" w:lineRule="auto"/>
              <w:rPr>
                <w:rFonts w:ascii="Verdana" w:hAnsi="Verdana"/>
              </w:rPr>
            </w:pPr>
            <w:r w:rsidRPr="00326282">
              <w:rPr>
                <w:rFonts w:ascii="Verdana" w:hAnsi="Verdana"/>
              </w:rPr>
              <w:t>Ley 80 de 1993, artículos 39 y 41.</w:t>
            </w:r>
          </w:p>
          <w:p w14:paraId="5F34ACAC" w14:textId="77777777" w:rsidR="00452A8D" w:rsidRPr="00326282" w:rsidRDefault="00452A8D" w:rsidP="00452A8D">
            <w:pPr>
              <w:pStyle w:val="Prrafodelista"/>
              <w:numPr>
                <w:ilvl w:val="0"/>
                <w:numId w:val="17"/>
              </w:numPr>
              <w:spacing w:line="276" w:lineRule="auto"/>
              <w:jc w:val="both"/>
              <w:rPr>
                <w:rFonts w:ascii="Verdana" w:hAnsi="Verdana"/>
              </w:rPr>
            </w:pPr>
            <w:r w:rsidRPr="00326282">
              <w:rPr>
                <w:rFonts w:ascii="Verdana" w:hAnsi="Verdana"/>
              </w:rPr>
              <w:t>Ley 996 de 2005, artículos 33 y 38.</w:t>
            </w:r>
          </w:p>
          <w:p w14:paraId="02D122FF" w14:textId="77777777" w:rsidR="00452A8D" w:rsidRPr="00326282" w:rsidRDefault="00452A8D" w:rsidP="00452A8D">
            <w:pPr>
              <w:pStyle w:val="Prrafodelista"/>
              <w:numPr>
                <w:ilvl w:val="0"/>
                <w:numId w:val="17"/>
              </w:numPr>
              <w:spacing w:line="276" w:lineRule="auto"/>
              <w:jc w:val="both"/>
              <w:rPr>
                <w:rFonts w:ascii="Verdana" w:hAnsi="Verdana"/>
              </w:rPr>
            </w:pPr>
            <w:r w:rsidRPr="00326282">
              <w:rPr>
                <w:rFonts w:ascii="Verdana" w:hAnsi="Verdana"/>
              </w:rPr>
              <w:t>Ley 1150 de 2007, artículo 2.</w:t>
            </w:r>
          </w:p>
          <w:p w14:paraId="15B88D90" w14:textId="77777777" w:rsidR="00823D9A" w:rsidRPr="00A41290" w:rsidRDefault="00452A8D" w:rsidP="00523C56">
            <w:pPr>
              <w:pStyle w:val="Prrafodelista"/>
              <w:numPr>
                <w:ilvl w:val="0"/>
                <w:numId w:val="17"/>
              </w:numPr>
              <w:spacing w:line="276" w:lineRule="auto"/>
              <w:jc w:val="both"/>
            </w:pPr>
            <w:r w:rsidRPr="00823D9A">
              <w:rPr>
                <w:rFonts w:ascii="Verdana" w:hAnsi="Verdana"/>
              </w:rPr>
              <w:t>Decreto 1082 de 2015</w:t>
            </w:r>
          </w:p>
          <w:p w14:paraId="386699FF" w14:textId="517C7CA7" w:rsidR="00A41290" w:rsidRDefault="00A41290" w:rsidP="00523C56">
            <w:pPr>
              <w:pStyle w:val="Prrafodelista"/>
              <w:numPr>
                <w:ilvl w:val="0"/>
                <w:numId w:val="17"/>
              </w:numPr>
              <w:spacing w:line="276" w:lineRule="auto"/>
              <w:jc w:val="both"/>
            </w:pPr>
            <w:r w:rsidRPr="00A41290">
              <w:t>Corte Constitucional, Sentencia C- 1153 de 2005, M.P. Marco Gerardo Monroy Cabra.</w:t>
            </w:r>
          </w:p>
          <w:p w14:paraId="7F45D248" w14:textId="77777777" w:rsidR="007226C1" w:rsidRDefault="00E8640E" w:rsidP="00E2651D">
            <w:pPr>
              <w:pStyle w:val="Prrafodelista"/>
              <w:numPr>
                <w:ilvl w:val="0"/>
                <w:numId w:val="17"/>
              </w:numPr>
              <w:spacing w:line="276" w:lineRule="auto"/>
              <w:jc w:val="both"/>
              <w:rPr>
                <w:rFonts w:ascii="Verdana" w:hAnsi="Verdana"/>
              </w:rPr>
            </w:pPr>
            <w:r w:rsidRPr="00E2651D">
              <w:rPr>
                <w:rFonts w:ascii="Verdana" w:hAnsi="Verdana"/>
              </w:rPr>
              <w:t xml:space="preserve">Consejo de Estado, Sala de Consulta y Servicio Civil de fecha 24 de julio de 2013, radicado 2166, C. P. Álvaro Namén Vargas.  </w:t>
            </w:r>
          </w:p>
          <w:p w14:paraId="4C8A97F8" w14:textId="3C5C1CA2" w:rsidR="006B616D" w:rsidRPr="00E2651D" w:rsidRDefault="006B616D" w:rsidP="00E2651D">
            <w:pPr>
              <w:pStyle w:val="Prrafodelista"/>
              <w:numPr>
                <w:ilvl w:val="0"/>
                <w:numId w:val="17"/>
              </w:numPr>
              <w:spacing w:line="276" w:lineRule="auto"/>
              <w:jc w:val="both"/>
              <w:rPr>
                <w:rFonts w:ascii="Verdana" w:hAnsi="Verdana"/>
              </w:rPr>
            </w:pPr>
            <w:r w:rsidRPr="006B616D">
              <w:rPr>
                <w:rFonts w:ascii="Verdana" w:hAnsi="Verdana"/>
              </w:rPr>
              <w:t>Consejo de Estado. Sala de Consulta y Servicio Civil. Concepto del 2 de septiembre de 2013. Radicación número: 11001-03-06-000-2013-00412-00 (2168). Consejero Ponente: Álvaro Namén Vargas.</w:t>
            </w:r>
          </w:p>
          <w:p w14:paraId="4B951BC9" w14:textId="4D8B97A7" w:rsidR="007226C1" w:rsidRDefault="007226C1" w:rsidP="00E2651D">
            <w:pPr>
              <w:pStyle w:val="Prrafodelista"/>
              <w:numPr>
                <w:ilvl w:val="0"/>
                <w:numId w:val="17"/>
              </w:numPr>
              <w:spacing w:line="276" w:lineRule="auto"/>
              <w:jc w:val="both"/>
              <w:rPr>
                <w:rFonts w:ascii="Verdana" w:hAnsi="Verdana"/>
              </w:rPr>
            </w:pPr>
            <w:r w:rsidRPr="00E2651D">
              <w:rPr>
                <w:rFonts w:ascii="Verdana" w:hAnsi="Verdana"/>
              </w:rPr>
              <w:t>Consejo de Estado. Sala de Consulta y Servicio Civil. Concepto del 17 de febrero de 2015. C.P. William Zambrano Cetina. Radicación No. 11001-03-06-000-2015-00164-00(2269).</w:t>
            </w:r>
          </w:p>
          <w:p w14:paraId="2DB338E2" w14:textId="2DB1398F" w:rsidR="00163382" w:rsidRDefault="00163382" w:rsidP="00E2651D">
            <w:pPr>
              <w:pStyle w:val="Prrafodelista"/>
              <w:numPr>
                <w:ilvl w:val="0"/>
                <w:numId w:val="17"/>
              </w:numPr>
              <w:spacing w:line="276" w:lineRule="auto"/>
              <w:jc w:val="both"/>
              <w:rPr>
                <w:rFonts w:ascii="Verdana" w:hAnsi="Verdana"/>
              </w:rPr>
            </w:pPr>
            <w:r w:rsidRPr="00163382">
              <w:rPr>
                <w:rFonts w:ascii="Verdana" w:hAnsi="Verdana"/>
              </w:rPr>
              <w:t>Consejo de Estado. Sala de Consulta y Servicio Civil, Concepto de 8 de mayo de 2018. Radicación Número: 11001-03-06-000-2018-00095-00(2382). C.P. Álvaro Namén Vargas</w:t>
            </w:r>
          </w:p>
          <w:p w14:paraId="472860F4" w14:textId="0F3C6D90" w:rsidR="00452A8D" w:rsidRPr="006560F5" w:rsidRDefault="00823D9A" w:rsidP="00D658B2">
            <w:pPr>
              <w:pStyle w:val="Prrafodelista"/>
              <w:numPr>
                <w:ilvl w:val="0"/>
                <w:numId w:val="17"/>
              </w:numPr>
              <w:spacing w:line="276" w:lineRule="auto"/>
              <w:jc w:val="both"/>
              <w:rPr>
                <w:rFonts w:ascii="Verdana" w:hAnsi="Verdana"/>
              </w:rPr>
            </w:pPr>
            <w:r w:rsidRPr="007C51DC">
              <w:rPr>
                <w:rFonts w:ascii="Verdana" w:hAnsi="Verdana"/>
              </w:rPr>
              <w:t xml:space="preserve">Circular Externa No. 001 de 2026 Agencia Nacional de Contratación Pública – Colombia Compra Eficiente: </w:t>
            </w:r>
            <w:hyperlink r:id="rId13" w:history="1">
              <w:r w:rsidRPr="007C51DC">
                <w:rPr>
                  <w:rStyle w:val="Hipervnculo"/>
                  <w:rFonts w:ascii="Verdana" w:hAnsi="Verdana"/>
                  <w:lang w:val="es-CO"/>
                </w:rPr>
                <w:t>001-de-2026-Circular-Externa-LEY-DE-GARANTIAS-MAD_recortada-1.pdf</w:t>
              </w:r>
            </w:hyperlink>
          </w:p>
        </w:tc>
      </w:tr>
    </w:tbl>
    <w:p w14:paraId="1CAA81A8" w14:textId="77777777" w:rsidR="00452A8D" w:rsidRPr="00593A5F" w:rsidRDefault="00452A8D" w:rsidP="00452A8D">
      <w:pPr>
        <w:pStyle w:val="Prrafodelista"/>
        <w:numPr>
          <w:ilvl w:val="0"/>
          <w:numId w:val="16"/>
        </w:numPr>
        <w:tabs>
          <w:tab w:val="left" w:pos="142"/>
          <w:tab w:val="left" w:pos="284"/>
        </w:tabs>
        <w:spacing w:before="240"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43CBCE8" w14:textId="5E65CD42" w:rsidR="00452A8D" w:rsidRDefault="00452A8D" w:rsidP="00452A8D">
      <w:pPr>
        <w:widowControl w:val="0"/>
        <w:autoSpaceDE w:val="0"/>
        <w:autoSpaceDN w:val="0"/>
        <w:spacing w:before="240" w:line="276" w:lineRule="auto"/>
        <w:jc w:val="both"/>
        <w:rPr>
          <w:rStyle w:val="normaltextrun"/>
          <w:rFonts w:ascii="Verdana" w:hAnsi="Verdana" w:cs="Arial"/>
          <w:color w:val="FF0000"/>
          <w:shd w:val="clear" w:color="auto" w:fill="FFFFFF"/>
          <w:lang w:val="es-ES"/>
        </w:rPr>
      </w:pPr>
      <w:r w:rsidRPr="00177E85">
        <w:rPr>
          <w:rFonts w:ascii="Verdana" w:hAnsi="Verdana" w:cs="Arial"/>
          <w:shd w:val="clear" w:color="auto" w:fill="FFFFFF"/>
        </w:rPr>
        <w:t xml:space="preserve">Sobre la finalidad y propósito de la Ley de Garantías Electorales, la ANCP- CCE se ha pronunciado en los Conceptos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w:t>
      </w:r>
      <w:r w:rsidRPr="00177E85">
        <w:rPr>
          <w:rFonts w:ascii="Verdana" w:hAnsi="Verdana" w:cs="Arial"/>
          <w:shd w:val="clear" w:color="auto" w:fill="FFFFFF"/>
        </w:rPr>
        <w:lastRenderedPageBreak/>
        <w:t xml:space="preserve">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4"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927F6EF" w14:textId="77777777" w:rsidR="00452A8D" w:rsidRDefault="00452A8D" w:rsidP="00452A8D">
      <w:pPr>
        <w:spacing w:after="120" w:line="276" w:lineRule="auto"/>
        <w:jc w:val="both"/>
        <w:rPr>
          <w:rFonts w:ascii="Verdana" w:eastAsia="Calibri" w:hAnsi="Verdana" w:cs="Arial"/>
          <w:lang w:val="es-ES"/>
        </w:rPr>
      </w:pPr>
      <w:r w:rsidRPr="004A2375">
        <w:rPr>
          <w:rFonts w:ascii="Verdana" w:hAnsi="Verdana"/>
        </w:rPr>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xml:space="preserve">, una herramienta clave para fortalecer las capacidades de </w:t>
      </w:r>
      <w:r w:rsidRPr="00A655B7">
        <w:rPr>
          <w:rFonts w:ascii="Verdana" w:hAnsi="Verdana"/>
        </w:rPr>
        <w:t xml:space="preserve">todos los compradores públicos, proveedores, servidores públicos v para </w:t>
      </w:r>
      <w:r w:rsidRPr="00A655B7">
        <w:rPr>
          <w:rFonts w:ascii="Verdana" w:eastAsia="Calibri" w:hAnsi="Verdana" w:cs="Arial"/>
          <w:lang w:val="es-ES"/>
        </w:rPr>
        <w:t>generar mayor valor público. Accede al curso y aprende como implementar criterios sociales y ambientales en las diferentes etapas del proceso de contratación:</w:t>
      </w:r>
      <w:r w:rsidRPr="00A655B7">
        <w:rPr>
          <w:rFonts w:ascii="Verdana" w:eastAsia="Calibri" w:hAnsi="Verdana" w:cs="Arial"/>
          <w:lang w:val="es-ES"/>
        </w:rPr>
        <w:br/>
      </w:r>
      <w:hyperlink r:id="rId15" w:tgtFrame="_new" w:history="1">
        <w:r w:rsidRPr="00A655B7">
          <w:rPr>
            <w:rStyle w:val="Hipervnculo"/>
            <w:rFonts w:ascii="Verdana" w:hAnsi="Verdana"/>
          </w:rPr>
          <w:t>https://formacionvirtual.colombiacompra.gov.co/mod/page/view.php?id=3718</w:t>
        </w:r>
      </w:hyperlink>
    </w:p>
    <w:p w14:paraId="4D3902D1" w14:textId="77777777" w:rsidR="00452A8D" w:rsidRDefault="00452A8D" w:rsidP="00452A8D">
      <w:pPr>
        <w:spacing w:after="120" w:line="276" w:lineRule="auto"/>
        <w:jc w:val="both"/>
      </w:pPr>
      <w:r w:rsidRPr="00A655B7">
        <w:rPr>
          <w:rFonts w:ascii="Verdana" w:eastAsia="Calibri" w:hAnsi="Verdana" w:cs="Arial"/>
          <w:lang w:val="es-ES"/>
        </w:rPr>
        <w:t>De otro lado, te contamos que esta Agencia ha da un paso decisivo en la estandarización</w:t>
      </w:r>
      <w:r w:rsidRPr="00A655B7">
        <w:rPr>
          <w:rFonts w:ascii="Verdana" w:hAnsi="Verdana"/>
        </w:rPr>
        <w:t xml:space="preserve"> y modernización</w:t>
      </w:r>
      <w:r w:rsidRPr="004A2375">
        <w:rPr>
          <w:rFonts w:ascii="Verdana" w:hAnsi="Verdana"/>
        </w:rPr>
        <w:t xml:space="preserve">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cuantía, consultoría e interventoría</w:t>
      </w:r>
      <w:r w:rsidRPr="004A237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4A2375">
          <w:rPr>
            <w:rStyle w:val="Hipervnculo"/>
            <w:rFonts w:ascii="Verdana" w:hAnsi="Verdana"/>
          </w:rPr>
          <w:t>https://www.colombiacompra.gov.co/normativa-y-relatoria/documentos-tipo</w:t>
        </w:r>
      </w:hyperlink>
    </w:p>
    <w:p w14:paraId="1F2DFD85" w14:textId="77777777" w:rsidR="00452A8D" w:rsidRDefault="00452A8D" w:rsidP="00452A8D">
      <w:pPr>
        <w:spacing w:after="120" w:line="276" w:lineRule="auto"/>
        <w:jc w:val="both"/>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A2375">
        <w:rPr>
          <w:rFonts w:ascii="Verdana" w:hAnsi="Verdana"/>
        </w:rPr>
        <w:br/>
      </w:r>
      <w:hyperlink r:id="rId17" w:tgtFrame="_new" w:history="1">
        <w:r w:rsidRPr="004A237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26398E1" w14:textId="77777777" w:rsidR="00452A8D" w:rsidRPr="004A2375" w:rsidRDefault="00452A8D" w:rsidP="00452A8D">
      <w:pPr>
        <w:spacing w:after="120" w:line="276" w:lineRule="auto"/>
        <w:jc w:val="both"/>
        <w:rPr>
          <w:rFonts w:ascii="Verdana" w:hAnsi="Verdana"/>
        </w:rPr>
      </w:pPr>
      <w:r w:rsidRPr="004A2375">
        <w:rPr>
          <w:rFonts w:ascii="Verdana" w:hAnsi="Verdana"/>
        </w:rPr>
        <w:lastRenderedPageBreak/>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1ECC71C" w14:textId="77777777" w:rsidR="00452A8D" w:rsidRPr="00AE2042" w:rsidRDefault="00452A8D" w:rsidP="00452A8D">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nacional gratuita o servicio a la ciudadanía: 01800 0520808</w:t>
      </w:r>
    </w:p>
    <w:p w14:paraId="739F28B4" w14:textId="77777777" w:rsidR="00452A8D" w:rsidRPr="00AE2042" w:rsidRDefault="00452A8D" w:rsidP="00452A8D">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en Bogotá (Mesa de servicio): +57 601 7456788</w:t>
      </w:r>
    </w:p>
    <w:p w14:paraId="3BE96FB0" w14:textId="77777777" w:rsidR="00452A8D" w:rsidRPr="00AE2042" w:rsidRDefault="00452A8D" w:rsidP="00452A8D">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de servicio y atención al ciudadano: +57 601 7956600</w:t>
      </w:r>
    </w:p>
    <w:p w14:paraId="056E8BE2" w14:textId="77777777" w:rsidR="00452A8D" w:rsidRPr="00AE2042" w:rsidRDefault="00452A8D" w:rsidP="00452A8D">
      <w:pPr>
        <w:pStyle w:val="Prrafodelista"/>
        <w:numPr>
          <w:ilvl w:val="0"/>
          <w:numId w:val="15"/>
        </w:numPr>
        <w:spacing w:line="276" w:lineRule="auto"/>
        <w:contextualSpacing w:val="0"/>
        <w:jc w:val="both"/>
        <w:rPr>
          <w:rFonts w:ascii="Verdana" w:hAnsi="Verdana"/>
          <w:sz w:val="20"/>
          <w:szCs w:val="20"/>
          <w:lang w:val="es-CO"/>
        </w:rPr>
      </w:pPr>
      <w:r w:rsidRPr="00AE2042">
        <w:rPr>
          <w:rFonts w:ascii="Verdana" w:hAnsi="Verdana"/>
          <w:sz w:val="20"/>
          <w:szCs w:val="20"/>
          <w:lang w:val="es-CO"/>
        </w:rPr>
        <w:t xml:space="preserve">Página web: </w:t>
      </w:r>
      <w:hyperlink r:id="rId18" w:history="1">
        <w:r w:rsidRPr="00AE2042">
          <w:rPr>
            <w:rStyle w:val="Hipervnculo"/>
            <w:rFonts w:ascii="Verdana" w:hAnsi="Verdana"/>
            <w:sz w:val="20"/>
            <w:szCs w:val="20"/>
            <w:lang w:val="es-CO"/>
          </w:rPr>
          <w:t>www.colombiacompra.gov.co</w:t>
        </w:r>
      </w:hyperlink>
    </w:p>
    <w:p w14:paraId="7CF90183" w14:textId="77777777" w:rsidR="00452A8D" w:rsidRDefault="00452A8D" w:rsidP="00452A8D">
      <w:pPr>
        <w:spacing w:after="0" w:line="276" w:lineRule="auto"/>
        <w:jc w:val="both"/>
        <w:rPr>
          <w:rFonts w:ascii="Verdana" w:hAnsi="Verdana"/>
        </w:rPr>
      </w:pPr>
      <w:r w:rsidRPr="004A2375">
        <w:rPr>
          <w:rFonts w:ascii="Verdana" w:hAnsi="Verdana"/>
        </w:rPr>
        <w:t xml:space="preserve">Por último, lo invitamos a seguirnos en las redes sociales en las cuales se difunde información institucional: </w:t>
      </w:r>
    </w:p>
    <w:p w14:paraId="77BC096E" w14:textId="77777777" w:rsidR="00452A8D" w:rsidRPr="00AE2042" w:rsidRDefault="00452A8D" w:rsidP="00452A8D">
      <w:pPr>
        <w:spacing w:before="240" w:after="0" w:line="276" w:lineRule="auto"/>
        <w:jc w:val="both"/>
        <w:rPr>
          <w:rFonts w:ascii="Verdana" w:hAnsi="Verdana"/>
          <w:sz w:val="20"/>
          <w:szCs w:val="20"/>
        </w:rPr>
      </w:pPr>
      <w:r w:rsidRPr="00AE2042">
        <w:rPr>
          <w:rFonts w:ascii="Verdana" w:hAnsi="Verdana"/>
          <w:sz w:val="20"/>
          <w:szCs w:val="20"/>
        </w:rPr>
        <w:t xml:space="preserve">Twitter: </w:t>
      </w:r>
      <w:r w:rsidRPr="00AE2042">
        <w:rPr>
          <w:rStyle w:val="Hipervnculo"/>
          <w:rFonts w:ascii="Verdana" w:hAnsi="Verdana"/>
          <w:sz w:val="20"/>
          <w:szCs w:val="20"/>
        </w:rPr>
        <w:t>@colombiacompra</w:t>
      </w:r>
      <w:r w:rsidRPr="00AE2042">
        <w:rPr>
          <w:rFonts w:ascii="Verdana" w:hAnsi="Verdana"/>
          <w:sz w:val="20"/>
          <w:szCs w:val="20"/>
        </w:rPr>
        <w:t xml:space="preserve"> </w:t>
      </w:r>
    </w:p>
    <w:p w14:paraId="03C2B122" w14:textId="77777777" w:rsidR="00452A8D" w:rsidRPr="00AE2042" w:rsidRDefault="00452A8D" w:rsidP="00452A8D">
      <w:pPr>
        <w:spacing w:after="0" w:line="276" w:lineRule="auto"/>
        <w:jc w:val="both"/>
        <w:rPr>
          <w:rFonts w:ascii="Verdana" w:hAnsi="Verdana"/>
          <w:sz w:val="20"/>
          <w:szCs w:val="20"/>
        </w:rPr>
      </w:pPr>
      <w:r w:rsidRPr="00AE2042">
        <w:rPr>
          <w:rFonts w:ascii="Verdana" w:hAnsi="Verdana"/>
          <w:sz w:val="20"/>
          <w:szCs w:val="20"/>
        </w:rPr>
        <w:t xml:space="preserve">Facebook: </w:t>
      </w:r>
      <w:proofErr w:type="spellStart"/>
      <w:r w:rsidRPr="00AE2042">
        <w:rPr>
          <w:rStyle w:val="Hipervnculo"/>
          <w:rFonts w:ascii="Verdana" w:hAnsi="Verdana"/>
          <w:sz w:val="20"/>
          <w:szCs w:val="20"/>
        </w:rPr>
        <w:t>ColombiaCompraEficiente</w:t>
      </w:r>
      <w:proofErr w:type="spellEnd"/>
    </w:p>
    <w:p w14:paraId="5F1215AE" w14:textId="77777777" w:rsidR="00452A8D" w:rsidRPr="00AE2042" w:rsidRDefault="00452A8D" w:rsidP="00452A8D">
      <w:pPr>
        <w:spacing w:after="0" w:line="276" w:lineRule="auto"/>
        <w:jc w:val="both"/>
        <w:rPr>
          <w:rStyle w:val="Hipervnculo"/>
          <w:rFonts w:ascii="Verdana" w:hAnsi="Verdana"/>
          <w:sz w:val="20"/>
          <w:szCs w:val="20"/>
        </w:rPr>
      </w:pPr>
      <w:r w:rsidRPr="00AE2042">
        <w:rPr>
          <w:rFonts w:ascii="Verdana" w:hAnsi="Verdana"/>
          <w:sz w:val="20"/>
          <w:szCs w:val="20"/>
        </w:rPr>
        <w:t xml:space="preserve">LinkedIn: </w:t>
      </w:r>
      <w:r w:rsidRPr="00AE2042">
        <w:rPr>
          <w:rStyle w:val="Hipervnculo"/>
          <w:rFonts w:ascii="Verdana" w:hAnsi="Verdana"/>
          <w:sz w:val="20"/>
          <w:szCs w:val="20"/>
        </w:rPr>
        <w:t>Agencia Nacional de Contratación Pública - Colombia Compra Eficiente</w:t>
      </w:r>
    </w:p>
    <w:p w14:paraId="53D6941E" w14:textId="77777777" w:rsidR="00452A8D" w:rsidRPr="00AE2042" w:rsidRDefault="00452A8D" w:rsidP="00452A8D">
      <w:pPr>
        <w:spacing w:line="276" w:lineRule="auto"/>
        <w:jc w:val="both"/>
        <w:rPr>
          <w:rFonts w:ascii="Verdana" w:hAnsi="Verdana"/>
          <w:color w:val="0000FF"/>
          <w:sz w:val="20"/>
          <w:szCs w:val="20"/>
          <w:u w:val="single"/>
        </w:rPr>
      </w:pPr>
      <w:r w:rsidRPr="00AE2042">
        <w:rPr>
          <w:rFonts w:ascii="Verdana" w:hAnsi="Verdana"/>
          <w:sz w:val="20"/>
          <w:szCs w:val="20"/>
        </w:rPr>
        <w:t xml:space="preserve">Instagram: </w:t>
      </w:r>
      <w:r w:rsidRPr="00AE2042">
        <w:rPr>
          <w:rStyle w:val="Hipervnculo"/>
          <w:rFonts w:ascii="Verdana" w:hAnsi="Verdana"/>
          <w:sz w:val="20"/>
          <w:szCs w:val="20"/>
        </w:rPr>
        <w:t>@colombiacompraeficiente_cce</w:t>
      </w:r>
    </w:p>
    <w:p w14:paraId="69FD2FEB" w14:textId="77777777" w:rsidR="00452A8D" w:rsidRPr="004A2375" w:rsidRDefault="00452A8D" w:rsidP="00452A8D">
      <w:pPr>
        <w:spacing w:after="0" w:line="276" w:lineRule="auto"/>
        <w:jc w:val="both"/>
        <w:rPr>
          <w:rFonts w:ascii="Verdana" w:eastAsia="Calibri" w:hAnsi="Verdana" w:cs="Times New Roman"/>
          <w:bCs/>
        </w:rPr>
      </w:pPr>
      <w:r w:rsidRPr="004A2375">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1242F3A" w14:textId="77777777" w:rsidR="00452A8D" w:rsidRPr="004A2375" w:rsidRDefault="00452A8D" w:rsidP="00452A8D">
      <w:pPr>
        <w:spacing w:after="0" w:line="276" w:lineRule="auto"/>
        <w:jc w:val="both"/>
        <w:rPr>
          <w:rFonts w:ascii="Verdana" w:eastAsia="Calibri" w:hAnsi="Verdana" w:cs="Times New Roman"/>
        </w:rPr>
      </w:pPr>
    </w:p>
    <w:p w14:paraId="54348A47" w14:textId="77777777" w:rsidR="00452A8D" w:rsidRDefault="00452A8D" w:rsidP="00452A8D">
      <w:pPr>
        <w:widowControl w:val="0"/>
        <w:autoSpaceDE w:val="0"/>
        <w:autoSpaceDN w:val="0"/>
        <w:spacing w:line="276" w:lineRule="auto"/>
        <w:jc w:val="both"/>
        <w:rPr>
          <w:rStyle w:val="normaltextrun"/>
          <w:rFonts w:ascii="Verdana" w:hAnsi="Verdana" w:cs="Arial"/>
          <w:color w:val="FF0000"/>
          <w:shd w:val="clear" w:color="auto" w:fill="FFFFFF"/>
          <w:lang w:val="es-ES"/>
        </w:rPr>
      </w:pPr>
      <w:r w:rsidRPr="004A2375">
        <w:rPr>
          <w:rFonts w:ascii="Verdana" w:eastAsia="Calibri" w:hAnsi="Verdana" w:cs="Times New Roman"/>
        </w:rPr>
        <w:t>Atentamente,</w:t>
      </w:r>
    </w:p>
    <w:p w14:paraId="0A9D7D92" w14:textId="619B8DA8" w:rsidR="00EA6687" w:rsidRPr="00EA6687" w:rsidRDefault="00613E60" w:rsidP="00EA6687">
      <w:pPr>
        <w:spacing w:after="0" w:line="276" w:lineRule="auto"/>
        <w:jc w:val="center"/>
        <w:rPr>
          <w:rFonts w:ascii="Verdana" w:eastAsia="Times New Roman" w:hAnsi="Verdana" w:cs="Arial"/>
          <w:lang w:eastAsia="es-CO"/>
        </w:rPr>
      </w:pPr>
      <w:r w:rsidRPr="0065791A">
        <w:rPr>
          <w:rFonts w:ascii="Century Gothic" w:hAnsi="Century Gothic"/>
          <w:noProof/>
        </w:rPr>
        <w:drawing>
          <wp:inline distT="0" distB="0" distL="0" distR="0" wp14:anchorId="27964B7C" wp14:editId="140A51ED">
            <wp:extent cx="2721637" cy="1282311"/>
            <wp:effectExtent l="0" t="0" r="254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2741065" cy="1291465"/>
                    </a:xfrm>
                    <a:prstGeom prst="rect">
                      <a:avLst/>
                    </a:prstGeom>
                  </pic:spPr>
                </pic:pic>
              </a:graphicData>
            </a:graphic>
          </wp:inline>
        </w:drawing>
      </w:r>
    </w:p>
    <w:p w14:paraId="7EA9A732" w14:textId="26143777" w:rsidR="00452A8D" w:rsidRPr="0019190D" w:rsidRDefault="00452A8D" w:rsidP="00452A8D">
      <w:pPr>
        <w:spacing w:after="0" w:line="276" w:lineRule="auto"/>
        <w:jc w:val="center"/>
        <w:rPr>
          <w:rFonts w:ascii="Verdana" w:eastAsia="Times New Roman" w:hAnsi="Verdana" w:cs="Arial"/>
          <w:lang w:eastAsia="es-CO"/>
        </w:rPr>
      </w:pPr>
    </w:p>
    <w:p w14:paraId="4D802E76" w14:textId="77777777" w:rsidR="00452A8D" w:rsidRPr="00A46415" w:rsidRDefault="00452A8D" w:rsidP="00452A8D">
      <w:pPr>
        <w:spacing w:after="0" w:line="276" w:lineRule="auto"/>
        <w:jc w:val="center"/>
        <w:rPr>
          <w:rFonts w:ascii="Verdana" w:eastAsia="Times New Roman" w:hAnsi="Verdana" w:cs="Arial"/>
          <w:lang w:eastAsia="es-CO"/>
        </w:rPr>
      </w:pPr>
    </w:p>
    <w:p w14:paraId="4983441A" w14:textId="77777777" w:rsidR="00452A8D" w:rsidRPr="00C15DD4" w:rsidRDefault="00452A8D" w:rsidP="00452A8D">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52A8D" w:rsidRPr="00C15DD4" w14:paraId="7911E608" w14:textId="77777777" w:rsidTr="00915292">
        <w:trPr>
          <w:trHeight w:val="315"/>
        </w:trPr>
        <w:tc>
          <w:tcPr>
            <w:tcW w:w="893" w:type="dxa"/>
            <w:vAlign w:val="center"/>
            <w:hideMark/>
          </w:tcPr>
          <w:p w14:paraId="4BD86E1D" w14:textId="77777777" w:rsidR="00452A8D" w:rsidRPr="00C15DD4" w:rsidRDefault="00452A8D" w:rsidP="00915292">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4905321D" w14:textId="77777777" w:rsidR="00452A8D" w:rsidRPr="00C15DD4" w:rsidRDefault="00452A8D" w:rsidP="00915292">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Ángela María Olmos Andrade</w:t>
            </w:r>
          </w:p>
          <w:p w14:paraId="67606BBB" w14:textId="77777777" w:rsidR="00452A8D" w:rsidRPr="00C15DD4" w:rsidRDefault="00452A8D" w:rsidP="00915292">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Analista T2 - 02 de la Subdirección de Gestión Contractual</w:t>
            </w:r>
          </w:p>
        </w:tc>
      </w:tr>
      <w:tr w:rsidR="00452A8D" w:rsidRPr="00C15DD4" w14:paraId="5518617B" w14:textId="77777777" w:rsidTr="00915292">
        <w:trPr>
          <w:trHeight w:val="330"/>
        </w:trPr>
        <w:tc>
          <w:tcPr>
            <w:tcW w:w="893" w:type="dxa"/>
            <w:vAlign w:val="center"/>
            <w:hideMark/>
          </w:tcPr>
          <w:p w14:paraId="3EB2BFD6" w14:textId="77777777" w:rsidR="00452A8D" w:rsidRPr="00C15DD4" w:rsidRDefault="00452A8D" w:rsidP="00915292">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A764331" w14:textId="77777777" w:rsidR="00452A8D" w:rsidRPr="00C15DD4" w:rsidRDefault="00452A8D" w:rsidP="00915292">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 xml:space="preserve">Juan David Cardenas </w:t>
            </w:r>
          </w:p>
          <w:p w14:paraId="55FC8F75" w14:textId="77777777" w:rsidR="00452A8D" w:rsidRPr="00C15DD4" w:rsidRDefault="00452A8D" w:rsidP="00915292">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7F092D">
              <w:rPr>
                <w:rFonts w:ascii="Verdana" w:eastAsia="Times New Roman" w:hAnsi="Verdana" w:cs="Arial"/>
                <w:color w:val="000000"/>
                <w:sz w:val="16"/>
                <w:szCs w:val="16"/>
              </w:rPr>
              <w:t xml:space="preserve"> de la Subdirección de Gestión Contractual</w:t>
            </w:r>
          </w:p>
        </w:tc>
      </w:tr>
      <w:tr w:rsidR="00452A8D" w:rsidRPr="00C15DD4" w14:paraId="2C50AD52" w14:textId="77777777" w:rsidTr="00915292">
        <w:trPr>
          <w:trHeight w:val="300"/>
        </w:trPr>
        <w:tc>
          <w:tcPr>
            <w:tcW w:w="893" w:type="dxa"/>
            <w:vAlign w:val="center"/>
            <w:hideMark/>
          </w:tcPr>
          <w:p w14:paraId="23608DB1" w14:textId="77777777" w:rsidR="00452A8D" w:rsidRPr="00C15DD4" w:rsidRDefault="00452A8D" w:rsidP="00915292">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4A288941" w14:textId="77777777" w:rsidR="00452A8D" w:rsidRPr="00C15DD4" w:rsidRDefault="00452A8D" w:rsidP="00915292">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1026672C" w14:textId="77777777" w:rsidR="00452A8D" w:rsidRPr="00C15DD4" w:rsidRDefault="00452A8D" w:rsidP="00915292">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tr w:rsidR="00452A8D" w:rsidRPr="00C15DD4" w14:paraId="1B30C32B" w14:textId="77777777" w:rsidTr="00915292">
        <w:trPr>
          <w:trHeight w:val="300"/>
        </w:trPr>
        <w:tc>
          <w:tcPr>
            <w:tcW w:w="893" w:type="dxa"/>
            <w:vAlign w:val="center"/>
          </w:tcPr>
          <w:p w14:paraId="2E15EE51" w14:textId="77777777" w:rsidR="00452A8D" w:rsidRPr="00C15DD4" w:rsidRDefault="00452A8D" w:rsidP="00915292">
            <w:pPr>
              <w:spacing w:line="276" w:lineRule="auto"/>
              <w:rPr>
                <w:rFonts w:ascii="Verdana" w:eastAsia="Times New Roman" w:hAnsi="Verdana" w:cs="Arial"/>
                <w:color w:val="000000"/>
                <w:sz w:val="16"/>
                <w:szCs w:val="16"/>
                <w:lang w:eastAsia="es-ES"/>
              </w:rPr>
            </w:pPr>
          </w:p>
        </w:tc>
        <w:tc>
          <w:tcPr>
            <w:tcW w:w="5628" w:type="dxa"/>
            <w:tcBorders>
              <w:top w:val="dotted" w:sz="4" w:space="0" w:color="7F7F7F"/>
              <w:left w:val="nil"/>
              <w:bottom w:val="dotted" w:sz="4" w:space="0" w:color="7F7F7F"/>
              <w:right w:val="nil"/>
            </w:tcBorders>
            <w:vAlign w:val="center"/>
          </w:tcPr>
          <w:p w14:paraId="1A6476DD" w14:textId="77777777" w:rsidR="00452A8D" w:rsidRPr="00C15DD4" w:rsidRDefault="00452A8D" w:rsidP="00915292">
            <w:pPr>
              <w:spacing w:line="276" w:lineRule="auto"/>
              <w:rPr>
                <w:rFonts w:ascii="Verdana" w:eastAsia="Times New Roman" w:hAnsi="Verdana" w:cs="Arial"/>
                <w:color w:val="000000"/>
                <w:sz w:val="16"/>
                <w:szCs w:val="16"/>
              </w:rPr>
            </w:pPr>
          </w:p>
        </w:tc>
      </w:tr>
    </w:tbl>
    <w:p w14:paraId="12443EE0" w14:textId="77777777" w:rsidR="00C15139" w:rsidRPr="0024624F" w:rsidRDefault="00C15139" w:rsidP="30821638">
      <w:pPr>
        <w:spacing w:after="0"/>
        <w:rPr>
          <w:rFonts w:ascii="Verdana" w:eastAsia="Verdana" w:hAnsi="Verdana" w:cs="Verdana"/>
        </w:rPr>
      </w:pPr>
    </w:p>
    <w:p w14:paraId="69BC4D14" w14:textId="7D2DC335"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33F1D382" w:rsidR="00127233" w:rsidRPr="0015699B" w:rsidRDefault="00127233" w:rsidP="005A3287">
      <w:pPr>
        <w:spacing w:after="0" w:line="240" w:lineRule="auto"/>
        <w:ind w:left="1080"/>
        <w:jc w:val="both"/>
        <w:textAlignment w:val="baseline"/>
        <w:rPr>
          <w:rFonts w:ascii="Verdana" w:eastAsia="Verdana" w:hAnsi="Verdana" w:cs="Verdana"/>
          <w:lang w:eastAsia="es-CO"/>
        </w:rPr>
      </w:pPr>
    </w:p>
    <w:sectPr w:rsidR="00127233" w:rsidRPr="001569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A16D0" w14:textId="77777777" w:rsidR="005F1927" w:rsidRDefault="005F1927" w:rsidP="004A1847">
      <w:pPr>
        <w:spacing w:after="0" w:line="240" w:lineRule="auto"/>
      </w:pPr>
      <w:r>
        <w:separator/>
      </w:r>
    </w:p>
  </w:endnote>
  <w:endnote w:type="continuationSeparator" w:id="0">
    <w:p w14:paraId="5F2F606C" w14:textId="77777777" w:rsidR="005F1927" w:rsidRDefault="005F192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DDCE8" w14:textId="77777777" w:rsidR="005F1927" w:rsidRDefault="005F1927" w:rsidP="004A1847">
      <w:pPr>
        <w:spacing w:after="0" w:line="240" w:lineRule="auto"/>
      </w:pPr>
      <w:r>
        <w:separator/>
      </w:r>
    </w:p>
  </w:footnote>
  <w:footnote w:type="continuationSeparator" w:id="0">
    <w:p w14:paraId="5068388B" w14:textId="77777777" w:rsidR="005F1927" w:rsidRDefault="005F1927" w:rsidP="004A1847">
      <w:pPr>
        <w:spacing w:after="0" w:line="240" w:lineRule="auto"/>
      </w:pPr>
      <w:r>
        <w:continuationSeparator/>
      </w:r>
    </w:p>
  </w:footnote>
  <w:footnote w:id="1">
    <w:p w14:paraId="001E0F3D" w14:textId="309EFC06" w:rsidR="00CD0DDF" w:rsidRDefault="00CD0DDF">
      <w:pPr>
        <w:pStyle w:val="Textonotapie"/>
      </w:pPr>
      <w:r>
        <w:rPr>
          <w:rStyle w:val="Refdenotaalpie"/>
        </w:rPr>
        <w:footnoteRef/>
      </w:r>
      <w:r w:rsidRPr="0093417F">
        <w:rPr>
          <w:rFonts w:ascii="Verdana" w:hAnsi="Verdana"/>
          <w:sz w:val="14"/>
          <w:szCs w:val="14"/>
        </w:rPr>
        <w:t xml:space="preserve"> </w:t>
      </w:r>
      <w:r w:rsidR="00852DBA" w:rsidRPr="0093417F">
        <w:rPr>
          <w:rFonts w:ascii="Verdana" w:hAnsi="Verdana"/>
          <w:sz w:val="14"/>
          <w:szCs w:val="14"/>
        </w:rPr>
        <w:t xml:space="preserve">Circular Externa No. </w:t>
      </w:r>
      <w:r w:rsidR="00B53037" w:rsidRPr="0093417F">
        <w:rPr>
          <w:rFonts w:ascii="Verdana" w:hAnsi="Verdana"/>
          <w:sz w:val="14"/>
          <w:szCs w:val="14"/>
        </w:rPr>
        <w:t>00</w:t>
      </w:r>
      <w:r w:rsidR="00852DBA" w:rsidRPr="0093417F">
        <w:rPr>
          <w:rFonts w:ascii="Verdana" w:hAnsi="Verdana"/>
          <w:sz w:val="14"/>
          <w:szCs w:val="14"/>
        </w:rPr>
        <w:t>1</w:t>
      </w:r>
      <w:r w:rsidR="003673D7" w:rsidRPr="0093417F">
        <w:rPr>
          <w:rFonts w:ascii="Verdana" w:hAnsi="Verdana"/>
          <w:sz w:val="14"/>
          <w:szCs w:val="14"/>
        </w:rPr>
        <w:t xml:space="preserve"> de 2026</w:t>
      </w:r>
      <w:r w:rsidR="008C0418" w:rsidRPr="0093417F">
        <w:rPr>
          <w:rFonts w:ascii="Verdana" w:hAnsi="Verdana"/>
          <w:sz w:val="14"/>
          <w:szCs w:val="14"/>
        </w:rPr>
        <w:t xml:space="preserve"> Agencia </w:t>
      </w:r>
      <w:r w:rsidR="00D7528A" w:rsidRPr="0093417F">
        <w:rPr>
          <w:rFonts w:ascii="Verdana" w:hAnsi="Verdana"/>
          <w:sz w:val="14"/>
          <w:szCs w:val="14"/>
        </w:rPr>
        <w:t xml:space="preserve">Nacional de Contratación Pública – Colombia Compra Eficiente: </w:t>
      </w:r>
      <w:hyperlink r:id="rId1" w:history="1">
        <w:r w:rsidR="0093417F" w:rsidRPr="0093417F">
          <w:rPr>
            <w:rStyle w:val="Hipervnculo"/>
            <w:rFonts w:ascii="Verdana" w:hAnsi="Verdana"/>
            <w:sz w:val="14"/>
            <w:szCs w:val="14"/>
            <w:lang w:val="es-CO"/>
          </w:rPr>
          <w:t>001-de-2026-Circular-Externa-LEY-DE-GARANTIAS-MAD_recortada-1.pdf</w:t>
        </w:r>
      </w:hyperlink>
    </w:p>
  </w:footnote>
  <w:footnote w:id="2">
    <w:p w14:paraId="3F5F26ED" w14:textId="77777777" w:rsidR="00452A8D" w:rsidRPr="004B35AC" w:rsidRDefault="00452A8D" w:rsidP="00452A8D">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6447F6">
        <w:rPr>
          <w:rFonts w:ascii="Verdana" w:hAnsi="Verdana" w:cs="Arial"/>
          <w:sz w:val="14"/>
          <w:szCs w:val="14"/>
        </w:rPr>
        <w:t>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w:t>
      </w:r>
      <w:r w:rsidRPr="004B35AC">
        <w:rPr>
          <w:rFonts w:ascii="Verdana" w:hAnsi="Verdana" w:cs="Arial"/>
          <w:sz w:val="16"/>
          <w:szCs w:val="16"/>
        </w:rPr>
        <w:t xml:space="preserve"> </w:t>
      </w:r>
    </w:p>
    <w:p w14:paraId="40652678" w14:textId="77777777" w:rsidR="00452A8D" w:rsidRPr="006447F6" w:rsidRDefault="00452A8D" w:rsidP="00452A8D">
      <w:pPr>
        <w:pStyle w:val="Textonotapie"/>
        <w:ind w:firstLine="709"/>
        <w:jc w:val="both"/>
        <w:rPr>
          <w:rFonts w:ascii="Verdana" w:hAnsi="Verdana" w:cs="Arial"/>
          <w:sz w:val="14"/>
          <w:szCs w:val="14"/>
        </w:rPr>
      </w:pPr>
      <w:r w:rsidRPr="006447F6">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0381914E" w14:textId="77777777" w:rsidR="00452A8D" w:rsidRPr="006447F6" w:rsidRDefault="00452A8D" w:rsidP="00452A8D">
      <w:pPr>
        <w:pStyle w:val="Textonotapie"/>
        <w:ind w:firstLine="709"/>
        <w:jc w:val="both"/>
        <w:rPr>
          <w:rFonts w:ascii="Verdana" w:hAnsi="Verdana" w:cs="Arial"/>
          <w:sz w:val="14"/>
          <w:szCs w:val="14"/>
        </w:rPr>
      </w:pPr>
      <w:r w:rsidRPr="006447F6">
        <w:rPr>
          <w:rStyle w:val="Refdenotaalpie"/>
          <w:rFonts w:ascii="Verdana" w:hAnsi="Verdana" w:cs="Arial"/>
          <w:sz w:val="14"/>
          <w:szCs w:val="14"/>
        </w:rPr>
        <w:footnoteRef/>
      </w:r>
      <w:r w:rsidRPr="006447F6">
        <w:rPr>
          <w:rFonts w:ascii="Verdana" w:hAnsi="Verdana" w:cs="Arial"/>
          <w:sz w:val="14"/>
          <w:szCs w:val="14"/>
        </w:rPr>
        <w:t xml:space="preserve"> Gaceta del Congreso de la República No. 71 del 2005.</w:t>
      </w:r>
    </w:p>
  </w:footnote>
  <w:footnote w:id="4">
    <w:p w14:paraId="1CB00A4C" w14:textId="77777777" w:rsidR="00452A8D" w:rsidRPr="006447F6" w:rsidRDefault="00452A8D" w:rsidP="00452A8D">
      <w:pPr>
        <w:pStyle w:val="Textonotapie"/>
        <w:ind w:firstLine="709"/>
        <w:jc w:val="both"/>
        <w:rPr>
          <w:rFonts w:ascii="Verdana" w:hAnsi="Verdana" w:cs="Arial"/>
          <w:sz w:val="14"/>
          <w:szCs w:val="14"/>
          <w:lang w:val="pt-BR"/>
        </w:rPr>
      </w:pPr>
      <w:r w:rsidRPr="006447F6">
        <w:rPr>
          <w:rStyle w:val="Refdenotaalpie"/>
          <w:rFonts w:ascii="Verdana" w:hAnsi="Verdana" w:cs="Arial"/>
          <w:sz w:val="14"/>
          <w:szCs w:val="14"/>
        </w:rPr>
        <w:footnoteRef/>
      </w:r>
      <w:r w:rsidRPr="006447F6">
        <w:rPr>
          <w:rFonts w:ascii="Verdana" w:hAnsi="Verdana" w:cs="Arial"/>
          <w:sz w:val="14"/>
          <w:szCs w:val="14"/>
          <w:lang w:val="pt-BR"/>
        </w:rPr>
        <w:t xml:space="preserve"> Corte Constitucional, Sentencia C- 1153 de 2005, M.P. Marco Gerardo Monroy Cabra.</w:t>
      </w:r>
    </w:p>
  </w:footnote>
  <w:footnote w:id="5">
    <w:p w14:paraId="2887B87D" w14:textId="77777777" w:rsidR="00452A8D" w:rsidRPr="006447F6" w:rsidRDefault="00452A8D" w:rsidP="00452A8D">
      <w:pPr>
        <w:pStyle w:val="Textonotapie"/>
        <w:ind w:firstLine="709"/>
        <w:jc w:val="both"/>
        <w:rPr>
          <w:rFonts w:ascii="Verdana" w:hAnsi="Verdana" w:cs="Arial"/>
          <w:sz w:val="14"/>
          <w:szCs w:val="14"/>
          <w:lang w:val="pt-BR"/>
        </w:rPr>
      </w:pPr>
      <w:r w:rsidRPr="006447F6">
        <w:rPr>
          <w:rStyle w:val="Refdenotaalpie"/>
          <w:rFonts w:ascii="Verdana" w:hAnsi="Verdana" w:cs="Arial"/>
          <w:sz w:val="14"/>
          <w:szCs w:val="14"/>
        </w:rPr>
        <w:footnoteRef/>
      </w:r>
      <w:r w:rsidRPr="006447F6">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79BD53B2" w14:textId="77777777" w:rsidR="00452A8D" w:rsidRPr="006447F6" w:rsidRDefault="00452A8D" w:rsidP="00452A8D">
      <w:pPr>
        <w:pStyle w:val="Textonotapie"/>
        <w:ind w:firstLine="709"/>
        <w:jc w:val="both"/>
        <w:rPr>
          <w:rFonts w:ascii="Verdana" w:hAnsi="Verdana" w:cs="Arial"/>
          <w:sz w:val="14"/>
          <w:szCs w:val="14"/>
          <w:lang w:val="es-CO"/>
        </w:rPr>
      </w:pPr>
      <w:r w:rsidRPr="006447F6">
        <w:rPr>
          <w:rStyle w:val="Refdenotaalpie"/>
          <w:rFonts w:ascii="Verdana" w:hAnsi="Verdana" w:cs="Arial"/>
          <w:sz w:val="14"/>
          <w:szCs w:val="14"/>
        </w:rPr>
        <w:footnoteRef/>
      </w:r>
      <w:r w:rsidRPr="006447F6">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6F40CE05" w14:textId="77777777" w:rsidR="00452A8D" w:rsidRPr="006447F6" w:rsidRDefault="00452A8D" w:rsidP="00452A8D">
      <w:pPr>
        <w:pStyle w:val="Textonotapie"/>
        <w:ind w:firstLine="709"/>
        <w:jc w:val="both"/>
        <w:rPr>
          <w:rFonts w:ascii="Verdana" w:hAnsi="Verdana" w:cs="Arial"/>
          <w:sz w:val="14"/>
          <w:szCs w:val="14"/>
        </w:rPr>
      </w:pPr>
      <w:r w:rsidRPr="006447F6">
        <w:rPr>
          <w:rStyle w:val="Refdenotaalpie"/>
          <w:rFonts w:ascii="Verdana" w:hAnsi="Verdana" w:cs="Arial"/>
          <w:sz w:val="14"/>
          <w:szCs w:val="14"/>
        </w:rPr>
        <w:footnoteRef/>
      </w:r>
      <w:r w:rsidRPr="006447F6">
        <w:rPr>
          <w:rFonts w:ascii="Verdana" w:hAnsi="Verdana" w:cs="Arial"/>
          <w:sz w:val="14"/>
          <w:szCs w:val="14"/>
        </w:rPr>
        <w:t xml:space="preserve"> Consejo de Estado, Sala de Consulta y Servicio Civil de fecha 24 de julio de 2013, radicado 2166, C. P. Álvaro Namén Vargas.  </w:t>
      </w:r>
    </w:p>
  </w:footnote>
  <w:footnote w:id="8">
    <w:p w14:paraId="242C877C" w14:textId="77777777" w:rsidR="00452A8D" w:rsidRPr="006447F6" w:rsidRDefault="00452A8D" w:rsidP="00452A8D">
      <w:pPr>
        <w:spacing w:after="0" w:line="240" w:lineRule="auto"/>
        <w:ind w:firstLine="709"/>
        <w:jc w:val="both"/>
        <w:rPr>
          <w:rFonts w:ascii="Verdana" w:eastAsia="Times New Roman" w:hAnsi="Verdana" w:cs="Arial"/>
          <w:sz w:val="14"/>
          <w:szCs w:val="14"/>
        </w:rPr>
      </w:pPr>
      <w:r w:rsidRPr="006447F6">
        <w:rPr>
          <w:rStyle w:val="Refdenotaalpie"/>
          <w:rFonts w:ascii="Verdana" w:hAnsi="Verdana" w:cs="Arial"/>
          <w:sz w:val="14"/>
          <w:szCs w:val="14"/>
        </w:rPr>
        <w:footnoteRef/>
      </w:r>
      <w:r w:rsidRPr="006447F6">
        <w:rPr>
          <w:rFonts w:ascii="Verdana" w:hAnsi="Verdana" w:cs="Arial"/>
          <w:sz w:val="14"/>
          <w:szCs w:val="14"/>
        </w:rPr>
        <w:t xml:space="preserve"> </w:t>
      </w:r>
      <w:bookmarkStart w:id="7" w:name="33"/>
      <w:r w:rsidRPr="006447F6">
        <w:rPr>
          <w:rFonts w:ascii="Verdana" w:eastAsia="Calibri" w:hAnsi="Verdana" w:cs="Arial"/>
          <w:color w:val="000000"/>
          <w:sz w:val="14"/>
          <w:szCs w:val="14"/>
        </w:rPr>
        <w:t>“</w:t>
      </w:r>
      <w:r w:rsidRPr="006447F6">
        <w:rPr>
          <w:rFonts w:ascii="Verdana" w:eastAsia="Times New Roman" w:hAnsi="Verdana" w:cs="Arial"/>
          <w:sz w:val="14"/>
          <w:szCs w:val="14"/>
        </w:rPr>
        <w:t>Artículo 33. Restricciones a la contratación pública.</w:t>
      </w:r>
      <w:bookmarkEnd w:id="7"/>
      <w:r w:rsidRPr="006447F6">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5B5668A7" w14:textId="77777777" w:rsidR="00452A8D" w:rsidRPr="006447F6" w:rsidRDefault="00452A8D" w:rsidP="00452A8D">
      <w:pPr>
        <w:spacing w:after="0" w:line="240" w:lineRule="auto"/>
        <w:ind w:firstLine="709"/>
        <w:jc w:val="both"/>
        <w:rPr>
          <w:rFonts w:ascii="Verdana" w:eastAsia="Times New Roman" w:hAnsi="Verdana" w:cs="Arial"/>
          <w:sz w:val="14"/>
          <w:szCs w:val="14"/>
        </w:rPr>
      </w:pPr>
      <w:r w:rsidRPr="006447F6">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447F6">
        <w:rPr>
          <w:rFonts w:ascii="Verdana" w:eastAsia="Calibri" w:hAnsi="Verdana" w:cs="Arial"/>
          <w:color w:val="000000"/>
          <w:sz w:val="14"/>
          <w:szCs w:val="14"/>
        </w:rPr>
        <w:t>”</w:t>
      </w:r>
      <w:r w:rsidRPr="006447F6">
        <w:rPr>
          <w:rFonts w:ascii="Verdana" w:eastAsia="Times New Roman" w:hAnsi="Verdana" w:cs="Arial"/>
          <w:sz w:val="14"/>
          <w:szCs w:val="14"/>
        </w:rPr>
        <w:t>.</w:t>
      </w:r>
    </w:p>
  </w:footnote>
  <w:footnote w:id="9">
    <w:p w14:paraId="1CF9A8E2" w14:textId="77777777" w:rsidR="00452A8D" w:rsidRPr="006447F6" w:rsidRDefault="00452A8D" w:rsidP="00452A8D">
      <w:pPr>
        <w:pStyle w:val="NormalWeb"/>
        <w:spacing w:before="0" w:beforeAutospacing="0" w:after="0" w:afterAutospacing="0"/>
        <w:ind w:firstLine="709"/>
        <w:jc w:val="both"/>
        <w:rPr>
          <w:rFonts w:ascii="Verdana" w:hAnsi="Verdana" w:cs="Arial"/>
          <w:sz w:val="14"/>
          <w:szCs w:val="14"/>
          <w:lang w:val="es-MX"/>
        </w:rPr>
      </w:pPr>
      <w:r w:rsidRPr="006447F6">
        <w:rPr>
          <w:rStyle w:val="Refdenotaalpie"/>
          <w:rFonts w:ascii="Verdana" w:hAnsi="Verdana" w:cs="Arial"/>
          <w:sz w:val="14"/>
          <w:szCs w:val="14"/>
        </w:rPr>
        <w:footnoteRef/>
      </w:r>
      <w:r w:rsidRPr="006447F6">
        <w:rPr>
          <w:rFonts w:ascii="Verdana" w:hAnsi="Verdana" w:cs="Arial"/>
          <w:sz w:val="14"/>
          <w:szCs w:val="14"/>
        </w:rPr>
        <w:t xml:space="preserve"> </w:t>
      </w:r>
      <w:bookmarkStart w:id="8" w:name="38"/>
      <w:r w:rsidRPr="006447F6">
        <w:rPr>
          <w:rFonts w:ascii="Verdana" w:eastAsia="Calibri" w:hAnsi="Verdana" w:cs="Arial"/>
          <w:color w:val="000000"/>
          <w:sz w:val="14"/>
          <w:szCs w:val="14"/>
        </w:rPr>
        <w:t>“</w:t>
      </w:r>
      <w:r w:rsidRPr="006447F6">
        <w:rPr>
          <w:rFonts w:ascii="Verdana" w:hAnsi="Verdana" w:cs="Arial"/>
          <w:sz w:val="14"/>
          <w:szCs w:val="14"/>
          <w:lang w:val="es-MX"/>
        </w:rPr>
        <w:t>Artículo 38. Prohibiciones para los servidores públicos. A los empleados del Estado les está prohibido:</w:t>
      </w:r>
      <w:bookmarkEnd w:id="8"/>
      <w:r w:rsidRPr="006447F6">
        <w:rPr>
          <w:rFonts w:ascii="Verdana" w:hAnsi="Verdana" w:cs="Arial"/>
          <w:sz w:val="14"/>
          <w:szCs w:val="14"/>
          <w:lang w:val="es-MX"/>
        </w:rPr>
        <w:t xml:space="preserve"> […]</w:t>
      </w:r>
    </w:p>
    <w:p w14:paraId="30D0B441" w14:textId="77777777" w:rsidR="00452A8D" w:rsidRPr="006447F6" w:rsidRDefault="00452A8D" w:rsidP="00452A8D">
      <w:pPr>
        <w:pStyle w:val="NormalWeb"/>
        <w:spacing w:before="0" w:beforeAutospacing="0" w:after="0" w:afterAutospacing="0"/>
        <w:ind w:firstLine="709"/>
        <w:jc w:val="both"/>
        <w:rPr>
          <w:rFonts w:ascii="Verdana" w:hAnsi="Verdana" w:cs="Arial"/>
          <w:sz w:val="14"/>
          <w:szCs w:val="14"/>
          <w:lang w:val="es-MX"/>
        </w:rPr>
      </w:pPr>
      <w:r w:rsidRPr="006447F6">
        <w:rPr>
          <w:rStyle w:val="baj"/>
          <w:rFonts w:ascii="Verdana" w:hAnsi="Verdana" w:cs="Arial"/>
          <w:sz w:val="14"/>
          <w:szCs w:val="14"/>
          <w:lang w:val="es-MX"/>
        </w:rPr>
        <w:t>Parágrafo.</w:t>
      </w:r>
      <w:r w:rsidRPr="006447F6">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47F6">
        <w:rPr>
          <w:rFonts w:ascii="Verdana" w:eastAsia="Calibri" w:hAnsi="Verdana" w:cs="Arial"/>
          <w:color w:val="000000"/>
          <w:sz w:val="14"/>
          <w:szCs w:val="14"/>
        </w:rPr>
        <w:t>”</w:t>
      </w:r>
      <w:r w:rsidRPr="006447F6">
        <w:rPr>
          <w:rFonts w:ascii="Verdana" w:hAnsi="Verdana" w:cs="Arial"/>
          <w:sz w:val="14"/>
          <w:szCs w:val="14"/>
          <w:lang w:val="es-MX"/>
        </w:rPr>
        <w:t>.</w:t>
      </w:r>
    </w:p>
  </w:footnote>
  <w:footnote w:id="10">
    <w:p w14:paraId="519FE666" w14:textId="77777777" w:rsidR="00452A8D" w:rsidRPr="006447F6" w:rsidRDefault="00452A8D" w:rsidP="00452A8D">
      <w:pPr>
        <w:pStyle w:val="Textonotapie"/>
        <w:ind w:firstLine="708"/>
        <w:jc w:val="both"/>
        <w:rPr>
          <w:rFonts w:ascii="Verdana" w:hAnsi="Verdana" w:cs="Arial"/>
          <w:sz w:val="14"/>
          <w:szCs w:val="14"/>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6447F6">
        <w:rPr>
          <w:rFonts w:ascii="Verdana" w:hAnsi="Verdana" w:cs="Arial"/>
          <w:sz w:val="14"/>
          <w:szCs w:val="14"/>
        </w:rPr>
        <w:t xml:space="preserve">Colombia Compra Eficiente. Circular Externa Única. Numeral 16.5. </w:t>
      </w:r>
    </w:p>
  </w:footnote>
  <w:footnote w:id="11">
    <w:p w14:paraId="7E56A726" w14:textId="77777777" w:rsidR="00452A8D" w:rsidRPr="004B35AC" w:rsidRDefault="00452A8D" w:rsidP="00452A8D">
      <w:pPr>
        <w:spacing w:after="0" w:line="240" w:lineRule="auto"/>
        <w:ind w:left="100" w:right="244" w:firstLine="608"/>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6447F6">
        <w:rPr>
          <w:rFonts w:ascii="Verdana" w:hAnsi="Verdana" w:cs="Arial"/>
          <w:sz w:val="14"/>
          <w:szCs w:val="14"/>
        </w:rPr>
        <w:t>Consejo de Estado. Sala de Consulta y Servicio Civil. Concepto del 17 de febrero de 2015. C.P. William Zambrano Cetina. Radicación No. 11001-03-06-000-2015-00164-00(2269).</w:t>
      </w:r>
    </w:p>
  </w:footnote>
  <w:footnote w:id="12">
    <w:p w14:paraId="5D5763AD" w14:textId="77777777" w:rsidR="00452A8D" w:rsidRPr="00326282" w:rsidRDefault="00452A8D" w:rsidP="00452A8D">
      <w:pPr>
        <w:pStyle w:val="Textonotapie"/>
        <w:ind w:right="51"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sz w:val="14"/>
          <w:szCs w:val="14"/>
          <w:lang w:val="es-ES"/>
        </w:rPr>
        <w:t xml:space="preserve">[25] </w:t>
      </w:r>
      <w:r w:rsidRPr="00326282">
        <w:rPr>
          <w:rFonts w:ascii="Verdana" w:hAnsi="Verdana" w:cs="Arial"/>
          <w:sz w:val="14"/>
          <w:szCs w:val="14"/>
        </w:rPr>
        <w:t>Cfr. Consejo de Estado. Sección Tercera. Sentencia de 3 de diciembre de 2007. Radicados: 24.715, 25.206, 25.409, 24.524, 27.834, 25.410, 26.105, 28.244, 31.447 -acumulados-“.</w:t>
      </w:r>
    </w:p>
  </w:footnote>
  <w:footnote w:id="13">
    <w:p w14:paraId="7C97BBE3" w14:textId="77777777" w:rsidR="00452A8D" w:rsidRPr="00326282" w:rsidRDefault="00452A8D" w:rsidP="00452A8D">
      <w:pPr>
        <w:pStyle w:val="Textonotapie"/>
        <w:ind w:right="51"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sz w:val="14"/>
          <w:szCs w:val="14"/>
          <w:lang w:val="es-ES"/>
        </w:rPr>
        <w:t xml:space="preserve">[26] </w:t>
      </w:r>
      <w:r w:rsidRPr="00326282">
        <w:rPr>
          <w:rFonts w:ascii="Verdana" w:hAnsi="Verdana" w:cs="Arial"/>
          <w:sz w:val="14"/>
          <w:szCs w:val="14"/>
        </w:rPr>
        <w:t>Al respecto ver el concepto 1712 de 2 de febrero de 2006. Consejo de Estado Sala de Consulta y Servicio Civil”.</w:t>
      </w:r>
    </w:p>
  </w:footnote>
  <w:footnote w:id="14">
    <w:p w14:paraId="640FDDB6" w14:textId="77777777" w:rsidR="00452A8D" w:rsidRPr="00326282" w:rsidRDefault="00452A8D" w:rsidP="00452A8D">
      <w:pPr>
        <w:pStyle w:val="Textonotapie"/>
        <w:ind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5">
    <w:p w14:paraId="4FB97ED6" w14:textId="77777777" w:rsidR="00452A8D" w:rsidRPr="00326282" w:rsidRDefault="00452A8D" w:rsidP="00452A8D">
      <w:pPr>
        <w:pStyle w:val="Textonotapie"/>
        <w:ind w:firstLine="709"/>
        <w:jc w:val="both"/>
        <w:rPr>
          <w:rFonts w:ascii="Verdana" w:hAnsi="Verdana" w:cs="Arial"/>
          <w:sz w:val="14"/>
          <w:szCs w:val="14"/>
          <w:lang w:val="es-ES"/>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sz w:val="14"/>
          <w:szCs w:val="14"/>
          <w:lang w:val="es-ES"/>
        </w:rPr>
        <w:t xml:space="preserve">Artículo 2. </w:t>
      </w:r>
    </w:p>
  </w:footnote>
  <w:footnote w:id="16">
    <w:p w14:paraId="1A43AAEA" w14:textId="77777777" w:rsidR="00452A8D" w:rsidRPr="00326282" w:rsidRDefault="00452A8D" w:rsidP="00452A8D">
      <w:pPr>
        <w:pStyle w:val="Textonotapie"/>
        <w:ind w:firstLine="709"/>
        <w:jc w:val="both"/>
        <w:rPr>
          <w:rFonts w:ascii="Verdana" w:hAnsi="Verdana" w:cs="Arial"/>
          <w:sz w:val="14"/>
          <w:szCs w:val="14"/>
          <w:lang w:val="es-ES"/>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i/>
          <w:sz w:val="14"/>
          <w:szCs w:val="14"/>
          <w:lang w:val="es-ES"/>
        </w:rPr>
        <w:t>Ídem</w:t>
      </w:r>
      <w:r w:rsidRPr="00326282">
        <w:rPr>
          <w:rFonts w:ascii="Verdana" w:hAnsi="Verdana" w:cs="Arial"/>
          <w:sz w:val="14"/>
          <w:szCs w:val="14"/>
          <w:lang w:val="es-ES"/>
        </w:rPr>
        <w:t>.</w:t>
      </w:r>
    </w:p>
  </w:footnote>
  <w:footnote w:id="17">
    <w:p w14:paraId="31009E50" w14:textId="77777777" w:rsidR="00452A8D" w:rsidRPr="004B35AC" w:rsidRDefault="00452A8D" w:rsidP="00452A8D">
      <w:pPr>
        <w:pStyle w:val="Textonotapie"/>
        <w:ind w:firstLine="709"/>
        <w:jc w:val="both"/>
        <w:rPr>
          <w:rFonts w:ascii="Verdana" w:hAnsi="Verdana" w:cs="Arial"/>
          <w:sz w:val="16"/>
          <w:szCs w:val="16"/>
          <w:lang w:val="es-ES"/>
        </w:rPr>
      </w:pPr>
      <w:r w:rsidRPr="00326282">
        <w:rPr>
          <w:rStyle w:val="Refdenotaalpie"/>
          <w:rFonts w:ascii="Verdana" w:hAnsi="Verdana" w:cs="Arial"/>
          <w:sz w:val="14"/>
          <w:szCs w:val="14"/>
        </w:rPr>
        <w:footnoteRef/>
      </w:r>
      <w:r w:rsidRPr="00326282">
        <w:rPr>
          <w:rStyle w:val="Refdenotaalpie"/>
          <w:rFonts w:ascii="Verdana" w:hAnsi="Verdana" w:cs="Arial"/>
          <w:sz w:val="14"/>
          <w:szCs w:val="14"/>
        </w:rPr>
        <w:t xml:space="preserve"> </w:t>
      </w:r>
      <w:r w:rsidRPr="00326282">
        <w:rPr>
          <w:rFonts w:ascii="Verdana" w:hAnsi="Verdana" w:cs="Arial"/>
          <w:sz w:val="14"/>
          <w:szCs w:val="14"/>
          <w:lang w:val="es-ES"/>
        </w:rPr>
        <w:t>“[…] A este respecto, cabe recordar que el artículo 860 del Código de Comercio regula la licitación en el derecho privado”.</w:t>
      </w:r>
      <w:r w:rsidRPr="004B35AC">
        <w:rPr>
          <w:rFonts w:ascii="Verdana" w:hAnsi="Verdana" w:cs="Arial"/>
          <w:sz w:val="16"/>
          <w:szCs w:val="16"/>
          <w:lang w:val="es-ES"/>
        </w:rPr>
        <w:t xml:space="preserve"> </w:t>
      </w:r>
    </w:p>
  </w:footnote>
  <w:footnote w:id="18">
    <w:p w14:paraId="7FC62B97" w14:textId="77777777" w:rsidR="00452A8D" w:rsidRPr="00326282" w:rsidRDefault="00452A8D" w:rsidP="00452A8D">
      <w:pPr>
        <w:shd w:val="clear" w:color="auto" w:fill="FFFFFF"/>
        <w:spacing w:after="0" w:line="240" w:lineRule="auto"/>
        <w:ind w:firstLine="709"/>
        <w:jc w:val="both"/>
        <w:rPr>
          <w:rFonts w:ascii="Verdana" w:hAnsi="Verdana" w:cs="Arial"/>
          <w:sz w:val="14"/>
          <w:szCs w:val="14"/>
          <w:lang w:val="es-ES"/>
        </w:rPr>
      </w:pPr>
      <w:r w:rsidRPr="00326282">
        <w:rPr>
          <w:rStyle w:val="Refdenotaalpie"/>
          <w:rFonts w:ascii="Verdana" w:hAnsi="Verdana" w:cs="Arial"/>
          <w:sz w:val="14"/>
          <w:szCs w:val="14"/>
        </w:rPr>
        <w:footnoteRef/>
      </w:r>
      <w:r w:rsidRPr="00326282">
        <w:rPr>
          <w:rStyle w:val="Refdenotaalpie"/>
          <w:rFonts w:ascii="Verdana" w:hAnsi="Verdana" w:cs="Arial"/>
          <w:sz w:val="14"/>
          <w:szCs w:val="14"/>
        </w:rPr>
        <w:t xml:space="preserve"> </w:t>
      </w:r>
      <w:r w:rsidRPr="00326282">
        <w:rPr>
          <w:rFonts w:ascii="Verdana" w:hAnsi="Verdana" w:cs="Arial"/>
          <w:sz w:val="14"/>
          <w:szCs w:val="14"/>
          <w:lang w:val="es-ES"/>
        </w:rPr>
        <w:t>Consejo de Estado. Sala de Consulta y Servicio Civil, Concepto de 8 de mayo de 2018. Radicación Número: 11001-03-06-000-2018-00095-00(2382). C.P. Álvaro Namén Vargas.</w:t>
      </w:r>
    </w:p>
  </w:footnote>
  <w:footnote w:id="19">
    <w:p w14:paraId="70833976" w14:textId="77777777" w:rsidR="00452A8D" w:rsidRPr="004B35AC" w:rsidRDefault="00452A8D" w:rsidP="00452A8D">
      <w:pPr>
        <w:pStyle w:val="Textonotapie"/>
        <w:ind w:firstLine="709"/>
        <w:jc w:val="both"/>
        <w:rPr>
          <w:rFonts w:ascii="Verdana" w:hAnsi="Verdana" w:cs="Arial"/>
          <w:sz w:val="16"/>
          <w:szCs w:val="16"/>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del 08 de mayo de 2018. Exp. 2.382. C.P. Álvaro Namén Vargas.</w:t>
      </w:r>
    </w:p>
  </w:footnote>
  <w:footnote w:id="20">
    <w:p w14:paraId="75405C93" w14:textId="77777777" w:rsidR="00452A8D" w:rsidRPr="00326282" w:rsidRDefault="00452A8D" w:rsidP="00452A8D">
      <w:pPr>
        <w:pStyle w:val="Textonotapie"/>
        <w:ind w:firstLine="708"/>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412C6538" w14:textId="77777777" w:rsidR="00452A8D" w:rsidRPr="004B35AC" w:rsidRDefault="00452A8D" w:rsidP="00452A8D">
      <w:pPr>
        <w:pStyle w:val="Textonotapie"/>
        <w:ind w:firstLine="709"/>
        <w:jc w:val="both"/>
        <w:rPr>
          <w:rFonts w:ascii="Verdana" w:hAnsi="Verdana" w:cs="Arial"/>
          <w:sz w:val="16"/>
          <w:szCs w:val="16"/>
        </w:rPr>
      </w:pPr>
      <w:r w:rsidRPr="00326282">
        <w:rPr>
          <w:rStyle w:val="Refdenotaalpie"/>
          <w:rFonts w:ascii="Verdana" w:hAnsi="Verdana" w:cs="Arial"/>
          <w:sz w:val="14"/>
          <w:szCs w:val="14"/>
        </w:rPr>
        <w:footnoteRef/>
      </w:r>
      <w:r w:rsidRPr="00326282">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5F33EBE2" w14:textId="77777777" w:rsidR="00452A8D" w:rsidRPr="00326282" w:rsidRDefault="00452A8D" w:rsidP="00452A8D">
      <w:pPr>
        <w:spacing w:after="0" w:line="240" w:lineRule="auto"/>
        <w:ind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65ED356F" w14:textId="77777777" w:rsidR="00452A8D" w:rsidRPr="00326282" w:rsidRDefault="00452A8D" w:rsidP="00452A8D">
      <w:pPr>
        <w:pStyle w:val="Textonotapie"/>
        <w:ind w:right="51" w:firstLine="709"/>
        <w:jc w:val="both"/>
        <w:rPr>
          <w:rFonts w:ascii="Verdana" w:eastAsia="Times New Roman" w:hAnsi="Verdana" w:cs="Arial"/>
          <w:bCs/>
          <w:sz w:val="14"/>
          <w:szCs w:val="14"/>
          <w:lang w:eastAsia="x-none"/>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 6 de abril de 2006. Radicación Número: 11001-03-06-000-2006-00038-00 (1738). C.P. Enrique José Arboleda Perdomo:</w:t>
      </w:r>
      <w:r w:rsidRPr="00326282">
        <w:rPr>
          <w:rFonts w:ascii="Verdana" w:eastAsia="Times New Roman" w:hAnsi="Verdana" w:cs="Arial"/>
          <w:bCs/>
          <w:sz w:val="14"/>
          <w:szCs w:val="14"/>
          <w:lang w:eastAsia="x-none"/>
        </w:rPr>
        <w:t xml:space="preserve"> “</w:t>
      </w:r>
      <w:r w:rsidRPr="00326282">
        <w:rPr>
          <w:rFonts w:ascii="Verdana" w:hAnsi="Verdana" w:cs="Arial"/>
          <w:sz w:val="14"/>
          <w:szCs w:val="14"/>
        </w:rPr>
        <w:t>Si bien en el tema del concepto del que se extractaron los párrafos transcritos, se hacía referencia a las empresas de servicios</w:t>
      </w:r>
      <w:r w:rsidRPr="004B35AC">
        <w:rPr>
          <w:rFonts w:ascii="Verdana" w:hAnsi="Verdana" w:cs="Arial"/>
          <w:sz w:val="16"/>
          <w:szCs w:val="16"/>
        </w:rPr>
        <w:t xml:space="preserve"> </w:t>
      </w:r>
      <w:r w:rsidRPr="00326282">
        <w:rPr>
          <w:rFonts w:ascii="Verdana" w:hAnsi="Verdana" w:cs="Arial"/>
          <w:sz w:val="14"/>
          <w:szCs w:val="14"/>
        </w:rPr>
        <w:t>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326282">
        <w:rPr>
          <w:rFonts w:ascii="Verdana" w:eastAsia="Times New Roman" w:hAnsi="Verdana" w:cs="Arial"/>
          <w:bCs/>
          <w:sz w:val="14"/>
          <w:szCs w:val="14"/>
          <w:lang w:eastAsia="x-none"/>
        </w:rPr>
        <w:t>”.</w:t>
      </w:r>
    </w:p>
  </w:footnote>
  <w:footnote w:id="24">
    <w:p w14:paraId="5827D896" w14:textId="77777777" w:rsidR="00452A8D" w:rsidRPr="00326282" w:rsidRDefault="00452A8D" w:rsidP="00452A8D">
      <w:pPr>
        <w:spacing w:after="0" w:line="240" w:lineRule="auto"/>
        <w:ind w:firstLine="708"/>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 6 de abril de 2006. Radicación Número: 11001-03-06-000-2006-00038-00(1738). Consejero Ponente: Enrique José Arboleda Perdomo. </w:t>
      </w:r>
    </w:p>
  </w:footnote>
  <w:footnote w:id="25">
    <w:p w14:paraId="0BACD69A" w14:textId="77777777" w:rsidR="00452A8D" w:rsidRPr="004B35AC" w:rsidRDefault="00452A8D" w:rsidP="00452A8D">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326282">
        <w:rPr>
          <w:rFonts w:ascii="Verdana" w:hAnsi="Verdana" w:cs="Arial"/>
          <w:sz w:val="14"/>
          <w:szCs w:val="14"/>
        </w:rPr>
        <w:t>Consejo de Estado. Sala de Consulta y Servicio Civil, ídem.</w:t>
      </w:r>
    </w:p>
  </w:footnote>
  <w:footnote w:id="26">
    <w:p w14:paraId="73D6CB20" w14:textId="77777777" w:rsidR="00913682" w:rsidRDefault="00913682" w:rsidP="00913682">
      <w:pPr>
        <w:pStyle w:val="Textonotapie"/>
      </w:pPr>
      <w:r>
        <w:rPr>
          <w:rStyle w:val="Refdenotaalpie"/>
        </w:rPr>
        <w:footnoteRef/>
      </w:r>
      <w:r w:rsidRPr="0093417F">
        <w:rPr>
          <w:rFonts w:ascii="Verdana" w:hAnsi="Verdana"/>
          <w:sz w:val="14"/>
          <w:szCs w:val="14"/>
        </w:rPr>
        <w:t xml:space="preserve"> Circular Externa No. 001 de 2026 Agencia Nacional de Contratación Pública – Colombia Compra Eficiente: </w:t>
      </w:r>
      <w:hyperlink r:id="rId2" w:history="1">
        <w:r w:rsidRPr="0093417F">
          <w:rPr>
            <w:rStyle w:val="Hipervnculo"/>
            <w:rFonts w:ascii="Verdana" w:hAnsi="Verdana"/>
            <w:sz w:val="14"/>
            <w:szCs w:val="14"/>
            <w:lang w:val="es-CO"/>
          </w:rPr>
          <w:t>001-de-2026-Circular-Externa-LEY-DE-GARANTIAS-MAD_recortada-1.pdf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FD1C243" w14:textId="437FE3B7"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12.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BEE3789"/>
    <w:multiLevelType w:val="hybridMultilevel"/>
    <w:tmpl w:val="704695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C6C326F"/>
    <w:multiLevelType w:val="hybridMultilevel"/>
    <w:tmpl w:val="23A835FC"/>
    <w:lvl w:ilvl="0" w:tplc="12F8FFB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AF841D4"/>
    <w:multiLevelType w:val="multilevel"/>
    <w:tmpl w:val="60D672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067070113">
    <w:abstractNumId w:val="9"/>
  </w:num>
  <w:num w:numId="17" w16cid:durableId="1577283078">
    <w:abstractNumId w:val="2"/>
  </w:num>
  <w:num w:numId="18" w16cid:durableId="202501057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B34"/>
    <w:rsid w:val="00016F78"/>
    <w:rsid w:val="00017963"/>
    <w:rsid w:val="0002663C"/>
    <w:rsid w:val="00046945"/>
    <w:rsid w:val="00061B2A"/>
    <w:rsid w:val="00082362"/>
    <w:rsid w:val="00084B1C"/>
    <w:rsid w:val="000A683E"/>
    <w:rsid w:val="000B19B9"/>
    <w:rsid w:val="000D0334"/>
    <w:rsid w:val="000D5DA7"/>
    <w:rsid w:val="000E0AB8"/>
    <w:rsid w:val="000E4E19"/>
    <w:rsid w:val="000F6486"/>
    <w:rsid w:val="001046BF"/>
    <w:rsid w:val="001149A1"/>
    <w:rsid w:val="00115C56"/>
    <w:rsid w:val="00115CC9"/>
    <w:rsid w:val="00116940"/>
    <w:rsid w:val="00117DF0"/>
    <w:rsid w:val="00125105"/>
    <w:rsid w:val="00127233"/>
    <w:rsid w:val="0015699B"/>
    <w:rsid w:val="00163382"/>
    <w:rsid w:val="00172A1A"/>
    <w:rsid w:val="001873CA"/>
    <w:rsid w:val="001973FC"/>
    <w:rsid w:val="001A33BF"/>
    <w:rsid w:val="001A624D"/>
    <w:rsid w:val="001B3D5F"/>
    <w:rsid w:val="001E3A12"/>
    <w:rsid w:val="001E4177"/>
    <w:rsid w:val="001E4B0F"/>
    <w:rsid w:val="001F0455"/>
    <w:rsid w:val="001F0B24"/>
    <w:rsid w:val="001F0E7F"/>
    <w:rsid w:val="001F7DC6"/>
    <w:rsid w:val="00206BA4"/>
    <w:rsid w:val="00207104"/>
    <w:rsid w:val="002119CE"/>
    <w:rsid w:val="0022400B"/>
    <w:rsid w:val="002313ED"/>
    <w:rsid w:val="00234D6C"/>
    <w:rsid w:val="002421BB"/>
    <w:rsid w:val="0025796E"/>
    <w:rsid w:val="00263563"/>
    <w:rsid w:val="002707A2"/>
    <w:rsid w:val="00272FE5"/>
    <w:rsid w:val="002951A0"/>
    <w:rsid w:val="002962BC"/>
    <w:rsid w:val="002A093D"/>
    <w:rsid w:val="002A0D41"/>
    <w:rsid w:val="002A0DD0"/>
    <w:rsid w:val="002A49AC"/>
    <w:rsid w:val="002A64FD"/>
    <w:rsid w:val="002B396E"/>
    <w:rsid w:val="002B3D7D"/>
    <w:rsid w:val="002C7A84"/>
    <w:rsid w:val="002E2BF8"/>
    <w:rsid w:val="002E4FD9"/>
    <w:rsid w:val="0030657A"/>
    <w:rsid w:val="00310267"/>
    <w:rsid w:val="0031796F"/>
    <w:rsid w:val="003222D8"/>
    <w:rsid w:val="00322A85"/>
    <w:rsid w:val="00323760"/>
    <w:rsid w:val="00324168"/>
    <w:rsid w:val="00330834"/>
    <w:rsid w:val="003435E1"/>
    <w:rsid w:val="003448F4"/>
    <w:rsid w:val="00360B51"/>
    <w:rsid w:val="0036469D"/>
    <w:rsid w:val="00364C3F"/>
    <w:rsid w:val="00365D62"/>
    <w:rsid w:val="003673D7"/>
    <w:rsid w:val="003731AE"/>
    <w:rsid w:val="00374F5E"/>
    <w:rsid w:val="00377E3E"/>
    <w:rsid w:val="003A779E"/>
    <w:rsid w:val="003D0F4D"/>
    <w:rsid w:val="003D5B0D"/>
    <w:rsid w:val="003D7D12"/>
    <w:rsid w:val="003E0499"/>
    <w:rsid w:val="003E25C1"/>
    <w:rsid w:val="003E4F80"/>
    <w:rsid w:val="003E6281"/>
    <w:rsid w:val="003E6439"/>
    <w:rsid w:val="003F3941"/>
    <w:rsid w:val="003F764D"/>
    <w:rsid w:val="00406575"/>
    <w:rsid w:val="00414C74"/>
    <w:rsid w:val="0042722E"/>
    <w:rsid w:val="0043004D"/>
    <w:rsid w:val="004403DC"/>
    <w:rsid w:val="00441BCE"/>
    <w:rsid w:val="00442EEF"/>
    <w:rsid w:val="00442F9C"/>
    <w:rsid w:val="0044528D"/>
    <w:rsid w:val="00452A8D"/>
    <w:rsid w:val="00466E39"/>
    <w:rsid w:val="0047653F"/>
    <w:rsid w:val="004852B6"/>
    <w:rsid w:val="00490DED"/>
    <w:rsid w:val="004A1847"/>
    <w:rsid w:val="004A305D"/>
    <w:rsid w:val="004A76F4"/>
    <w:rsid w:val="004F0EB0"/>
    <w:rsid w:val="004F21C4"/>
    <w:rsid w:val="004F685F"/>
    <w:rsid w:val="00522A64"/>
    <w:rsid w:val="00530B57"/>
    <w:rsid w:val="005566E8"/>
    <w:rsid w:val="00563FFD"/>
    <w:rsid w:val="005662D9"/>
    <w:rsid w:val="00574867"/>
    <w:rsid w:val="00585340"/>
    <w:rsid w:val="00591460"/>
    <w:rsid w:val="00594AE5"/>
    <w:rsid w:val="005A3287"/>
    <w:rsid w:val="005A65E0"/>
    <w:rsid w:val="005B5DFF"/>
    <w:rsid w:val="005C3777"/>
    <w:rsid w:val="005C5CDC"/>
    <w:rsid w:val="005D476C"/>
    <w:rsid w:val="005F1927"/>
    <w:rsid w:val="005F3768"/>
    <w:rsid w:val="005F5F1B"/>
    <w:rsid w:val="006112C2"/>
    <w:rsid w:val="00612A2E"/>
    <w:rsid w:val="00613E60"/>
    <w:rsid w:val="00614066"/>
    <w:rsid w:val="006200BF"/>
    <w:rsid w:val="006219F8"/>
    <w:rsid w:val="006302F7"/>
    <w:rsid w:val="00636BD2"/>
    <w:rsid w:val="00643092"/>
    <w:rsid w:val="00646B9F"/>
    <w:rsid w:val="00656035"/>
    <w:rsid w:val="00665D70"/>
    <w:rsid w:val="00682248"/>
    <w:rsid w:val="006900D9"/>
    <w:rsid w:val="006A7632"/>
    <w:rsid w:val="006B616D"/>
    <w:rsid w:val="006D1BCA"/>
    <w:rsid w:val="00706C16"/>
    <w:rsid w:val="007226C1"/>
    <w:rsid w:val="00733C12"/>
    <w:rsid w:val="007340C3"/>
    <w:rsid w:val="0075235A"/>
    <w:rsid w:val="00756841"/>
    <w:rsid w:val="007649AB"/>
    <w:rsid w:val="00771D0C"/>
    <w:rsid w:val="007833AC"/>
    <w:rsid w:val="0079540B"/>
    <w:rsid w:val="00795E36"/>
    <w:rsid w:val="007A693A"/>
    <w:rsid w:val="007B268C"/>
    <w:rsid w:val="007B39BB"/>
    <w:rsid w:val="007B3E33"/>
    <w:rsid w:val="007B7171"/>
    <w:rsid w:val="007C0C0F"/>
    <w:rsid w:val="007C3DC2"/>
    <w:rsid w:val="007C51DC"/>
    <w:rsid w:val="007C5CBA"/>
    <w:rsid w:val="007E0B45"/>
    <w:rsid w:val="007E5497"/>
    <w:rsid w:val="008063B9"/>
    <w:rsid w:val="00806F5F"/>
    <w:rsid w:val="00817A16"/>
    <w:rsid w:val="00820278"/>
    <w:rsid w:val="00823D9A"/>
    <w:rsid w:val="008258C9"/>
    <w:rsid w:val="00835273"/>
    <w:rsid w:val="00840C4A"/>
    <w:rsid w:val="00841356"/>
    <w:rsid w:val="00844AE9"/>
    <w:rsid w:val="00852DBA"/>
    <w:rsid w:val="00854E8F"/>
    <w:rsid w:val="00861173"/>
    <w:rsid w:val="00867F95"/>
    <w:rsid w:val="00870AF2"/>
    <w:rsid w:val="008843B6"/>
    <w:rsid w:val="00891928"/>
    <w:rsid w:val="008A446D"/>
    <w:rsid w:val="008B25F1"/>
    <w:rsid w:val="008C0418"/>
    <w:rsid w:val="008D180B"/>
    <w:rsid w:val="008D6C62"/>
    <w:rsid w:val="008F0EA7"/>
    <w:rsid w:val="008F1BBA"/>
    <w:rsid w:val="00913682"/>
    <w:rsid w:val="00916B0C"/>
    <w:rsid w:val="00923EEF"/>
    <w:rsid w:val="0093417F"/>
    <w:rsid w:val="009419F9"/>
    <w:rsid w:val="00942E1C"/>
    <w:rsid w:val="00951C06"/>
    <w:rsid w:val="009563E9"/>
    <w:rsid w:val="0095685E"/>
    <w:rsid w:val="00961B09"/>
    <w:rsid w:val="00965334"/>
    <w:rsid w:val="0097093E"/>
    <w:rsid w:val="00981689"/>
    <w:rsid w:val="00987344"/>
    <w:rsid w:val="00992288"/>
    <w:rsid w:val="00992577"/>
    <w:rsid w:val="009A0DFA"/>
    <w:rsid w:val="009A1C6F"/>
    <w:rsid w:val="009B2D26"/>
    <w:rsid w:val="009C3788"/>
    <w:rsid w:val="009C71FA"/>
    <w:rsid w:val="009C72E7"/>
    <w:rsid w:val="009C7F7E"/>
    <w:rsid w:val="009D3058"/>
    <w:rsid w:val="009F1CE8"/>
    <w:rsid w:val="009F3A13"/>
    <w:rsid w:val="009F62B2"/>
    <w:rsid w:val="00A07E3A"/>
    <w:rsid w:val="00A10503"/>
    <w:rsid w:val="00A122D3"/>
    <w:rsid w:val="00A14468"/>
    <w:rsid w:val="00A17F13"/>
    <w:rsid w:val="00A20739"/>
    <w:rsid w:val="00A23AF9"/>
    <w:rsid w:val="00A33C78"/>
    <w:rsid w:val="00A41290"/>
    <w:rsid w:val="00A4146C"/>
    <w:rsid w:val="00A46365"/>
    <w:rsid w:val="00A91402"/>
    <w:rsid w:val="00A952BB"/>
    <w:rsid w:val="00A96ABC"/>
    <w:rsid w:val="00AB0ADB"/>
    <w:rsid w:val="00AD2E9D"/>
    <w:rsid w:val="00AD3A9D"/>
    <w:rsid w:val="00B00C0E"/>
    <w:rsid w:val="00B01B1A"/>
    <w:rsid w:val="00B0381D"/>
    <w:rsid w:val="00B20FAF"/>
    <w:rsid w:val="00B44A47"/>
    <w:rsid w:val="00B53037"/>
    <w:rsid w:val="00B72CD3"/>
    <w:rsid w:val="00B72FFF"/>
    <w:rsid w:val="00B754A1"/>
    <w:rsid w:val="00BC3D36"/>
    <w:rsid w:val="00BC4C6B"/>
    <w:rsid w:val="00BC7588"/>
    <w:rsid w:val="00BD02C2"/>
    <w:rsid w:val="00BD54A6"/>
    <w:rsid w:val="00BD6173"/>
    <w:rsid w:val="00BD7F72"/>
    <w:rsid w:val="00BE2B7D"/>
    <w:rsid w:val="00BE57AE"/>
    <w:rsid w:val="00BE6441"/>
    <w:rsid w:val="00BF7425"/>
    <w:rsid w:val="00C04FB3"/>
    <w:rsid w:val="00C11D8B"/>
    <w:rsid w:val="00C15139"/>
    <w:rsid w:val="00C32CDD"/>
    <w:rsid w:val="00C330EB"/>
    <w:rsid w:val="00C37F30"/>
    <w:rsid w:val="00C50D69"/>
    <w:rsid w:val="00C5365C"/>
    <w:rsid w:val="00C659EB"/>
    <w:rsid w:val="00C754BE"/>
    <w:rsid w:val="00C76B1C"/>
    <w:rsid w:val="00C82EB9"/>
    <w:rsid w:val="00C8735D"/>
    <w:rsid w:val="00C925AC"/>
    <w:rsid w:val="00CB11FE"/>
    <w:rsid w:val="00CB51A3"/>
    <w:rsid w:val="00CB55C9"/>
    <w:rsid w:val="00CB6357"/>
    <w:rsid w:val="00CC1B26"/>
    <w:rsid w:val="00CC6F1B"/>
    <w:rsid w:val="00CD0DDF"/>
    <w:rsid w:val="00CD1817"/>
    <w:rsid w:val="00CE0374"/>
    <w:rsid w:val="00CE6499"/>
    <w:rsid w:val="00CE7D97"/>
    <w:rsid w:val="00CF2F9C"/>
    <w:rsid w:val="00CF72F4"/>
    <w:rsid w:val="00D361FD"/>
    <w:rsid w:val="00D423A2"/>
    <w:rsid w:val="00D44E26"/>
    <w:rsid w:val="00D520D8"/>
    <w:rsid w:val="00D63AC2"/>
    <w:rsid w:val="00D658B2"/>
    <w:rsid w:val="00D670D0"/>
    <w:rsid w:val="00D7383B"/>
    <w:rsid w:val="00D7528A"/>
    <w:rsid w:val="00D7788A"/>
    <w:rsid w:val="00D920EA"/>
    <w:rsid w:val="00D96652"/>
    <w:rsid w:val="00D977F9"/>
    <w:rsid w:val="00DA231B"/>
    <w:rsid w:val="00DB37BA"/>
    <w:rsid w:val="00DC39FC"/>
    <w:rsid w:val="00DD5751"/>
    <w:rsid w:val="00DF5254"/>
    <w:rsid w:val="00E02524"/>
    <w:rsid w:val="00E16408"/>
    <w:rsid w:val="00E20894"/>
    <w:rsid w:val="00E22CB1"/>
    <w:rsid w:val="00E245AB"/>
    <w:rsid w:val="00E2651D"/>
    <w:rsid w:val="00E2764C"/>
    <w:rsid w:val="00E27F2E"/>
    <w:rsid w:val="00E44342"/>
    <w:rsid w:val="00E50AFE"/>
    <w:rsid w:val="00E66831"/>
    <w:rsid w:val="00E74428"/>
    <w:rsid w:val="00E75C92"/>
    <w:rsid w:val="00E771DC"/>
    <w:rsid w:val="00E8640E"/>
    <w:rsid w:val="00E8772A"/>
    <w:rsid w:val="00E90F6B"/>
    <w:rsid w:val="00E92C27"/>
    <w:rsid w:val="00EA0E3D"/>
    <w:rsid w:val="00EA6687"/>
    <w:rsid w:val="00EC38A7"/>
    <w:rsid w:val="00ED51B9"/>
    <w:rsid w:val="00ED548B"/>
    <w:rsid w:val="00EE1AA8"/>
    <w:rsid w:val="00EF3945"/>
    <w:rsid w:val="00F02980"/>
    <w:rsid w:val="00F145DE"/>
    <w:rsid w:val="00F23FEA"/>
    <w:rsid w:val="00F27A73"/>
    <w:rsid w:val="00F31EDC"/>
    <w:rsid w:val="00F462B3"/>
    <w:rsid w:val="00F47E0E"/>
    <w:rsid w:val="00F5664F"/>
    <w:rsid w:val="00F614C8"/>
    <w:rsid w:val="00F666C4"/>
    <w:rsid w:val="00F709AA"/>
    <w:rsid w:val="00F76AFC"/>
    <w:rsid w:val="00F94F53"/>
    <w:rsid w:val="00F9775B"/>
    <w:rsid w:val="00F97AD1"/>
    <w:rsid w:val="00FA47C0"/>
    <w:rsid w:val="00FB5DD1"/>
    <w:rsid w:val="00FC2B5D"/>
    <w:rsid w:val="00FD0E84"/>
    <w:rsid w:val="00FD1D30"/>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A952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52A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52A8D"/>
    <w:rPr>
      <w:rFonts w:ascii="Geomanist Light" w:hAnsi="Geomanist Light"/>
      <w:lang w:val="es-ES"/>
    </w:rPr>
  </w:style>
  <w:style w:type="character" w:customStyle="1" w:styleId="s15">
    <w:name w:val="s15"/>
    <w:basedOn w:val="Fuentedeprrafopredeter"/>
    <w:rsid w:val="00452A8D"/>
  </w:style>
  <w:style w:type="character" w:customStyle="1" w:styleId="NormalWebCar">
    <w:name w:val="Normal (Web) Car"/>
    <w:link w:val="NormalWeb"/>
    <w:uiPriority w:val="99"/>
    <w:locked/>
    <w:rsid w:val="00452A8D"/>
    <w:rPr>
      <w:rFonts w:ascii="Times New Roman" w:eastAsia="Times New Roman" w:hAnsi="Times New Roman" w:cs="Times New Roman"/>
      <w:sz w:val="24"/>
      <w:szCs w:val="24"/>
      <w:lang w:eastAsia="es-CO"/>
    </w:rPr>
  </w:style>
  <w:style w:type="character" w:customStyle="1" w:styleId="baj">
    <w:name w:val="b_aj"/>
    <w:basedOn w:val="Fuentedeprrafopredeter"/>
    <w:rsid w:val="00452A8D"/>
  </w:style>
  <w:style w:type="character" w:customStyle="1" w:styleId="Ttulo1Car">
    <w:name w:val="Título 1 Car"/>
    <w:basedOn w:val="Fuentedeprrafopredeter"/>
    <w:link w:val="Ttulo1"/>
    <w:uiPriority w:val="9"/>
    <w:rsid w:val="00A952BB"/>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6/01/001-de-2026-Circular-Externa-LEY-DE-GARANTIAS-MAD_recortada-1.pdf" TargetMode="External"/><Relationship Id="rId18" Type="http://schemas.openxmlformats.org/officeDocument/2006/relationships/hyperlink" Target="http://www.colombiacompra.gov.co"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trianaandres_@hot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6/01/001-de-2026-Circular-Externa-LEY-DE-GARANTIAS-MAD_recortada-1.pdf" TargetMode="External"/><Relationship Id="rId1" Type="http://schemas.openxmlformats.org/officeDocument/2006/relationships/hyperlink" Target="https://www.colombiacompra.gov.co/wp-content/uploads/2026/01/001-de-2026-Circular-Externa-LEY-DE-GARANTIAS-MAD_recortada-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7f396a88abf4041777dc3b53343e19ba">
  <xsd:schema xmlns:xsd="http://www.w3.org/2001/XMLSchema" xmlns:xs="http://www.w3.org/2001/XMLSchema" xmlns:p="http://schemas.microsoft.com/office/2006/metadata/properties" xmlns:ns2="fb02ccb1-9bfe-43f1-9075-a12505bf7b0f" targetNamespace="http://schemas.microsoft.com/office/2006/metadata/properties" ma:root="true" ma:fieldsID="06f13dd87e57b5e4305f0f5ed234e613"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5118D82-73C9-4B33-B580-FDF6688785E6}">
  <ds:schemaRefs>
    <ds:schemaRef ds:uri="http://schemas.openxmlformats.org/officeDocument/2006/bibliography"/>
  </ds:schemaRefs>
</ds:datastoreItem>
</file>

<file path=customXml/itemProps2.xml><?xml version="1.0" encoding="utf-8"?>
<ds:datastoreItem xmlns:ds="http://schemas.openxmlformats.org/officeDocument/2006/customXml" ds:itemID="{4BC6E996-5B66-4B64-9B9E-0B5AC85FBE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23</Pages>
  <Words>8079</Words>
  <Characters>44437</Characters>
  <Application>Microsoft Office Word</Application>
  <DocSecurity>0</DocSecurity>
  <Lines>370</Lines>
  <Paragraphs>104</Paragraphs>
  <ScaleCrop>false</ScaleCrop>
  <Company/>
  <LinksUpToDate>false</LinksUpToDate>
  <CharactersWithSpaces>52412</CharactersWithSpaces>
  <SharedDoc>false</SharedDoc>
  <HLinks>
    <vt:vector size="42" baseType="variant">
      <vt:variant>
        <vt:i4>6029407</vt:i4>
      </vt:variant>
      <vt:variant>
        <vt:i4>15</vt:i4>
      </vt:variant>
      <vt:variant>
        <vt:i4>0</vt:i4>
      </vt:variant>
      <vt:variant>
        <vt:i4>5</vt:i4>
      </vt:variant>
      <vt:variant>
        <vt:lpwstr>http://www.colombiacompra.gov.co/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3211325</vt:i4>
      </vt:variant>
      <vt:variant>
        <vt:i4>0</vt:i4>
      </vt:variant>
      <vt:variant>
        <vt:i4>0</vt:i4>
      </vt:variant>
      <vt:variant>
        <vt:i4>5</vt:i4>
      </vt:variant>
      <vt:variant>
        <vt:lpwstr>mailto:trianaandres_@hotmail.com</vt:lpwstr>
      </vt:variant>
      <vt:variant>
        <vt:lpwstr/>
      </vt:variant>
      <vt:variant>
        <vt:i4>2621470</vt:i4>
      </vt:variant>
      <vt:variant>
        <vt:i4>0</vt:i4>
      </vt:variant>
      <vt:variant>
        <vt:i4>0</vt:i4>
      </vt:variant>
      <vt:variant>
        <vt:i4>5</vt:i4>
      </vt:variant>
      <vt:variant>
        <vt:lpwstr>https://www.colombiacompra.gov.co/wp-content/uploads/2026/01/001-de-2026-Circular-Externa-LEY-DE-GARANTIAS-MAD_recortada-1.pdf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5</cp:revision>
  <cp:lastPrinted>2023-01-10T21:18:00Z</cp:lastPrinted>
  <dcterms:created xsi:type="dcterms:W3CDTF">2026-05-11T20:18:00Z</dcterms:created>
  <dcterms:modified xsi:type="dcterms:W3CDTF">2026-05-11T20:25:00Z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