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489B9" w14:textId="77777777" w:rsidR="00BE634C" w:rsidRPr="00DC1867" w:rsidRDefault="00BE634C" w:rsidP="00BE634C">
      <w:pPr>
        <w:spacing w:after="0"/>
        <w:jc w:val="both"/>
        <w:rPr>
          <w:rFonts w:ascii="Verdana" w:eastAsia="Arial" w:hAnsi="Verdana"/>
          <w:b/>
          <w:bCs/>
          <w:lang w:val="es-ES" w:eastAsia="es-ES_tradnl"/>
        </w:rPr>
      </w:pPr>
      <w:bookmarkStart w:id="0" w:name="_Hlk143780582"/>
      <w:r>
        <w:rPr>
          <w:rFonts w:ascii="Verdana" w:eastAsia="Arial" w:hAnsi="Verdana"/>
          <w:b/>
          <w:bCs/>
          <w:lang w:val="es-ES" w:eastAsia="es-ES_tradnl"/>
        </w:rPr>
        <w:t xml:space="preserve">RÉGIMEN DE INHABILIDAD E INCOMPATIBILIDAD – Concepto  </w:t>
      </w:r>
    </w:p>
    <w:p w14:paraId="31044D7C" w14:textId="77777777" w:rsidR="00BE634C" w:rsidRPr="00DC1867" w:rsidRDefault="00BE634C" w:rsidP="00BE634C">
      <w:pPr>
        <w:spacing w:after="0"/>
        <w:jc w:val="both"/>
        <w:rPr>
          <w:rFonts w:ascii="Verdana" w:eastAsia="Arial" w:hAnsi="Verdana"/>
          <w:b/>
          <w:bCs/>
          <w:lang w:val="es-ES" w:eastAsia="es-ES_tradnl"/>
        </w:rPr>
      </w:pPr>
    </w:p>
    <w:p w14:paraId="0D1D5F46" w14:textId="77777777" w:rsidR="00BE634C" w:rsidRPr="001306C5" w:rsidRDefault="00BE634C" w:rsidP="00BE634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Pr>
          <w:rFonts w:ascii="Verdana" w:eastAsia="Calibri" w:hAnsi="Verdana" w:cs="Arial"/>
          <w:color w:val="000000" w:themeColor="text1"/>
          <w:sz w:val="20"/>
          <w:szCs w:val="20"/>
          <w:lang w:val="es-ES"/>
        </w:rPr>
        <w:t>ii</w:t>
      </w:r>
      <w:proofErr w:type="spellEnd"/>
      <w:r>
        <w:rPr>
          <w:rFonts w:ascii="Verdana" w:eastAsia="Calibri" w:hAnsi="Verdana" w:cs="Arial"/>
          <w:color w:val="000000" w:themeColor="text1"/>
          <w:sz w:val="20"/>
          <w:szCs w:val="20"/>
          <w:lang w:val="es-ES"/>
        </w:rPr>
        <w:t xml:space="preserve">) de vínculos personales relativos al parentesco o al estado civil o </w:t>
      </w:r>
      <w:proofErr w:type="spellStart"/>
      <w:r>
        <w:rPr>
          <w:rFonts w:ascii="Verdana" w:eastAsia="Calibri" w:hAnsi="Verdana" w:cs="Arial"/>
          <w:color w:val="000000" w:themeColor="text1"/>
          <w:sz w:val="20"/>
          <w:szCs w:val="20"/>
          <w:lang w:val="es-ES"/>
        </w:rPr>
        <w:t>iii</w:t>
      </w:r>
      <w:proofErr w:type="spellEnd"/>
      <w:r>
        <w:rPr>
          <w:rFonts w:ascii="Verdana" w:eastAsia="Calibri" w:hAnsi="Verdana" w:cs="Arial"/>
          <w:color w:val="000000" w:themeColor="text1"/>
          <w:sz w:val="20"/>
          <w:szCs w:val="20"/>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p>
    <w:p w14:paraId="3ADCB003" w14:textId="77777777" w:rsidR="00BE634C" w:rsidRPr="00DC1867" w:rsidRDefault="00BE634C" w:rsidP="00BE634C">
      <w:pPr>
        <w:spacing w:after="0"/>
        <w:jc w:val="both"/>
        <w:rPr>
          <w:rFonts w:ascii="Verdana" w:eastAsia="Arial" w:hAnsi="Verdana"/>
          <w:b/>
          <w:bCs/>
          <w:lang w:val="es-ES" w:eastAsia="es-ES_tradnl"/>
        </w:rPr>
      </w:pPr>
    </w:p>
    <w:p w14:paraId="3F5923AE" w14:textId="77777777" w:rsidR="00BE634C" w:rsidRPr="00DC1867" w:rsidRDefault="00BE634C" w:rsidP="00BE634C">
      <w:pPr>
        <w:spacing w:after="0" w:line="240" w:lineRule="auto"/>
        <w:jc w:val="both"/>
        <w:rPr>
          <w:rFonts w:ascii="Verdana" w:eastAsia="Calibri" w:hAnsi="Verdana" w:cs="Arial"/>
          <w:b/>
          <w:bCs/>
          <w:color w:val="000000" w:themeColor="text1"/>
          <w:lang w:val="es-ES_tradnl"/>
        </w:rPr>
      </w:pPr>
      <w:r>
        <w:rPr>
          <w:rFonts w:ascii="Verdana" w:eastAsia="Calibri" w:hAnsi="Verdana" w:cs="Arial"/>
          <w:b/>
          <w:bCs/>
          <w:color w:val="000000" w:themeColor="text1"/>
          <w:lang w:val="es-ES_tradnl"/>
        </w:rPr>
        <w:t>INHABILIDADES E INCOMPATIBILIDADES ― Interpretación restrictiva</w:t>
      </w:r>
    </w:p>
    <w:p w14:paraId="59BA93B7" w14:textId="77777777" w:rsidR="00BE634C" w:rsidRPr="00DC1867" w:rsidRDefault="00BE634C" w:rsidP="00BE634C">
      <w:pPr>
        <w:spacing w:after="0" w:line="240" w:lineRule="auto"/>
        <w:jc w:val="both"/>
        <w:rPr>
          <w:rFonts w:ascii="Verdana" w:eastAsia="Calibri" w:hAnsi="Verdana" w:cs="Arial"/>
          <w:color w:val="000000" w:themeColor="text1"/>
          <w:lang w:val="es-ES_tradnl"/>
        </w:rPr>
      </w:pPr>
    </w:p>
    <w:p w14:paraId="65C1B496" w14:textId="77777777" w:rsidR="00BE634C" w:rsidRPr="001306C5" w:rsidRDefault="00BE634C" w:rsidP="00BE634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5339C7EA" w14:textId="77777777" w:rsidR="00BE634C" w:rsidRPr="001306C5" w:rsidRDefault="00BE634C" w:rsidP="00BE634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w:t>
      </w:r>
    </w:p>
    <w:p w14:paraId="6AB74BA6" w14:textId="77777777" w:rsidR="00BE634C" w:rsidRPr="001306C5" w:rsidRDefault="00BE634C" w:rsidP="00BE634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 xml:space="preserve">Como se aprecia, el principio pro </w:t>
      </w:r>
      <w:proofErr w:type="spellStart"/>
      <w:r>
        <w:rPr>
          <w:rFonts w:ascii="Verdana" w:eastAsia="Calibri" w:hAnsi="Verdana" w:cs="Arial"/>
          <w:color w:val="000000" w:themeColor="text1"/>
          <w:sz w:val="20"/>
          <w:szCs w:val="20"/>
          <w:lang w:val="es-ES"/>
        </w:rPr>
        <w:t>libertate</w:t>
      </w:r>
      <w:proofErr w:type="spellEnd"/>
      <w:r>
        <w:rPr>
          <w:rFonts w:ascii="Verdana" w:eastAsia="Calibri" w:hAnsi="Verdana" w:cs="Arial"/>
          <w:color w:val="000000" w:themeColor="text1"/>
          <w:sz w:val="20"/>
          <w:szCs w:val="20"/>
          <w:lang w:val="es-ES"/>
        </w:rPr>
        <w:t xml:space="preserve"> es el que debe dirigir la interpretación de las disposiciones normativas que consagran restricciones de derechos, como sucede con las causales de inhabilidad e incompatibilidad en la contratación estatal. </w:t>
      </w:r>
    </w:p>
    <w:p w14:paraId="14DE11DF" w14:textId="77777777" w:rsidR="00BE634C" w:rsidRPr="00DC1867" w:rsidRDefault="00BE634C" w:rsidP="00BE634C">
      <w:pPr>
        <w:spacing w:after="0"/>
        <w:jc w:val="both"/>
        <w:rPr>
          <w:rFonts w:ascii="Verdana" w:eastAsia="Arial" w:hAnsi="Verdana"/>
          <w:b/>
          <w:bCs/>
          <w:lang w:val="es-ES" w:eastAsia="es-ES_tradnl"/>
        </w:rPr>
      </w:pPr>
    </w:p>
    <w:p w14:paraId="26606770" w14:textId="77777777" w:rsidR="00BE634C" w:rsidRDefault="00BE634C" w:rsidP="00BE634C">
      <w:pPr>
        <w:spacing w:after="0" w:line="240" w:lineRule="auto"/>
        <w:jc w:val="both"/>
        <w:rPr>
          <w:rFonts w:ascii="Verdana" w:eastAsia="Calibri" w:hAnsi="Verdana" w:cs="Arial"/>
          <w:b/>
          <w:bCs/>
          <w:lang w:val="es-ES_tradnl"/>
        </w:rPr>
      </w:pPr>
      <w:r>
        <w:rPr>
          <w:rFonts w:ascii="Verdana" w:eastAsia="Calibri" w:hAnsi="Verdana" w:cs="Arial"/>
          <w:b/>
          <w:bCs/>
          <w:lang w:val="es-ES_tradnl"/>
        </w:rPr>
        <w:t xml:space="preserve">PROHIBICIÓN PARA CONTRATAR – Incompatibilidad – Servidores Públicos – Docentes de Universidades Públicas </w:t>
      </w:r>
    </w:p>
    <w:p w14:paraId="03D9EA1C" w14:textId="77777777" w:rsidR="00AD1AB0" w:rsidRDefault="00AD1AB0" w:rsidP="00AD1AB0">
      <w:pPr>
        <w:shd w:val="clear" w:color="auto" w:fill="FFFFFF"/>
        <w:spacing w:after="120"/>
        <w:jc w:val="both"/>
        <w:rPr>
          <w:rFonts w:ascii="Verdana" w:hAnsi="Verdana"/>
        </w:rPr>
      </w:pPr>
    </w:p>
    <w:p w14:paraId="0E8BD5CE" w14:textId="53A625BB" w:rsidR="00AD1AB0" w:rsidRPr="008521B4" w:rsidRDefault="00AD1AB0" w:rsidP="00BE634C">
      <w:pPr>
        <w:spacing w:after="0" w:line="240" w:lineRule="auto"/>
        <w:jc w:val="both"/>
        <w:rPr>
          <w:rFonts w:ascii="Verdana" w:eastAsia="Calibri" w:hAnsi="Verdana" w:cs="Arial"/>
          <w:sz w:val="20"/>
          <w:szCs w:val="20"/>
          <w:lang w:val="es-ES_tradnl"/>
        </w:rPr>
      </w:pPr>
      <w:r w:rsidRPr="008521B4">
        <w:rPr>
          <w:rFonts w:ascii="Verdana" w:eastAsia="Calibri" w:hAnsi="Verdana" w:cs="Arial"/>
          <w:sz w:val="20"/>
          <w:szCs w:val="20"/>
          <w:lang w:val="es-ES_tradnl"/>
        </w:rPr>
        <w:t>En ese orden, en la medida en que la prohibición del artículo 128 de la Carta y el literal f) del numeral 1 del artículo 8 de la Ley 80 de 1993 restringen la celebración de contratos con cualquier entidad pública por parte de quienes tengan la calidad de servidores públicos, podría configurarse la incompatibilidad prevista en dichas normas respecto del docente de tiempo completo de una universidad pública que celebre un contrato de medio tiempo con una EPS pública para ejercer la medicina, con independencia del no cruce de horarios</w:t>
      </w:r>
      <w:r w:rsidR="008521B4">
        <w:rPr>
          <w:rFonts w:ascii="Verdana" w:eastAsia="Calibri" w:hAnsi="Verdana" w:cs="Arial"/>
          <w:sz w:val="20"/>
          <w:szCs w:val="20"/>
          <w:lang w:val="es-ES_tradnl"/>
        </w:rPr>
        <w:t>.</w:t>
      </w:r>
    </w:p>
    <w:p w14:paraId="7A941C9A" w14:textId="77777777" w:rsidR="008521B4" w:rsidRDefault="008521B4" w:rsidP="007C31D6">
      <w:pPr>
        <w:spacing w:after="0" w:line="240" w:lineRule="auto"/>
        <w:rPr>
          <w:rFonts w:ascii="Verdana" w:eastAsia="Calibri" w:hAnsi="Verdana" w:cs="Arial"/>
          <w:bCs/>
          <w:sz w:val="20"/>
          <w:szCs w:val="20"/>
          <w:lang w:eastAsia="es-ES_tradnl"/>
        </w:rPr>
      </w:pPr>
    </w:p>
    <w:p w14:paraId="3CD9C233" w14:textId="49F12805" w:rsidR="007C31D6" w:rsidRPr="008521B4" w:rsidRDefault="0089229C" w:rsidP="007C31D6">
      <w:pPr>
        <w:spacing w:after="0" w:line="240" w:lineRule="auto"/>
        <w:rPr>
          <w:rFonts w:ascii="Verdana" w:eastAsia="Calibri" w:hAnsi="Verdana" w:cs="Arial"/>
          <w:bCs/>
          <w:lang w:eastAsia="es-ES_tradnl"/>
        </w:rPr>
      </w:pPr>
      <w:r w:rsidRPr="008521B4">
        <w:rPr>
          <w:rFonts w:ascii="Verdana" w:eastAsia="Calibri" w:hAnsi="Verdana" w:cs="Arial"/>
          <w:bCs/>
          <w:lang w:eastAsia="es-ES_tradnl"/>
        </w:rPr>
        <w:lastRenderedPageBreak/>
        <w:t xml:space="preserve">Bogotá D.C., 14 de </w:t>
      </w:r>
      <w:r w:rsidR="008521B4" w:rsidRPr="008521B4">
        <w:rPr>
          <w:rFonts w:ascii="Verdana" w:eastAsia="Calibri" w:hAnsi="Verdana" w:cs="Arial"/>
          <w:bCs/>
          <w:lang w:eastAsia="es-ES_tradnl"/>
        </w:rPr>
        <w:t>mayo</w:t>
      </w:r>
      <w:r w:rsidRPr="008521B4">
        <w:rPr>
          <w:rFonts w:ascii="Verdana" w:eastAsia="Calibri" w:hAnsi="Verdana" w:cs="Arial"/>
          <w:bCs/>
          <w:lang w:eastAsia="es-ES_tradnl"/>
        </w:rPr>
        <w:t xml:space="preserve"> de 2026</w:t>
      </w:r>
    </w:p>
    <w:p w14:paraId="08FBFB98" w14:textId="4437A684" w:rsidR="007C31D6" w:rsidRDefault="007C31D6" w:rsidP="007C31D6">
      <w:pPr>
        <w:spacing w:after="0" w:line="240" w:lineRule="auto"/>
        <w:rPr>
          <w:rFonts w:ascii="Verdana" w:eastAsia="Calibri" w:hAnsi="Verdana" w:cs="Arial"/>
          <w:b/>
          <w:bCs/>
          <w:lang w:eastAsia="es-ES_tradnl"/>
        </w:rPr>
      </w:pPr>
    </w:p>
    <w:p w14:paraId="63E85A67" w14:textId="25FBEC7F" w:rsidR="0089229C" w:rsidRDefault="008521B4" w:rsidP="007C31D6">
      <w:pPr>
        <w:spacing w:after="0" w:line="240" w:lineRule="auto"/>
        <w:rPr>
          <w:rFonts w:ascii="Verdana" w:eastAsia="Calibri" w:hAnsi="Verdana" w:cs="Arial"/>
          <w:lang w:eastAsia="es-ES_tradnl"/>
        </w:rPr>
      </w:pPr>
      <w:r w:rsidRPr="0089229C">
        <w:rPr>
          <w:rFonts w:ascii="Verdana" w:eastAsia="Calibri" w:hAnsi="Verdana" w:cs="Arial"/>
          <w:noProof/>
          <w:lang w:eastAsia="es-ES_tradnl"/>
        </w:rPr>
        <w:drawing>
          <wp:anchor distT="0" distB="0" distL="114300" distR="114300" simplePos="0" relativeHeight="251658240" behindDoc="1" locked="0" layoutInCell="1" allowOverlap="1" wp14:anchorId="03A4A28C" wp14:editId="4CAC961C">
            <wp:simplePos x="0" y="0"/>
            <wp:positionH relativeFrom="margin">
              <wp:align>right</wp:align>
            </wp:positionH>
            <wp:positionV relativeFrom="paragraph">
              <wp:posOffset>75510</wp:posOffset>
            </wp:positionV>
            <wp:extent cx="2513330" cy="748665"/>
            <wp:effectExtent l="0" t="0" r="1270" b="0"/>
            <wp:wrapSquare wrapText="bothSides"/>
            <wp:docPr id="6971461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146160" name=""/>
                    <pic:cNvPicPr/>
                  </pic:nvPicPr>
                  <pic:blipFill>
                    <a:blip r:embed="rId10">
                      <a:extLst>
                        <a:ext uri="{28A0092B-C50C-407E-A947-70E740481C1C}">
                          <a14:useLocalDpi xmlns:a14="http://schemas.microsoft.com/office/drawing/2010/main" val="0"/>
                        </a:ext>
                      </a:extLst>
                    </a:blip>
                    <a:stretch>
                      <a:fillRect/>
                    </a:stretch>
                  </pic:blipFill>
                  <pic:spPr>
                    <a:xfrm>
                      <a:off x="0" y="0"/>
                      <a:ext cx="2513330" cy="748665"/>
                    </a:xfrm>
                    <a:prstGeom prst="rect">
                      <a:avLst/>
                    </a:prstGeom>
                  </pic:spPr>
                </pic:pic>
              </a:graphicData>
            </a:graphic>
            <wp14:sizeRelH relativeFrom="page">
              <wp14:pctWidth>0</wp14:pctWidth>
            </wp14:sizeRelH>
            <wp14:sizeRelV relativeFrom="page">
              <wp14:pctHeight>0</wp14:pctHeight>
            </wp14:sizeRelV>
          </wp:anchor>
        </w:drawing>
      </w:r>
    </w:p>
    <w:p w14:paraId="13FDBDFB" w14:textId="6E91A15D" w:rsidR="007C31D6"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3E379B61" w14:textId="2AA4BAE2" w:rsidR="007B69DC" w:rsidRPr="00AD1AB0" w:rsidRDefault="007B69DC" w:rsidP="007C31D6">
      <w:pPr>
        <w:spacing w:after="0" w:line="240" w:lineRule="auto"/>
        <w:rPr>
          <w:rFonts w:ascii="Verdana" w:eastAsia="Calibri" w:hAnsi="Verdana" w:cs="Arial"/>
          <w:b/>
          <w:bCs/>
          <w:lang w:eastAsia="es-ES_tradnl"/>
        </w:rPr>
      </w:pPr>
      <w:r w:rsidRPr="00AD1AB0">
        <w:rPr>
          <w:rFonts w:ascii="Verdana" w:eastAsia="Calibri" w:hAnsi="Verdana" w:cs="Arial"/>
          <w:b/>
          <w:bCs/>
          <w:lang w:eastAsia="es-ES_tradnl"/>
        </w:rPr>
        <w:t>Jesús Antonio Chaustre Buitrago</w:t>
      </w:r>
    </w:p>
    <w:p w14:paraId="086DFE29" w14:textId="2B62A19A" w:rsidR="007C31D6" w:rsidRPr="007211E4" w:rsidRDefault="007B69DC" w:rsidP="007C31D6">
      <w:pPr>
        <w:spacing w:after="0" w:line="240" w:lineRule="auto"/>
        <w:rPr>
          <w:rFonts w:ascii="Verdana" w:eastAsia="Calibri" w:hAnsi="Verdana" w:cs="Arial"/>
          <w:lang w:eastAsia="es-ES_tradnl"/>
        </w:rPr>
      </w:pPr>
      <w:r>
        <w:rPr>
          <w:rFonts w:ascii="Verdana" w:eastAsia="Calibri" w:hAnsi="Verdana" w:cs="Arial"/>
          <w:lang w:eastAsia="es-ES_tradnl"/>
        </w:rPr>
        <w:t>Jesuschaustre1956@hotmail.com</w:t>
      </w:r>
      <w:r w:rsidR="0089229C" w:rsidRPr="0089229C">
        <w:rPr>
          <w:noProof/>
        </w:rPr>
        <w:t xml:space="preserve"> </w:t>
      </w:r>
    </w:p>
    <w:p w14:paraId="7EBC124E" w14:textId="79BA5023" w:rsidR="007C31D6" w:rsidRDefault="007B69DC" w:rsidP="007C31D6">
      <w:pPr>
        <w:spacing w:after="0" w:line="240" w:lineRule="auto"/>
        <w:rPr>
          <w:rFonts w:ascii="Verdana" w:eastAsia="Calibri" w:hAnsi="Verdana" w:cs="Arial"/>
          <w:lang w:eastAsia="es-ES_tradnl"/>
        </w:rPr>
      </w:pPr>
      <w:r>
        <w:rPr>
          <w:rFonts w:ascii="Verdana" w:eastAsia="Calibri" w:hAnsi="Verdana" w:cs="Arial"/>
          <w:lang w:eastAsia="es-ES_tradnl"/>
        </w:rPr>
        <w:t>Cúcuta, Norte de Santander</w:t>
      </w:r>
      <w:r w:rsidR="00AD0C24">
        <w:rPr>
          <w:rFonts w:ascii="Verdana" w:eastAsia="Calibri" w:hAnsi="Verdana" w:cs="Arial"/>
          <w:lang w:eastAsia="es-ES_tradnl"/>
        </w:rPr>
        <w:t xml:space="preserve"> </w:t>
      </w:r>
    </w:p>
    <w:p w14:paraId="10172902" w14:textId="364F4A1E" w:rsidR="007C31D6" w:rsidRPr="00514983" w:rsidRDefault="007C31D6"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23CE4F89"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7B69DC">
              <w:rPr>
                <w:rFonts w:ascii="Verdana" w:eastAsia="Calibri" w:hAnsi="Verdana" w:cs="Arial"/>
                <w:b/>
                <w:bCs/>
                <w:lang w:eastAsia="es-ES"/>
              </w:rPr>
              <w:t>542</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7C31D6" w:rsidRPr="00960F72" w14:paraId="42C90597" w14:textId="77777777" w:rsidTr="000E7260">
        <w:trPr>
          <w:trHeight w:val="884"/>
        </w:trPr>
        <w:tc>
          <w:tcPr>
            <w:tcW w:w="2689" w:type="dxa"/>
          </w:tcPr>
          <w:p w14:paraId="7ECE2E2C" w14:textId="77777777" w:rsidR="007C31D6" w:rsidRPr="00960F72" w:rsidRDefault="007C31D6" w:rsidP="000E726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EF9DC3A" w14:textId="77777777" w:rsidR="00BE634C" w:rsidRDefault="00BE634C" w:rsidP="00051D01">
            <w:pPr>
              <w:contextualSpacing/>
              <w:jc w:val="both"/>
              <w:rPr>
                <w:rFonts w:ascii="Verdana" w:hAnsi="Verdana" w:cs="Arial"/>
                <w:bCs/>
              </w:rPr>
            </w:pPr>
            <w:r>
              <w:rPr>
                <w:rFonts w:ascii="Verdana" w:hAnsi="Verdana" w:cs="Arial"/>
                <w:bCs/>
              </w:rPr>
              <w:t>RÉGIMEN DE INHABILIDADES E INCOMPATIBLIDADES – Concepto – RÉGIMEN DE INHABILIDAD E INCOMPATIBLIDAD - Interpretación restrictiva – PROHIBICIÓN PARA CONTRATAR – Incompatibilidad – Servidores públicos – Docentes de universidades públicas</w:t>
            </w:r>
          </w:p>
          <w:p w14:paraId="713614CE" w14:textId="7E730E55" w:rsidR="007C31D6" w:rsidRPr="00051D01" w:rsidRDefault="00051D01" w:rsidP="00051D01">
            <w:pPr>
              <w:contextualSpacing/>
              <w:jc w:val="both"/>
              <w:rPr>
                <w:rFonts w:ascii="Verdana" w:eastAsia="Verdana" w:hAnsi="Verdana" w:cs="Verdana"/>
                <w:sz w:val="20"/>
                <w:szCs w:val="20"/>
                <w:lang w:val="es-MX"/>
              </w:rPr>
            </w:pPr>
            <w:r w:rsidRPr="00051D01">
              <w:rPr>
                <w:rFonts w:ascii="Verdana" w:eastAsia="Verdana" w:hAnsi="Verdana" w:cs="Verdana"/>
                <w:sz w:val="20"/>
                <w:szCs w:val="20"/>
                <w:lang w:val="es-MX"/>
              </w:rPr>
              <w:t xml:space="preserve">                      </w:t>
            </w:r>
            <w:r w:rsidR="007C31D6" w:rsidRPr="00051D01">
              <w:rPr>
                <w:rFonts w:ascii="Verdana" w:eastAsia="Calibri" w:hAnsi="Verdana" w:cs="Arial"/>
                <w:lang w:val="es-ES" w:eastAsia="es-ES"/>
              </w:rPr>
              <w:t xml:space="preserve">                </w:t>
            </w:r>
          </w:p>
        </w:tc>
      </w:tr>
      <w:tr w:rsidR="007C31D6" w:rsidRPr="00960F72" w14:paraId="6D1E6EE3" w14:textId="77777777" w:rsidTr="000E7260">
        <w:tc>
          <w:tcPr>
            <w:tcW w:w="2689" w:type="dxa"/>
          </w:tcPr>
          <w:p w14:paraId="34E85B48" w14:textId="77777777" w:rsidR="007C31D6" w:rsidRPr="008149BA" w:rsidRDefault="007C31D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48E58090" w:rsidR="007C31D6" w:rsidRPr="008149BA" w:rsidRDefault="007C31D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007B69DC">
              <w:rPr>
                <w:rFonts w:ascii="Verdana" w:eastAsia="Calibri" w:hAnsi="Verdana" w:cs="Arial"/>
                <w:lang w:eastAsia="es-ES_tradnl"/>
              </w:rPr>
              <w:t xml:space="preserve"> </w:t>
            </w:r>
            <w:r w:rsidR="007B69DC" w:rsidRPr="007B69DC">
              <w:rPr>
                <w:rFonts w:ascii="Verdana" w:eastAsia="Calibri" w:hAnsi="Verdana" w:cs="Arial"/>
                <w:lang w:eastAsia="es-ES_tradnl"/>
              </w:rPr>
              <w:t>1_2026_04_01_004525</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6062D6D7"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Estimad</w:t>
      </w:r>
      <w:r w:rsidR="0027017D">
        <w:rPr>
          <w:rFonts w:ascii="Verdana" w:eastAsia="Calibri" w:hAnsi="Verdana" w:cs="Arial"/>
          <w:lang w:eastAsia="es-ES"/>
        </w:rPr>
        <w:t>o</w:t>
      </w:r>
      <w:r>
        <w:rPr>
          <w:rFonts w:ascii="Verdana" w:eastAsia="Calibri" w:hAnsi="Verdana" w:cs="Arial"/>
          <w:lang w:eastAsia="es-ES"/>
        </w:rPr>
        <w:t xml:space="preserve"> señor </w:t>
      </w:r>
      <w:r w:rsidR="00AD0C24">
        <w:rPr>
          <w:rFonts w:ascii="Verdana" w:eastAsia="Calibri" w:hAnsi="Verdana" w:cs="Arial"/>
          <w:lang w:eastAsia="es-ES"/>
        </w:rPr>
        <w:t>Álvarez</w:t>
      </w:r>
      <w:r>
        <w:rPr>
          <w:rFonts w:ascii="Verdana" w:eastAsia="Calibri" w:hAnsi="Verdana" w:cs="Arial"/>
          <w:lang w:eastAsia="es-ES"/>
        </w:rPr>
        <w:t>:</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40592CC1" w14:textId="101430BA" w:rsidR="007C31D6" w:rsidRPr="00960F72"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sidR="00C3587D">
        <w:rPr>
          <w:rFonts w:ascii="Verdana" w:eastAsia="Calibri" w:hAnsi="Verdana" w:cs="Arial"/>
          <w:lang w:eastAsia="es-ES"/>
        </w:rPr>
        <w:t xml:space="preserve">la cual fue remitida </w:t>
      </w:r>
      <w:r w:rsidR="00051D01">
        <w:rPr>
          <w:rFonts w:ascii="Verdana" w:eastAsia="Calibri" w:hAnsi="Verdana" w:cs="Arial"/>
          <w:lang w:eastAsia="es-ES"/>
        </w:rPr>
        <w:t xml:space="preserve">por competencia a esta Agencia el pasado </w:t>
      </w:r>
      <w:r w:rsidR="007B69DC">
        <w:rPr>
          <w:rFonts w:ascii="Verdana" w:eastAsia="Calibri" w:hAnsi="Verdana" w:cs="Arial"/>
          <w:lang w:eastAsia="es-ES"/>
        </w:rPr>
        <w:t>01</w:t>
      </w:r>
      <w:r>
        <w:rPr>
          <w:rFonts w:ascii="Verdana" w:eastAsia="Calibri" w:hAnsi="Verdana" w:cs="Arial"/>
          <w:lang w:eastAsia="es-ES"/>
        </w:rPr>
        <w:t xml:space="preserve"> </w:t>
      </w:r>
      <w:r w:rsidRPr="00960F72">
        <w:rPr>
          <w:rFonts w:ascii="Verdana" w:eastAsia="Calibri" w:hAnsi="Verdana" w:cs="Arial"/>
          <w:lang w:eastAsia="es-ES"/>
        </w:rPr>
        <w:t xml:space="preserve">de </w:t>
      </w:r>
      <w:r w:rsidR="007B69DC">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816D104" w14:textId="77777777" w:rsidR="007C31D6" w:rsidRPr="00960F72" w:rsidRDefault="007C31D6" w:rsidP="007C31D6">
      <w:pPr>
        <w:spacing w:after="0" w:line="276" w:lineRule="auto"/>
        <w:jc w:val="both"/>
        <w:rPr>
          <w:rFonts w:ascii="Verdana" w:eastAsia="Calibri" w:hAnsi="Verdana" w:cs="Arial"/>
          <w:lang w:eastAsia="es-ES"/>
        </w:rPr>
      </w:pPr>
    </w:p>
    <w:p w14:paraId="192C9E20" w14:textId="221B50E3" w:rsidR="007C31D6" w:rsidRPr="00D976A7" w:rsidRDefault="007B69DC" w:rsidP="00C3587D">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“S</w:t>
      </w:r>
      <w:r w:rsidRPr="007B69DC">
        <w:rPr>
          <w:rFonts w:ascii="Verdana" w:eastAsia="Calibri" w:hAnsi="Verdana" w:cs="Arial"/>
          <w:sz w:val="20"/>
          <w:szCs w:val="20"/>
          <w:lang w:eastAsia="es-ES"/>
        </w:rPr>
        <w:t xml:space="preserve">i un servidor público, vinculado de tiempo completo como docente de la </w:t>
      </w:r>
      <w:proofErr w:type="spellStart"/>
      <w:r w:rsidRPr="007B69DC">
        <w:rPr>
          <w:rFonts w:ascii="Verdana" w:eastAsia="Calibri" w:hAnsi="Verdana" w:cs="Arial"/>
          <w:sz w:val="20"/>
          <w:szCs w:val="20"/>
          <w:lang w:eastAsia="es-ES"/>
        </w:rPr>
        <w:t>facutad</w:t>
      </w:r>
      <w:proofErr w:type="spellEnd"/>
      <w:r w:rsidRPr="007B69DC">
        <w:rPr>
          <w:rFonts w:ascii="Verdana" w:eastAsia="Calibri" w:hAnsi="Verdana" w:cs="Arial"/>
          <w:sz w:val="20"/>
          <w:szCs w:val="20"/>
          <w:lang w:eastAsia="es-ES"/>
        </w:rPr>
        <w:t xml:space="preserve"> de salud de la universidad pública por tener el título de enfermero y magíster, realiza una segunda profesión, en el caso particular medicina y obtiene el título de médico, tarjeta profesional otorgada por el colegio médico colombiano, e inscripción en el </w:t>
      </w:r>
      <w:proofErr w:type="spellStart"/>
      <w:r w:rsidRPr="007B69DC">
        <w:rPr>
          <w:rFonts w:ascii="Verdana" w:eastAsia="Calibri" w:hAnsi="Verdana" w:cs="Arial"/>
          <w:sz w:val="20"/>
          <w:szCs w:val="20"/>
          <w:lang w:eastAsia="es-ES"/>
        </w:rPr>
        <w:t>rethus</w:t>
      </w:r>
      <w:proofErr w:type="spellEnd"/>
      <w:r w:rsidRPr="007B69DC">
        <w:rPr>
          <w:rFonts w:ascii="Verdana" w:eastAsia="Calibri" w:hAnsi="Verdana" w:cs="Arial"/>
          <w:sz w:val="20"/>
          <w:szCs w:val="20"/>
          <w:lang w:eastAsia="es-ES"/>
        </w:rPr>
        <w:t xml:space="preserve">, puede hacer un contrato de medio tiempo con una </w:t>
      </w:r>
      <w:proofErr w:type="spellStart"/>
      <w:r w:rsidRPr="007B69DC">
        <w:rPr>
          <w:rFonts w:ascii="Verdana" w:eastAsia="Calibri" w:hAnsi="Verdana" w:cs="Arial"/>
          <w:sz w:val="20"/>
          <w:szCs w:val="20"/>
          <w:lang w:eastAsia="es-ES"/>
        </w:rPr>
        <w:t>eps</w:t>
      </w:r>
      <w:proofErr w:type="spellEnd"/>
      <w:r w:rsidRPr="007B69DC">
        <w:rPr>
          <w:rFonts w:ascii="Verdana" w:eastAsia="Calibri" w:hAnsi="Verdana" w:cs="Arial"/>
          <w:sz w:val="20"/>
          <w:szCs w:val="20"/>
          <w:lang w:eastAsia="es-ES"/>
        </w:rPr>
        <w:t xml:space="preserve"> publica para realizar consulta médica, en horarios que no se cruzan con sus funciones asignadas por la universidad?</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5C765451" w14:textId="77777777"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960F72">
        <w:rPr>
          <w:rFonts w:ascii="Verdana" w:eastAsia="Calibri" w:hAnsi="Verdana" w:cs="Arial"/>
          <w:lang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28D9FEA" w14:textId="77777777" w:rsidR="007C31D6" w:rsidRDefault="007C31D6" w:rsidP="007C31D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AD97762" w14:textId="77777777" w:rsidR="007C31D6" w:rsidRPr="00960F72" w:rsidRDefault="007C31D6" w:rsidP="00C3587D">
      <w:pPr>
        <w:spacing w:after="0" w:line="276" w:lineRule="auto"/>
        <w:jc w:val="both"/>
        <w:rPr>
          <w:rFonts w:ascii="Verdana" w:eastAsia="Calibri" w:hAnsi="Verdana" w:cs="Arial"/>
          <w:lang w:eastAsia="es-ES"/>
        </w:rPr>
      </w:pPr>
    </w:p>
    <w:p w14:paraId="23C5BC0D" w14:textId="77777777" w:rsidR="007C31D6" w:rsidRPr="00960F72"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3CC0334" w14:textId="77777777" w:rsidR="007C31D6" w:rsidRPr="00960F72" w:rsidRDefault="007C31D6" w:rsidP="007C31D6">
      <w:pPr>
        <w:tabs>
          <w:tab w:val="left" w:pos="426"/>
        </w:tabs>
        <w:spacing w:after="0" w:line="276" w:lineRule="auto"/>
        <w:jc w:val="both"/>
        <w:rPr>
          <w:rFonts w:ascii="Verdana" w:eastAsia="Century Gothic" w:hAnsi="Verdana" w:cs="Century Gothic"/>
        </w:rPr>
      </w:pPr>
    </w:p>
    <w:p w14:paraId="4E42432C" w14:textId="1D78F37D" w:rsidR="007C31D6" w:rsidRDefault="007C31D6" w:rsidP="007C31D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C3587D" w:rsidRPr="00C3587D">
        <w:rPr>
          <w:rFonts w:ascii="Verdana" w:eastAsia="Century Gothic" w:hAnsi="Verdana" w:cs="Century Gothic"/>
        </w:rPr>
        <w:t>¿</w:t>
      </w:r>
      <w:r w:rsidR="007B69DC" w:rsidRPr="007B69DC">
        <w:rPr>
          <w:rFonts w:ascii="Verdana" w:eastAsia="Century Gothic" w:hAnsi="Verdana" w:cs="Century Gothic"/>
        </w:rPr>
        <w:t>Puede un docente de tiempo completo de una universidad pública celebrar un contrato de medio tiempo con una EPS pública para ejercer la medicina, en horarios que no se cruzan con sus funciones docentes, sin vulnerar el régimen de inhabilidades e incompatibilidades de los servidores públicos?</w:t>
      </w:r>
    </w:p>
    <w:p w14:paraId="4D583381" w14:textId="77777777" w:rsidR="0089229C" w:rsidRPr="00960F72" w:rsidRDefault="0089229C" w:rsidP="007C31D6">
      <w:pPr>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960F72" w14:paraId="3CC15C7C" w14:textId="77777777" w:rsidTr="000E7260">
        <w:tc>
          <w:tcPr>
            <w:tcW w:w="8828" w:type="dxa"/>
          </w:tcPr>
          <w:p w14:paraId="5BCD7E7C" w14:textId="77777777" w:rsidR="0089229C" w:rsidRDefault="0089229C" w:rsidP="0089229C">
            <w:pPr>
              <w:spacing w:line="276" w:lineRule="auto"/>
              <w:contextualSpacing/>
              <w:jc w:val="both"/>
              <w:rPr>
                <w:rFonts w:ascii="Verdana" w:hAnsi="Verdana"/>
              </w:rPr>
            </w:pPr>
            <w:r w:rsidRPr="0089229C">
              <w:rPr>
                <w:rFonts w:ascii="Verdana" w:hAnsi="Verdana"/>
              </w:rPr>
              <w:t>De acuerdo con el problema jurídico planteado, el artículo 128 de la Constitución Política y el artículo 19 de la Ley 4ª de 1992 establecen como regla general que nadie podrá desempeñar simultáneamente más de un empleo público ni recibir más de una asignación que provenga del tesoro público, salvo las excepciones expresamente previstas por el legislador. A su vez, el literal f) del numeral 1 del artículo 8 de la Ley 80 de 1993 dispone que los servidores públicos son inhábiles para participar en licitaciones y para celebrar contratos con entidades estatales. No obstante, el literal e) del artículo 19 de la Ley 4ª de 1992 consagra una excepción expresa para los</w:t>
            </w:r>
            <w:r>
              <w:rPr>
                <w:rFonts w:ascii="Verdana" w:hAnsi="Verdana"/>
              </w:rPr>
              <w:t xml:space="preserve"> </w:t>
            </w:r>
          </w:p>
          <w:p w14:paraId="6888156E" w14:textId="47A1586A" w:rsidR="0089229C" w:rsidRPr="0089229C" w:rsidRDefault="0089229C" w:rsidP="0089229C">
            <w:pPr>
              <w:spacing w:line="276" w:lineRule="auto"/>
              <w:contextualSpacing/>
              <w:jc w:val="both"/>
              <w:rPr>
                <w:rFonts w:ascii="Verdana" w:hAnsi="Verdana"/>
              </w:rPr>
            </w:pPr>
            <w:r>
              <w:rPr>
                <w:rFonts w:ascii="Verdana" w:hAnsi="Verdana"/>
              </w:rPr>
              <w:lastRenderedPageBreak/>
              <w:t xml:space="preserve">Honorarios percibidos por concepto </w:t>
            </w:r>
            <w:r w:rsidRPr="0089229C">
              <w:rPr>
                <w:rFonts w:ascii="Verdana" w:hAnsi="Verdana"/>
              </w:rPr>
              <w:t xml:space="preserve">de servicios profesionales de salud, y el artículo 2 de la Ley 269 de 1996 autoriza al personal asistencial que preste directamente servicios de salud a desempeñar más de un empleo en entidades de derecho público con el límite máximo de doce (12) horas diarias y sesenta y seis (66) semanales, sin cruce de horarios.  </w:t>
            </w:r>
          </w:p>
          <w:p w14:paraId="43DCFFAF" w14:textId="77777777" w:rsidR="0089229C" w:rsidRDefault="0089229C" w:rsidP="0089229C">
            <w:pPr>
              <w:spacing w:line="276" w:lineRule="auto"/>
              <w:contextualSpacing/>
              <w:jc w:val="both"/>
              <w:rPr>
                <w:rFonts w:ascii="Verdana" w:hAnsi="Verdana"/>
              </w:rPr>
            </w:pPr>
          </w:p>
          <w:p w14:paraId="55B030E6" w14:textId="6BE3F966" w:rsidR="0089229C" w:rsidRDefault="0089229C" w:rsidP="0089229C">
            <w:pPr>
              <w:spacing w:line="276" w:lineRule="auto"/>
              <w:contextualSpacing/>
              <w:jc w:val="both"/>
              <w:rPr>
                <w:rFonts w:ascii="Verdana" w:hAnsi="Verdana"/>
              </w:rPr>
            </w:pPr>
            <w:r>
              <w:rPr>
                <w:rFonts w:ascii="Verdana" w:hAnsi="Verdana"/>
              </w:rPr>
              <w:t xml:space="preserve">     </w:t>
            </w:r>
            <w:r w:rsidRPr="0089229C">
              <w:rPr>
                <w:rFonts w:ascii="Verdana" w:hAnsi="Verdana"/>
              </w:rPr>
              <w:t>En consecuencia, si bien la prohibición del artículo 128 de la Carta y el literal f) del numeral 1 del artículo 8 de la Ley 80 de 1993 opera con carácter general respecto de los servidores públicos, el literal e) del artículo 19 de la Ley 4ª de 1992 y el artículo 2 de la Ley 269 de 1996 prevén una excepción expresa para el personal asistencial que preste directamente servicios de salud en entidades de derecho público, siempre que no exista cruce de horarios y que la jornada total no exceda de doce (12) horas diarias ni sesenta y seis (66) horas semanales. La verificación del cumplimiento de los requisitos que habilitan dicha excepción corresponde a la entidad pública competente en cada caso concreto.</w:t>
            </w:r>
          </w:p>
          <w:p w14:paraId="210C7CA6" w14:textId="23E3A77B" w:rsidR="002F0E98" w:rsidRPr="0089229C" w:rsidRDefault="0089229C" w:rsidP="0089229C">
            <w:pPr>
              <w:spacing w:line="276" w:lineRule="auto"/>
              <w:ind w:right="-65"/>
              <w:contextualSpacing/>
              <w:rPr>
                <w:rFonts w:ascii="Verdana" w:hAnsi="Verdana"/>
                <w:lang w:val="es-ES"/>
              </w:rPr>
            </w:pPr>
            <w:r>
              <w:rPr>
                <w:rFonts w:ascii="Verdana" w:hAnsi="Verdana"/>
              </w:rPr>
              <w:t xml:space="preserve">     </w:t>
            </w:r>
          </w:p>
          <w:p w14:paraId="5D41B4C9" w14:textId="39E5DD81" w:rsidR="007C31D6" w:rsidRPr="00EB66F0" w:rsidRDefault="002F0E98" w:rsidP="00A431E4">
            <w:pPr>
              <w:spacing w:line="276" w:lineRule="auto"/>
              <w:jc w:val="both"/>
              <w:rPr>
                <w:rFonts w:ascii="Verdana" w:hAnsi="Verdana" w:cs="Arial"/>
                <w:lang w:eastAsia="es-ES"/>
              </w:rPr>
            </w:pPr>
            <w:r>
              <w:rPr>
                <w:rFonts w:ascii="Verdana" w:hAnsi="Verdana" w:cs="Arial"/>
                <w:lang w:eastAsia="es-ES"/>
              </w:rPr>
              <w:t xml:space="preserve">       </w:t>
            </w:r>
            <w:r w:rsidR="00463821" w:rsidRPr="00B17041">
              <w:rPr>
                <w:rFonts w:ascii="Verdana" w:hAnsi="Verdana" w:cs="Arial"/>
                <w:lang w:val="es-ES" w:eastAsia="es-ES"/>
              </w:rPr>
              <w:t xml:space="preserve">Dentro de este marco, la entidad </w:t>
            </w:r>
            <w:r w:rsidR="00463821" w:rsidRPr="00485C44">
              <w:rPr>
                <w:rFonts w:ascii="Verdana" w:hAnsi="Verdana" w:cs="Arial"/>
                <w:lang w:val="es-ES" w:eastAsia="es-ES"/>
              </w:rPr>
              <w:t xml:space="preserve">pública </w:t>
            </w:r>
            <w:r w:rsidR="00463821">
              <w:rPr>
                <w:rFonts w:ascii="Verdana" w:hAnsi="Verdana" w:cs="Arial"/>
                <w:lang w:val="es-ES" w:eastAsia="es-ES"/>
              </w:rPr>
              <w:t>definirá</w:t>
            </w:r>
            <w:r w:rsidR="00463821" w:rsidRPr="00B17041">
              <w:rPr>
                <w:rFonts w:ascii="Verdana" w:hAnsi="Verdana" w:cs="Arial"/>
                <w:lang w:val="es-ES" w:eastAsia="es-ES"/>
              </w:rPr>
              <w:t xml:space="preserve"> en cada caso concreto lo relacionado con el tema objeto de consulta. Al tratarse de un análisis que debe realizarse en el </w:t>
            </w:r>
            <w:r w:rsidR="00463821">
              <w:rPr>
                <w:rFonts w:ascii="Verdana" w:hAnsi="Verdana" w:cs="Arial"/>
                <w:lang w:val="es-ES" w:eastAsia="es-ES"/>
              </w:rPr>
              <w:t>caso</w:t>
            </w:r>
            <w:r w:rsidR="00463821" w:rsidRPr="00B17041">
              <w:rPr>
                <w:rFonts w:ascii="Verdana" w:hAnsi="Verdana" w:cs="Arial"/>
                <w:lang w:val="es-ES" w:eastAsia="es-ES"/>
              </w:rPr>
              <w:t xml:space="preserve">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105D63D" w14:textId="77777777" w:rsidR="007C31D6" w:rsidRPr="00960F72"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F565AE2" w14:textId="77777777" w:rsidR="007C31D6"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83DBFFE" w14:textId="77777777" w:rsidR="00A431E4" w:rsidRPr="00F21DFA" w:rsidRDefault="00A431E4" w:rsidP="00A431E4">
      <w:pPr>
        <w:spacing w:after="120" w:line="276" w:lineRule="auto"/>
        <w:jc w:val="both"/>
        <w:textAlignment w:val="baseline"/>
        <w:rPr>
          <w:rFonts w:ascii="Verdana" w:eastAsia="Times New Roman" w:hAnsi="Verdana" w:cs="Segoe UI"/>
          <w:lang w:eastAsia="es-CO"/>
        </w:rPr>
      </w:pPr>
      <w:r w:rsidRPr="00B5335E">
        <w:rPr>
          <w:rFonts w:ascii="Verdana" w:eastAsia="Times New Roman" w:hAnsi="Verdana" w:cs="Segoe UI"/>
          <w:color w:val="404040"/>
          <w:lang w:eastAsia="es-CO"/>
        </w:rPr>
        <w:t>En la contratación estatal, la capacidad es un requisito de validez de los contratos, tanto en el régimen de las entidades sujetas al Estatuto General de la Contratación de la Administración Pública</w:t>
      </w:r>
      <w:r>
        <w:rPr>
          <w:rStyle w:val="Refdenotaalpie"/>
          <w:rFonts w:ascii="Verdana" w:eastAsia="Times New Roman" w:hAnsi="Verdana" w:cs="Segoe UI"/>
          <w:color w:val="404040"/>
          <w:lang w:eastAsia="es-CO"/>
        </w:rPr>
        <w:footnoteReference w:id="1"/>
      </w:r>
      <w:r w:rsidRPr="00B5335E">
        <w:rPr>
          <w:rFonts w:ascii="Verdana" w:eastAsia="Times New Roman" w:hAnsi="Verdana" w:cs="Segoe UI"/>
          <w:color w:val="404040"/>
          <w:lang w:eastAsia="es-CO"/>
        </w:rPr>
        <w:t xml:space="preserve"> como en el de las entidades </w:t>
      </w:r>
      <w:r w:rsidRPr="00B5335E">
        <w:rPr>
          <w:rFonts w:ascii="Verdana" w:eastAsia="Times New Roman" w:hAnsi="Verdana" w:cs="Segoe UI"/>
          <w:color w:val="404040"/>
          <w:lang w:eastAsia="es-CO"/>
        </w:rPr>
        <w:lastRenderedPageBreak/>
        <w:t>exceptuadas de aquel</w:t>
      </w:r>
      <w:r>
        <w:rPr>
          <w:rStyle w:val="Refdenotaalpie"/>
          <w:rFonts w:ascii="Verdana" w:eastAsia="Times New Roman" w:hAnsi="Verdana" w:cs="Segoe UI"/>
          <w:color w:val="404040"/>
          <w:lang w:eastAsia="es-CO"/>
        </w:rPr>
        <w:footnoteReference w:id="2"/>
      </w:r>
      <w:r>
        <w:rPr>
          <w:rFonts w:ascii="Verdana" w:eastAsia="Times New Roman" w:hAnsi="Verdana" w:cs="Segoe UI"/>
          <w:color w:val="404040"/>
          <w:lang w:eastAsia="es-CO"/>
        </w:rPr>
        <w:t>. Si bien la regulación de la capacidad se integra por varias disposiciones y exigencias especiales, se destaca el régimen de inhabilidades e incompatibilidades como un conjunto de normas que imponen restricciones para los sujetos que, eventualmente, pretendan participar en los procedimientos de selección o celebrar contratos con las entidades estatales</w:t>
      </w:r>
      <w:r>
        <w:rPr>
          <w:rStyle w:val="Refdenotaalpie"/>
          <w:rFonts w:ascii="Verdana" w:eastAsia="Times New Roman" w:hAnsi="Verdana" w:cs="Segoe UI"/>
          <w:color w:val="404040"/>
          <w:lang w:eastAsia="es-CO"/>
        </w:rPr>
        <w:footnoteReference w:id="3"/>
      </w:r>
      <w:r>
        <w:rPr>
          <w:rFonts w:ascii="Verdana" w:eastAsia="Times New Roman" w:hAnsi="Verdana" w:cs="Segoe UI"/>
          <w:color w:val="404040"/>
          <w:lang w:eastAsia="es-CO"/>
        </w:rPr>
        <w:t>.</w:t>
      </w:r>
    </w:p>
    <w:p w14:paraId="63FB4A43" w14:textId="77777777" w:rsidR="00A431E4" w:rsidRPr="006C06B2" w:rsidRDefault="00A431E4" w:rsidP="00A431E4">
      <w:pP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color w:val="404040"/>
          <w:lang w:eastAsia="es-CO"/>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Pr>
          <w:rFonts w:ascii="Verdana" w:eastAsia="Times New Roman" w:hAnsi="Verdana" w:cs="Segoe UI"/>
          <w:color w:val="404040"/>
          <w:lang w:eastAsia="es-CO"/>
        </w:rPr>
        <w:t>ii</w:t>
      </w:r>
      <w:proofErr w:type="spellEnd"/>
      <w:r>
        <w:rPr>
          <w:rFonts w:ascii="Verdana" w:eastAsia="Times New Roman" w:hAnsi="Verdana" w:cs="Segoe UI"/>
          <w:color w:val="404040"/>
          <w:lang w:eastAsia="es-CO"/>
        </w:rPr>
        <w:t xml:space="preserve">) de vínculos personales relativos al parentesco o al estado civil o </w:t>
      </w:r>
      <w:proofErr w:type="spellStart"/>
      <w:r>
        <w:rPr>
          <w:rFonts w:ascii="Verdana" w:eastAsia="Times New Roman" w:hAnsi="Verdana" w:cs="Segoe UI"/>
          <w:color w:val="404040"/>
          <w:lang w:eastAsia="es-CO"/>
        </w:rPr>
        <w:t>iii</w:t>
      </w:r>
      <w:proofErr w:type="spellEnd"/>
      <w:r>
        <w:rPr>
          <w:rFonts w:ascii="Verdana" w:eastAsia="Times New Roman" w:hAnsi="Verdana" w:cs="Segoe UI"/>
          <w:color w:val="404040"/>
          <w:lang w:eastAsia="es-CO"/>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Pr>
          <w:rStyle w:val="Refdenotaalpie"/>
          <w:rFonts w:ascii="Verdana" w:eastAsia="Times New Roman" w:hAnsi="Verdana" w:cs="Segoe UI"/>
          <w:color w:val="404040"/>
          <w:lang w:eastAsia="es-CO"/>
        </w:rPr>
        <w:footnoteReference w:id="4"/>
      </w:r>
      <w:r>
        <w:rPr>
          <w:rFonts w:ascii="Verdana" w:eastAsia="Times New Roman" w:hAnsi="Verdana" w:cs="Segoe UI"/>
          <w:color w:val="404040"/>
          <w:lang w:eastAsia="es-CO"/>
        </w:rPr>
        <w:t xml:space="preserve">. En todo caso, a pesar de la existencia de distintos criterios para diferenciar las inhabilidades de las incompatibilidades, de la </w:t>
      </w:r>
      <w:r>
        <w:rPr>
          <w:rFonts w:ascii="Verdana" w:eastAsia="Times New Roman" w:hAnsi="Verdana" w:cs="Segoe UI"/>
          <w:color w:val="404040"/>
          <w:lang w:eastAsia="es-CO"/>
        </w:rPr>
        <w:lastRenderedPageBreak/>
        <w:t>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Pr>
          <w:rStyle w:val="Refdenotaalpie"/>
          <w:rFonts w:ascii="Verdana" w:eastAsia="Times New Roman" w:hAnsi="Verdana" w:cs="Segoe UI"/>
          <w:color w:val="404040"/>
          <w:lang w:eastAsia="es-CO"/>
        </w:rPr>
        <w:footnoteReference w:id="5"/>
      </w:r>
      <w:r>
        <w:rPr>
          <w:rFonts w:ascii="Verdana" w:eastAsia="Times New Roman" w:hAnsi="Verdana" w:cs="Segoe UI"/>
          <w:color w:val="404040"/>
          <w:lang w:eastAsia="es-CO"/>
        </w:rPr>
        <w:t>.</w:t>
      </w:r>
    </w:p>
    <w:p w14:paraId="3A5CE81F" w14:textId="77777777" w:rsidR="00A431E4" w:rsidRPr="00C7457C" w:rsidRDefault="00A431E4" w:rsidP="00A431E4">
      <w:pPr>
        <w:spacing w:after="120" w:line="276" w:lineRule="auto"/>
        <w:ind w:firstLine="709"/>
        <w:jc w:val="both"/>
        <w:textAlignment w:val="baseline"/>
        <w:rPr>
          <w:rFonts w:ascii="Verdana" w:hAnsi="Verdana"/>
        </w:rPr>
      </w:pPr>
      <w:r>
        <w:rPr>
          <w:rFonts w:ascii="Verdana" w:eastAsia="Times New Roman" w:hAnsi="Verdana" w:cs="Segoe UI"/>
          <w:lang w:eastAsia="es-CO"/>
        </w:rPr>
        <w:t>E</w:t>
      </w:r>
      <w:r w:rsidRPr="00D150EC">
        <w:rPr>
          <w:rFonts w:ascii="Verdana" w:eastAsia="Times New Roman" w:hAnsi="Verdana" w:cs="Segoe UI"/>
          <w:lang w:eastAsia="es-CO"/>
        </w:rPr>
        <w:t>l</w:t>
      </w:r>
      <w:r w:rsidRPr="00CC1BF0">
        <w:rPr>
          <w:rFonts w:ascii="Verdana" w:eastAsia="Times New Roman" w:hAnsi="Verdana" w:cs="Segoe UI"/>
          <w:lang w:eastAsia="es-CO"/>
        </w:rPr>
        <w:t xml:space="preserve">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w:t>
      </w:r>
      <w:r>
        <w:rPr>
          <w:rFonts w:ascii="Verdana" w:eastAsia="Times New Roman" w:hAnsi="Verdana" w:cs="Segoe UI"/>
          <w:lang w:eastAsia="es-CO"/>
        </w:rPr>
        <w:t>doctrina, las inhabilidades e incompatibilidades son herramientas en la lucha contra la corrupción, adoptando paulatinamente una naturaleza sancionatoria o “</w:t>
      </w:r>
      <w:proofErr w:type="spellStart"/>
      <w:r>
        <w:rPr>
          <w:rFonts w:ascii="Verdana" w:eastAsia="Times New Roman" w:hAnsi="Verdana" w:cs="Segoe UI"/>
          <w:lang w:eastAsia="es-CO"/>
        </w:rPr>
        <w:t>neopunitiva</w:t>
      </w:r>
      <w:proofErr w:type="spellEnd"/>
      <w:r>
        <w:rPr>
          <w:rFonts w:ascii="Verdana" w:eastAsia="Times New Roman" w:hAnsi="Verdana" w:cs="Segoe UI"/>
          <w:lang w:eastAsia="es-CO"/>
        </w:rPr>
        <w:t>”</w:t>
      </w:r>
      <w:r>
        <w:rPr>
          <w:rStyle w:val="Refdenotaalpie"/>
          <w:rFonts w:ascii="Verdana" w:eastAsia="Times New Roman" w:hAnsi="Verdana" w:cs="Segoe UI"/>
          <w:lang w:eastAsia="es-CO"/>
        </w:rPr>
        <w:footnoteReference w:id="6"/>
      </w:r>
      <w:r>
        <w:rPr>
          <w:rFonts w:ascii="Verdana" w:eastAsia="Times New Roman" w:hAnsi="Verdana" w:cs="Segoe UI"/>
          <w:lang w:eastAsia="es-CO"/>
        </w:rPr>
        <w:t xml:space="preserve">. Si bien no todas las causales de inhabilidad y de incompatibilidad son consecuencia de una medida de reproche ni de una sanción previa, como ya se explicó, es indiscutible que en los años </w:t>
      </w:r>
      <w:proofErr w:type="spellStart"/>
      <w:r>
        <w:rPr>
          <w:rFonts w:ascii="Verdana" w:eastAsia="Times New Roman" w:hAnsi="Verdana" w:cs="Segoe UI"/>
          <w:lang w:eastAsia="es-CO"/>
        </w:rPr>
        <w:t>mas</w:t>
      </w:r>
      <w:proofErr w:type="spellEnd"/>
      <w:r>
        <w:rPr>
          <w:rFonts w:ascii="Verdana" w:eastAsia="Times New Roman" w:hAnsi="Verdana" w:cs="Segoe UI"/>
          <w:lang w:eastAsia="es-CO"/>
        </w:rPr>
        <w:t xml:space="preserve"> recientes los lamentables hechos de corrupción han generado, como respuesta al legislador, un incremento de las restricciones a la capacidad contractual, dirigidas a prevenir este tipo de situaciones o a sancionar tales conductas.</w:t>
      </w:r>
    </w:p>
    <w:p w14:paraId="1941C9CD" w14:textId="77777777" w:rsidR="00A431E4" w:rsidRDefault="00A431E4" w:rsidP="00A431E4">
      <w:pPr>
        <w:spacing w:after="120" w:line="276" w:lineRule="auto"/>
        <w:ind w:firstLine="709"/>
        <w:jc w:val="both"/>
        <w:textAlignment w:val="baseline"/>
        <w:rPr>
          <w:rFonts w:ascii="Verdana" w:hAnsi="Verdana"/>
        </w:rPr>
      </w:pPr>
      <w:r>
        <w:rPr>
          <w:rFonts w:ascii="Verdana" w:hAnsi="Verdana"/>
        </w:rPr>
        <w:t>Ahora bien, las inhabilidades e incompatibilidades al ser restricciones o limites especiales a la capacidad para presentar ofertas y celebrar contratos estatales, solo pueden tipificarse en la ley o la constitución – ósea, deben satisfacer el principio de legalidad- y su interpretación debe ser restrictiva</w:t>
      </w:r>
      <w:r>
        <w:rPr>
          <w:rStyle w:val="Refdenotaalpie"/>
          <w:rFonts w:ascii="Verdana" w:hAnsi="Verdana"/>
        </w:rPr>
        <w:footnoteReference w:id="7"/>
      </w:r>
      <w:r>
        <w:rPr>
          <w:rFonts w:ascii="Verdana" w:hAnsi="Verdana"/>
        </w:rPr>
        <w:t xml:space="preserve">, pues si se admitiera una interpretación amplia, extensiva o finalista de las mismas, tales enunciados normativos contemplarían múltiples supuestos indeterminados, </w:t>
      </w:r>
      <w:r>
        <w:rPr>
          <w:rFonts w:ascii="Verdana" w:hAnsi="Verdana"/>
        </w:rPr>
        <w:lastRenderedPageBreak/>
        <w:t>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p>
    <w:p w14:paraId="0BE77D77" w14:textId="77777777" w:rsidR="00A431E4" w:rsidRPr="0092548E" w:rsidRDefault="00A431E4" w:rsidP="00A431E4">
      <w:pPr>
        <w:spacing w:after="0" w:line="276" w:lineRule="auto"/>
        <w:ind w:firstLine="708"/>
        <w:jc w:val="both"/>
        <w:textAlignment w:val="baseline"/>
        <w:rPr>
          <w:rFonts w:ascii="Verdana" w:hAnsi="Verdana"/>
          <w:lang w:val="es-ES"/>
        </w:rPr>
      </w:pPr>
      <w:r>
        <w:rPr>
          <w:rFonts w:ascii="Verdana" w:hAnsi="Verdana"/>
        </w:rPr>
        <w:t xml:space="preserve">En efecto el máximo tribunal constitucional ha indicado, al tratar de precisar el sentido de este tipo de normas, que “[…] el </w:t>
      </w:r>
      <w:proofErr w:type="spellStart"/>
      <w:r>
        <w:rPr>
          <w:rFonts w:ascii="Verdana" w:hAnsi="Verdana"/>
        </w:rPr>
        <w:t>interprete</w:t>
      </w:r>
      <w:proofErr w:type="spellEnd"/>
      <w:r>
        <w:rPr>
          <w:rFonts w:ascii="Verdana" w:hAnsi="Verdana"/>
        </w:rPr>
        <w:t xml:space="preserve"> de las disposiciones legislativas en la materia ha de ceñirse en la mayor medida posible al tenor literal y gramatical de los enunciados normativos, sin que puede acudir prima facie a criterios interpretativos tales como la analogía, la interpretación extensiva para ampliar el alcance de las causales legalmente fijadas”</w:t>
      </w:r>
      <w:r>
        <w:rPr>
          <w:rStyle w:val="Refdenotaalpie"/>
          <w:rFonts w:ascii="Verdana" w:hAnsi="Verdana"/>
        </w:rPr>
        <w:footnoteReference w:id="8"/>
      </w:r>
      <w:r>
        <w:rPr>
          <w:rFonts w:ascii="Verdana" w:hAnsi="Verdana"/>
        </w:rPr>
        <w:t xml:space="preserve">. Por su parte, el Consejo de Estado ha acogido </w:t>
      </w:r>
      <w:r w:rsidRPr="00C6404E">
        <w:rPr>
          <w:rFonts w:ascii="Verdana" w:eastAsia="Calibri" w:hAnsi="Verdana" w:cs="Arial"/>
          <w:lang w:val="es-ES_tradnl"/>
        </w:rPr>
        <w:t>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Style w:val="Refdenotaalpie"/>
          <w:rFonts w:ascii="Verdana" w:eastAsia="Calibri" w:hAnsi="Verdana" w:cs="Arial"/>
          <w:lang w:val="es-ES_tradnl"/>
        </w:rPr>
        <w:footnoteReference w:id="9"/>
      </w:r>
      <w:r>
        <w:rPr>
          <w:rFonts w:ascii="Verdana" w:eastAsia="Calibri" w:hAnsi="Verdana" w:cs="Arial"/>
          <w:lang w:val="es-ES_tradnl"/>
        </w:rPr>
        <w:t xml:space="preserve">. En tal sentido, la Sección Tercera ha señalado que: </w:t>
      </w:r>
    </w:p>
    <w:p w14:paraId="4AC4F65A" w14:textId="77777777" w:rsidR="00A431E4" w:rsidRPr="0092548E" w:rsidRDefault="00A431E4" w:rsidP="00A431E4">
      <w:pPr>
        <w:pStyle w:val="Prrafodelista"/>
        <w:rPr>
          <w:rFonts w:ascii="Verdana" w:hAnsi="Verdana"/>
        </w:rPr>
      </w:pPr>
    </w:p>
    <w:p w14:paraId="012BB669" w14:textId="77777777" w:rsidR="00A431E4" w:rsidRPr="006E41F6" w:rsidRDefault="00A431E4" w:rsidP="00A431E4">
      <w:pPr>
        <w:spacing w:after="0"/>
        <w:ind w:left="709" w:right="709"/>
        <w:jc w:val="both"/>
        <w:rPr>
          <w:rFonts w:ascii="Verdana" w:hAnsi="Verdana" w:cs="Arial"/>
          <w:sz w:val="20"/>
          <w:szCs w:val="20"/>
          <w:lang w:val="es-ES_tradnl"/>
        </w:rPr>
      </w:pPr>
      <w:r w:rsidRPr="006E41F6">
        <w:rPr>
          <w:rFonts w:ascii="Verdana"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E41F6">
        <w:rPr>
          <w:rFonts w:ascii="Verdana" w:hAnsi="Verdana" w:cs="Arial"/>
          <w:sz w:val="20"/>
          <w:szCs w:val="20"/>
          <w:vertAlign w:val="superscript"/>
          <w:lang w:val="es-ES_tradnl"/>
        </w:rPr>
        <w:footnoteReference w:id="10"/>
      </w:r>
      <w:r w:rsidRPr="006E41F6">
        <w:rPr>
          <w:rFonts w:ascii="Verdana" w:hAnsi="Verdana" w:cs="Arial"/>
          <w:sz w:val="20"/>
          <w:szCs w:val="20"/>
          <w:lang w:val="es-ES_tradnl"/>
        </w:rPr>
        <w:t>.</w:t>
      </w:r>
    </w:p>
    <w:p w14:paraId="05019A36" w14:textId="77777777" w:rsidR="00A431E4" w:rsidRDefault="00A431E4" w:rsidP="00A431E4">
      <w:pPr>
        <w:spacing w:after="0"/>
        <w:ind w:left="709" w:right="709" w:firstLine="709"/>
        <w:jc w:val="both"/>
        <w:rPr>
          <w:rFonts w:ascii="Verdana" w:eastAsia="Calibri" w:hAnsi="Verdana" w:cs="Arial"/>
          <w:lang w:val="es-ES"/>
        </w:rPr>
      </w:pPr>
    </w:p>
    <w:p w14:paraId="2985C8B6" w14:textId="77777777" w:rsidR="00A431E4" w:rsidRDefault="00A431E4" w:rsidP="00A431E4">
      <w:pPr>
        <w:spacing w:after="0"/>
        <w:ind w:right="709" w:firstLine="708"/>
        <w:jc w:val="both"/>
        <w:rPr>
          <w:rFonts w:ascii="Verdana" w:eastAsia="Calibri" w:hAnsi="Verdana" w:cs="Arial"/>
          <w:lang w:val="es-ES"/>
        </w:rPr>
      </w:pPr>
      <w:r>
        <w:rPr>
          <w:rFonts w:ascii="Verdana" w:eastAsia="Calibri" w:hAnsi="Verdana" w:cs="Arial"/>
          <w:lang w:val="es-ES"/>
        </w:rPr>
        <w:t>También ha dicho que:</w:t>
      </w:r>
    </w:p>
    <w:p w14:paraId="0C71AAD8" w14:textId="77777777" w:rsidR="00A431E4" w:rsidRDefault="00A431E4" w:rsidP="00A431E4">
      <w:pPr>
        <w:spacing w:after="0"/>
        <w:ind w:right="709" w:firstLine="708"/>
        <w:jc w:val="both"/>
        <w:rPr>
          <w:rFonts w:ascii="Verdana" w:eastAsia="Calibri" w:hAnsi="Verdana" w:cs="Arial"/>
          <w:lang w:val="es-ES"/>
        </w:rPr>
      </w:pPr>
      <w:r>
        <w:rPr>
          <w:rFonts w:ascii="Verdana" w:eastAsia="Calibri" w:hAnsi="Verdana" w:cs="Arial"/>
          <w:lang w:val="es-ES"/>
        </w:rPr>
        <w:t xml:space="preserve"> </w:t>
      </w:r>
    </w:p>
    <w:p w14:paraId="7FB3E7E9" w14:textId="77777777" w:rsidR="00A431E4" w:rsidRPr="006E41F6" w:rsidRDefault="00A431E4" w:rsidP="00A431E4">
      <w:pPr>
        <w:spacing w:after="0"/>
        <w:ind w:left="709" w:right="709"/>
        <w:jc w:val="both"/>
        <w:rPr>
          <w:rFonts w:ascii="Verdana" w:eastAsia="Calibri" w:hAnsi="Verdana" w:cs="Arial"/>
          <w:sz w:val="20"/>
          <w:szCs w:val="20"/>
          <w:lang w:val="es-ES"/>
        </w:rPr>
      </w:pPr>
      <w:r w:rsidRPr="006E41F6">
        <w:rPr>
          <w:rFonts w:ascii="Verdana" w:hAnsi="Verdana" w:cs="Arial"/>
          <w:sz w:val="20"/>
          <w:szCs w:val="20"/>
          <w:lang w:val="es-ES"/>
        </w:rPr>
        <w:lastRenderedPageBreak/>
        <w:t xml:space="preserve">“[…] la aplicación de estos preceptos exige una interpretación restrictiva, dado que según el principio hermenéutico </w:t>
      </w:r>
      <w:r w:rsidRPr="006E41F6">
        <w:rPr>
          <w:rFonts w:ascii="Verdana" w:hAnsi="Verdana" w:cs="Arial"/>
          <w:i/>
          <w:sz w:val="20"/>
          <w:szCs w:val="20"/>
          <w:lang w:val="es-ES"/>
        </w:rPr>
        <w:t xml:space="preserve">pro </w:t>
      </w:r>
      <w:proofErr w:type="spellStart"/>
      <w:r w:rsidRPr="006E41F6">
        <w:rPr>
          <w:rFonts w:ascii="Verdana" w:hAnsi="Verdana" w:cs="Arial"/>
          <w:i/>
          <w:sz w:val="20"/>
          <w:szCs w:val="20"/>
          <w:lang w:val="es-ES"/>
        </w:rPr>
        <w:t>libertate</w:t>
      </w:r>
      <w:proofErr w:type="spellEnd"/>
      <w:r w:rsidRPr="006E41F6">
        <w:rPr>
          <w:rFonts w:ascii="Verdana"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E41F6">
        <w:rPr>
          <w:rStyle w:val="Refdenotaalpie"/>
          <w:rFonts w:ascii="Verdana" w:hAnsi="Verdana" w:cs="Arial"/>
          <w:sz w:val="20"/>
          <w:szCs w:val="20"/>
          <w:lang w:val="es-ES"/>
        </w:rPr>
        <w:footnoteReference w:id="11"/>
      </w:r>
    </w:p>
    <w:p w14:paraId="33D4CA1F" w14:textId="77777777" w:rsidR="00A431E4" w:rsidRDefault="00A431E4" w:rsidP="00A431E4">
      <w:pPr>
        <w:spacing w:after="0" w:line="240" w:lineRule="auto"/>
        <w:jc w:val="both"/>
        <w:textAlignment w:val="baseline"/>
        <w:rPr>
          <w:rFonts w:ascii="Verdana" w:hAnsi="Verdana"/>
        </w:rPr>
      </w:pPr>
      <w:r>
        <w:rPr>
          <w:rFonts w:ascii="Verdana" w:hAnsi="Verdana"/>
        </w:rPr>
        <w:tab/>
      </w:r>
    </w:p>
    <w:p w14:paraId="055ADBDC" w14:textId="77777777" w:rsidR="00A431E4" w:rsidRDefault="00A431E4" w:rsidP="00A431E4">
      <w:pPr>
        <w:spacing w:after="120" w:line="276" w:lineRule="auto"/>
        <w:ind w:firstLine="709"/>
        <w:jc w:val="both"/>
        <w:textAlignment w:val="baseline"/>
        <w:rPr>
          <w:rFonts w:ascii="Verdana" w:hAnsi="Verdana"/>
        </w:rPr>
      </w:pPr>
      <w:r>
        <w:rPr>
          <w:rFonts w:ascii="Verdana" w:hAnsi="Verdana"/>
        </w:rPr>
        <w:t xml:space="preserve">Como se aprecia, el principio </w:t>
      </w:r>
      <w:r w:rsidRPr="006E41F6">
        <w:rPr>
          <w:rFonts w:ascii="Verdana" w:hAnsi="Verdana"/>
          <w:i/>
        </w:rPr>
        <w:t xml:space="preserve">pro </w:t>
      </w:r>
      <w:proofErr w:type="spellStart"/>
      <w:r w:rsidRPr="006E41F6">
        <w:rPr>
          <w:rFonts w:ascii="Verdana" w:hAnsi="Verdana"/>
          <w:i/>
        </w:rPr>
        <w:t>libertate</w:t>
      </w:r>
      <w:proofErr w:type="spellEnd"/>
      <w:r w:rsidRPr="006E41F6">
        <w:rPr>
          <w:rFonts w:ascii="Verdana" w:hAnsi="Verdana"/>
          <w:i/>
        </w:rPr>
        <w:t xml:space="preserve"> </w:t>
      </w:r>
      <w:r>
        <w:rPr>
          <w:rFonts w:ascii="Verdana" w:hAnsi="Verdana"/>
        </w:rPr>
        <w:t>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 Corte Constitucional ha resaltado que la competencia para determinar que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Pr>
          <w:rStyle w:val="Refdenotaalpie"/>
          <w:rFonts w:ascii="Verdana" w:hAnsi="Verdana"/>
        </w:rPr>
        <w:footnoteReference w:id="12"/>
      </w:r>
      <w:r>
        <w:rPr>
          <w:rFonts w:ascii="Verdana" w:hAnsi="Verdana"/>
        </w:rPr>
        <w:t>.</w:t>
      </w:r>
    </w:p>
    <w:p w14:paraId="09B13D2C" w14:textId="77777777" w:rsidR="00A431E4" w:rsidRDefault="00A431E4" w:rsidP="00A431E4">
      <w:pPr>
        <w:spacing w:after="120" w:line="276" w:lineRule="auto"/>
        <w:ind w:firstLine="709"/>
        <w:jc w:val="both"/>
        <w:textAlignment w:val="baseline"/>
        <w:rPr>
          <w:rFonts w:ascii="Verdana" w:hAnsi="Verdana"/>
        </w:rPr>
      </w:pPr>
      <w:r>
        <w:rPr>
          <w:rFonts w:ascii="Verdana" w:hAnsi="Verdana"/>
        </w:rPr>
        <w:t>En ese sentido, retomando una idea esbozada con anterioridad, la doctrina y la jurisprudencia son pacificas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 En similar sentido, la Sala de Consulta y Servicio Civil del Consejo de Estado expresó que “[…] las causales de inhabilidad e incompatibilidad deben estar expresa y taxativamente establecidas en la Constitución Política o en la ley y son de aplicación e interpretación restrictivas […]”</w:t>
      </w:r>
      <w:r>
        <w:rPr>
          <w:rStyle w:val="Refdenotaalpie"/>
          <w:rFonts w:ascii="Verdana" w:hAnsi="Verdana"/>
        </w:rPr>
        <w:footnoteReference w:id="13"/>
      </w:r>
      <w:r>
        <w:rPr>
          <w:rFonts w:ascii="Verdana" w:hAnsi="Verdana"/>
        </w:rPr>
        <w:t xml:space="preserve">. En este sentido, como se observa, existe consenso, incluso como lo ha </w:t>
      </w:r>
      <w:r>
        <w:rPr>
          <w:rFonts w:ascii="Verdana" w:hAnsi="Verdana"/>
        </w:rPr>
        <w:lastRenderedPageBreak/>
        <w:t>expresado esta Agencia en ocasiones anteriores, que la creación de inhabilidades o incompatibilidades está reservada al constituyente o al legislador.</w:t>
      </w:r>
    </w:p>
    <w:p w14:paraId="6F8487F0" w14:textId="77777777" w:rsidR="00A431E4" w:rsidRPr="00C047BF" w:rsidRDefault="00A431E4" w:rsidP="00A431E4">
      <w:pPr>
        <w:spacing w:after="120" w:line="276" w:lineRule="auto"/>
        <w:ind w:firstLine="708"/>
        <w:jc w:val="both"/>
        <w:rPr>
          <w:rFonts w:ascii="Verdana" w:hAnsi="Verdana" w:cs="Arial"/>
          <w:color w:val="000000" w:themeColor="text1"/>
        </w:rPr>
      </w:pPr>
      <w:r w:rsidRPr="00114ED7">
        <w:rPr>
          <w:rFonts w:ascii="Verdana" w:hAnsi="Verdana"/>
        </w:rPr>
        <w:t xml:space="preserve">Resulta importante aclarar que el </w:t>
      </w:r>
      <w:r w:rsidRPr="00114ED7">
        <w:rPr>
          <w:rFonts w:ascii="Verdana" w:eastAsia="Calibri" w:hAnsi="Verdana" w:cs="Arial"/>
          <w:color w:val="000000" w:themeColor="text1"/>
          <w:lang w:val="es-ES"/>
        </w:rPr>
        <w:t xml:space="preserve">régimen jurídico de inhabilidades e incompatibilidades aplicable a la contratación estatal se encuentra en los artículos 8 y siguientes de la Ley 80 de 1993, en la Ley 1474 de 2011, en la Constitución Política, entre otros. De manera que, como se pasa a explicar, por regla general no resulta extrapolable a la contratación estatal la normativa en materia de control disciplinario establecida en la Ley 734 de 2002 y en la </w:t>
      </w:r>
      <w:r w:rsidRPr="00114ED7">
        <w:rPr>
          <w:rFonts w:ascii="Verdana" w:eastAsia="Calibri" w:hAnsi="Verdana" w:cs="Arial"/>
          <w:color w:val="000000" w:themeColor="text1"/>
          <w:lang w:val="es-MX"/>
        </w:rPr>
        <w:t>Ley 1952 de 2019</w:t>
      </w:r>
      <w:r w:rsidRPr="00114ED7">
        <w:rPr>
          <w:rFonts w:ascii="Verdana" w:eastAsia="Calibri" w:hAnsi="Verdana" w:cs="Arial"/>
          <w:color w:val="000000" w:themeColor="text1"/>
          <w:lang w:val="es-ES"/>
        </w:rPr>
        <w:t>, a excepción de las específicas establecidas en dicha normativa y en la jurisprudencia.</w:t>
      </w:r>
      <w:r>
        <w:rPr>
          <w:rFonts w:ascii="Verdana" w:eastAsia="Calibri" w:hAnsi="Verdana" w:cs="Arial"/>
          <w:color w:val="000000" w:themeColor="text1"/>
        </w:rPr>
        <w:t xml:space="preserve"> </w:t>
      </w:r>
    </w:p>
    <w:p w14:paraId="3F311CE1" w14:textId="77777777" w:rsidR="00A431E4" w:rsidRDefault="00A431E4" w:rsidP="00A431E4">
      <w:pPr>
        <w:spacing w:after="0" w:line="276" w:lineRule="auto"/>
        <w:ind w:firstLine="708"/>
        <w:jc w:val="both"/>
        <w:rPr>
          <w:rFonts w:ascii="Verdana" w:hAnsi="Verdana" w:cs="Arial"/>
          <w:color w:val="000000" w:themeColor="text1"/>
        </w:rPr>
      </w:pPr>
      <w:r>
        <w:rPr>
          <w:rFonts w:ascii="Verdana" w:hAnsi="Verdana" w:cs="Arial"/>
          <w:color w:val="000000" w:themeColor="text1"/>
        </w:rPr>
        <w:t xml:space="preserve">Al respecto, en consideración al tema objeto de consulta, resulta pertinente traer a colación las restricciones establecidas en el artículo 128 de la Constitución Política, el artículo 19 de la Ley 4ª de 1992, el literal f) del numeral 1 del artículo 8 de la Ley 80 de 1993 y los artículos 71 a 74 de la Ley 30 de 1992. El artículo 128 de la Constitución Política dispone lo siguiente: </w:t>
      </w:r>
    </w:p>
    <w:p w14:paraId="5A2DA706" w14:textId="77777777" w:rsidR="00A431E4" w:rsidRDefault="00A431E4" w:rsidP="00A431E4">
      <w:pPr>
        <w:spacing w:after="0" w:line="276" w:lineRule="auto"/>
        <w:ind w:firstLine="708"/>
        <w:jc w:val="both"/>
        <w:rPr>
          <w:rFonts w:ascii="Verdana" w:hAnsi="Verdana" w:cs="Arial"/>
          <w:color w:val="000000" w:themeColor="text1"/>
        </w:rPr>
      </w:pPr>
    </w:p>
    <w:p w14:paraId="246D6F5E" w14:textId="77777777" w:rsidR="00A431E4" w:rsidRPr="006E41F6" w:rsidRDefault="00A431E4" w:rsidP="00A431E4">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rPr>
        <w:t>“Artículo 43. Otras incompatibilidades. Además, constituyen incompatibilidades para desempeñar cargos públicos, las siguientes:</w:t>
      </w:r>
    </w:p>
    <w:p w14:paraId="155628FE" w14:textId="77777777" w:rsidR="00A431E4" w:rsidRPr="006E41F6" w:rsidRDefault="00A431E4" w:rsidP="00A431E4">
      <w:pPr>
        <w:spacing w:after="0" w:line="240" w:lineRule="auto"/>
        <w:ind w:left="709" w:right="709"/>
        <w:jc w:val="both"/>
        <w:rPr>
          <w:rFonts w:ascii="Verdana" w:hAnsi="Verdana" w:cs="Arial"/>
          <w:color w:val="000000" w:themeColor="text1"/>
          <w:sz w:val="20"/>
          <w:szCs w:val="20"/>
        </w:rPr>
      </w:pPr>
    </w:p>
    <w:p w14:paraId="256F4276" w14:textId="77777777" w:rsidR="00A431E4" w:rsidRPr="006E41F6" w:rsidRDefault="00A431E4" w:rsidP="00A431E4">
      <w:pPr>
        <w:pStyle w:val="Prrafodelista"/>
        <w:numPr>
          <w:ilvl w:val="0"/>
          <w:numId w:val="21"/>
        </w:numPr>
        <w:spacing w:after="120" w:line="240" w:lineRule="auto"/>
        <w:ind w:left="709" w:right="709" w:firstLine="65"/>
        <w:contextualSpacing w:val="0"/>
        <w:jc w:val="both"/>
        <w:rPr>
          <w:rFonts w:ascii="Verdana" w:hAnsi="Verdana" w:cs="Arial"/>
          <w:color w:val="000000" w:themeColor="text1"/>
          <w:sz w:val="20"/>
          <w:szCs w:val="20"/>
        </w:rPr>
      </w:pPr>
      <w:r>
        <w:rPr>
          <w:rFonts w:ascii="Verdana" w:hAnsi="Verdana" w:cs="Arial"/>
          <w:color w:val="000000" w:themeColor="text1"/>
          <w:sz w:val="20"/>
          <w:szCs w:val="20"/>
        </w:rPr>
        <w:t>“Artículo 128. Nadie podrá desempeñar simultáneamente más de un empleo público ni recibir más de una asignación que provenga del tesoro público, o de empresas o de instituciones en las que tenga parte mayoritaria el Estado, salvo los casos expresamente determinados por la ley. Entiéndase por tesoro público el de la Nación, el de las entidades territoriales y el de las descentralizadas.”</w:t>
      </w:r>
    </w:p>
    <w:p w14:paraId="38556676" w14:textId="77777777" w:rsidR="00A431E4" w:rsidRPr="006E41F6" w:rsidRDefault="00A431E4" w:rsidP="00A431E4">
      <w:pPr>
        <w:pStyle w:val="Prrafodelista"/>
        <w:numPr>
          <w:ilvl w:val="0"/>
          <w:numId w:val="22"/>
        </w:numPr>
        <w:spacing w:after="120" w:line="240" w:lineRule="auto"/>
        <w:ind w:left="851" w:right="709" w:firstLine="0"/>
        <w:contextualSpacing w:val="0"/>
        <w:jc w:val="both"/>
        <w:rPr>
          <w:rFonts w:ascii="Verdana" w:hAnsi="Verdana" w:cs="Arial"/>
          <w:color w:val="000000" w:themeColor="text1"/>
          <w:sz w:val="20"/>
          <w:szCs w:val="20"/>
        </w:rPr>
      </w:pPr>
      <w:r>
        <w:rPr>
          <w:rFonts w:ascii="Verdana" w:hAnsi="Verdana" w:cs="Arial"/>
          <w:color w:val="000000" w:themeColor="text1"/>
          <w:sz w:val="20"/>
          <w:szCs w:val="20"/>
        </w:rPr>
        <w:t xml:space="preserve">intervenir en nombre propio o ajeno en asuntos, actuaciones administrativas o actuación contractual en los cuales tenga interés el departamento, distrito o municipio correspondiente, o sus organismos; </w:t>
      </w:r>
    </w:p>
    <w:p w14:paraId="3F487C2F" w14:textId="77777777" w:rsidR="00A431E4" w:rsidRPr="006E41F6" w:rsidRDefault="00A431E4" w:rsidP="00A431E4">
      <w:pPr>
        <w:pStyle w:val="Prrafodelista"/>
        <w:numPr>
          <w:ilvl w:val="0"/>
          <w:numId w:val="22"/>
        </w:numPr>
        <w:spacing w:after="120" w:line="240" w:lineRule="auto"/>
        <w:ind w:left="851" w:right="709" w:firstLine="0"/>
        <w:contextualSpacing w:val="0"/>
        <w:jc w:val="both"/>
        <w:rPr>
          <w:rFonts w:ascii="Verdana" w:hAnsi="Verdana" w:cs="Arial"/>
          <w:color w:val="000000" w:themeColor="text1"/>
          <w:sz w:val="20"/>
          <w:szCs w:val="20"/>
        </w:rPr>
      </w:pPr>
      <w:r>
        <w:rPr>
          <w:rFonts w:ascii="Verdana" w:hAnsi="Verdana" w:cs="Arial"/>
          <w:color w:val="000000" w:themeColor="text1"/>
          <w:sz w:val="20"/>
          <w:szCs w:val="20"/>
        </w:rPr>
        <w:t>actuar como apoderados o gestores ante entidades o autoridades disciplinarias, fiscales, administrativas o jurisdiccionales (…)”.</w:t>
      </w:r>
    </w:p>
    <w:p w14:paraId="5AD0DD35" w14:textId="77777777" w:rsidR="00A431E4" w:rsidRDefault="00A431E4" w:rsidP="00A431E4">
      <w:pPr>
        <w:spacing w:after="0"/>
        <w:ind w:right="709"/>
        <w:jc w:val="both"/>
        <w:rPr>
          <w:rFonts w:ascii="Verdana" w:hAnsi="Verdana" w:cs="Arial"/>
          <w:color w:val="000000" w:themeColor="text1"/>
          <w:sz w:val="21"/>
          <w:szCs w:val="21"/>
        </w:rPr>
      </w:pPr>
    </w:p>
    <w:p w14:paraId="4A085B97" w14:textId="77777777" w:rsidR="00AD1AB0" w:rsidRDefault="00A431E4" w:rsidP="00A431E4">
      <w:pPr>
        <w:spacing w:after="120" w:line="276" w:lineRule="auto"/>
        <w:ind w:left="-357" w:firstLine="1066"/>
        <w:jc w:val="both"/>
        <w:rPr>
          <w:rFonts w:ascii="Verdana" w:hAnsi="Verdana" w:cs="Arial"/>
          <w:color w:val="000000" w:themeColor="text1"/>
        </w:rPr>
      </w:pPr>
      <w:r>
        <w:rPr>
          <w:rFonts w:ascii="Verdana" w:hAnsi="Verdana" w:cs="Arial"/>
          <w:color w:val="000000" w:themeColor="text1"/>
        </w:rPr>
        <w:t xml:space="preserve">A su vez, el artículo 19 de la Ley 4ª de 1992 desarrolla la prohibición constitucional e introduce las excepciones taxativas en las cuales es posible recibir más de una asignación proveniente del erario, entre las cuales se destacan: a) las asignaciones de los profesores universitarios que se desempeñen como asesores de la Rama Legislativa; d) los honorarios percibidos por concepto de hora-cátedra; y e) los honorarios percibidos por concepto de servicios profesionales de salud, </w:t>
      </w:r>
      <w:r>
        <w:rPr>
          <w:rFonts w:ascii="Verdana" w:hAnsi="Verdana" w:cs="Arial"/>
          <w:color w:val="000000" w:themeColor="text1"/>
        </w:rPr>
        <w:lastRenderedPageBreak/>
        <w:t xml:space="preserve">aclarando que no se podrán recibir honorarios que sumados correspondan a más de ocho (8) horas diarias de trabajo a varias entidades. </w:t>
      </w:r>
    </w:p>
    <w:p w14:paraId="19C314B2" w14:textId="1798552D" w:rsidR="00A431E4" w:rsidRDefault="00A431E4" w:rsidP="00A431E4">
      <w:pPr>
        <w:spacing w:after="120" w:line="276" w:lineRule="auto"/>
        <w:ind w:left="-357" w:firstLine="1066"/>
        <w:jc w:val="both"/>
        <w:rPr>
          <w:rFonts w:ascii="Verdana" w:hAnsi="Verdana" w:cs="Arial"/>
          <w:color w:val="000000" w:themeColor="text1"/>
        </w:rPr>
      </w:pPr>
      <w:r>
        <w:rPr>
          <w:rFonts w:ascii="Verdana" w:hAnsi="Verdana" w:cs="Arial"/>
          <w:color w:val="000000" w:themeColor="text1"/>
        </w:rPr>
        <w:t xml:space="preserve">Por su parte, la Ley 30 de 1992 clasifica a los docentes universitarios en: docentes de dedicación exclusiva, de tiempo completo, de medio tiempo, de cátedra y ocasionales. Los profesores de dedicación exclusiva, tiempo completo y medio tiempo son empleados públicos. Los docentes ocasionales son servidores </w:t>
      </w:r>
      <w:proofErr w:type="gramStart"/>
      <w:r>
        <w:rPr>
          <w:rFonts w:ascii="Verdana" w:hAnsi="Verdana" w:cs="Arial"/>
          <w:color w:val="000000" w:themeColor="text1"/>
        </w:rPr>
        <w:t>públicos</w:t>
      </w:r>
      <w:proofErr w:type="gramEnd"/>
      <w:r>
        <w:rPr>
          <w:rFonts w:ascii="Verdana" w:hAnsi="Verdana" w:cs="Arial"/>
          <w:color w:val="000000" w:themeColor="text1"/>
        </w:rPr>
        <w:t xml:space="preserve"> aunque no empleados públicos ni trabajadores oficiales. Los docentes de hora cátedra son contratistas. Esta clasificación tiene relevancia jurídica determinante, pues la excepción del literal d) del artículo 19 de la Ley 4ª de 1992 opera exclusivamente para los docentes hora cátedra, y no es extensible a los docentes de tiempo completo. Finalmente, el literal f) del numeral 1 del artículo 8 de la Ley 80 de 1993 establece que los servidores públicos son inhábiles para contratar con entidades estatales, y el artículo 9 de la misma ley dispone que si sobreviene una inhabilidad, el contratista deberá ceder el contrato o renunciar a su ejecución.</w:t>
      </w:r>
    </w:p>
    <w:p w14:paraId="6BFDAD5B" w14:textId="77777777" w:rsidR="00A431E4" w:rsidRDefault="00A431E4" w:rsidP="00A431E4">
      <w:pPr>
        <w:spacing w:after="120" w:line="276" w:lineRule="auto"/>
        <w:ind w:left="-357" w:firstLine="1066"/>
        <w:jc w:val="both"/>
        <w:rPr>
          <w:rFonts w:ascii="Verdana" w:hAnsi="Verdana" w:cs="Arial"/>
          <w:color w:val="000000" w:themeColor="text1"/>
        </w:rPr>
      </w:pPr>
      <w:r>
        <w:rPr>
          <w:rFonts w:ascii="Verdana" w:hAnsi="Verdana" w:cs="Arial"/>
          <w:color w:val="000000" w:themeColor="text1"/>
        </w:rPr>
        <w:t xml:space="preserve">Esta incompatibilidad, es esencialmente la misma en su momento establecida en el numeral 1 del artículo 39 de la Ley 734 de 2002, con la diferencia en que la norma de 2002 limitaba el ámbito temporal al periodo a la terminación del periodo.  Sobre esta incompatibilidad se pronunció la Sala de Consulta y Servicio Civil, indicando que: </w:t>
      </w:r>
    </w:p>
    <w:p w14:paraId="7DF05AD7" w14:textId="77777777" w:rsidR="00A431E4" w:rsidRPr="006E41F6" w:rsidRDefault="00A431E4" w:rsidP="00A431E4">
      <w:pPr>
        <w:shd w:val="clear" w:color="auto" w:fill="FFFFFF"/>
        <w:spacing w:after="0" w:line="240" w:lineRule="auto"/>
        <w:ind w:left="709" w:right="709"/>
        <w:jc w:val="both"/>
        <w:rPr>
          <w:rFonts w:ascii="Verdana" w:eastAsia="Times New Roman" w:hAnsi="Verdana" w:cs="Times New Roman"/>
          <w:color w:val="333333"/>
          <w:sz w:val="20"/>
          <w:szCs w:val="20"/>
          <w:lang w:eastAsia="es-MX"/>
        </w:rPr>
      </w:pPr>
      <w:r>
        <w:rPr>
          <w:rFonts w:ascii="Verdana" w:hAnsi="Verdana"/>
          <w:sz w:val="20"/>
          <w:szCs w:val="20"/>
        </w:rPr>
        <w:t>Sobre la aplicación de esta prohibición a los docentes de universidades públicas, el Departamento Administrativo de la Función Pública, en el Concepto 136801 del 5 de abril de 2023, precisó que los docentes ocasionales, al igual que los de dedicación exclusiva, tiempo completo y medio tiempo, tienen la calidad de servidores públicos y, en consecuencia, no pueden suscribir contratos con entidades públicas al amparo del artículo 8 de la Ley 80 de 1993. Además, dicha entidad aclaró que la norma estudiada solo prevé la excepción de percibir dos asignaciones provenientes del tesoro público para los docentes hora cátedra, siendo improcedente extender dicha excepción a los docentes de tiempo completo. En ese mismo sentido, la Corte Constitucional en Sentencia C-006 de 1996 estableció que los docentes ocasionales son servidores públicos que están vinculados a un servicio público, siendo aplicable a ellos el régimen general de la función pública.</w:t>
      </w:r>
    </w:p>
    <w:p w14:paraId="08D9E1C5" w14:textId="77777777" w:rsidR="00A431E4" w:rsidRPr="006E41F6" w:rsidRDefault="00A431E4" w:rsidP="00A431E4">
      <w:pPr>
        <w:shd w:val="clear" w:color="auto" w:fill="FFFFFF"/>
        <w:spacing w:after="0" w:line="240" w:lineRule="auto"/>
        <w:ind w:left="709" w:right="709"/>
        <w:jc w:val="both"/>
        <w:rPr>
          <w:rFonts w:ascii="Verdana" w:eastAsia="Times New Roman" w:hAnsi="Verdana" w:cs="Times New Roman"/>
          <w:color w:val="333333"/>
          <w:sz w:val="20"/>
          <w:szCs w:val="20"/>
          <w:lang w:eastAsia="es-MX"/>
        </w:rPr>
      </w:pPr>
      <w:proofErr w:type="spellStart"/>
      <w:r>
        <w:rPr>
          <w:rFonts w:ascii="Verdana" w:hAnsi="Verdana"/>
          <w:sz w:val="20"/>
          <w:szCs w:val="20"/>
        </w:rPr>
        <w:t>ii</w:t>
      </w:r>
      <w:proofErr w:type="spellEnd"/>
      <w:r>
        <w:rPr>
          <w:rFonts w:ascii="Verdana" w:hAnsi="Verdana"/>
          <w:sz w:val="20"/>
          <w:szCs w:val="20"/>
        </w:rPr>
        <w:t xml:space="preserve">) La norma tiene como finalidades: </w:t>
      </w:r>
    </w:p>
    <w:p w14:paraId="29B6F931" w14:textId="77777777" w:rsidR="00A431E4"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a. Prevenir que el servidor público de elección popular ejerza simultáneamente con la función pública encomendada alguna práctica profesional que ponga en conflicto el interés general con el particular.</w:t>
      </w:r>
    </w:p>
    <w:p w14:paraId="6B82903C" w14:textId="77777777" w:rsidR="00A431E4" w:rsidRPr="006E41F6" w:rsidRDefault="00A431E4" w:rsidP="00A431E4">
      <w:pPr>
        <w:shd w:val="clear" w:color="auto" w:fill="FFFFFF"/>
        <w:spacing w:after="0" w:line="240" w:lineRule="auto"/>
        <w:ind w:left="709" w:right="709"/>
        <w:jc w:val="both"/>
        <w:rPr>
          <w:rFonts w:ascii="Verdana" w:eastAsia="Times New Roman" w:hAnsi="Verdana" w:cs="Times New Roman"/>
          <w:color w:val="333333"/>
          <w:sz w:val="20"/>
          <w:szCs w:val="20"/>
          <w:lang w:eastAsia="es-MX"/>
        </w:rPr>
      </w:pPr>
    </w:p>
    <w:p w14:paraId="0AE439EC" w14:textId="77777777" w:rsidR="00A431E4" w:rsidRPr="006E41F6" w:rsidRDefault="00A431E4" w:rsidP="00A431E4">
      <w:pPr>
        <w:shd w:val="clear" w:color="auto" w:fill="FFFFFF"/>
        <w:spacing w:after="0" w:line="240" w:lineRule="auto"/>
        <w:ind w:left="709" w:right="709"/>
        <w:jc w:val="both"/>
        <w:rPr>
          <w:rFonts w:ascii="Verdana" w:eastAsia="Times New Roman" w:hAnsi="Verdana" w:cs="Times New Roman"/>
          <w:color w:val="333333"/>
          <w:sz w:val="20"/>
          <w:szCs w:val="20"/>
          <w:lang w:eastAsia="es-MX"/>
        </w:rPr>
      </w:pPr>
      <w:r>
        <w:rPr>
          <w:rFonts w:ascii="Verdana" w:hAnsi="Verdana"/>
          <w:sz w:val="20"/>
          <w:szCs w:val="20"/>
        </w:rPr>
        <w:lastRenderedPageBreak/>
        <w:t xml:space="preserve">b. Evitar que el servidor público elegido popularmente obtenga beneficios (que pueden ser pecuniarios o no pecuniarios), dádivas, ventajas, para sí mismo o para otra persona al ejercer simultáneamente la actividad de apoderado judicial particular o gestor ante las entidades señaladas, con las funciones de servidor público elegido popularmente. </w:t>
      </w:r>
    </w:p>
    <w:p w14:paraId="708ECA67" w14:textId="77777777" w:rsidR="00A431E4" w:rsidRDefault="00A431E4" w:rsidP="00A431E4">
      <w:pPr>
        <w:shd w:val="clear" w:color="auto" w:fill="FFFFFF"/>
        <w:spacing w:after="0" w:line="240" w:lineRule="auto"/>
        <w:ind w:left="709" w:right="709"/>
        <w:jc w:val="both"/>
        <w:rPr>
          <w:rFonts w:ascii="Verdana" w:hAnsi="Verdana"/>
          <w:sz w:val="20"/>
          <w:szCs w:val="20"/>
        </w:rPr>
      </w:pPr>
    </w:p>
    <w:p w14:paraId="30F7D00C"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c. Propiciar que el servidor público elegido popularmente le dedique todo su tiempo y esfuerzo al cargo al que ha sido elegido, cumpliendo cabalmente los principios de moralidad, imparcialidad, transparencia y eficacia, y no defraude a la sociedad, ni la confianza ni el voto depositado por sus electores.</w:t>
      </w:r>
    </w:p>
    <w:p w14:paraId="2DF5354D"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p>
    <w:p w14:paraId="330A95C1"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w:t>
      </w:r>
    </w:p>
    <w:p w14:paraId="381FCB3B"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p>
    <w:p w14:paraId="36C4602A"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Es de observar que las incompatibilidades se deben interpretar de acuerdo con su texto literal y su sentido lógico, en la medida en que constituyen limitaciones y restricciones legales a las personas que desempeñan funciones públicas. En el caso objeto de consulta, podría considerarse que el docente vinculado de tiempo completo a una universidad pública tendría la calidad de empleado público conforme al artículo 72 de la Ley 30 de 1992, calidad que activaría la prohibición del literal f) del numeral 1 del artículo 8 de la Ley 80 de 1993. Igualmente, la circunstancia de que los horarios del contrato médico no se superpongan con las funciones docentes podría resultar jurídicamente irrelevante para efectos de la incompatibilidad, en tanto esta operaría por razón de la calidad de servidor público y la simultaneidad de la vinculación con una entidad pública, y no por el cruce de jornadas. No obstante, corresponderá a la entidad pública verificar en el caso concreto si el docente acredita alguna de las excepciones taxativas previstas en el artículo 19 de la Ley 4ª de 1992.</w:t>
      </w:r>
    </w:p>
    <w:p w14:paraId="26A9FAE9"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p>
    <w:p w14:paraId="620B7357"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 xml:space="preserve">Se busca que no intervenga para beneficio propio en asuntos de interés de la entidad territorial, pues se genera una incompatibilidad entre el ejercicio en forma simultánea de su cargo y esta actividad. </w:t>
      </w:r>
    </w:p>
    <w:p w14:paraId="6C54C15F"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p>
    <w:p w14:paraId="0A8B4184"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r>
        <w:rPr>
          <w:rFonts w:ascii="Verdana" w:hAnsi="Verdana"/>
          <w:sz w:val="20"/>
          <w:szCs w:val="20"/>
        </w:rPr>
        <w:t xml:space="preserve">Si tales conductas se realizan en beneficio personal o privado del servidor público, se encuentra que el término de doce (12) meses después del vencimiento del período o retiro del servicio, de extensión de las incompatibilidades, tiene plena justificación legal. </w:t>
      </w:r>
    </w:p>
    <w:p w14:paraId="1B5D1CED" w14:textId="77777777" w:rsidR="00A431E4" w:rsidRPr="00757170" w:rsidRDefault="00A431E4" w:rsidP="00A431E4">
      <w:pPr>
        <w:shd w:val="clear" w:color="auto" w:fill="FFFFFF"/>
        <w:spacing w:after="0" w:line="240" w:lineRule="auto"/>
        <w:ind w:left="709" w:right="709"/>
        <w:jc w:val="both"/>
        <w:rPr>
          <w:rFonts w:ascii="Verdana" w:hAnsi="Verdana"/>
          <w:sz w:val="20"/>
          <w:szCs w:val="20"/>
        </w:rPr>
      </w:pPr>
    </w:p>
    <w:p w14:paraId="5E2B7DDF" w14:textId="77777777" w:rsidR="00A431E4" w:rsidRPr="006E41F6" w:rsidRDefault="00A431E4" w:rsidP="00A431E4">
      <w:pPr>
        <w:spacing w:after="0" w:line="240" w:lineRule="auto"/>
        <w:ind w:left="709" w:right="709"/>
        <w:jc w:val="both"/>
        <w:rPr>
          <w:rFonts w:ascii="Verdana" w:hAnsi="Verdana" w:cs="Arial"/>
          <w:color w:val="000000" w:themeColor="text1"/>
          <w:sz w:val="20"/>
          <w:szCs w:val="20"/>
        </w:rPr>
      </w:pPr>
      <w:r>
        <w:rPr>
          <w:rFonts w:ascii="Verdana" w:hAnsi="Verdana"/>
          <w:sz w:val="20"/>
          <w:szCs w:val="20"/>
        </w:rPr>
        <w:t xml:space="preserve">Si las incompatibilidades se refirieran a que tales conductas se ejecutaran en desarrollo de funciones públicas, es claro que el servidor público no podría actuar ni desempeñar su labor, pues no podría intervenir en </w:t>
      </w:r>
      <w:r>
        <w:rPr>
          <w:rFonts w:ascii="Verdana" w:hAnsi="Verdana"/>
          <w:sz w:val="20"/>
          <w:szCs w:val="20"/>
        </w:rPr>
        <w:lastRenderedPageBreak/>
        <w:t>asuntos o actuaciones administrativas o contractuales de su entidad territorial, ni conferir poder para la defensa de los intereses de esta.</w:t>
      </w:r>
      <w:r>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14"/>
      </w:r>
      <w:r>
        <w:rPr>
          <w:rFonts w:ascii="Verdana" w:hAnsi="Verdana" w:cs="Arial"/>
          <w:color w:val="000000" w:themeColor="text1"/>
          <w:sz w:val="20"/>
          <w:szCs w:val="20"/>
        </w:rPr>
        <w:t>.</w:t>
      </w:r>
    </w:p>
    <w:p w14:paraId="2AA171EB" w14:textId="6C1EC0BF" w:rsidR="00A431E4" w:rsidRPr="00E815A4" w:rsidRDefault="00A431E4" w:rsidP="00A431E4">
      <w:pPr>
        <w:shd w:val="clear" w:color="auto" w:fill="FFFFFF"/>
        <w:spacing w:after="120" w:line="276" w:lineRule="auto"/>
        <w:jc w:val="both"/>
        <w:rPr>
          <w:rFonts w:ascii="Verdana" w:hAnsi="Verdana"/>
        </w:rPr>
      </w:pPr>
    </w:p>
    <w:p w14:paraId="50329692" w14:textId="77777777" w:rsidR="00AD1AB0" w:rsidRDefault="00A431E4" w:rsidP="00A431E4">
      <w:pPr>
        <w:shd w:val="clear" w:color="auto" w:fill="FFFFFF"/>
        <w:spacing w:after="120"/>
        <w:jc w:val="both"/>
        <w:rPr>
          <w:rFonts w:ascii="Verdana" w:hAnsi="Verdana"/>
        </w:rPr>
      </w:pPr>
      <w:r>
        <w:rPr>
          <w:rFonts w:ascii="Verdana" w:hAnsi="Verdana"/>
        </w:rPr>
        <w:tab/>
      </w:r>
      <w:r w:rsidR="00AD1AB0" w:rsidRPr="00AD1AB0">
        <w:rPr>
          <w:rFonts w:ascii="Verdana" w:hAnsi="Verdana"/>
        </w:rPr>
        <w:t>En ese orden, en la medida en que la prohibición del artículo 128 de la Carta y el literal f) del numeral 1 del artículo 8 de la Ley 80 de 1993 restringen la celebración de contratos con cualquier entidad pública por parte de quienes tengan la calidad de servidores públicos, podría configurarse la incompatibilidad prevista en dichas normas respecto del docente de tiempo completo de una universidad pública que celebre un contrato de medio tiempo con una EPS pública para ejercer la medicina, con independencia del no cruce de horarios</w:t>
      </w:r>
      <w:r w:rsidR="00AD1AB0">
        <w:rPr>
          <w:rFonts w:ascii="Verdana" w:hAnsi="Verdana"/>
        </w:rPr>
        <w:t>.</w:t>
      </w:r>
    </w:p>
    <w:p w14:paraId="0E9BFCA5" w14:textId="4416D6D8" w:rsidR="00A431E4" w:rsidRDefault="003770D6" w:rsidP="003770D6">
      <w:pPr>
        <w:shd w:val="clear" w:color="auto" w:fill="FFFFFF"/>
        <w:spacing w:after="120"/>
        <w:ind w:firstLine="708"/>
        <w:jc w:val="both"/>
        <w:rPr>
          <w:rFonts w:ascii="Verdana" w:hAnsi="Verdana"/>
        </w:rPr>
      </w:pPr>
      <w:r w:rsidRPr="003770D6">
        <w:rPr>
          <w:rFonts w:ascii="Verdana" w:hAnsi="Verdana" w:cs="Arial"/>
          <w:lang w:eastAsia="es-ES"/>
        </w:rPr>
        <w:t>En ese orden, en la medida en que la prohibición del artículo 128 de la Carta y el literal f) del numeral 1 del artículo 8 de la Ley 80 de 1993 restringen la celebración de contratos con cualquier entidad pública por parte de quienes tengan la calidad de servidores públicos, podría configurarse la incompatibilidad prevista en dichas normas respecto del docente de tiempo completo de una universidad pública que celebre un contrato de medio tiempo con una EPS pública para ejercer la medicina, con independencia del no cruce de horarios; no obstante, deberá analizarse en cada caso concreto si opera alguna de las excepciones taxativas previstas por el legislador. Con todo, la determinación definitiva corresponde a la entidad pública competente, sin que sea atribución de esta Agencia validar o definir las actuaciones contractuales particulares de los partícipes del sistema.</w:t>
      </w:r>
    </w:p>
    <w:p w14:paraId="0DA75D7C" w14:textId="77777777" w:rsidR="003C049F" w:rsidRPr="003C049F" w:rsidRDefault="003C049F" w:rsidP="003C049F">
      <w:pPr>
        <w:spacing w:after="0" w:line="276" w:lineRule="auto"/>
        <w:ind w:firstLine="708"/>
        <w:jc w:val="both"/>
        <w:rPr>
          <w:rFonts w:ascii="Verdana" w:eastAsia="Calibri" w:hAnsi="Verdana" w:cs="Arial"/>
          <w:lang w:val="es-ES"/>
        </w:rPr>
      </w:pPr>
    </w:p>
    <w:p w14:paraId="76A4E4E1" w14:textId="2EED9289" w:rsidR="00A431E4" w:rsidRPr="00A431E4" w:rsidRDefault="00522FFE" w:rsidP="00A431E4">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4.Referencias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22FFE" w:rsidRPr="00C6221B" w14:paraId="0D7AB683" w14:textId="77777777" w:rsidTr="00882D00">
        <w:trPr>
          <w:trHeight w:val="870"/>
        </w:trPr>
        <w:tc>
          <w:tcPr>
            <w:tcW w:w="8647" w:type="dxa"/>
          </w:tcPr>
          <w:p w14:paraId="4B569567" w14:textId="77777777" w:rsidR="00A431E4" w:rsidRPr="00DC1867"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color w:val="000000" w:themeColor="text1"/>
                <w:lang w:val="es-ES_tradnl"/>
              </w:rPr>
              <w:t xml:space="preserve">Constitución Política. </w:t>
            </w:r>
            <w:r>
              <w:rPr>
                <w:rFonts w:ascii="Verdana" w:hAnsi="Verdana" w:cs="Arial"/>
                <w:color w:val="000000" w:themeColor="text1"/>
                <w:lang w:val="es-ES_tradnl"/>
              </w:rPr>
              <w:t>Artículos 150 y 209.</w:t>
            </w:r>
            <w:r w:rsidRPr="00DC1867">
              <w:rPr>
                <w:rFonts w:ascii="Verdana" w:hAnsi="Verdana" w:cs="Arial"/>
                <w:color w:val="000000" w:themeColor="text1"/>
                <w:lang w:val="es-ES_tradnl"/>
              </w:rPr>
              <w:t xml:space="preserve"> Disponible en: </w:t>
            </w:r>
            <w:hyperlink r:id="rId11" w:history="1">
              <w:r w:rsidRPr="00DC1867">
                <w:rPr>
                  <w:rStyle w:val="Hipervnculo"/>
                  <w:rFonts w:ascii="Verdana" w:hAnsi="Verdana" w:cs="Arial"/>
                  <w:lang w:val="es-ES_tradnl"/>
                </w:rPr>
                <w:t>https://relatoria.colombiacompra.gov.co/normativa/constitucion-politica-de-colombia/</w:t>
              </w:r>
            </w:hyperlink>
            <w:r w:rsidRPr="00DC1867">
              <w:rPr>
                <w:rFonts w:ascii="Verdana" w:hAnsi="Verdana" w:cs="Arial"/>
                <w:color w:val="000000" w:themeColor="text1"/>
                <w:lang w:val="es-ES_tradnl"/>
              </w:rPr>
              <w:t xml:space="preserve"> </w:t>
            </w:r>
          </w:p>
          <w:p w14:paraId="53AE7ABE" w14:textId="77777777" w:rsidR="00A431E4" w:rsidRPr="00DC1867" w:rsidRDefault="00A431E4" w:rsidP="00A431E4">
            <w:pPr>
              <w:pStyle w:val="Prrafodelista"/>
              <w:ind w:right="709"/>
              <w:jc w:val="both"/>
              <w:rPr>
                <w:rFonts w:ascii="Verdana" w:hAnsi="Verdana" w:cs="Arial"/>
                <w:color w:val="000000" w:themeColor="text1"/>
                <w:lang w:val="es-ES_tradnl"/>
              </w:rPr>
            </w:pPr>
          </w:p>
          <w:p w14:paraId="23F9B4A4" w14:textId="5F792760"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Pr>
                <w:rFonts w:ascii="Verdana" w:eastAsia="Times New Roman" w:hAnsi="Verdana" w:cs="Arial"/>
                <w:color w:val="000000"/>
                <w:lang w:val="es-ES_tradnl" w:eastAsia="es-ES_tradnl"/>
              </w:rPr>
              <w:t>L</w:t>
            </w:r>
            <w:r w:rsidRPr="00DC1867">
              <w:rPr>
                <w:rFonts w:ascii="Verdana" w:eastAsia="Times New Roman" w:hAnsi="Verdana" w:cs="Arial"/>
                <w:color w:val="000000"/>
                <w:lang w:val="es-ES_tradnl" w:eastAsia="es-ES_tradnl"/>
              </w:rPr>
              <w:t>ey 80 de 1993</w:t>
            </w:r>
            <w:r w:rsidRPr="00DC1867">
              <w:rPr>
                <w:rFonts w:ascii="Verdana" w:hAnsi="Verdana" w:cs="Arial"/>
                <w:noProof/>
                <w:lang w:val="es-ES_tradnl"/>
              </w:rPr>
              <w:t xml:space="preserve">. </w:t>
            </w:r>
            <w:r>
              <w:rPr>
                <w:rFonts w:ascii="Verdana" w:hAnsi="Verdana" w:cs="Arial"/>
                <w:noProof/>
                <w:lang w:val="es-ES_tradnl"/>
              </w:rPr>
              <w:t>Artículos 6 y 8.</w:t>
            </w:r>
            <w:r w:rsidRPr="00DC1867">
              <w:rPr>
                <w:rFonts w:ascii="Verdana" w:hAnsi="Verdana" w:cs="Arial"/>
                <w:noProof/>
                <w:lang w:val="es-ES_tradnl"/>
              </w:rPr>
              <w:t xml:space="preserve"> Disponible en: </w:t>
            </w:r>
            <w:hyperlink r:id="rId12" w:history="1">
              <w:r w:rsidRPr="00DC1867">
                <w:rPr>
                  <w:rStyle w:val="Hipervnculo"/>
                  <w:rFonts w:ascii="Verdana" w:hAnsi="Verdana" w:cs="Arial"/>
                  <w:noProof/>
                  <w:lang w:val="es-ES_tradnl"/>
                </w:rPr>
                <w:t>https://relatoria.colombiacompra.gov.co/normativa/ley-80-de-1993/</w:t>
              </w:r>
            </w:hyperlink>
            <w:r w:rsidRPr="00DC1867">
              <w:rPr>
                <w:rFonts w:ascii="Verdana" w:hAnsi="Verdana" w:cs="Arial"/>
                <w:noProof/>
                <w:lang w:val="es-ES_tradnl"/>
              </w:rPr>
              <w:t xml:space="preserve">  </w:t>
            </w:r>
          </w:p>
          <w:p w14:paraId="69F2B1C2" w14:textId="5C48C356"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E452A4">
              <w:rPr>
                <w:rFonts w:ascii="Verdana" w:hAnsi="Verdana"/>
              </w:rPr>
              <w:t>Ley 1952 de 2019. A</w:t>
            </w:r>
            <w:r w:rsidRPr="00DC1867">
              <w:rPr>
                <w:rFonts w:ascii="Verdana" w:hAnsi="Verdana"/>
              </w:rPr>
              <w:t>rtículo 43</w:t>
            </w:r>
            <w:r>
              <w:rPr>
                <w:rFonts w:ascii="Verdana" w:hAnsi="Verdana"/>
              </w:rPr>
              <w:t>.</w:t>
            </w:r>
          </w:p>
          <w:p w14:paraId="20502AAC" w14:textId="6FBE45FA"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rPr>
              <w:t xml:space="preserve">Ley 734 de 2002. </w:t>
            </w:r>
            <w:r>
              <w:rPr>
                <w:rFonts w:ascii="Verdana" w:hAnsi="Verdana"/>
              </w:rPr>
              <w:t>Artículo 39.</w:t>
            </w:r>
            <w:r w:rsidRPr="00DC1867">
              <w:rPr>
                <w:rFonts w:ascii="Verdana" w:hAnsi="Verdana"/>
              </w:rPr>
              <w:t xml:space="preserve"> Disponible en: </w:t>
            </w:r>
            <w:hyperlink r:id="rId13" w:history="1">
              <w:r w:rsidRPr="00DC1867">
                <w:rPr>
                  <w:rStyle w:val="Hipervnculo"/>
                  <w:rFonts w:ascii="Verdana" w:hAnsi="Verdana"/>
                </w:rPr>
                <w:t>https://relatoria.colombiacompra.gov.co/normativa/codigo-general-disciplinario/</w:t>
              </w:r>
            </w:hyperlink>
            <w:r w:rsidRPr="00DC1867">
              <w:rPr>
                <w:rFonts w:ascii="Verdana" w:hAnsi="Verdana"/>
              </w:rPr>
              <w:t xml:space="preserve"> </w:t>
            </w:r>
          </w:p>
          <w:p w14:paraId="172AC375" w14:textId="3C8FD0DE"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rPr>
              <w:lastRenderedPageBreak/>
              <w:t xml:space="preserve">CONSEJO DE ESTADO. Sala de Consulta y Servicio Civil. Concepto del 30 de abril de 2015. </w:t>
            </w:r>
            <w:proofErr w:type="spellStart"/>
            <w:r w:rsidRPr="00DC1867">
              <w:rPr>
                <w:rFonts w:ascii="Verdana" w:hAnsi="Verdana" w:cs="Arial"/>
              </w:rPr>
              <w:t>Exp</w:t>
            </w:r>
            <w:proofErr w:type="spellEnd"/>
            <w:r w:rsidRPr="00DC1867">
              <w:rPr>
                <w:rFonts w:ascii="Verdana" w:hAnsi="Verdana" w:cs="Arial"/>
              </w:rPr>
              <w:t>. 2251. C.P. Álvaro Namén Vargas.</w:t>
            </w:r>
          </w:p>
          <w:p w14:paraId="335A0342" w14:textId="2D004365"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rPr>
              <w:t xml:space="preserve">CONSEJO DE ESTADO. Sección Tercera. Subsección A. Sentencia del 24 de junio de 2015. </w:t>
            </w:r>
            <w:proofErr w:type="spellStart"/>
            <w:r w:rsidRPr="00DC1867">
              <w:rPr>
                <w:rFonts w:ascii="Verdana" w:hAnsi="Verdana" w:cs="Arial"/>
              </w:rPr>
              <w:t>Exp</w:t>
            </w:r>
            <w:proofErr w:type="spellEnd"/>
            <w:r w:rsidRPr="00DC1867">
              <w:rPr>
                <w:rFonts w:ascii="Verdana" w:hAnsi="Verdana" w:cs="Arial"/>
              </w:rPr>
              <w:t>. 40.635. C.P. Hernán Andrade Rincón (E).</w:t>
            </w:r>
          </w:p>
          <w:p w14:paraId="55A8045D" w14:textId="77F95479"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rPr>
              <w:t xml:space="preserve">CONSEJO DE ESTADO. Sección Tercera. Subsección C. Sentencia del 22 de mayo de 2013. Rad. 24.057. C.P. Olga Mélida Valle De </w:t>
            </w:r>
            <w:proofErr w:type="spellStart"/>
            <w:r w:rsidRPr="00DC1867">
              <w:rPr>
                <w:rFonts w:ascii="Verdana" w:hAnsi="Verdana" w:cs="Arial"/>
              </w:rPr>
              <w:t>De</w:t>
            </w:r>
            <w:proofErr w:type="spellEnd"/>
            <w:r w:rsidRPr="00DC1867">
              <w:rPr>
                <w:rFonts w:ascii="Verdana" w:hAnsi="Verdana" w:cs="Arial"/>
              </w:rPr>
              <w:t xml:space="preserve"> La Hoz.</w:t>
            </w:r>
          </w:p>
          <w:p w14:paraId="375280C1" w14:textId="3145B1DE"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color w:val="000000" w:themeColor="text1"/>
                <w:lang w:val="pt-BR"/>
              </w:rPr>
              <w:t xml:space="preserve">CONSEJO DE ESTADO. Sala de </w:t>
            </w:r>
            <w:proofErr w:type="spellStart"/>
            <w:r w:rsidRPr="00DC1867">
              <w:rPr>
                <w:rFonts w:ascii="Verdana" w:hAnsi="Verdana" w:cs="Arial"/>
                <w:color w:val="000000" w:themeColor="text1"/>
                <w:lang w:val="pt-BR"/>
              </w:rPr>
              <w:t>lo</w:t>
            </w:r>
            <w:proofErr w:type="spellEnd"/>
            <w:r w:rsidRPr="00DC1867">
              <w:rPr>
                <w:rFonts w:ascii="Verdana" w:hAnsi="Verdana" w:cs="Arial"/>
                <w:color w:val="000000" w:themeColor="text1"/>
                <w:lang w:val="pt-BR"/>
              </w:rPr>
              <w:t xml:space="preserve"> contencioso administrativo. Sentencia </w:t>
            </w:r>
            <w:proofErr w:type="spellStart"/>
            <w:r w:rsidRPr="00DC1867">
              <w:rPr>
                <w:rFonts w:ascii="Verdana" w:hAnsi="Verdana" w:cs="Arial"/>
                <w:color w:val="000000" w:themeColor="text1"/>
                <w:lang w:val="pt-BR"/>
              </w:rPr>
              <w:t>del</w:t>
            </w:r>
            <w:proofErr w:type="spellEnd"/>
            <w:r w:rsidRPr="00DC1867">
              <w:rPr>
                <w:rFonts w:ascii="Verdana" w:hAnsi="Verdana" w:cs="Arial"/>
                <w:color w:val="000000" w:themeColor="text1"/>
                <w:lang w:val="pt-BR"/>
              </w:rPr>
              <w:t xml:space="preserve"> 12 de </w:t>
            </w:r>
            <w:proofErr w:type="spellStart"/>
            <w:r w:rsidRPr="00DC1867">
              <w:rPr>
                <w:rFonts w:ascii="Verdana" w:hAnsi="Verdana" w:cs="Arial"/>
                <w:color w:val="000000" w:themeColor="text1"/>
                <w:lang w:val="pt-BR"/>
              </w:rPr>
              <w:t>diciembre</w:t>
            </w:r>
            <w:proofErr w:type="spellEnd"/>
            <w:r w:rsidRPr="00DC1867">
              <w:rPr>
                <w:rFonts w:ascii="Verdana" w:hAnsi="Verdana" w:cs="Arial"/>
                <w:color w:val="000000" w:themeColor="text1"/>
                <w:lang w:val="pt-BR"/>
              </w:rPr>
              <w:t xml:space="preserve"> de 2014. Exp. 26496. C.P. Ramiro Pazos Guerrero.</w:t>
            </w:r>
          </w:p>
          <w:p w14:paraId="0113FF28" w14:textId="2F37BFA6" w:rsidR="00A431E4" w:rsidRPr="00A431E4" w:rsidRDefault="00A431E4" w:rsidP="00A431E4">
            <w:pPr>
              <w:pStyle w:val="Prrafodelista"/>
              <w:numPr>
                <w:ilvl w:val="0"/>
                <w:numId w:val="20"/>
              </w:numPr>
              <w:ind w:right="709"/>
              <w:jc w:val="both"/>
              <w:rPr>
                <w:rFonts w:ascii="Verdana" w:hAnsi="Verdana" w:cs="Arial"/>
                <w:color w:val="000000" w:themeColor="text1"/>
                <w:lang w:val="es-ES_tradnl"/>
              </w:rPr>
            </w:pPr>
            <w:r w:rsidRPr="00DC1867">
              <w:rPr>
                <w:rFonts w:ascii="Verdana" w:hAnsi="Verdana" w:cs="Arial"/>
                <w:color w:val="000000" w:themeColor="text1"/>
              </w:rPr>
              <w:t>CONSEJO DE ESTADO. Sala de Consulta y Servicio Civil. Concepto del 29 de abril de 1998. Rad. 1097. C.P. Augusto Trejos Jaramillo.</w:t>
            </w:r>
          </w:p>
          <w:p w14:paraId="7BC346A9" w14:textId="77306497" w:rsidR="00522FFE" w:rsidRPr="00C6221B" w:rsidRDefault="00A431E4" w:rsidP="00A431E4">
            <w:pPr>
              <w:pStyle w:val="Prrafodelista"/>
              <w:numPr>
                <w:ilvl w:val="0"/>
                <w:numId w:val="20"/>
              </w:numPr>
              <w:spacing w:before="120"/>
              <w:contextualSpacing w:val="0"/>
              <w:jc w:val="both"/>
              <w:rPr>
                <w:rFonts w:ascii="Verdana" w:hAnsi="Verdana" w:cs="Arial"/>
              </w:rPr>
            </w:pPr>
            <w:r w:rsidRPr="00DC1867">
              <w:rPr>
                <w:rFonts w:ascii="Verdana" w:hAnsi="Verdana"/>
              </w:rPr>
              <w:t xml:space="preserve">CONSEJO DE ESTADO. Sala de Consulta y Servicio Civil. Conflicto de competencias administrativas. </w:t>
            </w:r>
            <w:r>
              <w:rPr>
                <w:rFonts w:ascii="Verdana" w:hAnsi="Verdana"/>
              </w:rPr>
              <w:t>Concepto</w:t>
            </w:r>
            <w:r w:rsidRPr="00DC1867">
              <w:rPr>
                <w:rFonts w:ascii="Verdana" w:hAnsi="Verdana"/>
              </w:rPr>
              <w:t xml:space="preserve"> del 18 de julio de 2016. Rad: 2016-00065. </w:t>
            </w:r>
            <w:r w:rsidRPr="00DC1867">
              <w:rPr>
                <w:rFonts w:ascii="Verdana" w:hAnsi="Verdana" w:cs="Arial"/>
                <w:lang w:eastAsia="es-CO"/>
              </w:rPr>
              <w:t xml:space="preserve">Disponibles en: </w:t>
            </w:r>
            <w:hyperlink r:id="rId14" w:history="1">
              <w:r w:rsidRPr="00DC1867">
                <w:rPr>
                  <w:rStyle w:val="Hipervnculo"/>
                  <w:rFonts w:ascii="Verdana" w:hAnsi="Verdana" w:cs="Arial"/>
                  <w:lang w:eastAsia="es-CO"/>
                </w:rPr>
                <w:t>https://relatoria.colombiacompra.gov.co/providencias-consejo-de-estado/</w:t>
              </w:r>
            </w:hyperlink>
          </w:p>
        </w:tc>
      </w:tr>
    </w:tbl>
    <w:p w14:paraId="37B86F78" w14:textId="77777777" w:rsidR="00522FFE" w:rsidRPr="00C6221B" w:rsidRDefault="00522FFE" w:rsidP="00522FFE">
      <w:pPr>
        <w:widowControl w:val="0"/>
        <w:autoSpaceDE w:val="0"/>
        <w:autoSpaceDN w:val="0"/>
        <w:spacing w:after="0" w:line="276" w:lineRule="auto"/>
        <w:jc w:val="both"/>
        <w:rPr>
          <w:rFonts w:ascii="Verdana" w:hAnsi="Verdana" w:cs="Arial"/>
          <w:color w:val="000000" w:themeColor="text1"/>
          <w:lang w:val="es-ES"/>
        </w:rPr>
      </w:pPr>
    </w:p>
    <w:p w14:paraId="39992B0E" w14:textId="77777777" w:rsidR="00522FFE" w:rsidRPr="00C6221B" w:rsidRDefault="00522FFE" w:rsidP="00522FFE">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5.Doctrina de la Agencia Nacional de Contratación Pública:</w:t>
      </w:r>
    </w:p>
    <w:p w14:paraId="44159778" w14:textId="77777777" w:rsidR="00522FFE" w:rsidRPr="00C6221B" w:rsidRDefault="00522FFE" w:rsidP="00522FFE">
      <w:pPr>
        <w:widowControl w:val="0"/>
        <w:autoSpaceDE w:val="0"/>
        <w:autoSpaceDN w:val="0"/>
        <w:spacing w:after="0" w:line="276" w:lineRule="auto"/>
        <w:jc w:val="both"/>
        <w:rPr>
          <w:rFonts w:ascii="Verdana" w:hAnsi="Verdana" w:cs="Arial"/>
          <w:color w:val="000000" w:themeColor="text1"/>
          <w:lang w:val="es-ES"/>
        </w:rPr>
      </w:pPr>
    </w:p>
    <w:p w14:paraId="7C544DF2" w14:textId="77777777" w:rsidR="00A431E4" w:rsidRDefault="00A431E4" w:rsidP="00A431E4">
      <w:pPr>
        <w:pStyle w:val="Textonotapie"/>
        <w:spacing w:line="276" w:lineRule="auto"/>
        <w:jc w:val="both"/>
        <w:rPr>
          <w:rFonts w:ascii="Verdana" w:hAnsi="Verdana"/>
          <w:color w:val="000000"/>
          <w:sz w:val="22"/>
          <w:szCs w:val="22"/>
          <w:shd w:val="clear" w:color="auto" w:fill="FFFFFF"/>
        </w:rPr>
      </w:pPr>
      <w:r>
        <w:rPr>
          <w:rFonts w:ascii="Verdana" w:eastAsia="Calibri" w:hAnsi="Verdana" w:cs="Arial"/>
          <w:sz w:val="22"/>
          <w:szCs w:val="22"/>
          <w:lang w:val="es-ES_tradnl" w:eastAsia="es-ES_tradnl"/>
        </w:rPr>
        <w:t xml:space="preserve">Sobre el régimen de inhabilidades e incompatibilidades se pronunció esta Subdirección en los conceptos </w:t>
      </w:r>
      <w:r>
        <w:rPr>
          <w:rFonts w:ascii="Verdana" w:eastAsia="Calibri" w:hAnsi="Verdana" w:cs="Arial"/>
          <w:sz w:val="22"/>
          <w:szCs w:val="22"/>
        </w:rPr>
        <w:t xml:space="preserve">No. </w:t>
      </w:r>
      <w:r>
        <w:rPr>
          <w:rFonts w:ascii="Verdana" w:eastAsia="Calibri" w:hAnsi="Verdana" w:cs="Arial"/>
          <w:color w:val="000000" w:themeColor="text1"/>
          <w:sz w:val="22"/>
          <w:szCs w:val="22"/>
        </w:rPr>
        <w:t xml:space="preserve">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w:t>
      </w:r>
      <w:r>
        <w:rPr>
          <w:rFonts w:ascii="Verdana" w:eastAsia="Calibri" w:hAnsi="Verdana" w:cs="Arial"/>
          <w:color w:val="000000" w:themeColor="text1"/>
          <w:sz w:val="22"/>
          <w:szCs w:val="22"/>
          <w:lang w:val="es-ES_tradnl"/>
        </w:rPr>
        <w:t>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w:t>
      </w:r>
      <w:r>
        <w:rPr>
          <w:rFonts w:ascii="Verdana" w:eastAsia="Calibri" w:hAnsi="Verdana" w:cs="Arial"/>
          <w:color w:val="000000" w:themeColor="text1"/>
          <w:sz w:val="22"/>
          <w:szCs w:val="22"/>
          <w:lang w:val="es-ES_tradnl"/>
        </w:rPr>
        <w:lastRenderedPageBreak/>
        <w:t xml:space="preserve">410 del 7 de julio del 2021, C-491 del 14 de septiembre de 2021, </w:t>
      </w:r>
      <w:r>
        <w:rPr>
          <w:rFonts w:ascii="Verdana" w:eastAsia="Calibri" w:hAnsi="Verdana" w:cs="Arial"/>
          <w:color w:val="000000" w:themeColor="text1"/>
          <w:sz w:val="22"/>
          <w:szCs w:val="22"/>
          <w:lang w:val="es-ES"/>
        </w:rPr>
        <w:t>C-028 del 28 de febrero de 2022, C-318 del 18 de mayo de 2022, C-252 del 30 de mayo de 2022, C-175 del 4 de mayo de 2023,C-300 de 2023</w:t>
      </w:r>
      <w:r>
        <w:rPr>
          <w:rFonts w:ascii="Verdana" w:eastAsia="Calibri" w:hAnsi="Verdana" w:cs="Arial"/>
          <w:sz w:val="22"/>
          <w:szCs w:val="22"/>
        </w:rPr>
        <w:t>, C−010 del 31 de enero de 2024, C-039 del 23 de abril de 2024 y C-381 del 5 de septiembre de 2024</w:t>
      </w:r>
      <w:r>
        <w:rPr>
          <w:rFonts w:ascii="Verdana" w:hAnsi="Verdana"/>
          <w:color w:val="000000"/>
          <w:sz w:val="22"/>
          <w:szCs w:val="22"/>
          <w:shd w:val="clear" w:color="auto" w:fill="FFFFFF"/>
        </w:rPr>
        <w:t>.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Pr>
            <w:rStyle w:val="Hipervnculo"/>
            <w:rFonts w:ascii="Verdana" w:hAnsi="Verdana"/>
            <w:sz w:val="22"/>
            <w:szCs w:val="22"/>
            <w:bdr w:val="none" w:sz="0" w:space="0" w:color="auto" w:frame="1"/>
            <w:shd w:val="clear" w:color="auto" w:fill="FFFFFF"/>
          </w:rPr>
          <w:t>https://relatoria.colombiacompra.gov.co/</w:t>
        </w:r>
      </w:hyperlink>
      <w:r>
        <w:rPr>
          <w:rFonts w:ascii="Verdana" w:hAnsi="Verdana"/>
          <w:color w:val="000000"/>
          <w:sz w:val="22"/>
          <w:szCs w:val="22"/>
          <w:shd w:val="clear" w:color="auto" w:fill="FFFFFF"/>
        </w:rPr>
        <w:t> .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tooltip="Dirección URL original: https://relatoria.colombiacompra.gov.co/. Haga clic o pulse si confía en este vínculo." w:history="1">
        <w:r>
          <w:rPr>
            <w:rStyle w:val="Hipervnculo"/>
            <w:rFonts w:ascii="Verdana" w:hAnsi="Verdana"/>
            <w:sz w:val="22"/>
            <w:szCs w:val="22"/>
            <w:bdr w:val="none" w:sz="0" w:space="0" w:color="auto" w:frame="1"/>
            <w:shd w:val="clear" w:color="auto" w:fill="FFFFFF"/>
          </w:rPr>
          <w:t>https://relatoria.colombiacompra.gov.co/</w:t>
        </w:r>
      </w:hyperlink>
      <w:r>
        <w:rPr>
          <w:rFonts w:ascii="Verdana" w:hAnsi="Verdana"/>
          <w:color w:val="000000"/>
          <w:sz w:val="22"/>
          <w:szCs w:val="22"/>
          <w:shd w:val="clear" w:color="auto" w:fill="FFFFFF"/>
        </w:rPr>
        <w:t> </w:t>
      </w:r>
    </w:p>
    <w:p w14:paraId="668BAAEB" w14:textId="77777777" w:rsidR="007C31D6" w:rsidRPr="00925D13" w:rsidRDefault="007C31D6" w:rsidP="007C31D6">
      <w:pPr>
        <w:widowControl w:val="0"/>
        <w:autoSpaceDE w:val="0"/>
        <w:autoSpaceDN w:val="0"/>
        <w:spacing w:after="0" w:line="276" w:lineRule="auto"/>
        <w:jc w:val="both"/>
        <w:rPr>
          <w:rFonts w:ascii="Verdana" w:hAnsi="Verdana" w:cs="Arial"/>
          <w:color w:val="FF0000"/>
          <w:shd w:val="clear" w:color="auto" w:fill="FFFFFF"/>
          <w:lang w:val="es-MX"/>
        </w:rPr>
      </w:pPr>
    </w:p>
    <w:p w14:paraId="1728DD1A" w14:textId="77777777" w:rsidR="007C31D6" w:rsidRPr="00C15525" w:rsidRDefault="007C31D6" w:rsidP="007C31D6">
      <w:pPr>
        <w:jc w:val="both"/>
        <w:rPr>
          <w:rFonts w:ascii="Verdana" w:hAnsi="Verdana"/>
        </w:rPr>
      </w:pPr>
      <w:bookmarkStart w:id="1" w:name="_Hlk226903888"/>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7" w:tgtFrame="_new" w:history="1">
        <w:r w:rsidRPr="00C15525">
          <w:rPr>
            <w:rFonts w:ascii="Verdana" w:hAnsi="Verdana"/>
            <w:color w:val="0000FF"/>
            <w:u w:val="single"/>
          </w:rPr>
          <w:t>https://formacionvirtual.colombiacompra.gov.co/mod/page/view.php?id=3718</w:t>
        </w:r>
      </w:hyperlink>
    </w:p>
    <w:p w14:paraId="15B6FF39" w14:textId="77777777" w:rsidR="007C31D6" w:rsidRPr="00C15525" w:rsidRDefault="007C31D6" w:rsidP="007C31D6">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C15525">
          <w:rPr>
            <w:rFonts w:ascii="Verdana" w:hAnsi="Verdana"/>
            <w:color w:val="0000FF"/>
            <w:u w:val="single"/>
          </w:rPr>
          <w:t>https://www.colombiacompra.gov.co/normativa-y-relatoria/documentos-tipo</w:t>
        </w:r>
      </w:hyperlink>
    </w:p>
    <w:p w14:paraId="2869D9D7" w14:textId="77777777" w:rsidR="007C31D6" w:rsidRPr="00C15525" w:rsidRDefault="007C31D6" w:rsidP="007C31D6">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esta actualización se incorporaron orientaciones prácticas dirigidas a entidades </w:t>
      </w:r>
      <w:r w:rsidRPr="00C15525">
        <w:rPr>
          <w:rFonts w:ascii="Verdana" w:hAnsi="Verdana"/>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9"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FD6E66B" w14:textId="77777777" w:rsidR="007C31D6" w:rsidRPr="00C15525" w:rsidRDefault="007C31D6" w:rsidP="007C31D6">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52847D" w14:textId="77777777" w:rsidR="007C31D6" w:rsidRPr="00C15525" w:rsidRDefault="007C31D6" w:rsidP="007C31D6">
      <w:pPr>
        <w:spacing w:after="0"/>
        <w:jc w:val="both"/>
        <w:rPr>
          <w:rFonts w:ascii="Verdana" w:hAnsi="Verdana"/>
        </w:rPr>
      </w:pPr>
    </w:p>
    <w:p w14:paraId="62B1A5B8" w14:textId="77777777" w:rsidR="007C31D6" w:rsidRPr="00C15525" w:rsidRDefault="007C31D6" w:rsidP="007C31D6">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542F7CDA" w14:textId="77777777" w:rsidR="007C31D6" w:rsidRPr="00C15525" w:rsidRDefault="007C31D6" w:rsidP="007C31D6">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CD59E72"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20" w:history="1">
        <w:r w:rsidRPr="00C15525">
          <w:rPr>
            <w:rFonts w:ascii="Verdana" w:eastAsia="Verdana" w:hAnsi="Verdana" w:cs="Verdana"/>
            <w:color w:val="0000FF"/>
            <w:u w:val="single"/>
            <w:lang w:val="es-MX"/>
          </w:rPr>
          <w:t>ventanilladeradicacion@colombiacompra.gov.co</w:t>
        </w:r>
      </w:hyperlink>
    </w:p>
    <w:p w14:paraId="6A2C60CA"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21" w:history="1">
        <w:r w:rsidRPr="00C15525">
          <w:rPr>
            <w:rFonts w:ascii="Verdana" w:eastAsia="Verdana" w:hAnsi="Verdana" w:cs="Verdana"/>
            <w:color w:val="0000FF"/>
            <w:u w:val="single"/>
            <w:lang w:val="es-MX"/>
          </w:rPr>
          <w:t>https://www.colombiacompra.gov.co/pqrsd/informacion-importante-antes-de-formular-una-pqrsd</w:t>
        </w:r>
      </w:hyperlink>
    </w:p>
    <w:p w14:paraId="438A1C5E" w14:textId="77777777" w:rsidR="007C31D6" w:rsidRPr="00C15525" w:rsidRDefault="007C31D6" w:rsidP="007C31D6">
      <w:pPr>
        <w:spacing w:after="0" w:line="240" w:lineRule="auto"/>
        <w:ind w:left="720"/>
        <w:jc w:val="both"/>
        <w:rPr>
          <w:rFonts w:ascii="Verdana" w:hAnsi="Verdana"/>
        </w:rPr>
      </w:pPr>
    </w:p>
    <w:p w14:paraId="246F2D13" w14:textId="77777777" w:rsidR="007C31D6" w:rsidRPr="00C15525" w:rsidRDefault="007C31D6" w:rsidP="007C31D6">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22"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5820ED18" w14:textId="77777777" w:rsidR="007C31D6" w:rsidRPr="00C15525" w:rsidRDefault="007C31D6" w:rsidP="007C31D6">
      <w:pPr>
        <w:spacing w:after="0" w:line="240" w:lineRule="auto"/>
        <w:rPr>
          <w:rFonts w:ascii="Verdana" w:hAnsi="Verdana"/>
        </w:rPr>
      </w:pPr>
    </w:p>
    <w:p w14:paraId="02349E98"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37B4DDC6" w14:textId="77777777" w:rsidR="007C31D6" w:rsidRPr="00C15525" w:rsidRDefault="007C31D6" w:rsidP="007C31D6">
      <w:pPr>
        <w:spacing w:after="0" w:line="240" w:lineRule="auto"/>
        <w:jc w:val="both"/>
        <w:rPr>
          <w:rFonts w:ascii="Verdana" w:hAnsi="Verdana"/>
        </w:rPr>
      </w:pPr>
    </w:p>
    <w:p w14:paraId="30ACC362"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6ED057E5"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49C8EF77"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3C978B10" w14:textId="77777777" w:rsidR="007C31D6" w:rsidRPr="00C15525" w:rsidRDefault="007C31D6" w:rsidP="007C31D6">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bookmarkEnd w:id="1"/>
    <w:p w14:paraId="1CBEAEB2"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 xml:space="preserve">y las expresiones aquí utilizadas con mayúscula inicial deben ser entendidas con el </w:t>
      </w:r>
      <w:r w:rsidRPr="00C15525">
        <w:rPr>
          <w:rFonts w:ascii="Verdana" w:hAnsi="Verdana" w:cs="Arial"/>
          <w:lang w:val="es-ES_tradnl"/>
        </w:rPr>
        <w:lastRenderedPageBreak/>
        <w:t>significado que les otorga el artículo 2.2.1.1.1.3.1. del Decreto 1082 de 2015.</w:t>
      </w:r>
    </w:p>
    <w:p w14:paraId="5A4099E3"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7B5C6E48"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3FFB1AD"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4D644E69" w14:textId="1ED5F4A6" w:rsidR="007C31D6" w:rsidRPr="00AD1AB0" w:rsidRDefault="007C31D6" w:rsidP="00AD1AB0">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1C20DF8C" w14:textId="395583F1" w:rsidR="007C31D6" w:rsidRDefault="00611EFC"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20B3834D" wp14:editId="02D5F593">
            <wp:extent cx="3639058" cy="1343212"/>
            <wp:effectExtent l="0" t="0" r="0" b="0"/>
            <wp:docPr id="2187797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779709" name="Imagen 218779709"/>
                    <pic:cNvPicPr/>
                  </pic:nvPicPr>
                  <pic:blipFill>
                    <a:blip r:embed="rId2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1022B712" w:rsidR="007C31D6" w:rsidRPr="00D53651" w:rsidRDefault="00AD1AB0" w:rsidP="000E7260">
            <w:pPr>
              <w:spacing w:line="276" w:lineRule="auto"/>
              <w:jc w:val="both"/>
              <w:rPr>
                <w:rFonts w:ascii="Verdana" w:hAnsi="Verdana"/>
                <w:sz w:val="16"/>
                <w:szCs w:val="16"/>
              </w:rPr>
            </w:pPr>
            <w:r>
              <w:rPr>
                <w:rFonts w:ascii="Verdana" w:hAnsi="Verdana"/>
                <w:sz w:val="16"/>
                <w:szCs w:val="16"/>
              </w:rPr>
              <w:t xml:space="preserve">Adriana </w:t>
            </w:r>
            <w:proofErr w:type="spellStart"/>
            <w:r>
              <w:rPr>
                <w:rFonts w:ascii="Verdana" w:hAnsi="Verdana"/>
                <w:sz w:val="16"/>
                <w:szCs w:val="16"/>
              </w:rPr>
              <w:t>Katerine</w:t>
            </w:r>
            <w:proofErr w:type="spellEnd"/>
            <w:r>
              <w:rPr>
                <w:rFonts w:ascii="Verdana" w:hAnsi="Verdana"/>
                <w:sz w:val="16"/>
                <w:szCs w:val="16"/>
              </w:rPr>
              <w:t xml:space="preserve"> López Rodríguez</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AC6BC1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744E0" w14:textId="77777777" w:rsidR="003B1597" w:rsidRDefault="003B1597" w:rsidP="004A1847">
      <w:pPr>
        <w:spacing w:after="0" w:line="240" w:lineRule="auto"/>
      </w:pPr>
      <w:r>
        <w:separator/>
      </w:r>
    </w:p>
  </w:endnote>
  <w:endnote w:type="continuationSeparator" w:id="0">
    <w:p w14:paraId="76925F02" w14:textId="77777777" w:rsidR="003B1597" w:rsidRDefault="003B15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873B0" w14:textId="77777777" w:rsidR="003B1597" w:rsidRDefault="003B1597" w:rsidP="004A1847">
      <w:pPr>
        <w:spacing w:after="0" w:line="240" w:lineRule="auto"/>
      </w:pPr>
      <w:r>
        <w:separator/>
      </w:r>
    </w:p>
  </w:footnote>
  <w:footnote w:type="continuationSeparator" w:id="0">
    <w:p w14:paraId="082D152C" w14:textId="77777777" w:rsidR="003B1597" w:rsidRDefault="003B1597" w:rsidP="004A1847">
      <w:pPr>
        <w:spacing w:after="0" w:line="240" w:lineRule="auto"/>
      </w:pPr>
      <w:r>
        <w:continuationSeparator/>
      </w:r>
    </w:p>
  </w:footnote>
  <w:footnote w:id="1">
    <w:p w14:paraId="3FC0D27F" w14:textId="77777777" w:rsidR="00A431E4" w:rsidRPr="00F147BB" w:rsidRDefault="00A431E4" w:rsidP="00A431E4">
      <w:pPr>
        <w:pStyle w:val="Textonotapie"/>
        <w:spacing w:after="120"/>
        <w:ind w:firstLine="709"/>
        <w:jc w:val="both"/>
        <w:rPr>
          <w:rFonts w:ascii="Verdana" w:hAnsi="Verdana" w:cs="Arial"/>
          <w:sz w:val="16"/>
          <w:szCs w:val="16"/>
        </w:rPr>
      </w:pPr>
      <w:r w:rsidRPr="00502BE9">
        <w:rPr>
          <w:rStyle w:val="Refdenotaalpie"/>
          <w:rFonts w:ascii="Verdana" w:hAnsi="Verdana"/>
          <w:sz w:val="16"/>
          <w:szCs w:val="16"/>
        </w:rPr>
        <w:footnoteRef/>
      </w:r>
      <w:r w:rsidRPr="00502BE9">
        <w:rPr>
          <w:rFonts w:ascii="Verdana" w:hAnsi="Verdana"/>
          <w:sz w:val="16"/>
          <w:szCs w:val="16"/>
        </w:rPr>
        <w:t xml:space="preserve"> </w:t>
      </w:r>
      <w:r w:rsidRPr="00F147BB">
        <w:rPr>
          <w:rFonts w:ascii="Verdana" w:hAnsi="Verdana" w:cs="Arial"/>
          <w:sz w:val="16"/>
          <w:szCs w:val="16"/>
        </w:rPr>
        <w:t>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635823F5" w14:textId="77777777" w:rsidR="00A431E4" w:rsidRDefault="00A431E4" w:rsidP="00A431E4">
      <w:pPr>
        <w:pStyle w:val="Textonotapie"/>
        <w:rPr>
          <w:rFonts w:ascii="Verdana" w:hAnsi="Verdana" w:cs="Arial"/>
          <w:sz w:val="16"/>
          <w:szCs w:val="16"/>
        </w:rPr>
      </w:pPr>
      <w:r w:rsidRPr="00F147BB">
        <w:rPr>
          <w:rFonts w:ascii="Verdana" w:hAnsi="Verdana" w:cs="Arial"/>
          <w:sz w:val="16"/>
          <w:szCs w:val="16"/>
        </w:rPr>
        <w:t>Las personas jurídicas nacionales y extranjeras deberán acreditar que su duración no será inferior a la del plazo del contrato y un año más”.</w:t>
      </w:r>
    </w:p>
    <w:p w14:paraId="47685554" w14:textId="77777777" w:rsidR="00A431E4" w:rsidRPr="003C371D" w:rsidRDefault="00A431E4" w:rsidP="00A431E4">
      <w:pPr>
        <w:pStyle w:val="Textonotapie"/>
        <w:rPr>
          <w:rFonts w:ascii="Verdana" w:hAnsi="Verdana"/>
          <w:sz w:val="16"/>
          <w:szCs w:val="16"/>
        </w:rPr>
      </w:pPr>
    </w:p>
  </w:footnote>
  <w:footnote w:id="2">
    <w:p w14:paraId="089E63DE" w14:textId="77777777" w:rsidR="00A431E4" w:rsidRPr="003C371D" w:rsidRDefault="00A431E4" w:rsidP="00A431E4">
      <w:pPr>
        <w:pStyle w:val="Textonotapie"/>
        <w:spacing w:after="120"/>
        <w:ind w:firstLine="709"/>
        <w:jc w:val="both"/>
        <w:rPr>
          <w:rFonts w:ascii="Verdana" w:hAnsi="Verdana" w:cs="Arial"/>
          <w:sz w:val="16"/>
          <w:szCs w:val="16"/>
        </w:rPr>
      </w:pPr>
      <w:r w:rsidRPr="003C371D">
        <w:rPr>
          <w:rStyle w:val="Refdenotaalpie"/>
          <w:rFonts w:ascii="Verdana" w:hAnsi="Verdana"/>
          <w:sz w:val="16"/>
          <w:szCs w:val="16"/>
        </w:rPr>
        <w:footnoteRef/>
      </w:r>
      <w:r w:rsidRPr="003C371D">
        <w:rPr>
          <w:rFonts w:ascii="Verdana" w:hAnsi="Verdana"/>
          <w:sz w:val="16"/>
          <w:szCs w:val="16"/>
        </w:rPr>
        <w:t xml:space="preserve"> </w:t>
      </w:r>
      <w:r w:rsidRPr="003C371D">
        <w:rPr>
          <w:rFonts w:ascii="Verdana" w:hAnsi="Verdana" w:cs="Arial"/>
          <w:sz w:val="16"/>
          <w:szCs w:val="16"/>
        </w:rPr>
        <w:t>Código Civil: “Artículo 1502. Requisitos para obligarse. Para que una persona se obligue a otra por un acto o declaración de voluntad, es necesario:</w:t>
      </w:r>
    </w:p>
    <w:p w14:paraId="3F69E1CA" w14:textId="77777777" w:rsidR="00A431E4" w:rsidRPr="003C371D" w:rsidRDefault="00A431E4" w:rsidP="00A431E4">
      <w:pPr>
        <w:pStyle w:val="Textonotapie"/>
        <w:spacing w:after="120"/>
        <w:ind w:firstLine="709"/>
        <w:jc w:val="both"/>
        <w:rPr>
          <w:rFonts w:ascii="Verdana" w:hAnsi="Verdana" w:cs="Arial"/>
          <w:sz w:val="16"/>
          <w:szCs w:val="16"/>
        </w:rPr>
      </w:pPr>
      <w:r w:rsidRPr="003C371D">
        <w:rPr>
          <w:rFonts w:ascii="Verdana" w:hAnsi="Verdana" w:cs="Arial"/>
          <w:sz w:val="16"/>
          <w:szCs w:val="16"/>
        </w:rPr>
        <w:t>1o.) que sea legalmente capaz.</w:t>
      </w:r>
    </w:p>
    <w:p w14:paraId="5C07C751" w14:textId="77777777" w:rsidR="00A431E4" w:rsidRPr="003C371D" w:rsidRDefault="00A431E4" w:rsidP="00A431E4">
      <w:pPr>
        <w:pStyle w:val="Textonotapie"/>
        <w:spacing w:after="120"/>
        <w:ind w:firstLine="709"/>
        <w:jc w:val="both"/>
        <w:rPr>
          <w:rFonts w:ascii="Verdana" w:hAnsi="Verdana" w:cs="Arial"/>
          <w:sz w:val="16"/>
          <w:szCs w:val="16"/>
        </w:rPr>
      </w:pPr>
      <w:r w:rsidRPr="003C371D">
        <w:rPr>
          <w:rFonts w:ascii="Verdana" w:hAnsi="Verdana" w:cs="Arial"/>
          <w:sz w:val="16"/>
          <w:szCs w:val="16"/>
        </w:rPr>
        <w:t>[…]</w:t>
      </w:r>
    </w:p>
    <w:p w14:paraId="31764C76" w14:textId="77777777" w:rsidR="00A431E4" w:rsidRDefault="00A431E4" w:rsidP="00A431E4">
      <w:pPr>
        <w:pStyle w:val="Textonotapie"/>
        <w:rPr>
          <w:rFonts w:ascii="Verdana" w:hAnsi="Verdana" w:cs="Arial"/>
          <w:sz w:val="16"/>
          <w:szCs w:val="16"/>
        </w:rPr>
      </w:pPr>
      <w:r w:rsidRPr="003C371D">
        <w:rPr>
          <w:rFonts w:ascii="Verdana" w:hAnsi="Verdana" w:cs="Arial"/>
          <w:sz w:val="16"/>
          <w:szCs w:val="16"/>
        </w:rPr>
        <w:t>La capacidad legal de una persona consiste en poderse obligar por sí misma, sin el ministerio o la autorización de otra”.</w:t>
      </w:r>
    </w:p>
    <w:p w14:paraId="22602323" w14:textId="77777777" w:rsidR="00A431E4" w:rsidRDefault="00A431E4" w:rsidP="00A431E4">
      <w:pPr>
        <w:pStyle w:val="Textonotapie"/>
      </w:pPr>
    </w:p>
  </w:footnote>
  <w:footnote w:id="3">
    <w:p w14:paraId="5D30A824" w14:textId="77777777" w:rsidR="00A431E4" w:rsidRPr="009F5887" w:rsidRDefault="00A431E4" w:rsidP="00A431E4">
      <w:pPr>
        <w:pStyle w:val="Textonotapie"/>
        <w:jc w:val="both"/>
        <w:rPr>
          <w:rFonts w:ascii="Verdana" w:hAnsi="Verdana"/>
          <w:sz w:val="16"/>
          <w:szCs w:val="16"/>
        </w:rPr>
      </w:pPr>
      <w:r w:rsidRPr="009F5887">
        <w:rPr>
          <w:rStyle w:val="Refdenotaalpie"/>
          <w:rFonts w:ascii="Verdana" w:hAnsi="Verdana"/>
          <w:sz w:val="16"/>
          <w:szCs w:val="16"/>
        </w:rPr>
        <w:footnoteRef/>
      </w:r>
      <w:r w:rsidRPr="009F5887">
        <w:rPr>
          <w:rFonts w:ascii="Verdana" w:hAnsi="Verdana"/>
          <w:sz w:val="16"/>
          <w:szCs w:val="16"/>
        </w:rPr>
        <w:t xml:space="preserve"> </w:t>
      </w:r>
      <w:r w:rsidRPr="009F5887">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9F5887">
        <w:rPr>
          <w:rFonts w:ascii="Verdana" w:hAnsi="Verdana" w:cs="Arial"/>
          <w:i/>
          <w:sz w:val="16"/>
          <w:szCs w:val="16"/>
          <w:lang w:val="es-ES"/>
        </w:rPr>
        <w:t>el régimen de inhabilidades e incompatibilidades</w:t>
      </w:r>
      <w:r w:rsidRPr="009F5887">
        <w:rPr>
          <w:rFonts w:ascii="Verdana" w:hAnsi="Verdana" w:cs="Arial"/>
          <w:sz w:val="16"/>
          <w:szCs w:val="16"/>
          <w:lang w:val="es-ES"/>
        </w:rPr>
        <w:t xml:space="preserve"> (1) y la obligación de ciertos proponentes de inscribirse en el </w:t>
      </w:r>
      <w:r w:rsidRPr="009F5887">
        <w:rPr>
          <w:rFonts w:ascii="Verdana" w:hAnsi="Verdana" w:cs="Arial"/>
          <w:i/>
          <w:sz w:val="16"/>
          <w:szCs w:val="16"/>
          <w:lang w:val="es-ES"/>
        </w:rPr>
        <w:t>registro único</w:t>
      </w:r>
      <w:r w:rsidRPr="009F5887">
        <w:rPr>
          <w:rFonts w:ascii="Verdana" w:hAnsi="Verdana" w:cs="Arial"/>
          <w:sz w:val="16"/>
          <w:szCs w:val="16"/>
          <w:lang w:val="es-ES"/>
        </w:rPr>
        <w:t xml:space="preserve"> (2)” (BENAVIDES, José Luis. El contrato estatal. Entre el Derecho público y el Derecho privado. 2ª ed. Bogotá: Universidad Externado de Colombia, 2004. p. 278).</w:t>
      </w:r>
    </w:p>
  </w:footnote>
  <w:footnote w:id="4">
    <w:p w14:paraId="2EAF5049" w14:textId="77777777" w:rsidR="00A431E4" w:rsidRPr="001565EC" w:rsidRDefault="00A431E4" w:rsidP="00A431E4">
      <w:pPr>
        <w:pStyle w:val="Textonotapie"/>
        <w:jc w:val="both"/>
        <w:rPr>
          <w:rFonts w:ascii="Verdana" w:hAnsi="Verdana" w:cs="Arial"/>
          <w:sz w:val="16"/>
          <w:szCs w:val="16"/>
          <w:lang w:val="es-ES"/>
        </w:rPr>
      </w:pPr>
      <w:r w:rsidRPr="001565EC">
        <w:rPr>
          <w:rStyle w:val="Refdenotaalpie"/>
          <w:rFonts w:ascii="Verdana" w:hAnsi="Verdana"/>
          <w:sz w:val="16"/>
          <w:szCs w:val="16"/>
        </w:rPr>
        <w:footnoteRef/>
      </w:r>
      <w:r w:rsidRPr="001565EC">
        <w:rPr>
          <w:rFonts w:ascii="Verdana" w:hAnsi="Verdana"/>
          <w:sz w:val="16"/>
          <w:szCs w:val="16"/>
        </w:rPr>
        <w:t xml:space="preserve"> </w:t>
      </w:r>
      <w:r w:rsidRPr="001565EC">
        <w:rPr>
          <w:rFonts w:ascii="Verdana" w:hAnsi="Verdana" w:cs="Arial"/>
          <w:sz w:val="16"/>
          <w:szCs w:val="16"/>
          <w:lang w:val="es-ES"/>
        </w:rPr>
        <w:t xml:space="preserve">Como las señaladas a continuación: “Los servidores públicos” (art. 8, </w:t>
      </w:r>
      <w:proofErr w:type="spellStart"/>
      <w:r w:rsidRPr="001565EC">
        <w:rPr>
          <w:rFonts w:ascii="Verdana" w:hAnsi="Verdana" w:cs="Arial"/>
          <w:sz w:val="16"/>
          <w:szCs w:val="16"/>
          <w:lang w:val="es-ES"/>
        </w:rPr>
        <w:t>num</w:t>
      </w:r>
      <w:proofErr w:type="spellEnd"/>
      <w:r w:rsidRPr="001565EC">
        <w:rPr>
          <w:rFonts w:ascii="Verdana" w:hAnsi="Verdana" w:cs="Arial"/>
          <w:sz w:val="16"/>
          <w:szCs w:val="16"/>
          <w:lang w:val="es-ES"/>
        </w:rPr>
        <w:t xml:space="preserve">. 1º, </w:t>
      </w:r>
      <w:proofErr w:type="spellStart"/>
      <w:r w:rsidRPr="001565EC">
        <w:rPr>
          <w:rFonts w:ascii="Verdana" w:hAnsi="Verdana" w:cs="Arial"/>
          <w:sz w:val="16"/>
          <w:szCs w:val="16"/>
          <w:lang w:val="es-ES"/>
        </w:rPr>
        <w:t>lit.</w:t>
      </w:r>
      <w:proofErr w:type="spellEnd"/>
      <w:r w:rsidRPr="001565EC">
        <w:rPr>
          <w:rFonts w:ascii="Verdana" w:hAnsi="Verdana" w:cs="Arial"/>
          <w:sz w:val="16"/>
          <w:szCs w:val="16"/>
          <w:lang w:val="es-ES"/>
        </w:rPr>
        <w:t xml:space="preserve">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w:t>
      </w:r>
      <w:proofErr w:type="spellStart"/>
      <w:r w:rsidRPr="001565EC">
        <w:rPr>
          <w:rFonts w:ascii="Verdana" w:hAnsi="Verdana" w:cs="Arial"/>
          <w:sz w:val="16"/>
          <w:szCs w:val="16"/>
          <w:lang w:val="es-ES"/>
        </w:rPr>
        <w:t>num</w:t>
      </w:r>
      <w:proofErr w:type="spellEnd"/>
      <w:r w:rsidRPr="001565EC">
        <w:rPr>
          <w:rFonts w:ascii="Verdana" w:hAnsi="Verdana" w:cs="Arial"/>
          <w:sz w:val="16"/>
          <w:szCs w:val="16"/>
          <w:lang w:val="es-ES"/>
        </w:rPr>
        <w:t xml:space="preserve">. 2º, </w:t>
      </w:r>
      <w:proofErr w:type="spellStart"/>
      <w:r w:rsidRPr="001565EC">
        <w:rPr>
          <w:rFonts w:ascii="Verdana" w:hAnsi="Verdana" w:cs="Arial"/>
          <w:sz w:val="16"/>
          <w:szCs w:val="16"/>
          <w:lang w:val="es-ES"/>
        </w:rPr>
        <w:t>lit.</w:t>
      </w:r>
      <w:proofErr w:type="spellEnd"/>
      <w:r w:rsidRPr="001565EC">
        <w:rPr>
          <w:rFonts w:ascii="Verdana" w:hAnsi="Verdana" w:cs="Arial"/>
          <w:sz w:val="16"/>
          <w:szCs w:val="16"/>
          <w:lang w:val="es-ES"/>
        </w:rPr>
        <w:t xml:space="preserve"> d), Ley 80/93); “Los miembros de las juntas o consejos directivos. Esta incompatibilidad sólo se predica respecto de la entidad a la cual prestan sus servicios y de las del sector administrativo al que la misma esté adscrita o vinculada” (art. 8, </w:t>
      </w:r>
      <w:proofErr w:type="spellStart"/>
      <w:r w:rsidRPr="001565EC">
        <w:rPr>
          <w:rFonts w:ascii="Verdana" w:hAnsi="Verdana" w:cs="Arial"/>
          <w:sz w:val="16"/>
          <w:szCs w:val="16"/>
          <w:lang w:val="es-ES"/>
        </w:rPr>
        <w:t>num</w:t>
      </w:r>
      <w:proofErr w:type="spellEnd"/>
      <w:r w:rsidRPr="001565EC">
        <w:rPr>
          <w:rFonts w:ascii="Verdana" w:hAnsi="Verdana" w:cs="Arial"/>
          <w:sz w:val="16"/>
          <w:szCs w:val="16"/>
          <w:lang w:val="es-ES"/>
        </w:rPr>
        <w:t xml:space="preserve">. 2º, </w:t>
      </w:r>
      <w:proofErr w:type="spellStart"/>
      <w:r w:rsidRPr="001565EC">
        <w:rPr>
          <w:rFonts w:ascii="Verdana" w:hAnsi="Verdana" w:cs="Arial"/>
          <w:sz w:val="16"/>
          <w:szCs w:val="16"/>
          <w:lang w:val="es-ES"/>
        </w:rPr>
        <w:t>lit.</w:t>
      </w:r>
      <w:proofErr w:type="spellEnd"/>
      <w:r w:rsidRPr="001565EC">
        <w:rPr>
          <w:rFonts w:ascii="Verdana" w:hAnsi="Verdana" w:cs="Arial"/>
          <w:sz w:val="16"/>
          <w:szCs w:val="16"/>
          <w:lang w:val="es-ES"/>
        </w:rPr>
        <w:t xml:space="preserve"> e), Ley 80/93);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w:t>
      </w:r>
    </w:p>
    <w:p w14:paraId="16A7C6E1" w14:textId="77777777" w:rsidR="00A431E4" w:rsidRPr="001565EC" w:rsidRDefault="00A431E4" w:rsidP="00A431E4">
      <w:pPr>
        <w:pStyle w:val="Textonotapie"/>
        <w:jc w:val="both"/>
        <w:rPr>
          <w:rFonts w:ascii="Verdana" w:hAnsi="Verdana"/>
          <w:sz w:val="16"/>
          <w:szCs w:val="16"/>
        </w:rPr>
      </w:pPr>
    </w:p>
  </w:footnote>
  <w:footnote w:id="5">
    <w:p w14:paraId="3D856EB8" w14:textId="77777777" w:rsidR="00A431E4" w:rsidRPr="006C06B2" w:rsidRDefault="00A431E4" w:rsidP="00A431E4">
      <w:pPr>
        <w:pStyle w:val="Textonotapie"/>
        <w:jc w:val="both"/>
        <w:rPr>
          <w:rFonts w:ascii="Verdana" w:hAnsi="Verdana"/>
          <w:sz w:val="16"/>
          <w:szCs w:val="16"/>
        </w:rPr>
      </w:pPr>
      <w:r w:rsidRPr="001565EC">
        <w:rPr>
          <w:rStyle w:val="Refdenotaalpie"/>
          <w:rFonts w:ascii="Verdana" w:hAnsi="Verdana"/>
          <w:sz w:val="16"/>
          <w:szCs w:val="16"/>
        </w:rPr>
        <w:footnoteRef/>
      </w:r>
      <w:r w:rsidRPr="001565EC">
        <w:rPr>
          <w:rFonts w:ascii="Verdana" w:hAnsi="Verdana"/>
          <w:sz w:val="16"/>
          <w:szCs w:val="16"/>
        </w:rPr>
        <w:t xml:space="preserve"> </w:t>
      </w:r>
      <w:r w:rsidRPr="001565EC">
        <w:rPr>
          <w:rFonts w:ascii="Verdana" w:hAnsi="Verdana" w:cs="Arial"/>
          <w:sz w:val="16"/>
          <w:szCs w:val="16"/>
        </w:rPr>
        <w:t xml:space="preserve">En esta línea Dávila Vinueza Expresa: “El legislador para calificar estas prohibiciones emplea dos vocablos: Inhabilidades o incompatibilidades, los cuales en un examen desprevenido podrían sugerir ideas diferentes </w:t>
      </w:r>
      <w:proofErr w:type="gramStart"/>
      <w:r w:rsidRPr="001565EC">
        <w:rPr>
          <w:rFonts w:ascii="Verdana" w:hAnsi="Verdana" w:cs="Arial"/>
          <w:sz w:val="16"/>
          <w:szCs w:val="16"/>
        </w:rPr>
        <w:t>y</w:t>
      </w:r>
      <w:proofErr w:type="gramEnd"/>
      <w:r w:rsidRPr="001565EC">
        <w:rPr>
          <w:rFonts w:ascii="Verdana" w:hAnsi="Verdana" w:cs="Arial"/>
          <w:sz w:val="16"/>
          <w:szCs w:val="16"/>
        </w:rPr>
        <w:t xml:space="preserve">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w:t>
      </w:r>
      <w:proofErr w:type="gramStart"/>
      <w:r w:rsidRPr="001565EC">
        <w:rPr>
          <w:rFonts w:ascii="Verdana" w:hAnsi="Verdana" w:cs="Arial"/>
          <w:sz w:val="16"/>
          <w:szCs w:val="16"/>
        </w:rPr>
        <w:t>que</w:t>
      </w:r>
      <w:proofErr w:type="gramEnd"/>
      <w:r w:rsidRPr="001565EC">
        <w:rPr>
          <w:rFonts w:ascii="Verdana" w:hAnsi="Verdana" w:cs="Arial"/>
          <w:sz w:val="16"/>
          <w:szCs w:val="16"/>
        </w:rPr>
        <w:t xml:space="preserv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6">
    <w:p w14:paraId="42F55F89" w14:textId="77777777" w:rsidR="00A431E4" w:rsidRPr="001565EC" w:rsidRDefault="00A431E4" w:rsidP="00A431E4">
      <w:pPr>
        <w:pStyle w:val="Textonotapie"/>
        <w:jc w:val="both"/>
        <w:rPr>
          <w:rFonts w:ascii="Verdana" w:hAnsi="Verdana" w:cs="Arial"/>
          <w:sz w:val="16"/>
          <w:szCs w:val="16"/>
          <w:lang w:val="es-ES"/>
        </w:rPr>
      </w:pPr>
      <w:r w:rsidRPr="001565EC">
        <w:rPr>
          <w:rStyle w:val="Refdenotaalpie"/>
          <w:rFonts w:ascii="Verdana" w:hAnsi="Verdana"/>
          <w:sz w:val="16"/>
          <w:szCs w:val="16"/>
        </w:rPr>
        <w:footnoteRef/>
      </w:r>
      <w:r w:rsidRPr="001565EC">
        <w:rPr>
          <w:rFonts w:ascii="Verdana" w:hAnsi="Verdana"/>
          <w:sz w:val="16"/>
          <w:szCs w:val="16"/>
        </w:rPr>
        <w:t xml:space="preserve"> </w:t>
      </w:r>
      <w:r w:rsidRPr="001565EC">
        <w:rPr>
          <w:rFonts w:ascii="Verdana" w:hAnsi="Verdana" w:cs="Arial"/>
          <w:sz w:val="16"/>
          <w:szCs w:val="16"/>
        </w:rPr>
        <w:t xml:space="preserve"> </w:t>
      </w:r>
      <w:r w:rsidRPr="001565EC">
        <w:rPr>
          <w:rFonts w:ascii="Verdana" w:hAnsi="Verdana" w:cs="Arial"/>
          <w:sz w:val="16"/>
          <w:szCs w:val="16"/>
          <w:lang w:val="es-ES"/>
        </w:rPr>
        <w:t xml:space="preserve">BARRETO ROZO, Antonio Alejandro. Inhabilidades de la contratación estatal, efectos y </w:t>
      </w:r>
      <w:proofErr w:type="spellStart"/>
      <w:r w:rsidRPr="001565EC">
        <w:rPr>
          <w:rFonts w:ascii="Verdana" w:hAnsi="Verdana" w:cs="Arial"/>
          <w:sz w:val="16"/>
          <w:szCs w:val="16"/>
          <w:lang w:val="es-ES"/>
        </w:rPr>
        <w:t>neopunitivismo</w:t>
      </w:r>
      <w:proofErr w:type="spellEnd"/>
      <w:r w:rsidRPr="001565EC">
        <w:rPr>
          <w:rFonts w:ascii="Verdana" w:hAnsi="Verdana" w:cs="Arial"/>
          <w:sz w:val="16"/>
          <w:szCs w:val="16"/>
          <w:lang w:val="es-ES"/>
        </w:rPr>
        <w:t xml:space="preserve"> en el Estatuto Anticorrupción. En: ALVIAR GARCÍA, Helena (Coordinadora). Nuevas tendencias del Derecho administrativo. Bogotá: Universidad de los Andes; Temis, 2016. pp. 63-99</w:t>
      </w:r>
    </w:p>
    <w:p w14:paraId="5A5EEAAD" w14:textId="77777777" w:rsidR="00A431E4" w:rsidRPr="001565EC" w:rsidRDefault="00A431E4" w:rsidP="00A431E4">
      <w:pPr>
        <w:pStyle w:val="Textonotapie"/>
        <w:jc w:val="both"/>
        <w:rPr>
          <w:rFonts w:ascii="Verdana" w:hAnsi="Verdana"/>
          <w:sz w:val="16"/>
          <w:szCs w:val="16"/>
        </w:rPr>
      </w:pPr>
    </w:p>
  </w:footnote>
  <w:footnote w:id="7">
    <w:p w14:paraId="065DDBDF" w14:textId="77777777" w:rsidR="00A431E4" w:rsidRPr="001565EC" w:rsidRDefault="00A431E4" w:rsidP="00A431E4">
      <w:pPr>
        <w:pStyle w:val="Textonotapie"/>
        <w:rPr>
          <w:rFonts w:ascii="Verdana" w:hAnsi="Verdana" w:cs="Arial"/>
          <w:sz w:val="16"/>
          <w:szCs w:val="16"/>
          <w:lang w:val="es-ES"/>
        </w:rPr>
      </w:pPr>
      <w:r w:rsidRPr="001565EC">
        <w:rPr>
          <w:rStyle w:val="Refdenotaalpie"/>
          <w:rFonts w:ascii="Verdana" w:hAnsi="Verdana"/>
          <w:sz w:val="16"/>
          <w:szCs w:val="16"/>
        </w:rPr>
        <w:footnoteRef/>
      </w:r>
      <w:r w:rsidRPr="001565EC">
        <w:rPr>
          <w:rFonts w:ascii="Verdana" w:hAnsi="Verdana"/>
          <w:sz w:val="16"/>
          <w:szCs w:val="16"/>
        </w:rPr>
        <w:t xml:space="preserve"> </w:t>
      </w:r>
      <w:r w:rsidRPr="001565EC">
        <w:rPr>
          <w:rFonts w:ascii="Verdana" w:hAnsi="Verdana" w:cs="Arial"/>
          <w:sz w:val="16"/>
          <w:szCs w:val="16"/>
          <w:lang w:val="es-ES"/>
        </w:rPr>
        <w:t>Ibidem. p. 69.</w:t>
      </w:r>
    </w:p>
    <w:p w14:paraId="59C8B880" w14:textId="77777777" w:rsidR="00A431E4" w:rsidRPr="001565EC" w:rsidRDefault="00A431E4" w:rsidP="00A431E4">
      <w:pPr>
        <w:pStyle w:val="Textonotapie"/>
        <w:rPr>
          <w:rFonts w:ascii="Verdana" w:hAnsi="Verdana"/>
          <w:sz w:val="16"/>
          <w:szCs w:val="16"/>
        </w:rPr>
      </w:pPr>
    </w:p>
  </w:footnote>
  <w:footnote w:id="8">
    <w:p w14:paraId="045AF313" w14:textId="77777777" w:rsidR="00A431E4" w:rsidRPr="006F2C98" w:rsidRDefault="00A431E4" w:rsidP="00A431E4">
      <w:pPr>
        <w:pStyle w:val="Textonotapie"/>
        <w:jc w:val="both"/>
        <w:rPr>
          <w:rFonts w:ascii="Verdana" w:hAnsi="Verdana"/>
          <w:sz w:val="16"/>
          <w:szCs w:val="16"/>
        </w:rPr>
      </w:pPr>
      <w:r w:rsidRPr="001565EC">
        <w:rPr>
          <w:rStyle w:val="Refdenotaalpie"/>
          <w:rFonts w:ascii="Verdana" w:hAnsi="Verdana"/>
          <w:sz w:val="16"/>
          <w:szCs w:val="16"/>
        </w:rPr>
        <w:footnoteRef/>
      </w:r>
      <w:r w:rsidRPr="001565EC">
        <w:rPr>
          <w:rFonts w:ascii="Verdana" w:hAnsi="Verdana"/>
          <w:sz w:val="16"/>
          <w:szCs w:val="16"/>
        </w:rPr>
        <w:t xml:space="preserve"> </w:t>
      </w:r>
      <w:r w:rsidRPr="001565EC">
        <w:rPr>
          <w:rFonts w:ascii="Verdana" w:hAnsi="Verdana" w:cs="Arial"/>
          <w:sz w:val="16"/>
          <w:szCs w:val="16"/>
          <w:lang w:val="es-ES"/>
        </w:rPr>
        <w:t>CORTE CONSTITUCIONAL. Sentencia T-1039 de 2006. M.P. Humberto Sierra Porto. La Corte Constitucional ha mantenido este criterio en las sentencias: C-903 de 2008. M.P. Jaime Araujo Rentería; C-101 de 2018. M.P. Gloria Stella Ortiz Delgado; entre otras.</w:t>
      </w:r>
    </w:p>
  </w:footnote>
  <w:footnote w:id="9">
    <w:p w14:paraId="302BDAF2" w14:textId="77777777" w:rsidR="00A431E4" w:rsidRPr="00D61FA9" w:rsidRDefault="00A431E4" w:rsidP="00A431E4">
      <w:pPr>
        <w:pStyle w:val="Textonotapie"/>
        <w:spacing w:after="120"/>
        <w:ind w:firstLine="708"/>
        <w:jc w:val="both"/>
        <w:rPr>
          <w:rFonts w:ascii="Verdana" w:hAnsi="Verdana" w:cs="Arial"/>
          <w:sz w:val="16"/>
          <w:szCs w:val="16"/>
          <w:lang w:val="es-ES"/>
        </w:rPr>
      </w:pPr>
      <w:r w:rsidRPr="00D61FA9">
        <w:rPr>
          <w:rStyle w:val="Refdenotaalpie"/>
          <w:rFonts w:ascii="Verdana" w:hAnsi="Verdana"/>
          <w:sz w:val="16"/>
          <w:szCs w:val="16"/>
        </w:rPr>
        <w:footnoteRef/>
      </w:r>
      <w:r w:rsidRPr="00D61FA9">
        <w:rPr>
          <w:rFonts w:ascii="Verdana" w:hAnsi="Verdana"/>
          <w:sz w:val="16"/>
          <w:szCs w:val="16"/>
        </w:rPr>
        <w:t xml:space="preserve"> </w:t>
      </w:r>
      <w:r w:rsidRPr="00D61FA9">
        <w:rPr>
          <w:rFonts w:ascii="Verdana" w:hAnsi="Verdana" w:cs="Arial"/>
          <w:sz w:val="16"/>
          <w:szCs w:val="16"/>
          <w:lang w:val="es-ES"/>
        </w:rPr>
        <w:t xml:space="preserve">CONSEJO DE ESTADO. Sala de Consulta y Servicio Civil. Concepto del 30 de abril de 2015. </w:t>
      </w:r>
      <w:proofErr w:type="spellStart"/>
      <w:r w:rsidRPr="00D61FA9">
        <w:rPr>
          <w:rFonts w:ascii="Verdana" w:hAnsi="Verdana" w:cs="Arial"/>
          <w:sz w:val="16"/>
          <w:szCs w:val="16"/>
          <w:lang w:val="es-ES"/>
        </w:rPr>
        <w:t>Exp</w:t>
      </w:r>
      <w:proofErr w:type="spellEnd"/>
      <w:r w:rsidRPr="00D61FA9">
        <w:rPr>
          <w:rFonts w:ascii="Verdana" w:hAnsi="Verdana" w:cs="Arial"/>
          <w:sz w:val="16"/>
          <w:szCs w:val="16"/>
          <w:lang w:val="es-ES"/>
        </w:rPr>
        <w:t>. 2251. C.P. Álvaro Namén Vargas.</w:t>
      </w:r>
    </w:p>
    <w:p w14:paraId="1D7B54DA" w14:textId="77777777" w:rsidR="00A431E4" w:rsidRPr="007C0FFC" w:rsidRDefault="00A431E4" w:rsidP="00A431E4">
      <w:pPr>
        <w:pStyle w:val="Textonotapie"/>
        <w:rPr>
          <w:sz w:val="16"/>
          <w:szCs w:val="16"/>
        </w:rPr>
      </w:pPr>
    </w:p>
  </w:footnote>
  <w:footnote w:id="10">
    <w:p w14:paraId="1F72E7FE" w14:textId="77777777" w:rsidR="00A431E4" w:rsidRPr="00846AAB" w:rsidRDefault="00A431E4" w:rsidP="00A431E4">
      <w:pPr>
        <w:pStyle w:val="Textonotapie"/>
        <w:spacing w:after="120"/>
        <w:ind w:firstLine="708"/>
        <w:jc w:val="both"/>
        <w:rPr>
          <w:rFonts w:ascii="Verdana" w:hAnsi="Verdana" w:cs="Arial"/>
          <w:sz w:val="12"/>
          <w:szCs w:val="12"/>
        </w:rPr>
      </w:pPr>
      <w:r w:rsidRPr="007C0FFC">
        <w:rPr>
          <w:rStyle w:val="Refdenotaalpie"/>
          <w:rFonts w:ascii="Verdana" w:hAnsi="Verdana" w:cs="Arial"/>
          <w:sz w:val="16"/>
          <w:szCs w:val="16"/>
        </w:rPr>
        <w:footnoteRef/>
      </w:r>
      <w:r w:rsidRPr="007C0FFC">
        <w:rPr>
          <w:rFonts w:ascii="Verdana" w:hAnsi="Verdana" w:cs="Arial"/>
          <w:sz w:val="16"/>
          <w:szCs w:val="16"/>
        </w:rPr>
        <w:t xml:space="preserve"> CONSEJO DE ESTADO. Sección Tercera. Subsección A. Sentencia del 24 de junio de 2015. </w:t>
      </w:r>
      <w:proofErr w:type="spellStart"/>
      <w:r w:rsidRPr="007C0FFC">
        <w:rPr>
          <w:rFonts w:ascii="Verdana" w:hAnsi="Verdana" w:cs="Arial"/>
          <w:sz w:val="16"/>
          <w:szCs w:val="16"/>
        </w:rPr>
        <w:t>Exp</w:t>
      </w:r>
      <w:proofErr w:type="spellEnd"/>
      <w:r w:rsidRPr="007C0FFC">
        <w:rPr>
          <w:rFonts w:ascii="Verdana" w:hAnsi="Verdana" w:cs="Arial"/>
          <w:sz w:val="16"/>
          <w:szCs w:val="16"/>
        </w:rPr>
        <w:t>. 40.635. C.P. Hernán Andrade Rincón (E).</w:t>
      </w:r>
    </w:p>
  </w:footnote>
  <w:footnote w:id="11">
    <w:p w14:paraId="163AC8FA" w14:textId="77777777" w:rsidR="00A431E4" w:rsidRPr="00521569" w:rsidRDefault="00A431E4" w:rsidP="00A431E4">
      <w:pPr>
        <w:pStyle w:val="Textonotapie"/>
        <w:spacing w:after="120"/>
        <w:ind w:firstLine="708"/>
        <w:jc w:val="both"/>
        <w:rPr>
          <w:rFonts w:ascii="Verdana" w:hAnsi="Verdana" w:cs="Arial"/>
          <w:sz w:val="16"/>
          <w:szCs w:val="16"/>
          <w:lang w:val="es-ES_tradnl"/>
        </w:rPr>
      </w:pPr>
      <w:r w:rsidRPr="00521569">
        <w:rPr>
          <w:rStyle w:val="Refdenotaalpie"/>
          <w:rFonts w:ascii="Verdana" w:hAnsi="Verdana"/>
          <w:sz w:val="16"/>
          <w:szCs w:val="16"/>
        </w:rPr>
        <w:footnoteRef/>
      </w:r>
      <w:r w:rsidRPr="00521569">
        <w:rPr>
          <w:rFonts w:ascii="Verdana" w:hAnsi="Verdana"/>
          <w:sz w:val="16"/>
          <w:szCs w:val="16"/>
        </w:rPr>
        <w:t xml:space="preserve"> </w:t>
      </w:r>
      <w:r w:rsidRPr="00521569">
        <w:rPr>
          <w:rFonts w:ascii="Verdana" w:hAnsi="Verdana" w:cs="Arial"/>
          <w:sz w:val="16"/>
          <w:szCs w:val="16"/>
        </w:rPr>
        <w:t xml:space="preserve">CONSEJO DE ESTADO. Sección Tercera. Subsección C. Sentencia del 22 de mayo de 2013. Rad. 24.057. C.P. Olga Mélida Valle De </w:t>
      </w:r>
      <w:proofErr w:type="spellStart"/>
      <w:r w:rsidRPr="00521569">
        <w:rPr>
          <w:rFonts w:ascii="Verdana" w:hAnsi="Verdana" w:cs="Arial"/>
          <w:sz w:val="16"/>
          <w:szCs w:val="16"/>
        </w:rPr>
        <w:t>De</w:t>
      </w:r>
      <w:proofErr w:type="spellEnd"/>
      <w:r w:rsidRPr="00521569">
        <w:rPr>
          <w:rFonts w:ascii="Verdana" w:hAnsi="Verdana" w:cs="Arial"/>
          <w:sz w:val="16"/>
          <w:szCs w:val="16"/>
        </w:rPr>
        <w:t xml:space="preserve"> La Hoz. </w:t>
      </w:r>
    </w:p>
    <w:p w14:paraId="683CE028" w14:textId="77777777" w:rsidR="00A431E4" w:rsidRPr="00521569" w:rsidRDefault="00A431E4" w:rsidP="00A431E4">
      <w:pPr>
        <w:pStyle w:val="Textonotapie"/>
        <w:rPr>
          <w:lang w:val="es-ES_tradnl"/>
        </w:rPr>
      </w:pPr>
    </w:p>
  </w:footnote>
  <w:footnote w:id="12">
    <w:p w14:paraId="0270475C" w14:textId="77777777" w:rsidR="00A431E4" w:rsidRDefault="00A431E4" w:rsidP="00A431E4">
      <w:pPr>
        <w:pStyle w:val="Textonotapie"/>
        <w:jc w:val="both"/>
        <w:rPr>
          <w:rFonts w:ascii="Verdana" w:hAnsi="Verdana" w:cs="Arial"/>
          <w:sz w:val="16"/>
          <w:szCs w:val="16"/>
          <w:lang w:val="pt-BR"/>
        </w:rPr>
      </w:pPr>
      <w:r w:rsidRPr="00885F6D">
        <w:rPr>
          <w:rStyle w:val="Refdenotaalpie"/>
          <w:rFonts w:ascii="Verdana" w:hAnsi="Verdana"/>
          <w:sz w:val="16"/>
          <w:szCs w:val="16"/>
        </w:rPr>
        <w:footnoteRef/>
      </w:r>
      <w:r w:rsidRPr="00885F6D">
        <w:rPr>
          <w:rFonts w:ascii="Verdana" w:hAnsi="Verdana"/>
          <w:sz w:val="16"/>
          <w:szCs w:val="16"/>
        </w:rPr>
        <w:t xml:space="preserve"> </w:t>
      </w:r>
      <w:r w:rsidRPr="00885F6D">
        <w:rPr>
          <w:rFonts w:ascii="Verdana" w:hAnsi="Verdana" w:cs="Arial"/>
          <w:sz w:val="16"/>
          <w:szCs w:val="16"/>
          <w:lang w:val="pt-BR"/>
        </w:rPr>
        <w:t xml:space="preserve">Corte Constitucional. Sentencia C-415 de 1994. M.P. Eduardo </w:t>
      </w:r>
      <w:proofErr w:type="spellStart"/>
      <w:r w:rsidRPr="00885F6D">
        <w:rPr>
          <w:rFonts w:ascii="Verdana" w:hAnsi="Verdana" w:cs="Arial"/>
          <w:sz w:val="16"/>
          <w:szCs w:val="16"/>
          <w:lang w:val="pt-BR"/>
        </w:rPr>
        <w:t>Cifuentes</w:t>
      </w:r>
      <w:proofErr w:type="spellEnd"/>
      <w:r w:rsidRPr="00885F6D">
        <w:rPr>
          <w:rFonts w:ascii="Verdana" w:hAnsi="Verdana" w:cs="Arial"/>
          <w:sz w:val="16"/>
          <w:szCs w:val="16"/>
          <w:lang w:val="pt-BR"/>
        </w:rPr>
        <w:t xml:space="preserve"> Muñoz.</w:t>
      </w:r>
    </w:p>
    <w:p w14:paraId="286E4C52" w14:textId="77777777" w:rsidR="00A431E4" w:rsidRPr="00885F6D" w:rsidRDefault="00A431E4" w:rsidP="00A431E4">
      <w:pPr>
        <w:pStyle w:val="Textonotapie"/>
        <w:jc w:val="both"/>
        <w:rPr>
          <w:rFonts w:ascii="Verdana" w:hAnsi="Verdana"/>
          <w:sz w:val="16"/>
          <w:szCs w:val="16"/>
        </w:rPr>
      </w:pPr>
    </w:p>
  </w:footnote>
  <w:footnote w:id="13">
    <w:p w14:paraId="2A72AC9A" w14:textId="77777777" w:rsidR="00A431E4" w:rsidRPr="005D2715" w:rsidRDefault="00A431E4" w:rsidP="00A431E4">
      <w:pPr>
        <w:pStyle w:val="Textonotapie"/>
        <w:jc w:val="both"/>
        <w:rPr>
          <w:rFonts w:ascii="Verdana" w:hAnsi="Verdana"/>
          <w:sz w:val="16"/>
          <w:szCs w:val="16"/>
        </w:rPr>
      </w:pPr>
      <w:r w:rsidRPr="005D2715">
        <w:rPr>
          <w:rStyle w:val="Refdenotaalpie"/>
          <w:rFonts w:ascii="Verdana" w:hAnsi="Verdana"/>
          <w:sz w:val="16"/>
          <w:szCs w:val="16"/>
        </w:rPr>
        <w:footnoteRef/>
      </w:r>
      <w:r w:rsidRPr="005D2715">
        <w:rPr>
          <w:rFonts w:ascii="Verdana" w:hAnsi="Verdana"/>
          <w:sz w:val="16"/>
          <w:szCs w:val="16"/>
        </w:rPr>
        <w:t xml:space="preserve"> </w:t>
      </w:r>
      <w:r w:rsidRPr="005D2715">
        <w:rPr>
          <w:rFonts w:ascii="Verdana" w:hAnsi="Verdana" w:cs="Arial"/>
          <w:color w:val="000000" w:themeColor="text1"/>
          <w:sz w:val="16"/>
          <w:szCs w:val="16"/>
        </w:rPr>
        <w:t>CONSEJO DE ESTADO. Sala de Consulta y Servicio Civil. Concepto del 29 de abril de 1998. Rad. 1097. C.P. Augusto Trejos Jaramillo.</w:t>
      </w:r>
    </w:p>
  </w:footnote>
  <w:footnote w:id="14">
    <w:p w14:paraId="475B9652" w14:textId="77777777" w:rsidR="00A431E4" w:rsidRPr="00072415" w:rsidRDefault="00A431E4" w:rsidP="00A431E4">
      <w:pPr>
        <w:pStyle w:val="Textonotapie"/>
        <w:ind w:firstLine="708"/>
        <w:jc w:val="both"/>
        <w:rPr>
          <w:rFonts w:ascii="Verdana" w:hAnsi="Verdana"/>
          <w:sz w:val="16"/>
          <w:szCs w:val="16"/>
        </w:rPr>
      </w:pPr>
      <w:r w:rsidRPr="00072415">
        <w:rPr>
          <w:rStyle w:val="Refdenotaalpie"/>
          <w:rFonts w:ascii="Verdana" w:hAnsi="Verdana"/>
          <w:sz w:val="16"/>
          <w:szCs w:val="16"/>
        </w:rPr>
        <w:footnoteRef/>
      </w:r>
      <w:r w:rsidRPr="00072415">
        <w:rPr>
          <w:rFonts w:ascii="Verdana" w:hAnsi="Verdana"/>
          <w:sz w:val="16"/>
          <w:szCs w:val="16"/>
        </w:rPr>
        <w:t xml:space="preserve"> CONSEJO DE ESTADO. Sala de Consulta y Servicio Civil.</w:t>
      </w:r>
      <w:r>
        <w:rPr>
          <w:rFonts w:ascii="Verdana" w:hAnsi="Verdana"/>
          <w:sz w:val="16"/>
          <w:szCs w:val="16"/>
        </w:rPr>
        <w:t xml:space="preserve"> Concepto del 23 de abril de 2019. Rad. </w:t>
      </w:r>
      <w:r w:rsidRPr="005A4177">
        <w:rPr>
          <w:rFonts w:ascii="Verdana" w:hAnsi="Verdana"/>
          <w:sz w:val="16"/>
          <w:szCs w:val="16"/>
          <w:lang w:val="es-CO"/>
        </w:rPr>
        <w:t>2414</w:t>
      </w:r>
      <w:r>
        <w:rPr>
          <w:rFonts w:ascii="Verdana" w:hAnsi="Verdana"/>
          <w:sz w:val="16"/>
          <w:szCs w:val="16"/>
          <w:lang w:val="es-CO"/>
        </w:rPr>
        <w:t xml:space="preserve">, C.P. </w:t>
      </w:r>
      <w:r w:rsidRPr="00757170">
        <w:rPr>
          <w:rFonts w:ascii="Verdana" w:hAnsi="Verdana"/>
          <w:sz w:val="16"/>
          <w:szCs w:val="16"/>
          <w:lang w:val="es-CO"/>
        </w:rPr>
        <w:t>Édgar González López</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F0E01D5"/>
    <w:multiLevelType w:val="hybridMultilevel"/>
    <w:tmpl w:val="168A3486"/>
    <w:lvl w:ilvl="0" w:tplc="E6945C7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E783C29"/>
    <w:multiLevelType w:val="hybridMultilevel"/>
    <w:tmpl w:val="D5603A04"/>
    <w:lvl w:ilvl="0" w:tplc="6DB07820">
      <w:start w:val="1"/>
      <w:numFmt w:val="lowerLetter"/>
      <w:lvlText w:val="%1."/>
      <w:lvlJc w:val="left"/>
      <w:pPr>
        <w:ind w:left="1429" w:hanging="36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3"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5"/>
  </w:num>
  <w:num w:numId="14" w16cid:durableId="895897244">
    <w:abstractNumId w:val="18"/>
  </w:num>
  <w:num w:numId="15" w16cid:durableId="390349800">
    <w:abstractNumId w:val="14"/>
  </w:num>
  <w:num w:numId="16" w16cid:durableId="341274352">
    <w:abstractNumId w:val="0"/>
  </w:num>
  <w:num w:numId="17" w16cid:durableId="679089576">
    <w:abstractNumId w:val="11"/>
  </w:num>
  <w:num w:numId="18" w16cid:durableId="1290623316">
    <w:abstractNumId w:val="3"/>
  </w:num>
  <w:num w:numId="19" w16cid:durableId="784039179">
    <w:abstractNumId w:val="19"/>
  </w:num>
  <w:num w:numId="20" w16cid:durableId="153255849">
    <w:abstractNumId w:val="13"/>
  </w:num>
  <w:num w:numId="21" w16cid:durableId="1730961620">
    <w:abstractNumId w:val="4"/>
  </w:num>
  <w:num w:numId="22" w16cid:durableId="5438346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D01"/>
    <w:rsid w:val="00061B2A"/>
    <w:rsid w:val="00082362"/>
    <w:rsid w:val="000A683E"/>
    <w:rsid w:val="000B19B9"/>
    <w:rsid w:val="000D0334"/>
    <w:rsid w:val="000D5DA7"/>
    <w:rsid w:val="000F6486"/>
    <w:rsid w:val="00116940"/>
    <w:rsid w:val="00125105"/>
    <w:rsid w:val="00127233"/>
    <w:rsid w:val="0015699B"/>
    <w:rsid w:val="001A33BF"/>
    <w:rsid w:val="001D6B44"/>
    <w:rsid w:val="001E4177"/>
    <w:rsid w:val="001F0B24"/>
    <w:rsid w:val="001F7DC6"/>
    <w:rsid w:val="002161D5"/>
    <w:rsid w:val="0022400B"/>
    <w:rsid w:val="002421BB"/>
    <w:rsid w:val="0025796E"/>
    <w:rsid w:val="0027017D"/>
    <w:rsid w:val="002707A2"/>
    <w:rsid w:val="002951A0"/>
    <w:rsid w:val="002962BC"/>
    <w:rsid w:val="002A093D"/>
    <w:rsid w:val="002A0DD0"/>
    <w:rsid w:val="002A49AC"/>
    <w:rsid w:val="002A64FD"/>
    <w:rsid w:val="002C7A84"/>
    <w:rsid w:val="002E2BF8"/>
    <w:rsid w:val="002E4FD9"/>
    <w:rsid w:val="002F0E98"/>
    <w:rsid w:val="0030657A"/>
    <w:rsid w:val="00322A85"/>
    <w:rsid w:val="00324168"/>
    <w:rsid w:val="00330834"/>
    <w:rsid w:val="003448F4"/>
    <w:rsid w:val="00366A6E"/>
    <w:rsid w:val="00374F5E"/>
    <w:rsid w:val="003770D6"/>
    <w:rsid w:val="0037799F"/>
    <w:rsid w:val="00377E3E"/>
    <w:rsid w:val="003A779E"/>
    <w:rsid w:val="003B1597"/>
    <w:rsid w:val="003C049F"/>
    <w:rsid w:val="003D0F4D"/>
    <w:rsid w:val="003D5B0D"/>
    <w:rsid w:val="003E0499"/>
    <w:rsid w:val="003E4F80"/>
    <w:rsid w:val="003E6439"/>
    <w:rsid w:val="003F3941"/>
    <w:rsid w:val="00406575"/>
    <w:rsid w:val="00414C74"/>
    <w:rsid w:val="0042722E"/>
    <w:rsid w:val="0044528D"/>
    <w:rsid w:val="00463821"/>
    <w:rsid w:val="00466E39"/>
    <w:rsid w:val="00485824"/>
    <w:rsid w:val="004905A3"/>
    <w:rsid w:val="004A1847"/>
    <w:rsid w:val="004A305D"/>
    <w:rsid w:val="004F21C4"/>
    <w:rsid w:val="004F685F"/>
    <w:rsid w:val="00522FFE"/>
    <w:rsid w:val="005566E8"/>
    <w:rsid w:val="00574867"/>
    <w:rsid w:val="00591460"/>
    <w:rsid w:val="005A65E0"/>
    <w:rsid w:val="005C3777"/>
    <w:rsid w:val="005C5CDC"/>
    <w:rsid w:val="005D476C"/>
    <w:rsid w:val="005D6005"/>
    <w:rsid w:val="00611EFC"/>
    <w:rsid w:val="006200BF"/>
    <w:rsid w:val="006219F8"/>
    <w:rsid w:val="006302F7"/>
    <w:rsid w:val="00646B9F"/>
    <w:rsid w:val="00665D70"/>
    <w:rsid w:val="006900D9"/>
    <w:rsid w:val="00705AAC"/>
    <w:rsid w:val="00706C16"/>
    <w:rsid w:val="007340C3"/>
    <w:rsid w:val="0075235A"/>
    <w:rsid w:val="00756841"/>
    <w:rsid w:val="007649AB"/>
    <w:rsid w:val="00771D0C"/>
    <w:rsid w:val="007833AC"/>
    <w:rsid w:val="007B268C"/>
    <w:rsid w:val="007B69DC"/>
    <w:rsid w:val="007B7171"/>
    <w:rsid w:val="007C0C0F"/>
    <w:rsid w:val="007C31D6"/>
    <w:rsid w:val="007C3DC2"/>
    <w:rsid w:val="007E5497"/>
    <w:rsid w:val="00804F48"/>
    <w:rsid w:val="00806F5F"/>
    <w:rsid w:val="0081120D"/>
    <w:rsid w:val="00820278"/>
    <w:rsid w:val="008258C9"/>
    <w:rsid w:val="00844AE9"/>
    <w:rsid w:val="008521B4"/>
    <w:rsid w:val="00862A50"/>
    <w:rsid w:val="00867F95"/>
    <w:rsid w:val="008843B6"/>
    <w:rsid w:val="00891928"/>
    <w:rsid w:val="0089229C"/>
    <w:rsid w:val="008A446D"/>
    <w:rsid w:val="008B25F1"/>
    <w:rsid w:val="008D180B"/>
    <w:rsid w:val="008D2999"/>
    <w:rsid w:val="008F0EA7"/>
    <w:rsid w:val="008F6AF3"/>
    <w:rsid w:val="00923EEF"/>
    <w:rsid w:val="00930A08"/>
    <w:rsid w:val="009419F9"/>
    <w:rsid w:val="0095685E"/>
    <w:rsid w:val="00961B09"/>
    <w:rsid w:val="00965334"/>
    <w:rsid w:val="0097093E"/>
    <w:rsid w:val="00991C7D"/>
    <w:rsid w:val="009A0DFA"/>
    <w:rsid w:val="009A1C6F"/>
    <w:rsid w:val="009B2D26"/>
    <w:rsid w:val="009C71FA"/>
    <w:rsid w:val="009C72E7"/>
    <w:rsid w:val="009C7F7E"/>
    <w:rsid w:val="009D3058"/>
    <w:rsid w:val="009F3A13"/>
    <w:rsid w:val="009F569E"/>
    <w:rsid w:val="00A122D3"/>
    <w:rsid w:val="00A14468"/>
    <w:rsid w:val="00A17F13"/>
    <w:rsid w:val="00A20739"/>
    <w:rsid w:val="00A23AF9"/>
    <w:rsid w:val="00A30ED9"/>
    <w:rsid w:val="00A33C78"/>
    <w:rsid w:val="00A431E4"/>
    <w:rsid w:val="00A7331A"/>
    <w:rsid w:val="00AB0ADB"/>
    <w:rsid w:val="00AD0C24"/>
    <w:rsid w:val="00AD1AB0"/>
    <w:rsid w:val="00AE40CC"/>
    <w:rsid w:val="00AF1D25"/>
    <w:rsid w:val="00B00C0E"/>
    <w:rsid w:val="00B01B1A"/>
    <w:rsid w:val="00B0381D"/>
    <w:rsid w:val="00B44A47"/>
    <w:rsid w:val="00B72CD3"/>
    <w:rsid w:val="00B72FFF"/>
    <w:rsid w:val="00BC3D36"/>
    <w:rsid w:val="00BD54A6"/>
    <w:rsid w:val="00BD7F72"/>
    <w:rsid w:val="00BE634C"/>
    <w:rsid w:val="00BF7425"/>
    <w:rsid w:val="00C04FB3"/>
    <w:rsid w:val="00C11D8B"/>
    <w:rsid w:val="00C11FDA"/>
    <w:rsid w:val="00C15139"/>
    <w:rsid w:val="00C330EB"/>
    <w:rsid w:val="00C3587D"/>
    <w:rsid w:val="00C46B58"/>
    <w:rsid w:val="00C50D69"/>
    <w:rsid w:val="00C5365C"/>
    <w:rsid w:val="00C754BE"/>
    <w:rsid w:val="00C76B1C"/>
    <w:rsid w:val="00C925AC"/>
    <w:rsid w:val="00CB6357"/>
    <w:rsid w:val="00CC1B26"/>
    <w:rsid w:val="00D0616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3F8D"/>
    <w:rsid w:val="00F462B3"/>
    <w:rsid w:val="00F5664F"/>
    <w:rsid w:val="00F666C4"/>
    <w:rsid w:val="00F764BC"/>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1715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2137267">
      <w:bodyDiv w:val="1"/>
      <w:marLeft w:val="0"/>
      <w:marRight w:val="0"/>
      <w:marTop w:val="0"/>
      <w:marBottom w:val="0"/>
      <w:divBdr>
        <w:top w:val="none" w:sz="0" w:space="0" w:color="auto"/>
        <w:left w:val="none" w:sz="0" w:space="0" w:color="auto"/>
        <w:bottom w:val="none" w:sz="0" w:space="0" w:color="auto"/>
        <w:right w:val="none" w:sz="0" w:space="0" w:color="auto"/>
      </w:divBdr>
    </w:div>
    <w:div w:id="97656675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607299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56368013">
      <w:bodyDiv w:val="1"/>
      <w:marLeft w:val="0"/>
      <w:marRight w:val="0"/>
      <w:marTop w:val="0"/>
      <w:marBottom w:val="0"/>
      <w:divBdr>
        <w:top w:val="none" w:sz="0" w:space="0" w:color="auto"/>
        <w:left w:val="none" w:sz="0" w:space="0" w:color="auto"/>
        <w:bottom w:val="none" w:sz="0" w:space="0" w:color="auto"/>
        <w:right w:val="none" w:sz="0" w:space="0" w:color="auto"/>
      </w:divBdr>
    </w:div>
    <w:div w:id="1573588996">
      <w:bodyDiv w:val="1"/>
      <w:marLeft w:val="0"/>
      <w:marRight w:val="0"/>
      <w:marTop w:val="0"/>
      <w:marBottom w:val="0"/>
      <w:divBdr>
        <w:top w:val="none" w:sz="0" w:space="0" w:color="auto"/>
        <w:left w:val="none" w:sz="0" w:space="0" w:color="auto"/>
        <w:bottom w:val="none" w:sz="0" w:space="0" w:color="auto"/>
        <w:right w:val="none" w:sz="0" w:space="0" w:color="auto"/>
      </w:divBdr>
    </w:div>
    <w:div w:id="1618440583">
      <w:bodyDiv w:val="1"/>
      <w:marLeft w:val="0"/>
      <w:marRight w:val="0"/>
      <w:marTop w:val="0"/>
      <w:marBottom w:val="0"/>
      <w:divBdr>
        <w:top w:val="none" w:sz="0" w:space="0" w:color="auto"/>
        <w:left w:val="none" w:sz="0" w:space="0" w:color="auto"/>
        <w:bottom w:val="none" w:sz="0" w:space="0" w:color="auto"/>
        <w:right w:val="none" w:sz="0" w:space="0" w:color="auto"/>
      </w:divBdr>
    </w:div>
    <w:div w:id="1799488849">
      <w:bodyDiv w:val="1"/>
      <w:marLeft w:val="0"/>
      <w:marRight w:val="0"/>
      <w:marTop w:val="0"/>
      <w:marBottom w:val="0"/>
      <w:divBdr>
        <w:top w:val="none" w:sz="0" w:space="0" w:color="auto"/>
        <w:left w:val="none" w:sz="0" w:space="0" w:color="auto"/>
        <w:bottom w:val="none" w:sz="0" w:space="0" w:color="auto"/>
        <w:right w:val="none" w:sz="0" w:space="0" w:color="auto"/>
      </w:divBdr>
    </w:div>
    <w:div w:id="1893808724">
      <w:bodyDiv w:val="1"/>
      <w:marLeft w:val="0"/>
      <w:marRight w:val="0"/>
      <w:marTop w:val="0"/>
      <w:marBottom w:val="0"/>
      <w:divBdr>
        <w:top w:val="none" w:sz="0" w:space="0" w:color="auto"/>
        <w:left w:val="none" w:sz="0" w:space="0" w:color="auto"/>
        <w:bottom w:val="none" w:sz="0" w:space="0" w:color="auto"/>
        <w:right w:val="none" w:sz="0" w:space="0" w:color="auto"/>
      </w:divBdr>
    </w:div>
    <w:div w:id="193955557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codigo-general-disciplinario/"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webSettings" Target="webSettings.xml"/><Relationship Id="rId12" Type="http://schemas.openxmlformats.org/officeDocument/2006/relationships/hyperlink" Target="https://relatoria.colombiacompra.gov.co/normativa/ley-80-de-1993/" TargetMode="External"/><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honattan.gualdron%40colombiacompra.gov.co%7C5aad36a736844ec87b2108dcc1fa4639%7C7b09041e245149d08cb179d5e3d8c1be%7C0%7C0%7C638598527917246155%7CUnknown%7CTWFpbGZsb3d8eyJWIjoiMC4wLjAwMDAiLCJQIjoiV2luMzIiLCJBTiI6Ik1haWwiLCJXVCI6Mn0%3D%7C0%7C%7C%7C&amp;sdata=vvr1bncg52balnsi4t%2FCslEkQPef8NiUUqg4Qj8a7c8%3D&amp;reserved=0"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constitucion-politica-de-colombia/"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nam02.safelinks.protection.outlook.com/?url=https%3A%2F%2Frelatoria.colombiacompra.gov.co%2F&amp;data=05%7C02%7Cjhonattan.gualdron%40colombiacompra.gov.co%7C5aad36a736844ec87b2108dcc1fa4639%7C7b09041e245149d08cb179d5e3d8c1be%7C0%7C0%7C638598527917246155%7CUnknown%7CTWFpbGZsb3d8eyJWIjoiMC4wLjAwMDAiLCJQIjoiV2luMzIiLCJBTiI6Ik1haWwiLCJXVCI6Mn0%3D%7C0%7C%7C%7C&amp;sdata=vvr1bncg52balnsi4t%2FCslEkQPef8NiUUqg4Qj8a7c8%3D&amp;reserved=0" TargetMode="External"/><Relationship Id="rId23"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CB2985-6C11-4A2A-834C-823D29DCA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16</Pages>
  <Words>5404</Words>
  <Characters>29726</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2026-05-06T02:26:00Z</dcterms:created>
  <dcterms:modified xsi:type="dcterms:W3CDTF">2026-05-22T13:30:00Z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