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8F1C61" w14:textId="77777777" w:rsidR="007A255A" w:rsidRDefault="007A255A" w:rsidP="007A255A">
      <w:pPr>
        <w:spacing w:line="276" w:lineRule="auto"/>
        <w:contextualSpacing/>
        <w:jc w:val="both"/>
        <w:rPr>
          <w:rFonts w:ascii="Verdana" w:eastAsia="Calibri" w:hAnsi="Verdana" w:cs="Arial"/>
          <w:b/>
          <w:lang w:val="es-ES"/>
        </w:rPr>
      </w:pPr>
      <w:r w:rsidRPr="007A255A">
        <w:rPr>
          <w:rFonts w:ascii="Verdana" w:eastAsia="Calibri" w:hAnsi="Verdana" w:cs="Arial"/>
          <w:b/>
          <w:lang w:val="es-ES"/>
        </w:rPr>
        <w:t>EXPERIENCIA − Requisito habilitante − Concepto − Acreditación – RUP</w:t>
      </w:r>
    </w:p>
    <w:p w14:paraId="1AF1EF28" w14:textId="52452AFD" w:rsidR="007A255A" w:rsidRPr="007A255A" w:rsidRDefault="007A255A" w:rsidP="007A255A">
      <w:pPr>
        <w:snapToGrid w:val="0"/>
        <w:spacing w:after="0" w:line="276" w:lineRule="auto"/>
        <w:contextualSpacing/>
        <w:jc w:val="both"/>
        <w:rPr>
          <w:rFonts w:ascii="Verdana" w:eastAsia="Calibri" w:hAnsi="Verdana" w:cs="Arial"/>
          <w:b/>
          <w:lang w:val="es-ES"/>
        </w:rPr>
      </w:pPr>
      <w:r w:rsidRPr="007A255A">
        <w:rPr>
          <w:rFonts w:ascii="Verdana" w:eastAsia="Calibri" w:hAnsi="Verdana" w:cs="Arial"/>
          <w:b/>
          <w:lang w:val="es-ES"/>
        </w:rPr>
        <w:t xml:space="preserve"> </w:t>
      </w:r>
    </w:p>
    <w:p w14:paraId="769A7438" w14:textId="77777777" w:rsidR="007A255A" w:rsidRPr="005B7F9E" w:rsidRDefault="007A255A" w:rsidP="007A255A">
      <w:pPr>
        <w:spacing w:line="240" w:lineRule="auto"/>
        <w:jc w:val="both"/>
        <w:rPr>
          <w:rFonts w:ascii="Verdana" w:eastAsia="Calibri" w:hAnsi="Verdana" w:cs="Arial"/>
          <w:color w:val="000000" w:themeColor="text1"/>
          <w:sz w:val="20"/>
          <w:szCs w:val="20"/>
        </w:rPr>
      </w:pPr>
      <w:r w:rsidRPr="005B7F9E">
        <w:rPr>
          <w:rFonts w:ascii="Verdana" w:eastAsia="Calibri" w:hAnsi="Verdana" w:cs="Arial"/>
          <w:color w:val="000000" w:themeColor="text1"/>
          <w:sz w:val="20"/>
          <w:szCs w:val="20"/>
        </w:rPr>
        <w:t>La Ley 1150 de 2007, en el artículo 5, establece algunos requisitos habilitantes para participar en los procedimientos de selección, dentro de los cuales se destaca la experiencia. El propósito es que las entidades fijen unos requisitos mínimos que debe tener y acreditar el proponente, para que la entidad verifique su aptitud para participar en el procedimiento de contratación y, si se le adjudica, ejecutar el contrato estatal. Lo anterior, sin perjuicio de que en algunos procedimientos de selección, como sucede en los concursos de méritos, la experiencia consista en un factor de asignación de puntaje. En ese sentido, la entidad, como responsable de la estructuración de su procedimiento de contratación, es autónoma para requerir la experiencia necesaria para el objeto del contrato, para lo cual, de acuerdo con el artículo 2.2.1.1.1.6.2. del Decreto 1082 de 2015, debe tener en cuenta el estudio del sector y sus componentes como la identificación de riesgos, el mercado y precio del bien, obra o servicio a contratar.</w:t>
      </w:r>
    </w:p>
    <w:p w14:paraId="1E698434" w14:textId="77777777" w:rsidR="007A255A" w:rsidRPr="005B7F9E" w:rsidRDefault="007A255A" w:rsidP="007A255A">
      <w:pPr>
        <w:spacing w:line="240" w:lineRule="auto"/>
        <w:jc w:val="both"/>
        <w:rPr>
          <w:rFonts w:ascii="Verdana" w:eastAsia="Calibri" w:hAnsi="Verdana" w:cs="Arial"/>
          <w:color w:val="000000" w:themeColor="text1"/>
          <w:sz w:val="20"/>
          <w:szCs w:val="20"/>
        </w:rPr>
      </w:pPr>
      <w:r w:rsidRPr="005B7F9E">
        <w:rPr>
          <w:rFonts w:ascii="Verdana" w:eastAsia="Calibri" w:hAnsi="Verdana" w:cs="Arial"/>
          <w:color w:val="000000" w:themeColor="text1"/>
          <w:sz w:val="20"/>
          <w:szCs w:val="20"/>
        </w:rPr>
        <w:t>La experiencia que se deriva de los contratos que el proponente ha celebrado y ejecutado con diferentes contratantes, sin importar la naturaleza de estos, se verifica con el Registro Único de Proponentes –RUP–, cuando este certificado sea exigible de acuerdo con la ley. En este registro constan los requisitos que se evalúan exclusivamente con este documento, que es plena prueba, sin que la entidad o el proponente puedan, en principio, solicitar o aportar otra documentación.</w:t>
      </w:r>
    </w:p>
    <w:p w14:paraId="54485966" w14:textId="2B9B1E23" w:rsidR="007A255A" w:rsidRDefault="007A255A" w:rsidP="007A255A">
      <w:pPr>
        <w:spacing w:after="0" w:line="240" w:lineRule="auto"/>
        <w:jc w:val="both"/>
        <w:rPr>
          <w:rFonts w:ascii="Verdana" w:eastAsia="Calibri" w:hAnsi="Verdana" w:cs="Arial"/>
          <w:color w:val="000000" w:themeColor="text1"/>
          <w:sz w:val="20"/>
          <w:szCs w:val="20"/>
        </w:rPr>
      </w:pPr>
      <w:r w:rsidRPr="005B7F9E">
        <w:rPr>
          <w:rFonts w:ascii="Verdana" w:eastAsia="Calibri" w:hAnsi="Verdana" w:cs="Arial"/>
          <w:color w:val="000000" w:themeColor="text1"/>
          <w:sz w:val="20"/>
          <w:szCs w:val="20"/>
        </w:rPr>
        <w:t>Respecto de la experiencia, esta debe inscribirse, renovarse o actualizarse en el RUP con copia de los contratos o con certificados de los contratos celebrados por el proponente con diferentes contratantes, quienes son terceros que los que expiden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w:t>
      </w:r>
    </w:p>
    <w:p w14:paraId="16EEEF21" w14:textId="77777777" w:rsidR="007A255A" w:rsidRPr="007A255A" w:rsidRDefault="007A255A" w:rsidP="007A255A">
      <w:pPr>
        <w:spacing w:after="0" w:line="240" w:lineRule="auto"/>
        <w:jc w:val="both"/>
        <w:rPr>
          <w:rFonts w:ascii="Verdana" w:eastAsia="Calibri" w:hAnsi="Verdana" w:cs="Arial"/>
          <w:color w:val="000000" w:themeColor="text1"/>
          <w:sz w:val="20"/>
          <w:szCs w:val="20"/>
        </w:rPr>
      </w:pPr>
    </w:p>
    <w:p w14:paraId="3011A65B" w14:textId="77777777" w:rsidR="007A255A" w:rsidRPr="003F639A" w:rsidRDefault="007A255A" w:rsidP="007A255A">
      <w:pPr>
        <w:spacing w:line="276" w:lineRule="auto"/>
        <w:contextualSpacing/>
        <w:jc w:val="both"/>
        <w:rPr>
          <w:rFonts w:ascii="Verdana" w:eastAsia="Calibri" w:hAnsi="Verdana" w:cs="Arial"/>
          <w:b/>
          <w:lang w:val="es-ES"/>
        </w:rPr>
      </w:pPr>
      <w:r w:rsidRPr="003F639A">
        <w:rPr>
          <w:rFonts w:ascii="Verdana" w:eastAsia="Calibri" w:hAnsi="Verdana" w:cs="Arial"/>
          <w:b/>
          <w:lang w:val="es-ES"/>
        </w:rPr>
        <w:t xml:space="preserve">EXPERIENCIA – Conservación – Sociedades – Menor a 3 años de constitución </w:t>
      </w:r>
    </w:p>
    <w:p w14:paraId="4A654422" w14:textId="4FE15EFE" w:rsidR="007A255A" w:rsidRDefault="007A255A" w:rsidP="007A255A">
      <w:pPr>
        <w:spacing w:line="276" w:lineRule="auto"/>
        <w:contextualSpacing/>
        <w:jc w:val="both"/>
        <w:rPr>
          <w:rFonts w:ascii="Verdana" w:eastAsia="Calibri" w:hAnsi="Verdana" w:cs="Arial"/>
          <w:bCs/>
          <w:lang w:val="es-ES"/>
        </w:rPr>
      </w:pPr>
    </w:p>
    <w:p w14:paraId="79EA46DC" w14:textId="77777777" w:rsidR="007A255A" w:rsidRPr="002A132C" w:rsidRDefault="007A255A" w:rsidP="007A255A">
      <w:pPr>
        <w:spacing w:after="0" w:line="240" w:lineRule="auto"/>
        <w:jc w:val="both"/>
        <w:rPr>
          <w:rFonts w:ascii="Verdana" w:eastAsia="Calibri" w:hAnsi="Verdana" w:cs="Arial"/>
          <w:sz w:val="20"/>
          <w:szCs w:val="20"/>
          <w:lang w:val="es-ES"/>
        </w:rPr>
      </w:pPr>
      <w:r w:rsidRPr="002A132C">
        <w:rPr>
          <w:rFonts w:ascii="Verdana" w:eastAsia="Calibri" w:hAnsi="Verdana" w:cs="Arial"/>
          <w:sz w:val="20"/>
          <w:szCs w:val="20"/>
          <w:lang w:val="es-ES"/>
        </w:rPr>
        <w:t>En otras palabras, si la persona jurídica con menos de tres (3) años de constituida registra la experiencia de sus socios, accionistas o constituyentes en el RUP, y éste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w:t>
      </w:r>
    </w:p>
    <w:p w14:paraId="2BAD647A" w14:textId="77777777" w:rsidR="007A255A" w:rsidRPr="002A132C" w:rsidRDefault="007A255A" w:rsidP="007A255A">
      <w:pPr>
        <w:spacing w:after="0" w:line="240" w:lineRule="auto"/>
        <w:jc w:val="both"/>
        <w:rPr>
          <w:rFonts w:ascii="Verdana" w:eastAsia="Calibri" w:hAnsi="Verdana" w:cs="Arial"/>
          <w:sz w:val="20"/>
          <w:szCs w:val="20"/>
          <w:lang w:val="es-ES"/>
        </w:rPr>
      </w:pPr>
    </w:p>
    <w:p w14:paraId="35F46E38" w14:textId="77777777" w:rsidR="007A255A" w:rsidRPr="002A132C" w:rsidRDefault="007A255A" w:rsidP="007A255A">
      <w:pPr>
        <w:spacing w:after="0" w:line="240" w:lineRule="auto"/>
        <w:jc w:val="both"/>
        <w:rPr>
          <w:rFonts w:ascii="Verdana" w:eastAsia="Calibri" w:hAnsi="Verdana" w:cs="Arial"/>
          <w:sz w:val="20"/>
          <w:szCs w:val="20"/>
          <w:lang w:val="es-ES"/>
        </w:rPr>
      </w:pPr>
      <w:r w:rsidRPr="002A132C">
        <w:rPr>
          <w:rFonts w:ascii="Verdana" w:eastAsia="Calibri" w:hAnsi="Verdana" w:cs="Arial"/>
          <w:sz w:val="20"/>
          <w:szCs w:val="20"/>
          <w:lang w:val="es-ES"/>
        </w:rPr>
        <w:lastRenderedPageBreak/>
        <w:t>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Esta interpretación, además, se impone en atención al fin de evitar prácticas corruptas o que atenten contra la transparencia en la contratación estatal, por lo que la experiencia aportada por quien se retira no deberá tenerse en cuenta por las Entidades Estatales, y no debería ser utilizada por el proponente en procesos de contratación, ya que es inherente a la persona que la ha obtenido.</w:t>
      </w:r>
    </w:p>
    <w:p w14:paraId="4961B3ED" w14:textId="77777777" w:rsidR="007A255A" w:rsidRDefault="007A255A" w:rsidP="007A255A">
      <w:pPr>
        <w:spacing w:line="276" w:lineRule="auto"/>
        <w:contextualSpacing/>
        <w:jc w:val="both"/>
        <w:rPr>
          <w:rFonts w:ascii="Verdana" w:eastAsia="Calibri" w:hAnsi="Verdana" w:cs="Arial"/>
          <w:bCs/>
          <w:lang w:val="es-ES"/>
        </w:rPr>
      </w:pPr>
    </w:p>
    <w:p w14:paraId="64763972" w14:textId="5DB62761" w:rsidR="007A255A" w:rsidRPr="003F639A" w:rsidRDefault="007A255A" w:rsidP="007A255A">
      <w:pPr>
        <w:spacing w:line="276" w:lineRule="auto"/>
        <w:contextualSpacing/>
        <w:jc w:val="both"/>
        <w:rPr>
          <w:rFonts w:ascii="Verdana" w:eastAsia="Calibri" w:hAnsi="Verdana" w:cs="Arial"/>
          <w:b/>
          <w:lang w:val="es-ES"/>
        </w:rPr>
      </w:pPr>
      <w:r w:rsidRPr="003F639A">
        <w:rPr>
          <w:rFonts w:ascii="Verdana" w:eastAsia="Calibri" w:hAnsi="Verdana" w:cs="Arial"/>
          <w:b/>
          <w:lang w:val="es-ES"/>
        </w:rPr>
        <w:t>REGISTRO ÚNICO DE PROPONENTES – Finalidad</w:t>
      </w:r>
    </w:p>
    <w:p w14:paraId="4917C986" w14:textId="77777777" w:rsidR="003F639A" w:rsidRDefault="003F639A" w:rsidP="007A255A">
      <w:pPr>
        <w:spacing w:line="240" w:lineRule="auto"/>
        <w:contextualSpacing/>
        <w:jc w:val="both"/>
        <w:rPr>
          <w:rFonts w:ascii="Verdana" w:hAnsi="Verdana" w:cs="Arial"/>
          <w:sz w:val="20"/>
          <w:szCs w:val="20"/>
        </w:rPr>
      </w:pPr>
    </w:p>
    <w:p w14:paraId="532ED189" w14:textId="140619C8" w:rsidR="007A255A" w:rsidRPr="002A132C" w:rsidRDefault="007A255A" w:rsidP="007A255A">
      <w:pPr>
        <w:spacing w:line="240" w:lineRule="auto"/>
        <w:contextualSpacing/>
        <w:jc w:val="both"/>
        <w:rPr>
          <w:rFonts w:ascii="Verdana" w:hAnsi="Verdana" w:cs="Arial"/>
          <w:sz w:val="20"/>
          <w:szCs w:val="20"/>
        </w:rPr>
      </w:pPr>
      <w:r w:rsidRPr="002A132C">
        <w:rPr>
          <w:rFonts w:ascii="Verdana" w:hAnsi="Verdana" w:cs="Arial"/>
          <w:sz w:val="20"/>
          <w:szCs w:val="20"/>
        </w:rPr>
        <w:t>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w:t>
      </w:r>
    </w:p>
    <w:p w14:paraId="46295354" w14:textId="77777777" w:rsidR="007A255A" w:rsidRPr="002A132C" w:rsidRDefault="007A255A" w:rsidP="007A255A">
      <w:pPr>
        <w:spacing w:line="240" w:lineRule="auto"/>
        <w:contextualSpacing/>
        <w:jc w:val="both"/>
        <w:rPr>
          <w:rFonts w:ascii="Verdana" w:hAnsi="Verdana" w:cs="Arial"/>
          <w:sz w:val="20"/>
          <w:szCs w:val="20"/>
        </w:rPr>
      </w:pPr>
    </w:p>
    <w:p w14:paraId="3A6EA032" w14:textId="77777777" w:rsidR="007A255A" w:rsidRPr="002A132C" w:rsidRDefault="007A255A" w:rsidP="007A255A">
      <w:pPr>
        <w:spacing w:line="240" w:lineRule="auto"/>
        <w:contextualSpacing/>
        <w:jc w:val="both"/>
        <w:rPr>
          <w:rFonts w:ascii="Verdana" w:hAnsi="Verdana" w:cs="Arial"/>
          <w:sz w:val="20"/>
          <w:szCs w:val="20"/>
        </w:rPr>
      </w:pPr>
      <w:r w:rsidRPr="002A132C">
        <w:rPr>
          <w:rFonts w:ascii="Verdana" w:hAnsi="Verdana" w:cs="Arial"/>
          <w:sz w:val="20"/>
          <w:szCs w:val="20"/>
        </w:rPr>
        <w:t>[…]</w:t>
      </w:r>
    </w:p>
    <w:p w14:paraId="41048078" w14:textId="77777777" w:rsidR="007A255A" w:rsidRPr="002A132C" w:rsidRDefault="007A255A" w:rsidP="007A255A">
      <w:pPr>
        <w:spacing w:line="240" w:lineRule="auto"/>
        <w:contextualSpacing/>
        <w:jc w:val="both"/>
        <w:rPr>
          <w:rFonts w:ascii="Verdana" w:hAnsi="Verdana" w:cs="Arial"/>
          <w:sz w:val="20"/>
          <w:szCs w:val="20"/>
        </w:rPr>
      </w:pPr>
    </w:p>
    <w:p w14:paraId="64C1616B" w14:textId="77777777" w:rsidR="007A255A" w:rsidRPr="002A132C" w:rsidRDefault="007A255A" w:rsidP="007A255A">
      <w:pPr>
        <w:spacing w:line="240" w:lineRule="auto"/>
        <w:contextualSpacing/>
        <w:jc w:val="both"/>
        <w:rPr>
          <w:rFonts w:ascii="Verdana" w:hAnsi="Verdana" w:cs="Arial"/>
          <w:sz w:val="20"/>
          <w:szCs w:val="20"/>
        </w:rPr>
      </w:pPr>
      <w:r w:rsidRPr="002A132C">
        <w:rPr>
          <w:rFonts w:ascii="Verdana" w:hAnsi="Verdana" w:cs="Arial"/>
          <w:sz w:val="20"/>
          <w:szCs w:val="20"/>
        </w:rPr>
        <w:t>El artículo 6.1 de la Ley 1150 de 2007 dispone que el RUP es plena prueba de la información que contiene.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 […]</w:t>
      </w:r>
    </w:p>
    <w:p w14:paraId="14F697EB" w14:textId="77777777" w:rsidR="007A255A" w:rsidRPr="00E831AF" w:rsidRDefault="007A255A" w:rsidP="007A255A">
      <w:pPr>
        <w:spacing w:line="276" w:lineRule="auto"/>
        <w:contextualSpacing/>
        <w:jc w:val="both"/>
        <w:rPr>
          <w:rFonts w:ascii="Verdana" w:eastAsia="Calibri" w:hAnsi="Verdana" w:cs="Arial"/>
          <w:bCs/>
          <w:lang w:val="es-ES"/>
        </w:rPr>
      </w:pPr>
    </w:p>
    <w:p w14:paraId="3C8C1108" w14:textId="77777777" w:rsidR="007A255A" w:rsidRDefault="007A255A" w:rsidP="00E00530">
      <w:pPr>
        <w:spacing w:after="0"/>
        <w:rPr>
          <w:rFonts w:ascii="Verdana" w:hAnsi="Verdana"/>
          <w:lang w:val="es-ES"/>
        </w:rPr>
      </w:pPr>
    </w:p>
    <w:p w14:paraId="443D9E53" w14:textId="77777777" w:rsidR="003F639A" w:rsidRDefault="003F639A" w:rsidP="00E00530">
      <w:pPr>
        <w:spacing w:after="0"/>
        <w:rPr>
          <w:rFonts w:ascii="Verdana" w:hAnsi="Verdana"/>
          <w:lang w:val="es-ES"/>
        </w:rPr>
      </w:pPr>
    </w:p>
    <w:p w14:paraId="270BE2C9" w14:textId="77777777" w:rsidR="003F639A" w:rsidRDefault="003F639A" w:rsidP="00E00530">
      <w:pPr>
        <w:spacing w:after="0"/>
        <w:rPr>
          <w:rFonts w:ascii="Verdana" w:hAnsi="Verdana"/>
          <w:lang w:val="es-ES"/>
        </w:rPr>
      </w:pPr>
    </w:p>
    <w:p w14:paraId="63CE95DD" w14:textId="77777777" w:rsidR="003F639A" w:rsidRDefault="003F639A" w:rsidP="00E00530">
      <w:pPr>
        <w:spacing w:after="0"/>
        <w:rPr>
          <w:rFonts w:ascii="Verdana" w:hAnsi="Verdana"/>
          <w:lang w:val="es-ES"/>
        </w:rPr>
      </w:pPr>
    </w:p>
    <w:p w14:paraId="5C66742A" w14:textId="77777777" w:rsidR="003F639A" w:rsidRDefault="003F639A" w:rsidP="00E00530">
      <w:pPr>
        <w:spacing w:after="0"/>
        <w:rPr>
          <w:rFonts w:ascii="Verdana" w:hAnsi="Verdana"/>
          <w:lang w:val="es-ES"/>
        </w:rPr>
      </w:pPr>
    </w:p>
    <w:p w14:paraId="045BB879" w14:textId="77777777" w:rsidR="003F639A" w:rsidRDefault="003F639A" w:rsidP="00E00530">
      <w:pPr>
        <w:spacing w:after="0"/>
        <w:rPr>
          <w:rFonts w:ascii="Verdana" w:hAnsi="Verdana"/>
          <w:lang w:val="es-ES"/>
        </w:rPr>
      </w:pPr>
    </w:p>
    <w:p w14:paraId="75319CD4" w14:textId="77777777" w:rsidR="003F639A" w:rsidRDefault="003F639A" w:rsidP="00E00530">
      <w:pPr>
        <w:spacing w:after="0"/>
        <w:rPr>
          <w:rFonts w:ascii="Verdana" w:hAnsi="Verdana"/>
          <w:lang w:val="es-ES"/>
        </w:rPr>
      </w:pPr>
    </w:p>
    <w:p w14:paraId="252F8044" w14:textId="77777777" w:rsidR="003F639A" w:rsidRDefault="003F639A" w:rsidP="00E00530">
      <w:pPr>
        <w:spacing w:after="0"/>
        <w:rPr>
          <w:rFonts w:ascii="Verdana" w:hAnsi="Verdana"/>
          <w:lang w:val="es-ES"/>
        </w:rPr>
      </w:pPr>
    </w:p>
    <w:p w14:paraId="1F0787DB" w14:textId="77777777" w:rsidR="003F639A" w:rsidRDefault="003F639A" w:rsidP="00E00530">
      <w:pPr>
        <w:spacing w:after="0"/>
        <w:rPr>
          <w:rFonts w:ascii="Verdana" w:hAnsi="Verdana"/>
          <w:lang w:val="es-ES"/>
        </w:rPr>
      </w:pPr>
    </w:p>
    <w:p w14:paraId="62ACC6A3" w14:textId="77777777" w:rsidR="003F639A" w:rsidRDefault="003F639A" w:rsidP="00E00530">
      <w:pPr>
        <w:spacing w:after="0"/>
        <w:rPr>
          <w:rFonts w:ascii="Verdana" w:hAnsi="Verdana"/>
          <w:lang w:val="es-ES"/>
        </w:rPr>
      </w:pPr>
    </w:p>
    <w:p w14:paraId="42B1237B" w14:textId="77777777" w:rsidR="003F639A" w:rsidRDefault="003F639A" w:rsidP="00E00530">
      <w:pPr>
        <w:spacing w:after="0"/>
        <w:rPr>
          <w:rFonts w:ascii="Verdana" w:hAnsi="Verdana"/>
          <w:lang w:val="es-ES"/>
        </w:rPr>
      </w:pPr>
    </w:p>
    <w:p w14:paraId="5BC041D9" w14:textId="77777777" w:rsidR="003F639A" w:rsidRDefault="003F639A" w:rsidP="00E00530">
      <w:pPr>
        <w:spacing w:after="0"/>
        <w:rPr>
          <w:rFonts w:ascii="Verdana" w:hAnsi="Verdana"/>
          <w:lang w:val="es-ES"/>
        </w:rPr>
      </w:pPr>
    </w:p>
    <w:p w14:paraId="33E114FB" w14:textId="77777777" w:rsidR="003F639A" w:rsidRDefault="003F639A" w:rsidP="00E00530">
      <w:pPr>
        <w:spacing w:after="0"/>
        <w:rPr>
          <w:rFonts w:ascii="Verdana" w:hAnsi="Verdana"/>
          <w:lang w:val="es-ES"/>
        </w:rPr>
      </w:pPr>
    </w:p>
    <w:p w14:paraId="72B8B9EF" w14:textId="6221CAEA" w:rsidR="00E00530" w:rsidRPr="00E831AF" w:rsidRDefault="003F639A" w:rsidP="00E00530">
      <w:pPr>
        <w:spacing w:after="0"/>
        <w:rPr>
          <w:rFonts w:ascii="Verdana" w:hAnsi="Verdana"/>
          <w:lang w:val="es-ES"/>
        </w:rPr>
      </w:pPr>
      <w:r>
        <w:rPr>
          <w:rFonts w:ascii="Verdana" w:hAnsi="Verdana"/>
          <w:noProof/>
          <w:lang w:val="es-ES"/>
        </w:rPr>
        <w:lastRenderedPageBreak/>
        <w:drawing>
          <wp:anchor distT="0" distB="0" distL="114300" distR="114300" simplePos="0" relativeHeight="251660288" behindDoc="0" locked="0" layoutInCell="1" allowOverlap="1" wp14:anchorId="73EEB2C1" wp14:editId="54B17760">
            <wp:simplePos x="0" y="0"/>
            <wp:positionH relativeFrom="column">
              <wp:posOffset>3088005</wp:posOffset>
            </wp:positionH>
            <wp:positionV relativeFrom="paragraph">
              <wp:posOffset>85837</wp:posOffset>
            </wp:positionV>
            <wp:extent cx="2103755" cy="564515"/>
            <wp:effectExtent l="0" t="0" r="4445" b="0"/>
            <wp:wrapSquare wrapText="bothSides"/>
            <wp:docPr id="315967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67632" name="Picture 31596763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03755" cy="564515"/>
                    </a:xfrm>
                    <a:prstGeom prst="rect">
                      <a:avLst/>
                    </a:prstGeom>
                  </pic:spPr>
                </pic:pic>
              </a:graphicData>
            </a:graphic>
            <wp14:sizeRelH relativeFrom="page">
              <wp14:pctWidth>0</wp14:pctWidth>
            </wp14:sizeRelH>
            <wp14:sizeRelV relativeFrom="page">
              <wp14:pctHeight>0</wp14:pctHeight>
            </wp14:sizeRelV>
          </wp:anchor>
        </w:drawing>
      </w:r>
      <w:r w:rsidR="00E00530" w:rsidRPr="00E831AF">
        <w:rPr>
          <w:rFonts w:ascii="Verdana" w:hAnsi="Verdana"/>
          <w:lang w:val="es-ES"/>
        </w:rPr>
        <w:t xml:space="preserve">Bogotá D.C., </w:t>
      </w:r>
      <w:r w:rsidR="007A255A">
        <w:rPr>
          <w:rFonts w:ascii="Verdana" w:hAnsi="Verdana"/>
          <w:lang w:val="es-ES"/>
        </w:rPr>
        <w:t>19 de mayo de 2026</w:t>
      </w:r>
    </w:p>
    <w:p w14:paraId="33C209D9" w14:textId="5B01763C" w:rsidR="00E00530" w:rsidRPr="00E831AF" w:rsidRDefault="00E00530" w:rsidP="00E00530">
      <w:pPr>
        <w:spacing w:after="0"/>
        <w:rPr>
          <w:rFonts w:ascii="Verdana" w:hAnsi="Verdana"/>
          <w:lang w:val="es-ES"/>
        </w:rPr>
      </w:pPr>
    </w:p>
    <w:p w14:paraId="3600A5C5" w14:textId="77777777" w:rsidR="00E00530" w:rsidRPr="00E831AF" w:rsidRDefault="00E00530" w:rsidP="00E00530">
      <w:pPr>
        <w:spacing w:after="0" w:line="240" w:lineRule="auto"/>
        <w:rPr>
          <w:rFonts w:ascii="Verdana" w:hAnsi="Verdana"/>
          <w:lang w:val="es-ES"/>
        </w:rPr>
      </w:pPr>
      <w:bookmarkStart w:id="0" w:name="_Hlk143780582"/>
      <w:r w:rsidRPr="00E831AF">
        <w:rPr>
          <w:rFonts w:ascii="Verdana" w:eastAsia="Calibri" w:hAnsi="Verdana" w:cs="Arial"/>
          <w:color w:val="000000" w:themeColor="text1"/>
          <w:lang w:val="es-ES" w:eastAsia="es-ES"/>
        </w:rPr>
        <w:t>Señor</w:t>
      </w:r>
    </w:p>
    <w:p w14:paraId="51E44B89" w14:textId="6DE2DE2A" w:rsidR="00E00530" w:rsidRPr="002C05EA" w:rsidRDefault="003F639A" w:rsidP="00E00530">
      <w:pPr>
        <w:spacing w:after="0"/>
        <w:rPr>
          <w:rFonts w:ascii="Verdana" w:eastAsia="Calibri" w:hAnsi="Verdana" w:cs="Arial"/>
          <w:b/>
          <w:bCs/>
          <w:color w:val="000000" w:themeColor="text1"/>
          <w:lang w:val="es-ES" w:eastAsia="es-ES"/>
        </w:rPr>
      </w:pPr>
      <w:r>
        <w:rPr>
          <w:rFonts w:ascii="Verdana" w:eastAsia="Calibri" w:hAnsi="Verdana" w:cs="Arial"/>
          <w:b/>
          <w:bCs/>
          <w:noProof/>
          <w:color w:val="000000" w:themeColor="text1"/>
          <w:lang w:val="es-ES" w:eastAsia="es-ES"/>
        </w:rPr>
        <w:drawing>
          <wp:anchor distT="0" distB="0" distL="114300" distR="114300" simplePos="0" relativeHeight="251661312" behindDoc="0" locked="0" layoutInCell="1" allowOverlap="1" wp14:anchorId="6CADF576" wp14:editId="37C6B68B">
            <wp:simplePos x="0" y="0"/>
            <wp:positionH relativeFrom="column">
              <wp:posOffset>3088005</wp:posOffset>
            </wp:positionH>
            <wp:positionV relativeFrom="paragraph">
              <wp:posOffset>52070</wp:posOffset>
            </wp:positionV>
            <wp:extent cx="2103755" cy="530860"/>
            <wp:effectExtent l="0" t="0" r="4445" b="2540"/>
            <wp:wrapSquare wrapText="bothSides"/>
            <wp:docPr id="1533715057" name="Picture 2"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715057" name="Picture 2" descr="A close-up of a white car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103755" cy="530860"/>
                    </a:xfrm>
                    <a:prstGeom prst="rect">
                      <a:avLst/>
                    </a:prstGeom>
                  </pic:spPr>
                </pic:pic>
              </a:graphicData>
            </a:graphic>
            <wp14:sizeRelH relativeFrom="page">
              <wp14:pctWidth>0</wp14:pctWidth>
            </wp14:sizeRelH>
            <wp14:sizeRelV relativeFrom="page">
              <wp14:pctHeight>0</wp14:pctHeight>
            </wp14:sizeRelV>
          </wp:anchor>
        </w:drawing>
      </w:r>
      <w:r w:rsidR="00E00530" w:rsidRPr="002C05EA">
        <w:rPr>
          <w:rFonts w:ascii="Verdana" w:eastAsia="Calibri" w:hAnsi="Verdana" w:cs="Arial"/>
          <w:b/>
          <w:bCs/>
          <w:color w:val="000000" w:themeColor="text1"/>
          <w:lang w:val="es-ES" w:eastAsia="es-ES"/>
        </w:rPr>
        <w:t xml:space="preserve">Marco Tulio Rivera </w:t>
      </w:r>
      <w:proofErr w:type="spellStart"/>
      <w:r w:rsidR="00E00530" w:rsidRPr="002C05EA">
        <w:rPr>
          <w:rFonts w:ascii="Verdana" w:eastAsia="Calibri" w:hAnsi="Verdana" w:cs="Arial"/>
          <w:b/>
          <w:bCs/>
          <w:color w:val="000000" w:themeColor="text1"/>
          <w:lang w:val="es-ES" w:eastAsia="es-ES"/>
        </w:rPr>
        <w:t>Estupiñán</w:t>
      </w:r>
      <w:proofErr w:type="spellEnd"/>
      <w:r w:rsidR="00E00530" w:rsidRPr="002C05EA">
        <w:rPr>
          <w:rFonts w:ascii="Verdana" w:eastAsia="Calibri" w:hAnsi="Verdana" w:cs="Arial"/>
          <w:b/>
          <w:bCs/>
          <w:color w:val="000000" w:themeColor="text1"/>
          <w:lang w:val="es-ES" w:eastAsia="es-ES"/>
        </w:rPr>
        <w:t xml:space="preserve"> </w:t>
      </w:r>
    </w:p>
    <w:p w14:paraId="3E329FDC" w14:textId="77777777" w:rsidR="00E00530" w:rsidRPr="00E831AF" w:rsidRDefault="00E00530" w:rsidP="00E00530">
      <w:pPr>
        <w:spacing w:after="0" w:line="240" w:lineRule="auto"/>
        <w:rPr>
          <w:rFonts w:ascii="Verdana" w:eastAsia="Calibri" w:hAnsi="Verdana" w:cs="Arial"/>
          <w:color w:val="000000" w:themeColor="text1"/>
          <w:lang w:val="es-ES" w:eastAsia="es-ES"/>
        </w:rPr>
      </w:pPr>
      <w:hyperlink r:id="rId12" w:history="1">
        <w:r w:rsidRPr="002C05EA">
          <w:rPr>
            <w:rStyle w:val="Hyperlink"/>
            <w:rFonts w:ascii="Verdana" w:eastAsia="Calibri" w:hAnsi="Verdana" w:cs="Arial"/>
            <w:lang w:val="es-ES" w:eastAsia="es-ES"/>
          </w:rPr>
          <w:t>marco.ri27010723@gmail.com</w:t>
        </w:r>
      </w:hyperlink>
    </w:p>
    <w:p w14:paraId="372B93A3" w14:textId="77777777" w:rsidR="00E00530" w:rsidRPr="00E831AF" w:rsidRDefault="00E00530" w:rsidP="00E00530">
      <w:pPr>
        <w:spacing w:after="0" w:line="240" w:lineRule="auto"/>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Bogotá D.C.</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00530" w:rsidRPr="00E831AF" w14:paraId="537FF5EF" w14:textId="77777777" w:rsidTr="004A560F">
        <w:trPr>
          <w:trHeight w:val="300"/>
        </w:trPr>
        <w:tc>
          <w:tcPr>
            <w:tcW w:w="2410" w:type="dxa"/>
          </w:tcPr>
          <w:p w14:paraId="1DCBB074" w14:textId="77777777" w:rsidR="00E00530" w:rsidRPr="00E831AF" w:rsidRDefault="00E00530" w:rsidP="004A560F">
            <w:pPr>
              <w:ind w:left="-142"/>
              <w:jc w:val="both"/>
              <w:rPr>
                <w:rFonts w:ascii="Verdana" w:eastAsia="Calibri" w:hAnsi="Verdana" w:cs="Arial"/>
                <w:b/>
                <w:bCs/>
                <w:color w:val="000000" w:themeColor="text1"/>
                <w:lang w:val="es-ES" w:eastAsia="es-ES_tradnl"/>
              </w:rPr>
            </w:pPr>
          </w:p>
        </w:tc>
        <w:tc>
          <w:tcPr>
            <w:tcW w:w="6100" w:type="dxa"/>
          </w:tcPr>
          <w:p w14:paraId="2A3D1C9F" w14:textId="4108138D" w:rsidR="00E00530" w:rsidRPr="00E831AF" w:rsidRDefault="00E00530" w:rsidP="004A560F">
            <w:pPr>
              <w:ind w:left="3"/>
              <w:jc w:val="both"/>
              <w:rPr>
                <w:rFonts w:ascii="Verdana" w:eastAsia="Calibri" w:hAnsi="Verdana" w:cs="Arial"/>
                <w:b/>
                <w:bCs/>
                <w:color w:val="000000" w:themeColor="text1"/>
                <w:lang w:val="es-ES" w:eastAsia="es-ES"/>
              </w:rPr>
            </w:pPr>
          </w:p>
          <w:p w14:paraId="057FC85F" w14:textId="4EB73ECE" w:rsidR="00E00530" w:rsidRPr="00E831AF" w:rsidRDefault="00E00530" w:rsidP="004A560F">
            <w:pPr>
              <w:ind w:left="3"/>
              <w:jc w:val="both"/>
              <w:rPr>
                <w:rFonts w:ascii="Verdana" w:eastAsia="Calibri" w:hAnsi="Verdana" w:cs="Arial"/>
                <w:b/>
                <w:bCs/>
                <w:color w:val="000000" w:themeColor="text1"/>
                <w:lang w:val="es-ES" w:eastAsia="es-ES"/>
              </w:rPr>
            </w:pPr>
            <w:r w:rsidRPr="00E831AF">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543</w:t>
            </w:r>
            <w:r w:rsidRPr="00E831AF">
              <w:rPr>
                <w:rFonts w:ascii="Verdana" w:eastAsia="Calibri" w:hAnsi="Verdana" w:cs="Arial"/>
                <w:b/>
                <w:bCs/>
                <w:color w:val="000000" w:themeColor="text1"/>
                <w:lang w:val="es-ES" w:eastAsia="es-ES"/>
              </w:rPr>
              <w:t xml:space="preserve"> de 2026</w:t>
            </w:r>
          </w:p>
          <w:p w14:paraId="1236985D" w14:textId="77777777" w:rsidR="00E00530" w:rsidRPr="00E831AF" w:rsidRDefault="00E00530" w:rsidP="004A560F">
            <w:pPr>
              <w:ind w:left="3"/>
              <w:jc w:val="both"/>
              <w:rPr>
                <w:rFonts w:ascii="Verdana" w:eastAsia="Calibri" w:hAnsi="Verdana" w:cs="Arial"/>
                <w:b/>
                <w:bCs/>
                <w:color w:val="000000" w:themeColor="text1"/>
                <w:lang w:val="es-ES" w:eastAsia="es-ES"/>
              </w:rPr>
            </w:pPr>
          </w:p>
        </w:tc>
      </w:tr>
      <w:tr w:rsidR="00E00530" w:rsidRPr="00E831AF" w14:paraId="467CA4A1" w14:textId="77777777" w:rsidTr="004A560F">
        <w:trPr>
          <w:trHeight w:val="300"/>
        </w:trPr>
        <w:tc>
          <w:tcPr>
            <w:tcW w:w="2410" w:type="dxa"/>
          </w:tcPr>
          <w:p w14:paraId="6F0ABCF8" w14:textId="77777777" w:rsidR="00E00530" w:rsidRPr="00E831AF" w:rsidRDefault="00E00530" w:rsidP="004A560F">
            <w:pPr>
              <w:ind w:left="424" w:firstLine="142"/>
              <w:jc w:val="both"/>
              <w:rPr>
                <w:rFonts w:ascii="Verdana" w:eastAsia="Calibri" w:hAnsi="Verdana" w:cs="Arial"/>
                <w:color w:val="000000" w:themeColor="text1"/>
                <w:lang w:val="es-ES" w:eastAsia="es-ES_tradnl"/>
              </w:rPr>
            </w:pPr>
            <w:r w:rsidRPr="00E831AF">
              <w:rPr>
                <w:rFonts w:ascii="Verdana" w:eastAsia="Calibri" w:hAnsi="Verdana" w:cs="Arial"/>
                <w:b/>
                <w:color w:val="000000" w:themeColor="text1"/>
                <w:lang w:val="es-ES" w:eastAsia="es-ES_tradnl"/>
              </w:rPr>
              <w:t>Temas:</w:t>
            </w:r>
            <w:r w:rsidRPr="00E831AF">
              <w:rPr>
                <w:rFonts w:ascii="Verdana" w:eastAsia="Calibri" w:hAnsi="Verdana" w:cs="Arial"/>
                <w:color w:val="000000" w:themeColor="text1"/>
                <w:lang w:val="es-ES" w:eastAsia="es-ES_tradnl"/>
              </w:rPr>
              <w:t xml:space="preserve">                  </w:t>
            </w:r>
          </w:p>
        </w:tc>
        <w:tc>
          <w:tcPr>
            <w:tcW w:w="6100" w:type="dxa"/>
          </w:tcPr>
          <w:p w14:paraId="0A006C8F" w14:textId="77777777" w:rsidR="00E00530" w:rsidRPr="00E831AF" w:rsidRDefault="00E00530" w:rsidP="004A560F">
            <w:pPr>
              <w:spacing w:line="276" w:lineRule="auto"/>
              <w:contextualSpacing/>
              <w:jc w:val="both"/>
              <w:rPr>
                <w:rFonts w:ascii="Verdana" w:eastAsia="Calibri" w:hAnsi="Verdana" w:cs="Arial"/>
                <w:bCs/>
                <w:lang w:val="es-ES"/>
              </w:rPr>
            </w:pPr>
            <w:r w:rsidRPr="00E831AF">
              <w:rPr>
                <w:rFonts w:ascii="Verdana" w:eastAsia="Calibri" w:hAnsi="Verdana" w:cs="Arial"/>
                <w:bCs/>
                <w:lang w:val="es-ES"/>
              </w:rPr>
              <w:t>EXPERIENCIA − Requisito habilitante − Concepto − Acreditación – RUP / EXPERIENCIA – Conservación – Sociedades – Menor a 3 años de constitución / REGISTRO ÚNICO DE PROPONENTES – Finalidad</w:t>
            </w:r>
          </w:p>
          <w:p w14:paraId="4D51642B" w14:textId="77777777" w:rsidR="00E00530" w:rsidRPr="00E831AF" w:rsidRDefault="00E00530" w:rsidP="004A560F">
            <w:pPr>
              <w:jc w:val="both"/>
              <w:rPr>
                <w:rFonts w:ascii="Verdana" w:eastAsia="Calibri" w:hAnsi="Verdana" w:cs="Arial"/>
                <w:color w:val="000000" w:themeColor="text1"/>
                <w:lang w:val="es-ES" w:eastAsia="es-ES"/>
              </w:rPr>
            </w:pPr>
          </w:p>
        </w:tc>
      </w:tr>
      <w:tr w:rsidR="00E00530" w:rsidRPr="008C30D7" w14:paraId="6D0426E5" w14:textId="77777777" w:rsidTr="004A560F">
        <w:tc>
          <w:tcPr>
            <w:tcW w:w="2410" w:type="dxa"/>
          </w:tcPr>
          <w:p w14:paraId="36C49A9E" w14:textId="77777777" w:rsidR="00E00530" w:rsidRPr="00E831AF" w:rsidRDefault="00E00530" w:rsidP="004A560F">
            <w:pPr>
              <w:ind w:left="561"/>
              <w:jc w:val="both"/>
              <w:rPr>
                <w:rFonts w:ascii="Verdana" w:eastAsia="Calibri" w:hAnsi="Verdana" w:cs="Arial"/>
                <w:b/>
                <w:color w:val="000000" w:themeColor="text1"/>
                <w:lang w:val="es-ES" w:eastAsia="es-ES_tradnl"/>
              </w:rPr>
            </w:pPr>
            <w:r w:rsidRPr="00E831AF">
              <w:rPr>
                <w:rFonts w:ascii="Verdana" w:eastAsia="Calibri" w:hAnsi="Verdana" w:cs="Arial"/>
                <w:b/>
                <w:color w:val="000000" w:themeColor="text1"/>
                <w:lang w:val="es-ES" w:eastAsia="es-ES_tradnl"/>
              </w:rPr>
              <w:t>Radicación:</w:t>
            </w:r>
            <w:r w:rsidRPr="00E831AF">
              <w:rPr>
                <w:rFonts w:ascii="Verdana" w:eastAsia="Calibri" w:hAnsi="Verdana" w:cs="Arial"/>
                <w:color w:val="000000" w:themeColor="text1"/>
                <w:lang w:val="es-ES" w:eastAsia="es-ES_tradnl"/>
              </w:rPr>
              <w:t xml:space="preserve">              </w:t>
            </w:r>
          </w:p>
        </w:tc>
        <w:tc>
          <w:tcPr>
            <w:tcW w:w="6100" w:type="dxa"/>
          </w:tcPr>
          <w:p w14:paraId="2F6C68FB" w14:textId="77777777" w:rsidR="00E00530" w:rsidRPr="008C30D7" w:rsidRDefault="00E00530" w:rsidP="004A560F">
            <w:pPr>
              <w:ind w:left="3"/>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E831AF">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E831AF">
              <w:rPr>
                <w:rFonts w:ascii="Verdana" w:eastAsia="Calibri" w:hAnsi="Verdana" w:cs="Arial"/>
                <w:color w:val="000000" w:themeColor="text1"/>
                <w:lang w:val="es-ES" w:eastAsia="es-ES"/>
              </w:rPr>
              <w:t xml:space="preserve"> No 1_2026_04_06_004563 </w:t>
            </w:r>
            <w:r>
              <w:rPr>
                <w:rFonts w:ascii="Verdana" w:eastAsia="Calibri" w:hAnsi="Verdana" w:cs="Arial"/>
                <w:color w:val="000000" w:themeColor="text1"/>
                <w:lang w:val="es-ES" w:eastAsia="es-ES"/>
              </w:rPr>
              <w:t xml:space="preserve">y </w:t>
            </w:r>
            <w:r w:rsidRPr="008C30D7">
              <w:rPr>
                <w:rFonts w:ascii="Verdana" w:eastAsia="Calibri" w:hAnsi="Verdana" w:cs="Arial"/>
                <w:color w:val="000000" w:themeColor="text1"/>
                <w:lang w:val="es-ES" w:eastAsia="es-ES"/>
              </w:rPr>
              <w:t>1_2026_04_06_004564</w:t>
            </w:r>
            <w:r>
              <w:rPr>
                <w:rFonts w:ascii="Verdana" w:eastAsia="Calibri" w:hAnsi="Verdana" w:cs="Arial"/>
                <w:color w:val="000000" w:themeColor="text1"/>
                <w:lang w:val="es-ES" w:eastAsia="es-ES"/>
              </w:rPr>
              <w:t xml:space="preserve"> (acumuladas)</w:t>
            </w:r>
          </w:p>
        </w:tc>
      </w:tr>
    </w:tbl>
    <w:p w14:paraId="5355047E" w14:textId="77777777" w:rsidR="00E00530" w:rsidRPr="00E831AF" w:rsidRDefault="00E00530" w:rsidP="00E00530">
      <w:pPr>
        <w:spacing w:after="0" w:line="276" w:lineRule="auto"/>
        <w:jc w:val="both"/>
        <w:rPr>
          <w:rFonts w:ascii="Verdana" w:eastAsia="Calibri" w:hAnsi="Verdana" w:cs="Arial"/>
          <w:color w:val="000000" w:themeColor="text1"/>
          <w:lang w:val="es-ES" w:eastAsia="es-ES"/>
        </w:rPr>
      </w:pPr>
    </w:p>
    <w:p w14:paraId="7F9A45CA" w14:textId="77777777" w:rsidR="00E00530" w:rsidRPr="00E831AF" w:rsidRDefault="00E00530" w:rsidP="00E00530">
      <w:pPr>
        <w:spacing w:after="0" w:line="276" w:lineRule="auto"/>
        <w:jc w:val="both"/>
        <w:rPr>
          <w:rFonts w:ascii="Verdana" w:eastAsia="Calibri" w:hAnsi="Verdana" w:cs="Arial"/>
          <w:color w:val="000000" w:themeColor="text1"/>
          <w:lang w:val="es-ES" w:eastAsia="es-ES"/>
        </w:rPr>
      </w:pPr>
    </w:p>
    <w:p w14:paraId="5C74456D" w14:textId="77777777" w:rsidR="00E00530" w:rsidRPr="00E831AF" w:rsidRDefault="00E00530" w:rsidP="00E00530">
      <w:pPr>
        <w:spacing w:after="0" w:line="276" w:lineRule="auto"/>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 xml:space="preserve">Estimado señor Rivera: </w:t>
      </w:r>
    </w:p>
    <w:p w14:paraId="739847ED" w14:textId="77777777" w:rsidR="00E00530" w:rsidRPr="00E831AF" w:rsidRDefault="00E00530" w:rsidP="00E00530">
      <w:pPr>
        <w:tabs>
          <w:tab w:val="left" w:pos="3768"/>
        </w:tabs>
        <w:spacing w:after="0" w:line="276" w:lineRule="auto"/>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ab/>
      </w:r>
    </w:p>
    <w:p w14:paraId="340C4D6E" w14:textId="77777777" w:rsidR="00E00530" w:rsidRPr="00E831AF" w:rsidRDefault="00E00530" w:rsidP="00E00530">
      <w:pPr>
        <w:spacing w:after="0" w:line="276" w:lineRule="auto"/>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En ejercicio de la competencia otorgada por los artículos 3, numeral 5º, y 11, numeral 8º, del Decreto Ley 4170 de 2011,</w:t>
      </w:r>
      <w:r w:rsidRPr="00E831AF">
        <w:rPr>
          <w:rFonts w:ascii="Verdana" w:eastAsia="Arial MT" w:hAnsi="Verdana" w:cs="Arial MT"/>
          <w:color w:val="000000" w:themeColor="text1"/>
          <w:lang w:val="es-ES" w:eastAsia="es-ES"/>
        </w:rPr>
        <w:t xml:space="preserve"> </w:t>
      </w:r>
      <w:r w:rsidRPr="00E831AF">
        <w:rPr>
          <w:rFonts w:ascii="Verdana" w:hAnsi="Verdana" w:cs="Arial"/>
          <w:color w:val="000000" w:themeColor="text1"/>
          <w:lang w:val="es-ES"/>
        </w:rPr>
        <w:t xml:space="preserve">así como lo establecido en el artículo 4 de la Resolución 1707 de 2018 expedida por esta Entidad, </w:t>
      </w:r>
      <w:r w:rsidRPr="00E831AF">
        <w:rPr>
          <w:rFonts w:ascii="Verdana" w:eastAsia="Calibri" w:hAnsi="Verdana" w:cs="Arial"/>
          <w:color w:val="000000" w:themeColor="text1"/>
          <w:lang w:val="es-ES" w:eastAsia="es-ES"/>
        </w:rPr>
        <w:t xml:space="preserve">la Agencia Nacional de Contratación Pública – Colombia Compra Eficiente– responde su solicitud de consulta de fecha 06 de abril de 2026, en la cual manifiesta lo siguiente: </w:t>
      </w:r>
    </w:p>
    <w:p w14:paraId="57033207" w14:textId="77777777" w:rsidR="00E00530" w:rsidRPr="00E831AF" w:rsidRDefault="00E00530" w:rsidP="00E00530">
      <w:pPr>
        <w:tabs>
          <w:tab w:val="left" w:pos="142"/>
          <w:tab w:val="left" w:pos="284"/>
        </w:tabs>
        <w:spacing w:after="0" w:line="276" w:lineRule="auto"/>
        <w:jc w:val="both"/>
        <w:rPr>
          <w:rFonts w:ascii="Verdana" w:eastAsia="Century Gothic" w:hAnsi="Verdana" w:cs="Century Gothic"/>
          <w:b/>
          <w:color w:val="000000" w:themeColor="text1"/>
          <w:sz w:val="20"/>
          <w:szCs w:val="20"/>
          <w:lang w:val="es-ES"/>
        </w:rPr>
      </w:pPr>
    </w:p>
    <w:p w14:paraId="30A311CF" w14:textId="77777777" w:rsidR="00E00530" w:rsidRPr="00E831AF" w:rsidRDefault="00E00530" w:rsidP="00E00530">
      <w:pPr>
        <w:spacing w:after="0"/>
        <w:ind w:left="709"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t xml:space="preserve">“[…] Los hechos que motivan la presente consulta son los siguientes: </w:t>
      </w:r>
    </w:p>
    <w:p w14:paraId="7AEEEED0" w14:textId="77777777" w:rsidR="00E00530" w:rsidRPr="002C05EA" w:rsidRDefault="00E00530" w:rsidP="00E00530">
      <w:pPr>
        <w:spacing w:after="0" w:line="240" w:lineRule="auto"/>
        <w:ind w:left="720"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t xml:space="preserve">1. </w:t>
      </w:r>
      <w:r w:rsidRPr="002C05EA">
        <w:rPr>
          <w:rFonts w:ascii="Verdana" w:eastAsia="Century Gothic" w:hAnsi="Verdana" w:cs="Century Gothic"/>
          <w:i/>
          <w:color w:val="000000" w:themeColor="text1"/>
          <w:sz w:val="20"/>
          <w:szCs w:val="20"/>
          <w:lang w:val="es-ES"/>
        </w:rPr>
        <w:t xml:space="preserve">Se trata de una persona jurídica con menos de tres (3) años de constituida, inscrita en el Registro Único de Proponentes (RUP) de la Cámara de Comercio, registro que se encuentra vigente y en firme. </w:t>
      </w:r>
    </w:p>
    <w:p w14:paraId="3B4C9FBE" w14:textId="77777777" w:rsidR="00E00530" w:rsidRPr="002C05EA" w:rsidRDefault="00E00530" w:rsidP="00E00530">
      <w:pPr>
        <w:spacing w:after="0" w:line="240" w:lineRule="auto"/>
        <w:ind w:left="720"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t xml:space="preserve">2. </w:t>
      </w:r>
      <w:r w:rsidRPr="002C05EA">
        <w:rPr>
          <w:rFonts w:ascii="Verdana" w:eastAsia="Century Gothic" w:hAnsi="Verdana" w:cs="Century Gothic"/>
          <w:i/>
          <w:color w:val="000000" w:themeColor="text1"/>
          <w:sz w:val="20"/>
          <w:szCs w:val="20"/>
          <w:lang w:val="es-ES"/>
        </w:rPr>
        <w:t xml:space="preserve">Al momento de inscribir y actualizar el RUP de la sociedad, se acreditó la experiencia de uno de los socios constituyentes, conforme a la prerrogativa establecida en el numeral 2.5 del artículo 2.2.1.1.1.5.2 del Decreto 1082 de 2015. </w:t>
      </w:r>
    </w:p>
    <w:p w14:paraId="0599115F" w14:textId="77777777" w:rsidR="00E00530" w:rsidRPr="002C05EA" w:rsidRDefault="00E00530" w:rsidP="00E00530">
      <w:pPr>
        <w:spacing w:after="0" w:line="240" w:lineRule="auto"/>
        <w:ind w:left="720"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t xml:space="preserve">3. </w:t>
      </w:r>
      <w:r w:rsidRPr="002C05EA">
        <w:rPr>
          <w:rFonts w:ascii="Verdana" w:eastAsia="Century Gothic" w:hAnsi="Verdana" w:cs="Century Gothic"/>
          <w:i/>
          <w:color w:val="000000" w:themeColor="text1"/>
          <w:sz w:val="20"/>
          <w:szCs w:val="20"/>
          <w:lang w:val="es-ES"/>
        </w:rPr>
        <w:t xml:space="preserve">La experiencia aportada por el socio constituyente corresponde a contratos en los cuales éste participó en calidad de GERENTE DE PROYECTO, siendo el socio también accionista de las personas jurídicas que fungieron como contratistas directas en dichos contratos. </w:t>
      </w:r>
    </w:p>
    <w:p w14:paraId="5C3C18B7" w14:textId="77777777" w:rsidR="00E00530" w:rsidRPr="002C05EA" w:rsidRDefault="00E00530" w:rsidP="00E00530">
      <w:pPr>
        <w:spacing w:after="0" w:line="240" w:lineRule="auto"/>
        <w:ind w:left="720"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lastRenderedPageBreak/>
        <w:t xml:space="preserve">4. </w:t>
      </w:r>
      <w:r w:rsidRPr="002C05EA">
        <w:rPr>
          <w:rFonts w:ascii="Verdana" w:eastAsia="Century Gothic" w:hAnsi="Verdana" w:cs="Century Gothic"/>
          <w:i/>
          <w:color w:val="000000" w:themeColor="text1"/>
          <w:sz w:val="20"/>
          <w:szCs w:val="20"/>
          <w:lang w:val="es-ES"/>
        </w:rPr>
        <w:t xml:space="preserve">La Cámara de Comercio competente verificó la documentación soporte, aceptó dicha experiencia y la inscribió́ en el RUP de la persona jurídica el cual fue expedido y se encuentra en firme, constituyendo plena prueba de las circunstancias allí́ contenidas (el monto de los SMMLV inscrito fue el que se le pagó al accionista por concepto de honorarios). </w:t>
      </w:r>
    </w:p>
    <w:p w14:paraId="088D0EF5" w14:textId="77777777" w:rsidR="00E00530" w:rsidRPr="002C05EA" w:rsidRDefault="00E00530" w:rsidP="00E00530">
      <w:pPr>
        <w:spacing w:after="0" w:line="240" w:lineRule="auto"/>
        <w:ind w:left="720" w:right="709"/>
        <w:jc w:val="both"/>
        <w:rPr>
          <w:rFonts w:ascii="Verdana" w:eastAsia="Century Gothic" w:hAnsi="Verdana" w:cs="Century Gothic"/>
          <w:i/>
          <w:color w:val="000000" w:themeColor="text1"/>
          <w:sz w:val="20"/>
          <w:szCs w:val="20"/>
          <w:lang w:val="es-ES"/>
        </w:rPr>
      </w:pPr>
      <w:r w:rsidRPr="00E831AF">
        <w:rPr>
          <w:rFonts w:ascii="Verdana" w:eastAsia="Century Gothic" w:hAnsi="Verdana" w:cs="Century Gothic"/>
          <w:i/>
          <w:color w:val="000000" w:themeColor="text1"/>
          <w:sz w:val="20"/>
          <w:szCs w:val="20"/>
          <w:lang w:val="es-ES"/>
        </w:rPr>
        <w:t xml:space="preserve">5. </w:t>
      </w:r>
      <w:r w:rsidRPr="002C05EA">
        <w:rPr>
          <w:rFonts w:ascii="Verdana" w:eastAsia="Century Gothic" w:hAnsi="Verdana" w:cs="Century Gothic"/>
          <w:i/>
          <w:color w:val="000000" w:themeColor="text1"/>
          <w:sz w:val="20"/>
          <w:szCs w:val="20"/>
          <w:lang w:val="es-ES"/>
        </w:rPr>
        <w:t xml:space="preserve">En el marco de un proceso de contratación adelantado por una entidad estatal, la entidad declaró la NO HABILITACIÓN TÉCNICA de la oferta presentada por la persona jurídica., argumentando que las certificaciones del socio constituyente que soportan la experiencia inscrita en el RUP no son admisibles por corresponder a </w:t>
      </w:r>
    </w:p>
    <w:p w14:paraId="268384C1" w14:textId="77777777" w:rsidR="00E00530" w:rsidRPr="002C05EA" w:rsidRDefault="00E00530" w:rsidP="00E00530">
      <w:pPr>
        <w:spacing w:after="0" w:line="240" w:lineRule="auto"/>
        <w:ind w:left="709" w:right="709"/>
        <w:jc w:val="both"/>
        <w:rPr>
          <w:rFonts w:ascii="Verdana" w:eastAsia="Century Gothic" w:hAnsi="Verdana" w:cs="Century Gothic"/>
          <w:i/>
          <w:color w:val="000000" w:themeColor="text1"/>
          <w:sz w:val="20"/>
          <w:szCs w:val="20"/>
          <w:lang w:val="es-ES"/>
        </w:rPr>
      </w:pPr>
      <w:r w:rsidRPr="002C05EA">
        <w:rPr>
          <w:rFonts w:ascii="Verdana" w:eastAsia="Century Gothic" w:hAnsi="Verdana" w:cs="Century Gothic"/>
          <w:i/>
          <w:color w:val="000000" w:themeColor="text1"/>
          <w:sz w:val="20"/>
          <w:szCs w:val="20"/>
          <w:lang w:val="es-ES"/>
        </w:rPr>
        <w:t xml:space="preserve">actividades desempeñadas como GERENTE DE PROYECTO y no como EJECUTOR DIRECTO del contrato. </w:t>
      </w:r>
    </w:p>
    <w:p w14:paraId="7961D036" w14:textId="3C54EC0A" w:rsidR="00E00530" w:rsidRPr="00913CC2" w:rsidRDefault="00E00530" w:rsidP="00913CC2">
      <w:pPr>
        <w:spacing w:after="0" w:line="240" w:lineRule="auto"/>
        <w:ind w:left="709" w:right="709"/>
        <w:jc w:val="both"/>
        <w:rPr>
          <w:rFonts w:ascii="Verdana" w:eastAsia="Century Gothic" w:hAnsi="Verdana" w:cs="Century Gothic"/>
          <w:i/>
          <w:color w:val="000000" w:themeColor="text1"/>
          <w:sz w:val="20"/>
          <w:szCs w:val="20"/>
          <w:lang w:val="es-ES"/>
        </w:rPr>
      </w:pPr>
      <w:r w:rsidRPr="002C05EA">
        <w:rPr>
          <w:rFonts w:ascii="Verdana" w:eastAsia="Century Gothic" w:hAnsi="Verdana" w:cs="Century Gothic"/>
          <w:i/>
          <w:color w:val="000000" w:themeColor="text1"/>
          <w:sz w:val="20"/>
          <w:szCs w:val="20"/>
          <w:lang w:val="es-ES"/>
        </w:rPr>
        <w:t xml:space="preserve">6. El pliego de condiciones del proceso (DOCUMENTO TIPO SELECCIÓN ABREVIADA DE MENOR CUANTÍA DE INFRAESTRUCTURA DE TRANSPORTE VERSIÓN 3), en el literal E del numeral 3.5.2, no establece en ningún aparte que la experiencia del socio deba provenir de su actuación como ejecutor directo del contrato, ni excluye experiencias obtenidas en roles de gerencia, dirección o liderazgo técnico de proyectos. </w:t>
      </w:r>
    </w:p>
    <w:p w14:paraId="4911A439" w14:textId="12EC7FDF" w:rsidR="00E00530" w:rsidRPr="00E831AF" w:rsidRDefault="00E00530" w:rsidP="00913CC2">
      <w:pPr>
        <w:spacing w:after="0" w:line="240" w:lineRule="auto"/>
        <w:ind w:left="709" w:right="709"/>
        <w:jc w:val="both"/>
        <w:rPr>
          <w:rFonts w:ascii="Verdana" w:hAnsi="Verdana"/>
          <w:i/>
          <w:sz w:val="20"/>
          <w:szCs w:val="20"/>
          <w:lang w:val="es-ES"/>
        </w:rPr>
      </w:pPr>
      <w:r w:rsidRPr="00E831AF">
        <w:rPr>
          <w:rFonts w:ascii="Verdana" w:hAnsi="Verdana"/>
          <w:i/>
          <w:sz w:val="20"/>
          <w:szCs w:val="20"/>
          <w:lang w:val="es-ES"/>
        </w:rPr>
        <w:t>[…]</w:t>
      </w:r>
    </w:p>
    <w:p w14:paraId="44D6006A" w14:textId="77777777" w:rsidR="00E00530" w:rsidRPr="002C05EA" w:rsidRDefault="00E00530" w:rsidP="00E00530">
      <w:pPr>
        <w:spacing w:after="0" w:line="240" w:lineRule="auto"/>
        <w:ind w:left="709" w:right="709"/>
        <w:jc w:val="both"/>
        <w:rPr>
          <w:rFonts w:ascii="Verdana" w:hAnsi="Verdana"/>
          <w:i/>
          <w:sz w:val="20"/>
          <w:szCs w:val="20"/>
          <w:lang w:val="es-ES"/>
        </w:rPr>
      </w:pPr>
      <w:r w:rsidRPr="002C05EA">
        <w:rPr>
          <w:rFonts w:ascii="Verdana" w:hAnsi="Verdana"/>
          <w:b/>
          <w:bCs/>
          <w:i/>
          <w:sz w:val="20"/>
          <w:szCs w:val="20"/>
          <w:lang w:val="es-ES"/>
        </w:rPr>
        <w:t xml:space="preserve">V. PROBLEMA JURÍDICO OBJETO DE CONSULTA </w:t>
      </w:r>
    </w:p>
    <w:p w14:paraId="60DAB6F3" w14:textId="77777777" w:rsidR="00E00530" w:rsidRPr="002C05EA" w:rsidRDefault="00E00530" w:rsidP="00E00530">
      <w:pPr>
        <w:spacing w:after="0" w:line="240" w:lineRule="auto"/>
        <w:ind w:left="709" w:right="709"/>
        <w:jc w:val="both"/>
        <w:rPr>
          <w:rFonts w:ascii="Verdana" w:hAnsi="Verdana"/>
          <w:i/>
          <w:sz w:val="20"/>
          <w:szCs w:val="20"/>
          <w:lang w:val="es-ES"/>
        </w:rPr>
      </w:pPr>
      <w:r w:rsidRPr="002C05EA">
        <w:rPr>
          <w:rFonts w:ascii="Verdana" w:hAnsi="Verdana"/>
          <w:i/>
          <w:sz w:val="20"/>
          <w:szCs w:val="20"/>
          <w:lang w:val="es-ES"/>
        </w:rPr>
        <w:t xml:space="preserve">Con fundamento en los hechos y el marco normativo expuestos, se solicita respetuosamente a Colombia Compra Eficiente que absuelva el siguiente problema jurídico: </w:t>
      </w:r>
    </w:p>
    <w:p w14:paraId="41A97D51" w14:textId="77777777" w:rsidR="00E00530" w:rsidRPr="002C05EA" w:rsidRDefault="00E00530" w:rsidP="00E00530">
      <w:pPr>
        <w:spacing w:after="0" w:line="240" w:lineRule="auto"/>
        <w:ind w:left="709" w:right="709"/>
        <w:jc w:val="both"/>
        <w:rPr>
          <w:rFonts w:ascii="Verdana" w:hAnsi="Verdana"/>
          <w:i/>
          <w:sz w:val="20"/>
          <w:szCs w:val="20"/>
          <w:lang w:val="es-ES"/>
        </w:rPr>
      </w:pPr>
      <w:r w:rsidRPr="002C05EA">
        <w:rPr>
          <w:rFonts w:ascii="Verdana" w:hAnsi="Verdana"/>
          <w:i/>
          <w:sz w:val="20"/>
          <w:szCs w:val="20"/>
          <w:lang w:val="es-ES"/>
        </w:rPr>
        <w:t xml:space="preserve">¿Para efectos de la validación de la experiencia de un socio accionista de una persona jurídica con menos de tres (3) años de constituida, inscrita en el RUP conforme al numeral 2.5 del artículo 2.2.1.1.1.5.2 del Decreto 1082 de 2015, es exigible que dicho socio haya participado en los contratos aportados como experiencia en calidad de EJECUTOR DIRECTO del contrato? ¿O es igualmente válida la experiencia acreditada cuando el socio participó en calidad de GERENTE DE PROYECTO de contratos ejecutados por personas jurídicas de las cuales </w:t>
      </w:r>
      <w:proofErr w:type="spellStart"/>
      <w:r w:rsidRPr="002C05EA">
        <w:rPr>
          <w:rFonts w:ascii="Verdana" w:hAnsi="Verdana"/>
          <w:i/>
          <w:sz w:val="20"/>
          <w:szCs w:val="20"/>
          <w:lang w:val="es-ES"/>
        </w:rPr>
        <w:t>él</w:t>
      </w:r>
      <w:proofErr w:type="spellEnd"/>
      <w:r w:rsidRPr="002C05EA">
        <w:rPr>
          <w:rFonts w:ascii="Verdana" w:hAnsi="Verdana"/>
          <w:i/>
          <w:sz w:val="20"/>
          <w:szCs w:val="20"/>
          <w:lang w:val="es-ES"/>
        </w:rPr>
        <w:t xml:space="preserve"> también era accionista, teniendo en cuenta que dicha experiencia fue verificada e inscrita por la Cámara de Comercio en el RUP vigente y en firme de la sociedad? </w:t>
      </w:r>
    </w:p>
    <w:p w14:paraId="197CE2BE" w14:textId="4C5EA2F0" w:rsidR="00E00530" w:rsidRPr="002C05EA" w:rsidRDefault="00E00530" w:rsidP="00913CC2">
      <w:pPr>
        <w:spacing w:after="0" w:line="240" w:lineRule="auto"/>
        <w:ind w:left="709" w:right="709"/>
        <w:jc w:val="both"/>
        <w:rPr>
          <w:rFonts w:ascii="Verdana" w:hAnsi="Verdana"/>
          <w:i/>
          <w:sz w:val="20"/>
          <w:szCs w:val="20"/>
          <w:lang w:val="es-ES"/>
        </w:rPr>
      </w:pPr>
      <w:r w:rsidRPr="002C05EA">
        <w:rPr>
          <w:rFonts w:ascii="Verdana" w:hAnsi="Verdana"/>
          <w:i/>
          <w:sz w:val="20"/>
          <w:szCs w:val="20"/>
          <w:lang w:val="es-ES"/>
        </w:rPr>
        <w:t xml:space="preserve">De manera complementaria, se consulta si una entidad contratante puede, en la etapa de evaluación de ofertas, desconocer la experiencia inscrita en el RUP argumentando que el rol desempeñado por el socio —gerente de proyecto— no equivale al de ejecutor directo, cuando dicha restricción no fue establecida en el pliego de condiciones y la Cámara de Comercio ya verificó y aceptó esa experiencia como válida para su inscripción en el registro. </w:t>
      </w:r>
    </w:p>
    <w:p w14:paraId="6AE8DE22" w14:textId="71C95020" w:rsidR="00E00530" w:rsidRPr="00913CC2" w:rsidRDefault="00E00530" w:rsidP="00913CC2">
      <w:pPr>
        <w:spacing w:after="0" w:line="240" w:lineRule="auto"/>
        <w:ind w:left="709" w:right="709"/>
        <w:jc w:val="both"/>
        <w:rPr>
          <w:rFonts w:ascii="Verdana" w:hAnsi="Verdana"/>
          <w:i/>
          <w:sz w:val="20"/>
          <w:szCs w:val="20"/>
          <w:lang w:val="es-ES"/>
        </w:rPr>
      </w:pPr>
      <w:r w:rsidRPr="00E831AF">
        <w:rPr>
          <w:rFonts w:ascii="Verdana" w:hAnsi="Verdana"/>
          <w:i/>
          <w:sz w:val="20"/>
          <w:szCs w:val="20"/>
          <w:lang w:val="es-ES"/>
        </w:rPr>
        <w:t>[…]</w:t>
      </w:r>
    </w:p>
    <w:p w14:paraId="029EB1D2" w14:textId="77777777" w:rsidR="00E00530" w:rsidRPr="002C05EA" w:rsidRDefault="00E00530" w:rsidP="00E00530">
      <w:pPr>
        <w:spacing w:after="0" w:line="240" w:lineRule="auto"/>
        <w:ind w:left="709" w:right="709"/>
        <w:jc w:val="both"/>
        <w:rPr>
          <w:rFonts w:ascii="Verdana" w:hAnsi="Verdana"/>
          <w:i/>
          <w:sz w:val="20"/>
          <w:szCs w:val="20"/>
          <w:lang w:val="es-ES"/>
        </w:rPr>
      </w:pPr>
      <w:r w:rsidRPr="002C05EA">
        <w:rPr>
          <w:rFonts w:ascii="Verdana" w:hAnsi="Verdana"/>
          <w:b/>
          <w:bCs/>
          <w:i/>
          <w:sz w:val="20"/>
          <w:szCs w:val="20"/>
          <w:lang w:val="es-ES"/>
        </w:rPr>
        <w:t xml:space="preserve">VII. PETICIÓN CONCRETA </w:t>
      </w:r>
    </w:p>
    <w:p w14:paraId="1D187552" w14:textId="77777777" w:rsidR="00E00530" w:rsidRPr="002C05EA" w:rsidRDefault="00E00530" w:rsidP="00E00530">
      <w:pPr>
        <w:spacing w:after="0" w:line="240" w:lineRule="auto"/>
        <w:ind w:left="709" w:right="709"/>
        <w:jc w:val="both"/>
        <w:rPr>
          <w:rFonts w:ascii="Verdana" w:hAnsi="Verdana"/>
          <w:i/>
          <w:sz w:val="20"/>
          <w:szCs w:val="20"/>
          <w:lang w:val="es-ES"/>
        </w:rPr>
      </w:pPr>
      <w:r w:rsidRPr="002C05EA">
        <w:rPr>
          <w:rFonts w:ascii="Verdana" w:hAnsi="Verdana"/>
          <w:i/>
          <w:sz w:val="20"/>
          <w:szCs w:val="20"/>
          <w:lang w:val="es-ES"/>
        </w:rPr>
        <w:t xml:space="preserve">Con base en todo lo anterior, respetuosamente solicito a Colombia Compra Eficiente: </w:t>
      </w:r>
    </w:p>
    <w:p w14:paraId="4E598ED3" w14:textId="77777777" w:rsidR="00E00530" w:rsidRPr="002C05EA" w:rsidRDefault="00E00530" w:rsidP="00E00530">
      <w:pPr>
        <w:spacing w:after="0" w:line="240" w:lineRule="auto"/>
        <w:ind w:left="720" w:right="709"/>
        <w:jc w:val="both"/>
        <w:rPr>
          <w:rFonts w:ascii="Verdana" w:hAnsi="Verdana"/>
          <w:i/>
          <w:sz w:val="20"/>
          <w:szCs w:val="20"/>
          <w:lang w:val="es-ES"/>
        </w:rPr>
      </w:pPr>
      <w:r w:rsidRPr="00E831AF">
        <w:rPr>
          <w:rFonts w:ascii="Verdana" w:hAnsi="Verdana"/>
          <w:i/>
          <w:sz w:val="20"/>
          <w:szCs w:val="20"/>
          <w:lang w:val="es-ES"/>
        </w:rPr>
        <w:t xml:space="preserve">1. </w:t>
      </w:r>
      <w:r w:rsidRPr="002C05EA">
        <w:rPr>
          <w:rFonts w:ascii="Verdana" w:hAnsi="Verdana"/>
          <w:i/>
          <w:sz w:val="20"/>
          <w:szCs w:val="20"/>
          <w:lang w:val="es-ES"/>
        </w:rPr>
        <w:t xml:space="preserve">Emitir concepto de fondo que precise si, para la validez de la experiencia de un socio accionista inscrita en el RUP conforme al numeral 2.5 del </w:t>
      </w:r>
      <w:r w:rsidRPr="002C05EA">
        <w:rPr>
          <w:rFonts w:ascii="Verdana" w:hAnsi="Verdana"/>
          <w:i/>
          <w:sz w:val="20"/>
          <w:szCs w:val="20"/>
          <w:lang w:val="es-ES"/>
        </w:rPr>
        <w:lastRenderedPageBreak/>
        <w:t xml:space="preserve">artículo 2.2.1.1.1.5.2 del Decreto 1082 de 2015, es un requisito que dicho socio haya participado en los contratos respectivos como ejecutor directo, o si es igualmente válida la experiencia obtenida en calidad de gerente de proyecto de contratos ejecutados por sociedades de las cuales el socio también era accionista. </w:t>
      </w:r>
    </w:p>
    <w:p w14:paraId="5CC922CC" w14:textId="77777777" w:rsidR="00E00530" w:rsidRPr="002C05EA" w:rsidRDefault="00E00530" w:rsidP="00E00530">
      <w:pPr>
        <w:spacing w:after="0" w:line="240" w:lineRule="auto"/>
        <w:ind w:left="720" w:right="709"/>
        <w:jc w:val="both"/>
        <w:rPr>
          <w:rFonts w:ascii="Verdana" w:hAnsi="Verdana"/>
          <w:i/>
          <w:sz w:val="20"/>
          <w:szCs w:val="20"/>
          <w:lang w:val="es-ES"/>
        </w:rPr>
      </w:pPr>
      <w:r w:rsidRPr="00E831AF">
        <w:rPr>
          <w:rFonts w:ascii="Verdana" w:hAnsi="Verdana"/>
          <w:i/>
          <w:sz w:val="20"/>
          <w:szCs w:val="20"/>
          <w:lang w:val="es-ES"/>
        </w:rPr>
        <w:t xml:space="preserve">2. </w:t>
      </w:r>
      <w:r w:rsidRPr="002C05EA">
        <w:rPr>
          <w:rFonts w:ascii="Verdana" w:hAnsi="Verdana"/>
          <w:i/>
          <w:sz w:val="20"/>
          <w:szCs w:val="20"/>
          <w:lang w:val="es-ES"/>
        </w:rPr>
        <w:t xml:space="preserve">Precisar si una entidad contratante puede desconocer en la etapa de evaluación la experiencia inscrita en el RUP, con el argumento de que el socio no fue ejecutor directo del contrato, cuando esa restricción no fue establecida en el pliego de condiciones y la Cámara de Comercio ya verificó y aceptó la experiencia. </w:t>
      </w:r>
    </w:p>
    <w:p w14:paraId="21F00C2D" w14:textId="3A6A6544" w:rsidR="00E00530" w:rsidRDefault="00E00530" w:rsidP="00913CC2">
      <w:pPr>
        <w:spacing w:after="0" w:line="240" w:lineRule="auto"/>
        <w:ind w:left="720" w:right="709"/>
        <w:jc w:val="both"/>
        <w:rPr>
          <w:rFonts w:ascii="Verdana" w:hAnsi="Verdana"/>
          <w:i/>
          <w:sz w:val="20"/>
          <w:szCs w:val="20"/>
          <w:lang w:val="es-ES"/>
        </w:rPr>
      </w:pPr>
      <w:r w:rsidRPr="00E831AF">
        <w:rPr>
          <w:rFonts w:ascii="Verdana" w:hAnsi="Verdana"/>
          <w:i/>
          <w:sz w:val="20"/>
          <w:szCs w:val="20"/>
          <w:lang w:val="es-ES"/>
        </w:rPr>
        <w:t xml:space="preserve">3. </w:t>
      </w:r>
      <w:r w:rsidRPr="002C05EA">
        <w:rPr>
          <w:rFonts w:ascii="Verdana" w:hAnsi="Verdana"/>
          <w:i/>
          <w:sz w:val="20"/>
          <w:szCs w:val="20"/>
          <w:lang w:val="es-ES"/>
        </w:rPr>
        <w:t>Indicar si la posición adoptada en la presente consulta es consistente con los Conceptos C-139 de 2024, C-424 de 2024, C-450 de 2023 y C-674 de 2025, previamente expedidos por esa Agencia sobre la materia</w:t>
      </w:r>
    </w:p>
    <w:p w14:paraId="110FDB04" w14:textId="77777777" w:rsidR="00E00530" w:rsidRPr="00E831AF" w:rsidRDefault="00E00530" w:rsidP="00E00530">
      <w:pPr>
        <w:spacing w:after="0" w:line="240" w:lineRule="auto"/>
        <w:ind w:left="720" w:right="709"/>
        <w:jc w:val="both"/>
        <w:rPr>
          <w:rFonts w:ascii="Verdana" w:hAnsi="Verdana"/>
          <w:sz w:val="20"/>
          <w:szCs w:val="20"/>
          <w:lang w:val="es-ES"/>
        </w:rPr>
      </w:pPr>
      <w:r w:rsidRPr="00E831AF">
        <w:rPr>
          <w:rFonts w:ascii="Verdana" w:hAnsi="Verdana"/>
          <w:i/>
          <w:sz w:val="20"/>
          <w:szCs w:val="20"/>
          <w:lang w:val="es-ES"/>
        </w:rPr>
        <w:t>[…]</w:t>
      </w:r>
      <w:r w:rsidRPr="00E831AF">
        <w:rPr>
          <w:rFonts w:ascii="Verdana" w:hAnsi="Verdana"/>
          <w:sz w:val="20"/>
          <w:szCs w:val="20"/>
          <w:lang w:val="es-ES"/>
        </w:rPr>
        <w:t>”</w:t>
      </w:r>
    </w:p>
    <w:p w14:paraId="2851D291" w14:textId="77777777" w:rsidR="00E00530" w:rsidRPr="00E831AF" w:rsidRDefault="00E00530" w:rsidP="00E00530">
      <w:pPr>
        <w:spacing w:after="0" w:line="276" w:lineRule="auto"/>
        <w:ind w:right="709"/>
        <w:jc w:val="both"/>
        <w:rPr>
          <w:rFonts w:ascii="Verdana" w:eastAsia="Calibri" w:hAnsi="Verdana" w:cs="Arial"/>
          <w:lang w:val="es-ES"/>
        </w:rPr>
      </w:pPr>
    </w:p>
    <w:p w14:paraId="6607BB4C" w14:textId="77777777" w:rsidR="00E00530" w:rsidRPr="00E831AF" w:rsidRDefault="00E00530" w:rsidP="00E00530">
      <w:pPr>
        <w:spacing w:after="120" w:line="276" w:lineRule="auto"/>
        <w:ind w:firstLine="708"/>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831AF">
        <w:rPr>
          <w:lang w:val="es-ES"/>
        </w:rPr>
        <w:tab/>
      </w:r>
    </w:p>
    <w:p w14:paraId="51A93C68" w14:textId="77777777" w:rsidR="00E00530" w:rsidRPr="00E831AF" w:rsidRDefault="00E00530" w:rsidP="00E00530">
      <w:pPr>
        <w:spacing w:after="0" w:line="276" w:lineRule="auto"/>
        <w:ind w:firstLine="709"/>
        <w:jc w:val="both"/>
        <w:rPr>
          <w:rFonts w:ascii="Verdana" w:eastAsia="Calibri" w:hAnsi="Verdana" w:cs="Arial"/>
          <w:color w:val="000000" w:themeColor="text1"/>
          <w:lang w:val="es-ES" w:eastAsia="es-ES"/>
        </w:rPr>
      </w:pPr>
      <w:r w:rsidRPr="00E831AF">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E831AF">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831AF">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831AF">
        <w:rPr>
          <w:rFonts w:ascii="Verdana" w:eastAsia="Calibri" w:hAnsi="Verdana" w:cs="Arial"/>
          <w:color w:val="000000" w:themeColor="text1"/>
          <w:lang w:val="es-ES" w:eastAsia="es-ES"/>
        </w:rPr>
        <w:t xml:space="preserve"> de su consulta. </w:t>
      </w:r>
    </w:p>
    <w:p w14:paraId="647F4DE7" w14:textId="77777777" w:rsidR="00E00530" w:rsidRPr="00E831AF" w:rsidRDefault="00E00530" w:rsidP="00E00530">
      <w:pPr>
        <w:spacing w:after="0" w:line="276" w:lineRule="auto"/>
        <w:jc w:val="both"/>
        <w:rPr>
          <w:rFonts w:ascii="Verdana" w:eastAsia="Calibri" w:hAnsi="Verdana" w:cs="Arial"/>
          <w:color w:val="000000" w:themeColor="text1"/>
          <w:lang w:val="es-ES" w:eastAsia="es-ES"/>
        </w:rPr>
      </w:pPr>
    </w:p>
    <w:p w14:paraId="02DC74E2" w14:textId="77777777" w:rsidR="00E00530" w:rsidRPr="00E831AF" w:rsidRDefault="00E00530" w:rsidP="00E00530">
      <w:pPr>
        <w:pStyle w:val="ListParagraph"/>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E831AF">
        <w:rPr>
          <w:rFonts w:ascii="Verdana" w:eastAsia="Century Gothic" w:hAnsi="Verdana" w:cs="Century Gothic"/>
          <w:b/>
          <w:color w:val="000000" w:themeColor="text1"/>
        </w:rPr>
        <w:t>Problema planteado:</w:t>
      </w:r>
    </w:p>
    <w:p w14:paraId="5E7CAD09" w14:textId="77777777" w:rsidR="00E00530" w:rsidRPr="00E831AF" w:rsidRDefault="00E00530" w:rsidP="00E00530">
      <w:pPr>
        <w:tabs>
          <w:tab w:val="left" w:pos="426"/>
        </w:tabs>
        <w:spacing w:after="0" w:line="276" w:lineRule="auto"/>
        <w:jc w:val="both"/>
        <w:rPr>
          <w:rFonts w:ascii="Verdana" w:eastAsia="Century Gothic" w:hAnsi="Verdana" w:cs="Century Gothic"/>
          <w:color w:val="000000" w:themeColor="text1"/>
          <w:lang w:val="es-ES"/>
        </w:rPr>
      </w:pPr>
    </w:p>
    <w:p w14:paraId="70070F2E" w14:textId="77777777" w:rsidR="00E00530" w:rsidRPr="00E831AF" w:rsidRDefault="00E00530" w:rsidP="00E00530">
      <w:pPr>
        <w:spacing w:after="0" w:line="276" w:lineRule="auto"/>
        <w:jc w:val="both"/>
        <w:rPr>
          <w:rFonts w:ascii="Verdana" w:eastAsia="Century Gothic" w:hAnsi="Verdana" w:cs="Century Gothic"/>
          <w:color w:val="000000" w:themeColor="text1"/>
          <w:lang w:val="es-ES"/>
        </w:rPr>
      </w:pPr>
      <w:r w:rsidRPr="00E831AF">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E831AF">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E831AF">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E831AF">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E831AF">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w:t>
      </w:r>
      <w:r w:rsidRPr="002C05EA">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p</w:t>
      </w:r>
      <w:r w:rsidRPr="002C05EA">
        <w:rPr>
          <w:rFonts w:ascii="Verdana" w:eastAsia="Century Gothic" w:hAnsi="Verdana" w:cs="Century Gothic"/>
          <w:color w:val="000000" w:themeColor="text1"/>
          <w:lang w:val="es-ES"/>
        </w:rPr>
        <w:t xml:space="preserve">ara efectos de la </w:t>
      </w:r>
      <w:r w:rsidRPr="00D92E33">
        <w:rPr>
          <w:rFonts w:ascii="Verdana" w:eastAsia="Century Gothic" w:hAnsi="Verdana" w:cs="Century Gothic"/>
          <w:color w:val="000000" w:themeColor="text1"/>
          <w:lang w:val="es-ES"/>
        </w:rPr>
        <w:t>validación</w:t>
      </w:r>
      <w:r w:rsidRPr="002C05EA">
        <w:rPr>
          <w:rFonts w:ascii="Verdana" w:eastAsia="Century Gothic" w:hAnsi="Verdana" w:cs="Century Gothic"/>
          <w:color w:val="000000" w:themeColor="text1"/>
          <w:lang w:val="es-ES"/>
        </w:rPr>
        <w:t xml:space="preserve"> de la experiencia de un </w:t>
      </w:r>
      <w:r w:rsidRPr="002C05EA">
        <w:rPr>
          <w:rFonts w:ascii="Verdana" w:eastAsia="Century Gothic" w:hAnsi="Verdana" w:cs="Century Gothic"/>
          <w:color w:val="000000" w:themeColor="text1"/>
          <w:lang w:val="es-ES"/>
        </w:rPr>
        <w:lastRenderedPageBreak/>
        <w:t xml:space="preserve">socio accionista de una persona </w:t>
      </w:r>
      <w:r w:rsidRPr="00D92E33">
        <w:rPr>
          <w:rFonts w:ascii="Verdana" w:eastAsia="Century Gothic" w:hAnsi="Verdana" w:cs="Century Gothic"/>
          <w:color w:val="000000" w:themeColor="text1"/>
          <w:lang w:val="es-ES"/>
        </w:rPr>
        <w:t>jurídica</w:t>
      </w:r>
      <w:r w:rsidRPr="002C05EA">
        <w:rPr>
          <w:rFonts w:ascii="Verdana" w:eastAsia="Century Gothic" w:hAnsi="Verdana" w:cs="Century Gothic"/>
          <w:color w:val="000000" w:themeColor="text1"/>
          <w:lang w:val="es-ES"/>
        </w:rPr>
        <w:t xml:space="preserve"> con menos de tres (3) </w:t>
      </w:r>
      <w:r w:rsidRPr="00D92E33">
        <w:rPr>
          <w:rFonts w:ascii="Verdana" w:eastAsia="Century Gothic" w:hAnsi="Verdana" w:cs="Century Gothic"/>
          <w:color w:val="000000" w:themeColor="text1"/>
          <w:lang w:val="es-ES"/>
        </w:rPr>
        <w:t>años</w:t>
      </w:r>
      <w:r w:rsidRPr="002C05EA">
        <w:rPr>
          <w:rFonts w:ascii="Verdana" w:eastAsia="Century Gothic" w:hAnsi="Verdana" w:cs="Century Gothic"/>
          <w:color w:val="000000" w:themeColor="text1"/>
          <w:lang w:val="es-ES"/>
        </w:rPr>
        <w:t xml:space="preserve"> de </w:t>
      </w:r>
      <w:r w:rsidRPr="00D92E33">
        <w:rPr>
          <w:rFonts w:ascii="Verdana" w:eastAsia="Century Gothic" w:hAnsi="Verdana" w:cs="Century Gothic"/>
          <w:color w:val="000000" w:themeColor="text1"/>
          <w:lang w:val="es-ES"/>
        </w:rPr>
        <w:t xml:space="preserve">constitución </w:t>
      </w:r>
      <w:r w:rsidRPr="002C05EA">
        <w:rPr>
          <w:rFonts w:ascii="Verdana" w:eastAsia="Century Gothic" w:hAnsi="Verdana" w:cs="Century Gothic"/>
          <w:color w:val="000000" w:themeColor="text1"/>
          <w:lang w:val="es-ES"/>
        </w:rPr>
        <w:t xml:space="preserve">es exigible que dicho socio haya participado en los contratos aportados como experiencia en calidad de </w:t>
      </w:r>
      <w:r w:rsidRPr="00D92E33">
        <w:rPr>
          <w:rFonts w:ascii="Verdana" w:eastAsia="Century Gothic" w:hAnsi="Verdana" w:cs="Century Gothic"/>
          <w:color w:val="000000" w:themeColor="text1"/>
          <w:lang w:val="es-ES"/>
        </w:rPr>
        <w:t xml:space="preserve">ejecutor directo </w:t>
      </w:r>
      <w:r w:rsidRPr="002C05EA">
        <w:rPr>
          <w:rFonts w:ascii="Verdana" w:eastAsia="Century Gothic" w:hAnsi="Verdana" w:cs="Century Gothic"/>
          <w:color w:val="000000" w:themeColor="text1"/>
          <w:lang w:val="es-ES"/>
        </w:rPr>
        <w:t>del contrato</w:t>
      </w:r>
      <w:r w:rsidRPr="00D92E33">
        <w:rPr>
          <w:rFonts w:ascii="Verdana" w:eastAsia="Century Gothic" w:hAnsi="Verdana" w:cs="Century Gothic"/>
          <w:color w:val="000000" w:themeColor="text1"/>
          <w:lang w:val="es-ES"/>
        </w:rPr>
        <w:t xml:space="preserve"> si esto no fue contemplado en los pliegos de condiciones</w:t>
      </w:r>
      <w:r w:rsidRPr="00E831AF">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y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xml:space="preserve">) </w:t>
      </w:r>
      <w:r w:rsidRPr="00D92E33">
        <w:rPr>
          <w:rFonts w:ascii="Verdana" w:eastAsia="Century Gothic" w:hAnsi="Verdana" w:cs="Century Gothic"/>
          <w:color w:val="000000" w:themeColor="text1"/>
        </w:rPr>
        <w:t>¿</w:t>
      </w:r>
      <w:r>
        <w:rPr>
          <w:rFonts w:ascii="Verdana" w:eastAsia="Century Gothic" w:hAnsi="Verdana" w:cs="Century Gothic"/>
          <w:color w:val="000000" w:themeColor="text1"/>
        </w:rPr>
        <w:t>p</w:t>
      </w:r>
      <w:r w:rsidRPr="00D92E33">
        <w:rPr>
          <w:rFonts w:ascii="Verdana" w:eastAsia="Century Gothic" w:hAnsi="Verdana" w:cs="Century Gothic"/>
          <w:color w:val="000000" w:themeColor="text1"/>
        </w:rPr>
        <w:t>uede la entidad contratante, en la etapa de evaluación de ofertas, desconocer o reevaluar la experiencia de los accionistas, socios o constituyentes debidamente inscrita en el RUP vigente y en firm</w:t>
      </w:r>
      <w:r>
        <w:rPr>
          <w:rFonts w:ascii="Verdana" w:eastAsia="Century Gothic" w:hAnsi="Verdana" w:cs="Century Gothic"/>
          <w:color w:val="000000" w:themeColor="text1"/>
        </w:rPr>
        <w:t>e?</w:t>
      </w:r>
    </w:p>
    <w:p w14:paraId="59DE518B" w14:textId="77777777" w:rsidR="00E00530" w:rsidRPr="00E831AF" w:rsidRDefault="00E00530" w:rsidP="00E00530">
      <w:pPr>
        <w:spacing w:after="0" w:line="276" w:lineRule="auto"/>
        <w:jc w:val="both"/>
        <w:rPr>
          <w:rFonts w:ascii="Verdana" w:eastAsia="Calibri" w:hAnsi="Verdana" w:cs="Arial"/>
          <w:color w:val="000000" w:themeColor="text1"/>
          <w:lang w:val="es-ES"/>
        </w:rPr>
      </w:pPr>
    </w:p>
    <w:p w14:paraId="40EB28D3" w14:textId="77777777" w:rsidR="00E00530" w:rsidRPr="00E831AF" w:rsidRDefault="00E00530" w:rsidP="00E00530">
      <w:pPr>
        <w:pStyle w:val="ListParagraph"/>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E831AF">
        <w:rPr>
          <w:rFonts w:ascii="Verdana" w:eastAsia="Century Gothic" w:hAnsi="Verdana" w:cs="Century Gothic"/>
          <w:b/>
          <w:color w:val="000000" w:themeColor="text1"/>
        </w:rPr>
        <w:t>Respuesta:</w:t>
      </w:r>
    </w:p>
    <w:p w14:paraId="1889ECA3" w14:textId="77777777" w:rsidR="00E00530" w:rsidRPr="00E831AF" w:rsidRDefault="00E00530" w:rsidP="00E0053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00530" w:rsidRPr="00E831AF" w14:paraId="7129ED21" w14:textId="77777777" w:rsidTr="1A422432">
        <w:tc>
          <w:tcPr>
            <w:tcW w:w="8828" w:type="dxa"/>
          </w:tcPr>
          <w:p w14:paraId="7E47F5B7" w14:textId="77777777" w:rsidR="00E00530" w:rsidRDefault="00E00530" w:rsidP="1A422432">
            <w:pPr>
              <w:widowControl w:val="0"/>
              <w:autoSpaceDE w:val="0"/>
              <w:autoSpaceDN w:val="0"/>
              <w:spacing w:before="120" w:after="120" w:line="276" w:lineRule="auto"/>
              <w:jc w:val="both"/>
              <w:rPr>
                <w:rFonts w:ascii="Verdana" w:hAnsi="Verdana" w:cs="Arial"/>
                <w:lang w:val="en-US"/>
              </w:rPr>
            </w:pPr>
            <w:r w:rsidRPr="1A422432">
              <w:rPr>
                <w:rFonts w:ascii="Verdana" w:hAnsi="Verdana" w:cs="Arial"/>
                <w:lang w:val="en-US"/>
              </w:rPr>
              <w:t>i) El numeral 2.5 del artículo 2.2.1.1.1.5.2 del Decreto 1082 de 2015 exige que el socio constituyente acredite experiencia en "la provisión de bienes, obras y servicios", de modo que no estableció que su experiencia deba provenir de su participación en una calidad específica. En este sentido, la norma autoriza que la persona jurídica con un tiempo de constitución inferior a tres (3) años acredite la experiencia de sus socios en la provisión de bienes, obras o servicios, sin imponer que haya actuado como ejecutor directo de dicha experiencia.</w:t>
            </w:r>
          </w:p>
          <w:p w14:paraId="29AA58C8" w14:textId="77777777" w:rsidR="00E00530" w:rsidRPr="000B2B6B" w:rsidRDefault="00E00530" w:rsidP="1A422432">
            <w:pPr>
              <w:widowControl w:val="0"/>
              <w:autoSpaceDE w:val="0"/>
              <w:autoSpaceDN w:val="0"/>
              <w:spacing w:before="120" w:after="120" w:line="276" w:lineRule="auto"/>
              <w:jc w:val="both"/>
              <w:rPr>
                <w:rFonts w:ascii="Verdana" w:hAnsi="Verdana" w:cs="Arial"/>
                <w:lang w:val="en-US"/>
              </w:rPr>
            </w:pPr>
            <w:r w:rsidRPr="1A422432">
              <w:rPr>
                <w:rFonts w:ascii="Verdana" w:hAnsi="Verdana" w:cs="Arial"/>
                <w:lang w:val="en-US"/>
              </w:rPr>
              <w:t>La experiencia es aquella que se deriva de los contratos que el proponente ha celebrado y ejecutado con diferentes contratantes, sin importar la naturaleza de estos, verificada con el RUP. En ese sentido, el ejercicio de funciones de Gerente de Proyecto en determinados contratos constituye una forma de participación en la ejecución mediante la dirección técnica y gerencial de un proyecto, que puede generar el conocimiento y experiencia para ejecutar determinadas actividades, la cual puede ser igual o superior a la de quien ejecutó materialmente el contrato, según el caso específico y de acuerdo a lo que la entidad determine según los resultados de una planeación adecuada y la necesidad que requiere satisfacer.</w:t>
            </w:r>
          </w:p>
          <w:p w14:paraId="071CA855" w14:textId="77777777" w:rsidR="00E00530" w:rsidRPr="000B2B6B" w:rsidRDefault="00E00530" w:rsidP="1A422432">
            <w:pPr>
              <w:widowControl w:val="0"/>
              <w:autoSpaceDE w:val="0"/>
              <w:autoSpaceDN w:val="0"/>
              <w:spacing w:before="120" w:after="120" w:line="276" w:lineRule="auto"/>
              <w:jc w:val="both"/>
              <w:rPr>
                <w:rFonts w:ascii="Verdana" w:hAnsi="Verdana" w:cs="Arial"/>
                <w:lang w:val="en-US"/>
              </w:rPr>
            </w:pPr>
            <w:r w:rsidRPr="1A422432">
              <w:rPr>
                <w:rFonts w:ascii="Verdana" w:hAnsi="Verdana" w:cs="Arial"/>
                <w:lang w:val="en-US"/>
              </w:rPr>
              <w:t xml:space="preserve">ii) En los procesos en los que es exigible el RUP, la experiencia de los accionistas, socios o constituyentes que la persona jurídica con menos de tres (3) años de constitución acredita solo puede verificarse con ese registro, sin que sea posible para la entidad contratante solicitar documentos adicionales para verificar lo que allí consta. Esto se debe a que el artículo 6.1 de la Ley 1150 de 2007 señala expresamente que el certificado del RUP es plena prueba de las circunstancias que en él consten y que hayan sido verificadas por las </w:t>
            </w:r>
            <w:r w:rsidRPr="1A422432">
              <w:rPr>
                <w:rFonts w:ascii="Verdana" w:hAnsi="Verdana" w:cs="Arial"/>
                <w:lang w:val="en-US"/>
              </w:rPr>
              <w:lastRenderedPageBreak/>
              <w:t>Cámaras de Comercio.</w:t>
            </w:r>
          </w:p>
          <w:p w14:paraId="717276C7" w14:textId="77777777" w:rsidR="00E00530" w:rsidRPr="000B2B6B" w:rsidRDefault="00E00530" w:rsidP="1A422432">
            <w:pPr>
              <w:widowControl w:val="0"/>
              <w:autoSpaceDE w:val="0"/>
              <w:autoSpaceDN w:val="0"/>
              <w:spacing w:before="120" w:after="120" w:line="276" w:lineRule="auto"/>
              <w:ind w:firstLine="708"/>
              <w:jc w:val="both"/>
              <w:rPr>
                <w:rFonts w:ascii="Verdana" w:hAnsi="Verdana" w:cs="Arial"/>
                <w:lang w:val="en-US"/>
              </w:rPr>
            </w:pPr>
            <w:r w:rsidRPr="1A422432">
              <w:rPr>
                <w:rFonts w:ascii="Verdana" w:hAnsi="Verdana" w:cs="Arial"/>
                <w:lang w:val="en-US"/>
              </w:rPr>
              <w:t>La excepción consagrada en el inciso 3 del numeral 6.1 del artículo 6 de la Ley 1150 de 2007, que permite a la entidad verificar requisitos adicionales a los del RUP cuando las características del objeto lo requieran, es de interpretación restrictiva y no faculta a la entidad para desconocer lo ya verificado e inscrito en el RUP, sino que únicamente le permite exigir requisitos adicionales que no reposan en dicho registro. La entidad estatal no tiene competencia para reevaluar, re-calificar o desconocer la experiencia debidamente inscrita en el RUP con base en criterios propios que no corresponden a los establecidos en la ley o en el pliego de condiciones, pues no puede atribuirse la función verificadora que la ley dispuso en cabeza de las Cámaras de Comercio, en contravía del artículo 6 de la Ley 1150 de 2007 y los principios de transparencia y selección objetiva. La vía que el ordenamiento consagra para cuestionar la experiencia inscrita en el RUP es la impugnación del registro ante la Cámara de Comercio, de conformidad con el artículo 6.3 de la Ley 1150 de 2007.</w:t>
            </w:r>
          </w:p>
          <w:p w14:paraId="4F43AF72" w14:textId="77777777" w:rsidR="00E00530" w:rsidRDefault="00E00530" w:rsidP="004A560F">
            <w:pPr>
              <w:widowControl w:val="0"/>
              <w:autoSpaceDE w:val="0"/>
              <w:autoSpaceDN w:val="0"/>
              <w:spacing w:before="120" w:after="120" w:line="276" w:lineRule="auto"/>
              <w:ind w:firstLine="708"/>
              <w:jc w:val="both"/>
              <w:rPr>
                <w:rFonts w:ascii="Verdana" w:hAnsi="Verdana" w:cs="Arial"/>
                <w:lang w:val="en-CO"/>
              </w:rPr>
            </w:pPr>
            <w:r>
              <w:rPr>
                <w:rFonts w:ascii="Verdana" w:hAnsi="Verdana" w:cs="Arial"/>
                <w:lang w:val="es-ES"/>
              </w:rPr>
              <w:t>E</w:t>
            </w:r>
            <w:r w:rsidRPr="00E831AF">
              <w:rPr>
                <w:rFonts w:ascii="Verdana" w:hAnsi="Verdana" w:cs="Arial"/>
                <w:lang w:val="es-ES"/>
              </w:rPr>
              <w:t xml:space="preserve">s importante resaltar que </w:t>
            </w:r>
            <w:r w:rsidRPr="00E831AF">
              <w:rPr>
                <w:rFonts w:ascii="Verdana" w:eastAsia="Calibri" w:hAnsi="Verdana" w:cs="Arial"/>
                <w:lang w:val="es-ES" w:eastAsia="es-CO"/>
              </w:rPr>
              <w:t xml:space="preserve">la norma permite que la entidad en el marco de la autonomía y la potestad de dirección que le asiste en los procesos de contratación que adelanta determine el tipo de experiencia que debe acreditar el proponente y que le permite analizar su idoneidad para ejecutar el objeto contractual. Sin embargo, la entidad </w:t>
            </w:r>
            <w:r w:rsidRPr="00A802B6">
              <w:rPr>
                <w:rFonts w:ascii="Verdana" w:eastAsia="Calibri" w:hAnsi="Verdana" w:cs="Arial"/>
                <w:i/>
                <w:iCs/>
                <w:lang w:val="es-ES" w:eastAsia="es-CO"/>
              </w:rPr>
              <w:t>debe establecer lo anterior en los documentos del proceso</w:t>
            </w:r>
            <w:r w:rsidRPr="00E831AF">
              <w:rPr>
                <w:rFonts w:ascii="Verdana" w:eastAsia="Calibri" w:hAnsi="Verdana" w:cs="Arial"/>
                <w:lang w:val="es-ES" w:eastAsia="es-CO"/>
              </w:rPr>
              <w:t xml:space="preserve">. </w:t>
            </w:r>
            <w:r>
              <w:rPr>
                <w:rFonts w:ascii="Verdana" w:eastAsia="Calibri" w:hAnsi="Verdana" w:cs="Arial"/>
                <w:lang w:val="es-ES" w:eastAsia="es-CO"/>
              </w:rPr>
              <w:t>E</w:t>
            </w:r>
            <w:r w:rsidRPr="00E831AF">
              <w:rPr>
                <w:rFonts w:ascii="Verdana" w:eastAsia="Calibri" w:hAnsi="Verdana" w:cs="Arial"/>
                <w:color w:val="000000" w:themeColor="text1"/>
                <w:lang w:val="es-ES"/>
              </w:rPr>
              <w:t>l Consejo de Estado ha determinado que el pliego de condiciones es ley para las partes, y en él se debe establecer la regulación del procedimiento de contratación, conforme a la ley, garantizando la selección objetiva del contratista</w:t>
            </w:r>
            <w:r w:rsidRPr="00E831AF">
              <w:rPr>
                <w:rFonts w:ascii="Verdana" w:eastAsia="Calibri" w:hAnsi="Verdana" w:cs="Arial"/>
                <w:color w:val="000000" w:themeColor="text1"/>
                <w:vertAlign w:val="superscript"/>
                <w:lang w:val="es-ES"/>
              </w:rPr>
              <w:footnoteReference w:id="1"/>
            </w:r>
            <w:r w:rsidRPr="00E831AF">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En este sentido, </w:t>
            </w:r>
            <w:r w:rsidRPr="000B2B6B">
              <w:rPr>
                <w:rFonts w:ascii="Verdana" w:hAnsi="Verdana" w:cs="Arial"/>
                <w:lang w:val="en-CO"/>
              </w:rPr>
              <w:t xml:space="preserve">si el pliego de condiciones no exigió que el proponente acreditara la ejecución de la experiencia del socio en una calidad determinada que tampoco impone la ley, la entidad contratante no puede introducir ex post facto esa restricción en la etapa de evaluación, pues con ello modifica unilateralmente las reglas definidas en los documentos del </w:t>
            </w:r>
            <w:r w:rsidRPr="000B2B6B">
              <w:rPr>
                <w:rFonts w:ascii="Verdana" w:hAnsi="Verdana" w:cs="Arial"/>
                <w:lang w:val="en-CO"/>
              </w:rPr>
              <w:lastRenderedPageBreak/>
              <w:t>proceso y contraría el principio de transparencia, de planeación y de selección objetiva.</w:t>
            </w:r>
          </w:p>
          <w:p w14:paraId="72AE8BB1" w14:textId="77777777" w:rsidR="00E00530" w:rsidRPr="00A55335" w:rsidRDefault="00E00530" w:rsidP="004A560F">
            <w:pPr>
              <w:widowControl w:val="0"/>
              <w:autoSpaceDE w:val="0"/>
              <w:autoSpaceDN w:val="0"/>
              <w:spacing w:before="120" w:after="120" w:line="276" w:lineRule="auto"/>
              <w:ind w:firstLine="708"/>
              <w:jc w:val="both"/>
              <w:rPr>
                <w:rFonts w:ascii="Verdana" w:hAnsi="Verdana" w:cs="Arial"/>
                <w:lang w:val="en-CO"/>
              </w:rPr>
            </w:pPr>
            <w:r w:rsidRPr="00E831AF">
              <w:rPr>
                <w:rFonts w:ascii="Verdana" w:eastAsia="Calibri" w:hAnsi="Verdana" w:cs="Arial"/>
                <w:bCs/>
                <w:color w:val="000000" w:themeColor="text1"/>
                <w:lang w:val="es-ES"/>
              </w:rPr>
              <w:t>Finalmente</w:t>
            </w:r>
            <w:r w:rsidRPr="00E831AF">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en adoptar la decisión y, en caso de conflicto, a las autoridades judiciales, fiscales y disciplinarias.</w:t>
            </w:r>
            <w:r w:rsidRPr="00E831AF">
              <w:rPr>
                <w:lang w:val="es-ES"/>
              </w:rPr>
              <w:t xml:space="preserve"> </w:t>
            </w:r>
          </w:p>
          <w:p w14:paraId="2D31F8FE" w14:textId="77777777" w:rsidR="00E00530" w:rsidRPr="00A55335" w:rsidRDefault="00E00530" w:rsidP="004A560F">
            <w:pPr>
              <w:spacing w:before="120" w:after="120" w:line="276" w:lineRule="auto"/>
              <w:ind w:firstLine="709"/>
              <w:contextualSpacing/>
              <w:jc w:val="both"/>
              <w:rPr>
                <w:rFonts w:ascii="Verdana" w:eastAsia="Calibri" w:hAnsi="Verdana" w:cs="Times New Roman"/>
                <w:lang w:val="es-ES"/>
              </w:rPr>
            </w:pPr>
            <w:r w:rsidRPr="00E831AF">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E831AF">
              <w:rPr>
                <w:rFonts w:ascii="Verdana" w:eastAsia="Calibri" w:hAnsi="Verdana" w:cs="Arial"/>
                <w:lang w:val="es-ES"/>
              </w:rPr>
              <w:t xml:space="preserve"> </w:t>
            </w:r>
          </w:p>
        </w:tc>
      </w:tr>
    </w:tbl>
    <w:p w14:paraId="707B086A" w14:textId="77777777" w:rsidR="00E00530" w:rsidRPr="00E831AF" w:rsidRDefault="00E00530" w:rsidP="00E0053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AFECD68" w14:textId="77777777" w:rsidR="00E00530" w:rsidRPr="00E831AF" w:rsidRDefault="00E00530" w:rsidP="00E00530">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831AF">
        <w:rPr>
          <w:rFonts w:ascii="Verdana" w:eastAsia="Century Gothic" w:hAnsi="Verdana" w:cs="Century Gothic"/>
          <w:b/>
          <w:color w:val="000000" w:themeColor="text1"/>
        </w:rPr>
        <w:t>Razones de la respuesta:</w:t>
      </w:r>
    </w:p>
    <w:p w14:paraId="5C1AF535" w14:textId="77777777" w:rsidR="00E00530" w:rsidRPr="00E831AF" w:rsidRDefault="00E00530" w:rsidP="00E00530">
      <w:pPr>
        <w:spacing w:after="0" w:line="276" w:lineRule="auto"/>
        <w:jc w:val="both"/>
        <w:rPr>
          <w:rFonts w:ascii="Verdana" w:eastAsia="Calibri" w:hAnsi="Verdana" w:cs="Arial"/>
          <w:color w:val="000000" w:themeColor="text1"/>
          <w:lang w:val="es-ES"/>
        </w:rPr>
      </w:pPr>
    </w:p>
    <w:p w14:paraId="113DD7B6" w14:textId="77777777" w:rsidR="00E00530" w:rsidRPr="00E831AF" w:rsidRDefault="00E00530" w:rsidP="00E00530">
      <w:pPr>
        <w:spacing w:after="0" w:line="276" w:lineRule="auto"/>
        <w:jc w:val="both"/>
        <w:rPr>
          <w:rFonts w:ascii="Verdana" w:eastAsia="Calibri" w:hAnsi="Verdana" w:cs="Arial"/>
          <w:color w:val="000000" w:themeColor="text1"/>
          <w:lang w:val="es-ES"/>
        </w:rPr>
      </w:pPr>
      <w:r w:rsidRPr="00E831AF">
        <w:rPr>
          <w:rFonts w:ascii="Verdana" w:eastAsia="Calibri" w:hAnsi="Verdana" w:cs="Arial"/>
          <w:color w:val="000000" w:themeColor="text1"/>
          <w:lang w:val="es-ES"/>
        </w:rPr>
        <w:t xml:space="preserve">Lo anterior se sustenta en las siguientes consideraciones: </w:t>
      </w:r>
    </w:p>
    <w:p w14:paraId="0C891259" w14:textId="77777777" w:rsidR="00E00530" w:rsidRPr="00E831AF" w:rsidRDefault="00E00530" w:rsidP="00E00530">
      <w:pPr>
        <w:spacing w:after="120" w:line="276" w:lineRule="auto"/>
        <w:jc w:val="both"/>
        <w:rPr>
          <w:rFonts w:ascii="Verdana" w:eastAsia="Calibri" w:hAnsi="Verdana" w:cs="Arial"/>
          <w:color w:val="000000" w:themeColor="text1"/>
          <w:lang w:val="es-ES"/>
        </w:rPr>
      </w:pPr>
    </w:p>
    <w:p w14:paraId="0191A0C6" w14:textId="77777777" w:rsidR="00E00530" w:rsidRPr="00E831AF" w:rsidRDefault="00E00530" w:rsidP="00E00530">
      <w:pPr>
        <w:spacing w:after="120" w:line="276" w:lineRule="auto"/>
        <w:jc w:val="both"/>
        <w:rPr>
          <w:rFonts w:ascii="Verdana" w:hAnsi="Verdana" w:cs="Arial"/>
          <w:lang w:val="es-ES"/>
        </w:rPr>
      </w:pPr>
      <w:r w:rsidRPr="00E831AF">
        <w:rPr>
          <w:rFonts w:ascii="Verdana" w:eastAsia="Arial" w:hAnsi="Verdana" w:cs="Arial"/>
          <w:lang w:val="es-ES"/>
        </w:rPr>
        <w:t xml:space="preserve">i) </w:t>
      </w:r>
      <w:r w:rsidRPr="00E831AF">
        <w:rPr>
          <w:rFonts w:ascii="Verdana" w:hAnsi="Verdana" w:cs="Arial"/>
          <w:lang w:val="es-ES"/>
        </w:rPr>
        <w:t xml:space="preserve">El artículo 5 de la Ley 1150 de 2007, establece que, dentro de los procesos de contratación, la escogencia del oferente se efectuará conforme al ofrecimiento más favorable a la entidad y a los fines que ella busca, sin tener en consideración factores de afecto o de interés y, en general, cualquier clase de motivación subjetiva. De esta manera, el numeral 1 del artículo referido indica que en los procesos de selección de contratistas serán objeto de verificación, como requisitos habilitantes, entre otros, los siguientes: i) la capacidad jurídica; </w:t>
      </w:r>
      <w:proofErr w:type="spellStart"/>
      <w:r w:rsidRPr="00E831AF">
        <w:rPr>
          <w:rFonts w:ascii="Verdana" w:hAnsi="Verdana" w:cs="Arial"/>
          <w:lang w:val="es-ES"/>
        </w:rPr>
        <w:t>ii</w:t>
      </w:r>
      <w:proofErr w:type="spellEnd"/>
      <w:r w:rsidRPr="00E831AF">
        <w:rPr>
          <w:rFonts w:ascii="Verdana" w:hAnsi="Verdana" w:cs="Arial"/>
          <w:lang w:val="es-ES"/>
        </w:rPr>
        <w:t xml:space="preserve">) la experiencia; </w:t>
      </w:r>
      <w:proofErr w:type="spellStart"/>
      <w:r w:rsidRPr="00E831AF">
        <w:rPr>
          <w:rFonts w:ascii="Verdana" w:hAnsi="Verdana" w:cs="Arial"/>
          <w:lang w:val="es-ES"/>
        </w:rPr>
        <w:t>iii</w:t>
      </w:r>
      <w:proofErr w:type="spellEnd"/>
      <w:r w:rsidRPr="00E831AF">
        <w:rPr>
          <w:rFonts w:ascii="Verdana" w:hAnsi="Verdana" w:cs="Arial"/>
          <w:lang w:val="es-ES"/>
        </w:rPr>
        <w:t xml:space="preserve">) la capacidad financiera; y </w:t>
      </w:r>
      <w:proofErr w:type="spellStart"/>
      <w:r w:rsidRPr="00E831AF">
        <w:rPr>
          <w:rFonts w:ascii="Verdana" w:hAnsi="Verdana" w:cs="Arial"/>
          <w:lang w:val="es-ES"/>
        </w:rPr>
        <w:t>iv</w:t>
      </w:r>
      <w:proofErr w:type="spellEnd"/>
      <w:r w:rsidRPr="00E831AF">
        <w:rPr>
          <w:rFonts w:ascii="Verdana" w:hAnsi="Verdana" w:cs="Arial"/>
          <w:lang w:val="es-ES"/>
        </w:rPr>
        <w:t xml:space="preserve">) la capacidad de organización. </w:t>
      </w:r>
    </w:p>
    <w:p w14:paraId="4AD1877F" w14:textId="77777777" w:rsidR="00E00530" w:rsidRPr="00E831AF" w:rsidRDefault="00E00530" w:rsidP="00E00530">
      <w:pPr>
        <w:spacing w:after="120" w:line="276" w:lineRule="auto"/>
        <w:ind w:firstLine="709"/>
        <w:jc w:val="both"/>
        <w:rPr>
          <w:rFonts w:ascii="Verdana" w:eastAsia="Calibri" w:hAnsi="Verdana" w:cs="Arial"/>
          <w:lang w:val="es-ES" w:eastAsia="es-MX"/>
        </w:rPr>
      </w:pPr>
      <w:r w:rsidRPr="00E831AF">
        <w:rPr>
          <w:rFonts w:ascii="Verdana" w:eastAsia="Calibri" w:hAnsi="Verdana" w:cs="Arial"/>
          <w:lang w:val="es-ES" w:eastAsia="es-MX"/>
        </w:rPr>
        <w:t xml:space="preserve">Los requisitos habilitantes constituyen los requerimientos mínimos con los que deben cumplir los proponentes para participar en el procedimiento de selección, por tal razón éstos no se valoran con un puntaje tendiente a determinar el orden de escogencia, sino que se analizan como criterios previos </w:t>
      </w:r>
      <w:r w:rsidRPr="00E831AF">
        <w:rPr>
          <w:rFonts w:ascii="Verdana" w:eastAsia="Calibri" w:hAnsi="Verdana" w:cs="Arial"/>
          <w:lang w:val="es-ES" w:eastAsia="es-MX"/>
        </w:rPr>
        <w:lastRenderedPageBreak/>
        <w:t>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 al 4, de la Ley 1150 de 2007.</w:t>
      </w:r>
    </w:p>
    <w:p w14:paraId="6347FC7C" w14:textId="77777777" w:rsidR="00E00530" w:rsidRPr="00E831AF" w:rsidRDefault="00E00530" w:rsidP="00E00530">
      <w:pPr>
        <w:spacing w:before="120" w:after="0" w:line="276" w:lineRule="auto"/>
        <w:jc w:val="both"/>
        <w:rPr>
          <w:rFonts w:ascii="Verdana" w:eastAsia="Arial" w:hAnsi="Verdana" w:cs="Arial"/>
          <w:lang w:val="es-ES"/>
        </w:rPr>
      </w:pPr>
      <w:r w:rsidRPr="00E831AF">
        <w:rPr>
          <w:rFonts w:ascii="Verdana" w:eastAsia="Arial" w:hAnsi="Verdana" w:cs="Arial"/>
          <w:lang w:val="es-ES"/>
        </w:rPr>
        <w:tab/>
        <w:t>Por su parte, el artículo 6 de la Ley 1150 de 2007 señala que todas las personas naturales o jurídicas, nacionales o extranjeras, domiciliadas o con sucursal en Colombia, que aspiren celebrar contratos con las Entidades deberán estar inscritas en el RUP. En dicho registro constará la información relacionada con la experiencia, capacidad jurídica, financiera y de organización del proponente y su clasificación. Frente al requisito habilitante de experiencia, en el “Manual para determinar y verificar requisitos habilitantes en los procesos de contratación” se define la experiencia como “el conocimiento del proponente derivado de su participación previa en actividades iguales o similares a las previstas en el objeto del contrato”.</w:t>
      </w:r>
    </w:p>
    <w:p w14:paraId="5BAE152F" w14:textId="77777777" w:rsidR="00E00530" w:rsidRPr="00E831AF" w:rsidRDefault="00E00530" w:rsidP="00E00530">
      <w:pPr>
        <w:spacing w:before="120" w:after="120" w:line="276" w:lineRule="auto"/>
        <w:ind w:firstLine="709"/>
        <w:jc w:val="both"/>
        <w:rPr>
          <w:rFonts w:ascii="Verdana" w:eastAsia="Calibri" w:hAnsi="Verdana" w:cs="Arial"/>
          <w:color w:val="000000"/>
          <w:lang w:val="es-ES"/>
        </w:rPr>
      </w:pPr>
      <w:bookmarkStart w:id="1" w:name="_Hlk102983874"/>
      <w:bookmarkStart w:id="2" w:name="_Hlk102388095"/>
      <w:r w:rsidRPr="00E831AF">
        <w:rPr>
          <w:rFonts w:ascii="Verdana" w:eastAsia="Calibri" w:hAnsi="Verdana" w:cs="Arial"/>
          <w:color w:val="000000"/>
          <w:lang w:val="es-ES"/>
        </w:rPr>
        <w:t>El numeral 2.1 del artículo 2.2.1.1.1.5.2 del Decreto 1082 de 2015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E831AF">
        <w:rPr>
          <w:rFonts w:ascii="Verdana" w:eastAsia="Calibri" w:hAnsi="Verdana" w:cs="Arial"/>
          <w:color w:val="000000"/>
          <w:vertAlign w:val="superscript"/>
          <w:lang w:val="es-ES"/>
        </w:rPr>
        <w:footnoteReference w:id="2"/>
      </w:r>
      <w:r w:rsidRPr="00E831AF">
        <w:rPr>
          <w:rFonts w:ascii="Verdana" w:eastAsia="Calibri" w:hAnsi="Verdana" w:cs="Arial"/>
          <w:color w:val="000000"/>
          <w:lang w:val="es-ES"/>
        </w:rPr>
        <w:t>. De la misma forma, el numeral 2.5. ibidem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00E831AF">
        <w:rPr>
          <w:rFonts w:ascii="Verdana" w:eastAsia="Calibri" w:hAnsi="Verdana" w:cs="Arial"/>
          <w:color w:val="000000"/>
          <w:vertAlign w:val="superscript"/>
          <w:lang w:val="es-ES"/>
        </w:rPr>
        <w:footnoteReference w:id="3"/>
      </w:r>
      <w:r w:rsidRPr="00E831AF">
        <w:rPr>
          <w:rFonts w:ascii="Verdana" w:eastAsia="Calibri" w:hAnsi="Verdana" w:cs="Arial"/>
          <w:color w:val="000000"/>
          <w:lang w:val="es-ES"/>
        </w:rPr>
        <w:t>.</w:t>
      </w:r>
    </w:p>
    <w:p w14:paraId="406F9ABE" w14:textId="77777777" w:rsidR="00E00530" w:rsidRPr="00E831AF" w:rsidRDefault="00E00530" w:rsidP="00E00530">
      <w:pPr>
        <w:spacing w:before="120" w:after="120" w:line="276" w:lineRule="auto"/>
        <w:ind w:firstLine="709"/>
        <w:jc w:val="both"/>
        <w:rPr>
          <w:rFonts w:ascii="Verdana" w:eastAsia="Calibri" w:hAnsi="Verdana" w:cs="Arial"/>
          <w:color w:val="000000"/>
          <w:lang w:val="es-ES"/>
        </w:rPr>
      </w:pPr>
      <w:r w:rsidRPr="00E831AF">
        <w:rPr>
          <w:rFonts w:ascii="Verdana" w:eastAsia="Calibri" w:hAnsi="Verdana" w:cs="Arial"/>
          <w:color w:val="000000"/>
          <w:lang w:val="es-ES"/>
        </w:rPr>
        <w:lastRenderedPageBreak/>
        <w:t>El interesado debe indicar en cada certificado, o en cada copia de los contratos, los bienes, obras y servicios a los cuales corresponde la experiencia que pretende acreditar, identificándolos con el Clasificador de Bienes y Servicios, en el tercer nivel. La parte final de ese numeral 2.5. indica que “Si la constitución del interesado es menor a tres (3) años, puede acreditar la experiencia de sus accionistas, socios o constituyentes”. 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w:t>
      </w:r>
    </w:p>
    <w:p w14:paraId="14904FBB" w14:textId="77777777" w:rsidR="00E00530" w:rsidRPr="00E831AF" w:rsidRDefault="00E00530" w:rsidP="00E00530">
      <w:pPr>
        <w:spacing w:after="120" w:line="276" w:lineRule="auto"/>
        <w:ind w:firstLine="709"/>
        <w:jc w:val="both"/>
        <w:rPr>
          <w:rFonts w:ascii="Verdana" w:eastAsia="Calibri" w:hAnsi="Verdana" w:cs="Arial"/>
          <w:lang w:val="es-ES"/>
        </w:rPr>
      </w:pPr>
      <w:r w:rsidRPr="00E831AF">
        <w:rPr>
          <w:rFonts w:ascii="Verdana" w:eastAsia="Calibri" w:hAnsi="Verdana" w:cs="Arial"/>
          <w:lang w:val="es-ES"/>
        </w:rPr>
        <w:t>La Agencia Nacional de Contratación Pública ― Colombia Compra Eficiente puso a disposición de los interesados del Sistema de Compra Pública el “Manual para determinar y verificar requisitos habilitantes en los procesos de contratación”, donde se establecen las definiciones de cada requisito habilitante y se dan lineamientos orientadores sobre lo que las entidades pueden hacer para establecerlos, en este caso, frente a la experiencia. Sobre el particular, para la experiencia, como requisito habilitante, el Manual se centra en una de sus cualidades y es que es personal, lo cual significa que quien tiene la experiencia es en razón a su participación, con anterioridad, en actividades que le permitieron conocer cómo ejecutar el objeto contractual, que la entidad pretende satisfacer ahora</w:t>
      </w:r>
      <w:r w:rsidRPr="00E831AF">
        <w:rPr>
          <w:rStyle w:val="FootnoteReference"/>
          <w:rFonts w:ascii="Verdana" w:eastAsia="Calibri" w:hAnsi="Verdana" w:cs="Arial"/>
          <w:lang w:val="es-ES"/>
        </w:rPr>
        <w:footnoteReference w:id="4"/>
      </w:r>
      <w:r w:rsidRPr="00E831AF">
        <w:rPr>
          <w:rFonts w:ascii="Verdana" w:eastAsia="Calibri" w:hAnsi="Verdana" w:cs="Arial"/>
          <w:lang w:val="es-ES"/>
        </w:rPr>
        <w:t>.</w:t>
      </w:r>
    </w:p>
    <w:p w14:paraId="7F4F7134" w14:textId="77777777" w:rsidR="00E00530" w:rsidRPr="00E831AF" w:rsidRDefault="00E00530" w:rsidP="00E00530">
      <w:pPr>
        <w:spacing w:after="120" w:line="276" w:lineRule="auto"/>
        <w:ind w:firstLine="709"/>
        <w:jc w:val="both"/>
        <w:rPr>
          <w:rFonts w:ascii="Verdana" w:eastAsia="Calibri" w:hAnsi="Verdana" w:cs="Arial"/>
          <w:lang w:val="es-ES"/>
        </w:rPr>
      </w:pPr>
      <w:r w:rsidRPr="00E831AF">
        <w:rPr>
          <w:rFonts w:ascii="Verdana" w:eastAsia="Calibri" w:hAnsi="Verdana" w:cs="Arial"/>
          <w:lang w:val="es-ES"/>
        </w:rPr>
        <w:t xml:space="preserve">Lo anterior es destacable porque no es posible tener experiencia si en la práctica no se ha ejercido o ejecutado lo que se ofrece a otros contratantes; y precisamente de la experiencia es que se deriva el conocimiento que tiene el proponente, y que para la contratación pública es importante, ya que garantiza </w:t>
      </w:r>
      <w:r w:rsidRPr="00E831AF">
        <w:rPr>
          <w:rFonts w:ascii="Verdana" w:eastAsia="Calibri" w:hAnsi="Verdana" w:cs="Arial"/>
          <w:lang w:val="es-ES"/>
        </w:rPr>
        <w:lastRenderedPageBreak/>
        <w:t xml:space="preserve">que no existirá improvisación o mayores costos por errores o dificultades originadas en realizar una actividad por primera vez. </w:t>
      </w:r>
    </w:p>
    <w:p w14:paraId="25B6C18B" w14:textId="77777777" w:rsidR="00E00530" w:rsidRPr="00E831AF" w:rsidRDefault="00E00530" w:rsidP="00E00530">
      <w:pPr>
        <w:spacing w:before="120" w:after="120" w:line="276" w:lineRule="auto"/>
        <w:ind w:firstLine="709"/>
        <w:jc w:val="both"/>
        <w:rPr>
          <w:rFonts w:ascii="Verdana" w:eastAsia="Calibri" w:hAnsi="Verdana" w:cs="Arial"/>
          <w:color w:val="000000"/>
          <w:lang w:val="es-ES"/>
        </w:rPr>
      </w:pPr>
      <w:r w:rsidRPr="00E831AF">
        <w:rPr>
          <w:rFonts w:ascii="Verdana" w:eastAsia="Calibri" w:hAnsi="Verdana" w:cs="Arial"/>
          <w:color w:val="000000"/>
          <w:lang w:val="es-ES"/>
        </w:rPr>
        <w:t>A pesar de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 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puntuales que establezcan las Entidades Estatales en sus procesos de contratación, y de esta forma promover el desarrollo de la empresa y la pluralidad de oferentes en la contratación pública.</w:t>
      </w:r>
    </w:p>
    <w:p w14:paraId="6F2BA977" w14:textId="77777777" w:rsidR="00E00530" w:rsidRPr="00E831AF" w:rsidRDefault="00E00530" w:rsidP="00E00530">
      <w:pPr>
        <w:spacing w:after="0" w:line="276" w:lineRule="auto"/>
        <w:ind w:firstLine="708"/>
        <w:jc w:val="both"/>
        <w:rPr>
          <w:rFonts w:ascii="Verdana" w:eastAsia="Calibri" w:hAnsi="Verdana" w:cs="Arial"/>
          <w:lang w:val="es-ES"/>
        </w:rPr>
      </w:pPr>
      <w:r w:rsidRPr="00E831AF">
        <w:rPr>
          <w:rFonts w:ascii="Verdana" w:eastAsia="Calibri" w:hAnsi="Verdana" w:cs="Arial"/>
          <w:lang w:val="es-ES"/>
        </w:rPr>
        <w:t xml:space="preserve">Ahora bien, no debe perderse de vista que el Decreto 1082 de 2015 solo permite que una sociedad acredite la experiencia de quienes tienen la calidad de accionistas, socios o constituyentes durante los primeros tres años de su constitución. Por tanto, si no se tiene o se pierden estas calidades, como sucedería cuando un socio se retira por venta o cesión de su participación y pierde su calidad de socio, ya no sería posible que la sociedad acredite la experiencia aportada por dicha persona. </w:t>
      </w:r>
    </w:p>
    <w:p w14:paraId="79112E5E" w14:textId="77777777" w:rsidR="00E00530" w:rsidRPr="00E831AF" w:rsidRDefault="00E00530" w:rsidP="00E00530">
      <w:pPr>
        <w:spacing w:after="0" w:line="276" w:lineRule="auto"/>
        <w:ind w:firstLine="708"/>
        <w:jc w:val="both"/>
        <w:rPr>
          <w:rFonts w:ascii="Verdana" w:eastAsia="Calibri" w:hAnsi="Verdana" w:cs="Arial"/>
          <w:lang w:val="es-ES"/>
        </w:rPr>
      </w:pPr>
    </w:p>
    <w:p w14:paraId="232CBAF8" w14:textId="77777777" w:rsidR="00E00530" w:rsidRPr="00E831AF" w:rsidRDefault="00E00530" w:rsidP="00E00530">
      <w:pPr>
        <w:spacing w:line="276" w:lineRule="auto"/>
        <w:jc w:val="both"/>
        <w:rPr>
          <w:rFonts w:ascii="Verdana" w:eastAsia="Calibri" w:hAnsi="Verdana" w:cs="Arial"/>
          <w:lang w:val="es-ES"/>
        </w:rPr>
      </w:pPr>
      <w:proofErr w:type="spellStart"/>
      <w:r w:rsidRPr="00E831AF">
        <w:rPr>
          <w:rFonts w:ascii="Verdana" w:eastAsia="Calibri" w:hAnsi="Verdana" w:cs="Arial"/>
          <w:color w:val="000000"/>
          <w:lang w:val="es-ES"/>
        </w:rPr>
        <w:t>ii</w:t>
      </w:r>
      <w:proofErr w:type="spellEnd"/>
      <w:r w:rsidRPr="00E831AF">
        <w:rPr>
          <w:rFonts w:ascii="Verdana" w:eastAsia="Calibri" w:hAnsi="Verdana" w:cs="Arial"/>
          <w:color w:val="000000"/>
          <w:lang w:val="es-ES"/>
        </w:rPr>
        <w:t xml:space="preserve">) </w:t>
      </w:r>
      <w:r w:rsidRPr="00E831AF">
        <w:rPr>
          <w:rFonts w:ascii="Verdana" w:eastAsia="Calibri" w:hAnsi="Verdana" w:cs="Arial"/>
          <w:lang w:val="es-ES"/>
        </w:rPr>
        <w:t>El requisito habilitante de experiencia en los procesos de selección de contratación estatal está regulado en el artículo 2.2.1.1.1.7 del Decreto 1082 de 2015, el cual establece que la experiencia debe ser acreditada mediante contratos que especifiquen su cuantía, permitiendo su valoración en salarios mínimos legales mensuales vigentes (SMLMV), conforme a lo exigido en el Registro Único de Proponentes (RUP).</w:t>
      </w:r>
    </w:p>
    <w:p w14:paraId="060D8873" w14:textId="77777777" w:rsidR="00E00530" w:rsidRPr="00E831AF" w:rsidRDefault="00E00530" w:rsidP="00E00530">
      <w:pPr>
        <w:spacing w:line="276" w:lineRule="auto"/>
        <w:jc w:val="both"/>
        <w:rPr>
          <w:rFonts w:ascii="Verdana" w:eastAsia="Calibri" w:hAnsi="Verdana" w:cs="Arial"/>
          <w:lang w:val="es-ES"/>
        </w:rPr>
      </w:pPr>
      <w:r w:rsidRPr="00E831AF">
        <w:rPr>
          <w:rFonts w:ascii="Verdana" w:eastAsia="Calibri" w:hAnsi="Verdana" w:cs="Arial"/>
          <w:lang w:val="es-ES"/>
        </w:rPr>
        <w:t xml:space="preserve">         Ahora bien, “Manual para Determinar y Verificar los Requisitos Habilitantes en los procesos de Contratación”</w:t>
      </w:r>
      <w:r w:rsidRPr="00E831AF">
        <w:rPr>
          <w:rStyle w:val="FootnoteReference"/>
          <w:rFonts w:ascii="Verdana" w:eastAsia="Calibri" w:hAnsi="Verdana" w:cs="Arial"/>
          <w:lang w:val="es-ES"/>
        </w:rPr>
        <w:footnoteReference w:id="5"/>
      </w:r>
      <w:r w:rsidRPr="00E831AF">
        <w:rPr>
          <w:rFonts w:ascii="Verdana" w:eastAsia="Calibri" w:hAnsi="Verdana" w:cs="Arial"/>
          <w:lang w:val="es-ES"/>
        </w:rPr>
        <w:t xml:space="preserve"> expedido por esta Agencia debe ser entendida como el conocimiento del proponente derivado de su participación previa en actividades iguales o similares a las previstas en el objeto del contrato </w:t>
      </w:r>
      <w:r w:rsidRPr="00E831AF">
        <w:rPr>
          <w:rFonts w:ascii="Verdana" w:eastAsia="Calibri" w:hAnsi="Verdana" w:cs="Arial"/>
          <w:lang w:val="es-ES"/>
        </w:rPr>
        <w:lastRenderedPageBreak/>
        <w:t xml:space="preserve">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w:t>
      </w:r>
    </w:p>
    <w:p w14:paraId="50385AC6" w14:textId="77777777" w:rsidR="00E00530" w:rsidRPr="00E831AF" w:rsidRDefault="00E00530" w:rsidP="00E00530">
      <w:pPr>
        <w:spacing w:line="276" w:lineRule="auto"/>
        <w:jc w:val="both"/>
        <w:rPr>
          <w:rFonts w:ascii="Verdana" w:eastAsia="Calibri" w:hAnsi="Verdana" w:cs="Arial"/>
          <w:lang w:val="es-ES"/>
        </w:rPr>
      </w:pPr>
      <w:r w:rsidRPr="00E831AF">
        <w:rPr>
          <w:rFonts w:ascii="Verdana" w:eastAsia="Calibri" w:hAnsi="Verdana" w:cs="Arial"/>
          <w:lang w:val="es-ES"/>
        </w:rPr>
        <w:t xml:space="preserve">       De igual manera el mencionado manual indica que en el marco de la contratación pública, la experiencia del proponente se reviste de particular importancia, en la medida en que garantiza, en cierto grado, que no habrá improvisación ni mayores costos por errores o dificultades originadas en realizar una actividad por primera vez.  Las Entidades Estatales contratantes, como responsables de la estructuración de los Procesos de Contratación, son autónomas para establecer los requisitos habilitantes de experiencia, de acuerdo con el estudio realizado en marco del análisis del sector</w:t>
      </w:r>
      <w:r w:rsidRPr="00E831AF">
        <w:rPr>
          <w:rStyle w:val="FootnoteReference"/>
          <w:rFonts w:ascii="Verdana" w:eastAsia="Calibri" w:hAnsi="Verdana" w:cs="Arial"/>
          <w:lang w:val="es-ES"/>
        </w:rPr>
        <w:footnoteReference w:id="6"/>
      </w:r>
      <w:r w:rsidRPr="00E831AF">
        <w:rPr>
          <w:rFonts w:ascii="Verdana" w:eastAsia="Calibri" w:hAnsi="Verdana" w:cs="Arial"/>
          <w:lang w:val="es-ES"/>
        </w:rPr>
        <w:t>.</w:t>
      </w:r>
    </w:p>
    <w:p w14:paraId="1CFF4436" w14:textId="77777777" w:rsidR="00E00530" w:rsidRPr="00E831AF" w:rsidRDefault="00E00530" w:rsidP="00E00530">
      <w:pPr>
        <w:spacing w:line="276" w:lineRule="auto"/>
        <w:jc w:val="both"/>
        <w:rPr>
          <w:rFonts w:ascii="Verdana" w:eastAsia="Calibri" w:hAnsi="Verdana" w:cs="Arial"/>
          <w:lang w:val="es-ES"/>
        </w:rPr>
      </w:pPr>
      <w:r w:rsidRPr="00E831AF">
        <w:rPr>
          <w:rFonts w:ascii="Verdana" w:eastAsia="Calibri" w:hAnsi="Verdana" w:cs="Arial"/>
          <w:lang w:val="es-ES"/>
        </w:rPr>
        <w:t xml:space="preserve">      La experiencia requerida en un Proceso de Contratación debe ser adecuada y proporcional a la naturaleza del contrato, su valor, complejidad y riesgo. La experiencia es adecuada cuando es afín al tipo de actividades incluidas dentro del objeto del contrato a celebrar. De otra parte, la experiencia es proporcional cuando tiene relación con el alcance, la cuantía, riesgo y la complejidad del negocio a celebrar. Por ejemplo, en una obra pública con un presupuesto oficial de 100 SMMLV, la experiencia exigida es proporcional si se exige que los proponentes hayan participado en Procesos de Contratación con cuantías similares. </w:t>
      </w:r>
    </w:p>
    <w:p w14:paraId="07E87CC6" w14:textId="77777777" w:rsidR="00E00530" w:rsidRPr="00E831AF" w:rsidRDefault="00E00530" w:rsidP="00E00530">
      <w:pPr>
        <w:spacing w:line="276" w:lineRule="auto"/>
        <w:jc w:val="both"/>
        <w:rPr>
          <w:rFonts w:ascii="Verdana" w:eastAsia="Calibri" w:hAnsi="Verdana" w:cs="Arial"/>
          <w:lang w:val="es-ES"/>
        </w:rPr>
      </w:pPr>
      <w:r w:rsidRPr="00E831AF">
        <w:rPr>
          <w:rFonts w:ascii="Verdana" w:eastAsia="Calibri" w:hAnsi="Verdana" w:cs="Arial"/>
          <w:lang w:val="es-ES"/>
        </w:rPr>
        <w:t xml:space="preserve">      Cabe aclarar que el requisito de que la experiencia sea adecuada y proporcional no implica que esta deba haberse adquirido exclusivamente en contratos cuyo objeto sea exactamente igual al que se pretende contratar. Esta interpretación restrictiva podría excluir a potenciales proponentes que, habiendo ejecutado actividades similares —aunque no idénticas—, cuentan con el conocimiento y la capacidad técnica suficientes para cumplir con las exigencias del proceso. Por tanto, exigir experiencia en condiciones estrictamente iguales a las del objeto contractual puede constituir una barrera injustificada a la participación plural de oferentes.  </w:t>
      </w:r>
    </w:p>
    <w:p w14:paraId="7D077165" w14:textId="77777777" w:rsidR="00E00530" w:rsidRPr="00E831AF" w:rsidRDefault="00E00530" w:rsidP="00E00530">
      <w:pPr>
        <w:spacing w:line="276" w:lineRule="auto"/>
        <w:ind w:firstLine="708"/>
        <w:jc w:val="both"/>
        <w:rPr>
          <w:rFonts w:ascii="Verdana" w:eastAsia="Calibri" w:hAnsi="Verdana" w:cs="Arial"/>
          <w:lang w:val="es-ES"/>
        </w:rPr>
      </w:pPr>
      <w:r w:rsidRPr="00E831AF">
        <w:rPr>
          <w:rFonts w:ascii="Verdana" w:eastAsia="Calibri" w:hAnsi="Verdana" w:cs="Arial"/>
          <w:lang w:val="es-ES"/>
        </w:rPr>
        <w:lastRenderedPageBreak/>
        <w:t>Sobre los medios para acreditar la experiencia, 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p>
    <w:p w14:paraId="21963C1C" w14:textId="77777777" w:rsidR="00E00530" w:rsidRPr="00E831AF" w:rsidRDefault="00E00530" w:rsidP="00E00530">
      <w:pPr>
        <w:spacing w:after="0" w:line="276" w:lineRule="auto"/>
        <w:ind w:firstLine="708"/>
        <w:contextualSpacing/>
        <w:jc w:val="both"/>
        <w:rPr>
          <w:rFonts w:ascii="Verdana" w:eastAsia="Times New Roman" w:hAnsi="Verdana" w:cs="Arial"/>
          <w:szCs w:val="24"/>
          <w:lang w:val="es-ES" w:eastAsia="es-ES_tradnl"/>
        </w:rPr>
      </w:pPr>
      <w:r w:rsidRPr="00E831AF">
        <w:rPr>
          <w:rFonts w:ascii="Verdana" w:hAnsi="Verdana" w:cs="Arial"/>
          <w:lang w:val="es-ES"/>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r w:rsidRPr="00E831AF">
        <w:rPr>
          <w:rFonts w:ascii="Verdana" w:eastAsia="Times New Roman" w:hAnsi="Verdana" w:cs="Arial"/>
          <w:szCs w:val="24"/>
          <w:lang w:val="es-ES" w:eastAsia="es-ES_tradnl"/>
        </w:rPr>
        <w:t>Al respecto, el Consejo de Estado definió la naturaleza y finalidad del RUP de la siguiente forma:</w:t>
      </w:r>
    </w:p>
    <w:p w14:paraId="1B8CC0EF" w14:textId="77777777" w:rsidR="00E00530" w:rsidRPr="00E831AF" w:rsidRDefault="00E00530" w:rsidP="00E00530">
      <w:pPr>
        <w:spacing w:after="0" w:line="276" w:lineRule="auto"/>
        <w:ind w:right="426"/>
        <w:contextualSpacing/>
        <w:rPr>
          <w:rFonts w:ascii="Verdana" w:eastAsia="Times New Roman" w:hAnsi="Verdana" w:cs="Arial"/>
          <w:szCs w:val="24"/>
          <w:lang w:val="es-ES" w:eastAsia="es-ES_tradnl"/>
        </w:rPr>
      </w:pPr>
    </w:p>
    <w:p w14:paraId="01D26499" w14:textId="77777777" w:rsidR="00E00530" w:rsidRPr="00E831AF" w:rsidRDefault="00E00530" w:rsidP="00E00530">
      <w:pPr>
        <w:tabs>
          <w:tab w:val="left" w:pos="8505"/>
        </w:tabs>
        <w:spacing w:after="0" w:line="240" w:lineRule="auto"/>
        <w:ind w:left="709" w:right="709"/>
        <w:contextualSpacing/>
        <w:jc w:val="both"/>
        <w:rPr>
          <w:rFonts w:ascii="Verdana" w:eastAsia="Times New Roman" w:hAnsi="Verdana" w:cs="Arial"/>
          <w:sz w:val="20"/>
          <w:szCs w:val="20"/>
          <w:lang w:val="es-ES" w:eastAsia="es-ES_tradnl"/>
        </w:rPr>
      </w:pPr>
      <w:r w:rsidRPr="00E831AF">
        <w:rPr>
          <w:rFonts w:ascii="Verdana" w:eastAsia="Times New Roman" w:hAnsi="Verdana" w:cs="Arial"/>
          <w:sz w:val="20"/>
          <w:szCs w:val="20"/>
          <w:lang w:val="es-ES"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E831AF">
        <w:rPr>
          <w:rFonts w:ascii="Verdana" w:eastAsia="Times New Roman" w:hAnsi="Verdana" w:cs="Arial"/>
          <w:sz w:val="20"/>
          <w:szCs w:val="20"/>
          <w:vertAlign w:val="superscript"/>
          <w:lang w:val="es-ES" w:eastAsia="es-ES_tradnl"/>
        </w:rPr>
        <w:footnoteReference w:id="7"/>
      </w:r>
      <w:r w:rsidRPr="00E831AF">
        <w:rPr>
          <w:rFonts w:ascii="Verdana" w:eastAsia="Times New Roman" w:hAnsi="Verdana" w:cs="Arial"/>
          <w:sz w:val="20"/>
          <w:szCs w:val="20"/>
          <w:lang w:val="es-ES" w:eastAsia="es-ES_tradnl"/>
        </w:rPr>
        <w:t>.</w:t>
      </w:r>
    </w:p>
    <w:p w14:paraId="7F69F7E7" w14:textId="77777777" w:rsidR="00E00530" w:rsidRPr="00E831AF" w:rsidRDefault="00E00530" w:rsidP="00E00530">
      <w:pPr>
        <w:spacing w:after="120" w:line="276" w:lineRule="auto"/>
        <w:jc w:val="both"/>
        <w:rPr>
          <w:rFonts w:ascii="Verdana" w:eastAsia="Calibri" w:hAnsi="Verdana" w:cs="Arial"/>
          <w:lang w:val="es-ES"/>
        </w:rPr>
      </w:pPr>
    </w:p>
    <w:p w14:paraId="1F584D36" w14:textId="77777777" w:rsidR="00E00530" w:rsidRPr="00E831AF" w:rsidRDefault="00E00530" w:rsidP="00E00530">
      <w:pPr>
        <w:spacing w:after="120" w:line="276" w:lineRule="auto"/>
        <w:ind w:firstLine="708"/>
        <w:jc w:val="both"/>
        <w:rPr>
          <w:rFonts w:ascii="Verdana" w:hAnsi="Verdana"/>
          <w:lang w:val="es-ES"/>
        </w:rPr>
      </w:pPr>
      <w:r w:rsidRPr="00E831AF">
        <w:rPr>
          <w:rFonts w:ascii="Verdana" w:hAnsi="Verdana"/>
          <w:lang w:val="es-ES"/>
        </w:rPr>
        <w:t>El artículo 6 de la Ley 1150 de 2007, establece que “todas las personas naturales o jurídicas, nacionales o extranjeras, domiciliadas o con sucursal en Colombia, que aspiren celebrar contratos con las entidades estatales, deberán estar inscritas en el Registro Único de Proponentes (RUP)</w:t>
      </w:r>
      <w:r w:rsidRPr="00E831AF">
        <w:rPr>
          <w:rStyle w:val="FootnoteReference"/>
          <w:rFonts w:ascii="Verdana" w:eastAsia="Calibri" w:hAnsi="Verdana"/>
          <w:lang w:val="es-ES"/>
        </w:rPr>
        <w:footnoteReference w:id="8"/>
      </w:r>
      <w:r w:rsidRPr="00E831AF">
        <w:rPr>
          <w:rFonts w:ascii="Verdana" w:hAnsi="Verdana"/>
          <w:lang w:val="es-ES"/>
        </w:rPr>
        <w:t xml:space="preserve">”. En dicho registro constará la información relacionada previamente con la experiencia, capacidad jurídica, financiera y de organización del proponente y su clasificación, la cual </w:t>
      </w:r>
      <w:r w:rsidRPr="00E831AF">
        <w:rPr>
          <w:rFonts w:ascii="Verdana" w:hAnsi="Verdana"/>
          <w:lang w:val="es-ES"/>
        </w:rPr>
        <w:lastRenderedPageBreak/>
        <w:t xml:space="preserve">ha tenido que ser acreditada con certificaciones y soportes y verificada por las Cámaras de Comercio para que se surta su inscripción. Estos soportes en el caso de la experiencia igual podrán provenir de empresas nacionales o extranjeras, entidades públicas o privadas. </w:t>
      </w:r>
    </w:p>
    <w:p w14:paraId="1996D794" w14:textId="77777777" w:rsidR="00E00530" w:rsidRPr="00E831AF" w:rsidRDefault="00E00530" w:rsidP="00E00530">
      <w:pPr>
        <w:spacing w:after="120" w:line="276" w:lineRule="auto"/>
        <w:ind w:firstLine="709"/>
        <w:jc w:val="both"/>
        <w:rPr>
          <w:rFonts w:ascii="Verdana" w:eastAsia="Times New Roman" w:hAnsi="Verdana" w:cs="Arial"/>
          <w:lang w:val="es-ES" w:eastAsia="es-ES_tradnl"/>
        </w:rPr>
      </w:pPr>
      <w:r w:rsidRPr="00E831AF">
        <w:rPr>
          <w:rFonts w:ascii="Verdana" w:eastAsia="Times New Roman" w:hAnsi="Verdana" w:cs="Arial"/>
          <w:lang w:val="es-ES" w:eastAsia="es-ES_tradnl"/>
        </w:rPr>
        <w:t>El artículo 6.1 de la Ley 1150 de 2007 dispone que el RUP es plena prueba de la información que contiene</w:t>
      </w:r>
      <w:r w:rsidRPr="00E831AF">
        <w:rPr>
          <w:rFonts w:ascii="Verdana" w:eastAsia="Times New Roman" w:hAnsi="Verdana" w:cs="Arial"/>
          <w:vertAlign w:val="superscript"/>
          <w:lang w:val="es-ES" w:eastAsia="es-ES_tradnl"/>
        </w:rPr>
        <w:footnoteReference w:id="9"/>
      </w:r>
      <w:r w:rsidRPr="00E831AF">
        <w:rPr>
          <w:rFonts w:ascii="Verdana" w:eastAsia="Times New Roman" w:hAnsi="Verdana" w:cs="Arial"/>
          <w:lang w:val="es-ES"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E831AF">
        <w:rPr>
          <w:rFonts w:ascii="Verdana" w:eastAsia="Times New Roman" w:hAnsi="Verdana" w:cs="Arial"/>
          <w:vertAlign w:val="superscript"/>
          <w:lang w:val="es-ES" w:eastAsia="es-ES_tradnl"/>
        </w:rPr>
        <w:footnoteReference w:id="10"/>
      </w:r>
      <w:r w:rsidRPr="00E831AF">
        <w:rPr>
          <w:rFonts w:ascii="Verdana" w:eastAsia="Times New Roman" w:hAnsi="Verdana" w:cs="Arial"/>
          <w:lang w:val="es-ES" w:eastAsia="es-ES_tradnl"/>
        </w:rPr>
        <w:t xml:space="preserve">. </w:t>
      </w:r>
    </w:p>
    <w:p w14:paraId="4AD8FCC4" w14:textId="77777777" w:rsidR="00E00530" w:rsidRPr="00E831AF" w:rsidRDefault="00E00530" w:rsidP="00E00530">
      <w:pPr>
        <w:spacing w:after="120" w:line="276" w:lineRule="auto"/>
        <w:ind w:firstLine="708"/>
        <w:jc w:val="both"/>
        <w:rPr>
          <w:rFonts w:ascii="Verdana" w:hAnsi="Verdana"/>
          <w:i/>
          <w:iCs/>
          <w:lang w:val="es-ES"/>
        </w:rPr>
      </w:pPr>
      <w:r w:rsidRPr="00E831AF">
        <w:rPr>
          <w:rFonts w:ascii="Verdana" w:hAnsi="Verdana"/>
          <w:lang w:val="es-ES"/>
        </w:rPr>
        <w:t xml:space="preserve">No obstante lo anterior, la norma también aclara que </w:t>
      </w:r>
      <w:r w:rsidRPr="00E831AF">
        <w:rPr>
          <w:rFonts w:ascii="Verdana" w:eastAsia="Times New Roman" w:hAnsi="Verdana" w:cs="Arial"/>
          <w:lang w:val="es-ES" w:eastAsia="es-ES_tradnl"/>
        </w:rPr>
        <w:t>el RUP no es exigible en algunos Procedimientos de Contratación, a saber, en los casos de: “</w:t>
      </w:r>
      <w:r w:rsidRPr="00E831AF">
        <w:rPr>
          <w:rFonts w:ascii="Verdana" w:hAnsi="Verdana"/>
          <w:i/>
          <w:iCs/>
          <w:lang w:val="es-ES"/>
        </w:rPr>
        <w:t xml:space="preserve">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w:t>
      </w:r>
      <w:r w:rsidRPr="00E831AF">
        <w:rPr>
          <w:rFonts w:ascii="Verdana" w:hAnsi="Verdana"/>
          <w:i/>
          <w:iCs/>
          <w:lang w:val="es-ES"/>
        </w:rPr>
        <w:lastRenderedPageBreak/>
        <w:t xml:space="preserve">contratantes cumplir con la labor de verificación de las condiciones de los proponentes”. </w:t>
      </w:r>
    </w:p>
    <w:p w14:paraId="0165C74B" w14:textId="77777777" w:rsidR="00E00530" w:rsidRPr="00E831AF" w:rsidRDefault="00E00530" w:rsidP="00E00530">
      <w:pPr>
        <w:spacing w:after="120" w:line="276" w:lineRule="auto"/>
        <w:ind w:firstLine="709"/>
        <w:jc w:val="both"/>
        <w:rPr>
          <w:rFonts w:ascii="Verdana" w:eastAsia="Times New Roman" w:hAnsi="Verdana" w:cs="Arial"/>
          <w:lang w:val="es-ES" w:eastAsia="es-ES_tradnl"/>
        </w:rPr>
      </w:pPr>
      <w:r w:rsidRPr="00E831AF">
        <w:rPr>
          <w:rFonts w:ascii="Verdana" w:eastAsia="Times New Roman" w:hAnsi="Verdana" w:cs="Arial"/>
          <w:lang w:val="es-ES" w:eastAsia="es-ES_tradnl"/>
        </w:rPr>
        <w:t xml:space="preserve">Las anteriores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Adicionalmente, el numeral 6.1. del artículo 6 de la Ley 1150 de 2007 establece que cuando sea necesario verificar requisitos o información que no reposa en RUP, la entidad podrá solicitar información adicional –por ejemplo, longitudes de obra, especificaciones técnicas, entre otros– </w:t>
      </w:r>
      <w:r w:rsidRPr="0077664E">
        <w:rPr>
          <w:rFonts w:ascii="Verdana" w:eastAsia="Times New Roman" w:hAnsi="Verdana" w:cs="Arial"/>
          <w:i/>
          <w:iCs/>
          <w:lang w:val="es-ES" w:eastAsia="es-ES_tradnl"/>
        </w:rPr>
        <w:t>solo para complementar la información contenida en el RUP</w:t>
      </w:r>
      <w:r w:rsidRPr="00E831AF">
        <w:rPr>
          <w:rFonts w:ascii="Verdana" w:eastAsia="Times New Roman" w:hAnsi="Verdana" w:cs="Arial"/>
          <w:vertAlign w:val="superscript"/>
          <w:lang w:val="es-ES" w:eastAsia="es-ES_tradnl"/>
        </w:rPr>
        <w:footnoteReference w:id="11"/>
      </w:r>
      <w:r w:rsidRPr="00E831AF">
        <w:rPr>
          <w:rFonts w:ascii="Verdana" w:eastAsia="Times New Roman" w:hAnsi="Verdana" w:cs="Arial"/>
          <w:lang w:val="es-ES" w:eastAsia="es-ES_tradnl"/>
        </w:rPr>
        <w:t>.</w:t>
      </w:r>
    </w:p>
    <w:p w14:paraId="389B44CA" w14:textId="77777777" w:rsidR="00E00530" w:rsidRPr="00E831AF" w:rsidRDefault="00E00530" w:rsidP="00E00530">
      <w:pPr>
        <w:spacing w:after="120" w:line="276" w:lineRule="auto"/>
        <w:ind w:firstLine="709"/>
        <w:jc w:val="both"/>
        <w:rPr>
          <w:rFonts w:ascii="Verdana" w:eastAsia="Times New Roman" w:hAnsi="Verdana" w:cs="Arial"/>
          <w:lang w:val="es-ES" w:eastAsia="es-ES_tradnl"/>
        </w:rPr>
      </w:pPr>
      <w:r w:rsidRPr="00E831AF">
        <w:rPr>
          <w:rFonts w:ascii="Verdana" w:eastAsia="Times New Roman" w:hAnsi="Verdana" w:cs="Arial"/>
          <w:lang w:val="es-ES"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E831AF">
        <w:rPr>
          <w:rFonts w:ascii="Verdana" w:eastAsia="Times New Roman" w:hAnsi="Verdana" w:cs="Arial"/>
          <w:vertAlign w:val="superscript"/>
          <w:lang w:val="es-ES" w:eastAsia="es-ES_tradnl"/>
        </w:rPr>
        <w:footnoteReference w:id="12"/>
      </w:r>
      <w:r w:rsidRPr="00E831AF">
        <w:rPr>
          <w:rFonts w:ascii="Verdana" w:eastAsia="Times New Roman" w:hAnsi="Verdana" w:cs="Arial"/>
          <w:lang w:val="es-ES" w:eastAsia="es-ES_tradnl"/>
        </w:rPr>
        <w:t>. Lo anterior fue ratificado por el Consejo de Estado cuando enumeró las excepciones en las cuales las entidades tienen la obligación de verificar los requisitos habilitantes de los proponentes</w:t>
      </w:r>
      <w:r w:rsidRPr="00E831AF">
        <w:rPr>
          <w:rFonts w:ascii="Verdana" w:eastAsia="Times New Roman" w:hAnsi="Verdana" w:cs="Arial"/>
          <w:vertAlign w:val="superscript"/>
          <w:lang w:val="es-ES" w:eastAsia="es-ES_tradnl"/>
        </w:rPr>
        <w:footnoteReference w:id="13"/>
      </w:r>
      <w:r w:rsidRPr="00E831AF">
        <w:rPr>
          <w:rFonts w:ascii="Verdana" w:eastAsia="Times New Roman" w:hAnsi="Verdana" w:cs="Arial"/>
          <w:lang w:val="es-ES" w:eastAsia="es-ES_tradnl"/>
        </w:rPr>
        <w:t xml:space="preserve">.  </w:t>
      </w:r>
    </w:p>
    <w:p w14:paraId="37AACA3C" w14:textId="77777777" w:rsidR="00E00530" w:rsidRPr="00E831AF" w:rsidRDefault="00E00530" w:rsidP="00E00530">
      <w:pPr>
        <w:spacing w:after="120" w:line="276" w:lineRule="auto"/>
        <w:ind w:firstLine="709"/>
        <w:jc w:val="both"/>
        <w:rPr>
          <w:rFonts w:ascii="Verdana" w:eastAsia="Calibri" w:hAnsi="Verdana" w:cs="Arial"/>
          <w:lang w:val="es-ES" w:eastAsia="es-CO"/>
        </w:rPr>
      </w:pPr>
      <w:r w:rsidRPr="00E831AF">
        <w:rPr>
          <w:rFonts w:ascii="Verdana" w:eastAsia="Calibri" w:hAnsi="Verdana" w:cs="Arial"/>
          <w:lang w:val="es-ES" w:eastAsia="es-CO"/>
        </w:rPr>
        <w:t xml:space="preserve">Sin perjuicio de lo anterior, cuando por las características del objeto a contratar y con la finalidad de acreditar una debida idoneidad y experiencia del proponente, se requieran verificar requisitos o información </w:t>
      </w:r>
      <w:r w:rsidRPr="00E831AF">
        <w:rPr>
          <w:rFonts w:ascii="Verdana" w:eastAsia="Calibri" w:hAnsi="Verdana" w:cs="Arial"/>
          <w:i/>
          <w:iCs/>
          <w:lang w:val="es-ES" w:eastAsia="es-CO"/>
        </w:rPr>
        <w:t>adicional a los contenidos en el RUP</w:t>
      </w:r>
      <w:r w:rsidRPr="00E831AF">
        <w:rPr>
          <w:rFonts w:ascii="Verdana" w:eastAsia="Calibri" w:hAnsi="Verdana" w:cs="Arial"/>
          <w:lang w:val="es-ES" w:eastAsia="es-CO"/>
        </w:rPr>
        <w:t xml:space="preserve">, las entidades deben hacer la verificación de forma directa. Esto también sucede en los procedimientos de selección en los cuales no es </w:t>
      </w:r>
      <w:r w:rsidRPr="00E831AF">
        <w:rPr>
          <w:rFonts w:ascii="Verdana" w:eastAsia="Calibri" w:hAnsi="Verdana" w:cs="Arial"/>
          <w:lang w:val="es-ES" w:eastAsia="es-CO"/>
        </w:rPr>
        <w:lastRenderedPageBreak/>
        <w:t>exigible el RUP, de acuerdo con lo establecido en el inciso segundo del artículo 6 de la Ley 1150 de 2007</w:t>
      </w:r>
      <w:r w:rsidRPr="00E831AF">
        <w:rPr>
          <w:rFonts w:ascii="Verdana" w:eastAsia="Calibri" w:hAnsi="Verdana" w:cs="Arial"/>
          <w:vertAlign w:val="superscript"/>
          <w:lang w:val="es-ES" w:eastAsia="es-CO"/>
        </w:rPr>
        <w:footnoteReference w:id="14"/>
      </w:r>
      <w:r w:rsidRPr="00E831AF">
        <w:rPr>
          <w:rFonts w:ascii="Verdana" w:eastAsia="Calibri" w:hAnsi="Verdana" w:cs="Arial"/>
          <w:lang w:val="es-ES" w:eastAsia="es-CO"/>
        </w:rPr>
        <w:t xml:space="preserve">. En ambos supuestos, la entidad estatal, en el marco de la autonomía y la potestad de dirección que le asiste en los procesos de contratación que adelanta </w:t>
      </w:r>
      <w:r w:rsidRPr="00E831AF">
        <w:rPr>
          <w:rFonts w:ascii="Verdana" w:eastAsia="Calibri" w:hAnsi="Verdana" w:cs="Arial"/>
          <w:i/>
          <w:iCs/>
          <w:lang w:val="es-ES" w:eastAsia="es-CO"/>
        </w:rPr>
        <w:t>debe establecer en los documentos del proceso</w:t>
      </w:r>
      <w:r w:rsidRPr="00E831AF">
        <w:rPr>
          <w:rFonts w:ascii="Verdana" w:eastAsia="Calibri" w:hAnsi="Verdana" w:cs="Arial"/>
          <w:lang w:val="es-ES" w:eastAsia="es-CO"/>
        </w:rPr>
        <w:t xml:space="preserve"> –particularmente en el pliego de condiciones o la invitación– los documentos o instrumentos que exigirá a los proponentes para acreditar dicha experiencia, contando con cierta discrecionalidad para establecer qué documentos son adecuados y proporcionales para verificar el requisito de experiencia establecido. Las entidades por ejemplo suelen requerir documentos como actas de liquidación, actas de entrega, actas de terminación, o de recibo definitivo, certificaciones expedidas con posterioridad a la fecha de terminación del contrato, entre otros documentos.</w:t>
      </w:r>
    </w:p>
    <w:p w14:paraId="2E1D1E5D" w14:textId="77777777" w:rsidR="00E00530" w:rsidRPr="00E831AF" w:rsidRDefault="00E00530" w:rsidP="00E00530">
      <w:pPr>
        <w:spacing w:after="120" w:line="276" w:lineRule="auto"/>
        <w:ind w:firstLine="708"/>
        <w:jc w:val="both"/>
        <w:rPr>
          <w:rFonts w:ascii="Verdana" w:hAnsi="Verdana" w:cs="Arial"/>
          <w:lang w:val="es-ES"/>
        </w:rPr>
      </w:pPr>
      <w:r w:rsidRPr="00E831AF">
        <w:rPr>
          <w:rFonts w:ascii="Verdana" w:eastAsia="Calibri" w:hAnsi="Verdana" w:cs="Arial"/>
          <w:lang w:val="es-ES" w:eastAsia="es-CO"/>
        </w:rPr>
        <w:t xml:space="preserve">Ahora bien, </w:t>
      </w:r>
      <w:r w:rsidRPr="00E831AF">
        <w:rPr>
          <w:rFonts w:ascii="Verdana" w:hAnsi="Verdana" w:cs="Arial"/>
          <w:lang w:val="es-ES"/>
        </w:rPr>
        <w:t xml:space="preserve">el Decreto 1082 de 2015, en el artículo </w:t>
      </w:r>
      <w:bookmarkStart w:id="4" w:name="_Hlk192803843"/>
      <w:r w:rsidRPr="00E831AF">
        <w:rPr>
          <w:rFonts w:ascii="Verdana" w:hAnsi="Verdana" w:cs="Arial"/>
          <w:lang w:val="es-ES"/>
        </w:rPr>
        <w:t>2.2.1.1.1.5.2</w:t>
      </w:r>
      <w:bookmarkEnd w:id="4"/>
      <w:r w:rsidRPr="00E831AF">
        <w:rPr>
          <w:rFonts w:ascii="Verdana" w:hAnsi="Verdana" w:cs="Arial"/>
          <w:lang w:val="es-ES"/>
        </w:rPr>
        <w:t>,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E831AF">
        <w:rPr>
          <w:rStyle w:val="FootnoteReference"/>
          <w:rFonts w:ascii="Verdana" w:hAnsi="Verdana" w:cs="Arial"/>
          <w:lang w:val="es-ES"/>
        </w:rPr>
        <w:footnoteReference w:id="15"/>
      </w:r>
      <w:r w:rsidRPr="00E831AF">
        <w:rPr>
          <w:rFonts w:ascii="Verdana" w:hAnsi="Verdana" w:cs="Arial"/>
          <w:lang w:val="es-ES"/>
        </w:rPr>
        <w:t xml:space="preserve">.  </w:t>
      </w:r>
    </w:p>
    <w:p w14:paraId="2E22A2F6" w14:textId="77777777" w:rsidR="00E00530" w:rsidRPr="00E831AF" w:rsidRDefault="00E00530" w:rsidP="00E00530">
      <w:pPr>
        <w:spacing w:after="0" w:line="276" w:lineRule="auto"/>
        <w:ind w:firstLine="708"/>
        <w:jc w:val="both"/>
        <w:rPr>
          <w:rFonts w:ascii="Verdana" w:hAnsi="Verdana" w:cs="Arial"/>
          <w:lang w:val="es-ES"/>
        </w:rPr>
      </w:pPr>
      <w:r w:rsidRPr="00E831AF">
        <w:rPr>
          <w:rFonts w:ascii="Verdana" w:hAnsi="Verdana" w:cs="Arial"/>
          <w:lang w:val="es-ES"/>
        </w:rPr>
        <w:t>El numeral 2.5</w:t>
      </w:r>
      <w:r w:rsidRPr="00E831AF">
        <w:rPr>
          <w:rStyle w:val="FootnoteReference"/>
          <w:rFonts w:ascii="Verdana" w:hAnsi="Verdana" w:cs="Arial"/>
          <w:lang w:val="es-ES"/>
        </w:rPr>
        <w:footnoteReference w:id="16"/>
      </w:r>
      <w:r w:rsidRPr="00E831AF">
        <w:rPr>
          <w:rFonts w:ascii="Verdana" w:hAnsi="Verdana" w:cs="Arial"/>
          <w:lang w:val="es-ES"/>
        </w:rPr>
        <w:t xml:space="preserve"> del mismo artículo señala que la persona jurídica se registrará aportando los certificados de la experiencia </w:t>
      </w:r>
      <w:r w:rsidRPr="00E831AF">
        <w:rPr>
          <w:rFonts w:ascii="Verdana" w:hAnsi="Verdana" w:cs="Arial"/>
          <w:i/>
          <w:iCs/>
          <w:lang w:val="es-ES"/>
        </w:rPr>
        <w:t xml:space="preserve">en la provisión de los </w:t>
      </w:r>
      <w:r w:rsidRPr="00E831AF">
        <w:rPr>
          <w:rFonts w:ascii="Verdana" w:hAnsi="Verdana" w:cs="Arial"/>
          <w:i/>
          <w:iCs/>
          <w:lang w:val="es-ES"/>
        </w:rPr>
        <w:lastRenderedPageBreak/>
        <w:t>bienes, obras y servicios que ofrecerá a las entidades estatales</w:t>
      </w:r>
      <w:r w:rsidRPr="00E831AF">
        <w:rPr>
          <w:rFonts w:ascii="Verdana" w:hAnsi="Verdana" w:cs="Arial"/>
          <w:lang w:val="es-ES"/>
        </w:rPr>
        <w:t xml:space="preserve">,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01D294A8" w14:textId="77777777" w:rsidR="00E00530" w:rsidRPr="00E831AF" w:rsidRDefault="00E00530" w:rsidP="00E00530">
      <w:pPr>
        <w:spacing w:after="0" w:line="276" w:lineRule="auto"/>
        <w:ind w:firstLine="708"/>
        <w:jc w:val="both"/>
        <w:rPr>
          <w:rFonts w:ascii="Verdana" w:hAnsi="Verdana" w:cs="Arial"/>
          <w:lang w:val="es-ES"/>
        </w:rPr>
      </w:pPr>
    </w:p>
    <w:p w14:paraId="069DA9FB" w14:textId="77777777" w:rsidR="00E00530" w:rsidRPr="00E831AF" w:rsidRDefault="00E00530" w:rsidP="00E00530">
      <w:pPr>
        <w:spacing w:after="120" w:line="276" w:lineRule="auto"/>
        <w:jc w:val="both"/>
        <w:rPr>
          <w:rFonts w:ascii="Verdana" w:hAnsi="Verdana" w:cs="Arial"/>
          <w:lang w:val="es-ES"/>
        </w:rPr>
      </w:pPr>
      <w:proofErr w:type="spellStart"/>
      <w:r w:rsidRPr="00E831AF">
        <w:rPr>
          <w:rFonts w:ascii="Verdana" w:hAnsi="Verdana" w:cs="Arial"/>
          <w:lang w:val="es-ES"/>
        </w:rPr>
        <w:t>iii</w:t>
      </w:r>
      <w:proofErr w:type="spellEnd"/>
      <w:r w:rsidRPr="00E831AF">
        <w:rPr>
          <w:rFonts w:ascii="Verdana" w:hAnsi="Verdana" w:cs="Arial"/>
          <w:lang w:val="es-ES"/>
        </w:rPr>
        <w:t xml:space="preserve">) Con respecto a su consulta, lo expuesto implica que el numeral 2.5 del artículo 2.2.1.1.1.5.2 del Decreto 1082 de 2015 exige que el socio constituyente acredite experiencia en "la provisión de bienes, obras y servicios", de modo que no estableció que su experiencia deba provenir de su participación como la de ejecutor directo de determinadas actividades. En este sentido, la norma autoriza que la persona jurídica </w:t>
      </w:r>
      <w:r>
        <w:rPr>
          <w:rFonts w:ascii="Verdana" w:hAnsi="Verdana" w:cs="Arial"/>
          <w:lang w:val="es-ES"/>
        </w:rPr>
        <w:t>con menos de tres (3) años de constitución</w:t>
      </w:r>
      <w:r w:rsidRPr="00E831AF">
        <w:rPr>
          <w:rFonts w:ascii="Verdana" w:hAnsi="Verdana" w:cs="Arial"/>
          <w:lang w:val="es-ES"/>
        </w:rPr>
        <w:t xml:space="preserve"> acredite la experiencia de sus socios en la provisión de bienes, obras o servicios, sin imponer una calidad específica en la ejecución de dicha experiencia. </w:t>
      </w:r>
    </w:p>
    <w:p w14:paraId="698EB775" w14:textId="77777777" w:rsidR="00E00530" w:rsidRPr="00E831AF" w:rsidRDefault="00E00530" w:rsidP="00E00530">
      <w:pPr>
        <w:spacing w:after="120" w:line="276" w:lineRule="auto"/>
        <w:ind w:firstLine="709"/>
        <w:jc w:val="both"/>
        <w:rPr>
          <w:rFonts w:ascii="Verdana" w:hAnsi="Verdana" w:cs="Arial"/>
          <w:lang w:val="es-ES"/>
        </w:rPr>
      </w:pPr>
      <w:r w:rsidRPr="00E831AF">
        <w:rPr>
          <w:rFonts w:ascii="Verdana" w:hAnsi="Verdana" w:cs="Arial"/>
          <w:lang w:val="es-ES"/>
        </w:rPr>
        <w:t>L</w:t>
      </w:r>
      <w:r w:rsidRPr="0000084C">
        <w:rPr>
          <w:rFonts w:ascii="Verdana" w:hAnsi="Verdana" w:cs="Arial"/>
          <w:lang w:val="es-ES"/>
        </w:rPr>
        <w:t xml:space="preserve">a experiencia es aquella que se deriva de los contratos que el proponente ha celebrado y ejecutado con diferentes contratantes, sin importar la naturaleza de estos, </w:t>
      </w:r>
      <w:r>
        <w:rPr>
          <w:rFonts w:ascii="Verdana" w:hAnsi="Verdana" w:cs="Arial"/>
          <w:lang w:val="es-ES"/>
        </w:rPr>
        <w:t xml:space="preserve"> de acuerdo con lo establecido en el </w:t>
      </w:r>
      <w:r w:rsidRPr="0000084C">
        <w:rPr>
          <w:rFonts w:ascii="Verdana" w:hAnsi="Verdana" w:cs="Arial"/>
          <w:lang w:val="es-ES"/>
        </w:rPr>
        <w:t>RUP. En</w:t>
      </w:r>
      <w:r>
        <w:rPr>
          <w:rFonts w:ascii="Verdana" w:hAnsi="Verdana" w:cs="Arial"/>
          <w:lang w:val="es-ES"/>
        </w:rPr>
        <w:t xml:space="preserve"> el supuesto de la consulta</w:t>
      </w:r>
      <w:r w:rsidRPr="0000084C">
        <w:rPr>
          <w:rFonts w:ascii="Verdana" w:hAnsi="Verdana" w:cs="Arial"/>
          <w:lang w:val="es-ES"/>
        </w:rPr>
        <w:t xml:space="preserve">, el socio ejerció funciones de Gerente de Proyecto en </w:t>
      </w:r>
      <w:r w:rsidRPr="00E831AF">
        <w:rPr>
          <w:rFonts w:ascii="Verdana" w:hAnsi="Verdana" w:cs="Arial"/>
          <w:lang w:val="es-ES"/>
        </w:rPr>
        <w:t xml:space="preserve">determinados contratos. Esto constituye una forma </w:t>
      </w:r>
      <w:r w:rsidRPr="0000084C">
        <w:rPr>
          <w:rFonts w:ascii="Verdana" w:hAnsi="Verdana" w:cs="Arial"/>
          <w:lang w:val="es-ES"/>
        </w:rPr>
        <w:t>de participación en la ejecución</w:t>
      </w:r>
      <w:r w:rsidRPr="00E831AF">
        <w:rPr>
          <w:rFonts w:ascii="Verdana" w:hAnsi="Verdana" w:cs="Arial"/>
          <w:lang w:val="es-ES"/>
        </w:rPr>
        <w:t xml:space="preserve"> mediante</w:t>
      </w:r>
      <w:r w:rsidRPr="0000084C">
        <w:rPr>
          <w:rFonts w:ascii="Verdana" w:hAnsi="Verdana" w:cs="Arial"/>
          <w:lang w:val="es-ES"/>
        </w:rPr>
        <w:t xml:space="preserve"> la dirección técnica y gerencial de un proyecto, que </w:t>
      </w:r>
      <w:r w:rsidRPr="00E831AF">
        <w:rPr>
          <w:rFonts w:ascii="Verdana" w:hAnsi="Verdana" w:cs="Arial"/>
          <w:lang w:val="es-ES"/>
        </w:rPr>
        <w:t xml:space="preserve">puede generar el </w:t>
      </w:r>
      <w:r w:rsidRPr="0000084C">
        <w:rPr>
          <w:rFonts w:ascii="Verdana" w:hAnsi="Verdana" w:cs="Arial"/>
          <w:lang w:val="es-ES"/>
        </w:rPr>
        <w:t>conocimiento</w:t>
      </w:r>
      <w:r w:rsidRPr="00E831AF">
        <w:rPr>
          <w:rFonts w:ascii="Verdana" w:hAnsi="Verdana" w:cs="Arial"/>
          <w:lang w:val="es-ES"/>
        </w:rPr>
        <w:t xml:space="preserve"> y experiencia para ejecutar determinadas actividades, la cual puede ser igual o superior a la </w:t>
      </w:r>
      <w:r w:rsidRPr="0000084C">
        <w:rPr>
          <w:rFonts w:ascii="Verdana" w:hAnsi="Verdana" w:cs="Arial"/>
          <w:lang w:val="es-ES"/>
        </w:rPr>
        <w:t xml:space="preserve">de quien </w:t>
      </w:r>
      <w:r w:rsidRPr="00E831AF">
        <w:rPr>
          <w:rFonts w:ascii="Verdana" w:hAnsi="Verdana" w:cs="Arial"/>
          <w:lang w:val="es-ES"/>
        </w:rPr>
        <w:t>ejecutó materialmente el contrato, según el caso específico.</w:t>
      </w:r>
    </w:p>
    <w:p w14:paraId="2320F9F5" w14:textId="77777777" w:rsidR="00E00530" w:rsidRPr="00E831AF" w:rsidRDefault="00E00530" w:rsidP="00E00530">
      <w:pPr>
        <w:spacing w:after="120" w:line="276" w:lineRule="auto"/>
        <w:ind w:firstLine="709"/>
        <w:jc w:val="both"/>
        <w:rPr>
          <w:rFonts w:ascii="Verdana" w:hAnsi="Verdana" w:cs="Arial"/>
          <w:lang w:val="es-ES"/>
        </w:rPr>
      </w:pPr>
      <w:r w:rsidRPr="00E831AF">
        <w:rPr>
          <w:rFonts w:ascii="Verdana" w:hAnsi="Verdana" w:cs="Arial"/>
          <w:lang w:val="es-ES"/>
        </w:rPr>
        <w:t xml:space="preserve">En particular, es importante resaltar que </w:t>
      </w:r>
      <w:r w:rsidRPr="0000084C">
        <w:rPr>
          <w:rFonts w:ascii="Verdana" w:hAnsi="Verdana" w:cs="Arial"/>
          <w:lang w:val="es-ES"/>
        </w:rPr>
        <w:t>la Cámara de Comercio competente verificó la documentación soporte, consideró válida esa experiencia y la inscribió en el RUP</w:t>
      </w:r>
      <w:r w:rsidRPr="00E831AF">
        <w:rPr>
          <w:rFonts w:ascii="Verdana" w:hAnsi="Verdana" w:cs="Arial"/>
          <w:lang w:val="es-ES"/>
        </w:rPr>
        <w:t xml:space="preserve">. De esta forma, es claro que, en los procesos en los que es exigible, la experiencia de los accionistas, socios o constituyentes que la </w:t>
      </w:r>
      <w:r w:rsidRPr="0000084C">
        <w:rPr>
          <w:rFonts w:ascii="Verdana" w:hAnsi="Verdana" w:cs="Arial"/>
          <w:lang w:val="es-ES"/>
        </w:rPr>
        <w:t>persona jurídica que tiene menos de tres (3) años de constitución</w:t>
      </w:r>
      <w:r w:rsidRPr="00E831AF">
        <w:rPr>
          <w:rFonts w:ascii="Verdana" w:hAnsi="Verdana" w:cs="Arial"/>
          <w:lang w:val="es-ES"/>
        </w:rPr>
        <w:t xml:space="preserve"> acredita </w:t>
      </w:r>
      <w:r w:rsidRPr="0000084C">
        <w:rPr>
          <w:rFonts w:ascii="Verdana" w:hAnsi="Verdana" w:cs="Arial"/>
          <w:lang w:val="es-ES"/>
        </w:rPr>
        <w:t>solo puede verificarse con el</w:t>
      </w:r>
      <w:r w:rsidRPr="00E831AF">
        <w:rPr>
          <w:rFonts w:ascii="Verdana" w:hAnsi="Verdana" w:cs="Arial"/>
          <w:lang w:val="es-ES"/>
        </w:rPr>
        <w:t xml:space="preserve"> RUP</w:t>
      </w:r>
      <w:r w:rsidRPr="0000084C">
        <w:rPr>
          <w:rFonts w:ascii="Verdana" w:hAnsi="Verdana" w:cs="Arial"/>
          <w:lang w:val="es-ES"/>
        </w:rPr>
        <w:t xml:space="preserve">, sin que sea posible para la entidad contratante solicitar documentos adicionales </w:t>
      </w:r>
      <w:r w:rsidRPr="00E831AF">
        <w:rPr>
          <w:rFonts w:ascii="Verdana" w:hAnsi="Verdana" w:cs="Arial"/>
          <w:lang w:val="es-ES"/>
        </w:rPr>
        <w:t>para verificar lo que allí consta</w:t>
      </w:r>
      <w:r w:rsidRPr="0000084C">
        <w:rPr>
          <w:rFonts w:ascii="Verdana" w:hAnsi="Verdana" w:cs="Arial"/>
          <w:lang w:val="es-ES"/>
        </w:rPr>
        <w:t>.</w:t>
      </w:r>
      <w:r w:rsidRPr="00E831AF">
        <w:rPr>
          <w:rFonts w:ascii="Verdana" w:hAnsi="Verdana" w:cs="Arial"/>
          <w:lang w:val="es-ES"/>
        </w:rPr>
        <w:t xml:space="preserve"> Esto se debe a </w:t>
      </w:r>
      <w:r w:rsidRPr="00E831AF">
        <w:rPr>
          <w:rFonts w:ascii="Verdana" w:hAnsi="Verdana" w:cs="Arial"/>
          <w:lang w:val="es-ES"/>
        </w:rPr>
        <w:lastRenderedPageBreak/>
        <w:t>que e</w:t>
      </w:r>
      <w:r w:rsidRPr="0000084C">
        <w:rPr>
          <w:rFonts w:ascii="Verdana" w:hAnsi="Verdana" w:cs="Arial"/>
          <w:lang w:val="es-ES"/>
        </w:rPr>
        <w:t>l artículo 6.1 de la Ley 1150 de 2007 es categórico</w:t>
      </w:r>
      <w:r w:rsidRPr="00E831AF">
        <w:rPr>
          <w:rFonts w:ascii="Verdana" w:hAnsi="Verdana" w:cs="Arial"/>
          <w:lang w:val="es-ES"/>
        </w:rPr>
        <w:t xml:space="preserve"> en que</w:t>
      </w:r>
      <w:r w:rsidRPr="0000084C">
        <w:rPr>
          <w:rFonts w:ascii="Verdana" w:hAnsi="Verdana" w:cs="Arial"/>
          <w:lang w:val="es-ES"/>
        </w:rPr>
        <w:t xml:space="preserve"> el certificado del RUP es plena prueba de las circunstancias que en él consten y que hayan sido verificadas por las Cámaras de Comercio.</w:t>
      </w:r>
      <w:r w:rsidRPr="00E831AF">
        <w:rPr>
          <w:rFonts w:ascii="Verdana" w:hAnsi="Verdana" w:cs="Arial"/>
          <w:lang w:val="es-ES"/>
        </w:rPr>
        <w:t xml:space="preserve"> </w:t>
      </w:r>
    </w:p>
    <w:p w14:paraId="4321FD3A" w14:textId="77777777" w:rsidR="00E00530" w:rsidRPr="00E831AF" w:rsidRDefault="00E00530" w:rsidP="00E00530">
      <w:pPr>
        <w:spacing w:after="120" w:line="276" w:lineRule="auto"/>
        <w:ind w:firstLine="709"/>
        <w:jc w:val="both"/>
        <w:rPr>
          <w:rFonts w:ascii="Verdana" w:hAnsi="Verdana" w:cs="Arial"/>
          <w:lang w:val="es-ES"/>
        </w:rPr>
      </w:pPr>
      <w:r w:rsidRPr="00E831AF">
        <w:rPr>
          <w:rFonts w:ascii="Verdana" w:hAnsi="Verdana" w:cs="Arial"/>
          <w:lang w:val="es-ES"/>
        </w:rPr>
        <w:t>E</w:t>
      </w:r>
      <w:r w:rsidRPr="00E831AF">
        <w:rPr>
          <w:rFonts w:ascii="Verdana" w:eastAsia="Times New Roman" w:hAnsi="Verdana" w:cs="Arial"/>
          <w:lang w:val="es-ES" w:eastAsia="es-ES_tradnl"/>
        </w:rPr>
        <w:t xml:space="preserve">l numeral 6.1. del artículo 6 de la Ley 1150 de 2007 establece que </w:t>
      </w:r>
      <w:r w:rsidRPr="00E831AF">
        <w:rPr>
          <w:rFonts w:ascii="Verdana" w:hAnsi="Verdana" w:cs="Arial"/>
          <w:lang w:val="es-ES"/>
        </w:rPr>
        <w:t>la entidad</w:t>
      </w:r>
      <w:r>
        <w:rPr>
          <w:rFonts w:ascii="Verdana" w:hAnsi="Verdana" w:cs="Arial"/>
          <w:lang w:val="es-ES"/>
        </w:rPr>
        <w:t xml:space="preserve"> </w:t>
      </w:r>
      <w:r w:rsidRPr="00E831AF">
        <w:rPr>
          <w:rFonts w:ascii="Verdana" w:hAnsi="Verdana" w:cs="Arial"/>
          <w:lang w:val="es-ES"/>
        </w:rPr>
        <w:t xml:space="preserve">puede solicitar información adicional, limita esta facultad a que </w:t>
      </w:r>
      <w:r w:rsidRPr="00E831AF">
        <w:rPr>
          <w:rFonts w:ascii="Verdana" w:eastAsia="Times New Roman" w:hAnsi="Verdana" w:cs="Arial"/>
          <w:lang w:val="es-ES" w:eastAsia="es-ES_tradnl"/>
        </w:rPr>
        <w:t xml:space="preserve">sea necesario verificar requisitos o información que </w:t>
      </w:r>
      <w:r w:rsidRPr="00E831AF">
        <w:rPr>
          <w:rFonts w:ascii="Verdana" w:eastAsia="Times New Roman" w:hAnsi="Verdana" w:cs="Arial"/>
          <w:i/>
          <w:iCs/>
          <w:lang w:val="es-ES" w:eastAsia="es-ES_tradnl"/>
        </w:rPr>
        <w:t>no</w:t>
      </w:r>
      <w:r w:rsidRPr="00E831AF">
        <w:rPr>
          <w:rFonts w:ascii="Verdana" w:eastAsia="Times New Roman" w:hAnsi="Verdana" w:cs="Arial"/>
          <w:lang w:val="es-ES" w:eastAsia="es-ES_tradnl"/>
        </w:rPr>
        <w:t xml:space="preserve"> reposa en RUP</w:t>
      </w:r>
      <w:r w:rsidRPr="00E831AF">
        <w:rPr>
          <w:rFonts w:ascii="Verdana" w:eastAsia="Calibri" w:hAnsi="Verdana" w:cs="Arial"/>
          <w:lang w:val="es-ES" w:eastAsia="es-CO"/>
        </w:rPr>
        <w:t xml:space="preserve"> cuando por las características del objeto a contratar y con la finalidad de acreditar una debida idoneidad y experiencia del proponente, se requieran verificar requisitos o información </w:t>
      </w:r>
      <w:r w:rsidRPr="00E831AF">
        <w:rPr>
          <w:rFonts w:ascii="Verdana" w:eastAsia="Calibri" w:hAnsi="Verdana" w:cs="Arial"/>
          <w:i/>
          <w:iCs/>
          <w:lang w:val="es-ES" w:eastAsia="es-CO"/>
        </w:rPr>
        <w:t>adicional a los contenidos en el RUP</w:t>
      </w:r>
      <w:r w:rsidRPr="00E831AF">
        <w:rPr>
          <w:rFonts w:ascii="Verdana" w:eastAsia="Calibri" w:hAnsi="Verdana" w:cs="Arial"/>
          <w:lang w:val="es-ES" w:eastAsia="es-CO"/>
        </w:rPr>
        <w:t xml:space="preserve">. Sin embargo, </w:t>
      </w:r>
      <w:r>
        <w:rPr>
          <w:rFonts w:ascii="Verdana" w:hAnsi="Verdana" w:cs="Arial"/>
          <w:lang w:val="es-ES"/>
        </w:rPr>
        <w:t>l</w:t>
      </w:r>
      <w:r w:rsidRPr="0000084C">
        <w:rPr>
          <w:rFonts w:ascii="Verdana" w:hAnsi="Verdana" w:cs="Arial"/>
          <w:lang w:val="es-ES"/>
        </w:rPr>
        <w:t>a excepción consagrada en el inciso 3 del numeral 6.1 del artículo 6 de la Ley 1150 de 2007</w:t>
      </w:r>
      <w:r w:rsidRPr="00E831AF">
        <w:rPr>
          <w:rFonts w:ascii="Verdana" w:hAnsi="Verdana" w:cs="Arial"/>
          <w:lang w:val="es-ES"/>
        </w:rPr>
        <w:t xml:space="preserve">, </w:t>
      </w:r>
      <w:r w:rsidRPr="0000084C">
        <w:rPr>
          <w:rFonts w:ascii="Verdana" w:hAnsi="Verdana" w:cs="Arial"/>
          <w:lang w:val="es-ES"/>
        </w:rPr>
        <w:t>que permite a la entidad verificar requisitos adicionales a los del RUP cuando las características del objeto lo requieran</w:t>
      </w:r>
      <w:r w:rsidRPr="00E831AF">
        <w:rPr>
          <w:rFonts w:ascii="Verdana" w:hAnsi="Verdana" w:cs="Arial"/>
          <w:lang w:val="es-ES"/>
        </w:rPr>
        <w:t xml:space="preserve">, </w:t>
      </w:r>
      <w:r w:rsidRPr="0000084C">
        <w:rPr>
          <w:rFonts w:ascii="Verdana" w:hAnsi="Verdana" w:cs="Arial"/>
          <w:lang w:val="es-ES"/>
        </w:rPr>
        <w:t xml:space="preserve">es de interpretación restrictiva y no faculta a la entidad para desconocer lo ya verificado e inscrito en el RUP, sino </w:t>
      </w:r>
      <w:r w:rsidRPr="00E831AF">
        <w:rPr>
          <w:rFonts w:ascii="Verdana" w:hAnsi="Verdana" w:cs="Arial"/>
          <w:lang w:val="es-ES"/>
        </w:rPr>
        <w:t xml:space="preserve">que </w:t>
      </w:r>
      <w:r w:rsidRPr="0000084C">
        <w:rPr>
          <w:rFonts w:ascii="Verdana" w:hAnsi="Verdana" w:cs="Arial"/>
          <w:lang w:val="es-ES"/>
        </w:rPr>
        <w:t xml:space="preserve">únicamente </w:t>
      </w:r>
      <w:r w:rsidRPr="00E831AF">
        <w:rPr>
          <w:rFonts w:ascii="Verdana" w:hAnsi="Verdana" w:cs="Arial"/>
          <w:lang w:val="es-ES"/>
        </w:rPr>
        <w:t xml:space="preserve">le permite exigir </w:t>
      </w:r>
      <w:r w:rsidRPr="0000084C">
        <w:rPr>
          <w:rFonts w:ascii="Verdana" w:hAnsi="Verdana" w:cs="Arial"/>
          <w:lang w:val="es-ES"/>
        </w:rPr>
        <w:t xml:space="preserve">requisitos adicionales que no reposan en dicho registro. </w:t>
      </w:r>
    </w:p>
    <w:p w14:paraId="09FC7004" w14:textId="77777777" w:rsidR="00E00530" w:rsidRPr="00E831AF" w:rsidRDefault="00E00530" w:rsidP="00E00530">
      <w:pPr>
        <w:spacing w:after="120" w:line="276" w:lineRule="auto"/>
        <w:ind w:firstLine="709"/>
        <w:jc w:val="both"/>
        <w:rPr>
          <w:rFonts w:ascii="Verdana" w:hAnsi="Verdana" w:cs="Arial"/>
          <w:lang w:val="es-ES"/>
        </w:rPr>
      </w:pPr>
      <w:r w:rsidRPr="00E831AF">
        <w:rPr>
          <w:rFonts w:ascii="Verdana" w:hAnsi="Verdana" w:cs="Arial"/>
          <w:lang w:val="es-ES"/>
        </w:rPr>
        <w:t xml:space="preserve">Esto se diferencia del supuesto mencionado en su consulta en el cual </w:t>
      </w:r>
      <w:r w:rsidRPr="0000084C">
        <w:rPr>
          <w:rFonts w:ascii="Verdana" w:hAnsi="Verdana" w:cs="Arial"/>
          <w:lang w:val="es-ES"/>
        </w:rPr>
        <w:t xml:space="preserve">la entidad no </w:t>
      </w:r>
      <w:r w:rsidRPr="00E831AF">
        <w:rPr>
          <w:rFonts w:ascii="Verdana" w:hAnsi="Verdana" w:cs="Arial"/>
          <w:lang w:val="es-ES"/>
        </w:rPr>
        <w:t xml:space="preserve">invoca la </w:t>
      </w:r>
      <w:r w:rsidRPr="0000084C">
        <w:rPr>
          <w:rFonts w:ascii="Verdana" w:hAnsi="Verdana" w:cs="Arial"/>
          <w:lang w:val="es-ES"/>
        </w:rPr>
        <w:t>insuficiencia del RUP para acreditar algún requisito especial del objeto, sino que cuestion</w:t>
      </w:r>
      <w:r w:rsidRPr="00E831AF">
        <w:rPr>
          <w:rFonts w:ascii="Verdana" w:hAnsi="Verdana" w:cs="Arial"/>
          <w:lang w:val="es-ES"/>
        </w:rPr>
        <w:t>a</w:t>
      </w:r>
      <w:r w:rsidRPr="0000084C">
        <w:rPr>
          <w:rFonts w:ascii="Verdana" w:hAnsi="Verdana" w:cs="Arial"/>
          <w:lang w:val="es-ES"/>
        </w:rPr>
        <w:t xml:space="preserve"> la validez de una experiencia que ya fue verificada e inscrita</w:t>
      </w:r>
      <w:r w:rsidRPr="00E831AF">
        <w:rPr>
          <w:rFonts w:ascii="Verdana" w:hAnsi="Verdana" w:cs="Arial"/>
          <w:lang w:val="es-ES"/>
        </w:rPr>
        <w:t xml:space="preserve"> en ese documento</w:t>
      </w:r>
      <w:r w:rsidRPr="0000084C">
        <w:rPr>
          <w:rFonts w:ascii="Verdana" w:hAnsi="Verdana" w:cs="Arial"/>
          <w:lang w:val="es-ES"/>
        </w:rPr>
        <w:t xml:space="preserve"> por la autoridad competente.</w:t>
      </w:r>
      <w:r w:rsidRPr="00E831AF">
        <w:rPr>
          <w:rFonts w:ascii="Verdana" w:hAnsi="Verdana" w:cs="Arial"/>
          <w:b/>
          <w:bCs/>
          <w:lang w:val="es-ES"/>
        </w:rPr>
        <w:t xml:space="preserve"> </w:t>
      </w:r>
      <w:r w:rsidRPr="00E831AF">
        <w:rPr>
          <w:rFonts w:ascii="Verdana" w:hAnsi="Verdana" w:cs="Arial"/>
          <w:lang w:val="es-ES"/>
        </w:rPr>
        <w:t xml:space="preserve">En efecto, </w:t>
      </w:r>
      <w:r w:rsidRPr="0000084C">
        <w:rPr>
          <w:rFonts w:ascii="Verdana" w:hAnsi="Verdana" w:cs="Arial"/>
          <w:lang w:val="es-ES"/>
        </w:rPr>
        <w:t xml:space="preserve">la entidad </w:t>
      </w:r>
      <w:r w:rsidRPr="00E831AF">
        <w:rPr>
          <w:rFonts w:ascii="Verdana" w:hAnsi="Verdana" w:cs="Arial"/>
          <w:lang w:val="es-ES"/>
        </w:rPr>
        <w:t xml:space="preserve">estatal no tiene competencia para </w:t>
      </w:r>
      <w:r w:rsidRPr="0000084C">
        <w:rPr>
          <w:rFonts w:ascii="Verdana" w:hAnsi="Verdana" w:cs="Arial"/>
          <w:lang w:val="es-ES"/>
        </w:rPr>
        <w:t xml:space="preserve">reevaluar, re-calificar </w:t>
      </w:r>
      <w:r w:rsidRPr="00E831AF">
        <w:rPr>
          <w:rFonts w:ascii="Verdana" w:hAnsi="Verdana" w:cs="Arial"/>
          <w:lang w:val="es-ES"/>
        </w:rPr>
        <w:t xml:space="preserve">o </w:t>
      </w:r>
      <w:r w:rsidRPr="0000084C">
        <w:rPr>
          <w:rFonts w:ascii="Verdana" w:hAnsi="Verdana" w:cs="Arial"/>
          <w:lang w:val="es-ES"/>
        </w:rPr>
        <w:t xml:space="preserve">desconocer la experiencia debidamente inscrita en el RUP </w:t>
      </w:r>
      <w:r w:rsidRPr="00E831AF">
        <w:rPr>
          <w:rFonts w:ascii="Verdana" w:hAnsi="Verdana" w:cs="Arial"/>
          <w:lang w:val="es-ES"/>
        </w:rPr>
        <w:t xml:space="preserve">con base en </w:t>
      </w:r>
      <w:r w:rsidRPr="0000084C">
        <w:rPr>
          <w:rFonts w:ascii="Verdana" w:hAnsi="Verdana" w:cs="Arial"/>
          <w:lang w:val="es-ES"/>
        </w:rPr>
        <w:t>criterios propios que no correspond</w:t>
      </w:r>
      <w:r w:rsidRPr="00E831AF">
        <w:rPr>
          <w:rFonts w:ascii="Verdana" w:hAnsi="Verdana" w:cs="Arial"/>
          <w:lang w:val="es-ES"/>
        </w:rPr>
        <w:t>e</w:t>
      </w:r>
      <w:r w:rsidRPr="0000084C">
        <w:rPr>
          <w:rFonts w:ascii="Verdana" w:hAnsi="Verdana" w:cs="Arial"/>
          <w:lang w:val="es-ES"/>
        </w:rPr>
        <w:t xml:space="preserve">n a los establecidos en el pliego de condiciones. </w:t>
      </w:r>
      <w:r w:rsidRPr="00E831AF">
        <w:rPr>
          <w:rFonts w:ascii="Verdana" w:hAnsi="Verdana" w:cs="Arial"/>
          <w:lang w:val="es-ES"/>
        </w:rPr>
        <w:t xml:space="preserve">Esto se debe a que </w:t>
      </w:r>
      <w:r w:rsidRPr="0000084C">
        <w:rPr>
          <w:rFonts w:ascii="Verdana" w:hAnsi="Verdana" w:cs="Arial"/>
          <w:lang w:val="es-ES"/>
        </w:rPr>
        <w:t xml:space="preserve">la entidad </w:t>
      </w:r>
      <w:r w:rsidRPr="00E831AF">
        <w:rPr>
          <w:rFonts w:ascii="Verdana" w:hAnsi="Verdana" w:cs="Arial"/>
          <w:lang w:val="es-ES"/>
        </w:rPr>
        <w:t>contratante no puede</w:t>
      </w:r>
      <w:r w:rsidRPr="0000084C">
        <w:rPr>
          <w:rFonts w:ascii="Verdana" w:hAnsi="Verdana" w:cs="Arial"/>
          <w:lang w:val="es-ES"/>
        </w:rPr>
        <w:t xml:space="preserve"> </w:t>
      </w:r>
      <w:r w:rsidRPr="00E831AF">
        <w:rPr>
          <w:rFonts w:ascii="Verdana" w:hAnsi="Verdana" w:cs="Arial"/>
          <w:lang w:val="es-ES"/>
        </w:rPr>
        <w:t xml:space="preserve">atribuirse </w:t>
      </w:r>
      <w:r w:rsidRPr="0000084C">
        <w:rPr>
          <w:rFonts w:ascii="Verdana" w:hAnsi="Verdana" w:cs="Arial"/>
          <w:lang w:val="es-ES"/>
        </w:rPr>
        <w:t xml:space="preserve">la función verificadora que la ley </w:t>
      </w:r>
      <w:r w:rsidRPr="00E831AF">
        <w:rPr>
          <w:rFonts w:ascii="Verdana" w:hAnsi="Verdana" w:cs="Arial"/>
          <w:lang w:val="es-ES"/>
        </w:rPr>
        <w:t xml:space="preserve">dispuso en cabeza de </w:t>
      </w:r>
      <w:r w:rsidRPr="0000084C">
        <w:rPr>
          <w:rFonts w:ascii="Verdana" w:hAnsi="Verdana" w:cs="Arial"/>
          <w:lang w:val="es-ES"/>
        </w:rPr>
        <w:t xml:space="preserve">las Cámaras de Comercio, </w:t>
      </w:r>
      <w:r w:rsidRPr="00E831AF">
        <w:rPr>
          <w:rFonts w:ascii="Verdana" w:hAnsi="Verdana" w:cs="Arial"/>
          <w:lang w:val="es-ES"/>
        </w:rPr>
        <w:t>en contravía d</w:t>
      </w:r>
      <w:r w:rsidRPr="0000084C">
        <w:rPr>
          <w:rFonts w:ascii="Verdana" w:hAnsi="Verdana" w:cs="Arial"/>
          <w:lang w:val="es-ES"/>
        </w:rPr>
        <w:t>el artículo 6 de la Ley 1150 de 2007 y los principios de transparencia y selección objetiva.</w:t>
      </w:r>
      <w:r w:rsidRPr="00E831AF">
        <w:rPr>
          <w:rFonts w:ascii="Verdana" w:hAnsi="Verdana" w:cs="Arial"/>
          <w:lang w:val="es-ES"/>
        </w:rPr>
        <w:t xml:space="preserve"> Muestra de ello es que la </w:t>
      </w:r>
      <w:r w:rsidRPr="0000084C">
        <w:rPr>
          <w:rFonts w:ascii="Verdana" w:hAnsi="Verdana" w:cs="Arial"/>
          <w:lang w:val="es-ES"/>
        </w:rPr>
        <w:t>vía que el ordenamiento consagra para cuestionar la experiencia inscrita en el RUP es la impugnación del registro ante la Cámara de Comercio, de conformidad con el artículo 6.3 de la Ley 1150 de 2007</w:t>
      </w:r>
      <w:r w:rsidRPr="00E831AF">
        <w:rPr>
          <w:rFonts w:ascii="Verdana" w:hAnsi="Verdana" w:cs="Arial"/>
          <w:lang w:val="es-ES"/>
        </w:rPr>
        <w:t>.</w:t>
      </w:r>
    </w:p>
    <w:p w14:paraId="34620A0B" w14:textId="77777777" w:rsidR="00E00530" w:rsidRPr="00D92E33" w:rsidRDefault="00E00530" w:rsidP="00E00530">
      <w:pPr>
        <w:spacing w:after="120" w:line="276" w:lineRule="auto"/>
        <w:ind w:firstLine="709"/>
        <w:jc w:val="both"/>
        <w:rPr>
          <w:rFonts w:ascii="Verdana" w:hAnsi="Verdana" w:cs="Arial"/>
          <w:lang w:val="es-ES"/>
        </w:rPr>
      </w:pPr>
      <w:r w:rsidRPr="00E831AF">
        <w:rPr>
          <w:rFonts w:ascii="Verdana" w:hAnsi="Verdana" w:cs="Arial"/>
          <w:lang w:val="es-ES"/>
        </w:rPr>
        <w:t xml:space="preserve">Adicionalmente, es importante resaltar que </w:t>
      </w:r>
      <w:r w:rsidRPr="00E831AF">
        <w:rPr>
          <w:rFonts w:ascii="Verdana" w:eastAsia="Calibri" w:hAnsi="Verdana" w:cs="Arial"/>
          <w:lang w:val="es-ES" w:eastAsia="es-CO"/>
        </w:rPr>
        <w:t xml:space="preserve">la norma permite que la entidad en el marco de la autonomía y la potestad de dirección que le asiste en los procesos de contratación que adelanta determine el tipo de experiencia que debe acreditar el proponente y que le permite analizar su idoneidad para ejecutar el objeto contractual. Sin embargo, la entidad </w:t>
      </w:r>
      <w:r w:rsidRPr="00A802B6">
        <w:rPr>
          <w:rFonts w:ascii="Verdana" w:eastAsia="Calibri" w:hAnsi="Verdana" w:cs="Arial"/>
          <w:i/>
          <w:iCs/>
          <w:lang w:val="es-ES" w:eastAsia="es-CO"/>
        </w:rPr>
        <w:t>debe establecer lo anterior en los documentos del proceso</w:t>
      </w:r>
      <w:r w:rsidRPr="00E831AF">
        <w:rPr>
          <w:rFonts w:ascii="Verdana" w:eastAsia="Calibri" w:hAnsi="Verdana" w:cs="Arial"/>
          <w:lang w:val="es-ES" w:eastAsia="es-CO"/>
        </w:rPr>
        <w:t xml:space="preserve">. </w:t>
      </w:r>
      <w:r>
        <w:rPr>
          <w:rFonts w:ascii="Verdana" w:eastAsia="Calibri" w:hAnsi="Verdana" w:cs="Arial"/>
          <w:color w:val="000000" w:themeColor="text1"/>
          <w:lang w:val="es-ES"/>
        </w:rPr>
        <w:t>E</w:t>
      </w:r>
      <w:r w:rsidRPr="00E831AF">
        <w:rPr>
          <w:rFonts w:ascii="Verdana" w:eastAsia="Calibri" w:hAnsi="Verdana" w:cs="Arial"/>
          <w:color w:val="000000" w:themeColor="text1"/>
          <w:lang w:val="es-ES"/>
        </w:rPr>
        <w:t xml:space="preserve">l Consejo de Estado ha determinado que el pliego de condiciones es ley para las partes, y en él se debe establecer la </w:t>
      </w:r>
      <w:r w:rsidRPr="00E831AF">
        <w:rPr>
          <w:rFonts w:ascii="Verdana" w:eastAsia="Calibri" w:hAnsi="Verdana" w:cs="Arial"/>
          <w:color w:val="000000" w:themeColor="text1"/>
          <w:lang w:val="es-ES"/>
        </w:rPr>
        <w:lastRenderedPageBreak/>
        <w:t>regulación del procedimiento de contratación, conforme a la ley, garantizando la selección objetiva del contratista</w:t>
      </w:r>
      <w:r w:rsidRPr="00E831AF">
        <w:rPr>
          <w:rFonts w:ascii="Verdana" w:eastAsia="Calibri" w:hAnsi="Verdana" w:cs="Arial"/>
          <w:color w:val="000000" w:themeColor="text1"/>
          <w:vertAlign w:val="superscript"/>
          <w:lang w:val="es-ES"/>
        </w:rPr>
        <w:footnoteReference w:id="17"/>
      </w:r>
      <w:r w:rsidRPr="00E831AF">
        <w:rPr>
          <w:rFonts w:ascii="Verdana" w:eastAsia="Calibri" w:hAnsi="Verdana" w:cs="Arial"/>
          <w:color w:val="000000" w:themeColor="text1"/>
          <w:lang w:val="es-ES"/>
        </w:rPr>
        <w:t xml:space="preserve">. </w:t>
      </w:r>
      <w:r w:rsidRPr="00E831AF">
        <w:rPr>
          <w:rFonts w:ascii="Verdana" w:hAnsi="Verdana" w:cs="Arial"/>
          <w:lang w:val="es-ES"/>
        </w:rPr>
        <w:t xml:space="preserve">Conforme a lo anterior, el pliego de condiciones debe establecer las etapas del proceso de selección, así como las reglas, requisitos y condiciones aplicables en cada una de ellas. Entre estos aspectos se encuentran </w:t>
      </w:r>
      <w:r w:rsidRPr="00E831AF">
        <w:rPr>
          <w:rFonts w:ascii="Verdana" w:hAnsi="Verdana"/>
          <w:lang w:val="es-ES"/>
        </w:rPr>
        <w:t xml:space="preserve">los requisitos habilitantes, requerimientos técnicos, factores de ponderación de las ofertas, así como los documentos exigidos. En ese sentido, </w:t>
      </w:r>
      <w:r w:rsidRPr="00E831AF">
        <w:rPr>
          <w:rFonts w:ascii="Verdana" w:hAnsi="Verdana" w:cs="Arial"/>
          <w:lang w:val="es-ES"/>
        </w:rPr>
        <w:t>gran parte de la importancia del pliego radica en que es el documento que establece las normas que regirán la etapa de selección, a las cuales deben sujetarse tanto la administración como los oferentes, con el fin de garantizar una selección objetiva</w:t>
      </w:r>
      <w:r w:rsidRPr="00E831AF">
        <w:rPr>
          <w:rFonts w:ascii="Verdana" w:hAnsi="Verdana" w:cs="Arial"/>
          <w:vertAlign w:val="superscript"/>
          <w:lang w:val="es-ES"/>
        </w:rPr>
        <w:footnoteReference w:id="18"/>
      </w:r>
      <w:r w:rsidRPr="00E831AF">
        <w:rPr>
          <w:rFonts w:ascii="Verdana" w:hAnsi="Verdana" w:cs="Arial"/>
          <w:lang w:val="es-ES"/>
        </w:rPr>
        <w:t>.</w:t>
      </w:r>
    </w:p>
    <w:p w14:paraId="30281181" w14:textId="77777777" w:rsidR="00E00530" w:rsidRDefault="00E00530" w:rsidP="00E00530">
      <w:pPr>
        <w:spacing w:after="120" w:line="276" w:lineRule="auto"/>
        <w:ind w:firstLine="708"/>
        <w:jc w:val="both"/>
        <w:rPr>
          <w:rFonts w:ascii="Verdana" w:hAnsi="Verdana" w:cs="Arial"/>
          <w:lang w:val="es-ES"/>
        </w:rPr>
      </w:pPr>
      <w:r w:rsidRPr="00E831AF">
        <w:rPr>
          <w:rFonts w:ascii="Verdana" w:hAnsi="Verdana" w:cs="Arial"/>
          <w:lang w:val="es-ES"/>
        </w:rPr>
        <w:t>En este sentido, s</w:t>
      </w:r>
      <w:r w:rsidRPr="0000084C">
        <w:rPr>
          <w:rFonts w:ascii="Verdana" w:hAnsi="Verdana" w:cs="Arial"/>
          <w:lang w:val="es-ES"/>
        </w:rPr>
        <w:t xml:space="preserve">i el pliego </w:t>
      </w:r>
      <w:r w:rsidRPr="00E831AF">
        <w:rPr>
          <w:rFonts w:ascii="Verdana" w:hAnsi="Verdana" w:cs="Arial"/>
          <w:lang w:val="es-ES"/>
        </w:rPr>
        <w:t xml:space="preserve">de condiciones </w:t>
      </w:r>
      <w:r w:rsidRPr="0000084C">
        <w:rPr>
          <w:rFonts w:ascii="Verdana" w:hAnsi="Verdana" w:cs="Arial"/>
          <w:lang w:val="es-ES"/>
        </w:rPr>
        <w:t>no exigió que</w:t>
      </w:r>
      <w:r w:rsidRPr="00E831AF">
        <w:rPr>
          <w:rFonts w:ascii="Verdana" w:hAnsi="Verdana" w:cs="Arial"/>
          <w:lang w:val="es-ES"/>
        </w:rPr>
        <w:t xml:space="preserve"> el proponente acreditara la ejecución de la experiencia de socio en una calidad determinada</w:t>
      </w:r>
      <w:r>
        <w:rPr>
          <w:rFonts w:ascii="Verdana" w:hAnsi="Verdana" w:cs="Arial"/>
          <w:lang w:val="es-ES"/>
        </w:rPr>
        <w:t>,</w:t>
      </w:r>
      <w:r w:rsidRPr="00E831AF">
        <w:rPr>
          <w:rFonts w:ascii="Verdana" w:hAnsi="Verdana" w:cs="Arial"/>
          <w:lang w:val="es-ES"/>
        </w:rPr>
        <w:t xml:space="preserve"> que tampoco impone la ley, </w:t>
      </w:r>
      <w:r w:rsidRPr="0000084C">
        <w:rPr>
          <w:rFonts w:ascii="Verdana" w:hAnsi="Verdana" w:cs="Arial"/>
          <w:lang w:val="es-ES"/>
        </w:rPr>
        <w:t xml:space="preserve">la entidad contratante no puede introducir ex post facto esa restricción en la etapa de evaluación, pues </w:t>
      </w:r>
      <w:r w:rsidRPr="00E831AF">
        <w:rPr>
          <w:rFonts w:ascii="Verdana" w:hAnsi="Verdana" w:cs="Arial"/>
          <w:lang w:val="es-ES"/>
        </w:rPr>
        <w:t xml:space="preserve">con </w:t>
      </w:r>
      <w:r w:rsidRPr="0000084C">
        <w:rPr>
          <w:rFonts w:ascii="Verdana" w:hAnsi="Verdana" w:cs="Arial"/>
          <w:lang w:val="es-ES"/>
        </w:rPr>
        <w:t xml:space="preserve">ello </w:t>
      </w:r>
      <w:r w:rsidRPr="00E831AF">
        <w:rPr>
          <w:rFonts w:ascii="Verdana" w:hAnsi="Verdana" w:cs="Arial"/>
          <w:lang w:val="es-ES"/>
        </w:rPr>
        <w:t xml:space="preserve">modifica </w:t>
      </w:r>
      <w:r w:rsidRPr="0000084C">
        <w:rPr>
          <w:rFonts w:ascii="Verdana" w:hAnsi="Verdana" w:cs="Arial"/>
          <w:lang w:val="es-ES"/>
        </w:rPr>
        <w:t>unilateralmente las reglas</w:t>
      </w:r>
      <w:r w:rsidRPr="00E831AF">
        <w:rPr>
          <w:rFonts w:ascii="Verdana" w:hAnsi="Verdana" w:cs="Arial"/>
          <w:lang w:val="es-ES"/>
        </w:rPr>
        <w:t xml:space="preserve"> de finidas en los documentos de proceso</w:t>
      </w:r>
      <w:r>
        <w:rPr>
          <w:rFonts w:ascii="Verdana" w:hAnsi="Verdana" w:cs="Arial"/>
          <w:lang w:val="es-ES"/>
        </w:rPr>
        <w:t>, en contravía d</w:t>
      </w:r>
      <w:r w:rsidRPr="00E831AF">
        <w:rPr>
          <w:rFonts w:ascii="Verdana" w:hAnsi="Verdana" w:cs="Arial"/>
          <w:lang w:val="es-ES"/>
        </w:rPr>
        <w:t xml:space="preserve">el </w:t>
      </w:r>
      <w:r w:rsidRPr="0000084C">
        <w:rPr>
          <w:rFonts w:ascii="Verdana" w:hAnsi="Verdana" w:cs="Arial"/>
          <w:lang w:val="es-ES"/>
        </w:rPr>
        <w:t>principio de transparencia</w:t>
      </w:r>
      <w:r w:rsidRPr="00E831AF">
        <w:rPr>
          <w:rFonts w:ascii="Verdana" w:hAnsi="Verdana" w:cs="Arial"/>
          <w:lang w:val="es-ES"/>
        </w:rPr>
        <w:t xml:space="preserve">, </w:t>
      </w:r>
      <w:r w:rsidRPr="0000084C">
        <w:rPr>
          <w:rFonts w:ascii="Verdana" w:hAnsi="Verdana" w:cs="Arial"/>
          <w:lang w:val="es-ES"/>
        </w:rPr>
        <w:t>de planeación</w:t>
      </w:r>
      <w:r w:rsidRPr="00E831AF">
        <w:rPr>
          <w:rFonts w:ascii="Verdana" w:hAnsi="Verdana" w:cs="Arial"/>
          <w:lang w:val="es-ES"/>
        </w:rPr>
        <w:t xml:space="preserve"> y de selección objetiva. </w:t>
      </w:r>
      <w:r>
        <w:rPr>
          <w:rFonts w:ascii="Verdana" w:hAnsi="Verdana" w:cs="Arial"/>
          <w:lang w:val="es-ES"/>
        </w:rPr>
        <w:t xml:space="preserve">En cualquier caso, </w:t>
      </w:r>
      <w:r w:rsidRPr="00E831AF">
        <w:rPr>
          <w:rFonts w:ascii="Verdana" w:hAnsi="Verdana" w:cs="Arial"/>
          <w:lang w:val="es-ES"/>
        </w:rPr>
        <w:t>es importante resaltar que, e</w:t>
      </w:r>
      <w:r w:rsidRPr="0000084C">
        <w:rPr>
          <w:rFonts w:ascii="Verdana" w:hAnsi="Verdana" w:cs="Arial"/>
          <w:lang w:val="es-ES"/>
        </w:rPr>
        <w:t>n virtud del artículo 2.2.1.2.6.1.4 del Decreto 1082 de 2015, las entidades estatales contratantes no podrán incluir o modificar dentro de los documentos del proceso las condiciones habilitantes, factores técnicos y económicos de escogencia y sistemas de ponderación distintos a los señalados en los Documentos Tipo</w:t>
      </w:r>
      <w:r w:rsidRPr="00E831AF">
        <w:rPr>
          <w:rFonts w:ascii="Verdana" w:hAnsi="Verdana" w:cs="Arial"/>
          <w:lang w:val="es-ES"/>
        </w:rPr>
        <w:t xml:space="preserve"> </w:t>
      </w:r>
      <w:bookmarkEnd w:id="1"/>
      <w:bookmarkEnd w:id="2"/>
    </w:p>
    <w:p w14:paraId="0C343C9C" w14:textId="77777777" w:rsidR="00E00530" w:rsidRPr="00FE2B8C" w:rsidRDefault="00E00530" w:rsidP="00E00530">
      <w:pPr>
        <w:spacing w:after="120" w:line="276" w:lineRule="auto"/>
        <w:ind w:firstLine="708"/>
        <w:jc w:val="both"/>
        <w:rPr>
          <w:rFonts w:ascii="Verdana" w:hAnsi="Verdana" w:cs="Arial"/>
          <w:lang w:val="es-ES"/>
        </w:rPr>
      </w:pPr>
      <w:r w:rsidRPr="00E831AF">
        <w:rPr>
          <w:rFonts w:ascii="Verdana" w:eastAsia="Calibri" w:hAnsi="Verdana" w:cs="Arial"/>
          <w:bCs/>
          <w:color w:val="000000" w:themeColor="text1"/>
          <w:lang w:val="es-ES"/>
        </w:rPr>
        <w:t>Finalmente</w:t>
      </w:r>
      <w:r w:rsidRPr="00E831AF">
        <w:rPr>
          <w:rFonts w:ascii="Verdana" w:eastAsia="Calibri" w:hAnsi="Verdana" w:cs="Times New Roman"/>
          <w:lang w:val="es-ES"/>
        </w:rPr>
        <w:t xml:space="preserv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en adoptar la </w:t>
      </w:r>
      <w:r w:rsidRPr="00E831AF">
        <w:rPr>
          <w:rFonts w:ascii="Verdana" w:eastAsia="Calibri" w:hAnsi="Verdana" w:cs="Times New Roman"/>
          <w:lang w:val="es-ES"/>
        </w:rPr>
        <w:lastRenderedPageBreak/>
        <w:t>decisión y, en caso de conflicto, a las autoridades judiciales, fiscales y disciplinarias.</w:t>
      </w:r>
      <w:r w:rsidRPr="00E831AF">
        <w:rPr>
          <w:lang w:val="es-ES"/>
        </w:rPr>
        <w:t xml:space="preserve"> </w:t>
      </w:r>
    </w:p>
    <w:p w14:paraId="4B05EFBB" w14:textId="77777777" w:rsidR="00E00530" w:rsidRPr="00FA5E13" w:rsidRDefault="00E00530" w:rsidP="00E00530">
      <w:pPr>
        <w:spacing w:before="120" w:after="120" w:line="276" w:lineRule="auto"/>
        <w:ind w:firstLine="709"/>
        <w:contextualSpacing/>
        <w:jc w:val="both"/>
        <w:rPr>
          <w:rFonts w:ascii="Verdana" w:eastAsia="Calibri" w:hAnsi="Verdana" w:cs="Times New Roman"/>
          <w:lang w:val="es-ES"/>
        </w:rPr>
      </w:pPr>
      <w:r w:rsidRPr="00E831AF">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E831AF">
        <w:rPr>
          <w:rFonts w:ascii="Verdana" w:eastAsia="Calibri" w:hAnsi="Verdana" w:cs="Arial"/>
          <w:lang w:val="es-ES"/>
        </w:rPr>
        <w:t xml:space="preserve"> </w:t>
      </w:r>
    </w:p>
    <w:p w14:paraId="3DCAC894" w14:textId="77777777" w:rsidR="00E00530" w:rsidRPr="00E831AF" w:rsidRDefault="00E00530" w:rsidP="00E00530">
      <w:pPr>
        <w:widowControl w:val="0"/>
        <w:autoSpaceDE w:val="0"/>
        <w:autoSpaceDN w:val="0"/>
        <w:spacing w:after="0" w:line="276" w:lineRule="auto"/>
        <w:ind w:firstLine="709"/>
        <w:jc w:val="both"/>
        <w:rPr>
          <w:rFonts w:ascii="Verdana" w:eastAsia="Calibri" w:hAnsi="Verdana" w:cs="Arial"/>
          <w:lang w:val="es-ES"/>
        </w:rPr>
      </w:pPr>
    </w:p>
    <w:p w14:paraId="277DA1F8" w14:textId="77777777" w:rsidR="00E00530" w:rsidRPr="00E831AF" w:rsidRDefault="00E00530" w:rsidP="00E00530">
      <w:pPr>
        <w:tabs>
          <w:tab w:val="left" w:pos="142"/>
          <w:tab w:val="left" w:pos="284"/>
        </w:tabs>
        <w:spacing w:after="0" w:line="276" w:lineRule="auto"/>
        <w:jc w:val="both"/>
        <w:rPr>
          <w:rFonts w:ascii="Verdana" w:eastAsia="Century Gothic" w:hAnsi="Verdana" w:cs="Century Gothic"/>
          <w:b/>
          <w:color w:val="000000" w:themeColor="text1"/>
          <w:lang w:val="es-ES"/>
        </w:rPr>
      </w:pPr>
      <w:r w:rsidRPr="00E831AF">
        <w:rPr>
          <w:rFonts w:ascii="Verdana" w:eastAsia="Century Gothic" w:hAnsi="Verdana" w:cs="Century Gothic"/>
          <w:b/>
          <w:color w:val="000000" w:themeColor="text1"/>
          <w:lang w:val="es-ES"/>
        </w:rPr>
        <w:t>4.Referencias normativas, jurisprudenciales y otras fuentes:</w:t>
      </w:r>
    </w:p>
    <w:p w14:paraId="19BB7685" w14:textId="77777777" w:rsidR="00E00530" w:rsidRPr="00E831AF" w:rsidRDefault="00E00530" w:rsidP="00E00530">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00530" w:rsidRPr="00E831AF" w14:paraId="4F9DECA7" w14:textId="77777777" w:rsidTr="004A560F">
        <w:trPr>
          <w:trHeight w:val="870"/>
        </w:trPr>
        <w:tc>
          <w:tcPr>
            <w:tcW w:w="8647" w:type="dxa"/>
          </w:tcPr>
          <w:p w14:paraId="47BE9479"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color w:val="000000" w:themeColor="text1"/>
              </w:rPr>
              <w:t>Ley 80 de 1993, artículo 22</w:t>
            </w:r>
          </w:p>
          <w:p w14:paraId="7552BCB9"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color w:val="000000" w:themeColor="text1"/>
              </w:rPr>
              <w:t xml:space="preserve">Ley 1150 de 2007, artículos 5 y 6 </w:t>
            </w:r>
          </w:p>
          <w:p w14:paraId="021EEC16"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color w:val="000000" w:themeColor="text1"/>
              </w:rPr>
              <w:t>Ley 1882 de 2018, artículo 21</w:t>
            </w:r>
          </w:p>
          <w:p w14:paraId="7753CA9A"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color w:val="000000" w:themeColor="text1"/>
              </w:rPr>
              <w:t>Decreto 1082 de 2015, artículos 2.2.1.1.1.5.1, 2.2.1.1.1.5.2 (numerales 2.1 y 2.5), 2.2.1.1.1.7, 2.2.1.1.2.1.3, 2.2.1.2.6.1.4</w:t>
            </w:r>
          </w:p>
          <w:p w14:paraId="64906224"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color w:val="000000" w:themeColor="text1"/>
              </w:rPr>
              <w:t xml:space="preserve">CONSEJO DE ESTADO. Sección Tercera. Sentencia del 24 de julio de 2013. </w:t>
            </w:r>
            <w:proofErr w:type="spellStart"/>
            <w:r w:rsidRPr="003A2B0F">
              <w:rPr>
                <w:rFonts w:ascii="Verdana" w:hAnsi="Verdana" w:cs="Arial"/>
                <w:color w:val="000000" w:themeColor="text1"/>
              </w:rPr>
              <w:t>Exp</w:t>
            </w:r>
            <w:proofErr w:type="spellEnd"/>
            <w:r w:rsidRPr="003A2B0F">
              <w:rPr>
                <w:rFonts w:ascii="Verdana" w:hAnsi="Verdana" w:cs="Arial"/>
                <w:color w:val="000000" w:themeColor="text1"/>
              </w:rPr>
              <w:t>. 25.642. C.P. Enrique Gil Botero</w:t>
            </w:r>
          </w:p>
          <w:p w14:paraId="1211FB16"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lang w:eastAsia="es-CO"/>
              </w:rPr>
              <w:t>Consejo de Estado. Sala de Consulta y Servicio Civil. Consulta del 20 de mayo de 2010. Exp.1992. C. P. Enrique José Arboleda Perdomo.</w:t>
            </w:r>
          </w:p>
          <w:p w14:paraId="56DA4612"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rPr>
              <w:t xml:space="preserve">Consejo de Estado. Sección Tercera. Subsección B. Sentencia del 6 de junio de 2013. </w:t>
            </w:r>
            <w:proofErr w:type="spellStart"/>
            <w:r w:rsidRPr="003A2B0F">
              <w:rPr>
                <w:rFonts w:ascii="Verdana" w:hAnsi="Verdana" w:cs="Arial"/>
              </w:rPr>
              <w:t>Exp</w:t>
            </w:r>
            <w:proofErr w:type="spellEnd"/>
            <w:r w:rsidRPr="003A2B0F">
              <w:rPr>
                <w:rFonts w:ascii="Verdana" w:hAnsi="Verdana" w:cs="Arial"/>
              </w:rPr>
              <w:t>. 25151. C.P. Stella Conto Díaz del Castillo.</w:t>
            </w:r>
          </w:p>
          <w:p w14:paraId="0EBEFA88" w14:textId="77777777" w:rsidR="00E00530" w:rsidRPr="003A2B0F" w:rsidRDefault="00E00530" w:rsidP="00E00530">
            <w:pPr>
              <w:pStyle w:val="ListParagraph"/>
              <w:widowControl w:val="0"/>
              <w:numPr>
                <w:ilvl w:val="0"/>
                <w:numId w:val="16"/>
              </w:numPr>
              <w:autoSpaceDE w:val="0"/>
              <w:autoSpaceDN w:val="0"/>
              <w:snapToGrid w:val="0"/>
              <w:spacing w:line="276" w:lineRule="auto"/>
              <w:ind w:left="714" w:hanging="357"/>
              <w:jc w:val="both"/>
              <w:rPr>
                <w:rFonts w:ascii="Verdana" w:hAnsi="Verdana" w:cs="Arial"/>
                <w:color w:val="000000" w:themeColor="text1"/>
              </w:rPr>
            </w:pPr>
            <w:r w:rsidRPr="003A2B0F">
              <w:rPr>
                <w:rFonts w:ascii="Verdana" w:hAnsi="Verdana" w:cs="Arial"/>
              </w:rPr>
              <w:t>Colombia Compra Eficiente, Manual para determinar y verificar requisitos habilitantes en los procesos de contratación</w:t>
            </w:r>
            <w:r>
              <w:rPr>
                <w:rFonts w:ascii="Verdana" w:hAnsi="Verdana" w:cs="Arial"/>
              </w:rPr>
              <w:t>. Disponible en:</w:t>
            </w:r>
            <w:r w:rsidRPr="003A2B0F">
              <w:rPr>
                <w:rFonts w:ascii="Verdana" w:hAnsi="Verdana"/>
                <w:lang w:val="es-CO"/>
              </w:rPr>
              <w:t xml:space="preserve"> </w:t>
            </w:r>
            <w:hyperlink r:id="rId13" w:history="1">
              <w:r w:rsidRPr="003A2B0F">
                <w:rPr>
                  <w:rStyle w:val="Hyperlink"/>
                  <w:rFonts w:ascii="Verdana" w:hAnsi="Verdana" w:cs="Arial"/>
                  <w:lang w:val="es-CO"/>
                </w:rPr>
                <w:t>cce-eicp-ma-04._manual_requisitos_habilitantes_v3_29-09-2023.pdf</w:t>
              </w:r>
            </w:hyperlink>
          </w:p>
        </w:tc>
      </w:tr>
    </w:tbl>
    <w:p w14:paraId="788C93D0" w14:textId="77777777" w:rsidR="00E00530" w:rsidRPr="00E831AF" w:rsidRDefault="00E00530" w:rsidP="00E00530">
      <w:pPr>
        <w:widowControl w:val="0"/>
        <w:autoSpaceDE w:val="0"/>
        <w:autoSpaceDN w:val="0"/>
        <w:spacing w:after="0" w:line="276" w:lineRule="auto"/>
        <w:jc w:val="both"/>
        <w:rPr>
          <w:rFonts w:ascii="Verdana" w:hAnsi="Verdana" w:cs="Arial"/>
          <w:color w:val="000000" w:themeColor="text1"/>
          <w:lang w:val="es-ES"/>
        </w:rPr>
      </w:pPr>
    </w:p>
    <w:p w14:paraId="440F87E6" w14:textId="77777777" w:rsidR="00E00530" w:rsidRPr="00E831AF" w:rsidRDefault="00E00530" w:rsidP="00E00530">
      <w:pPr>
        <w:tabs>
          <w:tab w:val="left" w:pos="142"/>
          <w:tab w:val="left" w:pos="284"/>
        </w:tabs>
        <w:spacing w:after="0" w:line="276" w:lineRule="auto"/>
        <w:jc w:val="both"/>
        <w:rPr>
          <w:rFonts w:ascii="Verdana" w:eastAsia="Century Gothic" w:hAnsi="Verdana" w:cs="Century Gothic"/>
          <w:b/>
          <w:color w:val="000000" w:themeColor="text1"/>
          <w:lang w:val="es-ES"/>
        </w:rPr>
      </w:pPr>
      <w:r w:rsidRPr="00E831AF">
        <w:rPr>
          <w:rFonts w:ascii="Verdana" w:eastAsia="Century Gothic" w:hAnsi="Verdana" w:cs="Century Gothic"/>
          <w:b/>
          <w:color w:val="000000" w:themeColor="text1"/>
          <w:lang w:val="es-ES"/>
        </w:rPr>
        <w:t>5.Doctrina de la Agencia Nacional de Contratación Pública:</w:t>
      </w:r>
    </w:p>
    <w:p w14:paraId="22DD6DC7" w14:textId="77777777" w:rsidR="00E00530" w:rsidRPr="00E831AF" w:rsidRDefault="00E00530" w:rsidP="00E00530">
      <w:pPr>
        <w:widowControl w:val="0"/>
        <w:autoSpaceDE w:val="0"/>
        <w:autoSpaceDN w:val="0"/>
        <w:spacing w:after="0" w:line="276" w:lineRule="auto"/>
        <w:jc w:val="both"/>
        <w:rPr>
          <w:rFonts w:ascii="Verdana" w:hAnsi="Verdana" w:cs="Arial"/>
          <w:color w:val="000000" w:themeColor="text1"/>
          <w:lang w:val="es-ES"/>
        </w:rPr>
      </w:pPr>
    </w:p>
    <w:p w14:paraId="23C9425D" w14:textId="77777777" w:rsidR="00E00530" w:rsidRPr="00E831AF" w:rsidRDefault="00E00530" w:rsidP="00E00530">
      <w:pPr>
        <w:jc w:val="both"/>
        <w:rPr>
          <w:rFonts w:ascii="Arial" w:eastAsia="Calibri" w:hAnsi="Arial" w:cs="Arial"/>
          <w:b/>
          <w:bCs/>
          <w:color w:val="000000" w:themeColor="text1"/>
          <w:lang w:val="es-ES"/>
        </w:rPr>
      </w:pPr>
      <w:r w:rsidRPr="00E831AF">
        <w:rPr>
          <w:rFonts w:ascii="Verdana" w:eastAsia="Calibri" w:hAnsi="Verdana" w:cs="Arial"/>
          <w:lang w:val="es-ES"/>
        </w:rPr>
        <w:t>La Agencia Nacional de Contratación Pública – Colombia Compra Eficiente se ha referido</w:t>
      </w:r>
      <w:r w:rsidRPr="00E831AF">
        <w:rPr>
          <w:rStyle w:val="normaltextrun"/>
          <w:rFonts w:ascii="Verdana" w:hAnsi="Verdana" w:cs="Arial"/>
          <w:color w:val="000000" w:themeColor="text1"/>
          <w:shd w:val="clear" w:color="auto" w:fill="FFFFFF"/>
          <w:lang w:val="es-ES"/>
        </w:rPr>
        <w:t xml:space="preserve"> </w:t>
      </w:r>
      <w:r w:rsidRPr="00E831AF">
        <w:rPr>
          <w:rFonts w:ascii="Verdana" w:eastAsia="Calibri" w:hAnsi="Verdana" w:cs="Arial"/>
          <w:color w:val="000000" w:themeColor="text1"/>
          <w:lang w:val="es-ES" w:eastAsia="es-ES_tradnl"/>
        </w:rPr>
        <w:t xml:space="preserve">sobre la acreditación de la experiencia de socios, accionistas o constituyentes por parte de sociedades con menos de tres (3) años de constitución, temas que ha sido estudiado por esta Subdirección en los conceptos: C-725 del 25 de enero de 2022, C-034 del 2 de marzo de 2022, C-144 del 1° de abril de 2022, C-239 del 26 de julio de 2022, C-324 del 19 de </w:t>
      </w:r>
      <w:r w:rsidRPr="00E831AF">
        <w:rPr>
          <w:rFonts w:ascii="Verdana" w:eastAsia="Calibri" w:hAnsi="Verdana" w:cs="Arial"/>
          <w:color w:val="000000" w:themeColor="text1"/>
          <w:lang w:val="es-ES" w:eastAsia="es-ES_tradnl"/>
        </w:rPr>
        <w:lastRenderedPageBreak/>
        <w:t>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C- 023 del 26 de febrero de 2024 y 269 del 05 de julio de 2024</w:t>
      </w:r>
      <w:r w:rsidRPr="00E831AF">
        <w:rPr>
          <w:rFonts w:ascii="Verdana" w:hAnsi="Verdana" w:cs="Arial"/>
          <w:shd w:val="clear" w:color="auto" w:fill="FFFFFF"/>
          <w:lang w:val="es-ES"/>
        </w:rPr>
        <w:t>, entre</w:t>
      </w:r>
      <w:r w:rsidRPr="00E831AF">
        <w:rPr>
          <w:rStyle w:val="normaltextrun"/>
          <w:rFonts w:ascii="Verdana" w:hAnsi="Verdana" w:cs="Arial"/>
          <w:color w:val="000000" w:themeColor="text1"/>
          <w:shd w:val="clear" w:color="auto" w:fill="FFFFFF"/>
          <w:lang w:val="es-ES"/>
        </w:rPr>
        <w:t xml:space="preserve"> otros</w:t>
      </w:r>
      <w:r w:rsidRPr="00E831AF">
        <w:rPr>
          <w:rFonts w:ascii="Verdana" w:eastAsia="Calibri" w:hAnsi="Verdana" w:cs="Arial"/>
          <w:lang w:val="es-ES" w:eastAsia="es-ES"/>
        </w:rPr>
        <w:t xml:space="preserve">. </w:t>
      </w:r>
      <w:r w:rsidRPr="00E831AF">
        <w:rPr>
          <w:rFonts w:ascii="Verdana" w:hAnsi="Verdana" w:cs="Arial"/>
          <w:shd w:val="clear" w:color="auto" w:fill="FFFFFF"/>
          <w:lang w:val="es-ES"/>
        </w:rPr>
        <w:t>Estos</w:t>
      </w:r>
      <w:r w:rsidRPr="00E831AF">
        <w:rPr>
          <w:rFonts w:ascii="Verdana" w:hAnsi="Verdana"/>
          <w:lang w:val="es-ES"/>
        </w:rPr>
        <w:t xml:space="preserve"> y otros se encuentran disponibles para consulta en el Sistema de relatoría de la Agencia, al cual se puede acceder a través del siguiente enlace:</w:t>
      </w:r>
      <w:r w:rsidRPr="00E831AF">
        <w:rPr>
          <w:rFonts w:ascii="Verdana" w:hAnsi="Verdana" w:cs="Arial"/>
          <w:shd w:val="clear" w:color="auto" w:fill="FFFFFF"/>
          <w:lang w:val="es-ES"/>
        </w:rPr>
        <w:t xml:space="preserve"> </w:t>
      </w:r>
      <w:hyperlink r:id="rId14" w:history="1">
        <w:r w:rsidRPr="00E831AF">
          <w:rPr>
            <w:rFonts w:ascii="Verdana" w:hAnsi="Verdana" w:cs="Arial"/>
            <w:color w:val="0000FF"/>
            <w:u w:val="single"/>
            <w:shd w:val="clear" w:color="auto" w:fill="FFFFFF"/>
            <w:lang w:val="es-ES"/>
          </w:rPr>
          <w:t>https://relatoria.colombiacompra.gov.co/busqueda/concept os</w:t>
        </w:r>
      </w:hyperlink>
      <w:r w:rsidRPr="00E831AF">
        <w:rPr>
          <w:rFonts w:ascii="Verdana" w:hAnsi="Verdana" w:cs="Arial"/>
          <w:shd w:val="clear" w:color="auto" w:fill="FFFFFF"/>
          <w:lang w:val="es-ES"/>
        </w:rPr>
        <w:t>.</w:t>
      </w:r>
      <w:r w:rsidRPr="00E831AF">
        <w:rPr>
          <w:rFonts w:ascii="Verdana" w:hAnsi="Verdana" w:cs="Arial"/>
          <w:color w:val="FF0000"/>
          <w:shd w:val="clear" w:color="auto" w:fill="FFFFFF"/>
          <w:lang w:val="es-ES"/>
        </w:rPr>
        <w:t xml:space="preserve"> </w:t>
      </w:r>
      <w:r w:rsidRPr="00E831AF">
        <w:rPr>
          <w:rFonts w:ascii="Verdana" w:hAnsi="Verdana" w:cs="Arial"/>
          <w:color w:val="000000" w:themeColor="text1"/>
          <w:shd w:val="clear" w:color="auto" w:fill="FFFFFF"/>
          <w:lang w:val="es-ES"/>
        </w:rPr>
        <w:t>  </w:t>
      </w:r>
    </w:p>
    <w:p w14:paraId="7B039FCE" w14:textId="77777777" w:rsidR="00E00530" w:rsidRPr="00E831AF" w:rsidRDefault="00E00530" w:rsidP="00E00530">
      <w:pPr>
        <w:spacing w:after="0" w:line="276" w:lineRule="auto"/>
        <w:jc w:val="both"/>
        <w:rPr>
          <w:rFonts w:ascii="Verdana" w:hAnsi="Verdana"/>
          <w:lang w:val="es-ES"/>
        </w:rPr>
      </w:pPr>
      <w:r w:rsidRPr="00E831AF">
        <w:rPr>
          <w:rFonts w:ascii="Verdana" w:hAnsi="Verdana"/>
          <w:lang w:val="es-ES"/>
        </w:rPr>
        <w:t xml:space="preserve">Por último, lo invitamos a seguirnos en las redes sociales en las cuales se difunde información institucional: </w:t>
      </w:r>
    </w:p>
    <w:p w14:paraId="5516A09D" w14:textId="77777777" w:rsidR="00E00530" w:rsidRPr="00E831AF" w:rsidRDefault="00E00530" w:rsidP="00E00530">
      <w:pPr>
        <w:spacing w:after="0" w:line="276" w:lineRule="auto"/>
        <w:jc w:val="both"/>
        <w:rPr>
          <w:rFonts w:ascii="Verdana" w:hAnsi="Verdana"/>
          <w:lang w:val="es-ES"/>
        </w:rPr>
      </w:pPr>
    </w:p>
    <w:p w14:paraId="601C8DC3" w14:textId="77777777" w:rsidR="00E00530" w:rsidRPr="00E831AF" w:rsidRDefault="00E00530" w:rsidP="00E00530">
      <w:pPr>
        <w:spacing w:after="0" w:line="276" w:lineRule="auto"/>
        <w:jc w:val="both"/>
        <w:rPr>
          <w:rFonts w:ascii="Verdana" w:hAnsi="Verdana"/>
          <w:lang w:val="es-ES"/>
        </w:rPr>
      </w:pPr>
      <w:r w:rsidRPr="00E831AF">
        <w:rPr>
          <w:rFonts w:ascii="Verdana" w:hAnsi="Verdana"/>
          <w:lang w:val="es-ES"/>
        </w:rPr>
        <w:t xml:space="preserve">Twitter: </w:t>
      </w:r>
      <w:r w:rsidRPr="00E831AF">
        <w:rPr>
          <w:rStyle w:val="Hyperlink"/>
          <w:rFonts w:ascii="Verdana" w:hAnsi="Verdana" w:cs="Arial"/>
          <w:shd w:val="clear" w:color="auto" w:fill="FFFFFF"/>
          <w:lang w:val="es-ES"/>
        </w:rPr>
        <w:t>@colombiacompra</w:t>
      </w:r>
      <w:r w:rsidRPr="00E831AF">
        <w:rPr>
          <w:rFonts w:ascii="Verdana" w:hAnsi="Verdana"/>
          <w:color w:val="4472C4" w:themeColor="accent1"/>
          <w:lang w:val="es-ES"/>
        </w:rPr>
        <w:t xml:space="preserve"> </w:t>
      </w:r>
    </w:p>
    <w:p w14:paraId="42774CCE" w14:textId="77777777" w:rsidR="00E00530" w:rsidRPr="00E831AF" w:rsidRDefault="00E00530" w:rsidP="00E00530">
      <w:pPr>
        <w:spacing w:after="0" w:line="276" w:lineRule="auto"/>
        <w:jc w:val="both"/>
        <w:rPr>
          <w:rFonts w:ascii="Verdana" w:hAnsi="Verdana"/>
          <w:lang w:val="es-ES"/>
        </w:rPr>
      </w:pPr>
      <w:r w:rsidRPr="00E831AF">
        <w:rPr>
          <w:rFonts w:ascii="Verdana" w:hAnsi="Verdana"/>
          <w:lang w:val="es-ES"/>
        </w:rPr>
        <w:t xml:space="preserve">Facebook: </w:t>
      </w:r>
      <w:proofErr w:type="spellStart"/>
      <w:r w:rsidRPr="00E831AF">
        <w:rPr>
          <w:rStyle w:val="Hyperlink"/>
          <w:rFonts w:ascii="Verdana" w:hAnsi="Verdana" w:cs="Arial"/>
          <w:shd w:val="clear" w:color="auto" w:fill="FFFFFF"/>
          <w:lang w:val="es-ES"/>
        </w:rPr>
        <w:t>ColombiaCompraEficiente</w:t>
      </w:r>
      <w:proofErr w:type="spellEnd"/>
    </w:p>
    <w:p w14:paraId="75CA41F1" w14:textId="77777777" w:rsidR="00E00530" w:rsidRPr="00E831AF" w:rsidRDefault="00E00530" w:rsidP="00E00530">
      <w:pPr>
        <w:spacing w:after="0" w:line="276" w:lineRule="auto"/>
        <w:jc w:val="both"/>
        <w:rPr>
          <w:rFonts w:ascii="Verdana" w:hAnsi="Verdana"/>
          <w:lang w:val="es-ES"/>
        </w:rPr>
      </w:pPr>
      <w:r w:rsidRPr="00E831AF">
        <w:rPr>
          <w:rFonts w:ascii="Verdana" w:hAnsi="Verdana"/>
          <w:lang w:val="es-ES"/>
        </w:rPr>
        <w:t xml:space="preserve">LinkedIn: </w:t>
      </w:r>
      <w:r w:rsidRPr="00E831AF">
        <w:rPr>
          <w:rStyle w:val="Hyperlink"/>
          <w:rFonts w:ascii="Verdana" w:hAnsi="Verdana" w:cs="Arial"/>
          <w:shd w:val="clear" w:color="auto" w:fill="FFFFFF"/>
          <w:lang w:val="es-ES"/>
        </w:rPr>
        <w:t xml:space="preserve">Agencia Nacional de Contratación Pública - Colombia Compra Eficiente </w:t>
      </w:r>
      <w:r w:rsidRPr="00E831AF">
        <w:rPr>
          <w:rFonts w:ascii="Verdana" w:hAnsi="Verdana"/>
          <w:lang w:val="es-ES"/>
        </w:rPr>
        <w:t xml:space="preserve">Instagram: </w:t>
      </w:r>
      <w:r w:rsidRPr="00E831AF">
        <w:rPr>
          <w:rStyle w:val="Hyperlink"/>
          <w:rFonts w:ascii="Verdana" w:hAnsi="Verdana" w:cs="Arial"/>
          <w:shd w:val="clear" w:color="auto" w:fill="FFFFFF"/>
          <w:lang w:val="es-ES"/>
        </w:rPr>
        <w:t>@colombiacompraeficiente_cce</w:t>
      </w:r>
    </w:p>
    <w:p w14:paraId="6B50A2D9" w14:textId="77777777" w:rsidR="00E00530" w:rsidRPr="00E831AF" w:rsidRDefault="00E00530" w:rsidP="00E00530">
      <w:pPr>
        <w:widowControl w:val="0"/>
        <w:autoSpaceDE w:val="0"/>
        <w:autoSpaceDN w:val="0"/>
        <w:spacing w:after="0" w:line="276" w:lineRule="auto"/>
        <w:jc w:val="both"/>
        <w:rPr>
          <w:rFonts w:ascii="Verdana" w:hAnsi="Verdana" w:cs="Arial"/>
          <w:lang w:val="es-ES"/>
        </w:rPr>
      </w:pPr>
    </w:p>
    <w:p w14:paraId="0F84590B" w14:textId="77777777" w:rsidR="00E00530" w:rsidRPr="00E831AF" w:rsidRDefault="00E00530" w:rsidP="00E00530">
      <w:pPr>
        <w:widowControl w:val="0"/>
        <w:autoSpaceDE w:val="0"/>
        <w:autoSpaceDN w:val="0"/>
        <w:spacing w:after="0" w:line="276" w:lineRule="auto"/>
        <w:jc w:val="both"/>
        <w:rPr>
          <w:rFonts w:ascii="Verdana" w:hAnsi="Verdana" w:cs="Arial"/>
          <w:lang w:val="es-ES"/>
        </w:rPr>
      </w:pPr>
      <w:r w:rsidRPr="00E831AF">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358B85C" w14:textId="1DD1E74B" w:rsidR="00E00530" w:rsidRPr="00E831AF" w:rsidRDefault="00E00530" w:rsidP="00E00530">
      <w:pPr>
        <w:widowControl w:val="0"/>
        <w:autoSpaceDE w:val="0"/>
        <w:autoSpaceDN w:val="0"/>
        <w:spacing w:after="0" w:line="276" w:lineRule="auto"/>
        <w:jc w:val="both"/>
        <w:rPr>
          <w:rFonts w:ascii="Verdana" w:hAnsi="Verdana" w:cs="Arial"/>
          <w:lang w:val="es-ES"/>
        </w:rPr>
      </w:pPr>
    </w:p>
    <w:p w14:paraId="5DA5988E" w14:textId="4A9F88F2" w:rsidR="00E00530" w:rsidRPr="00E831AF" w:rsidRDefault="00E00530" w:rsidP="00E00530">
      <w:pPr>
        <w:spacing w:after="0" w:line="276" w:lineRule="auto"/>
        <w:rPr>
          <w:rFonts w:ascii="Verdana" w:hAnsi="Verdana" w:cs="Arial"/>
          <w:color w:val="000000" w:themeColor="text1"/>
          <w:lang w:val="es-ES" w:eastAsia="es-CO"/>
        </w:rPr>
      </w:pPr>
      <w:r w:rsidRPr="00E831AF">
        <w:rPr>
          <w:rFonts w:ascii="Verdana" w:eastAsia="Times New Roman" w:hAnsi="Verdana" w:cs="Arial"/>
          <w:color w:val="000000" w:themeColor="text1"/>
          <w:lang w:val="es-ES" w:eastAsia="es-CO"/>
        </w:rPr>
        <w:t>Atentamente,</w:t>
      </w:r>
      <w:r w:rsidRPr="00E831AF">
        <w:rPr>
          <w:rFonts w:ascii="Verdana" w:hAnsi="Verdana" w:cs="Arial"/>
          <w:color w:val="000000" w:themeColor="text1"/>
          <w:lang w:val="es-ES" w:eastAsia="es-CO"/>
        </w:rPr>
        <w:t xml:space="preserve"> </w:t>
      </w:r>
    </w:p>
    <w:p w14:paraId="34DA7872" w14:textId="0508053F" w:rsidR="00E00530" w:rsidRPr="00E831AF" w:rsidRDefault="007A255A" w:rsidP="00E00530">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7C534895" wp14:editId="1A98F044">
            <wp:simplePos x="0" y="0"/>
            <wp:positionH relativeFrom="column">
              <wp:posOffset>1111623</wp:posOffset>
            </wp:positionH>
            <wp:positionV relativeFrom="paragraph">
              <wp:posOffset>87443</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3C4B86BB" w14:textId="54B02854" w:rsidR="00E00530" w:rsidRPr="00E831AF" w:rsidRDefault="00E00530" w:rsidP="00E00530">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00530" w:rsidRPr="00E831AF" w14:paraId="2FA2FE2F" w14:textId="77777777" w:rsidTr="004A560F">
        <w:trPr>
          <w:trHeight w:val="315"/>
        </w:trPr>
        <w:tc>
          <w:tcPr>
            <w:tcW w:w="893" w:type="dxa"/>
            <w:vAlign w:val="center"/>
            <w:hideMark/>
          </w:tcPr>
          <w:p w14:paraId="387C7B31" w14:textId="77777777" w:rsidR="00E00530" w:rsidRPr="00E831AF" w:rsidRDefault="00E00530" w:rsidP="004A560F">
            <w:pPr>
              <w:contextualSpacing/>
              <w:rPr>
                <w:rFonts w:ascii="Verdana" w:hAnsi="Verdana" w:cs="Arial"/>
                <w:sz w:val="16"/>
                <w:szCs w:val="16"/>
                <w:lang w:val="es-ES" w:eastAsia="es-ES"/>
              </w:rPr>
            </w:pPr>
            <w:r w:rsidRPr="00E831A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8ED6AD" w14:textId="77777777" w:rsidR="00E00530" w:rsidRPr="00E831AF" w:rsidRDefault="00E00530" w:rsidP="004A560F">
            <w:pPr>
              <w:contextualSpacing/>
              <w:rPr>
                <w:rFonts w:ascii="Verdana" w:eastAsia="Arial" w:hAnsi="Verdana" w:cs="Arial"/>
                <w:color w:val="000000" w:themeColor="text1"/>
                <w:sz w:val="16"/>
                <w:szCs w:val="16"/>
                <w:lang w:val="es-ES"/>
              </w:rPr>
            </w:pPr>
            <w:r w:rsidRPr="00E831AF">
              <w:rPr>
                <w:rFonts w:ascii="Verdana" w:eastAsia="Arial" w:hAnsi="Verdana" w:cs="Arial"/>
                <w:color w:val="000000" w:themeColor="text1"/>
                <w:sz w:val="16"/>
                <w:szCs w:val="16"/>
                <w:lang w:val="es-ES"/>
              </w:rPr>
              <w:t>Anamaría Bonilla Prieto</w:t>
            </w:r>
          </w:p>
          <w:p w14:paraId="74CE7673" w14:textId="77777777" w:rsidR="00E00530" w:rsidRPr="00E831AF" w:rsidRDefault="00E00530" w:rsidP="004A560F">
            <w:pPr>
              <w:contextualSpacing/>
              <w:rPr>
                <w:rFonts w:ascii="Verdana" w:eastAsia="Arial" w:hAnsi="Verdana" w:cs="Arial"/>
                <w:sz w:val="16"/>
                <w:szCs w:val="16"/>
                <w:lang w:val="es-ES"/>
              </w:rPr>
            </w:pPr>
            <w:r w:rsidRPr="00E831AF">
              <w:rPr>
                <w:rStyle w:val="normaltextrun"/>
                <w:rFonts w:ascii="Verdana" w:eastAsia="Arial" w:hAnsi="Verdana" w:cs="Arial"/>
                <w:color w:val="000000" w:themeColor="text1"/>
                <w:sz w:val="16"/>
                <w:szCs w:val="16"/>
                <w:lang w:val="es-ES"/>
              </w:rPr>
              <w:t xml:space="preserve">Contratista de la Subdirección </w:t>
            </w:r>
            <w:r w:rsidRPr="00E831AF">
              <w:rPr>
                <w:rStyle w:val="normaltextrun"/>
                <w:rFonts w:ascii="Verdana" w:eastAsia="Arial" w:hAnsi="Verdana" w:cs="Arial"/>
                <w:sz w:val="16"/>
                <w:szCs w:val="16"/>
                <w:lang w:val="es-ES"/>
              </w:rPr>
              <w:t>de Gestión Contractual</w:t>
            </w:r>
          </w:p>
        </w:tc>
      </w:tr>
      <w:tr w:rsidR="00E00530" w:rsidRPr="00E831AF" w14:paraId="4DB863B8" w14:textId="77777777" w:rsidTr="004A560F">
        <w:trPr>
          <w:trHeight w:val="330"/>
        </w:trPr>
        <w:tc>
          <w:tcPr>
            <w:tcW w:w="893" w:type="dxa"/>
            <w:vAlign w:val="center"/>
            <w:hideMark/>
          </w:tcPr>
          <w:p w14:paraId="1AFE13D7" w14:textId="77777777" w:rsidR="00E00530" w:rsidRPr="00E831AF" w:rsidRDefault="00E00530" w:rsidP="004A560F">
            <w:pPr>
              <w:contextualSpacing/>
              <w:rPr>
                <w:rFonts w:ascii="Verdana" w:hAnsi="Verdana" w:cs="Arial"/>
                <w:sz w:val="16"/>
                <w:szCs w:val="16"/>
                <w:lang w:val="es-ES" w:eastAsia="es-ES"/>
              </w:rPr>
            </w:pPr>
            <w:r w:rsidRPr="00E831A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4BCC84" w14:textId="77777777" w:rsidR="00E00530" w:rsidRPr="00E831AF" w:rsidRDefault="00E00530" w:rsidP="004A560F">
            <w:pPr>
              <w:pStyle w:val="paragraph"/>
              <w:spacing w:before="0" w:beforeAutospacing="0" w:after="0" w:afterAutospacing="0"/>
              <w:contextualSpacing/>
              <w:textAlignment w:val="baseline"/>
              <w:rPr>
                <w:rFonts w:ascii="Verdana" w:hAnsi="Verdana" w:cs="Segoe UI"/>
                <w:sz w:val="16"/>
                <w:szCs w:val="16"/>
                <w:lang w:val="es-ES"/>
              </w:rPr>
            </w:pPr>
            <w:r w:rsidRPr="00E831AF">
              <w:rPr>
                <w:rFonts w:ascii="Verdana" w:hAnsi="Verdana" w:cs="Segoe UI"/>
                <w:sz w:val="16"/>
                <w:szCs w:val="16"/>
                <w:lang w:val="es-ES"/>
              </w:rPr>
              <w:t>Diana Saavedra Castañeda</w:t>
            </w:r>
          </w:p>
          <w:p w14:paraId="16F19A47" w14:textId="77777777" w:rsidR="00E00530" w:rsidRPr="00E831AF" w:rsidRDefault="00E00530" w:rsidP="004A560F">
            <w:pPr>
              <w:pStyle w:val="paragraph"/>
              <w:spacing w:before="0" w:beforeAutospacing="0" w:after="0" w:afterAutospacing="0"/>
              <w:contextualSpacing/>
              <w:textAlignment w:val="baseline"/>
              <w:rPr>
                <w:rFonts w:ascii="Verdana" w:hAnsi="Verdana" w:cs="Segoe UI"/>
                <w:sz w:val="16"/>
                <w:szCs w:val="16"/>
                <w:lang w:val="es-ES"/>
              </w:rPr>
            </w:pPr>
            <w:r w:rsidRPr="00E831AF">
              <w:rPr>
                <w:rStyle w:val="normaltextrun"/>
                <w:rFonts w:ascii="Verdana" w:eastAsia="Arial" w:hAnsi="Verdana" w:cs="Arial"/>
                <w:color w:val="000000" w:themeColor="text1"/>
                <w:sz w:val="16"/>
                <w:szCs w:val="16"/>
                <w:lang w:val="es-ES"/>
              </w:rPr>
              <w:t xml:space="preserve">Contratista de la Subdirección </w:t>
            </w:r>
            <w:r w:rsidRPr="00E831AF">
              <w:rPr>
                <w:rStyle w:val="normaltextrun"/>
                <w:rFonts w:ascii="Verdana" w:eastAsia="Arial" w:hAnsi="Verdana" w:cs="Arial"/>
                <w:sz w:val="16"/>
                <w:szCs w:val="16"/>
                <w:lang w:val="es-ES"/>
              </w:rPr>
              <w:t>de Gestión Contractual</w:t>
            </w:r>
          </w:p>
        </w:tc>
      </w:tr>
      <w:tr w:rsidR="00E00530" w:rsidRPr="00E831AF" w14:paraId="202BDC5D" w14:textId="77777777" w:rsidTr="004A560F">
        <w:trPr>
          <w:trHeight w:val="300"/>
        </w:trPr>
        <w:tc>
          <w:tcPr>
            <w:tcW w:w="893" w:type="dxa"/>
            <w:vAlign w:val="center"/>
          </w:tcPr>
          <w:p w14:paraId="35D66016" w14:textId="77777777" w:rsidR="00E00530" w:rsidRPr="00E831AF" w:rsidRDefault="00E00530" w:rsidP="004A560F">
            <w:pPr>
              <w:contextualSpacing/>
              <w:rPr>
                <w:rFonts w:ascii="Verdana" w:hAnsi="Verdana" w:cs="Arial"/>
                <w:sz w:val="16"/>
                <w:szCs w:val="16"/>
                <w:lang w:val="es-ES" w:eastAsia="es-ES"/>
              </w:rPr>
            </w:pPr>
            <w:r w:rsidRPr="00E831A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310873" w14:textId="77777777" w:rsidR="00E00530" w:rsidRPr="00E831AF" w:rsidRDefault="00E00530" w:rsidP="004A560F">
            <w:pPr>
              <w:contextualSpacing/>
              <w:rPr>
                <w:rFonts w:ascii="Verdana" w:eastAsia="Calibri" w:hAnsi="Verdana" w:cs="Arial"/>
                <w:sz w:val="16"/>
                <w:szCs w:val="16"/>
                <w:lang w:val="es-ES" w:eastAsia="es-ES"/>
              </w:rPr>
            </w:pPr>
            <w:r w:rsidRPr="00E831AF">
              <w:rPr>
                <w:rFonts w:ascii="Verdana" w:eastAsia="Calibri" w:hAnsi="Verdana" w:cs="Arial"/>
                <w:sz w:val="16"/>
                <w:szCs w:val="16"/>
                <w:lang w:val="es-ES" w:eastAsia="es-ES"/>
              </w:rPr>
              <w:t>Carolina Quintero Gacharná</w:t>
            </w:r>
          </w:p>
          <w:p w14:paraId="001E2987" w14:textId="77777777" w:rsidR="00E00530" w:rsidRPr="00E831AF" w:rsidRDefault="00E00530" w:rsidP="004A560F">
            <w:pPr>
              <w:contextualSpacing/>
              <w:rPr>
                <w:rFonts w:ascii="Verdana" w:eastAsia="Calibri" w:hAnsi="Verdana" w:cs="Arial"/>
                <w:sz w:val="16"/>
                <w:szCs w:val="16"/>
                <w:lang w:val="es-ES" w:eastAsia="es-ES"/>
              </w:rPr>
            </w:pPr>
            <w:r w:rsidRPr="00E831AF">
              <w:rPr>
                <w:rFonts w:ascii="Verdana" w:eastAsia="Calibri" w:hAnsi="Verdana" w:cs="Arial"/>
                <w:sz w:val="16"/>
                <w:szCs w:val="16"/>
                <w:lang w:val="es-ES" w:eastAsia="es-ES"/>
              </w:rPr>
              <w:t>Subdirectora de Gestión Contractual ANCP – CCE</w:t>
            </w:r>
          </w:p>
        </w:tc>
      </w:tr>
    </w:tbl>
    <w:p w14:paraId="4DB197BB" w14:textId="6E34E1CA" w:rsidR="00E00530" w:rsidRPr="00E831AF" w:rsidRDefault="00E00530" w:rsidP="00E00530">
      <w:pPr>
        <w:spacing w:after="0" w:line="276" w:lineRule="auto"/>
        <w:jc w:val="center"/>
        <w:rPr>
          <w:lang w:val="es-ES"/>
        </w:rPr>
      </w:pPr>
    </w:p>
    <w:bookmarkEnd w:id="0"/>
    <w:p w14:paraId="0F293BF4" w14:textId="4C228795" w:rsidR="00127233" w:rsidRPr="00E00530" w:rsidRDefault="00127233" w:rsidP="00E00530"/>
    <w:sectPr w:rsidR="00127233" w:rsidRPr="00E0053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B3C148" w14:textId="77777777" w:rsidR="0056434A" w:rsidRDefault="0056434A" w:rsidP="004A1847">
      <w:pPr>
        <w:spacing w:after="0" w:line="240" w:lineRule="auto"/>
      </w:pPr>
      <w:r>
        <w:separator/>
      </w:r>
    </w:p>
  </w:endnote>
  <w:endnote w:type="continuationSeparator" w:id="0">
    <w:p w14:paraId="2C75C103" w14:textId="77777777" w:rsidR="0056434A" w:rsidRDefault="0056434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420991" w14:textId="77777777" w:rsidR="0056434A" w:rsidRDefault="0056434A" w:rsidP="004A1847">
      <w:pPr>
        <w:spacing w:after="0" w:line="240" w:lineRule="auto"/>
      </w:pPr>
      <w:r>
        <w:separator/>
      </w:r>
    </w:p>
  </w:footnote>
  <w:footnote w:type="continuationSeparator" w:id="0">
    <w:p w14:paraId="3C5FC087" w14:textId="77777777" w:rsidR="0056434A" w:rsidRDefault="0056434A" w:rsidP="004A1847">
      <w:pPr>
        <w:spacing w:after="0" w:line="240" w:lineRule="auto"/>
      </w:pPr>
      <w:r>
        <w:continuationSeparator/>
      </w:r>
    </w:p>
  </w:footnote>
  <w:footnote w:id="1">
    <w:p w14:paraId="52B20CDE" w14:textId="77777777" w:rsidR="00E00530" w:rsidRPr="00BC04A4" w:rsidRDefault="00E00530" w:rsidP="00E00530">
      <w:pPr>
        <w:pStyle w:val="FootnoteText"/>
        <w:snapToGrid w:val="0"/>
        <w:ind w:firstLine="708"/>
        <w:contextualSpacing/>
        <w:jc w:val="both"/>
        <w:rPr>
          <w:rFonts w:ascii="Verdana" w:hAnsi="Verdana" w:cs="Arial"/>
          <w:color w:val="000000" w:themeColor="text1"/>
          <w:sz w:val="16"/>
          <w:szCs w:val="16"/>
        </w:rPr>
      </w:pPr>
      <w:r w:rsidRPr="00BC04A4">
        <w:rPr>
          <w:rStyle w:val="FootnoteReference"/>
          <w:rFonts w:ascii="Verdana" w:hAnsi="Verdana" w:cs="Arial"/>
          <w:color w:val="000000" w:themeColor="text1"/>
          <w:sz w:val="16"/>
          <w:szCs w:val="16"/>
        </w:rPr>
        <w:footnoteRef/>
      </w:r>
      <w:r w:rsidRPr="00BC04A4">
        <w:rPr>
          <w:rFonts w:ascii="Verdana" w:hAnsi="Verdana" w:cs="Arial"/>
          <w:color w:val="000000" w:themeColor="text1"/>
          <w:sz w:val="16"/>
          <w:szCs w:val="16"/>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2">
    <w:p w14:paraId="13A4946A"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2BDE7256"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rPr>
        <w:t xml:space="preserve">[…] </w:t>
      </w:r>
    </w:p>
    <w:p w14:paraId="0FD52031"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rPr>
        <w:t>2.1. Bienes, obras y servicios que ofrecerá a las Entidades Estatales, identificados con el Clasificador de Bienes y Servicios en el tercer nivel”.</w:t>
      </w:r>
    </w:p>
  </w:footnote>
  <w:footnote w:id="3">
    <w:p w14:paraId="7E40AE32"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267AF6D"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rPr>
        <w:t xml:space="preserve">[…] </w:t>
      </w:r>
    </w:p>
    <w:p w14:paraId="2EC1946F" w14:textId="77777777" w:rsidR="00E00530" w:rsidRPr="00BC04A4" w:rsidRDefault="00E00530" w:rsidP="00E00530">
      <w:pPr>
        <w:pStyle w:val="FootnoteText"/>
        <w:snapToGrid w:val="0"/>
        <w:ind w:firstLine="708"/>
        <w:contextualSpacing/>
        <w:jc w:val="both"/>
        <w:rPr>
          <w:rFonts w:ascii="Verdana" w:hAnsi="Verdana" w:cs="Arial"/>
          <w:sz w:val="16"/>
          <w:szCs w:val="16"/>
          <w:lang w:val="es-CO"/>
        </w:rPr>
      </w:pPr>
      <w:r w:rsidRPr="00BC04A4">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footnote>
  <w:footnote w:id="4">
    <w:p w14:paraId="536823C4"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Colombia Compra Eficiente, </w:t>
      </w:r>
      <w:bookmarkStart w:id="3" w:name="_Hlk192803911"/>
      <w:r w:rsidRPr="00BC04A4">
        <w:rPr>
          <w:rFonts w:ascii="Verdana" w:hAnsi="Verdana" w:cs="Arial"/>
          <w:sz w:val="16"/>
          <w:szCs w:val="16"/>
        </w:rPr>
        <w:t>Manual para determinar y verificar requisitos habilitantes en los procesos de contratación.</w:t>
      </w:r>
      <w:bookmarkEnd w:id="3"/>
      <w:r w:rsidRPr="00BC04A4">
        <w:rPr>
          <w:rFonts w:ascii="Verdana" w:hAnsi="Verdana"/>
          <w:sz w:val="16"/>
          <w:szCs w:val="16"/>
          <w:lang w:val="es-CO"/>
        </w:rPr>
        <w:t xml:space="preserve"> </w:t>
      </w:r>
      <w:hyperlink r:id="rId1" w:history="1">
        <w:r w:rsidRPr="00BC04A4">
          <w:rPr>
            <w:rStyle w:val="Hyperlink"/>
            <w:rFonts w:ascii="Verdana" w:hAnsi="Verdana" w:cs="Arial"/>
            <w:sz w:val="16"/>
            <w:szCs w:val="16"/>
            <w:lang w:val="es-CO"/>
          </w:rPr>
          <w:t>cce-eicp-ma-04._manual_requisitos_habilitantes_v3_29-09-2023.pdf</w:t>
        </w:r>
      </w:hyperlink>
    </w:p>
  </w:footnote>
  <w:footnote w:id="5">
    <w:p w14:paraId="5D30EDF1" w14:textId="77777777" w:rsidR="00E00530" w:rsidRPr="00BC04A4" w:rsidRDefault="00E00530" w:rsidP="00E00530">
      <w:pPr>
        <w:pStyle w:val="FootnoteText"/>
        <w:snapToGrid w:val="0"/>
        <w:ind w:firstLine="708"/>
        <w:contextualSpacing/>
        <w:rPr>
          <w:rFonts w:ascii="Verdana" w:hAnsi="Verdana"/>
          <w:sz w:val="16"/>
          <w:szCs w:val="16"/>
          <w:lang w:val="es-ES"/>
        </w:rPr>
      </w:pPr>
      <w:r w:rsidRPr="00BC04A4">
        <w:rPr>
          <w:rStyle w:val="FootnoteReference"/>
          <w:rFonts w:ascii="Verdana" w:hAnsi="Verdana"/>
          <w:sz w:val="16"/>
          <w:szCs w:val="16"/>
        </w:rPr>
        <w:footnoteRef/>
      </w:r>
      <w:r w:rsidRPr="00BC04A4">
        <w:rPr>
          <w:rFonts w:ascii="Verdana" w:hAnsi="Verdana"/>
          <w:sz w:val="16"/>
          <w:szCs w:val="16"/>
        </w:rPr>
        <w:t xml:space="preserve"> </w:t>
      </w:r>
      <w:r>
        <w:rPr>
          <w:rFonts w:ascii="Verdana" w:hAnsi="Verdana"/>
          <w:sz w:val="16"/>
          <w:szCs w:val="16"/>
        </w:rPr>
        <w:t xml:space="preserve">Dipsonible en: </w:t>
      </w:r>
      <w:hyperlink r:id="rId2" w:history="1">
        <w:r w:rsidRPr="003C4D22">
          <w:rPr>
            <w:rStyle w:val="Hyperlink"/>
            <w:rFonts w:ascii="Verdana" w:hAnsi="Verdana"/>
            <w:sz w:val="16"/>
            <w:szCs w:val="16"/>
          </w:rPr>
          <w:t>https://www.colombiacompra.gov.co/wp-content/uploads/2024/08/cce-eicp-ma-04._manual_requisitos_</w:t>
        </w:r>
      </w:hyperlink>
      <w:r w:rsidRPr="00BC04A4">
        <w:rPr>
          <w:rFonts w:ascii="Verdana" w:hAnsi="Verdana"/>
          <w:sz w:val="16"/>
          <w:szCs w:val="16"/>
        </w:rPr>
        <w:t xml:space="preserve"> habilitantes_v3_29-09-2023.pdf</w:t>
      </w:r>
    </w:p>
  </w:footnote>
  <w:footnote w:id="6">
    <w:p w14:paraId="39252B4A" w14:textId="77777777" w:rsidR="00E00530" w:rsidRPr="00BC04A4" w:rsidRDefault="00E00530" w:rsidP="00E00530">
      <w:pPr>
        <w:pStyle w:val="FootnoteText"/>
        <w:snapToGrid w:val="0"/>
        <w:ind w:firstLine="708"/>
        <w:contextualSpacing/>
        <w:rPr>
          <w:rFonts w:ascii="Verdana" w:hAnsi="Verdana"/>
          <w:sz w:val="16"/>
          <w:szCs w:val="16"/>
          <w:lang w:val="es-ES"/>
        </w:rPr>
      </w:pPr>
      <w:r w:rsidRPr="00BC04A4">
        <w:rPr>
          <w:rStyle w:val="FootnoteReference"/>
          <w:rFonts w:ascii="Verdana" w:hAnsi="Verdana"/>
          <w:sz w:val="16"/>
          <w:szCs w:val="16"/>
        </w:rPr>
        <w:footnoteRef/>
      </w:r>
      <w:r w:rsidRPr="00BC04A4">
        <w:rPr>
          <w:rFonts w:ascii="Verdana" w:hAnsi="Verdana"/>
          <w:sz w:val="16"/>
          <w:szCs w:val="16"/>
        </w:rPr>
        <w:t xml:space="preserve"> Ley 1150 de 2007, artículo 5, parágrafo, adicionado por la Ley 1882 de 2018.</w:t>
      </w:r>
    </w:p>
  </w:footnote>
  <w:footnote w:id="7">
    <w:p w14:paraId="61FA8F92"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Consejo de Estado. Sección Tercera. Subsección B. Sentencia del 6 de junio de 2013. Exp. 25151. C.P. Stella Conto Díaz del Castillo.</w:t>
      </w:r>
    </w:p>
  </w:footnote>
  <w:footnote w:id="8">
    <w:p w14:paraId="6462BE23" w14:textId="77777777" w:rsidR="00E00530" w:rsidRPr="00BC04A4" w:rsidRDefault="00E00530" w:rsidP="00E00530">
      <w:pPr>
        <w:pStyle w:val="FootnoteText"/>
        <w:snapToGrid w:val="0"/>
        <w:ind w:left="708"/>
        <w:contextualSpacing/>
        <w:rPr>
          <w:rFonts w:ascii="Verdana" w:hAnsi="Verdana"/>
          <w:sz w:val="16"/>
          <w:szCs w:val="16"/>
        </w:rPr>
      </w:pPr>
      <w:r w:rsidRPr="00BC04A4">
        <w:rPr>
          <w:rStyle w:val="FootnoteReference"/>
          <w:rFonts w:ascii="Verdana" w:hAnsi="Verdana"/>
          <w:sz w:val="16"/>
          <w:szCs w:val="16"/>
        </w:rPr>
        <w:footnoteRef/>
      </w:r>
      <w:r w:rsidRPr="00BC04A4">
        <w:rPr>
          <w:rFonts w:ascii="Verdana" w:hAnsi="Verdana"/>
          <w:sz w:val="16"/>
          <w:szCs w:val="16"/>
        </w:rPr>
        <w:t xml:space="preserve"> Ley 1150 de 2007, artículo 6.</w:t>
      </w:r>
    </w:p>
  </w:footnote>
  <w:footnote w:id="9">
    <w:p w14:paraId="3B252659" w14:textId="77777777" w:rsidR="00E00530" w:rsidRPr="00BC04A4" w:rsidRDefault="00E00530" w:rsidP="00E00530">
      <w:pPr>
        <w:pStyle w:val="FootnoteText"/>
        <w:snapToGrid w:val="0"/>
        <w:ind w:firstLine="709"/>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Ley 1150 de 2007: “Artículo 6. De la verificación de las condiciones de los proponentes.</w:t>
      </w:r>
    </w:p>
    <w:p w14:paraId="1B3CF1CF"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w:t>
      </w:r>
    </w:p>
    <w:p w14:paraId="0C156500"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6.1. […]</w:t>
      </w:r>
    </w:p>
    <w:p w14:paraId="2BD05976"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304E100"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D38B4BD" w14:textId="77777777" w:rsidR="00E00530" w:rsidRPr="00BC04A4" w:rsidRDefault="00E00530" w:rsidP="00E00530">
      <w:pPr>
        <w:pStyle w:val="FootnoteText"/>
        <w:snapToGrid w:val="0"/>
        <w:ind w:firstLine="709"/>
        <w:contextualSpacing/>
        <w:jc w:val="both"/>
        <w:rPr>
          <w:rFonts w:ascii="Verdana" w:hAnsi="Verdana" w:cs="Arial"/>
          <w:sz w:val="16"/>
          <w:szCs w:val="16"/>
          <w:lang w:val="es-ES"/>
        </w:rPr>
      </w:pPr>
      <w:r w:rsidRPr="00BC04A4">
        <w:rPr>
          <w:rFonts w:ascii="Verdana" w:hAnsi="Verdana" w:cs="Arial"/>
          <w:sz w:val="16"/>
          <w:szCs w:val="16"/>
          <w:lang w:eastAsia="es-CO"/>
        </w:rPr>
        <w:t>[…]”.</w:t>
      </w:r>
    </w:p>
  </w:footnote>
  <w:footnote w:id="10">
    <w:p w14:paraId="237A7454"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Style w:val="FootnoteReference"/>
          <w:rFonts w:ascii="Verdana" w:hAnsi="Verdana" w:cs="Arial"/>
          <w:sz w:val="16"/>
          <w:szCs w:val="16"/>
        </w:rPr>
        <w:footnoteRef/>
      </w:r>
      <w:r w:rsidRPr="00BC04A4">
        <w:rPr>
          <w:rFonts w:ascii="Verdana" w:hAnsi="Verdana" w:cs="Arial"/>
          <w:sz w:val="16"/>
          <w:szCs w:val="16"/>
        </w:rPr>
        <w:t xml:space="preserve"> Ley 1150 de 2007: “Artículo 5. De la selección objetiva.</w:t>
      </w:r>
      <w:r w:rsidRPr="00BC04A4">
        <w:rPr>
          <w:rFonts w:ascii="Verdana" w:hAnsi="Verdana" w:cs="Arial"/>
          <w:sz w:val="16"/>
          <w:szCs w:val="16"/>
          <w:lang w:eastAsia="es-CO"/>
        </w:rPr>
        <w:t xml:space="preserve"> </w:t>
      </w:r>
    </w:p>
    <w:p w14:paraId="2BCD80CD"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w:t>
      </w:r>
    </w:p>
    <w:p w14:paraId="05D2FA7D"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11">
    <w:p w14:paraId="09E041DD"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Style w:val="FootnoteReference"/>
          <w:rFonts w:ascii="Verdana" w:hAnsi="Verdana" w:cs="Arial"/>
          <w:sz w:val="16"/>
          <w:szCs w:val="16"/>
        </w:rPr>
        <w:footnoteRef/>
      </w:r>
      <w:r w:rsidRPr="00BC04A4">
        <w:rPr>
          <w:rFonts w:ascii="Verdana" w:hAnsi="Verdana" w:cs="Arial"/>
          <w:sz w:val="16"/>
          <w:szCs w:val="16"/>
        </w:rPr>
        <w:t xml:space="preserve"> </w:t>
      </w:r>
      <w:r w:rsidRPr="00BC04A4">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2">
    <w:p w14:paraId="7B4B7474"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Style w:val="FootnoteReference"/>
          <w:rFonts w:ascii="Verdana" w:hAnsi="Verdana" w:cs="Arial"/>
          <w:sz w:val="16"/>
          <w:szCs w:val="16"/>
        </w:rPr>
        <w:footnoteRef/>
      </w:r>
      <w:r w:rsidRPr="00BC04A4">
        <w:rPr>
          <w:rFonts w:ascii="Verdana" w:hAnsi="Verdana" w:cs="Arial"/>
          <w:sz w:val="16"/>
          <w:szCs w:val="16"/>
        </w:rPr>
        <w:t xml:space="preserve"> </w:t>
      </w:r>
      <w:r w:rsidRPr="00BC04A4">
        <w:rPr>
          <w:rFonts w:ascii="Verdana" w:hAnsi="Verdana" w:cs="Arial"/>
          <w:sz w:val="16"/>
          <w:szCs w:val="16"/>
          <w:lang w:eastAsia="es-CO"/>
        </w:rPr>
        <w:t xml:space="preserve">Ley 1150 de 2007: “Artículo 6.  De la verificación de las condiciones de los proponentes. </w:t>
      </w:r>
    </w:p>
    <w:p w14:paraId="18BF76B0" w14:textId="77777777" w:rsidR="00E00530" w:rsidRPr="00BC04A4" w:rsidRDefault="00E00530" w:rsidP="00E00530">
      <w:pPr>
        <w:pStyle w:val="FootnoteText"/>
        <w:snapToGrid w:val="0"/>
        <w:ind w:firstLine="709"/>
        <w:contextualSpacing/>
        <w:jc w:val="both"/>
        <w:rPr>
          <w:rFonts w:ascii="Verdana" w:hAnsi="Verdana" w:cs="Arial"/>
          <w:sz w:val="16"/>
          <w:szCs w:val="16"/>
          <w:lang w:eastAsia="es-CO"/>
        </w:rPr>
      </w:pPr>
      <w:r w:rsidRPr="00BC04A4">
        <w:rPr>
          <w:rFonts w:ascii="Verdana" w:hAnsi="Verdana" w:cs="Arial"/>
          <w:sz w:val="16"/>
          <w:szCs w:val="16"/>
          <w:lang w:eastAsia="es-CO"/>
        </w:rPr>
        <w:t xml:space="preserve">[...] </w:t>
      </w:r>
    </w:p>
    <w:p w14:paraId="0438EAD3" w14:textId="77777777" w:rsidR="00E00530" w:rsidRPr="00BC04A4" w:rsidRDefault="00E00530" w:rsidP="00E00530">
      <w:pPr>
        <w:pStyle w:val="FootnoteText"/>
        <w:snapToGrid w:val="0"/>
        <w:contextualSpacing/>
        <w:jc w:val="both"/>
        <w:rPr>
          <w:rFonts w:ascii="Verdana" w:hAnsi="Verdana" w:cs="Arial"/>
          <w:sz w:val="16"/>
          <w:szCs w:val="16"/>
          <w:lang w:eastAsia="es-CO"/>
        </w:rPr>
      </w:pPr>
      <w:r w:rsidRPr="00BC04A4">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3">
    <w:p w14:paraId="16954C90" w14:textId="77777777" w:rsidR="00E00530" w:rsidRPr="00BC04A4" w:rsidRDefault="00E00530" w:rsidP="00E00530">
      <w:pPr>
        <w:pStyle w:val="FootnoteText"/>
        <w:snapToGrid w:val="0"/>
        <w:ind w:firstLine="709"/>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w:t>
      </w:r>
      <w:r w:rsidRPr="00BC04A4">
        <w:rPr>
          <w:rFonts w:ascii="Verdana" w:hAnsi="Verdana" w:cs="Arial"/>
          <w:sz w:val="16"/>
          <w:szCs w:val="16"/>
          <w:lang w:eastAsia="es-CO"/>
        </w:rPr>
        <w:t>Consejo de Estado. Sala de Consulta y Servicio Civil. Consulta del 20 de mayo de 2010. Exp.1992. C. P. Enrique José Arboleda Perdomo.</w:t>
      </w:r>
    </w:p>
  </w:footnote>
  <w:footnote w:id="14">
    <w:p w14:paraId="78A6F4B8"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Como se señaló, el artículo 6 de la Ley 1150 de 2007 impuso la obligación a todos los proponentes de inscribirse en el Registro Único de Proponente, salvo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w:t>
      </w:r>
    </w:p>
    <w:p w14:paraId="380730D4" w14:textId="77777777" w:rsidR="00E00530" w:rsidRPr="00BC04A4" w:rsidRDefault="00E00530" w:rsidP="00E00530">
      <w:pPr>
        <w:pStyle w:val="FootnoteText"/>
        <w:snapToGrid w:val="0"/>
        <w:ind w:firstLine="708"/>
        <w:contextualSpacing/>
        <w:jc w:val="both"/>
        <w:rPr>
          <w:rFonts w:ascii="Verdana" w:hAnsi="Verdana" w:cs="Arial"/>
          <w:sz w:val="16"/>
          <w:szCs w:val="16"/>
          <w:lang w:val="es-CO"/>
        </w:rPr>
      </w:pPr>
    </w:p>
  </w:footnote>
  <w:footnote w:id="15">
    <w:p w14:paraId="06E903C5"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w:t>
      </w:r>
      <w:r>
        <w:rPr>
          <w:rFonts w:ascii="Verdana" w:hAnsi="Verdana" w:cs="Arial"/>
          <w:sz w:val="16"/>
          <w:szCs w:val="16"/>
        </w:rPr>
        <w:t>“</w:t>
      </w:r>
      <w:r w:rsidRPr="00BC04A4">
        <w:rPr>
          <w:rFonts w:ascii="Verdana" w:hAnsi="Verdana" w:cs="Arial"/>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4424C5F"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rPr>
        <w:t>[…]</w:t>
      </w:r>
    </w:p>
    <w:p w14:paraId="6E78AE01" w14:textId="77777777" w:rsidR="00E00530" w:rsidRPr="007E0D4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shd w:val="clear" w:color="auto" w:fill="FFFFFF"/>
        </w:rPr>
        <w:t>2.1.   Bienes, obras y servicios que ofrecerá a las Entidades Estatales, identificados con el Clasificador de Bienes y Servicios en el tercer nivel</w:t>
      </w:r>
      <w:r>
        <w:rPr>
          <w:rFonts w:ascii="Verdana" w:hAnsi="Verdana" w:cs="Arial"/>
          <w:sz w:val="16"/>
          <w:szCs w:val="16"/>
        </w:rPr>
        <w:t>”</w:t>
      </w:r>
      <w:r w:rsidRPr="00BC04A4">
        <w:rPr>
          <w:rFonts w:ascii="Verdana" w:hAnsi="Verdana" w:cs="Arial"/>
          <w:sz w:val="16"/>
          <w:szCs w:val="16"/>
          <w:shd w:val="clear" w:color="auto" w:fill="FFFFFF"/>
        </w:rPr>
        <w:t>.</w:t>
      </w:r>
    </w:p>
  </w:footnote>
  <w:footnote w:id="16">
    <w:p w14:paraId="26B83FDF"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w:t>
      </w:r>
      <w:r>
        <w:rPr>
          <w:rFonts w:ascii="Verdana" w:hAnsi="Verdana" w:cs="Arial"/>
          <w:sz w:val="16"/>
          <w:szCs w:val="16"/>
        </w:rPr>
        <w:t>“</w:t>
      </w:r>
      <w:r w:rsidRPr="00BC04A4">
        <w:rPr>
          <w:rFonts w:ascii="Verdana" w:hAnsi="Verdana" w:cs="Arial"/>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57709E2"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Fonts w:ascii="Verdana" w:hAnsi="Verdana" w:cs="Arial"/>
          <w:sz w:val="16"/>
          <w:szCs w:val="16"/>
        </w:rPr>
        <w:t>[…]</w:t>
      </w:r>
    </w:p>
    <w:p w14:paraId="42C2DB99" w14:textId="77777777" w:rsidR="00E00530" w:rsidRPr="00BC04A4" w:rsidRDefault="00E00530" w:rsidP="00E00530">
      <w:pPr>
        <w:pStyle w:val="FootnoteText"/>
        <w:snapToGrid w:val="0"/>
        <w:ind w:firstLine="708"/>
        <w:contextualSpacing/>
        <w:jc w:val="both"/>
        <w:rPr>
          <w:rFonts w:ascii="Verdana" w:hAnsi="Verdana" w:cs="Arial"/>
          <w:sz w:val="16"/>
          <w:szCs w:val="16"/>
          <w:lang w:val="es-CO"/>
        </w:rPr>
      </w:pPr>
      <w:r w:rsidRPr="00BC04A4">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BC04A4">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Pr>
          <w:rFonts w:ascii="Verdana" w:hAnsi="Verdana" w:cs="Arial"/>
          <w:sz w:val="16"/>
          <w:szCs w:val="16"/>
        </w:rPr>
        <w:t>”</w:t>
      </w:r>
      <w:r w:rsidRPr="00BC04A4">
        <w:rPr>
          <w:rFonts w:ascii="Verdana" w:hAnsi="Verdana" w:cs="Arial"/>
          <w:sz w:val="16"/>
          <w:szCs w:val="16"/>
        </w:rPr>
        <w:t>.</w:t>
      </w:r>
    </w:p>
  </w:footnote>
  <w:footnote w:id="17">
    <w:p w14:paraId="486F54C6" w14:textId="77777777" w:rsidR="00E00530" w:rsidRPr="00BC04A4" w:rsidRDefault="00E00530" w:rsidP="00E00530">
      <w:pPr>
        <w:pStyle w:val="FootnoteText"/>
        <w:snapToGrid w:val="0"/>
        <w:ind w:firstLine="708"/>
        <w:contextualSpacing/>
        <w:jc w:val="both"/>
        <w:rPr>
          <w:rFonts w:ascii="Verdana" w:hAnsi="Verdana" w:cs="Arial"/>
          <w:color w:val="000000" w:themeColor="text1"/>
          <w:sz w:val="16"/>
          <w:szCs w:val="16"/>
        </w:rPr>
      </w:pPr>
      <w:r w:rsidRPr="00BC04A4">
        <w:rPr>
          <w:rStyle w:val="FootnoteReference"/>
          <w:rFonts w:ascii="Verdana" w:hAnsi="Verdana" w:cs="Arial"/>
          <w:color w:val="000000" w:themeColor="text1"/>
          <w:sz w:val="16"/>
          <w:szCs w:val="16"/>
        </w:rPr>
        <w:footnoteRef/>
      </w:r>
      <w:r w:rsidRPr="00BC04A4">
        <w:rPr>
          <w:rFonts w:ascii="Verdana" w:hAnsi="Verdana" w:cs="Arial"/>
          <w:color w:val="000000" w:themeColor="text1"/>
          <w:sz w:val="16"/>
          <w:szCs w:val="16"/>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18">
    <w:p w14:paraId="721401C0" w14:textId="77777777" w:rsidR="00E00530" w:rsidRPr="00BC04A4" w:rsidRDefault="00E00530" w:rsidP="00E00530">
      <w:pPr>
        <w:pStyle w:val="FootnoteText"/>
        <w:snapToGrid w:val="0"/>
        <w:ind w:firstLine="708"/>
        <w:contextualSpacing/>
        <w:jc w:val="both"/>
        <w:rPr>
          <w:rFonts w:ascii="Verdana" w:hAnsi="Verdana" w:cs="Arial"/>
          <w:sz w:val="16"/>
          <w:szCs w:val="16"/>
        </w:rPr>
      </w:pPr>
      <w:r w:rsidRPr="00BC04A4">
        <w:rPr>
          <w:rStyle w:val="FootnoteReference"/>
          <w:rFonts w:ascii="Verdana" w:hAnsi="Verdana" w:cs="Arial"/>
          <w:sz w:val="16"/>
          <w:szCs w:val="16"/>
        </w:rPr>
        <w:footnoteRef/>
      </w:r>
      <w:r w:rsidRPr="00BC04A4">
        <w:rPr>
          <w:rFonts w:ascii="Verdana" w:hAnsi="Verdana" w:cs="Arial"/>
          <w:sz w:val="16"/>
          <w:szCs w:val="16"/>
        </w:rPr>
        <w:t xml:space="preserve"> GONZÁLEZ LÓPEZ, Edgar</w:t>
      </w:r>
      <w:r w:rsidRPr="00BC04A4">
        <w:rPr>
          <w:rFonts w:ascii="Verdana" w:hAnsi="Verdana" w:cs="Arial"/>
          <w:i/>
          <w:iCs/>
          <w:sz w:val="16"/>
          <w:szCs w:val="16"/>
        </w:rPr>
        <w:t xml:space="preserve">. </w:t>
      </w:r>
      <w:r w:rsidRPr="00BC04A4">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9"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35935"/>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639A"/>
    <w:rsid w:val="00406575"/>
    <w:rsid w:val="00414C74"/>
    <w:rsid w:val="0042722E"/>
    <w:rsid w:val="0044528D"/>
    <w:rsid w:val="00466E39"/>
    <w:rsid w:val="004A1847"/>
    <w:rsid w:val="004A305D"/>
    <w:rsid w:val="004F21C4"/>
    <w:rsid w:val="004F685F"/>
    <w:rsid w:val="005566E8"/>
    <w:rsid w:val="0056434A"/>
    <w:rsid w:val="00574867"/>
    <w:rsid w:val="00591460"/>
    <w:rsid w:val="005A65E0"/>
    <w:rsid w:val="005C3777"/>
    <w:rsid w:val="005C5CDC"/>
    <w:rsid w:val="005D476C"/>
    <w:rsid w:val="006200BF"/>
    <w:rsid w:val="006219F8"/>
    <w:rsid w:val="006224C7"/>
    <w:rsid w:val="006302F7"/>
    <w:rsid w:val="00637272"/>
    <w:rsid w:val="00646B9F"/>
    <w:rsid w:val="00665D70"/>
    <w:rsid w:val="006900D9"/>
    <w:rsid w:val="00706C16"/>
    <w:rsid w:val="007340C3"/>
    <w:rsid w:val="0075235A"/>
    <w:rsid w:val="00756841"/>
    <w:rsid w:val="007649AB"/>
    <w:rsid w:val="00771D0C"/>
    <w:rsid w:val="007833AC"/>
    <w:rsid w:val="007A255A"/>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13CC2"/>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4778"/>
    <w:rsid w:val="00C330EB"/>
    <w:rsid w:val="00C50D69"/>
    <w:rsid w:val="00C5365C"/>
    <w:rsid w:val="00C550D9"/>
    <w:rsid w:val="00C754BE"/>
    <w:rsid w:val="00C76B1C"/>
    <w:rsid w:val="00C87027"/>
    <w:rsid w:val="00C925AC"/>
    <w:rsid w:val="00CB6357"/>
    <w:rsid w:val="00CC1B26"/>
    <w:rsid w:val="00D07940"/>
    <w:rsid w:val="00D361FD"/>
    <w:rsid w:val="00D423A2"/>
    <w:rsid w:val="00D44E26"/>
    <w:rsid w:val="00D520D8"/>
    <w:rsid w:val="00D63AC2"/>
    <w:rsid w:val="00D71A90"/>
    <w:rsid w:val="00D7383B"/>
    <w:rsid w:val="00D7788A"/>
    <w:rsid w:val="00DA231B"/>
    <w:rsid w:val="00DC39FC"/>
    <w:rsid w:val="00DE7C50"/>
    <w:rsid w:val="00DF5254"/>
    <w:rsid w:val="00E00530"/>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1A422432"/>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E00530"/>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E0053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rco.ri27010723@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ce-eicp-ma-04._manual_requisitos_" TargetMode="External"/><Relationship Id="rId1" Type="http://schemas.openxmlformats.org/officeDocument/2006/relationships/hyperlink" Target="https://www.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DEB0D6-BFBA-4020-BB55-52F13FCB9CDC}"/>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21</Pages>
  <Words>6768</Words>
  <Characters>38582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3</cp:revision>
  <cp:lastPrinted>2023-01-10T21:18:00Z</cp:lastPrinted>
  <dcterms:created xsi:type="dcterms:W3CDTF">2026-05-26T16:35:00Z</dcterms:created>
  <dcterms:modified xsi:type="dcterms:W3CDTF">2026-05-26T16:51:00Z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