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6658A" w14:textId="77777777" w:rsidR="00D46A6B" w:rsidRPr="00453E53" w:rsidRDefault="00D46A6B" w:rsidP="00D46A6B">
      <w:pPr>
        <w:spacing w:after="0" w:line="240" w:lineRule="auto"/>
        <w:jc w:val="both"/>
        <w:rPr>
          <w:rFonts w:ascii="Verdana" w:eastAsia="Calibri" w:hAnsi="Verdana" w:cs="Arial"/>
          <w:b/>
          <w:lang w:val="es-ES_tradnl"/>
        </w:rPr>
      </w:pPr>
      <w:bookmarkStart w:id="0" w:name="_Hlk143780582"/>
      <w:r w:rsidRPr="00453E53">
        <w:rPr>
          <w:rFonts w:ascii="Verdana" w:eastAsia="Calibri" w:hAnsi="Verdana" w:cs="Arial"/>
          <w:b/>
          <w:lang w:val="es-ES_tradnl"/>
        </w:rPr>
        <w:t>SELECCIÓN OBJETIVA – Noción – Contratación pública – Oferta más favorable</w:t>
      </w:r>
    </w:p>
    <w:p w14:paraId="1D823920" w14:textId="77777777" w:rsidR="00D46A6B" w:rsidRPr="00453E53" w:rsidRDefault="00D46A6B" w:rsidP="00D46A6B">
      <w:pPr>
        <w:spacing w:after="0" w:line="240" w:lineRule="auto"/>
        <w:jc w:val="both"/>
        <w:rPr>
          <w:rFonts w:ascii="Verdana" w:eastAsia="Calibri" w:hAnsi="Verdana" w:cs="Arial"/>
          <w:bCs/>
          <w:sz w:val="20"/>
          <w:szCs w:val="20"/>
          <w:lang w:val="es-ES_tradnl"/>
        </w:rPr>
      </w:pPr>
    </w:p>
    <w:p w14:paraId="27D639DF" w14:textId="77777777" w:rsidR="00D46A6B" w:rsidRPr="00453E53" w:rsidRDefault="00D46A6B" w:rsidP="00D46A6B">
      <w:pPr>
        <w:spacing w:after="0" w:line="240" w:lineRule="auto"/>
        <w:jc w:val="both"/>
        <w:rPr>
          <w:rFonts w:ascii="Verdana" w:eastAsia="Calibri" w:hAnsi="Verdana" w:cs="Arial"/>
          <w:bCs/>
          <w:sz w:val="20"/>
          <w:szCs w:val="20"/>
          <w:lang w:val="es-ES_tradnl"/>
        </w:rPr>
      </w:pPr>
      <w:r w:rsidRPr="00453E53">
        <w:rPr>
          <w:rFonts w:ascii="Verdana" w:eastAsia="Calibri" w:hAnsi="Verdana" w:cs="Arial"/>
          <w:bCs/>
          <w:sz w:val="20"/>
          <w:szCs w:val="20"/>
          <w:lang w:val="es-ES_tradnl"/>
        </w:rPr>
        <w:t>[…] de acuerdo con el artículo 5 de la Ley 1150 de 2007, el deber de selección objetiva supone que las Entidades Estatales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w:t>
      </w:r>
    </w:p>
    <w:p w14:paraId="6076F128" w14:textId="77777777" w:rsidR="00D46A6B" w:rsidRPr="00453E53" w:rsidRDefault="00D46A6B" w:rsidP="00D46A6B">
      <w:pPr>
        <w:spacing w:after="0" w:line="240" w:lineRule="auto"/>
        <w:jc w:val="both"/>
        <w:rPr>
          <w:rFonts w:ascii="Verdana" w:eastAsia="Calibri" w:hAnsi="Verdana" w:cs="Arial"/>
          <w:bCs/>
          <w:sz w:val="20"/>
          <w:szCs w:val="20"/>
          <w:lang w:val="es-ES_tradnl"/>
        </w:rPr>
      </w:pPr>
      <w:r w:rsidRPr="00453E53">
        <w:rPr>
          <w:rFonts w:ascii="Verdana" w:eastAsia="Calibri" w:hAnsi="Verdana" w:cs="Arial"/>
          <w:bCs/>
          <w:sz w:val="20"/>
          <w:szCs w:val="20"/>
          <w:lang w:val="es-ES_tradnl"/>
        </w:rPr>
        <w:t>[…]</w:t>
      </w:r>
    </w:p>
    <w:p w14:paraId="4E0E80DE" w14:textId="77777777" w:rsidR="00D46A6B" w:rsidRPr="00453E53" w:rsidRDefault="00D46A6B" w:rsidP="00D46A6B">
      <w:pPr>
        <w:spacing w:after="0" w:line="240" w:lineRule="auto"/>
        <w:jc w:val="both"/>
        <w:rPr>
          <w:rFonts w:ascii="Verdana" w:eastAsia="Calibri" w:hAnsi="Verdana" w:cs="Arial"/>
          <w:sz w:val="20"/>
          <w:szCs w:val="20"/>
          <w:lang w:val="es-ES"/>
        </w:rPr>
      </w:pPr>
      <w:r w:rsidRPr="74CC3281">
        <w:rPr>
          <w:rFonts w:ascii="Verdana" w:eastAsia="Calibri" w:hAnsi="Verdana" w:cs="Arial"/>
          <w:sz w:val="20"/>
          <w:szCs w:val="20"/>
          <w:lang w:val="es-ES"/>
        </w:rPr>
        <w:t xml:space="preserve">[…] las reglas para establecer la oferta más favorable conforme al artículo 5 de la Ley 1150 de 2007, se encuentran reglamentadas en el artículo 2.2.1.1.2.2.2 del Decreto 1082 de 2015, modificado por el Decreto 142 de 2023. Este artículo desarrolla los mecanismos de ponderación previstos en los literales a) y b) del numeral 2 artículo 5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74CC3281">
        <w:rPr>
          <w:rFonts w:ascii="Verdana" w:eastAsia="Calibri" w:hAnsi="Verdana" w:cs="Arial"/>
          <w:sz w:val="20"/>
          <w:szCs w:val="20"/>
          <w:lang w:val="es-ES"/>
        </w:rPr>
        <w:t>ii</w:t>
      </w:r>
      <w:proofErr w:type="spellEnd"/>
      <w:r w:rsidRPr="74CC3281">
        <w:rPr>
          <w:rFonts w:ascii="Verdana" w:eastAsia="Calibri" w:hAnsi="Verdana" w:cs="Arial"/>
          <w:sz w:val="20"/>
          <w:szCs w:val="20"/>
          <w:lang w:val="es-ES"/>
        </w:rPr>
        <w:t xml:space="preserve">) las condiciones técnicas adicionales que representan ventajas de calidad o de funcionamiento; </w:t>
      </w:r>
      <w:proofErr w:type="spellStart"/>
      <w:r w:rsidRPr="74CC3281">
        <w:rPr>
          <w:rFonts w:ascii="Verdana" w:eastAsia="Calibri" w:hAnsi="Verdana" w:cs="Arial"/>
          <w:sz w:val="20"/>
          <w:szCs w:val="20"/>
          <w:lang w:val="es-ES"/>
        </w:rPr>
        <w:t>iii</w:t>
      </w:r>
      <w:proofErr w:type="spellEnd"/>
      <w:r w:rsidRPr="74CC3281">
        <w:rPr>
          <w:rFonts w:ascii="Verdana" w:eastAsia="Calibri" w:hAnsi="Verdana" w:cs="Arial"/>
          <w:sz w:val="20"/>
          <w:szCs w:val="20"/>
          <w:lang w:val="es-ES"/>
        </w:rPr>
        <w:t xml:space="preserve">) las condiciones económicas adicionales que representen ventajas en términos de economía, eficiencia y eficacia; y </w:t>
      </w:r>
      <w:proofErr w:type="spellStart"/>
      <w:r w:rsidRPr="74CC3281">
        <w:rPr>
          <w:rFonts w:ascii="Verdana" w:eastAsia="Calibri" w:hAnsi="Verdana" w:cs="Arial"/>
          <w:sz w:val="20"/>
          <w:szCs w:val="20"/>
          <w:lang w:val="es-ES"/>
        </w:rPr>
        <w:t>iv</w:t>
      </w:r>
      <w:proofErr w:type="spellEnd"/>
      <w:r w:rsidRPr="74CC3281">
        <w:rPr>
          <w:rFonts w:ascii="Verdana" w:eastAsia="Calibri" w:hAnsi="Verdana" w:cs="Arial"/>
          <w:sz w:val="20"/>
          <w:szCs w:val="20"/>
          <w:lang w:val="es-ES"/>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1D72AFB9" w14:textId="77777777" w:rsidR="00D46A6B" w:rsidRPr="00453E53" w:rsidRDefault="00D46A6B" w:rsidP="00D46A6B">
      <w:pPr>
        <w:spacing w:after="0" w:line="240" w:lineRule="auto"/>
        <w:jc w:val="both"/>
        <w:rPr>
          <w:rFonts w:ascii="Verdana" w:eastAsia="Calibri" w:hAnsi="Verdana" w:cs="Arial"/>
          <w:bCs/>
          <w:sz w:val="20"/>
          <w:szCs w:val="20"/>
          <w:lang w:val="es-ES_tradnl"/>
        </w:rPr>
      </w:pPr>
    </w:p>
    <w:p w14:paraId="53CC1556" w14:textId="77777777" w:rsidR="00D46A6B" w:rsidRPr="00453E53" w:rsidRDefault="00D46A6B" w:rsidP="00D46A6B">
      <w:pPr>
        <w:spacing w:after="0" w:line="240" w:lineRule="auto"/>
        <w:jc w:val="both"/>
        <w:rPr>
          <w:rFonts w:ascii="Verdana" w:eastAsia="Calibri" w:hAnsi="Verdana" w:cs="Arial"/>
          <w:b/>
          <w:lang w:val="es-ES_tradnl"/>
        </w:rPr>
      </w:pPr>
      <w:r w:rsidRPr="00453E53">
        <w:rPr>
          <w:rFonts w:ascii="Verdana" w:eastAsia="Calibri" w:hAnsi="Verdana" w:cs="Arial"/>
          <w:b/>
          <w:lang w:val="es-ES_tradnl"/>
        </w:rPr>
        <w:t>OFERTA ECONÓMICA – Forma de presentación – Facultad de la entidad</w:t>
      </w:r>
    </w:p>
    <w:p w14:paraId="575B68DF" w14:textId="77777777" w:rsidR="00D46A6B" w:rsidRPr="00453E53" w:rsidRDefault="00D46A6B" w:rsidP="00D46A6B">
      <w:pPr>
        <w:spacing w:after="0" w:line="240" w:lineRule="auto"/>
        <w:jc w:val="both"/>
        <w:rPr>
          <w:rFonts w:ascii="Verdana" w:eastAsia="Calibri" w:hAnsi="Verdana" w:cs="Arial"/>
          <w:b/>
          <w:lang w:val="es-ES_tradnl"/>
        </w:rPr>
      </w:pPr>
    </w:p>
    <w:p w14:paraId="68D30AAD" w14:textId="77777777" w:rsidR="00D46A6B" w:rsidRPr="00453E53" w:rsidRDefault="00D46A6B" w:rsidP="00D46A6B">
      <w:pPr>
        <w:spacing w:after="0" w:line="240" w:lineRule="auto"/>
        <w:jc w:val="both"/>
        <w:rPr>
          <w:rFonts w:ascii="Verdana" w:eastAsia="Calibri" w:hAnsi="Verdana" w:cs="Arial"/>
          <w:bCs/>
          <w:lang w:val="es-ES_tradnl"/>
        </w:rPr>
      </w:pPr>
      <w:r w:rsidRPr="00453E53">
        <w:rPr>
          <w:rFonts w:ascii="Verdana" w:eastAsia="Calibri" w:hAnsi="Verdana" w:cs="Arial"/>
          <w:bCs/>
          <w:sz w:val="20"/>
          <w:szCs w:val="20"/>
          <w:lang w:val="es-ES_tradnl"/>
        </w:rPr>
        <w:t xml:space="preserve">[…] </w:t>
      </w:r>
      <w:r w:rsidRPr="00453E53">
        <w:rPr>
          <w:rFonts w:ascii="Verdana" w:eastAsia="Calibri" w:hAnsi="Verdana" w:cs="Arial"/>
          <w:bCs/>
          <w:lang w:val="es-ES_tradnl"/>
        </w:rPr>
        <w:t>las Entidades Estatales se encuentran facultadas para determinar cuál será el formato mediante el cual los proponentes harán la presentación de sus ofrecimientos económicos. Sin embargo, aquí lo importante es que, más allá de las formalidades con las que cuente el formato seleccionado o diseñado por la Entidad Estatal, este enliste los ítems de pago de los bienes, obras o servicios que se requieran para la ejecución del objeto que se pretende contratar, y pueda derivarse de esta información como las especificaciones generales y particulares, la descripción, la unidad de medida, la cantidad, el valor unitario y el valor total de los ítems.</w:t>
      </w:r>
    </w:p>
    <w:p w14:paraId="034D7C9F" w14:textId="77777777" w:rsidR="00D46A6B" w:rsidRPr="00453E53" w:rsidRDefault="00D46A6B" w:rsidP="00D46A6B">
      <w:pPr>
        <w:spacing w:after="0" w:line="240" w:lineRule="auto"/>
        <w:jc w:val="both"/>
        <w:rPr>
          <w:rFonts w:ascii="Verdana" w:eastAsia="Calibri" w:hAnsi="Verdana" w:cs="Arial"/>
          <w:bCs/>
          <w:lang w:val="es-ES_tradnl"/>
        </w:rPr>
      </w:pPr>
      <w:r w:rsidRPr="00453E53">
        <w:rPr>
          <w:rFonts w:ascii="Verdana" w:eastAsia="Calibri" w:hAnsi="Verdana" w:cs="Arial"/>
          <w:bCs/>
          <w:lang w:val="es-ES_tradnl"/>
        </w:rPr>
        <w:t>[…]</w:t>
      </w:r>
    </w:p>
    <w:p w14:paraId="4EB29735" w14:textId="77777777" w:rsidR="00D46A6B" w:rsidRPr="00453E53" w:rsidRDefault="00D46A6B" w:rsidP="00D46A6B">
      <w:pPr>
        <w:spacing w:after="0" w:line="240" w:lineRule="auto"/>
        <w:jc w:val="both"/>
        <w:rPr>
          <w:rFonts w:ascii="Verdana" w:eastAsia="Calibri" w:hAnsi="Verdana" w:cs="Arial"/>
          <w:lang w:val="es-ES"/>
        </w:rPr>
      </w:pPr>
      <w:r w:rsidRPr="74CC3281">
        <w:rPr>
          <w:rFonts w:ascii="Verdana" w:eastAsia="Calibri" w:hAnsi="Verdana" w:cs="Arial"/>
          <w:lang w:val="es-ES"/>
        </w:rPr>
        <w:t xml:space="preserve">[…]lo ideal es que el Pliego de Condiciones o documento equivalente, establezca todas las operaciones aritméticas a que haya lugar en la oferta económica ante un error que surja de un cálculo meramente aritmético cuando la operación ha sido erróneamente realizada, por lo que es posible que tanto el valor total como </w:t>
      </w:r>
      <w:r w:rsidRPr="74CC3281">
        <w:rPr>
          <w:rFonts w:ascii="Verdana" w:eastAsia="Calibri" w:hAnsi="Verdana" w:cs="Arial"/>
          <w:lang w:val="es-ES"/>
        </w:rPr>
        <w:lastRenderedPageBreak/>
        <w:t>los precios unitarios, sean objeto de corrección aritmética. Por lo tanto, la entidad durante la etapa de evaluación de las ofertas económicas de los proponentes habilitados debe verificar, con base en la información registrada en la oferta económica, cada una de las operaciones aritméticas que permitan verificar el valor real ofertado por el proponente. En suma, la entidad deberá realizar la verificación de los valores ofertados y la corrección aritmética, cuando esta se requiera, para cada una de las cifras registradas en la oferta económica que tengan operaciones aritméticas y previo a seleccionar y aplicar el método de ponderación que corresponda de acuerdo con lo consignado en el pliego de condiciones.</w:t>
      </w:r>
    </w:p>
    <w:p w14:paraId="345FB5FB" w14:textId="77777777" w:rsidR="00D46A6B" w:rsidRPr="00453E53" w:rsidRDefault="00D46A6B" w:rsidP="00D46A6B">
      <w:pPr>
        <w:spacing w:after="0" w:line="240" w:lineRule="auto"/>
        <w:jc w:val="both"/>
        <w:rPr>
          <w:rFonts w:ascii="Verdana" w:eastAsia="Calibri" w:hAnsi="Verdana" w:cs="Arial"/>
          <w:bCs/>
          <w:lang w:val="es-ES_tradnl"/>
        </w:rPr>
      </w:pPr>
    </w:p>
    <w:p w14:paraId="56D533FA" w14:textId="77777777" w:rsidR="00D46A6B" w:rsidRPr="00453E53" w:rsidRDefault="00D46A6B" w:rsidP="00D46A6B">
      <w:pPr>
        <w:spacing w:after="0" w:line="240" w:lineRule="auto"/>
        <w:jc w:val="both"/>
        <w:rPr>
          <w:rFonts w:ascii="Verdana" w:eastAsia="Calibri" w:hAnsi="Verdana" w:cs="Arial"/>
          <w:bCs/>
          <w:lang w:val="es-ES_tradnl"/>
        </w:rPr>
      </w:pPr>
      <w:r w:rsidRPr="00453E53">
        <w:rPr>
          <w:rFonts w:ascii="Verdana" w:eastAsia="Calibri" w:hAnsi="Verdana" w:cs="Arial"/>
          <w:bCs/>
          <w:lang w:val="es-ES_tradnl"/>
        </w:rPr>
        <w:t>Con todo, se advierte que la presentación de la oferta económica por parte del proponente se realizará teniendo en cuenta el formato determinado por la Entidad Estatal y, por lo que, deberán ceñirse a las reglas para la presentación de la oferta económica que para el efecto se establezcan en el Pliego de Condiciones o documento equivalente.</w:t>
      </w:r>
    </w:p>
    <w:p w14:paraId="4C37D6D6" w14:textId="77777777" w:rsidR="00D46A6B" w:rsidRPr="00453E53" w:rsidRDefault="00D46A6B" w:rsidP="00D46A6B">
      <w:pPr>
        <w:spacing w:after="0" w:line="240" w:lineRule="auto"/>
        <w:rPr>
          <w:rFonts w:ascii="Verdana" w:eastAsia="Aptos" w:hAnsi="Verdana" w:cs="Times New Roman"/>
          <w:sz w:val="20"/>
          <w:szCs w:val="20"/>
        </w:rPr>
      </w:pPr>
    </w:p>
    <w:p w14:paraId="1539A17E" w14:textId="77777777" w:rsidR="00D46A6B" w:rsidRPr="00453E53" w:rsidRDefault="00D46A6B" w:rsidP="00D46A6B">
      <w:pPr>
        <w:spacing w:after="0" w:line="240" w:lineRule="auto"/>
        <w:rPr>
          <w:rFonts w:ascii="Verdana" w:eastAsia="Aptos" w:hAnsi="Verdana" w:cs="Times New Roman"/>
          <w:sz w:val="20"/>
          <w:szCs w:val="20"/>
        </w:rPr>
      </w:pPr>
    </w:p>
    <w:p w14:paraId="5EF518C4" w14:textId="77777777" w:rsidR="00D46A6B" w:rsidRPr="00453E53" w:rsidRDefault="00D46A6B" w:rsidP="00D46A6B">
      <w:pPr>
        <w:spacing w:after="0" w:line="240" w:lineRule="auto"/>
        <w:rPr>
          <w:rFonts w:ascii="Verdana" w:eastAsia="Aptos" w:hAnsi="Verdana" w:cs="Times New Roman"/>
          <w:sz w:val="20"/>
          <w:szCs w:val="20"/>
        </w:rPr>
      </w:pPr>
    </w:p>
    <w:p w14:paraId="7BC407AB" w14:textId="77777777" w:rsidR="00D46A6B" w:rsidRPr="00453E53" w:rsidRDefault="00D46A6B" w:rsidP="00D46A6B">
      <w:pPr>
        <w:spacing w:after="0" w:line="240" w:lineRule="auto"/>
        <w:rPr>
          <w:rFonts w:ascii="Verdana" w:eastAsia="Aptos" w:hAnsi="Verdana" w:cs="Times New Roman"/>
          <w:sz w:val="20"/>
          <w:szCs w:val="20"/>
        </w:rPr>
      </w:pPr>
    </w:p>
    <w:p w14:paraId="2A671D9D" w14:textId="77777777" w:rsidR="00D46A6B" w:rsidRPr="00453E53" w:rsidRDefault="00D46A6B" w:rsidP="00D46A6B">
      <w:pPr>
        <w:spacing w:after="0" w:line="240" w:lineRule="auto"/>
        <w:rPr>
          <w:rFonts w:ascii="Verdana" w:eastAsia="Aptos" w:hAnsi="Verdana" w:cs="Times New Roman"/>
          <w:sz w:val="20"/>
          <w:szCs w:val="20"/>
        </w:rPr>
      </w:pPr>
    </w:p>
    <w:p w14:paraId="50E7D87D" w14:textId="77777777" w:rsidR="00D46A6B" w:rsidRPr="00453E53" w:rsidRDefault="00D46A6B" w:rsidP="00D46A6B">
      <w:pPr>
        <w:spacing w:after="0" w:line="240" w:lineRule="auto"/>
        <w:rPr>
          <w:rFonts w:ascii="Verdana" w:eastAsia="Aptos" w:hAnsi="Verdana" w:cs="Times New Roman"/>
          <w:sz w:val="20"/>
          <w:szCs w:val="20"/>
        </w:rPr>
      </w:pPr>
    </w:p>
    <w:p w14:paraId="6969260C" w14:textId="77777777" w:rsidR="00D46A6B" w:rsidRPr="00453E53" w:rsidRDefault="00D46A6B" w:rsidP="00D46A6B">
      <w:pPr>
        <w:spacing w:after="0" w:line="240" w:lineRule="auto"/>
        <w:rPr>
          <w:rFonts w:ascii="Verdana" w:eastAsia="Aptos" w:hAnsi="Verdana" w:cs="Times New Roman"/>
          <w:sz w:val="20"/>
          <w:szCs w:val="20"/>
        </w:rPr>
      </w:pPr>
    </w:p>
    <w:p w14:paraId="01E5971E" w14:textId="77777777" w:rsidR="00D46A6B" w:rsidRPr="00453E53" w:rsidRDefault="00D46A6B" w:rsidP="00D46A6B">
      <w:pPr>
        <w:spacing w:after="0" w:line="240" w:lineRule="auto"/>
        <w:rPr>
          <w:rFonts w:ascii="Verdana" w:eastAsia="Aptos" w:hAnsi="Verdana" w:cs="Times New Roman"/>
          <w:sz w:val="20"/>
          <w:szCs w:val="20"/>
        </w:rPr>
      </w:pPr>
    </w:p>
    <w:p w14:paraId="5FE31DEF" w14:textId="77777777" w:rsidR="00D46A6B" w:rsidRPr="00453E53" w:rsidRDefault="00D46A6B" w:rsidP="00D46A6B">
      <w:pPr>
        <w:spacing w:after="0" w:line="240" w:lineRule="auto"/>
        <w:rPr>
          <w:rFonts w:ascii="Verdana" w:eastAsia="Aptos" w:hAnsi="Verdana" w:cs="Times New Roman"/>
          <w:sz w:val="20"/>
          <w:szCs w:val="20"/>
        </w:rPr>
      </w:pPr>
    </w:p>
    <w:p w14:paraId="270030F8" w14:textId="77777777" w:rsidR="00D46A6B" w:rsidRPr="00453E53" w:rsidRDefault="00D46A6B" w:rsidP="00D46A6B">
      <w:pPr>
        <w:spacing w:after="0" w:line="240" w:lineRule="auto"/>
        <w:rPr>
          <w:rFonts w:ascii="Verdana" w:eastAsia="Aptos" w:hAnsi="Verdana" w:cs="Times New Roman"/>
          <w:sz w:val="20"/>
          <w:szCs w:val="20"/>
        </w:rPr>
      </w:pPr>
    </w:p>
    <w:p w14:paraId="4D636E16" w14:textId="77777777" w:rsidR="00D46A6B" w:rsidRPr="00453E53" w:rsidRDefault="00D46A6B" w:rsidP="00D46A6B">
      <w:pPr>
        <w:spacing w:after="0" w:line="240" w:lineRule="auto"/>
        <w:rPr>
          <w:rFonts w:ascii="Verdana" w:eastAsia="Aptos" w:hAnsi="Verdana" w:cs="Times New Roman"/>
          <w:sz w:val="20"/>
          <w:szCs w:val="20"/>
        </w:rPr>
      </w:pPr>
    </w:p>
    <w:p w14:paraId="7A833395" w14:textId="77777777" w:rsidR="00D46A6B" w:rsidRPr="00453E53" w:rsidRDefault="00D46A6B" w:rsidP="00D46A6B">
      <w:pPr>
        <w:spacing w:after="0" w:line="240" w:lineRule="auto"/>
        <w:rPr>
          <w:rFonts w:ascii="Verdana" w:eastAsia="Aptos" w:hAnsi="Verdana" w:cs="Times New Roman"/>
          <w:sz w:val="20"/>
          <w:szCs w:val="20"/>
        </w:rPr>
      </w:pPr>
    </w:p>
    <w:p w14:paraId="165EC30F" w14:textId="77777777" w:rsidR="00D46A6B" w:rsidRPr="00453E53" w:rsidRDefault="00D46A6B" w:rsidP="00D46A6B">
      <w:pPr>
        <w:spacing w:after="0" w:line="240" w:lineRule="auto"/>
        <w:rPr>
          <w:rFonts w:ascii="Verdana" w:eastAsia="Aptos" w:hAnsi="Verdana" w:cs="Times New Roman"/>
          <w:sz w:val="20"/>
          <w:szCs w:val="20"/>
        </w:rPr>
      </w:pPr>
    </w:p>
    <w:p w14:paraId="4C6DC787" w14:textId="77777777" w:rsidR="00D46A6B" w:rsidRPr="00453E53" w:rsidRDefault="00D46A6B" w:rsidP="00D46A6B">
      <w:pPr>
        <w:spacing w:after="0" w:line="240" w:lineRule="auto"/>
        <w:rPr>
          <w:rFonts w:ascii="Verdana" w:eastAsia="Aptos" w:hAnsi="Verdana" w:cs="Times New Roman"/>
          <w:sz w:val="20"/>
          <w:szCs w:val="20"/>
        </w:rPr>
      </w:pPr>
    </w:p>
    <w:p w14:paraId="2A8C5EE9" w14:textId="77777777" w:rsidR="00D46A6B" w:rsidRPr="00453E53" w:rsidRDefault="00D46A6B" w:rsidP="00D46A6B">
      <w:pPr>
        <w:spacing w:after="0" w:line="240" w:lineRule="auto"/>
        <w:rPr>
          <w:rFonts w:ascii="Verdana" w:eastAsia="Aptos" w:hAnsi="Verdana" w:cs="Times New Roman"/>
          <w:sz w:val="20"/>
          <w:szCs w:val="20"/>
        </w:rPr>
      </w:pPr>
    </w:p>
    <w:p w14:paraId="6621D474" w14:textId="77777777" w:rsidR="00D46A6B" w:rsidRPr="00453E53" w:rsidRDefault="00D46A6B" w:rsidP="00D46A6B">
      <w:pPr>
        <w:spacing w:after="0" w:line="240" w:lineRule="auto"/>
        <w:rPr>
          <w:rFonts w:ascii="Verdana" w:eastAsia="Aptos" w:hAnsi="Verdana" w:cs="Times New Roman"/>
          <w:sz w:val="20"/>
          <w:szCs w:val="20"/>
        </w:rPr>
      </w:pPr>
    </w:p>
    <w:p w14:paraId="3AE04EBE" w14:textId="77777777" w:rsidR="00D46A6B" w:rsidRPr="00453E53" w:rsidRDefault="00D46A6B" w:rsidP="00D46A6B">
      <w:pPr>
        <w:spacing w:after="0" w:line="240" w:lineRule="auto"/>
        <w:rPr>
          <w:rFonts w:ascii="Verdana" w:eastAsia="Aptos" w:hAnsi="Verdana" w:cs="Times New Roman"/>
          <w:sz w:val="20"/>
          <w:szCs w:val="20"/>
        </w:rPr>
      </w:pPr>
    </w:p>
    <w:p w14:paraId="4A399861" w14:textId="77777777" w:rsidR="00D46A6B" w:rsidRPr="00453E53" w:rsidRDefault="00D46A6B" w:rsidP="00D46A6B">
      <w:pPr>
        <w:spacing w:after="0" w:line="240" w:lineRule="auto"/>
        <w:rPr>
          <w:rFonts w:ascii="Verdana" w:eastAsia="Aptos" w:hAnsi="Verdana" w:cs="Times New Roman"/>
          <w:sz w:val="20"/>
          <w:szCs w:val="20"/>
        </w:rPr>
      </w:pPr>
    </w:p>
    <w:p w14:paraId="1E979469" w14:textId="77777777" w:rsidR="00D46A6B" w:rsidRPr="00453E53" w:rsidRDefault="00D46A6B" w:rsidP="00D46A6B">
      <w:pPr>
        <w:spacing w:after="0" w:line="240" w:lineRule="auto"/>
        <w:rPr>
          <w:rFonts w:ascii="Verdana" w:eastAsia="Aptos" w:hAnsi="Verdana" w:cs="Times New Roman"/>
          <w:sz w:val="20"/>
          <w:szCs w:val="20"/>
        </w:rPr>
      </w:pPr>
    </w:p>
    <w:p w14:paraId="38254B73" w14:textId="77777777" w:rsidR="00D46A6B" w:rsidRPr="00453E53" w:rsidRDefault="00D46A6B" w:rsidP="00D46A6B">
      <w:pPr>
        <w:spacing w:after="0" w:line="240" w:lineRule="auto"/>
        <w:rPr>
          <w:rFonts w:ascii="Verdana" w:eastAsia="Aptos" w:hAnsi="Verdana" w:cs="Times New Roman"/>
          <w:sz w:val="20"/>
          <w:szCs w:val="20"/>
        </w:rPr>
      </w:pPr>
    </w:p>
    <w:p w14:paraId="09CC4350" w14:textId="77777777" w:rsidR="00D46A6B" w:rsidRPr="00453E53" w:rsidRDefault="00D46A6B" w:rsidP="00D46A6B">
      <w:pPr>
        <w:spacing w:after="0" w:line="240" w:lineRule="auto"/>
        <w:rPr>
          <w:rFonts w:ascii="Verdana" w:eastAsia="Aptos" w:hAnsi="Verdana" w:cs="Times New Roman"/>
          <w:sz w:val="20"/>
          <w:szCs w:val="20"/>
        </w:rPr>
      </w:pPr>
    </w:p>
    <w:p w14:paraId="7C3F00F1" w14:textId="77777777" w:rsidR="00D46A6B" w:rsidRPr="00453E53" w:rsidRDefault="00D46A6B" w:rsidP="00D46A6B">
      <w:pPr>
        <w:spacing w:after="0" w:line="240" w:lineRule="auto"/>
        <w:rPr>
          <w:rFonts w:ascii="Verdana" w:eastAsia="Aptos" w:hAnsi="Verdana" w:cs="Times New Roman"/>
          <w:sz w:val="20"/>
          <w:szCs w:val="20"/>
        </w:rPr>
      </w:pPr>
    </w:p>
    <w:p w14:paraId="18141630" w14:textId="77777777" w:rsidR="00D46A6B" w:rsidRPr="00453E53" w:rsidRDefault="00D46A6B" w:rsidP="00D46A6B">
      <w:pPr>
        <w:spacing w:after="0" w:line="240" w:lineRule="auto"/>
        <w:rPr>
          <w:rFonts w:ascii="Verdana" w:eastAsia="Aptos" w:hAnsi="Verdana" w:cs="Times New Roman"/>
          <w:sz w:val="20"/>
          <w:szCs w:val="20"/>
        </w:rPr>
      </w:pPr>
    </w:p>
    <w:p w14:paraId="55A3F3FF" w14:textId="77777777" w:rsidR="00D46A6B" w:rsidRPr="00453E53" w:rsidRDefault="00D46A6B" w:rsidP="00D46A6B">
      <w:pPr>
        <w:spacing w:after="0" w:line="240" w:lineRule="auto"/>
        <w:rPr>
          <w:rFonts w:ascii="Verdana" w:eastAsia="Aptos" w:hAnsi="Verdana" w:cs="Times New Roman"/>
          <w:sz w:val="20"/>
          <w:szCs w:val="20"/>
        </w:rPr>
      </w:pPr>
    </w:p>
    <w:p w14:paraId="0DD45F32" w14:textId="77777777" w:rsidR="00D46A6B" w:rsidRPr="00453E53" w:rsidRDefault="00D46A6B" w:rsidP="00D46A6B">
      <w:pPr>
        <w:spacing w:after="0" w:line="240" w:lineRule="auto"/>
        <w:rPr>
          <w:rFonts w:ascii="Verdana" w:eastAsia="Aptos" w:hAnsi="Verdana" w:cs="Times New Roman"/>
          <w:sz w:val="20"/>
          <w:szCs w:val="20"/>
        </w:rPr>
      </w:pPr>
    </w:p>
    <w:p w14:paraId="2754C7AC" w14:textId="77777777" w:rsidR="00D46A6B" w:rsidRPr="00453E53" w:rsidRDefault="00D46A6B" w:rsidP="00D46A6B">
      <w:pPr>
        <w:spacing w:after="0" w:line="240" w:lineRule="auto"/>
        <w:rPr>
          <w:rFonts w:ascii="Verdana" w:eastAsia="Aptos" w:hAnsi="Verdana" w:cs="Times New Roman"/>
          <w:sz w:val="20"/>
          <w:szCs w:val="20"/>
        </w:rPr>
      </w:pPr>
    </w:p>
    <w:p w14:paraId="7A7CE866" w14:textId="77777777" w:rsidR="00D46A6B" w:rsidRPr="00453E53" w:rsidRDefault="00D46A6B" w:rsidP="00D46A6B">
      <w:pPr>
        <w:spacing w:after="0" w:line="240" w:lineRule="auto"/>
        <w:rPr>
          <w:rFonts w:ascii="Verdana" w:eastAsia="Aptos" w:hAnsi="Verdana" w:cs="Times New Roman"/>
          <w:sz w:val="20"/>
          <w:szCs w:val="20"/>
        </w:rPr>
      </w:pPr>
    </w:p>
    <w:p w14:paraId="24EC85DF" w14:textId="77777777" w:rsidR="00D46A6B" w:rsidRPr="00453E53" w:rsidRDefault="00D46A6B" w:rsidP="00D46A6B">
      <w:pPr>
        <w:spacing w:after="0" w:line="240" w:lineRule="auto"/>
        <w:rPr>
          <w:rFonts w:ascii="Verdana" w:eastAsia="Aptos" w:hAnsi="Verdana" w:cs="Times New Roman"/>
          <w:sz w:val="20"/>
          <w:szCs w:val="20"/>
        </w:rPr>
      </w:pPr>
    </w:p>
    <w:p w14:paraId="20D87662" w14:textId="3B1B4402" w:rsidR="00D46A6B" w:rsidRPr="00453E53" w:rsidRDefault="00D46A6B" w:rsidP="00D46A6B">
      <w:pPr>
        <w:spacing w:after="0" w:line="240" w:lineRule="auto"/>
        <w:jc w:val="both"/>
        <w:rPr>
          <w:rFonts w:ascii="Verdana" w:eastAsia="Calibri" w:hAnsi="Verdana" w:cs="Arial"/>
          <w:lang w:val="es-ES"/>
        </w:rPr>
      </w:pPr>
      <w:r w:rsidRPr="00453E53">
        <w:rPr>
          <w:rFonts w:ascii="Verdana" w:eastAsia="Geomanist Light" w:hAnsi="Verdana" w:cs="Arial"/>
          <w:lang w:val="es-MX"/>
        </w:rPr>
        <w:lastRenderedPageBreak/>
        <w:t>Bogotá D.C., </w:t>
      </w:r>
      <w:r>
        <w:rPr>
          <w:rFonts w:ascii="Verdana" w:eastAsia="Geomanist Light" w:hAnsi="Verdana" w:cs="Arial"/>
          <w:lang w:val="es-MX"/>
        </w:rPr>
        <w:t>14 de mayo de 2026</w:t>
      </w:r>
    </w:p>
    <w:p w14:paraId="2B425430" w14:textId="77777777" w:rsidR="00D46A6B" w:rsidRPr="00453E53" w:rsidRDefault="00D46A6B" w:rsidP="00D46A6B">
      <w:pPr>
        <w:spacing w:after="0" w:line="240" w:lineRule="auto"/>
        <w:jc w:val="both"/>
        <w:rPr>
          <w:rFonts w:ascii="Verdana" w:eastAsia="Calibri" w:hAnsi="Verdana" w:cs="Arial"/>
          <w:lang w:val="es-ES"/>
        </w:rPr>
      </w:pPr>
    </w:p>
    <w:p w14:paraId="2AA46CF6" w14:textId="24106BA4" w:rsidR="00D46A6B" w:rsidRPr="00453E53" w:rsidRDefault="00F9151F" w:rsidP="00D46A6B">
      <w:pPr>
        <w:spacing w:after="0" w:line="240" w:lineRule="auto"/>
        <w:jc w:val="right"/>
        <w:rPr>
          <w:rFonts w:ascii="Verdana" w:eastAsia="Calibri" w:hAnsi="Verdana" w:cs="Arial"/>
          <w:lang w:val="es-ES"/>
        </w:rPr>
      </w:pPr>
      <w:r w:rsidRPr="00F9151F">
        <w:rPr>
          <w:rFonts w:ascii="Verdana" w:eastAsia="Calibri" w:hAnsi="Verdana" w:cs="Arial"/>
          <w:lang w:val="es-ES"/>
        </w:rPr>
        <w:drawing>
          <wp:inline distT="0" distB="0" distL="0" distR="0" wp14:anchorId="24FE4394" wp14:editId="497345CE">
            <wp:extent cx="1657581" cy="495369"/>
            <wp:effectExtent l="0" t="0" r="0" b="0"/>
            <wp:docPr id="15274414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441430" name=""/>
                    <pic:cNvPicPr/>
                  </pic:nvPicPr>
                  <pic:blipFill>
                    <a:blip r:embed="rId10"/>
                    <a:stretch>
                      <a:fillRect/>
                    </a:stretch>
                  </pic:blipFill>
                  <pic:spPr>
                    <a:xfrm>
                      <a:off x="0" y="0"/>
                      <a:ext cx="1657581" cy="495369"/>
                    </a:xfrm>
                    <a:prstGeom prst="rect">
                      <a:avLst/>
                    </a:prstGeom>
                  </pic:spPr>
                </pic:pic>
              </a:graphicData>
            </a:graphic>
          </wp:inline>
        </w:drawing>
      </w:r>
    </w:p>
    <w:p w14:paraId="00F4E3B3" w14:textId="77777777" w:rsidR="00D46A6B" w:rsidRPr="00453E53" w:rsidRDefault="00D46A6B" w:rsidP="00D46A6B">
      <w:pPr>
        <w:spacing w:after="0" w:line="240" w:lineRule="auto"/>
        <w:jc w:val="both"/>
        <w:rPr>
          <w:rFonts w:ascii="Verdana" w:eastAsia="Calibri" w:hAnsi="Verdana" w:cs="Arial"/>
          <w:lang w:val="es-ES" w:eastAsia="es-ES"/>
        </w:rPr>
      </w:pPr>
      <w:r w:rsidRPr="00453E53">
        <w:rPr>
          <w:rFonts w:ascii="Verdana" w:eastAsia="Calibri" w:hAnsi="Verdana" w:cs="Arial"/>
          <w:lang w:val="es-ES" w:eastAsia="es-ES"/>
        </w:rPr>
        <w:t>Señor</w:t>
      </w:r>
    </w:p>
    <w:p w14:paraId="4DD004B2" w14:textId="77777777" w:rsidR="00D46A6B" w:rsidRPr="00453E53" w:rsidRDefault="00D46A6B" w:rsidP="00D46A6B">
      <w:pPr>
        <w:spacing w:after="0" w:line="240" w:lineRule="auto"/>
        <w:rPr>
          <w:rFonts w:ascii="Verdana" w:eastAsia="Calibri" w:hAnsi="Verdana" w:cs="Arial"/>
          <w:b/>
          <w:lang w:val="es-ES" w:eastAsia="es-ES"/>
        </w:rPr>
      </w:pPr>
      <w:r w:rsidRPr="00453E53">
        <w:rPr>
          <w:rFonts w:ascii="Verdana" w:eastAsia="Calibri" w:hAnsi="Verdana" w:cs="Arial"/>
          <w:b/>
          <w:lang w:val="es-ES" w:eastAsia="es-ES"/>
        </w:rPr>
        <w:t>Miguel Arturo Bautista Fernández</w:t>
      </w:r>
    </w:p>
    <w:p w14:paraId="4051031F" w14:textId="77777777" w:rsidR="00D46A6B" w:rsidRPr="00453E53" w:rsidRDefault="00D46A6B" w:rsidP="00D46A6B">
      <w:pPr>
        <w:spacing w:after="0" w:line="240" w:lineRule="auto"/>
        <w:rPr>
          <w:rFonts w:ascii="Verdana" w:eastAsia="Aptos" w:hAnsi="Verdana" w:cs="Arial"/>
        </w:rPr>
      </w:pPr>
      <w:hyperlink r:id="rId11" w:history="1">
        <w:r w:rsidRPr="00453E53">
          <w:rPr>
            <w:rFonts w:ascii="Verdana" w:eastAsia="Aptos" w:hAnsi="Verdana" w:cs="Arial"/>
            <w:color w:val="0000FF"/>
            <w:u w:val="single"/>
          </w:rPr>
          <w:t>miguelbautistaabogado@gmail.com</w:t>
        </w:r>
      </w:hyperlink>
      <w:r w:rsidRPr="00453E53">
        <w:rPr>
          <w:rFonts w:ascii="Verdana" w:eastAsia="Aptos" w:hAnsi="Verdana" w:cs="Arial"/>
        </w:rPr>
        <w:t xml:space="preserve"> </w:t>
      </w:r>
    </w:p>
    <w:p w14:paraId="7EF19520" w14:textId="77777777" w:rsidR="00D46A6B" w:rsidRPr="00453E53" w:rsidRDefault="00D46A6B" w:rsidP="00D46A6B">
      <w:pPr>
        <w:spacing w:after="0" w:line="240" w:lineRule="auto"/>
        <w:rPr>
          <w:rFonts w:ascii="Verdana" w:eastAsia="Calibri" w:hAnsi="Verdana" w:cs="Arial"/>
          <w:b/>
          <w:bCs/>
          <w:lang w:val="es-ES" w:eastAsia="es-ES"/>
        </w:rPr>
      </w:pPr>
      <w:r w:rsidRPr="00453E53">
        <w:rPr>
          <w:rFonts w:ascii="Verdana" w:eastAsia="Calibri" w:hAnsi="Verdana" w:cs="Arial"/>
          <w:lang w:val="es-ES" w:eastAsia="es-ES"/>
        </w:rPr>
        <w:t>Ciudad</w:t>
      </w:r>
    </w:p>
    <w:p w14:paraId="14F2D6CD" w14:textId="77777777" w:rsidR="00D46A6B" w:rsidRPr="00453E53" w:rsidRDefault="00D46A6B" w:rsidP="00D46A6B">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46A6B" w:rsidRPr="00453E53" w14:paraId="4305ED7E" w14:textId="77777777" w:rsidTr="00BD41A2">
        <w:trPr>
          <w:trHeight w:val="308"/>
        </w:trPr>
        <w:tc>
          <w:tcPr>
            <w:tcW w:w="2689" w:type="dxa"/>
          </w:tcPr>
          <w:p w14:paraId="432738C9" w14:textId="77777777" w:rsidR="00D46A6B" w:rsidRPr="00453E53" w:rsidRDefault="00D46A6B" w:rsidP="00BD41A2">
            <w:pPr>
              <w:jc w:val="both"/>
              <w:rPr>
                <w:rFonts w:ascii="Verdana" w:eastAsia="Calibri" w:hAnsi="Verdana" w:cs="Arial"/>
                <w:b/>
                <w:bCs/>
                <w:lang w:val="es-ES_tradnl" w:eastAsia="es-ES_tradnl"/>
              </w:rPr>
            </w:pPr>
          </w:p>
        </w:tc>
        <w:tc>
          <w:tcPr>
            <w:tcW w:w="6100" w:type="dxa"/>
          </w:tcPr>
          <w:p w14:paraId="52BA4758" w14:textId="77777777" w:rsidR="00D46A6B" w:rsidRPr="00453E53" w:rsidRDefault="00D46A6B" w:rsidP="00BD41A2">
            <w:pPr>
              <w:jc w:val="both"/>
              <w:rPr>
                <w:rFonts w:ascii="Verdana" w:eastAsia="Calibri" w:hAnsi="Verdana" w:cs="Arial"/>
                <w:b/>
                <w:bCs/>
                <w:lang w:val="es-ES" w:eastAsia="es-ES"/>
              </w:rPr>
            </w:pPr>
            <w:r w:rsidRPr="00453E53">
              <w:rPr>
                <w:rFonts w:ascii="Verdana" w:eastAsia="Calibri" w:hAnsi="Verdana" w:cs="Arial"/>
                <w:b/>
                <w:bCs/>
                <w:lang w:val="es-ES" w:eastAsia="es-ES"/>
              </w:rPr>
              <w:t>Concepto C-547 de 2026</w:t>
            </w:r>
          </w:p>
          <w:p w14:paraId="4F4FCA04" w14:textId="77777777" w:rsidR="00D46A6B" w:rsidRPr="00453E53" w:rsidRDefault="00D46A6B" w:rsidP="00BD41A2">
            <w:pPr>
              <w:jc w:val="both"/>
              <w:rPr>
                <w:rFonts w:ascii="Verdana" w:eastAsia="Calibri" w:hAnsi="Verdana" w:cs="Arial"/>
                <w:b/>
                <w:bCs/>
                <w:lang w:val="es-ES" w:eastAsia="es-ES"/>
              </w:rPr>
            </w:pPr>
          </w:p>
        </w:tc>
      </w:tr>
      <w:tr w:rsidR="00D46A6B" w:rsidRPr="00453E53" w14:paraId="2E072F8F" w14:textId="77777777" w:rsidTr="00BD41A2">
        <w:trPr>
          <w:trHeight w:val="884"/>
        </w:trPr>
        <w:tc>
          <w:tcPr>
            <w:tcW w:w="2689" w:type="dxa"/>
          </w:tcPr>
          <w:p w14:paraId="5574E625" w14:textId="77777777" w:rsidR="00D46A6B" w:rsidRPr="00453E53" w:rsidRDefault="00D46A6B" w:rsidP="00BD41A2">
            <w:pPr>
              <w:jc w:val="both"/>
              <w:rPr>
                <w:rFonts w:ascii="Verdana" w:eastAsia="Calibri" w:hAnsi="Verdana" w:cs="Arial"/>
                <w:lang w:val="es-ES_tradnl" w:eastAsia="es-ES_tradnl"/>
              </w:rPr>
            </w:pPr>
            <w:r w:rsidRPr="00453E53">
              <w:rPr>
                <w:rFonts w:ascii="Verdana" w:eastAsia="Calibri" w:hAnsi="Verdana" w:cs="Arial"/>
                <w:b/>
                <w:lang w:val="es-ES_tradnl" w:eastAsia="es-ES_tradnl"/>
              </w:rPr>
              <w:t>Temas:</w:t>
            </w:r>
            <w:r w:rsidRPr="00453E53">
              <w:rPr>
                <w:rFonts w:ascii="Verdana" w:eastAsia="Calibri" w:hAnsi="Verdana" w:cs="Arial"/>
                <w:lang w:val="es-ES_tradnl" w:eastAsia="es-ES_tradnl"/>
              </w:rPr>
              <w:t xml:space="preserve">                   </w:t>
            </w:r>
          </w:p>
        </w:tc>
        <w:tc>
          <w:tcPr>
            <w:tcW w:w="6100" w:type="dxa"/>
          </w:tcPr>
          <w:p w14:paraId="00ADFE73" w14:textId="77777777" w:rsidR="00D46A6B" w:rsidRPr="00453E53" w:rsidRDefault="00D46A6B" w:rsidP="00BD41A2">
            <w:pPr>
              <w:spacing w:line="276" w:lineRule="auto"/>
              <w:jc w:val="both"/>
              <w:rPr>
                <w:rFonts w:ascii="Verdana" w:eastAsia="Calibri" w:hAnsi="Verdana" w:cs="Arial"/>
                <w:lang w:val="es-ES" w:eastAsia="es-ES"/>
              </w:rPr>
            </w:pPr>
            <w:r w:rsidRPr="00453E53">
              <w:rPr>
                <w:rFonts w:ascii="Verdana" w:eastAsia="Calibri" w:hAnsi="Verdana" w:cs="Arial"/>
                <w:lang w:val="es-ES" w:eastAsia="es-ES"/>
              </w:rPr>
              <w:t>SELECCIÓN OBJETIVA – Noción – Contratación pública – Oferta más favorable /</w:t>
            </w:r>
            <w:r w:rsidRPr="00453E53">
              <w:rPr>
                <w:rFonts w:ascii="Aptos" w:eastAsia="Aptos" w:hAnsi="Aptos" w:cs="Arial"/>
              </w:rPr>
              <w:t xml:space="preserve"> </w:t>
            </w:r>
            <w:r w:rsidRPr="00453E53">
              <w:rPr>
                <w:rFonts w:ascii="Verdana" w:eastAsia="Calibri" w:hAnsi="Verdana" w:cs="Arial"/>
                <w:lang w:val="es-ES" w:eastAsia="es-ES"/>
              </w:rPr>
              <w:t>OFERTA ECONÓMICA – Forma de presentación – Facultad de la entidad</w:t>
            </w:r>
          </w:p>
        </w:tc>
      </w:tr>
    </w:tbl>
    <w:p w14:paraId="64B85A1D" w14:textId="77777777" w:rsidR="00D46A6B" w:rsidRPr="00453E53" w:rsidRDefault="00D46A6B" w:rsidP="00D46A6B">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46A6B" w:rsidRPr="00453E53" w14:paraId="22BDEDE0" w14:textId="77777777" w:rsidTr="00BD41A2">
        <w:tc>
          <w:tcPr>
            <w:tcW w:w="2689" w:type="dxa"/>
          </w:tcPr>
          <w:p w14:paraId="0F65F5B9" w14:textId="77777777" w:rsidR="00D46A6B" w:rsidRPr="00453E53" w:rsidRDefault="00D46A6B" w:rsidP="00BD41A2">
            <w:pPr>
              <w:jc w:val="both"/>
              <w:rPr>
                <w:rFonts w:ascii="Verdana" w:eastAsia="Calibri" w:hAnsi="Verdana" w:cs="Arial"/>
                <w:b/>
                <w:lang w:val="es-ES_tradnl" w:eastAsia="es-ES_tradnl"/>
              </w:rPr>
            </w:pPr>
            <w:r w:rsidRPr="00453E53">
              <w:rPr>
                <w:rFonts w:ascii="Verdana" w:eastAsia="Calibri" w:hAnsi="Verdana" w:cs="Arial"/>
                <w:b/>
                <w:lang w:val="es-ES_tradnl" w:eastAsia="es-ES_tradnl"/>
              </w:rPr>
              <w:t>Radicación:</w:t>
            </w:r>
            <w:r w:rsidRPr="00453E53">
              <w:rPr>
                <w:rFonts w:ascii="Verdana" w:eastAsia="Calibri" w:hAnsi="Verdana" w:cs="Arial"/>
                <w:lang w:val="es-ES_tradnl" w:eastAsia="es-ES_tradnl"/>
              </w:rPr>
              <w:t xml:space="preserve">               </w:t>
            </w:r>
          </w:p>
        </w:tc>
        <w:tc>
          <w:tcPr>
            <w:tcW w:w="6100" w:type="dxa"/>
          </w:tcPr>
          <w:p w14:paraId="55907AA5" w14:textId="77777777" w:rsidR="00D46A6B" w:rsidRPr="00453E53" w:rsidRDefault="00D46A6B" w:rsidP="00BD41A2">
            <w:pPr>
              <w:jc w:val="both"/>
              <w:rPr>
                <w:rFonts w:ascii="Verdana" w:eastAsia="Calibri" w:hAnsi="Verdana" w:cs="Arial"/>
                <w:lang w:val="es-ES_tradnl" w:eastAsia="es-ES_tradnl"/>
              </w:rPr>
            </w:pPr>
            <w:r w:rsidRPr="00453E53">
              <w:rPr>
                <w:rFonts w:ascii="Verdana" w:eastAsia="Calibri" w:hAnsi="Verdana" w:cs="Arial"/>
                <w:lang w:val="es-ES_tradnl" w:eastAsia="es-ES_tradnl"/>
              </w:rPr>
              <w:t>Respuesta a consulta con radicado No. 1_2026_04_02_004533</w:t>
            </w:r>
          </w:p>
        </w:tc>
      </w:tr>
    </w:tbl>
    <w:p w14:paraId="6B5B6D5C" w14:textId="77777777" w:rsidR="00D46A6B" w:rsidRPr="00453E53" w:rsidRDefault="00D46A6B" w:rsidP="00D46A6B">
      <w:pPr>
        <w:spacing w:after="0" w:line="240" w:lineRule="auto"/>
        <w:jc w:val="both"/>
        <w:rPr>
          <w:rFonts w:ascii="Verdana" w:eastAsia="Calibri" w:hAnsi="Verdana" w:cs="Arial"/>
          <w:lang w:val="es-ES_tradnl" w:eastAsia="es-ES_tradnl"/>
        </w:rPr>
      </w:pPr>
    </w:p>
    <w:p w14:paraId="2D7F4B19" w14:textId="77777777" w:rsidR="00D46A6B" w:rsidRPr="00453E53" w:rsidRDefault="00D46A6B" w:rsidP="00D46A6B">
      <w:pPr>
        <w:spacing w:after="0" w:line="240" w:lineRule="auto"/>
        <w:jc w:val="both"/>
        <w:rPr>
          <w:rFonts w:ascii="Verdana" w:eastAsia="Calibri" w:hAnsi="Verdana" w:cs="Arial"/>
          <w:lang w:val="es-ES_tradnl" w:eastAsia="es-ES_tradnl"/>
        </w:rPr>
      </w:pPr>
    </w:p>
    <w:p w14:paraId="0770CE7C" w14:textId="77777777" w:rsidR="00D46A6B" w:rsidRPr="00453E53" w:rsidRDefault="00D46A6B" w:rsidP="00D46A6B">
      <w:pPr>
        <w:spacing w:after="0" w:line="276" w:lineRule="auto"/>
        <w:jc w:val="both"/>
        <w:rPr>
          <w:rFonts w:ascii="Verdana" w:eastAsia="Calibri" w:hAnsi="Verdana" w:cs="Arial"/>
          <w:lang w:val="es-ES" w:eastAsia="es-ES"/>
        </w:rPr>
      </w:pPr>
      <w:r w:rsidRPr="00453E53">
        <w:rPr>
          <w:rFonts w:ascii="Verdana" w:eastAsia="Calibri" w:hAnsi="Verdana" w:cs="Arial"/>
          <w:lang w:val="es-ES" w:eastAsia="es-ES"/>
        </w:rPr>
        <w:t xml:space="preserve">Estimados Señor Bautista: </w:t>
      </w:r>
    </w:p>
    <w:p w14:paraId="0DAE1AB4" w14:textId="77777777" w:rsidR="00D46A6B" w:rsidRPr="00453E53" w:rsidRDefault="00D46A6B" w:rsidP="00D46A6B">
      <w:pPr>
        <w:tabs>
          <w:tab w:val="left" w:pos="3768"/>
        </w:tabs>
        <w:spacing w:after="0" w:line="276" w:lineRule="auto"/>
        <w:jc w:val="both"/>
        <w:rPr>
          <w:rFonts w:ascii="Verdana" w:eastAsia="Calibri" w:hAnsi="Verdana" w:cs="Arial"/>
          <w:lang w:val="es-ES" w:eastAsia="es-ES"/>
        </w:rPr>
      </w:pPr>
    </w:p>
    <w:p w14:paraId="6B4332F2" w14:textId="77777777" w:rsidR="00D46A6B" w:rsidRPr="00453E53" w:rsidRDefault="00D46A6B" w:rsidP="00D46A6B">
      <w:pPr>
        <w:spacing w:after="0" w:line="276" w:lineRule="auto"/>
        <w:jc w:val="both"/>
        <w:rPr>
          <w:rFonts w:ascii="Verdana" w:eastAsia="Calibri" w:hAnsi="Verdana" w:cs="Arial"/>
          <w:lang w:val="es-ES" w:eastAsia="es-ES"/>
        </w:rPr>
      </w:pPr>
      <w:r w:rsidRPr="00453E53">
        <w:rPr>
          <w:rFonts w:ascii="Verdana" w:eastAsia="Calibri" w:hAnsi="Verdana" w:cs="Arial"/>
          <w:lang w:val="es-ES" w:eastAsia="es-ES"/>
        </w:rPr>
        <w:t>En ejercicio de la competencia otorgada por los artículos 3, numeral 5º, y 11, numeral 8º, del Decreto Ley 4170 de 2011,</w:t>
      </w:r>
      <w:r w:rsidRPr="00453E53">
        <w:rPr>
          <w:rFonts w:ascii="Verdana" w:eastAsia="Arial MT" w:hAnsi="Verdana" w:cs="Arial MT"/>
          <w:lang w:val="es-ES" w:eastAsia="es-ES"/>
        </w:rPr>
        <w:t xml:space="preserve"> </w:t>
      </w:r>
      <w:r w:rsidRPr="00453E53">
        <w:rPr>
          <w:rFonts w:ascii="Verdana" w:eastAsia="Aptos" w:hAnsi="Verdana" w:cs="Arial"/>
        </w:rPr>
        <w:t xml:space="preserve">así como lo establecido en el artículo 4 de la Resolución 1707 de 2018 expedida por esta Entidad, </w:t>
      </w:r>
      <w:r w:rsidRPr="00453E53">
        <w:rPr>
          <w:rFonts w:ascii="Verdana" w:eastAsia="Calibri" w:hAnsi="Verdana" w:cs="Arial"/>
          <w:lang w:val="es-ES" w:eastAsia="es-ES"/>
        </w:rPr>
        <w:t xml:space="preserve">la Agencia Nacional de Contratación Pública – Colombia Compra Eficiente– responde su petición del 02 de abril de 2026, en la que realiza la siguiente consulta: </w:t>
      </w:r>
    </w:p>
    <w:p w14:paraId="0C0659AA" w14:textId="77777777" w:rsidR="00D46A6B" w:rsidRPr="00453E53" w:rsidRDefault="00D46A6B" w:rsidP="00D46A6B">
      <w:pPr>
        <w:spacing w:after="0" w:line="276" w:lineRule="auto"/>
        <w:jc w:val="both"/>
        <w:rPr>
          <w:rFonts w:ascii="Verdana" w:eastAsia="Calibri" w:hAnsi="Verdana" w:cs="Arial"/>
          <w:lang w:val="es-ES" w:eastAsia="es-ES"/>
        </w:rPr>
      </w:pPr>
    </w:p>
    <w:p w14:paraId="6AAA8A06" w14:textId="77777777" w:rsidR="00D46A6B" w:rsidRPr="00453E53" w:rsidRDefault="00D46A6B" w:rsidP="00D46A6B">
      <w:pPr>
        <w:spacing w:after="0" w:line="240" w:lineRule="auto"/>
        <w:ind w:left="709" w:right="709"/>
        <w:jc w:val="both"/>
        <w:rPr>
          <w:rFonts w:ascii="Verdana" w:eastAsia="Calibri" w:hAnsi="Verdana" w:cs="Arial"/>
          <w:sz w:val="20"/>
          <w:szCs w:val="20"/>
          <w:lang w:val="es-MX"/>
        </w:rPr>
      </w:pPr>
      <w:r w:rsidRPr="00453E53">
        <w:rPr>
          <w:rFonts w:ascii="Verdana" w:eastAsia="Calibri" w:hAnsi="Verdana" w:cs="Arial"/>
          <w:sz w:val="20"/>
          <w:szCs w:val="20"/>
          <w:lang w:val="es-MX"/>
        </w:rPr>
        <w:t>“¿Bajo qué criterio técnico y jurídico la entidad justifica el rechazo de una oferta por la simple modificación de la forma o estructura del formato de propuesta económica, si la modificación no altera la información sustancial ni impide la comparación objetiva de las propuestas conforme al artículo al Art. 5 de la Ley 1150 de 2007?</w:t>
      </w:r>
    </w:p>
    <w:p w14:paraId="2B7DFC05" w14:textId="77777777" w:rsidR="00D46A6B" w:rsidRPr="00453E53" w:rsidRDefault="00D46A6B" w:rsidP="00D46A6B">
      <w:pPr>
        <w:spacing w:after="0" w:line="240" w:lineRule="auto"/>
        <w:ind w:left="709" w:right="709"/>
        <w:jc w:val="both"/>
        <w:rPr>
          <w:rFonts w:ascii="Verdana" w:eastAsia="Calibri" w:hAnsi="Verdana" w:cs="Arial"/>
          <w:sz w:val="20"/>
          <w:szCs w:val="20"/>
          <w:lang w:val="es-MX"/>
        </w:rPr>
      </w:pPr>
    </w:p>
    <w:p w14:paraId="1B3A1E9D" w14:textId="77777777" w:rsidR="00D46A6B" w:rsidRPr="00453E53" w:rsidRDefault="00D46A6B" w:rsidP="00D46A6B">
      <w:pPr>
        <w:spacing w:after="0" w:line="240" w:lineRule="auto"/>
        <w:ind w:left="709" w:right="709"/>
        <w:jc w:val="both"/>
        <w:rPr>
          <w:rFonts w:ascii="Verdana" w:eastAsia="Calibri" w:hAnsi="Verdana" w:cs="Arial"/>
          <w:sz w:val="20"/>
          <w:szCs w:val="20"/>
          <w:lang w:val="es-MX"/>
        </w:rPr>
      </w:pPr>
      <w:r w:rsidRPr="00453E53">
        <w:rPr>
          <w:rFonts w:ascii="Verdana" w:eastAsia="Calibri" w:hAnsi="Verdana" w:cs="Arial"/>
          <w:sz w:val="20"/>
          <w:szCs w:val="20"/>
          <w:lang w:val="es-MX"/>
        </w:rPr>
        <w:t>¿Cuál es el fundamento de la entidad para no suministrar el formato de oferta económica en un archivo editable (ej. Excel), considerando que la ausencia de este dificulta la precisión aritmética y contraviene el deber de facilitar la participación y reducir errores materiales en el proceso?</w:t>
      </w:r>
    </w:p>
    <w:p w14:paraId="1FB53BDD" w14:textId="77777777" w:rsidR="00D46A6B" w:rsidRPr="00453E53" w:rsidRDefault="00D46A6B" w:rsidP="00D46A6B">
      <w:pPr>
        <w:spacing w:after="0" w:line="240" w:lineRule="auto"/>
        <w:ind w:left="709" w:right="709"/>
        <w:jc w:val="both"/>
        <w:rPr>
          <w:rFonts w:ascii="Verdana" w:eastAsia="Calibri" w:hAnsi="Verdana" w:cs="Arial"/>
          <w:sz w:val="20"/>
          <w:szCs w:val="20"/>
          <w:lang w:val="es-MX"/>
        </w:rPr>
      </w:pPr>
    </w:p>
    <w:p w14:paraId="06C64410" w14:textId="77777777" w:rsidR="00D46A6B" w:rsidRPr="00453E53" w:rsidRDefault="00D46A6B" w:rsidP="00D46A6B">
      <w:pPr>
        <w:spacing w:after="0" w:line="240" w:lineRule="auto"/>
        <w:ind w:left="709" w:right="709"/>
        <w:jc w:val="both"/>
        <w:rPr>
          <w:rFonts w:ascii="Verdana" w:eastAsia="Calibri" w:hAnsi="Verdana" w:cs="Arial"/>
          <w:sz w:val="20"/>
          <w:szCs w:val="20"/>
          <w:lang w:val="es-MX"/>
        </w:rPr>
      </w:pPr>
      <w:r w:rsidRPr="00453E53">
        <w:rPr>
          <w:rFonts w:ascii="Verdana" w:eastAsia="Calibri" w:hAnsi="Verdana" w:cs="Arial"/>
          <w:sz w:val="20"/>
          <w:szCs w:val="20"/>
          <w:lang w:val="es-MX"/>
        </w:rPr>
        <w:t xml:space="preserve">¿Cuáles son los criterios específicos de la entidad para distinguir entre un error formal subsanable (corregible de oficio) y una omisión sustancial en </w:t>
      </w:r>
      <w:r w:rsidRPr="00453E53">
        <w:rPr>
          <w:rFonts w:ascii="Verdana" w:eastAsia="Calibri" w:hAnsi="Verdana" w:cs="Arial"/>
          <w:sz w:val="20"/>
          <w:szCs w:val="20"/>
          <w:lang w:val="es-MX"/>
        </w:rPr>
        <w:lastRenderedPageBreak/>
        <w:t>la oferta económica, garantizando que no se rechacen ofertas por errores aritméticos o de transcripción que no alteran el valor total ofrecido?” [sic]</w:t>
      </w:r>
    </w:p>
    <w:p w14:paraId="7F2DC4D1" w14:textId="77777777" w:rsidR="00D46A6B" w:rsidRPr="00453E53" w:rsidRDefault="00D46A6B" w:rsidP="00D46A6B">
      <w:pPr>
        <w:spacing w:after="0" w:line="276" w:lineRule="auto"/>
        <w:jc w:val="both"/>
        <w:rPr>
          <w:rFonts w:ascii="Verdana" w:eastAsia="Calibri" w:hAnsi="Verdana" w:cs="Arial"/>
          <w:lang w:val="es-ES" w:eastAsia="es-ES"/>
        </w:rPr>
      </w:pPr>
    </w:p>
    <w:p w14:paraId="19E4902C" w14:textId="77777777" w:rsidR="00D46A6B" w:rsidRPr="00453E53" w:rsidRDefault="00D46A6B" w:rsidP="00D46A6B">
      <w:pPr>
        <w:spacing w:after="120" w:line="276" w:lineRule="auto"/>
        <w:jc w:val="both"/>
        <w:rPr>
          <w:rFonts w:ascii="Verdana" w:eastAsia="Calibri" w:hAnsi="Verdana" w:cs="Arial"/>
          <w:lang w:val="es-ES" w:eastAsia="es-ES"/>
        </w:rPr>
      </w:pPr>
      <w:r w:rsidRPr="00453E5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07BA067" w14:textId="77777777" w:rsidR="00D46A6B" w:rsidRPr="00453E53" w:rsidRDefault="00D46A6B" w:rsidP="00D46A6B">
      <w:pPr>
        <w:spacing w:after="0" w:line="276" w:lineRule="auto"/>
        <w:ind w:firstLine="709"/>
        <w:jc w:val="both"/>
        <w:rPr>
          <w:rFonts w:ascii="Verdana" w:eastAsia="Calibri" w:hAnsi="Verdana" w:cs="Arial"/>
          <w:lang w:val="es-ES" w:eastAsia="es-ES"/>
        </w:rPr>
      </w:pPr>
      <w:r w:rsidRPr="00453E5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1C58701" w14:textId="77777777" w:rsidR="00D46A6B" w:rsidRPr="00453E53" w:rsidRDefault="00D46A6B" w:rsidP="00D46A6B">
      <w:pPr>
        <w:spacing w:after="0" w:line="276" w:lineRule="auto"/>
        <w:ind w:firstLine="709"/>
        <w:jc w:val="both"/>
        <w:rPr>
          <w:rFonts w:ascii="Verdana" w:eastAsia="Calibri" w:hAnsi="Verdana" w:cs="Arial"/>
          <w:lang w:val="es-ES" w:eastAsia="es-ES"/>
        </w:rPr>
      </w:pPr>
    </w:p>
    <w:p w14:paraId="21D9074F" w14:textId="77777777" w:rsidR="00D46A6B" w:rsidRPr="00453E53" w:rsidRDefault="00D46A6B" w:rsidP="00D46A6B">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453E53">
        <w:rPr>
          <w:rFonts w:ascii="Verdana" w:eastAsia="Arial" w:hAnsi="Verdana" w:cs="Arial"/>
          <w:b/>
          <w:bCs/>
          <w:lang w:val="es-ES"/>
        </w:rPr>
        <w:t>1. Problema planteado:</w:t>
      </w:r>
    </w:p>
    <w:p w14:paraId="1DFA224A" w14:textId="77777777" w:rsidR="00D46A6B" w:rsidRPr="00453E53" w:rsidRDefault="00D46A6B" w:rsidP="00D46A6B">
      <w:pPr>
        <w:tabs>
          <w:tab w:val="left" w:pos="426"/>
        </w:tabs>
        <w:spacing w:after="0" w:line="276" w:lineRule="auto"/>
        <w:jc w:val="both"/>
        <w:rPr>
          <w:rFonts w:ascii="Verdana" w:eastAsia="Century Gothic" w:hAnsi="Verdana" w:cs="Century Gothic"/>
          <w:lang w:val="es-ES"/>
        </w:rPr>
      </w:pPr>
    </w:p>
    <w:p w14:paraId="20023A64" w14:textId="77777777" w:rsidR="00D46A6B" w:rsidRPr="00453E53" w:rsidRDefault="00D46A6B" w:rsidP="00D46A6B">
      <w:pPr>
        <w:spacing w:after="0"/>
        <w:jc w:val="both"/>
        <w:rPr>
          <w:rFonts w:ascii="Verdana" w:eastAsia="Aptos" w:hAnsi="Verdana" w:cs="Arial"/>
        </w:rPr>
      </w:pPr>
      <w:r w:rsidRPr="00453E53">
        <w:rPr>
          <w:rFonts w:ascii="Verdana" w:eastAsia="Century Gothic" w:hAnsi="Verdana" w:cs="Century Gothic"/>
        </w:rPr>
        <w:t xml:space="preserve">De acuerdo con el contenido de su solicitud, le informamos que la misma se resolverá desde los siguientes </w:t>
      </w:r>
      <w:bookmarkStart w:id="1" w:name="_Hlk171070029"/>
      <w:r w:rsidRPr="00453E53">
        <w:rPr>
          <w:rFonts w:ascii="Verdana" w:eastAsia="Century Gothic" w:hAnsi="Verdana" w:cs="Century Gothic"/>
        </w:rPr>
        <w:t xml:space="preserve">interrogantes: i) </w:t>
      </w:r>
      <w:r w:rsidRPr="00453E53">
        <w:rPr>
          <w:rFonts w:ascii="Verdana" w:eastAsia="Aptos" w:hAnsi="Verdana" w:cs="Arial"/>
        </w:rPr>
        <w:t xml:space="preserve">¿Cómo debe presentarse la oferta económica en un proceso de contratación?; </w:t>
      </w:r>
      <w:proofErr w:type="spellStart"/>
      <w:r w:rsidRPr="00453E53">
        <w:rPr>
          <w:rFonts w:ascii="Verdana" w:eastAsia="Aptos" w:hAnsi="Verdana" w:cs="Arial"/>
        </w:rPr>
        <w:t>ii</w:t>
      </w:r>
      <w:proofErr w:type="spellEnd"/>
      <w:r w:rsidRPr="00453E53">
        <w:rPr>
          <w:rFonts w:ascii="Verdana" w:eastAsia="Aptos" w:hAnsi="Verdana" w:cs="Arial"/>
        </w:rPr>
        <w:t xml:space="preserve">) ¿Qué aspectos pueden subsanarse en un proceso de contratación pública?; y </w:t>
      </w:r>
      <w:proofErr w:type="spellStart"/>
      <w:r w:rsidRPr="00453E53">
        <w:rPr>
          <w:rFonts w:ascii="Verdana" w:eastAsia="Aptos" w:hAnsi="Verdana" w:cs="Arial"/>
        </w:rPr>
        <w:t>ii</w:t>
      </w:r>
      <w:proofErr w:type="spellEnd"/>
      <w:r w:rsidRPr="00453E53">
        <w:rPr>
          <w:rFonts w:ascii="Verdana" w:eastAsia="Aptos" w:hAnsi="Verdana" w:cs="Arial"/>
        </w:rPr>
        <w:t>) En qué circunstancias pueden rechazarse las ofertas de los proponentes?</w:t>
      </w:r>
    </w:p>
    <w:p w14:paraId="1086C913" w14:textId="77777777" w:rsidR="00D46A6B" w:rsidRPr="00453E53" w:rsidRDefault="00D46A6B" w:rsidP="00D46A6B">
      <w:pPr>
        <w:spacing w:after="0"/>
        <w:jc w:val="both"/>
        <w:rPr>
          <w:rFonts w:ascii="Verdana" w:eastAsia="Aptos" w:hAnsi="Verdana" w:cs="Arial"/>
        </w:rPr>
      </w:pPr>
    </w:p>
    <w:bookmarkEnd w:id="1"/>
    <w:p w14:paraId="1DDCA0F7" w14:textId="77777777" w:rsidR="00D46A6B" w:rsidRPr="00453E53" w:rsidRDefault="00D46A6B" w:rsidP="00D46A6B">
      <w:pPr>
        <w:widowControl w:val="0"/>
        <w:autoSpaceDE w:val="0"/>
        <w:autoSpaceDN w:val="0"/>
        <w:spacing w:before="1" w:after="0" w:line="240" w:lineRule="auto"/>
        <w:jc w:val="both"/>
        <w:outlineLvl w:val="0"/>
        <w:rPr>
          <w:rFonts w:ascii="Verdana" w:eastAsia="Arial" w:hAnsi="Verdana" w:cs="Arial"/>
          <w:b/>
          <w:bCs/>
          <w:lang w:val="es-ES"/>
        </w:rPr>
      </w:pPr>
      <w:r w:rsidRPr="00453E53">
        <w:rPr>
          <w:rFonts w:ascii="Verdana" w:eastAsia="Arial" w:hAnsi="Verdana" w:cs="Arial"/>
          <w:b/>
          <w:bCs/>
          <w:lang w:val="es-ES"/>
        </w:rPr>
        <w:t>2. Respuesta:</w:t>
      </w:r>
    </w:p>
    <w:p w14:paraId="3417ED03" w14:textId="77777777" w:rsidR="00D46A6B" w:rsidRPr="00453E53" w:rsidRDefault="00D46A6B" w:rsidP="00D46A6B">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6A6B" w:rsidRPr="00453E53" w14:paraId="1F28BC57" w14:textId="77777777" w:rsidTr="00BD41A2">
        <w:tc>
          <w:tcPr>
            <w:tcW w:w="8828" w:type="dxa"/>
          </w:tcPr>
          <w:p w14:paraId="14EC584B" w14:textId="77777777" w:rsidR="00D46A6B" w:rsidRPr="00453E53" w:rsidRDefault="00D46A6B" w:rsidP="00BD41A2">
            <w:pPr>
              <w:spacing w:line="276" w:lineRule="auto"/>
              <w:jc w:val="both"/>
              <w:rPr>
                <w:rFonts w:ascii="Verdana" w:eastAsia="Calibri" w:hAnsi="Verdana" w:cs="Arial"/>
                <w:bCs/>
                <w:lang w:val="es-ES_tradnl"/>
              </w:rPr>
            </w:pPr>
            <w:bookmarkStart w:id="2" w:name="_Hlk171067516"/>
            <w:r w:rsidRPr="00453E53">
              <w:rPr>
                <w:rFonts w:ascii="Verdana" w:eastAsia="Times New Roman" w:hAnsi="Verdana" w:cs="Arial"/>
                <w:bdr w:val="none" w:sz="0" w:space="0" w:color="auto" w:frame="1"/>
                <w:shd w:val="clear" w:color="auto" w:fill="FFFFFF"/>
                <w:lang w:val="es-ES" w:eastAsia="es-ES_tradnl"/>
              </w:rPr>
              <w:t xml:space="preserve">i) </w:t>
            </w:r>
            <w:r w:rsidRPr="00453E53">
              <w:rPr>
                <w:rFonts w:ascii="Verdana" w:eastAsia="Calibri" w:hAnsi="Verdana" w:cs="Arial"/>
                <w:bCs/>
                <w:lang w:val="es-ES_tradnl"/>
              </w:rPr>
              <w:t xml:space="preserve">Las Entidades Estatales se encuentran facultadas para determinar cuál será el formato mediante el cual los proponentes harán la presentación de sus ofrecimientos económicos. Sin embargo, aquí lo importante es que, más allá de las formalidades con las que cuente el formato seleccionado o diseñado por </w:t>
            </w:r>
            <w:r w:rsidRPr="00453E53">
              <w:rPr>
                <w:rFonts w:ascii="Verdana" w:eastAsia="Calibri" w:hAnsi="Verdana" w:cs="Arial"/>
                <w:bCs/>
                <w:lang w:val="es-ES_tradnl"/>
              </w:rPr>
              <w:lastRenderedPageBreak/>
              <w:t>la Entidad Estatal, este enliste los ítems de pago de los bienes, obras o servicios que se requieran para la ejecución del objeto que se pretende contratar, y pueda derivarse de esta información como las especificaciones generales y particulares, la descripción, la unidad de medida, la cantidad, el valor unitario y el valor total de los ítems.</w:t>
            </w:r>
          </w:p>
          <w:p w14:paraId="4A0404AB" w14:textId="77777777" w:rsidR="00D46A6B" w:rsidRPr="00453E53" w:rsidRDefault="00D46A6B" w:rsidP="00BD41A2">
            <w:pPr>
              <w:spacing w:before="120" w:line="276" w:lineRule="auto"/>
              <w:jc w:val="both"/>
              <w:rPr>
                <w:rFonts w:ascii="Verdana" w:eastAsia="Calibri" w:hAnsi="Verdana" w:cs="Arial"/>
                <w:lang w:val="es-ES"/>
              </w:rPr>
            </w:pPr>
            <w:r w:rsidRPr="00453E53">
              <w:rPr>
                <w:rFonts w:ascii="Verdana" w:eastAsia="Calibri" w:hAnsi="Verdana" w:cs="Arial"/>
                <w:bCs/>
                <w:lang w:val="es-ES_tradnl"/>
              </w:rPr>
              <w:tab/>
            </w:r>
            <w:r w:rsidRPr="74CC3281">
              <w:rPr>
                <w:rFonts w:ascii="Verdana" w:eastAsia="Calibri" w:hAnsi="Verdana" w:cs="Arial"/>
                <w:lang w:val="es-ES"/>
              </w:rPr>
              <w:t xml:space="preserve">Adicionalmente se precisa que, la definición del documento o formato mediante el cual se presentará la oferta económica de los proponentes, deberá efectuarse en el Pliego de Condiciones o documento equivalente, en el que, de conformidad con lo señalado en el artículo 2.2.1.1.2.1.3 del Decreto 1082 de 2015, se incorporarán además de las reglas para la presentación de las ofertas, la figura de corrección aritmética para efectos de la evaluación de las propuestas presentadas. </w:t>
            </w:r>
            <w:r w:rsidRPr="00453E53">
              <w:rPr>
                <w:rFonts w:ascii="Verdana" w:eastAsia="Calibri" w:hAnsi="Verdana" w:cs="Arial"/>
                <w:bCs/>
                <w:lang w:val="es-ES_tradnl"/>
              </w:rPr>
              <w:tab/>
            </w:r>
            <w:r w:rsidRPr="74CC3281">
              <w:rPr>
                <w:rFonts w:ascii="Verdana" w:eastAsia="Calibri" w:hAnsi="Verdana" w:cs="Arial"/>
                <w:lang w:val="es-ES"/>
              </w:rPr>
              <w:t>En ese contexto, lo ideal es que el Pliego de Condiciones o documento equivalente, establezca todas las operaciones aritméticas a que haya lugar en la oferta económica ante un error que surja de un cálculo meramente aritmético cuando la operación ha sido erróneamente realizada, por lo que es posible que tanto el valor total como los precios unitarios, sean objeto de corrección aritmética. Por lo tanto, la entidad durante la etapa de evaluación de las ofertas económicas de los proponentes habilitados debe verificar, con base en la información registrada en la oferta económica, cada una de las operaciones aritméticas que permitan verificar el valor real ofertado por el proponente. En suma, la entidad deberá realizar la verificación de los valores ofertados y la corrección aritmética, cuando esta se requiera, para cada una de las cifras registradas en la oferta económica que tengan operaciones aritméticas y previo a seleccionar y aplicar el método de ponderación que corresponda de acuerdo con lo consignado en el pliego de condiciones.</w:t>
            </w:r>
          </w:p>
          <w:p w14:paraId="173402A5" w14:textId="77777777" w:rsidR="00D46A6B" w:rsidRPr="00453E53" w:rsidRDefault="00D46A6B" w:rsidP="00BD41A2">
            <w:pPr>
              <w:spacing w:before="120" w:line="276" w:lineRule="auto"/>
              <w:jc w:val="both"/>
              <w:rPr>
                <w:rFonts w:ascii="Verdana" w:eastAsia="Calibri" w:hAnsi="Verdana" w:cs="Arial"/>
                <w:bCs/>
                <w:lang w:val="es-ES_tradnl"/>
              </w:rPr>
            </w:pPr>
            <w:r w:rsidRPr="00453E53">
              <w:rPr>
                <w:rFonts w:ascii="Verdana" w:eastAsia="Calibri" w:hAnsi="Verdana" w:cs="Arial"/>
                <w:bCs/>
                <w:lang w:val="es-ES_tradnl"/>
              </w:rPr>
              <w:tab/>
              <w:t>Con todo, se advierte que la presentación de la oferta económica por parte del proponente se realizará teniendo en cuenta el formato determinado por la Entidad Estatal y, por lo que, deberán ceñirse a las reglas para la presentación de la oferta económica que para el efecto se establezcan en el Pliego de Condiciones o documento equivalente.</w:t>
            </w:r>
          </w:p>
          <w:p w14:paraId="41562458" w14:textId="77777777" w:rsidR="00D46A6B" w:rsidRPr="00453E53" w:rsidRDefault="00D46A6B" w:rsidP="00BD41A2">
            <w:pPr>
              <w:jc w:val="both"/>
              <w:rPr>
                <w:rFonts w:ascii="Verdana" w:eastAsia="Calibri" w:hAnsi="Verdana" w:cs="Arial"/>
                <w:b/>
                <w:lang w:val="es-ES_tradnl"/>
              </w:rPr>
            </w:pPr>
          </w:p>
          <w:p w14:paraId="20BD2AD9" w14:textId="77777777" w:rsidR="00D46A6B" w:rsidRPr="00453E53" w:rsidRDefault="00D46A6B" w:rsidP="00BD41A2">
            <w:pPr>
              <w:spacing w:line="276" w:lineRule="auto"/>
              <w:jc w:val="both"/>
              <w:rPr>
                <w:rFonts w:ascii="Verdana" w:eastAsia="Calibri" w:hAnsi="Verdana" w:cs="Arial"/>
                <w:lang w:val="es-ES"/>
              </w:rPr>
            </w:pPr>
            <w:proofErr w:type="spellStart"/>
            <w:r w:rsidRPr="74CC3281">
              <w:rPr>
                <w:rFonts w:ascii="Verdana" w:eastAsia="Calibri" w:hAnsi="Verdana" w:cs="Arial"/>
                <w:lang w:val="es-ES"/>
              </w:rPr>
              <w:t>ii</w:t>
            </w:r>
            <w:proofErr w:type="spellEnd"/>
            <w:r w:rsidRPr="74CC3281">
              <w:rPr>
                <w:rFonts w:ascii="Verdana" w:eastAsia="Calibri" w:hAnsi="Verdana" w:cs="Arial"/>
                <w:lang w:val="es-ES"/>
              </w:rPr>
              <w:t xml:space="preserve">) De acuerdo con lo establecido en el parágrafo 1 del artículo 5 de la Ley 1150 de 2007, “[l]a ausencia de requisitos o la falta de documentos referentes a la futura contratación o al proponente, no necesarios para la comparación de las </w:t>
            </w:r>
            <w:r w:rsidRPr="74CC3281">
              <w:rPr>
                <w:rFonts w:ascii="Verdana" w:eastAsia="Calibri" w:hAnsi="Verdana" w:cs="Arial"/>
                <w:lang w:val="es-ES"/>
              </w:rPr>
              <w:lastRenderedPageBreak/>
              <w:t>propuestas no servirán de título suficiente para el rechazo de los ofrecimientos hechos”, así como el que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por lo que las entidades no podrán establecer causales de rechazo referentes a meros requisitos formales o rechazar las ofertas por esa razón.</w:t>
            </w:r>
          </w:p>
          <w:p w14:paraId="1421895F" w14:textId="77777777" w:rsidR="00D46A6B" w:rsidRPr="00453E53" w:rsidRDefault="00D46A6B" w:rsidP="00BD41A2">
            <w:pPr>
              <w:jc w:val="both"/>
              <w:rPr>
                <w:rFonts w:ascii="Verdana" w:eastAsia="Calibri" w:hAnsi="Verdana" w:cs="Arial"/>
                <w:b/>
                <w:lang w:val="es-ES_tradnl"/>
              </w:rPr>
            </w:pPr>
          </w:p>
          <w:p w14:paraId="659FC060" w14:textId="77777777" w:rsidR="00D46A6B" w:rsidRPr="00453E53" w:rsidRDefault="00D46A6B" w:rsidP="00BD41A2">
            <w:pPr>
              <w:spacing w:line="276" w:lineRule="auto"/>
              <w:jc w:val="both"/>
              <w:rPr>
                <w:rFonts w:ascii="Verdana" w:eastAsia="Calibri" w:hAnsi="Verdana" w:cs="Arial"/>
                <w:lang w:val="es-ES"/>
              </w:rPr>
            </w:pPr>
            <w:proofErr w:type="spellStart"/>
            <w:r w:rsidRPr="74CC3281">
              <w:rPr>
                <w:rFonts w:ascii="Verdana" w:eastAsia="Calibri" w:hAnsi="Verdana" w:cs="Arial"/>
                <w:lang w:val="es-ES"/>
              </w:rPr>
              <w:t>iii</w:t>
            </w:r>
            <w:proofErr w:type="spellEnd"/>
            <w:r w:rsidRPr="74CC3281">
              <w:rPr>
                <w:rFonts w:ascii="Verdana" w:eastAsia="Calibri" w:hAnsi="Verdana" w:cs="Arial"/>
                <w:lang w:val="es-ES"/>
              </w:rPr>
              <w:t xml:space="preserve">)La jurisprudencia del Consejo de Estado ha determinado que las causales de rechazo pueden o no estar establecidas en el Pliego de Condiciones o documento equivalente, sin perjuicio de que sean aplicables al proceso contractual las establecidas directamente en la ley. En ese sentido, y de acuerdo con lo indicado por el alto tribunal administrativo, existen dos casos en los que procede el rechazo de la oferta: i) que se configure alguna de las causales de rechazo originadas en la ley o el reglamento y </w:t>
            </w:r>
            <w:proofErr w:type="spellStart"/>
            <w:r w:rsidRPr="74CC3281">
              <w:rPr>
                <w:rFonts w:ascii="Verdana" w:eastAsia="Calibri" w:hAnsi="Verdana" w:cs="Arial"/>
                <w:lang w:val="es-ES"/>
              </w:rPr>
              <w:t>ii</w:t>
            </w:r>
            <w:proofErr w:type="spellEnd"/>
            <w:r w:rsidRPr="74CC3281">
              <w:rPr>
                <w:rFonts w:ascii="Verdana" w:eastAsia="Calibri" w:hAnsi="Verdana" w:cs="Arial"/>
                <w:lang w:val="es-ES"/>
              </w:rPr>
              <w:t xml:space="preserve">) que se materialicen las establecidas en el Pliego de Condiciones, o documentos equivalentes. En tal sentido, las causales de rechazo de la oferta serán las consagradas en la ley o el reglamento producto de su aplicación, así como las definidas por las entidades en el respectivo Pliego de Condiciones. </w:t>
            </w:r>
          </w:p>
          <w:p w14:paraId="3CA40BED" w14:textId="77777777" w:rsidR="00D46A6B" w:rsidRPr="00453E53" w:rsidRDefault="00D46A6B" w:rsidP="00BD41A2">
            <w:pPr>
              <w:spacing w:before="120" w:line="276" w:lineRule="auto"/>
              <w:jc w:val="both"/>
              <w:rPr>
                <w:rFonts w:ascii="Verdana" w:eastAsia="Calibri" w:hAnsi="Verdana" w:cs="Arial"/>
                <w:bCs/>
                <w:lang w:val="es-ES_tradnl"/>
              </w:rPr>
            </w:pPr>
            <w:r w:rsidRPr="00453E53">
              <w:rPr>
                <w:rFonts w:ascii="Verdana" w:eastAsia="Calibri" w:hAnsi="Verdana" w:cs="Arial"/>
                <w:bCs/>
                <w:lang w:val="es-ES_tradnl"/>
              </w:rPr>
              <w:tab/>
              <w:t xml:space="preserve">En tales términos, la facultad de las Entidades Estatales para incluir en los Pliegos de Condiciones o documentos equivalentes,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7C6A4FE5" w14:textId="77777777" w:rsidR="00D46A6B" w:rsidRPr="00453E53" w:rsidRDefault="00D46A6B" w:rsidP="00BD41A2">
            <w:pPr>
              <w:spacing w:before="120" w:line="276" w:lineRule="auto"/>
              <w:ind w:firstLine="709"/>
              <w:jc w:val="both"/>
              <w:rPr>
                <w:rFonts w:ascii="Verdana" w:eastAsia="Calibri" w:hAnsi="Verdana" w:cs="Arial"/>
                <w:lang w:val="es-ES"/>
              </w:rPr>
            </w:pPr>
            <w:r w:rsidRPr="74CC3281">
              <w:rPr>
                <w:rFonts w:ascii="Verdana" w:eastAsia="Calibri" w:hAnsi="Verdana" w:cs="Arial"/>
                <w:lang w:val="es-ES"/>
              </w:rPr>
              <w:t xml:space="preserve">En conclusión, las causales de rechazo previstas en el Pliego de Condiciones o documento equivalente, deben referirse a vicios, omisiones o situaciones que evidencien que la propuesta no resulta conveniente para los intereses de la entidad ni para el cumplimiento de los fines de la contratación estatal. Pasar por alto dichas circunstancias implicaría poner en riesgo la observancia de los principios de transparencia, economía y responsabilidad, </w:t>
            </w:r>
            <w:r w:rsidRPr="74CC3281">
              <w:rPr>
                <w:rFonts w:ascii="Verdana" w:eastAsia="Calibri" w:hAnsi="Verdana" w:cs="Arial"/>
                <w:lang w:val="es-ES"/>
              </w:rPr>
              <w:lastRenderedPageBreak/>
              <w:t>así como afectar el deber de selección objetiva que rige los procesos contractuales.</w:t>
            </w:r>
          </w:p>
          <w:p w14:paraId="15880B5D" w14:textId="77777777" w:rsidR="00D46A6B" w:rsidRPr="00453E53" w:rsidRDefault="00D46A6B" w:rsidP="00BD41A2">
            <w:pPr>
              <w:spacing w:before="120" w:line="276" w:lineRule="auto"/>
              <w:ind w:firstLine="708"/>
              <w:jc w:val="both"/>
              <w:rPr>
                <w:rFonts w:ascii="Verdana" w:eastAsia="Times New Roman" w:hAnsi="Verdana" w:cs="Arial"/>
                <w:bdr w:val="none" w:sz="0" w:space="0" w:color="auto" w:frame="1"/>
                <w:shd w:val="clear" w:color="auto" w:fill="FFFFFF"/>
                <w:lang w:val="es-ES" w:eastAsia="es-ES_tradnl"/>
              </w:rPr>
            </w:pPr>
            <w:r w:rsidRPr="00453E53">
              <w:rPr>
                <w:rFonts w:ascii="Verdana" w:eastAsia="Times New Roman" w:hAnsi="Verdana" w:cs="Arial"/>
                <w:bdr w:val="none" w:sz="0" w:space="0" w:color="auto" w:frame="1"/>
                <w:shd w:val="clear" w:color="auto" w:fill="FFFFFF"/>
                <w:lang w:val="es-ES" w:eastAsia="es-ES_tradnl"/>
              </w:rPr>
              <w:t>Finalmente, debe advertirse que el análisis sobre la subsanación y rechazo de las ofertas al interior de los procedimientos de selección debe ser realizado por quienes tengan interés en ello, de acuerdo con lo explicado la aclaración preliminar del presente oficio.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bookmarkEnd w:id="2"/>
    </w:tbl>
    <w:p w14:paraId="78CE0901" w14:textId="77777777" w:rsidR="00D46A6B" w:rsidRPr="00453E53" w:rsidRDefault="00D46A6B" w:rsidP="00D46A6B">
      <w:pPr>
        <w:widowControl w:val="0"/>
        <w:autoSpaceDE w:val="0"/>
        <w:autoSpaceDN w:val="0"/>
        <w:spacing w:before="1" w:after="0" w:line="240" w:lineRule="auto"/>
        <w:ind w:left="360" w:hanging="360"/>
        <w:outlineLvl w:val="0"/>
        <w:rPr>
          <w:rFonts w:ascii="Verdana" w:eastAsia="Arial" w:hAnsi="Verdana" w:cs="Arial"/>
          <w:b/>
        </w:rPr>
      </w:pPr>
    </w:p>
    <w:p w14:paraId="133C5C6F" w14:textId="77777777" w:rsidR="00D46A6B" w:rsidRPr="00453E53" w:rsidRDefault="00D46A6B" w:rsidP="00D46A6B">
      <w:pPr>
        <w:widowControl w:val="0"/>
        <w:autoSpaceDE w:val="0"/>
        <w:autoSpaceDN w:val="0"/>
        <w:spacing w:before="1" w:after="0" w:line="240" w:lineRule="auto"/>
        <w:ind w:left="360" w:hanging="360"/>
        <w:outlineLvl w:val="0"/>
        <w:rPr>
          <w:rFonts w:ascii="Verdana" w:eastAsia="Arial" w:hAnsi="Verdana" w:cs="Arial"/>
          <w:b/>
          <w:bCs/>
          <w:lang w:val="es-ES"/>
        </w:rPr>
      </w:pPr>
      <w:r w:rsidRPr="00453E53">
        <w:rPr>
          <w:rFonts w:ascii="Verdana" w:eastAsia="Arial" w:hAnsi="Verdana" w:cs="Arial"/>
          <w:b/>
          <w:bCs/>
          <w:lang w:val="es-ES"/>
        </w:rPr>
        <w:t>3. Razones de la respuesta</w:t>
      </w:r>
    </w:p>
    <w:p w14:paraId="0DB2C58D" w14:textId="77777777" w:rsidR="00D46A6B" w:rsidRPr="00453E53" w:rsidRDefault="00D46A6B" w:rsidP="00D46A6B">
      <w:pPr>
        <w:spacing w:after="0" w:line="276" w:lineRule="auto"/>
        <w:jc w:val="both"/>
        <w:rPr>
          <w:rFonts w:ascii="Verdana" w:eastAsia="Calibri" w:hAnsi="Verdana" w:cs="Arial"/>
          <w:lang w:val="es-ES"/>
        </w:rPr>
      </w:pPr>
    </w:p>
    <w:p w14:paraId="1E5160AE" w14:textId="77777777" w:rsidR="00D46A6B" w:rsidRPr="00453E53" w:rsidRDefault="00D46A6B" w:rsidP="00D46A6B">
      <w:pPr>
        <w:spacing w:after="0" w:line="276" w:lineRule="auto"/>
        <w:jc w:val="both"/>
        <w:rPr>
          <w:rFonts w:ascii="Verdana" w:eastAsia="Calibri" w:hAnsi="Verdana" w:cs="Arial"/>
          <w:lang w:val="es-ES"/>
        </w:rPr>
      </w:pPr>
      <w:r w:rsidRPr="00453E53">
        <w:rPr>
          <w:rFonts w:ascii="Verdana" w:eastAsia="Calibri" w:hAnsi="Verdana" w:cs="Arial"/>
          <w:lang w:val="es-ES"/>
        </w:rPr>
        <w:t xml:space="preserve">Las respuestas anteriores se sustentan en las siguientes consideraciones: </w:t>
      </w:r>
    </w:p>
    <w:p w14:paraId="32F6BE5D" w14:textId="77777777" w:rsidR="00D46A6B" w:rsidRPr="00453E53" w:rsidRDefault="00D46A6B" w:rsidP="00D46A6B">
      <w:pPr>
        <w:spacing w:after="0" w:line="276" w:lineRule="auto"/>
        <w:jc w:val="both"/>
        <w:rPr>
          <w:rFonts w:ascii="Verdana" w:eastAsia="Calibri" w:hAnsi="Verdana" w:cs="Arial"/>
          <w:lang w:val="es-ES"/>
        </w:rPr>
      </w:pPr>
    </w:p>
    <w:p w14:paraId="3EF1D6BE" w14:textId="77777777" w:rsidR="00D46A6B" w:rsidRPr="00453E53" w:rsidRDefault="00D46A6B" w:rsidP="00D46A6B">
      <w:pPr>
        <w:spacing w:after="0" w:line="276" w:lineRule="auto"/>
        <w:jc w:val="both"/>
        <w:rPr>
          <w:rFonts w:ascii="Verdana" w:eastAsia="Arial" w:hAnsi="Verdana" w:cs="Arial"/>
        </w:rPr>
      </w:pPr>
      <w:r w:rsidRPr="00453E53">
        <w:rPr>
          <w:rFonts w:ascii="Verdana" w:eastAsia="Calibri" w:hAnsi="Verdana" w:cs="Arial"/>
          <w:lang w:val="es-ES"/>
        </w:rPr>
        <w:t>i) De manera preliminar debe precisarse que, d</w:t>
      </w:r>
      <w:proofErr w:type="spellStart"/>
      <w:r w:rsidRPr="00453E53">
        <w:rPr>
          <w:rFonts w:ascii="Verdana" w:eastAsia="Arial" w:hAnsi="Verdana" w:cs="Arial"/>
        </w:rPr>
        <w:t>e</w:t>
      </w:r>
      <w:proofErr w:type="spellEnd"/>
      <w:r w:rsidRPr="00453E53">
        <w:rPr>
          <w:rFonts w:ascii="Verdana" w:eastAsia="Arial" w:hAnsi="Verdana" w:cs="Arial"/>
        </w:rPr>
        <w:t xml:space="preserve"> acuerdo con el artículo 5 de la Ley 1150 de 2007, el deber de selección objetiva supone que las Entidades Estatales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bookmarkStart w:id="3" w:name="_1fob9te" w:colFirst="0" w:colLast="0"/>
      <w:bookmarkEnd w:id="3"/>
    </w:p>
    <w:p w14:paraId="5EC81282" w14:textId="77777777" w:rsidR="00D46A6B" w:rsidRPr="00453E53" w:rsidRDefault="00D46A6B" w:rsidP="00D46A6B">
      <w:pPr>
        <w:tabs>
          <w:tab w:val="left" w:pos="0"/>
        </w:tabs>
        <w:spacing w:before="120" w:after="0" w:line="276" w:lineRule="auto"/>
        <w:jc w:val="both"/>
        <w:rPr>
          <w:rFonts w:ascii="Verdana" w:eastAsia="Arial" w:hAnsi="Verdana" w:cs="Arial"/>
        </w:rPr>
      </w:pPr>
      <w:r w:rsidRPr="00453E53">
        <w:rPr>
          <w:rFonts w:ascii="Verdana" w:eastAsia="Arial" w:hAnsi="Verdana" w:cs="Arial"/>
        </w:rPr>
        <w:tab/>
        <w:t xml:space="preserve">En ese sentido, el referido artículo alude a su vez, a diferentes conceptos como factores de escogencia, de calificación, técnicos y económicos de escogencia, de evaluación y calificación. Además, el artículo se refiere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w:t>
      </w:r>
      <w:r w:rsidRPr="00453E53">
        <w:rPr>
          <w:rFonts w:ascii="Verdana" w:eastAsia="Arial" w:hAnsi="Verdana" w:cs="Arial"/>
          <w:vertAlign w:val="superscript"/>
        </w:rPr>
        <w:footnoteReference w:id="1"/>
      </w:r>
      <w:r w:rsidRPr="00453E53">
        <w:rPr>
          <w:rFonts w:ascii="Verdana" w:eastAsia="Arial" w:hAnsi="Verdana" w:cs="Arial"/>
        </w:rPr>
        <w:t xml:space="preserve">. Todas estas </w:t>
      </w:r>
      <w:r w:rsidRPr="00453E53">
        <w:rPr>
          <w:rFonts w:ascii="Verdana" w:eastAsia="Arial" w:hAnsi="Verdana" w:cs="Arial"/>
        </w:rPr>
        <w:lastRenderedPageBreak/>
        <w:t>categorías designan los “[…] factores a los cuales cabe otorgarles puntajes o que pueden ser ponderados, precisamente, pues estos son los factores que en últimas permiten una comparación de ofertas y una diferenciación entre ellas”</w:t>
      </w:r>
      <w:r w:rsidRPr="00453E53">
        <w:rPr>
          <w:rFonts w:ascii="Verdana" w:eastAsia="Arial" w:hAnsi="Verdana" w:cs="Arial"/>
          <w:vertAlign w:val="superscript"/>
        </w:rPr>
        <w:footnoteReference w:id="2"/>
      </w:r>
      <w:r w:rsidRPr="00453E53">
        <w:rPr>
          <w:rFonts w:ascii="Verdana" w:eastAsia="Arial" w:hAnsi="Verdana" w:cs="Arial"/>
        </w:rPr>
        <w:t>. Conforme a esto, la doctrina explica que:</w:t>
      </w:r>
    </w:p>
    <w:p w14:paraId="3C7AFD1D" w14:textId="77777777" w:rsidR="00D46A6B" w:rsidRPr="00453E53" w:rsidRDefault="00D46A6B" w:rsidP="00D46A6B">
      <w:pPr>
        <w:tabs>
          <w:tab w:val="left" w:pos="0"/>
        </w:tabs>
        <w:spacing w:after="0" w:line="276" w:lineRule="auto"/>
        <w:ind w:left="709" w:right="709"/>
        <w:jc w:val="both"/>
        <w:rPr>
          <w:rFonts w:ascii="Verdana" w:eastAsia="Arial" w:hAnsi="Verdana" w:cs="Arial"/>
        </w:rPr>
      </w:pPr>
    </w:p>
    <w:p w14:paraId="554D0CFD" w14:textId="77777777" w:rsidR="00D46A6B" w:rsidRPr="00453E53" w:rsidRDefault="00D46A6B" w:rsidP="00D46A6B">
      <w:pPr>
        <w:spacing w:after="120" w:line="240" w:lineRule="auto"/>
        <w:ind w:left="709" w:right="709"/>
        <w:jc w:val="both"/>
        <w:rPr>
          <w:rFonts w:ascii="Verdana" w:eastAsia="Arial" w:hAnsi="Verdana" w:cs="Arial"/>
          <w:sz w:val="20"/>
          <w:szCs w:val="20"/>
        </w:rPr>
      </w:pPr>
      <w:r w:rsidRPr="00453E53">
        <w:rPr>
          <w:rFonts w:ascii="Verdana" w:eastAsia="Arial" w:hAnsi="Verdana" w:cs="Arial"/>
          <w:sz w:val="20"/>
          <w:szCs w:val="20"/>
        </w:rPr>
        <w:t>“De acuerdo con ese entendimiento, el numeral 2 del artículo 5.° de la Ley 1150 de 2007, modificado por el artículo 88 de la Ley 1474 de 2011, comienza por señalar que ‘</w:t>
      </w:r>
      <w:r w:rsidRPr="00453E53">
        <w:rPr>
          <w:rFonts w:ascii="Verdana" w:eastAsia="Arial" w:hAnsi="Verdana" w:cs="Arial"/>
          <w:i/>
          <w:iCs/>
          <w:sz w:val="20"/>
          <w:szCs w:val="20"/>
          <w:u w:val="single"/>
        </w:rPr>
        <w:t>la oferta más favorable será aquella que, teniendo en cuenta los factores técnicos y económicos de escogencia y la ponderación precisa y detallada de los mismos</w:t>
      </w:r>
      <w:r w:rsidRPr="00453E53">
        <w:rPr>
          <w:rFonts w:ascii="Verdana" w:eastAsia="Arial" w:hAnsi="Verdana" w:cs="Arial"/>
          <w:sz w:val="20"/>
          <w:szCs w:val="20"/>
        </w:rPr>
        <w:t xml:space="preserve">,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07F81C62" w14:textId="77777777" w:rsidR="00D46A6B" w:rsidRPr="00453E53" w:rsidRDefault="00D46A6B" w:rsidP="00D46A6B">
      <w:pPr>
        <w:tabs>
          <w:tab w:val="left" w:pos="0"/>
        </w:tabs>
        <w:spacing w:after="0" w:line="240" w:lineRule="auto"/>
        <w:ind w:left="709" w:right="709"/>
        <w:jc w:val="both"/>
        <w:rPr>
          <w:rFonts w:ascii="Verdana" w:eastAsia="Arial" w:hAnsi="Verdana" w:cs="Arial"/>
          <w:sz w:val="20"/>
          <w:szCs w:val="20"/>
        </w:rPr>
      </w:pPr>
      <w:r w:rsidRPr="00453E53">
        <w:rPr>
          <w:rFonts w:ascii="Verdana" w:eastAsia="Arial" w:hAnsi="Verdana" w:cs="Arial"/>
          <w:sz w:val="20"/>
          <w:szCs w:val="20"/>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5465803E" w14:textId="77777777" w:rsidR="00D46A6B" w:rsidRPr="00453E53" w:rsidRDefault="00D46A6B" w:rsidP="00D46A6B">
      <w:pPr>
        <w:tabs>
          <w:tab w:val="left" w:pos="0"/>
        </w:tabs>
        <w:spacing w:after="120" w:line="240" w:lineRule="auto"/>
        <w:ind w:left="709" w:right="709"/>
        <w:jc w:val="both"/>
        <w:rPr>
          <w:rFonts w:ascii="Verdana" w:eastAsia="Arial" w:hAnsi="Verdana" w:cs="Arial"/>
          <w:sz w:val="20"/>
          <w:szCs w:val="20"/>
        </w:rPr>
      </w:pPr>
      <w:r w:rsidRPr="00453E53">
        <w:rPr>
          <w:rFonts w:ascii="Verdana" w:eastAsia="Arial" w:hAnsi="Verdana" w:cs="Arial"/>
          <w:sz w:val="20"/>
          <w:szCs w:val="20"/>
        </w:rPr>
        <w:t>[…]</w:t>
      </w:r>
    </w:p>
    <w:p w14:paraId="54F59D8B" w14:textId="77777777" w:rsidR="00D46A6B" w:rsidRPr="00453E53" w:rsidRDefault="00D46A6B" w:rsidP="00D46A6B">
      <w:pPr>
        <w:spacing w:after="0" w:line="240" w:lineRule="auto"/>
        <w:ind w:left="709" w:right="709"/>
        <w:jc w:val="both"/>
        <w:rPr>
          <w:rFonts w:ascii="Verdana" w:eastAsia="Arial" w:hAnsi="Verdana" w:cs="Arial"/>
          <w:sz w:val="20"/>
          <w:szCs w:val="20"/>
        </w:rPr>
      </w:pPr>
      <w:r w:rsidRPr="00453E53">
        <w:rPr>
          <w:rFonts w:ascii="Verdana" w:eastAsia="Arial" w:hAnsi="Verdana" w:cs="Arial"/>
          <w:sz w:val="20"/>
          <w:szCs w:val="20"/>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453E53">
        <w:rPr>
          <w:rFonts w:ascii="Verdana" w:eastAsia="Arial" w:hAnsi="Verdana" w:cs="Arial"/>
          <w:sz w:val="20"/>
          <w:szCs w:val="20"/>
          <w:vertAlign w:val="superscript"/>
        </w:rPr>
        <w:footnoteReference w:id="3"/>
      </w:r>
      <w:r w:rsidRPr="00453E53">
        <w:rPr>
          <w:rFonts w:ascii="Verdana" w:eastAsia="Arial" w:hAnsi="Verdana" w:cs="Arial"/>
          <w:sz w:val="20"/>
          <w:szCs w:val="20"/>
        </w:rPr>
        <w:t>. [Énfasis fuera de texto]</w:t>
      </w:r>
    </w:p>
    <w:p w14:paraId="6DA9C139" w14:textId="77777777" w:rsidR="00D46A6B" w:rsidRPr="00453E53" w:rsidRDefault="00D46A6B" w:rsidP="00D46A6B">
      <w:pPr>
        <w:tabs>
          <w:tab w:val="left" w:pos="0"/>
        </w:tabs>
        <w:spacing w:after="0" w:line="276" w:lineRule="auto"/>
        <w:ind w:left="709" w:right="709"/>
        <w:jc w:val="both"/>
        <w:rPr>
          <w:rFonts w:ascii="Verdana" w:eastAsia="Arial" w:hAnsi="Verdana" w:cs="Arial"/>
        </w:rPr>
      </w:pPr>
    </w:p>
    <w:p w14:paraId="24669ED8" w14:textId="77777777" w:rsidR="00D46A6B" w:rsidRPr="00453E53" w:rsidRDefault="00D46A6B" w:rsidP="00D46A6B">
      <w:pPr>
        <w:tabs>
          <w:tab w:val="left" w:pos="0"/>
        </w:tabs>
        <w:spacing w:after="120" w:line="276" w:lineRule="auto"/>
        <w:jc w:val="both"/>
        <w:rPr>
          <w:rFonts w:ascii="Verdana" w:eastAsia="Arial" w:hAnsi="Verdana" w:cs="Arial"/>
        </w:rPr>
      </w:pPr>
      <w:r w:rsidRPr="00453E53">
        <w:rPr>
          <w:rFonts w:ascii="Verdana" w:eastAsia="Arial" w:hAnsi="Verdana" w:cs="Arial"/>
        </w:rPr>
        <w:tab/>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Estatal contratante, y que, por lo tanto, hacen que una </w:t>
      </w:r>
      <w:r w:rsidRPr="00453E53">
        <w:rPr>
          <w:rFonts w:ascii="Verdana" w:eastAsia="Arial" w:hAnsi="Verdana" w:cs="Arial"/>
        </w:rPr>
        <w:lastRenderedPageBreak/>
        <w:t xml:space="preserve">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de Condiciones o documento equivalente para la ponderación de las ofertas. </w:t>
      </w:r>
    </w:p>
    <w:p w14:paraId="0FE8971E" w14:textId="77777777" w:rsidR="00D46A6B" w:rsidRPr="00453E53" w:rsidRDefault="00D46A6B" w:rsidP="00D46A6B">
      <w:pPr>
        <w:tabs>
          <w:tab w:val="left" w:pos="0"/>
        </w:tabs>
        <w:spacing w:after="120" w:line="276" w:lineRule="auto"/>
        <w:jc w:val="both"/>
        <w:rPr>
          <w:rFonts w:ascii="Verdana" w:eastAsia="Arial" w:hAnsi="Verdana" w:cs="Arial"/>
        </w:rPr>
      </w:pPr>
      <w:r w:rsidRPr="00453E53">
        <w:rPr>
          <w:rFonts w:ascii="Verdana" w:eastAsia="Arial" w:hAnsi="Verdana" w:cs="Arial"/>
        </w:rPr>
        <w:tab/>
        <w:t xml:space="preserve">En ese sentido, la asignación de puntaje es un mecanismo mediante el cual las entidades ponderan los factores de calificación </w:t>
      </w:r>
      <w:r w:rsidRPr="00453E53">
        <w:rPr>
          <w:rFonts w:ascii="Arial" w:eastAsia="Tahoma" w:hAnsi="Arial" w:cs="Arial"/>
        </w:rPr>
        <w:t>ꟷ</w:t>
      </w:r>
      <w:r w:rsidRPr="00453E53">
        <w:rPr>
          <w:rFonts w:ascii="Verdana" w:eastAsia="Arial" w:hAnsi="Verdana" w:cs="Arial"/>
          <w:i/>
        </w:rPr>
        <w:t>v.g.</w:t>
      </w:r>
      <w:r w:rsidRPr="00453E53">
        <w:rPr>
          <w:rFonts w:ascii="Verdana" w:eastAsia="Arial" w:hAnsi="Verdana" w:cs="Arial"/>
        </w:rPr>
        <w:t xml:space="preserve"> técnicos y económicos, de calidad y precio, etc.</w:t>
      </w:r>
      <w:r w:rsidRPr="00453E53">
        <w:rPr>
          <w:rFonts w:ascii="Arial" w:eastAsia="Tahoma" w:hAnsi="Arial" w:cs="Arial"/>
        </w:rPr>
        <w:t>ꟷ</w:t>
      </w:r>
      <w:r w:rsidRPr="00453E53">
        <w:rPr>
          <w:rFonts w:ascii="Verdana" w:eastAsia="Arial" w:hAnsi="Verdana" w:cs="Arial"/>
        </w:rPr>
        <w:t xml:space="preserve"> en un determinado proceso de selección, como se desprende del literal a) del numeral 2 del artículo 5 de la Ley 1150 de 2007, en el que expresamente se alude al puntaje. Sin embargo, no es este el único mecanismo de ponderación que tienen a su alcance las Entidades Estatales para determinar el ofrecimiento más favorable, pues el propio literal b) del numeral 2 del artículo 5 ibidem, posibilita que el ofrecimiento más favorable se determine con un análisis de la relación costo-beneficio, evento en el no habría necesidad de acudir obligatoriamente a sistemas de asignación de puntaje. A estos se suman, los procesos de selección de bienes y servicios de características técnicas uniformes y de común utilización, así como los de mínima cuantía, en los que –según el artículo 5 numeral 3 y el artículo 2 numeral 5 de la Ley 1150 de 2007– el único factor de selección es el menor precio ofertado, por lo que no hay lugar a ponderación mediante puntajes o relaciones costo beneficio.</w:t>
      </w:r>
    </w:p>
    <w:p w14:paraId="68FA1AC9" w14:textId="77777777" w:rsidR="00D46A6B" w:rsidRPr="00453E53" w:rsidRDefault="00D46A6B" w:rsidP="00D46A6B">
      <w:pPr>
        <w:spacing w:after="120" w:line="276" w:lineRule="auto"/>
        <w:jc w:val="both"/>
        <w:rPr>
          <w:rFonts w:ascii="Verdana" w:eastAsia="Arial" w:hAnsi="Verdana" w:cs="Arial"/>
        </w:rPr>
      </w:pPr>
      <w:r w:rsidRPr="00453E53">
        <w:rPr>
          <w:rFonts w:ascii="Verdana" w:eastAsia="Arial" w:hAnsi="Verdana" w:cs="Arial"/>
        </w:rPr>
        <w:tab/>
        <w:t xml:space="preserve">Es necesario destacar que las reglas para establecer la oferta más favorable conforme al artículo 5 de la Ley 1150 de 2007, se encuentran reglamentadas en el artículo 2.2.1.1.2.2.2 del Decreto 1082 de 2015, modificado por el Decreto 142 de 2023. Este artículo desarrolla los mecanismos de ponderación previstos en los literales a) y b) del numeral 2 artículo 5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453E53">
        <w:rPr>
          <w:rFonts w:ascii="Verdana" w:eastAsia="Arial" w:hAnsi="Verdana" w:cs="Arial"/>
        </w:rPr>
        <w:t>ii</w:t>
      </w:r>
      <w:proofErr w:type="spellEnd"/>
      <w:r w:rsidRPr="00453E53">
        <w:rPr>
          <w:rFonts w:ascii="Verdana" w:eastAsia="Arial" w:hAnsi="Verdana" w:cs="Arial"/>
        </w:rPr>
        <w:t xml:space="preserve">) las condiciones técnicas adicionales que representan ventajas de calidad o de funcionamiento; </w:t>
      </w:r>
      <w:proofErr w:type="spellStart"/>
      <w:r w:rsidRPr="00453E53">
        <w:rPr>
          <w:rFonts w:ascii="Verdana" w:eastAsia="Arial" w:hAnsi="Verdana" w:cs="Arial"/>
        </w:rPr>
        <w:t>iii</w:t>
      </w:r>
      <w:proofErr w:type="spellEnd"/>
      <w:r w:rsidRPr="00453E53">
        <w:rPr>
          <w:rFonts w:ascii="Verdana" w:eastAsia="Arial" w:hAnsi="Verdana" w:cs="Arial"/>
        </w:rPr>
        <w:t xml:space="preserve">) las condiciones económicas adicionales que representen ventajas en términos de economía, eficiencia y eficacia; y </w:t>
      </w:r>
      <w:proofErr w:type="spellStart"/>
      <w:r w:rsidRPr="00453E53">
        <w:rPr>
          <w:rFonts w:ascii="Verdana" w:eastAsia="Arial" w:hAnsi="Verdana" w:cs="Arial"/>
        </w:rPr>
        <w:t>iv</w:t>
      </w:r>
      <w:proofErr w:type="spellEnd"/>
      <w:r w:rsidRPr="00453E53">
        <w:rPr>
          <w:rFonts w:ascii="Verdana" w:eastAsia="Arial" w:hAnsi="Verdana" w:cs="Arial"/>
        </w:rPr>
        <w:t xml:space="preserve">) el valor en dinero que la Entidad Estatal asigna a cada ofrecimiento técnico o económico adicional. Teniendo en cuenta estos elementos, la Entidad </w:t>
      </w:r>
      <w:r w:rsidRPr="00453E53">
        <w:rPr>
          <w:rFonts w:ascii="Verdana" w:eastAsia="Arial" w:hAnsi="Verdana" w:cs="Arial"/>
        </w:rPr>
        <w:lastRenderedPageBreak/>
        <w:t>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453E53">
        <w:rPr>
          <w:rFonts w:ascii="Verdana" w:eastAsia="Arial" w:hAnsi="Verdana" w:cs="Arial"/>
          <w:vertAlign w:val="superscript"/>
        </w:rPr>
        <w:footnoteReference w:id="4"/>
      </w:r>
      <w:r w:rsidRPr="00453E53">
        <w:rPr>
          <w:rFonts w:ascii="Verdana" w:eastAsia="Arial" w:hAnsi="Verdana" w:cs="Arial"/>
        </w:rPr>
        <w:t>.</w:t>
      </w:r>
    </w:p>
    <w:p w14:paraId="5DE27665" w14:textId="77777777" w:rsidR="00D46A6B" w:rsidRPr="00453E53" w:rsidRDefault="00D46A6B" w:rsidP="00D46A6B">
      <w:pPr>
        <w:spacing w:after="0" w:line="276" w:lineRule="auto"/>
        <w:ind w:firstLine="709"/>
        <w:jc w:val="both"/>
        <w:rPr>
          <w:rFonts w:ascii="Verdana" w:eastAsia="Arial" w:hAnsi="Verdana" w:cs="Arial"/>
        </w:rPr>
      </w:pPr>
      <w:r w:rsidRPr="00453E53">
        <w:rPr>
          <w:rFonts w:ascii="Verdana" w:eastAsia="Arial" w:hAnsi="Verdana" w:cs="Arial"/>
        </w:rPr>
        <w:lastRenderedPageBreak/>
        <w:t>Conforme a lo anterior,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53E4F7AD" w14:textId="77777777" w:rsidR="00D46A6B" w:rsidRPr="00453E53" w:rsidRDefault="00D46A6B" w:rsidP="00D46A6B">
      <w:pPr>
        <w:spacing w:after="0" w:line="276" w:lineRule="auto"/>
        <w:ind w:firstLine="709"/>
        <w:jc w:val="both"/>
        <w:rPr>
          <w:rFonts w:ascii="Verdana" w:eastAsia="Arial" w:hAnsi="Verdana" w:cs="Arial"/>
        </w:rPr>
      </w:pPr>
    </w:p>
    <w:p w14:paraId="11FE92C6" w14:textId="77777777" w:rsidR="00D46A6B" w:rsidRPr="00453E53" w:rsidRDefault="00D46A6B" w:rsidP="00D46A6B">
      <w:pPr>
        <w:pBdr>
          <w:top w:val="nil"/>
          <w:left w:val="nil"/>
          <w:bottom w:val="nil"/>
          <w:right w:val="nil"/>
          <w:between w:val="nil"/>
        </w:pBdr>
        <w:spacing w:after="0" w:line="276" w:lineRule="auto"/>
        <w:jc w:val="both"/>
        <w:rPr>
          <w:rFonts w:ascii="Verdana" w:eastAsia="Calibri" w:hAnsi="Verdana" w:cs="Arial"/>
          <w:bCs/>
        </w:rPr>
      </w:pPr>
      <w:proofErr w:type="spellStart"/>
      <w:r w:rsidRPr="00453E53">
        <w:rPr>
          <w:rFonts w:ascii="Verdana" w:eastAsia="Calibri" w:hAnsi="Verdana" w:cs="Arial"/>
          <w:bCs/>
        </w:rPr>
        <w:t>ii</w:t>
      </w:r>
      <w:proofErr w:type="spellEnd"/>
      <w:r w:rsidRPr="00453E53">
        <w:rPr>
          <w:rFonts w:ascii="Verdana" w:eastAsia="Calibri" w:hAnsi="Verdana" w:cs="Arial"/>
          <w:bCs/>
        </w:rPr>
        <w:t>) Ahora bien, y por resultar relevante con el objeto bajo consulta, se aclara que las Entidades Estatales se encuentran facultadas para determinar cuál será el formato mediante el cual los proponentes harán la presentación de sus ofrecimientos económicos. Sin embargo, aquí lo importante es que, más allá de las formalidades con las que cuente el formato seleccionado o diseñado por la Entidad Estatal, este enliste los ítems de pago de los bienes, obras o servicios que se requieran para la ejecución del objeto que se pretende contratar, y pueda derivarse de esta información como las especificaciones generales y particulares, la descripción, la unidad de medida, la cantidad, el valor unitario y el valor total de los ítems.</w:t>
      </w:r>
    </w:p>
    <w:p w14:paraId="6E51711F" w14:textId="77777777" w:rsidR="00D46A6B" w:rsidRPr="00453E53" w:rsidRDefault="00D46A6B" w:rsidP="00D46A6B">
      <w:pPr>
        <w:pBdr>
          <w:top w:val="nil"/>
          <w:left w:val="nil"/>
          <w:bottom w:val="nil"/>
          <w:right w:val="nil"/>
          <w:between w:val="nil"/>
        </w:pBdr>
        <w:spacing w:before="120" w:after="0" w:line="276" w:lineRule="auto"/>
        <w:jc w:val="both"/>
        <w:rPr>
          <w:rFonts w:ascii="Verdana" w:eastAsia="Calibri" w:hAnsi="Verdana" w:cs="Arial"/>
          <w:bCs/>
        </w:rPr>
      </w:pPr>
      <w:r w:rsidRPr="00453E53">
        <w:rPr>
          <w:rFonts w:ascii="Verdana" w:eastAsia="Calibri" w:hAnsi="Verdana" w:cs="Arial"/>
          <w:bCs/>
        </w:rPr>
        <w:lastRenderedPageBreak/>
        <w:tab/>
        <w:t>Adicionalmente se precisa que, la definición del documento o formato mediante el cual se presentará la oferta económica de los proponentes, deberá efectuarse en el Pliego de Condiciones o documento equivalente, en el que, de conformidad con lo señalado en el artículo 2.2.1.1.2.1.3 del Decreto 1082 de 2015, se incorporarán además de las reglas para la presentación de las ofertas, la figura de corrección aritmética para efectos de la evaluación de las propuestas presentadas. Dicha facultad, en cabeza de las Entidades Estatales ha sido entendía como el instrumento a partir del cual estas determinan el valor real de las ofertas económicas, con el fin de garantizar los principios de igualdad y selección objetiva,</w:t>
      </w:r>
      <w:r w:rsidRPr="00453E53">
        <w:rPr>
          <w:rFonts w:ascii="Aptos" w:eastAsia="Aptos" w:hAnsi="Aptos" w:cs="Arial"/>
        </w:rPr>
        <w:t xml:space="preserve"> </w:t>
      </w:r>
      <w:r w:rsidRPr="00453E53">
        <w:rPr>
          <w:rFonts w:ascii="Verdana" w:eastAsia="Calibri" w:hAnsi="Verdana" w:cs="Arial"/>
          <w:bCs/>
        </w:rPr>
        <w:t>razón por la cual, el efecto de la corrección por ajuste al peso o de la corrección de errores aritméticos es que el valor total corregido será el que se tendrá en cuenta para la asignación de puntaje, de manera que, para calificar el factor de la oferta económica, se tenga en cuenta el valor total indicado en la propuesta económica o el obtenido de la corrección aritmética.</w:t>
      </w:r>
    </w:p>
    <w:p w14:paraId="456D9F22" w14:textId="77777777" w:rsidR="00D46A6B" w:rsidRPr="00453E53" w:rsidRDefault="00D46A6B" w:rsidP="00D46A6B">
      <w:pPr>
        <w:pBdr>
          <w:top w:val="nil"/>
          <w:left w:val="nil"/>
          <w:bottom w:val="nil"/>
          <w:right w:val="nil"/>
          <w:between w:val="nil"/>
        </w:pBdr>
        <w:spacing w:before="120" w:after="0" w:line="276" w:lineRule="auto"/>
        <w:jc w:val="both"/>
        <w:rPr>
          <w:rFonts w:ascii="Verdana" w:eastAsia="Calibri" w:hAnsi="Verdana" w:cs="Arial"/>
          <w:bCs/>
        </w:rPr>
      </w:pPr>
      <w:r w:rsidRPr="00453E53">
        <w:rPr>
          <w:rFonts w:ascii="Verdana" w:eastAsia="Calibri" w:hAnsi="Verdana" w:cs="Arial"/>
          <w:bCs/>
        </w:rPr>
        <w:tab/>
        <w:t>En ese contexto, lo ideal es que el Pliego de Condiciones o documento equivalente, establezca todas las operaciones aritméticas a que haya lugar en la oferta económica ante un error que surja de un cálculo meramente aritmético cuando la operación ha sido erróneamente realizada, por lo que es posible que tanto el valor total como los precios unitarios, sean objeto de corrección aritmética. Por lo tanto, la entidad durante la etapa de evaluación de las ofertas económicas de los proponentes habilitados debe verificar, con base en la información registrada en la oferta económica, cada una de las operaciones aritméticas que permitan verificar el valor real ofertado por el proponente. En suma, la entidad deberá realizar la verificación de los valores ofertados y la corrección aritmética, cuando esta se requiera, para cada una de las cifras registradas en la oferta económica que tengan operaciones aritméticas y previo a seleccionar y aplicar el método de ponderación que corresponda de acuerdo con lo consignado en el pliego de condiciones.</w:t>
      </w:r>
    </w:p>
    <w:p w14:paraId="197EB259" w14:textId="77777777" w:rsidR="00D46A6B" w:rsidRPr="00453E53" w:rsidRDefault="00D46A6B" w:rsidP="00D46A6B">
      <w:pPr>
        <w:pBdr>
          <w:top w:val="nil"/>
          <w:left w:val="nil"/>
          <w:bottom w:val="nil"/>
          <w:right w:val="nil"/>
          <w:between w:val="nil"/>
        </w:pBdr>
        <w:spacing w:before="120" w:after="0" w:line="276" w:lineRule="auto"/>
        <w:jc w:val="both"/>
        <w:rPr>
          <w:rFonts w:ascii="Verdana" w:eastAsia="Calibri" w:hAnsi="Verdana" w:cs="Arial"/>
          <w:bCs/>
        </w:rPr>
      </w:pPr>
      <w:r w:rsidRPr="00453E53">
        <w:rPr>
          <w:rFonts w:ascii="Verdana" w:eastAsia="Calibri" w:hAnsi="Verdana" w:cs="Arial"/>
          <w:bCs/>
        </w:rPr>
        <w:tab/>
        <w:t>Con todo, se advierte que la presentación de la oferta económica por parte del proponente se realizará teniendo en cuenta el formato determinado por la Entidad Estatal y, por lo que, deberán ceñirse a las reglas para la presentación de la oferta económica que para el efecto se establezcan en el Pliego de Condiciones o documento equivalente.</w:t>
      </w:r>
    </w:p>
    <w:p w14:paraId="2C8CAF63" w14:textId="77777777" w:rsidR="00D46A6B" w:rsidRPr="00453E53" w:rsidRDefault="00D46A6B" w:rsidP="00D46A6B">
      <w:pPr>
        <w:pBdr>
          <w:top w:val="nil"/>
          <w:left w:val="nil"/>
          <w:bottom w:val="nil"/>
          <w:right w:val="nil"/>
          <w:between w:val="nil"/>
        </w:pBdr>
        <w:spacing w:after="0" w:line="276" w:lineRule="auto"/>
        <w:jc w:val="both"/>
        <w:rPr>
          <w:rFonts w:ascii="Verdana" w:eastAsia="Calibri" w:hAnsi="Verdana" w:cs="Arial"/>
          <w:bCs/>
        </w:rPr>
      </w:pPr>
    </w:p>
    <w:p w14:paraId="2C314581" w14:textId="77777777" w:rsidR="00D46A6B" w:rsidRPr="00453E53" w:rsidRDefault="00D46A6B" w:rsidP="00D46A6B">
      <w:pPr>
        <w:pBdr>
          <w:top w:val="nil"/>
          <w:left w:val="nil"/>
          <w:bottom w:val="nil"/>
          <w:right w:val="nil"/>
          <w:between w:val="nil"/>
        </w:pBdr>
        <w:spacing w:after="0" w:line="276" w:lineRule="auto"/>
        <w:jc w:val="both"/>
        <w:rPr>
          <w:rFonts w:ascii="Verdana" w:eastAsia="Calibri" w:hAnsi="Verdana" w:cs="Arial"/>
          <w:bCs/>
        </w:rPr>
      </w:pPr>
      <w:proofErr w:type="spellStart"/>
      <w:r w:rsidRPr="00453E53">
        <w:rPr>
          <w:rFonts w:ascii="Verdana" w:eastAsia="Calibri" w:hAnsi="Verdana" w:cs="Arial"/>
          <w:bCs/>
        </w:rPr>
        <w:t>iii</w:t>
      </w:r>
      <w:proofErr w:type="spellEnd"/>
      <w:r w:rsidRPr="00453E53">
        <w:rPr>
          <w:rFonts w:ascii="Verdana" w:eastAsia="Calibri" w:hAnsi="Verdana" w:cs="Arial"/>
          <w:bCs/>
        </w:rPr>
        <w:t xml:space="preserve">) Por otro lado, resulta pertinente señalar que, es afín al principio de selección objetiva la obligación de permitir la aclaración de aspectos de la oferta que le </w:t>
      </w:r>
      <w:r w:rsidRPr="00453E53">
        <w:rPr>
          <w:rFonts w:ascii="Verdana" w:eastAsia="Calibri" w:hAnsi="Verdana" w:cs="Arial"/>
          <w:bCs/>
        </w:rPr>
        <w:lastRenderedPageBreak/>
        <w:t>generen confusión a la Entidad Estatal, siempre y cuando esto se realice en los términos y condiciones previstos en la ley, antes de adoptar una decisión de rechazo, pues “la competencia de las entidades estatales para establecer eventos de exclusión de las propuestas es de carácter residual y restringido”</w:t>
      </w:r>
      <w:r w:rsidRPr="00453E53">
        <w:rPr>
          <w:rFonts w:ascii="Verdana" w:eastAsia="Arial" w:hAnsi="Verdana" w:cs="Arial"/>
          <w:vertAlign w:val="superscript"/>
        </w:rPr>
        <w:footnoteReference w:id="5"/>
      </w:r>
      <w:r w:rsidRPr="00453E53">
        <w:rPr>
          <w:rFonts w:ascii="Verdana" w:eastAsia="Arial" w:hAnsi="Verdana" w:cs="Arial"/>
        </w:rPr>
        <w:t>. De ahí que, si bien las Entidades Estatales, en ejercicio de la discrecionalidad que les corresponde en la configuración de los Pliegos de Condiciones o documento equivalente, tienen competencia para determinar los requisitos que deben cumplir los proponentes para la presentación de ofertas</w:t>
      </w:r>
      <w:r w:rsidRPr="00453E53">
        <w:rPr>
          <w:rFonts w:ascii="Verdana" w:eastAsia="Arial" w:hAnsi="Verdana" w:cs="Arial"/>
          <w:vertAlign w:val="superscript"/>
        </w:rPr>
        <w:footnoteReference w:id="6"/>
      </w:r>
      <w:r w:rsidRPr="00453E53">
        <w:rPr>
          <w:rFonts w:ascii="Verdana" w:eastAsia="Arial" w:hAnsi="Verdana" w:cs="Arial"/>
        </w:rPr>
        <w:t xml:space="preserve"> y regular los eventos en los que procede su rechazo</w:t>
      </w:r>
      <w:r w:rsidRPr="00453E53">
        <w:rPr>
          <w:rFonts w:ascii="Verdana" w:eastAsia="Arial" w:hAnsi="Verdana" w:cs="Arial"/>
          <w:vertAlign w:val="superscript"/>
        </w:rPr>
        <w:footnoteReference w:id="7"/>
      </w:r>
      <w:r w:rsidRPr="00453E53">
        <w:rPr>
          <w:rFonts w:ascii="Verdana" w:eastAsia="Arial" w:hAnsi="Verdana" w:cs="Arial"/>
        </w:rPr>
        <w:t xml:space="preserve">, el ejercicio de tales facultades encuentra ciertos límites en la ley y el reglamento, así como en los principios de razonabilidad y proporcionalidad.  </w:t>
      </w:r>
    </w:p>
    <w:p w14:paraId="794425D9" w14:textId="77777777" w:rsidR="00D46A6B" w:rsidRPr="00453E53" w:rsidRDefault="00D46A6B" w:rsidP="00D46A6B">
      <w:pPr>
        <w:pBdr>
          <w:top w:val="nil"/>
          <w:left w:val="nil"/>
          <w:bottom w:val="nil"/>
          <w:right w:val="nil"/>
          <w:between w:val="nil"/>
        </w:pBdr>
        <w:spacing w:before="120" w:after="0" w:line="276" w:lineRule="auto"/>
        <w:jc w:val="both"/>
        <w:rPr>
          <w:rFonts w:ascii="Verdana" w:eastAsia="Calibri" w:hAnsi="Verdana" w:cs="Arial"/>
          <w:bCs/>
        </w:rPr>
      </w:pPr>
      <w:r w:rsidRPr="00453E53">
        <w:rPr>
          <w:rFonts w:ascii="Verdana" w:eastAsia="Calibri" w:hAnsi="Verdana" w:cs="Arial"/>
          <w:bCs/>
        </w:rPr>
        <w:tab/>
        <w:t xml:space="preserve">En ese sentido, uno de los límites a la facultad para establecer causales de rechazo se encuentre en la regla de </w:t>
      </w:r>
      <w:proofErr w:type="spellStart"/>
      <w:r w:rsidRPr="00453E53">
        <w:rPr>
          <w:rFonts w:ascii="Verdana" w:eastAsia="Calibri" w:hAnsi="Verdana" w:cs="Arial"/>
          <w:bCs/>
        </w:rPr>
        <w:t>subsanabilidad</w:t>
      </w:r>
      <w:proofErr w:type="spellEnd"/>
      <w:r w:rsidRPr="00453E53">
        <w:rPr>
          <w:rFonts w:ascii="Verdana" w:eastAsia="Calibri" w:hAnsi="Verdana" w:cs="Arial"/>
          <w:bCs/>
        </w:rPr>
        <w:t xml:space="preserve"> del parágrafo 1 del artículo 5 de la Ley 1150 de 2007, según la cual “[l]a</w:t>
      </w:r>
      <w:r w:rsidRPr="00453E53">
        <w:rPr>
          <w:rFonts w:ascii="Aptos" w:eastAsia="Aptos" w:hAnsi="Aptos" w:cs="Arial"/>
        </w:rPr>
        <w:t xml:space="preserve"> </w:t>
      </w:r>
      <w:r w:rsidRPr="00453E53">
        <w:rPr>
          <w:rFonts w:ascii="Verdana" w:eastAsia="Calibri" w:hAnsi="Verdana" w:cs="Arial"/>
          <w:bCs/>
        </w:rPr>
        <w:t>ausencia de requisitos o la falta de documentos referentes a la futura contratación o al proponente, no necesarios para la comparación de las propuestas no servirán de título suficiente para el rechazo de los ofrecimientos hechos”, así como el que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por lo que las entidades no podrán establecer causales de rechazo referentes a meros requisitos formales o rechazar las ofertas por esa razón.</w:t>
      </w:r>
    </w:p>
    <w:p w14:paraId="466CFAAE" w14:textId="77777777" w:rsidR="00D46A6B" w:rsidRPr="00453E53" w:rsidRDefault="00D46A6B" w:rsidP="00D46A6B">
      <w:pPr>
        <w:widowControl w:val="0"/>
        <w:spacing w:before="120" w:after="0" w:line="276" w:lineRule="auto"/>
        <w:ind w:firstLine="709"/>
        <w:jc w:val="both"/>
        <w:rPr>
          <w:rFonts w:ascii="Verdana" w:eastAsia="Arial" w:hAnsi="Verdana" w:cs="Arial"/>
        </w:rPr>
      </w:pPr>
      <w:r w:rsidRPr="00453E53">
        <w:rPr>
          <w:rFonts w:ascii="Verdana" w:eastAsia="Arial" w:hAnsi="Verdana" w:cs="Arial"/>
        </w:rPr>
        <w:t xml:space="preserve">De esta manera, la jurisprudencia del Consejo de Estado ha determinado que las causales de rechazo pueden o no estar establecidas en el Pliego de Condiciones o documento equivalente, sin perjuicio de que sean aplicables al </w:t>
      </w:r>
      <w:r w:rsidRPr="00453E53">
        <w:rPr>
          <w:rFonts w:ascii="Verdana" w:eastAsia="Arial" w:hAnsi="Verdana" w:cs="Arial"/>
        </w:rPr>
        <w:lastRenderedPageBreak/>
        <w:t>proceso contractual las establecidas directamente en la ley. Así se estableció en la sentencia del 27 de abril de 2011, en los siguientes términos:</w:t>
      </w:r>
    </w:p>
    <w:p w14:paraId="5DD9C0FF" w14:textId="77777777" w:rsidR="00D46A6B" w:rsidRPr="00453E53" w:rsidRDefault="00D46A6B" w:rsidP="00D46A6B">
      <w:pPr>
        <w:widowControl w:val="0"/>
        <w:spacing w:after="0"/>
        <w:ind w:firstLine="708"/>
        <w:jc w:val="both"/>
        <w:rPr>
          <w:rFonts w:ascii="Verdana" w:eastAsia="Arial" w:hAnsi="Verdana" w:cs="Arial"/>
        </w:rPr>
      </w:pPr>
    </w:p>
    <w:p w14:paraId="05CDE409" w14:textId="77777777" w:rsidR="00D46A6B" w:rsidRPr="00453E53" w:rsidRDefault="00D46A6B" w:rsidP="00D46A6B">
      <w:pPr>
        <w:widowControl w:val="0"/>
        <w:spacing w:after="0" w:line="240" w:lineRule="auto"/>
        <w:ind w:left="709" w:right="709"/>
        <w:jc w:val="both"/>
        <w:rPr>
          <w:rFonts w:ascii="Verdana" w:eastAsia="Arial" w:hAnsi="Verdana" w:cs="Arial"/>
          <w:sz w:val="20"/>
          <w:szCs w:val="20"/>
        </w:rPr>
      </w:pPr>
      <w:r w:rsidRPr="00453E53">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46B1E83D" w14:textId="77777777" w:rsidR="00D46A6B" w:rsidRPr="00453E53" w:rsidRDefault="00D46A6B" w:rsidP="00D46A6B">
      <w:pPr>
        <w:widowControl w:val="0"/>
        <w:spacing w:after="0" w:line="240" w:lineRule="auto"/>
        <w:ind w:left="709" w:right="709"/>
        <w:jc w:val="both"/>
        <w:rPr>
          <w:rFonts w:ascii="Verdana" w:eastAsia="Arial" w:hAnsi="Verdana" w:cs="Arial"/>
          <w:sz w:val="20"/>
          <w:szCs w:val="20"/>
        </w:rPr>
      </w:pPr>
    </w:p>
    <w:p w14:paraId="32274421" w14:textId="77777777" w:rsidR="00D46A6B" w:rsidRPr="00453E53" w:rsidRDefault="00D46A6B" w:rsidP="00D46A6B">
      <w:pPr>
        <w:widowControl w:val="0"/>
        <w:spacing w:after="0" w:line="240" w:lineRule="auto"/>
        <w:ind w:left="709" w:right="709"/>
        <w:jc w:val="both"/>
        <w:rPr>
          <w:rFonts w:ascii="Verdana" w:eastAsia="Arial" w:hAnsi="Verdana" w:cs="Arial"/>
          <w:sz w:val="20"/>
          <w:szCs w:val="20"/>
        </w:rPr>
      </w:pPr>
      <w:r w:rsidRPr="00453E53">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276D62E8" w14:textId="77777777" w:rsidR="00D46A6B" w:rsidRPr="00453E53" w:rsidRDefault="00D46A6B" w:rsidP="00D46A6B">
      <w:pPr>
        <w:widowControl w:val="0"/>
        <w:spacing w:after="0" w:line="240" w:lineRule="auto"/>
        <w:ind w:left="709" w:right="709"/>
        <w:jc w:val="both"/>
        <w:rPr>
          <w:rFonts w:ascii="Verdana" w:eastAsia="Arial" w:hAnsi="Verdana" w:cs="Arial"/>
          <w:sz w:val="20"/>
          <w:szCs w:val="20"/>
        </w:rPr>
      </w:pPr>
    </w:p>
    <w:p w14:paraId="2A782B9C" w14:textId="77777777" w:rsidR="00D46A6B" w:rsidRPr="00453E53" w:rsidRDefault="00D46A6B" w:rsidP="00D46A6B">
      <w:pPr>
        <w:widowControl w:val="0"/>
        <w:spacing w:after="0" w:line="240" w:lineRule="auto"/>
        <w:ind w:left="709" w:right="709"/>
        <w:jc w:val="both"/>
        <w:rPr>
          <w:rFonts w:ascii="Verdana" w:eastAsia="Arial" w:hAnsi="Verdana" w:cs="Arial"/>
          <w:sz w:val="20"/>
          <w:szCs w:val="20"/>
        </w:rPr>
      </w:pPr>
      <w:r w:rsidRPr="00453E53">
        <w:rPr>
          <w:rFonts w:ascii="Verdana" w:eastAsia="Arial" w:hAnsi="Verdana" w:cs="Arial"/>
          <w:sz w:val="20"/>
          <w:szCs w:val="20"/>
        </w:rPr>
        <w:t>[…]</w:t>
      </w:r>
    </w:p>
    <w:p w14:paraId="5F2DC488" w14:textId="77777777" w:rsidR="00D46A6B" w:rsidRPr="00453E53" w:rsidRDefault="00D46A6B" w:rsidP="00D46A6B">
      <w:pPr>
        <w:widowControl w:val="0"/>
        <w:spacing w:after="0" w:line="240" w:lineRule="auto"/>
        <w:ind w:left="709" w:right="709"/>
        <w:jc w:val="both"/>
        <w:rPr>
          <w:rFonts w:ascii="Verdana" w:eastAsia="Arial" w:hAnsi="Verdana" w:cs="Arial"/>
          <w:sz w:val="20"/>
          <w:szCs w:val="20"/>
        </w:rPr>
      </w:pPr>
    </w:p>
    <w:p w14:paraId="79D96C78" w14:textId="77777777" w:rsidR="00D46A6B" w:rsidRPr="00453E53" w:rsidRDefault="00D46A6B" w:rsidP="00D46A6B">
      <w:pPr>
        <w:widowControl w:val="0"/>
        <w:spacing w:after="0" w:line="240" w:lineRule="auto"/>
        <w:ind w:left="709" w:right="709"/>
        <w:jc w:val="both"/>
        <w:rPr>
          <w:rFonts w:ascii="Verdana" w:eastAsia="Arial" w:hAnsi="Verdana" w:cs="Arial"/>
          <w:sz w:val="20"/>
          <w:szCs w:val="20"/>
        </w:rPr>
      </w:pPr>
      <w:r w:rsidRPr="00453E53">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453E53">
        <w:rPr>
          <w:rFonts w:ascii="Verdana" w:eastAsia="Arial" w:hAnsi="Verdana" w:cs="Arial"/>
          <w:i/>
          <w:sz w:val="20"/>
          <w:szCs w:val="20"/>
        </w:rPr>
        <w:t>ope</w:t>
      </w:r>
      <w:proofErr w:type="spellEnd"/>
      <w:r w:rsidRPr="00453E53">
        <w:rPr>
          <w:rFonts w:ascii="Verdana" w:eastAsia="Arial" w:hAnsi="Verdana" w:cs="Arial"/>
          <w:i/>
          <w:sz w:val="20"/>
          <w:szCs w:val="20"/>
        </w:rPr>
        <w:t xml:space="preserve"> </w:t>
      </w:r>
      <w:proofErr w:type="spellStart"/>
      <w:r w:rsidRPr="00453E53">
        <w:rPr>
          <w:rFonts w:ascii="Verdana" w:eastAsia="Arial" w:hAnsi="Verdana" w:cs="Arial"/>
          <w:i/>
          <w:sz w:val="20"/>
          <w:szCs w:val="20"/>
        </w:rPr>
        <w:t>legis</w:t>
      </w:r>
      <w:proofErr w:type="spellEnd"/>
      <w:r w:rsidRPr="00453E53">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453E53">
        <w:rPr>
          <w:rFonts w:ascii="Verdana" w:eastAsia="Arial" w:hAnsi="Verdana" w:cs="Arial"/>
          <w:sz w:val="20"/>
          <w:szCs w:val="20"/>
          <w:vertAlign w:val="superscript"/>
        </w:rPr>
        <w:footnoteReference w:id="8"/>
      </w:r>
      <w:r w:rsidRPr="00453E53">
        <w:rPr>
          <w:rFonts w:ascii="Verdana" w:eastAsia="Arial" w:hAnsi="Verdana" w:cs="Arial"/>
          <w:sz w:val="20"/>
          <w:szCs w:val="20"/>
        </w:rPr>
        <w:t>”.</w:t>
      </w:r>
    </w:p>
    <w:p w14:paraId="25233A58" w14:textId="77777777" w:rsidR="00D46A6B" w:rsidRPr="00453E53" w:rsidRDefault="00D46A6B" w:rsidP="00D46A6B">
      <w:pPr>
        <w:widowControl w:val="0"/>
        <w:spacing w:after="0" w:line="240" w:lineRule="auto"/>
        <w:ind w:left="709" w:right="709"/>
        <w:jc w:val="both"/>
        <w:rPr>
          <w:rFonts w:ascii="Verdana" w:eastAsia="Arial" w:hAnsi="Verdana" w:cs="Arial"/>
        </w:rPr>
      </w:pPr>
    </w:p>
    <w:p w14:paraId="53821A75" w14:textId="77777777" w:rsidR="00D46A6B" w:rsidRPr="00453E53" w:rsidRDefault="00D46A6B" w:rsidP="00D46A6B">
      <w:pPr>
        <w:widowControl w:val="0"/>
        <w:spacing w:after="120" w:line="276" w:lineRule="auto"/>
        <w:ind w:firstLine="708"/>
        <w:jc w:val="both"/>
        <w:rPr>
          <w:rFonts w:ascii="Verdana" w:eastAsia="Arial" w:hAnsi="Verdana" w:cs="Arial"/>
        </w:rPr>
      </w:pPr>
      <w:r w:rsidRPr="00453E53">
        <w:rPr>
          <w:rFonts w:ascii="Verdana" w:eastAsia="Arial" w:hAnsi="Verdana" w:cs="Arial"/>
        </w:rPr>
        <w:t xml:space="preserve">De acuerdo con la jurisprudencia citada, existen dos casos en los que </w:t>
      </w:r>
      <w:r w:rsidRPr="00453E53">
        <w:rPr>
          <w:rFonts w:ascii="Verdana" w:eastAsia="Arial" w:hAnsi="Verdana" w:cs="Arial"/>
        </w:rPr>
        <w:lastRenderedPageBreak/>
        <w:t xml:space="preserve">procede el rechazo de la oferta: i) que se configure alguna de las causales de rechazo originadas en la ley o el reglamento y </w:t>
      </w:r>
      <w:proofErr w:type="spellStart"/>
      <w:r w:rsidRPr="00453E53">
        <w:rPr>
          <w:rFonts w:ascii="Verdana" w:eastAsia="Arial" w:hAnsi="Verdana" w:cs="Arial"/>
        </w:rPr>
        <w:t>ii</w:t>
      </w:r>
      <w:proofErr w:type="spellEnd"/>
      <w:r w:rsidRPr="00453E53">
        <w:rPr>
          <w:rFonts w:ascii="Verdana" w:eastAsia="Arial" w:hAnsi="Verdana" w:cs="Arial"/>
        </w:rPr>
        <w:t xml:space="preserve">) que se materialicen las establecidas en el Pliego de Condiciones, o documentos equivalentes. En tal sentido, las causales de rechazo de la oferta serán las consagradas en la ley o el reglamento producto de su aplicación, así como las definidas por las entidades en el respectivo Pliego de Condiciones. </w:t>
      </w:r>
    </w:p>
    <w:p w14:paraId="413DE833" w14:textId="77777777" w:rsidR="00D46A6B" w:rsidRPr="00453E53" w:rsidRDefault="00D46A6B" w:rsidP="00D46A6B">
      <w:pPr>
        <w:spacing w:after="120" w:line="276" w:lineRule="auto"/>
        <w:jc w:val="both"/>
        <w:rPr>
          <w:rFonts w:ascii="Verdana" w:eastAsia="Arial" w:hAnsi="Verdana" w:cs="Arial"/>
        </w:rPr>
      </w:pPr>
      <w:r w:rsidRPr="00453E53">
        <w:rPr>
          <w:rFonts w:ascii="Verdana" w:eastAsia="Arial" w:hAnsi="Verdana" w:cs="Arial"/>
        </w:rPr>
        <w:tab/>
        <w:t xml:space="preserve">En tales términos, la facultad de las Entidades Estatales para incluir en los Pliegos de Condiciones o documentos equivalentes,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7F01C35E" w14:textId="77777777" w:rsidR="00D46A6B" w:rsidRPr="00453E53" w:rsidRDefault="00D46A6B" w:rsidP="00D46A6B">
      <w:pPr>
        <w:spacing w:after="0" w:line="276" w:lineRule="auto"/>
        <w:ind w:firstLine="708"/>
        <w:jc w:val="both"/>
        <w:rPr>
          <w:rFonts w:ascii="Verdana" w:eastAsia="Arial" w:hAnsi="Verdana" w:cs="Arial"/>
        </w:rPr>
      </w:pPr>
      <w:r w:rsidRPr="00453E53">
        <w:rPr>
          <w:rFonts w:ascii="Verdana" w:eastAsia="Arial" w:hAnsi="Verdana" w:cs="Arial"/>
        </w:rPr>
        <w:t>En conclusión, las causales de rechazo previstas en el Pliego de Condiciones o documento equivalente, deben referirse a vicios, omisiones o situaciones que evidencien que la propuesta no resulta conveniente para los intereses de la entidad ni para el cumplimiento de los fines de la contratación estatal. Pasar por alto dichas circunstancias implicaría poner en riesgo la observancia de los principios de transparencia, economía y responsabilidad, así como afectar el deber de selección objetiva que rige los procesos contractuales.</w:t>
      </w:r>
    </w:p>
    <w:p w14:paraId="01B0DAFF" w14:textId="77777777" w:rsidR="00D46A6B" w:rsidRPr="00453E53" w:rsidRDefault="00D46A6B" w:rsidP="00D46A6B">
      <w:pPr>
        <w:widowControl w:val="0"/>
        <w:autoSpaceDE w:val="0"/>
        <w:autoSpaceDN w:val="0"/>
        <w:spacing w:before="120" w:after="0" w:line="276" w:lineRule="auto"/>
        <w:ind w:firstLine="709"/>
        <w:jc w:val="both"/>
        <w:rPr>
          <w:rFonts w:ascii="Verdana" w:eastAsia="Calibri" w:hAnsi="Verdana" w:cs="Arial"/>
        </w:rPr>
      </w:pPr>
      <w:r w:rsidRPr="00453E53">
        <w:rPr>
          <w:rFonts w:ascii="Verdana" w:eastAsia="Calibri" w:hAnsi="Verdana" w:cs="Arial"/>
          <w:iCs/>
        </w:rPr>
        <w:t xml:space="preserve">Al margen de lo anterior, </w:t>
      </w:r>
      <w:r w:rsidRPr="00453E53">
        <w:rPr>
          <w:rFonts w:ascii="Verdana" w:eastAsia="Calibri" w:hAnsi="Verdana" w:cs="Arial"/>
        </w:rPr>
        <w:t xml:space="preserve">debe advertirse que el análisis sobre la subsanación o el rechazo de las ofertas al interior de los procedimientos de selección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78CE2733" w14:textId="77777777" w:rsidR="00D46A6B" w:rsidRPr="00453E53" w:rsidRDefault="00D46A6B" w:rsidP="00D46A6B">
      <w:pPr>
        <w:widowControl w:val="0"/>
        <w:autoSpaceDE w:val="0"/>
        <w:autoSpaceDN w:val="0"/>
        <w:spacing w:after="0" w:line="276" w:lineRule="auto"/>
        <w:ind w:firstLine="708"/>
        <w:jc w:val="both"/>
        <w:rPr>
          <w:rFonts w:ascii="Verdana" w:eastAsia="Calibri" w:hAnsi="Verdana" w:cs="Arial"/>
        </w:rPr>
      </w:pPr>
      <w:r w:rsidRPr="00453E53">
        <w:rPr>
          <w:rFonts w:ascii="Verdana" w:eastAsia="Calibri" w:hAnsi="Verdana" w:cs="Arial"/>
        </w:rPr>
        <w:t xml:space="preserve">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w:t>
      </w:r>
      <w:r w:rsidRPr="00453E53">
        <w:rPr>
          <w:rFonts w:ascii="Verdana" w:eastAsia="Calibri" w:hAnsi="Verdana" w:cs="Arial"/>
        </w:rPr>
        <w:lastRenderedPageBreak/>
        <w:t>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7C2C312" w14:textId="77777777" w:rsidR="00D46A6B" w:rsidRPr="00453E53" w:rsidRDefault="00D46A6B" w:rsidP="00D46A6B">
      <w:pPr>
        <w:spacing w:after="0" w:line="276" w:lineRule="auto"/>
        <w:jc w:val="both"/>
        <w:rPr>
          <w:rFonts w:ascii="Verdana" w:eastAsia="Calibri" w:hAnsi="Verdana" w:cs="Arial"/>
          <w:lang w:val="es-ES" w:eastAsia="es-CO"/>
        </w:rPr>
      </w:pPr>
    </w:p>
    <w:p w14:paraId="25C2578B" w14:textId="77777777" w:rsidR="00D46A6B" w:rsidRPr="00453E53" w:rsidRDefault="00D46A6B" w:rsidP="00D46A6B">
      <w:pPr>
        <w:widowControl w:val="0"/>
        <w:autoSpaceDE w:val="0"/>
        <w:autoSpaceDN w:val="0"/>
        <w:spacing w:before="1" w:after="0" w:line="240" w:lineRule="auto"/>
        <w:outlineLvl w:val="0"/>
        <w:rPr>
          <w:rFonts w:ascii="Verdana" w:eastAsia="Arial" w:hAnsi="Verdana" w:cs="Arial"/>
          <w:b/>
          <w:bCs/>
          <w:lang w:val="es-ES"/>
        </w:rPr>
      </w:pPr>
      <w:r w:rsidRPr="00453E53">
        <w:rPr>
          <w:rFonts w:ascii="Verdana" w:eastAsia="Arial" w:hAnsi="Verdana" w:cs="Arial"/>
          <w:b/>
          <w:bCs/>
          <w:lang w:val="es-ES"/>
        </w:rPr>
        <w:t>4.Referencias normativas, jurisprudenciales y otras fuentes:</w:t>
      </w:r>
    </w:p>
    <w:p w14:paraId="2BA52658" w14:textId="77777777" w:rsidR="00D46A6B" w:rsidRPr="00453E53" w:rsidRDefault="00D46A6B" w:rsidP="00D46A6B">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6A6B" w:rsidRPr="00453E53" w14:paraId="00C9F71D" w14:textId="77777777" w:rsidTr="00BD41A2">
        <w:trPr>
          <w:trHeight w:val="870"/>
        </w:trPr>
        <w:tc>
          <w:tcPr>
            <w:tcW w:w="8647" w:type="dxa"/>
          </w:tcPr>
          <w:p w14:paraId="79BCD64E" w14:textId="77777777" w:rsidR="00D46A6B" w:rsidRPr="00453E53" w:rsidRDefault="00D46A6B" w:rsidP="00D46A6B">
            <w:pPr>
              <w:numPr>
                <w:ilvl w:val="0"/>
                <w:numId w:val="1"/>
              </w:numPr>
              <w:spacing w:line="278" w:lineRule="auto"/>
              <w:contextualSpacing/>
              <w:jc w:val="both"/>
              <w:rPr>
                <w:rFonts w:ascii="Verdana" w:eastAsia="Aptos" w:hAnsi="Verdana" w:cs="Arial"/>
              </w:rPr>
            </w:pPr>
            <w:r w:rsidRPr="00453E53">
              <w:rPr>
                <w:rFonts w:ascii="Verdana" w:eastAsia="Aptos" w:hAnsi="Verdana" w:cs="Arial"/>
              </w:rPr>
              <w:t>Ley 1150 de 2007. Artículo 5, numeral 2, literal a) y b); Artículo 5, parágrafo 1</w:t>
            </w:r>
          </w:p>
          <w:p w14:paraId="5C767475" w14:textId="77777777" w:rsidR="00D46A6B" w:rsidRPr="00453E53" w:rsidRDefault="00D46A6B" w:rsidP="00D46A6B">
            <w:pPr>
              <w:numPr>
                <w:ilvl w:val="0"/>
                <w:numId w:val="1"/>
              </w:numPr>
              <w:spacing w:line="278" w:lineRule="auto"/>
              <w:contextualSpacing/>
              <w:jc w:val="both"/>
              <w:rPr>
                <w:rFonts w:ascii="Verdana" w:eastAsia="Aptos" w:hAnsi="Verdana" w:cs="Arial"/>
              </w:rPr>
            </w:pPr>
            <w:r w:rsidRPr="00453E53">
              <w:rPr>
                <w:rFonts w:ascii="Verdana" w:eastAsia="Aptos" w:hAnsi="Verdana" w:cs="Arial"/>
              </w:rPr>
              <w:t xml:space="preserve">Decreto 1082 de 2015. Artículo </w:t>
            </w:r>
            <w:r w:rsidRPr="00453E53">
              <w:rPr>
                <w:rFonts w:ascii="Verdana" w:eastAsia="Arial" w:hAnsi="Verdana" w:cs="Arial"/>
              </w:rPr>
              <w:t xml:space="preserve">2.2.1.1.2.2.2 y </w:t>
            </w:r>
            <w:r w:rsidRPr="00453E53">
              <w:rPr>
                <w:rFonts w:ascii="Verdana" w:eastAsia="Calibri" w:hAnsi="Verdana" w:cs="Arial"/>
                <w:bCs/>
              </w:rPr>
              <w:t>2.2.1.1.2.1.3</w:t>
            </w:r>
          </w:p>
          <w:p w14:paraId="475E8BBD" w14:textId="77777777" w:rsidR="00D46A6B" w:rsidRPr="00453E53" w:rsidRDefault="00D46A6B" w:rsidP="00D46A6B">
            <w:pPr>
              <w:numPr>
                <w:ilvl w:val="0"/>
                <w:numId w:val="1"/>
              </w:numPr>
              <w:spacing w:line="278" w:lineRule="auto"/>
              <w:contextualSpacing/>
              <w:jc w:val="both"/>
              <w:rPr>
                <w:rFonts w:ascii="Verdana" w:eastAsia="Aptos" w:hAnsi="Verdana" w:cs="Arial"/>
              </w:rPr>
            </w:pPr>
            <w:r w:rsidRPr="00453E53">
              <w:rPr>
                <w:rFonts w:ascii="Verdana" w:eastAsia="Aptos" w:hAnsi="Verdana" w:cs="Arial"/>
              </w:rPr>
              <w:t xml:space="preserve">  RODRÍGUEZ TAMAYO, Mauricio F. Evaluación y rechazo de ofertas en la Ley 80 de 1993. Primera edición. Medellín: Librería Jurídica Sánchez, 2016. pp. 110-111.</w:t>
            </w:r>
          </w:p>
          <w:p w14:paraId="1123A655" w14:textId="77777777" w:rsidR="00D46A6B" w:rsidRPr="00453E53" w:rsidRDefault="00D46A6B" w:rsidP="00D46A6B">
            <w:pPr>
              <w:numPr>
                <w:ilvl w:val="0"/>
                <w:numId w:val="1"/>
              </w:numPr>
              <w:spacing w:line="278" w:lineRule="auto"/>
              <w:contextualSpacing/>
              <w:jc w:val="both"/>
              <w:rPr>
                <w:rFonts w:ascii="Verdana" w:eastAsia="Aptos" w:hAnsi="Verdana" w:cs="Arial"/>
              </w:rPr>
            </w:pPr>
            <w:r w:rsidRPr="00453E53">
              <w:rPr>
                <w:rFonts w:ascii="Verdana" w:eastAsia="Aptos" w:hAnsi="Verdana" w:cs="Arial"/>
              </w:rPr>
              <w:t xml:space="preserve">  EXPÓSITO VELEZ, Juan C., El deber de selección objetiva, en: Del contrato estatal a los sistemas de compras públicas, por COVILLA MARTINEZ Juan C. y LOZANO VILLEGAS Germán (Eds.). Universidad Externado de Colombia, Bogotá, 2019. págs. 118-184.</w:t>
            </w:r>
          </w:p>
          <w:p w14:paraId="1FB0C819" w14:textId="77777777" w:rsidR="00D46A6B" w:rsidRPr="00453E53" w:rsidRDefault="00D46A6B" w:rsidP="00D46A6B">
            <w:pPr>
              <w:numPr>
                <w:ilvl w:val="0"/>
                <w:numId w:val="1"/>
              </w:numPr>
              <w:contextualSpacing/>
              <w:rPr>
                <w:rFonts w:ascii="Verdana" w:eastAsia="Aptos" w:hAnsi="Verdana" w:cs="Arial"/>
              </w:rPr>
            </w:pPr>
            <w:r w:rsidRPr="00453E53">
              <w:rPr>
                <w:rFonts w:ascii="Verdana" w:eastAsia="Aptos" w:hAnsi="Verdana" w:cs="Arial"/>
              </w:rPr>
              <w:t xml:space="preserve">RODRÍGUEZ TAMAYO, Mauricio Fernando. Evaluación y rechazo de ofertas en la Ley 80 de 1993. Medellín: Librería Jurídica Sánchez, 2016. p. 190. </w:t>
            </w:r>
          </w:p>
          <w:p w14:paraId="5BF929EB" w14:textId="77777777" w:rsidR="00D46A6B" w:rsidRPr="00453E53" w:rsidRDefault="00D46A6B" w:rsidP="00D46A6B">
            <w:pPr>
              <w:numPr>
                <w:ilvl w:val="0"/>
                <w:numId w:val="1"/>
              </w:numPr>
              <w:spacing w:line="278" w:lineRule="auto"/>
              <w:contextualSpacing/>
              <w:jc w:val="both"/>
              <w:rPr>
                <w:rFonts w:ascii="Verdana" w:eastAsia="Aptos" w:hAnsi="Verdana" w:cs="Arial"/>
              </w:rPr>
            </w:pPr>
            <w:r w:rsidRPr="00453E53">
              <w:rPr>
                <w:rFonts w:ascii="Verdana" w:eastAsia="Aptos" w:hAnsi="Verdana" w:cs="Arial"/>
              </w:rPr>
              <w:t>CONSEJO DE ESTADO. Sección Tercera Subsección B. Sentencia del 27 de abril de 2011. Expediente No. 18.293. C.P. Ponente: Ruth Stella Correa Palacio.</w:t>
            </w:r>
          </w:p>
        </w:tc>
      </w:tr>
    </w:tbl>
    <w:p w14:paraId="5F19C5BC" w14:textId="77777777" w:rsidR="00D46A6B" w:rsidRPr="00453E53" w:rsidRDefault="00D46A6B" w:rsidP="00D46A6B">
      <w:pPr>
        <w:widowControl w:val="0"/>
        <w:autoSpaceDE w:val="0"/>
        <w:autoSpaceDN w:val="0"/>
        <w:spacing w:after="0" w:line="276" w:lineRule="auto"/>
        <w:jc w:val="both"/>
        <w:rPr>
          <w:rFonts w:ascii="Verdana" w:eastAsia="Aptos" w:hAnsi="Verdana" w:cs="Arial"/>
        </w:rPr>
      </w:pPr>
    </w:p>
    <w:p w14:paraId="7AC3B1F5" w14:textId="77777777" w:rsidR="00D46A6B" w:rsidRPr="00453E53" w:rsidRDefault="00D46A6B" w:rsidP="00D46A6B">
      <w:pPr>
        <w:widowControl w:val="0"/>
        <w:autoSpaceDE w:val="0"/>
        <w:autoSpaceDN w:val="0"/>
        <w:spacing w:before="1" w:after="0" w:line="276" w:lineRule="auto"/>
        <w:outlineLvl w:val="0"/>
        <w:rPr>
          <w:rFonts w:ascii="Verdana" w:eastAsia="Arial" w:hAnsi="Verdana" w:cs="Arial"/>
          <w:b/>
          <w:bCs/>
          <w:lang w:val="es-ES"/>
        </w:rPr>
      </w:pPr>
      <w:r w:rsidRPr="00453E53">
        <w:rPr>
          <w:rFonts w:ascii="Verdana" w:eastAsia="Arial" w:hAnsi="Verdana" w:cs="Arial"/>
          <w:b/>
          <w:bCs/>
          <w:lang w:val="es-ES"/>
        </w:rPr>
        <w:t>5. Doctrina de la Agencia Nacional de Contratación Pública:</w:t>
      </w:r>
    </w:p>
    <w:p w14:paraId="408F088D" w14:textId="77777777" w:rsidR="00D46A6B" w:rsidRPr="00453E53" w:rsidRDefault="00D46A6B" w:rsidP="00D46A6B">
      <w:pPr>
        <w:widowControl w:val="0"/>
        <w:autoSpaceDE w:val="0"/>
        <w:autoSpaceDN w:val="0"/>
        <w:spacing w:after="0" w:line="276" w:lineRule="auto"/>
        <w:jc w:val="both"/>
        <w:rPr>
          <w:rFonts w:ascii="Verdana" w:eastAsia="Aptos" w:hAnsi="Verdana" w:cs="Arial"/>
        </w:rPr>
      </w:pPr>
    </w:p>
    <w:p w14:paraId="4A47EF80" w14:textId="77777777" w:rsidR="00D46A6B" w:rsidRPr="00453E53" w:rsidRDefault="00D46A6B" w:rsidP="00D46A6B">
      <w:pPr>
        <w:jc w:val="both"/>
        <w:rPr>
          <w:rFonts w:ascii="Verdana" w:eastAsia="Aptos" w:hAnsi="Verdana" w:cs="Arial"/>
          <w:shd w:val="clear" w:color="auto" w:fill="FFFFFF"/>
          <w:lang w:val="es-ES"/>
        </w:rPr>
      </w:pPr>
      <w:r w:rsidRPr="00453E53">
        <w:rPr>
          <w:rFonts w:ascii="Verdana" w:eastAsia="Aptos" w:hAnsi="Verdana" w:cs="Arial"/>
          <w:shd w:val="clear" w:color="auto" w:fill="FFFFFF"/>
          <w:lang w:val="es-ES"/>
        </w:rPr>
        <w:t xml:space="preserve">Esta Subdirección se ha pronunciado sobre la regla de </w:t>
      </w:r>
      <w:proofErr w:type="spellStart"/>
      <w:r w:rsidRPr="00453E53">
        <w:rPr>
          <w:rFonts w:ascii="Verdana" w:eastAsia="Aptos" w:hAnsi="Verdana" w:cs="Arial"/>
          <w:shd w:val="clear" w:color="auto" w:fill="FFFFFF"/>
          <w:lang w:val="es-ES"/>
        </w:rPr>
        <w:t>subsanabilidad</w:t>
      </w:r>
      <w:proofErr w:type="spellEnd"/>
      <w:r w:rsidRPr="00453E53">
        <w:rPr>
          <w:rFonts w:ascii="Verdana" w:eastAsia="Aptos" w:hAnsi="Verdana" w:cs="Arial"/>
          <w:shd w:val="clear" w:color="auto" w:fill="FFFFFF"/>
          <w:lang w:val="es-ES"/>
        </w:rPr>
        <w:t xml:space="preserve"> en los conceptos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C-051 del 21 de febrero de 2026, entre otros. De igual </w:t>
      </w:r>
      <w:r w:rsidRPr="00453E53">
        <w:rPr>
          <w:rFonts w:ascii="Verdana" w:eastAsia="Aptos" w:hAnsi="Verdana" w:cs="Arial"/>
          <w:shd w:val="clear" w:color="auto" w:fill="FFFFFF"/>
          <w:lang w:val="es-ES"/>
        </w:rPr>
        <w:lastRenderedPageBreak/>
        <w:t xml:space="preserve">modo, esta Agencia se refirió a las causales de rechazo incorporadas en los pliegos de condiciones, en los conceptos C-321 del 17 de mayo de 2022, C-113 del 22 de marzo de 2022, C-178, C-186 del 12 de abril de 2022, C-406 del 2 de octubre de 2023, C-128 del 2 de agosto de 2024, C-047 del 28 de febrero de 2025, C-326 del 25 de abril de 2025, C-1255 del 9 de octubre de 2025, entre otros. </w:t>
      </w:r>
      <w:r w:rsidRPr="00453E53">
        <w:rPr>
          <w:rFonts w:ascii="Verdana" w:eastAsia="Calibri" w:hAnsi="Verdana" w:cs="Arial"/>
          <w:bCs/>
          <w:shd w:val="clear" w:color="auto" w:fill="FFFFFF"/>
          <w:lang w:val="es-ES"/>
        </w:rPr>
        <w:t xml:space="preserve">En tal sentido, recoge los conceptos expuestos, sin perjuicio de otras consideraciones. </w:t>
      </w:r>
      <w:r w:rsidRPr="00453E53">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453E53">
          <w:rPr>
            <w:rFonts w:ascii="Verdana" w:eastAsia="Aptos" w:hAnsi="Verdana" w:cs="Arial"/>
            <w:u w:val="single"/>
            <w:shd w:val="clear" w:color="auto" w:fill="FFFFFF"/>
            <w:lang w:val="es-ES"/>
          </w:rPr>
          <w:t>https://relatoria.colombiacompra.gov.co/</w:t>
        </w:r>
      </w:hyperlink>
      <w:r w:rsidRPr="00453E53">
        <w:rPr>
          <w:rFonts w:ascii="Verdana" w:eastAsia="Aptos" w:hAnsi="Verdana" w:cs="Arial"/>
          <w:shd w:val="clear" w:color="auto" w:fill="FFFFFF"/>
          <w:lang w:val="es-ES"/>
        </w:rPr>
        <w:t xml:space="preserve">. </w:t>
      </w:r>
    </w:p>
    <w:p w14:paraId="44BBD904" w14:textId="77777777" w:rsidR="00D46A6B" w:rsidRPr="00453E53" w:rsidRDefault="00D46A6B" w:rsidP="00D46A6B">
      <w:pPr>
        <w:spacing w:before="120" w:after="120" w:line="276" w:lineRule="auto"/>
        <w:ind w:firstLine="709"/>
        <w:jc w:val="both"/>
        <w:rPr>
          <w:rFonts w:ascii="Verdana" w:eastAsia="Aptos" w:hAnsi="Verdana" w:cs="Times New Roman"/>
        </w:rPr>
      </w:pPr>
      <w:r w:rsidRPr="00453E53">
        <w:rPr>
          <w:rFonts w:ascii="Verdana" w:eastAsia="Aptos" w:hAnsi="Verdana" w:cs="Times New Roman"/>
        </w:rPr>
        <w:t xml:space="preserve">La sostenibilidad no es una opción, es una obligación. Por ello, la Agencia Nacional de Contratación Pública –Colombia Compra Eficiente– te invita a realizar el </w:t>
      </w:r>
      <w:r w:rsidRPr="00453E53">
        <w:rPr>
          <w:rFonts w:ascii="Verdana" w:eastAsia="Aptos" w:hAnsi="Verdana" w:cs="Times New Roman"/>
          <w:b/>
          <w:bCs/>
        </w:rPr>
        <w:t>Curso de Contratación Pública Sostenible y Socialmente Responsable</w:t>
      </w:r>
      <w:r w:rsidRPr="00453E53">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53E53">
        <w:rPr>
          <w:rFonts w:ascii="Verdana" w:eastAsia="Aptos" w:hAnsi="Verdana" w:cs="Times New Roman"/>
        </w:rPr>
        <w:br/>
      </w:r>
      <w:hyperlink r:id="rId13" w:tgtFrame="_new" w:history="1">
        <w:r w:rsidRPr="00453E53">
          <w:rPr>
            <w:rFonts w:ascii="Verdana" w:eastAsia="Aptos" w:hAnsi="Verdana" w:cs="Times New Roman"/>
            <w:u w:val="single"/>
          </w:rPr>
          <w:t>https://formacionvirtual.colombiacompra.gov.co/mod/page/view.php?id=3718</w:t>
        </w:r>
      </w:hyperlink>
    </w:p>
    <w:p w14:paraId="75814E49" w14:textId="77777777" w:rsidR="00D46A6B" w:rsidRPr="00453E53" w:rsidRDefault="00D46A6B" w:rsidP="00D46A6B">
      <w:pPr>
        <w:spacing w:line="276" w:lineRule="auto"/>
        <w:ind w:firstLine="708"/>
        <w:jc w:val="both"/>
        <w:rPr>
          <w:rFonts w:ascii="Verdana" w:eastAsia="Aptos" w:hAnsi="Verdana" w:cs="Times New Roman"/>
        </w:rPr>
      </w:pPr>
      <w:r w:rsidRPr="00453E53">
        <w:rPr>
          <w:rFonts w:ascii="Verdana" w:eastAsia="Aptos" w:hAnsi="Verdana" w:cs="Times New Roman"/>
        </w:rPr>
        <w:t xml:space="preserve">De otro lado, te contamos que esta Agencia ha da un paso decisivo en la estandarización y modernización del </w:t>
      </w:r>
      <w:r w:rsidRPr="00453E53">
        <w:rPr>
          <w:rFonts w:ascii="Verdana" w:eastAsia="Aptos" w:hAnsi="Verdana" w:cs="Times New Roman"/>
          <w:b/>
          <w:bCs/>
        </w:rPr>
        <w:t>sector  social</w:t>
      </w:r>
      <w:r w:rsidRPr="00453E53">
        <w:rPr>
          <w:rFonts w:ascii="Verdana" w:eastAsia="Aptos" w:hAnsi="Verdana" w:cs="Times New Roman"/>
        </w:rPr>
        <w:t xml:space="preserve"> con la expedición de las </w:t>
      </w:r>
      <w:r w:rsidRPr="00453E53">
        <w:rPr>
          <w:rFonts w:ascii="Verdana" w:eastAsia="Aptos" w:hAnsi="Verdana" w:cs="Times New Roman"/>
          <w:b/>
          <w:bCs/>
        </w:rPr>
        <w:t>Resoluciones 539, 540, 541, 952 y 953 de 2025</w:t>
      </w:r>
      <w:r w:rsidRPr="00453E53">
        <w:rPr>
          <w:rFonts w:ascii="Verdana" w:eastAsia="Aptos" w:hAnsi="Verdana" w:cs="Times New Roman"/>
        </w:rPr>
        <w:t xml:space="preserve">, </w:t>
      </w:r>
      <w:r w:rsidRPr="00453E53">
        <w:rPr>
          <w:rFonts w:ascii="Verdana" w:eastAsia="Aptos" w:hAnsi="Verdana" w:cs="Times New Roman"/>
          <w:b/>
          <w:bCs/>
        </w:rPr>
        <w:t>mediante las cuales adoptó Documentos Tipo</w:t>
      </w:r>
      <w:r w:rsidRPr="00453E53">
        <w:rPr>
          <w:rFonts w:ascii="Verdana" w:eastAsia="Aptos" w:hAnsi="Verdana" w:cs="Times New Roman"/>
        </w:rPr>
        <w:t xml:space="preserve"> para las modalidades de selección de</w:t>
      </w:r>
      <w:r w:rsidRPr="00453E53">
        <w:rPr>
          <w:rFonts w:ascii="Verdana" w:eastAsia="Aptos" w:hAnsi="Verdana" w:cs="Times New Roman"/>
          <w:b/>
          <w:bCs/>
        </w:rPr>
        <w:t xml:space="preserve"> licitación pública (versión 2), selección abreviada de menor cuantía, mínima cuantía, consultoría e interventoría</w:t>
      </w:r>
      <w:r w:rsidRPr="00453E53">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53E53">
          <w:rPr>
            <w:rFonts w:ascii="Verdana" w:eastAsia="Aptos" w:hAnsi="Verdana" w:cs="Times New Roman"/>
            <w:u w:val="single"/>
          </w:rPr>
          <w:t>https://www.colombiacompra.gov.co/normativa-y-relatoria/documentos-tipo</w:t>
        </w:r>
      </w:hyperlink>
    </w:p>
    <w:p w14:paraId="7CA52C92" w14:textId="77777777" w:rsidR="00D46A6B" w:rsidRPr="00453E53" w:rsidRDefault="00D46A6B" w:rsidP="00D46A6B">
      <w:pPr>
        <w:spacing w:after="0" w:line="276" w:lineRule="auto"/>
        <w:ind w:firstLine="708"/>
        <w:jc w:val="both"/>
        <w:rPr>
          <w:rFonts w:ascii="Verdana" w:eastAsia="Aptos" w:hAnsi="Verdana" w:cs="Times New Roman"/>
        </w:rPr>
      </w:pPr>
      <w:r w:rsidRPr="00453E53">
        <w:rPr>
          <w:rFonts w:ascii="Verdana" w:eastAsia="Aptos" w:hAnsi="Verdana" w:cs="Times New Roman"/>
        </w:rPr>
        <w:t xml:space="preserve">Si quieres conocer más sobre la aplicación de Documentos Tipo puedes consultar la última versión de la </w:t>
      </w:r>
      <w:r w:rsidRPr="00453E53">
        <w:rPr>
          <w:rFonts w:ascii="Verdana" w:eastAsia="Aptos" w:hAnsi="Verdana" w:cs="Times New Roman"/>
          <w:b/>
          <w:bCs/>
        </w:rPr>
        <w:t>Guía para la comprensión e implementación de los Documentos Tipo de obra pública de infraestructura de transporte</w:t>
      </w:r>
      <w:r w:rsidRPr="00453E53">
        <w:rPr>
          <w:rFonts w:ascii="Verdana" w:eastAsia="Aptos" w:hAnsi="Verdana" w:cs="Times New Roman"/>
        </w:rPr>
        <w:t xml:space="preserve">. En esta actualización se incorporaron orientaciones prácticas dirigidas a entidades públicas, proveedores, organismos de control y demás interesados, con el propósito de facilitar la adecuada </w:t>
      </w:r>
      <w:r w:rsidRPr="00453E53">
        <w:rPr>
          <w:rFonts w:ascii="Verdana" w:eastAsia="Aptos" w:hAnsi="Verdana" w:cs="Times New Roman"/>
        </w:rPr>
        <w:lastRenderedPageBreak/>
        <w:t>implementación de estos instrumentos en los procesos contractuales. Además se incluyeron lineamientos que orientan la implementación de los criterios ambientales y sociales incluidos en los documentos tipo: Consulta la guía aquí:</w:t>
      </w:r>
      <w:r w:rsidRPr="00453E53">
        <w:rPr>
          <w:rFonts w:ascii="Verdana" w:eastAsia="Aptos" w:hAnsi="Verdana" w:cs="Times New Roman"/>
        </w:rPr>
        <w:br/>
      </w:r>
      <w:hyperlink r:id="rId15" w:tgtFrame="_new" w:history="1">
        <w:r w:rsidRPr="00453E53">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67ABC629" w14:textId="77777777" w:rsidR="00D46A6B" w:rsidRPr="00453E53" w:rsidRDefault="00D46A6B" w:rsidP="00D46A6B">
      <w:pPr>
        <w:spacing w:before="120" w:after="0" w:line="276" w:lineRule="auto"/>
        <w:ind w:firstLine="708"/>
        <w:jc w:val="both"/>
        <w:rPr>
          <w:rFonts w:ascii="Verdana" w:eastAsia="Aptos" w:hAnsi="Verdana" w:cs="Times New Roman"/>
        </w:rPr>
      </w:pPr>
      <w:r w:rsidRPr="00453E53">
        <w:rPr>
          <w:rFonts w:ascii="Verdana" w:eastAsia="Aptos" w:hAnsi="Verdana" w:cs="Times New Roman"/>
        </w:rPr>
        <w:t xml:space="preserve">Por último, lo invitamos a seguirnos en las redes sociales en las cuales se difunde información institucional: </w:t>
      </w:r>
    </w:p>
    <w:p w14:paraId="43DE0D1A" w14:textId="77777777" w:rsidR="00D46A6B" w:rsidRPr="00453E53" w:rsidRDefault="00D46A6B" w:rsidP="00D46A6B">
      <w:pPr>
        <w:spacing w:after="0" w:line="276" w:lineRule="auto"/>
        <w:jc w:val="both"/>
        <w:rPr>
          <w:rFonts w:ascii="Verdana" w:eastAsia="Aptos" w:hAnsi="Verdana" w:cs="Times New Roman"/>
        </w:rPr>
      </w:pPr>
    </w:p>
    <w:p w14:paraId="38A9821A" w14:textId="77777777" w:rsidR="00D46A6B" w:rsidRPr="00453E53" w:rsidRDefault="00D46A6B" w:rsidP="00D46A6B">
      <w:pPr>
        <w:spacing w:after="0" w:line="276" w:lineRule="auto"/>
        <w:jc w:val="both"/>
        <w:rPr>
          <w:rFonts w:ascii="Verdana" w:eastAsia="Aptos" w:hAnsi="Verdana" w:cs="Times New Roman"/>
        </w:rPr>
      </w:pPr>
      <w:r w:rsidRPr="00453E53">
        <w:rPr>
          <w:rFonts w:ascii="Verdana" w:eastAsia="Aptos" w:hAnsi="Verdana" w:cs="Times New Roman"/>
        </w:rPr>
        <w:t xml:space="preserve">Twitter: </w:t>
      </w:r>
      <w:r w:rsidRPr="00453E53">
        <w:rPr>
          <w:rFonts w:ascii="Verdana" w:eastAsia="Aptos" w:hAnsi="Verdana" w:cs="Arial"/>
          <w:u w:val="single"/>
          <w:shd w:val="clear" w:color="auto" w:fill="FFFFFF"/>
          <w:lang w:val="es-ES"/>
        </w:rPr>
        <w:t>@colombiacompra</w:t>
      </w:r>
      <w:r w:rsidRPr="00453E53">
        <w:rPr>
          <w:rFonts w:ascii="Verdana" w:eastAsia="Aptos" w:hAnsi="Verdana" w:cs="Times New Roman"/>
        </w:rPr>
        <w:t xml:space="preserve"> </w:t>
      </w:r>
    </w:p>
    <w:p w14:paraId="59F0E940" w14:textId="77777777" w:rsidR="00D46A6B" w:rsidRPr="00453E53" w:rsidRDefault="00D46A6B" w:rsidP="00D46A6B">
      <w:pPr>
        <w:spacing w:after="0" w:line="276" w:lineRule="auto"/>
        <w:jc w:val="both"/>
        <w:rPr>
          <w:rFonts w:ascii="Verdana" w:eastAsia="Aptos" w:hAnsi="Verdana" w:cs="Times New Roman"/>
        </w:rPr>
      </w:pPr>
      <w:r w:rsidRPr="00453E53">
        <w:rPr>
          <w:rFonts w:ascii="Verdana" w:eastAsia="Aptos" w:hAnsi="Verdana" w:cs="Times New Roman"/>
        </w:rPr>
        <w:t xml:space="preserve">Facebook: </w:t>
      </w:r>
      <w:proofErr w:type="spellStart"/>
      <w:r w:rsidRPr="00453E53">
        <w:rPr>
          <w:rFonts w:ascii="Verdana" w:eastAsia="Aptos" w:hAnsi="Verdana" w:cs="Arial"/>
          <w:u w:val="single"/>
          <w:shd w:val="clear" w:color="auto" w:fill="FFFFFF"/>
          <w:lang w:val="es-ES"/>
        </w:rPr>
        <w:t>ColombiaCompraEficiente</w:t>
      </w:r>
      <w:proofErr w:type="spellEnd"/>
    </w:p>
    <w:p w14:paraId="0A3112DF" w14:textId="77777777" w:rsidR="00D46A6B" w:rsidRPr="00453E53" w:rsidRDefault="00D46A6B" w:rsidP="00D46A6B">
      <w:pPr>
        <w:spacing w:after="0" w:line="276" w:lineRule="auto"/>
        <w:jc w:val="both"/>
        <w:rPr>
          <w:rFonts w:ascii="Verdana" w:eastAsia="Aptos" w:hAnsi="Verdana" w:cs="Times New Roman"/>
        </w:rPr>
      </w:pPr>
      <w:r w:rsidRPr="00453E53">
        <w:rPr>
          <w:rFonts w:ascii="Verdana" w:eastAsia="Aptos" w:hAnsi="Verdana" w:cs="Times New Roman"/>
        </w:rPr>
        <w:t xml:space="preserve">LinkedIn: </w:t>
      </w:r>
      <w:r w:rsidRPr="00453E53">
        <w:rPr>
          <w:rFonts w:ascii="Verdana" w:eastAsia="Aptos" w:hAnsi="Verdana" w:cs="Arial"/>
          <w:u w:val="single"/>
          <w:shd w:val="clear" w:color="auto" w:fill="FFFFFF"/>
          <w:lang w:val="es-ES"/>
        </w:rPr>
        <w:t>Agencia Nacional de Contratación Pública - Colombia Compra Eficiente</w:t>
      </w:r>
      <w:r w:rsidRPr="00453E53">
        <w:rPr>
          <w:rFonts w:ascii="Verdana" w:eastAsia="Aptos" w:hAnsi="Verdana" w:cs="Times New Roman"/>
        </w:rPr>
        <w:t xml:space="preserve"> Instagram: </w:t>
      </w:r>
      <w:r w:rsidRPr="00453E53">
        <w:rPr>
          <w:rFonts w:ascii="Verdana" w:eastAsia="Aptos" w:hAnsi="Verdana" w:cs="Arial"/>
          <w:u w:val="single"/>
          <w:shd w:val="clear" w:color="auto" w:fill="FFFFFF"/>
          <w:lang w:val="es-ES"/>
        </w:rPr>
        <w:t>@colombiacompraeficiente_cce</w:t>
      </w:r>
    </w:p>
    <w:p w14:paraId="17ADA797" w14:textId="77777777" w:rsidR="00D46A6B" w:rsidRPr="00453E53" w:rsidRDefault="00D46A6B" w:rsidP="00D46A6B">
      <w:pPr>
        <w:widowControl w:val="0"/>
        <w:autoSpaceDE w:val="0"/>
        <w:autoSpaceDN w:val="0"/>
        <w:spacing w:after="0" w:line="276" w:lineRule="auto"/>
        <w:jc w:val="both"/>
        <w:rPr>
          <w:rFonts w:ascii="Verdana" w:eastAsia="Aptos" w:hAnsi="Verdana" w:cs="Arial"/>
        </w:rPr>
      </w:pPr>
    </w:p>
    <w:p w14:paraId="7C0316A1" w14:textId="77777777" w:rsidR="00D46A6B" w:rsidRPr="00453E53" w:rsidRDefault="00D46A6B" w:rsidP="00D46A6B">
      <w:pPr>
        <w:widowControl w:val="0"/>
        <w:autoSpaceDE w:val="0"/>
        <w:autoSpaceDN w:val="0"/>
        <w:spacing w:after="0" w:line="276" w:lineRule="auto"/>
        <w:jc w:val="both"/>
        <w:rPr>
          <w:rFonts w:ascii="Verdana" w:eastAsia="Aptos" w:hAnsi="Verdana" w:cs="Arial"/>
          <w:lang w:val="es-ES_tradnl"/>
        </w:rPr>
      </w:pPr>
      <w:r w:rsidRPr="00453E53">
        <w:rPr>
          <w:rFonts w:ascii="Verdana" w:eastAsia="Aptos" w:hAnsi="Verdana" w:cs="Arial"/>
        </w:rPr>
        <w:t xml:space="preserve">Este concepto tiene el alcance previsto en el artículo 28 del Código de Procedimiento Administrativo y de lo Contencioso Administrativo </w:t>
      </w:r>
      <w:r w:rsidRPr="00453E53">
        <w:rPr>
          <w:rFonts w:ascii="Verdana" w:eastAsia="Aptos" w:hAnsi="Verdana" w:cs="Arial"/>
          <w:lang w:val="es-ES_tradnl"/>
        </w:rPr>
        <w:t>y las expresiones aquí utilizadas con mayúscula inicial deben ser entendidas con el significado que les otorga el artículo 2.2.1.1.1.3.1. del Decreto 1082 de 2015.</w:t>
      </w:r>
    </w:p>
    <w:p w14:paraId="1D882955" w14:textId="77777777" w:rsidR="00D46A6B" w:rsidRPr="00453E53" w:rsidRDefault="00D46A6B" w:rsidP="00D46A6B">
      <w:pPr>
        <w:widowControl w:val="0"/>
        <w:autoSpaceDE w:val="0"/>
        <w:autoSpaceDN w:val="0"/>
        <w:spacing w:after="0" w:line="276" w:lineRule="auto"/>
        <w:jc w:val="both"/>
        <w:rPr>
          <w:rFonts w:ascii="Verdana" w:eastAsia="Aptos" w:hAnsi="Verdana" w:cs="Arial"/>
        </w:rPr>
      </w:pPr>
    </w:p>
    <w:p w14:paraId="0BA66BB0" w14:textId="77777777" w:rsidR="00D46A6B" w:rsidRPr="00453E53" w:rsidRDefault="00D46A6B" w:rsidP="00D46A6B">
      <w:pPr>
        <w:spacing w:after="0" w:line="276" w:lineRule="auto"/>
        <w:rPr>
          <w:rFonts w:ascii="Verdana" w:eastAsia="Aptos" w:hAnsi="Verdana" w:cs="Arial"/>
          <w:lang w:eastAsia="es-CO"/>
        </w:rPr>
      </w:pPr>
      <w:r w:rsidRPr="00453E53">
        <w:rPr>
          <w:rFonts w:ascii="Verdana" w:eastAsia="Times New Roman" w:hAnsi="Verdana" w:cs="Arial"/>
          <w:lang w:eastAsia="es-CO"/>
        </w:rPr>
        <w:t>Atentamente,</w:t>
      </w:r>
      <w:r w:rsidRPr="00453E53">
        <w:rPr>
          <w:rFonts w:ascii="Verdana" w:eastAsia="Aptos" w:hAnsi="Verdana" w:cs="Arial"/>
          <w:lang w:eastAsia="es-CO"/>
        </w:rPr>
        <w:t xml:space="preserve"> </w:t>
      </w:r>
    </w:p>
    <w:p w14:paraId="0A7DEF32" w14:textId="77777777" w:rsidR="00D46A6B" w:rsidRPr="00453E53" w:rsidRDefault="00D46A6B" w:rsidP="00D46A6B">
      <w:pPr>
        <w:spacing w:after="0" w:line="276" w:lineRule="auto"/>
        <w:jc w:val="center"/>
        <w:rPr>
          <w:rFonts w:ascii="Verdana" w:eastAsia="Aptos" w:hAnsi="Verdana" w:cs="Arial"/>
          <w:lang w:val="es-ES_tradnl" w:eastAsia="es-CO"/>
        </w:rPr>
      </w:pPr>
    </w:p>
    <w:p w14:paraId="1C4E03BE" w14:textId="0F0BABD9" w:rsidR="00D46A6B" w:rsidRPr="00453E53" w:rsidRDefault="00D46A6B" w:rsidP="00D46A6B">
      <w:pPr>
        <w:spacing w:after="0" w:line="276" w:lineRule="auto"/>
        <w:jc w:val="center"/>
        <w:rPr>
          <w:rFonts w:ascii="Verdana" w:eastAsia="Aptos" w:hAnsi="Verdana" w:cs="Arial"/>
          <w:lang w:val="es-ES_tradnl" w:eastAsia="es-CO"/>
        </w:rPr>
      </w:pPr>
      <w:r>
        <w:rPr>
          <w:noProof/>
        </w:rPr>
        <w:drawing>
          <wp:inline distT="0" distB="0" distL="0" distR="0" wp14:anchorId="6B00950D" wp14:editId="0A02232A">
            <wp:extent cx="3776345" cy="1412875"/>
            <wp:effectExtent l="0" t="0" r="0" b="0"/>
            <wp:docPr id="92155433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6345" cy="141287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D46A6B" w:rsidRPr="00453E53" w14:paraId="16DCDC09" w14:textId="77777777" w:rsidTr="00BD41A2">
        <w:trPr>
          <w:trHeight w:val="286"/>
        </w:trPr>
        <w:tc>
          <w:tcPr>
            <w:tcW w:w="901" w:type="dxa"/>
            <w:vAlign w:val="center"/>
            <w:hideMark/>
          </w:tcPr>
          <w:p w14:paraId="77F25ACC"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27924EF4"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Nasly Yeana Mosquera Rivas</w:t>
            </w:r>
          </w:p>
          <w:p w14:paraId="32EBB072"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Analista T2–06 de la Subdirección de Gestión Contractual</w:t>
            </w:r>
          </w:p>
        </w:tc>
      </w:tr>
      <w:tr w:rsidR="00D46A6B" w:rsidRPr="00453E53" w14:paraId="2C158CE6" w14:textId="77777777" w:rsidTr="00BD41A2">
        <w:trPr>
          <w:trHeight w:val="299"/>
        </w:trPr>
        <w:tc>
          <w:tcPr>
            <w:tcW w:w="901" w:type="dxa"/>
            <w:vAlign w:val="center"/>
          </w:tcPr>
          <w:p w14:paraId="31F1F7D9"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2ABE0A9D"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Adriana Katerine López Rodríguez</w:t>
            </w:r>
          </w:p>
          <w:p w14:paraId="57A9E726"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Contratista de la Subdirección de Gestión Contractual</w:t>
            </w:r>
          </w:p>
        </w:tc>
      </w:tr>
      <w:tr w:rsidR="00D46A6B" w:rsidRPr="00453E53" w14:paraId="10506B13" w14:textId="77777777" w:rsidTr="00BD41A2">
        <w:trPr>
          <w:trHeight w:val="272"/>
        </w:trPr>
        <w:tc>
          <w:tcPr>
            <w:tcW w:w="901" w:type="dxa"/>
            <w:vAlign w:val="center"/>
            <w:hideMark/>
          </w:tcPr>
          <w:p w14:paraId="51CB2334"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79125EF3"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Carolina Quintero Gacharná</w:t>
            </w:r>
          </w:p>
          <w:p w14:paraId="50D1810B" w14:textId="77777777" w:rsidR="00D46A6B" w:rsidRPr="00453E53" w:rsidRDefault="00D46A6B" w:rsidP="00BD41A2">
            <w:pPr>
              <w:rPr>
                <w:rFonts w:ascii="Verdana" w:eastAsia="Aptos" w:hAnsi="Verdana" w:cs="Arial"/>
                <w:sz w:val="14"/>
                <w:szCs w:val="14"/>
                <w:lang w:eastAsia="es-ES"/>
              </w:rPr>
            </w:pPr>
            <w:r w:rsidRPr="00453E53">
              <w:rPr>
                <w:rFonts w:ascii="Verdana" w:eastAsia="Aptos" w:hAnsi="Verdana" w:cs="Arial"/>
                <w:sz w:val="14"/>
                <w:szCs w:val="14"/>
                <w:lang w:eastAsia="es-ES"/>
              </w:rPr>
              <w:t>Subdirectora de Gestión Contractual ANCP – CCE</w:t>
            </w:r>
          </w:p>
        </w:tc>
      </w:tr>
    </w:tbl>
    <w:p w14:paraId="782876D7" w14:textId="77777777" w:rsidR="00D46A6B" w:rsidRPr="00453E53" w:rsidRDefault="00D46A6B" w:rsidP="00D46A6B">
      <w:pPr>
        <w:spacing w:after="0" w:line="240" w:lineRule="auto"/>
        <w:rPr>
          <w:rFonts w:ascii="Verdana" w:eastAsia="Times New Roman" w:hAnsi="Verdana" w:cs="Arial"/>
          <w:sz w:val="24"/>
          <w:szCs w:val="24"/>
          <w:lang w:eastAsia="es-ES"/>
        </w:rPr>
      </w:pPr>
    </w:p>
    <w:p w14:paraId="43640620" w14:textId="77777777" w:rsidR="00D46A6B" w:rsidRPr="00453E53" w:rsidRDefault="00D46A6B" w:rsidP="00D46A6B">
      <w:pPr>
        <w:rPr>
          <w:rFonts w:ascii="Verdana" w:eastAsia="Aptos" w:hAnsi="Verdana" w:cs="Times New Roman"/>
        </w:rPr>
      </w:pPr>
    </w:p>
    <w:p w14:paraId="6F4BC261" w14:textId="77777777" w:rsidR="00D46A6B" w:rsidRPr="00453E53" w:rsidRDefault="00D46A6B" w:rsidP="00D46A6B">
      <w:pPr>
        <w:rPr>
          <w:rFonts w:ascii="Verdana" w:eastAsia="Aptos" w:hAnsi="Verdana" w:cs="Arial"/>
        </w:rPr>
      </w:pPr>
    </w:p>
    <w:p w14:paraId="134127EA" w14:textId="44562F4B" w:rsidR="00D46A6B" w:rsidRPr="000E2B93" w:rsidRDefault="00D46A6B" w:rsidP="00D46A6B">
      <w:pPr>
        <w:spacing w:after="0" w:line="240" w:lineRule="auto"/>
        <w:textAlignment w:val="baseline"/>
        <w:rPr>
          <w:rFonts w:ascii="Verdana" w:eastAsia="Verdana" w:hAnsi="Verdana" w:cs="Verdana"/>
          <w:lang w:eastAsia="es-CO"/>
        </w:rPr>
      </w:pPr>
      <w:r w:rsidRPr="00453E53">
        <w:rPr>
          <w:rFonts w:ascii="Verdana" w:eastAsia="Verdana" w:hAnsi="Verdana" w:cs="Verdana"/>
          <w:lang w:eastAsia="es-CO"/>
        </w:rPr>
        <w:t> </w:t>
      </w:r>
      <w:bookmarkEnd w:id="0"/>
    </w:p>
    <w:p w14:paraId="41225461" w14:textId="77777777" w:rsidR="008E5C2E" w:rsidRDefault="008E5C2E"/>
    <w:sectPr w:rsidR="008E5C2E" w:rsidSect="00D46A6B">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ECD34" w14:textId="77777777" w:rsidR="0067677B" w:rsidRDefault="0067677B" w:rsidP="00D46A6B">
      <w:pPr>
        <w:spacing w:after="0" w:line="240" w:lineRule="auto"/>
      </w:pPr>
      <w:r>
        <w:separator/>
      </w:r>
    </w:p>
  </w:endnote>
  <w:endnote w:type="continuationSeparator" w:id="0">
    <w:p w14:paraId="3B5C1821" w14:textId="77777777" w:rsidR="0067677B" w:rsidRDefault="0067677B" w:rsidP="00D46A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4B875" w14:textId="77777777" w:rsidR="00D46A6B" w:rsidRDefault="00D46A6B">
    <w:pPr>
      <w:pStyle w:val="Piedepgina"/>
    </w:pPr>
  </w:p>
  <w:p w14:paraId="758528F5" w14:textId="77777777" w:rsidR="00D46A6B" w:rsidRPr="00174B77" w:rsidRDefault="00D46A6B"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08131A6" w14:textId="77777777" w:rsidR="00D46A6B" w:rsidRDefault="00D46A6B"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75A5D7C" w14:textId="77777777" w:rsidR="00D46A6B" w:rsidRPr="00E41027" w:rsidRDefault="00D46A6B"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0C13004" w14:textId="77777777" w:rsidR="00D46A6B" w:rsidRDefault="00D46A6B"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453E53">
      <w:rPr>
        <w:rFonts w:ascii="Verdana" w:eastAsia="Verdana" w:hAnsi="Verdana" w:cs="Verdana"/>
        <w:b/>
        <w:bCs/>
        <w:color w:val="000000"/>
        <w:sz w:val="18"/>
        <w:szCs w:val="18"/>
        <w:lang w:eastAsia="es-CO"/>
      </w:rPr>
      <w:t xml:space="preserve">Código: </w:t>
    </w:r>
    <w:r w:rsidRPr="00453E53">
      <w:rPr>
        <w:rFonts w:ascii="Verdana" w:eastAsia="Verdana" w:hAnsi="Verdana" w:cs="Verdana"/>
        <w:color w:val="000000"/>
        <w:sz w:val="18"/>
        <w:szCs w:val="18"/>
        <w:lang w:eastAsia="es-CO"/>
      </w:rPr>
      <w:t xml:space="preserve">CCE-REC-FM-17 </w:t>
    </w:r>
    <w:r w:rsidRPr="00453E53">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841AA" w14:textId="77777777" w:rsidR="0067677B" w:rsidRDefault="0067677B" w:rsidP="00D46A6B">
      <w:pPr>
        <w:spacing w:after="0" w:line="240" w:lineRule="auto"/>
      </w:pPr>
      <w:r>
        <w:separator/>
      </w:r>
    </w:p>
  </w:footnote>
  <w:footnote w:type="continuationSeparator" w:id="0">
    <w:p w14:paraId="173C73DB" w14:textId="77777777" w:rsidR="0067677B" w:rsidRDefault="0067677B" w:rsidP="00D46A6B">
      <w:pPr>
        <w:spacing w:after="0" w:line="240" w:lineRule="auto"/>
      </w:pPr>
      <w:r>
        <w:continuationSeparator/>
      </w:r>
    </w:p>
  </w:footnote>
  <w:footnote w:id="1">
    <w:p w14:paraId="631D81D7" w14:textId="77777777" w:rsidR="00D46A6B" w:rsidRPr="00B1039B" w:rsidRDefault="00D46A6B" w:rsidP="00D46A6B">
      <w:pPr>
        <w:pBdr>
          <w:top w:val="nil"/>
          <w:left w:val="nil"/>
          <w:bottom w:val="nil"/>
          <w:right w:val="nil"/>
          <w:between w:val="nil"/>
        </w:pBdr>
        <w:spacing w:after="0"/>
        <w:ind w:firstLine="708"/>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RODRÍGUEZ TAMAYO, Mauricio F. Evaluación y rechazo de ofertas en la Ley 80 de 1993. Primera edición. Medellín: Librería Jurídica Sánchez, 2016. pp. 110-111.</w:t>
      </w:r>
    </w:p>
  </w:footnote>
  <w:footnote w:id="2">
    <w:p w14:paraId="7E0AF529" w14:textId="77777777" w:rsidR="00D46A6B" w:rsidRPr="00B1039B" w:rsidRDefault="00D46A6B" w:rsidP="00D46A6B">
      <w:pPr>
        <w:pBdr>
          <w:top w:val="nil"/>
          <w:left w:val="nil"/>
          <w:bottom w:val="nil"/>
          <w:right w:val="nil"/>
          <w:between w:val="nil"/>
        </w:pBdr>
        <w:spacing w:after="0"/>
        <w:ind w:firstLine="708"/>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3">
    <w:p w14:paraId="056C20DB" w14:textId="77777777" w:rsidR="00D46A6B" w:rsidRDefault="00D46A6B" w:rsidP="00D46A6B">
      <w:pPr>
        <w:pBdr>
          <w:top w:val="nil"/>
          <w:left w:val="nil"/>
          <w:bottom w:val="nil"/>
          <w:right w:val="nil"/>
          <w:between w:val="nil"/>
        </w:pBdr>
        <w:spacing w:after="0"/>
        <w:ind w:firstLine="708"/>
        <w:jc w:val="both"/>
        <w:rPr>
          <w:rFonts w:ascii="Verdana" w:eastAsia="Arial" w:hAnsi="Verdana" w:cs="Arial"/>
          <w:i/>
          <w:color w:val="000000"/>
          <w:sz w:val="18"/>
          <w:szCs w:val="18"/>
        </w:rPr>
      </w:pPr>
    </w:p>
    <w:p w14:paraId="203527E2" w14:textId="77777777" w:rsidR="00D46A6B" w:rsidRPr="00B1039B" w:rsidRDefault="00D46A6B" w:rsidP="00D46A6B">
      <w:pPr>
        <w:pBdr>
          <w:top w:val="nil"/>
          <w:left w:val="nil"/>
          <w:bottom w:val="nil"/>
          <w:right w:val="nil"/>
          <w:between w:val="nil"/>
        </w:pBdr>
        <w:spacing w:after="0"/>
        <w:ind w:firstLine="708"/>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i/>
          <w:color w:val="000000"/>
          <w:sz w:val="18"/>
          <w:szCs w:val="18"/>
        </w:rPr>
        <w:t xml:space="preserve"> Ibídem.</w:t>
      </w:r>
    </w:p>
  </w:footnote>
  <w:footnote w:id="4">
    <w:p w14:paraId="3247D707"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hAnsi="Verdana" w:cs="Arial"/>
          <w:sz w:val="18"/>
          <w:szCs w:val="18"/>
          <w:vertAlign w:val="superscript"/>
        </w:rPr>
        <w:footnoteRef/>
      </w:r>
      <w:r w:rsidRPr="00B1039B">
        <w:rPr>
          <w:rFonts w:ascii="Verdana" w:eastAsia="Arial" w:hAnsi="Verdana" w:cs="Arial"/>
          <w:sz w:val="18"/>
          <w:szCs w:val="18"/>
        </w:rPr>
        <w:t xml:space="preserve"> Decreto 1082 de 2015 “Artículo 2.2.1.1.2.2.2. </w:t>
      </w:r>
      <w:bookmarkStart w:id="4" w:name="_Hlk127183858"/>
      <w:r w:rsidRPr="00B1039B">
        <w:rPr>
          <w:rFonts w:ascii="Verdana" w:eastAsia="Arial" w:hAnsi="Verdana" w:cs="Arial"/>
          <w:sz w:val="18"/>
          <w:szCs w:val="18"/>
        </w:rPr>
        <w:t>Modificado por el </w:t>
      </w:r>
      <w:bookmarkEnd w:id="4"/>
      <w:r w:rsidRPr="00B1039B">
        <w:rPr>
          <w:rFonts w:ascii="Verdana" w:eastAsia="Arial" w:hAnsi="Verdana" w:cs="Arial"/>
          <w:sz w:val="18"/>
          <w:szCs w:val="18"/>
        </w:rPr>
        <w:t>Decreto 142 de 2023, artículo 4º. Ofrecimiento más favorable.</w:t>
      </w:r>
      <w:r w:rsidRPr="00B1039B">
        <w:rPr>
          <w:rFonts w:ascii="Verdana" w:eastAsia="Arial" w:hAnsi="Verdana" w:cs="Arial"/>
          <w:b/>
          <w:bCs/>
          <w:sz w:val="18"/>
          <w:szCs w:val="18"/>
        </w:rPr>
        <w:t xml:space="preserve"> </w:t>
      </w:r>
      <w:r w:rsidRPr="00B1039B">
        <w:rPr>
          <w:rFonts w:ascii="Verdana" w:eastAsia="Arial" w:hAnsi="Verdana" w:cs="Arial"/>
          <w:sz w:val="18"/>
          <w:szCs w:val="18"/>
          <w:lang w:val="es-MX"/>
        </w:rPr>
        <w:t>La Entidad Estatal debe determinar la oferta más favorable teniendo en cuenta las normas aplicables a cada modalidad de selección del contratista.</w:t>
      </w:r>
    </w:p>
    <w:p w14:paraId="0910FDCA"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6BE4E47B"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1. Las condiciones técnicas y económicas mínimas de la oferta.</w:t>
      </w:r>
    </w:p>
    <w:p w14:paraId="471E2211"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2. Las condiciones técnicas adicionales que representan ventajas de calidad o de funcionamiento, tales como el uso de tecnología o materiales que generen mayor eficiencia, rendimiento o duración del bien, obra o servicio.</w:t>
      </w:r>
    </w:p>
    <w:p w14:paraId="6A0DC8DB"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2DDF5BDE"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4. El valor en dinero que la Entidad Estatal asigna a cada ofrecimiento técnico o económico adicional, para permitir la ponderación de las ofertas presentadas.</w:t>
      </w:r>
    </w:p>
    <w:p w14:paraId="6CD4131C"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1EEE139B"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La Entidad Estatal debe adjudicar al oferente que presentó la oferta con la mejor relación costo-beneficio y suscribir el contrato por el precio total ofrecido.</w:t>
      </w:r>
    </w:p>
    <w:p w14:paraId="2E72F3A8"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0AFA3F6A" w14:textId="77777777" w:rsidR="00D46A6B" w:rsidRPr="00B1039B" w:rsidRDefault="00D46A6B" w:rsidP="00D46A6B">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3D5F6EA5" w14:textId="77777777" w:rsidR="00D46A6B" w:rsidRPr="00B1039B" w:rsidRDefault="00D46A6B" w:rsidP="00D46A6B">
      <w:pPr>
        <w:spacing w:after="0"/>
        <w:ind w:firstLine="708"/>
        <w:jc w:val="both"/>
        <w:rPr>
          <w:rFonts w:ascii="Verdana" w:eastAsia="Arial" w:hAnsi="Verdana" w:cs="Arial"/>
          <w:sz w:val="18"/>
          <w:szCs w:val="18"/>
        </w:rPr>
      </w:pPr>
      <w:r w:rsidRPr="00B1039B">
        <w:rPr>
          <w:rFonts w:ascii="Verdana" w:eastAsia="Arial" w:hAnsi="Verdana" w:cs="Arial"/>
          <w:sz w:val="18"/>
          <w:szCs w:val="18"/>
        </w:rPr>
        <w:t>Parágrafo. Los criterios de calidad para evaluar la mejor relación calidad precio podrán incluir criterios ambientales o sociales vinculados al objeto del contrato.</w:t>
      </w:r>
    </w:p>
    <w:p w14:paraId="11247F12" w14:textId="77777777" w:rsidR="00D46A6B" w:rsidRPr="00B1039B" w:rsidRDefault="00D46A6B" w:rsidP="00D46A6B">
      <w:pPr>
        <w:spacing w:after="0"/>
        <w:ind w:firstLine="708"/>
        <w:jc w:val="both"/>
        <w:rPr>
          <w:rFonts w:ascii="Verdana" w:eastAsia="Arial" w:hAnsi="Verdana" w:cs="Arial"/>
          <w:sz w:val="18"/>
          <w:szCs w:val="18"/>
        </w:rPr>
      </w:pPr>
      <w:r w:rsidRPr="00B1039B">
        <w:rPr>
          <w:rFonts w:ascii="Verdana" w:eastAsia="Arial" w:hAnsi="Verdana" w:cs="Arial"/>
          <w:sz w:val="18"/>
          <w:szCs w:val="18"/>
        </w:rPr>
        <w:t>Los criterios ambientales podrán referirse, entre otras, a variables como la reducción del nivel de emisión de gases de efecto invernadero; el empleo de medidas de eficiencia energética y la utilización de energía procedente de fuentes renovables durante la ejecución del contrato.</w:t>
      </w:r>
    </w:p>
    <w:p w14:paraId="402B81D2" w14:textId="77777777" w:rsidR="00D46A6B" w:rsidRPr="00B1039B" w:rsidRDefault="00D46A6B" w:rsidP="00D46A6B">
      <w:pPr>
        <w:spacing w:after="0"/>
        <w:ind w:firstLine="708"/>
        <w:jc w:val="both"/>
        <w:rPr>
          <w:rFonts w:ascii="Verdana" w:eastAsia="Arial" w:hAnsi="Verdana" w:cs="Arial"/>
          <w:sz w:val="18"/>
          <w:szCs w:val="18"/>
        </w:rPr>
      </w:pPr>
      <w:r w:rsidRPr="00B1039B">
        <w:rPr>
          <w:rFonts w:ascii="Verdana" w:eastAsia="Arial" w:hAnsi="Verdana" w:cs="Arial"/>
          <w:sz w:val="18"/>
          <w:szCs w:val="18"/>
        </w:rPr>
        <w:t>Los criterios sociales se referirán, entre otras, a las siguientes finalidades:  fomento de la integración social de personas con discapacidad, inclusión de  personas pertenecientes a grupos vulnerables en la ejecución del contrato y,  en general, la inserción sociolaboral de personas en situación de riesgo de  exclusión social y la eliminación de criterios sospechosos de discriminación;  el fomento de la contratación femenina o población LGTBIQ+; madres cabeza  de hogar; personas que no cuenten con cualificaciones educativas de  formación secundaria o profesional superior,; víctimas del conflicto armado;  criterios referidos al suministro o a la utilización de productos basados en un  comercio justo durante la ejecución del contrato, en los términos definidos  por el artículo 4 de la Ley 2046 de 2020 .</w:t>
      </w:r>
    </w:p>
    <w:p w14:paraId="60203C8A" w14:textId="77777777" w:rsidR="00D46A6B" w:rsidRPr="00B1039B" w:rsidRDefault="00D46A6B" w:rsidP="00D46A6B">
      <w:pPr>
        <w:spacing w:after="0"/>
        <w:ind w:firstLine="708"/>
        <w:jc w:val="both"/>
        <w:rPr>
          <w:rFonts w:ascii="Verdana" w:eastAsia="Arial" w:hAnsi="Verdana" w:cs="Arial"/>
          <w:sz w:val="18"/>
          <w:szCs w:val="18"/>
        </w:rPr>
      </w:pPr>
      <w:r w:rsidRPr="00B1039B">
        <w:rPr>
          <w:rFonts w:ascii="Verdana" w:eastAsia="Arial" w:hAnsi="Verdana" w:cs="Arial"/>
          <w:sz w:val="18"/>
          <w:szCs w:val="18"/>
        </w:rPr>
        <w:t>En el marco de las competencias atribuidas por el Decreto Ley 4170 de 2011, la Agencia Nacional de Contratación Pública -Colombia Compra Eficiente adoptará instrumentos dirigidos a orientar a las Entidades Estatales en la aplicación de estos criterios sociales y ambientales”. </w:t>
      </w:r>
    </w:p>
  </w:footnote>
  <w:footnote w:id="5">
    <w:p w14:paraId="4FBF5F83" w14:textId="77777777" w:rsidR="00D46A6B" w:rsidRPr="00453E53"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453E53">
        <w:rPr>
          <w:rFonts w:ascii="Verdana" w:hAnsi="Verdana" w:cs="Arial"/>
          <w:color w:val="000000"/>
          <w:sz w:val="14"/>
          <w:szCs w:val="14"/>
          <w:vertAlign w:val="superscript"/>
        </w:rPr>
        <w:footnoteRef/>
      </w:r>
      <w:r w:rsidRPr="00453E53">
        <w:rPr>
          <w:rFonts w:ascii="Verdana" w:eastAsia="Arial" w:hAnsi="Verdana" w:cs="Arial"/>
          <w:color w:val="000000"/>
          <w:sz w:val="14"/>
          <w:szCs w:val="14"/>
        </w:rPr>
        <w:t xml:space="preserve">  RODRÍGUEZ TAMAYO, Mauricio Fernando. Evaluación y rechazo de ofertas en la Ley 80 de 1993. Medellín: Librería Jurídica Sánchez, 2016. p. 190. </w:t>
      </w:r>
    </w:p>
    <w:p w14:paraId="7BBFF536" w14:textId="77777777" w:rsidR="00D46A6B" w:rsidRPr="00453E53"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 w:id="6">
    <w:p w14:paraId="0E2F038B" w14:textId="77777777" w:rsidR="00D46A6B" w:rsidRPr="00453E53"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453E53">
        <w:rPr>
          <w:rFonts w:ascii="Verdana" w:hAnsi="Verdana" w:cs="Arial"/>
          <w:color w:val="000000"/>
          <w:sz w:val="14"/>
          <w:szCs w:val="14"/>
          <w:vertAlign w:val="superscript"/>
        </w:rPr>
        <w:footnoteRef/>
      </w:r>
      <w:r w:rsidRPr="00453E53">
        <w:rPr>
          <w:rFonts w:ascii="Verdana" w:eastAsia="Arial" w:hAnsi="Verdana" w:cs="Arial"/>
          <w:color w:val="000000"/>
          <w:sz w:val="14"/>
          <w:szCs w:val="14"/>
        </w:rPr>
        <w:t xml:space="preserve">  Ley 80 de 1993 “</w:t>
      </w:r>
      <w:r w:rsidRPr="00453E53">
        <w:rPr>
          <w:rFonts w:ascii="Verdana" w:eastAsia="Arial" w:hAnsi="Verdana" w:cs="Arial"/>
          <w:bCs/>
          <w:color w:val="000000"/>
          <w:sz w:val="14"/>
          <w:szCs w:val="14"/>
        </w:rPr>
        <w:t>Articulo 24. Del principio de transparencia. </w:t>
      </w:r>
      <w:r w:rsidRPr="00453E53">
        <w:rPr>
          <w:rFonts w:ascii="Verdana" w:eastAsia="Arial" w:hAnsi="Verdana" w:cs="Arial"/>
          <w:color w:val="000000"/>
          <w:sz w:val="14"/>
          <w:szCs w:val="14"/>
        </w:rPr>
        <w:t xml:space="preserve">En virtud de este principio: </w:t>
      </w:r>
    </w:p>
    <w:p w14:paraId="3CA7A6C4" w14:textId="77777777" w:rsidR="00D46A6B" w:rsidRPr="00453E53"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453E53">
        <w:rPr>
          <w:rFonts w:ascii="Verdana" w:eastAsia="Arial" w:hAnsi="Verdana" w:cs="Arial"/>
          <w:color w:val="000000"/>
          <w:sz w:val="14"/>
          <w:szCs w:val="14"/>
        </w:rPr>
        <w:t>[…]</w:t>
      </w:r>
    </w:p>
    <w:p w14:paraId="06B57AAF" w14:textId="77777777" w:rsidR="00D46A6B" w:rsidRPr="00453E53" w:rsidRDefault="00D46A6B" w:rsidP="00D46A6B">
      <w:pPr>
        <w:spacing w:after="0" w:line="240" w:lineRule="auto"/>
        <w:ind w:firstLine="709"/>
        <w:jc w:val="both"/>
        <w:rPr>
          <w:rFonts w:ascii="Verdana" w:eastAsia="Arial" w:hAnsi="Verdana" w:cs="Arial"/>
          <w:color w:val="000000"/>
          <w:sz w:val="14"/>
          <w:szCs w:val="14"/>
        </w:rPr>
      </w:pPr>
      <w:r w:rsidRPr="00453E53">
        <w:rPr>
          <w:rFonts w:ascii="Verdana" w:eastAsia="Arial" w:hAnsi="Verdana" w:cs="Arial"/>
          <w:color w:val="000000"/>
          <w:sz w:val="14"/>
          <w:szCs w:val="14"/>
        </w:rPr>
        <w:t>5o. En los pliegos de condiciones:</w:t>
      </w:r>
    </w:p>
    <w:p w14:paraId="7B303801" w14:textId="77777777" w:rsidR="00D46A6B" w:rsidRPr="00453E53" w:rsidRDefault="00D46A6B" w:rsidP="00D46A6B">
      <w:pPr>
        <w:spacing w:after="0" w:line="240" w:lineRule="auto"/>
        <w:ind w:firstLine="709"/>
        <w:jc w:val="both"/>
        <w:rPr>
          <w:rFonts w:ascii="Verdana" w:eastAsia="Arial" w:hAnsi="Verdana" w:cs="Arial"/>
          <w:color w:val="000000"/>
          <w:sz w:val="14"/>
          <w:szCs w:val="14"/>
        </w:rPr>
      </w:pPr>
      <w:r w:rsidRPr="00453E53">
        <w:rPr>
          <w:rFonts w:ascii="Verdana" w:eastAsia="Arial" w:hAnsi="Verdana" w:cs="Arial"/>
          <w:color w:val="000000"/>
          <w:sz w:val="14"/>
          <w:szCs w:val="14"/>
        </w:rPr>
        <w:t>[…]</w:t>
      </w:r>
    </w:p>
    <w:p w14:paraId="03E1738E" w14:textId="77777777" w:rsidR="00D46A6B" w:rsidRPr="00453E53" w:rsidRDefault="00D46A6B" w:rsidP="00D46A6B">
      <w:pPr>
        <w:spacing w:after="0" w:line="240" w:lineRule="auto"/>
        <w:ind w:firstLine="709"/>
        <w:jc w:val="both"/>
        <w:rPr>
          <w:rFonts w:ascii="Verdana" w:eastAsia="Arial" w:hAnsi="Verdana" w:cs="Arial"/>
          <w:color w:val="000000"/>
          <w:sz w:val="14"/>
          <w:szCs w:val="14"/>
        </w:rPr>
      </w:pPr>
      <w:r w:rsidRPr="00453E53">
        <w:rPr>
          <w:rFonts w:ascii="Verdana" w:eastAsia="Arial" w:hAnsi="Verdana" w:cs="Arial"/>
          <w:color w:val="000000"/>
          <w:sz w:val="14"/>
          <w:szCs w:val="14"/>
        </w:rPr>
        <w:t>b) Se definirán reglas objetivas, justas, claras y completas que permitan la confección de ofrecimientos de la misma índole, aseguren una escogencia objetiva y eviten la declaratoria de desierta de la licitación […]”.</w:t>
      </w:r>
    </w:p>
    <w:p w14:paraId="7B1AC55B" w14:textId="77777777" w:rsidR="00D46A6B" w:rsidRPr="00453E53" w:rsidRDefault="00D46A6B" w:rsidP="00D46A6B">
      <w:pPr>
        <w:spacing w:after="0" w:line="240" w:lineRule="auto"/>
        <w:ind w:firstLine="709"/>
        <w:jc w:val="both"/>
        <w:rPr>
          <w:rFonts w:ascii="Verdana" w:eastAsia="Arial" w:hAnsi="Verdana" w:cs="Arial"/>
          <w:color w:val="000000"/>
          <w:sz w:val="14"/>
          <w:szCs w:val="14"/>
        </w:rPr>
      </w:pPr>
    </w:p>
  </w:footnote>
  <w:footnote w:id="7">
    <w:p w14:paraId="4D122BCB" w14:textId="77777777" w:rsidR="00D46A6B" w:rsidRPr="00453E53"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453E53">
        <w:rPr>
          <w:rFonts w:ascii="Verdana" w:hAnsi="Verdana" w:cs="Arial"/>
          <w:color w:val="000000"/>
          <w:sz w:val="14"/>
          <w:szCs w:val="14"/>
          <w:vertAlign w:val="superscript"/>
        </w:rPr>
        <w:footnoteRef/>
      </w:r>
      <w:r w:rsidRPr="00453E53">
        <w:rPr>
          <w:rFonts w:ascii="Verdana" w:eastAsia="Arial" w:hAnsi="Verdana" w:cs="Arial"/>
          <w:color w:val="000000"/>
          <w:sz w:val="14"/>
          <w:szCs w:val="14"/>
        </w:rPr>
        <w:t xml:space="preserve"> Decreto 1082 de 2015 “Artículo 2.2.1.1.2.1.3. Pliegos de condiciones. Los pliegos de condiciones deben contener por lo menos la siguiente información</w:t>
      </w:r>
    </w:p>
    <w:p w14:paraId="4D26EEC6" w14:textId="77777777" w:rsidR="00D46A6B" w:rsidRPr="00453E53"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453E53">
        <w:rPr>
          <w:rFonts w:ascii="Verdana" w:eastAsia="Arial" w:hAnsi="Verdana" w:cs="Arial"/>
          <w:color w:val="000000"/>
          <w:sz w:val="14"/>
          <w:szCs w:val="14"/>
        </w:rPr>
        <w:t>[…]</w:t>
      </w:r>
    </w:p>
    <w:p w14:paraId="69A30E93" w14:textId="77777777" w:rsidR="00D46A6B" w:rsidRPr="00453E53"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453E53">
        <w:rPr>
          <w:rFonts w:ascii="Verdana" w:eastAsia="Arial" w:hAnsi="Verdana" w:cs="Arial"/>
          <w:color w:val="000000"/>
          <w:sz w:val="14"/>
          <w:szCs w:val="14"/>
        </w:rPr>
        <w:t>6. Las causas que dan lugar a rechazar una oferta […]”</w:t>
      </w:r>
    </w:p>
  </w:footnote>
  <w:footnote w:id="8">
    <w:p w14:paraId="2F7305C7" w14:textId="77777777" w:rsidR="00D46A6B" w:rsidRPr="000A20F5"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0A20F5">
        <w:rPr>
          <w:rFonts w:ascii="Verdana" w:hAnsi="Verdana" w:cs="Arial"/>
          <w:color w:val="000000"/>
          <w:sz w:val="14"/>
          <w:szCs w:val="14"/>
          <w:vertAlign w:val="superscript"/>
        </w:rPr>
        <w:footnoteRef/>
      </w:r>
      <w:r w:rsidRPr="000A20F5">
        <w:rPr>
          <w:rFonts w:ascii="Verdana" w:eastAsia="Arial" w:hAnsi="Verdana" w:cs="Arial"/>
          <w:color w:val="000000"/>
          <w:sz w:val="14"/>
          <w:szCs w:val="14"/>
        </w:rPr>
        <w:t xml:space="preserve"> CONSEJO DE ESTADO. Sección Tercera Subsección B. Sentencia del 27 de abril de 2011. Expediente No. 18.293. C.P. Ponente: Ruth Stella Correa Palacio. </w:t>
      </w:r>
    </w:p>
    <w:p w14:paraId="6AB17E1B" w14:textId="77777777" w:rsidR="00D46A6B" w:rsidRPr="000A20F5" w:rsidRDefault="00D46A6B" w:rsidP="00D46A6B">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FB158" w14:textId="77777777" w:rsidR="00D46A6B" w:rsidRDefault="00D46A6B"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4C8D22E" wp14:editId="47340075">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10268DD" wp14:editId="447DB06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4834726" w14:textId="77777777" w:rsidR="00D46A6B" w:rsidRDefault="00D46A6B">
    <w:pPr>
      <w:pStyle w:val="Encabezado"/>
    </w:pPr>
  </w:p>
  <w:p w14:paraId="7B4D4FE6" w14:textId="77777777" w:rsidR="00D46A6B" w:rsidRPr="004A305D" w:rsidRDefault="00D46A6B" w:rsidP="00B01B1A">
    <w:pPr>
      <w:spacing w:after="0" w:line="120" w:lineRule="auto"/>
      <w:rPr>
        <w:rFonts w:ascii="Century Gothic" w:eastAsia="Geo" w:hAnsi="Century Gothic" w:cs="Geo"/>
        <w:sz w:val="16"/>
        <w:szCs w:val="16"/>
        <w:lang w:eastAsia="es-CO"/>
      </w:rPr>
    </w:pPr>
  </w:p>
  <w:p w14:paraId="5FFF1540" w14:textId="77777777" w:rsidR="00D46A6B" w:rsidRDefault="00D46A6B" w:rsidP="00844AE9">
    <w:pPr>
      <w:spacing w:after="0" w:line="240" w:lineRule="auto"/>
      <w:rPr>
        <w:rFonts w:ascii="Verdana" w:hAnsi="Verdana"/>
        <w:sz w:val="24"/>
        <w:szCs w:val="24"/>
      </w:rPr>
    </w:pPr>
  </w:p>
  <w:p w14:paraId="57DF2B44" w14:textId="77777777" w:rsidR="00D46A6B" w:rsidRPr="00C925AC" w:rsidRDefault="00D46A6B" w:rsidP="00844AE9">
    <w:pPr>
      <w:spacing w:after="0" w:line="240" w:lineRule="auto"/>
      <w:rPr>
        <w:rFonts w:ascii="Verdana" w:hAnsi="Verdana"/>
        <w:sz w:val="24"/>
        <w:szCs w:val="24"/>
      </w:rPr>
    </w:pPr>
  </w:p>
  <w:p w14:paraId="278BA293" w14:textId="77777777" w:rsidR="00D46A6B" w:rsidRPr="00C925AC" w:rsidRDefault="00D46A6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A6B"/>
    <w:rsid w:val="000E793F"/>
    <w:rsid w:val="005727E1"/>
    <w:rsid w:val="005818E2"/>
    <w:rsid w:val="0067677B"/>
    <w:rsid w:val="00791F8E"/>
    <w:rsid w:val="008E5C2E"/>
    <w:rsid w:val="00C80BEC"/>
    <w:rsid w:val="00D46A6B"/>
    <w:rsid w:val="00F9151F"/>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AD3A3"/>
  <w15:chartTrackingRefBased/>
  <w15:docId w15:val="{034D217F-F7D3-46A1-9C36-67E28DE0B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A6B"/>
    <w:rPr>
      <w:kern w:val="0"/>
      <w14:ligatures w14:val="none"/>
    </w:rPr>
  </w:style>
  <w:style w:type="paragraph" w:styleId="Ttulo1">
    <w:name w:val="heading 1"/>
    <w:basedOn w:val="Normal"/>
    <w:next w:val="Normal"/>
    <w:link w:val="Ttulo1Car"/>
    <w:uiPriority w:val="9"/>
    <w:qFormat/>
    <w:rsid w:val="00D46A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46A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46A6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46A6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46A6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46A6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6A6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6A6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6A6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6A6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46A6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46A6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46A6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46A6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46A6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6A6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6A6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6A6B"/>
    <w:rPr>
      <w:rFonts w:eastAsiaTheme="majorEastAsia" w:cstheme="majorBidi"/>
      <w:color w:val="272727" w:themeColor="text1" w:themeTint="D8"/>
    </w:rPr>
  </w:style>
  <w:style w:type="paragraph" w:styleId="Ttulo">
    <w:name w:val="Title"/>
    <w:basedOn w:val="Normal"/>
    <w:next w:val="Normal"/>
    <w:link w:val="TtuloCar"/>
    <w:uiPriority w:val="10"/>
    <w:qFormat/>
    <w:rsid w:val="00D46A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6A6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6A6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6A6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6A6B"/>
    <w:pPr>
      <w:spacing w:before="160"/>
      <w:jc w:val="center"/>
    </w:pPr>
    <w:rPr>
      <w:i/>
      <w:iCs/>
      <w:color w:val="404040" w:themeColor="text1" w:themeTint="BF"/>
    </w:rPr>
  </w:style>
  <w:style w:type="character" w:customStyle="1" w:styleId="CitaCar">
    <w:name w:val="Cita Car"/>
    <w:basedOn w:val="Fuentedeprrafopredeter"/>
    <w:link w:val="Cita"/>
    <w:uiPriority w:val="29"/>
    <w:rsid w:val="00D46A6B"/>
    <w:rPr>
      <w:i/>
      <w:iCs/>
      <w:color w:val="404040" w:themeColor="text1" w:themeTint="BF"/>
    </w:rPr>
  </w:style>
  <w:style w:type="paragraph" w:styleId="Prrafodelista">
    <w:name w:val="List Paragraph"/>
    <w:basedOn w:val="Normal"/>
    <w:uiPriority w:val="34"/>
    <w:qFormat/>
    <w:rsid w:val="00D46A6B"/>
    <w:pPr>
      <w:ind w:left="720"/>
      <w:contextualSpacing/>
    </w:pPr>
  </w:style>
  <w:style w:type="character" w:styleId="nfasisintenso">
    <w:name w:val="Intense Emphasis"/>
    <w:basedOn w:val="Fuentedeprrafopredeter"/>
    <w:uiPriority w:val="21"/>
    <w:qFormat/>
    <w:rsid w:val="00D46A6B"/>
    <w:rPr>
      <w:i/>
      <w:iCs/>
      <w:color w:val="0F4761" w:themeColor="accent1" w:themeShade="BF"/>
    </w:rPr>
  </w:style>
  <w:style w:type="paragraph" w:styleId="Citadestacada">
    <w:name w:val="Intense Quote"/>
    <w:basedOn w:val="Normal"/>
    <w:next w:val="Normal"/>
    <w:link w:val="CitadestacadaCar"/>
    <w:uiPriority w:val="30"/>
    <w:qFormat/>
    <w:rsid w:val="00D46A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46A6B"/>
    <w:rPr>
      <w:i/>
      <w:iCs/>
      <w:color w:val="0F4761" w:themeColor="accent1" w:themeShade="BF"/>
    </w:rPr>
  </w:style>
  <w:style w:type="character" w:styleId="Referenciaintensa">
    <w:name w:val="Intense Reference"/>
    <w:basedOn w:val="Fuentedeprrafopredeter"/>
    <w:uiPriority w:val="32"/>
    <w:qFormat/>
    <w:rsid w:val="00D46A6B"/>
    <w:rPr>
      <w:b/>
      <w:bCs/>
      <w:smallCaps/>
      <w:color w:val="0F4761" w:themeColor="accent1" w:themeShade="BF"/>
      <w:spacing w:val="5"/>
    </w:rPr>
  </w:style>
  <w:style w:type="paragraph" w:styleId="Encabezado">
    <w:name w:val="header"/>
    <w:basedOn w:val="Normal"/>
    <w:link w:val="EncabezadoCar"/>
    <w:uiPriority w:val="99"/>
    <w:unhideWhenUsed/>
    <w:rsid w:val="00D46A6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46A6B"/>
    <w:rPr>
      <w:kern w:val="0"/>
      <w14:ligatures w14:val="none"/>
    </w:rPr>
  </w:style>
  <w:style w:type="paragraph" w:styleId="Piedepgina">
    <w:name w:val="footer"/>
    <w:basedOn w:val="Normal"/>
    <w:link w:val="PiedepginaCar"/>
    <w:uiPriority w:val="99"/>
    <w:unhideWhenUsed/>
    <w:rsid w:val="00D46A6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46A6B"/>
    <w:rPr>
      <w:kern w:val="0"/>
      <w14:ligatures w14:val="none"/>
    </w:rPr>
  </w:style>
  <w:style w:type="table" w:styleId="Tablaconcuadrcula">
    <w:name w:val="Table Grid"/>
    <w:basedOn w:val="Tablanormal"/>
    <w:uiPriority w:val="39"/>
    <w:qFormat/>
    <w:rsid w:val="00D46A6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qFormat/>
    <w:rsid w:val="00D46A6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guelbautistaabogad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16062E-DDF8-4333-819F-542B32AA6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5F7C5C-BD4E-4176-9961-C5833FBBEBAF}">
  <ds:schemaRefs>
    <ds:schemaRef ds:uri="http://schemas.microsoft.com/sharepoint/v3/contenttype/forms"/>
  </ds:schemaRefs>
</ds:datastoreItem>
</file>

<file path=customXml/itemProps3.xml><?xml version="1.0" encoding="utf-8"?>
<ds:datastoreItem xmlns:ds="http://schemas.openxmlformats.org/officeDocument/2006/customXml" ds:itemID="{0AD17491-5B97-4833-A69D-9F44314EEB3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5902</Words>
  <Characters>32463</Characters>
  <Application>Microsoft Office Word</Application>
  <DocSecurity>0</DocSecurity>
  <Lines>270</Lines>
  <Paragraphs>76</Paragraphs>
  <ScaleCrop>false</ScaleCrop>
  <Company/>
  <LinksUpToDate>false</LinksUpToDate>
  <CharactersWithSpaces>38289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2026-05-14T22:51:00Z</dcterms:created>
  <dcterms:modified xsi:type="dcterms:W3CDTF">2026-05-14T22:51:00Z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