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5144D6FF" w14:textId="77777777" w:rsidR="00031A0B" w:rsidRPr="00914070" w:rsidRDefault="00031A0B" w:rsidP="00031A0B">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SUBSANABILIDAD – Aplicación – R</w:t>
      </w:r>
      <w:r w:rsidRPr="00914070">
        <w:rPr>
          <w:rFonts w:ascii="Verdana" w:eastAsia="Calibri" w:hAnsi="Verdana"/>
          <w:b/>
          <w:bCs/>
          <w:lang w:val="es-ES" w:eastAsia="es-ES"/>
        </w:rPr>
        <w:t>egla general</w:t>
      </w:r>
      <w:r w:rsidRPr="00914070">
        <w:rPr>
          <w:rFonts w:ascii="Verdana" w:eastAsia="Calibri" w:hAnsi="Verdana" w:cs="Arial"/>
          <w:b/>
          <w:bCs/>
          <w:lang w:val="es-ES" w:eastAsia="es-ES"/>
        </w:rPr>
        <w:t xml:space="preserve"> – Excepciones </w:t>
      </w:r>
    </w:p>
    <w:p w14:paraId="58F8C63C" w14:textId="77777777" w:rsidR="00031A0B" w:rsidRDefault="00031A0B" w:rsidP="00031A0B">
      <w:pPr>
        <w:spacing w:after="0" w:line="240" w:lineRule="auto"/>
        <w:jc w:val="both"/>
        <w:rPr>
          <w:rFonts w:ascii="Verdana" w:hAnsi="Verdana" w:cs="Arial"/>
          <w:noProof/>
          <w:sz w:val="20"/>
          <w:szCs w:val="20"/>
          <w:lang w:val="es-ES_tradnl"/>
        </w:rPr>
      </w:pPr>
    </w:p>
    <w:p w14:paraId="5AD9BE37" w14:textId="77777777" w:rsidR="00031A0B" w:rsidRPr="00914070" w:rsidRDefault="00031A0B" w:rsidP="00031A0B">
      <w:pPr>
        <w:spacing w:after="0" w:line="240" w:lineRule="auto"/>
        <w:jc w:val="both"/>
        <w:rPr>
          <w:rFonts w:ascii="Verdana" w:eastAsia="Times New Roman" w:hAnsi="Verdana" w:cs="Arial"/>
          <w:sz w:val="20"/>
          <w:szCs w:val="20"/>
          <w:lang w:val="es-ES_tradnl" w:eastAsia="es-ES_tradnl"/>
        </w:rPr>
      </w:pPr>
      <w:r w:rsidRPr="00914070">
        <w:rPr>
          <w:rFonts w:ascii="Verdana" w:hAnsi="Verdana" w:cs="Arial"/>
          <w:noProof/>
          <w:sz w:val="20"/>
          <w:szCs w:val="20"/>
          <w:lang w:val="es-ES_tradnl"/>
        </w:rPr>
        <w:t>L</w:t>
      </w:r>
      <w:r w:rsidRPr="00914070">
        <w:rPr>
          <w:rFonts w:ascii="Verdana" w:eastAsia="Times New Roman" w:hAnsi="Verdana" w:cs="Arial"/>
          <w:sz w:val="20"/>
          <w:szCs w:val="20"/>
        </w:rPr>
        <w:t>a regla de la subsanabilidad de las ofertas en los procedimientos de selección</w:t>
      </w:r>
      <w:r w:rsidRPr="00914070">
        <w:rPr>
          <w:rFonts w:ascii="Verdana" w:eastAsia="Times New Roman" w:hAnsi="Verdana" w:cs="Arial"/>
          <w:b/>
          <w:bCs/>
          <w:sz w:val="20"/>
          <w:szCs w:val="20"/>
        </w:rPr>
        <w:t xml:space="preserve"> </w:t>
      </w:r>
      <w:r w:rsidRPr="00914070">
        <w:rPr>
          <w:rFonts w:ascii="Verdana" w:eastAsia="Times New Roman" w:hAnsi="Verdana" w:cs="Arial"/>
          <w:sz w:val="20"/>
          <w:szCs w:val="20"/>
          <w:lang w:val="es-ES_tradnl" w:eastAsia="es-ES_tradnl"/>
        </w:rPr>
        <w:t>indica que, por regla general, la falta de entrega y los defectos en la acreditación de los requisitos habilitantes son aspectos subsanables. La excepción a esta regla se encuentra en la prohibición de permitir la entrega de la garantía de seriedad de la oferta que no fue aportada con la propuesta y de valer la acreditación de circunstancias ocurridas con posterioridad al cierre del proceso.</w:t>
      </w:r>
    </w:p>
    <w:p w14:paraId="6E633CB0" w14:textId="77777777" w:rsidR="00031A0B" w:rsidRPr="00914070" w:rsidRDefault="00031A0B" w:rsidP="00031A0B">
      <w:pPr>
        <w:spacing w:after="0" w:line="240" w:lineRule="auto"/>
        <w:jc w:val="both"/>
        <w:rPr>
          <w:rFonts w:ascii="Verdana" w:eastAsia="Calibri" w:hAnsi="Verdana" w:cs="Arial"/>
          <w:sz w:val="20"/>
          <w:szCs w:val="20"/>
          <w:lang w:val="es-ES" w:eastAsia="es-ES"/>
        </w:rPr>
      </w:pPr>
    </w:p>
    <w:p w14:paraId="701C1DAD" w14:textId="77777777" w:rsidR="00031A0B" w:rsidRPr="00914070" w:rsidRDefault="00031A0B" w:rsidP="00031A0B">
      <w:pPr>
        <w:spacing w:after="0" w:line="240" w:lineRule="auto"/>
        <w:jc w:val="both"/>
        <w:rPr>
          <w:rFonts w:ascii="Verdana" w:eastAsia="Calibri" w:hAnsi="Verdana" w:cs="Arial"/>
          <w:b/>
          <w:bCs/>
          <w:lang w:val="es-ES" w:eastAsia="es-ES"/>
        </w:rPr>
      </w:pPr>
      <w:r w:rsidRPr="00914070">
        <w:rPr>
          <w:rFonts w:ascii="Verdana" w:eastAsia="Calibri" w:hAnsi="Verdana" w:cs="Arial"/>
          <w:b/>
          <w:bCs/>
          <w:lang w:val="es-ES" w:eastAsia="es-ES"/>
        </w:rPr>
        <w:t xml:space="preserve">SUBSANABILIDAD – Circunstancias posteriores – Cierre del proceso- Ley 1882 de 2018 </w:t>
      </w:r>
    </w:p>
    <w:p w14:paraId="01AB6BDD" w14:textId="77777777" w:rsidR="00031A0B" w:rsidRPr="00914070" w:rsidRDefault="00031A0B" w:rsidP="00031A0B">
      <w:pPr>
        <w:spacing w:after="0" w:line="240" w:lineRule="auto"/>
        <w:jc w:val="both"/>
        <w:rPr>
          <w:rFonts w:ascii="Verdana" w:eastAsia="Calibri" w:hAnsi="Verdana" w:cs="Arial"/>
          <w:sz w:val="20"/>
          <w:szCs w:val="20"/>
          <w:lang w:val="es-ES" w:eastAsia="es-ES"/>
        </w:rPr>
      </w:pPr>
    </w:p>
    <w:p w14:paraId="2855B40F" w14:textId="77777777" w:rsidR="00031A0B" w:rsidRDefault="00031A0B" w:rsidP="00031A0B">
      <w:pPr>
        <w:spacing w:after="0" w:line="240" w:lineRule="auto"/>
        <w:jc w:val="both"/>
        <w:rPr>
          <w:rFonts w:ascii="Verdana" w:eastAsia="Times New Roman" w:hAnsi="Verdana" w:cs="Arial"/>
          <w:sz w:val="20"/>
          <w:szCs w:val="20"/>
          <w:lang w:val="es-ES_tradnl" w:eastAsia="es-ES_tradnl"/>
        </w:rPr>
      </w:pPr>
      <w:r w:rsidRPr="00914070">
        <w:rPr>
          <w:rFonts w:ascii="Verdana" w:eastAsia="Times New Roman" w:hAnsi="Verdana" w:cs="Arial"/>
          <w:sz w:val="20"/>
          <w:szCs w:val="20"/>
          <w:lang w:val="es-ES_tradnl" w:eastAsia="es-ES_tradnl"/>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7AE974D2" w14:textId="77777777" w:rsidR="00031A0B" w:rsidRPr="00914070" w:rsidRDefault="00031A0B" w:rsidP="00031A0B">
      <w:pPr>
        <w:spacing w:after="0" w:line="240" w:lineRule="auto"/>
        <w:jc w:val="both"/>
        <w:rPr>
          <w:rFonts w:ascii="Verdana" w:eastAsia="Times New Roman" w:hAnsi="Verdana" w:cs="Arial"/>
          <w:sz w:val="20"/>
          <w:szCs w:val="20"/>
          <w:lang w:val="es-ES_tradnl" w:eastAsia="es-ES_tradnl"/>
        </w:rPr>
      </w:pPr>
    </w:p>
    <w:p w14:paraId="6933972B" w14:textId="77777777" w:rsidR="00031A0B" w:rsidRDefault="00031A0B" w:rsidP="00031A0B">
      <w:pPr>
        <w:spacing w:after="0" w:line="240" w:lineRule="auto"/>
        <w:jc w:val="both"/>
        <w:rPr>
          <w:rFonts w:ascii="Verdana" w:eastAsia="Times New Roman" w:hAnsi="Verdana" w:cs="Arial"/>
          <w:sz w:val="20"/>
          <w:szCs w:val="20"/>
          <w:lang w:val="es-ES" w:eastAsia="es-ES"/>
        </w:rPr>
      </w:pPr>
      <w:r w:rsidRPr="00914070">
        <w:rPr>
          <w:rFonts w:ascii="Verdana" w:eastAsia="Times New Roman" w:hAnsi="Verdana" w:cs="Arial"/>
          <w:sz w:val="20"/>
          <w:szCs w:val="20"/>
          <w:lang w:val="es-ES" w:eastAsia="es-ES"/>
        </w:rPr>
        <w:t xml:space="preserve">Un mejor entendimiento del significado de la expresión </w:t>
      </w:r>
      <w:r w:rsidRPr="00914070">
        <w:rPr>
          <w:rFonts w:ascii="Verdana" w:eastAsia="Times New Roman" w:hAnsi="Verdana" w:cs="Arial"/>
          <w:i/>
          <w:sz w:val="20"/>
          <w:szCs w:val="20"/>
          <w:lang w:val="es-ES" w:eastAsia="es-ES"/>
        </w:rPr>
        <w:t>“circunstancias ocurridas con posterioridad al cierre del proceso”</w:t>
      </w:r>
      <w:r w:rsidRPr="00914070">
        <w:rPr>
          <w:rFonts w:ascii="Verdana" w:eastAsia="Times New Roman" w:hAnsi="Verdana" w:cs="Arial"/>
          <w:sz w:val="20"/>
          <w:szCs w:val="20"/>
          <w:lang w:val="es-ES" w:eastAsia="es-ES"/>
        </w:rPr>
        <w:t xml:space="preserve"> implica distinguir entre la prueba de un hecho y el hecho mismo. En el caso de la </w:t>
      </w:r>
      <w:proofErr w:type="spellStart"/>
      <w:r w:rsidRPr="00914070">
        <w:rPr>
          <w:rFonts w:ascii="Verdana" w:eastAsia="Times New Roman" w:hAnsi="Verdana" w:cs="Arial"/>
          <w:sz w:val="20"/>
          <w:szCs w:val="20"/>
          <w:lang w:val="es-ES" w:eastAsia="es-ES"/>
        </w:rPr>
        <w:t>subsanabilidad</w:t>
      </w:r>
      <w:proofErr w:type="spellEnd"/>
      <w:r w:rsidRPr="00914070">
        <w:rPr>
          <w:rFonts w:ascii="Verdana" w:eastAsia="Times New Roman" w:hAnsi="Verdana" w:cs="Arial"/>
          <w:sz w:val="20"/>
          <w:szCs w:val="20"/>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Pr>
          <w:rFonts w:ascii="Verdana" w:eastAsia="Times New Roman" w:hAnsi="Verdana" w:cs="Arial"/>
          <w:sz w:val="20"/>
          <w:szCs w:val="20"/>
          <w:lang w:val="es-ES" w:eastAsia="es-ES"/>
        </w:rPr>
        <w:t xml:space="preserve">. </w:t>
      </w:r>
    </w:p>
    <w:p w14:paraId="7B3B48A0" w14:textId="77777777" w:rsidR="00031A0B" w:rsidRDefault="00031A0B" w:rsidP="00031A0B">
      <w:pPr>
        <w:rPr>
          <w:rFonts w:ascii="Verdana" w:hAnsi="Verdana"/>
          <w:lang w:val="es-ES"/>
        </w:rPr>
      </w:pPr>
    </w:p>
    <w:p w14:paraId="2C5E1391" w14:textId="77777777" w:rsidR="00031A0B" w:rsidRPr="00946815" w:rsidRDefault="00031A0B" w:rsidP="00031A0B">
      <w:pPr>
        <w:pStyle w:val="Textoindependiente"/>
        <w:ind w:right="307"/>
        <w:jc w:val="both"/>
        <w:rPr>
          <w:rFonts w:ascii="Verdana" w:hAnsi="Verdana"/>
          <w:b/>
        </w:rPr>
      </w:pPr>
      <w:r w:rsidRPr="00946815">
        <w:rPr>
          <w:rFonts w:ascii="Verdana" w:hAnsi="Verdana"/>
          <w:b/>
        </w:rPr>
        <w:t xml:space="preserve">SUBSANABILIDAD – Ficha o anexo técnicos – Posición anterior – Colombia Compra Eficiente </w:t>
      </w:r>
    </w:p>
    <w:p w14:paraId="30217BD1" w14:textId="77777777" w:rsidR="00031A0B" w:rsidRPr="00B418EE" w:rsidRDefault="00031A0B" w:rsidP="00031A0B">
      <w:pPr>
        <w:spacing w:after="0" w:line="240" w:lineRule="auto"/>
        <w:jc w:val="both"/>
        <w:rPr>
          <w:rFonts w:ascii="Verdana" w:hAnsi="Verdana" w:cs="Arial"/>
          <w:sz w:val="20"/>
        </w:rPr>
      </w:pPr>
      <w:r w:rsidRPr="00B418EE">
        <w:rPr>
          <w:rFonts w:ascii="Verdana" w:hAnsi="Verdana"/>
          <w:sz w:val="20"/>
        </w:rPr>
        <w:t xml:space="preserve">La ficha técnica no tiene una definición formal en dentro del Estatuto General de Contratación de la Administración Pública-EGCAP-, por lo que se limita a una serie de menciones dentro del Decreto 1082 de 2015, que en el artículo 2.2.1.2.1.2.1, señala que en el pliego de condiciones se deben indicar las condiciones que deben estar incluidas en la “ficha técnica” para los procesos de selección abreviada para adquirir bienes y servicios de características técnicas uniformes, las cuales son: i) la clasificación del bien o servicio de acuerdo con el Clasificador de Bienes y Servicios; </w:t>
      </w:r>
      <w:proofErr w:type="spellStart"/>
      <w:r w:rsidRPr="00B418EE">
        <w:rPr>
          <w:rFonts w:ascii="Verdana" w:hAnsi="Verdana"/>
          <w:sz w:val="20"/>
        </w:rPr>
        <w:t>ii</w:t>
      </w:r>
      <w:proofErr w:type="spellEnd"/>
      <w:r w:rsidRPr="00B418EE">
        <w:rPr>
          <w:rFonts w:ascii="Verdana" w:hAnsi="Verdana"/>
          <w:sz w:val="20"/>
        </w:rPr>
        <w:t xml:space="preserve">) la identificación adicional requerida; </w:t>
      </w:r>
      <w:proofErr w:type="spellStart"/>
      <w:r w:rsidRPr="00B418EE">
        <w:rPr>
          <w:rFonts w:ascii="Verdana" w:hAnsi="Verdana"/>
          <w:sz w:val="20"/>
        </w:rPr>
        <w:t>iii</w:t>
      </w:r>
      <w:proofErr w:type="spellEnd"/>
      <w:r w:rsidRPr="00B418EE">
        <w:rPr>
          <w:rFonts w:ascii="Verdana" w:hAnsi="Verdana"/>
          <w:sz w:val="20"/>
        </w:rPr>
        <w:t xml:space="preserve">) la unidad de medida; </w:t>
      </w:r>
      <w:proofErr w:type="spellStart"/>
      <w:r w:rsidRPr="00B418EE">
        <w:rPr>
          <w:rFonts w:ascii="Verdana" w:hAnsi="Verdana"/>
          <w:sz w:val="20"/>
        </w:rPr>
        <w:t>iv</w:t>
      </w:r>
      <w:proofErr w:type="spellEnd"/>
      <w:r w:rsidRPr="00B418EE">
        <w:rPr>
          <w:rFonts w:ascii="Verdana" w:hAnsi="Verdana"/>
          <w:sz w:val="20"/>
        </w:rPr>
        <w:t>) la calidad mínima, y v) los patrones de desempeño</w:t>
      </w:r>
      <w:r w:rsidRPr="00B418EE">
        <w:rPr>
          <w:rFonts w:ascii="Verdana" w:hAnsi="Verdana"/>
          <w:spacing w:val="-2"/>
          <w:sz w:val="20"/>
        </w:rPr>
        <w:t xml:space="preserve"> </w:t>
      </w:r>
      <w:r w:rsidRPr="00B418EE">
        <w:rPr>
          <w:rFonts w:ascii="Verdana" w:hAnsi="Verdana"/>
          <w:sz w:val="20"/>
        </w:rPr>
        <w:t>mínimos</w:t>
      </w:r>
      <w:r w:rsidRPr="00B418EE">
        <w:rPr>
          <w:rFonts w:ascii="Verdana" w:hAnsi="Verdana" w:cs="Arial"/>
          <w:sz w:val="20"/>
        </w:rPr>
        <w:t>.</w:t>
      </w:r>
    </w:p>
    <w:p w14:paraId="0F97C81C" w14:textId="77777777" w:rsidR="00031A0B" w:rsidRDefault="00031A0B" w:rsidP="00031A0B">
      <w:pPr>
        <w:pStyle w:val="Textoindependiente"/>
        <w:ind w:right="307"/>
        <w:jc w:val="both"/>
        <w:rPr>
          <w:rFonts w:ascii="Verdana" w:hAnsi="Verdana"/>
          <w:b/>
        </w:rPr>
      </w:pPr>
    </w:p>
    <w:p w14:paraId="4CE4A314" w14:textId="77777777" w:rsidR="00031A0B" w:rsidRPr="00946815" w:rsidRDefault="00031A0B" w:rsidP="00031A0B">
      <w:pPr>
        <w:pStyle w:val="Textoindependiente"/>
        <w:ind w:right="307"/>
        <w:jc w:val="both"/>
        <w:rPr>
          <w:rFonts w:ascii="Verdana" w:hAnsi="Verdana"/>
          <w:b/>
        </w:rPr>
      </w:pPr>
      <w:r w:rsidRPr="00946815">
        <w:rPr>
          <w:rFonts w:ascii="Verdana" w:hAnsi="Verdana"/>
          <w:b/>
        </w:rPr>
        <w:lastRenderedPageBreak/>
        <w:t xml:space="preserve">SUBSANABILIDAD – Ficha o anexo técnicos – Posición vigente – Colombia Compra Eficiente </w:t>
      </w:r>
    </w:p>
    <w:p w14:paraId="7A5105FC" w14:textId="77777777" w:rsidR="00031A0B" w:rsidRPr="003E0097" w:rsidRDefault="00031A0B" w:rsidP="00031A0B">
      <w:pPr>
        <w:spacing w:after="120" w:line="240" w:lineRule="auto"/>
        <w:contextualSpacing/>
        <w:jc w:val="both"/>
        <w:rPr>
          <w:rFonts w:ascii="Verdana" w:hAnsi="Verdana"/>
          <w:sz w:val="20"/>
        </w:rPr>
      </w:pPr>
      <w:r w:rsidRPr="003E0097">
        <w:rPr>
          <w:rFonts w:ascii="Verdana" w:hAnsi="Verdana"/>
          <w:sz w:val="20"/>
        </w:rPr>
        <w:t>El cambio de posición se origina en la medida en que la ausencia de requisitos o los errores en los documentos del proponente que no son necesarios para comparar las propuestas, no pueden ser una razón suficiente para el rechazo de la oferta y por lo tanto deben ser subsanados12. Como se ha explicado, en los procesos donde el precio es el único criterio para la comparación de las ofertas, como por ejemplo la selección abreviada para adquirir bienes y servicios de características técnicas uniforme mediante subasta inversa, no es viable impedir que subsanen requisitos diferentes a los que afecten el precio, pues estos en la medida en que no son necesarios para comparar las propuestas, no modifican los criterios que otorgan puntaje, sino que permiten habilitar o demostrar que el proponente tiene la capacidad para cumplir con el objeto del contrato. por consiguiente, siempre que la ficha técnica no sea un requisito puntuable o que cambie uno de ellos que pueda mejorar la oferta, deberá subsanarse.</w:t>
      </w:r>
    </w:p>
    <w:p w14:paraId="115F9EF1" w14:textId="77777777" w:rsidR="00031A0B" w:rsidRPr="00904AD4" w:rsidRDefault="00031A0B" w:rsidP="00031A0B">
      <w:pPr>
        <w:spacing w:after="0" w:line="240" w:lineRule="auto"/>
        <w:contextualSpacing/>
        <w:jc w:val="both"/>
        <w:rPr>
          <w:rFonts w:ascii="Verdana" w:eastAsia="Calibri" w:hAnsi="Verdana" w:cs="Arial"/>
          <w:b/>
          <w:lang w:val="es-ES" w:eastAsia="es-MX"/>
        </w:rPr>
      </w:pPr>
    </w:p>
    <w:p w14:paraId="1C6149E9" w14:textId="77777777" w:rsidR="00031A0B" w:rsidRDefault="00031A0B" w:rsidP="00031A0B">
      <w:pPr>
        <w:spacing w:line="240" w:lineRule="auto"/>
        <w:contextualSpacing/>
        <w:rPr>
          <w:rFonts w:ascii="Verdana" w:hAnsi="Verdana"/>
          <w:sz w:val="20"/>
          <w:szCs w:val="20"/>
          <w:lang w:val="es-ES_tradnl"/>
        </w:rPr>
      </w:pPr>
    </w:p>
    <w:p w14:paraId="5B5D38A0" w14:textId="77777777" w:rsidR="00031A0B" w:rsidRDefault="00031A0B" w:rsidP="00031A0B">
      <w:pPr>
        <w:spacing w:line="240" w:lineRule="auto"/>
        <w:contextualSpacing/>
        <w:rPr>
          <w:rFonts w:ascii="Verdana" w:hAnsi="Verdana"/>
          <w:sz w:val="20"/>
          <w:szCs w:val="20"/>
          <w:lang w:val="es-ES_tradnl"/>
        </w:rPr>
      </w:pPr>
    </w:p>
    <w:p w14:paraId="225228D2" w14:textId="77777777" w:rsidR="00031A0B" w:rsidRPr="005F6BCE" w:rsidRDefault="00031A0B" w:rsidP="00031A0B">
      <w:pPr>
        <w:rPr>
          <w:rFonts w:ascii="Verdana" w:hAnsi="Verdana"/>
          <w:sz w:val="20"/>
          <w:szCs w:val="20"/>
          <w:lang w:val="es-ES_tradnl"/>
        </w:rPr>
      </w:pPr>
    </w:p>
    <w:p w14:paraId="44F4B9D6" w14:textId="77777777" w:rsidR="00031A0B" w:rsidRPr="005F6BCE" w:rsidRDefault="00031A0B" w:rsidP="00031A0B">
      <w:pPr>
        <w:spacing w:after="0"/>
        <w:rPr>
          <w:rFonts w:ascii="Verdana" w:hAnsi="Verdana"/>
          <w:sz w:val="20"/>
          <w:szCs w:val="20"/>
        </w:rPr>
      </w:pPr>
    </w:p>
    <w:p w14:paraId="7B8A0D65" w14:textId="77777777" w:rsidR="00031A0B" w:rsidRDefault="00031A0B" w:rsidP="00031A0B">
      <w:pPr>
        <w:spacing w:after="0"/>
        <w:rPr>
          <w:rFonts w:ascii="Verdana" w:hAnsi="Verdana"/>
          <w:sz w:val="20"/>
          <w:szCs w:val="20"/>
        </w:rPr>
      </w:pPr>
    </w:p>
    <w:p w14:paraId="7A30E6E8" w14:textId="77777777" w:rsidR="00031A0B" w:rsidRDefault="00031A0B" w:rsidP="00031A0B">
      <w:pPr>
        <w:spacing w:after="0"/>
        <w:rPr>
          <w:rFonts w:ascii="Verdana" w:hAnsi="Verdana"/>
          <w:sz w:val="20"/>
          <w:szCs w:val="20"/>
        </w:rPr>
      </w:pPr>
    </w:p>
    <w:p w14:paraId="41173F01" w14:textId="77777777" w:rsidR="00031A0B" w:rsidRDefault="00031A0B" w:rsidP="00031A0B">
      <w:pPr>
        <w:spacing w:after="0"/>
        <w:rPr>
          <w:rFonts w:ascii="Verdana" w:hAnsi="Verdana"/>
          <w:sz w:val="20"/>
          <w:szCs w:val="20"/>
        </w:rPr>
      </w:pPr>
    </w:p>
    <w:p w14:paraId="33D8D26B" w14:textId="77777777" w:rsidR="00031A0B" w:rsidRDefault="00031A0B" w:rsidP="00031A0B">
      <w:pPr>
        <w:spacing w:after="0"/>
        <w:rPr>
          <w:rFonts w:ascii="Verdana" w:hAnsi="Verdana"/>
          <w:sz w:val="20"/>
          <w:szCs w:val="20"/>
        </w:rPr>
      </w:pPr>
    </w:p>
    <w:p w14:paraId="200D3089" w14:textId="77777777" w:rsidR="00031A0B" w:rsidRDefault="00031A0B" w:rsidP="00031A0B">
      <w:pPr>
        <w:spacing w:after="0"/>
        <w:rPr>
          <w:rFonts w:ascii="Verdana" w:hAnsi="Verdana"/>
          <w:sz w:val="20"/>
          <w:szCs w:val="20"/>
        </w:rPr>
      </w:pPr>
    </w:p>
    <w:p w14:paraId="350BAD32" w14:textId="77777777" w:rsidR="00031A0B" w:rsidRDefault="00031A0B" w:rsidP="00031A0B">
      <w:pPr>
        <w:spacing w:after="0"/>
        <w:rPr>
          <w:rFonts w:ascii="Verdana" w:hAnsi="Verdana"/>
          <w:sz w:val="20"/>
          <w:szCs w:val="20"/>
        </w:rPr>
      </w:pPr>
    </w:p>
    <w:p w14:paraId="1C001E33" w14:textId="77777777" w:rsidR="00031A0B" w:rsidRDefault="00031A0B" w:rsidP="00031A0B">
      <w:pPr>
        <w:spacing w:after="0"/>
        <w:rPr>
          <w:rFonts w:ascii="Verdana" w:hAnsi="Verdana"/>
          <w:sz w:val="20"/>
          <w:szCs w:val="20"/>
        </w:rPr>
      </w:pPr>
    </w:p>
    <w:p w14:paraId="4B93457F" w14:textId="77777777" w:rsidR="00031A0B" w:rsidRDefault="00031A0B" w:rsidP="00031A0B">
      <w:pPr>
        <w:spacing w:after="0"/>
        <w:rPr>
          <w:rFonts w:ascii="Verdana" w:hAnsi="Verdana"/>
          <w:sz w:val="20"/>
          <w:szCs w:val="20"/>
        </w:rPr>
      </w:pPr>
    </w:p>
    <w:p w14:paraId="6BDDF11A" w14:textId="77777777" w:rsidR="00031A0B" w:rsidRDefault="00031A0B" w:rsidP="00031A0B">
      <w:pPr>
        <w:spacing w:after="0"/>
        <w:rPr>
          <w:rFonts w:ascii="Verdana" w:hAnsi="Verdana"/>
          <w:sz w:val="20"/>
          <w:szCs w:val="20"/>
        </w:rPr>
      </w:pPr>
    </w:p>
    <w:p w14:paraId="3C7755BA" w14:textId="77777777" w:rsidR="00031A0B" w:rsidRDefault="00031A0B" w:rsidP="00031A0B">
      <w:pPr>
        <w:spacing w:after="0"/>
        <w:rPr>
          <w:rFonts w:ascii="Verdana" w:hAnsi="Verdana"/>
          <w:sz w:val="20"/>
          <w:szCs w:val="20"/>
        </w:rPr>
      </w:pPr>
    </w:p>
    <w:p w14:paraId="49208DF9" w14:textId="77777777" w:rsidR="00031A0B" w:rsidRDefault="00031A0B" w:rsidP="00031A0B">
      <w:pPr>
        <w:spacing w:after="0"/>
        <w:rPr>
          <w:rFonts w:ascii="Verdana" w:hAnsi="Verdana"/>
          <w:sz w:val="20"/>
          <w:szCs w:val="20"/>
        </w:rPr>
      </w:pPr>
    </w:p>
    <w:p w14:paraId="00F3554A" w14:textId="77777777" w:rsidR="00031A0B" w:rsidRDefault="00031A0B" w:rsidP="00031A0B">
      <w:pPr>
        <w:spacing w:after="0"/>
        <w:rPr>
          <w:rFonts w:ascii="Verdana" w:hAnsi="Verdana"/>
          <w:sz w:val="20"/>
          <w:szCs w:val="20"/>
        </w:rPr>
      </w:pPr>
    </w:p>
    <w:p w14:paraId="121BA478" w14:textId="77777777" w:rsidR="00031A0B" w:rsidRDefault="00031A0B" w:rsidP="00031A0B">
      <w:pPr>
        <w:spacing w:after="0"/>
        <w:rPr>
          <w:rFonts w:ascii="Verdana" w:hAnsi="Verdana"/>
          <w:sz w:val="20"/>
          <w:szCs w:val="20"/>
        </w:rPr>
      </w:pPr>
    </w:p>
    <w:p w14:paraId="498145FE" w14:textId="77777777" w:rsidR="00031A0B" w:rsidRDefault="00031A0B" w:rsidP="00031A0B">
      <w:pPr>
        <w:spacing w:after="0"/>
        <w:rPr>
          <w:rFonts w:ascii="Verdana" w:hAnsi="Verdana"/>
          <w:sz w:val="20"/>
          <w:szCs w:val="20"/>
        </w:rPr>
      </w:pPr>
    </w:p>
    <w:p w14:paraId="7F6701AA" w14:textId="77777777" w:rsidR="00031A0B" w:rsidRDefault="00031A0B" w:rsidP="00031A0B">
      <w:pPr>
        <w:spacing w:after="0"/>
        <w:rPr>
          <w:rFonts w:ascii="Verdana" w:hAnsi="Verdana"/>
          <w:sz w:val="20"/>
          <w:szCs w:val="20"/>
        </w:rPr>
      </w:pPr>
    </w:p>
    <w:p w14:paraId="2DB7DDEE" w14:textId="77777777" w:rsidR="00031A0B" w:rsidRDefault="00031A0B" w:rsidP="00031A0B">
      <w:pPr>
        <w:spacing w:after="0"/>
        <w:rPr>
          <w:rFonts w:ascii="Verdana" w:hAnsi="Verdana"/>
          <w:sz w:val="20"/>
          <w:szCs w:val="20"/>
        </w:rPr>
      </w:pPr>
    </w:p>
    <w:p w14:paraId="01C9C104" w14:textId="77777777" w:rsidR="00031A0B" w:rsidRDefault="00031A0B" w:rsidP="00031A0B">
      <w:pPr>
        <w:spacing w:after="0"/>
        <w:rPr>
          <w:rFonts w:ascii="Verdana" w:hAnsi="Verdana"/>
          <w:sz w:val="20"/>
          <w:szCs w:val="20"/>
        </w:rPr>
      </w:pPr>
    </w:p>
    <w:p w14:paraId="33FE69DB" w14:textId="77777777" w:rsidR="00031A0B" w:rsidRDefault="00031A0B" w:rsidP="00031A0B">
      <w:pPr>
        <w:spacing w:after="0"/>
        <w:rPr>
          <w:rFonts w:ascii="Verdana" w:hAnsi="Verdana"/>
          <w:sz w:val="20"/>
          <w:szCs w:val="20"/>
        </w:rPr>
      </w:pPr>
    </w:p>
    <w:p w14:paraId="422FC144" w14:textId="77777777" w:rsidR="00031A0B" w:rsidRDefault="00031A0B" w:rsidP="00031A0B">
      <w:pPr>
        <w:spacing w:after="0"/>
        <w:rPr>
          <w:rFonts w:ascii="Verdana" w:hAnsi="Verdana"/>
          <w:sz w:val="20"/>
          <w:szCs w:val="20"/>
        </w:rPr>
      </w:pPr>
    </w:p>
    <w:p w14:paraId="3D161BDB" w14:textId="77777777" w:rsidR="00031A0B" w:rsidRDefault="00031A0B" w:rsidP="00031A0B">
      <w:pPr>
        <w:spacing w:after="0"/>
        <w:rPr>
          <w:rFonts w:ascii="Verdana" w:hAnsi="Verdana"/>
          <w:sz w:val="20"/>
          <w:szCs w:val="20"/>
        </w:rPr>
      </w:pPr>
    </w:p>
    <w:p w14:paraId="14376559" w14:textId="77777777" w:rsidR="00031A0B" w:rsidRDefault="00031A0B" w:rsidP="00031A0B">
      <w:pPr>
        <w:spacing w:after="0"/>
        <w:rPr>
          <w:rFonts w:ascii="Verdana" w:hAnsi="Verdana"/>
          <w:sz w:val="20"/>
          <w:szCs w:val="20"/>
        </w:rPr>
      </w:pPr>
    </w:p>
    <w:p w14:paraId="2C37B112" w14:textId="77777777" w:rsidR="00031A0B" w:rsidRDefault="00031A0B" w:rsidP="00031A0B">
      <w:pPr>
        <w:spacing w:after="0"/>
        <w:rPr>
          <w:rFonts w:ascii="Verdana" w:hAnsi="Verdana"/>
          <w:sz w:val="20"/>
          <w:szCs w:val="20"/>
        </w:rPr>
      </w:pPr>
    </w:p>
    <w:p w14:paraId="6F90B9AE" w14:textId="77777777" w:rsidR="00031A0B" w:rsidRDefault="00031A0B" w:rsidP="00031A0B">
      <w:pPr>
        <w:spacing w:after="0"/>
        <w:rPr>
          <w:rFonts w:ascii="Verdana" w:hAnsi="Verdana"/>
          <w:sz w:val="20"/>
          <w:szCs w:val="20"/>
        </w:rPr>
      </w:pPr>
    </w:p>
    <w:p w14:paraId="245648B3" w14:textId="54F8A9A7" w:rsidR="00031A0B" w:rsidRPr="00E31648" w:rsidRDefault="00031A0B" w:rsidP="00031A0B">
      <w:pPr>
        <w:spacing w:after="0" w:line="240" w:lineRule="auto"/>
      </w:pPr>
      <w:r w:rsidRPr="00C562D4">
        <w:rPr>
          <w:rFonts w:ascii="Verdana" w:eastAsia="Calibri" w:hAnsi="Verdana" w:cs="Arial"/>
          <w:color w:val="000000" w:themeColor="text1"/>
        </w:rPr>
        <w:lastRenderedPageBreak/>
        <w:t xml:space="preserve">Bogotá D.C., </w:t>
      </w:r>
      <w:r w:rsidR="007D3D2A">
        <w:rPr>
          <w:rFonts w:ascii="Verdana" w:eastAsia="Calibri" w:hAnsi="Verdana" w:cs="Arial"/>
          <w:color w:val="000000" w:themeColor="text1"/>
        </w:rPr>
        <w:t>20</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1D2FC38F" w14:textId="77777777" w:rsidR="00031A0B" w:rsidRDefault="00031A0B" w:rsidP="00031A0B">
      <w:pPr>
        <w:spacing w:after="0" w:line="240" w:lineRule="auto"/>
        <w:jc w:val="both"/>
        <w:rPr>
          <w:rFonts w:ascii="Verdana" w:eastAsia="Calibri" w:hAnsi="Verdana" w:cs="Arial"/>
          <w:color w:val="000000" w:themeColor="text1"/>
          <w:lang w:val="es-ES"/>
        </w:rPr>
      </w:pPr>
    </w:p>
    <w:p w14:paraId="4C6E1832" w14:textId="1F5D7788" w:rsidR="00031A0B" w:rsidRDefault="002176D5" w:rsidP="002176D5">
      <w:pPr>
        <w:spacing w:after="0" w:line="240" w:lineRule="auto"/>
        <w:jc w:val="right"/>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inline distT="0" distB="0" distL="0" distR="0" wp14:anchorId="167464E7" wp14:editId="2831F3AA">
            <wp:extent cx="2305050" cy="714375"/>
            <wp:effectExtent l="0" t="0" r="0" b="9525"/>
            <wp:docPr id="113793048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05050" cy="714375"/>
                    </a:xfrm>
                    <a:prstGeom prst="rect">
                      <a:avLst/>
                    </a:prstGeom>
                    <a:noFill/>
                    <a:ln>
                      <a:noFill/>
                    </a:ln>
                  </pic:spPr>
                </pic:pic>
              </a:graphicData>
            </a:graphic>
          </wp:inline>
        </w:drawing>
      </w:r>
    </w:p>
    <w:p w14:paraId="36A30870" w14:textId="77777777" w:rsidR="00031A0B" w:rsidRPr="0046108F" w:rsidRDefault="00031A0B" w:rsidP="00031A0B">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27877519" w14:textId="77777777" w:rsidR="00031A0B" w:rsidRDefault="00031A0B" w:rsidP="00031A0B">
      <w:pPr>
        <w:spacing w:after="0" w:line="240" w:lineRule="auto"/>
        <w:rPr>
          <w:rFonts w:ascii="Verdana" w:eastAsia="Calibri" w:hAnsi="Verdana" w:cs="Arial"/>
          <w:b/>
          <w:bCs/>
          <w:lang w:eastAsia="es-ES"/>
        </w:rPr>
      </w:pPr>
      <w:r>
        <w:rPr>
          <w:rFonts w:ascii="Verdana" w:eastAsia="Calibri" w:hAnsi="Verdana" w:cs="Arial"/>
          <w:b/>
          <w:bCs/>
          <w:lang w:eastAsia="es-ES"/>
        </w:rPr>
        <w:t>FERNANDO</w:t>
      </w:r>
      <w:r w:rsidRPr="009F4DC5">
        <w:rPr>
          <w:rFonts w:ascii="Verdana" w:eastAsia="Calibri" w:hAnsi="Verdana" w:cs="Arial"/>
          <w:b/>
          <w:bCs/>
          <w:lang w:eastAsia="es-ES"/>
        </w:rPr>
        <w:t xml:space="preserve"> </w:t>
      </w:r>
      <w:r>
        <w:rPr>
          <w:rFonts w:ascii="Verdana" w:eastAsia="Calibri" w:hAnsi="Verdana" w:cs="Arial"/>
          <w:b/>
          <w:bCs/>
          <w:lang w:eastAsia="es-ES"/>
        </w:rPr>
        <w:t>OCHOA RODRIGUEZ</w:t>
      </w:r>
    </w:p>
    <w:p w14:paraId="12A413B5" w14:textId="77777777" w:rsidR="00031A0B" w:rsidRPr="00D57FE3" w:rsidRDefault="00031A0B" w:rsidP="00031A0B">
      <w:pPr>
        <w:spacing w:after="0" w:line="240" w:lineRule="auto"/>
        <w:rPr>
          <w:rFonts w:ascii="Verdana" w:eastAsia="Calibri" w:hAnsi="Verdana" w:cs="Arial"/>
          <w:lang w:val="es-ES" w:eastAsia="es-ES"/>
        </w:rPr>
      </w:pPr>
      <w:hyperlink r:id="rId11" w:history="1">
        <w:r w:rsidRPr="00D57FE3">
          <w:rPr>
            <w:rStyle w:val="Hipervnculo"/>
            <w:rFonts w:ascii="Verdana" w:hAnsi="Verdana"/>
          </w:rPr>
          <w:t>contabilidadconsorcios@hotmail.co</w:t>
        </w:r>
      </w:hyperlink>
      <w:r w:rsidRPr="00D57FE3">
        <w:rPr>
          <w:rFonts w:ascii="Verdana" w:hAnsi="Verdana"/>
        </w:rPr>
        <w:t xml:space="preserve">  </w:t>
      </w:r>
      <w:r w:rsidRPr="00D57FE3">
        <w:rPr>
          <w:rFonts w:ascii="Verdana" w:eastAsia="Calibri" w:hAnsi="Verdana" w:cs="Arial"/>
          <w:lang w:eastAsia="es-ES"/>
        </w:rPr>
        <w:t xml:space="preserve"> </w:t>
      </w:r>
    </w:p>
    <w:p w14:paraId="3B94AF24" w14:textId="77777777" w:rsidR="00031A0B" w:rsidRPr="006B17A7" w:rsidRDefault="00031A0B" w:rsidP="00031A0B">
      <w:pPr>
        <w:spacing w:after="0" w:line="240" w:lineRule="auto"/>
        <w:rPr>
          <w:rFonts w:ascii="Verdana" w:eastAsia="Calibri" w:hAnsi="Verdana" w:cs="Arial"/>
          <w:b/>
          <w:bCs/>
          <w:lang w:val="es-ES" w:eastAsia="es-ES"/>
        </w:rPr>
      </w:pPr>
      <w:r>
        <w:rPr>
          <w:rFonts w:ascii="Verdana" w:eastAsia="Calibri" w:hAnsi="Verdana" w:cs="Arial"/>
          <w:lang w:val="es-ES" w:eastAsia="es-ES"/>
        </w:rPr>
        <w:t>Valledupar (Cesar)</w:t>
      </w:r>
    </w:p>
    <w:p w14:paraId="520FCE3F" w14:textId="77777777" w:rsidR="00031A0B" w:rsidRPr="00CB7ABE" w:rsidRDefault="00031A0B" w:rsidP="00031A0B">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031A0B" w:rsidRPr="00115E3D" w14:paraId="33919341" w14:textId="77777777" w:rsidTr="00C63CAF">
        <w:trPr>
          <w:trHeight w:val="615"/>
        </w:trPr>
        <w:tc>
          <w:tcPr>
            <w:tcW w:w="2270" w:type="dxa"/>
          </w:tcPr>
          <w:p w14:paraId="43681C61" w14:textId="77777777" w:rsidR="00031A0B" w:rsidRPr="00CB7ABE" w:rsidRDefault="00031A0B" w:rsidP="00C63CAF">
            <w:pPr>
              <w:jc w:val="both"/>
              <w:rPr>
                <w:rFonts w:ascii="Verdana" w:eastAsia="Calibri" w:hAnsi="Verdana" w:cs="Arial"/>
                <w:b/>
                <w:bCs/>
                <w:color w:val="000000" w:themeColor="text1"/>
                <w:lang w:eastAsia="es-ES_tradnl"/>
              </w:rPr>
            </w:pPr>
          </w:p>
        </w:tc>
        <w:tc>
          <w:tcPr>
            <w:tcW w:w="6547" w:type="dxa"/>
          </w:tcPr>
          <w:p w14:paraId="0C1598BF" w14:textId="77777777" w:rsidR="00031A0B" w:rsidRPr="008A209A" w:rsidRDefault="00031A0B" w:rsidP="00C63CAF">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549</w:t>
            </w:r>
            <w:r w:rsidRPr="008A209A">
              <w:rPr>
                <w:rFonts w:ascii="Verdana" w:eastAsia="Calibri" w:hAnsi="Verdana" w:cs="Arial"/>
                <w:b/>
                <w:bCs/>
                <w:color w:val="000000" w:themeColor="text1"/>
                <w:lang w:val="es-ES" w:eastAsia="es-ES"/>
              </w:rPr>
              <w:t xml:space="preserve"> de 2026</w:t>
            </w:r>
          </w:p>
        </w:tc>
      </w:tr>
      <w:tr w:rsidR="00031A0B" w:rsidRPr="007E403E" w14:paraId="3186B166" w14:textId="77777777" w:rsidTr="00C63CAF">
        <w:trPr>
          <w:trHeight w:val="1071"/>
        </w:trPr>
        <w:tc>
          <w:tcPr>
            <w:tcW w:w="2270" w:type="dxa"/>
          </w:tcPr>
          <w:p w14:paraId="72CB0378" w14:textId="77777777" w:rsidR="00031A0B" w:rsidRPr="001B36DA" w:rsidRDefault="00031A0B" w:rsidP="00C63CAF">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71511125" w14:textId="77777777" w:rsidR="00031A0B" w:rsidRDefault="00031A0B" w:rsidP="00C63CAF">
            <w:pPr>
              <w:spacing w:line="276" w:lineRule="auto"/>
              <w:jc w:val="both"/>
              <w:rPr>
                <w:rFonts w:ascii="Verdana" w:eastAsia="Arial" w:hAnsi="Verdana" w:cs="Arial"/>
                <w:lang w:val="es-MX"/>
              </w:rPr>
            </w:pPr>
            <w:r w:rsidRPr="00C02E1B">
              <w:rPr>
                <w:rFonts w:ascii="Verdana" w:eastAsia="Calibri" w:hAnsi="Verdana" w:cs="Arial"/>
                <w:lang w:val="es-ES" w:eastAsia="es-ES"/>
              </w:rPr>
              <w:t>SUBSANABILIDAD – Aplicación – R</w:t>
            </w:r>
            <w:r w:rsidRPr="00C02E1B">
              <w:rPr>
                <w:rFonts w:ascii="Verdana" w:eastAsia="Calibri" w:hAnsi="Verdana"/>
                <w:lang w:val="es-ES" w:eastAsia="es-ES"/>
              </w:rPr>
              <w:t>egla general</w:t>
            </w:r>
            <w:r w:rsidRPr="00C02E1B">
              <w:rPr>
                <w:rFonts w:ascii="Verdana" w:eastAsia="Calibri" w:hAnsi="Verdana" w:cs="Arial"/>
                <w:lang w:val="es-ES" w:eastAsia="es-ES"/>
              </w:rPr>
              <w:t xml:space="preserve"> – Excepciones / SUBSANABILIDAD – Circunstancias posteriores – Cierre del proceso- Ley 1882 de 2018</w:t>
            </w:r>
            <w:r>
              <w:rPr>
                <w:rFonts w:ascii="Verdana" w:eastAsia="Calibri" w:hAnsi="Verdana" w:cs="Arial"/>
                <w:lang w:val="es-ES" w:eastAsia="es-ES"/>
              </w:rPr>
              <w:t xml:space="preserve"> / SUBSANABILIDAD – Proceso de selección abreviada de mínima cuantía – Ficha técnica – Subsanabilidad – Oportunidad</w:t>
            </w:r>
          </w:p>
          <w:p w14:paraId="4E0BB0B3" w14:textId="77777777" w:rsidR="00031A0B" w:rsidRPr="005E256F" w:rsidRDefault="00031A0B" w:rsidP="00C63CAF">
            <w:pPr>
              <w:spacing w:line="276" w:lineRule="auto"/>
              <w:jc w:val="both"/>
              <w:rPr>
                <w:rFonts w:ascii="Verdana" w:eastAsia="Calibri" w:hAnsi="Verdana" w:cs="Arial"/>
                <w:color w:val="000000" w:themeColor="text1"/>
                <w:highlight w:val="yellow"/>
                <w:lang w:val="es-ES" w:eastAsia="es-ES"/>
              </w:rPr>
            </w:pPr>
          </w:p>
        </w:tc>
      </w:tr>
      <w:tr w:rsidR="00031A0B" w:rsidRPr="00115E3D" w14:paraId="3303937F" w14:textId="77777777" w:rsidTr="00C63CAF">
        <w:trPr>
          <w:trHeight w:val="653"/>
        </w:trPr>
        <w:tc>
          <w:tcPr>
            <w:tcW w:w="2270" w:type="dxa"/>
          </w:tcPr>
          <w:p w14:paraId="17505EE3" w14:textId="77777777" w:rsidR="00031A0B" w:rsidRPr="00890114" w:rsidRDefault="00031A0B" w:rsidP="00C63CAF">
            <w:pPr>
              <w:jc w:val="both"/>
              <w:rPr>
                <w:rFonts w:ascii="Verdana" w:eastAsia="Calibri" w:hAnsi="Verdana" w:cs="Arial"/>
                <w:b/>
                <w:color w:val="000000" w:themeColor="text1"/>
                <w:lang w:val="es-ES_tradnl" w:eastAsia="es-ES_tradnl"/>
              </w:rPr>
            </w:pPr>
            <w:r w:rsidRPr="00890114">
              <w:rPr>
                <w:rFonts w:ascii="Verdana" w:eastAsia="Calibri" w:hAnsi="Verdana" w:cs="Arial"/>
                <w:b/>
                <w:color w:val="000000" w:themeColor="text1"/>
                <w:lang w:val="es-ES_tradnl" w:eastAsia="es-ES_tradnl"/>
              </w:rPr>
              <w:t>Radicación:</w:t>
            </w:r>
            <w:r w:rsidRPr="00890114">
              <w:rPr>
                <w:rFonts w:ascii="Verdana" w:eastAsia="Calibri" w:hAnsi="Verdana" w:cs="Arial"/>
                <w:color w:val="000000" w:themeColor="text1"/>
                <w:lang w:val="es-ES_tradnl" w:eastAsia="es-ES_tradnl"/>
              </w:rPr>
              <w:t xml:space="preserve">           </w:t>
            </w:r>
          </w:p>
        </w:tc>
        <w:tc>
          <w:tcPr>
            <w:tcW w:w="6547" w:type="dxa"/>
          </w:tcPr>
          <w:p w14:paraId="0154F339" w14:textId="77777777" w:rsidR="00031A0B" w:rsidRPr="00890114" w:rsidRDefault="00031A0B" w:rsidP="00C63CAF">
            <w:pPr>
              <w:ind w:right="1"/>
              <w:jc w:val="both"/>
              <w:rPr>
                <w:rFonts w:ascii="Verdana" w:hAnsi="Verdana"/>
                <w:color w:val="000000" w:themeColor="text1"/>
              </w:rPr>
            </w:pPr>
            <w:r w:rsidRPr="00890114">
              <w:rPr>
                <w:rFonts w:ascii="Verdana" w:eastAsia="Calibri" w:hAnsi="Verdana" w:cs="Arial"/>
                <w:color w:val="000000" w:themeColor="text1"/>
                <w:lang w:val="es-ES_tradnl" w:eastAsia="es-ES_tradnl"/>
              </w:rPr>
              <w:t xml:space="preserve">Respuesta a consulta con radicado N.º </w:t>
            </w:r>
            <w:r w:rsidRPr="00890114">
              <w:rPr>
                <w:rFonts w:ascii="Verdana" w:hAnsi="Verdana"/>
                <w:color w:val="000000" w:themeColor="text1"/>
              </w:rPr>
              <w:t>1_2026_04_06_004543.</w:t>
            </w:r>
          </w:p>
        </w:tc>
      </w:tr>
      <w:tr w:rsidR="00031A0B" w:rsidRPr="00115E3D" w14:paraId="06B1A066" w14:textId="77777777" w:rsidTr="00C63CAF">
        <w:trPr>
          <w:trHeight w:val="653"/>
        </w:trPr>
        <w:tc>
          <w:tcPr>
            <w:tcW w:w="2270" w:type="dxa"/>
          </w:tcPr>
          <w:p w14:paraId="2B3E350C" w14:textId="77777777" w:rsidR="00031A0B" w:rsidRPr="00CB7ABE" w:rsidRDefault="00031A0B" w:rsidP="00C63CAF">
            <w:pPr>
              <w:jc w:val="both"/>
              <w:rPr>
                <w:rFonts w:ascii="Verdana" w:eastAsia="Calibri" w:hAnsi="Verdana" w:cs="Arial"/>
                <w:b/>
                <w:color w:val="000000" w:themeColor="text1"/>
                <w:lang w:val="es-ES_tradnl" w:eastAsia="es-ES_tradnl"/>
              </w:rPr>
            </w:pPr>
          </w:p>
        </w:tc>
        <w:tc>
          <w:tcPr>
            <w:tcW w:w="6547" w:type="dxa"/>
          </w:tcPr>
          <w:p w14:paraId="0C85DE66" w14:textId="77777777" w:rsidR="00031A0B" w:rsidRPr="00CB7ABE" w:rsidRDefault="00031A0B" w:rsidP="00C63CAF">
            <w:pPr>
              <w:ind w:right="1"/>
              <w:jc w:val="both"/>
              <w:rPr>
                <w:rFonts w:ascii="Verdana" w:eastAsia="Calibri" w:hAnsi="Verdana" w:cs="Arial"/>
                <w:color w:val="000000" w:themeColor="text1"/>
                <w:lang w:val="es-ES_tradnl" w:eastAsia="es-ES_tradnl"/>
              </w:rPr>
            </w:pPr>
          </w:p>
        </w:tc>
      </w:tr>
    </w:tbl>
    <w:p w14:paraId="676320C3" w14:textId="77777777" w:rsidR="00031A0B" w:rsidRPr="00115E3D" w:rsidRDefault="00031A0B" w:rsidP="00031A0B">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w:t>
      </w:r>
      <w:r w:rsidRPr="00115E3D">
        <w:rPr>
          <w:rFonts w:ascii="Verdana" w:eastAsia="Calibri" w:hAnsi="Verdana" w:cs="Arial"/>
          <w:color w:val="000000" w:themeColor="text1"/>
          <w:lang w:val="es-ES" w:eastAsia="es-ES"/>
        </w:rPr>
        <w:t>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Ochoa;</w:t>
      </w:r>
    </w:p>
    <w:p w14:paraId="60ECC7C5" w14:textId="77777777" w:rsidR="00031A0B" w:rsidRPr="00115E3D" w:rsidRDefault="00031A0B" w:rsidP="00031A0B">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76B8BA83" w14:textId="77777777" w:rsidR="00031A0B" w:rsidRPr="00115E3D" w:rsidRDefault="00031A0B" w:rsidP="00031A0B">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06 de abril de 2026 </w:t>
      </w:r>
      <w:r w:rsidRPr="00115E3D">
        <w:rPr>
          <w:rFonts w:ascii="Verdana" w:eastAsia="Calibri" w:hAnsi="Verdana" w:cs="Arial"/>
          <w:color w:val="000000" w:themeColor="text1"/>
          <w:lang w:val="es-ES" w:eastAsia="es-ES"/>
        </w:rPr>
        <w:t xml:space="preserve">en la cual manifiesta lo siguiente: </w:t>
      </w:r>
    </w:p>
    <w:p w14:paraId="27D82DA6"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2B5C0F19"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r w:rsidRPr="00104557">
        <w:rPr>
          <w:rFonts w:ascii="Verdana" w:eastAsia="Century Gothic" w:hAnsi="Verdana" w:cs="Century Gothic"/>
          <w:i/>
          <w:iCs/>
          <w:color w:val="000000" w:themeColor="text1"/>
          <w:sz w:val="20"/>
          <w:szCs w:val="20"/>
          <w:lang w:val="es-ES"/>
        </w:rPr>
        <w:t>“</w:t>
      </w:r>
      <w:r>
        <w:rPr>
          <w:rFonts w:ascii="Verdana" w:eastAsia="Century Gothic" w:hAnsi="Verdana" w:cs="Century Gothic"/>
          <w:i/>
          <w:iCs/>
          <w:color w:val="000000" w:themeColor="text1"/>
          <w:sz w:val="20"/>
          <w:szCs w:val="20"/>
          <w:lang w:val="es-ES"/>
        </w:rPr>
        <w:t xml:space="preserve"> </w:t>
      </w:r>
    </w:p>
    <w:p w14:paraId="05BC0B1A"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r>
        <w:rPr>
          <w:rFonts w:ascii="Verdana" w:eastAsia="Century Gothic" w:hAnsi="Verdana" w:cs="Century Gothic"/>
          <w:i/>
          <w:iCs/>
          <w:color w:val="000000" w:themeColor="text1"/>
          <w:sz w:val="20"/>
          <w:szCs w:val="20"/>
        </w:rPr>
        <w:t>¿</w:t>
      </w:r>
      <w:r w:rsidRPr="000D1527">
        <w:rPr>
          <w:rFonts w:ascii="Verdana" w:eastAsia="Century Gothic" w:hAnsi="Verdana" w:cs="Century Gothic"/>
          <w:i/>
          <w:iCs/>
          <w:color w:val="000000" w:themeColor="text1"/>
          <w:sz w:val="20"/>
          <w:szCs w:val="20"/>
        </w:rPr>
        <w:t xml:space="preserve">Nos dirigimos a ustedes para solicitar un concepto, en el marco de la competencia funcional establecida en los artículos 3, numeral 5º, y 11, numeral 8º, del Decreto Ley 4170 de 2011, así como lo establecido en el artículo 4 de la Resolución 1707 de 2018 expedida por esta Entidad: </w:t>
      </w:r>
    </w:p>
    <w:p w14:paraId="1A028FD5" w14:textId="77777777" w:rsidR="00031A0B" w:rsidRPr="000D1527"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p>
    <w:p w14:paraId="6F54985F"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r w:rsidRPr="000D1527">
        <w:rPr>
          <w:rFonts w:ascii="Verdana" w:eastAsia="Century Gothic" w:hAnsi="Verdana" w:cs="Century Gothic"/>
          <w:i/>
          <w:iCs/>
          <w:color w:val="000000" w:themeColor="text1"/>
          <w:sz w:val="20"/>
          <w:szCs w:val="20"/>
        </w:rPr>
        <w:lastRenderedPageBreak/>
        <w:t xml:space="preserve">Mediante reunión extraordinaria de Junta de Socios, cumpliendo todas las formalidades establecidas para tal efecto, una sociedad por acciones simplificada adoptó la decisión de tornar en indefinida su vigencia, la cual se encontraba hasta ese momento hasta el año 2035. </w:t>
      </w:r>
    </w:p>
    <w:p w14:paraId="1B6664FB" w14:textId="77777777" w:rsidR="00031A0B" w:rsidRPr="000D1527"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p>
    <w:p w14:paraId="423CBD63"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r w:rsidRPr="000D1527">
        <w:rPr>
          <w:rFonts w:ascii="Verdana" w:eastAsia="Century Gothic" w:hAnsi="Verdana" w:cs="Century Gothic"/>
          <w:i/>
          <w:iCs/>
          <w:color w:val="000000" w:themeColor="text1"/>
          <w:sz w:val="20"/>
          <w:szCs w:val="20"/>
        </w:rPr>
        <w:t xml:space="preserve">Con esa modificación, la sociedad presentó propuesta en el marco de una licitación pública que exigía a los proponentes una vigencia hasta el año 2037. Cinco (5) días después del cierre registró en la Cámara de Comercio el acta en que consta la decisión de ampliar la vigencia de la sociedad, con el fin de aportar prueba oponible a la entidad contratante del hecho previo consistente en la modificación de la vigencia de la sociedad. </w:t>
      </w:r>
    </w:p>
    <w:p w14:paraId="2F3A4E64" w14:textId="77777777" w:rsidR="00031A0B" w:rsidRPr="000D1527" w:rsidRDefault="00031A0B" w:rsidP="00031A0B">
      <w:pPr>
        <w:spacing w:after="0" w:line="240" w:lineRule="auto"/>
        <w:ind w:left="709" w:right="709"/>
        <w:jc w:val="both"/>
        <w:rPr>
          <w:rFonts w:ascii="Verdana" w:eastAsia="Century Gothic" w:hAnsi="Verdana" w:cs="Century Gothic"/>
          <w:i/>
          <w:iCs/>
          <w:color w:val="000000" w:themeColor="text1"/>
          <w:sz w:val="20"/>
          <w:szCs w:val="20"/>
        </w:rPr>
      </w:pPr>
    </w:p>
    <w:p w14:paraId="6ADE1A7B" w14:textId="77777777" w:rsidR="00031A0B" w:rsidRPr="00F9394E" w:rsidRDefault="00031A0B" w:rsidP="00031A0B">
      <w:pPr>
        <w:spacing w:after="0" w:line="240" w:lineRule="auto"/>
        <w:ind w:left="709" w:right="709"/>
        <w:jc w:val="both"/>
        <w:rPr>
          <w:rFonts w:ascii="Verdana" w:eastAsia="Century Gothic" w:hAnsi="Verdana" w:cs="Century Gothic"/>
          <w:i/>
          <w:iCs/>
          <w:color w:val="000000" w:themeColor="text1"/>
          <w:sz w:val="20"/>
          <w:szCs w:val="20"/>
          <w:lang w:val="es-MX"/>
        </w:rPr>
      </w:pPr>
      <w:r w:rsidRPr="000D1527">
        <w:rPr>
          <w:rFonts w:ascii="Verdana" w:eastAsia="Century Gothic" w:hAnsi="Verdana" w:cs="Century Gothic"/>
          <w:i/>
          <w:iCs/>
          <w:color w:val="000000" w:themeColor="text1"/>
          <w:sz w:val="20"/>
          <w:szCs w:val="20"/>
        </w:rPr>
        <w:t>Teniendo en cuenta que la inscripción del acta en Cámara de Comercio es la prueba del hecho habilitante (que es el de la vigencia de la sociedad hasta el año 2037) para hacerlo oponible a terceros, y considerando que ese hecho existe y tiene validez desde antes del cierre de la licitación, ¿puede la entidad contratante rechazar al proponente por no haber presentado esa prueba al momento del cierre? O por el contrario, ¿es válida la subsanación del proponente mediante la inscripción del acta en Cámara de Comercio como prueba para poderla oponer a terceros?</w:t>
      </w:r>
      <w:r>
        <w:rPr>
          <w:rFonts w:ascii="Verdana" w:eastAsia="Century Gothic" w:hAnsi="Verdana" w:cs="Century Gothic"/>
          <w:i/>
          <w:iCs/>
          <w:color w:val="000000" w:themeColor="text1"/>
          <w:sz w:val="20"/>
          <w:szCs w:val="20"/>
          <w:lang w:val="es-MX"/>
        </w:rPr>
        <w:t>“</w:t>
      </w:r>
    </w:p>
    <w:p w14:paraId="65AADDD0" w14:textId="77777777" w:rsidR="00031A0B" w:rsidRDefault="00031A0B" w:rsidP="00031A0B">
      <w:pPr>
        <w:spacing w:after="0" w:line="240" w:lineRule="auto"/>
        <w:ind w:left="709" w:right="709"/>
        <w:jc w:val="both"/>
        <w:rPr>
          <w:rFonts w:ascii="Verdana" w:eastAsia="Century Gothic" w:hAnsi="Verdana" w:cs="Century Gothic"/>
          <w:i/>
          <w:iCs/>
          <w:color w:val="000000" w:themeColor="text1"/>
          <w:sz w:val="20"/>
          <w:szCs w:val="20"/>
          <w:lang w:val="es-ES"/>
        </w:rPr>
      </w:pPr>
    </w:p>
    <w:p w14:paraId="670C5B96" w14:textId="77777777" w:rsidR="00031A0B" w:rsidRDefault="00031A0B" w:rsidP="00031A0B">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0228054" w14:textId="77777777" w:rsidR="00031A0B" w:rsidRPr="00115E3D" w:rsidRDefault="00031A0B" w:rsidP="00031A0B">
      <w:pPr>
        <w:spacing w:after="0" w:line="240" w:lineRule="auto"/>
        <w:ind w:right="49"/>
        <w:jc w:val="both"/>
        <w:rPr>
          <w:rFonts w:ascii="Verdana" w:eastAsia="Calibri" w:hAnsi="Verdana" w:cs="Arial"/>
          <w:color w:val="000000" w:themeColor="text1"/>
          <w:szCs w:val="24"/>
          <w:lang w:val="es-ES_tradnl" w:eastAsia="es-ES_tradnl"/>
        </w:rPr>
      </w:pPr>
    </w:p>
    <w:p w14:paraId="26A1F381" w14:textId="77777777" w:rsidR="00031A0B" w:rsidRPr="00115E3D" w:rsidRDefault="00031A0B" w:rsidP="00031A0B">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2E075F4D" w14:textId="77777777" w:rsidR="00031A0B" w:rsidRPr="00115E3D" w:rsidRDefault="00031A0B" w:rsidP="00031A0B">
      <w:pPr>
        <w:spacing w:after="0" w:line="276" w:lineRule="auto"/>
        <w:ind w:firstLine="709"/>
        <w:jc w:val="both"/>
        <w:rPr>
          <w:rFonts w:ascii="Verdana" w:eastAsia="Calibri" w:hAnsi="Verdana" w:cs="Arial"/>
          <w:color w:val="000000" w:themeColor="text1"/>
          <w:lang w:val="es-ES" w:eastAsia="es-ES"/>
        </w:rPr>
      </w:pPr>
    </w:p>
    <w:p w14:paraId="6BDFD2BB" w14:textId="77777777" w:rsidR="00031A0B" w:rsidRPr="00115E3D" w:rsidRDefault="00031A0B" w:rsidP="00031A0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lastRenderedPageBreak/>
        <w:t>Problema planteado:</w:t>
      </w:r>
    </w:p>
    <w:p w14:paraId="04A42DE6" w14:textId="77777777" w:rsidR="00031A0B" w:rsidRPr="00115E3D" w:rsidRDefault="00031A0B" w:rsidP="00031A0B">
      <w:pPr>
        <w:tabs>
          <w:tab w:val="left" w:pos="426"/>
        </w:tabs>
        <w:spacing w:after="0" w:line="276" w:lineRule="auto"/>
        <w:jc w:val="both"/>
        <w:rPr>
          <w:rFonts w:ascii="Verdana" w:eastAsia="Century Gothic" w:hAnsi="Verdana" w:cs="Century Gothic"/>
          <w:color w:val="000000" w:themeColor="text1"/>
          <w:lang w:val="es-ES"/>
        </w:rPr>
      </w:pPr>
    </w:p>
    <w:p w14:paraId="639F3766" w14:textId="292EFC5F" w:rsidR="00027D4D" w:rsidRDefault="00027D4D" w:rsidP="00031A0B">
      <w:pPr>
        <w:spacing w:after="0" w:line="276" w:lineRule="auto"/>
        <w:jc w:val="both"/>
        <w:rPr>
          <w:rFonts w:ascii="Verdana" w:hAnsi="Verdana"/>
        </w:rPr>
      </w:pPr>
    </w:p>
    <w:p w14:paraId="235E9500" w14:textId="77777777" w:rsidR="00027D4D" w:rsidRPr="00027D4D" w:rsidRDefault="00027D4D" w:rsidP="00027D4D">
      <w:pPr>
        <w:spacing w:after="0" w:line="276" w:lineRule="auto"/>
        <w:jc w:val="both"/>
        <w:rPr>
          <w:rFonts w:ascii="Verdana" w:hAnsi="Verdana"/>
        </w:rPr>
      </w:pPr>
      <w:r w:rsidRPr="00027D4D">
        <w:rPr>
          <w:rFonts w:ascii="Verdana" w:hAnsi="Verdana"/>
        </w:rPr>
        <w:t>¿Resulta procedente rechazar una oferta presentada dentro de un proceso de selección bajo la modalidad de licitación pública, cuando el proponente aporta, para acreditar su capacidad jurídica, un documento cuya formalización o registro se efectuó con posterioridad al cierre del proceso, pese a que dicho documento corresponde a una situación o decisión jurídica preexistente a esa fecha? O, por el contrario, ¿puede dicha circunstancia considerarse subsanable conforme a lo previsto en la Ley 1882 de 2018?</w:t>
      </w:r>
    </w:p>
    <w:p w14:paraId="04775870" w14:textId="77777777" w:rsidR="00027D4D" w:rsidRPr="00FF7AB3" w:rsidRDefault="00027D4D" w:rsidP="00031A0B">
      <w:pPr>
        <w:spacing w:after="0" w:line="276" w:lineRule="auto"/>
        <w:jc w:val="both"/>
        <w:rPr>
          <w:rFonts w:ascii="Verdana" w:hAnsi="Verdana"/>
        </w:rPr>
      </w:pPr>
    </w:p>
    <w:p w14:paraId="6771070F" w14:textId="77777777" w:rsidR="00031A0B" w:rsidRDefault="00031A0B" w:rsidP="00031A0B">
      <w:pPr>
        <w:spacing w:after="0" w:line="276" w:lineRule="auto"/>
        <w:jc w:val="both"/>
        <w:rPr>
          <w:rFonts w:ascii="Verdana" w:hAnsi="Verdana"/>
        </w:rPr>
      </w:pPr>
      <w:r>
        <w:rPr>
          <w:rFonts w:ascii="Verdana" w:hAnsi="Verdana"/>
        </w:rPr>
        <w:t xml:space="preserve"> </w:t>
      </w:r>
    </w:p>
    <w:p w14:paraId="7628CB66" w14:textId="77777777" w:rsidR="00031A0B" w:rsidRPr="00115E3D" w:rsidRDefault="00031A0B" w:rsidP="00031A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160FF90D" w14:textId="77777777" w:rsidR="00031A0B" w:rsidRPr="00115E3D" w:rsidRDefault="00031A0B" w:rsidP="00031A0B">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31A0B" w:rsidRPr="00115E3D" w14:paraId="77CCCA27" w14:textId="77777777" w:rsidTr="00C63CAF">
        <w:trPr>
          <w:trHeight w:val="774"/>
        </w:trPr>
        <w:tc>
          <w:tcPr>
            <w:tcW w:w="8828" w:type="dxa"/>
          </w:tcPr>
          <w:p w14:paraId="7DD217E6" w14:textId="77777777" w:rsidR="00031A0B" w:rsidRPr="00FF7AB3" w:rsidRDefault="00031A0B" w:rsidP="00C63CAF">
            <w:pPr>
              <w:spacing w:after="120" w:line="276" w:lineRule="auto"/>
              <w:jc w:val="both"/>
              <w:rPr>
                <w:rFonts w:ascii="Verdana" w:eastAsia="Arial" w:hAnsi="Verdana" w:cs="Arial"/>
              </w:rPr>
            </w:pPr>
            <w:r>
              <w:rPr>
                <w:rFonts w:ascii="Verdana" w:eastAsia="Arial" w:hAnsi="Verdana" w:cs="Arial"/>
              </w:rPr>
              <w:t xml:space="preserve">       </w:t>
            </w:r>
            <w:r w:rsidRPr="00FF7AB3">
              <w:rPr>
                <w:rFonts w:ascii="Verdana" w:eastAsia="Arial" w:hAnsi="Verdana" w:cs="Arial"/>
              </w:rPr>
              <w:t>Frente a la subsanación de los requisitos habilitantes, resulta necesario señalar que, conforme a lo dispuesto en el artículo 5 de la Ley 1150 de 2007, modificado por el artículo 5 de la Ley 1882 de 2018, es procedente corregir, aclarar o complementar los documentos relacionados con dichos requisitos, siempre que con ello no se acrediten circunstancias ocurridas con posterioridad al cierre del proceso de selección. Ello obedece a que los requisitos habilitantes no constituyen factores de evaluación susceptibles de asignación de puntaje y, por tanto, su subsanación no implica un mejoramiento de la oferta.</w:t>
            </w:r>
          </w:p>
          <w:p w14:paraId="2559AB54" w14:textId="5BE51FAE" w:rsidR="00CE79BD" w:rsidRPr="006B1DE1" w:rsidRDefault="00CE79BD" w:rsidP="00CE79BD">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Conforme a dicha regla, los requisitos o documentos que no sean necesarios para la comparación de las ofertas pueden subsanarse y, en consecuencia, todo aquello que no afecte la asignación de puntaje no constituye causal suficiente para rechazar una propuesta.</w:t>
            </w:r>
          </w:p>
          <w:p w14:paraId="37DF81BE" w14:textId="2A716654" w:rsidR="00CE79BD" w:rsidRPr="00940117" w:rsidRDefault="00CE79BD" w:rsidP="00940117">
            <w:pPr>
              <w:spacing w:before="120" w:after="120" w:line="276" w:lineRule="auto"/>
              <w:jc w:val="both"/>
              <w:rPr>
                <w:rFonts w:ascii="Verdana" w:eastAsia="Calibri" w:hAnsi="Verdana"/>
              </w:rPr>
            </w:pPr>
            <w:r>
              <w:rPr>
                <w:rFonts w:ascii="Verdana" w:eastAsia="Calibri" w:hAnsi="Verdana"/>
              </w:rPr>
              <w:t xml:space="preserve">         </w:t>
            </w:r>
            <w:r w:rsidRPr="006B1DE1">
              <w:rPr>
                <w:rFonts w:ascii="Verdana" w:eastAsia="Calibri" w:hAnsi="Verdana"/>
              </w:rPr>
              <w:t>De acuerdo con el artículo 5 de la Ley 1882 de 2018, lo subsanable corresponde a la prueba de circunstancias ocurridas antes del vencimiento del término para presentar ofertas. Esto significa que no es posible acreditar hechos o condiciones surgidas con posterioridad al cierre del proceso, ni modificar elementos sustanciales de la propuesta una vez presentada</w:t>
            </w:r>
            <w:r>
              <w:rPr>
                <w:rFonts w:ascii="Verdana" w:eastAsia="Calibri" w:hAnsi="Verdana"/>
              </w:rPr>
              <w:t>.</w:t>
            </w:r>
          </w:p>
          <w:p w14:paraId="7FEBCAE3" w14:textId="6F34C58B" w:rsidR="00031A0B" w:rsidRPr="00FF7AB3" w:rsidRDefault="00031A0B" w:rsidP="00C63CAF">
            <w:pPr>
              <w:spacing w:after="120" w:line="276" w:lineRule="auto"/>
              <w:jc w:val="both"/>
              <w:rPr>
                <w:rFonts w:ascii="Verdana" w:eastAsia="Arial" w:hAnsi="Verdana" w:cs="Arial"/>
              </w:rPr>
            </w:pPr>
            <w:r>
              <w:rPr>
                <w:rFonts w:ascii="Verdana" w:eastAsia="Arial" w:hAnsi="Verdana" w:cs="Arial"/>
              </w:rPr>
              <w:t xml:space="preserve">         </w:t>
            </w:r>
            <w:r w:rsidRPr="00FF7AB3">
              <w:rPr>
                <w:rFonts w:ascii="Verdana" w:eastAsia="Arial" w:hAnsi="Verdana" w:cs="Arial"/>
              </w:rPr>
              <w:t xml:space="preserve">En ese sentido, las Entidades Estatales </w:t>
            </w:r>
            <w:r w:rsidR="00A862A7">
              <w:rPr>
                <w:rFonts w:ascii="Verdana" w:eastAsia="Arial" w:hAnsi="Verdana" w:cs="Arial"/>
              </w:rPr>
              <w:t>pueden</w:t>
            </w:r>
            <w:r w:rsidRPr="00FF7AB3">
              <w:rPr>
                <w:rFonts w:ascii="Verdana" w:eastAsia="Arial" w:hAnsi="Verdana" w:cs="Arial"/>
              </w:rPr>
              <w:t xml:space="preserve"> permitir la subsanación de las falencias o inconsistencias relacionadas con la acreditación de requisitos habilitantes, siempre que el hecho o condición que se pretende demostrar hubiere existido antes del cierre del proceso. Así, la regla de subsanabilidad </w:t>
            </w:r>
            <w:r w:rsidRPr="00FF7AB3">
              <w:rPr>
                <w:rFonts w:ascii="Verdana" w:eastAsia="Arial" w:hAnsi="Verdana" w:cs="Arial"/>
              </w:rPr>
              <w:lastRenderedPageBreak/>
              <w:t>permite complementar o corregir el medio probatorio mediante el cual se acredita una situación preexistente, pero no faculta a los oferentes para crear, modificar o consolidar condiciones habilitantes con posterioridad a la presentación de la oferta.</w:t>
            </w:r>
          </w:p>
          <w:p w14:paraId="13D35BE1" w14:textId="6EC4F037" w:rsidR="00031A0B" w:rsidRPr="00FF7AB3" w:rsidRDefault="00031A0B" w:rsidP="00C63CAF">
            <w:pPr>
              <w:spacing w:after="120" w:line="276" w:lineRule="auto"/>
              <w:jc w:val="both"/>
              <w:rPr>
                <w:rFonts w:ascii="Verdana" w:eastAsia="Arial" w:hAnsi="Verdana" w:cs="Arial"/>
              </w:rPr>
            </w:pPr>
            <w:r>
              <w:rPr>
                <w:rFonts w:ascii="Verdana" w:eastAsia="Arial" w:hAnsi="Verdana" w:cs="Arial"/>
              </w:rPr>
              <w:t xml:space="preserve">        </w:t>
            </w:r>
            <w:r w:rsidRPr="00FF7AB3">
              <w:rPr>
                <w:rFonts w:ascii="Verdana" w:eastAsia="Arial" w:hAnsi="Verdana" w:cs="Arial"/>
              </w:rPr>
              <w:t xml:space="preserve">Bajo este entendimiento, cuando una actuación societaria, administrativa o jurídica que </w:t>
            </w:r>
            <w:r w:rsidR="008B731D" w:rsidRPr="008B731D">
              <w:rPr>
                <w:rFonts w:ascii="Verdana" w:eastAsia="Arial" w:hAnsi="Verdana" w:cs="Arial"/>
              </w:rPr>
              <w:t>sustenta el cumplimiento de un requisito habilitante ha sido válidamente adoptada antes del cierre del proceso de selección, pero su inscripción, registro, formalización o acreditación documental se produce con posterioridad, dicha circunstancia puede considerarse subsanable. Ello, siempre que el documento expedido con posterioridad no contradiga la información presentada en la propuesta antes de la fecha de cierre del proceso; que la situación jurídica correspondiente haya sido acreditada de alguna forma en la oferta; que el marco normativo aplicable no exija una fecha específica de inscripción o registro para la presentación de la propuesta; que no se trate de un acto sujeto a oponibilidad; y que el documento posterior constituya únicamente la prueba frente a terceros de una situación jurídica ya existente al momento del cierre del proceso.</w:t>
            </w:r>
          </w:p>
          <w:p w14:paraId="2E78927E" w14:textId="77777777" w:rsidR="00031A0B" w:rsidRDefault="00031A0B" w:rsidP="00C63CAF">
            <w:pPr>
              <w:spacing w:after="120" w:line="276" w:lineRule="auto"/>
              <w:jc w:val="both"/>
              <w:rPr>
                <w:rFonts w:ascii="Verdana" w:eastAsia="Arial" w:hAnsi="Verdana" w:cs="Arial"/>
              </w:rPr>
            </w:pPr>
            <w:r>
              <w:rPr>
                <w:rFonts w:ascii="Verdana" w:eastAsia="Arial" w:hAnsi="Verdana" w:cs="Arial"/>
              </w:rPr>
              <w:t xml:space="preserve">       </w:t>
            </w:r>
            <w:r w:rsidRPr="00FF7AB3">
              <w:rPr>
                <w:rFonts w:ascii="Verdana" w:eastAsia="Arial" w:hAnsi="Verdana" w:cs="Arial"/>
              </w:rPr>
              <w:t xml:space="preserve">En consecuencia, la Entidad Estatal </w:t>
            </w:r>
            <w:r>
              <w:rPr>
                <w:rFonts w:ascii="Verdana" w:eastAsia="Arial" w:hAnsi="Verdana" w:cs="Arial"/>
              </w:rPr>
              <w:t xml:space="preserve">de acuerdo con lo anteriormente indicado </w:t>
            </w:r>
            <w:r w:rsidRPr="00FF7AB3">
              <w:rPr>
                <w:rFonts w:ascii="Verdana" w:eastAsia="Arial" w:hAnsi="Verdana" w:cs="Arial"/>
              </w:rPr>
              <w:t>deber</w:t>
            </w:r>
            <w:r>
              <w:rPr>
                <w:rFonts w:ascii="Verdana" w:eastAsia="Arial" w:hAnsi="Verdana" w:cs="Arial"/>
              </w:rPr>
              <w:t>á</w:t>
            </w:r>
            <w:r w:rsidRPr="00FF7AB3">
              <w:rPr>
                <w:rFonts w:ascii="Verdana" w:eastAsia="Arial" w:hAnsi="Verdana" w:cs="Arial"/>
              </w:rPr>
              <w:t xml:space="preserve"> </w:t>
            </w:r>
            <w:r>
              <w:rPr>
                <w:rFonts w:ascii="Verdana" w:eastAsia="Arial" w:hAnsi="Verdana" w:cs="Arial"/>
              </w:rPr>
              <w:t xml:space="preserve">evaluar si </w:t>
            </w:r>
            <w:r w:rsidRPr="00FF7AB3">
              <w:rPr>
                <w:rFonts w:ascii="Verdana" w:eastAsia="Arial" w:hAnsi="Verdana" w:cs="Arial"/>
              </w:rPr>
              <w:t>rechaza</w:t>
            </w:r>
            <w:r>
              <w:rPr>
                <w:rFonts w:ascii="Verdana" w:eastAsia="Arial" w:hAnsi="Verdana" w:cs="Arial"/>
              </w:rPr>
              <w:t xml:space="preserve"> o no </w:t>
            </w:r>
            <w:r w:rsidRPr="00FF7AB3">
              <w:rPr>
                <w:rFonts w:ascii="Verdana" w:eastAsia="Arial" w:hAnsi="Verdana" w:cs="Arial"/>
              </w:rPr>
              <w:t xml:space="preserve">la oferta por el hecho de que el documento actualizado o el soporte registral se hubiere aportado con posterioridad al cierre del proceso, </w:t>
            </w:r>
            <w:r>
              <w:rPr>
                <w:rFonts w:ascii="Verdana" w:eastAsia="Arial" w:hAnsi="Verdana" w:cs="Arial"/>
              </w:rPr>
              <w:t>ya</w:t>
            </w:r>
            <w:r w:rsidRPr="00FF7AB3">
              <w:rPr>
                <w:rFonts w:ascii="Verdana" w:eastAsia="Arial" w:hAnsi="Verdana" w:cs="Arial"/>
              </w:rPr>
              <w:t xml:space="preserve"> que </w:t>
            </w:r>
            <w:r>
              <w:rPr>
                <w:rFonts w:ascii="Verdana" w:eastAsia="Arial" w:hAnsi="Verdana" w:cs="Arial"/>
              </w:rPr>
              <w:t>debe</w:t>
            </w:r>
            <w:r w:rsidRPr="00FF7AB3">
              <w:rPr>
                <w:rFonts w:ascii="Verdana" w:eastAsia="Arial" w:hAnsi="Verdana" w:cs="Arial"/>
              </w:rPr>
              <w:t xml:space="preserve"> </w:t>
            </w:r>
            <w:r>
              <w:rPr>
                <w:rFonts w:ascii="Verdana" w:eastAsia="Arial" w:hAnsi="Verdana" w:cs="Arial"/>
              </w:rPr>
              <w:t xml:space="preserve">quedar </w:t>
            </w:r>
            <w:r w:rsidRPr="00FF7AB3">
              <w:rPr>
                <w:rFonts w:ascii="Verdana" w:eastAsia="Arial" w:hAnsi="Verdana" w:cs="Arial"/>
              </w:rPr>
              <w:t>dem</w:t>
            </w:r>
            <w:r>
              <w:rPr>
                <w:rFonts w:ascii="Verdana" w:eastAsia="Arial" w:hAnsi="Verdana" w:cs="Arial"/>
              </w:rPr>
              <w:t>ostrado</w:t>
            </w:r>
            <w:r w:rsidRPr="00FF7AB3">
              <w:rPr>
                <w:rFonts w:ascii="Verdana" w:eastAsia="Arial" w:hAnsi="Verdana" w:cs="Arial"/>
              </w:rPr>
              <w:t xml:space="preserve"> que la condición habilitante existía materialmente antes de dicho momento y que la actuación posterior no constituyó la creación de un hecho nuevo o sobreviniente.</w:t>
            </w:r>
          </w:p>
          <w:p w14:paraId="6298B7C0" w14:textId="77777777" w:rsidR="00031A0B" w:rsidRPr="00FF7AB3" w:rsidRDefault="00031A0B" w:rsidP="00C63CAF">
            <w:pPr>
              <w:spacing w:after="120" w:line="276" w:lineRule="auto"/>
              <w:jc w:val="both"/>
              <w:rPr>
                <w:rFonts w:ascii="Verdana" w:eastAsia="Arial" w:hAnsi="Verdana" w:cs="Arial"/>
              </w:rPr>
            </w:pPr>
            <w:r>
              <w:rPr>
                <w:rFonts w:ascii="Verdana" w:eastAsia="Arial" w:hAnsi="Verdana" w:cs="Arial"/>
              </w:rPr>
              <w:t xml:space="preserve">        </w:t>
            </w:r>
            <w:r w:rsidRPr="005A3A3B">
              <w:rPr>
                <w:rFonts w:ascii="Verdana" w:eastAsia="Arial" w:hAnsi="Verdana" w:cs="Arial"/>
              </w:rPr>
              <w:t>Adicionalmente, se recomienda consultar el documento denominado “Manual para determinar y verificar los requisitos habilitantes en los Procesos de Contratación”</w:t>
            </w:r>
            <w:r>
              <w:rPr>
                <w:rStyle w:val="Refdenotaalpie"/>
                <w:rFonts w:ascii="Verdana" w:eastAsia="Arial" w:hAnsi="Verdana" w:cs="Arial"/>
              </w:rPr>
              <w:footnoteReference w:id="2"/>
            </w:r>
            <w:r w:rsidRPr="005A3A3B">
              <w:rPr>
                <w:rFonts w:ascii="Verdana" w:eastAsia="Arial" w:hAnsi="Verdana" w:cs="Arial"/>
              </w:rPr>
              <w:t xml:space="preserve">, expedido por Agencia Nacional de Contratación Pública – Colombia Compra Eficiente, el cual desarrolla criterios orientadores sobre la verificación de requisitos habilitantes y su acreditación dentro de los procesos de selección. En dicho instrumento se precisan aspectos relacionados con la capacidad jurídica, financiera, organizacional y técnica de los proponentes, así </w:t>
            </w:r>
            <w:r w:rsidRPr="005A3A3B">
              <w:rPr>
                <w:rFonts w:ascii="Verdana" w:eastAsia="Arial" w:hAnsi="Verdana" w:cs="Arial"/>
              </w:rPr>
              <w:lastRenderedPageBreak/>
              <w:t>como las reglas aplicables a la subsanación de documentos e información, en concordancia con lo previsto en la Ley 1150 de 2007 y la Ley 1882 de 2018.</w:t>
            </w:r>
          </w:p>
          <w:p w14:paraId="17CE21A3" w14:textId="77777777" w:rsidR="00031A0B" w:rsidRPr="00B643B2" w:rsidRDefault="00031A0B" w:rsidP="00C63CAF">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59ED185F" w14:textId="77777777" w:rsidR="00031A0B" w:rsidRPr="0029110A" w:rsidRDefault="00031A0B" w:rsidP="00C63CAF">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031A0B" w:rsidRPr="00115E3D" w14:paraId="31B9D9D0" w14:textId="77777777" w:rsidTr="00C63CAF">
        <w:trPr>
          <w:trHeight w:val="162"/>
        </w:trPr>
        <w:tc>
          <w:tcPr>
            <w:tcW w:w="8828" w:type="dxa"/>
          </w:tcPr>
          <w:p w14:paraId="06742B9D" w14:textId="77777777" w:rsidR="00031A0B" w:rsidRDefault="00031A0B" w:rsidP="00C63CAF">
            <w:pPr>
              <w:spacing w:line="276" w:lineRule="auto"/>
              <w:jc w:val="both"/>
              <w:rPr>
                <w:rFonts w:ascii="Verdana" w:eastAsia="Calibri" w:hAnsi="Verdana" w:cs="Arial"/>
              </w:rPr>
            </w:pPr>
          </w:p>
        </w:tc>
      </w:tr>
    </w:tbl>
    <w:p w14:paraId="41E5C7BF" w14:textId="77777777" w:rsidR="00031A0B" w:rsidRDefault="00031A0B" w:rsidP="00031A0B">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72CB34B" w14:textId="77777777" w:rsidR="00031A0B" w:rsidRDefault="00031A0B" w:rsidP="00031A0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78E713F7" w14:textId="77777777" w:rsidR="00031A0B" w:rsidRDefault="00031A0B" w:rsidP="00031A0B">
      <w:pPr>
        <w:spacing w:after="120" w:line="276" w:lineRule="auto"/>
        <w:jc w:val="both"/>
        <w:rPr>
          <w:rFonts w:ascii="Verdana" w:hAnsi="Verdana"/>
        </w:rPr>
      </w:pPr>
    </w:p>
    <w:p w14:paraId="53F5F51F" w14:textId="77777777" w:rsidR="00031A0B" w:rsidRDefault="00031A0B" w:rsidP="00031A0B">
      <w:pPr>
        <w:spacing w:after="120" w:line="276" w:lineRule="auto"/>
        <w:jc w:val="both"/>
        <w:rPr>
          <w:rFonts w:ascii="Verdana" w:hAnsi="Verdana"/>
        </w:rPr>
      </w:pPr>
      <w:r>
        <w:rPr>
          <w:rFonts w:ascii="Verdana" w:hAnsi="Verdana"/>
        </w:rPr>
        <w:t>Lo anterior se sustenta en las siguientes consideraciones:</w:t>
      </w:r>
    </w:p>
    <w:p w14:paraId="1DC992FC" w14:textId="77777777" w:rsidR="00031A0B" w:rsidRPr="002F50D4" w:rsidRDefault="00031A0B" w:rsidP="00031A0B">
      <w:pPr>
        <w:spacing w:after="120" w:line="276" w:lineRule="auto"/>
        <w:ind w:firstLine="360"/>
        <w:jc w:val="both"/>
        <w:rPr>
          <w:rFonts w:ascii="Verdana" w:eastAsia="Calibri" w:hAnsi="Verdana" w:cs="Arial"/>
          <w:lang w:eastAsia="es-MX"/>
        </w:rPr>
      </w:pPr>
      <w:bookmarkStart w:id="2" w:name="_Hlk99546562"/>
      <w:r>
        <w:rPr>
          <w:rFonts w:ascii="Verdana" w:eastAsia="Calibri" w:hAnsi="Verdana" w:cs="Arial"/>
          <w:lang w:eastAsia="es-MX"/>
        </w:rPr>
        <w:t xml:space="preserve">    </w:t>
      </w:r>
      <w:r w:rsidRPr="002F50D4">
        <w:rPr>
          <w:rFonts w:ascii="Verdana" w:eastAsia="Calibri" w:hAnsi="Verdana" w:cs="Arial"/>
          <w:lang w:eastAsia="es-MX"/>
        </w:rPr>
        <w:t xml:space="preserve">Los </w:t>
      </w:r>
      <w:r w:rsidRPr="002F50D4">
        <w:rPr>
          <w:rFonts w:ascii="Verdana" w:eastAsia="Calibri" w:hAnsi="Verdana" w:cs="Arial"/>
          <w:i/>
          <w:lang w:eastAsia="es-MX"/>
        </w:rPr>
        <w:t>requisitos habilitantes</w:t>
      </w:r>
      <w:r w:rsidRPr="002F50D4">
        <w:rPr>
          <w:rFonts w:ascii="Verdana" w:eastAsia="Calibri" w:hAnsi="Verdana" w:cs="Arial"/>
          <w:lang w:eastAsia="es-MX"/>
        </w:rPr>
        <w:t xml:space="preserve"> se definen como aquellas exigencias de participación en los procedimientos de selección, establecidas en disposiciones normativas, de carácter legal o reglamentario, o contenidas en el acto administrativo que regula las reglas de la convocatoria–es decir, en el pliego de condiciones o el documento equivalente a este–. Se diferencian de los </w:t>
      </w:r>
      <w:r w:rsidRPr="002F50D4">
        <w:rPr>
          <w:rFonts w:ascii="Verdana" w:eastAsia="Calibri" w:hAnsi="Verdana" w:cs="Arial"/>
          <w:i/>
          <w:lang w:eastAsia="es-MX"/>
        </w:rPr>
        <w:t>criterios de evaluación</w:t>
      </w:r>
      <w:r w:rsidRPr="002F50D4">
        <w:rPr>
          <w:rFonts w:ascii="Verdana" w:eastAsia="Calibri" w:hAnsi="Verdana" w:cs="Arial"/>
          <w:lang w:eastAsia="es-MX"/>
        </w:rPr>
        <w:t xml:space="preserve">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 </w:t>
      </w:r>
    </w:p>
    <w:bookmarkEnd w:id="2"/>
    <w:p w14:paraId="59189687" w14:textId="77777777" w:rsidR="00031A0B" w:rsidRPr="002F50D4" w:rsidRDefault="00031A0B" w:rsidP="00031A0B">
      <w:pPr>
        <w:spacing w:after="120" w:line="276" w:lineRule="auto"/>
        <w:ind w:firstLine="360"/>
        <w:jc w:val="both"/>
        <w:rPr>
          <w:rFonts w:ascii="Verdana" w:eastAsia="Calibri" w:hAnsi="Verdana" w:cs="Arial"/>
          <w:lang w:eastAsia="es-MX"/>
        </w:rPr>
      </w:pPr>
      <w:r>
        <w:rPr>
          <w:rFonts w:ascii="Verdana" w:eastAsia="Calibri" w:hAnsi="Verdana" w:cs="Arial"/>
          <w:lang w:eastAsia="es-MX"/>
        </w:rPr>
        <w:t xml:space="preserve">    De esta manera l</w:t>
      </w:r>
      <w:r w:rsidRPr="002F50D4">
        <w:rPr>
          <w:rFonts w:ascii="Verdana" w:eastAsia="Calibri" w:hAnsi="Verdana" w:cs="Arial"/>
          <w:lang w:eastAsia="es-MX"/>
        </w:rPr>
        <w:t xml:space="preserve">os requisitos habilitantes constituyen los requerimientos mínimos con los que deben cumplir los proponentes para poder participar en el </w:t>
      </w:r>
      <w:r w:rsidRPr="002F50D4">
        <w:rPr>
          <w:rFonts w:ascii="Verdana" w:eastAsia="Calibri" w:hAnsi="Verdana" w:cs="Arial"/>
          <w:lang w:eastAsia="es-MX"/>
        </w:rPr>
        <w:lastRenderedPageBreak/>
        <w:t>procedimiento de selección, razón por la que los mismos no se valoran con un puntaje tendiente a determinar el orden de escogencia, sino que se analizan como criterios previos a la evaluación en sentido estricto, de manera que quienes no los reúnan no pueden continuar en el procedimiento de selección, es decir, incurren en causal de rechazo. Esto sin perjuicio del derecho que tienen los oferentes de subsanar los defectos que se presenten en la prueba de tales requisitos, de conformidad con el artículo 5, parágrafos 1º al 4º, de la Ley 1150 de 2007.</w:t>
      </w:r>
    </w:p>
    <w:p w14:paraId="1F538FBD" w14:textId="77777777" w:rsidR="00031A0B" w:rsidRPr="002F50D4" w:rsidRDefault="00031A0B" w:rsidP="00031A0B">
      <w:pPr>
        <w:spacing w:after="120" w:line="276" w:lineRule="auto"/>
        <w:ind w:firstLine="360"/>
        <w:jc w:val="both"/>
        <w:rPr>
          <w:rFonts w:ascii="Verdana" w:eastAsia="Calibri" w:hAnsi="Verdana" w:cs="Arial"/>
          <w:lang w:val="es-ES_tradnl" w:eastAsia="es-MX"/>
        </w:rPr>
      </w:pPr>
      <w:r>
        <w:rPr>
          <w:rFonts w:ascii="Verdana" w:eastAsia="Calibri" w:hAnsi="Verdana" w:cs="Arial"/>
          <w:lang w:val="es-ES_tradnl" w:eastAsia="es-MX"/>
        </w:rPr>
        <w:t xml:space="preserve">   </w:t>
      </w:r>
      <w:r w:rsidRPr="002F50D4">
        <w:rPr>
          <w:rFonts w:ascii="Verdana" w:eastAsia="Calibri" w:hAnsi="Verdana" w:cs="Arial"/>
          <w:lang w:val="es-ES_tradnl" w:eastAsia="es-MX"/>
        </w:rPr>
        <w:t xml:space="preserve">El mencionado artículo dispone que se considera “[…] objetiva la selección en la cual la escogencia se haga al ofrecimiento más favorable a la entidad y a los fines que ella busca, sin tener en consideración factores de afecto o de interés y, en general, cualquier clase de motivación subjetiva”. En ese contexto, los factores de escogencia y calificación que establezcan las entidades en los pliegos de condiciones o sus documentos equivalentes deberán tener en cuenta, entre otras cuestiones, los criterios establecidos en dicha disposición. </w:t>
      </w:r>
    </w:p>
    <w:p w14:paraId="63BDFF34" w14:textId="77777777" w:rsidR="00031A0B" w:rsidRPr="002F50D4" w:rsidRDefault="00031A0B" w:rsidP="00031A0B">
      <w:pPr>
        <w:spacing w:after="0" w:line="276" w:lineRule="auto"/>
        <w:ind w:firstLine="360"/>
        <w:jc w:val="both"/>
        <w:rPr>
          <w:rFonts w:ascii="Verdana" w:eastAsia="Calibri" w:hAnsi="Verdana" w:cs="Arial"/>
          <w:lang w:eastAsia="es-MX"/>
        </w:rPr>
      </w:pPr>
      <w:r>
        <w:rPr>
          <w:rFonts w:ascii="Verdana" w:eastAsia="Calibri" w:hAnsi="Verdana" w:cs="Arial"/>
          <w:lang w:eastAsia="es-MX"/>
        </w:rPr>
        <w:t xml:space="preserve">  </w:t>
      </w:r>
      <w:r w:rsidRPr="002F50D4">
        <w:rPr>
          <w:rFonts w:ascii="Verdana" w:eastAsia="Calibri" w:hAnsi="Verdana" w:cs="Arial"/>
          <w:lang w:eastAsia="es-MX"/>
        </w:rPr>
        <w:t xml:space="preserve">Específicamente, el numeral 1º del artículo referido establece que en los procesos de selección de contratistas serán objeto de verificación, como requisitos habilitantes, entre otros, los siguientes: i) la capacidad jurídica; </w:t>
      </w:r>
      <w:proofErr w:type="spellStart"/>
      <w:r w:rsidRPr="002F50D4">
        <w:rPr>
          <w:rFonts w:ascii="Verdana" w:eastAsia="Calibri" w:hAnsi="Verdana" w:cs="Arial"/>
          <w:lang w:eastAsia="es-MX"/>
        </w:rPr>
        <w:t>ii</w:t>
      </w:r>
      <w:proofErr w:type="spellEnd"/>
      <w:r w:rsidRPr="002F50D4">
        <w:rPr>
          <w:rFonts w:ascii="Verdana" w:eastAsia="Calibri" w:hAnsi="Verdana" w:cs="Arial"/>
          <w:lang w:eastAsia="es-MX"/>
        </w:rPr>
        <w:t xml:space="preserve">) la experiencia; </w:t>
      </w:r>
      <w:proofErr w:type="spellStart"/>
      <w:r w:rsidRPr="002F50D4">
        <w:rPr>
          <w:rFonts w:ascii="Verdana" w:eastAsia="Calibri" w:hAnsi="Verdana" w:cs="Arial"/>
          <w:lang w:eastAsia="es-MX"/>
        </w:rPr>
        <w:t>iii</w:t>
      </w:r>
      <w:proofErr w:type="spellEnd"/>
      <w:r w:rsidRPr="002F50D4">
        <w:rPr>
          <w:rFonts w:ascii="Verdana" w:eastAsia="Calibri" w:hAnsi="Verdana" w:cs="Arial"/>
          <w:lang w:eastAsia="es-MX"/>
        </w:rPr>
        <w:t xml:space="preserve">) la capacidad financiera y </w:t>
      </w:r>
      <w:proofErr w:type="spellStart"/>
      <w:r w:rsidRPr="002F50D4">
        <w:rPr>
          <w:rFonts w:ascii="Verdana" w:eastAsia="Calibri" w:hAnsi="Verdana" w:cs="Arial"/>
          <w:lang w:eastAsia="es-MX"/>
        </w:rPr>
        <w:t>iv</w:t>
      </w:r>
      <w:proofErr w:type="spellEnd"/>
      <w:r w:rsidRPr="002F50D4">
        <w:rPr>
          <w:rFonts w:ascii="Verdana" w:eastAsia="Calibri" w:hAnsi="Verdana" w:cs="Arial"/>
          <w:lang w:eastAsia="es-MX"/>
        </w:rPr>
        <w:t xml:space="preserve">) la capacidad de organización. En efecto, la normativa citada dispone: </w:t>
      </w:r>
    </w:p>
    <w:p w14:paraId="0AF45AEA" w14:textId="77777777" w:rsidR="00031A0B" w:rsidRPr="00C861EF" w:rsidRDefault="00031A0B" w:rsidP="00031A0B">
      <w:pPr>
        <w:pStyle w:val="Prrafodelista"/>
        <w:spacing w:after="0" w:line="276" w:lineRule="auto"/>
        <w:jc w:val="both"/>
        <w:rPr>
          <w:rFonts w:ascii="Verdana" w:eastAsia="Calibri" w:hAnsi="Verdana" w:cs="Arial"/>
          <w:lang w:val="es-ES_tradnl" w:eastAsia="es-MX"/>
        </w:rPr>
      </w:pPr>
    </w:p>
    <w:p w14:paraId="5B50817F" w14:textId="77777777" w:rsidR="00031A0B" w:rsidRPr="002F50D4" w:rsidRDefault="00031A0B" w:rsidP="00031A0B">
      <w:pPr>
        <w:spacing w:after="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 xml:space="preserve">“Artículo 5. De la Selección Objetiva. </w:t>
      </w:r>
    </w:p>
    <w:p w14:paraId="3A84D1B5" w14:textId="77777777" w:rsidR="00031A0B" w:rsidRPr="002F50D4" w:rsidRDefault="00031A0B" w:rsidP="00031A0B">
      <w:pPr>
        <w:spacing w:after="120"/>
        <w:ind w:left="567" w:right="900"/>
        <w:jc w:val="both"/>
        <w:rPr>
          <w:rFonts w:ascii="Verdana" w:eastAsia="Calibri" w:hAnsi="Verdana" w:cs="Arial"/>
          <w:sz w:val="20"/>
          <w:szCs w:val="20"/>
          <w:lang w:val="es-ES_tradnl" w:eastAsia="es-MX"/>
        </w:rPr>
      </w:pPr>
      <w:r w:rsidRPr="002F50D4">
        <w:rPr>
          <w:rFonts w:ascii="Verdana" w:eastAsia="Calibri" w:hAnsi="Verdana" w:cs="Arial"/>
          <w:sz w:val="20"/>
          <w:szCs w:val="20"/>
          <w:lang w:val="es-ES_tradnl" w:eastAsia="es-MX"/>
        </w:rPr>
        <w:t>[…]</w:t>
      </w:r>
    </w:p>
    <w:p w14:paraId="146DEE2A" w14:textId="77777777" w:rsidR="00031A0B" w:rsidRPr="002F50D4" w:rsidRDefault="00031A0B" w:rsidP="00031A0B">
      <w:pPr>
        <w:spacing w:after="0"/>
        <w:ind w:left="567" w:right="900"/>
        <w:jc w:val="both"/>
        <w:rPr>
          <w:rFonts w:ascii="Verdana" w:eastAsia="Calibri" w:hAnsi="Verdana" w:cs="Arial"/>
          <w:sz w:val="20"/>
          <w:szCs w:val="20"/>
        </w:rPr>
      </w:pPr>
      <w:r w:rsidRPr="002F50D4">
        <w:rPr>
          <w:rFonts w:ascii="Verdana" w:eastAsia="Calibri" w:hAnsi="Verdana" w:cs="Arial"/>
          <w:sz w:val="20"/>
          <w:szCs w:val="20"/>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585679D4" w14:textId="77777777" w:rsidR="00031A0B" w:rsidRPr="00C861EF" w:rsidRDefault="00031A0B" w:rsidP="00031A0B">
      <w:pPr>
        <w:pStyle w:val="Prrafodelista"/>
        <w:spacing w:after="0"/>
        <w:ind w:right="709"/>
        <w:jc w:val="both"/>
        <w:rPr>
          <w:rFonts w:ascii="Verdana" w:eastAsia="Calibri" w:hAnsi="Verdana" w:cs="Arial"/>
          <w:sz w:val="21"/>
          <w:szCs w:val="21"/>
          <w:lang w:val="es-ES_tradnl"/>
        </w:rPr>
      </w:pPr>
    </w:p>
    <w:p w14:paraId="088C992E" w14:textId="77777777" w:rsidR="00031A0B" w:rsidRPr="002F50D4" w:rsidRDefault="00031A0B" w:rsidP="00031A0B">
      <w:pPr>
        <w:spacing w:after="0"/>
        <w:ind w:firstLine="360"/>
        <w:jc w:val="both"/>
        <w:rPr>
          <w:rFonts w:ascii="Verdana" w:eastAsia="Calibri" w:hAnsi="Verdana" w:cs="Arial"/>
          <w:sz w:val="21"/>
          <w:szCs w:val="21"/>
          <w:lang w:val="es-ES_tradnl"/>
        </w:rPr>
      </w:pPr>
      <w:bookmarkStart w:id="3" w:name="_Hlk99547809"/>
      <w:bookmarkStart w:id="4" w:name="_Hlk99546625"/>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 xml:space="preserve">La Agencia Nacional de Contratación Pública ha defendido el carácter </w:t>
      </w:r>
      <w:bookmarkStart w:id="5" w:name="_Hlk99547799"/>
      <w:r w:rsidRPr="002F50D4">
        <w:rPr>
          <w:rFonts w:ascii="Verdana" w:eastAsia="Times New Roman" w:hAnsi="Verdana" w:cs="Arial"/>
          <w:lang w:val="es-ES_tradnl" w:eastAsia="es-MX"/>
        </w:rPr>
        <w:t xml:space="preserve">enunciativo del listado de los requisitos habilitantes contenidos en el numeral 1 del artículo 5 de la Ley 1150 de 2007, en la medida en que la referida disposición, </w:t>
      </w:r>
      <w:r w:rsidRPr="002F50D4">
        <w:rPr>
          <w:rFonts w:ascii="Verdana" w:eastAsia="Times New Roman" w:hAnsi="Verdana" w:cs="Arial"/>
          <w:lang w:val="es-ES_tradnl" w:eastAsia="es-MX"/>
        </w:rPr>
        <w:lastRenderedPageBreak/>
        <w:t xml:space="preserve">al referirse a los requisitos habilitantes, no contiene una expresión como “únicamente” o “solo”, de la que pueda colegirse la taxatividad de los requisitos mencionados. </w:t>
      </w:r>
      <w:bookmarkEnd w:id="3"/>
      <w:bookmarkEnd w:id="5"/>
      <w:r w:rsidRPr="002F50D4">
        <w:rPr>
          <w:rFonts w:ascii="Verdana" w:eastAsia="Times New Roman" w:hAnsi="Verdana" w:cs="Arial"/>
          <w:lang w:val="es-ES_tradnl" w:eastAsia="es-MX"/>
        </w:rPr>
        <w:t>Esta conclusión además se apoya en una la lectura integral de las normas que regulan la contratación estatal, en virtud de la cual es posible evidenciar que existen otras condiciones que deben cumplirse para la contratación con entidades públicas, de las que derivan requisitos habilitantes, como sucede, por ejemplo, con la capacidad residual a la que se refiere el artículo 6º, parágrafo 1, de la Ley 1150 de 2007</w:t>
      </w:r>
      <w:bookmarkEnd w:id="4"/>
      <w:r w:rsidRPr="00C861EF">
        <w:rPr>
          <w:vertAlign w:val="superscript"/>
          <w:lang w:val="es-ES_tradnl" w:eastAsia="es-MX"/>
        </w:rPr>
        <w:footnoteReference w:id="3"/>
      </w:r>
      <w:r w:rsidRPr="002F50D4">
        <w:rPr>
          <w:rFonts w:ascii="Verdana" w:eastAsia="Times New Roman" w:hAnsi="Verdana" w:cs="Arial"/>
          <w:lang w:val="es-ES_tradnl" w:eastAsia="es-MX"/>
        </w:rPr>
        <w:t xml:space="preserve">. </w:t>
      </w:r>
    </w:p>
    <w:p w14:paraId="14DD210D" w14:textId="77777777" w:rsidR="00031A0B" w:rsidRPr="002F50D4" w:rsidRDefault="00031A0B" w:rsidP="00031A0B">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Por otro lado, en el “Manual para determinar y verificar los requisitos habilitantes en los Procesos de Contratación”</w:t>
      </w:r>
      <w:r>
        <w:rPr>
          <w:rStyle w:val="Refdenotaalpie"/>
          <w:rFonts w:ascii="Verdana" w:eastAsia="Times New Roman" w:hAnsi="Verdana" w:cs="Arial"/>
          <w:lang w:val="es-ES_tradnl" w:eastAsia="es-MX"/>
        </w:rPr>
        <w:footnoteReference w:id="4"/>
      </w:r>
      <w:r w:rsidRPr="002F50D4">
        <w:rPr>
          <w:rFonts w:ascii="Verdana" w:eastAsia="Calibri" w:hAnsi="Verdana" w:cs="Arial"/>
          <w:lang w:val="es-ES_tradnl" w:eastAsia="es-MX"/>
        </w:rPr>
        <w:t>,</w:t>
      </w:r>
      <w:r w:rsidRPr="002F50D4">
        <w:rPr>
          <w:rFonts w:ascii="Verdana" w:eastAsia="Times New Roman" w:hAnsi="Verdana" w:cs="Arial"/>
          <w:lang w:val="es-ES_tradnl" w:eastAsia="es-MX"/>
        </w:rPr>
        <w:t xml:space="preserve"> expedido por la </w:t>
      </w:r>
      <w:r w:rsidRPr="002F50D4">
        <w:rPr>
          <w:rFonts w:ascii="Verdana" w:eastAsia="Calibri" w:hAnsi="Verdana" w:cs="Arial"/>
          <w:lang w:val="es-ES_tradnl" w:eastAsia="es-MX"/>
        </w:rPr>
        <w:t>Agencia Nacional de Contratación Pública – Colombia Compra Eficiente</w:t>
      </w:r>
      <w:r w:rsidRPr="002F50D4">
        <w:rPr>
          <w:rFonts w:ascii="Verdana" w:eastAsia="Times New Roman" w:hAnsi="Verdana" w:cs="Arial"/>
          <w:lang w:val="es-ES_tradnl" w:eastAsia="es-MX"/>
        </w:rPr>
        <w:t xml:space="preserve"> se determinaron los parámetros para establecer, acreditar y subsanar los requisitos habilitantes. Allí también se precisó que estos tienen como fin primordial medir “la aptitud del proponente para participar en un Proceso de Contratación como oferente y están referidos a su capacidad jurídica, financiera, organizacional y su experiencia”. De acuerdo con el Manual, su propósito consiste en “establecer unas condiciones mínimas para los proponentes de tal manera que la Entidad Estatal sólo evalúe las ofertas de aquellos que están en condiciones de cumplir con el objeto del Proceso de Contratación”. </w:t>
      </w:r>
    </w:p>
    <w:p w14:paraId="0249B110" w14:textId="77777777" w:rsidR="00031A0B" w:rsidRPr="002F50D4" w:rsidRDefault="00031A0B" w:rsidP="00031A0B">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Así las cosas, al tratarse de condiciones mínimas, significa que las entidades podrían establecer otras, según su autonomía de la voluntad, y teniendo en cuenta el objeto del contrato, los riesgos detectados en los estudios previos, el presupuesto oficial, entre otros factores.</w:t>
      </w:r>
    </w:p>
    <w:p w14:paraId="601A7546" w14:textId="77777777" w:rsidR="00031A0B" w:rsidRPr="002F50D4" w:rsidRDefault="00031A0B" w:rsidP="00031A0B">
      <w:pPr>
        <w:spacing w:before="120" w:after="120" w:line="276" w:lineRule="auto"/>
        <w:ind w:firstLine="360"/>
        <w:jc w:val="both"/>
        <w:rPr>
          <w:rFonts w:ascii="Verdana" w:eastAsia="Times New Roman" w:hAnsi="Verdana" w:cs="Arial"/>
          <w:lang w:val="es-ES_tradnl" w:eastAsia="es-MX"/>
        </w:rPr>
      </w:pPr>
      <w:r>
        <w:rPr>
          <w:rFonts w:ascii="Verdana" w:eastAsia="Times New Roman" w:hAnsi="Verdana" w:cs="Arial"/>
          <w:lang w:val="es-ES_tradnl" w:eastAsia="es-MX"/>
        </w:rPr>
        <w:t xml:space="preserve">    </w:t>
      </w:r>
      <w:r w:rsidRPr="002F50D4">
        <w:rPr>
          <w:rFonts w:ascii="Verdana" w:eastAsia="Times New Roman" w:hAnsi="Verdana" w:cs="Arial"/>
          <w:lang w:val="es-ES_tradnl" w:eastAsia="es-MX"/>
        </w:rPr>
        <w:t>Al respecto, en la Sentencia C-004 de 2017, la Corte Constitucional señaló que “[l]a determinación de dichas condiciones habilitantes para participar, es competencia de la entidad que planee la celebración del contrato, a través de la valoración en concreto de las características mínimas de idoneidad, experiencia, capacidad jurídica y financiera para que la realización del objeto contractual resulte eficiente y eficaz frente a la necesidad identificada”.</w:t>
      </w:r>
    </w:p>
    <w:p w14:paraId="7211DCB0" w14:textId="77777777" w:rsidR="00031A0B" w:rsidRPr="002F50D4" w:rsidRDefault="00031A0B" w:rsidP="00031A0B">
      <w:pPr>
        <w:tabs>
          <w:tab w:val="left" w:pos="426"/>
        </w:tabs>
        <w:spacing w:before="120" w:after="120" w:line="276" w:lineRule="auto"/>
        <w:jc w:val="both"/>
        <w:rPr>
          <w:rFonts w:ascii="Verdana" w:eastAsia="Times New Roman" w:hAnsi="Verdana" w:cs="Arial"/>
          <w:lang w:val="es-ES_tradnl" w:eastAsia="es-MX"/>
        </w:rPr>
      </w:pPr>
      <w:bookmarkStart w:id="6" w:name="_Hlk99548027"/>
      <w:r>
        <w:rPr>
          <w:rFonts w:ascii="Verdana" w:eastAsia="Times New Roman" w:hAnsi="Verdana" w:cs="Arial"/>
          <w:lang w:val="es-ES_tradnl" w:eastAsia="es-MX"/>
        </w:rPr>
        <w:lastRenderedPageBreak/>
        <w:tab/>
        <w:t xml:space="preserve"> </w:t>
      </w:r>
      <w:r w:rsidRPr="002F50D4">
        <w:rPr>
          <w:rFonts w:ascii="Verdana" w:eastAsia="Times New Roman" w:hAnsi="Verdana" w:cs="Arial"/>
          <w:lang w:val="es-ES_tradnl" w:eastAsia="es-MX"/>
        </w:rPr>
        <w:t xml:space="preserve">En ese sentido, si bien </w:t>
      </w:r>
      <w:r w:rsidRPr="002F50D4">
        <w:rPr>
          <w:rFonts w:ascii="Verdana" w:eastAsia="Calibri" w:hAnsi="Verdana" w:cs="Arial"/>
          <w:lang w:val="es-ES_tradnl" w:eastAsia="es-MX"/>
        </w:rPr>
        <w:t xml:space="preserve">la Ley 1150 de 2007 estableció unos requisitos habilitantes para los proponentes –la capacidad jurídica, las condiciones de experiencia, la capacidad financiera y la capacidad de organización–, estos no son taxativos. </w:t>
      </w:r>
      <w:bookmarkStart w:id="7" w:name="_Hlk34917473"/>
      <w:r w:rsidRPr="002F50D4">
        <w:rPr>
          <w:rFonts w:ascii="Verdana" w:eastAsia="Times New Roman" w:hAnsi="Verdana" w:cs="Arial"/>
          <w:lang w:val="es-ES_tradnl" w:eastAsia="es-MX"/>
        </w:rPr>
        <w:t xml:space="preserve">En consecuencia, corresponde a las entidades estatales, durante la etapa de planeación del contrato estatal, estudiar y </w:t>
      </w:r>
      <w:r w:rsidRPr="002F50D4">
        <w:rPr>
          <w:rFonts w:ascii="Verdana" w:eastAsia="Times New Roman" w:hAnsi="Verdana" w:cs="Arial"/>
          <w:bCs/>
          <w:iCs/>
          <w:lang w:val="es-ES_tradnl" w:eastAsia="es-MX"/>
        </w:rPr>
        <w:t>determinar</w:t>
      </w:r>
      <w:r w:rsidRPr="002F50D4">
        <w:rPr>
          <w:rFonts w:ascii="Verdana" w:eastAsia="Times New Roman" w:hAnsi="Verdana" w:cs="Arial"/>
          <w:lang w:val="es-ES_tradnl" w:eastAsia="es-MX"/>
        </w:rPr>
        <w:t xml:space="preserve"> los requisitos habilitantes que establecerán en los pliegos de condiciones, los cuales deben fijarse de forma adecuada y proporcional. </w:t>
      </w:r>
      <w:bookmarkEnd w:id="6"/>
    </w:p>
    <w:p w14:paraId="324C501D" w14:textId="77777777" w:rsidR="00031A0B" w:rsidRPr="002F50D4" w:rsidRDefault="00031A0B" w:rsidP="00031A0B">
      <w:pPr>
        <w:tabs>
          <w:tab w:val="left" w:pos="426"/>
        </w:tabs>
        <w:spacing w:before="120" w:after="120" w:line="276" w:lineRule="auto"/>
        <w:jc w:val="both"/>
        <w:rPr>
          <w:rFonts w:ascii="Verdana" w:eastAsia="Times New Roman" w:hAnsi="Verdana" w:cs="Arial"/>
          <w:lang w:val="es-ES_tradnl" w:eastAsia="es-MX"/>
        </w:rPr>
      </w:pPr>
      <w:r>
        <w:rPr>
          <w:rFonts w:ascii="Verdana" w:eastAsia="Times New Roman" w:hAnsi="Verdana" w:cs="Arial"/>
          <w:lang w:val="es-ES_tradnl" w:eastAsia="es-MX"/>
        </w:rPr>
        <w:tab/>
        <w:t xml:space="preserve">  </w:t>
      </w:r>
      <w:r w:rsidRPr="002F50D4">
        <w:rPr>
          <w:rFonts w:ascii="Verdana" w:eastAsia="Times New Roman" w:hAnsi="Verdana" w:cs="Arial"/>
          <w:lang w:val="es-ES_tradnl" w:eastAsia="es-MX"/>
        </w:rPr>
        <w:t>El Decreto 1082 de 2015 en su artículo 2.2.1.1.1.6.2 reglamenta los requisitos habilitantes, estableciendo que estos deben ser señalados en los pliegos de condiciones o en la invitación</w:t>
      </w:r>
      <w:r w:rsidRPr="00C861EF">
        <w:rPr>
          <w:rStyle w:val="Refdenotaalpie"/>
          <w:rFonts w:ascii="Verdana" w:eastAsia="Times New Roman" w:hAnsi="Verdana" w:cs="Arial"/>
          <w:lang w:val="es-ES_tradnl" w:eastAsia="es-MX"/>
        </w:rPr>
        <w:footnoteReference w:id="5"/>
      </w:r>
      <w:r w:rsidRPr="002F50D4">
        <w:rPr>
          <w:rFonts w:ascii="Verdana" w:eastAsia="Times New Roman" w:hAnsi="Verdana" w:cs="Arial"/>
          <w:lang w:val="es-ES_tradnl" w:eastAsia="es-MX"/>
        </w:rPr>
        <w:t>, lo cual es concordante con el numeral 5 del artículo 2.2.1.1.2.1.3, en el que se establece como uno de los componentes mínimos de los pliegos de condiciones</w:t>
      </w:r>
      <w:r w:rsidRPr="002F50D4">
        <w:rPr>
          <w:rFonts w:ascii="Verdana" w:hAnsi="Verdana" w:cs="Arial"/>
          <w:color w:val="000000"/>
        </w:rPr>
        <w:t xml:space="preserve"> a las reglas aplicables a la presentación y evaluación de las ofertas, entre las que se inscriben las relativas a la acreditación de las condiciones habilitantes. </w:t>
      </w:r>
      <w:r w:rsidRPr="002F50D4">
        <w:rPr>
          <w:rFonts w:ascii="Verdana" w:eastAsia="Times New Roman" w:hAnsi="Verdana" w:cs="Arial"/>
          <w:lang w:val="es-ES_tradnl" w:eastAsia="es-MX"/>
        </w:rPr>
        <w:t xml:space="preserve"> Establece además el artículo 2.2.1.1.1.6.2 que la determinación de los requisitos habilitantes debe ser realizada en función de criterios como el riesgo del proceso de contratación, el valor del contrato, el análisis del sector económico respectivo y el conocimiento de fondo de los posibles oferentes desde la perspectiva comercial. </w:t>
      </w:r>
    </w:p>
    <w:p w14:paraId="34AA2BE6" w14:textId="77777777" w:rsidR="00031A0B" w:rsidRPr="002F50D4" w:rsidRDefault="00031A0B" w:rsidP="00031A0B">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tab/>
        <w:t xml:space="preserve"> </w:t>
      </w:r>
      <w:r w:rsidRPr="002F50D4">
        <w:rPr>
          <w:rFonts w:ascii="Verdana" w:eastAsia="Times New Roman" w:hAnsi="Verdana" w:cs="Arial"/>
          <w:lang w:eastAsia="es-MX"/>
        </w:rPr>
        <w:t xml:space="preserve">Los mencionados criterios deben ser aplicados de manera tal que de la ponderación de los mismos resulten requisitos que permitan medir la aptitud de los oferentes para cumplir con el contrato, y que, además de ser proporcionales y adecuados al objeto del contrato, no limiten la participación en el proceso de selección. </w:t>
      </w:r>
    </w:p>
    <w:p w14:paraId="7F62D557" w14:textId="77777777" w:rsidR="00031A0B" w:rsidRPr="002F50D4" w:rsidRDefault="00031A0B" w:rsidP="00031A0B">
      <w:pPr>
        <w:tabs>
          <w:tab w:val="left" w:pos="426"/>
        </w:tabs>
        <w:spacing w:before="120" w:after="0" w:line="276" w:lineRule="auto"/>
        <w:jc w:val="both"/>
        <w:rPr>
          <w:rFonts w:ascii="Verdana" w:eastAsia="Times New Roman" w:hAnsi="Verdana" w:cs="Arial"/>
          <w:lang w:eastAsia="es-MX"/>
        </w:rPr>
      </w:pPr>
      <w:r>
        <w:rPr>
          <w:rFonts w:ascii="Verdana" w:eastAsia="Times New Roman" w:hAnsi="Verdana" w:cs="Arial"/>
          <w:lang w:eastAsia="es-MX"/>
        </w:rPr>
        <w:lastRenderedPageBreak/>
        <w:tab/>
        <w:t xml:space="preserve">  </w:t>
      </w:r>
      <w:r w:rsidRPr="002F50D4">
        <w:rPr>
          <w:rFonts w:ascii="Verdana" w:eastAsia="Times New Roman" w:hAnsi="Verdana" w:cs="Arial"/>
          <w:lang w:eastAsia="es-MX"/>
        </w:rPr>
        <w:t xml:space="preserve">En ese sentido, las entidades tienen autonomía para estructurar los requisitos habilitantes en los procesos que adelantan, pero tal facultad no puede ejercerse de forma arbitraria, caprichosa y, mucho menos, con el ánimo de direccionar el proceso de contratación o favorecer a alguno de los proponentes. Tampoco puede suceder que el ejercicio de dicha atribución se haga con desconocimiento de los límites impuestos por la normativa vigente, como, por ejemplo, el parágrafo 2 del artículo 5 de la Ley 1150 de 2007, que prohíbe exigir certificaciones de sistemas de gestión de calidad como requisito habilitante. </w:t>
      </w:r>
    </w:p>
    <w:p w14:paraId="0D9F730E" w14:textId="77777777" w:rsidR="00031A0B" w:rsidRDefault="00031A0B" w:rsidP="00031A0B">
      <w:pPr>
        <w:tabs>
          <w:tab w:val="left" w:pos="426"/>
        </w:tabs>
        <w:spacing w:before="120" w:after="0" w:line="276" w:lineRule="auto"/>
        <w:jc w:val="both"/>
        <w:rPr>
          <w:rFonts w:ascii="Verdana" w:eastAsia="Times New Roman" w:hAnsi="Verdana" w:cs="Arial"/>
          <w:lang w:eastAsia="es-MX"/>
        </w:rPr>
      </w:pPr>
      <w:bookmarkStart w:id="8" w:name="_Hlk99547936"/>
      <w:r>
        <w:rPr>
          <w:rFonts w:ascii="Verdana" w:eastAsia="Times New Roman" w:hAnsi="Verdana" w:cs="Arial"/>
          <w:lang w:eastAsia="es-MX"/>
        </w:rPr>
        <w:tab/>
        <w:t xml:space="preserve">   </w:t>
      </w:r>
      <w:r w:rsidRPr="002F50D4">
        <w:rPr>
          <w:rFonts w:ascii="Verdana" w:eastAsia="Times New Roman" w:hAnsi="Verdana" w:cs="Arial"/>
          <w:lang w:eastAsia="es-MX"/>
        </w:rPr>
        <w:t xml:space="preserve">De tal manera que, las entidades estatales son autónomas para definir los requisitos habilitantes, pero tal facultad debe ser ejercida procurando diseñar condiciones habilitantes de manera objetiva, de suerte que estas sirvan para determinar si los participantes del proceso de contratación cuentan con las capacidades que los hacen aptos para ejecutar el objeto contractual. Para esto resulta indispensable que los requisitos establecidos por la entidad, además se fijen de manera adecuada y proporcional a las características del objeto ofertado, procurando además ceñirse a la normativa que resulte aplicable. </w:t>
      </w:r>
      <w:bookmarkEnd w:id="7"/>
      <w:bookmarkEnd w:id="8"/>
    </w:p>
    <w:p w14:paraId="390D8AB9" w14:textId="77777777" w:rsidR="00031A0B" w:rsidRDefault="00031A0B" w:rsidP="00031A0B">
      <w:pPr>
        <w:tabs>
          <w:tab w:val="left" w:pos="426"/>
        </w:tabs>
        <w:spacing w:before="120" w:after="0" w:line="276" w:lineRule="auto"/>
        <w:jc w:val="both"/>
        <w:rPr>
          <w:rFonts w:ascii="Verdana" w:hAnsi="Verdana"/>
        </w:rPr>
      </w:pPr>
      <w:r>
        <w:rPr>
          <w:rFonts w:ascii="Verdana" w:eastAsia="Times New Roman" w:hAnsi="Verdana" w:cs="Arial"/>
          <w:lang w:eastAsia="es-MX"/>
        </w:rPr>
        <w:tab/>
      </w:r>
      <w:r w:rsidRPr="002F50D4">
        <w:rPr>
          <w:rFonts w:ascii="Verdana" w:hAnsi="Verdana"/>
        </w:rPr>
        <w:t>La regla de subsanabilidad es un mecanismo previsto en los procesos de contratación estatal que se regulan por el Estatuto General de Contratación de la Administración Pública – en adelante EGCAP. Esta regla, prevista en el artículo 5 de la Ley 1150 de 2007, consiste en permitir que los proponentes puedan enmendar, corregir o modificar los errores en los que se incurre en los documentos contentivos de la oferta. Así lo ha establecido el Consejo de Estado, en los siguientes términos:</w:t>
      </w:r>
    </w:p>
    <w:p w14:paraId="578F9C3E" w14:textId="77777777" w:rsidR="00031A0B" w:rsidRPr="005A3A3B" w:rsidRDefault="00031A0B" w:rsidP="00031A0B">
      <w:pPr>
        <w:tabs>
          <w:tab w:val="left" w:pos="426"/>
        </w:tabs>
        <w:spacing w:before="120" w:after="0" w:line="276" w:lineRule="auto"/>
        <w:jc w:val="both"/>
        <w:rPr>
          <w:rFonts w:ascii="Verdana" w:eastAsia="Times New Roman" w:hAnsi="Verdana" w:cs="Arial"/>
          <w:lang w:eastAsia="es-MX"/>
        </w:rPr>
      </w:pPr>
    </w:p>
    <w:p w14:paraId="3B69E9D7" w14:textId="77777777" w:rsidR="00031A0B" w:rsidRPr="002F50D4" w:rsidRDefault="00031A0B" w:rsidP="00031A0B">
      <w:pPr>
        <w:spacing w:line="240" w:lineRule="auto"/>
        <w:ind w:left="851" w:right="1041"/>
        <w:jc w:val="both"/>
        <w:rPr>
          <w:rFonts w:ascii="Verdana" w:hAnsi="Verdana"/>
          <w:sz w:val="20"/>
          <w:szCs w:val="20"/>
        </w:rPr>
      </w:pPr>
      <w:r w:rsidRPr="002F50D4">
        <w:rPr>
          <w:rFonts w:ascii="Verdana" w:hAnsi="Verdana"/>
          <w:sz w:val="20"/>
          <w:szCs w:val="20"/>
        </w:rPr>
        <w:t>“[…] materializar un principio general de primacía de lo sustancial sobre lo formal, adoptando medidas de saneamiento del proceso de selección tendientes a que los meros defectos formales, que no afecten sustancialmente la oferta, referidos a la documentación o instrumentalización de la misma, priven a la administración de considerar una oferta por causa de tales falencias”</w:t>
      </w:r>
      <w:r w:rsidRPr="00C861EF">
        <w:rPr>
          <w:rStyle w:val="Refdenotaalpie"/>
          <w:rFonts w:ascii="Verdana" w:hAnsi="Verdana"/>
          <w:sz w:val="20"/>
          <w:szCs w:val="20"/>
        </w:rPr>
        <w:footnoteReference w:id="6"/>
      </w:r>
      <w:r w:rsidRPr="002F50D4">
        <w:rPr>
          <w:rFonts w:ascii="Verdana" w:hAnsi="Verdana"/>
          <w:sz w:val="20"/>
          <w:szCs w:val="20"/>
        </w:rPr>
        <w:t>.</w:t>
      </w:r>
    </w:p>
    <w:p w14:paraId="693CA57C" w14:textId="77777777" w:rsidR="00031A0B" w:rsidRPr="002F50D4" w:rsidRDefault="00031A0B" w:rsidP="00031A0B">
      <w:pPr>
        <w:widowControl w:val="0"/>
        <w:autoSpaceDE w:val="0"/>
        <w:autoSpaceDN w:val="0"/>
        <w:spacing w:line="276" w:lineRule="auto"/>
        <w:ind w:firstLine="708"/>
        <w:jc w:val="both"/>
        <w:rPr>
          <w:rFonts w:ascii="Verdana" w:eastAsia="Calibri" w:hAnsi="Verdana" w:cs="Arial"/>
          <w:lang w:eastAsia="es-ES_tradnl"/>
        </w:rPr>
      </w:pPr>
      <w:r w:rsidRPr="002F50D4">
        <w:rPr>
          <w:rFonts w:ascii="Verdana" w:eastAsia="Calibri" w:hAnsi="Verdana" w:cs="Arial"/>
          <w:lang w:eastAsia="es-ES_tradnl"/>
        </w:rPr>
        <w:t>Esta Subdirección se ha pronunciado en diversas oportunidades acerca del alcance de la regla de la subsanabilidad</w:t>
      </w:r>
      <w:r>
        <w:rPr>
          <w:rStyle w:val="Refdenotaalpie"/>
          <w:rFonts w:ascii="Verdana" w:eastAsia="Calibri" w:hAnsi="Verdana" w:cs="Arial"/>
          <w:lang w:eastAsia="es-ES_tradnl"/>
        </w:rPr>
        <w:footnoteReference w:id="7"/>
      </w:r>
      <w:r w:rsidRPr="002F50D4">
        <w:rPr>
          <w:rFonts w:ascii="Verdana" w:eastAsia="Calibri" w:hAnsi="Verdana" w:cs="Arial"/>
          <w:lang w:eastAsia="es-ES_tradnl"/>
        </w:rPr>
        <w:t xml:space="preserve">, contenida actualmente en el parágrafo </w:t>
      </w:r>
      <w:r w:rsidRPr="002F50D4">
        <w:rPr>
          <w:rFonts w:ascii="Verdana" w:eastAsia="Calibri" w:hAnsi="Verdana" w:cs="Arial"/>
          <w:lang w:eastAsia="es-ES_tradnl"/>
        </w:rPr>
        <w:lastRenderedPageBreak/>
        <w:t>1 del artículo 5 de la Ley 1150 de 2007, modificado por el artículo 5 de la Ley 1882 de 2018</w:t>
      </w:r>
      <w:r w:rsidRPr="00C861EF">
        <w:rPr>
          <w:vertAlign w:val="superscript"/>
          <w:lang w:eastAsia="es-ES_tradnl"/>
        </w:rPr>
        <w:footnoteReference w:id="8"/>
      </w:r>
      <w:r w:rsidRPr="002F50D4">
        <w:rPr>
          <w:rFonts w:ascii="Verdana" w:eastAsia="Calibri" w:hAnsi="Verdana" w:cs="Arial"/>
          <w:lang w:eastAsia="es-ES_tradnl"/>
        </w:rPr>
        <w:t>. Al respecto, la postura que se reitera en el presente concepto es la siguiente: por regla general, la falta de entrega o los defectos frente a los requisitos que no asignan puntaje, son subsanables. La excepción se encuentra en los casos, previstos en la ley, que limitan la subsanabilidad, como, por ejemplo, la prohibición de permitir la entrega de la garantía de seriedad de la oferta que no fue aportada con la propuesta y de permitir la acreditación de circunstancias ocurridas con posterioridad al cierre del proceso.</w:t>
      </w:r>
    </w:p>
    <w:p w14:paraId="56A571B8" w14:textId="77777777" w:rsidR="00031A0B" w:rsidRPr="002F50D4" w:rsidRDefault="00031A0B" w:rsidP="00031A0B">
      <w:pPr>
        <w:widowControl w:val="0"/>
        <w:tabs>
          <w:tab w:val="left" w:pos="284"/>
        </w:tabs>
        <w:autoSpaceDE w:val="0"/>
        <w:autoSpaceDN w:val="0"/>
        <w:spacing w:before="120" w:line="276" w:lineRule="auto"/>
        <w:jc w:val="both"/>
        <w:rPr>
          <w:rFonts w:ascii="Verdana" w:eastAsia="Calibri" w:hAnsi="Verdana" w:cs="Arial"/>
          <w:color w:val="000000"/>
          <w:lang w:val="es-ES_tradnl" w:eastAsia="es-ES_tradnl"/>
        </w:rPr>
      </w:pPr>
      <w:r>
        <w:rPr>
          <w:rFonts w:ascii="Verdana" w:eastAsia="Calibri" w:hAnsi="Verdana" w:cs="Arial"/>
          <w:lang w:eastAsia="es-ES_tradnl"/>
        </w:rPr>
        <w:tab/>
      </w:r>
      <w:r w:rsidRPr="002F50D4">
        <w:rPr>
          <w:rFonts w:ascii="Verdana" w:eastAsia="Calibri" w:hAnsi="Verdana" w:cs="Arial"/>
          <w:lang w:eastAsia="es-ES_tradnl"/>
        </w:rPr>
        <w:t xml:space="preserve">En este sentido, bajo la normativa actual que regula la subsanabilidad de las ofertas debe tenerse en cuenta que </w:t>
      </w:r>
      <w:r w:rsidRPr="002F50D4">
        <w:rPr>
          <w:rFonts w:ascii="Verdana" w:eastAsia="Arial" w:hAnsi="Verdana" w:cs="Arial"/>
          <w:lang w:eastAsia="es-ES_tradnl"/>
        </w:rPr>
        <w:t>el</w:t>
      </w:r>
      <w:r w:rsidRPr="002F50D4">
        <w:rPr>
          <w:rFonts w:ascii="Verdana" w:eastAsia="Arial" w:hAnsi="Verdana" w:cs="Arial"/>
          <w:spacing w:val="-12"/>
          <w:lang w:eastAsia="es-ES_tradnl"/>
        </w:rPr>
        <w:t xml:space="preserve"> </w:t>
      </w:r>
      <w:r w:rsidRPr="002F50D4">
        <w:rPr>
          <w:rFonts w:ascii="Verdana" w:eastAsia="Arial" w:hAnsi="Verdana" w:cs="Arial"/>
          <w:lang w:eastAsia="es-ES_tradnl"/>
        </w:rPr>
        <w:t>legislador</w:t>
      </w:r>
      <w:r w:rsidRPr="002F50D4">
        <w:rPr>
          <w:rFonts w:ascii="Verdana" w:eastAsia="Arial" w:hAnsi="Verdana" w:cs="Arial"/>
          <w:spacing w:val="-12"/>
          <w:lang w:eastAsia="es-ES_tradnl"/>
        </w:rPr>
        <w:t xml:space="preserve"> </w:t>
      </w:r>
      <w:r w:rsidRPr="002F50D4">
        <w:rPr>
          <w:rFonts w:ascii="Verdana" w:eastAsia="Arial" w:hAnsi="Verdana" w:cs="Arial"/>
          <w:lang w:eastAsia="es-ES_tradnl"/>
        </w:rPr>
        <w:t>expidió</w:t>
      </w:r>
      <w:r w:rsidRPr="002F50D4">
        <w:rPr>
          <w:rFonts w:ascii="Verdana" w:eastAsia="Arial" w:hAnsi="Verdana" w:cs="Arial"/>
          <w:spacing w:val="-13"/>
          <w:lang w:eastAsia="es-ES_tradnl"/>
        </w:rPr>
        <w:t xml:space="preserve"> </w:t>
      </w:r>
      <w:r w:rsidRPr="002F50D4">
        <w:rPr>
          <w:rFonts w:ascii="Verdana" w:eastAsia="Arial" w:hAnsi="Verdana" w:cs="Arial"/>
          <w:lang w:eastAsia="es-ES_tradnl"/>
        </w:rPr>
        <w:t>la</w:t>
      </w:r>
      <w:r w:rsidRPr="002F50D4">
        <w:rPr>
          <w:rFonts w:ascii="Verdana" w:eastAsia="Arial" w:hAnsi="Verdana" w:cs="Arial"/>
          <w:spacing w:val="-12"/>
          <w:lang w:eastAsia="es-ES_tradnl"/>
        </w:rPr>
        <w:t xml:space="preserve"> </w:t>
      </w:r>
      <w:r w:rsidRPr="002F50D4">
        <w:rPr>
          <w:rFonts w:ascii="Verdana" w:eastAsia="Arial" w:hAnsi="Verdana" w:cs="Arial"/>
          <w:lang w:eastAsia="es-ES_tradnl"/>
        </w:rPr>
        <w:t>Ley</w:t>
      </w:r>
      <w:r w:rsidRPr="002F50D4">
        <w:rPr>
          <w:rFonts w:ascii="Verdana" w:eastAsia="Arial" w:hAnsi="Verdana" w:cs="Arial"/>
          <w:spacing w:val="-13"/>
          <w:lang w:eastAsia="es-ES_tradnl"/>
        </w:rPr>
        <w:t xml:space="preserve"> </w:t>
      </w:r>
      <w:r w:rsidRPr="002F50D4">
        <w:rPr>
          <w:rFonts w:ascii="Verdana" w:eastAsia="Arial" w:hAnsi="Verdana" w:cs="Arial"/>
          <w:lang w:eastAsia="es-ES_tradnl"/>
        </w:rPr>
        <w:t>1882</w:t>
      </w:r>
      <w:r w:rsidRPr="002F50D4">
        <w:rPr>
          <w:rFonts w:ascii="Verdana" w:eastAsia="Arial" w:hAnsi="Verdana" w:cs="Arial"/>
          <w:spacing w:val="-13"/>
          <w:lang w:eastAsia="es-ES_tradnl"/>
        </w:rPr>
        <w:t xml:space="preserve"> </w:t>
      </w:r>
      <w:r w:rsidRPr="002F50D4">
        <w:rPr>
          <w:rFonts w:ascii="Verdana" w:eastAsia="Arial" w:hAnsi="Verdana" w:cs="Arial"/>
          <w:lang w:eastAsia="es-ES_tradnl"/>
        </w:rPr>
        <w:t>de</w:t>
      </w:r>
      <w:r w:rsidRPr="002F50D4">
        <w:rPr>
          <w:rFonts w:ascii="Verdana" w:eastAsia="Arial" w:hAnsi="Verdana" w:cs="Arial"/>
          <w:spacing w:val="-12"/>
          <w:lang w:eastAsia="es-ES_tradnl"/>
        </w:rPr>
        <w:t xml:space="preserve"> </w:t>
      </w:r>
      <w:r w:rsidRPr="002F50D4">
        <w:rPr>
          <w:rFonts w:ascii="Verdana" w:eastAsia="Arial" w:hAnsi="Verdana" w:cs="Arial"/>
          <w:lang w:eastAsia="es-ES_tradnl"/>
        </w:rPr>
        <w:t>2018,</w:t>
      </w:r>
      <w:r w:rsidRPr="002F50D4">
        <w:rPr>
          <w:rFonts w:ascii="Verdana" w:eastAsia="Arial" w:hAnsi="Verdana" w:cs="Arial"/>
          <w:spacing w:val="-13"/>
          <w:lang w:eastAsia="es-ES_tradnl"/>
        </w:rPr>
        <w:t xml:space="preserve"> </w:t>
      </w:r>
      <w:r w:rsidRPr="002F50D4">
        <w:rPr>
          <w:rFonts w:ascii="Verdana" w:eastAsia="Arial" w:hAnsi="Verdana" w:cs="Arial"/>
          <w:lang w:eastAsia="es-ES_tradnl"/>
        </w:rPr>
        <w:t>con</w:t>
      </w:r>
      <w:r w:rsidRPr="002F50D4">
        <w:rPr>
          <w:rFonts w:ascii="Verdana" w:eastAsia="Arial" w:hAnsi="Verdana" w:cs="Arial"/>
          <w:spacing w:val="-12"/>
          <w:lang w:eastAsia="es-ES_tradnl"/>
        </w:rPr>
        <w:t xml:space="preserve"> </w:t>
      </w:r>
      <w:r w:rsidRPr="002F50D4">
        <w:rPr>
          <w:rFonts w:ascii="Verdana" w:eastAsia="Arial" w:hAnsi="Verdana" w:cs="Arial"/>
          <w:lang w:eastAsia="es-ES_tradnl"/>
        </w:rPr>
        <w:t>la</w:t>
      </w:r>
      <w:r w:rsidRPr="002F50D4">
        <w:rPr>
          <w:rFonts w:ascii="Verdana" w:eastAsia="Arial" w:hAnsi="Verdana" w:cs="Arial"/>
          <w:spacing w:val="-13"/>
          <w:lang w:eastAsia="es-ES_tradnl"/>
        </w:rPr>
        <w:t xml:space="preserve"> </w:t>
      </w:r>
      <w:r w:rsidRPr="002F50D4">
        <w:rPr>
          <w:rFonts w:ascii="Verdana" w:eastAsia="Arial" w:hAnsi="Verdana" w:cs="Arial"/>
          <w:lang w:eastAsia="es-ES_tradnl"/>
        </w:rPr>
        <w:t xml:space="preserve">finalidad de introducir cambios y ajustes para fortalecer la contratación pública. </w:t>
      </w:r>
      <w:r w:rsidRPr="002F50D4">
        <w:rPr>
          <w:rFonts w:ascii="Verdana" w:eastAsia="Calibri" w:hAnsi="Verdana" w:cs="Arial"/>
          <w:lang w:eastAsia="es-ES_tradnl"/>
        </w:rPr>
        <w:t>Particularmente, el artículo 5 modificó el parágrafo 1º del artículo 5 de la Ley 1150 de 2007</w:t>
      </w:r>
      <w:r w:rsidRPr="002F50D4">
        <w:rPr>
          <w:rFonts w:ascii="Verdana" w:eastAsia="Arial" w:hAnsi="Verdana" w:cs="Arial"/>
          <w:color w:val="000000"/>
          <w:lang w:val="es-ES_tradnl" w:eastAsia="es-ES_tradnl"/>
        </w:rPr>
        <w:t xml:space="preserve">: </w:t>
      </w:r>
    </w:p>
    <w:p w14:paraId="24087A5C" w14:textId="77777777" w:rsidR="00031A0B" w:rsidRPr="00C861EF" w:rsidRDefault="00031A0B" w:rsidP="00031A0B">
      <w:pPr>
        <w:pStyle w:val="Prrafodelista"/>
        <w:widowControl w:val="0"/>
        <w:tabs>
          <w:tab w:val="left" w:pos="284"/>
        </w:tabs>
        <w:autoSpaceDE w:val="0"/>
        <w:autoSpaceDN w:val="0"/>
        <w:spacing w:before="120" w:line="276" w:lineRule="auto"/>
        <w:jc w:val="both"/>
        <w:rPr>
          <w:rFonts w:ascii="Verdana" w:eastAsia="Calibri" w:hAnsi="Verdana" w:cs="Arial"/>
          <w:color w:val="000000"/>
          <w:lang w:val="es-ES_tradnl" w:eastAsia="es-ES_tradnl"/>
        </w:rPr>
      </w:pPr>
    </w:p>
    <w:p w14:paraId="744ADF14" w14:textId="77777777" w:rsidR="00031A0B" w:rsidRPr="00C861EF" w:rsidRDefault="00031A0B" w:rsidP="00031A0B">
      <w:pPr>
        <w:pStyle w:val="Prrafodelista"/>
        <w:spacing w:line="240" w:lineRule="auto"/>
        <w:ind w:left="426" w:right="900"/>
        <w:jc w:val="both"/>
        <w:rPr>
          <w:rFonts w:ascii="Verdana" w:eastAsia="Calibri" w:hAnsi="Verdana" w:cs="Arial"/>
          <w:color w:val="000000"/>
          <w:sz w:val="20"/>
          <w:szCs w:val="20"/>
          <w:lang w:val="es-ES_tradnl" w:eastAsia="es-ES_tradnl"/>
        </w:rPr>
      </w:pPr>
      <w:r w:rsidRPr="00C861EF">
        <w:rPr>
          <w:rFonts w:ascii="Verdana" w:eastAsia="Calibri" w:hAnsi="Verdana" w:cs="Arial"/>
          <w:color w:val="000000"/>
          <w:sz w:val="20"/>
          <w:szCs w:val="20"/>
          <w:lang w:val="es-ES_tradnl" w:eastAsia="es-ES_tradnl"/>
        </w:rPr>
        <w:t xml:space="preserve">“Artículo 5°. De la selección objetiva. </w:t>
      </w:r>
    </w:p>
    <w:p w14:paraId="775D034A" w14:textId="77777777" w:rsidR="00031A0B" w:rsidRPr="00C861EF" w:rsidRDefault="00031A0B" w:rsidP="00031A0B">
      <w:pPr>
        <w:pStyle w:val="Prrafodelista"/>
        <w:spacing w:line="240" w:lineRule="auto"/>
        <w:ind w:left="426" w:right="900"/>
        <w:jc w:val="both"/>
        <w:rPr>
          <w:rFonts w:ascii="Verdana" w:eastAsia="Calibri" w:hAnsi="Verdana" w:cs="Arial"/>
          <w:color w:val="000000"/>
          <w:sz w:val="20"/>
          <w:szCs w:val="20"/>
          <w:lang w:val="es-ES_tradnl" w:eastAsia="es-ES_tradnl"/>
        </w:rPr>
      </w:pPr>
      <w:r w:rsidRPr="00C861EF">
        <w:rPr>
          <w:rFonts w:ascii="Verdana" w:eastAsia="Calibri" w:hAnsi="Verdana" w:cs="Arial"/>
          <w:color w:val="000000"/>
          <w:sz w:val="20"/>
          <w:szCs w:val="20"/>
          <w:lang w:val="es-ES_tradnl" w:eastAsia="es-ES_tradnl"/>
        </w:rPr>
        <w:t xml:space="preserve">[...] </w:t>
      </w:r>
    </w:p>
    <w:p w14:paraId="465425FE" w14:textId="77777777" w:rsidR="00031A0B" w:rsidRPr="00C861EF" w:rsidRDefault="00031A0B" w:rsidP="00031A0B">
      <w:pPr>
        <w:pStyle w:val="Prrafodelista"/>
        <w:spacing w:line="240" w:lineRule="auto"/>
        <w:ind w:left="426" w:right="900"/>
        <w:jc w:val="both"/>
        <w:rPr>
          <w:rFonts w:ascii="Verdana" w:eastAsia="Calibri" w:hAnsi="Verdana" w:cs="Arial"/>
          <w:color w:val="000000"/>
          <w:sz w:val="20"/>
          <w:szCs w:val="20"/>
          <w:lang w:eastAsia="es-ES"/>
        </w:rPr>
      </w:pPr>
      <w:r w:rsidRPr="7464E62E">
        <w:rPr>
          <w:rFonts w:ascii="Verdana" w:eastAsia="Calibri" w:hAnsi="Verdana" w:cs="Arial"/>
          <w:color w:val="000000" w:themeColor="text1"/>
          <w:sz w:val="20"/>
          <w:szCs w:val="20"/>
          <w:lang w:eastAsia="es-ES"/>
        </w:rPr>
        <w:t xml:space="preserve">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w:t>
      </w:r>
      <w:proofErr w:type="gramStart"/>
      <w:r w:rsidRPr="7464E62E">
        <w:rPr>
          <w:rFonts w:ascii="Verdana" w:eastAsia="Calibri" w:hAnsi="Verdana" w:cs="Arial"/>
          <w:color w:val="000000" w:themeColor="text1"/>
          <w:sz w:val="20"/>
          <w:szCs w:val="20"/>
          <w:lang w:eastAsia="es-ES"/>
        </w:rPr>
        <w:t>puntaje,</w:t>
      </w:r>
      <w:proofErr w:type="gramEnd"/>
      <w:r w:rsidRPr="7464E62E">
        <w:rPr>
          <w:rFonts w:ascii="Verdana" w:eastAsia="Calibri" w:hAnsi="Verdana" w:cs="Arial"/>
          <w:color w:val="000000" w:themeColor="text1"/>
          <w:sz w:val="20"/>
          <w:szCs w:val="20"/>
          <w:lang w:eastAsia="es-ES"/>
        </w:rPr>
        <w:t xml:space="preserv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p>
    <w:p w14:paraId="254261B5" w14:textId="77777777" w:rsidR="00031A0B" w:rsidRPr="00C861EF" w:rsidRDefault="00031A0B" w:rsidP="00031A0B">
      <w:pPr>
        <w:pStyle w:val="Prrafodelista"/>
        <w:spacing w:line="276" w:lineRule="auto"/>
        <w:ind w:right="709"/>
        <w:jc w:val="both"/>
        <w:rPr>
          <w:rFonts w:ascii="Verdana" w:hAnsi="Verdana"/>
        </w:rPr>
      </w:pPr>
    </w:p>
    <w:p w14:paraId="7EAB2DD3" w14:textId="77777777" w:rsidR="00031A0B" w:rsidRPr="002F50D4" w:rsidRDefault="00031A0B" w:rsidP="00031A0B">
      <w:pPr>
        <w:spacing w:line="276" w:lineRule="auto"/>
        <w:ind w:firstLine="360"/>
        <w:jc w:val="both"/>
        <w:rPr>
          <w:rFonts w:ascii="Verdana" w:eastAsia="Arial" w:hAnsi="Verdana" w:cs="Arial"/>
          <w:color w:val="000000"/>
          <w:lang w:eastAsia="es-MX"/>
        </w:rPr>
      </w:pPr>
      <w:r w:rsidRPr="002F50D4">
        <w:rPr>
          <w:rFonts w:ascii="Verdana" w:eastAsia="Calibri" w:hAnsi="Verdana" w:cs="Arial"/>
          <w:color w:val="000000"/>
          <w:lang w:val="es-ES_tradnl" w:eastAsia="es-ES_tradnl"/>
        </w:rPr>
        <w:t xml:space="preserve">Esta norma: i) mantiene el criterio de la Ley 80 de 1993, relativo a que todo lo que no sea necesario para la comparación de propuestas no es título suficiente para su rechazo; </w:t>
      </w:r>
      <w:proofErr w:type="spellStart"/>
      <w:r w:rsidRPr="002F50D4">
        <w:rPr>
          <w:rFonts w:ascii="Verdana" w:eastAsia="Calibri" w:hAnsi="Verdana" w:cs="Arial"/>
          <w:color w:val="000000"/>
          <w:lang w:val="es-ES_tradnl" w:eastAsia="es-ES_tradnl"/>
        </w:rPr>
        <w:t>ii</w:t>
      </w:r>
      <w:proofErr w:type="spellEnd"/>
      <w:r w:rsidRPr="002F50D4">
        <w:rPr>
          <w:rFonts w:ascii="Verdana" w:eastAsia="Calibri" w:hAnsi="Verdana" w:cs="Arial"/>
          <w:color w:val="000000"/>
          <w:lang w:val="es-ES_tradnl" w:eastAsia="es-ES_tradnl"/>
        </w:rPr>
        <w:t xml:space="preserve">) mantiene el criterio aclaratorio de la Ley 1150 de 2007, según el cual todo lo que no afecte la asignación de puntaje puede subsanarse </w:t>
      </w:r>
      <w:r w:rsidRPr="002F50D4">
        <w:rPr>
          <w:rFonts w:ascii="Verdana" w:eastAsia="Calibri" w:hAnsi="Verdana" w:cs="Arial"/>
          <w:color w:val="000000"/>
          <w:lang w:val="es-ES_tradnl" w:eastAsia="es-ES_tradnl"/>
        </w:rPr>
        <w:lastRenderedPageBreak/>
        <w:t xml:space="preserve">y; </w:t>
      </w:r>
      <w:proofErr w:type="spellStart"/>
      <w:r w:rsidRPr="002F50D4">
        <w:rPr>
          <w:rFonts w:ascii="Verdana" w:eastAsia="Calibri" w:hAnsi="Verdana" w:cs="Arial"/>
          <w:color w:val="000000"/>
          <w:lang w:val="es-ES_tradnl" w:eastAsia="es-ES_tradnl"/>
        </w:rPr>
        <w:t>iii</w:t>
      </w:r>
      <w:proofErr w:type="spellEnd"/>
      <w:r w:rsidRPr="002F50D4">
        <w:rPr>
          <w:rFonts w:ascii="Verdana" w:eastAsia="Calibri" w:hAnsi="Verdana" w:cs="Arial"/>
          <w:color w:val="000000"/>
          <w:lang w:val="es-ES_tradnl" w:eastAsia="es-ES_tradnl"/>
        </w:rPr>
        <w:t>) introduce modificaciones en relación con tres aspectos que se analizarán a continuación</w:t>
      </w:r>
      <w:r w:rsidRPr="00C861EF">
        <w:rPr>
          <w:rFonts w:eastAsia="Arial"/>
          <w:vertAlign w:val="superscript"/>
          <w:lang w:eastAsia="es-MX"/>
        </w:rPr>
        <w:footnoteReference w:id="9"/>
      </w:r>
      <w:r w:rsidRPr="002F50D4">
        <w:rPr>
          <w:rFonts w:ascii="Verdana" w:eastAsia="Arial" w:hAnsi="Verdana" w:cs="Arial"/>
          <w:color w:val="000000"/>
          <w:lang w:eastAsia="es-MX"/>
        </w:rPr>
        <w:t xml:space="preserve">. </w:t>
      </w:r>
    </w:p>
    <w:p w14:paraId="0809E607" w14:textId="77777777" w:rsidR="00031A0B" w:rsidRPr="002F50D4" w:rsidRDefault="00031A0B" w:rsidP="00031A0B">
      <w:pPr>
        <w:spacing w:line="276" w:lineRule="auto"/>
        <w:ind w:firstLine="360"/>
        <w:jc w:val="both"/>
        <w:rPr>
          <w:rFonts w:ascii="Verdana" w:eastAsia="Arial" w:hAnsi="Verdana" w:cs="Arial"/>
          <w:color w:val="000000"/>
          <w:lang w:eastAsia="es-MX"/>
        </w:rPr>
      </w:pPr>
      <w:r w:rsidRPr="002F50D4">
        <w:rPr>
          <w:rFonts w:ascii="Verdana" w:eastAsia="Arial" w:hAnsi="Verdana" w:cs="Arial"/>
          <w:color w:val="000000"/>
          <w:lang w:eastAsia="es-MX"/>
        </w:rPr>
        <w:t xml:space="preserve">Por un lado, el </w:t>
      </w:r>
      <w:r w:rsidRPr="002F50D4">
        <w:rPr>
          <w:rFonts w:ascii="Verdana" w:eastAsia="Arial" w:hAnsi="Verdana" w:cs="Arial"/>
          <w:i/>
          <w:iCs/>
          <w:color w:val="000000"/>
          <w:lang w:eastAsia="es-MX"/>
        </w:rPr>
        <w:t>primero</w:t>
      </w:r>
      <w:r w:rsidRPr="002F50D4">
        <w:rPr>
          <w:rFonts w:ascii="Verdana" w:eastAsia="Arial" w:hAnsi="Verdana" w:cs="Arial"/>
          <w:color w:val="000000"/>
          <w:lang w:eastAsia="es-MX"/>
        </w:rPr>
        <w:t xml:space="preserve">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 en este último los documentos o requisitos subsanables deben solicitarse, como límite final, hasta el momento previo a su realización</w:t>
      </w:r>
      <w:r w:rsidRPr="00C861EF">
        <w:rPr>
          <w:vertAlign w:val="superscript"/>
          <w:lang w:eastAsia="es-MX"/>
        </w:rPr>
        <w:footnoteReference w:id="10"/>
      </w:r>
      <w:r w:rsidRPr="002F50D4">
        <w:rPr>
          <w:rFonts w:ascii="Verdana" w:eastAsia="Arial" w:hAnsi="Verdana" w:cs="Arial"/>
          <w:color w:val="000000"/>
          <w:lang w:eastAsia="es-MX"/>
        </w:rPr>
        <w:t>.</w:t>
      </w:r>
    </w:p>
    <w:p w14:paraId="7ECA3D15" w14:textId="77777777" w:rsidR="00031A0B" w:rsidRPr="002F50D4" w:rsidRDefault="00031A0B" w:rsidP="00031A0B">
      <w:pPr>
        <w:spacing w:line="276" w:lineRule="auto"/>
        <w:ind w:firstLine="360"/>
        <w:jc w:val="both"/>
        <w:rPr>
          <w:rFonts w:ascii="Verdana" w:eastAsia="Calibri" w:hAnsi="Verdana" w:cs="Arial"/>
          <w:bCs/>
          <w:lang w:val="es-MX" w:eastAsia="es-ES_tradnl"/>
        </w:rPr>
      </w:pPr>
      <w:r w:rsidRPr="002F50D4">
        <w:rPr>
          <w:rFonts w:ascii="Verdana" w:eastAsia="Times New Roman" w:hAnsi="Verdana" w:cs="Arial"/>
          <w:color w:val="000000"/>
          <w:shd w:val="clear" w:color="auto" w:fill="FFFFFF"/>
          <w:lang w:eastAsia="es-MX"/>
        </w:rPr>
        <w:t>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w:t>
      </w:r>
      <w:r w:rsidRPr="002F50D4">
        <w:rPr>
          <w:rFonts w:ascii="Verdana" w:eastAsia="Calibri" w:hAnsi="Verdana" w:cs="Arial"/>
          <w:bCs/>
          <w:lang w:val="es-MX" w:eastAsia="es-ES_tradnl"/>
        </w:rPr>
        <w:t>En efecto, la redacción de la norma permite que la Administración solicite a los oferentes subsanar y que estos lo hagan hasta antes del término del traslado del informe de evaluación: “deberán ser solicitados por las entidades estatales y deberán ser entregados por los proponentes hasta el término de traslado del informe de evaluación que corresponda a cada modalidad de selección”.</w:t>
      </w:r>
    </w:p>
    <w:p w14:paraId="2F9644B8" w14:textId="77777777" w:rsidR="00031A0B" w:rsidRPr="002F50D4" w:rsidRDefault="00031A0B" w:rsidP="00031A0B">
      <w:pPr>
        <w:spacing w:line="276" w:lineRule="auto"/>
        <w:ind w:firstLine="360"/>
        <w:jc w:val="both"/>
        <w:rPr>
          <w:rFonts w:ascii="Verdana" w:eastAsia="Times New Roman" w:hAnsi="Verdana" w:cs="Arial"/>
          <w:lang w:val="es-ES" w:eastAsia="es-ES"/>
        </w:rPr>
      </w:pPr>
      <w:r w:rsidRPr="5EE26E4C">
        <w:rPr>
          <w:rFonts w:ascii="Verdana" w:eastAsia="Times New Roman" w:hAnsi="Verdana" w:cs="Arial"/>
          <w:lang w:val="es-ES" w:eastAsia="es-ES"/>
        </w:rPr>
        <w:t xml:space="preserve">No obstante, de la lectura de este aparte podrían, en la práctica, darse dos interpretaciones que dan lugar a dos formas de proceder en los procesos de selección, en lo que a la </w:t>
      </w:r>
      <w:proofErr w:type="spellStart"/>
      <w:r w:rsidRPr="5EE26E4C">
        <w:rPr>
          <w:rFonts w:ascii="Verdana" w:eastAsia="Times New Roman" w:hAnsi="Verdana" w:cs="Arial"/>
          <w:lang w:val="es-ES" w:eastAsia="es-ES"/>
        </w:rPr>
        <w:t>subsanabilidad</w:t>
      </w:r>
      <w:proofErr w:type="spellEnd"/>
      <w:r w:rsidRPr="5EE26E4C">
        <w:rPr>
          <w:rFonts w:ascii="Verdana" w:eastAsia="Times New Roman" w:hAnsi="Verdana" w:cs="Arial"/>
          <w:lang w:val="es-ES" w:eastAsia="es-ES"/>
        </w:rPr>
        <w:t xml:space="preserve"> de las ofertas se refiere. Primera, que la posibilidad para subsanar de los oferentes es el término del traslado del informe de evaluación, ya que es en este documento donde la Administración consigna los requisitos o documentos omitidos que los oferentes deben subsanar, so pena </w:t>
      </w:r>
      <w:r w:rsidRPr="5EE26E4C">
        <w:rPr>
          <w:rFonts w:ascii="Verdana" w:eastAsia="Times New Roman" w:hAnsi="Verdana" w:cs="Arial"/>
          <w:lang w:val="es-ES" w:eastAsia="es-ES"/>
        </w:rPr>
        <w:lastRenderedPageBreak/>
        <w:t xml:space="preserve">de rechazo; segunda, que el término del traslado del informe de evaluación es el </w:t>
      </w:r>
      <w:r w:rsidRPr="5EE26E4C">
        <w:rPr>
          <w:rFonts w:ascii="Verdana" w:eastAsia="Times New Roman" w:hAnsi="Verdana" w:cs="Arial"/>
          <w:i/>
          <w:lang w:val="es-ES" w:eastAsia="es-ES"/>
        </w:rPr>
        <w:t>límite</w:t>
      </w:r>
      <w:r w:rsidRPr="5EE26E4C">
        <w:rPr>
          <w:rFonts w:ascii="Verdana" w:eastAsia="Times New Roman" w:hAnsi="Verdana" w:cs="Arial"/>
          <w:lang w:val="es-ES" w:eastAsia="es-ES"/>
        </w:rPr>
        <w:t xml:space="preserve"> para la subsanación de ofertas, pero no el único momento para hacerlo. </w:t>
      </w:r>
    </w:p>
    <w:p w14:paraId="32D70483" w14:textId="77777777" w:rsidR="00031A0B" w:rsidRPr="002F50D4" w:rsidRDefault="00031A0B" w:rsidP="00031A0B">
      <w:pPr>
        <w:spacing w:line="276" w:lineRule="auto"/>
        <w:ind w:firstLine="360"/>
        <w:jc w:val="both"/>
        <w:rPr>
          <w:rFonts w:ascii="Verdana" w:eastAsia="Times New Roman" w:hAnsi="Verdana" w:cs="Arial"/>
          <w:lang w:val="es-ES_tradnl" w:eastAsia="es-ES_tradnl"/>
        </w:rPr>
      </w:pPr>
      <w:r w:rsidRPr="002F50D4">
        <w:rPr>
          <w:rFonts w:ascii="Verdana" w:eastAsia="Times New Roman" w:hAnsi="Verdana" w:cs="Arial"/>
          <w:lang w:val="es-ES_tradnl" w:eastAsia="es-ES_tradnl"/>
        </w:rPr>
        <w:t xml:space="preserve">De acuerdo con la primera interpretación, el informe de evaluación se convierte en la oportunidad que adopta la Administración para decirles a los oferentes qué documentos o requisitos omitieron y deben subsanar y, consecuentemente, el término del traslado es la oportunidad del proponente para cumplir con lo solicitado.  </w:t>
      </w:r>
    </w:p>
    <w:p w14:paraId="7DD4DBDE" w14:textId="77777777" w:rsidR="00031A0B" w:rsidRDefault="00031A0B" w:rsidP="00031A0B">
      <w:pPr>
        <w:spacing w:line="276" w:lineRule="auto"/>
        <w:ind w:firstLine="360"/>
        <w:jc w:val="both"/>
        <w:rPr>
          <w:rFonts w:ascii="Verdana" w:eastAsia="Times New Roman" w:hAnsi="Verdana" w:cs="Arial"/>
          <w:lang w:val="es-ES_tradnl" w:eastAsia="es-ES_tradnl"/>
        </w:rPr>
      </w:pPr>
      <w:r w:rsidRPr="002F50D4">
        <w:rPr>
          <w:rFonts w:ascii="Verdana" w:eastAsia="Times New Roman" w:hAnsi="Verdana" w:cs="Arial"/>
          <w:lang w:val="es-ES_tradnl" w:eastAsia="es-ES_tradnl"/>
        </w:rPr>
        <w:t>La segunda interpretación permitiría que la Administración requiera al oferente durante el proceso de evaluación de las propuestas, tan pronto advierta que hace falta un documento o requisito que se puede subsanar. En este caso, el proceso de subsanación se podría realizar con anterioridad a la publicación del informe de evaluación, de manera que, una vez se publique el informe ya se encuentren subsanadas las propuestas, sin perjuicio del término límite que concedió la ley.</w:t>
      </w:r>
    </w:p>
    <w:p w14:paraId="6A03E262" w14:textId="77777777" w:rsidR="00031A0B" w:rsidRPr="002F50D4" w:rsidRDefault="00031A0B" w:rsidP="00031A0B">
      <w:pPr>
        <w:spacing w:line="276" w:lineRule="auto"/>
        <w:ind w:firstLine="360"/>
        <w:jc w:val="both"/>
        <w:rPr>
          <w:rFonts w:ascii="Verdana" w:eastAsia="Times New Roman" w:hAnsi="Verdana" w:cs="Arial"/>
          <w:lang w:val="es-ES_tradnl" w:eastAsia="es-ES_tradnl"/>
        </w:rPr>
      </w:pPr>
      <w:r w:rsidRPr="002F50D4">
        <w:rPr>
          <w:rFonts w:ascii="Verdana" w:eastAsia="Times New Roman" w:hAnsi="Verdana" w:cs="Arial"/>
          <w:lang w:val="es-ES_tradnl" w:eastAsia="es-ES_tradnl"/>
        </w:rPr>
        <w:t xml:space="preserve">La modificación introducida por el artículo 5 de la Ley 1882 de 2018, si bien pudo significar, en la práctica de los procesos de selección, que el informe de evaluación fuera la oportunidad de la Administración para requerir al proponente para que subsane la oferta, y el término del traslado la oportunidad para hacerlo, lo cierto es que no impide que esto se realice con anterioridad a la publicación del informe, inclusive, es más adecuado y conveniente que la subsanación de las ofertas se intente con anterioridad, de forma que, una vez la Administración advierta el defecto le solicite directamente al oferente que subsane. Esta interpretación es más consistente con los principios de economía, transparencia y selección objetiva. </w:t>
      </w:r>
    </w:p>
    <w:p w14:paraId="3210CADB" w14:textId="77777777" w:rsidR="00031A0B" w:rsidRDefault="00031A0B" w:rsidP="00031A0B">
      <w:pPr>
        <w:spacing w:line="276" w:lineRule="auto"/>
        <w:ind w:firstLine="360"/>
        <w:jc w:val="both"/>
        <w:rPr>
          <w:rFonts w:ascii="Verdana" w:eastAsia="Times New Roman" w:hAnsi="Verdana" w:cs="Arial"/>
          <w:lang w:eastAsia="es-ES"/>
        </w:rPr>
      </w:pPr>
      <w:r w:rsidRPr="002F50D4">
        <w:rPr>
          <w:rFonts w:ascii="Verdana" w:eastAsia="Times New Roman" w:hAnsi="Verdana" w:cs="Arial"/>
          <w:lang w:eastAsia="es-ES"/>
        </w:rPr>
        <w:t>Lo anterior, se aclara, sin desconocer el límite que establece la norma para que los oferentes, sin perjuicio de que lo hagan antes, cuenten hasta el término de traslado del informe de evaluación con la posibilidad de presentar la información solicitada.</w:t>
      </w:r>
    </w:p>
    <w:p w14:paraId="4942F3B2" w14:textId="77777777" w:rsidR="00031A0B" w:rsidRDefault="00031A0B" w:rsidP="00031A0B">
      <w:pPr>
        <w:spacing w:line="276" w:lineRule="auto"/>
        <w:ind w:firstLine="360"/>
        <w:jc w:val="both"/>
        <w:rPr>
          <w:rFonts w:ascii="Verdana" w:eastAsia="Times New Roman" w:hAnsi="Verdana" w:cs="Arial"/>
          <w:lang w:eastAsia="es-ES"/>
        </w:rPr>
      </w:pPr>
    </w:p>
    <w:p w14:paraId="288BE016" w14:textId="77777777" w:rsidR="00031A0B" w:rsidRDefault="00031A0B" w:rsidP="00031A0B">
      <w:pPr>
        <w:spacing w:line="276" w:lineRule="auto"/>
        <w:ind w:firstLine="360"/>
        <w:jc w:val="both"/>
        <w:rPr>
          <w:rFonts w:ascii="Verdana" w:eastAsia="Times New Roman" w:hAnsi="Verdana" w:cs="Arial"/>
          <w:lang w:eastAsia="es-ES"/>
        </w:rPr>
      </w:pPr>
    </w:p>
    <w:p w14:paraId="19207F77" w14:textId="77777777" w:rsidR="00031A0B" w:rsidRPr="00FF7AB3" w:rsidRDefault="00031A0B" w:rsidP="00031A0B">
      <w:pPr>
        <w:spacing w:after="120" w:line="276" w:lineRule="auto"/>
        <w:jc w:val="both"/>
        <w:rPr>
          <w:rFonts w:ascii="Verdana" w:eastAsia="Arial" w:hAnsi="Verdana" w:cs="Arial"/>
        </w:rPr>
      </w:pPr>
      <w:r>
        <w:rPr>
          <w:rFonts w:ascii="Verdana" w:eastAsia="Arial" w:hAnsi="Verdana" w:cs="Arial"/>
        </w:rPr>
        <w:t xml:space="preserve">          Ahora bien, en atención al problema jurídico planteado</w:t>
      </w:r>
      <w:r w:rsidRPr="00FF7AB3">
        <w:rPr>
          <w:rFonts w:ascii="Verdana" w:eastAsia="Arial" w:hAnsi="Verdana" w:cs="Arial"/>
        </w:rPr>
        <w:t xml:space="preserve">, cuando una actuación societaria, administrativa o jurídica que soporta el cumplimiento de un requisito habilitante ha sido adoptada válidamente antes del cierre del proceso </w:t>
      </w:r>
      <w:r w:rsidRPr="00FF7AB3">
        <w:rPr>
          <w:rFonts w:ascii="Verdana" w:eastAsia="Arial" w:hAnsi="Verdana" w:cs="Arial"/>
        </w:rPr>
        <w:lastRenderedPageBreak/>
        <w:t>de selección, pero su inscripción, registro, formalización o acreditación documental ocurre con posterioridad, dicha circunstancia puede considerarse subsanable, en la medida en que el documento posterior únicamente tenga la finalidad de dar publicidad, oponibilidad o prueba frente a terceros de una situación jurídica ya existente al momento del cierre.</w:t>
      </w:r>
    </w:p>
    <w:p w14:paraId="0EC6B90C" w14:textId="77777777" w:rsidR="00031A0B" w:rsidRDefault="00031A0B" w:rsidP="00031A0B">
      <w:pPr>
        <w:spacing w:after="120" w:line="276" w:lineRule="auto"/>
        <w:jc w:val="both"/>
        <w:rPr>
          <w:rFonts w:ascii="Verdana" w:eastAsia="Arial" w:hAnsi="Verdana" w:cs="Arial"/>
        </w:rPr>
      </w:pPr>
      <w:r>
        <w:rPr>
          <w:rFonts w:ascii="Verdana" w:eastAsia="Arial" w:hAnsi="Verdana" w:cs="Arial"/>
        </w:rPr>
        <w:t xml:space="preserve">          </w:t>
      </w:r>
      <w:r w:rsidRPr="00FF7AB3">
        <w:rPr>
          <w:rFonts w:ascii="Verdana" w:eastAsia="Arial" w:hAnsi="Verdana" w:cs="Arial"/>
        </w:rPr>
        <w:t xml:space="preserve">En consecuencia, la Entidad Estatal </w:t>
      </w:r>
      <w:r>
        <w:rPr>
          <w:rFonts w:ascii="Verdana" w:eastAsia="Arial" w:hAnsi="Verdana" w:cs="Arial"/>
        </w:rPr>
        <w:t xml:space="preserve">de acuerdo con lo anteriormente indicado </w:t>
      </w:r>
      <w:r w:rsidRPr="00FF7AB3">
        <w:rPr>
          <w:rFonts w:ascii="Verdana" w:eastAsia="Arial" w:hAnsi="Verdana" w:cs="Arial"/>
        </w:rPr>
        <w:t>deber</w:t>
      </w:r>
      <w:r>
        <w:rPr>
          <w:rFonts w:ascii="Verdana" w:eastAsia="Arial" w:hAnsi="Verdana" w:cs="Arial"/>
        </w:rPr>
        <w:t>á</w:t>
      </w:r>
      <w:r w:rsidRPr="00FF7AB3">
        <w:rPr>
          <w:rFonts w:ascii="Verdana" w:eastAsia="Arial" w:hAnsi="Verdana" w:cs="Arial"/>
        </w:rPr>
        <w:t xml:space="preserve"> </w:t>
      </w:r>
      <w:r>
        <w:rPr>
          <w:rFonts w:ascii="Verdana" w:eastAsia="Arial" w:hAnsi="Verdana" w:cs="Arial"/>
        </w:rPr>
        <w:t xml:space="preserve">evaluar si </w:t>
      </w:r>
      <w:r w:rsidRPr="00FF7AB3">
        <w:rPr>
          <w:rFonts w:ascii="Verdana" w:eastAsia="Arial" w:hAnsi="Verdana" w:cs="Arial"/>
        </w:rPr>
        <w:t>rechaza</w:t>
      </w:r>
      <w:r>
        <w:rPr>
          <w:rFonts w:ascii="Verdana" w:eastAsia="Arial" w:hAnsi="Verdana" w:cs="Arial"/>
        </w:rPr>
        <w:t xml:space="preserve"> o no </w:t>
      </w:r>
      <w:r w:rsidRPr="00FF7AB3">
        <w:rPr>
          <w:rFonts w:ascii="Verdana" w:eastAsia="Arial" w:hAnsi="Verdana" w:cs="Arial"/>
        </w:rPr>
        <w:t xml:space="preserve">la oferta por el hecho de que el documento actualizado o el soporte registral se hubiere aportado con posterioridad al cierre del proceso, </w:t>
      </w:r>
      <w:r>
        <w:rPr>
          <w:rFonts w:ascii="Verdana" w:eastAsia="Arial" w:hAnsi="Verdana" w:cs="Arial"/>
        </w:rPr>
        <w:t>ya</w:t>
      </w:r>
      <w:r w:rsidRPr="00FF7AB3">
        <w:rPr>
          <w:rFonts w:ascii="Verdana" w:eastAsia="Arial" w:hAnsi="Verdana" w:cs="Arial"/>
        </w:rPr>
        <w:t xml:space="preserve"> que </w:t>
      </w:r>
      <w:r>
        <w:rPr>
          <w:rFonts w:ascii="Verdana" w:eastAsia="Arial" w:hAnsi="Verdana" w:cs="Arial"/>
        </w:rPr>
        <w:t>debe</w:t>
      </w:r>
      <w:r w:rsidRPr="00FF7AB3">
        <w:rPr>
          <w:rFonts w:ascii="Verdana" w:eastAsia="Arial" w:hAnsi="Verdana" w:cs="Arial"/>
        </w:rPr>
        <w:t xml:space="preserve"> </w:t>
      </w:r>
      <w:r>
        <w:rPr>
          <w:rFonts w:ascii="Verdana" w:eastAsia="Arial" w:hAnsi="Verdana" w:cs="Arial"/>
        </w:rPr>
        <w:t xml:space="preserve">quedar </w:t>
      </w:r>
      <w:r w:rsidRPr="00FF7AB3">
        <w:rPr>
          <w:rFonts w:ascii="Verdana" w:eastAsia="Arial" w:hAnsi="Verdana" w:cs="Arial"/>
        </w:rPr>
        <w:t>dem</w:t>
      </w:r>
      <w:r>
        <w:rPr>
          <w:rFonts w:ascii="Verdana" w:eastAsia="Arial" w:hAnsi="Verdana" w:cs="Arial"/>
        </w:rPr>
        <w:t>ostrado</w:t>
      </w:r>
      <w:r w:rsidRPr="00FF7AB3">
        <w:rPr>
          <w:rFonts w:ascii="Verdana" w:eastAsia="Arial" w:hAnsi="Verdana" w:cs="Arial"/>
        </w:rPr>
        <w:t xml:space="preserve"> que la condición habilitante existía materialmente antes de dicho momento y que la actuación posterior no constituyó la creación de un hecho nuevo o sobreviniente.</w:t>
      </w:r>
    </w:p>
    <w:p w14:paraId="78B5B967" w14:textId="77777777" w:rsidR="00031A0B" w:rsidRPr="00FF7AB3" w:rsidRDefault="00031A0B" w:rsidP="00031A0B">
      <w:pPr>
        <w:spacing w:after="120" w:line="276" w:lineRule="auto"/>
        <w:jc w:val="both"/>
        <w:rPr>
          <w:rFonts w:ascii="Verdana" w:eastAsia="Arial" w:hAnsi="Verdana" w:cs="Arial"/>
        </w:rPr>
      </w:pPr>
      <w:r>
        <w:rPr>
          <w:rFonts w:ascii="Verdana" w:eastAsia="Arial" w:hAnsi="Verdana" w:cs="Arial"/>
        </w:rPr>
        <w:t xml:space="preserve">        </w:t>
      </w:r>
      <w:r w:rsidRPr="005A3A3B">
        <w:rPr>
          <w:rFonts w:ascii="Verdana" w:eastAsia="Arial" w:hAnsi="Verdana" w:cs="Arial"/>
        </w:rPr>
        <w:t>Adicionalmente, se recomienda consultar el documento denominado “Manual para determinar y verificar los requisitos habilitantes en los Procesos de Contratación”</w:t>
      </w:r>
      <w:r>
        <w:rPr>
          <w:rStyle w:val="Refdenotaalpie"/>
          <w:rFonts w:ascii="Verdana" w:eastAsia="Arial" w:hAnsi="Verdana" w:cs="Arial"/>
        </w:rPr>
        <w:footnoteReference w:id="11"/>
      </w:r>
      <w:r w:rsidRPr="005A3A3B">
        <w:rPr>
          <w:rFonts w:ascii="Verdana" w:eastAsia="Arial" w:hAnsi="Verdana" w:cs="Arial"/>
        </w:rPr>
        <w:t>, expedido por Agencia Nacional de Contratación Pública – Colombia Compra Eficiente, el cual desarrolla criterios orientadores sobre la verificación de requisitos habilitantes y su acreditación dentro de los procesos de selección. En dicho instrumento se precisan aspectos relacionados con la capacidad jurídica, financiera, organizacional y técnica de los proponentes, así como las reglas aplicables a la subsanación de documentos e información, en concordancia con lo previsto en la Ley 1150 de 2007 y la Ley 1882 de 2018.</w:t>
      </w:r>
    </w:p>
    <w:p w14:paraId="6E969F86" w14:textId="77777777" w:rsidR="00031A0B" w:rsidRPr="006B17A7" w:rsidRDefault="00031A0B" w:rsidP="00031A0B">
      <w:pPr>
        <w:spacing w:line="276" w:lineRule="auto"/>
        <w:ind w:firstLine="360"/>
        <w:jc w:val="both"/>
        <w:rPr>
          <w:rFonts w:ascii="Verdana" w:eastAsia="Calibri" w:hAnsi="Verdana" w:cs="Arial"/>
        </w:rPr>
      </w:pPr>
      <w:r>
        <w:rPr>
          <w:rFonts w:ascii="Verdana" w:eastAsia="Calibri" w:hAnsi="Verdana"/>
        </w:rPr>
        <w:t xml:space="preserve">     </w:t>
      </w: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372C24E" w14:textId="77777777" w:rsidR="00031A0B" w:rsidRPr="006B17A7" w:rsidRDefault="00031A0B" w:rsidP="00031A0B">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w:t>
      </w:r>
      <w:r w:rsidRPr="006B17A7">
        <w:rPr>
          <w:rFonts w:ascii="Verdana" w:eastAsia="Calibri" w:hAnsi="Verdana" w:cs="Arial"/>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0494F019" w14:textId="77777777" w:rsidR="00031A0B" w:rsidRPr="006B17A7" w:rsidRDefault="00031A0B" w:rsidP="00031A0B">
      <w:pPr>
        <w:spacing w:after="0" w:line="276" w:lineRule="auto"/>
        <w:ind w:firstLine="708"/>
        <w:jc w:val="both"/>
        <w:rPr>
          <w:rFonts w:ascii="Verdana" w:eastAsia="Calibri" w:hAnsi="Verdana" w:cs="Arial"/>
        </w:rPr>
      </w:pPr>
    </w:p>
    <w:p w14:paraId="60CBA6AD" w14:textId="77777777" w:rsidR="00031A0B" w:rsidRPr="006B17A7" w:rsidRDefault="00031A0B" w:rsidP="00031A0B">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7FC63281" w14:textId="77777777" w:rsidR="00031A0B" w:rsidRPr="006B17A7" w:rsidRDefault="00031A0B" w:rsidP="00031A0B">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31A0B" w:rsidRPr="006B17A7" w14:paraId="750581F8" w14:textId="77777777" w:rsidTr="00C63CAF">
        <w:trPr>
          <w:trHeight w:val="870"/>
        </w:trPr>
        <w:tc>
          <w:tcPr>
            <w:tcW w:w="8647" w:type="dxa"/>
          </w:tcPr>
          <w:p w14:paraId="718C8223" w14:textId="77777777" w:rsidR="00031A0B" w:rsidRDefault="00031A0B" w:rsidP="00C63CAF">
            <w:pPr>
              <w:pStyle w:val="Prrafodelista"/>
              <w:spacing w:after="120" w:line="276" w:lineRule="auto"/>
              <w:jc w:val="both"/>
              <w:rPr>
                <w:rFonts w:ascii="Verdana" w:eastAsia="Aptos" w:hAnsi="Verdana" w:cs="Arial"/>
              </w:rPr>
            </w:pPr>
          </w:p>
          <w:p w14:paraId="36695B8C" w14:textId="77777777" w:rsidR="00031A0B" w:rsidRPr="000F2673" w:rsidRDefault="00031A0B" w:rsidP="00031A0B">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5 de la Ley 1882 de 2018.</w:t>
            </w:r>
          </w:p>
          <w:p w14:paraId="02E9D3D1" w14:textId="77777777" w:rsidR="00031A0B" w:rsidRPr="000F2673" w:rsidRDefault="00031A0B" w:rsidP="00031A0B">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30 de la Ley 80 de 1993.</w:t>
            </w:r>
          </w:p>
          <w:p w14:paraId="5F6FB71D" w14:textId="77777777" w:rsidR="00031A0B" w:rsidRPr="000F2673" w:rsidRDefault="00031A0B" w:rsidP="00031A0B">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 5, parágrafos 1° y 4°, de la Ley 1150 de 2007.</w:t>
            </w:r>
          </w:p>
          <w:p w14:paraId="5BD0CA99" w14:textId="77777777" w:rsidR="00031A0B" w:rsidRDefault="00031A0B" w:rsidP="00031A0B">
            <w:pPr>
              <w:pStyle w:val="Prrafodelista"/>
              <w:numPr>
                <w:ilvl w:val="0"/>
                <w:numId w:val="17"/>
              </w:numPr>
              <w:spacing w:after="120" w:line="276" w:lineRule="auto"/>
              <w:jc w:val="both"/>
              <w:rPr>
                <w:rFonts w:ascii="Verdana" w:eastAsia="Aptos" w:hAnsi="Verdana" w:cs="Arial"/>
              </w:rPr>
            </w:pPr>
            <w:r w:rsidRPr="000F2673">
              <w:rPr>
                <w:rFonts w:ascii="Verdana" w:eastAsia="Aptos" w:hAnsi="Verdana" w:cs="Arial"/>
              </w:rPr>
              <w:t>Artículos 2.2.1.2.1.2.1 y 2.2.1.2.1.2.2 del Decreto 1082 de 2015.</w:t>
            </w:r>
          </w:p>
          <w:p w14:paraId="73F9321C" w14:textId="77777777" w:rsidR="00031A0B" w:rsidRDefault="00031A0B" w:rsidP="00031A0B">
            <w:pPr>
              <w:pStyle w:val="Prrafodelista"/>
              <w:numPr>
                <w:ilvl w:val="0"/>
                <w:numId w:val="17"/>
              </w:numPr>
              <w:spacing w:after="120" w:line="276" w:lineRule="auto"/>
              <w:jc w:val="both"/>
              <w:rPr>
                <w:rFonts w:ascii="Verdana" w:eastAsia="Aptos" w:hAnsi="Verdana" w:cs="Arial"/>
              </w:rPr>
            </w:pPr>
            <w:r w:rsidRPr="000A5510">
              <w:rPr>
                <w:rFonts w:ascii="Verdana" w:eastAsia="Aptos" w:hAnsi="Verdana" w:cs="Arial"/>
              </w:rPr>
              <w:t xml:space="preserve">Consejo de Estado. Sala de Consulta y Servicio Civil. Concepto del 20 de mayo de 2010. </w:t>
            </w:r>
            <w:proofErr w:type="spellStart"/>
            <w:r w:rsidRPr="000A5510">
              <w:rPr>
                <w:rFonts w:ascii="Verdana" w:eastAsia="Aptos" w:hAnsi="Verdana" w:cs="Arial"/>
              </w:rPr>
              <w:t>Exp</w:t>
            </w:r>
            <w:proofErr w:type="spellEnd"/>
            <w:r w:rsidRPr="000A5510">
              <w:rPr>
                <w:rFonts w:ascii="Verdana" w:eastAsia="Aptos" w:hAnsi="Verdana" w:cs="Arial"/>
              </w:rPr>
              <w:t>. 1.992. C.P. Enrique José Arboleda Perdomo</w:t>
            </w:r>
          </w:p>
          <w:p w14:paraId="3A0456E8" w14:textId="77777777" w:rsidR="00031A0B" w:rsidRPr="000F2673" w:rsidRDefault="00031A0B" w:rsidP="00031A0B">
            <w:pPr>
              <w:pStyle w:val="Prrafodelista"/>
              <w:numPr>
                <w:ilvl w:val="0"/>
                <w:numId w:val="17"/>
              </w:numPr>
              <w:spacing w:after="120" w:line="276" w:lineRule="auto"/>
              <w:jc w:val="both"/>
              <w:rPr>
                <w:rFonts w:ascii="Verdana" w:eastAsia="Aptos" w:hAnsi="Verdana" w:cs="Arial"/>
              </w:rPr>
            </w:pPr>
            <w:r w:rsidRPr="000F2673">
              <w:rPr>
                <w:rFonts w:ascii="Verdana" w:eastAsia="Arial" w:hAnsi="Verdana" w:cs="Arial"/>
              </w:rPr>
              <w:t xml:space="preserve">Manual para determinar y verificar los requisitos habilitantes en los Procesos de Contratación. </w:t>
            </w:r>
            <w:r w:rsidRPr="000F2673">
              <w:rPr>
                <w:rFonts w:ascii="Verdana" w:hAnsi="Verdana"/>
              </w:rPr>
              <w:t xml:space="preserve">Documento disponible en: </w:t>
            </w:r>
            <w:hyperlink r:id="rId12" w:history="1">
              <w:r w:rsidRPr="000F2673">
                <w:rPr>
                  <w:rStyle w:val="Hipervnculo"/>
                  <w:rFonts w:ascii="Verdana" w:hAnsi="Verdana"/>
                </w:rPr>
                <w:t>https://www.colombiacompra.gov.co/archivos/manual/manual-para-determinar-y-verificar-los-requisitos-habilitantes-en-los-procesos-de-contratacion</w:t>
              </w:r>
            </w:hyperlink>
            <w:r w:rsidRPr="000F2673">
              <w:rPr>
                <w:rFonts w:ascii="Verdana" w:hAnsi="Verdana"/>
              </w:rPr>
              <w:t xml:space="preserve"> </w:t>
            </w:r>
          </w:p>
          <w:p w14:paraId="5386CA23" w14:textId="77777777" w:rsidR="00031A0B" w:rsidRPr="006B17A7" w:rsidRDefault="00031A0B" w:rsidP="00C63CAF">
            <w:pPr>
              <w:pStyle w:val="Prrafodelista"/>
              <w:spacing w:after="120" w:line="276" w:lineRule="auto"/>
              <w:jc w:val="both"/>
              <w:rPr>
                <w:rFonts w:ascii="Verdana" w:eastAsia="Aptos" w:hAnsi="Verdana" w:cs="Arial"/>
              </w:rPr>
            </w:pPr>
          </w:p>
        </w:tc>
      </w:tr>
    </w:tbl>
    <w:p w14:paraId="6F57FE74" w14:textId="77777777" w:rsidR="00031A0B" w:rsidRPr="006B17A7" w:rsidRDefault="00031A0B" w:rsidP="00031A0B">
      <w:pPr>
        <w:widowControl w:val="0"/>
        <w:autoSpaceDE w:val="0"/>
        <w:autoSpaceDN w:val="0"/>
        <w:spacing w:after="0" w:line="276" w:lineRule="auto"/>
        <w:jc w:val="both"/>
        <w:rPr>
          <w:rFonts w:ascii="Verdana" w:eastAsia="Aptos" w:hAnsi="Verdana" w:cs="Arial"/>
        </w:rPr>
      </w:pPr>
    </w:p>
    <w:p w14:paraId="1DC98F9E" w14:textId="77777777" w:rsidR="00031A0B" w:rsidRPr="006B17A7" w:rsidRDefault="00031A0B" w:rsidP="00031A0B">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58977464" w14:textId="77777777" w:rsidR="00031A0B" w:rsidRPr="006B17A7" w:rsidRDefault="00031A0B" w:rsidP="00031A0B">
      <w:pPr>
        <w:widowControl w:val="0"/>
        <w:autoSpaceDE w:val="0"/>
        <w:autoSpaceDN w:val="0"/>
        <w:spacing w:after="0" w:line="276" w:lineRule="auto"/>
        <w:jc w:val="both"/>
        <w:rPr>
          <w:rFonts w:ascii="Verdana" w:eastAsia="Aptos" w:hAnsi="Verdana" w:cs="Arial"/>
        </w:rPr>
      </w:pPr>
    </w:p>
    <w:p w14:paraId="455911EB" w14:textId="77777777" w:rsidR="00031A0B" w:rsidRPr="00C27319" w:rsidRDefault="00031A0B" w:rsidP="00031A0B">
      <w:pPr>
        <w:widowControl w:val="0"/>
        <w:autoSpaceDE w:val="0"/>
        <w:autoSpaceDN w:val="0"/>
        <w:spacing w:after="0" w:line="276" w:lineRule="auto"/>
        <w:jc w:val="both"/>
        <w:rPr>
          <w:rFonts w:ascii="Verdana" w:hAnsi="Verdana" w:cs="Arial"/>
          <w:shd w:val="clear" w:color="auto" w:fill="FFFFFF"/>
          <w:lang w:val="es-ES"/>
        </w:rPr>
      </w:pPr>
      <w:r w:rsidRPr="00D16A5E">
        <w:rPr>
          <w:rFonts w:ascii="Verdana" w:eastAsia="Calibri" w:hAnsi="Verdana" w:cs="Arial"/>
          <w:lang w:val="es-ES" w:eastAsia="es-ES"/>
        </w:rPr>
        <w:t xml:space="preserve">Sobre la </w:t>
      </w:r>
      <w:r w:rsidRPr="00D16A5E">
        <w:rPr>
          <w:rFonts w:ascii="Verdana" w:eastAsia="Calibri" w:hAnsi="Verdana" w:cs="Arial"/>
          <w:lang w:val="es-ES"/>
        </w:rPr>
        <w:t xml:space="preserve">regla de </w:t>
      </w:r>
      <w:proofErr w:type="spellStart"/>
      <w:r w:rsidRPr="00D16A5E">
        <w:rPr>
          <w:rFonts w:ascii="Verdana" w:eastAsia="Calibri" w:hAnsi="Verdana" w:cs="Arial"/>
          <w:lang w:val="es-ES"/>
        </w:rPr>
        <w:t>subsanabilidad</w:t>
      </w:r>
      <w:proofErr w:type="spellEnd"/>
      <w:r w:rsidRPr="00D16A5E">
        <w:rPr>
          <w:rFonts w:ascii="Verdana" w:eastAsia="Calibri" w:hAnsi="Verdana" w:cs="Arial"/>
          <w:lang w:val="es-ES"/>
        </w:rPr>
        <w:t xml:space="preserve"> en los procesos de selección,</w:t>
      </w:r>
      <w:r w:rsidRPr="00D16A5E">
        <w:rPr>
          <w:rStyle w:val="superscript"/>
          <w:rFonts w:ascii="Verdana" w:hAnsi="Verdana" w:cs="Arial"/>
          <w:shd w:val="clear" w:color="auto" w:fill="FFFFFF"/>
          <w:lang w:val="es-ES"/>
        </w:rPr>
        <w:t xml:space="preserve"> </w:t>
      </w:r>
      <w:r w:rsidRPr="00D16A5E">
        <w:rPr>
          <w:rStyle w:val="normaltextrun"/>
          <w:rFonts w:ascii="Verdana" w:hAnsi="Verdana" w:cs="Arial"/>
          <w:shd w:val="clear" w:color="auto" w:fill="FFFFFF"/>
          <w:lang w:val="es-ES"/>
        </w:rPr>
        <w:t xml:space="preserve">se pronunció esta Subdirección </w:t>
      </w:r>
      <w:r w:rsidRPr="00D16A5E">
        <w:rPr>
          <w:rFonts w:ascii="Verdana" w:eastAsia="Calibri" w:hAnsi="Verdana" w:cs="Arial"/>
          <w:lang w:val="es-ES"/>
        </w:rPr>
        <w:t xml:space="preserve">en los conceptos 4201913000007643 del 26 de diciembre de 2019, C-343 del 17 de junio de 2020, C-518 del 9 de septiembre de 2020, C-614 del 5 de </w:t>
      </w:r>
      <w:r w:rsidRPr="000A5510">
        <w:rPr>
          <w:rFonts w:ascii="Verdana" w:eastAsia="Calibri" w:hAnsi="Verdana" w:cs="Arial"/>
          <w:lang w:val="es-ES"/>
        </w:rPr>
        <w:t>octubre de 2022, C-882 del 21 de diciembre de 2022, C-172 del 6 de junio de 2023</w:t>
      </w:r>
      <w:r w:rsidRPr="000A5510">
        <w:rPr>
          <w:rFonts w:ascii="Verdana" w:hAnsi="Verdana" w:cs="Arial"/>
          <w:shd w:val="clear" w:color="auto" w:fill="FFFFFF"/>
          <w:lang w:val="es-ES"/>
        </w:rPr>
        <w:t xml:space="preserve"> y C-720 del 25 de noviembre 2024 .</w:t>
      </w:r>
      <w:r w:rsidRPr="000A5510">
        <w:rPr>
          <w:rStyle w:val="normaltextrun"/>
          <w:rFonts w:ascii="Verdana" w:hAnsi="Verdana" w:cs="Arial"/>
          <w:shd w:val="clear" w:color="auto" w:fill="FFFFFF"/>
          <w:lang w:val="es-ES"/>
        </w:rPr>
        <w:t xml:space="preserve"> </w:t>
      </w:r>
      <w:r w:rsidRPr="000A5510">
        <w:rPr>
          <w:rFonts w:ascii="Verdana" w:hAnsi="Verdana" w:cs="Arial"/>
        </w:rPr>
        <w:t xml:space="preserve">Estos y otros </w:t>
      </w:r>
      <w:r w:rsidRPr="000A5510">
        <w:rPr>
          <w:rFonts w:ascii="Verdana" w:hAnsi="Verdana"/>
        </w:rPr>
        <w:t>conceptos se encuentran disponibles para consulta en el Sistema de relatoría de la Agencia, al cual se puede acceder a través del siguiente enlace:</w:t>
      </w:r>
      <w:r w:rsidRPr="000A5510">
        <w:rPr>
          <w:rFonts w:ascii="Verdana" w:hAnsi="Verdana" w:cs="Arial"/>
          <w:shd w:val="clear" w:color="auto" w:fill="FFFFFF"/>
        </w:rPr>
        <w:t xml:space="preserve"> </w:t>
      </w:r>
      <w:hyperlink r:id="rId13" w:history="1">
        <w:r w:rsidRPr="000A5510">
          <w:rPr>
            <w:rStyle w:val="Hipervnculo"/>
            <w:rFonts w:ascii="Verdana" w:hAnsi="Verdana" w:cs="Arial"/>
            <w:shd w:val="clear" w:color="auto" w:fill="FFFFFF"/>
          </w:rPr>
          <w:t>https://relatoria.colombiacompra.gov.co/busqueda/conceptos</w:t>
        </w:r>
      </w:hyperlink>
      <w:r w:rsidRPr="000A5510">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05114C4D" w14:textId="77777777" w:rsidR="00031A0B" w:rsidRPr="00115E3D" w:rsidRDefault="00031A0B" w:rsidP="00031A0B">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03A8D6FB" w14:textId="77777777" w:rsidR="00031A0B" w:rsidRPr="009A385A" w:rsidRDefault="00031A0B" w:rsidP="00031A0B">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 xml:space="preserve">Curso de Contratación Pública Sostenible y Socialmente </w:t>
      </w:r>
      <w:r w:rsidRPr="009A385A">
        <w:rPr>
          <w:rFonts w:ascii="Verdana" w:hAnsi="Verdana"/>
          <w:b/>
          <w:bCs/>
        </w:rPr>
        <w:lastRenderedPageBreak/>
        <w:t>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9A385A">
          <w:rPr>
            <w:rStyle w:val="Hipervnculo"/>
            <w:rFonts w:ascii="Verdana" w:hAnsi="Verdana"/>
          </w:rPr>
          <w:t>https://formacionvirtual.colombiacompra.gov.co/mod/page/view.php?id=3718</w:t>
        </w:r>
      </w:hyperlink>
    </w:p>
    <w:p w14:paraId="7F4C06B7" w14:textId="77777777" w:rsidR="00031A0B" w:rsidRDefault="00031A0B" w:rsidP="00031A0B">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5" w:tgtFrame="_new" w:history="1">
        <w:r w:rsidRPr="00635F16">
          <w:rPr>
            <w:rStyle w:val="Hipervnculo"/>
            <w:rFonts w:ascii="Verdana" w:hAnsi="Verdana"/>
          </w:rPr>
          <w:t>https://www.colombiacompra.gov.co/normativa-y-relatoria/documentos-tipo</w:t>
        </w:r>
      </w:hyperlink>
    </w:p>
    <w:p w14:paraId="22AA88C7" w14:textId="77777777" w:rsidR="00031A0B" w:rsidRPr="009A385A" w:rsidRDefault="00031A0B" w:rsidP="00031A0B">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6"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034DFC29" w14:textId="77777777" w:rsidR="00031A0B" w:rsidRPr="00115E3D" w:rsidRDefault="00031A0B" w:rsidP="00031A0B">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61CF5768" w14:textId="77777777" w:rsidR="00031A0B" w:rsidRPr="00115E3D" w:rsidRDefault="00031A0B" w:rsidP="00031A0B">
      <w:pPr>
        <w:spacing w:after="0" w:line="240" w:lineRule="auto"/>
        <w:jc w:val="both"/>
        <w:rPr>
          <w:rFonts w:ascii="Verdana" w:hAnsi="Verdana"/>
          <w:color w:val="000000" w:themeColor="text1"/>
        </w:rPr>
      </w:pPr>
    </w:p>
    <w:p w14:paraId="6A59188F" w14:textId="77777777" w:rsidR="00031A0B" w:rsidRPr="00115E3D" w:rsidRDefault="00031A0B" w:rsidP="00031A0B">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77100661" w14:textId="77777777" w:rsidR="00031A0B" w:rsidRPr="00115E3D" w:rsidRDefault="00031A0B" w:rsidP="00031A0B">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3CD1AEAD" w14:textId="77777777" w:rsidR="00031A0B" w:rsidRPr="00115E3D" w:rsidRDefault="00031A0B" w:rsidP="00031A0B">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5326EB01" w14:textId="77777777" w:rsidR="00031A0B" w:rsidRPr="00115E3D" w:rsidRDefault="00031A0B" w:rsidP="00031A0B">
      <w:pPr>
        <w:widowControl w:val="0"/>
        <w:autoSpaceDE w:val="0"/>
        <w:autoSpaceDN w:val="0"/>
        <w:spacing w:after="0" w:line="276" w:lineRule="auto"/>
        <w:jc w:val="both"/>
        <w:rPr>
          <w:rFonts w:ascii="Verdana" w:hAnsi="Verdana" w:cs="Arial"/>
          <w:color w:val="000000" w:themeColor="text1"/>
        </w:rPr>
      </w:pPr>
    </w:p>
    <w:p w14:paraId="17125C22" w14:textId="77777777" w:rsidR="00031A0B" w:rsidRPr="00115E3D" w:rsidRDefault="00031A0B" w:rsidP="00031A0B">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w:t>
      </w:r>
      <w:r w:rsidRPr="00115E3D">
        <w:rPr>
          <w:rFonts w:ascii="Verdana" w:hAnsi="Verdana" w:cs="Arial"/>
          <w:color w:val="000000" w:themeColor="text1"/>
        </w:rPr>
        <w:lastRenderedPageBreak/>
        <w:t xml:space="preserve">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6544DE" w14:textId="77777777" w:rsidR="00031A0B" w:rsidRDefault="00031A0B" w:rsidP="00031A0B">
      <w:pPr>
        <w:spacing w:after="0" w:line="240" w:lineRule="auto"/>
        <w:rPr>
          <w:rFonts w:ascii="Verdana" w:eastAsia="Times New Roman" w:hAnsi="Verdana" w:cs="Arial"/>
          <w:color w:val="000000" w:themeColor="text1"/>
          <w:lang w:eastAsia="es-CO"/>
        </w:rPr>
      </w:pPr>
    </w:p>
    <w:p w14:paraId="660FBB2F" w14:textId="77777777" w:rsidR="00031A0B" w:rsidRDefault="00031A0B" w:rsidP="00031A0B">
      <w:pPr>
        <w:spacing w:after="0" w:line="240" w:lineRule="auto"/>
        <w:rPr>
          <w:rFonts w:ascii="Verdana" w:eastAsia="Times New Roman" w:hAnsi="Verdana" w:cs="Arial"/>
          <w:color w:val="000000" w:themeColor="text1"/>
          <w:lang w:eastAsia="es-CO"/>
        </w:rPr>
      </w:pPr>
    </w:p>
    <w:p w14:paraId="048CDF4E" w14:textId="77777777" w:rsidR="00031A0B" w:rsidRPr="00115E3D" w:rsidRDefault="00031A0B" w:rsidP="00031A0B">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461947A3" w14:textId="77777777" w:rsidR="00B26877" w:rsidRDefault="00B26877" w:rsidP="00031A0B">
      <w:pPr>
        <w:spacing w:line="276" w:lineRule="auto"/>
        <w:jc w:val="center"/>
        <w:rPr>
          <w:noProof/>
        </w:rPr>
      </w:pPr>
    </w:p>
    <w:p w14:paraId="2CB23166" w14:textId="0253F96F" w:rsidR="00B26877" w:rsidRDefault="00B26877" w:rsidP="00031A0B">
      <w:pPr>
        <w:spacing w:line="276" w:lineRule="auto"/>
        <w:jc w:val="center"/>
        <w:rPr>
          <w:noProof/>
        </w:rPr>
      </w:pPr>
      <w:r>
        <w:rPr>
          <w:noProof/>
        </w:rPr>
        <w:drawing>
          <wp:inline distT="0" distB="0" distL="0" distR="0" wp14:anchorId="3B8FAFA1" wp14:editId="73923464">
            <wp:extent cx="3716655" cy="1595495"/>
            <wp:effectExtent l="0" t="0" r="0" b="5080"/>
            <wp:docPr id="10161923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724885" cy="159902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31A0B" w:rsidRPr="00115E3D" w14:paraId="2EA5F193" w14:textId="77777777" w:rsidTr="00C63CAF">
        <w:trPr>
          <w:trHeight w:val="315"/>
        </w:trPr>
        <w:tc>
          <w:tcPr>
            <w:tcW w:w="893" w:type="dxa"/>
            <w:vAlign w:val="center"/>
            <w:hideMark/>
          </w:tcPr>
          <w:p w14:paraId="09A9CDFF" w14:textId="77777777" w:rsidR="00031A0B" w:rsidRPr="00115E3D" w:rsidRDefault="00031A0B"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525056D3" w14:textId="77777777" w:rsidR="00031A0B" w:rsidRPr="00115E3D" w:rsidRDefault="00031A0B" w:rsidP="00C63CAF">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6F1FB66A" w14:textId="77777777" w:rsidR="00031A0B" w:rsidRPr="00115E3D" w:rsidRDefault="00031A0B" w:rsidP="00C63CAF">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031A0B" w:rsidRPr="00115E3D" w14:paraId="4A467CF3" w14:textId="77777777" w:rsidTr="00C63CAF">
        <w:trPr>
          <w:trHeight w:val="330"/>
        </w:trPr>
        <w:tc>
          <w:tcPr>
            <w:tcW w:w="893" w:type="dxa"/>
            <w:vAlign w:val="center"/>
            <w:hideMark/>
          </w:tcPr>
          <w:p w14:paraId="2F3171FD" w14:textId="77777777" w:rsidR="00031A0B" w:rsidRPr="00115E3D" w:rsidRDefault="00031A0B"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6EECBBB" w14:textId="77777777" w:rsidR="00031A0B" w:rsidRDefault="00031A0B" w:rsidP="00C63CAF">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Martha Alicia Romero Vargas</w:t>
            </w:r>
          </w:p>
          <w:p w14:paraId="620A9016" w14:textId="298688A4" w:rsidR="00031A0B" w:rsidRPr="00115E3D" w:rsidRDefault="00E536C2" w:rsidP="00C63CAF">
            <w:pPr>
              <w:pStyle w:val="paragraph"/>
              <w:spacing w:before="0" w:beforeAutospacing="0" w:after="0" w:afterAutospacing="0"/>
              <w:contextualSpacing/>
              <w:textAlignment w:val="baseline"/>
              <w:rPr>
                <w:rFonts w:ascii="Verdana" w:hAnsi="Verdana" w:cs="Segoe UI"/>
                <w:color w:val="000000" w:themeColor="text1"/>
                <w:sz w:val="16"/>
                <w:szCs w:val="16"/>
              </w:rPr>
            </w:pPr>
            <w:r w:rsidRPr="00E536C2">
              <w:rPr>
                <w:rStyle w:val="normaltextrun"/>
                <w:rFonts w:ascii="Verdana" w:eastAsia="Arial" w:hAnsi="Verdana" w:cs="Arial"/>
                <w:color w:val="000000" w:themeColor="text1"/>
                <w:sz w:val="16"/>
                <w:szCs w:val="16"/>
                <w:lang w:eastAsia="en-US"/>
              </w:rPr>
              <w:t>Gestor código T1 grado</w:t>
            </w:r>
            <w:r>
              <w:rPr>
                <w:rStyle w:val="normaltextrun"/>
                <w:rFonts w:ascii="Verdana" w:eastAsia="Arial" w:hAnsi="Verdana" w:cs="Arial"/>
                <w:color w:val="000000" w:themeColor="text1"/>
                <w:sz w:val="16"/>
                <w:szCs w:val="16"/>
                <w:lang w:eastAsia="en-US"/>
              </w:rPr>
              <w:t xml:space="preserve"> </w:t>
            </w:r>
            <w:r w:rsidRPr="00E536C2">
              <w:rPr>
                <w:rStyle w:val="normaltextrun"/>
                <w:rFonts w:ascii="Verdana" w:eastAsia="Arial" w:hAnsi="Verdana" w:cs="Arial"/>
                <w:color w:val="000000" w:themeColor="text1"/>
                <w:sz w:val="16"/>
                <w:szCs w:val="16"/>
                <w:lang w:eastAsia="en-US"/>
              </w:rPr>
              <w:t xml:space="preserve">15 de la </w:t>
            </w:r>
            <w:r w:rsidR="00031A0B" w:rsidRPr="00E536C2">
              <w:rPr>
                <w:rStyle w:val="normaltextrun"/>
                <w:rFonts w:ascii="Verdana" w:eastAsia="Arial" w:hAnsi="Verdana" w:cs="Arial"/>
                <w:color w:val="000000" w:themeColor="text1"/>
                <w:sz w:val="16"/>
                <w:szCs w:val="16"/>
                <w:lang w:eastAsia="en-US"/>
              </w:rPr>
              <w:t>Subdirección de Gestión</w:t>
            </w:r>
            <w:r w:rsidR="00031A0B" w:rsidRPr="00115E3D">
              <w:rPr>
                <w:rStyle w:val="normaltextrun"/>
                <w:rFonts w:ascii="Verdana" w:hAnsi="Verdana" w:cs="Arial"/>
                <w:color w:val="000000" w:themeColor="text1"/>
                <w:sz w:val="16"/>
                <w:szCs w:val="16"/>
                <w:lang w:val="es-ES"/>
              </w:rPr>
              <w:t xml:space="preserve"> Contractual</w:t>
            </w:r>
            <w:r w:rsidR="00031A0B" w:rsidRPr="00115E3D">
              <w:rPr>
                <w:rStyle w:val="eop"/>
                <w:rFonts w:ascii="Verdana" w:hAnsi="Verdana" w:cs="Arial"/>
                <w:color w:val="000000" w:themeColor="text1"/>
                <w:sz w:val="16"/>
                <w:szCs w:val="16"/>
              </w:rPr>
              <w:t> </w:t>
            </w:r>
          </w:p>
        </w:tc>
      </w:tr>
      <w:tr w:rsidR="00031A0B" w:rsidRPr="00115E3D" w14:paraId="301320A6" w14:textId="77777777" w:rsidTr="00C63CAF">
        <w:trPr>
          <w:trHeight w:val="300"/>
        </w:trPr>
        <w:tc>
          <w:tcPr>
            <w:tcW w:w="893" w:type="dxa"/>
            <w:vAlign w:val="center"/>
          </w:tcPr>
          <w:p w14:paraId="0D3451C5" w14:textId="77777777" w:rsidR="00031A0B" w:rsidRPr="00115E3D" w:rsidRDefault="00031A0B" w:rsidP="00C63CAF">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319DBA" w14:textId="77777777" w:rsidR="00031A0B" w:rsidRPr="00115E3D" w:rsidRDefault="00031A0B" w:rsidP="00C63CA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 xml:space="preserve">Carolina Quintero </w:t>
            </w:r>
            <w:proofErr w:type="spellStart"/>
            <w:r w:rsidRPr="00115E3D">
              <w:rPr>
                <w:rFonts w:ascii="Verdana" w:eastAsia="Calibri" w:hAnsi="Verdana" w:cs="Arial"/>
                <w:color w:val="000000" w:themeColor="text1"/>
                <w:sz w:val="16"/>
                <w:szCs w:val="16"/>
                <w:lang w:val="pt-BR" w:eastAsia="es-ES"/>
              </w:rPr>
              <w:t>Gacharná</w:t>
            </w:r>
            <w:proofErr w:type="spellEnd"/>
          </w:p>
          <w:p w14:paraId="297CB406" w14:textId="77777777" w:rsidR="00031A0B" w:rsidRPr="00115E3D" w:rsidRDefault="00031A0B" w:rsidP="00C63CAF">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w:t>
            </w:r>
            <w:proofErr w:type="spellStart"/>
            <w:r w:rsidRPr="00115E3D">
              <w:rPr>
                <w:rFonts w:ascii="Verdana" w:eastAsia="Calibri" w:hAnsi="Verdana" w:cs="Arial"/>
                <w:color w:val="000000" w:themeColor="text1"/>
                <w:sz w:val="16"/>
                <w:szCs w:val="16"/>
                <w:lang w:val="pt-BR" w:eastAsia="es-ES"/>
              </w:rPr>
              <w:t>Contractual</w:t>
            </w:r>
            <w:proofErr w:type="spellEnd"/>
            <w:r w:rsidRPr="00115E3D">
              <w:rPr>
                <w:rFonts w:ascii="Verdana" w:eastAsia="Calibri" w:hAnsi="Verdana" w:cs="Arial"/>
                <w:color w:val="000000" w:themeColor="text1"/>
                <w:sz w:val="16"/>
                <w:szCs w:val="16"/>
                <w:lang w:val="pt-BR" w:eastAsia="es-ES"/>
              </w:rPr>
              <w:t xml:space="preserve"> ANCP – CCE</w:t>
            </w:r>
          </w:p>
        </w:tc>
      </w:tr>
    </w:tbl>
    <w:p w14:paraId="7C9026E2" w14:textId="77777777" w:rsidR="002A0DD0" w:rsidRPr="00031A0B"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563273E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58C0B" w14:textId="77777777" w:rsidR="001E4BA8" w:rsidRDefault="001E4BA8" w:rsidP="004A1847">
      <w:pPr>
        <w:spacing w:after="0" w:line="240" w:lineRule="auto"/>
      </w:pPr>
      <w:r>
        <w:separator/>
      </w:r>
    </w:p>
  </w:endnote>
  <w:endnote w:type="continuationSeparator" w:id="0">
    <w:p w14:paraId="50BE9A6A" w14:textId="77777777" w:rsidR="001E4BA8" w:rsidRDefault="001E4BA8" w:rsidP="004A1847">
      <w:pPr>
        <w:spacing w:after="0" w:line="240" w:lineRule="auto"/>
      </w:pPr>
      <w:r>
        <w:continuationSeparator/>
      </w:r>
    </w:p>
  </w:endnote>
  <w:endnote w:type="continuationNotice" w:id="1">
    <w:p w14:paraId="3E85DE94" w14:textId="77777777" w:rsidR="001E4BA8" w:rsidRDefault="001E4BA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A1A5A4" w14:textId="77777777" w:rsidR="001E4BA8" w:rsidRDefault="001E4BA8" w:rsidP="004A1847">
      <w:pPr>
        <w:spacing w:after="0" w:line="240" w:lineRule="auto"/>
      </w:pPr>
      <w:r>
        <w:separator/>
      </w:r>
    </w:p>
  </w:footnote>
  <w:footnote w:type="continuationSeparator" w:id="0">
    <w:p w14:paraId="4B7696D8" w14:textId="77777777" w:rsidR="001E4BA8" w:rsidRDefault="001E4BA8" w:rsidP="004A1847">
      <w:pPr>
        <w:spacing w:after="0" w:line="240" w:lineRule="auto"/>
      </w:pPr>
      <w:r>
        <w:continuationSeparator/>
      </w:r>
    </w:p>
  </w:footnote>
  <w:footnote w:type="continuationNotice" w:id="1">
    <w:p w14:paraId="674B2AE5" w14:textId="77777777" w:rsidR="001E4BA8" w:rsidRDefault="001E4BA8">
      <w:pPr>
        <w:spacing w:after="0" w:line="240" w:lineRule="auto"/>
      </w:pPr>
    </w:p>
  </w:footnote>
  <w:footnote w:id="2">
    <w:p w14:paraId="644CDE2C" w14:textId="77777777" w:rsidR="00031A0B" w:rsidRPr="005A3A3B" w:rsidRDefault="00031A0B" w:rsidP="00031A0B">
      <w:pPr>
        <w:pStyle w:val="Textonotapie"/>
        <w:rPr>
          <w:rFonts w:ascii="Verdana" w:hAnsi="Verdana"/>
          <w:sz w:val="14"/>
          <w:szCs w:val="14"/>
          <w:lang w:val="es-ES"/>
        </w:rPr>
      </w:pPr>
      <w:r w:rsidRPr="005A3A3B">
        <w:rPr>
          <w:rStyle w:val="Refdenotaalpie"/>
          <w:rFonts w:ascii="Verdana" w:hAnsi="Verdana"/>
          <w:sz w:val="14"/>
          <w:szCs w:val="14"/>
        </w:rPr>
        <w:footnoteRef/>
      </w:r>
      <w:r w:rsidRPr="005A3A3B">
        <w:rPr>
          <w:rFonts w:ascii="Verdana" w:hAnsi="Verdana"/>
          <w:sz w:val="14"/>
          <w:szCs w:val="14"/>
        </w:rPr>
        <w:t xml:space="preserve"> Documento disponible en: https://www.colombiacompra.gov.co/archivos/manual/manual-para-determinar-y-verificar-los-requisitos-habilitantes-en-los-procesos-de-contratacion</w:t>
      </w:r>
    </w:p>
  </w:footnote>
  <w:footnote w:id="3">
    <w:p w14:paraId="73F436D7" w14:textId="77777777" w:rsidR="00031A0B" w:rsidRPr="00045DDA" w:rsidRDefault="00031A0B" w:rsidP="00031A0B">
      <w:pPr>
        <w:pStyle w:val="NormalWeb"/>
        <w:spacing w:after="0" w:afterAutospacing="0"/>
        <w:ind w:firstLine="709"/>
        <w:contextualSpacing/>
        <w:jc w:val="both"/>
        <w:rPr>
          <w:rFonts w:ascii="Verdana" w:hAnsi="Verdana" w:cs="Arial"/>
          <w:sz w:val="14"/>
          <w:szCs w:val="14"/>
        </w:rPr>
      </w:pPr>
      <w:r w:rsidRPr="00045DDA">
        <w:rPr>
          <w:rStyle w:val="Refdenotaalpie"/>
          <w:rFonts w:ascii="Verdana" w:hAnsi="Verdana" w:cs="Arial"/>
          <w:sz w:val="14"/>
          <w:szCs w:val="14"/>
        </w:rPr>
        <w:footnoteRef/>
      </w:r>
      <w:r w:rsidRPr="00045DDA">
        <w:rPr>
          <w:rFonts w:ascii="Verdana" w:hAnsi="Verdana" w:cs="Arial"/>
          <w:sz w:val="14"/>
          <w:szCs w:val="14"/>
        </w:rPr>
        <w:t xml:space="preserve"> </w:t>
      </w:r>
      <w:r w:rsidRPr="00045DDA">
        <w:rPr>
          <w:rFonts w:ascii="Verdana" w:hAnsi="Verdana" w:cs="Arial"/>
          <w:sz w:val="14"/>
          <w:szCs w:val="14"/>
          <w:lang w:val="es-ES"/>
        </w:rPr>
        <w:t>“</w:t>
      </w:r>
      <w:r w:rsidRPr="00045DDA">
        <w:rPr>
          <w:rFonts w:ascii="Verdana" w:hAnsi="Verdana" w:cs="Arial"/>
          <w:sz w:val="14"/>
          <w:szCs w:val="14"/>
        </w:rPr>
        <w:t>Para poder participar en los procesos de selección de los contratos de obra, la capacidad residual del proponente o K de contratación deberá ser igual o superior al que la entidad haya establecido para el efecto en los pliegos de condiciones. 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footnote>
  <w:footnote w:id="4">
    <w:p w14:paraId="7AE8D5C8" w14:textId="77777777" w:rsidR="00031A0B" w:rsidRPr="005A3A3B" w:rsidRDefault="00031A0B" w:rsidP="00031A0B">
      <w:pPr>
        <w:pStyle w:val="Textonotapie"/>
        <w:contextualSpacing/>
        <w:rPr>
          <w:rFonts w:ascii="Verdana" w:hAnsi="Verdana"/>
          <w:sz w:val="14"/>
          <w:szCs w:val="14"/>
          <w:lang w:val="es-ES"/>
        </w:rPr>
      </w:pPr>
      <w:r>
        <w:rPr>
          <w:rFonts w:ascii="Verdana" w:hAnsi="Verdana"/>
          <w:sz w:val="14"/>
          <w:szCs w:val="14"/>
        </w:rPr>
        <w:t xml:space="preserve">                </w:t>
      </w:r>
      <w:r w:rsidRPr="005A3A3B">
        <w:rPr>
          <w:rStyle w:val="Refdenotaalpie"/>
          <w:rFonts w:ascii="Verdana" w:hAnsi="Verdana"/>
          <w:sz w:val="14"/>
          <w:szCs w:val="14"/>
        </w:rPr>
        <w:footnoteRef/>
      </w:r>
      <w:r w:rsidRPr="005A3A3B">
        <w:rPr>
          <w:rFonts w:ascii="Verdana" w:hAnsi="Verdana"/>
          <w:sz w:val="14"/>
          <w:szCs w:val="14"/>
        </w:rPr>
        <w:t>Disponible en: https://www.colombiacompra.gov.co/archivos/manual/manual-para-determinar-y-verificar-los-requisitos-habilitantes-en-los-procesos-de-contratacion</w:t>
      </w:r>
    </w:p>
  </w:footnote>
  <w:footnote w:id="5">
    <w:p w14:paraId="515E4747" w14:textId="77777777" w:rsidR="00031A0B" w:rsidRPr="002F50D4" w:rsidRDefault="00031A0B" w:rsidP="00031A0B">
      <w:pPr>
        <w:pStyle w:val="NormalWeb"/>
        <w:spacing w:after="0"/>
        <w:ind w:firstLine="709"/>
        <w:contextualSpacing/>
        <w:jc w:val="both"/>
        <w:rPr>
          <w:rFonts w:ascii="Verdana" w:hAnsi="Verdana" w:cs="Arial"/>
          <w:sz w:val="14"/>
          <w:szCs w:val="14"/>
          <w:lang w:val="es-ES"/>
        </w:rPr>
      </w:pPr>
      <w:r w:rsidRPr="002F50D4">
        <w:rPr>
          <w:rStyle w:val="Refdenotaalpie"/>
          <w:rFonts w:ascii="Verdana" w:hAnsi="Verdana" w:cs="Arial"/>
          <w:sz w:val="14"/>
          <w:szCs w:val="14"/>
        </w:rPr>
        <w:footnoteRef/>
      </w:r>
      <w:r w:rsidRPr="002F50D4">
        <w:rPr>
          <w:rStyle w:val="Refdenotaalpie"/>
          <w:rFonts w:ascii="Verdana" w:hAnsi="Verdana" w:cs="Arial"/>
          <w:sz w:val="14"/>
          <w:szCs w:val="14"/>
        </w:rPr>
        <w:t xml:space="preserve"> “</w:t>
      </w:r>
      <w:r w:rsidRPr="002F50D4">
        <w:rPr>
          <w:rFonts w:ascii="Verdana" w:hAnsi="Verdana" w:cs="Arial"/>
          <w:sz w:val="14"/>
          <w:szCs w:val="14"/>
          <w:lang w:val="es-ES"/>
        </w:rPr>
        <w:t>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p w14:paraId="28E13EBE" w14:textId="77777777" w:rsidR="00031A0B" w:rsidRPr="002F50D4" w:rsidRDefault="00031A0B" w:rsidP="00031A0B">
      <w:pPr>
        <w:pStyle w:val="NormalWeb"/>
        <w:spacing w:after="0"/>
        <w:ind w:firstLine="709"/>
        <w:contextualSpacing/>
        <w:jc w:val="both"/>
        <w:rPr>
          <w:rFonts w:ascii="Verdana" w:hAnsi="Verdana" w:cs="Arial"/>
          <w:sz w:val="14"/>
          <w:szCs w:val="14"/>
          <w:lang w:val="es-ES"/>
        </w:rPr>
      </w:pPr>
      <w:r w:rsidRPr="002F50D4">
        <w:rPr>
          <w:rFonts w:ascii="Verdana" w:hAnsi="Verdana" w:cs="Arial"/>
          <w:sz w:val="14"/>
          <w:szCs w:val="14"/>
          <w:lang w:val="es-ES"/>
        </w:rPr>
        <w:t>“Parágrafo Transitorio. </w:t>
      </w:r>
      <w:hyperlink r:id="rId1" w:tgtFrame="_blank" w:history="1">
        <w:r w:rsidRPr="002F50D4">
          <w:rPr>
            <w:sz w:val="14"/>
            <w:szCs w:val="14"/>
          </w:rPr>
          <w:t>https://colaboracion.dnp.gov.co/CDT/Normatividad/DECRETO 579 DEL 31 DE MAYO DE 2021.pdf</w:t>
        </w:r>
      </w:hyperlink>
      <w:r w:rsidRPr="002F50D4">
        <w:rPr>
          <w:rFonts w:ascii="Verdana" w:hAnsi="Verdana" w:cs="Arial"/>
          <w:sz w:val="14"/>
          <w:szCs w:val="14"/>
          <w:lang w:val="es-ES"/>
        </w:rPr>
        <w:t>De conformidad con los parágrafos transitorios de los artículos 2.2.1.1.1.5.2. y 2.2.1.1.1.5.6., yen desarrollo del deber de análisis de las Entidades Estatales, de que trata el artículo 2.2.1.1.1.6.1. de este Decreto, a partir del 1 de julio de 2021 las Entidades Estatales establecerán y evaluarán los requisitos habilitantes de capacidad financiera y organizacional teniendo en cuenta la información que conste en el Registro Único de Proponentes. En todo caso, se establecerán indicadores proporcionales al procedimiento de contratación.  </w:t>
      </w:r>
    </w:p>
    <w:p w14:paraId="6430D198" w14:textId="77777777" w:rsidR="00031A0B" w:rsidRPr="002F50D4" w:rsidRDefault="00031A0B" w:rsidP="00031A0B">
      <w:pPr>
        <w:pStyle w:val="NormalWeb"/>
        <w:spacing w:after="0"/>
        <w:ind w:firstLine="709"/>
        <w:contextualSpacing/>
        <w:jc w:val="both"/>
        <w:rPr>
          <w:rFonts w:ascii="Verdana" w:hAnsi="Verdana" w:cs="Arial"/>
          <w:sz w:val="14"/>
          <w:szCs w:val="14"/>
          <w:lang w:val="es-ES"/>
        </w:rPr>
      </w:pPr>
      <w:r w:rsidRPr="002F50D4">
        <w:rPr>
          <w:rFonts w:ascii="Verdana" w:hAnsi="Verdana" w:cs="Arial"/>
          <w:sz w:val="14"/>
          <w:szCs w:val="14"/>
          <w:lang w:val="es-ES"/>
        </w:rPr>
        <w:t>“Para ello, atendiendo a las condiciones aludidas, en relación con los indicadores de la capacidad financiera y organizacional, de los procesos de selección cuyo acto administrativo de apertura o invitación se publique a partir del 1 de julio de 2021, se tendrá en cuenta la información vigente y en firme en el RUP, por lo que las Entidades Estatales evaluarán estos indicadores, teniendo en cuenta el mejor año fiscal que se refleje en el registro de cada proponente</w:t>
      </w:r>
      <w:r w:rsidRPr="002F50D4">
        <w:rPr>
          <w:rFonts w:ascii="Arial" w:hAnsi="Arial" w:cs="Arial"/>
          <w:sz w:val="14"/>
          <w:szCs w:val="14"/>
          <w:lang w:val="es-ES"/>
        </w:rPr>
        <w:t>​</w:t>
      </w:r>
      <w:r w:rsidRPr="002F50D4">
        <w:rPr>
          <w:rFonts w:ascii="Verdana" w:hAnsi="Verdana" w:cs="Arial"/>
          <w:sz w:val="14"/>
          <w:szCs w:val="14"/>
          <w:lang w:val="es-ES"/>
        </w:rPr>
        <w:t>”.</w:t>
      </w:r>
    </w:p>
    <w:p w14:paraId="3FE59480" w14:textId="77777777" w:rsidR="00031A0B" w:rsidRPr="00045DDA" w:rsidRDefault="00031A0B" w:rsidP="00031A0B">
      <w:pPr>
        <w:pStyle w:val="NormalWeb"/>
        <w:spacing w:after="0"/>
        <w:ind w:firstLine="709"/>
        <w:contextualSpacing/>
        <w:jc w:val="both"/>
        <w:rPr>
          <w:rStyle w:val="Refdenotaalpie"/>
          <w:rFonts w:ascii="Verdana" w:hAnsi="Verdana" w:cs="Arial"/>
          <w:sz w:val="14"/>
          <w:szCs w:val="14"/>
        </w:rPr>
      </w:pPr>
    </w:p>
  </w:footnote>
  <w:footnote w:id="6">
    <w:p w14:paraId="657EDBFF" w14:textId="77777777" w:rsidR="00031A0B" w:rsidRPr="00045DDA" w:rsidRDefault="00031A0B" w:rsidP="00031A0B">
      <w:pPr>
        <w:pStyle w:val="Textonotapie"/>
        <w:ind w:firstLine="708"/>
        <w:contextualSpacing/>
        <w:jc w:val="both"/>
        <w:rPr>
          <w:rFonts w:ascii="Verdana" w:hAnsi="Verdana"/>
          <w:sz w:val="14"/>
          <w:szCs w:val="14"/>
        </w:rPr>
      </w:pPr>
      <w:r w:rsidRPr="00045DDA">
        <w:rPr>
          <w:rStyle w:val="Refdenotaalpie"/>
          <w:rFonts w:ascii="Verdana" w:hAnsi="Verdana"/>
          <w:sz w:val="14"/>
          <w:szCs w:val="14"/>
        </w:rPr>
        <w:footnoteRef/>
      </w:r>
      <w:r w:rsidRPr="00045DDA">
        <w:rPr>
          <w:rFonts w:ascii="Verdana" w:hAnsi="Verdana"/>
          <w:sz w:val="14"/>
          <w:szCs w:val="14"/>
        </w:rPr>
        <w:t xml:space="preserve"> </w:t>
      </w:r>
      <w:r w:rsidRPr="00045DDA">
        <w:rPr>
          <w:rFonts w:ascii="Verdana" w:eastAsia="Times New Roman" w:hAnsi="Verdana" w:cs="Arial"/>
          <w:sz w:val="14"/>
          <w:szCs w:val="14"/>
          <w:lang w:eastAsia="es-CO"/>
        </w:rPr>
        <w:t>Consejo de Estado. Sala de Consulta y Servicio Civil. Concepto del 20 de mayo de 2010. Exp. 1.992. C.P. Enrique José Arboleda Perdomo.</w:t>
      </w:r>
    </w:p>
  </w:footnote>
  <w:footnote w:id="7">
    <w:p w14:paraId="4ECABC3F" w14:textId="77777777" w:rsidR="00031A0B" w:rsidRPr="00045DDA" w:rsidRDefault="00031A0B" w:rsidP="00031A0B">
      <w:pPr>
        <w:pStyle w:val="Textonotapie"/>
        <w:jc w:val="both"/>
        <w:rPr>
          <w:rFonts w:ascii="Verdana" w:hAnsi="Verdana"/>
          <w:sz w:val="14"/>
          <w:szCs w:val="14"/>
        </w:rPr>
      </w:pPr>
      <w:r w:rsidRPr="00045DDA">
        <w:rPr>
          <w:rStyle w:val="Refdenotaalpie"/>
          <w:rFonts w:ascii="Verdana" w:hAnsi="Verdana"/>
          <w:sz w:val="14"/>
          <w:szCs w:val="14"/>
        </w:rPr>
        <w:footnoteRef/>
      </w:r>
      <w:r w:rsidRPr="00045DDA">
        <w:rPr>
          <w:rFonts w:ascii="Verdana" w:hAnsi="Verdana"/>
          <w:sz w:val="14"/>
          <w:szCs w:val="14"/>
        </w:rPr>
        <w:t xml:space="preserve"> </w:t>
      </w:r>
      <w:r>
        <w:rPr>
          <w:rFonts w:ascii="Verdana" w:hAnsi="Verdana"/>
          <w:sz w:val="14"/>
          <w:szCs w:val="14"/>
        </w:rPr>
        <w:t xml:space="preserve">Conceptos: </w:t>
      </w:r>
      <w:r w:rsidRPr="00045DDA">
        <w:rPr>
          <w:rFonts w:ascii="Verdana" w:hAnsi="Verdana"/>
          <w:sz w:val="14"/>
          <w:szCs w:val="14"/>
          <w:lang w:val="es-ES"/>
        </w:rPr>
        <w:t xml:space="preserve">C-218 del 2 de abril de 2020, C-307 del 21 de mayo de 2020, C-391 del 10 de agosto de 2020, C-675 del 25 de noviembre de 2020 y C-683 del 21 de noviembre de 2020, C-779 del 20 de septiembre de 2020, C-882 del 21 de diciembre de 2022 y C-426 del 17 de octubre de 2023. </w:t>
      </w:r>
      <w:hyperlink r:id="rId2" w:history="1">
        <w:r w:rsidRPr="00045DDA">
          <w:rPr>
            <w:rStyle w:val="Hipervnculo"/>
            <w:rFonts w:ascii="Verdana" w:hAnsi="Verdana"/>
            <w:color w:val="4472C4" w:themeColor="accent1"/>
            <w:sz w:val="14"/>
            <w:szCs w:val="14"/>
            <w:lang w:val="es-ES"/>
          </w:rPr>
          <w:t>https://relatoria.colombiacompra.gov.co/busqueda/conceptos</w:t>
        </w:r>
      </w:hyperlink>
    </w:p>
  </w:footnote>
  <w:footnote w:id="8">
    <w:p w14:paraId="52A4AB55" w14:textId="77777777" w:rsidR="00031A0B" w:rsidRPr="00045DDA" w:rsidRDefault="00031A0B" w:rsidP="00031A0B">
      <w:pPr>
        <w:pStyle w:val="Textonotapie"/>
        <w:ind w:firstLine="708"/>
        <w:contextualSpacing/>
        <w:jc w:val="both"/>
        <w:rPr>
          <w:rFonts w:ascii="Verdana" w:eastAsia="Times New Roman" w:hAnsi="Verdana" w:cs="Arial"/>
          <w:sz w:val="14"/>
          <w:szCs w:val="14"/>
          <w:lang w:eastAsia="es-CO"/>
        </w:rPr>
      </w:pPr>
      <w:r w:rsidRPr="00045DDA">
        <w:rPr>
          <w:rStyle w:val="Refdenotaalpie"/>
          <w:rFonts w:ascii="Verdana" w:hAnsi="Verdana" w:cs="Arial"/>
          <w:sz w:val="14"/>
          <w:szCs w:val="14"/>
        </w:rPr>
        <w:footnoteRef/>
      </w:r>
      <w:r w:rsidRPr="00045DDA">
        <w:rPr>
          <w:rFonts w:ascii="Verdana" w:hAnsi="Verdana" w:cs="Arial"/>
          <w:sz w:val="14"/>
          <w:szCs w:val="14"/>
        </w:rPr>
        <w:t xml:space="preserve"> </w:t>
      </w:r>
      <w:r w:rsidRPr="00045DDA">
        <w:rPr>
          <w:rFonts w:ascii="Verdana" w:eastAsia="Times New Roman" w:hAnsi="Verdana" w:cs="Arial"/>
          <w:sz w:val="14"/>
          <w:szCs w:val="14"/>
          <w:lang w:eastAsia="es-CO"/>
        </w:rPr>
        <w:t>Ver conceptos: C-008 del 4 de mayo de 2020, C-267 del 4 de mayo de 2020, C-283 del 4 de mayo de 2020, C-365 del 30 de junio de 2020 y C-730 del 14 de diciembre del 2020 y C-779 de 18 de enero de 2021.</w:t>
      </w:r>
    </w:p>
    <w:p w14:paraId="124DABAE" w14:textId="77777777" w:rsidR="00031A0B" w:rsidRPr="00045DDA" w:rsidRDefault="00031A0B" w:rsidP="00031A0B">
      <w:pPr>
        <w:pStyle w:val="Textonotapie"/>
        <w:ind w:firstLine="708"/>
        <w:contextualSpacing/>
        <w:jc w:val="both"/>
        <w:rPr>
          <w:rFonts w:ascii="Verdana" w:eastAsia="Times New Roman" w:hAnsi="Verdana" w:cs="Arial"/>
          <w:sz w:val="14"/>
          <w:szCs w:val="14"/>
          <w:lang w:eastAsia="es-CO"/>
        </w:rPr>
      </w:pPr>
    </w:p>
  </w:footnote>
  <w:footnote w:id="9">
    <w:p w14:paraId="48BFF6D8" w14:textId="77777777" w:rsidR="00031A0B" w:rsidRPr="00045DDA" w:rsidRDefault="00031A0B" w:rsidP="00031A0B">
      <w:pPr>
        <w:pStyle w:val="Textonotapie"/>
        <w:ind w:firstLine="708"/>
        <w:contextualSpacing/>
        <w:jc w:val="both"/>
        <w:rPr>
          <w:rFonts w:ascii="Verdana" w:hAnsi="Verdana" w:cs="Arial"/>
          <w:sz w:val="14"/>
          <w:szCs w:val="14"/>
        </w:rPr>
      </w:pPr>
      <w:r w:rsidRPr="00045DDA">
        <w:rPr>
          <w:rStyle w:val="Refdenotaalpie"/>
          <w:rFonts w:ascii="Verdana" w:hAnsi="Verdana" w:cs="Arial"/>
          <w:sz w:val="14"/>
          <w:szCs w:val="14"/>
        </w:rPr>
        <w:footnoteRef/>
      </w:r>
      <w:r w:rsidRPr="00045DDA">
        <w:rPr>
          <w:rFonts w:ascii="Verdana" w:hAnsi="Verdana" w:cs="Arial"/>
          <w:sz w:val="14"/>
          <w:szCs w:val="14"/>
        </w:rPr>
        <w:t xml:space="preserve"> Solo se profundizará en dos de ellos, por tener relación con el esquema general de subsanabilidad, en este sentido, el tercer aspecto, en que no se profundizará en este texto, se deriva de lo establecido en el parágrafo 3 del artículo 5 de la Ley 1150 de 2007, incluido por el artículo 5 de la Ley 1882 de 2018: “Parágrafo 3. La no entrega de la garantía de seriedad junto con la propuesta no será subsanable y será causal de rechazo de la misma”. </w:t>
      </w:r>
    </w:p>
    <w:p w14:paraId="076DA4FF" w14:textId="77777777" w:rsidR="00031A0B" w:rsidRPr="00045DDA" w:rsidRDefault="00031A0B" w:rsidP="00031A0B">
      <w:pPr>
        <w:pStyle w:val="Textonotapie"/>
        <w:ind w:firstLine="708"/>
        <w:contextualSpacing/>
        <w:jc w:val="both"/>
        <w:rPr>
          <w:rFonts w:ascii="Verdana" w:hAnsi="Verdana" w:cs="Arial"/>
          <w:sz w:val="14"/>
          <w:szCs w:val="14"/>
          <w:lang w:val="es-CO"/>
        </w:rPr>
      </w:pPr>
    </w:p>
  </w:footnote>
  <w:footnote w:id="10">
    <w:p w14:paraId="145F8D07" w14:textId="77777777" w:rsidR="00031A0B" w:rsidRPr="00045DDA" w:rsidRDefault="00031A0B" w:rsidP="00031A0B">
      <w:pPr>
        <w:pBdr>
          <w:top w:val="nil"/>
          <w:left w:val="nil"/>
          <w:bottom w:val="nil"/>
          <w:right w:val="nil"/>
          <w:between w:val="nil"/>
        </w:pBdr>
        <w:spacing w:after="0" w:line="240" w:lineRule="auto"/>
        <w:ind w:firstLine="709"/>
        <w:contextualSpacing/>
        <w:jc w:val="both"/>
        <w:rPr>
          <w:rFonts w:ascii="Verdana" w:eastAsia="Arial" w:hAnsi="Verdana" w:cs="Arial"/>
          <w:sz w:val="14"/>
          <w:szCs w:val="14"/>
        </w:rPr>
      </w:pPr>
      <w:r w:rsidRPr="00045DDA">
        <w:rPr>
          <w:rFonts w:ascii="Verdana" w:hAnsi="Verdana" w:cs="Arial"/>
          <w:sz w:val="14"/>
          <w:szCs w:val="14"/>
          <w:vertAlign w:val="superscript"/>
        </w:rPr>
        <w:footnoteRef/>
      </w:r>
      <w:r w:rsidRPr="00045DDA">
        <w:rPr>
          <w:rFonts w:ascii="Verdana" w:eastAsia="Arial" w:hAnsi="Verdana" w:cs="Arial"/>
          <w:sz w:val="14"/>
          <w:szCs w:val="14"/>
          <w:vertAlign w:val="superscript"/>
        </w:rPr>
        <w:t xml:space="preserve"> </w:t>
      </w:r>
      <w:r w:rsidRPr="00045DDA">
        <w:rPr>
          <w:rFonts w:ascii="Verdana" w:eastAsia="Arial" w:hAnsi="Verdana" w:cs="Arial"/>
          <w:sz w:val="14"/>
          <w:szCs w:val="14"/>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p w14:paraId="30B1F679" w14:textId="77777777" w:rsidR="00031A0B" w:rsidRPr="00045DDA" w:rsidRDefault="00031A0B" w:rsidP="00031A0B">
      <w:pPr>
        <w:pBdr>
          <w:top w:val="nil"/>
          <w:left w:val="nil"/>
          <w:bottom w:val="nil"/>
          <w:right w:val="nil"/>
          <w:between w:val="nil"/>
        </w:pBdr>
        <w:spacing w:after="0" w:line="240" w:lineRule="auto"/>
        <w:ind w:firstLine="709"/>
        <w:contextualSpacing/>
        <w:jc w:val="both"/>
        <w:rPr>
          <w:rFonts w:ascii="Verdana" w:eastAsia="Arial" w:hAnsi="Verdana" w:cs="Arial"/>
          <w:sz w:val="14"/>
          <w:szCs w:val="14"/>
        </w:rPr>
      </w:pPr>
    </w:p>
  </w:footnote>
  <w:footnote w:id="11">
    <w:p w14:paraId="36494AE3" w14:textId="77777777" w:rsidR="00031A0B" w:rsidRPr="005A3A3B" w:rsidRDefault="00031A0B" w:rsidP="00031A0B">
      <w:pPr>
        <w:pStyle w:val="Textonotapie"/>
        <w:rPr>
          <w:rFonts w:ascii="Verdana" w:hAnsi="Verdana"/>
          <w:sz w:val="14"/>
          <w:szCs w:val="14"/>
          <w:lang w:val="es-ES"/>
        </w:rPr>
      </w:pPr>
      <w:r w:rsidRPr="005A3A3B">
        <w:rPr>
          <w:rStyle w:val="Refdenotaalpie"/>
          <w:rFonts w:ascii="Verdana" w:hAnsi="Verdana"/>
          <w:sz w:val="14"/>
          <w:szCs w:val="14"/>
        </w:rPr>
        <w:footnoteRef/>
      </w:r>
      <w:r w:rsidRPr="005A3A3B">
        <w:rPr>
          <w:rFonts w:ascii="Verdana" w:hAnsi="Verdana"/>
          <w:sz w:val="14"/>
          <w:szCs w:val="14"/>
        </w:rPr>
        <w:t xml:space="preserve"> Documento disponible en: https://www.colombiacompra.gov.co/archivos/manual/manual-para-determinar-y-verificar-los-requisitos-habilitantes-en-los-procesos-de-contratacion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94326399">
    <w:abstractNumId w:val="0"/>
  </w:num>
  <w:num w:numId="17" w16cid:durableId="41236189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1CA"/>
    <w:rsid w:val="00016F78"/>
    <w:rsid w:val="00027D4D"/>
    <w:rsid w:val="00031A0B"/>
    <w:rsid w:val="000372BB"/>
    <w:rsid w:val="00046945"/>
    <w:rsid w:val="00061B2A"/>
    <w:rsid w:val="00082362"/>
    <w:rsid w:val="000A683E"/>
    <w:rsid w:val="000B19B9"/>
    <w:rsid w:val="000D0334"/>
    <w:rsid w:val="000D5DA7"/>
    <w:rsid w:val="000F6486"/>
    <w:rsid w:val="001022E0"/>
    <w:rsid w:val="00116940"/>
    <w:rsid w:val="00125105"/>
    <w:rsid w:val="00127233"/>
    <w:rsid w:val="0015699B"/>
    <w:rsid w:val="001A33BF"/>
    <w:rsid w:val="001E4177"/>
    <w:rsid w:val="001E4BA8"/>
    <w:rsid w:val="001F0B24"/>
    <w:rsid w:val="001F7DC6"/>
    <w:rsid w:val="0021141B"/>
    <w:rsid w:val="002176D5"/>
    <w:rsid w:val="0022400B"/>
    <w:rsid w:val="002421BB"/>
    <w:rsid w:val="002425C7"/>
    <w:rsid w:val="0025796E"/>
    <w:rsid w:val="002707A2"/>
    <w:rsid w:val="002951A0"/>
    <w:rsid w:val="002962BC"/>
    <w:rsid w:val="002A093D"/>
    <w:rsid w:val="002A0DD0"/>
    <w:rsid w:val="002A49AC"/>
    <w:rsid w:val="002A64FD"/>
    <w:rsid w:val="002C7A84"/>
    <w:rsid w:val="002E2BF8"/>
    <w:rsid w:val="002E4FD9"/>
    <w:rsid w:val="00303635"/>
    <w:rsid w:val="0030657A"/>
    <w:rsid w:val="00307C70"/>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1F5A"/>
    <w:rsid w:val="004A1847"/>
    <w:rsid w:val="004A305D"/>
    <w:rsid w:val="004F21C4"/>
    <w:rsid w:val="004F685F"/>
    <w:rsid w:val="005566E8"/>
    <w:rsid w:val="00574867"/>
    <w:rsid w:val="00591460"/>
    <w:rsid w:val="005A65E0"/>
    <w:rsid w:val="005C3777"/>
    <w:rsid w:val="005C5CDC"/>
    <w:rsid w:val="005D476C"/>
    <w:rsid w:val="005E35E8"/>
    <w:rsid w:val="006200BF"/>
    <w:rsid w:val="006219F8"/>
    <w:rsid w:val="006302F7"/>
    <w:rsid w:val="00646B9F"/>
    <w:rsid w:val="0064744B"/>
    <w:rsid w:val="00656402"/>
    <w:rsid w:val="00665D70"/>
    <w:rsid w:val="006900D9"/>
    <w:rsid w:val="00706C16"/>
    <w:rsid w:val="007340C3"/>
    <w:rsid w:val="007368DE"/>
    <w:rsid w:val="00750797"/>
    <w:rsid w:val="0075235A"/>
    <w:rsid w:val="00756841"/>
    <w:rsid w:val="007649AB"/>
    <w:rsid w:val="00771D0C"/>
    <w:rsid w:val="007833AC"/>
    <w:rsid w:val="007B268C"/>
    <w:rsid w:val="007B7171"/>
    <w:rsid w:val="007C0C0F"/>
    <w:rsid w:val="007C3DC2"/>
    <w:rsid w:val="007D3D2A"/>
    <w:rsid w:val="007E5497"/>
    <w:rsid w:val="007F65AC"/>
    <w:rsid w:val="00806F5F"/>
    <w:rsid w:val="00820278"/>
    <w:rsid w:val="008258C9"/>
    <w:rsid w:val="00844AE9"/>
    <w:rsid w:val="00867F95"/>
    <w:rsid w:val="00883E56"/>
    <w:rsid w:val="008843B6"/>
    <w:rsid w:val="00890114"/>
    <w:rsid w:val="00891928"/>
    <w:rsid w:val="008A446D"/>
    <w:rsid w:val="008B25F1"/>
    <w:rsid w:val="008B731D"/>
    <w:rsid w:val="008C5A49"/>
    <w:rsid w:val="008D180B"/>
    <w:rsid w:val="008F0EA7"/>
    <w:rsid w:val="00923EEF"/>
    <w:rsid w:val="00940117"/>
    <w:rsid w:val="009419F9"/>
    <w:rsid w:val="0095685E"/>
    <w:rsid w:val="00961B09"/>
    <w:rsid w:val="00965334"/>
    <w:rsid w:val="0097093E"/>
    <w:rsid w:val="0098600C"/>
    <w:rsid w:val="009A0DFA"/>
    <w:rsid w:val="009A109A"/>
    <w:rsid w:val="009A1C6F"/>
    <w:rsid w:val="009B2D26"/>
    <w:rsid w:val="009C71FA"/>
    <w:rsid w:val="009C72E7"/>
    <w:rsid w:val="009C7F7E"/>
    <w:rsid w:val="009D3058"/>
    <w:rsid w:val="009F3A13"/>
    <w:rsid w:val="00A122D3"/>
    <w:rsid w:val="00A14468"/>
    <w:rsid w:val="00A17F13"/>
    <w:rsid w:val="00A20739"/>
    <w:rsid w:val="00A23AF9"/>
    <w:rsid w:val="00A33C78"/>
    <w:rsid w:val="00A4402E"/>
    <w:rsid w:val="00A862A7"/>
    <w:rsid w:val="00AB0ADB"/>
    <w:rsid w:val="00AE15B8"/>
    <w:rsid w:val="00B00C0E"/>
    <w:rsid w:val="00B01B1A"/>
    <w:rsid w:val="00B0381D"/>
    <w:rsid w:val="00B26877"/>
    <w:rsid w:val="00B35781"/>
    <w:rsid w:val="00B44A47"/>
    <w:rsid w:val="00B72CD3"/>
    <w:rsid w:val="00B72FFF"/>
    <w:rsid w:val="00BC3D36"/>
    <w:rsid w:val="00BD54A6"/>
    <w:rsid w:val="00BD7F72"/>
    <w:rsid w:val="00BF7425"/>
    <w:rsid w:val="00C04FB3"/>
    <w:rsid w:val="00C11D8B"/>
    <w:rsid w:val="00C15139"/>
    <w:rsid w:val="00C330EB"/>
    <w:rsid w:val="00C3777E"/>
    <w:rsid w:val="00C50D69"/>
    <w:rsid w:val="00C525FC"/>
    <w:rsid w:val="00C5365C"/>
    <w:rsid w:val="00C754BE"/>
    <w:rsid w:val="00C76B1C"/>
    <w:rsid w:val="00C925AC"/>
    <w:rsid w:val="00CB6357"/>
    <w:rsid w:val="00CC1B26"/>
    <w:rsid w:val="00CC49B1"/>
    <w:rsid w:val="00CE79BD"/>
    <w:rsid w:val="00D361FD"/>
    <w:rsid w:val="00D423A2"/>
    <w:rsid w:val="00D44E26"/>
    <w:rsid w:val="00D520D8"/>
    <w:rsid w:val="00D63AC2"/>
    <w:rsid w:val="00D7383B"/>
    <w:rsid w:val="00D7788A"/>
    <w:rsid w:val="00D9713F"/>
    <w:rsid w:val="00DA231B"/>
    <w:rsid w:val="00DA55BB"/>
    <w:rsid w:val="00DC39FC"/>
    <w:rsid w:val="00DF5254"/>
    <w:rsid w:val="00E02524"/>
    <w:rsid w:val="00E16408"/>
    <w:rsid w:val="00E20894"/>
    <w:rsid w:val="00E245AB"/>
    <w:rsid w:val="00E2764C"/>
    <w:rsid w:val="00E27F2E"/>
    <w:rsid w:val="00E50AFE"/>
    <w:rsid w:val="00E536C2"/>
    <w:rsid w:val="00E75C92"/>
    <w:rsid w:val="00E771DC"/>
    <w:rsid w:val="00E8772A"/>
    <w:rsid w:val="00E90F6B"/>
    <w:rsid w:val="00E92C27"/>
    <w:rsid w:val="00EA0E3D"/>
    <w:rsid w:val="00EC38A7"/>
    <w:rsid w:val="00EE1AA8"/>
    <w:rsid w:val="00F01240"/>
    <w:rsid w:val="00F23FEA"/>
    <w:rsid w:val="00F31EDC"/>
    <w:rsid w:val="00F42AD4"/>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6847BE5"/>
    <w:rsid w:val="19A2EC2C"/>
    <w:rsid w:val="21779BE6"/>
    <w:rsid w:val="22E9A1E4"/>
    <w:rsid w:val="2859CA1B"/>
    <w:rsid w:val="2C4D2425"/>
    <w:rsid w:val="2E63F4E5"/>
    <w:rsid w:val="2EE1E026"/>
    <w:rsid w:val="2F44F38F"/>
    <w:rsid w:val="30821638"/>
    <w:rsid w:val="32A4F9CF"/>
    <w:rsid w:val="33A1FF93"/>
    <w:rsid w:val="356CEDFD"/>
    <w:rsid w:val="3983E3A2"/>
    <w:rsid w:val="3C591AFD"/>
    <w:rsid w:val="42183F0A"/>
    <w:rsid w:val="53C66D1F"/>
    <w:rsid w:val="545B112A"/>
    <w:rsid w:val="5BEB1497"/>
    <w:rsid w:val="5EE26E4C"/>
    <w:rsid w:val="69614A15"/>
    <w:rsid w:val="71EDD8D6"/>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31A0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31A0B"/>
    <w:rPr>
      <w:rFonts w:ascii="Geomanist Light" w:hAnsi="Geomanist Light"/>
      <w:lang w:val="es-ES"/>
    </w:rPr>
  </w:style>
  <w:style w:type="character" w:customStyle="1" w:styleId="NormalWebCar">
    <w:name w:val="Normal (Web) Car"/>
    <w:link w:val="NormalWeb"/>
    <w:uiPriority w:val="99"/>
    <w:locked/>
    <w:rsid w:val="00031A0B"/>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unhideWhenUsed/>
    <w:rsid w:val="00031A0B"/>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031A0B"/>
    <w:rPr>
      <w:rFonts w:eastAsiaTheme="minorEastAsia"/>
      <w:lang w:eastAsia="es-CO"/>
    </w:rPr>
  </w:style>
  <w:style w:type="character" w:customStyle="1" w:styleId="superscript">
    <w:name w:val="superscript"/>
    <w:basedOn w:val="Fuentedeprrafopredeter"/>
    <w:rsid w:val="00031A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archivos/manual/manual-para-determinar-y-verificar-los-requisitos-habilitantes-en-los-procesos-de-contratacion" TargetMode="Externa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ntabilidadconsorcios@hotmail.c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busqueda/conceptos" TargetMode="External"/><Relationship Id="rId1" Type="http://schemas.openxmlformats.org/officeDocument/2006/relationships/hyperlink" Target="https://colaboracion.dnp.gov.co/CDT/Normatividad/DECRETO%20579%20DEL%2031%20DE%20MAYO%20DE%20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2BFBC5-7066-4A1D-8070-F5350A1EF7A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27</TotalTime>
  <Pages>1</Pages>
  <Words>5682</Words>
  <Characters>31255</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2026-05-26T22:02:00Z</dcterms:created>
  <dcterms:modified xsi:type="dcterms:W3CDTF">2026-05-27T10:13:00Z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