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52799" w14:textId="353B2386" w:rsidR="000D61B3" w:rsidRDefault="003A5BC1" w:rsidP="00BA7424">
      <w:pPr>
        <w:spacing w:after="0" w:line="240" w:lineRule="auto"/>
        <w:jc w:val="both"/>
        <w:rPr>
          <w:rFonts w:ascii="Verdana" w:hAnsi="Verdana"/>
          <w:b/>
          <w:bCs/>
        </w:rPr>
      </w:pPr>
      <w:r w:rsidRPr="003A5BC1">
        <w:rPr>
          <w:rFonts w:ascii="Verdana" w:hAnsi="Verdana"/>
          <w:b/>
          <w:bCs/>
        </w:rPr>
        <w:t>CONTRATO DE PRESTACION DE SERVICIOS –</w:t>
      </w:r>
      <w:r w:rsidR="00AF7A8A">
        <w:rPr>
          <w:rFonts w:ascii="Verdana" w:hAnsi="Verdana"/>
          <w:b/>
          <w:bCs/>
        </w:rPr>
        <w:t xml:space="preserve"> Tipología </w:t>
      </w:r>
    </w:p>
    <w:p w14:paraId="578E3D59" w14:textId="77777777" w:rsidR="003A5BC1" w:rsidRDefault="003A5BC1" w:rsidP="00BA7424">
      <w:pPr>
        <w:spacing w:after="0" w:line="240" w:lineRule="auto"/>
        <w:jc w:val="both"/>
        <w:rPr>
          <w:rFonts w:ascii="Verdana" w:hAnsi="Verdana"/>
          <w:b/>
          <w:bCs/>
        </w:rPr>
      </w:pPr>
    </w:p>
    <w:p w14:paraId="440B56B3" w14:textId="77777777" w:rsidR="001358C1" w:rsidRPr="001358C1" w:rsidRDefault="001358C1" w:rsidP="001358C1">
      <w:pPr>
        <w:spacing w:after="0" w:line="240" w:lineRule="auto"/>
        <w:jc w:val="both"/>
        <w:rPr>
          <w:rFonts w:ascii="Verdana" w:hAnsi="Verdana"/>
          <w:sz w:val="20"/>
          <w:szCs w:val="20"/>
        </w:rPr>
      </w:pPr>
      <w:r w:rsidRPr="001358C1">
        <w:rPr>
          <w:rFonts w:ascii="Verdana" w:hAnsi="Verdana"/>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numeral 3 del artículo 32, de la Ley 80 de 1993, el cual establece:</w:t>
      </w:r>
    </w:p>
    <w:p w14:paraId="0209F2ED" w14:textId="77777777" w:rsidR="001358C1" w:rsidRPr="001358C1" w:rsidRDefault="001358C1" w:rsidP="001358C1">
      <w:pPr>
        <w:spacing w:after="0" w:line="240" w:lineRule="auto"/>
        <w:jc w:val="both"/>
        <w:rPr>
          <w:rFonts w:ascii="Verdana" w:hAnsi="Verdana"/>
          <w:sz w:val="20"/>
          <w:szCs w:val="20"/>
        </w:rPr>
      </w:pPr>
      <w:r w:rsidRPr="001358C1">
        <w:rPr>
          <w:rFonts w:ascii="Verdana" w:hAnsi="Verdana"/>
          <w:sz w:val="20"/>
          <w:szCs w:val="20"/>
        </w:rPr>
        <w:t>[…]</w:t>
      </w:r>
    </w:p>
    <w:p w14:paraId="52B91A74" w14:textId="77777777" w:rsidR="001358C1" w:rsidRPr="001358C1" w:rsidRDefault="001358C1" w:rsidP="001358C1">
      <w:pPr>
        <w:spacing w:after="0" w:line="240" w:lineRule="auto"/>
        <w:jc w:val="both"/>
        <w:rPr>
          <w:rFonts w:ascii="Verdana" w:hAnsi="Verdana"/>
          <w:sz w:val="20"/>
          <w:szCs w:val="20"/>
        </w:rPr>
      </w:pPr>
      <w:r w:rsidRPr="001358C1">
        <w:rPr>
          <w:rFonts w:ascii="Verdana" w:hAnsi="Verdana"/>
          <w:sz w:val="20"/>
          <w:szCs w:val="20"/>
        </w:rPr>
        <w:t>La celebración de dicho contrato se debe efectuar a través de la modalidad de la contratación directa. Así lo prevé el literal h numeral 4 del artículo 2, de la Ley 1150 de 2007, […]</w:t>
      </w:r>
    </w:p>
    <w:p w14:paraId="1E815B39" w14:textId="77777777" w:rsidR="003A5BC1" w:rsidRDefault="003A5BC1" w:rsidP="00BA7424">
      <w:pPr>
        <w:spacing w:after="0" w:line="240" w:lineRule="auto"/>
        <w:jc w:val="both"/>
        <w:rPr>
          <w:rFonts w:ascii="Verdana" w:hAnsi="Verdana"/>
        </w:rPr>
      </w:pPr>
    </w:p>
    <w:p w14:paraId="339642F6" w14:textId="652D326C" w:rsidR="000D61B3" w:rsidRPr="00CA695D" w:rsidRDefault="00CA695D" w:rsidP="00BA7424">
      <w:pPr>
        <w:spacing w:after="0" w:line="240" w:lineRule="auto"/>
        <w:jc w:val="both"/>
        <w:rPr>
          <w:rFonts w:ascii="Verdana" w:hAnsi="Verdana"/>
          <w:b/>
          <w:bCs/>
        </w:rPr>
      </w:pPr>
      <w:r w:rsidRPr="00CA695D">
        <w:rPr>
          <w:rFonts w:ascii="Verdana" w:eastAsia="Calibri" w:hAnsi="Verdana" w:cs="Arial"/>
          <w:b/>
          <w:bCs/>
        </w:rPr>
        <w:t>TARJETA PROFESIONAL – Exigibilidad – Suscripción – Contrato de prestación de servicios</w:t>
      </w:r>
    </w:p>
    <w:p w14:paraId="0AD41200" w14:textId="77777777" w:rsidR="000D61B3" w:rsidRDefault="000D61B3" w:rsidP="00BA7424">
      <w:pPr>
        <w:spacing w:after="0" w:line="240" w:lineRule="auto"/>
        <w:jc w:val="both"/>
        <w:rPr>
          <w:rFonts w:ascii="Verdana" w:hAnsi="Verdana"/>
        </w:rPr>
      </w:pPr>
    </w:p>
    <w:p w14:paraId="6EA89A97" w14:textId="77777777" w:rsidR="00CA695D" w:rsidRPr="00E71BD3" w:rsidRDefault="00CA695D" w:rsidP="00CA695D">
      <w:pPr>
        <w:spacing w:after="0"/>
        <w:jc w:val="both"/>
        <w:rPr>
          <w:rFonts w:ascii="Verdana" w:eastAsia="Calibri" w:hAnsi="Verdana" w:cs="Arial"/>
          <w:color w:val="000000"/>
          <w:sz w:val="20"/>
          <w:szCs w:val="20"/>
        </w:rPr>
      </w:pPr>
      <w:r w:rsidRPr="00E71BD3">
        <w:rPr>
          <w:rFonts w:ascii="Verdana" w:eastAsia="Calibri" w:hAnsi="Verdana" w:cs="Arial"/>
          <w:color w:val="000000"/>
          <w:sz w:val="20"/>
          <w:szCs w:val="20"/>
        </w:rPr>
        <w:t>En relación con la exigencia de la tarjeta profesional para celebrar el contrato de prestación de servicios, el artículo 26 de la Constitución Política indica que: “La Ley podrá exigir títulos de idoneidad”. La Corte Constitucional establece que la Constitución Política autorizó al legislador para exigir determinados títulos de idoneidad a quienes quieren desempeñar actividades que impliquen riesgo social, con el objetivo de demostrar la adecuada aptitud del aspirante. En este sentido, la Ley, frente a determinadas profesiones, exige el requisito de tarjeta profesional que impliquen riesgo social para garantizar la aptitud del aspirante.</w:t>
      </w:r>
    </w:p>
    <w:p w14:paraId="785B8298" w14:textId="77777777" w:rsidR="00E71BD3" w:rsidRDefault="00E71BD3" w:rsidP="00E71BD3">
      <w:pPr>
        <w:spacing w:after="0"/>
        <w:jc w:val="both"/>
        <w:rPr>
          <w:rFonts w:ascii="Verdana" w:eastAsia="Calibri" w:hAnsi="Verdana" w:cs="Arial"/>
          <w:color w:val="000000"/>
        </w:rPr>
      </w:pPr>
    </w:p>
    <w:p w14:paraId="504902B6" w14:textId="3F2C7CAA" w:rsidR="00E71BD3" w:rsidRPr="00E71BD3" w:rsidRDefault="00E71BD3" w:rsidP="00E71BD3">
      <w:pPr>
        <w:spacing w:after="0"/>
        <w:jc w:val="both"/>
        <w:rPr>
          <w:rFonts w:ascii="Verdana" w:eastAsia="Calibri" w:hAnsi="Verdana" w:cs="Arial"/>
          <w:b/>
          <w:bCs/>
        </w:rPr>
      </w:pPr>
      <w:r w:rsidRPr="00E71BD3">
        <w:rPr>
          <w:rFonts w:ascii="Verdana" w:eastAsia="Calibri" w:hAnsi="Verdana" w:cs="Arial"/>
          <w:b/>
          <w:bCs/>
        </w:rPr>
        <w:t xml:space="preserve">EXPERIENCIA PROFESIONAL – Régimen jurídico-Acreditación </w:t>
      </w:r>
    </w:p>
    <w:p w14:paraId="1BA4FBBC" w14:textId="77777777" w:rsidR="00E71BD3" w:rsidRDefault="00E71BD3" w:rsidP="00E71BD3">
      <w:pPr>
        <w:spacing w:after="0"/>
        <w:jc w:val="both"/>
        <w:rPr>
          <w:rFonts w:ascii="Verdana" w:eastAsia="Calibri" w:hAnsi="Verdana" w:cs="Arial"/>
          <w:color w:val="000000"/>
        </w:rPr>
      </w:pPr>
    </w:p>
    <w:p w14:paraId="2B752CA0" w14:textId="69ADEC24" w:rsidR="00E71BD3" w:rsidRPr="00DE70FB" w:rsidRDefault="00E71BD3" w:rsidP="00E71BD3">
      <w:pPr>
        <w:spacing w:after="0"/>
        <w:jc w:val="both"/>
        <w:rPr>
          <w:rFonts w:ascii="Verdana" w:hAnsi="Verdana" w:cs="Arial"/>
          <w:sz w:val="20"/>
          <w:szCs w:val="20"/>
        </w:rPr>
      </w:pPr>
      <w:r w:rsidRPr="00DE70FB">
        <w:rPr>
          <w:rFonts w:ascii="Verdana" w:eastAsia="Calibri" w:hAnsi="Verdana" w:cs="Arial"/>
          <w:color w:val="000000"/>
          <w:sz w:val="20"/>
          <w:szCs w:val="20"/>
        </w:rPr>
        <w:t xml:space="preserve">Ahora bien, en torno a la acreditación de la experiencia </w:t>
      </w:r>
      <w:r w:rsidRPr="00DE70FB">
        <w:rPr>
          <w:rFonts w:ascii="Verdana" w:hAnsi="Verdana" w:cs="Arial"/>
          <w:sz w:val="20"/>
          <w:szCs w:val="20"/>
        </w:rPr>
        <w:t xml:space="preserve">profesional, la misma, se debe verificar de acuerdo con lo regulado en el artículo </w:t>
      </w:r>
      <w:r w:rsidRPr="00DE70FB">
        <w:rPr>
          <w:rFonts w:ascii="Verdana" w:hAnsi="Verdana"/>
          <w:sz w:val="20"/>
          <w:szCs w:val="20"/>
        </w:rPr>
        <w:t>2.2.2.3.7 del Decreto 1083 de 2015</w:t>
      </w:r>
      <w:r w:rsidRPr="00DE70FB">
        <w:rPr>
          <w:rFonts w:ascii="Verdana" w:hAnsi="Verdana" w:cs="Arial"/>
          <w:sz w:val="20"/>
          <w:szCs w:val="20"/>
        </w:rPr>
        <w:t>. En virtud de esta norma, el ejercicio de las diferentes profesiones acreditadas por el Ministerio de Educación Nacional se contabiliza a partir de la terminación y aprobación del pensum académico de educación superior, salvo para las profesiones relacionadas con el sistema de seguridad social en salud, en las cuales la experiencia profesional se computa a partir de la inscripción o registro profesional.</w:t>
      </w:r>
    </w:p>
    <w:p w14:paraId="151533EF" w14:textId="77777777" w:rsidR="00E71BD3" w:rsidRPr="00DE70FB" w:rsidRDefault="00E71BD3" w:rsidP="00E71BD3">
      <w:pPr>
        <w:spacing w:after="0"/>
        <w:jc w:val="both"/>
        <w:rPr>
          <w:rFonts w:ascii="Verdana" w:hAnsi="Verdana" w:cs="Arial"/>
          <w:sz w:val="20"/>
          <w:szCs w:val="20"/>
        </w:rPr>
      </w:pPr>
    </w:p>
    <w:p w14:paraId="63E72252" w14:textId="36549D37" w:rsidR="00E71BD3" w:rsidRPr="00DE70FB" w:rsidRDefault="00E71BD3" w:rsidP="00E71BD3">
      <w:pPr>
        <w:spacing w:after="0"/>
        <w:jc w:val="both"/>
        <w:rPr>
          <w:rFonts w:ascii="Verdana" w:hAnsi="Verdana" w:cs="Arial"/>
          <w:sz w:val="20"/>
          <w:szCs w:val="20"/>
        </w:rPr>
      </w:pPr>
      <w:r w:rsidRPr="00DE70FB">
        <w:rPr>
          <w:rFonts w:ascii="Verdana" w:hAnsi="Verdana" w:cs="Arial"/>
          <w:sz w:val="20"/>
          <w:szCs w:val="20"/>
        </w:rPr>
        <w:t xml:space="preserve">Por otro lado, valga mencionar que, a partir de la Ley 1955 de 2019 se permite contar como experiencia profesional las prácticas laborales realizadas por estudiantes para obtener el título de grado. De acuerdo con el artículo 15 de la Ley 1780 de 2016, la </w:t>
      </w:r>
      <w:r w:rsidR="009C7578" w:rsidRPr="00DE70FB">
        <w:rPr>
          <w:rFonts w:ascii="Verdana" w:hAnsi="Verdana" w:cs="Arial"/>
          <w:sz w:val="20"/>
          <w:szCs w:val="20"/>
        </w:rPr>
        <w:t>práctica</w:t>
      </w:r>
      <w:r w:rsidRPr="00DE70FB">
        <w:rPr>
          <w:rFonts w:ascii="Verdana" w:hAnsi="Verdana" w:cs="Arial"/>
          <w:sz w:val="20"/>
          <w:szCs w:val="20"/>
        </w:rPr>
        <w:t xml:space="preserve">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1E8690FE" w14:textId="77777777" w:rsidR="00E71BD3" w:rsidRPr="007D460E" w:rsidRDefault="00E71BD3" w:rsidP="00CA695D">
      <w:pPr>
        <w:spacing w:after="0"/>
        <w:jc w:val="both"/>
        <w:rPr>
          <w:rFonts w:ascii="Verdana" w:eastAsia="Calibri" w:hAnsi="Verdana" w:cs="Arial"/>
          <w:color w:val="000000"/>
        </w:rPr>
      </w:pPr>
    </w:p>
    <w:p w14:paraId="4F6B1664" w14:textId="77777777" w:rsidR="000D61B3" w:rsidRDefault="000D61B3" w:rsidP="00BA7424">
      <w:pPr>
        <w:spacing w:after="0" w:line="240" w:lineRule="auto"/>
        <w:jc w:val="both"/>
        <w:rPr>
          <w:rFonts w:ascii="Verdana" w:hAnsi="Verdana"/>
        </w:rPr>
      </w:pPr>
    </w:p>
    <w:p w14:paraId="6ADBC091" w14:textId="4F294626" w:rsidR="000D61B3" w:rsidRPr="000A2F82" w:rsidRDefault="000A2F82" w:rsidP="00BA7424">
      <w:pPr>
        <w:spacing w:after="0" w:line="240" w:lineRule="auto"/>
        <w:jc w:val="both"/>
        <w:rPr>
          <w:rFonts w:ascii="Verdana" w:hAnsi="Verdana"/>
          <w:b/>
        </w:rPr>
      </w:pPr>
      <w:r w:rsidRPr="000A2F82">
        <w:rPr>
          <w:rFonts w:ascii="Verdana" w:hAnsi="Verdana" w:cs="Arial"/>
          <w:b/>
          <w:lang w:val="es-ES"/>
        </w:rPr>
        <w:t xml:space="preserve">EQUIVALENCIA – Contrato de prestación de servicios </w:t>
      </w:r>
    </w:p>
    <w:p w14:paraId="7E42430E" w14:textId="77777777" w:rsidR="000D61B3" w:rsidRDefault="000D61B3" w:rsidP="00BA7424">
      <w:pPr>
        <w:spacing w:after="0" w:line="240" w:lineRule="auto"/>
        <w:jc w:val="both"/>
        <w:rPr>
          <w:rFonts w:ascii="Verdana" w:hAnsi="Verdana"/>
        </w:rPr>
      </w:pPr>
    </w:p>
    <w:p w14:paraId="07D33E38" w14:textId="38DF5E29" w:rsidR="009C7578" w:rsidRPr="000A2F82" w:rsidRDefault="000A2F82" w:rsidP="009C7578">
      <w:pPr>
        <w:spacing w:after="120" w:line="276" w:lineRule="auto"/>
        <w:jc w:val="both"/>
        <w:rPr>
          <w:rFonts w:ascii="Verdana" w:eastAsia="Calibri" w:hAnsi="Verdana" w:cs="Arial"/>
          <w:sz w:val="20"/>
          <w:szCs w:val="20"/>
          <w:lang w:val="es-ES" w:eastAsia="es-ES_tradnl"/>
        </w:rPr>
      </w:pPr>
      <w:r w:rsidRPr="000A2F82">
        <w:rPr>
          <w:rFonts w:ascii="Verdana" w:hAnsi="Verdana"/>
          <w:sz w:val="20"/>
          <w:szCs w:val="20"/>
        </w:rPr>
        <w:t xml:space="preserve">[…] </w:t>
      </w:r>
      <w:r w:rsidR="009C7578" w:rsidRPr="000A2F82">
        <w:rPr>
          <w:rFonts w:ascii="Verdana" w:eastAsia="Calibri" w:hAnsi="Verdana" w:cs="Arial"/>
          <w:sz w:val="20"/>
          <w:szCs w:val="20"/>
          <w:lang w:val="es-ES" w:eastAsia="es-ES_tradnl"/>
        </w:rPr>
        <w:t xml:space="preserve">la aplicabilidad el Decreto 1083 de 2015 respecto de la equivalencia entre experiencia y estudios, ya que el artículo 2.1.1.1. que trata del objeto del decreto señala que es para el sector de la función pública en temas como “empleo público; funciones, competencias y requisitos generales para los empleos públicos de los distintos niveles jerárquicos de los organismos y entidades del orden nacional y territorial; administración de personal (…)”, entre otros. </w:t>
      </w:r>
    </w:p>
    <w:p w14:paraId="4E06A0D1" w14:textId="77777777" w:rsidR="009C7578" w:rsidRPr="000A2F82" w:rsidRDefault="009C7578" w:rsidP="000A2F82">
      <w:pPr>
        <w:spacing w:after="120" w:line="276" w:lineRule="auto"/>
        <w:jc w:val="both"/>
        <w:rPr>
          <w:rFonts w:ascii="Verdana" w:eastAsia="Calibri" w:hAnsi="Verdana" w:cs="Arial"/>
          <w:sz w:val="20"/>
          <w:szCs w:val="20"/>
          <w:lang w:val="es-ES" w:eastAsia="es-ES_tradnl"/>
        </w:rPr>
      </w:pPr>
      <w:r w:rsidRPr="000A2F82">
        <w:rPr>
          <w:rFonts w:ascii="Verdana" w:eastAsia="Calibri" w:hAnsi="Verdana" w:cs="Arial"/>
          <w:sz w:val="20"/>
          <w:szCs w:val="20"/>
          <w:lang w:val="es-ES" w:eastAsia="es-ES_tradnl"/>
        </w:rPr>
        <w:t>De acuerdo con el concepto del Departamento Administrativo de la Función Pública</w:t>
      </w:r>
      <w:r w:rsidRPr="000A2F82">
        <w:rPr>
          <w:rStyle w:val="Refdenotaalpie"/>
          <w:rFonts w:ascii="Verdana" w:eastAsia="Calibri" w:hAnsi="Verdana" w:cs="Arial"/>
          <w:sz w:val="20"/>
          <w:szCs w:val="20"/>
          <w:lang w:val="es-ES" w:eastAsia="es-ES_tradnl"/>
        </w:rPr>
        <w:footnoteReference w:id="1"/>
      </w:r>
      <w:r w:rsidRPr="000A2F82">
        <w:rPr>
          <w:rFonts w:ascii="Verdana" w:eastAsia="Calibri" w:hAnsi="Verdana" w:cs="Arial"/>
          <w:sz w:val="20"/>
          <w:szCs w:val="20"/>
          <w:lang w:val="es-ES" w:eastAsia="es-ES_tradnl"/>
        </w:rPr>
        <w:t>, “La relación contractual tiene como características la autonomía e independencia del contratista, por consiguiente, los contratistas no son servidores públicos sino particulares que prestan una función pública (…)”; por lo que no es aplicable el Decreto 1083 de 2015. Ahora bien, la entidad en su autonomía y como rectora del proceso de contratación puede determinar la observancia de la equivalencia entre experiencia y estudios allí establecida y tendrá que justificarlo en los estudios previos y análisis del sector.</w:t>
      </w:r>
    </w:p>
    <w:p w14:paraId="3803F5D7" w14:textId="77777777" w:rsidR="000D61B3" w:rsidRPr="009C7578" w:rsidRDefault="000D61B3" w:rsidP="00BA7424">
      <w:pPr>
        <w:spacing w:after="0" w:line="240" w:lineRule="auto"/>
        <w:jc w:val="both"/>
        <w:rPr>
          <w:rFonts w:ascii="Verdana" w:hAnsi="Verdana"/>
          <w:lang w:val="es-ES"/>
        </w:rPr>
      </w:pPr>
    </w:p>
    <w:p w14:paraId="5B88D14D" w14:textId="77777777" w:rsidR="000D61B3" w:rsidRDefault="000D61B3" w:rsidP="00BA7424">
      <w:pPr>
        <w:spacing w:after="0" w:line="240" w:lineRule="auto"/>
        <w:jc w:val="both"/>
        <w:rPr>
          <w:rFonts w:ascii="Verdana" w:hAnsi="Verdana"/>
        </w:rPr>
      </w:pPr>
    </w:p>
    <w:p w14:paraId="6580BE8C" w14:textId="77777777" w:rsidR="000D61B3" w:rsidRDefault="000D61B3" w:rsidP="00BA7424">
      <w:pPr>
        <w:spacing w:after="0" w:line="240" w:lineRule="auto"/>
        <w:jc w:val="both"/>
        <w:rPr>
          <w:rFonts w:ascii="Verdana" w:hAnsi="Verdana"/>
        </w:rPr>
      </w:pPr>
    </w:p>
    <w:p w14:paraId="7D7868DC" w14:textId="77777777" w:rsidR="000D61B3" w:rsidRDefault="000D61B3" w:rsidP="00BA7424">
      <w:pPr>
        <w:spacing w:after="0" w:line="240" w:lineRule="auto"/>
        <w:jc w:val="both"/>
        <w:rPr>
          <w:rFonts w:ascii="Verdana" w:hAnsi="Verdana"/>
        </w:rPr>
      </w:pPr>
    </w:p>
    <w:p w14:paraId="4AFDDECB" w14:textId="77777777" w:rsidR="000D61B3" w:rsidRDefault="000D61B3" w:rsidP="00BA7424">
      <w:pPr>
        <w:spacing w:after="0" w:line="240" w:lineRule="auto"/>
        <w:jc w:val="both"/>
        <w:rPr>
          <w:rFonts w:ascii="Verdana" w:hAnsi="Verdana"/>
        </w:rPr>
      </w:pPr>
    </w:p>
    <w:p w14:paraId="553BD7B5" w14:textId="77777777" w:rsidR="000D61B3" w:rsidRDefault="000D61B3" w:rsidP="00BA7424">
      <w:pPr>
        <w:spacing w:after="0" w:line="240" w:lineRule="auto"/>
        <w:jc w:val="both"/>
        <w:rPr>
          <w:rFonts w:ascii="Verdana" w:hAnsi="Verdana"/>
        </w:rPr>
      </w:pPr>
    </w:p>
    <w:p w14:paraId="6CAEA1DC" w14:textId="77777777" w:rsidR="000D61B3" w:rsidRDefault="000D61B3" w:rsidP="00BA7424">
      <w:pPr>
        <w:spacing w:after="0" w:line="240" w:lineRule="auto"/>
        <w:jc w:val="both"/>
        <w:rPr>
          <w:rFonts w:ascii="Verdana" w:hAnsi="Verdana"/>
        </w:rPr>
      </w:pPr>
    </w:p>
    <w:p w14:paraId="2BE7BCE5" w14:textId="77777777" w:rsidR="000D61B3" w:rsidRDefault="000D61B3" w:rsidP="00BA7424">
      <w:pPr>
        <w:spacing w:after="0" w:line="240" w:lineRule="auto"/>
        <w:jc w:val="both"/>
        <w:rPr>
          <w:rFonts w:ascii="Verdana" w:hAnsi="Verdana"/>
        </w:rPr>
      </w:pPr>
    </w:p>
    <w:p w14:paraId="4B911644" w14:textId="77777777" w:rsidR="000D61B3" w:rsidRDefault="000D61B3" w:rsidP="00BA7424">
      <w:pPr>
        <w:spacing w:after="0" w:line="240" w:lineRule="auto"/>
        <w:jc w:val="both"/>
        <w:rPr>
          <w:rFonts w:ascii="Verdana" w:hAnsi="Verdana"/>
        </w:rPr>
      </w:pPr>
    </w:p>
    <w:p w14:paraId="3A8C0983" w14:textId="77777777" w:rsidR="000D61B3" w:rsidRDefault="000D61B3" w:rsidP="00BA7424">
      <w:pPr>
        <w:spacing w:after="0" w:line="240" w:lineRule="auto"/>
        <w:jc w:val="both"/>
        <w:rPr>
          <w:rFonts w:ascii="Verdana" w:hAnsi="Verdana"/>
        </w:rPr>
      </w:pPr>
    </w:p>
    <w:p w14:paraId="5A76459D" w14:textId="77777777" w:rsidR="000D61B3" w:rsidRDefault="000D61B3" w:rsidP="00BA7424">
      <w:pPr>
        <w:spacing w:after="0" w:line="240" w:lineRule="auto"/>
        <w:jc w:val="both"/>
        <w:rPr>
          <w:rFonts w:ascii="Verdana" w:hAnsi="Verdana"/>
        </w:rPr>
      </w:pPr>
    </w:p>
    <w:p w14:paraId="32555A52" w14:textId="77777777" w:rsidR="000D61B3" w:rsidRDefault="000D61B3" w:rsidP="00BA7424">
      <w:pPr>
        <w:spacing w:after="0" w:line="240" w:lineRule="auto"/>
        <w:jc w:val="both"/>
        <w:rPr>
          <w:rFonts w:ascii="Verdana" w:hAnsi="Verdana"/>
        </w:rPr>
      </w:pPr>
    </w:p>
    <w:p w14:paraId="5C98170A" w14:textId="77777777" w:rsidR="000D61B3" w:rsidRDefault="000D61B3" w:rsidP="00BA7424">
      <w:pPr>
        <w:spacing w:after="0" w:line="240" w:lineRule="auto"/>
        <w:jc w:val="both"/>
        <w:rPr>
          <w:rFonts w:ascii="Verdana" w:hAnsi="Verdana"/>
        </w:rPr>
      </w:pPr>
    </w:p>
    <w:p w14:paraId="3726C9AA" w14:textId="77777777" w:rsidR="000D61B3" w:rsidRDefault="000D61B3" w:rsidP="00BA7424">
      <w:pPr>
        <w:spacing w:after="0" w:line="240" w:lineRule="auto"/>
        <w:jc w:val="both"/>
        <w:rPr>
          <w:rFonts w:ascii="Verdana" w:hAnsi="Verdana"/>
        </w:rPr>
      </w:pPr>
    </w:p>
    <w:p w14:paraId="0BB41FDE" w14:textId="77777777" w:rsidR="000D61B3" w:rsidRDefault="000D61B3" w:rsidP="00BA7424">
      <w:pPr>
        <w:spacing w:after="0" w:line="240" w:lineRule="auto"/>
        <w:jc w:val="both"/>
        <w:rPr>
          <w:rFonts w:ascii="Verdana" w:hAnsi="Verdana"/>
        </w:rPr>
      </w:pPr>
    </w:p>
    <w:p w14:paraId="18461EEC" w14:textId="77777777" w:rsidR="000D61B3" w:rsidRDefault="000D61B3" w:rsidP="00BA7424">
      <w:pPr>
        <w:spacing w:after="0" w:line="240" w:lineRule="auto"/>
        <w:jc w:val="both"/>
        <w:rPr>
          <w:rFonts w:ascii="Verdana" w:hAnsi="Verdana"/>
        </w:rPr>
      </w:pPr>
    </w:p>
    <w:p w14:paraId="55E54607" w14:textId="77777777" w:rsidR="000D61B3" w:rsidRDefault="000D61B3" w:rsidP="00BA7424">
      <w:pPr>
        <w:spacing w:after="0" w:line="240" w:lineRule="auto"/>
        <w:jc w:val="both"/>
        <w:rPr>
          <w:rFonts w:ascii="Verdana" w:hAnsi="Verdana"/>
        </w:rPr>
      </w:pPr>
    </w:p>
    <w:p w14:paraId="6E238F1A" w14:textId="77777777" w:rsidR="000D61B3" w:rsidRDefault="000D61B3" w:rsidP="00BA7424">
      <w:pPr>
        <w:spacing w:after="0" w:line="240" w:lineRule="auto"/>
        <w:jc w:val="both"/>
        <w:rPr>
          <w:rFonts w:ascii="Verdana" w:hAnsi="Verdana"/>
        </w:rPr>
      </w:pPr>
    </w:p>
    <w:p w14:paraId="58E5A22D" w14:textId="77777777" w:rsidR="000D61B3" w:rsidRDefault="000D61B3" w:rsidP="00BA7424">
      <w:pPr>
        <w:spacing w:after="0" w:line="240" w:lineRule="auto"/>
        <w:jc w:val="both"/>
        <w:rPr>
          <w:rFonts w:ascii="Verdana" w:hAnsi="Verdana"/>
        </w:rPr>
      </w:pPr>
    </w:p>
    <w:p w14:paraId="113498BC" w14:textId="77777777" w:rsidR="000D61B3" w:rsidRDefault="000D61B3" w:rsidP="00BA7424">
      <w:pPr>
        <w:spacing w:after="0" w:line="240" w:lineRule="auto"/>
        <w:jc w:val="both"/>
        <w:rPr>
          <w:rFonts w:ascii="Verdana" w:hAnsi="Verdana"/>
        </w:rPr>
      </w:pPr>
    </w:p>
    <w:p w14:paraId="4B69B887" w14:textId="77777777" w:rsidR="000D61B3" w:rsidRDefault="000D61B3" w:rsidP="00BA7424">
      <w:pPr>
        <w:spacing w:after="0" w:line="240" w:lineRule="auto"/>
        <w:jc w:val="both"/>
        <w:rPr>
          <w:rFonts w:ascii="Verdana" w:hAnsi="Verdana"/>
        </w:rPr>
      </w:pPr>
    </w:p>
    <w:p w14:paraId="6C0414C0" w14:textId="77777777" w:rsidR="000D61B3" w:rsidRDefault="000D61B3" w:rsidP="00BA7424">
      <w:pPr>
        <w:spacing w:after="0" w:line="240" w:lineRule="auto"/>
        <w:jc w:val="both"/>
        <w:rPr>
          <w:rFonts w:ascii="Verdana" w:hAnsi="Verdana"/>
        </w:rPr>
      </w:pPr>
    </w:p>
    <w:p w14:paraId="3345AD86" w14:textId="77777777" w:rsidR="00347A27" w:rsidRPr="00347A27" w:rsidRDefault="00347A27" w:rsidP="00347A27">
      <w:pPr>
        <w:spacing w:after="0" w:line="240" w:lineRule="auto"/>
        <w:jc w:val="both"/>
        <w:rPr>
          <w:rFonts w:ascii="Verdana" w:hAnsi="Verdana"/>
        </w:rPr>
      </w:pPr>
    </w:p>
    <w:p w14:paraId="66956DE3" w14:textId="2759D1CC" w:rsidR="00BA7424" w:rsidRPr="008E4F36" w:rsidRDefault="00347A27" w:rsidP="00347A27">
      <w:pPr>
        <w:spacing w:after="0" w:line="240" w:lineRule="auto"/>
        <w:jc w:val="both"/>
        <w:rPr>
          <w:rFonts w:ascii="Verdana" w:hAnsi="Verdana"/>
        </w:rPr>
      </w:pPr>
      <w:r w:rsidRPr="00347A27">
        <w:rPr>
          <w:rFonts w:ascii="Verdana" w:hAnsi="Verdana"/>
        </w:rPr>
        <w:t xml:space="preserve"> Bogotá D.C., 15 </w:t>
      </w:r>
      <w:r>
        <w:rPr>
          <w:rFonts w:ascii="Verdana" w:hAnsi="Verdana"/>
        </w:rPr>
        <w:t>m</w:t>
      </w:r>
      <w:r w:rsidRPr="00347A27">
        <w:rPr>
          <w:rFonts w:ascii="Verdana" w:hAnsi="Verdana"/>
        </w:rPr>
        <w:t>ayo 2026</w:t>
      </w:r>
    </w:p>
    <w:p w14:paraId="0DA59D5F" w14:textId="1143D726" w:rsidR="00BA7424" w:rsidRDefault="00093233" w:rsidP="00BA7424">
      <w:pPr>
        <w:spacing w:after="0" w:line="240" w:lineRule="auto"/>
        <w:jc w:val="both"/>
        <w:rPr>
          <w:rFonts w:ascii="Verdana" w:eastAsia="Calibri" w:hAnsi="Verdana" w:cs="Arial"/>
          <w:lang w:eastAsia="es-ES"/>
        </w:rPr>
      </w:pPr>
      <w:bookmarkStart w:id="0" w:name="_Hlk197462763"/>
      <w:bookmarkStart w:id="1" w:name="_Hlk197529996"/>
      <w:r w:rsidRPr="00093233">
        <w:rPr>
          <w:rFonts w:ascii="Verdana" w:eastAsia="Calibri" w:hAnsi="Verdana" w:cs="Arial"/>
          <w:noProof/>
          <w:lang w:eastAsia="es-ES"/>
        </w:rPr>
        <w:drawing>
          <wp:anchor distT="0" distB="0" distL="114300" distR="114300" simplePos="0" relativeHeight="251660288" behindDoc="1" locked="0" layoutInCell="1" allowOverlap="1" wp14:anchorId="66D7CA57" wp14:editId="6BEB6147">
            <wp:simplePos x="0" y="0"/>
            <wp:positionH relativeFrom="column">
              <wp:posOffset>3333555</wp:posOffset>
            </wp:positionH>
            <wp:positionV relativeFrom="paragraph">
              <wp:posOffset>139407</wp:posOffset>
            </wp:positionV>
            <wp:extent cx="2867425" cy="895475"/>
            <wp:effectExtent l="0" t="0" r="9525" b="0"/>
            <wp:wrapTight wrapText="bothSides">
              <wp:wrapPolygon edited="0">
                <wp:start x="0" y="0"/>
                <wp:lineTo x="0" y="21140"/>
                <wp:lineTo x="21528" y="21140"/>
                <wp:lineTo x="21528" y="0"/>
                <wp:lineTo x="0" y="0"/>
              </wp:wrapPolygon>
            </wp:wrapTight>
            <wp:docPr id="18115924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592499" name=""/>
                    <pic:cNvPicPr/>
                  </pic:nvPicPr>
                  <pic:blipFill>
                    <a:blip r:embed="rId10">
                      <a:extLst>
                        <a:ext uri="{28A0092B-C50C-407E-A947-70E740481C1C}">
                          <a14:useLocalDpi xmlns:a14="http://schemas.microsoft.com/office/drawing/2010/main" val="0"/>
                        </a:ext>
                      </a:extLst>
                    </a:blip>
                    <a:stretch>
                      <a:fillRect/>
                    </a:stretch>
                  </pic:blipFill>
                  <pic:spPr>
                    <a:xfrm>
                      <a:off x="0" y="0"/>
                      <a:ext cx="2867425" cy="895475"/>
                    </a:xfrm>
                    <a:prstGeom prst="rect">
                      <a:avLst/>
                    </a:prstGeom>
                  </pic:spPr>
                </pic:pic>
              </a:graphicData>
            </a:graphic>
          </wp:anchor>
        </w:drawing>
      </w:r>
    </w:p>
    <w:p w14:paraId="2592FB50" w14:textId="77777777" w:rsidR="00BA7424" w:rsidRDefault="00BA7424" w:rsidP="00BA7424">
      <w:pPr>
        <w:spacing w:after="0" w:line="240" w:lineRule="auto"/>
        <w:jc w:val="both"/>
        <w:rPr>
          <w:rFonts w:ascii="Verdana" w:eastAsia="Calibri" w:hAnsi="Verdana" w:cs="Arial"/>
          <w:lang w:eastAsia="es-ES"/>
        </w:rPr>
      </w:pPr>
    </w:p>
    <w:p w14:paraId="12BFEF93" w14:textId="77777777" w:rsidR="00BA7424" w:rsidRDefault="00BA7424" w:rsidP="00BA7424">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6856A720" w14:textId="77777777" w:rsidR="00BA7424" w:rsidRPr="00D37CB7" w:rsidRDefault="00BA7424" w:rsidP="00BA7424">
      <w:pPr>
        <w:spacing w:after="0" w:line="240" w:lineRule="auto"/>
        <w:jc w:val="both"/>
        <w:rPr>
          <w:rFonts w:ascii="Verdana" w:eastAsia="Calibri" w:hAnsi="Verdana" w:cs="Arial"/>
          <w:lang w:eastAsia="es-ES"/>
        </w:rPr>
      </w:pPr>
      <w:r w:rsidRPr="00D37CB7">
        <w:rPr>
          <w:rFonts w:ascii="Verdana" w:eastAsia="Calibri" w:hAnsi="Verdana" w:cs="Arial"/>
          <w:b/>
          <w:lang w:eastAsia="es-ES_tradnl"/>
        </w:rPr>
        <w:t>Eliana</w:t>
      </w:r>
      <w:r>
        <w:rPr>
          <w:rFonts w:ascii="Verdana" w:eastAsia="Calibri" w:hAnsi="Verdana" w:cs="Arial"/>
          <w:b/>
          <w:lang w:eastAsia="es-ES_tradnl"/>
        </w:rPr>
        <w:t xml:space="preserve"> </w:t>
      </w:r>
      <w:r w:rsidRPr="00D37CB7">
        <w:rPr>
          <w:rFonts w:ascii="Verdana" w:eastAsia="Calibri" w:hAnsi="Verdana" w:cs="Arial"/>
          <w:b/>
          <w:lang w:eastAsia="es-ES_tradnl"/>
        </w:rPr>
        <w:t>Restrepo Cañola</w:t>
      </w:r>
      <w:r>
        <w:rPr>
          <w:rFonts w:ascii="Verdana" w:eastAsia="Calibri" w:hAnsi="Verdana" w:cs="Arial"/>
          <w:b/>
          <w:lang w:eastAsia="es-ES_tradnl"/>
        </w:rPr>
        <w:t xml:space="preserve">  </w:t>
      </w:r>
    </w:p>
    <w:p w14:paraId="5F5676D3" w14:textId="77777777" w:rsidR="00BA7424" w:rsidRPr="0000540E" w:rsidRDefault="00BA7424" w:rsidP="00BA7424">
      <w:pPr>
        <w:spacing w:after="0" w:line="240" w:lineRule="auto"/>
        <w:jc w:val="both"/>
        <w:rPr>
          <w:rFonts w:ascii="Verdana" w:eastAsia="Calibri" w:hAnsi="Verdana" w:cs="Arial"/>
          <w:b/>
          <w:u w:val="single"/>
          <w:lang w:eastAsia="es-ES_tradnl"/>
        </w:rPr>
      </w:pPr>
      <w:hyperlink r:id="rId11" w:history="1">
        <w:r w:rsidRPr="0000540E">
          <w:rPr>
            <w:rStyle w:val="Hipervnculo"/>
            <w:rFonts w:ascii="Verdana" w:eastAsia="Calibri" w:hAnsi="Verdana" w:cs="Arial"/>
            <w:b/>
            <w:lang w:eastAsia="es-ES_tradnl"/>
          </w:rPr>
          <w:t>erestrepo@personeriamedellin.gov.co</w:t>
        </w:r>
      </w:hyperlink>
      <w:r w:rsidRPr="0000540E">
        <w:rPr>
          <w:rFonts w:ascii="Verdana" w:eastAsia="Calibri" w:hAnsi="Verdana" w:cs="Arial"/>
          <w:b/>
          <w:u w:val="single"/>
          <w:lang w:eastAsia="es-ES_tradnl"/>
        </w:rPr>
        <w:t xml:space="preserve"> </w:t>
      </w:r>
    </w:p>
    <w:p w14:paraId="131974B1" w14:textId="77777777" w:rsidR="00BA7424" w:rsidRPr="00B778E8" w:rsidRDefault="00BA7424" w:rsidP="00BA7424">
      <w:pPr>
        <w:spacing w:after="0" w:line="240" w:lineRule="auto"/>
        <w:jc w:val="both"/>
        <w:rPr>
          <w:rFonts w:ascii="Verdana" w:eastAsia="Calibri" w:hAnsi="Verdana" w:cs="Arial"/>
          <w:bCs/>
          <w:lang w:eastAsia="es-ES_tradnl"/>
        </w:rPr>
      </w:pPr>
      <w:r w:rsidRPr="00B778E8">
        <w:rPr>
          <w:rFonts w:ascii="Verdana" w:eastAsia="Calibri" w:hAnsi="Verdana" w:cs="Arial"/>
          <w:bCs/>
          <w:lang w:eastAsia="es-ES_tradnl"/>
        </w:rPr>
        <w:t xml:space="preserve">Medellín, Antioquia </w:t>
      </w:r>
    </w:p>
    <w:p w14:paraId="529E5D53" w14:textId="77777777" w:rsidR="00BA7424" w:rsidRPr="005B4C57" w:rsidRDefault="00BA7424" w:rsidP="00BA742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A7424" w:rsidRPr="002842E0" w14:paraId="67F4E2F2" w14:textId="77777777" w:rsidTr="006C13D1">
        <w:trPr>
          <w:trHeight w:val="162"/>
        </w:trPr>
        <w:tc>
          <w:tcPr>
            <w:tcW w:w="3119" w:type="dxa"/>
          </w:tcPr>
          <w:p w14:paraId="206F2DBE" w14:textId="77777777" w:rsidR="00BA7424" w:rsidRPr="005B4C57" w:rsidRDefault="00BA7424" w:rsidP="006C13D1">
            <w:pPr>
              <w:jc w:val="both"/>
              <w:rPr>
                <w:rFonts w:ascii="Verdana" w:eastAsia="Calibri" w:hAnsi="Verdana" w:cs="Arial"/>
                <w:b/>
                <w:bCs/>
                <w:color w:val="7030A0"/>
                <w:lang w:val="it-CH" w:eastAsia="es-ES_tradnl"/>
              </w:rPr>
            </w:pPr>
          </w:p>
        </w:tc>
        <w:tc>
          <w:tcPr>
            <w:tcW w:w="5670" w:type="dxa"/>
          </w:tcPr>
          <w:p w14:paraId="643A9DC6" w14:textId="77777777" w:rsidR="00BA7424" w:rsidRPr="00801462" w:rsidRDefault="00BA7424" w:rsidP="006C13D1">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550 de 2026</w:t>
            </w:r>
          </w:p>
          <w:p w14:paraId="37C3A745" w14:textId="77777777" w:rsidR="00BA7424" w:rsidRPr="00801462" w:rsidRDefault="00BA7424" w:rsidP="006C13D1">
            <w:pPr>
              <w:jc w:val="both"/>
              <w:rPr>
                <w:rFonts w:ascii="Verdana" w:eastAsia="Calibri" w:hAnsi="Verdana" w:cs="Arial"/>
                <w:b/>
                <w:bCs/>
                <w:color w:val="7030A0"/>
                <w:lang w:eastAsia="es-ES"/>
              </w:rPr>
            </w:pPr>
          </w:p>
        </w:tc>
      </w:tr>
      <w:tr w:rsidR="00BA7424" w:rsidRPr="002842E0" w14:paraId="23C543CB" w14:textId="77777777" w:rsidTr="006C13D1">
        <w:trPr>
          <w:trHeight w:val="884"/>
        </w:trPr>
        <w:tc>
          <w:tcPr>
            <w:tcW w:w="3119" w:type="dxa"/>
          </w:tcPr>
          <w:p w14:paraId="38B358CC" w14:textId="77777777" w:rsidR="00BA7424" w:rsidRPr="00801462" w:rsidRDefault="00BA7424" w:rsidP="006C13D1">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53625FC0" w14:textId="77777777" w:rsidR="00BA7424" w:rsidRPr="007D460E" w:rsidRDefault="00BA7424" w:rsidP="006C13D1">
            <w:pPr>
              <w:tabs>
                <w:tab w:val="left" w:pos="0"/>
              </w:tabs>
              <w:spacing w:after="160" w:line="276" w:lineRule="auto"/>
              <w:contextualSpacing/>
              <w:jc w:val="both"/>
              <w:rPr>
                <w:rFonts w:ascii="Verdana" w:hAnsi="Verdana" w:cs="Arial"/>
                <w:bCs/>
                <w:highlight w:val="yellow"/>
                <w:lang w:val="es-ES"/>
              </w:rPr>
            </w:pPr>
            <w:r>
              <w:rPr>
                <w:rFonts w:ascii="Verdana" w:eastAsia="Calibri" w:hAnsi="Verdana" w:cs="Arial"/>
              </w:rPr>
              <w:t xml:space="preserve">CONTRATO DE PRESTACIÓN DE SERVICIOS – Tipología – </w:t>
            </w:r>
            <w:r w:rsidRPr="007D460E">
              <w:rPr>
                <w:rFonts w:ascii="Verdana" w:eastAsia="Calibri" w:hAnsi="Verdana" w:cs="Arial"/>
              </w:rPr>
              <w:t>TARJETA PROFESIONAL – Exigibilidad – Suscripción – Contrato de prestación de servicios/ EXPERIENCIA PROFESIONAL – Régimen jurídico</w:t>
            </w:r>
            <w:r>
              <w:rPr>
                <w:rFonts w:ascii="Verdana" w:eastAsia="Calibri" w:hAnsi="Verdana" w:cs="Arial"/>
              </w:rPr>
              <w:t>-Acreditación</w:t>
            </w:r>
            <w:r w:rsidRPr="007D460E">
              <w:rPr>
                <w:rFonts w:ascii="Verdana" w:hAnsi="Verdana" w:cs="Arial"/>
                <w:bCs/>
                <w:lang w:val="es-ES"/>
              </w:rPr>
              <w:t>/EQUIVALENCIA</w:t>
            </w:r>
            <w:r>
              <w:rPr>
                <w:rFonts w:ascii="Verdana" w:hAnsi="Verdana" w:cs="Arial"/>
                <w:bCs/>
                <w:lang w:val="es-ES"/>
              </w:rPr>
              <w:t xml:space="preserve"> – C</w:t>
            </w:r>
            <w:r w:rsidRPr="007D460E">
              <w:rPr>
                <w:rFonts w:ascii="Verdana" w:hAnsi="Verdana" w:cs="Arial"/>
                <w:bCs/>
                <w:lang w:val="es-ES"/>
              </w:rPr>
              <w:t>ontrato de prestación de servicios</w:t>
            </w:r>
          </w:p>
          <w:p w14:paraId="00003A32" w14:textId="77777777" w:rsidR="00BA7424" w:rsidRPr="0000540E" w:rsidRDefault="00BA7424" w:rsidP="006C13D1">
            <w:pPr>
              <w:jc w:val="both"/>
              <w:rPr>
                <w:rFonts w:ascii="Verdana" w:eastAsia="Calibri" w:hAnsi="Verdana" w:cs="Arial"/>
                <w:lang w:val="es-ES" w:eastAsia="es-ES"/>
              </w:rPr>
            </w:pPr>
          </w:p>
        </w:tc>
      </w:tr>
      <w:tr w:rsidR="00BA7424" w:rsidRPr="002842E0" w14:paraId="1EB5366A" w14:textId="77777777" w:rsidTr="006C13D1">
        <w:tc>
          <w:tcPr>
            <w:tcW w:w="3119" w:type="dxa"/>
          </w:tcPr>
          <w:p w14:paraId="61C67BFE" w14:textId="77777777" w:rsidR="00BA7424" w:rsidRPr="00801462" w:rsidRDefault="00BA7424" w:rsidP="006C13D1">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68F9E36" w14:textId="77777777" w:rsidR="00BA7424" w:rsidRPr="00C84654" w:rsidRDefault="00BA7424" w:rsidP="006C13D1">
            <w:pPr>
              <w:jc w:val="both"/>
              <w:rPr>
                <w:rFonts w:ascii="Verdana" w:eastAsia="Calibri" w:hAnsi="Verdana" w:cs="Arial"/>
                <w:lang w:eastAsia="es-ES_tradnl"/>
              </w:rPr>
            </w:pPr>
            <w:r w:rsidRPr="008C54F3">
              <w:rPr>
                <w:rFonts w:ascii="Verdana" w:eastAsia="Calibri" w:hAnsi="Verdana" w:cs="Arial"/>
                <w:lang w:eastAsia="es-ES_tradnl"/>
              </w:rPr>
              <w:t xml:space="preserve">Respuesta a consulta con radicado </w:t>
            </w:r>
            <w:r w:rsidRPr="00A82FC4">
              <w:rPr>
                <w:rFonts w:ascii="Verdana" w:eastAsia="Calibri" w:hAnsi="Verdana" w:cs="Arial"/>
                <w:lang w:eastAsia="es-ES_tradnl"/>
              </w:rPr>
              <w:t>1_2026_04_06_00454</w:t>
            </w:r>
            <w:r>
              <w:rPr>
                <w:rFonts w:ascii="Verdana" w:eastAsia="Calibri" w:hAnsi="Verdana" w:cs="Arial"/>
                <w:lang w:eastAsia="es-ES_tradnl"/>
              </w:rPr>
              <w:t>5</w:t>
            </w:r>
          </w:p>
        </w:tc>
      </w:tr>
    </w:tbl>
    <w:p w14:paraId="28F54E36" w14:textId="77777777" w:rsidR="00BA7424" w:rsidRDefault="00BA7424" w:rsidP="00BA7424">
      <w:pPr>
        <w:spacing w:after="0" w:line="276" w:lineRule="auto"/>
        <w:jc w:val="both"/>
        <w:rPr>
          <w:rFonts w:ascii="Verdana" w:eastAsia="Calibri" w:hAnsi="Verdana" w:cs="Arial"/>
          <w:lang w:eastAsia="es-ES_tradnl"/>
        </w:rPr>
      </w:pPr>
    </w:p>
    <w:p w14:paraId="65C62EF4" w14:textId="77777777" w:rsidR="00BA7424" w:rsidRPr="008E4F36" w:rsidRDefault="00BA7424" w:rsidP="00BA7424">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 xml:space="preserve"> </w:t>
      </w:r>
      <w:r>
        <w:rPr>
          <w:rFonts w:ascii="Verdana" w:eastAsia="Calibri" w:hAnsi="Verdana" w:cs="Arial"/>
          <w:bCs/>
          <w:lang w:eastAsia="es-ES_tradnl"/>
        </w:rPr>
        <w:t>Eliana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7F042F76" w14:textId="77777777" w:rsidR="00BA7424" w:rsidRDefault="00BA7424" w:rsidP="00BA7424">
      <w:pPr>
        <w:tabs>
          <w:tab w:val="left" w:pos="3768"/>
        </w:tabs>
        <w:spacing w:after="0" w:line="240" w:lineRule="auto"/>
        <w:jc w:val="both"/>
        <w:rPr>
          <w:rFonts w:ascii="Verdana" w:eastAsia="Calibri" w:hAnsi="Verdana" w:cs="Arial"/>
          <w:lang w:eastAsia="es-ES"/>
        </w:rPr>
      </w:pPr>
    </w:p>
    <w:p w14:paraId="5E9DC67D" w14:textId="77777777" w:rsidR="00BA7424" w:rsidRPr="008E4F36" w:rsidRDefault="00BA7424" w:rsidP="00BA7424">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06</w:t>
      </w:r>
      <w:r w:rsidRPr="00AF6D58">
        <w:rPr>
          <w:rFonts w:ascii="Verdana" w:eastAsia="Calibri" w:hAnsi="Verdana" w:cs="Arial"/>
          <w:lang w:eastAsia="es-ES"/>
        </w:rPr>
        <w:t xml:space="preserve"> de</w:t>
      </w:r>
      <w:r>
        <w:rPr>
          <w:rFonts w:ascii="Verdana" w:eastAsia="Calibri" w:hAnsi="Verdana" w:cs="Arial"/>
          <w:lang w:eastAsia="es-ES"/>
        </w:rPr>
        <w:t xml:space="preserve"> abril</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65D496BB" w14:textId="77777777" w:rsidR="00BA7424" w:rsidRPr="008C54F3" w:rsidRDefault="00BA7424" w:rsidP="00BA7424">
      <w:pPr>
        <w:spacing w:line="240" w:lineRule="auto"/>
        <w:ind w:left="709" w:right="709"/>
        <w:jc w:val="both"/>
        <w:rPr>
          <w:rFonts w:ascii="Verdana" w:eastAsia="Calibri" w:hAnsi="Verdana" w:cs="Arial"/>
          <w:color w:val="000000" w:themeColor="text1"/>
          <w:sz w:val="20"/>
          <w:szCs w:val="20"/>
        </w:rPr>
      </w:pPr>
    </w:p>
    <w:p w14:paraId="27A75E4D" w14:textId="77777777" w:rsidR="00BA7424" w:rsidRPr="006F1483" w:rsidRDefault="00BA7424" w:rsidP="00BA7424">
      <w:pPr>
        <w:spacing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6F1483">
        <w:rPr>
          <w:rFonts w:ascii="Verdana" w:eastAsia="Calibri" w:hAnsi="Verdana" w:cs="Arial"/>
          <w:i/>
          <w:iCs/>
          <w:color w:val="000000" w:themeColor="text1"/>
          <w:sz w:val="20"/>
          <w:szCs w:val="20"/>
        </w:rPr>
        <w:t xml:space="preserve">De manera comedida, solicito se me informe si es procedente aplicar a contratistas de prestación de servicios profesionales y de apoyo a la gestión,  "equivalencias entre estudios y experiencia", establecidas directamente por la Entidad Publica y/o por los criterios establecidos en el </w:t>
      </w:r>
      <w:proofErr w:type="spellStart"/>
      <w:r w:rsidRPr="006F1483">
        <w:rPr>
          <w:rFonts w:ascii="Verdana" w:eastAsia="Calibri" w:hAnsi="Verdana" w:cs="Arial"/>
          <w:i/>
          <w:iCs/>
          <w:color w:val="000000" w:themeColor="text1"/>
          <w:sz w:val="20"/>
          <w:szCs w:val="20"/>
        </w:rPr>
        <w:t>articulo</w:t>
      </w:r>
      <w:proofErr w:type="spellEnd"/>
      <w:r w:rsidRPr="006F1483">
        <w:rPr>
          <w:rFonts w:ascii="Verdana" w:eastAsia="Calibri" w:hAnsi="Verdana" w:cs="Arial"/>
          <w:i/>
          <w:iCs/>
          <w:color w:val="000000" w:themeColor="text1"/>
          <w:sz w:val="20"/>
          <w:szCs w:val="20"/>
        </w:rPr>
        <w:t xml:space="preserve"> 2.2.2.5.1 del Decreto 1083 de 2015?;  esto es; se le puede aplicar por ejemplo a un contratista de prestación de servicios que requiere en el estudio previo una experiencia de tres años, una equivalencia con estudios de postgrado, cuando el contratista no cuenta con la experiencia?</w:t>
      </w:r>
    </w:p>
    <w:p w14:paraId="5AD965B2" w14:textId="77777777" w:rsidR="00BA7424" w:rsidRPr="00453E03" w:rsidRDefault="00BA7424" w:rsidP="00BA7424">
      <w:pPr>
        <w:spacing w:line="240" w:lineRule="auto"/>
        <w:ind w:left="709" w:right="709"/>
        <w:jc w:val="both"/>
        <w:rPr>
          <w:rFonts w:ascii="Verdana" w:eastAsia="Calibri" w:hAnsi="Verdana" w:cs="Arial"/>
          <w:i/>
          <w:iCs/>
          <w:color w:val="000000" w:themeColor="text1"/>
          <w:sz w:val="20"/>
          <w:szCs w:val="20"/>
        </w:rPr>
      </w:pPr>
      <w:r w:rsidRPr="006F1483">
        <w:rPr>
          <w:rFonts w:ascii="Verdana" w:eastAsia="Calibri" w:hAnsi="Verdana" w:cs="Arial"/>
          <w:i/>
          <w:iCs/>
          <w:color w:val="000000" w:themeColor="text1"/>
          <w:sz w:val="20"/>
          <w:szCs w:val="20"/>
        </w:rPr>
        <w:lastRenderedPageBreak/>
        <w:t xml:space="preserve">así mismo se solicita indicar si es posible a través de tablas de honorarios establecidas en la Entidad Publica se aplique las mencionadas </w:t>
      </w:r>
      <w:proofErr w:type="gramStart"/>
      <w:r w:rsidRPr="006F1483">
        <w:rPr>
          <w:rFonts w:ascii="Verdana" w:eastAsia="Calibri" w:hAnsi="Verdana" w:cs="Arial"/>
          <w:i/>
          <w:iCs/>
          <w:color w:val="000000" w:themeColor="text1"/>
          <w:sz w:val="20"/>
          <w:szCs w:val="20"/>
        </w:rPr>
        <w:t>equivalencias ?</w:t>
      </w:r>
      <w:r w:rsidRPr="008C54F3">
        <w:rPr>
          <w:rFonts w:ascii="Verdana" w:eastAsia="Calibri" w:hAnsi="Verdana" w:cs="Arial"/>
          <w:i/>
          <w:iCs/>
          <w:color w:val="000000" w:themeColor="text1"/>
          <w:sz w:val="20"/>
          <w:szCs w:val="20"/>
        </w:rPr>
        <w:t>.”</w:t>
      </w:r>
      <w:r>
        <w:rPr>
          <w:rFonts w:ascii="Verdana" w:eastAsia="Calibri" w:hAnsi="Verdana" w:cs="Arial"/>
          <w:i/>
          <w:iCs/>
          <w:color w:val="000000" w:themeColor="text1"/>
          <w:sz w:val="20"/>
          <w:szCs w:val="20"/>
        </w:rPr>
        <w:t>(</w:t>
      </w:r>
      <w:proofErr w:type="gramEnd"/>
      <w:r>
        <w:rPr>
          <w:rFonts w:ascii="Verdana" w:eastAsia="Calibri" w:hAnsi="Verdana" w:cs="Arial"/>
          <w:i/>
          <w:iCs/>
          <w:color w:val="000000" w:themeColor="text1"/>
          <w:sz w:val="20"/>
          <w:szCs w:val="20"/>
        </w:rPr>
        <w:t>SIC)</w:t>
      </w:r>
    </w:p>
    <w:p w14:paraId="611F4091" w14:textId="77777777" w:rsidR="00BA7424" w:rsidRDefault="00BA7424" w:rsidP="00BA742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6FCF1E4" w14:textId="77777777" w:rsidR="00BA7424" w:rsidRPr="00054383" w:rsidRDefault="00BA7424" w:rsidP="00BA742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30D86AEE" w14:textId="77777777" w:rsidR="00BA7424" w:rsidRPr="008E4F36" w:rsidRDefault="00BA7424" w:rsidP="00BA7424">
      <w:pPr>
        <w:spacing w:after="0"/>
        <w:ind w:firstLine="709"/>
        <w:jc w:val="both"/>
        <w:rPr>
          <w:rFonts w:ascii="Verdana" w:eastAsia="Calibri" w:hAnsi="Verdana" w:cs="Arial"/>
          <w:color w:val="000000"/>
          <w:lang w:eastAsia="es-ES"/>
        </w:rPr>
      </w:pPr>
    </w:p>
    <w:p w14:paraId="798B01A7" w14:textId="77777777" w:rsidR="00BA7424" w:rsidRDefault="00BA7424" w:rsidP="00BA7424">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4CB51A9" w14:textId="77777777" w:rsidR="00BA7424" w:rsidRDefault="00BA7424" w:rsidP="00BA7424">
      <w:pPr>
        <w:spacing w:after="0" w:line="276" w:lineRule="auto"/>
        <w:jc w:val="both"/>
        <w:rPr>
          <w:rFonts w:ascii="Verdana" w:eastAsia="Calibri" w:hAnsi="Verdana" w:cs="Arial"/>
          <w:color w:val="000000"/>
          <w:highlight w:val="yellow"/>
          <w:lang w:eastAsia="es-ES"/>
        </w:rPr>
      </w:pPr>
    </w:p>
    <w:p w14:paraId="6708B31C" w14:textId="77777777" w:rsidR="00BA7424" w:rsidRPr="005A3B40" w:rsidRDefault="00BA7424" w:rsidP="00BA7424">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w:t>
      </w:r>
      <w:r w:rsidRPr="008649A1">
        <w:t xml:space="preserve"> </w:t>
      </w:r>
      <w:r w:rsidRPr="008649A1">
        <w:rPr>
          <w:rFonts w:ascii="Verdana" w:eastAsia="Calibri" w:hAnsi="Verdana" w:cs="Arial"/>
          <w:color w:val="000000"/>
          <w:lang w:eastAsia="es-ES"/>
        </w:rPr>
        <w:t>¿Es procedente aplicar equivalencias entre estudios y experiencia a los contratistas de prestación de servicios profesionales y de apoyo a la gestión, tanto para acreditar requisitos de idoneidad como para determinar honorarios, conforme a las disposiciones internas de la entidad y al Decreto 1083 de 2015?</w:t>
      </w:r>
    </w:p>
    <w:p w14:paraId="53CC1688" w14:textId="77777777" w:rsidR="00BA7424" w:rsidRPr="00BF422F" w:rsidRDefault="00BA7424" w:rsidP="00BA7424">
      <w:pPr>
        <w:spacing w:after="0" w:line="276" w:lineRule="auto"/>
        <w:jc w:val="both"/>
        <w:rPr>
          <w:rFonts w:ascii="Verdana" w:eastAsia="Calibri" w:hAnsi="Verdana" w:cs="Times New Roman"/>
          <w:i/>
          <w:iCs/>
          <w:lang w:val="es-ES"/>
        </w:rPr>
      </w:pPr>
    </w:p>
    <w:p w14:paraId="578945AF" w14:textId="77777777" w:rsidR="00BA7424" w:rsidRPr="008E4F36" w:rsidRDefault="00BA7424" w:rsidP="00BA7424">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8432217" w14:textId="77777777" w:rsidR="00BA7424" w:rsidRPr="008E4F36" w:rsidRDefault="00BA7424" w:rsidP="00BA742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A7424" w:rsidRPr="008E4F36" w14:paraId="17C8EFA3" w14:textId="77777777" w:rsidTr="006C13D1">
        <w:tc>
          <w:tcPr>
            <w:tcW w:w="8828" w:type="dxa"/>
          </w:tcPr>
          <w:p w14:paraId="527FAC30" w14:textId="77777777" w:rsidR="00BA7424" w:rsidRPr="00135C05" w:rsidRDefault="00BA7424" w:rsidP="006C13D1">
            <w:p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L</w:t>
            </w:r>
            <w:r w:rsidRPr="00135C05">
              <w:rPr>
                <w:rFonts w:ascii="Verdana" w:eastAsia="Calibri" w:hAnsi="Verdana" w:cs="Arial"/>
                <w:szCs w:val="24"/>
                <w:lang w:eastAsia="es-ES_tradnl"/>
              </w:rPr>
              <w:t xml:space="preserve">as entidades estatales </w:t>
            </w:r>
            <w:r>
              <w:rPr>
                <w:rFonts w:ascii="Verdana" w:eastAsia="Calibri" w:hAnsi="Verdana" w:cs="Arial"/>
                <w:szCs w:val="24"/>
                <w:lang w:eastAsia="es-ES_tradnl"/>
              </w:rPr>
              <w:t>pueden aplicar</w:t>
            </w:r>
            <w:r w:rsidRPr="00135C05">
              <w:rPr>
                <w:rFonts w:ascii="Verdana" w:eastAsia="Calibri" w:hAnsi="Verdana" w:cs="Arial"/>
                <w:szCs w:val="24"/>
                <w:lang w:eastAsia="es-ES_tradnl"/>
              </w:rPr>
              <w:t xml:space="preserve"> equivalencias entre estudios y experiencia en los contratos de prestación de servicios profesionales y de apoyo a la gestión, tanto para acreditar requisitos de idoneidad como para </w:t>
            </w:r>
            <w:r w:rsidRPr="00135C05">
              <w:rPr>
                <w:rFonts w:ascii="Verdana" w:eastAsia="Calibri" w:hAnsi="Verdana" w:cs="Arial"/>
                <w:szCs w:val="24"/>
                <w:lang w:eastAsia="es-ES_tradnl"/>
              </w:rPr>
              <w:lastRenderedPageBreak/>
              <w:t>determinar honorarios, siempre que dichas equivalencias se encuentren previamente definidas y justificadas en los documentos del proceso, en los estudios previos, en el análisis del sector o en los actos administrativos internos mediante los cuales la entidad adopta tablas de honorarios y perfiles contractuales, en observancia de los principios de planeación, transparencia, economía, proporcionalidad y selección objetiva previstos en la Ley 80 de 1993, la Ley 1150 de 2007 y el Decreto 1082 de 2015.</w:t>
            </w:r>
          </w:p>
          <w:p w14:paraId="06FD937E" w14:textId="77777777" w:rsidR="00BA7424" w:rsidRPr="00135C05" w:rsidRDefault="00BA7424" w:rsidP="006C13D1">
            <w:pPr>
              <w:spacing w:after="120" w:line="276" w:lineRule="auto"/>
              <w:ind w:firstLine="709"/>
              <w:jc w:val="both"/>
              <w:rPr>
                <w:rFonts w:ascii="Verdana" w:eastAsia="Calibri" w:hAnsi="Verdana" w:cs="Arial"/>
                <w:szCs w:val="24"/>
                <w:lang w:eastAsia="es-ES_tradnl"/>
              </w:rPr>
            </w:pPr>
            <w:r w:rsidRPr="00135C05">
              <w:rPr>
                <w:rFonts w:ascii="Verdana" w:eastAsia="Calibri" w:hAnsi="Verdana" w:cs="Arial"/>
                <w:szCs w:val="24"/>
                <w:lang w:eastAsia="es-ES_tradnl"/>
              </w:rPr>
              <w:t>En efecto, el régimen de contratación estatal reconoce la autonomía de las entidades públicas para estructurar sus procesos contractuales y definir los requisitos habilitantes y mecanismos de verificación de idoneidad, de conformidad con la naturaleza del objeto contractual, el análisis del sector económico y las necesidades del servicio. Así, el artículo 5 de la Ley 1150 de 2007 faculta a las entidades para exigir requisitos de experiencia, capacidad e idoneidad técnica o profesional, mientras que el artículo 2.2.1.1.1.6.2 del Decreto 1082 de 2015 exige que dichos requisitos sean razonables, proporcionales y acordes con el riesgo y complejidad del proceso de contratación.</w:t>
            </w:r>
          </w:p>
          <w:p w14:paraId="49100B62" w14:textId="77777777" w:rsidR="00BA7424" w:rsidRPr="00135C05" w:rsidRDefault="00BA7424" w:rsidP="006C13D1">
            <w:pPr>
              <w:spacing w:after="120" w:line="276" w:lineRule="auto"/>
              <w:ind w:firstLine="709"/>
              <w:jc w:val="both"/>
              <w:rPr>
                <w:rFonts w:ascii="Verdana" w:eastAsia="Calibri" w:hAnsi="Verdana" w:cs="Arial"/>
                <w:szCs w:val="24"/>
                <w:lang w:eastAsia="es-ES_tradnl"/>
              </w:rPr>
            </w:pPr>
            <w:r w:rsidRPr="00135C05">
              <w:rPr>
                <w:rFonts w:ascii="Verdana" w:eastAsia="Calibri" w:hAnsi="Verdana" w:cs="Arial"/>
                <w:szCs w:val="24"/>
                <w:lang w:eastAsia="es-ES_tradnl"/>
              </w:rPr>
              <w:t>En ese contexto, las entidades pueden establecer equivalencias entre formación académica y experiencia profesional como mecanismo para verificar el cumplimiento del perfil requerido o para fijar escalas de honorarios, particularmente en los contratos de prestación de servicios profesionales y de apoyo a la gestión, siempre que tales criterios respondan a necesidades objetivas y no constituyan restricciones injustificadas a la participación.</w:t>
            </w:r>
          </w:p>
          <w:p w14:paraId="07919ACD" w14:textId="77777777" w:rsidR="00BA7424" w:rsidRPr="00135C05" w:rsidRDefault="00BA7424" w:rsidP="006C13D1">
            <w:pPr>
              <w:spacing w:after="120" w:line="276" w:lineRule="auto"/>
              <w:ind w:firstLine="709"/>
              <w:jc w:val="both"/>
              <w:rPr>
                <w:rFonts w:ascii="Verdana" w:eastAsia="Calibri" w:hAnsi="Verdana" w:cs="Arial"/>
                <w:szCs w:val="24"/>
                <w:lang w:eastAsia="es-ES_tradnl"/>
              </w:rPr>
            </w:pPr>
            <w:r w:rsidRPr="00135C05">
              <w:rPr>
                <w:rFonts w:ascii="Verdana" w:eastAsia="Calibri" w:hAnsi="Verdana" w:cs="Arial"/>
                <w:szCs w:val="24"/>
                <w:lang w:eastAsia="es-ES_tradnl"/>
              </w:rPr>
              <w:t>No obstante, las equivalencias previstas en el Decreto 1083 de 2015 no son de obligatoria aplicación para los contratistas de prestación de servicios, toda vez que dicho decreto regula materias propias del empleo público, las funciones y requisitos de los cargos públicos y la administración de personal al servicio del Estado. En consecuencia, dado que los contratistas no tienen la calidad de servidores públicos sino de particulares vinculados mediante una relación contractual autónoma e independiente, las reglas del Decreto 1083 de 2015 no se aplican de manera automática a este tipo de contratación.</w:t>
            </w:r>
          </w:p>
          <w:p w14:paraId="77EC6909" w14:textId="77777777" w:rsidR="00BA7424" w:rsidRPr="00135C05" w:rsidRDefault="00BA7424" w:rsidP="006C13D1">
            <w:pPr>
              <w:spacing w:after="120" w:line="276" w:lineRule="auto"/>
              <w:ind w:firstLine="709"/>
              <w:jc w:val="both"/>
              <w:rPr>
                <w:rFonts w:ascii="Verdana" w:eastAsia="Calibri" w:hAnsi="Verdana" w:cs="Arial"/>
                <w:szCs w:val="24"/>
                <w:lang w:eastAsia="es-ES_tradnl"/>
              </w:rPr>
            </w:pPr>
            <w:r w:rsidRPr="00135C05">
              <w:rPr>
                <w:rFonts w:ascii="Verdana" w:eastAsia="Calibri" w:hAnsi="Verdana" w:cs="Arial"/>
                <w:szCs w:val="24"/>
                <w:lang w:eastAsia="es-ES_tradnl"/>
              </w:rPr>
              <w:t xml:space="preserve">Sin perjuicio de ello, las entidades estatales pueden adoptar dichas equivalencias como criterio orientador o incorporarlas expresamente en sus disposiciones internas, tablas de honorarios o documentos del proceso, </w:t>
            </w:r>
            <w:r w:rsidRPr="00135C05">
              <w:rPr>
                <w:rFonts w:ascii="Verdana" w:eastAsia="Calibri" w:hAnsi="Verdana" w:cs="Arial"/>
                <w:szCs w:val="24"/>
                <w:lang w:eastAsia="es-ES_tradnl"/>
              </w:rPr>
              <w:lastRenderedPageBreak/>
              <w:t>siempre que exista sustento técnico y jurídico suficiente en la etapa de planeación contractual y se garantice el cumplimiento de los principios de igualdad, transparencia, libre concurrencia y selección objetiva.</w:t>
            </w:r>
          </w:p>
          <w:p w14:paraId="438671CF" w14:textId="77777777" w:rsidR="00BA7424" w:rsidRPr="00135C05" w:rsidRDefault="00BA7424" w:rsidP="006C13D1">
            <w:pPr>
              <w:spacing w:after="120" w:line="276" w:lineRule="auto"/>
              <w:ind w:firstLine="709"/>
              <w:jc w:val="both"/>
              <w:rPr>
                <w:rFonts w:ascii="Verdana" w:eastAsia="Calibri" w:hAnsi="Verdana" w:cs="Arial"/>
                <w:szCs w:val="24"/>
                <w:lang w:eastAsia="es-ES_tradnl"/>
              </w:rPr>
            </w:pPr>
            <w:r w:rsidRPr="00135C05">
              <w:rPr>
                <w:rFonts w:ascii="Verdana" w:eastAsia="Calibri" w:hAnsi="Verdana" w:cs="Arial"/>
                <w:szCs w:val="24"/>
                <w:lang w:eastAsia="es-ES_tradnl"/>
              </w:rPr>
              <w:t>En consecuencia, la aplicación de equivalencias entre estudios y experiencia en los contratos de prestación de servicios constituye una facultad discrecional de las entidades estatales, la cual debe ejercerse de manera motivada, razonable y proporcional, atendiendo las necesidades del servicio, las condiciones del mercado y la naturaleza del objeto contractual.</w:t>
            </w:r>
          </w:p>
        </w:tc>
      </w:tr>
    </w:tbl>
    <w:p w14:paraId="129E071A" w14:textId="77777777" w:rsidR="00BA7424" w:rsidRDefault="00BA7424" w:rsidP="00BA7424">
      <w:pPr>
        <w:tabs>
          <w:tab w:val="left" w:pos="142"/>
          <w:tab w:val="left" w:pos="284"/>
        </w:tabs>
        <w:spacing w:after="0" w:line="276" w:lineRule="auto"/>
        <w:jc w:val="both"/>
        <w:rPr>
          <w:rFonts w:ascii="Verdana" w:eastAsia="Century Gothic" w:hAnsi="Verdana" w:cs="Century Gothic"/>
          <w:b/>
          <w:bCs/>
        </w:rPr>
      </w:pPr>
    </w:p>
    <w:p w14:paraId="53831D7A" w14:textId="77777777" w:rsidR="00BA7424" w:rsidRPr="008E4F36" w:rsidRDefault="00BA7424" w:rsidP="00BA742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80EB187" w14:textId="77777777" w:rsidR="00BA7424" w:rsidRDefault="00BA7424" w:rsidP="00BA7424">
      <w:pPr>
        <w:pStyle w:val="Prrafodelista"/>
        <w:tabs>
          <w:tab w:val="left" w:pos="142"/>
          <w:tab w:val="left" w:pos="284"/>
        </w:tabs>
        <w:spacing w:after="0" w:line="276" w:lineRule="auto"/>
        <w:ind w:left="0"/>
        <w:contextualSpacing w:val="0"/>
        <w:jc w:val="both"/>
        <w:rPr>
          <w:rFonts w:ascii="Verdana" w:eastAsia="Calibri" w:hAnsi="Verdana" w:cs="Arial"/>
        </w:rPr>
      </w:pPr>
    </w:p>
    <w:p w14:paraId="16BD6A94" w14:textId="77777777" w:rsidR="00BA7424" w:rsidRDefault="00BA7424" w:rsidP="00BA742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BAE5DC5" w14:textId="77777777" w:rsidR="00BA7424" w:rsidRDefault="00BA7424" w:rsidP="00BA7424">
      <w:pPr>
        <w:spacing w:after="120" w:line="276" w:lineRule="auto"/>
        <w:jc w:val="both"/>
        <w:rPr>
          <w:rFonts w:ascii="Verdana" w:eastAsia="Calibri" w:hAnsi="Verdana" w:cs="Arial"/>
          <w:color w:val="000000"/>
          <w:shd w:val="clear" w:color="auto" w:fill="FFFFFF"/>
          <w:lang w:val="es-ES"/>
        </w:rPr>
      </w:pPr>
    </w:p>
    <w:p w14:paraId="6B503CA2" w14:textId="77777777" w:rsidR="00BA7424" w:rsidRPr="007D460E" w:rsidRDefault="00BA7424" w:rsidP="00BA7424">
      <w:pPr>
        <w:spacing w:after="0" w:line="276" w:lineRule="auto"/>
        <w:jc w:val="both"/>
        <w:rPr>
          <w:rFonts w:ascii="Verdana" w:eastAsia="Calibri" w:hAnsi="Verdana" w:cs="Arial"/>
          <w:color w:val="000000"/>
        </w:rPr>
      </w:pPr>
      <w:bookmarkStart w:id="4" w:name="_Hlk204856061"/>
      <w:bookmarkStart w:id="5" w:name="_Hlk78820161"/>
      <w:bookmarkStart w:id="6" w:name="_Hlk204854194"/>
      <w:r w:rsidRPr="007D460E">
        <w:rPr>
          <w:rFonts w:ascii="Verdana" w:eastAsia="Calibri" w:hAnsi="Verdana" w:cs="Arial"/>
          <w:color w:val="000000" w:themeColor="text1"/>
        </w:rPr>
        <w:t xml:space="preserve">Para iniciar, se debe acudir a la tipología del contrato de prestación de servicios, el cual, es uno de los tipos contractuales consagrados en el Estatuto General de Contratación de la Administración Pública-EGCAP-, que pueden celebrar las entidades estatales. Se trata de un contrato típico, ya que se encuentra definido en la ley. Concretamente, el numeral 3 del artículo 32, de la </w:t>
      </w:r>
      <w:bookmarkStart w:id="7" w:name="_Hlk176438300"/>
      <w:r w:rsidRPr="007D460E">
        <w:rPr>
          <w:rFonts w:ascii="Verdana" w:eastAsia="Calibri" w:hAnsi="Verdana" w:cs="Arial"/>
          <w:color w:val="000000" w:themeColor="text1"/>
        </w:rPr>
        <w:t>Ley 80 de 1993</w:t>
      </w:r>
      <w:bookmarkEnd w:id="7"/>
      <w:r w:rsidRPr="007D460E">
        <w:rPr>
          <w:rFonts w:ascii="Verdana" w:eastAsia="Calibri" w:hAnsi="Verdana" w:cs="Arial"/>
          <w:color w:val="000000" w:themeColor="text1"/>
        </w:rPr>
        <w:t>, el cual establece:</w:t>
      </w:r>
    </w:p>
    <w:p w14:paraId="00330C9D" w14:textId="77777777" w:rsidR="00BA7424" w:rsidRPr="007D460E" w:rsidRDefault="00BA7424" w:rsidP="00BA7424">
      <w:pPr>
        <w:spacing w:after="0" w:line="240" w:lineRule="auto"/>
        <w:jc w:val="both"/>
        <w:rPr>
          <w:rFonts w:ascii="Verdana" w:eastAsia="Calibri" w:hAnsi="Verdana" w:cs="Arial"/>
          <w:color w:val="000000"/>
          <w:lang w:val="es-ES_tradnl"/>
        </w:rPr>
      </w:pPr>
    </w:p>
    <w:p w14:paraId="41779CF4" w14:textId="77777777" w:rsidR="00BA7424" w:rsidRPr="007D460E" w:rsidRDefault="00BA7424" w:rsidP="00BA7424">
      <w:pPr>
        <w:spacing w:after="0" w:line="240" w:lineRule="auto"/>
        <w:ind w:left="709" w:right="709"/>
        <w:jc w:val="both"/>
        <w:rPr>
          <w:rFonts w:ascii="Verdana" w:eastAsia="Calibri" w:hAnsi="Verdana" w:cs="Arial"/>
          <w:color w:val="000000"/>
          <w:sz w:val="20"/>
          <w:szCs w:val="21"/>
          <w:lang w:val="es-ES_tradnl"/>
        </w:rPr>
      </w:pPr>
      <w:r w:rsidRPr="007D460E">
        <w:rPr>
          <w:rFonts w:ascii="Verdana" w:eastAsia="Calibri" w:hAnsi="Verdana" w:cs="Arial"/>
          <w:color w:val="000000"/>
          <w:sz w:val="21"/>
          <w:szCs w:val="21"/>
          <w:lang w:val="es-ES_tradnl"/>
        </w:rPr>
        <w:t>“</w:t>
      </w:r>
      <w:r w:rsidRPr="007D460E">
        <w:rPr>
          <w:rFonts w:ascii="Verdana" w:eastAsia="Calibri" w:hAnsi="Verdana" w:cs="Arial"/>
          <w:color w:val="000000"/>
          <w:sz w:val="20"/>
          <w:szCs w:val="21"/>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4CD2625" w14:textId="77777777" w:rsidR="00BA7424" w:rsidRPr="007D460E" w:rsidRDefault="00BA7424" w:rsidP="00BA7424">
      <w:pPr>
        <w:spacing w:after="0" w:line="240" w:lineRule="auto"/>
        <w:ind w:left="709" w:right="709"/>
        <w:jc w:val="both"/>
        <w:rPr>
          <w:rFonts w:ascii="Verdana" w:eastAsia="Calibri" w:hAnsi="Verdana" w:cs="Arial"/>
          <w:color w:val="000000"/>
          <w:sz w:val="20"/>
          <w:szCs w:val="21"/>
          <w:lang w:val="es-ES_tradnl"/>
        </w:rPr>
      </w:pPr>
    </w:p>
    <w:p w14:paraId="6D3D11B6" w14:textId="77777777" w:rsidR="00BA7424" w:rsidRPr="007D460E" w:rsidRDefault="00BA7424" w:rsidP="00BA7424">
      <w:pPr>
        <w:spacing w:after="0" w:line="240" w:lineRule="auto"/>
        <w:ind w:left="709" w:right="709"/>
        <w:jc w:val="both"/>
        <w:rPr>
          <w:rFonts w:ascii="Verdana" w:eastAsia="Calibri" w:hAnsi="Verdana" w:cs="Arial"/>
          <w:color w:val="000000"/>
          <w:sz w:val="21"/>
          <w:szCs w:val="21"/>
          <w:lang w:val="es-ES_tradnl"/>
        </w:rPr>
      </w:pPr>
      <w:r w:rsidRPr="007D460E">
        <w:rPr>
          <w:rFonts w:ascii="Verdana" w:eastAsia="Calibri" w:hAnsi="Verdana" w:cs="Arial"/>
          <w:color w:val="000000"/>
          <w:sz w:val="20"/>
          <w:szCs w:val="21"/>
          <w:lang w:val="es-ES_tradnl"/>
        </w:rPr>
        <w:t>En ningún caso estos contratos generan relación laboral ni prestaciones sociales y se celebrarán por el término estrictamente indispensable</w:t>
      </w:r>
      <w:r w:rsidRPr="007D460E">
        <w:rPr>
          <w:rFonts w:ascii="Verdana" w:eastAsia="Calibri" w:hAnsi="Verdana" w:cs="Arial"/>
          <w:color w:val="000000"/>
          <w:sz w:val="21"/>
          <w:szCs w:val="21"/>
          <w:lang w:val="es-ES_tradnl"/>
        </w:rPr>
        <w:t>”.</w:t>
      </w:r>
    </w:p>
    <w:p w14:paraId="5ADD5CC4" w14:textId="77777777" w:rsidR="00BA7424" w:rsidRPr="007D460E" w:rsidRDefault="00BA7424" w:rsidP="00BA7424">
      <w:pPr>
        <w:tabs>
          <w:tab w:val="left" w:pos="284"/>
        </w:tabs>
        <w:spacing w:after="0" w:line="240" w:lineRule="auto"/>
        <w:contextualSpacing/>
        <w:jc w:val="both"/>
        <w:rPr>
          <w:rFonts w:ascii="Verdana" w:eastAsia="Calibri" w:hAnsi="Verdana" w:cs="Arial"/>
          <w:b/>
          <w:color w:val="000000"/>
          <w:lang w:val="es-ES_tradnl"/>
        </w:rPr>
      </w:pPr>
    </w:p>
    <w:p w14:paraId="793CA989" w14:textId="77777777" w:rsidR="00BA7424" w:rsidRPr="007D460E" w:rsidRDefault="00BA7424" w:rsidP="00BA7424">
      <w:pPr>
        <w:spacing w:after="0" w:line="276" w:lineRule="auto"/>
        <w:ind w:firstLine="708"/>
        <w:jc w:val="both"/>
        <w:rPr>
          <w:rFonts w:ascii="Verdana" w:eastAsia="Calibri" w:hAnsi="Verdana" w:cs="Arial"/>
          <w:color w:val="000000"/>
        </w:rPr>
      </w:pPr>
      <w:r w:rsidRPr="007D460E">
        <w:rPr>
          <w:rFonts w:ascii="Verdana" w:eastAsia="Calibri" w:hAnsi="Verdana" w:cs="Arial"/>
          <w:color w:val="000000" w:themeColor="text1"/>
        </w:rPr>
        <w:t xml:space="preserve">La celebración de dicho contrato se debe efectuar a través de la modalidad de la contratación directa. Así lo prevé el literal h numeral 4 del artículo 2, de </w:t>
      </w:r>
      <w:bookmarkStart w:id="8" w:name="_Hlk176438313"/>
      <w:r w:rsidRPr="007D460E">
        <w:rPr>
          <w:rFonts w:ascii="Verdana" w:eastAsia="Calibri" w:hAnsi="Verdana" w:cs="Arial"/>
          <w:color w:val="000000" w:themeColor="text1"/>
        </w:rPr>
        <w:t>la Ley 1150 de 2007</w:t>
      </w:r>
      <w:bookmarkEnd w:id="8"/>
      <w:r w:rsidRPr="007D460E">
        <w:rPr>
          <w:rFonts w:ascii="Verdana" w:eastAsia="Calibri" w:hAnsi="Verdana" w:cs="Arial"/>
          <w:color w:val="000000" w:themeColor="text1"/>
        </w:rPr>
        <w:t>, que dispone:</w:t>
      </w:r>
    </w:p>
    <w:p w14:paraId="2740E0E9" w14:textId="77777777" w:rsidR="00BA7424" w:rsidRPr="007D460E" w:rsidRDefault="00BA7424" w:rsidP="00BA7424">
      <w:pPr>
        <w:spacing w:after="0" w:line="276" w:lineRule="auto"/>
        <w:ind w:firstLine="709"/>
        <w:jc w:val="both"/>
        <w:rPr>
          <w:rFonts w:ascii="Verdana" w:eastAsia="Calibri" w:hAnsi="Verdana" w:cs="Arial"/>
          <w:color w:val="000000"/>
          <w:lang w:val="es-ES_tradnl"/>
        </w:rPr>
      </w:pPr>
    </w:p>
    <w:p w14:paraId="7F011319" w14:textId="77777777" w:rsidR="00BA7424" w:rsidRPr="007D460E" w:rsidRDefault="00BA7424" w:rsidP="00BA7424">
      <w:pPr>
        <w:spacing w:after="0" w:line="240" w:lineRule="auto"/>
        <w:ind w:left="709" w:right="709"/>
        <w:jc w:val="both"/>
        <w:rPr>
          <w:rFonts w:ascii="Verdana" w:eastAsia="Calibri" w:hAnsi="Verdana" w:cs="Arial"/>
          <w:i/>
          <w:iCs/>
          <w:color w:val="000000"/>
          <w:sz w:val="20"/>
          <w:szCs w:val="20"/>
          <w:lang w:val="es-ES_tradnl"/>
        </w:rPr>
      </w:pPr>
      <w:r w:rsidRPr="007D460E">
        <w:rPr>
          <w:rFonts w:ascii="Verdana" w:eastAsia="Calibri" w:hAnsi="Verdana" w:cs="Arial"/>
          <w:i/>
          <w:iCs/>
          <w:color w:val="000000"/>
          <w:sz w:val="20"/>
          <w:szCs w:val="20"/>
          <w:lang w:val="es-ES_tradnl"/>
        </w:rPr>
        <w:t xml:space="preserve">“[…] </w:t>
      </w:r>
      <w:r w:rsidRPr="007D460E">
        <w:rPr>
          <w:rFonts w:ascii="Verdana" w:eastAsia="Calibri" w:hAnsi="Verdana" w:cs="Arial"/>
          <w:i/>
          <w:iCs/>
          <w:color w:val="000000" w:themeColor="text1"/>
          <w:sz w:val="20"/>
          <w:szCs w:val="20"/>
          <w:lang w:val="es-ES"/>
        </w:rPr>
        <w:t>Contratación directa. La modalidad de selección de contratación directa solamente procederá en los siguientes casos:</w:t>
      </w:r>
    </w:p>
    <w:p w14:paraId="674698B8" w14:textId="77777777" w:rsidR="00BA7424" w:rsidRPr="007D460E" w:rsidRDefault="00BA7424" w:rsidP="00BA7424">
      <w:pPr>
        <w:spacing w:after="0" w:line="240" w:lineRule="auto"/>
        <w:ind w:left="709" w:right="709"/>
        <w:jc w:val="both"/>
        <w:rPr>
          <w:rFonts w:ascii="Verdana" w:eastAsia="Calibri" w:hAnsi="Verdana" w:cs="Arial"/>
          <w:i/>
          <w:iCs/>
          <w:color w:val="000000"/>
          <w:sz w:val="20"/>
          <w:szCs w:val="20"/>
          <w:lang w:val="es-ES_tradnl"/>
        </w:rPr>
      </w:pPr>
    </w:p>
    <w:p w14:paraId="1A5DC7C0" w14:textId="77777777" w:rsidR="00BA7424" w:rsidRPr="007D460E" w:rsidRDefault="00BA7424" w:rsidP="00BA7424">
      <w:pPr>
        <w:spacing w:after="0" w:line="240" w:lineRule="auto"/>
        <w:ind w:left="709" w:right="709"/>
        <w:jc w:val="both"/>
        <w:rPr>
          <w:rFonts w:ascii="Verdana" w:eastAsia="Calibri" w:hAnsi="Verdana" w:cs="Arial"/>
          <w:i/>
          <w:iCs/>
          <w:color w:val="000000"/>
          <w:sz w:val="20"/>
          <w:szCs w:val="20"/>
          <w:lang w:val="es-ES_tradnl"/>
        </w:rPr>
      </w:pPr>
      <w:r w:rsidRPr="007D460E">
        <w:rPr>
          <w:rFonts w:ascii="Verdana" w:eastAsia="Calibri" w:hAnsi="Verdana" w:cs="Arial"/>
          <w:i/>
          <w:iCs/>
          <w:color w:val="000000"/>
          <w:sz w:val="20"/>
          <w:szCs w:val="20"/>
          <w:lang w:val="es-ES_tradnl"/>
        </w:rPr>
        <w:t>[…]</w:t>
      </w:r>
    </w:p>
    <w:p w14:paraId="1AC4E2B9" w14:textId="77777777" w:rsidR="00BA7424" w:rsidRPr="007D460E" w:rsidRDefault="00BA7424" w:rsidP="00BA7424">
      <w:pPr>
        <w:spacing w:after="0" w:line="240" w:lineRule="auto"/>
        <w:ind w:left="709" w:right="709"/>
        <w:jc w:val="both"/>
        <w:rPr>
          <w:rFonts w:ascii="Verdana" w:eastAsia="Calibri" w:hAnsi="Verdana" w:cs="Arial"/>
          <w:i/>
          <w:iCs/>
          <w:color w:val="000000"/>
          <w:sz w:val="20"/>
          <w:szCs w:val="20"/>
          <w:lang w:val="es-ES_tradnl"/>
        </w:rPr>
      </w:pPr>
    </w:p>
    <w:p w14:paraId="0E3AA21C" w14:textId="77777777" w:rsidR="00BA7424" w:rsidRPr="007D460E" w:rsidRDefault="00BA7424" w:rsidP="00BA7424">
      <w:pPr>
        <w:spacing w:after="0" w:line="240" w:lineRule="auto"/>
        <w:ind w:left="709" w:right="709"/>
        <w:jc w:val="both"/>
        <w:rPr>
          <w:rFonts w:ascii="Verdana" w:eastAsia="Calibri" w:hAnsi="Verdana" w:cs="Arial"/>
          <w:i/>
          <w:iCs/>
          <w:color w:val="000000"/>
          <w:sz w:val="20"/>
          <w:szCs w:val="20"/>
          <w:lang w:val="es-ES_tradnl"/>
        </w:rPr>
      </w:pPr>
      <w:r w:rsidRPr="007D460E">
        <w:rPr>
          <w:rFonts w:ascii="Verdana" w:eastAsia="Calibri" w:hAnsi="Verdana" w:cs="Arial"/>
          <w:i/>
          <w:iCs/>
          <w:color w:val="000000"/>
          <w:sz w:val="20"/>
          <w:szCs w:val="20"/>
          <w:lang w:val="es-ES_tradnl"/>
        </w:rPr>
        <w:t>h) Para la prestación de servicios profesionales y de apoyo a la gestión, o para la ejecución de trabajos artísticos que sólo puedan encomendarse a determinadas personas naturales”.</w:t>
      </w:r>
    </w:p>
    <w:p w14:paraId="7A69C9E9" w14:textId="77777777" w:rsidR="00BA7424" w:rsidRPr="007D460E" w:rsidRDefault="00BA7424" w:rsidP="00BA7424">
      <w:pPr>
        <w:spacing w:after="0" w:line="240" w:lineRule="auto"/>
        <w:ind w:right="709"/>
        <w:jc w:val="both"/>
        <w:rPr>
          <w:rFonts w:ascii="Verdana" w:eastAsia="Calibri" w:hAnsi="Verdana" w:cs="Arial"/>
          <w:color w:val="000000"/>
          <w:lang w:val="es-ES_tradnl"/>
        </w:rPr>
      </w:pPr>
    </w:p>
    <w:p w14:paraId="4773E342" w14:textId="77777777" w:rsidR="00BA7424" w:rsidRPr="007D460E" w:rsidRDefault="00BA7424" w:rsidP="00BA7424">
      <w:pPr>
        <w:spacing w:after="0" w:line="276" w:lineRule="auto"/>
        <w:ind w:firstLine="708"/>
        <w:jc w:val="both"/>
        <w:rPr>
          <w:rFonts w:ascii="Verdana" w:eastAsia="Calibri" w:hAnsi="Verdana" w:cs="Arial"/>
          <w:color w:val="000000"/>
          <w:lang w:val="es-ES_tradnl"/>
        </w:rPr>
      </w:pPr>
      <w:r w:rsidRPr="007D460E">
        <w:rPr>
          <w:rFonts w:ascii="Verdana" w:eastAsia="Calibri" w:hAnsi="Verdana" w:cs="Arial"/>
          <w:color w:val="000000"/>
          <w:lang w:val="es-ES_tradn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43E23F4E" w14:textId="77777777" w:rsidR="00BA7424" w:rsidRPr="007D460E" w:rsidRDefault="00BA7424" w:rsidP="00BA7424">
      <w:pPr>
        <w:spacing w:before="120" w:after="120" w:line="276" w:lineRule="auto"/>
        <w:jc w:val="both"/>
        <w:rPr>
          <w:rFonts w:ascii="Verdana" w:eastAsia="Calibri" w:hAnsi="Verdana" w:cs="Arial"/>
          <w:color w:val="000000"/>
          <w:lang w:val="es-ES_tradnl"/>
        </w:rPr>
      </w:pPr>
      <w:r w:rsidRPr="007D460E">
        <w:rPr>
          <w:rFonts w:ascii="Verdana" w:eastAsia="Calibri" w:hAnsi="Verdana" w:cs="Arial"/>
          <w:color w:val="000000"/>
          <w:lang w:val="es-ES_tradnl"/>
        </w:rPr>
        <w:t>i) Solo puede celebrarse para realizar “actividades relacionadas con la administración o funcionamiento de la entidad”, es decir, que hagan parte de su giro ordinario o quehacer cotidiano.</w:t>
      </w:r>
    </w:p>
    <w:p w14:paraId="59A3757E" w14:textId="77777777" w:rsidR="00BA7424" w:rsidRPr="007D460E" w:rsidRDefault="00BA7424" w:rsidP="00BA7424">
      <w:pPr>
        <w:spacing w:before="120" w:after="120" w:line="276" w:lineRule="auto"/>
        <w:jc w:val="both"/>
        <w:rPr>
          <w:rFonts w:ascii="Verdana" w:eastAsia="Calibri" w:hAnsi="Verdana" w:cs="Arial"/>
          <w:color w:val="000000"/>
          <w:lang w:val="es-ES"/>
        </w:rPr>
      </w:pPr>
      <w:proofErr w:type="spellStart"/>
      <w:r w:rsidRPr="007D460E">
        <w:rPr>
          <w:rFonts w:ascii="Verdana" w:eastAsia="Calibri" w:hAnsi="Verdana" w:cs="Arial"/>
          <w:color w:val="000000"/>
          <w:lang w:val="es-ES"/>
        </w:rPr>
        <w:t>ii</w:t>
      </w:r>
      <w:proofErr w:type="spellEnd"/>
      <w:r w:rsidRPr="007D460E">
        <w:rPr>
          <w:rFonts w:ascii="Verdana" w:eastAsia="Calibri" w:hAnsi="Verdana" w:cs="Arial"/>
          <w:color w:val="00000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7D460E">
        <w:rPr>
          <w:rStyle w:val="Refdenotaalpie"/>
          <w:rFonts w:ascii="Verdana" w:eastAsia="Calibri" w:hAnsi="Verdana" w:cs="Arial"/>
          <w:color w:val="000000"/>
          <w:lang w:val="es-ES"/>
        </w:rPr>
        <w:footnoteReference w:id="2"/>
      </w:r>
      <w:r w:rsidRPr="007D460E">
        <w:rPr>
          <w:rFonts w:ascii="Verdana" w:eastAsia="Calibri" w:hAnsi="Verdana" w:cs="Arial"/>
          <w:color w:val="000000"/>
          <w:lang w:val="es-ES"/>
        </w:rPr>
        <w:t xml:space="preserve"> </w:t>
      </w:r>
    </w:p>
    <w:p w14:paraId="6EDF3AA9" w14:textId="77777777" w:rsidR="00BA7424" w:rsidRPr="007D460E" w:rsidRDefault="00BA7424" w:rsidP="00BA7424">
      <w:pPr>
        <w:spacing w:before="120" w:after="120" w:line="276" w:lineRule="auto"/>
        <w:jc w:val="both"/>
        <w:rPr>
          <w:rFonts w:ascii="Verdana" w:eastAsia="Calibri" w:hAnsi="Verdana" w:cs="Arial"/>
          <w:color w:val="000000"/>
          <w:lang w:val="es-ES"/>
        </w:rPr>
      </w:pPr>
      <w:proofErr w:type="spellStart"/>
      <w:r w:rsidRPr="007D460E">
        <w:rPr>
          <w:rFonts w:ascii="Verdana" w:eastAsia="Calibri" w:hAnsi="Verdana" w:cs="Arial"/>
          <w:color w:val="000000"/>
          <w:lang w:val="es-ES"/>
        </w:rPr>
        <w:t>iii</w:t>
      </w:r>
      <w:proofErr w:type="spellEnd"/>
      <w:r w:rsidRPr="007D460E">
        <w:rPr>
          <w:rFonts w:ascii="Verdana" w:eastAsia="Calibri" w:hAnsi="Verdana" w:cs="Arial"/>
          <w:color w:val="000000"/>
          <w:lang w:val="es-ES"/>
        </w:rPr>
        <w:t>) Si bien se celebran para obtener la prestación personal de un servicio, se diferencian del contrato de trabajo</w:t>
      </w:r>
      <w:r w:rsidRPr="007D460E">
        <w:rPr>
          <w:rStyle w:val="Refdenotaalpie"/>
          <w:rFonts w:ascii="Verdana" w:eastAsiaTheme="majorEastAsia" w:hAnsi="Verdana" w:cs="Arial"/>
        </w:rPr>
        <w:footnoteReference w:id="3"/>
      </w:r>
      <w:r w:rsidRPr="007D460E">
        <w:rPr>
          <w:rFonts w:ascii="Verdana" w:eastAsia="Calibri" w:hAnsi="Verdana" w:cs="Arial"/>
          <w:color w:val="000000"/>
          <w:lang w:val="es-ES"/>
        </w:rPr>
        <w:t xml:space="preserve"> en que quien celebra el contrato de prestación de servicios debe mantener autonomía e independencia en la ejecución de la labor, lo que significa que no puede existir la </w:t>
      </w:r>
      <w:r w:rsidRPr="007D460E">
        <w:rPr>
          <w:rFonts w:ascii="Verdana" w:eastAsia="Calibri" w:hAnsi="Verdana" w:cs="Arial"/>
          <w:i/>
          <w:color w:val="000000"/>
          <w:lang w:val="es-ES"/>
        </w:rPr>
        <w:t>subordinación y dependencia</w:t>
      </w:r>
      <w:r w:rsidRPr="007D460E">
        <w:rPr>
          <w:rFonts w:ascii="Verdana" w:eastAsia="Calibri" w:hAnsi="Verdana" w:cs="Arial"/>
          <w:color w:val="000000"/>
          <w:lang w:val="es-ES"/>
        </w:rPr>
        <w:t xml:space="preserve">, que es uno de los elementos constitutivos del vínculo laboral. </w:t>
      </w:r>
    </w:p>
    <w:p w14:paraId="04DA6813" w14:textId="77777777" w:rsidR="00BA7424" w:rsidRPr="007D460E" w:rsidRDefault="00BA7424" w:rsidP="00BA7424">
      <w:pPr>
        <w:spacing w:before="120" w:after="120" w:line="276" w:lineRule="auto"/>
        <w:ind w:firstLine="708"/>
        <w:jc w:val="both"/>
        <w:rPr>
          <w:rFonts w:ascii="Verdana" w:eastAsia="Calibri" w:hAnsi="Verdana" w:cs="Arial"/>
          <w:color w:val="000000"/>
          <w:lang w:val="es-ES"/>
        </w:rPr>
      </w:pPr>
      <w:r w:rsidRPr="007D460E">
        <w:rPr>
          <w:rFonts w:ascii="Verdana" w:eastAsia="Calibri" w:hAnsi="Verdana" w:cs="Arial"/>
          <w:color w:val="000000"/>
          <w:lang w:val="es-ES"/>
        </w:rPr>
        <w:t xml:space="preserve">Por ello el numeral 3º del artículo 32, de la Ley 80 de 1993 establece que “En ningún caso estos contratos generan relación laboral ni prestaciones sociales”, inciso que debe interpretarse en el sentido de que los contratos de </w:t>
      </w:r>
      <w:r w:rsidRPr="007D460E">
        <w:rPr>
          <w:rFonts w:ascii="Verdana" w:eastAsia="Calibri" w:hAnsi="Verdana" w:cs="Arial"/>
          <w:color w:val="000000"/>
          <w:lang w:val="es-ES"/>
        </w:rPr>
        <w:lastRenderedPageBreak/>
        <w:t xml:space="preserve">prestación de servicios profesionales </w:t>
      </w:r>
      <w:r w:rsidRPr="007D460E">
        <w:rPr>
          <w:rFonts w:ascii="Verdana" w:eastAsia="Calibri" w:hAnsi="Verdana" w:cs="Arial"/>
          <w:i/>
          <w:color w:val="000000"/>
          <w:lang w:val="es-ES"/>
        </w:rPr>
        <w:t>no pueden</w:t>
      </w:r>
      <w:r w:rsidRPr="007D460E">
        <w:rPr>
          <w:rFonts w:ascii="Verdana" w:eastAsia="Calibri" w:hAnsi="Verdana" w:cs="Arial"/>
          <w:color w:val="000000"/>
          <w:lang w:val="es-ES"/>
        </w:rPr>
        <w:t xml:space="preserve"> generar relación laboral, ni dar lugar a que las entidades estatales paguen por su cuenta los aportes al Sistema de Seguridad Social Integral del contratista. </w:t>
      </w:r>
    </w:p>
    <w:p w14:paraId="49D74BFC" w14:textId="77777777" w:rsidR="00BA7424" w:rsidRPr="007D460E" w:rsidRDefault="00BA7424" w:rsidP="00BA7424">
      <w:pPr>
        <w:spacing w:after="120" w:line="276" w:lineRule="auto"/>
        <w:jc w:val="both"/>
        <w:rPr>
          <w:rFonts w:ascii="Verdana" w:eastAsia="Calibri" w:hAnsi="Verdana" w:cs="Arial"/>
          <w:color w:val="000000"/>
          <w:sz w:val="21"/>
          <w:szCs w:val="21"/>
          <w:lang w:val="es-ES_tradnl"/>
        </w:rPr>
      </w:pPr>
      <w:proofErr w:type="spellStart"/>
      <w:r w:rsidRPr="007D460E">
        <w:rPr>
          <w:rFonts w:ascii="Verdana" w:eastAsia="Calibri" w:hAnsi="Verdana" w:cs="Arial"/>
          <w:color w:val="000000"/>
          <w:lang w:val="es-ES_tradnl"/>
        </w:rPr>
        <w:t>iv</w:t>
      </w:r>
      <w:proofErr w:type="spellEnd"/>
      <w:r w:rsidRPr="007D460E">
        <w:rPr>
          <w:rFonts w:ascii="Verdana" w:eastAsia="Calibri" w:hAnsi="Verdana" w:cs="Arial"/>
          <w:color w:val="000000"/>
          <w:lang w:val="es-ES_tradnl"/>
        </w:rPr>
        <w:t>) Deben ser temporales. Así lo señaló la Corte Constitucional expresando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7D460E">
        <w:rPr>
          <w:rStyle w:val="Refdenotaalpie"/>
          <w:rFonts w:ascii="Verdana" w:eastAsiaTheme="majorEastAsia" w:hAnsi="Verdana" w:cs="Arial"/>
        </w:rPr>
        <w:footnoteReference w:id="4"/>
      </w:r>
      <w:r w:rsidRPr="007D460E">
        <w:rPr>
          <w:rFonts w:ascii="Verdana" w:eastAsia="Calibri" w:hAnsi="Verdana" w:cs="Arial"/>
          <w:color w:val="000000"/>
          <w:sz w:val="21"/>
          <w:szCs w:val="21"/>
          <w:lang w:val="es-ES_tradnl"/>
        </w:rPr>
        <w:t>.</w:t>
      </w:r>
    </w:p>
    <w:p w14:paraId="638AED65" w14:textId="77777777" w:rsidR="00BA7424" w:rsidRPr="007D460E" w:rsidRDefault="00BA7424" w:rsidP="00BA7424">
      <w:pPr>
        <w:spacing w:after="0" w:line="240" w:lineRule="auto"/>
        <w:ind w:right="49"/>
        <w:jc w:val="both"/>
        <w:rPr>
          <w:rFonts w:ascii="Verdana" w:eastAsia="Calibri" w:hAnsi="Verdana" w:cs="Arial"/>
          <w:color w:val="000000"/>
          <w:sz w:val="21"/>
          <w:szCs w:val="21"/>
          <w:lang w:val="es-ES_tradnl"/>
        </w:rPr>
      </w:pPr>
      <w:r w:rsidRPr="007D460E">
        <w:rPr>
          <w:rFonts w:ascii="Verdana" w:eastAsia="Calibri" w:hAnsi="Verdana" w:cs="Arial"/>
          <w:color w:val="000000"/>
          <w:lang w:val="es-ES"/>
        </w:rPr>
        <w:t xml:space="preserve">v) Los contratos de prestación de servicios constituyen un </w:t>
      </w:r>
      <w:r w:rsidRPr="007D460E">
        <w:rPr>
          <w:rFonts w:ascii="Verdana" w:eastAsia="Calibri" w:hAnsi="Verdana" w:cs="Arial"/>
          <w:i/>
          <w:color w:val="000000"/>
          <w:lang w:val="es-ES"/>
        </w:rPr>
        <w:t>género</w:t>
      </w:r>
      <w:r w:rsidRPr="007D460E">
        <w:rPr>
          <w:rFonts w:ascii="Verdana" w:eastAsia="Calibri" w:hAnsi="Verdana" w:cs="Arial"/>
          <w:color w:val="000000"/>
          <w:lang w:val="es-ES"/>
        </w:rPr>
        <w:t xml:space="preserve"> que incluye, como </w:t>
      </w:r>
      <w:r w:rsidRPr="007D460E">
        <w:rPr>
          <w:rFonts w:ascii="Verdana" w:eastAsia="Calibri" w:hAnsi="Verdana" w:cs="Arial"/>
          <w:i/>
          <w:color w:val="000000"/>
          <w:lang w:val="es-ES"/>
        </w:rPr>
        <w:t>especies</w:t>
      </w:r>
      <w:r w:rsidRPr="007D460E">
        <w:rPr>
          <w:rFonts w:ascii="Verdana" w:eastAsia="Calibri" w:hAnsi="Verdana" w:cs="Arial"/>
          <w:color w:val="000000"/>
          <w:lang w:val="es-ES"/>
        </w:rPr>
        <w:t>, los contratos de prestación de servicios profesionales, los contratos de prestación de servicios de apoyo a la gestión y los contratos de prestación de servicios artísticos que solo pueden encomendarse a determinadas personas naturales</w:t>
      </w:r>
      <w:r w:rsidRPr="007D460E">
        <w:rPr>
          <w:rStyle w:val="Refdenotaalpie"/>
          <w:rFonts w:ascii="Verdana" w:eastAsiaTheme="majorEastAsia" w:hAnsi="Verdana" w:cs="Arial"/>
        </w:rPr>
        <w:footnoteReference w:id="5"/>
      </w:r>
      <w:r w:rsidRPr="007D460E">
        <w:rPr>
          <w:rFonts w:ascii="Verdana" w:eastAsia="Calibri" w:hAnsi="Verdana" w:cs="Arial"/>
          <w:color w:val="000000"/>
          <w:lang w:val="es-ES"/>
        </w:rPr>
        <w:t>.</w:t>
      </w:r>
    </w:p>
    <w:p w14:paraId="63C21647" w14:textId="77777777" w:rsidR="00BA7424" w:rsidRPr="007D460E" w:rsidRDefault="00BA7424" w:rsidP="00BA7424">
      <w:pPr>
        <w:spacing w:after="0" w:line="276" w:lineRule="auto"/>
        <w:ind w:left="709"/>
        <w:jc w:val="both"/>
        <w:rPr>
          <w:rFonts w:ascii="Verdana" w:eastAsia="Calibri" w:hAnsi="Verdana" w:cs="Arial"/>
          <w:color w:val="000000"/>
          <w:lang w:val="es-ES_tradnl"/>
        </w:rPr>
      </w:pPr>
    </w:p>
    <w:p w14:paraId="27DD92C9" w14:textId="77777777" w:rsidR="00BA7424" w:rsidRPr="007D460E" w:rsidRDefault="00BA7424" w:rsidP="00BA7424">
      <w:pPr>
        <w:spacing w:after="0" w:line="276" w:lineRule="auto"/>
        <w:jc w:val="both"/>
        <w:rPr>
          <w:rFonts w:ascii="Verdana" w:eastAsia="Calibri" w:hAnsi="Verdana" w:cs="Arial"/>
          <w:color w:val="000000"/>
          <w:lang w:val="es-ES_tradnl"/>
        </w:rPr>
      </w:pPr>
      <w:r w:rsidRPr="007D460E">
        <w:rPr>
          <w:rFonts w:ascii="Verdana" w:eastAsia="Calibri" w:hAnsi="Verdana" w:cs="Arial"/>
          <w:color w:val="000000"/>
          <w:lang w:val="es-ES_tradnl"/>
        </w:rPr>
        <w:t>vi) Su celebración debe realizarse a través de la modalidad de contratación directa, independientemente de la cuantía y del tipo de servicio, siempre que este no ingrese dentro del objeto del contrato de consultoría</w:t>
      </w:r>
    </w:p>
    <w:p w14:paraId="7A54FF8F" w14:textId="77777777" w:rsidR="00BA7424" w:rsidRPr="007D460E" w:rsidRDefault="00BA7424" w:rsidP="00BA7424">
      <w:pPr>
        <w:spacing w:after="0" w:line="276" w:lineRule="auto"/>
        <w:ind w:left="709"/>
        <w:jc w:val="both"/>
        <w:rPr>
          <w:rFonts w:ascii="Verdana" w:eastAsia="Calibri" w:hAnsi="Verdana" w:cs="Arial"/>
          <w:color w:val="000000"/>
          <w:lang w:val="es-ES_tradnl"/>
        </w:rPr>
      </w:pPr>
    </w:p>
    <w:p w14:paraId="29DD0949" w14:textId="77777777" w:rsidR="00BA7424" w:rsidRPr="007D460E" w:rsidRDefault="00BA7424" w:rsidP="00BA7424">
      <w:pPr>
        <w:spacing w:after="0" w:line="276" w:lineRule="auto"/>
        <w:jc w:val="both"/>
        <w:rPr>
          <w:rFonts w:ascii="Verdana" w:eastAsia="Calibri" w:hAnsi="Verdana" w:cs="Arial"/>
          <w:color w:val="000000"/>
          <w:lang w:val="es-ES_tradnl"/>
        </w:rPr>
      </w:pPr>
      <w:proofErr w:type="spellStart"/>
      <w:r w:rsidRPr="007D460E">
        <w:rPr>
          <w:rFonts w:ascii="Verdana" w:eastAsia="Calibri" w:hAnsi="Verdana" w:cs="Arial"/>
          <w:color w:val="000000"/>
          <w:lang w:val="es-ES_tradnl"/>
        </w:rPr>
        <w:t>vii</w:t>
      </w:r>
      <w:proofErr w:type="spellEnd"/>
      <w:r w:rsidRPr="007D460E">
        <w:rPr>
          <w:rFonts w:ascii="Verdana" w:eastAsia="Calibri" w:hAnsi="Verdana" w:cs="Arial"/>
          <w:color w:val="000000"/>
          <w:lang w:val="es-ES_tradnl"/>
        </w:rPr>
        <w:t>) Para su celebración no se requiere en algunos casos la expedición del acto administrativo de justificación de la contratación directa</w:t>
      </w:r>
      <w:r w:rsidRPr="007D460E">
        <w:rPr>
          <w:rStyle w:val="Refdenotaalpie"/>
          <w:rFonts w:ascii="Verdana" w:eastAsiaTheme="majorEastAsia" w:hAnsi="Verdana" w:cs="Arial"/>
        </w:rPr>
        <w:footnoteReference w:id="6"/>
      </w:r>
      <w:r w:rsidRPr="007D460E">
        <w:rPr>
          <w:rFonts w:ascii="Verdana" w:eastAsia="Calibri" w:hAnsi="Verdana" w:cs="Arial"/>
          <w:color w:val="000000"/>
          <w:lang w:val="es-ES_tradnl"/>
        </w:rPr>
        <w:t xml:space="preserve">. </w:t>
      </w:r>
    </w:p>
    <w:p w14:paraId="1FBA0492" w14:textId="77777777" w:rsidR="00BA7424" w:rsidRPr="007D460E" w:rsidRDefault="00BA7424" w:rsidP="00BA7424">
      <w:pPr>
        <w:spacing w:before="120" w:after="120" w:line="276" w:lineRule="auto"/>
        <w:jc w:val="both"/>
        <w:rPr>
          <w:rFonts w:ascii="Verdana" w:eastAsia="Calibri" w:hAnsi="Verdana" w:cs="Arial"/>
          <w:color w:val="000000"/>
          <w:lang w:val="es-ES_tradnl"/>
        </w:rPr>
      </w:pPr>
      <w:proofErr w:type="spellStart"/>
      <w:r w:rsidRPr="007D460E">
        <w:rPr>
          <w:rFonts w:ascii="Verdana" w:eastAsia="Calibri" w:hAnsi="Verdana" w:cs="Arial"/>
          <w:color w:val="000000"/>
          <w:lang w:val="es-ES_tradnl"/>
        </w:rPr>
        <w:lastRenderedPageBreak/>
        <w:t>viii</w:t>
      </w:r>
      <w:proofErr w:type="spellEnd"/>
      <w:r w:rsidRPr="007D460E">
        <w:rPr>
          <w:rFonts w:ascii="Verdana" w:eastAsia="Calibri" w:hAnsi="Verdana" w:cs="Arial"/>
          <w:color w:val="000000"/>
          <w:lang w:val="es-ES_tradnl"/>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7D460E">
        <w:rPr>
          <w:rStyle w:val="Refdenotaalpie"/>
          <w:rFonts w:ascii="Verdana" w:eastAsiaTheme="majorEastAsia" w:hAnsi="Verdana" w:cs="Arial"/>
        </w:rPr>
        <w:footnoteReference w:id="7"/>
      </w:r>
      <w:r w:rsidRPr="007D460E">
        <w:rPr>
          <w:rFonts w:ascii="Verdana" w:eastAsia="Calibri" w:hAnsi="Verdana" w:cs="Arial"/>
          <w:color w:val="000000"/>
          <w:lang w:val="es-ES_tradnl"/>
        </w:rPr>
        <w:t>.</w:t>
      </w:r>
    </w:p>
    <w:p w14:paraId="3E4E20B8" w14:textId="77777777" w:rsidR="00BA7424" w:rsidRPr="007D460E" w:rsidRDefault="00BA7424" w:rsidP="00BA7424">
      <w:pPr>
        <w:spacing w:before="120" w:after="120" w:line="276" w:lineRule="auto"/>
        <w:jc w:val="both"/>
        <w:rPr>
          <w:rFonts w:ascii="Verdana" w:eastAsia="Calibri" w:hAnsi="Verdana" w:cs="Arial"/>
          <w:color w:val="000000"/>
          <w:lang w:val="es-ES_tradnl"/>
        </w:rPr>
      </w:pPr>
      <w:proofErr w:type="spellStart"/>
      <w:r w:rsidRPr="007D460E">
        <w:rPr>
          <w:rFonts w:ascii="Verdana" w:eastAsia="Calibri" w:hAnsi="Verdana" w:cs="Arial"/>
          <w:color w:val="000000"/>
          <w:lang w:val="es-ES_tradnl"/>
        </w:rPr>
        <w:t>ix</w:t>
      </w:r>
      <w:proofErr w:type="spellEnd"/>
      <w:r w:rsidRPr="007D460E">
        <w:rPr>
          <w:rFonts w:ascii="Verdana" w:eastAsia="Calibri" w:hAnsi="Verdana" w:cs="Arial"/>
          <w:color w:val="000000"/>
          <w:lang w:val="es-ES_tradnl"/>
        </w:rPr>
        <w:t>) En algunos casos no es obligatoria la liquidación, pues así lo estableció el artículo 217 del Decreto 019 de 2012, que modificó el artículo 60 de la Ley 80 de 1993</w:t>
      </w:r>
      <w:r w:rsidRPr="007D460E">
        <w:rPr>
          <w:rStyle w:val="Refdenotaalpie"/>
          <w:rFonts w:ascii="Verdana" w:eastAsiaTheme="majorEastAsia" w:hAnsi="Verdana" w:cs="Arial"/>
        </w:rPr>
        <w:footnoteReference w:id="8"/>
      </w:r>
      <w:r w:rsidRPr="007D460E">
        <w:rPr>
          <w:rFonts w:ascii="Verdana" w:eastAsia="Calibri" w:hAnsi="Verdana" w:cs="Arial"/>
          <w:color w:val="000000"/>
          <w:lang w:val="es-ES_tradnl"/>
        </w:rPr>
        <w:t>, refiriéndose a los contratos de prestación de servicios profesionales y de apoyo a la gestión.</w:t>
      </w:r>
    </w:p>
    <w:p w14:paraId="5649F7DA" w14:textId="77777777" w:rsidR="00BA7424" w:rsidRPr="007D460E" w:rsidRDefault="00BA7424" w:rsidP="00BA7424">
      <w:pPr>
        <w:spacing w:before="120" w:after="120" w:line="276" w:lineRule="auto"/>
        <w:jc w:val="both"/>
        <w:rPr>
          <w:rFonts w:ascii="Verdana" w:eastAsia="Calibri" w:hAnsi="Verdana" w:cs="Arial"/>
          <w:color w:val="000000"/>
          <w:lang w:val="es-ES_tradnl"/>
        </w:rPr>
      </w:pPr>
      <w:r w:rsidRPr="007D460E">
        <w:rPr>
          <w:rFonts w:ascii="Verdana" w:eastAsia="Calibri" w:hAnsi="Verdana" w:cs="Arial"/>
          <w:color w:val="000000"/>
          <w:lang w:val="es-ES_tradnl"/>
        </w:rPr>
        <w:t>x) Para su celebración no se requiere inscripción en el Registro Único de Proponentes (RUP), según lo prevé el artículo 6 de la Ley 1150 de 2007</w:t>
      </w:r>
      <w:r w:rsidRPr="007D460E">
        <w:rPr>
          <w:rStyle w:val="Refdenotaalpie"/>
          <w:rFonts w:ascii="Verdana" w:eastAsiaTheme="majorEastAsia" w:hAnsi="Verdana" w:cs="Arial"/>
        </w:rPr>
        <w:footnoteReference w:id="9"/>
      </w:r>
      <w:r w:rsidRPr="007D460E">
        <w:rPr>
          <w:rFonts w:ascii="Verdana" w:eastAsia="Calibri" w:hAnsi="Verdana" w:cs="Arial"/>
          <w:color w:val="000000"/>
          <w:lang w:val="es-ES_tradnl"/>
        </w:rPr>
        <w:t>.</w:t>
      </w:r>
    </w:p>
    <w:p w14:paraId="6EB64B32" w14:textId="77777777" w:rsidR="00BA7424" w:rsidRPr="007D460E" w:rsidRDefault="00BA7424" w:rsidP="00BA7424">
      <w:pPr>
        <w:spacing w:before="120" w:after="120" w:line="276" w:lineRule="auto"/>
        <w:jc w:val="both"/>
        <w:rPr>
          <w:rFonts w:ascii="Verdana" w:eastAsia="Calibri" w:hAnsi="Verdana" w:cs="Arial"/>
          <w:color w:val="000000"/>
          <w:lang w:val="es-ES_tradnl"/>
        </w:rPr>
      </w:pPr>
      <w:r w:rsidRPr="007D460E">
        <w:rPr>
          <w:rFonts w:ascii="Verdana" w:eastAsia="Calibri" w:hAnsi="Verdana" w:cs="Arial"/>
          <w:color w:val="000000"/>
          <w:lang w:val="es-ES_tradnl"/>
        </w:rPr>
        <w:t>xi) En ellos no son necesarias las garantías</w:t>
      </w:r>
      <w:r w:rsidRPr="007D460E">
        <w:rPr>
          <w:rStyle w:val="Refdenotaalpie"/>
          <w:rFonts w:ascii="Verdana" w:eastAsiaTheme="majorEastAsia" w:hAnsi="Verdana" w:cs="Arial"/>
        </w:rPr>
        <w:footnoteReference w:id="10"/>
      </w:r>
      <w:r w:rsidRPr="007D460E">
        <w:rPr>
          <w:rFonts w:ascii="Verdana" w:eastAsia="Calibri" w:hAnsi="Verdana" w:cs="Arial"/>
          <w:color w:val="000000"/>
          <w:lang w:val="es-ES_tradnl"/>
        </w:rPr>
        <w:t>.</w:t>
      </w:r>
    </w:p>
    <w:p w14:paraId="626FB7AC" w14:textId="77777777" w:rsidR="00BA7424" w:rsidRPr="007D460E" w:rsidRDefault="00BA7424" w:rsidP="00BA7424">
      <w:pPr>
        <w:spacing w:after="0"/>
        <w:ind w:firstLine="357"/>
        <w:jc w:val="both"/>
        <w:rPr>
          <w:rFonts w:ascii="Verdana" w:eastAsia="Calibri" w:hAnsi="Verdana" w:cs="Arial"/>
          <w:color w:val="000000"/>
        </w:rPr>
      </w:pPr>
    </w:p>
    <w:p w14:paraId="72E61AB9" w14:textId="77777777" w:rsidR="00BA7424" w:rsidRPr="007D460E" w:rsidRDefault="00BA7424" w:rsidP="00BA7424">
      <w:pPr>
        <w:spacing w:after="0"/>
        <w:ind w:firstLine="357"/>
        <w:jc w:val="both"/>
        <w:rPr>
          <w:rFonts w:ascii="Verdana" w:eastAsia="Calibri" w:hAnsi="Verdana" w:cs="Arial"/>
          <w:color w:val="000000"/>
        </w:rPr>
      </w:pPr>
      <w:r w:rsidRPr="007D460E">
        <w:rPr>
          <w:rFonts w:ascii="Verdana" w:eastAsia="Calibri" w:hAnsi="Verdana" w:cs="Arial"/>
          <w:color w:val="000000"/>
        </w:rPr>
        <w:t>En relación con la exigencia de la tarjeta profesional para celebrar el contrato de prestación de servicios, el artículo 26 de la Constitución Política indica que: “La Ley podrá exigir títulos de idoneidad”. La Corte Constitucional establece que la Constitución Política autorizó al legislador para exigir determinados títulos de idoneidad a quienes quieren desempeñar actividades que impliquen riesgo social, con el objetivo de demostrar la adecuada aptitud del aspirante. En este sentido, la Ley, frente a determinadas profesiones, exige el requisito de tarjeta profesional que impliquen riesgo social para garantizar la aptitud del aspirante.</w:t>
      </w:r>
    </w:p>
    <w:p w14:paraId="009C11DD" w14:textId="77777777" w:rsidR="00BA7424" w:rsidRPr="007D460E" w:rsidRDefault="00BA7424" w:rsidP="00BA7424">
      <w:pPr>
        <w:spacing w:after="0"/>
        <w:ind w:firstLine="357"/>
        <w:jc w:val="both"/>
        <w:rPr>
          <w:rFonts w:ascii="Verdana" w:eastAsia="Calibri" w:hAnsi="Verdana" w:cs="Arial"/>
          <w:color w:val="000000"/>
        </w:rPr>
      </w:pPr>
    </w:p>
    <w:p w14:paraId="7E65F910" w14:textId="77777777" w:rsidR="00BA7424" w:rsidRPr="007D460E" w:rsidRDefault="00BA7424" w:rsidP="00BA7424">
      <w:pPr>
        <w:spacing w:after="0"/>
        <w:ind w:firstLine="357"/>
        <w:jc w:val="both"/>
        <w:rPr>
          <w:rFonts w:ascii="Verdana" w:eastAsia="Calibri" w:hAnsi="Verdana" w:cs="Arial"/>
          <w:color w:val="000000"/>
        </w:rPr>
      </w:pPr>
      <w:r w:rsidRPr="007D460E">
        <w:rPr>
          <w:rFonts w:ascii="Verdana" w:eastAsia="Calibri" w:hAnsi="Verdana" w:cs="Arial"/>
          <w:color w:val="000000"/>
        </w:rPr>
        <w:t xml:space="preserve">Ahora bien, es particular señalar que existen una serie de profesiones que dentro de la normatividad vigente establecen como condición para el ejercicio profesional la expedición de la Tarjeta Profesional, caso puntual, la profesión de administrador/a público, como lo indica el artículo 7 de la Ley 1006 de 2006, en los siguientes términos: </w:t>
      </w:r>
    </w:p>
    <w:p w14:paraId="2910DA58" w14:textId="77777777" w:rsidR="00BA7424" w:rsidRPr="007D460E" w:rsidRDefault="00BA7424" w:rsidP="00BA7424">
      <w:pPr>
        <w:spacing w:after="0"/>
        <w:ind w:firstLine="357"/>
        <w:jc w:val="both"/>
        <w:rPr>
          <w:rFonts w:ascii="Verdana" w:eastAsia="Calibri" w:hAnsi="Verdana" w:cs="Arial"/>
          <w:color w:val="000000"/>
        </w:rPr>
      </w:pPr>
    </w:p>
    <w:p w14:paraId="069526D5" w14:textId="77777777" w:rsidR="00BA7424" w:rsidRPr="007D460E" w:rsidRDefault="00BA7424" w:rsidP="00BA7424">
      <w:pPr>
        <w:pStyle w:val="NormalWeb"/>
        <w:spacing w:before="0" w:beforeAutospacing="0" w:after="0" w:afterAutospacing="0"/>
        <w:ind w:left="993" w:right="900"/>
        <w:jc w:val="both"/>
        <w:rPr>
          <w:rFonts w:ascii="Verdana" w:hAnsi="Verdana" w:cs="Arial"/>
          <w:color w:val="000000"/>
          <w:sz w:val="20"/>
          <w:szCs w:val="21"/>
        </w:rPr>
      </w:pPr>
      <w:r w:rsidRPr="007D460E">
        <w:rPr>
          <w:rFonts w:ascii="Verdana" w:hAnsi="Verdana" w:cs="Arial"/>
          <w:color w:val="000000"/>
          <w:sz w:val="20"/>
          <w:szCs w:val="21"/>
        </w:rPr>
        <w:t>(…) Artículo 7: A partir de la sanción de la presente ley, para ejercer la profesión de Administrador Público se requerirá haber obtenido uno de los títulos de que trata el artículo 4º de la presente ley, estar inscrito en el Registro Único Nacional de Administradores Públicos y tener vigentes las respectivas matrícula y Tarjeta Profesional expedidas por el Consejo Profesional del Administrador Público. </w:t>
      </w:r>
    </w:p>
    <w:p w14:paraId="22FF6A16" w14:textId="77777777" w:rsidR="00BA7424" w:rsidRPr="007D460E" w:rsidRDefault="00BA7424" w:rsidP="00BA7424">
      <w:pPr>
        <w:pStyle w:val="NormalWeb"/>
        <w:spacing w:before="0" w:beforeAutospacing="0" w:after="0" w:afterAutospacing="0"/>
        <w:ind w:left="993" w:right="900"/>
        <w:jc w:val="both"/>
        <w:rPr>
          <w:rFonts w:ascii="Verdana" w:hAnsi="Verdana" w:cs="Arial"/>
          <w:color w:val="000000"/>
          <w:sz w:val="20"/>
          <w:szCs w:val="21"/>
        </w:rPr>
      </w:pPr>
      <w:r w:rsidRPr="007D460E">
        <w:rPr>
          <w:rFonts w:ascii="Verdana" w:hAnsi="Verdana" w:cs="Arial"/>
          <w:color w:val="000000"/>
          <w:sz w:val="20"/>
          <w:szCs w:val="21"/>
        </w:rPr>
        <w:t>  </w:t>
      </w:r>
    </w:p>
    <w:p w14:paraId="3B958404" w14:textId="77777777" w:rsidR="00BA7424" w:rsidRPr="007D460E" w:rsidRDefault="00BA7424" w:rsidP="00BA7424">
      <w:pPr>
        <w:pStyle w:val="NormalWeb"/>
        <w:spacing w:before="0" w:beforeAutospacing="0" w:after="0" w:afterAutospacing="0"/>
        <w:ind w:left="993" w:right="900"/>
        <w:jc w:val="both"/>
        <w:rPr>
          <w:rFonts w:ascii="Verdana" w:hAnsi="Verdana" w:cs="Arial"/>
          <w:color w:val="000000"/>
          <w:sz w:val="20"/>
          <w:szCs w:val="21"/>
        </w:rPr>
      </w:pPr>
      <w:r w:rsidRPr="007D460E">
        <w:rPr>
          <w:rStyle w:val="Fuerte"/>
          <w:rFonts w:ascii="Verdana" w:hAnsi="Verdana" w:cs="Arial"/>
          <w:color w:val="000000"/>
          <w:sz w:val="20"/>
          <w:szCs w:val="21"/>
        </w:rPr>
        <w:t>Parágrafo 1º.</w:t>
      </w:r>
      <w:r w:rsidRPr="007D460E">
        <w:rPr>
          <w:rFonts w:ascii="Verdana" w:hAnsi="Verdana" w:cs="Arial"/>
          <w:color w:val="000000"/>
          <w:sz w:val="20"/>
          <w:szCs w:val="21"/>
        </w:rPr>
        <w:t> No se podrá ejercer la profesión de Administrador Público ni anunciarse como tal sin estar inscrito en el Registro Único Nacional del Administrador Público y tener vigente la Tarjeta Profesional. (…)</w:t>
      </w:r>
    </w:p>
    <w:p w14:paraId="71F665DE" w14:textId="77777777" w:rsidR="00BA7424" w:rsidRPr="007D460E" w:rsidRDefault="00BA7424" w:rsidP="00BA7424">
      <w:pPr>
        <w:spacing w:after="0"/>
        <w:ind w:firstLine="357"/>
        <w:jc w:val="both"/>
        <w:rPr>
          <w:rFonts w:ascii="Verdana" w:eastAsia="Calibri" w:hAnsi="Verdana" w:cs="Arial"/>
          <w:color w:val="000000"/>
        </w:rPr>
      </w:pPr>
    </w:p>
    <w:p w14:paraId="14AEDC61" w14:textId="77777777" w:rsidR="00BA7424" w:rsidRPr="007D460E" w:rsidRDefault="00BA7424" w:rsidP="00BA7424">
      <w:pPr>
        <w:spacing w:after="0"/>
        <w:ind w:firstLine="357"/>
        <w:jc w:val="both"/>
        <w:rPr>
          <w:rFonts w:ascii="Verdana" w:eastAsia="Calibri" w:hAnsi="Verdana" w:cs="Arial"/>
          <w:color w:val="000000"/>
        </w:rPr>
      </w:pPr>
      <w:r w:rsidRPr="007D460E">
        <w:rPr>
          <w:rFonts w:ascii="Verdana" w:eastAsia="Calibri" w:hAnsi="Verdana" w:cs="Arial"/>
          <w:color w:val="000000"/>
        </w:rPr>
        <w:t>Como condición para las actividades profesionales de la profesión de Administración Publico, se encuentra el enunciado normativo, el cual impone la obligación de estar inscrito en el Registro Único Nacional de Administradores Públicos y tener vigente la Tarjeta Profesional expedida por el Consejo Superior Profesional del Administrador Público. por lo tanto, será posible suscribir un contrato de prestación de servicios profesionales con un profesional de Administración Pública, siempre y cuando se encuentre inscrito en el Registro Único Nacional de Administradores Públicos y tener vigente la Tarjeta Profesional expedida por el Consejo Profesional del Administrador Público.</w:t>
      </w:r>
    </w:p>
    <w:p w14:paraId="134929EA" w14:textId="77777777" w:rsidR="00BA7424" w:rsidRPr="007D460E" w:rsidRDefault="00BA7424" w:rsidP="00BA7424">
      <w:pPr>
        <w:spacing w:after="0"/>
        <w:ind w:firstLine="357"/>
        <w:jc w:val="both"/>
        <w:rPr>
          <w:rFonts w:ascii="Verdana" w:eastAsia="Calibri" w:hAnsi="Verdana" w:cs="Arial"/>
          <w:color w:val="000000"/>
        </w:rPr>
      </w:pPr>
    </w:p>
    <w:p w14:paraId="78D9C414" w14:textId="77777777" w:rsidR="00BA7424" w:rsidRPr="007D460E" w:rsidRDefault="00BA7424" w:rsidP="00BA7424">
      <w:pPr>
        <w:spacing w:after="0"/>
        <w:ind w:firstLine="357"/>
        <w:jc w:val="both"/>
        <w:rPr>
          <w:rFonts w:ascii="Verdana" w:hAnsi="Verdana" w:cs="Arial"/>
        </w:rPr>
      </w:pPr>
      <w:r w:rsidRPr="007D460E">
        <w:rPr>
          <w:rFonts w:ascii="Verdana" w:eastAsia="Calibri" w:hAnsi="Verdana" w:cs="Arial"/>
          <w:color w:val="000000"/>
        </w:rPr>
        <w:t xml:space="preserve">Ahora bien, en torno a la acreditación de la experiencia </w:t>
      </w:r>
      <w:r w:rsidRPr="007D460E">
        <w:rPr>
          <w:rFonts w:ascii="Verdana" w:hAnsi="Verdana" w:cs="Arial"/>
        </w:rPr>
        <w:t xml:space="preserve">profesional, la misma, se debe verificar de acuerdo con lo regulado en el artículo </w:t>
      </w:r>
      <w:r w:rsidRPr="007D460E">
        <w:rPr>
          <w:rFonts w:ascii="Verdana" w:hAnsi="Verdana"/>
        </w:rPr>
        <w:t xml:space="preserve">2.2.2.3.7 del Decreto </w:t>
      </w:r>
      <w:r w:rsidRPr="007D460E">
        <w:rPr>
          <w:rFonts w:ascii="Verdana" w:hAnsi="Verdana"/>
        </w:rPr>
        <w:lastRenderedPageBreak/>
        <w:t>1083 de 2015</w:t>
      </w:r>
      <w:r w:rsidRPr="007D460E">
        <w:rPr>
          <w:rFonts w:ascii="Verdana" w:hAnsi="Verdana" w:cs="Arial"/>
        </w:rPr>
        <w:t>. En virtud de esta norma, el ejercicio de las diferentes profesiones acreditadas por el Ministerio de Educación Nacional se contabiliza a partir de la terminación y aprobación del pensum académico de educación superior, salvo para las profesiones relacionadas con el sistema de seguridad social en salud, en las cuales la experiencia profesional se computa a partir de la inscripción o registro profesional.</w:t>
      </w:r>
    </w:p>
    <w:p w14:paraId="55443DCF" w14:textId="77777777" w:rsidR="00BA7424" w:rsidRPr="007D460E" w:rsidRDefault="00BA7424" w:rsidP="00BA7424">
      <w:pPr>
        <w:pStyle w:val="Prrafodelista"/>
        <w:spacing w:after="0"/>
        <w:ind w:left="714"/>
        <w:jc w:val="both"/>
        <w:rPr>
          <w:rFonts w:ascii="Verdana" w:hAnsi="Verdana" w:cs="Arial"/>
        </w:rPr>
      </w:pPr>
    </w:p>
    <w:p w14:paraId="3604027F" w14:textId="77777777" w:rsidR="00BA7424" w:rsidRPr="007D460E" w:rsidRDefault="00BA7424" w:rsidP="00BA7424">
      <w:pPr>
        <w:spacing w:after="0"/>
        <w:ind w:firstLine="357"/>
        <w:jc w:val="both"/>
        <w:rPr>
          <w:rFonts w:ascii="Verdana" w:hAnsi="Verdana" w:cs="Arial"/>
        </w:rPr>
      </w:pPr>
      <w:r w:rsidRPr="007D460E">
        <w:rPr>
          <w:rFonts w:ascii="Verdana" w:hAnsi="Verdana" w:cs="Arial"/>
        </w:rPr>
        <w:t xml:space="preserve">Por otro lado, valga mencionar que, a partir de la Ley 1955 de 2019 se permite contar como experiencia profesional las prácticas laborales realizadas por estudiantes para obtener el título de grado. De acuerdo con el artículo 15 de la Ley 1780 de 2016, la </w:t>
      </w:r>
      <w:proofErr w:type="spellStart"/>
      <w:r w:rsidRPr="007D460E">
        <w:rPr>
          <w:rFonts w:ascii="Verdana" w:hAnsi="Verdana" w:cs="Arial"/>
        </w:rPr>
        <w:t>practica</w:t>
      </w:r>
      <w:proofErr w:type="spellEnd"/>
      <w:r w:rsidRPr="007D460E">
        <w:rPr>
          <w:rFonts w:ascii="Verdana" w:hAnsi="Verdana" w:cs="Arial"/>
        </w:rPr>
        <w:t xml:space="preserve">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52E082E0" w14:textId="77777777" w:rsidR="00BA7424" w:rsidRPr="007D460E" w:rsidRDefault="00BA7424" w:rsidP="00BA7424">
      <w:pPr>
        <w:spacing w:after="0"/>
        <w:ind w:firstLine="360"/>
        <w:jc w:val="both"/>
        <w:rPr>
          <w:rFonts w:ascii="Verdana" w:eastAsia="Calibri" w:hAnsi="Verdana" w:cs="Arial"/>
        </w:rPr>
      </w:pPr>
    </w:p>
    <w:p w14:paraId="0A09A2D2" w14:textId="77777777" w:rsidR="00BA7424" w:rsidRPr="007D460E" w:rsidRDefault="00BA7424" w:rsidP="00BA7424">
      <w:pPr>
        <w:spacing w:after="0"/>
        <w:ind w:firstLine="360"/>
        <w:jc w:val="both"/>
        <w:rPr>
          <w:rFonts w:ascii="Verdana" w:eastAsia="Calibri" w:hAnsi="Verdana" w:cs="Arial"/>
        </w:rPr>
      </w:pPr>
      <w:r w:rsidRPr="007D460E">
        <w:rPr>
          <w:rFonts w:ascii="Verdana" w:eastAsia="Calibri" w:hAnsi="Verdana" w:cs="Arial"/>
        </w:rPr>
        <w:t>No obstante, se debe entender que el artículo 229 del Decreto 019 de 2012 es la regla general para contar el término de la experiencia profesional y, por lo tanto, el cómputo, en principio, se efectúa después de terminadas las materias; pero el caso previsto en el artículo 192 de la Ley 1955 de 2019 es la excepción a esta regla general. En efecto, si el estudiante que opta por un título realiza la práctica laboral antes de terminadas las materias, se debe contar esta experiencia como profesional a pesar de que sea una experiencia que no fue adquirida con posterioridad a la terminación de materias. En los demás casos, es decir, cuando no se realiza ninguna práctica laboral antes de finalizar el pénsum, el conteo de la experiencia inicia después de terminadas las materias.</w:t>
      </w:r>
    </w:p>
    <w:p w14:paraId="2EB804CB" w14:textId="77777777" w:rsidR="00BA7424" w:rsidRPr="007D460E" w:rsidRDefault="00BA7424" w:rsidP="00BA7424">
      <w:pPr>
        <w:spacing w:after="0"/>
        <w:jc w:val="both"/>
        <w:rPr>
          <w:rFonts w:ascii="Verdana" w:eastAsia="Calibri" w:hAnsi="Verdana" w:cs="Arial"/>
        </w:rPr>
      </w:pPr>
    </w:p>
    <w:p w14:paraId="649CA38E" w14:textId="77777777" w:rsidR="00BA7424" w:rsidRPr="007D460E" w:rsidRDefault="00BA7424" w:rsidP="00BA7424">
      <w:pPr>
        <w:spacing w:before="120" w:after="120" w:line="276" w:lineRule="auto"/>
        <w:ind w:firstLine="360"/>
        <w:jc w:val="both"/>
        <w:rPr>
          <w:rFonts w:ascii="Verdana" w:eastAsia="Calibri" w:hAnsi="Verdana" w:cs="Arial"/>
          <w:color w:val="000000"/>
        </w:rPr>
      </w:pPr>
      <w:r w:rsidRPr="007D460E">
        <w:rPr>
          <w:rFonts w:ascii="Verdana" w:eastAsia="Calibri" w:hAnsi="Verdana" w:cs="Arial"/>
          <w:color w:val="000000"/>
        </w:rPr>
        <w:t>Sin perjuicio de lo anterior, de acuerdo con la Ley 2043 de 2020, independientemente de que se hayan realizado antes o después de la aprobación del respectivo pénsum, también deberán ser contadas como experiencia profesional y/o relacionada las prácticas laborales que a modo de actividad formativa realicen los estudiantes de pregrado en las modalidades de formación profesional, tecnológica o técnica profesional, siempre que encuadren en la definición del artículo 3 de dicha ley. El tiempo cursado por el estudiante como práctica laboral deberá ser certificado por la entidad beneficiaria y sumado a la experiencia profesional.</w:t>
      </w:r>
    </w:p>
    <w:p w14:paraId="683B672F" w14:textId="77777777" w:rsidR="00BA7424" w:rsidRPr="007D460E" w:rsidRDefault="00BA7424" w:rsidP="00BA7424">
      <w:pPr>
        <w:spacing w:before="120" w:after="120" w:line="276" w:lineRule="auto"/>
        <w:ind w:firstLine="360"/>
        <w:jc w:val="both"/>
        <w:rPr>
          <w:rFonts w:ascii="Verdana" w:eastAsia="Calibri" w:hAnsi="Verdana" w:cs="Arial"/>
          <w:color w:val="000000"/>
        </w:rPr>
      </w:pPr>
      <w:r w:rsidRPr="007D460E">
        <w:rPr>
          <w:rFonts w:ascii="Verdana" w:eastAsia="Calibri" w:hAnsi="Verdana" w:cs="Arial"/>
          <w:color w:val="000000"/>
        </w:rPr>
        <w:lastRenderedPageBreak/>
        <w:t>En torno a la Acreditación de la formación Académica el proponente puede acreditar la formación académica en Colombia con la presentación del diploma, acta de grado o los certificados expedidos por el centro educativo. El proponente puede acreditar la formación académica adquirida en el exterior con (i) copia del diploma expedido por el centro educativo y la descripción del programa correspondiente que permita conocer el nivel de los estudios de acuerdo con la Clasificación Internacional Normalizada de Educación – CINE o, (</w:t>
      </w:r>
      <w:proofErr w:type="spellStart"/>
      <w:r w:rsidRPr="007D460E">
        <w:rPr>
          <w:rFonts w:ascii="Verdana" w:eastAsia="Calibri" w:hAnsi="Verdana" w:cs="Arial"/>
          <w:color w:val="000000"/>
        </w:rPr>
        <w:t>ii</w:t>
      </w:r>
      <w:proofErr w:type="spellEnd"/>
      <w:r w:rsidRPr="007D460E">
        <w:rPr>
          <w:rFonts w:ascii="Verdana" w:eastAsia="Calibri" w:hAnsi="Verdana" w:cs="Arial"/>
          <w:color w:val="000000"/>
        </w:rPr>
        <w:t xml:space="preserve">) la convalidación correspondiente. La Entidad Estatal debe establecer en los Documentos del Proceso el nivel de educación requerido y señalar los códigos equivalentes en la Clasificación Internacional Normalizada de la Educación. </w:t>
      </w:r>
    </w:p>
    <w:p w14:paraId="49F265CB" w14:textId="77777777" w:rsidR="00BA7424" w:rsidRPr="007D460E" w:rsidRDefault="00BA7424" w:rsidP="00BA7424">
      <w:pPr>
        <w:ind w:left="720"/>
        <w:contextualSpacing/>
        <w:rPr>
          <w:rFonts w:ascii="Verdana" w:eastAsia="Times New Roman" w:hAnsi="Verdana" w:cs="Arial"/>
          <w:szCs w:val="24"/>
          <w:lang w:val="es-ES" w:eastAsia="es-ES_tradnl"/>
        </w:rPr>
      </w:pPr>
      <w:r w:rsidRPr="007D460E">
        <w:rPr>
          <w:rFonts w:ascii="Verdana" w:eastAsia="Times New Roman" w:hAnsi="Verdana" w:cs="Arial"/>
          <w:szCs w:val="24"/>
          <w:lang w:val="es-ES" w:eastAsia="es-ES_tradnl"/>
        </w:rPr>
        <w:tab/>
      </w:r>
    </w:p>
    <w:p w14:paraId="7337EFEA" w14:textId="77777777" w:rsidR="00BA7424" w:rsidRPr="007D460E" w:rsidRDefault="00BA7424" w:rsidP="00BA7424">
      <w:pPr>
        <w:spacing w:after="120" w:line="276" w:lineRule="auto"/>
        <w:ind w:firstLine="360"/>
        <w:contextualSpacing/>
        <w:jc w:val="both"/>
        <w:rPr>
          <w:rFonts w:ascii="Verdana" w:eastAsia="Calibri" w:hAnsi="Verdana" w:cs="Arial"/>
          <w:bCs/>
          <w:lang w:val="es-ES_tradnl" w:eastAsia="es-MX"/>
        </w:rPr>
      </w:pPr>
      <w:r w:rsidRPr="007D460E">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7D460E">
        <w:rPr>
          <w:rFonts w:ascii="Verdana" w:eastAsia="Calibri" w:hAnsi="Verdana" w:cs="Arial"/>
          <w:bCs/>
          <w:lang w:val="es-ES_tradnl" w:eastAsia="es-MX"/>
        </w:rPr>
        <w:t xml:space="preserve">Para estos efectos resulta relevante </w:t>
      </w:r>
      <w:bookmarkStart w:id="9" w:name="_Hlk139465916"/>
      <w:r w:rsidRPr="007D460E">
        <w:rPr>
          <w:rFonts w:ascii="Verdana" w:eastAsia="Calibri" w:hAnsi="Verdana" w:cs="Arial"/>
          <w:bCs/>
          <w:lang w:val="es-ES_tradnl" w:eastAsia="es-MX"/>
        </w:rPr>
        <w:t xml:space="preserve">la información recolectada en el marco del </w:t>
      </w:r>
      <w:r w:rsidRPr="007D460E">
        <w:rPr>
          <w:rFonts w:ascii="Verdana" w:eastAsia="Calibri" w:hAnsi="Verdana" w:cs="Arial"/>
          <w:bCs/>
          <w:i/>
          <w:iCs/>
          <w:lang w:val="es-ES_tradnl" w:eastAsia="es-MX"/>
        </w:rPr>
        <w:t>estudio del mercado</w:t>
      </w:r>
      <w:r w:rsidRPr="007D460E">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10" w:name="_Hlk36117416"/>
      <w:r w:rsidRPr="007D460E">
        <w:rPr>
          <w:rFonts w:ascii="Verdana" w:eastAsia="Calibri" w:hAnsi="Verdana" w:cs="Arial"/>
          <w:bCs/>
          <w:lang w:val="es-ES_tradnl" w:eastAsia="es-MX"/>
        </w:rPr>
        <w:t>2.2.1.1.1.6.1 del Decreto 1082 de 2015</w:t>
      </w:r>
      <w:bookmarkEnd w:id="10"/>
      <w:r w:rsidRPr="007D460E">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9"/>
      <w:r w:rsidRPr="007D460E">
        <w:rPr>
          <w:rFonts w:ascii="Verdana" w:eastAsia="Calibri" w:hAnsi="Verdana"/>
          <w:bCs/>
          <w:vertAlign w:val="superscript"/>
          <w:lang w:val="es-ES" w:eastAsia="es-MX"/>
        </w:rPr>
        <w:footnoteReference w:id="11"/>
      </w:r>
      <w:r w:rsidRPr="007D460E">
        <w:rPr>
          <w:rFonts w:ascii="Verdana" w:eastAsia="Calibri" w:hAnsi="Verdana" w:cs="Arial"/>
          <w:bCs/>
          <w:lang w:val="es-ES_tradnl" w:eastAsia="es-MX"/>
        </w:rPr>
        <w:t xml:space="preserve">. </w:t>
      </w:r>
    </w:p>
    <w:p w14:paraId="43FBD5AD" w14:textId="77777777" w:rsidR="00BA7424" w:rsidRPr="007D460E" w:rsidRDefault="00BA7424" w:rsidP="00BA7424">
      <w:pPr>
        <w:spacing w:after="120" w:line="276" w:lineRule="auto"/>
        <w:ind w:left="720"/>
        <w:contextualSpacing/>
        <w:jc w:val="both"/>
        <w:rPr>
          <w:rFonts w:ascii="Verdana" w:eastAsia="Calibri" w:hAnsi="Verdana" w:cs="Arial"/>
          <w:bCs/>
          <w:lang w:val="es-ES_tradnl" w:eastAsia="es-MX"/>
        </w:rPr>
      </w:pPr>
      <w:r w:rsidRPr="007D460E">
        <w:rPr>
          <w:rFonts w:ascii="Verdana" w:eastAsia="Calibri" w:hAnsi="Verdana" w:cs="Arial"/>
          <w:bCs/>
          <w:lang w:val="es-ES_tradnl" w:eastAsia="es-MX"/>
        </w:rPr>
        <w:t xml:space="preserve"> </w:t>
      </w:r>
    </w:p>
    <w:p w14:paraId="2F411674" w14:textId="77777777" w:rsidR="00BA7424" w:rsidRPr="007D460E" w:rsidRDefault="00BA7424" w:rsidP="00BA7424">
      <w:pPr>
        <w:spacing w:after="120" w:line="276" w:lineRule="auto"/>
        <w:ind w:firstLine="360"/>
        <w:contextualSpacing/>
        <w:jc w:val="both"/>
        <w:rPr>
          <w:rFonts w:ascii="Verdana" w:eastAsia="Calibri" w:hAnsi="Verdana" w:cs="Arial"/>
          <w:lang w:val="es-ES" w:eastAsia="es-MX"/>
        </w:rPr>
      </w:pPr>
      <w:r w:rsidRPr="007D460E">
        <w:rPr>
          <w:rFonts w:ascii="Verdana" w:eastAsia="Calibri" w:hAnsi="Verdana" w:cs="Arial"/>
          <w:lang w:val="es-ES" w:eastAsia="es-MX"/>
        </w:rPr>
        <w:t xml:space="preserve">De acuerdo con la norma citada, </w:t>
      </w:r>
      <w:bookmarkStart w:id="11" w:name="_Hlk36140682"/>
      <w:r w:rsidRPr="007D460E">
        <w:rPr>
          <w:rFonts w:ascii="Verdana" w:eastAsia="Calibri" w:hAnsi="Verdana" w:cs="Arial"/>
          <w:lang w:val="es-ES" w:eastAsia="es-MX"/>
        </w:rPr>
        <w:t xml:space="preserve">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w:t>
      </w:r>
      <w:r w:rsidRPr="007D460E">
        <w:rPr>
          <w:rFonts w:ascii="Verdana" w:eastAsia="Calibri" w:hAnsi="Verdana" w:cs="Arial"/>
          <w:lang w:val="es-ES" w:eastAsia="es-MX"/>
        </w:rPr>
        <w:lastRenderedPageBreak/>
        <w:t>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F073A5A" w14:textId="77777777" w:rsidR="00BA7424" w:rsidRPr="007D460E" w:rsidRDefault="00BA7424" w:rsidP="00BA7424">
      <w:pPr>
        <w:ind w:left="720"/>
        <w:contextualSpacing/>
        <w:rPr>
          <w:rFonts w:ascii="Verdana" w:eastAsia="Calibri" w:hAnsi="Verdana" w:cs="Arial"/>
          <w:bCs/>
          <w:lang w:val="es-ES_tradnl" w:eastAsia="es-MX"/>
        </w:rPr>
      </w:pPr>
    </w:p>
    <w:p w14:paraId="03568336" w14:textId="77777777" w:rsidR="00BA7424" w:rsidRPr="007D460E" w:rsidRDefault="00BA7424" w:rsidP="00BA7424">
      <w:pPr>
        <w:spacing w:after="120" w:line="276" w:lineRule="auto"/>
        <w:ind w:firstLine="360"/>
        <w:contextualSpacing/>
        <w:jc w:val="both"/>
        <w:rPr>
          <w:rFonts w:ascii="Verdana" w:eastAsia="Calibri" w:hAnsi="Verdana" w:cs="Arial"/>
          <w:bCs/>
          <w:lang w:val="es-ES_tradnl" w:eastAsia="es-MX"/>
        </w:rPr>
      </w:pPr>
      <w:r w:rsidRPr="007D460E">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28F4737A" w14:textId="77777777" w:rsidR="00BA7424" w:rsidRPr="007D460E" w:rsidRDefault="00BA7424" w:rsidP="00BA7424">
      <w:pPr>
        <w:ind w:left="720"/>
        <w:contextualSpacing/>
        <w:rPr>
          <w:rFonts w:ascii="Verdana" w:eastAsia="Calibri" w:hAnsi="Verdana" w:cs="Arial"/>
          <w:bCs/>
          <w:lang w:val="es-ES_tradnl" w:eastAsia="es-MX"/>
        </w:rPr>
      </w:pPr>
    </w:p>
    <w:p w14:paraId="44FEE663" w14:textId="77777777" w:rsidR="00BA7424" w:rsidRPr="007D460E" w:rsidRDefault="00BA7424" w:rsidP="00BA7424">
      <w:pPr>
        <w:spacing w:after="120" w:line="276" w:lineRule="auto"/>
        <w:ind w:firstLine="708"/>
        <w:contextualSpacing/>
        <w:jc w:val="both"/>
        <w:rPr>
          <w:rFonts w:ascii="Verdana" w:eastAsia="Calibri" w:hAnsi="Verdana" w:cs="Arial"/>
          <w:bCs/>
          <w:lang w:val="es-ES_tradnl" w:eastAsia="es-MX"/>
        </w:rPr>
      </w:pPr>
      <w:r w:rsidRPr="007D460E">
        <w:rPr>
          <w:rFonts w:ascii="Verdana" w:eastAsia="Calibri" w:hAnsi="Verdana" w:cs="Arial"/>
          <w:bCs/>
          <w:lang w:val="es-ES_tradnl"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01D9405B" w14:textId="77777777" w:rsidR="00BA7424" w:rsidRPr="007D460E" w:rsidRDefault="00BA7424" w:rsidP="00BA7424">
      <w:pPr>
        <w:ind w:left="720"/>
        <w:contextualSpacing/>
        <w:rPr>
          <w:rFonts w:ascii="Verdana" w:eastAsia="Calibri" w:hAnsi="Verdana" w:cs="Arial"/>
          <w:bCs/>
          <w:lang w:val="es-ES_tradnl" w:eastAsia="es-MX"/>
        </w:rPr>
      </w:pPr>
    </w:p>
    <w:p w14:paraId="0686951D" w14:textId="77777777" w:rsidR="00BA7424" w:rsidRPr="007D460E" w:rsidRDefault="00BA7424" w:rsidP="00BA7424">
      <w:pPr>
        <w:spacing w:after="120" w:line="276" w:lineRule="auto"/>
        <w:ind w:firstLine="708"/>
        <w:contextualSpacing/>
        <w:jc w:val="both"/>
        <w:rPr>
          <w:rFonts w:ascii="Verdana" w:eastAsia="Calibri" w:hAnsi="Verdana" w:cs="Arial"/>
          <w:bCs/>
          <w:lang w:val="es-ES_tradnl" w:eastAsia="es-MX"/>
        </w:rPr>
      </w:pPr>
      <w:r w:rsidRPr="007D460E">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w:t>
      </w:r>
      <w:r w:rsidRPr="007D460E">
        <w:rPr>
          <w:rFonts w:ascii="Verdana" w:eastAsia="Calibri" w:hAnsi="Verdana" w:cs="Arial"/>
          <w:bCs/>
          <w:lang w:val="es-ES_tradnl" w:eastAsia="es-MX"/>
        </w:rPr>
        <w:lastRenderedPageBreak/>
        <w:t xml:space="preserve">objeto del Proceso de Contratación, no determinan un procedimiento específico para efectuar dicho análisis por lo que las entidades </w:t>
      </w:r>
      <w:r w:rsidRPr="007D460E">
        <w:rPr>
          <w:rFonts w:ascii="Verdana" w:eastAsia="Times New Roman" w:hAnsi="Verdana" w:cs="Arial"/>
          <w:lang w:val="es-ES_tradnl" w:eastAsia="es-CO"/>
        </w:rPr>
        <w:t xml:space="preserve">son autónomas para estructurarlo, para lo cual deberán cumplir lo dispuesto en el artículo </w:t>
      </w:r>
      <w:r w:rsidRPr="007D460E">
        <w:rPr>
          <w:rFonts w:ascii="Verdana" w:eastAsia="Calibri" w:hAnsi="Verdana" w:cs="Arial"/>
          <w:bCs/>
          <w:lang w:val="es-ES_tradnl" w:eastAsia="es-MX"/>
        </w:rPr>
        <w:t xml:space="preserve">2.2.1.1.1.6.1 del Decreto 1082 de 2015 y realizar un análisis integral de planeación que </w:t>
      </w:r>
      <w:r w:rsidRPr="007D460E">
        <w:rPr>
          <w:rFonts w:ascii="Verdana" w:eastAsia="Times New Roman" w:hAnsi="Verdana" w:cs="Arial"/>
          <w:lang w:val="es-ES_tradnl" w:eastAsia="es-MX"/>
        </w:rPr>
        <w:t xml:space="preserve">sirva de sustento a la decisión de </w:t>
      </w:r>
      <w:r w:rsidRPr="007D460E">
        <w:rPr>
          <w:rFonts w:ascii="Verdana" w:eastAsia="Times New Roman" w:hAnsi="Verdana" w:cs="Arial"/>
          <w:bCs/>
          <w:lang w:val="es-ES_tradnl" w:eastAsia="es-MX"/>
        </w:rPr>
        <w:t>realizar un Proceso de Contratación.</w:t>
      </w:r>
    </w:p>
    <w:p w14:paraId="741339E6" w14:textId="77777777" w:rsidR="00BA7424" w:rsidRPr="007D460E" w:rsidRDefault="00BA7424" w:rsidP="00BA7424">
      <w:pPr>
        <w:ind w:left="720"/>
        <w:contextualSpacing/>
        <w:rPr>
          <w:rFonts w:ascii="Verdana" w:eastAsia="Calibri" w:hAnsi="Verdana" w:cs="Arial"/>
          <w:bCs/>
          <w:lang w:val="es-ES_tradnl" w:eastAsia="es-MX"/>
        </w:rPr>
      </w:pPr>
    </w:p>
    <w:p w14:paraId="20A11E83" w14:textId="77777777" w:rsidR="00BA7424" w:rsidRPr="007D460E" w:rsidRDefault="00BA7424" w:rsidP="00BA7424">
      <w:pPr>
        <w:spacing w:after="120" w:line="276" w:lineRule="auto"/>
        <w:ind w:firstLine="708"/>
        <w:contextualSpacing/>
        <w:jc w:val="both"/>
        <w:rPr>
          <w:rFonts w:ascii="Verdana" w:eastAsia="Calibri" w:hAnsi="Verdana" w:cs="Arial"/>
          <w:bCs/>
          <w:szCs w:val="24"/>
          <w:lang w:val="es-ES" w:eastAsia="es-ES_tradnl"/>
        </w:rPr>
      </w:pPr>
      <w:bookmarkStart w:id="12" w:name="_Hlk139466113"/>
      <w:bookmarkEnd w:id="11"/>
      <w:r w:rsidRPr="007D460E">
        <w:rPr>
          <w:rFonts w:ascii="Verdana" w:eastAsia="Calibri" w:hAnsi="Verdana" w:cs="Arial"/>
          <w:bCs/>
          <w:lang w:val="es-ES_tradnl" w:eastAsia="es-MX"/>
        </w:rPr>
        <w:t>La Agencia Nacional de Contratación Pública – Colombia Compra Eficiente dispone de una “Guía para la Elaboración de Estudios del Sector”</w:t>
      </w:r>
      <w:r w:rsidRPr="007D460E">
        <w:rPr>
          <w:rFonts w:ascii="Verdana" w:eastAsia="Times New Roman" w:hAnsi="Verdana" w:cs="Arial"/>
          <w:vertAlign w:val="superscript"/>
          <w:lang w:val="es-ES_tradnl" w:eastAsia="es-CO"/>
        </w:rPr>
        <w:t xml:space="preserve"> </w:t>
      </w:r>
      <w:r w:rsidRPr="007D460E">
        <w:rPr>
          <w:rFonts w:ascii="Verdana" w:eastAsia="Times New Roman" w:hAnsi="Verdana"/>
          <w:vertAlign w:val="superscript"/>
          <w:lang w:val="es-ES" w:eastAsia="es-CO"/>
        </w:rPr>
        <w:footnoteReference w:id="12"/>
      </w:r>
      <w:r w:rsidRPr="007D460E">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12"/>
      <w:r w:rsidRPr="007D460E">
        <w:rPr>
          <w:rFonts w:ascii="Verdana" w:eastAsia="Calibri" w:hAnsi="Verdana" w:cs="Arial"/>
          <w:bCs/>
          <w:lang w:val="es-ES_tradnl" w:eastAsia="es-MX"/>
        </w:rPr>
        <w:t xml:space="preserve"> </w:t>
      </w:r>
      <w:r w:rsidRPr="007D460E">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7D460E">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601C5CC8" w14:textId="77777777" w:rsidR="00BA7424" w:rsidRPr="007D460E" w:rsidRDefault="00BA7424" w:rsidP="00BA7424">
      <w:pPr>
        <w:ind w:left="720"/>
        <w:contextualSpacing/>
        <w:rPr>
          <w:rFonts w:ascii="Verdana" w:eastAsia="Calibri" w:hAnsi="Verdana" w:cs="Arial"/>
          <w:bCs/>
          <w:szCs w:val="24"/>
          <w:lang w:val="es-ES" w:eastAsia="es-ES_tradnl"/>
        </w:rPr>
      </w:pPr>
    </w:p>
    <w:p w14:paraId="3B2052A7" w14:textId="77777777" w:rsidR="00BA7424" w:rsidRPr="007D460E" w:rsidRDefault="00BA7424" w:rsidP="00BA7424">
      <w:pPr>
        <w:spacing w:after="120" w:line="276" w:lineRule="auto"/>
        <w:ind w:firstLine="708"/>
        <w:contextualSpacing/>
        <w:jc w:val="both"/>
        <w:rPr>
          <w:rFonts w:ascii="Verdana" w:eastAsia="Calibri" w:hAnsi="Verdana" w:cs="Arial"/>
          <w:szCs w:val="24"/>
          <w:lang w:val="es-ES" w:eastAsia="es-ES_tradnl"/>
        </w:rPr>
      </w:pPr>
      <w:r w:rsidRPr="007D460E">
        <w:rPr>
          <w:rFonts w:ascii="Verdana" w:eastAsia="Calibri" w:hAnsi="Verdana" w:cs="Arial"/>
          <w:bCs/>
          <w:lang w:val="es-ES_tradnl" w:eastAsia="es-MX"/>
        </w:rPr>
        <w:t xml:space="preserve">En este instrumento se recomienda, particularmente para la contratación directa y los contratos de prestación de servicios que: </w:t>
      </w:r>
    </w:p>
    <w:p w14:paraId="620F9D05" w14:textId="77777777" w:rsidR="00BA7424" w:rsidRPr="007D460E" w:rsidRDefault="00BA7424" w:rsidP="00BA7424">
      <w:pPr>
        <w:ind w:left="720"/>
        <w:contextualSpacing/>
        <w:rPr>
          <w:rFonts w:ascii="Verdana" w:eastAsia="Calibri" w:hAnsi="Verdana" w:cs="Arial"/>
          <w:szCs w:val="24"/>
          <w:lang w:val="es-ES" w:eastAsia="es-ES_tradnl"/>
        </w:rPr>
      </w:pPr>
    </w:p>
    <w:p w14:paraId="0C07A62E" w14:textId="77777777" w:rsidR="00BA7424" w:rsidRPr="007D460E" w:rsidRDefault="00BA7424" w:rsidP="00BA7424">
      <w:pPr>
        <w:spacing w:after="0" w:line="276" w:lineRule="auto"/>
        <w:ind w:left="709" w:right="709"/>
        <w:contextualSpacing/>
        <w:jc w:val="both"/>
        <w:rPr>
          <w:rFonts w:ascii="Verdana" w:eastAsia="Times New Roman" w:hAnsi="Verdana" w:cs="Arial"/>
          <w:sz w:val="21"/>
          <w:szCs w:val="21"/>
          <w:lang w:val="es-MX" w:eastAsia="es-ES_tradnl"/>
        </w:rPr>
      </w:pPr>
      <w:r w:rsidRPr="007D460E">
        <w:rPr>
          <w:rFonts w:ascii="Verdana" w:eastAsia="Times New Roman" w:hAnsi="Verdana" w:cs="Arial"/>
          <w:sz w:val="21"/>
          <w:szCs w:val="21"/>
          <w:lang w:val="es-ES" w:eastAsia="es-ES_tradnl"/>
        </w:rPr>
        <w:t>“</w:t>
      </w:r>
      <w:r w:rsidRPr="007D460E">
        <w:rPr>
          <w:rFonts w:ascii="Verdana" w:eastAsia="Times New Roman" w:hAnsi="Verdana" w:cs="Arial"/>
          <w:sz w:val="20"/>
          <w:szCs w:val="21"/>
          <w:lang w:val="es-MX" w:eastAsia="es-ES_tradnl"/>
        </w:rPr>
        <w:t>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 (…)</w:t>
      </w:r>
    </w:p>
    <w:p w14:paraId="1C7EF2A1" w14:textId="77777777" w:rsidR="00BA7424" w:rsidRPr="007D460E" w:rsidRDefault="00BA7424" w:rsidP="00BA7424">
      <w:pPr>
        <w:spacing w:after="0" w:line="276" w:lineRule="auto"/>
        <w:ind w:left="709" w:right="709"/>
        <w:contextualSpacing/>
        <w:jc w:val="both"/>
        <w:rPr>
          <w:rFonts w:ascii="Verdana" w:eastAsia="Times New Roman" w:hAnsi="Verdana" w:cs="Arial"/>
          <w:sz w:val="21"/>
          <w:szCs w:val="21"/>
          <w:lang w:val="es-MX" w:eastAsia="es-ES_tradnl"/>
        </w:rPr>
      </w:pPr>
    </w:p>
    <w:p w14:paraId="4D2EBBA4" w14:textId="77777777" w:rsidR="00BA7424" w:rsidRPr="00F91DD4" w:rsidRDefault="00BA7424" w:rsidP="00BA7424">
      <w:pPr>
        <w:tabs>
          <w:tab w:val="left" w:pos="426"/>
        </w:tabs>
        <w:jc w:val="both"/>
        <w:rPr>
          <w:rFonts w:ascii="Verdana" w:eastAsia="Calibri" w:hAnsi="Verdana" w:cs="Arial"/>
        </w:rPr>
      </w:pPr>
      <w:r w:rsidRPr="00F91DD4">
        <w:rPr>
          <w:rFonts w:ascii="Verdana" w:eastAsia="Times New Roman" w:hAnsi="Verdana" w:cs="Arial"/>
          <w:lang w:val="es-MX" w:eastAsia="es-ES_tradnl"/>
        </w:rPr>
        <w:lastRenderedPageBreak/>
        <w:tab/>
        <w:t xml:space="preserve">La entidad debe consignar en los Documentos del Proceso, bien sea en los estudios previos o en la información de soporte de estos, los aspectos de que trata el artículo 2.2.1.1.1.6.1 del Decreto 1082 de 2015, esto es, el análisis desde la perspectiva legal, comercial, financiera, organizacional, técnica y de análisis de riesgo. En un contrato de prestación de servicios profesionales, el estudio del sector depende del objeto del contrato y de las condiciones de idoneidad y/o experiencia que llevan a contratar a la persona natural o jurídica que está en condiciones de desarrollar dicho objeto. Por ejemplo, si se trata de la contratación de un abogado para llevar un proceso judicial, la Entidad debe analizar la necesidad de contratar el servicio, de forma esencialmente temporal y las condiciones de los Procesos de Contratación que ha adelantado en el pasado para contratar este tipo de servicios, teniendo en cuenta plazos valor y forma de pago. </w:t>
      </w:r>
    </w:p>
    <w:p w14:paraId="14E1626A" w14:textId="77777777" w:rsidR="00BA7424" w:rsidRPr="00F91DD4" w:rsidRDefault="00BA7424" w:rsidP="00BA7424">
      <w:pPr>
        <w:spacing w:after="120" w:line="276" w:lineRule="auto"/>
        <w:ind w:firstLine="426"/>
        <w:jc w:val="both"/>
        <w:rPr>
          <w:rFonts w:ascii="Verdana" w:hAnsi="Verdana"/>
        </w:rPr>
      </w:pPr>
      <w:r w:rsidRPr="00F91DD4">
        <w:rPr>
          <w:rFonts w:ascii="Verdana" w:hAnsi="Verdana"/>
        </w:rPr>
        <w:t xml:space="preserve">Pertinente indicar que  son las Entidades Públicas las encargadas de señalar las condiciones relacionadas a la experiencia y forma de acreditarla </w:t>
      </w:r>
      <w:r w:rsidRPr="00F91DD4">
        <w:rPr>
          <w:rFonts w:ascii="Verdana" w:eastAsia="Calibri" w:hAnsi="Verdana" w:cs="Arial"/>
          <w:lang w:val="es-ES" w:eastAsia="es-ES_tradnl"/>
        </w:rPr>
        <w:t>conforme</w:t>
      </w:r>
      <w:r w:rsidRPr="00F91DD4">
        <w:rPr>
          <w:rFonts w:ascii="Verdana" w:hAnsi="Verdana"/>
        </w:rPr>
        <w:t xml:space="preserve"> a lo que establezcan sus pliegos de condiciones en los procesos de selección, los cuales deben estructurarse conforme a la normatividad vigente; o en su defecto, a través del acto administrativo que expide cada entidad estatal para estandarizar los honorarios y las equivalencias a los meses de experiencias con el fin de mantener la igualdad de condiciones y la austeridad del gasto público. </w:t>
      </w:r>
    </w:p>
    <w:p w14:paraId="25893C33" w14:textId="77777777" w:rsidR="00BA7424" w:rsidRPr="007D460E" w:rsidRDefault="00BA7424" w:rsidP="00BA7424">
      <w:pPr>
        <w:spacing w:after="120" w:line="276" w:lineRule="auto"/>
        <w:ind w:firstLine="426"/>
        <w:jc w:val="both"/>
        <w:rPr>
          <w:rFonts w:ascii="Verdana" w:eastAsia="Calibri" w:hAnsi="Verdana" w:cs="Arial"/>
          <w:szCs w:val="24"/>
          <w:lang w:val="es-ES" w:eastAsia="es-ES_tradnl"/>
        </w:rPr>
      </w:pPr>
      <w:r w:rsidRPr="007D460E">
        <w:rPr>
          <w:rFonts w:ascii="Verdana" w:eastAsia="Calibri" w:hAnsi="Verdana" w:cs="Arial"/>
          <w:szCs w:val="24"/>
          <w:lang w:val="es-ES" w:eastAsia="es-ES_tradnl"/>
        </w:rPr>
        <w:t xml:space="preserve">En referencia al Contrato de Prestación de Servicios, una vez la entidad ha establecido la experiencia y los estudios que debe tener una persona natural o jurídica para celebrar un contrato de prestación de servicios, en su autonomía y como directora del proceso de contratación debe determinar cómo evaluar que esto se cumpla, sin que sea obligatorio la aplicabilidad el Decreto 1083 de 2015 respecto de la equivalencia entre experiencia y estudios, ya que el artículo 2.1.1.1. que trata del objeto del decreto señala que es para el sector de la función pública en temas como “empleo público; funciones, competencias y requisitos generales para los empleos públicos de los distintos niveles jerárquicos de los organismos y entidades del orden nacional y territorial; administración de personal (…)”, entre otros. </w:t>
      </w:r>
    </w:p>
    <w:p w14:paraId="1CD73324" w14:textId="77777777" w:rsidR="00BA7424" w:rsidRPr="007D460E" w:rsidRDefault="00BA7424" w:rsidP="00BA7424">
      <w:pPr>
        <w:spacing w:after="120" w:line="276" w:lineRule="auto"/>
        <w:ind w:firstLine="426"/>
        <w:jc w:val="both"/>
        <w:rPr>
          <w:rFonts w:ascii="Verdana" w:eastAsia="Calibri" w:hAnsi="Verdana" w:cs="Arial"/>
          <w:szCs w:val="24"/>
          <w:lang w:val="es-ES" w:eastAsia="es-ES_tradnl"/>
        </w:rPr>
      </w:pPr>
      <w:r w:rsidRPr="007D460E">
        <w:rPr>
          <w:rFonts w:ascii="Verdana" w:eastAsia="Calibri" w:hAnsi="Verdana" w:cs="Arial"/>
          <w:szCs w:val="24"/>
          <w:lang w:val="es-ES" w:eastAsia="es-ES_tradnl"/>
        </w:rPr>
        <w:t>De acuerdo con el concepto del Departamento Administrativo de la Función Pública</w:t>
      </w:r>
      <w:r w:rsidRPr="007D460E">
        <w:rPr>
          <w:rStyle w:val="Refdenotaalpie"/>
          <w:rFonts w:ascii="Verdana" w:eastAsia="Calibri" w:hAnsi="Verdana" w:cs="Arial"/>
          <w:szCs w:val="24"/>
          <w:lang w:val="es-ES" w:eastAsia="es-ES_tradnl"/>
        </w:rPr>
        <w:footnoteReference w:id="13"/>
      </w:r>
      <w:r w:rsidRPr="007D460E">
        <w:rPr>
          <w:rFonts w:ascii="Verdana" w:eastAsia="Calibri" w:hAnsi="Verdana" w:cs="Arial"/>
          <w:szCs w:val="24"/>
          <w:lang w:val="es-ES" w:eastAsia="es-ES_tradnl"/>
        </w:rPr>
        <w:t xml:space="preserve">, “La relación contractual tiene como características la autonomía e independencia del contratista, por consiguiente, los contratistas no son </w:t>
      </w:r>
      <w:r w:rsidRPr="007D460E">
        <w:rPr>
          <w:rFonts w:ascii="Verdana" w:eastAsia="Calibri" w:hAnsi="Verdana" w:cs="Arial"/>
          <w:szCs w:val="24"/>
          <w:lang w:val="es-ES" w:eastAsia="es-ES_tradnl"/>
        </w:rPr>
        <w:lastRenderedPageBreak/>
        <w:t>servidores públicos sino particulares que prestan una función pública (…)”</w:t>
      </w:r>
      <w:r>
        <w:rPr>
          <w:rFonts w:ascii="Verdana" w:eastAsia="Calibri" w:hAnsi="Verdana" w:cs="Arial"/>
          <w:szCs w:val="24"/>
          <w:lang w:val="es-ES" w:eastAsia="es-ES_tradnl"/>
        </w:rPr>
        <w:t>;</w:t>
      </w:r>
      <w:r w:rsidRPr="007D460E">
        <w:rPr>
          <w:rFonts w:ascii="Verdana" w:eastAsia="Calibri" w:hAnsi="Verdana" w:cs="Arial"/>
          <w:szCs w:val="24"/>
          <w:lang w:val="es-ES" w:eastAsia="es-ES_tradnl"/>
        </w:rPr>
        <w:t xml:space="preserve"> por lo que no es aplicable el Decreto 1083 de 2015. Ahora bien, la entidad en su autonomía y como rectora del proceso de contratación puede determinar la observancia de la equivalencia entre experiencia y estudios allí establecida y tendrá que justificarlo en los estudios previos y análisis del sector.</w:t>
      </w:r>
    </w:p>
    <w:p w14:paraId="06D1B1EA" w14:textId="77777777" w:rsidR="00BA7424" w:rsidRPr="007D460E" w:rsidRDefault="00BA7424" w:rsidP="00BA7424">
      <w:pPr>
        <w:spacing w:after="120" w:line="276" w:lineRule="auto"/>
        <w:ind w:firstLine="426"/>
        <w:jc w:val="both"/>
        <w:rPr>
          <w:rFonts w:ascii="Verdana" w:eastAsia="Calibri" w:hAnsi="Verdana" w:cs="Arial"/>
          <w:szCs w:val="24"/>
          <w:lang w:val="es-ES" w:eastAsia="es-ES_tradnl"/>
        </w:rPr>
      </w:pPr>
      <w:r w:rsidRPr="007D460E">
        <w:rPr>
          <w:rFonts w:ascii="Verdana" w:eastAsia="Calibri" w:hAnsi="Verdana" w:cs="Arial"/>
          <w:szCs w:val="24"/>
          <w:lang w:val="es-ES" w:eastAsia="es-ES_tradnl"/>
        </w:rPr>
        <w:t xml:space="preserve">Así mismo se indica que las entidades estatales de orden nacional y descentralizada al iniciar su vigencia fiscal correspondiente emiten un acto administrativo en las que regulan y estandarizan los valores de los honorarios de acuerdo con los años y/o meses de experiencia y formación profesional de los proveedores del servicio profesional. Lo anterior lo realizan con el fin de garantizar la austeridad del gasto público, la sostenibilidad financiera del presupuesto, el flujo de caja y la igual de condiciones en los contratistas que aportan idoneidad en la experiencia y formación profesional. </w:t>
      </w:r>
    </w:p>
    <w:p w14:paraId="35A31C93" w14:textId="77777777" w:rsidR="00BA7424" w:rsidRDefault="00BA7424" w:rsidP="00BA7424">
      <w:pPr>
        <w:spacing w:after="120" w:line="276" w:lineRule="auto"/>
        <w:ind w:firstLine="426"/>
        <w:jc w:val="both"/>
        <w:rPr>
          <w:rFonts w:ascii="Verdana" w:hAnsi="Verdana"/>
        </w:rPr>
      </w:pPr>
      <w:r w:rsidRPr="007D460E">
        <w:rPr>
          <w:rFonts w:ascii="Verdana" w:eastAsia="Calibri" w:hAnsi="Verdana" w:cs="Arial"/>
          <w:szCs w:val="24"/>
          <w:lang w:val="es-ES" w:eastAsia="es-ES_tradnl"/>
        </w:rPr>
        <w:t xml:space="preserve">En conclusión, la entidad estatal dentro de su discrecionalidad expedirá el acto administrativo por la cual adopta la tabla de honorarios de los contratos de prestación de servicios y de apoyo a la gestión, </w:t>
      </w:r>
      <w:r w:rsidRPr="007D460E">
        <w:rPr>
          <w:rFonts w:ascii="Verdana" w:hAnsi="Verdana"/>
        </w:rPr>
        <w:t xml:space="preserve">como herramienta para establecer objetivamente los costos de los servicios requeridos, teniendo en cuenta la escolaridad y experiencia, de conformidad con los principios de transparencia, economía, responsabilidad y selección objetiva, que rigen las actuaciones de quienes intervienen en la actividad contractual. </w:t>
      </w:r>
    </w:p>
    <w:p w14:paraId="4D8C0094" w14:textId="77777777" w:rsidR="00BA7424" w:rsidRPr="00C6416E" w:rsidRDefault="00BA7424" w:rsidP="00BA7424">
      <w:pPr>
        <w:spacing w:after="120" w:line="276" w:lineRule="auto"/>
        <w:ind w:firstLine="426"/>
        <w:jc w:val="both"/>
        <w:rPr>
          <w:rFonts w:ascii="Verdana" w:hAnsi="Verdana"/>
        </w:rPr>
      </w:pPr>
    </w:p>
    <w:bookmarkEnd w:id="4"/>
    <w:bookmarkEnd w:id="5"/>
    <w:p w14:paraId="0EFF0B0E" w14:textId="77777777" w:rsidR="00BA7424" w:rsidRPr="001F283D" w:rsidRDefault="00BA7424" w:rsidP="00BA7424">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6957D107" w14:textId="77777777" w:rsidR="00BA7424" w:rsidRPr="00593A5F" w:rsidRDefault="00BA7424" w:rsidP="00BA742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A7424" w:rsidRPr="002407CE" w14:paraId="267EDD7C" w14:textId="77777777" w:rsidTr="006C13D1">
        <w:trPr>
          <w:trHeight w:val="870"/>
          <w:jc w:val="center"/>
        </w:trPr>
        <w:tc>
          <w:tcPr>
            <w:tcW w:w="8647" w:type="dxa"/>
          </w:tcPr>
          <w:p w14:paraId="68FAFB8B" w14:textId="77777777" w:rsidR="00BA7424" w:rsidRDefault="00BA7424" w:rsidP="00BA7424">
            <w:pPr>
              <w:pStyle w:val="Prrafodelista"/>
              <w:numPr>
                <w:ilvl w:val="0"/>
                <w:numId w:val="2"/>
              </w:numPr>
              <w:spacing w:line="276" w:lineRule="auto"/>
              <w:rPr>
                <w:rFonts w:ascii="Verdana" w:hAnsi="Verdana"/>
              </w:rPr>
            </w:pPr>
            <w:r>
              <w:rPr>
                <w:rFonts w:ascii="Verdana" w:hAnsi="Verdana"/>
              </w:rPr>
              <w:t>Ley 80 de 1993 artículo 25</w:t>
            </w:r>
          </w:p>
          <w:p w14:paraId="7F90E2F4" w14:textId="77777777" w:rsidR="00BA7424" w:rsidRPr="00AE712E" w:rsidRDefault="00BA7424" w:rsidP="00BA7424">
            <w:pPr>
              <w:pStyle w:val="Prrafodelista"/>
              <w:numPr>
                <w:ilvl w:val="0"/>
                <w:numId w:val="2"/>
              </w:numPr>
              <w:spacing w:line="276" w:lineRule="auto"/>
              <w:rPr>
                <w:rFonts w:ascii="Verdana" w:hAnsi="Verdana"/>
              </w:rPr>
            </w:pPr>
            <w:r>
              <w:rPr>
                <w:rFonts w:ascii="Verdana" w:hAnsi="Verdana"/>
              </w:rPr>
              <w:t>D</w:t>
            </w:r>
            <w:r w:rsidRPr="00DF359B">
              <w:rPr>
                <w:rFonts w:ascii="Verdana" w:hAnsi="Verdana"/>
              </w:rPr>
              <w:t>ecreto 108</w:t>
            </w:r>
            <w:r>
              <w:rPr>
                <w:rFonts w:ascii="Verdana" w:hAnsi="Verdana"/>
              </w:rPr>
              <w:t xml:space="preserve">2 de 2015 artículo </w:t>
            </w:r>
            <w:r w:rsidRPr="009F7E3B">
              <w:rPr>
                <w:rFonts w:ascii="Verdana" w:eastAsia="Calibri" w:hAnsi="Verdana" w:cs="Arial"/>
              </w:rPr>
              <w:t>2.2.1.1.1.6.2</w:t>
            </w:r>
          </w:p>
          <w:p w14:paraId="745F9436" w14:textId="77777777" w:rsidR="00BA7424" w:rsidRPr="00AE712E" w:rsidRDefault="00BA7424" w:rsidP="00BA7424">
            <w:pPr>
              <w:pStyle w:val="Prrafodelista"/>
              <w:numPr>
                <w:ilvl w:val="0"/>
                <w:numId w:val="2"/>
              </w:numPr>
              <w:spacing w:line="276" w:lineRule="auto"/>
              <w:rPr>
                <w:rFonts w:ascii="Verdana" w:hAnsi="Verdana"/>
              </w:rPr>
            </w:pPr>
            <w:r>
              <w:rPr>
                <w:rFonts w:ascii="Verdana" w:eastAsia="Calibri" w:hAnsi="Verdana" w:cs="Arial"/>
              </w:rPr>
              <w:t xml:space="preserve">Decreto 1083 de 2015 artículo </w:t>
            </w:r>
            <w:r w:rsidRPr="00AE712E">
              <w:rPr>
                <w:rFonts w:ascii="Verdana" w:eastAsia="Calibri" w:hAnsi="Verdana" w:cs="Arial"/>
                <w:color w:val="000000"/>
              </w:rPr>
              <w:t>2.2.2.3.7</w:t>
            </w:r>
          </w:p>
          <w:p w14:paraId="11C5D946" w14:textId="77777777" w:rsidR="00BA7424" w:rsidRPr="00DF359B" w:rsidRDefault="00BA7424" w:rsidP="00BA7424">
            <w:pPr>
              <w:pStyle w:val="Prrafodelista"/>
              <w:numPr>
                <w:ilvl w:val="0"/>
                <w:numId w:val="2"/>
              </w:numPr>
              <w:spacing w:line="276" w:lineRule="auto"/>
              <w:rPr>
                <w:rFonts w:ascii="Verdana" w:hAnsi="Verdana" w:cs="Arial"/>
              </w:rPr>
            </w:pPr>
            <w:r>
              <w:rPr>
                <w:rFonts w:ascii="Verdana" w:hAnsi="Verdana" w:cs="Arial"/>
              </w:rPr>
              <w:t>D</w:t>
            </w:r>
            <w:r w:rsidRPr="00DF359B">
              <w:rPr>
                <w:rFonts w:ascii="Verdana" w:hAnsi="Verdana" w:cs="Arial"/>
              </w:rPr>
              <w:t>ecreto 019 de 2012</w:t>
            </w:r>
            <w:r>
              <w:rPr>
                <w:rFonts w:ascii="Verdana" w:hAnsi="Verdana" w:cs="Arial"/>
              </w:rPr>
              <w:t xml:space="preserve"> artículo 229</w:t>
            </w:r>
          </w:p>
          <w:p w14:paraId="6E2D1D6E" w14:textId="77777777" w:rsidR="00BA7424" w:rsidRPr="00CB1FFA" w:rsidRDefault="00BA7424" w:rsidP="00BA7424">
            <w:pPr>
              <w:pStyle w:val="Prrafodelista"/>
              <w:numPr>
                <w:ilvl w:val="0"/>
                <w:numId w:val="2"/>
              </w:numPr>
              <w:spacing w:line="276" w:lineRule="auto"/>
              <w:rPr>
                <w:rFonts w:ascii="Verdana" w:hAnsi="Verdana"/>
              </w:rPr>
            </w:pPr>
            <w:r w:rsidRPr="00DF359B">
              <w:rPr>
                <w:rFonts w:ascii="Verdana" w:hAnsi="Verdana"/>
              </w:rPr>
              <w:t>Circular Externa Única Expedida por la ANCP-CCE</w:t>
            </w:r>
          </w:p>
          <w:p w14:paraId="53CEFE58" w14:textId="77777777" w:rsidR="00BA7424" w:rsidRPr="00CB1FFA" w:rsidRDefault="00BA7424" w:rsidP="00BA7424">
            <w:pPr>
              <w:pStyle w:val="Prrafodelista"/>
              <w:numPr>
                <w:ilvl w:val="0"/>
                <w:numId w:val="2"/>
              </w:numPr>
              <w:spacing w:line="276" w:lineRule="auto"/>
              <w:rPr>
                <w:rFonts w:ascii="Verdana" w:hAnsi="Verdana"/>
              </w:rPr>
            </w:pPr>
            <w:r w:rsidRPr="00DF359B">
              <w:rPr>
                <w:rFonts w:ascii="Verdana" w:eastAsia="Calibri" w:hAnsi="Verdana" w:cs="Arial"/>
                <w:color w:val="000000" w:themeColor="text1"/>
              </w:rPr>
              <w:t>Ley 80 de 1993</w:t>
            </w:r>
          </w:p>
          <w:p w14:paraId="470059B3" w14:textId="77777777" w:rsidR="00BA7424" w:rsidRPr="00CB1FFA" w:rsidRDefault="00BA7424" w:rsidP="00BA7424">
            <w:pPr>
              <w:pStyle w:val="Prrafodelista"/>
              <w:numPr>
                <w:ilvl w:val="0"/>
                <w:numId w:val="2"/>
              </w:numPr>
              <w:spacing w:line="276" w:lineRule="auto"/>
              <w:rPr>
                <w:rFonts w:ascii="Verdana" w:hAnsi="Verdana"/>
              </w:rPr>
            </w:pPr>
            <w:r w:rsidRPr="00DF359B">
              <w:rPr>
                <w:rFonts w:ascii="Verdana" w:eastAsia="Calibri" w:hAnsi="Verdana" w:cs="Arial"/>
                <w:color w:val="000000" w:themeColor="text1"/>
              </w:rPr>
              <w:t>Ley 1150 de 2007</w:t>
            </w:r>
          </w:p>
          <w:p w14:paraId="737DF8CC" w14:textId="77777777" w:rsidR="00BA7424" w:rsidRPr="00DF359B" w:rsidRDefault="00BA7424" w:rsidP="00BA7424">
            <w:pPr>
              <w:pStyle w:val="Prrafodelista"/>
              <w:widowControl w:val="0"/>
              <w:numPr>
                <w:ilvl w:val="0"/>
                <w:numId w:val="2"/>
              </w:numPr>
              <w:autoSpaceDE w:val="0"/>
              <w:autoSpaceDN w:val="0"/>
              <w:spacing w:after="120" w:line="276" w:lineRule="auto"/>
              <w:contextualSpacing w:val="0"/>
              <w:jc w:val="both"/>
              <w:rPr>
                <w:rFonts w:ascii="Verdana" w:eastAsia="Arial" w:hAnsi="Verdana" w:cs="Arial"/>
              </w:rPr>
            </w:pPr>
            <w:r w:rsidRPr="00DF359B">
              <w:rPr>
                <w:rFonts w:ascii="Verdana" w:eastAsia="Arial" w:hAnsi="Verdana" w:cs="Arial"/>
              </w:rPr>
              <w:t xml:space="preserve">Jurisprudencia del Consejo de Estado. Disponible en: </w:t>
            </w:r>
            <w:hyperlink r:id="rId12" w:history="1">
              <w:r w:rsidRPr="00DF359B">
                <w:rPr>
                  <w:rFonts w:ascii="Verdana" w:eastAsia="Arial" w:hAnsi="Verdana" w:cs="Arial"/>
                </w:rPr>
                <w:t>https://relatoria.colombiacompra.gov.co/providencias-consejo-de-estado/</w:t>
              </w:r>
            </w:hyperlink>
            <w:r w:rsidRPr="00DF359B">
              <w:rPr>
                <w:rFonts w:ascii="Verdana" w:eastAsia="Arial" w:hAnsi="Verdana" w:cs="Arial"/>
              </w:rPr>
              <w:t xml:space="preserve"> </w:t>
            </w:r>
          </w:p>
          <w:p w14:paraId="42BEA2F8" w14:textId="77777777" w:rsidR="00BA7424" w:rsidRPr="00A57FA0" w:rsidRDefault="00BA7424" w:rsidP="00BA7424">
            <w:pPr>
              <w:pStyle w:val="Prrafodelista"/>
              <w:numPr>
                <w:ilvl w:val="0"/>
                <w:numId w:val="2"/>
              </w:numPr>
              <w:spacing w:line="276" w:lineRule="auto"/>
              <w:rPr>
                <w:rFonts w:ascii="Verdana" w:hAnsi="Verdana" w:cs="Arial"/>
                <w:color w:val="000000" w:themeColor="text1"/>
              </w:rPr>
            </w:pPr>
            <w:r w:rsidRPr="00DF359B">
              <w:rPr>
                <w:rFonts w:ascii="Verdana" w:eastAsia="Arial" w:hAnsi="Verdana" w:cs="Arial"/>
              </w:rPr>
              <w:lastRenderedPageBreak/>
              <w:t xml:space="preserve">Guías y manuales expedidos por la ANCP-CCE. Disponible en: </w:t>
            </w:r>
            <w:hyperlink r:id="rId13" w:history="1">
              <w:r w:rsidRPr="00DF359B">
                <w:rPr>
                  <w:rFonts w:ascii="Verdana" w:eastAsia="Arial" w:hAnsi="Verdana" w:cs="Arial"/>
                </w:rPr>
                <w:t>https://www.colombiacompra.gov.co/manuales-guias-y-pliegos-tipo/manuales-y-guias</w:t>
              </w:r>
            </w:hyperlink>
          </w:p>
        </w:tc>
      </w:tr>
    </w:tbl>
    <w:p w14:paraId="6C03AC45" w14:textId="77777777" w:rsidR="00BA7424" w:rsidRPr="00277E26" w:rsidRDefault="00BA7424" w:rsidP="00BA7424">
      <w:pPr>
        <w:widowControl w:val="0"/>
        <w:autoSpaceDE w:val="0"/>
        <w:autoSpaceDN w:val="0"/>
        <w:spacing w:after="0" w:line="276" w:lineRule="auto"/>
        <w:jc w:val="both"/>
        <w:rPr>
          <w:rFonts w:ascii="Verdana" w:hAnsi="Verdana" w:cs="Arial"/>
        </w:rPr>
      </w:pPr>
    </w:p>
    <w:p w14:paraId="63F4C52E" w14:textId="77777777" w:rsidR="00BA7424" w:rsidRPr="001F283D" w:rsidRDefault="00BA7424" w:rsidP="00BA7424">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03D6820" w14:textId="77777777" w:rsidR="00BA7424" w:rsidRDefault="00BA7424" w:rsidP="00BA7424">
      <w:pPr>
        <w:widowControl w:val="0"/>
        <w:autoSpaceDE w:val="0"/>
        <w:autoSpaceDN w:val="0"/>
        <w:spacing w:after="0" w:line="276" w:lineRule="auto"/>
        <w:jc w:val="both"/>
        <w:rPr>
          <w:rStyle w:val="normaltextrun"/>
          <w:rFonts w:ascii="Verdana" w:hAnsi="Verdana" w:cs="Arial"/>
          <w:shd w:val="clear" w:color="auto" w:fill="FFFFFF"/>
          <w:lang w:val="es-ES"/>
        </w:rPr>
      </w:pPr>
    </w:p>
    <w:p w14:paraId="0ED07B7B" w14:textId="77777777" w:rsidR="00BA7424" w:rsidRDefault="00BA7424" w:rsidP="00BA7424">
      <w:pPr>
        <w:widowControl w:val="0"/>
        <w:autoSpaceDE w:val="0"/>
        <w:autoSpaceDN w:val="0"/>
        <w:spacing w:after="0" w:line="276" w:lineRule="auto"/>
        <w:jc w:val="both"/>
        <w:rPr>
          <w:rFonts w:ascii="Verdana" w:eastAsia="Arial" w:hAnsi="Verdana" w:cs="Arial"/>
          <w:lang w:val="es-ES"/>
        </w:rPr>
      </w:pPr>
      <w:r w:rsidRPr="00F345AB">
        <w:rPr>
          <w:rFonts w:ascii="Verdana" w:hAnsi="Verdana" w:cs="Arial"/>
          <w:color w:val="000000" w:themeColor="text1"/>
          <w:lang w:val="es-ES"/>
        </w:rPr>
        <w:t xml:space="preserve">La Agencia Nacional de Contratación Pública – Colombia Compra Eficiente, en los Conceptos </w:t>
      </w:r>
      <w:r w:rsidRPr="00F345AB">
        <w:rPr>
          <w:rFonts w:ascii="Verdana" w:hAnsi="Verdana" w:cs="Arial"/>
        </w:rPr>
        <w:t xml:space="preserve">La Agencia Nacional de Contratación Pública – Colombia Compra Eficiente </w:t>
      </w:r>
      <w:r>
        <w:rPr>
          <w:rFonts w:ascii="Verdana" w:hAnsi="Verdana" w:cs="Arial"/>
        </w:rPr>
        <w:t xml:space="preserve">se pronunció frente a la experiencia profesional </w:t>
      </w:r>
      <w:r w:rsidRPr="00F345AB">
        <w:rPr>
          <w:rFonts w:ascii="Verdana" w:hAnsi="Verdana" w:cs="Arial"/>
        </w:rPr>
        <w:t>,</w:t>
      </w:r>
      <w:r>
        <w:rPr>
          <w:rFonts w:ascii="Verdana" w:hAnsi="Verdana" w:cs="Arial"/>
        </w:rPr>
        <w:t xml:space="preserve"> C- 357 de agosto de 2024, C258 de 2024, C248 de 2024, C 279 de 2024, C446 de 2023,</w:t>
      </w:r>
      <w:r w:rsidRPr="00F345AB">
        <w:rPr>
          <w:rFonts w:ascii="Verdana" w:hAnsi="Verdana" w:cs="Arial"/>
        </w:rPr>
        <w:t xml:space="preserve"> </w:t>
      </w:r>
      <w:r>
        <w:rPr>
          <w:rFonts w:ascii="Verdana" w:hAnsi="Verdana" w:cs="Arial"/>
        </w:rPr>
        <w:t xml:space="preserve"> así como en los </w:t>
      </w:r>
      <w:r w:rsidRPr="00F345AB">
        <w:rPr>
          <w:rFonts w:ascii="Verdana" w:hAnsi="Verdana" w:cs="Arial"/>
        </w:rPr>
        <w:t>C-231 del 13 de abril de 2020, C-212 del 14 de abril de 2020, C-317 de 10 de junio de 2020, C-337 del 26 de junio de 2020, C-355 del 4 de junio de 2020, C-353 del 30 de junio de 2020 y C-457 del 7 de julio de 2020</w:t>
      </w:r>
      <w:r>
        <w:rPr>
          <w:rFonts w:ascii="Verdana" w:hAnsi="Verdana" w:cs="Arial"/>
        </w:rPr>
        <w:t xml:space="preserve"> y 409 de 2024</w:t>
      </w:r>
      <w:r w:rsidRPr="00F345AB">
        <w:rPr>
          <w:rFonts w:ascii="Verdana" w:hAnsi="Verdana" w:cs="Arial"/>
        </w:rPr>
        <w:t xml:space="preserve">, </w:t>
      </w:r>
      <w:r>
        <w:rPr>
          <w:rFonts w:ascii="Verdana" w:hAnsi="Verdana" w:cs="Arial"/>
        </w:rPr>
        <w:t xml:space="preserve">referente a </w:t>
      </w:r>
      <w:r w:rsidRPr="00F345AB">
        <w:rPr>
          <w:rFonts w:ascii="Verdana" w:hAnsi="Verdana" w:cs="Arial"/>
        </w:rPr>
        <w:t>el cómputo de la experiencia profesional</w:t>
      </w:r>
      <w:r>
        <w:rPr>
          <w:rFonts w:ascii="Verdana" w:hAnsi="Verdana" w:cs="Arial"/>
        </w:rPr>
        <w:t>.</w:t>
      </w:r>
    </w:p>
    <w:p w14:paraId="6F1DC7B7" w14:textId="77777777" w:rsidR="00BA7424" w:rsidRDefault="00BA7424" w:rsidP="00BA7424">
      <w:pPr>
        <w:widowControl w:val="0"/>
        <w:autoSpaceDE w:val="0"/>
        <w:autoSpaceDN w:val="0"/>
        <w:spacing w:after="0" w:line="276" w:lineRule="auto"/>
        <w:jc w:val="both"/>
        <w:rPr>
          <w:rStyle w:val="normaltextrun"/>
          <w:rFonts w:ascii="Verdana" w:hAnsi="Verdana" w:cs="Arial"/>
          <w:shd w:val="clear" w:color="auto" w:fill="FFFFFF"/>
          <w:lang w:val="es-ES"/>
        </w:rPr>
      </w:pPr>
    </w:p>
    <w:p w14:paraId="6483B3DC" w14:textId="77777777" w:rsidR="00BA7424" w:rsidRDefault="00BA7424" w:rsidP="00BA7424">
      <w:pPr>
        <w:widowControl w:val="0"/>
        <w:autoSpaceDE w:val="0"/>
        <w:autoSpaceDN w:val="0"/>
        <w:spacing w:after="0" w:line="276" w:lineRule="auto"/>
        <w:jc w:val="both"/>
        <w:rPr>
          <w:rStyle w:val="normaltextrun"/>
          <w:rFonts w:ascii="Verdana" w:hAnsi="Verdana" w:cs="Arial"/>
          <w:shd w:val="clear" w:color="auto" w:fill="FFFFFF"/>
          <w:lang w:val="es-ES"/>
        </w:rPr>
      </w:pPr>
      <w:r w:rsidRPr="00A30046">
        <w:rPr>
          <w:rFonts w:ascii="Verdana" w:eastAsia="Arial" w:hAnsi="Verdana" w:cs="Arial"/>
          <w:lang w:val="es-ES"/>
        </w:rPr>
        <w:t>Estos y otros conceptos se encuentran disponibles para consulta en el Sistema de Relatoría de la Agencia, en el c</w:t>
      </w:r>
      <w:proofErr w:type="spellStart"/>
      <w:r w:rsidRPr="00A30046">
        <w:rPr>
          <w:rFonts w:ascii="Verdana" w:hAnsi="Verdana" w:cs="Arial"/>
        </w:rPr>
        <w:t>ual</w:t>
      </w:r>
      <w:proofErr w:type="spellEnd"/>
      <w:r w:rsidRPr="00A30046">
        <w:rPr>
          <w:rFonts w:ascii="Verdana" w:hAnsi="Verdana" w:cs="Arial"/>
        </w:rPr>
        <w:t xml:space="preserve">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A30046">
          <w:rPr>
            <w:rFonts w:ascii="Verdana" w:hAnsi="Verdana" w:cs="Arial"/>
            <w:color w:val="467886" w:themeColor="hyperlink"/>
            <w:u w:val="single"/>
          </w:rPr>
          <w:t>https://relatoria.colombiacompra.gov.co/</w:t>
        </w:r>
      </w:hyperlink>
      <w:r w:rsidRPr="00A30046">
        <w:rPr>
          <w:rFonts w:ascii="Verdana" w:hAnsi="Verdana" w:cs="Arial"/>
        </w:rPr>
        <w:t> </w:t>
      </w:r>
    </w:p>
    <w:p w14:paraId="2B97ECD8" w14:textId="77777777" w:rsidR="00BA7424" w:rsidRPr="00724A38" w:rsidRDefault="00BA7424" w:rsidP="00BA7424">
      <w:pPr>
        <w:widowControl w:val="0"/>
        <w:autoSpaceDE w:val="0"/>
        <w:autoSpaceDN w:val="0"/>
        <w:spacing w:after="0" w:line="276" w:lineRule="auto"/>
        <w:jc w:val="both"/>
        <w:rPr>
          <w:rStyle w:val="normaltextrun"/>
          <w:rFonts w:ascii="Verdana" w:hAnsi="Verdana" w:cs="Arial"/>
          <w:shd w:val="clear" w:color="auto" w:fill="FFFFFF"/>
        </w:rPr>
      </w:pPr>
      <w:r w:rsidRPr="00724A38">
        <w:rPr>
          <w:rStyle w:val="normaltextrun"/>
          <w:rFonts w:ascii="Verdana" w:hAnsi="Verdana" w:cs="Arial"/>
          <w:color w:val="FF0000"/>
          <w:shd w:val="clear" w:color="auto" w:fill="FFFFFF"/>
          <w:lang w:val="es-ES"/>
        </w:rPr>
        <w:t xml:space="preserve"> </w:t>
      </w:r>
    </w:p>
    <w:p w14:paraId="7E65DFD9" w14:textId="77777777" w:rsidR="00BA7424" w:rsidRPr="00900D7D" w:rsidRDefault="00BA7424" w:rsidP="00BA7424">
      <w:pPr>
        <w:widowControl w:val="0"/>
        <w:autoSpaceDE w:val="0"/>
        <w:autoSpaceDN w:val="0"/>
        <w:spacing w:after="120" w:line="276" w:lineRule="auto"/>
        <w:jc w:val="both"/>
        <w:rPr>
          <w:rFonts w:ascii="Verdana" w:eastAsia="Calibri" w:hAnsi="Verdana" w:cs="Arial"/>
          <w:color w:val="000000" w:themeColor="text1"/>
          <w:lang w:eastAsia="es-ES_tradnl"/>
        </w:rPr>
      </w:pPr>
    </w:p>
    <w:p w14:paraId="25498FAE" w14:textId="77777777" w:rsidR="00BA7424" w:rsidRPr="00237766" w:rsidRDefault="00BA7424" w:rsidP="00BA7424">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219C5D4" w14:textId="77777777" w:rsidR="00BA7424" w:rsidRPr="008E4F36" w:rsidRDefault="00BA7424" w:rsidP="00BA7424">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1C711AA" w14:textId="77777777" w:rsidR="00BA7424" w:rsidRPr="008E4F36" w:rsidRDefault="00BA7424" w:rsidP="00BA7424">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4CFD4A59" w14:textId="77777777" w:rsidR="00BA7424" w:rsidRPr="008E4F36" w:rsidRDefault="00BA7424" w:rsidP="00BA7424">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2C1A1CE4" w14:textId="77777777" w:rsidR="00BA7424" w:rsidRPr="008E4F36" w:rsidRDefault="00BA7424" w:rsidP="00BA7424">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5" w:history="1">
        <w:r w:rsidRPr="008E4F36">
          <w:rPr>
            <w:rStyle w:val="Hipervnculo"/>
            <w:rFonts w:ascii="Verdana" w:hAnsi="Verdana"/>
          </w:rPr>
          <w:t>www.colombiacompra.gov.co</w:t>
        </w:r>
      </w:hyperlink>
    </w:p>
    <w:p w14:paraId="00D3182B" w14:textId="77777777" w:rsidR="00BA7424" w:rsidRPr="008E4F36" w:rsidRDefault="00BA7424" w:rsidP="00BA7424">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3D52EC15" w14:textId="77777777" w:rsidR="00BA7424" w:rsidRPr="008E4F36" w:rsidRDefault="00BA7424" w:rsidP="00BA7424">
      <w:pPr>
        <w:spacing w:after="0" w:line="276" w:lineRule="auto"/>
        <w:jc w:val="both"/>
        <w:rPr>
          <w:rFonts w:ascii="Verdana" w:hAnsi="Verdana"/>
        </w:rPr>
      </w:pPr>
    </w:p>
    <w:p w14:paraId="3137BFE4" w14:textId="77777777" w:rsidR="00BA7424" w:rsidRPr="008E4F36" w:rsidRDefault="00BA7424" w:rsidP="00BA7424">
      <w:pPr>
        <w:spacing w:after="0" w:line="276" w:lineRule="auto"/>
        <w:jc w:val="both"/>
        <w:rPr>
          <w:rFonts w:ascii="Verdana" w:hAnsi="Verdana"/>
        </w:rPr>
      </w:pPr>
      <w:r w:rsidRPr="008E4F36">
        <w:rPr>
          <w:rFonts w:ascii="Verdana" w:hAnsi="Verdana"/>
        </w:rPr>
        <w:lastRenderedPageBreak/>
        <w:t xml:space="preserve">Twitter: </w:t>
      </w:r>
      <w:r w:rsidRPr="008E4F36">
        <w:rPr>
          <w:rStyle w:val="Hipervnculo"/>
          <w:rFonts w:ascii="Verdana" w:hAnsi="Verdana"/>
        </w:rPr>
        <w:t>@colombiacompra</w:t>
      </w:r>
      <w:r w:rsidRPr="008E4F36">
        <w:rPr>
          <w:rFonts w:ascii="Verdana" w:hAnsi="Verdana"/>
        </w:rPr>
        <w:t xml:space="preserve"> </w:t>
      </w:r>
    </w:p>
    <w:p w14:paraId="42C96019" w14:textId="77777777" w:rsidR="00BA7424" w:rsidRPr="008E4F36" w:rsidRDefault="00BA7424" w:rsidP="00BA7424">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427889DB" w14:textId="77777777" w:rsidR="00BA7424" w:rsidRPr="008E4F36" w:rsidRDefault="00BA7424" w:rsidP="00BA7424">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254D6A2E" w14:textId="77777777" w:rsidR="00BA7424" w:rsidRDefault="00BA7424" w:rsidP="00BA7424">
      <w:pPr>
        <w:spacing w:before="120" w:after="0" w:line="276" w:lineRule="auto"/>
        <w:jc w:val="both"/>
        <w:rPr>
          <w:rFonts w:ascii="Verdana" w:hAnsi="Verdana"/>
        </w:rPr>
      </w:pPr>
    </w:p>
    <w:p w14:paraId="25EF3576" w14:textId="77777777" w:rsidR="00BA7424" w:rsidRPr="00875027" w:rsidRDefault="00BA7424" w:rsidP="00BA7424">
      <w:pPr>
        <w:spacing w:before="120" w:after="0" w:line="276" w:lineRule="auto"/>
        <w:jc w:val="both"/>
        <w:rPr>
          <w:rFonts w:ascii="Verdana" w:hAnsi="Verdana"/>
          <w:sz w:val="20"/>
          <w:szCs w:val="20"/>
        </w:rPr>
      </w:pPr>
      <w:r w:rsidRPr="00875027">
        <w:rPr>
          <w:rFonts w:ascii="Verdana" w:hAnsi="Verdana"/>
          <w:sz w:val="20"/>
          <w:szCs w:val="20"/>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4E2C608" w14:textId="77777777" w:rsidR="00BA7424" w:rsidRPr="008E4F36" w:rsidRDefault="00BA7424" w:rsidP="00BA7424">
      <w:pPr>
        <w:spacing w:after="0" w:line="276" w:lineRule="auto"/>
        <w:jc w:val="both"/>
        <w:rPr>
          <w:rFonts w:ascii="Verdana" w:eastAsia="Calibri" w:hAnsi="Verdana" w:cs="Times New Roman"/>
        </w:rPr>
      </w:pPr>
    </w:p>
    <w:p w14:paraId="6AD41CC3" w14:textId="77777777" w:rsidR="00BA7424" w:rsidRDefault="00BA7424" w:rsidP="00BA7424">
      <w:pPr>
        <w:spacing w:after="0" w:line="276" w:lineRule="auto"/>
        <w:jc w:val="both"/>
        <w:rPr>
          <w:rFonts w:ascii="Verdana" w:eastAsia="Calibri" w:hAnsi="Verdana" w:cs="Times New Roman"/>
        </w:rPr>
      </w:pPr>
      <w:r w:rsidRPr="008E4F36">
        <w:rPr>
          <w:rFonts w:ascii="Verdana" w:eastAsia="Calibri" w:hAnsi="Verdana" w:cs="Times New Roman"/>
        </w:rPr>
        <w:t>Atentamente,</w:t>
      </w:r>
    </w:p>
    <w:bookmarkEnd w:id="0"/>
    <w:bookmarkEnd w:id="1"/>
    <w:p w14:paraId="41EC035B" w14:textId="77777777" w:rsidR="00BA7424" w:rsidRDefault="00BA7424" w:rsidP="00BA7424">
      <w:pPr>
        <w:spacing w:after="0"/>
        <w:rPr>
          <w:rFonts w:ascii="Verdana" w:hAnsi="Verdana"/>
        </w:rPr>
      </w:pPr>
    </w:p>
    <w:p w14:paraId="1DBA8059" w14:textId="1BEA061C" w:rsidR="00BA7424" w:rsidRDefault="00AF7A8A" w:rsidP="009B3B31">
      <w:pPr>
        <w:spacing w:after="0"/>
        <w:jc w:val="center"/>
        <w:rPr>
          <w:rFonts w:ascii="Verdana" w:hAnsi="Verdana"/>
        </w:rPr>
      </w:pPr>
      <w:r w:rsidRPr="00EC2F74">
        <w:rPr>
          <w:rFonts w:ascii="Century Gothic" w:hAnsi="Century Gothic"/>
          <w:noProof/>
          <w:lang w:val="es-ES"/>
        </w:rPr>
        <w:drawing>
          <wp:inline distT="0" distB="0" distL="0" distR="0" wp14:anchorId="4327AB44" wp14:editId="63E221E6">
            <wp:extent cx="3439299" cy="1276710"/>
            <wp:effectExtent l="0" t="0" r="2540" b="635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466383" cy="1286764"/>
                    </a:xfrm>
                    <a:prstGeom prst="rect">
                      <a:avLst/>
                    </a:prstGeom>
                  </pic:spPr>
                </pic:pic>
              </a:graphicData>
            </a:graphic>
          </wp:inline>
        </w:drawing>
      </w:r>
    </w:p>
    <w:p w14:paraId="1AA365F6" w14:textId="77777777" w:rsidR="00BA7424" w:rsidRDefault="00BA7424" w:rsidP="00BA7424">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A7424" w:rsidRPr="002423D6" w14:paraId="3106143B" w14:textId="77777777" w:rsidTr="006C13D1">
        <w:trPr>
          <w:trHeight w:val="315"/>
        </w:trPr>
        <w:tc>
          <w:tcPr>
            <w:tcW w:w="893" w:type="dxa"/>
            <w:vAlign w:val="center"/>
            <w:hideMark/>
          </w:tcPr>
          <w:p w14:paraId="098B478B" w14:textId="77777777" w:rsidR="00BA7424" w:rsidRPr="002423D6" w:rsidRDefault="00BA7424" w:rsidP="006C13D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F444350" w14:textId="77777777" w:rsidR="00BA7424" w:rsidRPr="002423D6" w:rsidRDefault="00BA7424" w:rsidP="006C13D1">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38D72729" w14:textId="77777777" w:rsidR="00BA7424" w:rsidRPr="002423D6" w:rsidRDefault="00BA7424" w:rsidP="006C13D1">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BA7424" w:rsidRPr="002423D6" w14:paraId="68559247" w14:textId="77777777" w:rsidTr="006C13D1">
        <w:trPr>
          <w:trHeight w:val="330"/>
        </w:trPr>
        <w:tc>
          <w:tcPr>
            <w:tcW w:w="893" w:type="dxa"/>
            <w:vAlign w:val="center"/>
            <w:hideMark/>
          </w:tcPr>
          <w:p w14:paraId="5142E816" w14:textId="77777777" w:rsidR="00BA7424" w:rsidRPr="002423D6" w:rsidRDefault="00BA7424" w:rsidP="006C13D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CE66DE" w14:textId="77777777" w:rsidR="00BA7424" w:rsidRPr="002423D6" w:rsidRDefault="00BA7424" w:rsidP="006C13D1">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Adriana Katherine López </w:t>
            </w:r>
          </w:p>
          <w:p w14:paraId="1F4D0215" w14:textId="77777777" w:rsidR="00BA7424" w:rsidRPr="002423D6" w:rsidRDefault="00BA7424" w:rsidP="006C13D1">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BA7424" w:rsidRPr="002423D6" w14:paraId="6C5803C1" w14:textId="77777777" w:rsidTr="006C13D1">
        <w:trPr>
          <w:trHeight w:val="300"/>
        </w:trPr>
        <w:tc>
          <w:tcPr>
            <w:tcW w:w="893" w:type="dxa"/>
            <w:vAlign w:val="center"/>
          </w:tcPr>
          <w:p w14:paraId="35D9A5E7" w14:textId="77777777" w:rsidR="00BA7424" w:rsidRPr="002423D6" w:rsidRDefault="00BA7424" w:rsidP="006C13D1">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9BE6F46" w14:textId="77777777" w:rsidR="00BA7424" w:rsidRPr="002423D6" w:rsidRDefault="00BA7424" w:rsidP="006C13D1">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19BFC0E6" w14:textId="77777777" w:rsidR="00BA7424" w:rsidRPr="002423D6" w:rsidRDefault="00BA7424" w:rsidP="006C13D1">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794F8E8" w14:textId="77777777" w:rsidR="00BA7424" w:rsidRDefault="00BA7424" w:rsidP="00BA7424"/>
    <w:p w14:paraId="791D7E12" w14:textId="0B64053A" w:rsidR="00BA7424" w:rsidRDefault="00BA7424" w:rsidP="00BA7424">
      <w:r>
        <w:t xml:space="preserve"> </w:t>
      </w:r>
    </w:p>
    <w:p w14:paraId="7B7A75AB" w14:textId="77777777" w:rsidR="00BA7424" w:rsidRDefault="00BA7424" w:rsidP="00BA7424"/>
    <w:p w14:paraId="24010826" w14:textId="77777777" w:rsidR="00BA7424" w:rsidRPr="00C84654" w:rsidRDefault="00BA7424" w:rsidP="00BA7424">
      <w:pPr>
        <w:rPr>
          <w:b/>
          <w:bCs/>
        </w:rPr>
      </w:pPr>
    </w:p>
    <w:p w14:paraId="56A26A5A" w14:textId="77777777" w:rsidR="00BA7424" w:rsidRDefault="00BA7424" w:rsidP="00BA7424"/>
    <w:p w14:paraId="2FD6E2A7" w14:textId="77777777" w:rsidR="00BA7424" w:rsidRPr="00094BA7" w:rsidRDefault="00BA7424" w:rsidP="00BA7424"/>
    <w:p w14:paraId="7DB73C98" w14:textId="77777777" w:rsidR="000F5A42" w:rsidRPr="00FC20A7" w:rsidRDefault="000F5A42" w:rsidP="00FC20A7"/>
    <w:sectPr w:rsidR="000F5A42" w:rsidRPr="00FC20A7" w:rsidSect="00A82FC4">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B9D99" w14:textId="77777777" w:rsidR="00ED55B1" w:rsidRDefault="00ED55B1">
      <w:pPr>
        <w:spacing w:after="0" w:line="240" w:lineRule="auto"/>
      </w:pPr>
      <w:r>
        <w:separator/>
      </w:r>
    </w:p>
  </w:endnote>
  <w:endnote w:type="continuationSeparator" w:id="0">
    <w:p w14:paraId="71B965A8" w14:textId="77777777" w:rsidR="00ED55B1" w:rsidRDefault="00ED5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D8EDD" w14:textId="77777777" w:rsidR="00A82FC4" w:rsidRDefault="00A82FC4" w:rsidP="000849D5">
    <w:pPr>
      <w:spacing w:after="0"/>
      <w:rPr>
        <w:rFonts w:ascii="Verdana" w:hAnsi="Verdana"/>
        <w:b/>
        <w:bCs/>
        <w:sz w:val="20"/>
        <w:szCs w:val="20"/>
      </w:rPr>
    </w:pPr>
  </w:p>
  <w:p w14:paraId="26CE7ACB" w14:textId="77777777" w:rsidR="00A82FC4" w:rsidRPr="00174B77" w:rsidRDefault="00A82FC4"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A4994A9" w14:textId="77777777" w:rsidR="00A82FC4" w:rsidRDefault="00A82FC4"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3D90C35" w14:textId="77777777" w:rsidR="00A82FC4" w:rsidRPr="00E41027" w:rsidRDefault="00A82FC4" w:rsidP="000849D5">
    <w:pPr>
      <w:spacing w:after="0"/>
      <w:jc w:val="both"/>
      <w:rPr>
        <w:rFonts w:ascii="Verdana" w:hAnsi="Verdana"/>
        <w:sz w:val="18"/>
        <w:szCs w:val="18"/>
      </w:rPr>
    </w:pPr>
    <w:r w:rsidRPr="00E41027">
      <w:rPr>
        <w:rFonts w:ascii="Verdana" w:hAnsi="Verdana"/>
        <w:sz w:val="18"/>
        <w:szCs w:val="18"/>
      </w:rPr>
      <w:t>Mesa de servicio: (+57) 601 7456788</w:t>
    </w:r>
  </w:p>
  <w:p w14:paraId="48B62DE9" w14:textId="77777777" w:rsidR="00A82FC4" w:rsidRDefault="00A82FC4"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00C29A0" w14:textId="77777777" w:rsidR="00A82FC4" w:rsidRPr="007D04B2" w:rsidRDefault="00A82FC4" w:rsidP="000849D5">
    <w:pPr>
      <w:pStyle w:val="Piedepgina"/>
    </w:pPr>
  </w:p>
  <w:p w14:paraId="3DA59AC5" w14:textId="77777777" w:rsidR="00A82FC4" w:rsidRPr="000849D5" w:rsidRDefault="00A82FC4"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AE13B" w14:textId="77777777" w:rsidR="00ED55B1" w:rsidRDefault="00ED55B1">
      <w:pPr>
        <w:spacing w:after="0" w:line="240" w:lineRule="auto"/>
      </w:pPr>
      <w:r>
        <w:separator/>
      </w:r>
    </w:p>
  </w:footnote>
  <w:footnote w:type="continuationSeparator" w:id="0">
    <w:p w14:paraId="13E18446" w14:textId="77777777" w:rsidR="00ED55B1" w:rsidRDefault="00ED55B1">
      <w:pPr>
        <w:spacing w:after="0" w:line="240" w:lineRule="auto"/>
      </w:pPr>
      <w:r>
        <w:continuationSeparator/>
      </w:r>
    </w:p>
  </w:footnote>
  <w:footnote w:id="1">
    <w:p w14:paraId="6F544DC9" w14:textId="77777777" w:rsidR="009C7578" w:rsidRPr="00136215" w:rsidRDefault="009C7578" w:rsidP="009C7578">
      <w:pPr>
        <w:pStyle w:val="Textonotapie"/>
        <w:ind w:firstLine="707"/>
        <w:rPr>
          <w:rFonts w:ascii="Verdana" w:hAnsi="Verdana"/>
          <w:sz w:val="14"/>
          <w:szCs w:val="14"/>
          <w:lang w:val="es-ES"/>
        </w:rPr>
      </w:pPr>
      <w:r w:rsidRPr="00136215">
        <w:rPr>
          <w:rStyle w:val="Refdenotaalpie"/>
          <w:rFonts w:ascii="Verdana" w:hAnsi="Verdana"/>
          <w:sz w:val="14"/>
          <w:szCs w:val="14"/>
        </w:rPr>
        <w:footnoteRef/>
      </w:r>
      <w:r w:rsidRPr="00136215">
        <w:rPr>
          <w:rFonts w:ascii="Verdana" w:hAnsi="Verdana"/>
          <w:sz w:val="14"/>
          <w:szCs w:val="14"/>
        </w:rPr>
        <w:t xml:space="preserve"> </w:t>
      </w:r>
      <w:r w:rsidRPr="00136215">
        <w:rPr>
          <w:rFonts w:ascii="Verdana" w:eastAsia="Times New Roman" w:hAnsi="Verdana" w:cs="Arial"/>
          <w:bCs/>
          <w:sz w:val="14"/>
          <w:szCs w:val="14"/>
          <w:lang w:val="es-ES_tradnl" w:eastAsia="es-ES_tradnl"/>
        </w:rPr>
        <w:t>Concepto 193201 del 25 de mayo de 2022 del Departamento Administrativo de la Función Pública</w:t>
      </w:r>
    </w:p>
  </w:footnote>
  <w:footnote w:id="2">
    <w:p w14:paraId="12525036" w14:textId="77777777" w:rsidR="00BA7424" w:rsidRPr="00136215" w:rsidRDefault="00BA7424" w:rsidP="00BA7424">
      <w:pPr>
        <w:pStyle w:val="Textonotapie"/>
        <w:ind w:firstLine="709"/>
        <w:jc w:val="both"/>
        <w:rPr>
          <w:rFonts w:ascii="Verdana" w:eastAsia="Times New Roman" w:hAnsi="Verdana" w:cs="Arial"/>
          <w:bCs/>
          <w:sz w:val="14"/>
          <w:szCs w:val="14"/>
          <w:lang w:val="es-ES_tradnl" w:eastAsia="es-ES_tradnl"/>
        </w:rPr>
      </w:pPr>
      <w:r w:rsidRPr="00136215">
        <w:rPr>
          <w:rStyle w:val="Refdenotaalpie"/>
          <w:rFonts w:ascii="Verdana" w:hAnsi="Verdana" w:cs="Arial"/>
          <w:sz w:val="14"/>
          <w:szCs w:val="14"/>
        </w:rPr>
        <w:footnoteRef/>
      </w:r>
      <w:r w:rsidRPr="00136215">
        <w:rPr>
          <w:rFonts w:ascii="Verdana" w:hAnsi="Verdana" w:cs="Arial"/>
          <w:sz w:val="14"/>
          <w:szCs w:val="14"/>
        </w:rPr>
        <w:t xml:space="preserve"> </w:t>
      </w:r>
      <w:r w:rsidRPr="00136215">
        <w:rPr>
          <w:rFonts w:ascii="Verdana" w:eastAsia="Times New Roman" w:hAnsi="Verdana" w:cs="Arial"/>
          <w:bCs/>
          <w:sz w:val="14"/>
          <w:szCs w:val="14"/>
          <w:lang w:val="es-ES_tradnl" w:eastAsia="es-ES_tradnl"/>
        </w:rPr>
        <w:t xml:space="preserve">Decreto 1068 de 2015: “Artículo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ADBD279" w14:textId="77777777" w:rsidR="00BA7424" w:rsidRPr="00136215" w:rsidRDefault="00BA7424" w:rsidP="00BA7424">
      <w:pPr>
        <w:pStyle w:val="Textonotapie"/>
        <w:ind w:firstLine="709"/>
        <w:jc w:val="both"/>
        <w:rPr>
          <w:rFonts w:ascii="Verdana" w:eastAsia="Times New Roman" w:hAnsi="Verdana" w:cs="Arial"/>
          <w:bCs/>
          <w:sz w:val="14"/>
          <w:szCs w:val="14"/>
          <w:lang w:val="es-ES_tradnl" w:eastAsia="es-ES_tradnl"/>
        </w:rPr>
      </w:pPr>
      <w:r w:rsidRPr="00136215">
        <w:rPr>
          <w:rFonts w:ascii="Verdana" w:eastAsia="Times New Roman" w:hAnsi="Verdana" w:cs="Arial"/>
          <w:bCs/>
          <w:sz w:val="14"/>
          <w:szCs w:val="14"/>
          <w:lang w:val="es-ES_tradnl" w:eastAsia="es-ES_tradnl"/>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5E266843" w14:textId="77777777" w:rsidR="00BA7424" w:rsidRPr="00136215" w:rsidRDefault="00BA7424" w:rsidP="00BA7424">
      <w:pPr>
        <w:pStyle w:val="Textonotapie"/>
        <w:ind w:firstLine="708"/>
        <w:jc w:val="both"/>
        <w:rPr>
          <w:rFonts w:ascii="Verdana" w:eastAsia="Times New Roman" w:hAnsi="Verdana" w:cs="Arial"/>
          <w:bCs/>
          <w:sz w:val="14"/>
          <w:szCs w:val="14"/>
          <w:lang w:val="es-ES_tradnl" w:eastAsia="es-ES_tradnl"/>
        </w:rPr>
      </w:pPr>
      <w:r w:rsidRPr="00136215">
        <w:rPr>
          <w:rFonts w:ascii="Verdana" w:eastAsia="Times New Roman" w:hAnsi="Verdana" w:cs="Arial"/>
          <w:bCs/>
          <w:sz w:val="14"/>
          <w:szCs w:val="14"/>
          <w:lang w:val="es-ES_tradnl" w:eastAsia="es-ES_tradnl"/>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027AB95F" w14:textId="77777777" w:rsidR="00BA7424" w:rsidRPr="00136215" w:rsidRDefault="00BA7424" w:rsidP="00BA7424">
      <w:pPr>
        <w:pStyle w:val="Textonotapie"/>
        <w:ind w:firstLine="708"/>
        <w:jc w:val="both"/>
        <w:rPr>
          <w:rFonts w:ascii="Verdana" w:hAnsi="Verdana" w:cs="Arial"/>
          <w:sz w:val="14"/>
          <w:szCs w:val="14"/>
        </w:rPr>
      </w:pPr>
    </w:p>
  </w:footnote>
  <w:footnote w:id="3">
    <w:p w14:paraId="39261B9F" w14:textId="77777777" w:rsidR="00BA7424" w:rsidRPr="00136215" w:rsidRDefault="00BA7424" w:rsidP="00BA7424">
      <w:pPr>
        <w:pStyle w:val="Textonotapie"/>
        <w:snapToGrid w:val="0"/>
        <w:ind w:firstLine="709"/>
        <w:jc w:val="both"/>
        <w:rPr>
          <w:rFonts w:ascii="Verdana" w:eastAsia="Times New Roman" w:hAnsi="Verdana" w:cs="Arial"/>
          <w:bCs/>
          <w:sz w:val="14"/>
          <w:szCs w:val="14"/>
          <w:lang w:val="es-ES_tradnl" w:eastAsia="es-ES_tradnl"/>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eastAsia="Times New Roman" w:hAnsi="Verdana" w:cs="Arial"/>
          <w:bCs/>
          <w:sz w:val="14"/>
          <w:szCs w:val="14"/>
          <w:lang w:val="es-ES_tradnl" w:eastAsia="es-ES_tradnl"/>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5FE7FC1" w14:textId="77777777" w:rsidR="00BA7424" w:rsidRPr="00136215" w:rsidRDefault="00BA7424" w:rsidP="00BA7424">
      <w:pPr>
        <w:pStyle w:val="Textonotapie"/>
        <w:snapToGrid w:val="0"/>
        <w:ind w:firstLine="709"/>
        <w:jc w:val="both"/>
        <w:rPr>
          <w:rFonts w:ascii="Verdana" w:eastAsia="Times New Roman" w:hAnsi="Verdana" w:cs="Arial"/>
          <w:bCs/>
          <w:sz w:val="14"/>
          <w:szCs w:val="14"/>
          <w:lang w:val="es-ES_tradnl" w:eastAsia="es-ES_tradnl"/>
        </w:rPr>
      </w:pPr>
      <w:r w:rsidRPr="00136215">
        <w:rPr>
          <w:rFonts w:ascii="Verdana" w:eastAsia="Times New Roman" w:hAnsi="Verdana" w:cs="Arial"/>
          <w:bCs/>
          <w:sz w:val="14"/>
          <w:szCs w:val="14"/>
          <w:lang w:val="es-ES_tradnl" w:eastAsia="es-ES_tradnl"/>
        </w:rPr>
        <w:t>2. Quien presta el servicio se denomina trabajador, quien lo recibe y remunera, empleador, y la remuneración, cualquiera que sea su forma, salario”.</w:t>
      </w:r>
    </w:p>
    <w:p w14:paraId="0F77C331"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p>
  </w:footnote>
  <w:footnote w:id="4">
    <w:p w14:paraId="0087EB7F"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eastAsia="Times New Roman" w:hAnsi="Verdana" w:cs="Arial"/>
          <w:bCs/>
          <w:sz w:val="14"/>
          <w:szCs w:val="14"/>
          <w:lang w:val="es-ES_tradnl" w:eastAsia="es-ES_tradnl"/>
        </w:rPr>
        <w:t>Corte Constitucional Sentencia C-154 de 1997, Magistrado Ponente Dr. Hernando Herrera Vergara</w:t>
      </w:r>
    </w:p>
    <w:p w14:paraId="79621F8E"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p>
  </w:footnote>
  <w:footnote w:id="5">
    <w:p w14:paraId="4461822C" w14:textId="77777777" w:rsidR="00BA7424" w:rsidRPr="00136215" w:rsidRDefault="00BA7424" w:rsidP="00BA7424">
      <w:pPr>
        <w:pStyle w:val="Textonotapie"/>
        <w:snapToGrid w:val="0"/>
        <w:ind w:firstLine="709"/>
        <w:jc w:val="both"/>
        <w:rPr>
          <w:rFonts w:ascii="Verdana" w:eastAsia="Times New Roman" w:hAnsi="Verdana" w:cs="Arial"/>
          <w:bCs/>
          <w:sz w:val="14"/>
          <w:szCs w:val="14"/>
          <w:lang w:val="es-ES_tradnl" w:eastAsia="es-ES_tradnl"/>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eastAsia="Times New Roman" w:hAnsi="Verdana" w:cs="Arial"/>
          <w:bCs/>
          <w:sz w:val="14"/>
          <w:szCs w:val="14"/>
          <w:lang w:val="es-ES_tradnl" w:eastAsia="es-ES_tradnl"/>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BCBB377" w14:textId="77777777" w:rsidR="00BA7424" w:rsidRPr="00136215" w:rsidRDefault="00BA7424" w:rsidP="00BA7424">
      <w:pPr>
        <w:pStyle w:val="Textonotapie"/>
        <w:snapToGrid w:val="0"/>
        <w:ind w:firstLine="709"/>
        <w:jc w:val="both"/>
        <w:rPr>
          <w:rFonts w:ascii="Verdana" w:eastAsia="Times New Roman" w:hAnsi="Verdana" w:cs="Arial"/>
          <w:bCs/>
          <w:sz w:val="14"/>
          <w:szCs w:val="14"/>
          <w:lang w:val="es-ES_tradnl" w:eastAsia="es-ES_tradnl"/>
        </w:rPr>
      </w:pPr>
      <w:r w:rsidRPr="00136215">
        <w:rPr>
          <w:rFonts w:ascii="Verdana" w:eastAsia="Times New Roman" w:hAnsi="Verdana" w:cs="Arial"/>
          <w:bCs/>
          <w:sz w:val="14"/>
          <w:szCs w:val="14"/>
          <w:lang w:val="es-ES_tradnl" w:eastAsia="es-ES_tradnl"/>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0B0C223" w14:textId="77777777" w:rsidR="00BA7424" w:rsidRPr="00136215" w:rsidRDefault="00BA7424" w:rsidP="00BA7424">
      <w:pPr>
        <w:pStyle w:val="Textonotapie"/>
        <w:snapToGrid w:val="0"/>
        <w:ind w:firstLine="709"/>
        <w:jc w:val="both"/>
        <w:rPr>
          <w:rFonts w:ascii="Verdana" w:eastAsia="Times New Roman" w:hAnsi="Verdana" w:cs="Arial"/>
          <w:bCs/>
          <w:sz w:val="14"/>
          <w:szCs w:val="14"/>
          <w:lang w:val="es-ES_tradnl" w:eastAsia="es-ES_tradnl"/>
        </w:rPr>
      </w:pPr>
      <w:r w:rsidRPr="00136215">
        <w:rPr>
          <w:rFonts w:ascii="Verdana" w:eastAsia="Times New Roman" w:hAnsi="Verdana" w:cs="Arial"/>
          <w:bCs/>
          <w:sz w:val="14"/>
          <w:szCs w:val="14"/>
          <w:lang w:val="es-ES_tradnl" w:eastAsia="es-ES_tradnl"/>
        </w:rPr>
        <w:t>La Entidad Estatal, para la contratación de trabajos artísticos que solamente puedan en­comendarse a determinadas personas naturales, debe justificar esta situación en los estudios y documentos previos”.</w:t>
      </w:r>
    </w:p>
  </w:footnote>
  <w:footnote w:id="6">
    <w:p w14:paraId="18146D64" w14:textId="77777777" w:rsidR="00BA7424" w:rsidRPr="00136215" w:rsidRDefault="00BA7424" w:rsidP="00BA7424">
      <w:pPr>
        <w:pStyle w:val="Textonotapie"/>
        <w:snapToGrid w:val="0"/>
        <w:ind w:firstLine="709"/>
        <w:jc w:val="both"/>
        <w:rPr>
          <w:rFonts w:ascii="Verdana" w:hAnsi="Verdana" w:cs="Arial"/>
          <w:color w:val="000000"/>
          <w:sz w:val="14"/>
          <w:szCs w:val="14"/>
        </w:rPr>
      </w:pPr>
    </w:p>
    <w:p w14:paraId="62B56367"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hAnsi="Verdana" w:cs="Arial"/>
          <w:color w:val="000000"/>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63B35619"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1. La causal que invoca para contratar directamente.</w:t>
      </w:r>
    </w:p>
    <w:p w14:paraId="71FADFFC"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2. El objeto del contrato.</w:t>
      </w:r>
    </w:p>
    <w:p w14:paraId="406FBDC2"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3. El presupuesto para la contratación y las condiciones que exigirá al contratista.</w:t>
      </w:r>
    </w:p>
    <w:p w14:paraId="19CF9505"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4. El lugar en el cual los interesados pueden consultar los estudios y documentos previos.</w:t>
      </w:r>
    </w:p>
    <w:p w14:paraId="4B94969D"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7">
    <w:p w14:paraId="1E62EEE9" w14:textId="77777777" w:rsidR="00BA7424" w:rsidRPr="00136215" w:rsidRDefault="00BA7424" w:rsidP="00BA7424">
      <w:pPr>
        <w:pStyle w:val="Textonotapie"/>
        <w:snapToGrid w:val="0"/>
        <w:ind w:firstLine="709"/>
        <w:jc w:val="both"/>
        <w:rPr>
          <w:rFonts w:ascii="Verdana" w:hAnsi="Verdana" w:cs="Arial"/>
          <w:color w:val="000000"/>
          <w:sz w:val="14"/>
          <w:szCs w:val="14"/>
        </w:rPr>
      </w:pPr>
    </w:p>
    <w:p w14:paraId="54742D5F"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hAnsi="Verdana" w:cs="Arial"/>
          <w:color w:val="000000"/>
          <w:sz w:val="14"/>
          <w:szCs w:val="14"/>
          <w:lang w:val="es-ES"/>
        </w:rPr>
        <w:t>Esta norma expresa: “Para el cumplimiento de los fines de la contratación, las entidades estatales al celebrar un contrato:</w:t>
      </w:r>
    </w:p>
    <w:p w14:paraId="07FD6F5B"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w:t>
      </w:r>
    </w:p>
    <w:p w14:paraId="20A5A15F"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D2C6C8B"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Las entidades estatales podrán pactar estas cláusulas en los contratos de suministro y de prestación de servicios.</w:t>
      </w:r>
    </w:p>
    <w:p w14:paraId="7C4CB85B"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w:t>
      </w:r>
    </w:p>
  </w:footnote>
  <w:footnote w:id="8">
    <w:p w14:paraId="26496D2D"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hAnsi="Verdana" w:cs="Arial"/>
          <w:color w:val="000000"/>
          <w:sz w:val="14"/>
          <w:szCs w:val="14"/>
          <w:lang w:val="es-ES"/>
        </w:rPr>
        <w:t>La norma dispone: “La liquidación a que se refiere el presente artículo no será obligatoria en los contratos de prestación de servicios profesionales y de apoyo a la gestión”.</w:t>
      </w:r>
    </w:p>
    <w:p w14:paraId="69EE2366"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p>
  </w:footnote>
  <w:footnote w:id="9">
    <w:p w14:paraId="6FD0E7E7"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hAnsi="Verdana" w:cs="Arial"/>
          <w:color w:val="000000"/>
          <w:sz w:val="14"/>
          <w:szCs w:val="14"/>
          <w:lang w:val="es-ES"/>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C5D7FAE"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Fonts w:ascii="Verdana" w:hAnsi="Verdana" w:cs="Arial"/>
          <w:color w:val="000000"/>
          <w:sz w:val="14"/>
          <w:szCs w:val="14"/>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69F80C4D" w14:textId="77777777" w:rsidR="00BA7424" w:rsidRPr="00136215" w:rsidRDefault="00BA7424" w:rsidP="00BA7424">
      <w:pPr>
        <w:pStyle w:val="Textonotapie"/>
        <w:snapToGrid w:val="0"/>
        <w:ind w:firstLine="709"/>
        <w:jc w:val="both"/>
        <w:rPr>
          <w:rFonts w:ascii="Verdana" w:hAnsi="Verdana" w:cs="Arial"/>
          <w:color w:val="000000"/>
          <w:sz w:val="14"/>
          <w:szCs w:val="14"/>
        </w:rPr>
      </w:pPr>
      <w:r w:rsidRPr="00136215">
        <w:rPr>
          <w:rFonts w:ascii="Verdana" w:hAnsi="Verdana" w:cs="Arial"/>
          <w:color w:val="000000"/>
          <w:sz w:val="14"/>
          <w:szCs w:val="14"/>
        </w:rPr>
        <w:t>[…]”.</w:t>
      </w:r>
    </w:p>
    <w:p w14:paraId="6BFCDADC"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p>
  </w:footnote>
  <w:footnote w:id="10">
    <w:p w14:paraId="5E65118C"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r w:rsidRPr="00136215">
        <w:rPr>
          <w:rStyle w:val="Refdenotaalpie"/>
          <w:rFonts w:ascii="Verdana" w:hAnsi="Verdana" w:cs="Arial"/>
          <w:sz w:val="14"/>
          <w:szCs w:val="14"/>
        </w:rPr>
        <w:footnoteRef/>
      </w:r>
      <w:r w:rsidRPr="00136215">
        <w:rPr>
          <w:rFonts w:ascii="Verdana" w:hAnsi="Verdana" w:cs="Arial"/>
          <w:color w:val="000000"/>
          <w:sz w:val="14"/>
          <w:szCs w:val="14"/>
        </w:rPr>
        <w:t xml:space="preserve"> </w:t>
      </w:r>
      <w:r w:rsidRPr="00136215">
        <w:rPr>
          <w:rFonts w:ascii="Verdana" w:hAnsi="Verdana" w:cs="Arial"/>
          <w:color w:val="000000"/>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665F09CA" w14:textId="77777777" w:rsidR="00BA7424" w:rsidRPr="00136215" w:rsidRDefault="00BA7424" w:rsidP="00BA7424">
      <w:pPr>
        <w:pStyle w:val="Textonotapie"/>
        <w:snapToGrid w:val="0"/>
        <w:ind w:firstLine="709"/>
        <w:jc w:val="both"/>
        <w:rPr>
          <w:rFonts w:ascii="Verdana" w:hAnsi="Verdana" w:cs="Arial"/>
          <w:color w:val="000000"/>
          <w:sz w:val="14"/>
          <w:szCs w:val="14"/>
          <w:lang w:val="es-ES"/>
        </w:rPr>
      </w:pPr>
    </w:p>
  </w:footnote>
  <w:footnote w:id="11">
    <w:p w14:paraId="670773BB" w14:textId="77777777" w:rsidR="00BA7424" w:rsidRPr="00136215" w:rsidRDefault="00BA7424" w:rsidP="00BA7424">
      <w:pPr>
        <w:pStyle w:val="Textonotapie"/>
        <w:ind w:firstLine="708"/>
        <w:contextualSpacing/>
        <w:jc w:val="both"/>
        <w:rPr>
          <w:rFonts w:ascii="Verdana" w:hAnsi="Verdana" w:cs="Arial"/>
          <w:sz w:val="14"/>
          <w:szCs w:val="14"/>
        </w:rPr>
      </w:pPr>
      <w:r w:rsidRPr="00136215">
        <w:rPr>
          <w:rStyle w:val="Refdenotaalpie"/>
          <w:rFonts w:ascii="Verdana" w:hAnsi="Verdana" w:cs="Arial"/>
          <w:sz w:val="14"/>
          <w:szCs w:val="14"/>
        </w:rPr>
        <w:footnoteRef/>
      </w:r>
      <w:r w:rsidRPr="00136215">
        <w:rPr>
          <w:rFonts w:ascii="Verdana" w:hAnsi="Verdana" w:cs="Arial"/>
          <w:sz w:val="14"/>
          <w:szCs w:val="14"/>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12">
    <w:p w14:paraId="23EFB59C" w14:textId="77777777" w:rsidR="00BA7424" w:rsidRPr="00136215" w:rsidRDefault="00BA7424" w:rsidP="00BA7424">
      <w:pPr>
        <w:pStyle w:val="Textonotapie"/>
        <w:ind w:firstLine="708"/>
        <w:contextualSpacing/>
        <w:jc w:val="both"/>
        <w:rPr>
          <w:rFonts w:ascii="Verdana" w:hAnsi="Verdana" w:cs="Arial"/>
          <w:sz w:val="14"/>
          <w:szCs w:val="14"/>
        </w:rPr>
      </w:pPr>
      <w:r w:rsidRPr="00136215">
        <w:rPr>
          <w:rStyle w:val="Refdenotaalpie"/>
          <w:rFonts w:ascii="Verdana" w:hAnsi="Verdana" w:cs="Arial"/>
          <w:sz w:val="14"/>
          <w:szCs w:val="14"/>
        </w:rPr>
        <w:footnoteRef/>
      </w:r>
      <w:r w:rsidRPr="00136215">
        <w:rPr>
          <w:rFonts w:ascii="Verdana" w:hAnsi="Verdana" w:cs="Arial"/>
          <w:sz w:val="14"/>
          <w:szCs w:val="14"/>
        </w:rPr>
        <w:t xml:space="preserve"> Colombia Compra Eficiente. </w:t>
      </w:r>
      <w:r w:rsidRPr="00136215">
        <w:rPr>
          <w:rFonts w:ascii="Verdana" w:eastAsia="Calibri" w:hAnsi="Verdana" w:cs="Arial"/>
          <w:bCs/>
          <w:sz w:val="14"/>
          <w:szCs w:val="14"/>
          <w:lang w:val="es-ES_tradnl" w:eastAsia="es-ES_tradnl"/>
        </w:rPr>
        <w:t>Guía de Elaboración de Estudios del Sector</w:t>
      </w:r>
      <w:r w:rsidRPr="00136215">
        <w:rPr>
          <w:rFonts w:ascii="Verdana" w:hAnsi="Verdana" w:cs="Arial"/>
          <w:sz w:val="14"/>
          <w:szCs w:val="14"/>
        </w:rPr>
        <w:t xml:space="preserve">. Disponible en: </w:t>
      </w:r>
      <w:hyperlink r:id="rId1" w:history="1">
        <w:r w:rsidRPr="00136215">
          <w:rPr>
            <w:rStyle w:val="Hipervnculo"/>
            <w:rFonts w:ascii="Verdana" w:hAnsi="Verdana" w:cs="Arial"/>
            <w:sz w:val="14"/>
            <w:szCs w:val="14"/>
          </w:rPr>
          <w:t>https://www.colombiacompra.gov.co/manuales-guias-y-pliegos-tipo/manuales-y-guias</w:t>
        </w:r>
      </w:hyperlink>
      <w:r w:rsidRPr="00136215">
        <w:rPr>
          <w:rFonts w:ascii="Verdana" w:hAnsi="Verdana" w:cs="Arial"/>
          <w:sz w:val="14"/>
          <w:szCs w:val="14"/>
        </w:rPr>
        <w:t xml:space="preserve"> </w:t>
      </w:r>
    </w:p>
    <w:p w14:paraId="3E16F1FF" w14:textId="77777777" w:rsidR="00BA7424" w:rsidRPr="00136215" w:rsidRDefault="00BA7424" w:rsidP="00BA7424">
      <w:pPr>
        <w:pStyle w:val="Textonotapie"/>
        <w:ind w:firstLine="708"/>
        <w:contextualSpacing/>
        <w:jc w:val="both"/>
        <w:rPr>
          <w:rFonts w:ascii="Verdana" w:hAnsi="Verdana" w:cs="Arial"/>
          <w:sz w:val="14"/>
          <w:szCs w:val="14"/>
          <w:lang w:val="es-CO"/>
        </w:rPr>
      </w:pPr>
    </w:p>
  </w:footnote>
  <w:footnote w:id="13">
    <w:p w14:paraId="114E92B0" w14:textId="77777777" w:rsidR="00BA7424" w:rsidRPr="00136215" w:rsidRDefault="00BA7424" w:rsidP="00BA7424">
      <w:pPr>
        <w:pStyle w:val="Textonotapie"/>
        <w:ind w:firstLine="707"/>
        <w:rPr>
          <w:rFonts w:ascii="Verdana" w:hAnsi="Verdana"/>
          <w:sz w:val="14"/>
          <w:szCs w:val="14"/>
          <w:lang w:val="es-ES"/>
        </w:rPr>
      </w:pPr>
      <w:r w:rsidRPr="00136215">
        <w:rPr>
          <w:rStyle w:val="Refdenotaalpie"/>
          <w:rFonts w:ascii="Verdana" w:hAnsi="Verdana"/>
          <w:sz w:val="14"/>
          <w:szCs w:val="14"/>
        </w:rPr>
        <w:footnoteRef/>
      </w:r>
      <w:r w:rsidRPr="00136215">
        <w:rPr>
          <w:rFonts w:ascii="Verdana" w:hAnsi="Verdana"/>
          <w:sz w:val="14"/>
          <w:szCs w:val="14"/>
        </w:rPr>
        <w:t xml:space="preserve"> </w:t>
      </w:r>
      <w:r w:rsidRPr="00136215">
        <w:rPr>
          <w:rFonts w:ascii="Verdana" w:eastAsia="Times New Roman" w:hAnsi="Verdana" w:cs="Arial"/>
          <w:bCs/>
          <w:sz w:val="14"/>
          <w:szCs w:val="14"/>
          <w:lang w:val="es-ES_tradnl" w:eastAsia="es-ES_tradnl"/>
        </w:rPr>
        <w:t>Concepto 193201 del 25 de mayo de 2022 del Departamento Administrativo de la Función Pública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09D67" w14:textId="77777777" w:rsidR="00A82FC4" w:rsidRDefault="00A82FC4"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4E7356F" wp14:editId="64F9D9D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027B48C" wp14:editId="6E4640B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873540E" w14:textId="77777777" w:rsidR="00A82FC4" w:rsidRDefault="00A82FC4" w:rsidP="00515FB5">
    <w:pPr>
      <w:pStyle w:val="Encabezado"/>
    </w:pPr>
  </w:p>
  <w:p w14:paraId="5B6C7C8B" w14:textId="77777777" w:rsidR="00A82FC4" w:rsidRDefault="00A82FC4" w:rsidP="00515FB5">
    <w:pPr>
      <w:pStyle w:val="Encabezado"/>
    </w:pPr>
  </w:p>
  <w:p w14:paraId="6BF2CA11" w14:textId="77777777" w:rsidR="00A82FC4" w:rsidRPr="00515FB5" w:rsidRDefault="00A82FC4"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FC4"/>
    <w:rsid w:val="0000540E"/>
    <w:rsid w:val="000352F1"/>
    <w:rsid w:val="00093233"/>
    <w:rsid w:val="000A2F82"/>
    <w:rsid w:val="000A6D61"/>
    <w:rsid w:val="000D61B3"/>
    <w:rsid w:val="000F5A42"/>
    <w:rsid w:val="001358C1"/>
    <w:rsid w:val="00135C05"/>
    <w:rsid w:val="00136168"/>
    <w:rsid w:val="001922D4"/>
    <w:rsid w:val="0020787F"/>
    <w:rsid w:val="0026082B"/>
    <w:rsid w:val="002C4938"/>
    <w:rsid w:val="00312B73"/>
    <w:rsid w:val="00315DC3"/>
    <w:rsid w:val="00347A27"/>
    <w:rsid w:val="00372937"/>
    <w:rsid w:val="00375E5F"/>
    <w:rsid w:val="003A5BC1"/>
    <w:rsid w:val="003B4CCC"/>
    <w:rsid w:val="0044451E"/>
    <w:rsid w:val="00477B78"/>
    <w:rsid w:val="004F48C9"/>
    <w:rsid w:val="00563921"/>
    <w:rsid w:val="006E6A49"/>
    <w:rsid w:val="006F1483"/>
    <w:rsid w:val="00714359"/>
    <w:rsid w:val="00746E21"/>
    <w:rsid w:val="007D42E1"/>
    <w:rsid w:val="0086358D"/>
    <w:rsid w:val="00863A61"/>
    <w:rsid w:val="008649A1"/>
    <w:rsid w:val="00872479"/>
    <w:rsid w:val="00875027"/>
    <w:rsid w:val="00966847"/>
    <w:rsid w:val="009B3B31"/>
    <w:rsid w:val="009C7578"/>
    <w:rsid w:val="00A12218"/>
    <w:rsid w:val="00A5705C"/>
    <w:rsid w:val="00A82FC4"/>
    <w:rsid w:val="00A90678"/>
    <w:rsid w:val="00AD17E0"/>
    <w:rsid w:val="00AF7A8A"/>
    <w:rsid w:val="00B44E30"/>
    <w:rsid w:val="00B778E8"/>
    <w:rsid w:val="00BA7424"/>
    <w:rsid w:val="00BB51E0"/>
    <w:rsid w:val="00C6416E"/>
    <w:rsid w:val="00CA695D"/>
    <w:rsid w:val="00CB7BA9"/>
    <w:rsid w:val="00CE582F"/>
    <w:rsid w:val="00D37CB7"/>
    <w:rsid w:val="00DD3DE4"/>
    <w:rsid w:val="00DE70FB"/>
    <w:rsid w:val="00E14509"/>
    <w:rsid w:val="00E71BD3"/>
    <w:rsid w:val="00E93274"/>
    <w:rsid w:val="00ED55B1"/>
    <w:rsid w:val="00F40BE4"/>
    <w:rsid w:val="00F5471A"/>
    <w:rsid w:val="00F75882"/>
    <w:rsid w:val="00F91DD4"/>
    <w:rsid w:val="00FC20A7"/>
    <w:rsid w:val="00FE2D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A1DFF"/>
  <w15:chartTrackingRefBased/>
  <w15:docId w15:val="{D3C93B56-D3A6-477C-84A9-550EAC2AD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578"/>
    <w:rPr>
      <w:kern w:val="0"/>
      <w14:ligatures w14:val="none"/>
    </w:rPr>
  </w:style>
  <w:style w:type="paragraph" w:styleId="Ttulo1">
    <w:name w:val="heading 1"/>
    <w:basedOn w:val="Normal"/>
    <w:next w:val="Normal"/>
    <w:link w:val="Ttulo1Car"/>
    <w:uiPriority w:val="9"/>
    <w:qFormat/>
    <w:rsid w:val="00A82F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82F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82FC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82FC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82FC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82FC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82FC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82FC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82FC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2FC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82FC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82FC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82FC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82FC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82FC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82FC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82FC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82FC4"/>
    <w:rPr>
      <w:rFonts w:eastAsiaTheme="majorEastAsia" w:cstheme="majorBidi"/>
      <w:color w:val="272727" w:themeColor="text1" w:themeTint="D8"/>
    </w:rPr>
  </w:style>
  <w:style w:type="paragraph" w:styleId="Ttulo">
    <w:name w:val="Title"/>
    <w:basedOn w:val="Normal"/>
    <w:next w:val="Normal"/>
    <w:link w:val="TtuloCar"/>
    <w:uiPriority w:val="10"/>
    <w:qFormat/>
    <w:rsid w:val="00A82F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82FC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82FC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82FC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82FC4"/>
    <w:pPr>
      <w:spacing w:before="160"/>
      <w:jc w:val="center"/>
    </w:pPr>
    <w:rPr>
      <w:i/>
      <w:iCs/>
      <w:color w:val="404040" w:themeColor="text1" w:themeTint="BF"/>
    </w:rPr>
  </w:style>
  <w:style w:type="character" w:customStyle="1" w:styleId="CitaCar">
    <w:name w:val="Cita Car"/>
    <w:basedOn w:val="Fuentedeprrafopredeter"/>
    <w:link w:val="Cita"/>
    <w:uiPriority w:val="29"/>
    <w:rsid w:val="00A82FC4"/>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A82FC4"/>
    <w:pPr>
      <w:ind w:left="720"/>
      <w:contextualSpacing/>
    </w:pPr>
  </w:style>
  <w:style w:type="character" w:styleId="nfasisintenso">
    <w:name w:val="Intense Emphasis"/>
    <w:basedOn w:val="Fuentedeprrafopredeter"/>
    <w:uiPriority w:val="21"/>
    <w:qFormat/>
    <w:rsid w:val="00A82FC4"/>
    <w:rPr>
      <w:i/>
      <w:iCs/>
      <w:color w:val="0F4761" w:themeColor="accent1" w:themeShade="BF"/>
    </w:rPr>
  </w:style>
  <w:style w:type="paragraph" w:styleId="Citadestacada">
    <w:name w:val="Intense Quote"/>
    <w:basedOn w:val="Normal"/>
    <w:next w:val="Normal"/>
    <w:link w:val="CitadestacadaCar"/>
    <w:uiPriority w:val="30"/>
    <w:qFormat/>
    <w:rsid w:val="00A82F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82FC4"/>
    <w:rPr>
      <w:i/>
      <w:iCs/>
      <w:color w:val="0F4761" w:themeColor="accent1" w:themeShade="BF"/>
    </w:rPr>
  </w:style>
  <w:style w:type="character" w:styleId="Referenciaintensa">
    <w:name w:val="Intense Reference"/>
    <w:basedOn w:val="Fuentedeprrafopredeter"/>
    <w:uiPriority w:val="32"/>
    <w:qFormat/>
    <w:rsid w:val="00A82FC4"/>
    <w:rPr>
      <w:b/>
      <w:bCs/>
      <w:smallCaps/>
      <w:color w:val="0F4761" w:themeColor="accent1" w:themeShade="BF"/>
      <w:spacing w:val="5"/>
    </w:rPr>
  </w:style>
  <w:style w:type="paragraph" w:styleId="Encabezado">
    <w:name w:val="header"/>
    <w:basedOn w:val="Normal"/>
    <w:link w:val="EncabezadoCar"/>
    <w:uiPriority w:val="99"/>
    <w:unhideWhenUsed/>
    <w:rsid w:val="00A82FC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FC4"/>
    <w:rPr>
      <w:kern w:val="0"/>
      <w14:ligatures w14:val="none"/>
    </w:rPr>
  </w:style>
  <w:style w:type="paragraph" w:styleId="Piedepgina">
    <w:name w:val="footer"/>
    <w:basedOn w:val="Normal"/>
    <w:link w:val="PiedepginaCar"/>
    <w:uiPriority w:val="99"/>
    <w:unhideWhenUsed/>
    <w:rsid w:val="00A82FC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FC4"/>
    <w:rPr>
      <w:kern w:val="0"/>
      <w14:ligatures w14:val="none"/>
    </w:rPr>
  </w:style>
  <w:style w:type="table" w:styleId="Tablaconcuadrcula">
    <w:name w:val="Table Grid"/>
    <w:basedOn w:val="Tablanormal"/>
    <w:uiPriority w:val="39"/>
    <w:qFormat/>
    <w:rsid w:val="00A82FC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82FC4"/>
    <w:rPr>
      <w:color w:val="467886" w:themeColor="hyperlink"/>
      <w:u w:val="single"/>
    </w:rPr>
  </w:style>
  <w:style w:type="character" w:customStyle="1" w:styleId="normaltextrun">
    <w:name w:val="normaltextrun"/>
    <w:basedOn w:val="Fuentedeprrafopredeter"/>
    <w:rsid w:val="00A82FC4"/>
  </w:style>
  <w:style w:type="character" w:customStyle="1" w:styleId="eop">
    <w:name w:val="eop"/>
    <w:basedOn w:val="Fuentedeprrafopredeter"/>
    <w:rsid w:val="00A82FC4"/>
  </w:style>
  <w:style w:type="paragraph" w:customStyle="1" w:styleId="paragraph">
    <w:name w:val="paragraph"/>
    <w:basedOn w:val="Normal"/>
    <w:rsid w:val="00A82FC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82FC4"/>
  </w:style>
  <w:style w:type="paragraph" w:styleId="NormalWeb">
    <w:name w:val="Normal (Web)"/>
    <w:basedOn w:val="Normal"/>
    <w:link w:val="NormalWebCar"/>
    <w:uiPriority w:val="99"/>
    <w:unhideWhenUsed/>
    <w:rsid w:val="00A82FC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A82FC4"/>
    <w:rPr>
      <w:rFonts w:ascii="Times New Roman" w:eastAsia="Times New Roman" w:hAnsi="Times New Roman" w:cs="Times New Roman"/>
      <w:kern w:val="0"/>
      <w:sz w:val="24"/>
      <w:szCs w:val="24"/>
      <w:lang w:eastAsia="es-CO"/>
      <w14:ligatures w14:val="none"/>
    </w:rPr>
  </w:style>
  <w:style w:type="character" w:styleId="Mencinsinresolver">
    <w:name w:val="Unresolved Mention"/>
    <w:basedOn w:val="Fuentedeprrafopredeter"/>
    <w:uiPriority w:val="99"/>
    <w:semiHidden/>
    <w:unhideWhenUsed/>
    <w:rsid w:val="00FE2D94"/>
    <w:rPr>
      <w:color w:val="605E5C"/>
      <w:shd w:val="clear" w:color="auto" w:fill="E1DFDD"/>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1435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1435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1435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14359"/>
    <w:rPr>
      <w:vertAlign w:val="superscript"/>
    </w:rPr>
  </w:style>
  <w:style w:type="paragraph" w:customStyle="1" w:styleId="Appelnotedebasde">
    <w:name w:val="Appel note de bas de..."/>
    <w:basedOn w:val="Normal"/>
    <w:link w:val="Refdenotaalpie"/>
    <w:uiPriority w:val="99"/>
    <w:rsid w:val="00714359"/>
    <w:pPr>
      <w:spacing w:line="240" w:lineRule="exact"/>
    </w:pPr>
    <w:rPr>
      <w:kern w:val="2"/>
      <w:vertAlign w:val="superscript"/>
      <w14:ligatures w14:val="standardContextual"/>
    </w:rPr>
  </w:style>
  <w:style w:type="character" w:styleId="Fuerte">
    <w:name w:val="Strong"/>
    <w:basedOn w:val="Fuentedeprrafopredeter"/>
    <w:uiPriority w:val="22"/>
    <w:qFormat/>
    <w:rsid w:val="00C641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restrepo@personeriamedellin.gov.co"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776178-A6B8-46F0-81BC-7A3E7377F48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164D720-01E2-4EB9-9B9D-A16DE710885F}">
  <ds:schemaRefs>
    <ds:schemaRef ds:uri="http://schemas.microsoft.com/sharepoint/v3/contenttype/forms"/>
  </ds:schemaRefs>
</ds:datastoreItem>
</file>

<file path=customXml/itemProps3.xml><?xml version="1.0" encoding="utf-8"?>
<ds:datastoreItem xmlns:ds="http://schemas.openxmlformats.org/officeDocument/2006/customXml" ds:itemID="{5833D8DF-E61D-424F-87D6-551AEF30A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18</Pages>
  <Words>5440</Words>
  <Characters>29925</Characters>
  <Application>Microsoft Office Word</Application>
  <DocSecurity>0</DocSecurity>
  <Lines>249</Lines>
  <Paragraphs>70</Paragraphs>
  <ScaleCrop>false</ScaleCrop>
  <Company/>
  <LinksUpToDate>false</LinksUpToDate>
  <CharactersWithSpaces>35295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52</cp:revision>
  <dcterms:created xsi:type="dcterms:W3CDTF">2026-04-30T20:13:00Z</dcterms:created>
  <dcterms:modified xsi:type="dcterms:W3CDTF">2026-05-15T21:03:00Z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