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9A6083" w14:textId="77777777" w:rsidR="00444AAA" w:rsidRPr="0090232F" w:rsidRDefault="00444AAA" w:rsidP="00D725F7">
      <w:pPr>
        <w:spacing w:after="0" w:line="240" w:lineRule="auto"/>
        <w:jc w:val="both"/>
        <w:rPr>
          <w:rFonts w:ascii="Verdana" w:hAnsi="Verdana" w:cs="Arial"/>
          <w:b/>
          <w:lang w:val="es-MX"/>
        </w:rPr>
      </w:pPr>
      <w:bookmarkStart w:id="0" w:name="_Hlk143780582"/>
      <w:r w:rsidRPr="0090232F">
        <w:rPr>
          <w:rFonts w:ascii="Verdana" w:hAnsi="Verdana" w:cs="Arial"/>
          <w:b/>
          <w:lang w:val="es-MX"/>
        </w:rPr>
        <w:t xml:space="preserve">INHABILIDADES E INCOMPATIBILIDADES ─ Definición ─ fundamento – clases </w:t>
      </w:r>
    </w:p>
    <w:p w14:paraId="2E7552D0" w14:textId="77777777" w:rsidR="00444AAA" w:rsidRPr="0090232F" w:rsidRDefault="00444AAA" w:rsidP="00D725F7">
      <w:pPr>
        <w:spacing w:after="0" w:line="240" w:lineRule="auto"/>
        <w:jc w:val="both"/>
        <w:rPr>
          <w:rFonts w:ascii="Verdana" w:hAnsi="Verdana" w:cs="Arial"/>
          <w:b/>
          <w:lang w:val="es-MX"/>
        </w:rPr>
      </w:pPr>
    </w:p>
    <w:p w14:paraId="65F6CB81" w14:textId="77777777" w:rsidR="00444AAA" w:rsidRPr="0090232F" w:rsidRDefault="00444AAA" w:rsidP="00D725F7">
      <w:pPr>
        <w:spacing w:after="0" w:line="240" w:lineRule="auto"/>
        <w:jc w:val="both"/>
        <w:rPr>
          <w:rFonts w:ascii="Verdana" w:hAnsi="Verdana" w:cs="Arial"/>
          <w:sz w:val="20"/>
          <w:lang w:val="es-MX"/>
        </w:rPr>
      </w:pPr>
      <w:r w:rsidRPr="0090232F">
        <w:rPr>
          <w:rFonts w:ascii="Verdana" w:hAnsi="Verdana" w:cs="Arial"/>
          <w:sz w:val="20"/>
          <w:lang w:val="es-MX"/>
        </w:rPr>
        <w:t>Las inhabilidades e incompatibilidades pueden enfocarse en varios asuntos: en primer lugar, se encuentran las inhabilidades e incompatibilidades que impiden que u</w:t>
      </w:r>
      <w:r w:rsidRPr="0090232F">
        <w:rPr>
          <w:rFonts w:ascii="Verdana" w:hAnsi="Verdana" w:cs="Arial"/>
          <w:sz w:val="20"/>
        </w:rPr>
        <w:t xml:space="preserve">na persona sea elegida, designada para un cargo público, como también en ciertos eventos impiden que la persona se encuentre vinculada a la función pública continúe en ella; en segundo lugar, se hallan las inhabilidades e incompatibilidades para el ejercicio de una profesión, las cuales se constituyen </w:t>
      </w:r>
      <w:r w:rsidRPr="0090232F">
        <w:rPr>
          <w:rFonts w:ascii="Verdana" w:hAnsi="Verdana" w:cs="Arial"/>
          <w:sz w:val="20"/>
          <w:lang w:val="es-MX"/>
        </w:rPr>
        <w:t xml:space="preserve">en restricciones que impiden el ejercicio de una profesión que encuentran sustento en el artículo 26 de la Constitución Política; en tercer lugar, se encuentra el régimen de inhabilidades e incompatibilidades en la contratación estatal, que busca limitar la celebración de contratos, así como evitar que siga contratando por una inhabilidad o incompatibilidad sobreviniente. </w:t>
      </w:r>
      <w:proofErr w:type="gramStart"/>
      <w:r w:rsidRPr="0090232F">
        <w:rPr>
          <w:rFonts w:ascii="Verdana" w:hAnsi="Verdana" w:cs="Arial"/>
          <w:sz w:val="20"/>
          <w:lang w:val="es-MX"/>
        </w:rPr>
        <w:t>De acuerdo a</w:t>
      </w:r>
      <w:proofErr w:type="gramEnd"/>
      <w:r w:rsidRPr="0090232F">
        <w:rPr>
          <w:rFonts w:ascii="Verdana" w:hAnsi="Verdana" w:cs="Arial"/>
          <w:sz w:val="20"/>
          <w:lang w:val="es-MX"/>
        </w:rPr>
        <w:t xml:space="preserve"> lo expuesto, se señala que la Agencia Nacional de Contratación Pública es competente para resolver consultas sobre normas del sistema de compras y contratación públicas que establezca inhabilidades e incompatibilidades para contratar con el Estado. </w:t>
      </w:r>
    </w:p>
    <w:p w14:paraId="47E9FAD1" w14:textId="77777777" w:rsidR="00444AAA" w:rsidRPr="0090232F" w:rsidRDefault="00444AAA" w:rsidP="00D725F7">
      <w:pPr>
        <w:spacing w:after="0" w:line="240" w:lineRule="auto"/>
        <w:jc w:val="both"/>
        <w:rPr>
          <w:rFonts w:ascii="Verdana" w:hAnsi="Verdana" w:cs="Arial"/>
          <w:b/>
          <w:lang w:val="es-MX"/>
        </w:rPr>
      </w:pPr>
    </w:p>
    <w:p w14:paraId="7647ED6D" w14:textId="77777777" w:rsidR="00444AAA" w:rsidRPr="0090232F" w:rsidRDefault="00444AAA" w:rsidP="00D725F7">
      <w:pPr>
        <w:spacing w:after="0" w:line="240" w:lineRule="auto"/>
        <w:jc w:val="both"/>
        <w:rPr>
          <w:rFonts w:ascii="Verdana" w:hAnsi="Verdana" w:cs="Arial"/>
          <w:b/>
          <w:lang w:val="es-MX"/>
        </w:rPr>
      </w:pPr>
      <w:r w:rsidRPr="0090232F">
        <w:rPr>
          <w:rFonts w:ascii="Verdana" w:hAnsi="Verdana" w:cs="Arial"/>
          <w:b/>
          <w:lang w:val="es-MX"/>
        </w:rPr>
        <w:t xml:space="preserve">INHABILIDADES E INCOMPATIBILIDADES - Finalidad ─ Limitación capacidad contractual </w:t>
      </w:r>
    </w:p>
    <w:p w14:paraId="406C7611" w14:textId="77777777" w:rsidR="00444AAA" w:rsidRPr="0090232F" w:rsidRDefault="00444AAA" w:rsidP="00D725F7">
      <w:pPr>
        <w:spacing w:after="0" w:line="240" w:lineRule="auto"/>
        <w:jc w:val="both"/>
        <w:rPr>
          <w:rFonts w:ascii="Verdana" w:hAnsi="Verdana" w:cs="Arial"/>
          <w:b/>
          <w:lang w:val="es-MX"/>
        </w:rPr>
      </w:pPr>
    </w:p>
    <w:p w14:paraId="1BFA539A" w14:textId="77777777" w:rsidR="00444AAA" w:rsidRPr="0090232F" w:rsidRDefault="00444AAA" w:rsidP="00D725F7">
      <w:pPr>
        <w:spacing w:after="0" w:line="240" w:lineRule="auto"/>
        <w:jc w:val="both"/>
        <w:rPr>
          <w:rFonts w:ascii="Verdana" w:eastAsia="Calibri" w:hAnsi="Verdana" w:cs="Arial"/>
          <w:sz w:val="20"/>
          <w:lang w:val="es-MX"/>
        </w:rPr>
      </w:pPr>
      <w:r w:rsidRPr="0090232F">
        <w:rPr>
          <w:rFonts w:ascii="Verdana" w:eastAsia="Calibri" w:hAnsi="Verdana" w:cs="Arial"/>
          <w:sz w:val="20"/>
          <w:lang w:val="es-MX"/>
        </w:rPr>
        <w:t>Para ello, hay que precisar que, 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p>
    <w:p w14:paraId="6D660439" w14:textId="77777777" w:rsidR="00444AAA" w:rsidRPr="0090232F" w:rsidRDefault="00444AAA" w:rsidP="00D725F7">
      <w:pPr>
        <w:spacing w:after="0" w:line="240" w:lineRule="auto"/>
        <w:jc w:val="both"/>
        <w:rPr>
          <w:rFonts w:ascii="Verdana" w:hAnsi="Verdana" w:cs="Arial"/>
          <w:b/>
          <w:lang w:val="es-MX"/>
        </w:rPr>
      </w:pPr>
    </w:p>
    <w:p w14:paraId="7DBCF145" w14:textId="77777777" w:rsidR="00444AAA" w:rsidRPr="0090232F" w:rsidRDefault="00444AAA" w:rsidP="00D725F7">
      <w:pPr>
        <w:spacing w:after="0" w:line="240" w:lineRule="auto"/>
        <w:jc w:val="both"/>
        <w:rPr>
          <w:rFonts w:ascii="Verdana" w:hAnsi="Verdana" w:cs="Arial"/>
          <w:b/>
          <w:lang w:val="es-ES_tradnl"/>
        </w:rPr>
      </w:pPr>
      <w:r w:rsidRPr="0090232F">
        <w:rPr>
          <w:rFonts w:ascii="Verdana" w:hAnsi="Verdana" w:cs="Arial"/>
          <w:b/>
          <w:lang w:val="es-ES_tradnl"/>
        </w:rPr>
        <w:t>INHABILIDADES – Taxatividad – Principio de legalidad – Interpretación restrictiva</w:t>
      </w:r>
      <w:r w:rsidRPr="0090232F" w:rsidDel="00A75E55">
        <w:rPr>
          <w:rFonts w:ascii="Verdana" w:hAnsi="Verdana" w:cs="Arial"/>
          <w:b/>
          <w:lang w:val="es-ES_tradnl"/>
        </w:rPr>
        <w:t xml:space="preserve"> </w:t>
      </w:r>
    </w:p>
    <w:p w14:paraId="5480D9ED" w14:textId="77777777" w:rsidR="00444AAA" w:rsidRPr="0090232F" w:rsidRDefault="00444AAA" w:rsidP="00D725F7">
      <w:pPr>
        <w:spacing w:after="0" w:line="240" w:lineRule="auto"/>
        <w:jc w:val="both"/>
        <w:rPr>
          <w:rFonts w:ascii="Verdana" w:hAnsi="Verdana" w:cs="Arial"/>
          <w:b/>
          <w:lang w:val="es-ES_tradnl"/>
        </w:rPr>
      </w:pPr>
    </w:p>
    <w:p w14:paraId="6E354EA8" w14:textId="77777777" w:rsidR="00444AAA" w:rsidRPr="0090232F" w:rsidRDefault="00444AAA" w:rsidP="00D725F7">
      <w:pPr>
        <w:spacing w:after="0" w:line="240" w:lineRule="auto"/>
        <w:jc w:val="both"/>
        <w:rPr>
          <w:rFonts w:ascii="Verdana" w:hAnsi="Verdana" w:cs="Arial"/>
          <w:sz w:val="20"/>
          <w:lang w:val="es-ES_tradnl"/>
        </w:rPr>
      </w:pPr>
      <w:r w:rsidRPr="0090232F">
        <w:rPr>
          <w:rFonts w:ascii="Verdana" w:hAnsi="Verdana" w:cs="Arial"/>
          <w:sz w:val="20"/>
          <w:lang w:val="es-ES_tradnl"/>
        </w:rPr>
        <w:t xml:space="preserve">Ahora bien, 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w:t>
      </w:r>
      <w:r w:rsidRPr="0090232F">
        <w:rPr>
          <w:rFonts w:ascii="Verdana" w:hAnsi="Verdana" w:cs="Arial"/>
          <w:i/>
          <w:iCs/>
          <w:sz w:val="20"/>
          <w:lang w:val="es-ES_tradnl"/>
        </w:rPr>
        <w:t xml:space="preserve">restrictiva, </w:t>
      </w:r>
      <w:r w:rsidRPr="0090232F">
        <w:rPr>
          <w:rFonts w:ascii="Verdana" w:hAnsi="Verdana" w:cs="Arial"/>
          <w:sz w:val="20"/>
          <w:lang w:val="es-ES_tradnl"/>
        </w:rPr>
        <w:t xml:space="preserve">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 </w:t>
      </w:r>
    </w:p>
    <w:p w14:paraId="0E178303" w14:textId="77777777" w:rsidR="00444AAA" w:rsidRPr="0090232F" w:rsidRDefault="00444AAA" w:rsidP="00D725F7">
      <w:pPr>
        <w:spacing w:after="0" w:line="240" w:lineRule="auto"/>
        <w:jc w:val="both"/>
        <w:rPr>
          <w:rFonts w:ascii="Verdana" w:hAnsi="Verdana" w:cs="Arial"/>
          <w:sz w:val="20"/>
          <w:lang w:val="es-ES_tradnl"/>
        </w:rPr>
      </w:pPr>
    </w:p>
    <w:p w14:paraId="3709C6DC" w14:textId="77777777" w:rsidR="00444AAA" w:rsidRPr="0090232F" w:rsidRDefault="00444AAA" w:rsidP="00D725F7">
      <w:pPr>
        <w:spacing w:after="0" w:line="240" w:lineRule="auto"/>
        <w:jc w:val="both"/>
        <w:rPr>
          <w:rFonts w:ascii="Verdana" w:hAnsi="Verdana" w:cs="Arial"/>
          <w:sz w:val="20"/>
          <w:lang w:val="es-ES_tradnl"/>
        </w:rPr>
      </w:pPr>
      <w:r w:rsidRPr="0090232F">
        <w:rPr>
          <w:rFonts w:ascii="Verdana" w:hAnsi="Verdana" w:cs="Arial"/>
          <w:sz w:val="20"/>
          <w:lang w:val="es-ES_tradnl"/>
        </w:rPr>
        <w:lastRenderedPageBreak/>
        <w:t>En efecto, el máximo tribunal constitucional ha indicado, al tratar de precisar el sentido de este tipo de normas, que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p>
    <w:p w14:paraId="43E6D48E" w14:textId="16C54B6F" w:rsidR="00444AAA" w:rsidRDefault="00444AAA" w:rsidP="00D725F7">
      <w:pPr>
        <w:spacing w:after="0" w:line="240" w:lineRule="auto"/>
        <w:rPr>
          <w:rFonts w:ascii="Verdana" w:eastAsia="Verdana" w:hAnsi="Verdana" w:cs="Verdana"/>
          <w:lang w:val="es-ES_tradnl"/>
        </w:rPr>
      </w:pPr>
    </w:p>
    <w:p w14:paraId="377084E7" w14:textId="7A087094" w:rsidR="00444AAA" w:rsidRPr="00444AAA" w:rsidRDefault="00444AAA" w:rsidP="00D725F7">
      <w:pPr>
        <w:spacing w:after="0" w:line="240" w:lineRule="auto"/>
        <w:jc w:val="both"/>
        <w:rPr>
          <w:rFonts w:ascii="Verdana" w:eastAsia="Verdana" w:hAnsi="Verdana" w:cs="Verdana"/>
          <w:b/>
          <w:lang w:val="es-ES_tradnl"/>
        </w:rPr>
      </w:pPr>
      <w:r w:rsidRPr="00444AAA">
        <w:rPr>
          <w:rFonts w:ascii="Verdana" w:eastAsia="Verdana" w:hAnsi="Verdana" w:cs="Verdana"/>
          <w:b/>
          <w:lang w:val="es-ES_tradnl"/>
        </w:rPr>
        <w:t xml:space="preserve">INHABILIDAD </w:t>
      </w:r>
      <w:r w:rsidRPr="00444AAA">
        <w:rPr>
          <w:rFonts w:ascii="Verdana" w:eastAsia="Verdana" w:hAnsi="Verdana" w:cs="Verdana"/>
          <w:b/>
        </w:rPr>
        <w:t>E INCOMPATIBILIDAD</w:t>
      </w:r>
      <w:r w:rsidRPr="00444AAA">
        <w:rPr>
          <w:rFonts w:ascii="Verdana" w:eastAsia="Verdana" w:hAnsi="Verdana" w:cs="Verdana"/>
          <w:b/>
          <w:lang w:val="es-ES_tradnl"/>
        </w:rPr>
        <w:t xml:space="preserve"> </w:t>
      </w:r>
      <w:r w:rsidRPr="00444AAA">
        <w:rPr>
          <w:rFonts w:ascii="Verdana" w:eastAsia="Verdana" w:hAnsi="Verdana" w:cs="Verdana"/>
          <w:b/>
        </w:rPr>
        <w:t>–</w:t>
      </w:r>
      <w:r w:rsidRPr="00444AAA">
        <w:rPr>
          <w:rFonts w:ascii="Verdana" w:eastAsia="Verdana" w:hAnsi="Verdana" w:cs="Verdana"/>
          <w:b/>
          <w:lang w:val="es-ES_tradnl"/>
        </w:rPr>
        <w:t xml:space="preserve"> Parágrafo primero – </w:t>
      </w:r>
      <w:r w:rsidR="00363866">
        <w:rPr>
          <w:rFonts w:ascii="Verdana" w:eastAsia="Verdana" w:hAnsi="Verdana" w:cs="Verdana"/>
          <w:b/>
          <w:lang w:val="es-ES_tradnl"/>
        </w:rPr>
        <w:t>A</w:t>
      </w:r>
      <w:r w:rsidRPr="00444AAA">
        <w:rPr>
          <w:rFonts w:ascii="Verdana" w:eastAsia="Verdana" w:hAnsi="Verdana" w:cs="Verdana"/>
          <w:b/>
          <w:lang w:val="es-ES_tradnl"/>
        </w:rPr>
        <w:t xml:space="preserve">rtículo 42 – Ley 1952 de 2019 – Boletín – Responsabilidad Fiscal – Alcance – Efectos </w:t>
      </w:r>
    </w:p>
    <w:p w14:paraId="7A214B84" w14:textId="77777777" w:rsidR="00444AAA" w:rsidRPr="00444AAA" w:rsidRDefault="00444AAA" w:rsidP="00D725F7">
      <w:pPr>
        <w:spacing w:after="0" w:line="240" w:lineRule="auto"/>
        <w:jc w:val="both"/>
        <w:rPr>
          <w:rFonts w:ascii="Verdana" w:eastAsia="Verdana" w:hAnsi="Verdana" w:cs="Verdana"/>
          <w:b/>
          <w:lang w:val="es-ES_tradnl"/>
        </w:rPr>
      </w:pPr>
    </w:p>
    <w:p w14:paraId="25222FAB" w14:textId="7D368CC1" w:rsidR="00444AAA" w:rsidRDefault="00444AAA" w:rsidP="00D725F7">
      <w:pPr>
        <w:spacing w:after="0" w:line="240" w:lineRule="auto"/>
        <w:jc w:val="both"/>
        <w:rPr>
          <w:rFonts w:ascii="Verdana" w:eastAsia="Verdana" w:hAnsi="Verdana" w:cs="Verdana"/>
          <w:sz w:val="20"/>
        </w:rPr>
      </w:pPr>
      <w:r w:rsidRPr="00444AAA">
        <w:rPr>
          <w:rFonts w:ascii="Verdana" w:eastAsia="Verdana" w:hAnsi="Verdana" w:cs="Verdana"/>
          <w:bCs/>
          <w:sz w:val="20"/>
        </w:rPr>
        <w:t xml:space="preserve">Del primer inciso del parágrafo precitado, se infieren las siguientes subreglas: i) </w:t>
      </w:r>
      <w:r w:rsidRPr="00444AAA">
        <w:rPr>
          <w:rFonts w:ascii="Verdana" w:eastAsia="Verdana" w:hAnsi="Verdana" w:cs="Verdana"/>
          <w:sz w:val="20"/>
        </w:rPr>
        <w:t xml:space="preserve">La norma establece que toda persona natural o jurídica que haya sido declarada responsable fiscalmente, mediante un fallo en firme y debidamente ejecutoriado, queda inhabilitada; ii) esta inhabilidad tiene dos alcances principales: a) ejercer cargos públicos y b) contratar con el Estado, lo cual incluye tanto la participación en procesos de selección como la celebración de contratos estatales; iii) la inhabilidad tiene una duración de cinco (5) años contados a partir de la ejecutoria del fallo de responsabilidad fiscal; iv) la inhabilidad puede cesar antes del vencimiento del término de cinco años. Esto ocurre cuando la Contraloría competente certifica que el responsable ha efectuado el pago de la obligación derivada del fallo fiscal, es decir, que ha resarcido el daño patrimonial causado al Estado, pero si el pago no es procedente, la inhabilidad también puede cesar cuando la Contraloría General de la República excluye al responsable del Boletín de </w:t>
      </w:r>
      <w:proofErr w:type="gramStart"/>
      <w:r w:rsidRPr="00444AAA">
        <w:rPr>
          <w:rFonts w:ascii="Verdana" w:eastAsia="Verdana" w:hAnsi="Verdana" w:cs="Verdana"/>
          <w:sz w:val="20"/>
        </w:rPr>
        <w:t>Responsables</w:t>
      </w:r>
      <w:proofErr w:type="gramEnd"/>
      <w:r w:rsidRPr="00444AAA">
        <w:rPr>
          <w:rFonts w:ascii="Verdana" w:eastAsia="Verdana" w:hAnsi="Verdana" w:cs="Verdana"/>
          <w:sz w:val="20"/>
        </w:rPr>
        <w:t xml:space="preserve"> Fiscales. </w:t>
      </w:r>
    </w:p>
    <w:p w14:paraId="30C2B3C9" w14:textId="77777777" w:rsidR="00444AAA" w:rsidRPr="00444AAA" w:rsidRDefault="00444AAA" w:rsidP="00D725F7">
      <w:pPr>
        <w:spacing w:after="0" w:line="240" w:lineRule="auto"/>
        <w:jc w:val="both"/>
        <w:rPr>
          <w:rFonts w:ascii="Verdana" w:eastAsia="Verdana" w:hAnsi="Verdana" w:cs="Verdana"/>
          <w:sz w:val="20"/>
        </w:rPr>
      </w:pPr>
    </w:p>
    <w:p w14:paraId="2B8B8638" w14:textId="77777777" w:rsidR="00444AAA" w:rsidRPr="00444AAA" w:rsidRDefault="00444AAA" w:rsidP="00D725F7">
      <w:pPr>
        <w:spacing w:after="0" w:line="240" w:lineRule="auto"/>
        <w:jc w:val="both"/>
        <w:rPr>
          <w:rFonts w:ascii="Verdana" w:eastAsia="Verdana" w:hAnsi="Verdana" w:cs="Verdana"/>
          <w:sz w:val="20"/>
        </w:rPr>
      </w:pPr>
      <w:r w:rsidRPr="00444AAA">
        <w:rPr>
          <w:rFonts w:ascii="Verdana" w:eastAsia="Verdana" w:hAnsi="Verdana" w:cs="Verdana"/>
          <w:sz w:val="20"/>
        </w:rPr>
        <w:t xml:space="preserve">Con respecto al segundo inciso del parágrafo precitado se derivan las siguientes subreglas: i) si transcurren cinco (5) años desde la ejecutoria del fallo de responsabilidad fiscal y el responsable no ha pagado la suma impuesta ni ha sido excluido del Boletín de Responsables Fiscales, la inhabilidad no desaparece, por el contrario, se prorroga por un nuevo periodo, cuya duración depende del monto de la responsabilidad fiscal; ii) se introduce un criterio de proporcionalidad de la duración de la prórroga de la inhabilidad se determine en razón del valor del daño patrimonial establecido en el fallo. A mayor cuantía, mayor será el tiempo adicional de inhabilidad: a) la inhabilidad se extiende por </w:t>
      </w:r>
      <w:r w:rsidRPr="00444AAA">
        <w:rPr>
          <w:rFonts w:ascii="Verdana" w:eastAsia="Verdana" w:hAnsi="Verdana" w:cs="Verdana"/>
          <w:bCs/>
          <w:sz w:val="20"/>
        </w:rPr>
        <w:t>cinco (5) años adicionales</w:t>
      </w:r>
      <w:r w:rsidRPr="00444AAA">
        <w:rPr>
          <w:rFonts w:ascii="Verdana" w:eastAsia="Verdana" w:hAnsi="Verdana" w:cs="Verdana"/>
          <w:sz w:val="20"/>
        </w:rPr>
        <w:t xml:space="preserve">, lo que representa la sanción más gravosa y se aplica a los casos de mayor impacto económico para el Estado; b) la </w:t>
      </w:r>
      <w:r w:rsidRPr="00444AAA">
        <w:rPr>
          <w:rFonts w:ascii="Verdana" w:eastAsia="Verdana" w:hAnsi="Verdana" w:cs="Verdana"/>
          <w:bCs/>
          <w:sz w:val="20"/>
        </w:rPr>
        <w:t xml:space="preserve">Cuantía superior a 50 e inferior o igual a 100 SMLMV: </w:t>
      </w:r>
      <w:r w:rsidRPr="00444AAA">
        <w:rPr>
          <w:rFonts w:ascii="Verdana" w:eastAsia="Verdana" w:hAnsi="Verdana" w:cs="Verdana"/>
          <w:sz w:val="20"/>
        </w:rPr>
        <w:t xml:space="preserve">la inhabilidad se prorroga por </w:t>
      </w:r>
      <w:r w:rsidRPr="00444AAA">
        <w:rPr>
          <w:rFonts w:ascii="Verdana" w:eastAsia="Verdana" w:hAnsi="Verdana" w:cs="Verdana"/>
          <w:bCs/>
          <w:sz w:val="20"/>
        </w:rPr>
        <w:t>dos (2) años</w:t>
      </w:r>
      <w:r w:rsidRPr="00444AAA">
        <w:rPr>
          <w:rFonts w:ascii="Verdana" w:eastAsia="Verdana" w:hAnsi="Verdana" w:cs="Verdana"/>
          <w:sz w:val="20"/>
        </w:rPr>
        <w:t xml:space="preserve">; c) </w:t>
      </w:r>
      <w:r w:rsidRPr="00444AAA">
        <w:rPr>
          <w:rFonts w:ascii="Verdana" w:eastAsia="Verdana" w:hAnsi="Verdana" w:cs="Verdana"/>
          <w:bCs/>
          <w:sz w:val="20"/>
        </w:rPr>
        <w:t xml:space="preserve">Cuantía superior a 10 e inferior o igual a 50 SMLMV: </w:t>
      </w:r>
      <w:r w:rsidRPr="00444AAA">
        <w:rPr>
          <w:rFonts w:ascii="Verdana" w:eastAsia="Verdana" w:hAnsi="Verdana" w:cs="Verdana"/>
          <w:sz w:val="20"/>
        </w:rPr>
        <w:t xml:space="preserve">la inhabilidad se extiende por </w:t>
      </w:r>
      <w:r w:rsidRPr="00444AAA">
        <w:rPr>
          <w:rFonts w:ascii="Verdana" w:eastAsia="Verdana" w:hAnsi="Verdana" w:cs="Verdana"/>
          <w:bCs/>
          <w:sz w:val="20"/>
        </w:rPr>
        <w:t>un (1) año</w:t>
      </w:r>
      <w:r w:rsidRPr="00444AAA">
        <w:rPr>
          <w:rFonts w:ascii="Verdana" w:eastAsia="Verdana" w:hAnsi="Verdana" w:cs="Verdana"/>
          <w:sz w:val="20"/>
        </w:rPr>
        <w:t xml:space="preserve"> adicional; d) </w:t>
      </w:r>
      <w:r w:rsidRPr="00444AAA">
        <w:rPr>
          <w:rFonts w:ascii="Verdana" w:eastAsia="Verdana" w:hAnsi="Verdana" w:cs="Verdana"/>
          <w:bCs/>
          <w:sz w:val="20"/>
        </w:rPr>
        <w:t xml:space="preserve">Cuantía igual o inferior a 10 SMLMV: </w:t>
      </w:r>
      <w:r w:rsidRPr="00444AAA">
        <w:rPr>
          <w:rFonts w:ascii="Verdana" w:eastAsia="Verdana" w:hAnsi="Verdana" w:cs="Verdana"/>
          <w:sz w:val="20"/>
        </w:rPr>
        <w:t xml:space="preserve">la inhabilidad se prorroga por </w:t>
      </w:r>
      <w:r w:rsidRPr="00444AAA">
        <w:rPr>
          <w:rFonts w:ascii="Verdana" w:eastAsia="Verdana" w:hAnsi="Verdana" w:cs="Verdana"/>
          <w:bCs/>
          <w:sz w:val="20"/>
        </w:rPr>
        <w:t>tres (3) meses</w:t>
      </w:r>
      <w:r w:rsidRPr="00444AAA">
        <w:rPr>
          <w:rFonts w:ascii="Verdana" w:eastAsia="Verdana" w:hAnsi="Verdana" w:cs="Verdana"/>
          <w:sz w:val="20"/>
        </w:rPr>
        <w:t>, siendo esta la extensión mínima prevista por la norma.</w:t>
      </w:r>
    </w:p>
    <w:p w14:paraId="4208E16E" w14:textId="77777777" w:rsidR="00444AAA" w:rsidRPr="00444AAA" w:rsidRDefault="00444AAA" w:rsidP="00D725F7">
      <w:pPr>
        <w:spacing w:after="0" w:line="240" w:lineRule="auto"/>
        <w:jc w:val="both"/>
        <w:rPr>
          <w:rFonts w:ascii="Verdana" w:eastAsia="Verdana" w:hAnsi="Verdana" w:cs="Verdana"/>
          <w:b/>
        </w:rPr>
      </w:pPr>
    </w:p>
    <w:p w14:paraId="5B868A51" w14:textId="5D496E0C" w:rsidR="00444AAA" w:rsidRPr="00444AAA" w:rsidRDefault="00444AAA" w:rsidP="00D725F7">
      <w:pPr>
        <w:spacing w:after="0" w:line="240" w:lineRule="auto"/>
        <w:jc w:val="both"/>
        <w:rPr>
          <w:rFonts w:ascii="Verdana" w:eastAsia="Verdana" w:hAnsi="Verdana" w:cs="Verdana"/>
          <w:b/>
          <w:lang w:val="es-ES_tradnl"/>
        </w:rPr>
      </w:pPr>
      <w:r w:rsidRPr="00444AAA">
        <w:rPr>
          <w:rFonts w:ascii="Verdana" w:eastAsia="Verdana" w:hAnsi="Verdana" w:cs="Verdana"/>
          <w:b/>
          <w:lang w:val="es-ES_tradnl"/>
        </w:rPr>
        <w:t>INHABILIDAD – Literal b – numeral 1</w:t>
      </w:r>
      <w:r w:rsidR="00363866">
        <w:rPr>
          <w:rFonts w:ascii="Verdana" w:eastAsia="Verdana" w:hAnsi="Verdana" w:cs="Verdana"/>
          <w:b/>
          <w:lang w:val="es-ES_tradnl"/>
        </w:rPr>
        <w:t xml:space="preserve"> </w:t>
      </w:r>
      <w:r w:rsidR="00363866" w:rsidRPr="00363866">
        <w:rPr>
          <w:rFonts w:ascii="Verdana" w:eastAsia="Verdana" w:hAnsi="Verdana" w:cs="Verdana"/>
          <w:b/>
          <w:bCs/>
          <w:lang w:val="es-ES"/>
        </w:rPr>
        <w:t>–</w:t>
      </w:r>
      <w:r w:rsidRPr="00444AAA">
        <w:rPr>
          <w:rFonts w:ascii="Verdana" w:eastAsia="Verdana" w:hAnsi="Verdana" w:cs="Verdana"/>
          <w:b/>
          <w:lang w:val="es-ES_tradnl"/>
        </w:rPr>
        <w:t xml:space="preserve"> Artículo 8 – Alcance </w:t>
      </w:r>
    </w:p>
    <w:p w14:paraId="7EC67CD8" w14:textId="21C0F40C" w:rsidR="00444AAA" w:rsidRPr="00444AAA" w:rsidRDefault="00444AAA" w:rsidP="00D725F7">
      <w:pPr>
        <w:spacing w:after="0" w:line="240" w:lineRule="auto"/>
        <w:jc w:val="both"/>
        <w:rPr>
          <w:rFonts w:ascii="Verdana" w:eastAsia="Verdana" w:hAnsi="Verdana" w:cs="Verdana"/>
          <w:sz w:val="20"/>
          <w:lang w:val="es-ES_tradnl"/>
        </w:rPr>
      </w:pPr>
    </w:p>
    <w:p w14:paraId="514956E4" w14:textId="12BDBE38" w:rsidR="00444AAA" w:rsidRDefault="00444AAA" w:rsidP="00D725F7">
      <w:pPr>
        <w:spacing w:after="0" w:line="240" w:lineRule="auto"/>
        <w:jc w:val="both"/>
        <w:rPr>
          <w:rFonts w:ascii="Verdana" w:eastAsia="Verdana" w:hAnsi="Verdana" w:cs="Verdana"/>
          <w:sz w:val="20"/>
        </w:rPr>
      </w:pPr>
      <w:r w:rsidRPr="00444AAA">
        <w:rPr>
          <w:rFonts w:ascii="Verdana" w:eastAsia="Verdana" w:hAnsi="Verdana" w:cs="Verdana"/>
          <w:sz w:val="20"/>
        </w:rPr>
        <w:t xml:space="preserve">En referencia a la inhabilidad prevista en el literal b) del numeral 1 del artículo 8 de la Ley 80 de 1993 —“b) Quienes participaron en las licitaciones o concursos o celebraron </w:t>
      </w:r>
      <w:r w:rsidRPr="00444AAA">
        <w:rPr>
          <w:rFonts w:ascii="Verdana" w:eastAsia="Verdana" w:hAnsi="Verdana" w:cs="Verdana"/>
          <w:sz w:val="20"/>
        </w:rPr>
        <w:lastRenderedPageBreak/>
        <w:t xml:space="preserve">los contratos de que trata el literal anterior estando inhabilitados”— requiere una interpretación sistemática con las reglas que determinan sus efectos y duración. En particular, dichos efectos se encuentran desarrollados en un aparte del inciso segundo del literal i) del mismo numeral y artículo. En efecto, esta disposición establece que: “[…] las previstas en los literales b) y e), se extenderán por un término de cinco (5) años contado a partir de la fecha de ocurrencia del hecho de la participación en la licitación o concurso, o de la de celebración del contrato, o de la de expiración del plazo para su firma”. En este sentido, el punto de partida para el cómputo del término no es la declaratoria posterior de la inhabilidad, sino la fecha misma de la conducta irregular. Esto incluye, según el caso, la participación en el proceso de selección —entendida como la presentación de la oferta o la celebración del contrato si de adelantó mediante un proceso no competitivo o de la expiración del plazo para su firma—. </w:t>
      </w:r>
    </w:p>
    <w:p w14:paraId="14372205" w14:textId="77777777" w:rsidR="00444AAA" w:rsidRPr="00444AAA" w:rsidRDefault="00444AAA" w:rsidP="00D725F7">
      <w:pPr>
        <w:spacing w:after="0" w:line="240" w:lineRule="auto"/>
        <w:jc w:val="both"/>
        <w:rPr>
          <w:rFonts w:ascii="Verdana" w:eastAsia="Verdana" w:hAnsi="Verdana" w:cs="Verdana"/>
          <w:sz w:val="20"/>
        </w:rPr>
      </w:pPr>
    </w:p>
    <w:p w14:paraId="025F3BE4" w14:textId="3EA7AD3B" w:rsidR="00444AAA" w:rsidRDefault="00444AAA" w:rsidP="00D725F7">
      <w:pPr>
        <w:spacing w:after="0" w:line="240" w:lineRule="auto"/>
        <w:jc w:val="both"/>
        <w:rPr>
          <w:rFonts w:ascii="Verdana" w:eastAsia="Verdana" w:hAnsi="Verdana" w:cs="Verdana"/>
          <w:sz w:val="20"/>
        </w:rPr>
      </w:pPr>
      <w:r w:rsidRPr="00444AAA">
        <w:rPr>
          <w:rFonts w:ascii="Verdana" w:eastAsia="Verdana" w:hAnsi="Verdana" w:cs="Verdana"/>
          <w:sz w:val="20"/>
        </w:rPr>
        <w:t>De esta manera, se trata de una inhabilidad autónoma e independiente de aquella que inicialmente afectaba al sujeto, lo que implica que su término de duración no se acumula ni se superpone con el de la inhabilidad originaria, sino que se cuenta de forma separada. Por tanto, desde la ocurrencia del hecho de participación estando inhabilitado, se configura un nuevo periodo de inhabilidad de cinco (5) años, aplicable de manera directa y con efectos propios en el sistema de compras públicas.</w:t>
      </w:r>
    </w:p>
    <w:p w14:paraId="41AD90CB" w14:textId="77777777" w:rsidR="00444AAA" w:rsidRPr="00444AAA" w:rsidRDefault="00444AAA" w:rsidP="00D725F7">
      <w:pPr>
        <w:spacing w:after="0" w:line="240" w:lineRule="auto"/>
        <w:jc w:val="both"/>
        <w:rPr>
          <w:rFonts w:ascii="Verdana" w:eastAsia="Verdana" w:hAnsi="Verdana" w:cs="Verdana"/>
          <w:sz w:val="20"/>
          <w:lang w:val="es-ES_tradnl"/>
        </w:rPr>
      </w:pPr>
    </w:p>
    <w:p w14:paraId="29EBAB21" w14:textId="0D468A02" w:rsidR="00444AAA" w:rsidRPr="00444AAA" w:rsidRDefault="00444AAA" w:rsidP="00D725F7">
      <w:pPr>
        <w:spacing w:after="0" w:line="240" w:lineRule="auto"/>
        <w:jc w:val="both"/>
        <w:rPr>
          <w:rFonts w:ascii="Verdana" w:eastAsia="Verdana" w:hAnsi="Verdana" w:cs="Verdana"/>
          <w:b/>
          <w:lang w:val="es-ES_tradnl"/>
        </w:rPr>
      </w:pPr>
      <w:r w:rsidRPr="00444AAA">
        <w:rPr>
          <w:rFonts w:ascii="Verdana" w:eastAsia="Verdana" w:hAnsi="Verdana" w:cs="Verdana"/>
          <w:b/>
          <w:lang w:val="es-ES_tradnl"/>
        </w:rPr>
        <w:t xml:space="preserve">INHABILIDAD E INCOMPATIBILIDAD – Artículo 9 – Inhabilidad sobreviniente </w:t>
      </w:r>
      <w:r w:rsidR="00363866" w:rsidRPr="00363866">
        <w:rPr>
          <w:rFonts w:ascii="Verdana" w:eastAsia="Verdana" w:hAnsi="Verdana" w:cs="Verdana"/>
          <w:b/>
          <w:bCs/>
          <w:lang w:val="es-ES"/>
        </w:rPr>
        <w:t>–</w:t>
      </w:r>
      <w:r w:rsidRPr="00444AAA">
        <w:rPr>
          <w:rFonts w:ascii="Verdana" w:eastAsia="Verdana" w:hAnsi="Verdana" w:cs="Verdana"/>
          <w:b/>
          <w:lang w:val="es-ES_tradnl"/>
        </w:rPr>
        <w:t xml:space="preserve"> Efectos</w:t>
      </w:r>
    </w:p>
    <w:p w14:paraId="6DCB35FD" w14:textId="0C3FCFBC" w:rsidR="00444AAA" w:rsidRDefault="00444AAA" w:rsidP="00D725F7">
      <w:pPr>
        <w:spacing w:after="0" w:line="240" w:lineRule="auto"/>
        <w:rPr>
          <w:rFonts w:ascii="Verdana" w:eastAsia="Verdana" w:hAnsi="Verdana" w:cs="Verdana"/>
          <w:lang w:val="es-ES_tradnl"/>
        </w:rPr>
      </w:pPr>
    </w:p>
    <w:p w14:paraId="071128A8" w14:textId="27D5C12D" w:rsidR="00444AAA" w:rsidRDefault="00444AAA" w:rsidP="00D725F7">
      <w:pPr>
        <w:spacing w:after="0" w:line="240" w:lineRule="auto"/>
        <w:jc w:val="both"/>
        <w:rPr>
          <w:rFonts w:ascii="Verdana" w:eastAsia="Verdana" w:hAnsi="Verdana" w:cs="Verdana"/>
          <w:sz w:val="20"/>
        </w:rPr>
      </w:pPr>
      <w:r w:rsidRPr="00444AAA">
        <w:rPr>
          <w:rFonts w:ascii="Verdana" w:eastAsia="Verdana" w:hAnsi="Verdana" w:cs="Verdana"/>
          <w:sz w:val="20"/>
          <w:lang w:val="es-ES_tradnl"/>
        </w:rPr>
        <w:t>Ahora bien, frente a estas inhabilidades no será posible participar ni mucho menos ejecutar el contrato, porque se trata de una etapa posterior a su “celebración” o “suscripción”. En consecuencia, es aplicable lo dispuesto en el inciso primero del artículo 9 de la Ley 80 de 1993, cuyo tenor literal dispone:</w:t>
      </w:r>
      <w:r w:rsidRPr="00444AAA">
        <w:rPr>
          <w:rFonts w:ascii="Verdana" w:eastAsia="Verdana" w:hAnsi="Verdana" w:cs="Verdana"/>
          <w:sz w:val="20"/>
        </w:rPr>
        <w:t xml:space="preserve"> “Si llegare a sobrevenir inhabilidad o incompatibilidad en el contratista, este cederá el contrato previa autorización escrita de la entidad contratante o, si ello no fuere posible, renunciará a su ejecución”. El inciso tercero </w:t>
      </w:r>
      <w:r w:rsidRPr="00444AAA">
        <w:rPr>
          <w:rFonts w:ascii="Verdana" w:eastAsia="Verdana" w:hAnsi="Verdana" w:cs="Verdana"/>
          <w:i/>
          <w:iCs/>
          <w:sz w:val="20"/>
        </w:rPr>
        <w:t>ibidem</w:t>
      </w:r>
      <w:r w:rsidRPr="00444AAA">
        <w:rPr>
          <w:rFonts w:ascii="Verdana" w:eastAsia="Verdana" w:hAnsi="Verdana" w:cs="Verdana"/>
          <w:sz w:val="20"/>
        </w:rPr>
        <w:t xml:space="preserve"> agrega lo siguiente: “Si la inhabilidad o incompatibilidad sobreviene en uno de los miembros de un consorcio o unión temporal, este cederá su participación a un tercero previa autorización escrita de la entidad contratante. En ningún caso podrá haber cesión del contrato entre quienes integran el consorcio o unión temporal”</w:t>
      </w:r>
      <w:r w:rsidR="00363866">
        <w:rPr>
          <w:rFonts w:ascii="Verdana" w:eastAsia="Verdana" w:hAnsi="Verdana" w:cs="Verdana"/>
          <w:sz w:val="20"/>
        </w:rPr>
        <w:t>.</w:t>
      </w:r>
    </w:p>
    <w:p w14:paraId="2DD1787D" w14:textId="1D996514" w:rsidR="00444AAA" w:rsidRDefault="00444AAA" w:rsidP="00D725F7">
      <w:pPr>
        <w:spacing w:after="0" w:line="240" w:lineRule="auto"/>
        <w:jc w:val="both"/>
        <w:rPr>
          <w:rFonts w:ascii="Verdana" w:eastAsia="Verdana" w:hAnsi="Verdana" w:cs="Verdana"/>
          <w:sz w:val="20"/>
        </w:rPr>
      </w:pPr>
    </w:p>
    <w:p w14:paraId="20C780BE" w14:textId="451D723F" w:rsidR="00444AAA" w:rsidRDefault="00444AAA" w:rsidP="00D725F7">
      <w:pPr>
        <w:spacing w:after="0" w:line="240" w:lineRule="auto"/>
        <w:jc w:val="both"/>
        <w:rPr>
          <w:rFonts w:ascii="Verdana" w:eastAsia="Verdana" w:hAnsi="Verdana" w:cs="Verdana"/>
          <w:sz w:val="20"/>
        </w:rPr>
      </w:pPr>
    </w:p>
    <w:p w14:paraId="15B4B58E" w14:textId="1C75E039" w:rsidR="00444AAA" w:rsidRDefault="00444AAA" w:rsidP="00D725F7">
      <w:pPr>
        <w:spacing w:after="0" w:line="240" w:lineRule="auto"/>
        <w:jc w:val="both"/>
        <w:rPr>
          <w:rFonts w:ascii="Verdana" w:eastAsia="Verdana" w:hAnsi="Verdana" w:cs="Verdana"/>
          <w:sz w:val="20"/>
        </w:rPr>
      </w:pPr>
    </w:p>
    <w:p w14:paraId="7127AF90" w14:textId="2A09AE8F" w:rsidR="00444AAA" w:rsidRDefault="00444AAA" w:rsidP="00444AAA">
      <w:pPr>
        <w:spacing w:after="0" w:line="240" w:lineRule="auto"/>
        <w:jc w:val="both"/>
        <w:rPr>
          <w:rFonts w:ascii="Verdana" w:eastAsia="Verdana" w:hAnsi="Verdana" w:cs="Verdana"/>
          <w:sz w:val="20"/>
        </w:rPr>
      </w:pPr>
    </w:p>
    <w:p w14:paraId="507A7013" w14:textId="79C9A84F" w:rsidR="00444AAA" w:rsidRDefault="00444AAA" w:rsidP="00444AAA">
      <w:pPr>
        <w:spacing w:after="0" w:line="240" w:lineRule="auto"/>
        <w:jc w:val="both"/>
        <w:rPr>
          <w:rFonts w:ascii="Verdana" w:eastAsia="Verdana" w:hAnsi="Verdana" w:cs="Verdana"/>
          <w:sz w:val="20"/>
        </w:rPr>
      </w:pPr>
    </w:p>
    <w:p w14:paraId="484AD190" w14:textId="245DB442" w:rsidR="00444AAA" w:rsidRDefault="00444AAA" w:rsidP="00444AAA">
      <w:pPr>
        <w:spacing w:after="0" w:line="240" w:lineRule="auto"/>
        <w:jc w:val="both"/>
        <w:rPr>
          <w:rFonts w:ascii="Verdana" w:eastAsia="Verdana" w:hAnsi="Verdana" w:cs="Verdana"/>
          <w:sz w:val="20"/>
        </w:rPr>
      </w:pPr>
    </w:p>
    <w:p w14:paraId="39D91BBF" w14:textId="014795A0" w:rsidR="00444AAA" w:rsidRDefault="00444AAA" w:rsidP="00444AAA">
      <w:pPr>
        <w:spacing w:after="0" w:line="240" w:lineRule="auto"/>
        <w:jc w:val="both"/>
        <w:rPr>
          <w:rFonts w:ascii="Verdana" w:eastAsia="Verdana" w:hAnsi="Verdana" w:cs="Verdana"/>
          <w:sz w:val="20"/>
          <w:lang w:val="es-ES_tradnl"/>
        </w:rPr>
      </w:pPr>
    </w:p>
    <w:p w14:paraId="3243C0D1" w14:textId="0F4707DB" w:rsidR="00444AAA" w:rsidRDefault="00444AAA" w:rsidP="00444AAA">
      <w:pPr>
        <w:spacing w:after="0" w:line="240" w:lineRule="auto"/>
        <w:jc w:val="both"/>
        <w:rPr>
          <w:rFonts w:ascii="Verdana" w:eastAsia="Verdana" w:hAnsi="Verdana" w:cs="Verdana"/>
          <w:sz w:val="20"/>
          <w:lang w:val="es-ES_tradnl"/>
        </w:rPr>
      </w:pPr>
    </w:p>
    <w:p w14:paraId="33052251" w14:textId="668AA17D" w:rsidR="00444AAA" w:rsidRDefault="00444AAA" w:rsidP="00444AAA">
      <w:pPr>
        <w:spacing w:after="0" w:line="240" w:lineRule="auto"/>
        <w:jc w:val="both"/>
        <w:rPr>
          <w:rFonts w:ascii="Verdana" w:eastAsia="Verdana" w:hAnsi="Verdana" w:cs="Verdana"/>
          <w:sz w:val="20"/>
          <w:lang w:val="es-ES_tradnl"/>
        </w:rPr>
      </w:pPr>
    </w:p>
    <w:p w14:paraId="6F621E9C" w14:textId="3C97FDA1" w:rsidR="00444AAA" w:rsidRDefault="00444AAA" w:rsidP="00444AAA">
      <w:pPr>
        <w:spacing w:after="0" w:line="240" w:lineRule="auto"/>
        <w:jc w:val="both"/>
        <w:rPr>
          <w:rFonts w:ascii="Verdana" w:eastAsia="Verdana" w:hAnsi="Verdana" w:cs="Verdana"/>
          <w:sz w:val="20"/>
          <w:lang w:val="es-ES_tradnl"/>
        </w:rPr>
      </w:pPr>
    </w:p>
    <w:p w14:paraId="2DE9E175" w14:textId="6976D41B" w:rsidR="00444AAA" w:rsidRDefault="00444AAA" w:rsidP="00444AAA">
      <w:pPr>
        <w:spacing w:after="0" w:line="240" w:lineRule="auto"/>
        <w:jc w:val="both"/>
        <w:rPr>
          <w:rFonts w:ascii="Verdana" w:eastAsia="Verdana" w:hAnsi="Verdana" w:cs="Verdana"/>
          <w:sz w:val="20"/>
          <w:lang w:val="es-ES_tradnl"/>
        </w:rPr>
      </w:pPr>
    </w:p>
    <w:p w14:paraId="0EB3F770" w14:textId="77777777" w:rsidR="00444AAA" w:rsidRPr="00444AAA" w:rsidRDefault="00444AAA" w:rsidP="00444AAA">
      <w:pPr>
        <w:spacing w:after="0" w:line="240" w:lineRule="auto"/>
        <w:jc w:val="both"/>
        <w:rPr>
          <w:rFonts w:ascii="Verdana" w:eastAsia="Verdana" w:hAnsi="Verdana" w:cs="Verdana"/>
          <w:sz w:val="20"/>
          <w:lang w:val="es-ES_tradnl"/>
        </w:rPr>
      </w:pPr>
    </w:p>
    <w:p w14:paraId="08AB282F" w14:textId="48E65C3E" w:rsidR="0076699A" w:rsidRPr="008D01FC" w:rsidRDefault="00444AAA" w:rsidP="00595D6A">
      <w:pPr>
        <w:spacing w:after="0" w:line="240" w:lineRule="auto"/>
        <w:rPr>
          <w:rFonts w:ascii="Verdana" w:hAnsi="Verdana"/>
        </w:rPr>
      </w:pPr>
      <w:r w:rsidRPr="00444AAA">
        <w:rPr>
          <w:noProof/>
          <w:lang w:val="en-US"/>
        </w:rPr>
        <w:lastRenderedPageBreak/>
        <w:drawing>
          <wp:anchor distT="0" distB="0" distL="114300" distR="114300" simplePos="0" relativeHeight="251658240" behindDoc="0" locked="0" layoutInCell="1" allowOverlap="1" wp14:anchorId="467B90BD" wp14:editId="6ED71A5F">
            <wp:simplePos x="0" y="0"/>
            <wp:positionH relativeFrom="margin">
              <wp:align>right</wp:align>
            </wp:positionH>
            <wp:positionV relativeFrom="paragraph">
              <wp:posOffset>225425</wp:posOffset>
            </wp:positionV>
            <wp:extent cx="2773680" cy="779145"/>
            <wp:effectExtent l="0" t="0" r="7620" b="1905"/>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73680" cy="7791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819D1">
        <w:rPr>
          <w:rFonts w:ascii="Verdana" w:eastAsia="Verdana" w:hAnsi="Verdana" w:cs="Verdana"/>
        </w:rPr>
        <w:t>Bogotá D.C., 19 de mayo de 2026</w:t>
      </w:r>
      <w:r w:rsidR="0076699A">
        <w:tab/>
      </w:r>
      <w:r w:rsidR="0076699A">
        <w:br/>
      </w:r>
    </w:p>
    <w:p w14:paraId="29314055" w14:textId="04729DC8" w:rsidR="0076699A" w:rsidRPr="00CD4831" w:rsidRDefault="0076699A" w:rsidP="00595D6A">
      <w:pPr>
        <w:spacing w:after="0" w:line="240" w:lineRule="auto"/>
        <w:rPr>
          <w:rFonts w:ascii="Verdana" w:hAnsi="Verdana"/>
        </w:rPr>
      </w:pPr>
    </w:p>
    <w:p w14:paraId="617DCBA0" w14:textId="5F39D67D" w:rsidR="0076699A" w:rsidRPr="00242434" w:rsidRDefault="0076699A" w:rsidP="00595D6A">
      <w:pPr>
        <w:spacing w:after="0" w:line="240" w:lineRule="auto"/>
        <w:rPr>
          <w:rFonts w:ascii="Verdana" w:eastAsia="Calibri" w:hAnsi="Verdana" w:cs="Times New Roman"/>
          <w:lang w:val="es-MX"/>
        </w:rPr>
      </w:pPr>
      <w:r w:rsidRPr="00242434">
        <w:rPr>
          <w:rFonts w:ascii="Verdana" w:eastAsia="Calibri" w:hAnsi="Verdana" w:cs="Times New Roman"/>
          <w:lang w:val="es-MX"/>
        </w:rPr>
        <w:t>Señor</w:t>
      </w:r>
      <w:r>
        <w:rPr>
          <w:rFonts w:ascii="Verdana" w:eastAsia="Calibri" w:hAnsi="Verdana" w:cs="Times New Roman"/>
          <w:lang w:val="es-MX"/>
        </w:rPr>
        <w:t>a</w:t>
      </w:r>
    </w:p>
    <w:p w14:paraId="31F9B5A8" w14:textId="77777777" w:rsidR="0076699A" w:rsidRPr="00E50536" w:rsidRDefault="0076699A" w:rsidP="00595D6A">
      <w:pPr>
        <w:spacing w:after="0" w:line="240" w:lineRule="auto"/>
        <w:rPr>
          <w:rFonts w:ascii="Verdana" w:eastAsia="Calibri" w:hAnsi="Verdana" w:cs="Times New Roman"/>
          <w:b/>
        </w:rPr>
      </w:pPr>
      <w:r w:rsidRPr="00E50536">
        <w:rPr>
          <w:rFonts w:ascii="Verdana" w:eastAsia="Calibri" w:hAnsi="Verdana" w:cs="Times New Roman"/>
          <w:b/>
        </w:rPr>
        <w:t>Yuli Neira Rojas</w:t>
      </w:r>
    </w:p>
    <w:p w14:paraId="53BAC386" w14:textId="77777777" w:rsidR="0076699A" w:rsidRPr="00E50536" w:rsidRDefault="0076699A" w:rsidP="00595D6A">
      <w:pPr>
        <w:spacing w:after="0" w:line="240" w:lineRule="auto"/>
        <w:rPr>
          <w:rFonts w:ascii="Verdana" w:eastAsia="Calibri" w:hAnsi="Verdana" w:cs="Times New Roman"/>
        </w:rPr>
      </w:pPr>
      <w:hyperlink r:id="rId12" w:history="1">
        <w:r w:rsidRPr="00E50536">
          <w:rPr>
            <w:rStyle w:val="Hipervnculo"/>
            <w:rFonts w:ascii="Verdana" w:eastAsia="Calibri" w:hAnsi="Verdana" w:cs="Times New Roman"/>
          </w:rPr>
          <w:t>yulyneira@hotmail.com</w:t>
        </w:r>
      </w:hyperlink>
      <w:r w:rsidRPr="00E50536">
        <w:rPr>
          <w:rFonts w:ascii="Verdana" w:eastAsia="Calibri" w:hAnsi="Verdana" w:cs="Times New Roman"/>
        </w:rPr>
        <w:t xml:space="preserve"> </w:t>
      </w:r>
    </w:p>
    <w:p w14:paraId="3EEBCF2F" w14:textId="77777777" w:rsidR="0076699A" w:rsidRDefault="0076699A" w:rsidP="00595D6A">
      <w:pPr>
        <w:spacing w:after="0" w:line="240" w:lineRule="auto"/>
        <w:rPr>
          <w:rFonts w:ascii="Verdana" w:eastAsia="Calibri" w:hAnsi="Verdana" w:cs="Times New Roman"/>
        </w:rPr>
      </w:pPr>
      <w:r w:rsidRPr="00242434">
        <w:rPr>
          <w:rFonts w:ascii="Verdana" w:eastAsia="Calibri" w:hAnsi="Verdana" w:cs="Times New Roman"/>
        </w:rPr>
        <w:t>Bogotá D.C.</w:t>
      </w:r>
    </w:p>
    <w:p w14:paraId="7778204D" w14:textId="77777777" w:rsidR="0076699A" w:rsidRPr="00CD4831" w:rsidRDefault="0076699A" w:rsidP="00595D6A">
      <w:pPr>
        <w:spacing w:after="0" w:line="240" w:lineRule="auto"/>
        <w:rPr>
          <w:rFonts w:ascii="Verdana" w:eastAsia="Calibri" w:hAnsi="Verdana" w:cs="Times New Roman"/>
        </w:rPr>
      </w:pPr>
    </w:p>
    <w:p w14:paraId="567C2F32" w14:textId="77777777" w:rsidR="0076699A" w:rsidRPr="0060163E" w:rsidRDefault="0076699A" w:rsidP="00595D6A">
      <w:pPr>
        <w:spacing w:after="0" w:line="240" w:lineRule="auto"/>
        <w:rPr>
          <w:rFonts w:ascii="Verdana" w:eastAsia="Calibri" w:hAnsi="Verdana" w:cs="Times New Roman"/>
        </w:rPr>
      </w:pPr>
    </w:p>
    <w:p w14:paraId="752B6980" w14:textId="77777777" w:rsidR="0076699A" w:rsidRPr="0060163E" w:rsidRDefault="0076699A" w:rsidP="0076699A">
      <w:pPr>
        <w:spacing w:after="0" w:line="240" w:lineRule="auto"/>
        <w:rPr>
          <w:rFonts w:ascii="Verdana" w:eastAsia="Calibri" w:hAnsi="Verdana" w:cs="Times New Roman"/>
          <w:b/>
          <w:bCs/>
          <w:lang w:val="es-ES"/>
        </w:rPr>
      </w:pPr>
      <w:r w:rsidRPr="0060163E">
        <w:rPr>
          <w:rFonts w:ascii="Verdana" w:eastAsia="Calibri" w:hAnsi="Verdana" w:cs="Times New Roman"/>
          <w:b/>
          <w:bCs/>
        </w:rPr>
        <w:t xml:space="preserve">                                    </w:t>
      </w:r>
      <w:r>
        <w:rPr>
          <w:rFonts w:ascii="Verdana" w:eastAsia="Calibri" w:hAnsi="Verdana" w:cs="Times New Roman"/>
          <w:b/>
          <w:bCs/>
          <w:lang w:val="es-ES"/>
        </w:rPr>
        <w:t>Concepto C– 552 de 2026</w:t>
      </w:r>
    </w:p>
    <w:p w14:paraId="1D7B59A0" w14:textId="77777777" w:rsidR="0076699A" w:rsidRPr="0060163E" w:rsidRDefault="0076699A" w:rsidP="0076699A">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76699A" w:rsidRPr="0060163E" w14:paraId="3728F6FE" w14:textId="77777777" w:rsidTr="00EA72AC">
        <w:trPr>
          <w:trHeight w:val="884"/>
        </w:trPr>
        <w:tc>
          <w:tcPr>
            <w:tcW w:w="2685" w:type="dxa"/>
            <w:hideMark/>
          </w:tcPr>
          <w:p w14:paraId="202A07FF" w14:textId="77777777" w:rsidR="0076699A" w:rsidRPr="0060163E" w:rsidRDefault="0076699A" w:rsidP="00EA72AC">
            <w:pPr>
              <w:rPr>
                <w:rFonts w:ascii="Verdana" w:hAnsi="Verdana"/>
                <w:b/>
                <w:bCs/>
                <w:lang w:val="es-ES_tradnl"/>
              </w:rPr>
            </w:pPr>
            <w:r w:rsidRPr="0060163E">
              <w:rPr>
                <w:rFonts w:ascii="Verdana" w:hAnsi="Verdana"/>
                <w:b/>
                <w:bCs/>
                <w:lang w:val="es-ES_tradnl"/>
              </w:rPr>
              <w:t xml:space="preserve">Temas:                   </w:t>
            </w:r>
          </w:p>
        </w:tc>
        <w:tc>
          <w:tcPr>
            <w:tcW w:w="6241" w:type="dxa"/>
            <w:hideMark/>
          </w:tcPr>
          <w:p w14:paraId="0781964F" w14:textId="786DB8EC" w:rsidR="0076699A" w:rsidRPr="006D2BEC" w:rsidRDefault="0076699A" w:rsidP="00EA72AC">
            <w:pPr>
              <w:spacing w:line="276" w:lineRule="auto"/>
              <w:jc w:val="both"/>
              <w:rPr>
                <w:rFonts w:ascii="Verdana" w:hAnsi="Verdana" w:cs="Arial"/>
                <w:lang w:val="es-MX"/>
              </w:rPr>
            </w:pPr>
            <w:r w:rsidRPr="006D2BEC">
              <w:rPr>
                <w:rFonts w:ascii="Verdana" w:hAnsi="Verdana" w:cs="Arial"/>
                <w:lang w:val="es-MX"/>
              </w:rPr>
              <w:t xml:space="preserve">INHABILIDADES E INCOMPATIBILIDADES ─ Definición ─ fundamento – </w:t>
            </w:r>
            <w:r w:rsidR="00EA0211">
              <w:rPr>
                <w:rFonts w:ascii="Verdana" w:hAnsi="Verdana" w:cs="Arial"/>
                <w:lang w:val="es-MX"/>
              </w:rPr>
              <w:t>C</w:t>
            </w:r>
            <w:r w:rsidRPr="006D2BEC">
              <w:rPr>
                <w:rFonts w:ascii="Verdana" w:hAnsi="Verdana" w:cs="Arial"/>
                <w:lang w:val="es-MX"/>
              </w:rPr>
              <w:t xml:space="preserve">lases / INHABILIDADES E INCOMPATIBILIDADES </w:t>
            </w:r>
            <w:r w:rsidR="00EA0211" w:rsidRPr="00EA0211">
              <w:rPr>
                <w:rFonts w:ascii="Verdana" w:hAnsi="Verdana" w:cs="Arial"/>
                <w:b/>
                <w:bCs/>
                <w:lang w:val="es-ES"/>
              </w:rPr>
              <w:t>–</w:t>
            </w:r>
            <w:r w:rsidRPr="006D2BEC">
              <w:rPr>
                <w:rFonts w:ascii="Verdana" w:hAnsi="Verdana" w:cs="Arial"/>
                <w:lang w:val="es-MX"/>
              </w:rPr>
              <w:t xml:space="preserve"> Finalidad </w:t>
            </w:r>
            <w:r w:rsidR="00EA0211" w:rsidRPr="00EA0211">
              <w:rPr>
                <w:rFonts w:ascii="Verdana" w:hAnsi="Verdana" w:cs="Arial"/>
                <w:b/>
                <w:bCs/>
                <w:lang w:val="es-ES"/>
              </w:rPr>
              <w:t>–</w:t>
            </w:r>
            <w:r w:rsidRPr="006D2BEC">
              <w:rPr>
                <w:rFonts w:ascii="Verdana" w:hAnsi="Verdana" w:cs="Arial"/>
                <w:lang w:val="es-MX"/>
              </w:rPr>
              <w:t xml:space="preserve"> Limitación capacidad contractual </w:t>
            </w:r>
            <w:r w:rsidRPr="006D2BEC">
              <w:rPr>
                <w:rFonts w:ascii="Verdana" w:hAnsi="Verdana" w:cs="Arial"/>
                <w:lang w:val="es-ES_tradnl"/>
              </w:rPr>
              <w:t>/ INHABILIDADES – Taxatividad – Principio de legalidad – Interpretación restrictiva</w:t>
            </w:r>
            <w:r w:rsidRPr="006D2BEC" w:rsidDel="00A75E55">
              <w:rPr>
                <w:rFonts w:ascii="Verdana" w:hAnsi="Verdana" w:cs="Arial"/>
                <w:lang w:val="es-ES_tradnl"/>
              </w:rPr>
              <w:t xml:space="preserve"> </w:t>
            </w:r>
            <w:r w:rsidRPr="006D2BEC">
              <w:rPr>
                <w:rFonts w:ascii="Verdana" w:hAnsi="Verdana" w:cs="Arial"/>
                <w:lang w:val="es-ES_tradnl"/>
              </w:rPr>
              <w:t xml:space="preserve">/ </w:t>
            </w:r>
            <w:r w:rsidRPr="00421CBB">
              <w:rPr>
                <w:rFonts w:ascii="Verdana" w:hAnsi="Verdana" w:cs="Arial"/>
                <w:lang w:val="es-ES_tradnl"/>
              </w:rPr>
              <w:t xml:space="preserve">INHABILIDAD </w:t>
            </w:r>
            <w:r w:rsidRPr="00421CBB">
              <w:rPr>
                <w:rFonts w:ascii="Verdana" w:hAnsi="Verdana" w:cs="Arial"/>
              </w:rPr>
              <w:t>E INCOMPATIBILIDAD</w:t>
            </w:r>
            <w:r w:rsidRPr="00421CBB">
              <w:rPr>
                <w:rFonts w:ascii="Verdana" w:hAnsi="Verdana" w:cs="Arial"/>
                <w:lang w:val="es-ES_tradnl"/>
              </w:rPr>
              <w:t xml:space="preserve"> </w:t>
            </w:r>
            <w:r w:rsidRPr="00421CBB">
              <w:rPr>
                <w:rFonts w:ascii="Verdana" w:hAnsi="Verdana" w:cs="Arial"/>
              </w:rPr>
              <w:t>–</w:t>
            </w:r>
            <w:r w:rsidRPr="00421CBB">
              <w:rPr>
                <w:rFonts w:ascii="Verdana" w:hAnsi="Verdana" w:cs="Arial"/>
                <w:lang w:val="es-ES_tradnl"/>
              </w:rPr>
              <w:t xml:space="preserve"> Parágrafo primero – artículo 42 – Ley 1952 de 2019 – Boletín – Responsabilidad Fiscal</w:t>
            </w:r>
            <w:r>
              <w:rPr>
                <w:rFonts w:ascii="Verdana" w:hAnsi="Verdana" w:cs="Arial"/>
                <w:lang w:val="es-ES_tradnl"/>
              </w:rPr>
              <w:t xml:space="preserve"> – Alcance – Efectos / INHABILIDAD – Literal b – </w:t>
            </w:r>
            <w:r w:rsidR="00EA0211">
              <w:rPr>
                <w:rFonts w:ascii="Verdana" w:hAnsi="Verdana" w:cs="Arial"/>
                <w:lang w:val="es-ES_tradnl"/>
              </w:rPr>
              <w:t>N</w:t>
            </w:r>
            <w:r>
              <w:rPr>
                <w:rFonts w:ascii="Verdana" w:hAnsi="Verdana" w:cs="Arial"/>
                <w:lang w:val="es-ES_tradnl"/>
              </w:rPr>
              <w:t>umeral 1</w:t>
            </w:r>
            <w:r w:rsidR="00EA0211">
              <w:rPr>
                <w:rFonts w:ascii="Verdana" w:hAnsi="Verdana" w:cs="Arial"/>
                <w:lang w:val="es-ES_tradnl"/>
              </w:rPr>
              <w:t xml:space="preserve"> </w:t>
            </w:r>
            <w:r w:rsidR="00EA0211" w:rsidRPr="00EA0211">
              <w:rPr>
                <w:rFonts w:ascii="Verdana" w:hAnsi="Verdana" w:cs="Arial"/>
                <w:b/>
                <w:bCs/>
                <w:lang w:val="es-ES"/>
              </w:rPr>
              <w:t>–</w:t>
            </w:r>
            <w:r>
              <w:rPr>
                <w:rFonts w:ascii="Verdana" w:hAnsi="Verdana" w:cs="Arial"/>
                <w:lang w:val="es-ES_tradnl"/>
              </w:rPr>
              <w:t xml:space="preserve"> Artículo 8 – Alcance / INHABILIDAD E INCOMPATIBILIDAD – Artículo 9 – Inhabilidad sobreviniente </w:t>
            </w:r>
            <w:r w:rsidR="00EA0211" w:rsidRPr="00EA0211">
              <w:rPr>
                <w:rFonts w:ascii="Verdana" w:hAnsi="Verdana" w:cs="Arial"/>
                <w:b/>
                <w:bCs/>
                <w:lang w:val="es-ES"/>
              </w:rPr>
              <w:t>–</w:t>
            </w:r>
            <w:r>
              <w:rPr>
                <w:rFonts w:ascii="Verdana" w:hAnsi="Verdana" w:cs="Arial"/>
                <w:lang w:val="es-ES_tradnl"/>
              </w:rPr>
              <w:t xml:space="preserve"> Efectos</w:t>
            </w:r>
          </w:p>
          <w:p w14:paraId="117011EB" w14:textId="77777777" w:rsidR="0076699A" w:rsidRPr="00531EC0" w:rsidRDefault="0076699A" w:rsidP="00EA72AC">
            <w:pPr>
              <w:jc w:val="both"/>
              <w:rPr>
                <w:rFonts w:ascii="Verdana" w:hAnsi="Verdana" w:cs="Arial"/>
                <w:lang w:val="es-MX"/>
              </w:rPr>
            </w:pPr>
          </w:p>
        </w:tc>
        <w:tc>
          <w:tcPr>
            <w:tcW w:w="6237" w:type="dxa"/>
          </w:tcPr>
          <w:p w14:paraId="136C2736" w14:textId="77777777" w:rsidR="0076699A" w:rsidRPr="006D2BEC" w:rsidRDefault="0076699A" w:rsidP="00EA72AC">
            <w:pPr>
              <w:rPr>
                <w:rFonts w:ascii="Verdana" w:hAnsi="Verdana"/>
              </w:rPr>
            </w:pPr>
          </w:p>
        </w:tc>
      </w:tr>
      <w:tr w:rsidR="0076699A" w:rsidRPr="0060163E" w14:paraId="6CF9F774" w14:textId="77777777" w:rsidTr="00EA72AC">
        <w:tc>
          <w:tcPr>
            <w:tcW w:w="2685" w:type="dxa"/>
          </w:tcPr>
          <w:p w14:paraId="399846D7" w14:textId="77777777" w:rsidR="0076699A" w:rsidRPr="0060163E" w:rsidRDefault="0076699A" w:rsidP="00EA72AC">
            <w:pPr>
              <w:rPr>
                <w:rFonts w:ascii="Verdana" w:hAnsi="Verdana"/>
                <w:lang w:val="es-ES_tradnl"/>
              </w:rPr>
            </w:pPr>
          </w:p>
          <w:p w14:paraId="21E27468" w14:textId="77777777" w:rsidR="0076699A" w:rsidRPr="0060163E" w:rsidRDefault="0076699A" w:rsidP="00EA72AC">
            <w:pPr>
              <w:rPr>
                <w:rFonts w:ascii="Verdana" w:hAnsi="Verdana"/>
                <w:b/>
                <w:bCs/>
                <w:lang w:val="es-ES_tradnl"/>
              </w:rPr>
            </w:pPr>
            <w:r w:rsidRPr="0060163E">
              <w:rPr>
                <w:rFonts w:ascii="Verdana" w:hAnsi="Verdana"/>
                <w:b/>
                <w:bCs/>
                <w:lang w:val="es-ES_tradnl"/>
              </w:rPr>
              <w:t xml:space="preserve">Radicación:               </w:t>
            </w:r>
          </w:p>
        </w:tc>
        <w:tc>
          <w:tcPr>
            <w:tcW w:w="6241" w:type="dxa"/>
          </w:tcPr>
          <w:p w14:paraId="07988C81" w14:textId="77777777" w:rsidR="0076699A" w:rsidRPr="0060163E" w:rsidRDefault="0076699A" w:rsidP="00EA72AC">
            <w:pPr>
              <w:jc w:val="both"/>
              <w:rPr>
                <w:rFonts w:ascii="Verdana" w:hAnsi="Verdana"/>
                <w:lang w:val="es-ES_tradnl"/>
              </w:rPr>
            </w:pPr>
          </w:p>
          <w:p w14:paraId="0252F8B9" w14:textId="77777777" w:rsidR="0076699A" w:rsidRDefault="0076699A" w:rsidP="00EA72AC">
            <w:pPr>
              <w:jc w:val="both"/>
              <w:rPr>
                <w:rFonts w:ascii="Verdana" w:hAnsi="Verdana"/>
              </w:rPr>
            </w:pPr>
            <w:r w:rsidRPr="0060163E">
              <w:rPr>
                <w:rFonts w:ascii="Verdana" w:hAnsi="Verdana"/>
                <w:lang w:val="es-ES_tradnl"/>
              </w:rPr>
              <w:t>Respue</w:t>
            </w:r>
            <w:r>
              <w:rPr>
                <w:rFonts w:ascii="Verdana" w:hAnsi="Verdana"/>
                <w:lang w:val="es-ES_tradnl"/>
              </w:rPr>
              <w:t xml:space="preserve">sta a consulta con radicado </w:t>
            </w:r>
            <w:r w:rsidRPr="00E22C5D">
              <w:rPr>
                <w:rFonts w:ascii="Verdana" w:hAnsi="Verdana"/>
              </w:rPr>
              <w:t>1_2026_04_06_004583</w:t>
            </w:r>
          </w:p>
          <w:p w14:paraId="441C8C1A" w14:textId="77777777" w:rsidR="0076699A" w:rsidRPr="0060163E" w:rsidRDefault="0076699A" w:rsidP="00EA72AC">
            <w:pPr>
              <w:jc w:val="both"/>
              <w:rPr>
                <w:rFonts w:ascii="Verdana" w:hAnsi="Verdana"/>
              </w:rPr>
            </w:pPr>
          </w:p>
        </w:tc>
        <w:tc>
          <w:tcPr>
            <w:tcW w:w="6237" w:type="dxa"/>
          </w:tcPr>
          <w:p w14:paraId="16379273" w14:textId="77777777" w:rsidR="0076699A" w:rsidRPr="0060163E" w:rsidRDefault="0076699A" w:rsidP="00EA72AC">
            <w:pPr>
              <w:rPr>
                <w:rFonts w:ascii="Verdana" w:hAnsi="Verdana"/>
                <w:lang w:val="es-ES_tradnl"/>
              </w:rPr>
            </w:pPr>
          </w:p>
        </w:tc>
      </w:tr>
      <w:tr w:rsidR="0076699A" w:rsidRPr="0060163E" w14:paraId="49CA96B0" w14:textId="77777777" w:rsidTr="00EA72AC">
        <w:tc>
          <w:tcPr>
            <w:tcW w:w="2685" w:type="dxa"/>
          </w:tcPr>
          <w:p w14:paraId="4C970763" w14:textId="77777777" w:rsidR="0076699A" w:rsidRPr="0060163E" w:rsidRDefault="0076699A" w:rsidP="00EA72AC">
            <w:pPr>
              <w:rPr>
                <w:rFonts w:ascii="Verdana" w:hAnsi="Verdana"/>
                <w:lang w:val="es-ES_tradnl"/>
              </w:rPr>
            </w:pPr>
          </w:p>
        </w:tc>
        <w:tc>
          <w:tcPr>
            <w:tcW w:w="6241" w:type="dxa"/>
          </w:tcPr>
          <w:p w14:paraId="590350AF" w14:textId="77777777" w:rsidR="0076699A" w:rsidRPr="0060163E" w:rsidRDefault="0076699A" w:rsidP="00EA72AC">
            <w:pPr>
              <w:jc w:val="both"/>
              <w:rPr>
                <w:rFonts w:ascii="Verdana" w:hAnsi="Verdana"/>
                <w:lang w:val="es-ES_tradnl"/>
              </w:rPr>
            </w:pPr>
          </w:p>
        </w:tc>
        <w:tc>
          <w:tcPr>
            <w:tcW w:w="6237" w:type="dxa"/>
          </w:tcPr>
          <w:p w14:paraId="6F3B1CBE" w14:textId="77777777" w:rsidR="0076699A" w:rsidRPr="0060163E" w:rsidRDefault="0076699A" w:rsidP="00EA72AC">
            <w:pPr>
              <w:rPr>
                <w:rFonts w:ascii="Verdana" w:hAnsi="Verdana"/>
                <w:lang w:val="es-ES_tradnl"/>
              </w:rPr>
            </w:pPr>
          </w:p>
        </w:tc>
      </w:tr>
    </w:tbl>
    <w:p w14:paraId="7C03CCE7" w14:textId="77777777" w:rsidR="0076699A" w:rsidRPr="0060163E" w:rsidRDefault="0076699A" w:rsidP="0076699A">
      <w:pPr>
        <w:spacing w:after="0" w:line="256" w:lineRule="auto"/>
        <w:rPr>
          <w:rFonts w:ascii="Verdana" w:eastAsia="Calibri" w:hAnsi="Verdana" w:cs="Times New Roman"/>
          <w:lang w:val="es-ES"/>
        </w:rPr>
      </w:pPr>
      <w:r>
        <w:rPr>
          <w:rFonts w:ascii="Verdana" w:eastAsia="Calibri" w:hAnsi="Verdana" w:cs="Times New Roman"/>
          <w:lang w:val="es-ES"/>
        </w:rPr>
        <w:t>Estimada Señora Neira Rojas:</w:t>
      </w:r>
    </w:p>
    <w:p w14:paraId="38D8BA7F" w14:textId="77777777" w:rsidR="0076699A" w:rsidRPr="0060163E" w:rsidRDefault="0076699A" w:rsidP="0076699A">
      <w:pPr>
        <w:spacing w:after="0" w:line="276" w:lineRule="auto"/>
        <w:rPr>
          <w:rFonts w:ascii="Verdana" w:eastAsia="Calibri" w:hAnsi="Verdana" w:cs="Times New Roman"/>
          <w:lang w:val="es-ES"/>
        </w:rPr>
      </w:pPr>
    </w:p>
    <w:p w14:paraId="6D776849" w14:textId="77777777" w:rsidR="0076699A" w:rsidRPr="008211D2" w:rsidRDefault="0076699A" w:rsidP="0076699A">
      <w:pPr>
        <w:spacing w:after="0" w:line="276" w:lineRule="auto"/>
        <w:jc w:val="both"/>
        <w:rPr>
          <w:rFonts w:ascii="Verdana" w:eastAsia="Calibri" w:hAnsi="Verdana" w:cs="Times New Roman"/>
          <w:bCs/>
          <w:lang w:val="es-ES" w:bidi="es-ES"/>
        </w:rPr>
      </w:pPr>
      <w:r w:rsidRPr="008211D2">
        <w:rPr>
          <w:rFonts w:ascii="Verdana" w:eastAsia="Calibri" w:hAnsi="Verdana" w:cs="Times New Roman"/>
          <w:bCs/>
          <w:lang w:val="es-ES" w:bidi="es-ES"/>
        </w:rPr>
        <w:t xml:space="preserve">En ejercicio de la competencia otorgada por los artículos 3, numeral 5º, y 11, numeral 8º, del Decreto Ley 4170 de 2011, </w:t>
      </w:r>
      <w:r w:rsidRPr="008211D2">
        <w:rPr>
          <w:rFonts w:ascii="Verdana" w:eastAsia="Calibri" w:hAnsi="Verdana" w:cs="Times New Roman"/>
          <w:bCs/>
        </w:rPr>
        <w:t xml:space="preserve">así como lo establecido por la Resolución 469 de 2025 expedida por esta Entidad, </w:t>
      </w:r>
      <w:r w:rsidRPr="008211D2">
        <w:rPr>
          <w:rFonts w:ascii="Verdana" w:eastAsia="Calibri" w:hAnsi="Verdana" w:cs="Times New Roman"/>
          <w:bCs/>
          <w:lang w:val="es-ES" w:bidi="es-ES"/>
        </w:rPr>
        <w:t>la Agencia Nacional de Contratación Pública – Colombia Compra Eficiente– responde la sol</w:t>
      </w:r>
      <w:r>
        <w:rPr>
          <w:rFonts w:ascii="Verdana" w:eastAsia="Calibri" w:hAnsi="Verdana" w:cs="Times New Roman"/>
          <w:bCs/>
          <w:lang w:val="es-ES" w:bidi="es-ES"/>
        </w:rPr>
        <w:t>icitud de consulta presentada el 6 de abril</w:t>
      </w:r>
      <w:r w:rsidRPr="008211D2">
        <w:rPr>
          <w:rFonts w:ascii="Verdana" w:eastAsia="Calibri" w:hAnsi="Verdana" w:cs="Times New Roman"/>
          <w:bCs/>
          <w:lang w:val="es-ES" w:bidi="es-ES"/>
        </w:rPr>
        <w:t xml:space="preserve">, en la cual manifiesta: </w:t>
      </w:r>
    </w:p>
    <w:p w14:paraId="18E8A3AB" w14:textId="77777777" w:rsidR="0076699A" w:rsidRPr="0060163E" w:rsidRDefault="0076699A" w:rsidP="0076699A">
      <w:pPr>
        <w:spacing w:after="0" w:line="276" w:lineRule="auto"/>
        <w:jc w:val="both"/>
        <w:rPr>
          <w:rFonts w:ascii="Verdana" w:eastAsia="Calibri" w:hAnsi="Verdana" w:cs="Times New Roman"/>
          <w:lang w:val="es-ES"/>
        </w:rPr>
      </w:pPr>
    </w:p>
    <w:p w14:paraId="2FDBA75F" w14:textId="77777777" w:rsidR="0076699A" w:rsidRPr="00E22C5D" w:rsidRDefault="0076699A" w:rsidP="0076699A">
      <w:pPr>
        <w:numPr>
          <w:ilvl w:val="0"/>
          <w:numId w:val="21"/>
        </w:numPr>
        <w:spacing w:after="0" w:line="240" w:lineRule="auto"/>
        <w:ind w:right="709"/>
        <w:jc w:val="both"/>
        <w:rPr>
          <w:rFonts w:ascii="Verdana" w:eastAsia="Calibri" w:hAnsi="Verdana" w:cs="Times New Roman"/>
          <w:bCs/>
          <w:sz w:val="20"/>
          <w:szCs w:val="20"/>
          <w:lang w:val="es-ES"/>
        </w:rPr>
      </w:pPr>
      <w:r w:rsidRPr="00506C86">
        <w:rPr>
          <w:rFonts w:ascii="Verdana" w:eastAsia="Calibri" w:hAnsi="Verdana" w:cs="Times New Roman"/>
          <w:bCs/>
          <w:sz w:val="20"/>
          <w:szCs w:val="20"/>
        </w:rPr>
        <w:t>“</w:t>
      </w:r>
      <w:r w:rsidRPr="00E22C5D">
        <w:rPr>
          <w:rFonts w:ascii="Verdana" w:eastAsia="Calibri" w:hAnsi="Verdana" w:cs="Times New Roman"/>
          <w:bCs/>
          <w:sz w:val="20"/>
          <w:szCs w:val="20"/>
          <w:lang w:val="es-ES"/>
        </w:rPr>
        <w:t xml:space="preserve">El reporte en el boletín de responsables fiscales de una persona natural y/o jurídica, ya sea que se presenten de manera directa o como integrantes de un consorcio o unión temporal, genera inhabilidad para </w:t>
      </w:r>
      <w:r w:rsidRPr="00E22C5D">
        <w:rPr>
          <w:rFonts w:ascii="Verdana" w:eastAsia="Calibri" w:hAnsi="Verdana" w:cs="Times New Roman"/>
          <w:b/>
          <w:bCs/>
          <w:sz w:val="20"/>
          <w:szCs w:val="20"/>
          <w:u w:val="single"/>
          <w:lang w:val="es-ES"/>
        </w:rPr>
        <w:lastRenderedPageBreak/>
        <w:t>participar</w:t>
      </w:r>
      <w:r w:rsidRPr="00E22C5D">
        <w:rPr>
          <w:rFonts w:ascii="Verdana" w:eastAsia="Calibri" w:hAnsi="Verdana" w:cs="Times New Roman"/>
          <w:bCs/>
          <w:sz w:val="20"/>
          <w:szCs w:val="20"/>
          <w:lang w:val="es-ES"/>
        </w:rPr>
        <w:t xml:space="preserve"> y/o </w:t>
      </w:r>
      <w:r w:rsidRPr="00E22C5D">
        <w:rPr>
          <w:rFonts w:ascii="Verdana" w:eastAsia="Calibri" w:hAnsi="Verdana" w:cs="Times New Roman"/>
          <w:b/>
          <w:bCs/>
          <w:sz w:val="20"/>
          <w:szCs w:val="20"/>
          <w:u w:val="single"/>
          <w:lang w:val="es-ES"/>
        </w:rPr>
        <w:t xml:space="preserve">celebrar </w:t>
      </w:r>
      <w:r w:rsidRPr="00E22C5D">
        <w:rPr>
          <w:rFonts w:ascii="Verdana" w:eastAsia="Calibri" w:hAnsi="Verdana" w:cs="Times New Roman"/>
          <w:bCs/>
          <w:sz w:val="20"/>
          <w:szCs w:val="20"/>
          <w:lang w:val="es-ES"/>
        </w:rPr>
        <w:t xml:space="preserve">contratos con entidades estatales? Lo anterior de conformidad con el articulo 60 de la ley 610 de 2000, literal a, numeral 1 del articulo 8 de la ley 80 de 1993. </w:t>
      </w:r>
    </w:p>
    <w:p w14:paraId="18B0AF98" w14:textId="77777777" w:rsidR="0076699A" w:rsidRPr="00E22C5D" w:rsidRDefault="0076699A" w:rsidP="0076699A">
      <w:pPr>
        <w:numPr>
          <w:ilvl w:val="0"/>
          <w:numId w:val="21"/>
        </w:numPr>
        <w:spacing w:after="0" w:line="240" w:lineRule="auto"/>
        <w:ind w:right="709"/>
        <w:jc w:val="both"/>
        <w:rPr>
          <w:rFonts w:ascii="Verdana" w:eastAsia="Calibri" w:hAnsi="Verdana" w:cs="Times New Roman"/>
          <w:bCs/>
          <w:sz w:val="20"/>
          <w:szCs w:val="20"/>
        </w:rPr>
      </w:pPr>
      <w:r w:rsidRPr="00E22C5D">
        <w:rPr>
          <w:rFonts w:ascii="Verdana" w:eastAsia="Calibri" w:hAnsi="Verdana" w:cs="Times New Roman"/>
          <w:bCs/>
          <w:sz w:val="20"/>
          <w:szCs w:val="20"/>
        </w:rPr>
        <w:t xml:space="preserve">La inhabilidad para participar y celebrar contratos, conforme al numeral 1 del artículo 8 de la ley 80 de 1993, solo aplica para la modalidad de selección de contratista de la licitación pública, o aplica para cualquier modalidad de selección de contratista. </w:t>
      </w:r>
    </w:p>
    <w:p w14:paraId="4D4D2A04" w14:textId="77777777" w:rsidR="0076699A" w:rsidRPr="00E22C5D" w:rsidRDefault="0076699A" w:rsidP="0076699A">
      <w:pPr>
        <w:numPr>
          <w:ilvl w:val="0"/>
          <w:numId w:val="21"/>
        </w:numPr>
        <w:spacing w:after="0" w:line="240" w:lineRule="auto"/>
        <w:ind w:right="709"/>
        <w:jc w:val="both"/>
        <w:rPr>
          <w:rFonts w:ascii="Verdana" w:eastAsia="Calibri" w:hAnsi="Verdana" w:cs="Times New Roman"/>
          <w:bCs/>
          <w:sz w:val="20"/>
          <w:szCs w:val="20"/>
        </w:rPr>
      </w:pPr>
      <w:proofErr w:type="gramStart"/>
      <w:r w:rsidRPr="00E22C5D">
        <w:rPr>
          <w:rFonts w:ascii="Verdana" w:eastAsia="Calibri" w:hAnsi="Verdana" w:cs="Times New Roman"/>
          <w:bCs/>
          <w:sz w:val="20"/>
          <w:szCs w:val="20"/>
        </w:rPr>
        <w:t>De conformidad con el literal b, numeral 1, articulo 8 de la ley 80 de 1993, quienes participaron en las licitaciones o celebraron los contratos de que trata el literal anterior estando inhabilitados, por que tiempo se genera dicha inhabilidad?</w:t>
      </w:r>
      <w:proofErr w:type="gramEnd"/>
    </w:p>
    <w:p w14:paraId="2451C674" w14:textId="77777777" w:rsidR="0076699A" w:rsidRPr="00E22C5D" w:rsidRDefault="0076699A" w:rsidP="0076699A">
      <w:pPr>
        <w:numPr>
          <w:ilvl w:val="0"/>
          <w:numId w:val="21"/>
        </w:numPr>
        <w:spacing w:after="0" w:line="240" w:lineRule="auto"/>
        <w:ind w:right="709"/>
        <w:jc w:val="both"/>
        <w:rPr>
          <w:rFonts w:ascii="Verdana" w:eastAsia="Calibri" w:hAnsi="Verdana" w:cs="Times New Roman"/>
          <w:bCs/>
          <w:sz w:val="20"/>
          <w:szCs w:val="20"/>
        </w:rPr>
      </w:pPr>
      <w:proofErr w:type="gramStart"/>
      <w:r w:rsidRPr="00E22C5D">
        <w:rPr>
          <w:rFonts w:ascii="Verdana" w:eastAsia="Calibri" w:hAnsi="Verdana" w:cs="Times New Roman"/>
          <w:bCs/>
          <w:sz w:val="20"/>
          <w:szCs w:val="20"/>
        </w:rPr>
        <w:t>De conformidad con el numeral 1, articulo 8 de la ley 80 de 1993, desde y hasta que momento se entiende que se participa en el proceso de selección?</w:t>
      </w:r>
      <w:proofErr w:type="gramEnd"/>
      <w:r w:rsidRPr="00E22C5D">
        <w:rPr>
          <w:rFonts w:ascii="Verdana" w:eastAsia="Calibri" w:hAnsi="Verdana" w:cs="Times New Roman"/>
          <w:bCs/>
          <w:sz w:val="20"/>
          <w:szCs w:val="20"/>
        </w:rPr>
        <w:t xml:space="preserve"> </w:t>
      </w:r>
      <w:proofErr w:type="gramStart"/>
      <w:r w:rsidRPr="00E22C5D">
        <w:rPr>
          <w:rFonts w:ascii="Verdana" w:eastAsia="Calibri" w:hAnsi="Verdana" w:cs="Times New Roman"/>
          <w:bCs/>
          <w:sz w:val="20"/>
          <w:szCs w:val="20"/>
        </w:rPr>
        <w:t>Desde la presentación de la oferta y hasta la adjudicación?</w:t>
      </w:r>
      <w:proofErr w:type="gramEnd"/>
    </w:p>
    <w:p w14:paraId="7037124D" w14:textId="77777777" w:rsidR="0076699A" w:rsidRPr="00E22C5D" w:rsidRDefault="0076699A" w:rsidP="0076699A">
      <w:pPr>
        <w:numPr>
          <w:ilvl w:val="0"/>
          <w:numId w:val="21"/>
        </w:numPr>
        <w:spacing w:after="0" w:line="240" w:lineRule="auto"/>
        <w:ind w:right="709"/>
        <w:jc w:val="both"/>
        <w:rPr>
          <w:rFonts w:ascii="Verdana" w:eastAsia="Calibri" w:hAnsi="Verdana" w:cs="Times New Roman"/>
          <w:bCs/>
          <w:sz w:val="20"/>
          <w:szCs w:val="20"/>
        </w:rPr>
      </w:pPr>
      <w:proofErr w:type="gramStart"/>
      <w:r w:rsidRPr="00E22C5D">
        <w:rPr>
          <w:rFonts w:ascii="Verdana" w:eastAsia="Calibri" w:hAnsi="Verdana" w:cs="Times New Roman"/>
          <w:bCs/>
          <w:sz w:val="20"/>
          <w:szCs w:val="20"/>
        </w:rPr>
        <w:t>De conformidad con el numeral 1, articulo 8 de la ley 80 de 1993, que sucede con la inhabilidad cuando al momento de la presentación de la oferta se encuentra reportado en el boletín de responsables fiscales, pero paga antes de la celebración del contrato, lo que genera la exclusión de dicho boletín?</w:t>
      </w:r>
      <w:proofErr w:type="gramEnd"/>
      <w:r w:rsidRPr="00E22C5D">
        <w:rPr>
          <w:rFonts w:ascii="Verdana" w:eastAsia="Calibri" w:hAnsi="Verdana" w:cs="Times New Roman"/>
          <w:bCs/>
          <w:sz w:val="20"/>
          <w:szCs w:val="20"/>
        </w:rPr>
        <w:t xml:space="preserve"> </w:t>
      </w:r>
      <w:proofErr w:type="gramStart"/>
      <w:r w:rsidRPr="00E22C5D">
        <w:rPr>
          <w:rFonts w:ascii="Verdana" w:eastAsia="Calibri" w:hAnsi="Verdana" w:cs="Times New Roman"/>
          <w:bCs/>
          <w:sz w:val="20"/>
          <w:szCs w:val="20"/>
        </w:rPr>
        <w:t>Se configura la inhabilidad referida solo si por lo menos 1 día dentro del proceso de selección participo?</w:t>
      </w:r>
      <w:proofErr w:type="gramEnd"/>
    </w:p>
    <w:p w14:paraId="0BC5FCBA" w14:textId="77777777" w:rsidR="0076699A" w:rsidRPr="00E22C5D" w:rsidRDefault="0076699A" w:rsidP="0076699A">
      <w:pPr>
        <w:numPr>
          <w:ilvl w:val="0"/>
          <w:numId w:val="21"/>
        </w:numPr>
        <w:spacing w:after="0" w:line="240" w:lineRule="auto"/>
        <w:ind w:left="709" w:right="709"/>
        <w:jc w:val="both"/>
        <w:rPr>
          <w:rFonts w:ascii="Verdana" w:eastAsia="Calibri" w:hAnsi="Verdana" w:cs="Times New Roman"/>
          <w:bCs/>
          <w:sz w:val="20"/>
          <w:szCs w:val="20"/>
        </w:rPr>
      </w:pPr>
      <w:proofErr w:type="gramStart"/>
      <w:r w:rsidRPr="00E22C5D">
        <w:rPr>
          <w:rFonts w:ascii="Verdana" w:eastAsia="Calibri" w:hAnsi="Verdana" w:cs="Times New Roman"/>
          <w:bCs/>
          <w:sz w:val="20"/>
          <w:szCs w:val="20"/>
        </w:rPr>
        <w:t>Cuando se presente el supuesto contemplado en el literal b, numeral 1, articulo 8 de la ley 80 de 1993, que debe hacer la entidad publica que adelanto el proceso de selección o celebro el contrato, bajo dicha causal, con el fin de configurar la causal de inhabilidad?</w:t>
      </w:r>
      <w:proofErr w:type="gramEnd"/>
      <w:r w:rsidRPr="00E22C5D">
        <w:rPr>
          <w:rFonts w:ascii="Verdana" w:eastAsia="Calibri" w:hAnsi="Verdana" w:cs="Times New Roman"/>
          <w:bCs/>
          <w:sz w:val="20"/>
          <w:szCs w:val="20"/>
        </w:rPr>
        <w:t>”.</w:t>
      </w:r>
    </w:p>
    <w:p w14:paraId="457D1CA6" w14:textId="77777777" w:rsidR="0076699A" w:rsidRPr="008211D2" w:rsidRDefault="0076699A" w:rsidP="0076699A">
      <w:pPr>
        <w:spacing w:after="0" w:line="240" w:lineRule="auto"/>
        <w:ind w:right="709"/>
        <w:jc w:val="both"/>
        <w:rPr>
          <w:rFonts w:ascii="Verdana" w:eastAsia="Calibri" w:hAnsi="Verdana" w:cs="Times New Roman"/>
          <w:bCs/>
          <w:i/>
          <w:iCs/>
          <w:sz w:val="20"/>
          <w:szCs w:val="20"/>
        </w:rPr>
      </w:pPr>
    </w:p>
    <w:p w14:paraId="6BC0E52B" w14:textId="77777777" w:rsidR="0076699A" w:rsidRPr="0060163E" w:rsidRDefault="0076699A" w:rsidP="0076699A">
      <w:pPr>
        <w:spacing w:after="120" w:line="276" w:lineRule="auto"/>
        <w:ind w:firstLine="709"/>
        <w:jc w:val="both"/>
        <w:rPr>
          <w:rFonts w:ascii="Verdana" w:eastAsia="Calibri" w:hAnsi="Verdana" w:cs="Times New Roman"/>
          <w:lang w:val="es-ES"/>
        </w:rPr>
      </w:pPr>
      <w:r w:rsidRPr="0060163E">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62248CCB" w14:textId="77777777" w:rsidR="0076699A" w:rsidRDefault="0076699A" w:rsidP="0076699A">
      <w:pPr>
        <w:spacing w:after="0" w:line="276" w:lineRule="auto"/>
        <w:ind w:firstLine="708"/>
        <w:jc w:val="both"/>
        <w:rPr>
          <w:rFonts w:ascii="Verdana" w:eastAsia="Calibri" w:hAnsi="Verdana" w:cs="Times New Roman"/>
          <w:lang w:val="es-ES"/>
        </w:rPr>
      </w:pPr>
      <w:r w:rsidRPr="0060163E">
        <w:rPr>
          <w:rFonts w:ascii="Verdana" w:eastAsia="Calibri" w:hAnsi="Verdana" w:cs="Times New Roman"/>
          <w:lang w:val="es-ES"/>
        </w:rPr>
        <w:lastRenderedPageBreak/>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w:t>
      </w:r>
      <w:r>
        <w:rPr>
          <w:rFonts w:ascii="Verdana" w:eastAsia="Calibri" w:hAnsi="Verdana" w:cs="Times New Roman"/>
          <w:lang w:val="es-ES"/>
        </w:rPr>
        <w:t xml:space="preserve">s con el problema jurídico de su consulta. </w:t>
      </w:r>
    </w:p>
    <w:p w14:paraId="2F3A306C" w14:textId="77777777" w:rsidR="0076699A" w:rsidRPr="0060163E" w:rsidRDefault="0076699A" w:rsidP="0076699A">
      <w:pPr>
        <w:spacing w:after="0" w:line="276" w:lineRule="auto"/>
        <w:ind w:firstLine="708"/>
        <w:jc w:val="both"/>
        <w:rPr>
          <w:rFonts w:ascii="Verdana" w:eastAsia="Calibri" w:hAnsi="Verdana" w:cs="Times New Roman"/>
          <w:lang w:val="es-ES"/>
        </w:rPr>
      </w:pPr>
    </w:p>
    <w:p w14:paraId="66606F8E" w14:textId="77777777" w:rsidR="0076699A" w:rsidRPr="0060163E" w:rsidRDefault="0076699A" w:rsidP="0076699A">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I. </w:t>
      </w:r>
      <w:r w:rsidRPr="0060163E">
        <w:rPr>
          <w:rFonts w:ascii="Verdana" w:eastAsia="Calibri" w:hAnsi="Verdana" w:cs="Times New Roman"/>
          <w:b/>
          <w:bCs/>
          <w:lang w:val="es-ES"/>
        </w:rPr>
        <w:t>Problema planteado:</w:t>
      </w:r>
    </w:p>
    <w:p w14:paraId="1CA49000" w14:textId="77777777" w:rsidR="0076699A" w:rsidRPr="0060163E" w:rsidRDefault="0076699A" w:rsidP="0076699A">
      <w:pPr>
        <w:spacing w:after="0" w:line="276" w:lineRule="auto"/>
        <w:rPr>
          <w:rFonts w:ascii="Verdana" w:eastAsia="Calibri" w:hAnsi="Verdana" w:cs="Times New Roman"/>
        </w:rPr>
      </w:pPr>
    </w:p>
    <w:p w14:paraId="70351BAD" w14:textId="77777777" w:rsidR="0076699A" w:rsidRPr="00A14FC6" w:rsidRDefault="0076699A" w:rsidP="0076699A">
      <w:pPr>
        <w:spacing w:after="0" w:line="276" w:lineRule="auto"/>
        <w:jc w:val="both"/>
        <w:rPr>
          <w:rFonts w:ascii="Verdana" w:eastAsia="Calibri" w:hAnsi="Verdana"/>
        </w:rPr>
      </w:pPr>
      <w:r w:rsidRPr="0060163E">
        <w:rPr>
          <w:rFonts w:ascii="Verdana" w:eastAsia="Calibri" w:hAnsi="Verdana" w:cs="Times New Roman"/>
        </w:rPr>
        <w:t xml:space="preserve">De acuerdo con el contenido de su solicitud, esta Agencia procede a resolver </w:t>
      </w:r>
      <w:r>
        <w:rPr>
          <w:rFonts w:ascii="Verdana" w:eastAsia="Calibri" w:hAnsi="Verdana" w:cs="Times New Roman"/>
        </w:rPr>
        <w:t xml:space="preserve">el siguiente problema jurídico: </w:t>
      </w:r>
      <w:r w:rsidRPr="00584F1D">
        <w:rPr>
          <w:rFonts w:ascii="Verdana" w:eastAsia="Calibri" w:hAnsi="Verdana"/>
        </w:rPr>
        <w:t>i</w:t>
      </w:r>
      <w:r>
        <w:rPr>
          <w:rFonts w:ascii="Verdana" w:eastAsia="Calibri" w:hAnsi="Verdana"/>
        </w:rPr>
        <w:t>)</w:t>
      </w:r>
      <w:r w:rsidRPr="00584F1D">
        <w:rPr>
          <w:rFonts w:ascii="Verdana" w:eastAsia="Calibri" w:hAnsi="Verdana"/>
        </w:rPr>
        <w:t xml:space="preserve"> ¿El reporte en el Boletín de Responsables Fiscales genera inhabilidad para participar y celebrar contratos con entidades estatales, tanto de manera individual como</w:t>
      </w:r>
      <w:r>
        <w:rPr>
          <w:rFonts w:ascii="Verdana" w:eastAsia="Calibri" w:hAnsi="Verdana"/>
        </w:rPr>
        <w:t xml:space="preserve"> en el marco de participación</w:t>
      </w:r>
      <w:r w:rsidRPr="00584F1D">
        <w:rPr>
          <w:rFonts w:ascii="Verdana" w:eastAsia="Calibri" w:hAnsi="Verdana"/>
        </w:rPr>
        <w:t xml:space="preserve"> en consorcios o uniones temporales, conforme al artículo 60 de la Ley 610 de 2000 y al literal a) del numeral 1 del artículo 8 de la Ley 80 de 1993, y dicho efecto se predica respecto de todas las modalidades de selección o únicamente de la licitación pública?</w:t>
      </w:r>
      <w:r>
        <w:rPr>
          <w:rFonts w:ascii="Verdana" w:eastAsia="Calibri" w:hAnsi="Verdana"/>
        </w:rPr>
        <w:t>; ii)</w:t>
      </w:r>
      <w:r w:rsidRPr="00584F1D">
        <w:rPr>
          <w:rFonts w:ascii="Verdana" w:eastAsia="Calibri" w:hAnsi="Verdana" w:cs="Times New Roman"/>
        </w:rPr>
        <w:t xml:space="preserve"> ¿Cómo se configura y cuál es el alcance temporal de la inhabilidad prevista en el literal b) del numeral 1 del artículo 8 de la Ley 80 de 1993 para quienes participan o contratan estando inhabilitados, incluyendo la determinación del momento en que se entiende la participación dentro del proceso de selección y los efectos cuando la causal desaparece antes de la celebración del contrato?</w:t>
      </w:r>
      <w:r>
        <w:rPr>
          <w:rFonts w:ascii="Verdana" w:eastAsia="Calibri" w:hAnsi="Verdana"/>
        </w:rPr>
        <w:t xml:space="preserve">; iii) </w:t>
      </w:r>
      <w:r w:rsidRPr="00A14FC6">
        <w:rPr>
          <w:rFonts w:ascii="Verdana" w:eastAsia="Calibri" w:hAnsi="Verdana"/>
        </w:rPr>
        <w:t>¿Qué actuación debe adelantar la entidad pública que llevó a cabo el proceso de selección o celebró el contrato, cuando se configure el supuesto previsto en el literal b) del numeral 1 del artículo 8 de la Ley 80 de 1993, con el fin de hacer efectiva dicha causal de inhabilidad?</w:t>
      </w:r>
    </w:p>
    <w:p w14:paraId="4073A738" w14:textId="77777777" w:rsidR="0076699A" w:rsidRPr="0060163E" w:rsidRDefault="0076699A" w:rsidP="0076699A">
      <w:pPr>
        <w:spacing w:after="0" w:line="276" w:lineRule="auto"/>
        <w:rPr>
          <w:rFonts w:ascii="Verdana" w:eastAsia="Calibri" w:hAnsi="Verdana" w:cs="Times New Roman"/>
        </w:rPr>
      </w:pPr>
    </w:p>
    <w:p w14:paraId="2FE2F46C" w14:textId="77777777" w:rsidR="0076699A" w:rsidRPr="0060163E" w:rsidRDefault="0076699A" w:rsidP="0076699A">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II. </w:t>
      </w:r>
      <w:r w:rsidRPr="0060163E">
        <w:rPr>
          <w:rFonts w:ascii="Verdana" w:eastAsia="Calibri" w:hAnsi="Verdana" w:cs="Times New Roman"/>
          <w:b/>
          <w:bCs/>
          <w:lang w:val="es-ES"/>
        </w:rPr>
        <w:t>Respuesta:</w:t>
      </w:r>
    </w:p>
    <w:p w14:paraId="30C7AE59" w14:textId="77777777" w:rsidR="0076699A" w:rsidRPr="0060163E" w:rsidRDefault="0076699A" w:rsidP="0076699A">
      <w:pPr>
        <w:spacing w:after="0" w:line="276" w:lineRule="auto"/>
        <w:jc w:val="both"/>
        <w:rPr>
          <w:rFonts w:ascii="Verdana" w:eastAsia="Calibri" w:hAnsi="Verdana" w:cs="Times New Roman"/>
          <w:bCs/>
          <w:lang w:val="es-ES" w:bidi="es-ES"/>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6699A" w:rsidRPr="0060163E" w14:paraId="534307F9" w14:textId="77777777" w:rsidTr="00EA72AC">
        <w:trPr>
          <w:trHeight w:val="870"/>
          <w:jc w:val="center"/>
        </w:trPr>
        <w:tc>
          <w:tcPr>
            <w:tcW w:w="8647" w:type="dxa"/>
          </w:tcPr>
          <w:p w14:paraId="7778615F" w14:textId="77777777" w:rsidR="0076699A" w:rsidRDefault="0076699A" w:rsidP="00EA72AC">
            <w:pPr>
              <w:spacing w:line="276" w:lineRule="auto"/>
              <w:jc w:val="both"/>
              <w:rPr>
                <w:rFonts w:ascii="Verdana" w:eastAsia="Century Gothic" w:hAnsi="Verdana" w:cs="Century Gothic"/>
                <w:bCs/>
              </w:rPr>
            </w:pPr>
            <w:r>
              <w:rPr>
                <w:rFonts w:ascii="Verdana" w:eastAsia="Century Gothic" w:hAnsi="Verdana" w:cs="Century Gothic"/>
                <w:bCs/>
              </w:rPr>
              <w:t xml:space="preserve">En relación con los problemas jurídicos, objeto de consulta, se expresa: </w:t>
            </w:r>
          </w:p>
          <w:p w14:paraId="603C7FEE" w14:textId="77777777" w:rsidR="0076699A" w:rsidRDefault="0076699A" w:rsidP="00EA72AC">
            <w:pPr>
              <w:spacing w:line="276" w:lineRule="auto"/>
              <w:jc w:val="both"/>
              <w:rPr>
                <w:rFonts w:ascii="Verdana" w:eastAsia="Century Gothic" w:hAnsi="Verdana" w:cs="Century Gothic"/>
                <w:bCs/>
              </w:rPr>
            </w:pPr>
          </w:p>
          <w:p w14:paraId="0C04C892" w14:textId="77777777" w:rsidR="0076699A" w:rsidRPr="00315E61" w:rsidRDefault="0076699A" w:rsidP="00EA72AC">
            <w:pPr>
              <w:spacing w:after="120" w:line="276" w:lineRule="auto"/>
              <w:jc w:val="both"/>
              <w:rPr>
                <w:rFonts w:ascii="Verdana" w:eastAsia="Calibri" w:hAnsi="Verdana" w:cs="Arial"/>
              </w:rPr>
            </w:pPr>
            <w:r>
              <w:rPr>
                <w:rFonts w:ascii="Verdana" w:eastAsia="Century Gothic" w:hAnsi="Verdana" w:cs="Century Gothic"/>
                <w:bCs/>
              </w:rPr>
              <w:t>i. En relación con el primer problema jurídico se precisa que, d</w:t>
            </w:r>
            <w:r w:rsidRPr="00315E61">
              <w:rPr>
                <w:rFonts w:ascii="Verdana" w:eastAsia="Calibri" w:hAnsi="Verdana" w:cs="Arial"/>
                <w:bCs/>
              </w:rPr>
              <w:t xml:space="preserve">el </w:t>
            </w:r>
            <w:r>
              <w:rPr>
                <w:rFonts w:ascii="Verdana" w:eastAsia="Calibri" w:hAnsi="Verdana" w:cs="Arial"/>
                <w:bCs/>
              </w:rPr>
              <w:t xml:space="preserve">primer inciso del </w:t>
            </w:r>
            <w:r w:rsidRPr="00315E61">
              <w:rPr>
                <w:rFonts w:ascii="Verdana" w:eastAsia="Calibri" w:hAnsi="Verdana" w:cs="Arial"/>
                <w:bCs/>
              </w:rPr>
              <w:t>parágrafo</w:t>
            </w:r>
            <w:r>
              <w:rPr>
                <w:rFonts w:ascii="Verdana" w:eastAsia="Calibri" w:hAnsi="Verdana" w:cs="Arial"/>
                <w:bCs/>
              </w:rPr>
              <w:t xml:space="preserve"> del artículo 42 de la Ley 1952 de 2019</w:t>
            </w:r>
            <w:r w:rsidRPr="00315E61">
              <w:rPr>
                <w:rFonts w:ascii="Verdana" w:eastAsia="Calibri" w:hAnsi="Verdana" w:cs="Arial"/>
                <w:bCs/>
              </w:rPr>
              <w:t xml:space="preserve"> se infieren las siguientes </w:t>
            </w:r>
            <w:r>
              <w:rPr>
                <w:rFonts w:ascii="Verdana" w:eastAsia="Calibri" w:hAnsi="Verdana" w:cs="Arial"/>
                <w:bCs/>
              </w:rPr>
              <w:t>sub</w:t>
            </w:r>
            <w:r w:rsidRPr="00315E61">
              <w:rPr>
                <w:rFonts w:ascii="Verdana" w:eastAsia="Calibri" w:hAnsi="Verdana" w:cs="Arial"/>
                <w:bCs/>
              </w:rPr>
              <w:t>reglas: i)</w:t>
            </w:r>
            <w:r>
              <w:rPr>
                <w:rFonts w:ascii="Verdana" w:eastAsia="Calibri" w:hAnsi="Verdana" w:cs="Arial"/>
                <w:b/>
                <w:bCs/>
              </w:rPr>
              <w:t xml:space="preserve"> </w:t>
            </w:r>
            <w:r w:rsidRPr="00315E61">
              <w:rPr>
                <w:rFonts w:ascii="Verdana" w:eastAsia="Calibri" w:hAnsi="Verdana" w:cs="Arial"/>
              </w:rPr>
              <w:t>La norma establece que toda persona natural o jurídica que haya sido declarada responsable fiscalmente, mediante un fallo en firme y debidamente ejecutoriado, qued</w:t>
            </w:r>
            <w:r>
              <w:rPr>
                <w:rFonts w:ascii="Verdana" w:eastAsia="Calibri" w:hAnsi="Verdana" w:cs="Arial"/>
              </w:rPr>
              <w:t>a inhabilitada; ii) e</w:t>
            </w:r>
            <w:r w:rsidRPr="00315E61">
              <w:rPr>
                <w:rFonts w:ascii="Verdana" w:eastAsia="Calibri" w:hAnsi="Verdana" w:cs="Arial"/>
              </w:rPr>
              <w:t>sta inhabilidad ti</w:t>
            </w:r>
            <w:r>
              <w:rPr>
                <w:rFonts w:ascii="Verdana" w:eastAsia="Calibri" w:hAnsi="Verdana" w:cs="Arial"/>
              </w:rPr>
              <w:t>ene dos alcances principales: a) ejercer cargos públicos y b</w:t>
            </w:r>
            <w:r w:rsidRPr="00315E61">
              <w:rPr>
                <w:rFonts w:ascii="Verdana" w:eastAsia="Calibri" w:hAnsi="Verdana" w:cs="Arial"/>
              </w:rPr>
              <w:t xml:space="preserve">) </w:t>
            </w:r>
            <w:r w:rsidRPr="003C519D">
              <w:rPr>
                <w:rFonts w:ascii="Verdana" w:eastAsia="Calibri" w:hAnsi="Verdana" w:cs="Arial"/>
                <w:i/>
                <w:iCs/>
              </w:rPr>
              <w:t>contratar con el Estado</w:t>
            </w:r>
            <w:r w:rsidRPr="00315E61">
              <w:rPr>
                <w:rFonts w:ascii="Verdana" w:eastAsia="Calibri" w:hAnsi="Verdana" w:cs="Arial"/>
              </w:rPr>
              <w:t xml:space="preserve">, </w:t>
            </w:r>
            <w:r w:rsidRPr="00315E61">
              <w:rPr>
                <w:rFonts w:ascii="Verdana" w:eastAsia="Calibri" w:hAnsi="Verdana" w:cs="Arial"/>
              </w:rPr>
              <w:lastRenderedPageBreak/>
              <w:t>lo cual incluye tanto la participación en procesos de selección</w:t>
            </w:r>
            <w:r>
              <w:rPr>
                <w:rFonts w:ascii="Verdana" w:eastAsia="Calibri" w:hAnsi="Verdana" w:cs="Arial"/>
              </w:rPr>
              <w:t xml:space="preserve"> </w:t>
            </w:r>
            <w:r w:rsidRPr="00D377F0">
              <w:rPr>
                <w:rFonts w:ascii="Verdana" w:eastAsia="Calibri" w:hAnsi="Verdana" w:cs="Arial"/>
              </w:rPr>
              <w:t>—</w:t>
            </w:r>
            <w:r>
              <w:rPr>
                <w:rFonts w:ascii="Verdana" w:eastAsia="Calibri" w:hAnsi="Verdana" w:cs="Arial"/>
              </w:rPr>
              <w:t>independiente de la modalidad de selección</w:t>
            </w:r>
            <w:r w:rsidRPr="0022032F">
              <w:rPr>
                <w:rFonts w:ascii="Verdana" w:eastAsia="Calibri" w:hAnsi="Verdana" w:cs="Arial"/>
              </w:rPr>
              <w:t>—</w:t>
            </w:r>
            <w:r w:rsidRPr="00315E61">
              <w:rPr>
                <w:rFonts w:ascii="Verdana" w:eastAsia="Calibri" w:hAnsi="Verdana" w:cs="Arial"/>
              </w:rPr>
              <w:t xml:space="preserve"> como la cel</w:t>
            </w:r>
            <w:r>
              <w:rPr>
                <w:rFonts w:ascii="Verdana" w:eastAsia="Calibri" w:hAnsi="Verdana" w:cs="Arial"/>
              </w:rPr>
              <w:t>ebración de contratos estatales; iii) l</w:t>
            </w:r>
            <w:r w:rsidRPr="00315E61">
              <w:rPr>
                <w:rFonts w:ascii="Verdana" w:eastAsia="Calibri" w:hAnsi="Verdana" w:cs="Arial"/>
              </w:rPr>
              <w:t>a inhabilidad tiene una duración de cinco (5) años contados a partir de la ejecutoria del f</w:t>
            </w:r>
            <w:r>
              <w:rPr>
                <w:rFonts w:ascii="Verdana" w:eastAsia="Calibri" w:hAnsi="Verdana" w:cs="Arial"/>
              </w:rPr>
              <w:t xml:space="preserve">allo de responsabilidad fiscal; iv) </w:t>
            </w:r>
            <w:r w:rsidRPr="00315E61">
              <w:rPr>
                <w:rFonts w:ascii="Verdana" w:eastAsia="Calibri" w:hAnsi="Verdana" w:cs="Arial"/>
              </w:rPr>
              <w:t>la inhabilidad puede cesar antes del vencimiento del término de cinco</w:t>
            </w:r>
            <w:r>
              <w:rPr>
                <w:rFonts w:ascii="Verdana" w:eastAsia="Calibri" w:hAnsi="Verdana" w:cs="Arial"/>
              </w:rPr>
              <w:t xml:space="preserve"> (5)</w:t>
            </w:r>
            <w:r w:rsidRPr="00315E61">
              <w:rPr>
                <w:rFonts w:ascii="Verdana" w:eastAsia="Calibri" w:hAnsi="Verdana" w:cs="Arial"/>
              </w:rPr>
              <w:t xml:space="preserve"> años. Esto ocurre cuando la Contraloría competente certifica que el responsable ha efectuado el pago de la obligación derivada del fallo fiscal, es decir, que ha resarcido el dañ</w:t>
            </w:r>
            <w:r>
              <w:rPr>
                <w:rFonts w:ascii="Verdana" w:eastAsia="Calibri" w:hAnsi="Verdana" w:cs="Arial"/>
              </w:rPr>
              <w:t xml:space="preserve">o patrimonial causado al Estado, pero si el pago no es procedente, </w:t>
            </w:r>
            <w:r w:rsidRPr="00315E61">
              <w:rPr>
                <w:rFonts w:ascii="Verdana" w:eastAsia="Calibri" w:hAnsi="Verdana" w:cs="Arial"/>
              </w:rPr>
              <w:t xml:space="preserve">la inhabilidad también puede cesar cuando la Contraloría General de la República excluye al responsable del Boletín de </w:t>
            </w:r>
            <w:proofErr w:type="gramStart"/>
            <w:r w:rsidRPr="00315E61">
              <w:rPr>
                <w:rFonts w:ascii="Verdana" w:eastAsia="Calibri" w:hAnsi="Verdana" w:cs="Arial"/>
              </w:rPr>
              <w:t>Responsables</w:t>
            </w:r>
            <w:proofErr w:type="gramEnd"/>
            <w:r w:rsidRPr="00315E61">
              <w:rPr>
                <w:rFonts w:ascii="Verdana" w:eastAsia="Calibri" w:hAnsi="Verdana" w:cs="Arial"/>
              </w:rPr>
              <w:t xml:space="preserve"> Fiscales. </w:t>
            </w:r>
          </w:p>
          <w:p w14:paraId="2E8F4D3A" w14:textId="77777777" w:rsidR="0076699A" w:rsidRPr="004F1EBE" w:rsidRDefault="0076699A" w:rsidP="00EA72AC">
            <w:pPr>
              <w:spacing w:after="120" w:line="276" w:lineRule="auto"/>
              <w:ind w:firstLine="708"/>
              <w:jc w:val="both"/>
              <w:rPr>
                <w:rFonts w:ascii="Verdana" w:eastAsia="Calibri" w:hAnsi="Verdana" w:cs="Arial"/>
              </w:rPr>
            </w:pPr>
            <w:r>
              <w:rPr>
                <w:rFonts w:ascii="Verdana" w:eastAsia="Calibri" w:hAnsi="Verdana" w:cs="Arial"/>
              </w:rPr>
              <w:t xml:space="preserve">Con respecto al segundo inciso del parágrafo precitado se derivan las siguientes subreglas: i) si </w:t>
            </w:r>
            <w:r w:rsidRPr="004F1EBE">
              <w:rPr>
                <w:rFonts w:ascii="Verdana" w:eastAsia="Calibri" w:hAnsi="Verdana" w:cs="Arial"/>
              </w:rPr>
              <w:t>transcurren cinco (5) años desde la ejecutoria del fallo de responsabilidad fiscal y el responsable no ha pagado la suma impuesta ni ha sido excluido del Boletín de Responsables Fiscale</w:t>
            </w:r>
            <w:r>
              <w:rPr>
                <w:rFonts w:ascii="Verdana" w:eastAsia="Calibri" w:hAnsi="Verdana" w:cs="Arial"/>
              </w:rPr>
              <w:t xml:space="preserve">s, la inhabilidad no desaparece, por el contrario, se prorroga </w:t>
            </w:r>
            <w:r w:rsidRPr="004F1EBE">
              <w:rPr>
                <w:rFonts w:ascii="Verdana" w:eastAsia="Calibri" w:hAnsi="Verdana" w:cs="Arial"/>
              </w:rPr>
              <w:t>por un nuevo periodo, cuya duración depende del mon</w:t>
            </w:r>
            <w:r>
              <w:rPr>
                <w:rFonts w:ascii="Verdana" w:eastAsia="Calibri" w:hAnsi="Verdana" w:cs="Arial"/>
              </w:rPr>
              <w:t xml:space="preserve">to de la responsabilidad fiscal; ii) se introduce un criterio de proporcionalidad de la duración de la prórroga de la inhabilidad se determine en razón </w:t>
            </w:r>
            <w:r w:rsidRPr="004F1EBE">
              <w:rPr>
                <w:rFonts w:ascii="Verdana" w:eastAsia="Calibri" w:hAnsi="Verdana" w:cs="Arial"/>
              </w:rPr>
              <w:t>del valor del daño patri</w:t>
            </w:r>
            <w:r>
              <w:rPr>
                <w:rFonts w:ascii="Verdana" w:eastAsia="Calibri" w:hAnsi="Verdana" w:cs="Arial"/>
              </w:rPr>
              <w:t xml:space="preserve">monial establecido en el fallo. </w:t>
            </w:r>
            <w:r w:rsidRPr="004F1EBE">
              <w:rPr>
                <w:rFonts w:ascii="Verdana" w:eastAsia="Calibri" w:hAnsi="Verdana" w:cs="Arial"/>
              </w:rPr>
              <w:t xml:space="preserve">A mayor cuantía, mayor será el </w:t>
            </w:r>
            <w:r>
              <w:rPr>
                <w:rFonts w:ascii="Verdana" w:eastAsia="Calibri" w:hAnsi="Verdana" w:cs="Arial"/>
              </w:rPr>
              <w:t>tiempo adicional de inhabilidad: a) l</w:t>
            </w:r>
            <w:r w:rsidRPr="004F1EBE">
              <w:rPr>
                <w:rFonts w:ascii="Verdana" w:eastAsia="Calibri" w:hAnsi="Verdana" w:cs="Arial"/>
              </w:rPr>
              <w:t xml:space="preserve">a inhabilidad se extiende por </w:t>
            </w:r>
            <w:r w:rsidRPr="004F1EBE">
              <w:rPr>
                <w:rFonts w:ascii="Verdana" w:eastAsia="Calibri" w:hAnsi="Verdana" w:cs="Arial"/>
                <w:bCs/>
              </w:rPr>
              <w:t>cinco (5) años adicionales</w:t>
            </w:r>
            <w:r w:rsidRPr="004F1EBE">
              <w:rPr>
                <w:rFonts w:ascii="Verdana" w:eastAsia="Calibri" w:hAnsi="Verdana" w:cs="Arial"/>
              </w:rPr>
              <w:t>, lo que representa la sanción más gravosa y se aplica a los casos de mayor i</w:t>
            </w:r>
            <w:r>
              <w:rPr>
                <w:rFonts w:ascii="Verdana" w:eastAsia="Calibri" w:hAnsi="Verdana" w:cs="Arial"/>
              </w:rPr>
              <w:t>mpacto económico para el Estado; b</w:t>
            </w:r>
            <w:r w:rsidRPr="004F1EBE">
              <w:rPr>
                <w:rFonts w:ascii="Verdana" w:eastAsia="Calibri" w:hAnsi="Verdana" w:cs="Arial"/>
              </w:rPr>
              <w:t xml:space="preserve">) la </w:t>
            </w:r>
            <w:r w:rsidRPr="004F1EBE">
              <w:rPr>
                <w:rFonts w:ascii="Verdana" w:eastAsia="Calibri" w:hAnsi="Verdana" w:cs="Arial"/>
                <w:bCs/>
              </w:rPr>
              <w:t>Cuantía superior a 50 e inferior o igual a 100 SMLMV:</w:t>
            </w:r>
            <w:r>
              <w:rPr>
                <w:rFonts w:ascii="Verdana" w:eastAsia="Calibri" w:hAnsi="Verdana" w:cs="Arial"/>
                <w:bCs/>
              </w:rPr>
              <w:t xml:space="preserve"> </w:t>
            </w:r>
            <w:r>
              <w:rPr>
                <w:rFonts w:ascii="Verdana" w:eastAsia="Calibri" w:hAnsi="Verdana" w:cs="Arial"/>
              </w:rPr>
              <w:t>l</w:t>
            </w:r>
            <w:r w:rsidRPr="004F1EBE">
              <w:rPr>
                <w:rFonts w:ascii="Verdana" w:eastAsia="Calibri" w:hAnsi="Verdana" w:cs="Arial"/>
              </w:rPr>
              <w:t xml:space="preserve">a inhabilidad se prorroga por </w:t>
            </w:r>
            <w:r w:rsidRPr="004F1EBE">
              <w:rPr>
                <w:rFonts w:ascii="Verdana" w:eastAsia="Calibri" w:hAnsi="Verdana" w:cs="Arial"/>
                <w:bCs/>
              </w:rPr>
              <w:t>dos (2) años</w:t>
            </w:r>
            <w:r>
              <w:rPr>
                <w:rFonts w:ascii="Verdana" w:eastAsia="Calibri" w:hAnsi="Verdana" w:cs="Arial"/>
              </w:rPr>
              <w:t xml:space="preserve">; </w:t>
            </w:r>
            <w:r w:rsidRPr="00A14A60">
              <w:rPr>
                <w:rFonts w:ascii="Verdana" w:eastAsia="Calibri" w:hAnsi="Verdana" w:cs="Arial"/>
              </w:rPr>
              <w:t xml:space="preserve">c) </w:t>
            </w:r>
            <w:r w:rsidRPr="00A14A60">
              <w:rPr>
                <w:rFonts w:ascii="Verdana" w:eastAsia="Calibri" w:hAnsi="Verdana" w:cs="Arial"/>
                <w:bCs/>
              </w:rPr>
              <w:t>Cuantía superior a 10 e inferior o igual a 50 SMLMV:</w:t>
            </w:r>
            <w:r>
              <w:rPr>
                <w:rFonts w:ascii="Verdana" w:eastAsia="Calibri" w:hAnsi="Verdana" w:cs="Arial"/>
                <w:bCs/>
              </w:rPr>
              <w:t xml:space="preserve"> </w:t>
            </w:r>
            <w:r>
              <w:rPr>
                <w:rFonts w:ascii="Verdana" w:eastAsia="Calibri" w:hAnsi="Verdana" w:cs="Arial"/>
              </w:rPr>
              <w:t>l</w:t>
            </w:r>
            <w:r w:rsidRPr="00A14A60">
              <w:rPr>
                <w:rFonts w:ascii="Verdana" w:eastAsia="Calibri" w:hAnsi="Verdana" w:cs="Arial"/>
              </w:rPr>
              <w:t xml:space="preserve">a inhabilidad se extiende por </w:t>
            </w:r>
            <w:r w:rsidRPr="00A14A60">
              <w:rPr>
                <w:rFonts w:ascii="Verdana" w:eastAsia="Calibri" w:hAnsi="Verdana" w:cs="Arial"/>
                <w:bCs/>
              </w:rPr>
              <w:t>un (1) año</w:t>
            </w:r>
            <w:r w:rsidRPr="00A14A60">
              <w:rPr>
                <w:rFonts w:ascii="Verdana" w:eastAsia="Calibri" w:hAnsi="Verdana" w:cs="Arial"/>
              </w:rPr>
              <w:t xml:space="preserve"> adicional; d) </w:t>
            </w:r>
            <w:r w:rsidRPr="00A14A60">
              <w:rPr>
                <w:rFonts w:ascii="Verdana" w:eastAsia="Calibri" w:hAnsi="Verdana" w:cs="Arial"/>
                <w:bCs/>
              </w:rPr>
              <w:t xml:space="preserve">Cuantía igual o inferior a 10 SMLMV: </w:t>
            </w:r>
            <w:r>
              <w:rPr>
                <w:rFonts w:ascii="Verdana" w:eastAsia="Calibri" w:hAnsi="Verdana" w:cs="Arial"/>
              </w:rPr>
              <w:t>l</w:t>
            </w:r>
            <w:r w:rsidRPr="00A14A60">
              <w:rPr>
                <w:rFonts w:ascii="Verdana" w:eastAsia="Calibri" w:hAnsi="Verdana" w:cs="Arial"/>
              </w:rPr>
              <w:t xml:space="preserve">a inhabilidad se prorroga por </w:t>
            </w:r>
            <w:r w:rsidRPr="00A14A60">
              <w:rPr>
                <w:rFonts w:ascii="Verdana" w:eastAsia="Calibri" w:hAnsi="Verdana" w:cs="Arial"/>
                <w:bCs/>
              </w:rPr>
              <w:t>tres (3) meses</w:t>
            </w:r>
            <w:r w:rsidRPr="00A14A60">
              <w:rPr>
                <w:rFonts w:ascii="Verdana" w:eastAsia="Calibri" w:hAnsi="Verdana" w:cs="Arial"/>
              </w:rPr>
              <w:t>, siendo esta la extensión mínima prevista por la norma.</w:t>
            </w:r>
          </w:p>
          <w:p w14:paraId="4A9268C9" w14:textId="77777777" w:rsidR="0076699A" w:rsidRDefault="0076699A" w:rsidP="00EA72AC">
            <w:pPr>
              <w:spacing w:after="120" w:line="276" w:lineRule="auto"/>
              <w:ind w:firstLine="708"/>
              <w:jc w:val="both"/>
              <w:rPr>
                <w:rFonts w:ascii="Verdana" w:eastAsia="Verdana" w:hAnsi="Verdana" w:cs="Verdana"/>
              </w:rPr>
            </w:pPr>
            <w:r w:rsidRPr="006C6FA1">
              <w:rPr>
                <w:rFonts w:ascii="Verdana" w:eastAsia="Verdana" w:hAnsi="Verdana" w:cs="Verdana"/>
              </w:rPr>
              <w:t xml:space="preserve">En ese contexto, la inclusión de una persona natural o jurídica en el Boletín de </w:t>
            </w:r>
            <w:proofErr w:type="gramStart"/>
            <w:r w:rsidRPr="006C6FA1">
              <w:rPr>
                <w:rFonts w:ascii="Verdana" w:eastAsia="Verdana" w:hAnsi="Verdana" w:cs="Verdana"/>
              </w:rPr>
              <w:t>Responsables</w:t>
            </w:r>
            <w:proofErr w:type="gramEnd"/>
            <w:r w:rsidRPr="006C6FA1">
              <w:rPr>
                <w:rFonts w:ascii="Verdana" w:eastAsia="Verdana" w:hAnsi="Verdana" w:cs="Verdana"/>
              </w:rPr>
              <w:t xml:space="preserve"> Fiscales, como consecuencia de un fallo con responsabilidad fiscal en firme y debidamente ejecutoriado, implica la configuración de una inhabilidad legal para contratar con el Estado. Dicha inhabilidad comprende tanto la imposibilidad de participar en procesos de selección como la celebración de contratos con entidades estatales.</w:t>
            </w:r>
            <w:r>
              <w:rPr>
                <w:rFonts w:ascii="Verdana" w:eastAsia="Verdana" w:hAnsi="Verdana" w:cs="Verdana"/>
              </w:rPr>
              <w:t xml:space="preserve"> </w:t>
            </w:r>
            <w:r w:rsidRPr="006C6FA1">
              <w:rPr>
                <w:rFonts w:ascii="Verdana" w:eastAsia="Verdana" w:hAnsi="Verdana" w:cs="Verdana"/>
              </w:rPr>
              <w:t xml:space="preserve">Esta situación debe interpretarse en concordancia con lo dispuesto en la causal a) del numeral 1 del artículo 8 de la Ley 80 de 1993, según la cual no podrán </w:t>
            </w:r>
            <w:r w:rsidRPr="006C6FA1">
              <w:rPr>
                <w:rFonts w:ascii="Verdana" w:eastAsia="Verdana" w:hAnsi="Verdana" w:cs="Verdana"/>
              </w:rPr>
              <w:lastRenderedPageBreak/>
              <w:t xml:space="preserve">contratar con el Estado “las personas que se hallen inhabilitadas para contratar por la Constitución y las leyes”, lo que </w:t>
            </w:r>
            <w:r>
              <w:rPr>
                <w:rFonts w:ascii="Verdana" w:eastAsia="Verdana" w:hAnsi="Verdana" w:cs="Verdana"/>
              </w:rPr>
              <w:t xml:space="preserve">permite inferir que también se </w:t>
            </w:r>
            <w:r w:rsidRPr="006C6FA1">
              <w:rPr>
                <w:rFonts w:ascii="Verdana" w:eastAsia="Verdana" w:hAnsi="Verdana" w:cs="Verdana"/>
              </w:rPr>
              <w:t>incluye expresamente a quienes se encuentren reportados en el mencionado boletín.</w:t>
            </w:r>
            <w:r>
              <w:rPr>
                <w:rFonts w:ascii="Verdana" w:eastAsia="Verdana" w:hAnsi="Verdana" w:cs="Verdana"/>
              </w:rPr>
              <w:t xml:space="preserve"> </w:t>
            </w:r>
          </w:p>
          <w:p w14:paraId="6DCAC221" w14:textId="77777777" w:rsidR="0076699A" w:rsidRPr="00FC5392" w:rsidRDefault="0076699A" w:rsidP="00EA72AC">
            <w:pPr>
              <w:spacing w:after="120" w:line="276" w:lineRule="auto"/>
              <w:ind w:firstLine="709"/>
              <w:jc w:val="both"/>
              <w:rPr>
                <w:rFonts w:ascii="Verdana" w:eastAsia="Verdana" w:hAnsi="Verdana" w:cs="Verdana"/>
                <w:sz w:val="20"/>
                <w:szCs w:val="20"/>
                <w:lang w:val="es-ES_tradnl"/>
              </w:rPr>
            </w:pPr>
            <w:r>
              <w:rPr>
                <w:rFonts w:ascii="Verdana" w:eastAsia="Verdana" w:hAnsi="Verdana" w:cs="Verdana"/>
              </w:rPr>
              <w:t xml:space="preserve">No obstante, debe </w:t>
            </w:r>
            <w:r>
              <w:rPr>
                <w:rFonts w:ascii="Verdana" w:eastAsia="Calibri" w:hAnsi="Verdana" w:cs="Arial"/>
                <w:lang w:val="es-ES_tradnl"/>
              </w:rPr>
              <w:t xml:space="preserve">tenerse en cuenta </w:t>
            </w:r>
            <w:r w:rsidRPr="00A97AB0">
              <w:rPr>
                <w:rFonts w:ascii="Verdana" w:eastAsia="Calibri" w:hAnsi="Verdana" w:cs="Arial"/>
                <w:lang w:val="es-ES_tradnl"/>
              </w:rPr>
              <w:t xml:space="preserve">que la periodicidad de la expedición del boletín de responsables fiscales es trimestral, </w:t>
            </w:r>
            <w:r>
              <w:rPr>
                <w:rFonts w:ascii="Verdana" w:eastAsia="Calibri" w:hAnsi="Verdana" w:cs="Arial"/>
                <w:lang w:val="es-ES_tradnl"/>
              </w:rPr>
              <w:t xml:space="preserve">por lo que no debe afectar </w:t>
            </w:r>
            <w:r w:rsidRPr="00A97AB0">
              <w:rPr>
                <w:rFonts w:ascii="Verdana" w:eastAsia="Calibri" w:hAnsi="Verdana" w:cs="Arial"/>
                <w:lang w:val="es-ES_tradnl"/>
              </w:rPr>
              <w:t xml:space="preserve">la cesación de la inhabilidad, puesto que como se estableció los servidores públicos encargados de posesionar o contratar personas deben consultar a la Contraloría General de la República sobre las futuras inclusiones de “funcionarios o contratistas en el boletín”, en caso de que aún no se haya expedido este. Por tanto, de acuerdo con el parágrafo 1 del artículo 42 de la Ley 1952 de 2019, la inhabilidad de una persona que haya sido declarado responsable fiscalmente cesa cuando la Contraloría correspondiente </w:t>
            </w:r>
            <w:r>
              <w:rPr>
                <w:rFonts w:ascii="Verdana" w:eastAsia="Calibri" w:hAnsi="Verdana" w:cs="Arial"/>
                <w:lang w:val="es-ES_tradnl"/>
              </w:rPr>
              <w:t>declare haber recibido el pago y</w:t>
            </w:r>
            <w:r w:rsidRPr="00A97AB0">
              <w:rPr>
                <w:rFonts w:ascii="Verdana" w:eastAsia="Calibri" w:hAnsi="Verdana" w:cs="Arial"/>
                <w:lang w:val="es-ES_tradnl"/>
              </w:rPr>
              <w:t xml:space="preserve"> lo mismo ocurre cuando no es procedente la realización de un pago, ya que la Contraloría General de la República debe excluir a la persona cuando se cumplen cinco (5) años a partir de la ejecutoria del fallo y cesa la inhabilidad, a pesar de no </w:t>
            </w:r>
            <w:r>
              <w:rPr>
                <w:rFonts w:ascii="Verdana" w:eastAsia="Calibri" w:hAnsi="Verdana" w:cs="Arial"/>
                <w:lang w:val="es-ES_tradnl"/>
              </w:rPr>
              <w:t xml:space="preserve">haber sido expedido el boletín. </w:t>
            </w:r>
          </w:p>
          <w:p w14:paraId="16866766" w14:textId="77777777" w:rsidR="0076699A" w:rsidRPr="004C634F" w:rsidRDefault="0076699A" w:rsidP="00EA72AC">
            <w:pPr>
              <w:spacing w:line="276" w:lineRule="auto"/>
              <w:jc w:val="both"/>
              <w:rPr>
                <w:rFonts w:ascii="Verdana" w:eastAsia="Calibri" w:hAnsi="Verdana" w:cs="Arial"/>
              </w:rPr>
            </w:pPr>
            <w:r w:rsidRPr="00A97AB0">
              <w:rPr>
                <w:rFonts w:ascii="Verdana" w:eastAsia="Calibri" w:hAnsi="Verdana" w:cs="Arial"/>
                <w:lang w:val="es-ES_tradnl"/>
              </w:rPr>
              <w:tab/>
              <w:t xml:space="preserve">Dicha conclusión </w:t>
            </w:r>
            <w:r>
              <w:rPr>
                <w:rFonts w:ascii="Verdana" w:eastAsia="Calibri" w:hAnsi="Verdana" w:cs="Arial"/>
                <w:lang w:val="es-ES_tradnl"/>
              </w:rPr>
              <w:t xml:space="preserve">fue compartida </w:t>
            </w:r>
            <w:r w:rsidRPr="00A97AB0">
              <w:rPr>
                <w:rFonts w:ascii="Verdana" w:eastAsia="Calibri" w:hAnsi="Verdana" w:cs="Arial"/>
                <w:lang w:val="es-ES_tradnl"/>
              </w:rPr>
              <w:t>por el Consejo de Estado en su Sala de Consulta y Servicio Civil</w:t>
            </w:r>
            <w:r>
              <w:rPr>
                <w:rFonts w:ascii="Verdana" w:eastAsia="Calibri" w:hAnsi="Verdana" w:cs="Arial"/>
                <w:lang w:val="es-ES_tradnl"/>
              </w:rPr>
              <w:t xml:space="preserve"> en el Concepto </w:t>
            </w:r>
            <w:r w:rsidRPr="004C634F">
              <w:rPr>
                <w:rFonts w:ascii="Verdana" w:eastAsia="Calibri" w:hAnsi="Verdana" w:cs="Arial"/>
              </w:rPr>
              <w:t>del 24 de abril de 2012,</w:t>
            </w:r>
            <w:r>
              <w:rPr>
                <w:rFonts w:ascii="Verdana" w:eastAsia="Calibri" w:hAnsi="Verdana" w:cs="Arial"/>
              </w:rPr>
              <w:t xml:space="preserve"> radicado interno 2099, </w:t>
            </w:r>
            <w:r>
              <w:rPr>
                <w:rFonts w:ascii="Verdana" w:eastAsia="Calibri" w:hAnsi="Verdana" w:cs="Arial"/>
                <w:lang w:val="es-ES_tradnl"/>
              </w:rPr>
              <w:t xml:space="preserve">cuando interpretó el alcance del artículo 38 de la Ley 734 de 2002, indicó: </w:t>
            </w:r>
            <w:r w:rsidRPr="00A97AB0">
              <w:rPr>
                <w:rFonts w:ascii="Verdana" w:eastAsia="Calibri" w:hAnsi="Verdana" w:cs="Arial"/>
                <w:lang w:val="es-ES_tradnl"/>
              </w:rPr>
              <w:t>“Como los efectos de la cesación son hacia futuro, debe entenderse que cuando la Contraloría competente declara haber recibido el pago o la Contraloría de la República excluye al responsable del boletín de responsables fiscales, la inhabilidad dejará de producir efectos hacia el futuro, y por tanto el sujeto afectado podrá aspirar al ejercicio de posteriores actividade</w:t>
            </w:r>
            <w:r>
              <w:rPr>
                <w:rFonts w:ascii="Verdana" w:eastAsia="Calibri" w:hAnsi="Verdana" w:cs="Arial"/>
                <w:lang w:val="es-ES_tradnl"/>
              </w:rPr>
              <w:t>s referidas al sector público”.</w:t>
            </w:r>
          </w:p>
          <w:p w14:paraId="3D396DD3" w14:textId="77777777" w:rsidR="0076699A" w:rsidRDefault="0076699A" w:rsidP="00EA72AC">
            <w:pPr>
              <w:spacing w:line="276" w:lineRule="auto"/>
              <w:jc w:val="both"/>
              <w:rPr>
                <w:rFonts w:ascii="Verdana" w:eastAsia="Calibri" w:hAnsi="Verdana" w:cs="Arial"/>
                <w:lang w:val="es-ES_tradnl"/>
              </w:rPr>
            </w:pPr>
          </w:p>
          <w:p w14:paraId="5F371337" w14:textId="77777777" w:rsidR="0076699A" w:rsidRPr="0022032F" w:rsidRDefault="0076699A" w:rsidP="00EA72AC">
            <w:pPr>
              <w:spacing w:after="120" w:line="276" w:lineRule="auto"/>
              <w:jc w:val="both"/>
              <w:rPr>
                <w:rFonts w:ascii="Verdana" w:eastAsia="Calibri" w:hAnsi="Verdana" w:cs="Arial"/>
              </w:rPr>
            </w:pPr>
            <w:r w:rsidRPr="00A14FC6">
              <w:rPr>
                <w:rFonts w:ascii="Verdana" w:eastAsia="Calibri" w:hAnsi="Verdana" w:cs="Arial"/>
                <w:lang w:val="es-ES_tradnl"/>
              </w:rPr>
              <w:t xml:space="preserve">ii. </w:t>
            </w:r>
            <w:r w:rsidRPr="0022032F">
              <w:rPr>
                <w:rFonts w:ascii="Verdana" w:eastAsia="Calibri" w:hAnsi="Verdana" w:cs="Arial"/>
              </w:rPr>
              <w:t xml:space="preserve">En referencia con el segundo problema jurídico, es pertinente señalar que la inhabilidad prevista en el literal b) del numeral 1 del artículo 8 de la Ley 80 de 1993 —“b) Quienes participaron en las licitaciones o concursos o celebraron los contratos de que trata el literal anterior estando inhabilitados”— requiere una interpretación sistemática con las reglas que determinan sus efectos y duración. En particular, dichos efectos se encuentran desarrollados en un aparte del inciso segundo del literal i) del </w:t>
            </w:r>
            <w:r w:rsidRPr="0022032F">
              <w:rPr>
                <w:rFonts w:ascii="Verdana" w:eastAsia="Calibri" w:hAnsi="Verdana" w:cs="Arial"/>
              </w:rPr>
              <w:lastRenderedPageBreak/>
              <w:t>mismo numeral y artículo.</w:t>
            </w:r>
            <w:r>
              <w:rPr>
                <w:rFonts w:ascii="Verdana" w:eastAsia="Calibri" w:hAnsi="Verdana" w:cs="Arial"/>
              </w:rPr>
              <w:t xml:space="preserve"> </w:t>
            </w:r>
            <w:r w:rsidRPr="0022032F">
              <w:rPr>
                <w:rFonts w:ascii="Verdana" w:eastAsia="Calibri" w:hAnsi="Verdana" w:cs="Arial"/>
              </w:rPr>
              <w:t xml:space="preserve">En efecto, esta disposición establece que: “[…] las previstas en los literales b) y e), se extenderán por un término de cinco (5) años contado a partir de la fecha de ocurrencia del hecho de la participación en la licitación o concurso, o de la de celebración del contrato, o de la de expiración del plazo para su firma”. </w:t>
            </w:r>
            <w:r w:rsidRPr="00A14FC6">
              <w:rPr>
                <w:rFonts w:ascii="Verdana" w:hAnsi="Verdana" w:cs="Arial"/>
                <w:color w:val="000000"/>
                <w:lang w:eastAsia="es-ES"/>
              </w:rPr>
              <w:t xml:space="preserve">En este sentido, el punto de partida para el cómputo del término no es la declaratoria posterior de la inhabilidad, sino la fecha misma de la conducta irregular. Esto incluye, según el caso, la participación en el proceso de selección —entendida como la presentación de la oferta o la celebración del contrato si de adelantó mediante un proceso no competitivo o de la expiración del plazo para su firma—. </w:t>
            </w:r>
          </w:p>
          <w:p w14:paraId="5EE8FD78" w14:textId="77777777" w:rsidR="0076699A" w:rsidRPr="00A14FC6" w:rsidRDefault="0076699A" w:rsidP="00EA72AC">
            <w:pPr>
              <w:spacing w:line="276" w:lineRule="auto"/>
              <w:ind w:firstLine="709"/>
              <w:jc w:val="both"/>
              <w:rPr>
                <w:rFonts w:ascii="Verdana" w:eastAsia="Times New Roman" w:hAnsi="Verdana" w:cs="Arial"/>
                <w:color w:val="000000"/>
                <w:lang w:eastAsia="es-ES"/>
              </w:rPr>
            </w:pPr>
            <w:r w:rsidRPr="00A14FC6">
              <w:rPr>
                <w:rFonts w:ascii="Verdana" w:eastAsia="Times New Roman" w:hAnsi="Verdana" w:cs="Arial"/>
                <w:color w:val="000000"/>
                <w:lang w:eastAsia="es-ES"/>
              </w:rPr>
              <w:t xml:space="preserve">De esta manera, se trata de una inhabilidad autónoma e independiente de aquella que inicialmente afectaba al sujeto, lo que implica que su término de duración no se acumula ni se superpone con el de la inhabilidad originaria, sino que se cuenta de forma separada. Por tanto, desde la ocurrencia del hecho de participación estando inhabilitado, se configura un nuevo periodo de inhabilidad de cinco (5) años, aplicable de manera directa y con efectos propios en el sistema de compras públicas. Al respecto, la doctrina expresa: </w:t>
            </w:r>
          </w:p>
          <w:p w14:paraId="2B50D24A" w14:textId="77777777" w:rsidR="0076699A" w:rsidRDefault="0076699A" w:rsidP="00EA72AC">
            <w:pPr>
              <w:spacing w:after="120" w:line="276" w:lineRule="auto"/>
              <w:jc w:val="both"/>
              <w:rPr>
                <w:rFonts w:ascii="Verdana" w:eastAsia="Calibri" w:hAnsi="Verdana" w:cs="Arial"/>
              </w:rPr>
            </w:pPr>
            <w:r w:rsidRPr="00A14FC6">
              <w:rPr>
                <w:rFonts w:ascii="Verdana" w:hAnsi="Verdana" w:cs="Arial"/>
                <w:color w:val="000000"/>
                <w:lang w:eastAsia="es-ES"/>
              </w:rPr>
              <w:t>2</w:t>
            </w:r>
            <w:r w:rsidRPr="00A14FC6">
              <w:rPr>
                <w:rFonts w:ascii="Verdana" w:eastAsia="Calibri" w:hAnsi="Verdana" w:cs="Arial"/>
              </w:rPr>
              <w:t xml:space="preserve">Se trata de una circunstancia imputable al licitante, concursante o contratista </w:t>
            </w:r>
            <w:proofErr w:type="gramStart"/>
            <w:r w:rsidRPr="00A14FC6">
              <w:rPr>
                <w:rFonts w:ascii="Verdana" w:eastAsia="Calibri" w:hAnsi="Verdana" w:cs="Arial"/>
              </w:rPr>
              <w:t>quien</w:t>
            </w:r>
            <w:proofErr w:type="gramEnd"/>
            <w:r w:rsidRPr="00A14FC6">
              <w:rPr>
                <w:rFonts w:ascii="Verdana" w:eastAsia="Calibri" w:hAnsi="Verdana" w:cs="Arial"/>
              </w:rPr>
              <w:t xml:space="preserve"> estando incurso en inhabilidades o incompatibilidades, participó en un proceso de selección o celebró un contrato estatal. La nueva inhabilidad que se genera se extiende por el termino de cinco (5) años, contado a partir de la fecha de ocurrencia del hecho de la participación en el proceso de selección, o de la celebración (perfeccionamiento) del contrato, sin perjuicio de la responsabilidad penal que se deriva por declarar falsamente bajo juramento”. </w:t>
            </w:r>
          </w:p>
          <w:p w14:paraId="56A037B9" w14:textId="77777777" w:rsidR="0076699A" w:rsidRDefault="0076699A" w:rsidP="00EA72AC">
            <w:pPr>
              <w:spacing w:after="120" w:line="276" w:lineRule="auto"/>
              <w:ind w:firstLine="709"/>
              <w:jc w:val="both"/>
              <w:rPr>
                <w:rFonts w:ascii="Verdana" w:eastAsia="Calibri" w:hAnsi="Verdana" w:cs="Arial"/>
              </w:rPr>
            </w:pPr>
            <w:r>
              <w:rPr>
                <w:rFonts w:ascii="Verdana" w:eastAsia="Calibri" w:hAnsi="Verdana" w:cs="Arial"/>
                <w:lang w:val="es-ES_tradnl"/>
              </w:rPr>
              <w:t xml:space="preserve">Ante este tipo de eventos, </w:t>
            </w:r>
            <w:r>
              <w:rPr>
                <w:rFonts w:ascii="Verdana" w:eastAsia="Calibri" w:hAnsi="Verdana" w:cs="Arial"/>
              </w:rPr>
              <w:t>e</w:t>
            </w:r>
            <w:r w:rsidRPr="0063634F">
              <w:rPr>
                <w:rFonts w:ascii="Verdana" w:eastAsia="Calibri" w:hAnsi="Verdana" w:cs="Arial"/>
              </w:rPr>
              <w:t>l numeral 7 del artículo 26 de la Ley 80 de 1993 consagra el principio de responsabilidad de los contratistas, estableciendo que estos deben responder cuando, al momento de contratar con el Estado, oculten la existencia de inhabilidades, incompatibilidades o prohibiciones, o suministren información falsa. En es</w:t>
            </w:r>
            <w:r>
              <w:rPr>
                <w:rFonts w:ascii="Verdana" w:eastAsia="Calibri" w:hAnsi="Verdana" w:cs="Arial"/>
              </w:rPr>
              <w:t>t</w:t>
            </w:r>
            <w:r w:rsidRPr="0063634F">
              <w:rPr>
                <w:rFonts w:ascii="Verdana" w:eastAsia="Calibri" w:hAnsi="Verdana" w:cs="Arial"/>
              </w:rPr>
              <w:t xml:space="preserve">a norma impone un deber de transparencia y veracidad en la etapa precontractual, de modo que el contratista está obligado a revelar cualquier circunstancia que pueda afectar su capacidad jurídica para contratar. </w:t>
            </w:r>
          </w:p>
          <w:p w14:paraId="5B86A20D" w14:textId="77777777" w:rsidR="0076699A" w:rsidRDefault="0076699A" w:rsidP="00EA72AC">
            <w:pPr>
              <w:spacing w:line="276" w:lineRule="auto"/>
              <w:jc w:val="both"/>
              <w:rPr>
                <w:rFonts w:ascii="Verdana" w:eastAsia="Calibri" w:hAnsi="Verdana" w:cs="Arial"/>
              </w:rPr>
            </w:pPr>
          </w:p>
          <w:p w14:paraId="5703B180" w14:textId="77777777" w:rsidR="0076699A" w:rsidRPr="0063634F" w:rsidRDefault="0076699A" w:rsidP="00EA72AC">
            <w:pPr>
              <w:spacing w:after="120" w:line="276" w:lineRule="auto"/>
              <w:jc w:val="both"/>
              <w:rPr>
                <w:rFonts w:ascii="Verdana" w:eastAsia="Calibri" w:hAnsi="Verdana" w:cs="Arial"/>
              </w:rPr>
            </w:pPr>
            <w:r>
              <w:rPr>
                <w:rFonts w:ascii="Verdana" w:eastAsia="Calibri" w:hAnsi="Verdana" w:cs="Arial"/>
              </w:rPr>
              <w:lastRenderedPageBreak/>
              <w:t xml:space="preserve">iii. </w:t>
            </w:r>
            <w:proofErr w:type="gramStart"/>
            <w:r>
              <w:rPr>
                <w:rFonts w:ascii="Verdana" w:eastAsia="Calibri" w:hAnsi="Verdana" w:cs="Arial"/>
              </w:rPr>
              <w:t>En relación al</w:t>
            </w:r>
            <w:proofErr w:type="gramEnd"/>
            <w:r>
              <w:rPr>
                <w:rFonts w:ascii="Verdana" w:eastAsia="Calibri" w:hAnsi="Verdana" w:cs="Arial"/>
              </w:rPr>
              <w:t xml:space="preserve"> tercer problema jurídico, </w:t>
            </w:r>
            <w:r>
              <w:rPr>
                <w:rFonts w:ascii="Verdana" w:eastAsia="Calibri" w:hAnsi="Verdana" w:cs="Arial"/>
                <w:lang w:val="es-ES_tradnl"/>
              </w:rPr>
              <w:t>frente a estas inhabilidades no será posible participar</w:t>
            </w:r>
            <w:r>
              <w:rPr>
                <w:rStyle w:val="Refdenotaalpie"/>
                <w:rFonts w:ascii="Verdana" w:eastAsia="Calibri" w:hAnsi="Verdana" w:cs="Arial"/>
                <w:lang w:val="es-ES_tradnl"/>
              </w:rPr>
              <w:footnoteReference w:id="1"/>
            </w:r>
            <w:r>
              <w:rPr>
                <w:rFonts w:ascii="Verdana" w:eastAsia="Calibri" w:hAnsi="Verdana" w:cs="Arial"/>
                <w:lang w:val="es-ES_tradnl"/>
              </w:rPr>
              <w:t xml:space="preserve"> ni mucho menos ejecutar el contrato,</w:t>
            </w:r>
            <w:r w:rsidRPr="0060163E">
              <w:rPr>
                <w:rFonts w:ascii="Verdana" w:eastAsia="Calibri" w:hAnsi="Verdana" w:cs="Arial"/>
                <w:lang w:val="es-ES_tradnl"/>
              </w:rPr>
              <w:t xml:space="preserve"> porque se trata de una etapa posterior a su</w:t>
            </w:r>
            <w:r>
              <w:rPr>
                <w:rFonts w:ascii="Verdana" w:eastAsia="Calibri" w:hAnsi="Verdana" w:cs="Arial"/>
                <w:lang w:val="es-ES_tradnl"/>
              </w:rPr>
              <w:t xml:space="preserve"> “celebración” o “suscripción”. En consecuencia, </w:t>
            </w:r>
            <w:r w:rsidRPr="0060163E">
              <w:rPr>
                <w:rFonts w:ascii="Verdana" w:eastAsia="Calibri" w:hAnsi="Verdana" w:cs="Arial"/>
                <w:lang w:val="es-ES_tradnl"/>
              </w:rPr>
              <w:t xml:space="preserve">es aplicable lo dispuesto en el </w:t>
            </w:r>
            <w:r>
              <w:rPr>
                <w:rFonts w:ascii="Verdana" w:eastAsia="Calibri" w:hAnsi="Verdana" w:cs="Arial"/>
                <w:lang w:val="es-ES_tradnl"/>
              </w:rPr>
              <w:t xml:space="preserve">inciso primero del </w:t>
            </w:r>
            <w:r w:rsidRPr="0060163E">
              <w:rPr>
                <w:rFonts w:ascii="Verdana" w:eastAsia="Calibri" w:hAnsi="Verdana" w:cs="Arial"/>
                <w:lang w:val="es-ES_tradnl"/>
              </w:rPr>
              <w:t>artículo 9 de la Ley 80 de 1993, cuyo tenor literal dispone:</w:t>
            </w:r>
            <w:r w:rsidRPr="00304578">
              <w:rPr>
                <w:rFonts w:ascii="Verdana" w:hAnsi="Verdana" w:cs="Arial"/>
                <w:color w:val="000000" w:themeColor="text1"/>
              </w:rPr>
              <w:t xml:space="preserve"> </w:t>
            </w:r>
            <w:r w:rsidRPr="00304578">
              <w:rPr>
                <w:rFonts w:ascii="Verdana" w:eastAsia="Calibri" w:hAnsi="Verdana" w:cs="Arial"/>
              </w:rPr>
              <w:t xml:space="preserve">“Si llegare a sobrevenir inhabilidad o incompatibilidad en el contratista, este cederá el contrato previa autorización escrita de la entidad contratante o, si ello no fuere posible, renunciará a su ejecución”. El inciso tercero </w:t>
            </w:r>
            <w:r w:rsidRPr="00304578">
              <w:rPr>
                <w:rFonts w:ascii="Verdana" w:eastAsia="Calibri" w:hAnsi="Verdana" w:cs="Arial"/>
                <w:i/>
                <w:iCs/>
              </w:rPr>
              <w:t>ibidem</w:t>
            </w:r>
            <w:r w:rsidRPr="00304578">
              <w:rPr>
                <w:rFonts w:ascii="Verdana" w:eastAsia="Calibri" w:hAnsi="Verdana" w:cs="Arial"/>
              </w:rPr>
              <w:t xml:space="preserve"> agrega lo siguiente: “Si la inhabilidad o incompatibilidad sobreviene en uno de los miembros de un consorcio o unión temporal, este cederá su participación a un tercero previa autorización escrita de la entidad contratante. En ningún caso podrá haber cesión del contrato entre quienes integran el consorcio o unión temporal”.</w:t>
            </w:r>
          </w:p>
          <w:p w14:paraId="43BD611A" w14:textId="77777777" w:rsidR="0076699A" w:rsidRPr="00421CBB" w:rsidRDefault="0076699A" w:rsidP="00EA72AC">
            <w:pPr>
              <w:spacing w:after="120" w:line="276" w:lineRule="auto"/>
              <w:ind w:firstLine="708"/>
              <w:jc w:val="both"/>
              <w:rPr>
                <w:rFonts w:ascii="Verdana" w:eastAsia="Calibri" w:hAnsi="Verdana" w:cs="Arial"/>
                <w:bCs/>
                <w:color w:val="000000" w:themeColor="text1"/>
              </w:rPr>
            </w:pPr>
            <w:r w:rsidRPr="00DB2A80">
              <w:rPr>
                <w:rFonts w:ascii="Verdana" w:eastAsia="Calibri" w:hAnsi="Verdana" w:cs="Arial"/>
                <w:bCs/>
                <w:color w:val="000000" w:themeColor="text1"/>
              </w:rPr>
              <w:t xml:space="preserve">Dentro de este marco, </w:t>
            </w:r>
            <w:r>
              <w:rPr>
                <w:rFonts w:ascii="Verdana" w:eastAsia="Calibri" w:hAnsi="Verdana" w:cs="Arial"/>
                <w:bCs/>
                <w:color w:val="000000" w:themeColor="text1"/>
              </w:rPr>
              <w:t xml:space="preserve">el consultante </w:t>
            </w:r>
            <w:r w:rsidRPr="00DB2A80">
              <w:rPr>
                <w:rFonts w:ascii="Verdana" w:eastAsia="Calibri" w:hAnsi="Verdana" w:cs="Arial"/>
                <w:bCs/>
                <w:color w:val="000000" w:themeColor="text1"/>
              </w:rPr>
              <w:t>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w:t>
            </w:r>
            <w:r>
              <w:rPr>
                <w:rFonts w:ascii="Verdana" w:eastAsia="Calibri" w:hAnsi="Verdana" w:cs="Arial"/>
                <w:bCs/>
                <w:color w:val="000000" w:themeColor="text1"/>
              </w:rPr>
              <w:t xml:space="preserve">iente validar sus actuaciones. </w:t>
            </w:r>
          </w:p>
        </w:tc>
      </w:tr>
    </w:tbl>
    <w:p w14:paraId="4D95BA04" w14:textId="77777777" w:rsidR="0076699A" w:rsidRPr="0070090C" w:rsidRDefault="0076699A" w:rsidP="0076699A">
      <w:pPr>
        <w:spacing w:after="0" w:line="276" w:lineRule="auto"/>
        <w:contextualSpacing/>
        <w:rPr>
          <w:rFonts w:ascii="Verdana" w:eastAsia="Calibri" w:hAnsi="Verdana" w:cs="Times New Roman"/>
          <w:b/>
          <w:bCs/>
        </w:rPr>
      </w:pPr>
    </w:p>
    <w:p w14:paraId="040E0E23" w14:textId="77777777" w:rsidR="0076699A" w:rsidRPr="0060163E" w:rsidRDefault="0076699A" w:rsidP="0076699A">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III. </w:t>
      </w:r>
      <w:r w:rsidRPr="0060163E">
        <w:rPr>
          <w:rFonts w:ascii="Verdana" w:eastAsia="Calibri" w:hAnsi="Verdana" w:cs="Times New Roman"/>
          <w:b/>
          <w:bCs/>
          <w:lang w:val="es-ES"/>
        </w:rPr>
        <w:t>Razones de la respuesta:</w:t>
      </w:r>
    </w:p>
    <w:p w14:paraId="2A4110A9" w14:textId="77777777" w:rsidR="0076699A" w:rsidRPr="0060163E" w:rsidRDefault="0076699A" w:rsidP="0076699A">
      <w:pPr>
        <w:spacing w:after="0" w:line="276" w:lineRule="auto"/>
        <w:rPr>
          <w:rFonts w:ascii="Verdana" w:eastAsia="Calibri" w:hAnsi="Verdana" w:cs="Times New Roman"/>
          <w:b/>
          <w:bCs/>
          <w:lang w:val="es-ES"/>
        </w:rPr>
      </w:pPr>
    </w:p>
    <w:p w14:paraId="1D28E2DC" w14:textId="77777777" w:rsidR="0076699A" w:rsidRPr="0060163E" w:rsidRDefault="0076699A" w:rsidP="0076699A">
      <w:pPr>
        <w:spacing w:after="0" w:line="276" w:lineRule="auto"/>
        <w:jc w:val="both"/>
        <w:rPr>
          <w:rFonts w:ascii="Verdana" w:eastAsia="Calibri" w:hAnsi="Verdana" w:cs="Arial"/>
          <w:lang w:val="es-ES"/>
        </w:rPr>
      </w:pPr>
      <w:r w:rsidRPr="0060163E">
        <w:rPr>
          <w:rFonts w:ascii="Verdana" w:eastAsia="Calibri" w:hAnsi="Verdana" w:cs="Arial"/>
          <w:lang w:val="es-ES"/>
        </w:rPr>
        <w:t xml:space="preserve">Lo anterior se sustenta en las siguientes consideraciones: </w:t>
      </w:r>
    </w:p>
    <w:p w14:paraId="4493E5FE" w14:textId="77777777" w:rsidR="0076699A" w:rsidRPr="0060163E" w:rsidRDefault="0076699A" w:rsidP="0076699A">
      <w:pPr>
        <w:spacing w:after="0" w:line="276" w:lineRule="auto"/>
        <w:jc w:val="both"/>
        <w:rPr>
          <w:rFonts w:ascii="Verdana" w:eastAsia="Calibri" w:hAnsi="Verdana" w:cs="Arial"/>
          <w:lang w:val="es-MX"/>
        </w:rPr>
      </w:pPr>
    </w:p>
    <w:p w14:paraId="78EB1377" w14:textId="77777777" w:rsidR="0076699A" w:rsidRDefault="0076699A" w:rsidP="0076699A">
      <w:pPr>
        <w:spacing w:after="0" w:line="276" w:lineRule="auto"/>
        <w:jc w:val="both"/>
        <w:rPr>
          <w:rFonts w:ascii="Verdana" w:eastAsia="Calibri" w:hAnsi="Verdana" w:cs="Arial"/>
          <w:lang w:val="es-MX"/>
        </w:rPr>
      </w:pPr>
      <w:r>
        <w:rPr>
          <w:rFonts w:ascii="Verdana" w:eastAsia="Calibri" w:hAnsi="Verdana" w:cs="Arial"/>
          <w:lang w:val="es-MX"/>
        </w:rPr>
        <w:t>i.</w:t>
      </w:r>
      <w:r w:rsidRPr="0060163E">
        <w:rPr>
          <w:rFonts w:ascii="Verdana" w:eastAsia="Calibri" w:hAnsi="Verdana" w:cs="Arial"/>
          <w:lang w:val="es-MX"/>
        </w:rPr>
        <w:t xml:space="preserve"> Las inhabilidades son circunstancias establecidas por la Constitución o la ley que impiden que personas naturales o jurídicas sean elegidas o d</w:t>
      </w:r>
      <w:r>
        <w:rPr>
          <w:rFonts w:ascii="Verdana" w:eastAsia="Calibri" w:hAnsi="Verdana" w:cs="Arial"/>
          <w:lang w:val="es-MX"/>
        </w:rPr>
        <w:t xml:space="preserve">esignadas en un cargo público, </w:t>
      </w:r>
      <w:r w:rsidRPr="0060163E">
        <w:rPr>
          <w:rFonts w:ascii="Verdana" w:eastAsia="Calibri" w:hAnsi="Verdana" w:cs="Arial"/>
          <w:lang w:val="es-MX"/>
        </w:rPr>
        <w:t>celebren contratos con el Estado</w:t>
      </w:r>
      <w:r>
        <w:rPr>
          <w:rFonts w:ascii="Verdana" w:eastAsia="Calibri" w:hAnsi="Verdana" w:cs="Arial"/>
          <w:lang w:val="es-MX"/>
        </w:rPr>
        <w:t>, o no puedan ejercer una profesión</w:t>
      </w:r>
      <w:r w:rsidRPr="0060163E">
        <w:rPr>
          <w:rFonts w:ascii="Verdana" w:eastAsia="Calibri" w:hAnsi="Verdana" w:cs="Arial"/>
          <w:lang w:val="es-MX"/>
        </w:rPr>
        <w:t xml:space="preserve">, con el objetivo de garantizar la idoneidad, imparcialidad, probidad, transparencia y moralidad de la función pública, garantizando el interés general. </w:t>
      </w:r>
      <w:r>
        <w:rPr>
          <w:rFonts w:ascii="Verdana" w:eastAsia="Calibri" w:hAnsi="Verdana" w:cs="Arial"/>
          <w:lang w:val="es-MX"/>
        </w:rPr>
        <w:lastRenderedPageBreak/>
        <w:t xml:space="preserve">De igual modo, en torno a la incompatibilidad, la Corte Constitucional ha señalado: </w:t>
      </w:r>
    </w:p>
    <w:p w14:paraId="6D56C665" w14:textId="77777777" w:rsidR="0076699A" w:rsidRPr="00D377F0" w:rsidRDefault="0076699A" w:rsidP="0076699A">
      <w:pPr>
        <w:spacing w:after="0" w:line="276" w:lineRule="auto"/>
        <w:jc w:val="both"/>
        <w:rPr>
          <w:rFonts w:ascii="Verdana" w:eastAsia="Calibri" w:hAnsi="Verdana" w:cs="Arial"/>
          <w:sz w:val="20"/>
          <w:szCs w:val="20"/>
          <w:lang w:val="es-MX"/>
        </w:rPr>
      </w:pPr>
    </w:p>
    <w:p w14:paraId="35060ECC" w14:textId="77777777" w:rsidR="0076699A" w:rsidRPr="00D377F0" w:rsidRDefault="0076699A" w:rsidP="0076699A">
      <w:pPr>
        <w:spacing w:after="0" w:line="240" w:lineRule="auto"/>
        <w:ind w:left="709" w:right="709"/>
        <w:jc w:val="both"/>
        <w:rPr>
          <w:rFonts w:ascii="Verdana" w:eastAsia="Calibri" w:hAnsi="Verdana" w:cs="Arial"/>
          <w:bCs/>
          <w:iCs/>
          <w:sz w:val="20"/>
          <w:szCs w:val="20"/>
          <w:lang w:val="es-ES"/>
        </w:rPr>
      </w:pPr>
      <w:r w:rsidRPr="00D377F0">
        <w:rPr>
          <w:rFonts w:ascii="Verdana" w:eastAsia="Calibri" w:hAnsi="Verdana" w:cs="Arial"/>
          <w:sz w:val="20"/>
          <w:szCs w:val="20"/>
          <w:lang w:val="es-MX"/>
        </w:rPr>
        <w:t xml:space="preserve"> </w:t>
      </w:r>
      <w:r w:rsidRPr="00D377F0">
        <w:rPr>
          <w:rFonts w:ascii="Verdana" w:eastAsia="Calibri" w:hAnsi="Verdana" w:cs="Arial"/>
          <w:bCs/>
          <w:iCs/>
          <w:sz w:val="20"/>
          <w:szCs w:val="20"/>
          <w:lang w:val="es-ES"/>
        </w:rPr>
        <w:t>“[…] una prohibición dirigida al titular de una función pública a quien, por ese hecho, se le impide ocuparse de ciertas actividades o ejercer, simultáneamente, las competencias propias de la función que desempeña y las correspondientes a otros cargos o empleos, en guarda del interés superior que puede verse afectado por una indebida acumulación de funciones o por la confluencia de intereses poco conciliables y capaces, en todo caso, de afectar la imparcialidad y la independencia que deben guiar las actuaciones de quien ejerce la autoridad en nombre del Estado”</w:t>
      </w:r>
      <w:r w:rsidRPr="00D377F0">
        <w:rPr>
          <w:rFonts w:ascii="Verdana" w:eastAsia="Calibri" w:hAnsi="Verdana" w:cs="Arial"/>
          <w:bCs/>
          <w:iCs/>
          <w:sz w:val="20"/>
          <w:szCs w:val="20"/>
          <w:vertAlign w:val="superscript"/>
          <w:lang w:val="es-ES"/>
        </w:rPr>
        <w:footnoteReference w:id="2"/>
      </w:r>
      <w:r w:rsidRPr="00D377F0">
        <w:rPr>
          <w:rFonts w:ascii="Verdana" w:eastAsia="Calibri" w:hAnsi="Verdana" w:cs="Arial"/>
          <w:bCs/>
          <w:iCs/>
          <w:sz w:val="20"/>
          <w:szCs w:val="20"/>
          <w:lang w:val="es-ES"/>
        </w:rPr>
        <w:t>.</w:t>
      </w:r>
    </w:p>
    <w:p w14:paraId="4472768F" w14:textId="77777777" w:rsidR="0076699A" w:rsidRPr="000B4D9F" w:rsidRDefault="0076699A" w:rsidP="0076699A">
      <w:pPr>
        <w:spacing w:after="0" w:line="240" w:lineRule="auto"/>
        <w:ind w:left="709" w:right="709"/>
        <w:jc w:val="both"/>
        <w:rPr>
          <w:rFonts w:ascii="Verdana" w:eastAsia="Calibri" w:hAnsi="Verdana" w:cs="Arial"/>
          <w:bCs/>
          <w:iCs/>
          <w:sz w:val="21"/>
          <w:szCs w:val="21"/>
          <w:lang w:val="es-ES_tradnl"/>
        </w:rPr>
      </w:pPr>
    </w:p>
    <w:p w14:paraId="763B2C9B" w14:textId="77777777" w:rsidR="0076699A" w:rsidRDefault="0076699A" w:rsidP="0076699A">
      <w:pPr>
        <w:spacing w:after="120" w:line="276" w:lineRule="auto"/>
        <w:ind w:firstLine="709"/>
        <w:jc w:val="both"/>
        <w:rPr>
          <w:rFonts w:ascii="Verdana" w:eastAsia="Calibri" w:hAnsi="Verdana" w:cs="Arial"/>
          <w:lang w:val="es-MX"/>
        </w:rPr>
      </w:pPr>
      <w:r>
        <w:rPr>
          <w:rFonts w:ascii="Verdana" w:eastAsia="Calibri" w:hAnsi="Verdana" w:cs="Arial"/>
          <w:lang w:val="es-MX"/>
        </w:rPr>
        <w:t>Las inhabilidades e incompatibilidades pueden enfocarse en varios asuntos: en primer lugar, se encuentran las inhabilidades e incompatibilidades que impiden que u</w:t>
      </w:r>
      <w:r w:rsidRPr="007218AE">
        <w:rPr>
          <w:rFonts w:ascii="Verdana" w:eastAsia="Calibri" w:hAnsi="Verdana" w:cs="Arial"/>
        </w:rPr>
        <w:t xml:space="preserve">na persona sea elegida, designada para un cargo público, como también en ciertos </w:t>
      </w:r>
      <w:r>
        <w:rPr>
          <w:rFonts w:ascii="Verdana" w:eastAsia="Calibri" w:hAnsi="Verdana" w:cs="Arial"/>
        </w:rPr>
        <w:t xml:space="preserve">eventos </w:t>
      </w:r>
      <w:r w:rsidRPr="007218AE">
        <w:rPr>
          <w:rFonts w:ascii="Verdana" w:eastAsia="Calibri" w:hAnsi="Verdana" w:cs="Arial"/>
        </w:rPr>
        <w:t xml:space="preserve">impiden que la persona </w:t>
      </w:r>
      <w:r>
        <w:rPr>
          <w:rFonts w:ascii="Verdana" w:eastAsia="Calibri" w:hAnsi="Verdana" w:cs="Arial"/>
        </w:rPr>
        <w:t xml:space="preserve">se encuentre </w:t>
      </w:r>
      <w:r w:rsidRPr="007218AE">
        <w:rPr>
          <w:rFonts w:ascii="Verdana" w:eastAsia="Calibri" w:hAnsi="Verdana" w:cs="Arial"/>
        </w:rPr>
        <w:t>vinculada a la f</w:t>
      </w:r>
      <w:r>
        <w:rPr>
          <w:rFonts w:ascii="Verdana" w:eastAsia="Calibri" w:hAnsi="Verdana" w:cs="Arial"/>
        </w:rPr>
        <w:t xml:space="preserve">unción pública continúe en ella; en segundo lugar, se hallan las inhabilidades e incompatibilidades para el ejercicio de una profesión, las cuales se constituyen </w:t>
      </w:r>
      <w:r>
        <w:rPr>
          <w:rFonts w:ascii="Verdana" w:eastAsia="Calibri" w:hAnsi="Verdana" w:cs="Arial"/>
          <w:lang w:val="es-MX"/>
        </w:rPr>
        <w:t xml:space="preserve">en restricciones que impiden el ejercicio de una profesión que encuentran sustento en el artículo 26 de la Constitución Política; en tercer lugar, se encuentra el régimen de inhabilidades e incompatibilidades en la contratación estatal, que busca limitar la celebración de contratos, así como evitar que siga contratando por una inhabilidad o incompatibilidad sobreviniente. </w:t>
      </w:r>
      <w:proofErr w:type="gramStart"/>
      <w:r>
        <w:rPr>
          <w:rFonts w:ascii="Verdana" w:eastAsia="Calibri" w:hAnsi="Verdana" w:cs="Arial"/>
          <w:lang w:val="es-MX"/>
        </w:rPr>
        <w:t>De acuerdo a</w:t>
      </w:r>
      <w:proofErr w:type="gramEnd"/>
      <w:r>
        <w:rPr>
          <w:rFonts w:ascii="Verdana" w:eastAsia="Calibri" w:hAnsi="Verdana" w:cs="Arial"/>
          <w:lang w:val="es-MX"/>
        </w:rPr>
        <w:t xml:space="preserve"> lo expuesto, se señala que la Agencia Nacional de Contratación Pública es competente para resolver consultas sobre normas del sistema de compras y contratación públicas que establezca inhabilidades e incompatibilidades para contratar con el Estado. </w:t>
      </w:r>
    </w:p>
    <w:p w14:paraId="572B1C49" w14:textId="77777777" w:rsidR="0076699A" w:rsidRPr="0060163E" w:rsidRDefault="0076699A" w:rsidP="0076699A">
      <w:pPr>
        <w:spacing w:after="120" w:line="276" w:lineRule="auto"/>
        <w:ind w:firstLine="709"/>
        <w:jc w:val="both"/>
        <w:rPr>
          <w:rFonts w:ascii="Verdana" w:eastAsia="Calibri" w:hAnsi="Verdana" w:cs="Arial"/>
          <w:lang w:val="es-MX"/>
        </w:rPr>
      </w:pPr>
      <w:r>
        <w:rPr>
          <w:rFonts w:ascii="Verdana" w:eastAsia="Calibri" w:hAnsi="Verdana" w:cs="Arial"/>
          <w:lang w:val="es-MX"/>
        </w:rPr>
        <w:t>Para ello, hay que precisar que, el</w:t>
      </w:r>
      <w:r w:rsidRPr="0060163E">
        <w:rPr>
          <w:rFonts w:ascii="Verdana" w:eastAsia="Calibri" w:hAnsi="Verdana" w:cs="Arial"/>
          <w:lang w:val="es-MX"/>
        </w:rPr>
        <w:t xml:space="preserve">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w:t>
      </w:r>
      <w:r w:rsidRPr="0060163E">
        <w:rPr>
          <w:rFonts w:ascii="Verdana" w:eastAsia="Calibri" w:hAnsi="Verdana" w:cs="Arial"/>
          <w:lang w:val="es-MX"/>
        </w:rPr>
        <w:lastRenderedPageBreak/>
        <w:t>cualidad, calidad o requisito en el sujeto incapacitado quien por esta razón no podrá hacer parte de una relación contractual”</w:t>
      </w:r>
      <w:r w:rsidRPr="0060163E">
        <w:rPr>
          <w:rFonts w:ascii="Verdana" w:eastAsia="Calibri" w:hAnsi="Verdana" w:cs="Arial"/>
          <w:vertAlign w:val="superscript"/>
          <w:lang w:val="es-MX"/>
        </w:rPr>
        <w:footnoteReference w:id="3"/>
      </w:r>
    </w:p>
    <w:p w14:paraId="2BE8FE9A" w14:textId="77777777" w:rsidR="0076699A" w:rsidRPr="0060163E" w:rsidRDefault="0076699A" w:rsidP="0076699A">
      <w:pPr>
        <w:spacing w:before="120" w:after="0" w:line="276" w:lineRule="auto"/>
        <w:ind w:firstLine="709"/>
        <w:jc w:val="both"/>
        <w:rPr>
          <w:rFonts w:ascii="Verdana" w:eastAsia="Calibri" w:hAnsi="Verdana" w:cs="Arial"/>
          <w:lang w:val="es-MX"/>
        </w:rPr>
      </w:pPr>
      <w:r w:rsidRPr="0060163E">
        <w:rPr>
          <w:rFonts w:ascii="Verdana" w:eastAsia="Calibri" w:hAnsi="Verdana" w:cs="Arial"/>
          <w:lang w:val="es-MX"/>
        </w:rPr>
        <w:t>La regulación de las inhabilidades que implican limitaciones a la capacidad jurídica para contratar, que desarrolla los principios de la función administrativa consagrados en el artículo 209 de la Constitución Política, con especial énfasis</w:t>
      </w:r>
      <w:r>
        <w:rPr>
          <w:rFonts w:ascii="Verdana" w:eastAsia="Calibri" w:hAnsi="Verdana" w:cs="Arial"/>
          <w:lang w:val="es-MX"/>
        </w:rPr>
        <w:t>,</w:t>
      </w:r>
      <w:r w:rsidRPr="0060163E">
        <w:rPr>
          <w:rFonts w:ascii="Verdana" w:eastAsia="Calibri" w:hAnsi="Verdana" w:cs="Arial"/>
          <w:lang w:val="es-MX"/>
        </w:rPr>
        <w:t xml:space="preserve"> el de moralidad. Así lo entiende el Consejo de Estado: </w:t>
      </w:r>
    </w:p>
    <w:p w14:paraId="247C2ADF" w14:textId="77777777" w:rsidR="0076699A" w:rsidRPr="0060163E" w:rsidRDefault="0076699A" w:rsidP="0076699A">
      <w:pPr>
        <w:spacing w:after="0" w:line="276" w:lineRule="auto"/>
        <w:jc w:val="both"/>
        <w:rPr>
          <w:rFonts w:ascii="Verdana" w:eastAsia="Calibri" w:hAnsi="Verdana" w:cs="Arial"/>
          <w:lang w:val="es-MX"/>
        </w:rPr>
      </w:pPr>
    </w:p>
    <w:p w14:paraId="4A856715" w14:textId="77777777" w:rsidR="0076699A" w:rsidRPr="0045272C" w:rsidRDefault="0076699A" w:rsidP="0076699A">
      <w:pPr>
        <w:shd w:val="clear" w:color="auto" w:fill="FFFFFF"/>
        <w:spacing w:after="0" w:line="240" w:lineRule="auto"/>
        <w:ind w:left="709" w:right="709"/>
        <w:jc w:val="both"/>
        <w:rPr>
          <w:rFonts w:ascii="Verdana" w:eastAsia="Calibri" w:hAnsi="Verdana" w:cs="Arial"/>
          <w:sz w:val="20"/>
          <w:szCs w:val="20"/>
          <w:lang w:val="es-ES"/>
        </w:rPr>
      </w:pPr>
      <w:r w:rsidRPr="0045272C">
        <w:rPr>
          <w:rFonts w:ascii="Verdana" w:eastAsia="Calibri" w:hAnsi="Verdana" w:cs="Arial"/>
          <w:sz w:val="20"/>
          <w:szCs w:val="20"/>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7AD061B3" w14:textId="77777777" w:rsidR="0076699A" w:rsidRPr="0045272C" w:rsidRDefault="0076699A" w:rsidP="0076699A">
      <w:pPr>
        <w:shd w:val="clear" w:color="auto" w:fill="FFFFFF"/>
        <w:spacing w:after="0" w:line="240" w:lineRule="auto"/>
        <w:ind w:left="709" w:right="709"/>
        <w:jc w:val="both"/>
        <w:rPr>
          <w:rFonts w:ascii="Verdana" w:eastAsia="Calibri" w:hAnsi="Verdana" w:cs="Arial"/>
          <w:sz w:val="20"/>
          <w:szCs w:val="20"/>
          <w:lang w:val="es-ES"/>
        </w:rPr>
      </w:pPr>
    </w:p>
    <w:p w14:paraId="2740FE66" w14:textId="77777777" w:rsidR="0076699A" w:rsidRPr="0045272C" w:rsidRDefault="0076699A" w:rsidP="0076699A">
      <w:pPr>
        <w:shd w:val="clear" w:color="auto" w:fill="FFFFFF"/>
        <w:spacing w:after="0" w:line="240" w:lineRule="auto"/>
        <w:ind w:left="709" w:right="709"/>
        <w:jc w:val="both"/>
        <w:rPr>
          <w:rFonts w:ascii="Verdana" w:eastAsia="Calibri" w:hAnsi="Verdana" w:cs="Arial"/>
          <w:sz w:val="20"/>
          <w:szCs w:val="20"/>
          <w:lang w:val="es-ES"/>
        </w:rPr>
      </w:pPr>
      <w:r w:rsidRPr="0045272C">
        <w:rPr>
          <w:rFonts w:ascii="Verdana" w:eastAsia="Calibri" w:hAnsi="Verdana" w:cs="Arial"/>
          <w:sz w:val="20"/>
          <w:szCs w:val="20"/>
          <w:lang w:val="es-ES"/>
        </w:rPr>
        <w:t>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45272C">
        <w:rPr>
          <w:rFonts w:ascii="Verdana" w:eastAsia="Calibri" w:hAnsi="Verdana" w:cs="Arial"/>
          <w:sz w:val="20"/>
          <w:szCs w:val="20"/>
          <w:vertAlign w:val="superscript"/>
          <w:lang w:val="es-ES"/>
        </w:rPr>
        <w:footnoteReference w:id="4"/>
      </w:r>
    </w:p>
    <w:p w14:paraId="036C57F7" w14:textId="77777777" w:rsidR="0076699A" w:rsidRPr="0045272C" w:rsidRDefault="0076699A" w:rsidP="0076699A">
      <w:pPr>
        <w:shd w:val="clear" w:color="auto" w:fill="FFFFFF"/>
        <w:spacing w:after="0" w:line="240" w:lineRule="auto"/>
        <w:ind w:left="709" w:right="709"/>
        <w:jc w:val="both"/>
        <w:rPr>
          <w:rFonts w:ascii="Verdana" w:eastAsia="Calibri" w:hAnsi="Verdana" w:cs="Arial"/>
          <w:sz w:val="20"/>
          <w:szCs w:val="20"/>
          <w:lang w:val="es-ES"/>
        </w:rPr>
      </w:pPr>
    </w:p>
    <w:p w14:paraId="6E774817" w14:textId="77777777" w:rsidR="0076699A" w:rsidRPr="0060163E" w:rsidRDefault="0076699A" w:rsidP="0076699A">
      <w:pPr>
        <w:spacing w:after="0" w:line="276" w:lineRule="auto"/>
        <w:ind w:firstLine="709"/>
        <w:jc w:val="both"/>
        <w:rPr>
          <w:rFonts w:ascii="Verdana" w:eastAsia="Calibri" w:hAnsi="Verdana" w:cs="Arial"/>
          <w:lang w:val="es-MX"/>
        </w:rPr>
      </w:pPr>
      <w:r w:rsidRPr="0060163E">
        <w:rPr>
          <w:rFonts w:ascii="Verdana" w:eastAsia="Calibri" w:hAnsi="Verdana" w:cs="Arial"/>
          <w:lang w:val="es-MX"/>
        </w:rPr>
        <w:t xml:space="preserve">Así las cosas,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La Corte Constitucional ha reconocido que estas limitaciones deben justificarse </w:t>
      </w:r>
      <w:r w:rsidRPr="0060163E">
        <w:rPr>
          <w:rFonts w:ascii="Verdana" w:eastAsia="Calibri" w:hAnsi="Verdana" w:cs="Arial"/>
          <w:lang w:val="es-MX"/>
        </w:rPr>
        <w:lastRenderedPageBreak/>
        <w:t xml:space="preserve">en la salvaguarda del interés general y que su interpretación es taxativa y restrictiva: </w:t>
      </w:r>
    </w:p>
    <w:p w14:paraId="71157E62" w14:textId="77777777" w:rsidR="0076699A" w:rsidRPr="004218E1" w:rsidRDefault="0076699A" w:rsidP="0076699A">
      <w:pPr>
        <w:spacing w:after="0" w:line="276" w:lineRule="auto"/>
        <w:rPr>
          <w:rFonts w:ascii="Verdana" w:eastAsia="Times New Roman" w:hAnsi="Verdana" w:cs="Arial"/>
          <w:sz w:val="21"/>
          <w:szCs w:val="21"/>
          <w:shd w:val="clear" w:color="auto" w:fill="FFFFFF"/>
          <w:lang w:eastAsia="es-ES_tradnl"/>
        </w:rPr>
      </w:pPr>
    </w:p>
    <w:p w14:paraId="609E6252" w14:textId="77777777" w:rsidR="0076699A" w:rsidRPr="0045272C" w:rsidRDefault="0076699A" w:rsidP="0076699A">
      <w:pPr>
        <w:spacing w:after="0" w:line="240" w:lineRule="auto"/>
        <w:ind w:left="709" w:right="709"/>
        <w:jc w:val="both"/>
        <w:rPr>
          <w:rFonts w:ascii="Verdana" w:eastAsia="Calibri" w:hAnsi="Verdana" w:cs="Arial"/>
          <w:sz w:val="20"/>
          <w:szCs w:val="20"/>
          <w:lang w:val="es-MX"/>
        </w:rPr>
      </w:pPr>
      <w:r w:rsidRPr="0045272C">
        <w:rPr>
          <w:rFonts w:ascii="Verdana" w:eastAsia="Calibri" w:hAnsi="Verdana" w:cs="Arial"/>
          <w:sz w:val="20"/>
          <w:szCs w:val="20"/>
          <w:lang w:val="es-MX"/>
        </w:rPr>
        <w:t xml:space="preserve">“Todo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 arts. 1502 y 1503; ley 80 de 1993, art. 6]. De ordinario, como ocurre en la contratación estatal, la inobservancia del régimen de inhabilidades e </w:t>
      </w:r>
      <w:proofErr w:type="gramStart"/>
      <w:r w:rsidRPr="0045272C">
        <w:rPr>
          <w:rFonts w:ascii="Verdana" w:eastAsia="Calibri" w:hAnsi="Verdana" w:cs="Arial"/>
          <w:sz w:val="20"/>
          <w:szCs w:val="20"/>
          <w:lang w:val="es-MX"/>
        </w:rPr>
        <w:t>incompatibilidades,</w:t>
      </w:r>
      <w:proofErr w:type="gramEnd"/>
      <w:r w:rsidRPr="0045272C">
        <w:rPr>
          <w:rFonts w:ascii="Verdana" w:eastAsia="Calibri" w:hAnsi="Verdana" w:cs="Arial"/>
          <w:sz w:val="20"/>
          <w:szCs w:val="20"/>
          <w:lang w:val="es-MX"/>
        </w:rPr>
        <w:t xml:space="preserve"> se erige en causal de nulidad del contrato celebrado en esas condiciones (ley 80 de 1993, art. 44).</w:t>
      </w:r>
    </w:p>
    <w:p w14:paraId="372ED335" w14:textId="77777777" w:rsidR="0076699A" w:rsidRPr="0045272C" w:rsidRDefault="0076699A" w:rsidP="0076699A">
      <w:pPr>
        <w:spacing w:after="0" w:line="240" w:lineRule="auto"/>
        <w:ind w:left="709" w:right="709"/>
        <w:jc w:val="both"/>
        <w:rPr>
          <w:rFonts w:ascii="Verdana" w:eastAsia="Calibri" w:hAnsi="Verdana" w:cs="Arial"/>
          <w:sz w:val="20"/>
          <w:szCs w:val="20"/>
          <w:lang w:val="es-MX"/>
        </w:rPr>
      </w:pPr>
    </w:p>
    <w:p w14:paraId="1A6975EB" w14:textId="77777777" w:rsidR="0076699A" w:rsidRPr="0045272C" w:rsidRDefault="0076699A" w:rsidP="0076699A">
      <w:pPr>
        <w:spacing w:after="0" w:line="240" w:lineRule="auto"/>
        <w:ind w:left="709" w:right="709"/>
        <w:jc w:val="both"/>
        <w:rPr>
          <w:rFonts w:ascii="Verdana" w:eastAsia="Calibri" w:hAnsi="Verdana" w:cs="Arial"/>
          <w:sz w:val="20"/>
          <w:szCs w:val="20"/>
          <w:lang w:val="es-MX"/>
        </w:rPr>
      </w:pPr>
      <w:r w:rsidRPr="0045272C">
        <w:rPr>
          <w:rFonts w:ascii="Verdana" w:eastAsia="Calibri" w:hAnsi="Verdana" w:cs="Arial"/>
          <w:sz w:val="20"/>
          <w:szCs w:val="20"/>
          <w:lang w:val="es-MX"/>
        </w:rPr>
        <w:t>El carácter reconocidamente taxativo y restrictivo de este régimen y el de las correlativas nulidades, obedece a la necesidad de salvaguardar el interés general ínsito en la contratación pública de manera que implique el menor sacrificio posible al derecho de igualdad y de reconocimiento de la personalidad jurídica de quienes aspiran a contratar con el Estado. Es evidente que si la restricción legal [incompatibilidad o inhabilidad] no se sustenta en ninguna necesidad de protección del interés general o ésta es irrazonable o desproporcionada, en esa misma medida pierde justificación constitucional como medio legítimo para restringir, en ese caso, el derecho a la igualdad y el reconocimiento de la personalidad jurídica de las personas que resultan rechazadas del ámbito contractual del Estado”</w:t>
      </w:r>
      <w:r w:rsidRPr="0045272C">
        <w:rPr>
          <w:rFonts w:ascii="Verdana" w:eastAsia="Calibri" w:hAnsi="Verdana" w:cs="Arial"/>
          <w:sz w:val="20"/>
          <w:szCs w:val="20"/>
          <w:vertAlign w:val="superscript"/>
          <w:lang w:val="es-MX"/>
        </w:rPr>
        <w:footnoteReference w:id="5"/>
      </w:r>
      <w:r w:rsidRPr="0045272C">
        <w:rPr>
          <w:rFonts w:ascii="Verdana" w:eastAsia="Calibri" w:hAnsi="Verdana" w:cs="Arial"/>
          <w:sz w:val="20"/>
          <w:szCs w:val="20"/>
          <w:lang w:val="es-MX"/>
        </w:rPr>
        <w:t xml:space="preserve">. </w:t>
      </w:r>
    </w:p>
    <w:p w14:paraId="5ADD6DCB" w14:textId="77777777" w:rsidR="0076699A" w:rsidRPr="0045272C" w:rsidRDefault="0076699A" w:rsidP="0076699A">
      <w:pPr>
        <w:spacing w:after="0" w:line="276" w:lineRule="auto"/>
        <w:ind w:right="709"/>
        <w:jc w:val="both"/>
        <w:rPr>
          <w:rFonts w:ascii="Verdana" w:eastAsia="Calibri" w:hAnsi="Verdana" w:cs="Arial"/>
          <w:sz w:val="20"/>
          <w:szCs w:val="20"/>
          <w:lang w:val="es-MX"/>
        </w:rPr>
      </w:pPr>
    </w:p>
    <w:p w14:paraId="7BC9F223" w14:textId="77777777" w:rsidR="0076699A" w:rsidRPr="0060163E" w:rsidRDefault="0076699A" w:rsidP="0076699A">
      <w:pPr>
        <w:spacing w:after="0" w:line="276" w:lineRule="auto"/>
        <w:ind w:firstLine="709"/>
        <w:jc w:val="both"/>
        <w:rPr>
          <w:rFonts w:ascii="Verdana" w:eastAsia="Calibri" w:hAnsi="Verdana" w:cs="Arial"/>
          <w:lang w:val="es-MX"/>
        </w:rPr>
      </w:pPr>
      <w:r w:rsidRPr="0060163E">
        <w:rPr>
          <w:rFonts w:ascii="Verdana" w:eastAsia="Calibri" w:hAnsi="Verdana" w:cs="Arial"/>
          <w:lang w:val="es-MX"/>
        </w:rPr>
        <w:t>Además, la Corte Constitucional explica que el legislador tiene la competencia para determinar qué hechos o situaciones generan inhabilidad para contratar, pues este régimen es un aspecto propio del Estatuto General de Contratación de la Administración Pública – en adelante EGCAP –, cuya expedición compete al Congreso de la República a la luz del artículo 150 de la Constitución Política, y que en esta materia rige el principio de legalidad:</w:t>
      </w:r>
    </w:p>
    <w:p w14:paraId="0D5B306A" w14:textId="77777777" w:rsidR="0076699A" w:rsidRPr="0060163E" w:rsidRDefault="0076699A" w:rsidP="0076699A">
      <w:pPr>
        <w:tabs>
          <w:tab w:val="left" w:pos="1532"/>
        </w:tabs>
        <w:spacing w:after="0" w:line="276" w:lineRule="auto"/>
        <w:jc w:val="both"/>
        <w:rPr>
          <w:rFonts w:ascii="Verdana" w:eastAsia="Calibri" w:hAnsi="Verdana" w:cs="Arial"/>
          <w:lang w:val="es-MX"/>
        </w:rPr>
      </w:pPr>
    </w:p>
    <w:p w14:paraId="7E5D042F" w14:textId="77777777" w:rsidR="0076699A" w:rsidRPr="0045272C" w:rsidRDefault="0076699A" w:rsidP="0076699A">
      <w:pPr>
        <w:spacing w:after="0" w:line="240" w:lineRule="auto"/>
        <w:ind w:left="709" w:right="709"/>
        <w:jc w:val="both"/>
        <w:rPr>
          <w:rFonts w:ascii="Verdana" w:eastAsia="Calibri" w:hAnsi="Verdana" w:cs="Arial"/>
          <w:sz w:val="20"/>
          <w:szCs w:val="20"/>
          <w:lang w:val="es-MX"/>
        </w:rPr>
      </w:pPr>
      <w:r w:rsidRPr="0045272C">
        <w:rPr>
          <w:rFonts w:ascii="Verdana" w:eastAsia="Calibri" w:hAnsi="Verdana" w:cs="Arial"/>
          <w:sz w:val="20"/>
          <w:szCs w:val="20"/>
          <w:lang w:val="es-MX"/>
        </w:rPr>
        <w:t xml:space="preserve">“Las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pro </w:t>
      </w:r>
      <w:r w:rsidRPr="0045272C">
        <w:rPr>
          <w:rFonts w:ascii="Verdana" w:eastAsia="Calibri" w:hAnsi="Verdana" w:cs="Arial"/>
          <w:sz w:val="20"/>
          <w:szCs w:val="20"/>
          <w:lang w:val="es-MX"/>
        </w:rPr>
        <w:lastRenderedPageBreak/>
        <w:t xml:space="preserve">libertate, sino el de legalidad, el que ordena que la función pública debe someterse estrictamente a lo que disponga la Constitución y la ley (CP art. 6). </w:t>
      </w:r>
    </w:p>
    <w:p w14:paraId="51766952" w14:textId="77777777" w:rsidR="0076699A" w:rsidRPr="0045272C" w:rsidRDefault="0076699A" w:rsidP="0076699A">
      <w:pPr>
        <w:spacing w:after="0" w:line="240" w:lineRule="auto"/>
        <w:ind w:left="709" w:right="709"/>
        <w:jc w:val="both"/>
        <w:rPr>
          <w:rFonts w:ascii="Verdana" w:eastAsia="Calibri" w:hAnsi="Verdana" w:cs="Arial"/>
          <w:sz w:val="20"/>
          <w:szCs w:val="20"/>
          <w:lang w:val="es-MX"/>
        </w:rPr>
      </w:pPr>
      <w:r w:rsidRPr="0045272C">
        <w:rPr>
          <w:rFonts w:ascii="Verdana" w:eastAsia="Calibri" w:hAnsi="Verdana" w:cs="Arial"/>
          <w:sz w:val="20"/>
          <w:szCs w:val="20"/>
          <w:lang w:val="es-MX"/>
        </w:rPr>
        <w:t xml:space="preserve">[…] </w:t>
      </w:r>
    </w:p>
    <w:p w14:paraId="46B35E82" w14:textId="77777777" w:rsidR="0076699A" w:rsidRPr="0045272C" w:rsidRDefault="0076699A" w:rsidP="0076699A">
      <w:pPr>
        <w:spacing w:after="0" w:line="240" w:lineRule="auto"/>
        <w:ind w:left="709" w:right="709"/>
        <w:jc w:val="both"/>
        <w:rPr>
          <w:rFonts w:ascii="Verdana" w:eastAsia="Calibri" w:hAnsi="Verdana" w:cs="Arial"/>
          <w:sz w:val="20"/>
          <w:szCs w:val="20"/>
          <w:lang w:val="es-MX"/>
        </w:rPr>
      </w:pPr>
      <w:r w:rsidRPr="0045272C">
        <w:rPr>
          <w:rFonts w:ascii="Verdana" w:eastAsia="Calibri" w:hAnsi="Verdana" w:cs="Arial"/>
          <w:sz w:val="20"/>
          <w:szCs w:val="20"/>
          <w:lang w:val="es-MX"/>
        </w:rPr>
        <w:t xml:space="preserve">Se comprende con facilidad que el régimen de inhabilidades e </w:t>
      </w:r>
      <w:proofErr w:type="gramStart"/>
      <w:r w:rsidRPr="0045272C">
        <w:rPr>
          <w:rFonts w:ascii="Verdana" w:eastAsia="Calibri" w:hAnsi="Verdana" w:cs="Arial"/>
          <w:sz w:val="20"/>
          <w:szCs w:val="20"/>
          <w:lang w:val="es-MX"/>
        </w:rPr>
        <w:t>incompatibilidades,</w:t>
      </w:r>
      <w:proofErr w:type="gramEnd"/>
      <w:r w:rsidRPr="0045272C">
        <w:rPr>
          <w:rFonts w:ascii="Verdana" w:eastAsia="Calibri" w:hAnsi="Verdana" w:cs="Arial"/>
          <w:sz w:val="20"/>
          <w:szCs w:val="20"/>
          <w:lang w:val="es-MX"/>
        </w:rPr>
        <w:t xml:space="preserve"> corresponde a una materia de normal y obligada inclusión en un estatuto contractual. El legislador, a quien se ha confiado expedir el indicado estatuto, tiene, pues, competencia para establecerlo (CP art. 150)”</w:t>
      </w:r>
      <w:r w:rsidRPr="0045272C">
        <w:rPr>
          <w:rFonts w:ascii="Verdana" w:eastAsia="Calibri" w:hAnsi="Verdana" w:cs="Arial"/>
          <w:sz w:val="20"/>
          <w:szCs w:val="20"/>
          <w:vertAlign w:val="superscript"/>
          <w:lang w:val="es-MX"/>
        </w:rPr>
        <w:footnoteReference w:id="6"/>
      </w:r>
      <w:r w:rsidRPr="0045272C">
        <w:rPr>
          <w:rFonts w:ascii="Verdana" w:eastAsia="Calibri" w:hAnsi="Verdana" w:cs="Arial"/>
          <w:sz w:val="20"/>
          <w:szCs w:val="20"/>
          <w:lang w:val="es-MX"/>
        </w:rPr>
        <w:t>.</w:t>
      </w:r>
    </w:p>
    <w:p w14:paraId="6A3D7465" w14:textId="77777777" w:rsidR="0076699A" w:rsidRPr="0045272C" w:rsidRDefault="0076699A" w:rsidP="0076699A">
      <w:pPr>
        <w:spacing w:after="0" w:line="276" w:lineRule="auto"/>
        <w:ind w:left="709" w:right="709"/>
        <w:jc w:val="both"/>
        <w:rPr>
          <w:rFonts w:ascii="Verdana" w:eastAsia="Calibri" w:hAnsi="Verdana" w:cs="Arial"/>
          <w:sz w:val="20"/>
          <w:szCs w:val="20"/>
          <w:lang w:val="es-MX"/>
        </w:rPr>
      </w:pPr>
    </w:p>
    <w:p w14:paraId="52A7385B" w14:textId="77777777" w:rsidR="0076699A" w:rsidRPr="0060163E" w:rsidRDefault="0076699A" w:rsidP="0076699A">
      <w:pPr>
        <w:spacing w:after="120" w:line="276" w:lineRule="auto"/>
        <w:ind w:firstLine="709"/>
        <w:jc w:val="both"/>
        <w:rPr>
          <w:rFonts w:ascii="Verdana" w:eastAsia="Calibri" w:hAnsi="Verdana" w:cs="Arial"/>
          <w:lang w:val="es-MX"/>
        </w:rPr>
      </w:pPr>
      <w:r w:rsidRPr="0060163E">
        <w:rPr>
          <w:rFonts w:ascii="Verdana" w:eastAsia="Calibri" w:hAnsi="Verdana" w:cs="Arial"/>
          <w:lang w:val="es-MX"/>
        </w:rPr>
        <w:t>Conviene también distinguir las fuentes de las inhabilidades, las cuales han sido clasificadas en dos (2) grupos: i) inhabilidades-sanción y ii) inhabilidades-requisito. En el primer grupo se encuentran las inhabilidades que surgen como consecuencia de un proceso sancionatorio, en los ámbitos penal, disciplinario, contravencional o de pérdida de investidura. En el segundo grupo están aquellas que no devienen de un proceso sancionatorio, sino de condiciones propias de la persona y garantizan la moralidad, la imparcialidad, la eficacia y la transparencia</w:t>
      </w:r>
      <w:r w:rsidRPr="0060163E">
        <w:rPr>
          <w:rFonts w:ascii="Verdana" w:eastAsia="Calibri" w:hAnsi="Verdana" w:cs="Arial"/>
          <w:vertAlign w:val="superscript"/>
          <w:lang w:val="es-MX"/>
        </w:rPr>
        <w:footnoteReference w:id="7"/>
      </w:r>
      <w:r w:rsidRPr="0060163E">
        <w:rPr>
          <w:rFonts w:ascii="Verdana" w:eastAsia="Calibri" w:hAnsi="Verdana" w:cs="Arial"/>
          <w:lang w:val="es-MX"/>
        </w:rPr>
        <w:t>.</w:t>
      </w:r>
    </w:p>
    <w:p w14:paraId="7429E9F3" w14:textId="77777777" w:rsidR="0076699A" w:rsidRPr="0060163E" w:rsidRDefault="0076699A" w:rsidP="0076699A">
      <w:pPr>
        <w:spacing w:before="120" w:after="120" w:line="276" w:lineRule="auto"/>
        <w:ind w:firstLine="708"/>
        <w:jc w:val="both"/>
        <w:rPr>
          <w:rFonts w:ascii="Verdana" w:eastAsia="Calibri" w:hAnsi="Verdana" w:cs="Arial"/>
          <w:lang w:val="es-MX"/>
        </w:rPr>
      </w:pPr>
      <w:r w:rsidRPr="0060163E">
        <w:rPr>
          <w:rFonts w:ascii="Verdana" w:eastAsia="Calibri" w:hAnsi="Verdana" w:cs="Arial"/>
          <w:lang w:val="es-MX"/>
        </w:rPr>
        <w:t>A manera de ejemplo, en materia contractual, los literales c), d) y j) del numeral 1 del artículo 8 de la Ley 80 de 1993</w:t>
      </w:r>
      <w:r w:rsidRPr="0060163E">
        <w:rPr>
          <w:rFonts w:ascii="Verdana" w:eastAsia="Calibri" w:hAnsi="Verdana" w:cs="Arial"/>
          <w:vertAlign w:val="superscript"/>
          <w:lang w:val="es-MX"/>
        </w:rPr>
        <w:footnoteReference w:id="8"/>
      </w:r>
      <w:r w:rsidRPr="0060163E">
        <w:rPr>
          <w:rFonts w:ascii="Verdana" w:eastAsia="Calibri" w:hAnsi="Verdana" w:cs="Arial"/>
          <w:lang w:val="es-MX"/>
        </w:rPr>
        <w:t xml:space="preserve"> establecen inhabilidades-sanción, </w:t>
      </w:r>
      <w:r w:rsidRPr="0060163E">
        <w:rPr>
          <w:rFonts w:ascii="Verdana" w:eastAsia="Calibri" w:hAnsi="Verdana" w:cs="Arial"/>
          <w:lang w:val="es-MX"/>
        </w:rPr>
        <w:lastRenderedPageBreak/>
        <w:t xml:space="preserve">porque la prohibición para contratar con el Estado en esos eventos es una consecuencia de una declaratoria de responsabilidad que surge luego de un proceso sancionatorio –administrativo, disciplinario o penal–; mientras que las inhabilidades de los literales f), g) y h) del numeral 1° de la norma citada </w:t>
      </w:r>
      <w:r w:rsidRPr="0060163E">
        <w:rPr>
          <w:rFonts w:ascii="Verdana" w:eastAsia="Calibri" w:hAnsi="Verdana" w:cs="Arial"/>
          <w:lang w:val="es-MX"/>
        </w:rPr>
        <w:lastRenderedPageBreak/>
        <w:t xml:space="preserve">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p>
    <w:p w14:paraId="070108E4" w14:textId="77777777" w:rsidR="0076699A" w:rsidRPr="0060163E" w:rsidRDefault="0076699A" w:rsidP="0076699A">
      <w:pPr>
        <w:spacing w:before="120" w:after="120" w:line="276" w:lineRule="auto"/>
        <w:ind w:firstLine="709"/>
        <w:jc w:val="both"/>
        <w:rPr>
          <w:rFonts w:ascii="Verdana" w:eastAsia="Calibri" w:hAnsi="Verdana" w:cs="Arial"/>
          <w:lang w:val="es-MX"/>
        </w:rPr>
      </w:pPr>
      <w:r w:rsidRPr="0060163E">
        <w:rPr>
          <w:rFonts w:ascii="Verdana" w:eastAsia="Calibri" w:hAnsi="Verdana" w:cs="Arial"/>
          <w:lang w:val="es-MX"/>
        </w:rPr>
        <w:t xml:space="preserve">En ambos eventos, la inhabilidad tiene como fuente una situación o un hecho propio del proponente –una conducta o una condición– ajena a la oferta. La inhabilidad surge, entre otros, por su grado de parentesco o afinidad, por su condición de servidor público o por una declaratoria de responsabilidad penal, disciplinaria o sancionatoria contractual sobre él. </w:t>
      </w:r>
    </w:p>
    <w:p w14:paraId="4DBEBECF" w14:textId="77777777" w:rsidR="0076699A" w:rsidRPr="0060163E" w:rsidRDefault="0076699A" w:rsidP="0076699A">
      <w:pPr>
        <w:spacing w:before="120" w:after="120" w:line="276" w:lineRule="auto"/>
        <w:ind w:firstLine="709"/>
        <w:jc w:val="both"/>
        <w:rPr>
          <w:rFonts w:ascii="Verdana" w:eastAsia="Calibri" w:hAnsi="Verdana" w:cs="Arial"/>
          <w:lang w:val="es-ES_tradnl"/>
        </w:rPr>
      </w:pPr>
      <w:r w:rsidRPr="0060163E">
        <w:rPr>
          <w:rFonts w:ascii="Verdana" w:eastAsia="Calibri" w:hAnsi="Verdana" w:cs="Arial"/>
          <w:lang w:val="es-ES_tradnl"/>
        </w:rPr>
        <w:t xml:space="preserve">Ahora bien, 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w:t>
      </w:r>
      <w:r w:rsidRPr="0060163E">
        <w:rPr>
          <w:rFonts w:ascii="Verdana" w:eastAsia="Calibri" w:hAnsi="Verdana" w:cs="Arial"/>
          <w:i/>
          <w:iCs/>
          <w:lang w:val="es-ES_tradnl"/>
        </w:rPr>
        <w:t>restrictiva</w:t>
      </w:r>
      <w:r w:rsidRPr="0060163E">
        <w:rPr>
          <w:rFonts w:ascii="Verdana" w:eastAsia="Calibri" w:hAnsi="Verdana" w:cs="Arial"/>
          <w:i/>
          <w:iCs/>
          <w:vertAlign w:val="superscript"/>
          <w:lang w:val="es-ES_tradnl"/>
        </w:rPr>
        <w:footnoteReference w:id="9"/>
      </w:r>
      <w:r w:rsidRPr="0060163E">
        <w:rPr>
          <w:rFonts w:ascii="Verdana" w:eastAsia="Calibri" w:hAnsi="Verdana" w:cs="Arial"/>
          <w:i/>
          <w:iCs/>
          <w:lang w:val="es-ES_tradnl"/>
        </w:rPr>
        <w:t xml:space="preserve">, </w:t>
      </w:r>
      <w:r w:rsidRPr="0060163E">
        <w:rPr>
          <w:rFonts w:ascii="Verdana" w:eastAsia="Calibri" w:hAnsi="Verdana" w:cs="Arial"/>
          <w:lang w:val="es-ES_tradnl"/>
        </w:rPr>
        <w:t xml:space="preserve">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 </w:t>
      </w:r>
    </w:p>
    <w:p w14:paraId="29AAFCF1" w14:textId="77777777" w:rsidR="0076699A" w:rsidRPr="0060163E" w:rsidRDefault="0076699A" w:rsidP="0076699A">
      <w:pPr>
        <w:spacing w:after="120" w:line="276" w:lineRule="auto"/>
        <w:ind w:firstLine="709"/>
        <w:jc w:val="both"/>
        <w:rPr>
          <w:rFonts w:ascii="Verdana" w:eastAsia="Calibri" w:hAnsi="Verdana" w:cs="Arial"/>
          <w:lang w:val="es-ES_tradnl"/>
        </w:rPr>
      </w:pPr>
      <w:r w:rsidRPr="0060163E">
        <w:rPr>
          <w:rFonts w:ascii="Verdana" w:eastAsia="Calibri" w:hAnsi="Verdana" w:cs="Arial"/>
          <w:lang w:val="es-ES_tradnl"/>
        </w:rPr>
        <w:t>En efecto, el máximo tribunal constitucional ha indicado, al tratar de precisar el sentido de este tipo de normas, que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60163E">
        <w:rPr>
          <w:rFonts w:ascii="Verdana" w:eastAsia="Calibri" w:hAnsi="Verdana" w:cs="Arial"/>
          <w:vertAlign w:val="superscript"/>
          <w:lang w:val="es-ES_tradnl"/>
        </w:rPr>
        <w:footnoteReference w:id="10"/>
      </w:r>
      <w:r w:rsidRPr="0060163E">
        <w:rPr>
          <w:rFonts w:ascii="Verdana" w:eastAsia="Calibri" w:hAnsi="Verdana" w:cs="Arial"/>
          <w:lang w:val="es-ES_tradnl"/>
        </w:rPr>
        <w:t xml:space="preserve">. </w:t>
      </w:r>
    </w:p>
    <w:p w14:paraId="1FB6790D" w14:textId="77777777" w:rsidR="0076699A" w:rsidRPr="0060163E" w:rsidRDefault="0076699A" w:rsidP="0076699A">
      <w:pPr>
        <w:spacing w:after="0" w:line="276" w:lineRule="auto"/>
        <w:ind w:firstLine="709"/>
        <w:jc w:val="both"/>
        <w:rPr>
          <w:rFonts w:ascii="Verdana" w:eastAsia="Calibri" w:hAnsi="Verdana" w:cs="Arial"/>
          <w:lang w:val="es-ES_tradnl"/>
        </w:rPr>
      </w:pPr>
      <w:r w:rsidRPr="0060163E">
        <w:rPr>
          <w:rFonts w:ascii="Verdana" w:eastAsia="Calibri" w:hAnsi="Verdana" w:cs="Arial"/>
          <w:lang w:val="es-ES_tradnl"/>
        </w:rPr>
        <w:t xml:space="preserve">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w:t>
      </w:r>
      <w:r w:rsidRPr="0060163E">
        <w:rPr>
          <w:rFonts w:ascii="Verdana" w:eastAsia="Calibri" w:hAnsi="Verdana" w:cs="Arial"/>
          <w:lang w:val="es-ES_tradnl"/>
        </w:rPr>
        <w:lastRenderedPageBreak/>
        <w:t>la Constitución, según el cual “Los particulares sólo son responsables ante las autoridades por infringir la Constitución y las leyes” lo que se traduce en que pueden hacer todo aquello que no les esté expresamente prohibido”</w:t>
      </w:r>
      <w:r w:rsidRPr="0060163E">
        <w:rPr>
          <w:rFonts w:ascii="Verdana" w:eastAsia="Calibri" w:hAnsi="Verdana" w:cs="Arial"/>
          <w:vertAlign w:val="superscript"/>
          <w:lang w:val="es-ES_tradnl"/>
        </w:rPr>
        <w:footnoteReference w:id="11"/>
      </w:r>
      <w:r w:rsidRPr="0060163E">
        <w:rPr>
          <w:rFonts w:ascii="Verdana" w:eastAsia="Calibri" w:hAnsi="Verdana" w:cs="Arial"/>
          <w:lang w:val="es-ES_tradnl"/>
        </w:rPr>
        <w:t>. En tal sentido, la Sección Tercera ha señalado que:</w:t>
      </w:r>
    </w:p>
    <w:p w14:paraId="364EB6D9" w14:textId="77777777" w:rsidR="0076699A" w:rsidRPr="0060163E" w:rsidRDefault="0076699A" w:rsidP="0076699A">
      <w:pPr>
        <w:spacing w:after="0" w:line="276" w:lineRule="auto"/>
        <w:ind w:firstLine="709"/>
        <w:jc w:val="both"/>
        <w:rPr>
          <w:rFonts w:ascii="Verdana" w:eastAsia="Calibri" w:hAnsi="Verdana" w:cs="Arial"/>
          <w:lang w:val="es-ES_tradnl"/>
        </w:rPr>
      </w:pPr>
    </w:p>
    <w:p w14:paraId="04C9757B" w14:textId="77777777" w:rsidR="0076699A" w:rsidRPr="0045272C" w:rsidRDefault="0076699A" w:rsidP="0076699A">
      <w:pPr>
        <w:spacing w:after="0" w:line="240" w:lineRule="auto"/>
        <w:ind w:left="709" w:right="709"/>
        <w:jc w:val="both"/>
        <w:rPr>
          <w:rFonts w:ascii="Verdana" w:eastAsia="Calibri" w:hAnsi="Verdana" w:cs="Arial"/>
          <w:sz w:val="20"/>
          <w:szCs w:val="20"/>
          <w:lang w:val="es-ES_tradnl"/>
        </w:rPr>
      </w:pPr>
      <w:r w:rsidRPr="0045272C">
        <w:rPr>
          <w:rFonts w:ascii="Verdana" w:eastAsia="Calibri" w:hAnsi="Verdana" w:cs="Arial"/>
          <w:sz w:val="20"/>
          <w:szCs w:val="20"/>
          <w:lang w:val="es-ES_tradn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45272C">
        <w:rPr>
          <w:rFonts w:ascii="Verdana" w:eastAsia="Calibri" w:hAnsi="Verdana" w:cs="Arial"/>
          <w:sz w:val="20"/>
          <w:szCs w:val="20"/>
          <w:vertAlign w:val="superscript"/>
          <w:lang w:val="es-ES_tradnl"/>
        </w:rPr>
        <w:footnoteReference w:id="12"/>
      </w:r>
      <w:r w:rsidRPr="0045272C">
        <w:rPr>
          <w:rFonts w:ascii="Verdana" w:eastAsia="Calibri" w:hAnsi="Verdana" w:cs="Arial"/>
          <w:sz w:val="20"/>
          <w:szCs w:val="20"/>
          <w:lang w:val="es-ES_tradnl"/>
        </w:rPr>
        <w:t>.</w:t>
      </w:r>
    </w:p>
    <w:p w14:paraId="3FACB092" w14:textId="77777777" w:rsidR="0076699A" w:rsidRPr="0045272C" w:rsidRDefault="0076699A" w:rsidP="0076699A">
      <w:pPr>
        <w:spacing w:after="0" w:line="240" w:lineRule="auto"/>
        <w:ind w:firstLine="709"/>
        <w:jc w:val="both"/>
        <w:rPr>
          <w:rFonts w:ascii="Verdana" w:eastAsia="Calibri" w:hAnsi="Verdana" w:cs="Arial"/>
          <w:sz w:val="20"/>
          <w:szCs w:val="20"/>
          <w:lang w:val="es-ES_tradnl"/>
        </w:rPr>
      </w:pPr>
    </w:p>
    <w:p w14:paraId="5EFEB66A" w14:textId="77777777" w:rsidR="0076699A" w:rsidRPr="0045272C" w:rsidRDefault="0076699A" w:rsidP="0076699A">
      <w:pPr>
        <w:spacing w:after="0" w:line="240" w:lineRule="auto"/>
        <w:ind w:firstLine="709"/>
        <w:jc w:val="both"/>
        <w:rPr>
          <w:rFonts w:ascii="Verdana" w:eastAsia="Calibri" w:hAnsi="Verdana" w:cs="Arial"/>
          <w:sz w:val="20"/>
          <w:szCs w:val="20"/>
          <w:lang w:val="es-ES_tradnl"/>
        </w:rPr>
      </w:pPr>
      <w:r w:rsidRPr="0045272C">
        <w:rPr>
          <w:rFonts w:ascii="Verdana" w:eastAsia="Calibri" w:hAnsi="Verdana" w:cs="Arial"/>
          <w:sz w:val="20"/>
          <w:szCs w:val="20"/>
          <w:lang w:val="es-ES_tradnl"/>
        </w:rPr>
        <w:t>También ha dicho que:</w:t>
      </w:r>
    </w:p>
    <w:p w14:paraId="6CA8F77E" w14:textId="77777777" w:rsidR="0076699A" w:rsidRPr="0045272C" w:rsidRDefault="0076699A" w:rsidP="0076699A">
      <w:pPr>
        <w:spacing w:after="0" w:line="240" w:lineRule="auto"/>
        <w:ind w:left="709" w:right="616"/>
        <w:jc w:val="both"/>
        <w:rPr>
          <w:rFonts w:ascii="Verdana" w:eastAsia="Calibri" w:hAnsi="Verdana" w:cs="Arial"/>
          <w:sz w:val="20"/>
          <w:szCs w:val="20"/>
          <w:lang w:val="es-ES"/>
        </w:rPr>
      </w:pPr>
      <w:r w:rsidRPr="0045272C">
        <w:rPr>
          <w:rFonts w:ascii="Verdana" w:eastAsia="Calibri" w:hAnsi="Verdana" w:cs="Arial"/>
          <w:sz w:val="20"/>
          <w:szCs w:val="20"/>
          <w:lang w:val="es-ES"/>
        </w:rPr>
        <w:t xml:space="preserve">[…] la aplicación de estos preceptos exige una interpretación restrictiva, dado que según el principio hermenéutico </w:t>
      </w:r>
      <w:r w:rsidRPr="0045272C">
        <w:rPr>
          <w:rFonts w:ascii="Verdana" w:eastAsia="Calibri" w:hAnsi="Verdana" w:cs="Arial"/>
          <w:i/>
          <w:iCs/>
          <w:sz w:val="20"/>
          <w:szCs w:val="20"/>
          <w:lang w:val="es-ES"/>
        </w:rPr>
        <w:t>pro libertate</w:t>
      </w:r>
      <w:r w:rsidRPr="0045272C">
        <w:rPr>
          <w:rFonts w:ascii="Verdana" w:eastAsia="Calibri" w:hAnsi="Verdana" w:cs="Arial"/>
          <w:sz w:val="20"/>
          <w:szCs w:val="20"/>
          <w:lang w:val="es-ES"/>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045272C">
        <w:rPr>
          <w:rFonts w:ascii="Verdana" w:eastAsia="Calibri" w:hAnsi="Verdana" w:cs="Arial"/>
          <w:sz w:val="20"/>
          <w:szCs w:val="20"/>
          <w:vertAlign w:val="superscript"/>
          <w:lang w:val="es-ES"/>
        </w:rPr>
        <w:footnoteReference w:id="13"/>
      </w:r>
      <w:r w:rsidRPr="0045272C">
        <w:rPr>
          <w:rFonts w:ascii="Verdana" w:eastAsia="Calibri" w:hAnsi="Verdana" w:cs="Arial"/>
          <w:sz w:val="20"/>
          <w:szCs w:val="20"/>
          <w:lang w:val="es-ES"/>
        </w:rPr>
        <w:t>.</w:t>
      </w:r>
    </w:p>
    <w:p w14:paraId="292B87B3" w14:textId="77777777" w:rsidR="0076699A" w:rsidRPr="0045272C" w:rsidRDefault="0076699A" w:rsidP="0076699A">
      <w:pPr>
        <w:spacing w:after="0" w:line="276" w:lineRule="auto"/>
        <w:jc w:val="both"/>
        <w:rPr>
          <w:rFonts w:ascii="Verdana" w:eastAsia="Arial" w:hAnsi="Verdana" w:cs="Arial"/>
          <w:color w:val="000000"/>
          <w:sz w:val="20"/>
          <w:szCs w:val="20"/>
          <w:lang w:val="es-ES_tradnl"/>
        </w:rPr>
      </w:pPr>
    </w:p>
    <w:p w14:paraId="0601994D" w14:textId="77777777" w:rsidR="0076699A" w:rsidRPr="0060163E" w:rsidRDefault="0076699A" w:rsidP="0076699A">
      <w:pPr>
        <w:spacing w:after="120" w:line="276" w:lineRule="auto"/>
        <w:ind w:firstLine="708"/>
        <w:jc w:val="both"/>
        <w:rPr>
          <w:rFonts w:ascii="Verdana" w:eastAsia="Calibri" w:hAnsi="Verdana" w:cs="Arial"/>
          <w:color w:val="000000"/>
          <w:lang w:val="es-MX"/>
        </w:rPr>
      </w:pPr>
      <w:r w:rsidRPr="0060163E">
        <w:rPr>
          <w:rFonts w:ascii="Verdana" w:eastAsia="Arial" w:hAnsi="Verdana" w:cs="Arial"/>
          <w:color w:val="000000"/>
          <w:lang w:val="es-ES_tradnl"/>
        </w:rPr>
        <w:t xml:space="preserve">Como se aprecia, el principio </w:t>
      </w:r>
      <w:r w:rsidRPr="0060163E">
        <w:rPr>
          <w:rFonts w:ascii="Verdana" w:eastAsia="Arial" w:hAnsi="Verdana" w:cs="Arial"/>
          <w:i/>
          <w:iCs/>
          <w:color w:val="000000"/>
          <w:lang w:val="es-ES_tradnl"/>
        </w:rPr>
        <w:t>pro libertate</w:t>
      </w:r>
      <w:r w:rsidRPr="0060163E">
        <w:rPr>
          <w:rFonts w:ascii="Verdana" w:eastAsia="Arial" w:hAnsi="Verdana" w:cs="Arial"/>
          <w:color w:val="000000"/>
          <w:lang w:val="es-ES_tradnl"/>
        </w:rPr>
        <w:t xml:space="preserve"> es el que debe dirigir la interpretación de las disposiciones normativas que consagran restricciones de derechos, como sucede con las causales de inhabilidad e incompatibilidad en la contratación estatal. Además, en relación con la determinación de las causales de inhabilidad e incompatibilidad, la</w:t>
      </w:r>
      <w:r w:rsidRPr="0060163E">
        <w:rPr>
          <w:rFonts w:ascii="Verdana" w:eastAsia="Calibri" w:hAnsi="Verdana" w:cs="Arial"/>
          <w:color w:val="000000"/>
          <w:lang w:val="es-MX"/>
        </w:rPr>
        <w:t xml:space="preserve"> Corte Constitucional ha resaltado que la competencia para determinar qué hechos o situaciones generan inhabilidades o incompatibilidades para contratar con el Estado la tiene el legislador, pues este régimen es un aspecto propio del Estatuto General de la Contratación de la Administración Pública, cuya expedición compete al Congreso de la República, </w:t>
      </w:r>
      <w:r w:rsidRPr="0060163E">
        <w:rPr>
          <w:rFonts w:ascii="Verdana" w:eastAsia="Calibri" w:hAnsi="Verdana" w:cs="Arial"/>
          <w:color w:val="000000"/>
          <w:lang w:val="es-MX"/>
        </w:rPr>
        <w:lastRenderedPageBreak/>
        <w:t>conforme al artículo 150 de la Constitución Política, y que en esta materia rige el principio de legalidad</w:t>
      </w:r>
      <w:r w:rsidRPr="0060163E">
        <w:rPr>
          <w:rFonts w:ascii="Verdana" w:eastAsia="Calibri" w:hAnsi="Verdana" w:cs="Arial"/>
          <w:color w:val="000000"/>
          <w:vertAlign w:val="superscript"/>
          <w:lang w:val="es-MX"/>
        </w:rPr>
        <w:footnoteReference w:id="14"/>
      </w:r>
    </w:p>
    <w:p w14:paraId="0662C617" w14:textId="77777777" w:rsidR="0076699A" w:rsidRPr="0060163E" w:rsidRDefault="0076699A" w:rsidP="0076699A">
      <w:pPr>
        <w:spacing w:after="0" w:line="276" w:lineRule="auto"/>
        <w:ind w:firstLine="709"/>
        <w:jc w:val="both"/>
        <w:rPr>
          <w:rFonts w:ascii="Verdana" w:eastAsia="Calibri" w:hAnsi="Verdana" w:cs="Arial"/>
          <w:color w:val="000000"/>
          <w:shd w:val="clear" w:color="auto" w:fill="FFFFFF"/>
          <w:lang w:val="es-MX"/>
        </w:rPr>
      </w:pPr>
      <w:r w:rsidRPr="0060163E">
        <w:rPr>
          <w:rFonts w:ascii="Verdana" w:eastAsia="Calibri" w:hAnsi="Verdana" w:cs="Arial"/>
          <w:shd w:val="clear" w:color="auto" w:fill="FFFFFF"/>
          <w:lang w:val="es-MX"/>
        </w:rPr>
        <w:t>En este sentido, retomando una idea esbozada con anterioridad, la doctrina y la jurisprudencia son pacíficas en considerar que la creación de inhabilidades e incompatibilidades es un asunto con reserva de ley, en tanto, “[…] su previsión y desarrollo es materia exclusiva del legislador (reserva de ley), quien en virtud del principio democrático debe definir y tipificar expresamente sus causas, vigencia, naturaleza y efectos”</w:t>
      </w:r>
      <w:r w:rsidRPr="0060163E">
        <w:rPr>
          <w:rFonts w:ascii="Verdana" w:eastAsia="Calibri" w:hAnsi="Verdana" w:cs="Arial"/>
          <w:shd w:val="clear" w:color="auto" w:fill="FFFFFF"/>
          <w:vertAlign w:val="superscript"/>
          <w:lang w:val="es-MX"/>
        </w:rPr>
        <w:footnoteReference w:id="15"/>
      </w:r>
      <w:r w:rsidRPr="0060163E">
        <w:rPr>
          <w:rFonts w:ascii="Verdana" w:eastAsia="Calibri" w:hAnsi="Verdana" w:cs="Arial"/>
          <w:shd w:val="clear" w:color="auto" w:fill="FFFFFF"/>
          <w:lang w:val="es-MX"/>
        </w:rPr>
        <w:t xml:space="preserve"> En similar sentido, la Sala de Consulta y Servicio Civil del Consejo de Estado expresó </w:t>
      </w:r>
      <w:r w:rsidRPr="0060163E">
        <w:rPr>
          <w:rFonts w:ascii="Verdana" w:eastAsia="Calibri" w:hAnsi="Verdana" w:cs="Arial"/>
          <w:color w:val="000000"/>
          <w:shd w:val="clear" w:color="auto" w:fill="FFFFFF"/>
          <w:lang w:val="es-MX"/>
        </w:rPr>
        <w:t>que “[…] las causales de inhabilidad e incompatibilidad deben estar expresa y taxativamente establecidas en la Constitución o en la ley y son de aplicación e interpretación restrictivas […]”</w:t>
      </w:r>
      <w:r w:rsidRPr="0060163E">
        <w:rPr>
          <w:rFonts w:ascii="Verdana" w:eastAsia="Calibri" w:hAnsi="Verdana" w:cs="Arial"/>
          <w:color w:val="000000"/>
          <w:shd w:val="clear" w:color="auto" w:fill="FFFFFF"/>
          <w:vertAlign w:val="superscript"/>
          <w:lang w:val="es-MX"/>
        </w:rPr>
        <w:footnoteReference w:id="16"/>
      </w:r>
      <w:r w:rsidRPr="0060163E">
        <w:rPr>
          <w:rFonts w:ascii="Verdana" w:eastAsia="Calibri" w:hAnsi="Verdana" w:cs="Arial"/>
          <w:color w:val="000000"/>
          <w:shd w:val="clear" w:color="auto" w:fill="FFFFFF"/>
          <w:lang w:val="es-MX"/>
        </w:rPr>
        <w:t xml:space="preserve">. </w:t>
      </w:r>
      <w:r w:rsidRPr="0060163E">
        <w:rPr>
          <w:rFonts w:ascii="Verdana" w:eastAsia="MS Mincho" w:hAnsi="Verdana" w:cs="Arial"/>
          <w:color w:val="000000"/>
          <w:shd w:val="clear" w:color="auto" w:fill="FFFFFF"/>
          <w:lang w:val="es-MX"/>
        </w:rPr>
        <w:t xml:space="preserve">Como se observa, </w:t>
      </w:r>
      <w:r w:rsidRPr="0060163E">
        <w:rPr>
          <w:rFonts w:ascii="Verdana" w:eastAsia="MS Mincho" w:hAnsi="Verdana" w:cs="Arial"/>
          <w:color w:val="000000"/>
          <w:shd w:val="clear" w:color="auto" w:fill="FFFFFF"/>
        </w:rPr>
        <w:t>existe consenso, incluso como lo ha expresado esta Agencia en ocasiones anteriores, que la creación de inhabilidades o incompatibilidades está reservada al constituyente o al legislador.</w:t>
      </w:r>
    </w:p>
    <w:p w14:paraId="16560CCA" w14:textId="77777777" w:rsidR="0076699A" w:rsidRPr="00FF2FD4" w:rsidRDefault="0076699A" w:rsidP="0076699A">
      <w:pPr>
        <w:spacing w:after="0" w:line="276" w:lineRule="auto"/>
        <w:jc w:val="both"/>
        <w:rPr>
          <w:rFonts w:ascii="Verdana" w:eastAsia="Calibri" w:hAnsi="Verdana" w:cs="Arial"/>
          <w:b/>
          <w:lang w:val="es-ES_tradnl"/>
        </w:rPr>
      </w:pPr>
    </w:p>
    <w:p w14:paraId="7E357034" w14:textId="77777777" w:rsidR="0076699A" w:rsidRPr="00B06AD7" w:rsidRDefault="0076699A" w:rsidP="0076699A">
      <w:pPr>
        <w:pBdr>
          <w:top w:val="nil"/>
          <w:left w:val="nil"/>
          <w:bottom w:val="nil"/>
          <w:right w:val="nil"/>
          <w:between w:val="nil"/>
        </w:pBdr>
        <w:spacing w:after="0" w:line="276" w:lineRule="auto"/>
        <w:jc w:val="both"/>
        <w:rPr>
          <w:rFonts w:ascii="Verdana" w:eastAsia="Calibri" w:hAnsi="Verdana" w:cs="Arial"/>
          <w:lang w:val="es-ES"/>
        </w:rPr>
      </w:pPr>
      <w:r>
        <w:rPr>
          <w:rFonts w:ascii="Verdana" w:eastAsia="Calibri" w:hAnsi="Verdana" w:cs="Arial"/>
          <w:lang w:val="es-ES"/>
        </w:rPr>
        <w:t>ii.</w:t>
      </w:r>
      <w:bookmarkStart w:id="1" w:name="_Hlk213782318"/>
      <w:r w:rsidRPr="00233F79">
        <w:rPr>
          <w:rFonts w:ascii="Verdana" w:eastAsia="Verdana" w:hAnsi="Verdana" w:cs="Verdana"/>
        </w:rPr>
        <w:t xml:space="preserve"> </w:t>
      </w:r>
      <w:r>
        <w:rPr>
          <w:rFonts w:ascii="Verdana" w:eastAsia="Verdana" w:hAnsi="Verdana" w:cs="Verdana"/>
        </w:rPr>
        <w:t xml:space="preserve">Para </w:t>
      </w:r>
      <w:r w:rsidRPr="000B259F">
        <w:rPr>
          <w:rFonts w:ascii="Verdana" w:hAnsi="Verdana"/>
        </w:rPr>
        <w:t xml:space="preserve">resolver el problema jurídico planteado, la declaratoria de responsabilidad fiscal reportada en el Boletín de </w:t>
      </w:r>
      <w:proofErr w:type="gramStart"/>
      <w:r w:rsidRPr="000B259F">
        <w:rPr>
          <w:rFonts w:ascii="Verdana" w:hAnsi="Verdana"/>
        </w:rPr>
        <w:t>Responsables</w:t>
      </w:r>
      <w:proofErr w:type="gramEnd"/>
      <w:r w:rsidRPr="000B259F">
        <w:rPr>
          <w:rFonts w:ascii="Verdana" w:hAnsi="Verdana"/>
        </w:rPr>
        <w:t xml:space="preserve"> Fiscales –SIBOR– causa una inhabilidad para celebrar contratos con el Estado. Lo anterior, con fundamento en el </w:t>
      </w:r>
      <w:r w:rsidRPr="000B259F">
        <w:rPr>
          <w:rFonts w:ascii="Verdana" w:eastAsia="Verdana" w:hAnsi="Verdana" w:cs="Verdana"/>
        </w:rPr>
        <w:t xml:space="preserve">artículo 60 de la Ley 610 de 2000 donde se indica que, </w:t>
      </w:r>
      <w:r w:rsidRPr="000B259F">
        <w:rPr>
          <w:rFonts w:ascii="Verdana" w:eastAsia="Calibri" w:hAnsi="Verdana" w:cs="Arial"/>
          <w:lang w:val="es-ES"/>
        </w:rPr>
        <w:t>“La Contraloría General de la República publicará con periodicidad trimestral un boletín que contendrá los nombres de las personas naturales o jurídicas a quienes se les haya dictado fallo con responsabilidad fiscal en firme y ejecutoriado y no hayan satisfecho la obligación contenida en él”</w:t>
      </w:r>
      <w:r>
        <w:rPr>
          <w:rFonts w:ascii="Verdana" w:eastAsia="Calibri" w:hAnsi="Verdana" w:cs="Arial"/>
          <w:lang w:val="es-ES"/>
        </w:rPr>
        <w:t xml:space="preserve">, este artículo, también hace mención en que </w:t>
      </w:r>
      <w:r w:rsidRPr="000B259F">
        <w:rPr>
          <w:rFonts w:ascii="Verdana" w:eastAsia="Calibri" w:hAnsi="Verdana" w:cs="Arial"/>
          <w:lang w:val="es-ES"/>
        </w:rPr>
        <w:t xml:space="preserve"> “Los representantes legales, así como los nominadores y demás funcionarios competentes, deberán abstenerse de nombrar, dar posesión o celebrar cualquier tipo de contrato con quienes aparezcan en el boletín de responsables</w:t>
      </w:r>
      <w:r>
        <w:rPr>
          <w:rFonts w:ascii="Verdana" w:eastAsia="Calibri" w:hAnsi="Verdana" w:cs="Arial"/>
          <w:lang w:val="es-ES"/>
        </w:rPr>
        <w:t xml:space="preserve">”. </w:t>
      </w:r>
      <w:r w:rsidRPr="000B259F">
        <w:rPr>
          <w:rFonts w:ascii="Verdana" w:eastAsia="Calibri" w:hAnsi="Verdana" w:cs="Arial"/>
          <w:lang w:val="es-ES"/>
        </w:rPr>
        <w:t>El parágrafo primero del artículo 42 de la Ley 1952 de 2019 dispone que:</w:t>
      </w:r>
    </w:p>
    <w:p w14:paraId="631E7E63" w14:textId="77777777" w:rsidR="0076699A" w:rsidRPr="00CE34FB" w:rsidRDefault="0076699A" w:rsidP="0076699A">
      <w:pPr>
        <w:spacing w:after="0" w:line="240" w:lineRule="auto"/>
        <w:jc w:val="both"/>
        <w:rPr>
          <w:rFonts w:ascii="Verdana" w:eastAsia="Verdana" w:hAnsi="Verdana" w:cs="Verdana"/>
          <w:sz w:val="20"/>
          <w:szCs w:val="20"/>
          <w:lang w:val="es-ES"/>
        </w:rPr>
      </w:pPr>
    </w:p>
    <w:p w14:paraId="23E393C7" w14:textId="77777777" w:rsidR="0076699A" w:rsidRDefault="0076699A" w:rsidP="0076699A">
      <w:pPr>
        <w:pBdr>
          <w:top w:val="nil"/>
          <w:left w:val="nil"/>
          <w:bottom w:val="nil"/>
          <w:right w:val="nil"/>
          <w:between w:val="nil"/>
        </w:pBdr>
        <w:spacing w:after="0" w:line="240" w:lineRule="auto"/>
        <w:ind w:left="709" w:right="709"/>
        <w:jc w:val="both"/>
        <w:rPr>
          <w:rFonts w:ascii="Verdana" w:eastAsia="Calibri" w:hAnsi="Verdana" w:cs="Arial"/>
          <w:sz w:val="20"/>
          <w:szCs w:val="20"/>
          <w:lang w:val="es-ES"/>
        </w:rPr>
      </w:pPr>
      <w:r w:rsidRPr="00CE34FB">
        <w:rPr>
          <w:rFonts w:ascii="Verdana" w:eastAsia="Calibri" w:hAnsi="Verdana" w:cs="Arial"/>
          <w:sz w:val="20"/>
          <w:szCs w:val="20"/>
          <w:lang w:val="es-ES_tradnl"/>
        </w:rPr>
        <w:lastRenderedPageBreak/>
        <w:t>“</w:t>
      </w:r>
      <w:r w:rsidRPr="00CE34FB">
        <w:rPr>
          <w:rFonts w:ascii="Verdana" w:eastAsia="Calibri" w:hAnsi="Verdana" w:cs="Arial"/>
          <w:sz w:val="20"/>
          <w:szCs w:val="20"/>
          <w:lang w:val="es-ES"/>
        </w:rPr>
        <w:t xml:space="preserve">Quien haya sido declarado responsable fiscalmente será inhábil para el ejercicio de cargos públicos y para contratar con el Estado durante los cinco (5) años siguientes a la ejecutoria del fallo correspondiente. Esta inhabilidad cesará cuando la Contraloría competente declare haber recibido el pago o, si este no fuere procedente, cuando la Contraloría General de la República excluya al responsable del boletín de responsables fiscales. </w:t>
      </w:r>
    </w:p>
    <w:p w14:paraId="6CA8FDC6" w14:textId="77777777" w:rsidR="0076699A" w:rsidRPr="00CE34FB" w:rsidRDefault="0076699A" w:rsidP="0076699A">
      <w:pPr>
        <w:pBdr>
          <w:top w:val="nil"/>
          <w:left w:val="nil"/>
          <w:bottom w:val="nil"/>
          <w:right w:val="nil"/>
          <w:between w:val="nil"/>
        </w:pBdr>
        <w:spacing w:after="0" w:line="240" w:lineRule="auto"/>
        <w:ind w:left="709" w:right="709"/>
        <w:jc w:val="both"/>
        <w:rPr>
          <w:rFonts w:ascii="Verdana" w:eastAsia="Calibri" w:hAnsi="Verdana" w:cs="Arial"/>
          <w:sz w:val="20"/>
          <w:szCs w:val="20"/>
          <w:lang w:val="es-ES"/>
        </w:rPr>
      </w:pPr>
    </w:p>
    <w:p w14:paraId="2A1C95E2" w14:textId="77777777" w:rsidR="0076699A" w:rsidRPr="00CE34FB" w:rsidRDefault="0076699A" w:rsidP="0076699A">
      <w:pPr>
        <w:pBdr>
          <w:top w:val="nil"/>
          <w:left w:val="nil"/>
          <w:bottom w:val="nil"/>
          <w:right w:val="nil"/>
          <w:between w:val="nil"/>
        </w:pBdr>
        <w:spacing w:after="0" w:line="240" w:lineRule="auto"/>
        <w:ind w:left="709" w:right="709"/>
        <w:jc w:val="both"/>
        <w:rPr>
          <w:rFonts w:ascii="Verdana" w:eastAsia="Calibri" w:hAnsi="Verdana" w:cs="Arial"/>
          <w:sz w:val="20"/>
          <w:szCs w:val="20"/>
          <w:lang w:val="es-ES"/>
        </w:rPr>
      </w:pPr>
      <w:r w:rsidRPr="00CE34FB">
        <w:rPr>
          <w:rFonts w:ascii="Verdana" w:eastAsia="Calibri" w:hAnsi="Verdana" w:cs="Arial"/>
          <w:sz w:val="20"/>
          <w:szCs w:val="20"/>
          <w:lang w:val="es-ES"/>
        </w:rPr>
        <w:t>Si pasados cinco años desde la ejecutoria de la providencia, quien haya sido declarado responsable fiscalmente no hubiere pagado la suma establecida en el fallo ni hubiere sido excluido del boletín de responsables fiscales, continuará siendo inhábil por cinco años si la cuantía, al momento de la declaración de responsabilidad fiscal, fuere superior a 100 salarios mínimos legales mensuales vigentes; por dos años si la cuantía fuere superior a 50 sin exceder de 100 salarios mínimos legales mensuales vigentes; por un año si la cuantía fuere superior a 10 salarios mínimos legales mensuales vigentes sin exceder de 50, y por tres meses si la cuantía fuere igual o inferior a 10 salarios mínimos legales mensuales vigentes”.</w:t>
      </w:r>
    </w:p>
    <w:p w14:paraId="25AEC9CF" w14:textId="77777777" w:rsidR="0076699A" w:rsidRDefault="0076699A" w:rsidP="0076699A">
      <w:pPr>
        <w:spacing w:after="0" w:line="276" w:lineRule="auto"/>
        <w:jc w:val="both"/>
        <w:rPr>
          <w:rFonts w:ascii="Verdana" w:eastAsia="Verdana" w:hAnsi="Verdana" w:cs="Verdana"/>
          <w:lang w:val="es-ES"/>
        </w:rPr>
      </w:pPr>
    </w:p>
    <w:p w14:paraId="3D80C159" w14:textId="77777777" w:rsidR="0076699A" w:rsidRPr="00315E61" w:rsidRDefault="0076699A" w:rsidP="0076699A">
      <w:pPr>
        <w:spacing w:after="120" w:line="276" w:lineRule="auto"/>
        <w:ind w:firstLine="708"/>
        <w:jc w:val="both"/>
        <w:rPr>
          <w:rFonts w:ascii="Verdana" w:eastAsia="Calibri" w:hAnsi="Verdana" w:cs="Arial"/>
        </w:rPr>
      </w:pPr>
      <w:r w:rsidRPr="00315E61">
        <w:rPr>
          <w:rFonts w:ascii="Verdana" w:eastAsia="Calibri" w:hAnsi="Verdana" w:cs="Arial"/>
          <w:bCs/>
        </w:rPr>
        <w:t xml:space="preserve">Del </w:t>
      </w:r>
      <w:r>
        <w:rPr>
          <w:rFonts w:ascii="Verdana" w:eastAsia="Calibri" w:hAnsi="Verdana" w:cs="Arial"/>
          <w:bCs/>
        </w:rPr>
        <w:t xml:space="preserve">primer inciso del </w:t>
      </w:r>
      <w:r w:rsidRPr="00315E61">
        <w:rPr>
          <w:rFonts w:ascii="Verdana" w:eastAsia="Calibri" w:hAnsi="Verdana" w:cs="Arial"/>
          <w:bCs/>
        </w:rPr>
        <w:t xml:space="preserve">parágrafo precitado, se infieren las siguientes </w:t>
      </w:r>
      <w:r>
        <w:rPr>
          <w:rFonts w:ascii="Verdana" w:eastAsia="Calibri" w:hAnsi="Verdana" w:cs="Arial"/>
          <w:bCs/>
        </w:rPr>
        <w:t>sub</w:t>
      </w:r>
      <w:r w:rsidRPr="00315E61">
        <w:rPr>
          <w:rFonts w:ascii="Verdana" w:eastAsia="Calibri" w:hAnsi="Verdana" w:cs="Arial"/>
          <w:bCs/>
        </w:rPr>
        <w:t>reglas: i)</w:t>
      </w:r>
      <w:r>
        <w:rPr>
          <w:rFonts w:ascii="Verdana" w:eastAsia="Calibri" w:hAnsi="Verdana" w:cs="Arial"/>
          <w:b/>
          <w:bCs/>
        </w:rPr>
        <w:t xml:space="preserve"> </w:t>
      </w:r>
      <w:r w:rsidRPr="00315E61">
        <w:rPr>
          <w:rFonts w:ascii="Verdana" w:eastAsia="Calibri" w:hAnsi="Verdana" w:cs="Arial"/>
        </w:rPr>
        <w:t>La norma establece que toda persona natural o jurídica que haya sido declarada responsable fiscalmente, mediante un fallo en firme y debidamente ejecutoriado, qued</w:t>
      </w:r>
      <w:r>
        <w:rPr>
          <w:rFonts w:ascii="Verdana" w:eastAsia="Calibri" w:hAnsi="Verdana" w:cs="Arial"/>
        </w:rPr>
        <w:t>a inhabilitada; ii) e</w:t>
      </w:r>
      <w:r w:rsidRPr="00315E61">
        <w:rPr>
          <w:rFonts w:ascii="Verdana" w:eastAsia="Calibri" w:hAnsi="Verdana" w:cs="Arial"/>
        </w:rPr>
        <w:t>sta inhabilidad ti</w:t>
      </w:r>
      <w:r>
        <w:rPr>
          <w:rFonts w:ascii="Verdana" w:eastAsia="Calibri" w:hAnsi="Verdana" w:cs="Arial"/>
        </w:rPr>
        <w:t>ene dos alcances principales: a) ejercer cargos públicos y b</w:t>
      </w:r>
      <w:r w:rsidRPr="00315E61">
        <w:rPr>
          <w:rFonts w:ascii="Verdana" w:eastAsia="Calibri" w:hAnsi="Verdana" w:cs="Arial"/>
        </w:rPr>
        <w:t>) contratar con el Estado, lo cual incluye tanto la participación en procesos de selección como la cel</w:t>
      </w:r>
      <w:r>
        <w:rPr>
          <w:rFonts w:ascii="Verdana" w:eastAsia="Calibri" w:hAnsi="Verdana" w:cs="Arial"/>
        </w:rPr>
        <w:t>ebración de contratos estatales; iii) l</w:t>
      </w:r>
      <w:r w:rsidRPr="00315E61">
        <w:rPr>
          <w:rFonts w:ascii="Verdana" w:eastAsia="Calibri" w:hAnsi="Verdana" w:cs="Arial"/>
        </w:rPr>
        <w:t>a inhabilidad tiene una duración de cinco (5) años contados a partir de la ejecutoria del f</w:t>
      </w:r>
      <w:r>
        <w:rPr>
          <w:rFonts w:ascii="Verdana" w:eastAsia="Calibri" w:hAnsi="Verdana" w:cs="Arial"/>
        </w:rPr>
        <w:t xml:space="preserve">allo de responsabilidad fiscal; iv) </w:t>
      </w:r>
      <w:r w:rsidRPr="00315E61">
        <w:rPr>
          <w:rFonts w:ascii="Verdana" w:eastAsia="Calibri" w:hAnsi="Verdana" w:cs="Arial"/>
        </w:rPr>
        <w:t>la inhabilidad puede cesar antes del vencimiento del término de cinco años. Esto ocurre cuando la Contraloría competente certifica que el responsable ha efectuado el pago de la obligación derivada del fallo fiscal, es decir, que ha resarcido el dañ</w:t>
      </w:r>
      <w:r>
        <w:rPr>
          <w:rFonts w:ascii="Verdana" w:eastAsia="Calibri" w:hAnsi="Verdana" w:cs="Arial"/>
        </w:rPr>
        <w:t xml:space="preserve">o patrimonial causado al Estado, pero si el pago no es procedente, </w:t>
      </w:r>
      <w:r w:rsidRPr="00315E61">
        <w:rPr>
          <w:rFonts w:ascii="Verdana" w:eastAsia="Calibri" w:hAnsi="Verdana" w:cs="Arial"/>
        </w:rPr>
        <w:t xml:space="preserve">la inhabilidad también puede cesar cuando la Contraloría General de la República excluye al responsable del Boletín de </w:t>
      </w:r>
      <w:proofErr w:type="gramStart"/>
      <w:r w:rsidRPr="00315E61">
        <w:rPr>
          <w:rFonts w:ascii="Verdana" w:eastAsia="Calibri" w:hAnsi="Verdana" w:cs="Arial"/>
        </w:rPr>
        <w:t>Responsables</w:t>
      </w:r>
      <w:proofErr w:type="gramEnd"/>
      <w:r w:rsidRPr="00315E61">
        <w:rPr>
          <w:rFonts w:ascii="Verdana" w:eastAsia="Calibri" w:hAnsi="Verdana" w:cs="Arial"/>
        </w:rPr>
        <w:t xml:space="preserve"> Fiscales. </w:t>
      </w:r>
    </w:p>
    <w:p w14:paraId="0F864130" w14:textId="77777777" w:rsidR="0076699A" w:rsidRPr="004F1EBE" w:rsidRDefault="0076699A" w:rsidP="0076699A">
      <w:pPr>
        <w:spacing w:after="120" w:line="276" w:lineRule="auto"/>
        <w:ind w:firstLine="708"/>
        <w:jc w:val="both"/>
        <w:rPr>
          <w:rFonts w:ascii="Verdana" w:eastAsia="Calibri" w:hAnsi="Verdana" w:cs="Arial"/>
        </w:rPr>
      </w:pPr>
      <w:r>
        <w:rPr>
          <w:rFonts w:ascii="Verdana" w:eastAsia="Calibri" w:hAnsi="Verdana" w:cs="Arial"/>
        </w:rPr>
        <w:t xml:space="preserve">Con respecto al segundo inciso del parágrafo precitado se derivan las siguientes subreglas: i) si </w:t>
      </w:r>
      <w:r w:rsidRPr="004F1EBE">
        <w:rPr>
          <w:rFonts w:ascii="Verdana" w:eastAsia="Calibri" w:hAnsi="Verdana" w:cs="Arial"/>
        </w:rPr>
        <w:t>transcurren cinco (5) años desde la ejecutoria del fallo de responsabilidad fiscal y el responsable no ha pagado la suma impuesta ni ha sido excluido del Boletín de Responsables Fiscale</w:t>
      </w:r>
      <w:r>
        <w:rPr>
          <w:rFonts w:ascii="Verdana" w:eastAsia="Calibri" w:hAnsi="Verdana" w:cs="Arial"/>
        </w:rPr>
        <w:t xml:space="preserve">s, la inhabilidad no desaparece, por el contrario, se prorroga </w:t>
      </w:r>
      <w:r w:rsidRPr="004F1EBE">
        <w:rPr>
          <w:rFonts w:ascii="Verdana" w:eastAsia="Calibri" w:hAnsi="Verdana" w:cs="Arial"/>
        </w:rPr>
        <w:t xml:space="preserve">por un nuevo periodo, cuya duración depende del </w:t>
      </w:r>
      <w:r w:rsidRPr="004F1EBE">
        <w:rPr>
          <w:rFonts w:ascii="Verdana" w:eastAsia="Calibri" w:hAnsi="Verdana" w:cs="Arial"/>
        </w:rPr>
        <w:lastRenderedPageBreak/>
        <w:t>mon</w:t>
      </w:r>
      <w:r>
        <w:rPr>
          <w:rFonts w:ascii="Verdana" w:eastAsia="Calibri" w:hAnsi="Verdana" w:cs="Arial"/>
        </w:rPr>
        <w:t xml:space="preserve">to de la responsabilidad fiscal; ii) se introduce un criterio de proporcionalidad de la duración de la prórroga de la inhabilidad se determine en razón </w:t>
      </w:r>
      <w:r w:rsidRPr="004F1EBE">
        <w:rPr>
          <w:rFonts w:ascii="Verdana" w:eastAsia="Calibri" w:hAnsi="Verdana" w:cs="Arial"/>
        </w:rPr>
        <w:t>del valor del daño patri</w:t>
      </w:r>
      <w:r>
        <w:rPr>
          <w:rFonts w:ascii="Verdana" w:eastAsia="Calibri" w:hAnsi="Verdana" w:cs="Arial"/>
        </w:rPr>
        <w:t xml:space="preserve">monial establecido en el fallo. </w:t>
      </w:r>
      <w:r w:rsidRPr="004F1EBE">
        <w:rPr>
          <w:rFonts w:ascii="Verdana" w:eastAsia="Calibri" w:hAnsi="Verdana" w:cs="Arial"/>
        </w:rPr>
        <w:t xml:space="preserve">A mayor cuantía, mayor será el </w:t>
      </w:r>
      <w:r>
        <w:rPr>
          <w:rFonts w:ascii="Verdana" w:eastAsia="Calibri" w:hAnsi="Verdana" w:cs="Arial"/>
        </w:rPr>
        <w:t>tiempo adicional de inhabilidad: a) l</w:t>
      </w:r>
      <w:r w:rsidRPr="004F1EBE">
        <w:rPr>
          <w:rFonts w:ascii="Verdana" w:eastAsia="Calibri" w:hAnsi="Verdana" w:cs="Arial"/>
        </w:rPr>
        <w:t xml:space="preserve">a inhabilidad se extiende por </w:t>
      </w:r>
      <w:r w:rsidRPr="004F1EBE">
        <w:rPr>
          <w:rFonts w:ascii="Verdana" w:eastAsia="Calibri" w:hAnsi="Verdana" w:cs="Arial"/>
          <w:bCs/>
        </w:rPr>
        <w:t>cinco (5) años adicionales</w:t>
      </w:r>
      <w:r w:rsidRPr="004F1EBE">
        <w:rPr>
          <w:rFonts w:ascii="Verdana" w:eastAsia="Calibri" w:hAnsi="Verdana" w:cs="Arial"/>
        </w:rPr>
        <w:t>, lo que representa la sanción más gravosa y se aplica a los casos de mayor i</w:t>
      </w:r>
      <w:r>
        <w:rPr>
          <w:rFonts w:ascii="Verdana" w:eastAsia="Calibri" w:hAnsi="Verdana" w:cs="Arial"/>
        </w:rPr>
        <w:t>mpacto económico para el Estado; b</w:t>
      </w:r>
      <w:r w:rsidRPr="004F1EBE">
        <w:rPr>
          <w:rFonts w:ascii="Verdana" w:eastAsia="Calibri" w:hAnsi="Verdana" w:cs="Arial"/>
        </w:rPr>
        <w:t xml:space="preserve">) la </w:t>
      </w:r>
      <w:r w:rsidRPr="004F1EBE">
        <w:rPr>
          <w:rFonts w:ascii="Verdana" w:eastAsia="Calibri" w:hAnsi="Verdana" w:cs="Arial"/>
          <w:bCs/>
        </w:rPr>
        <w:t>Cuantía superior a 50 e inferior o igual a 100 SMLMV:</w:t>
      </w:r>
      <w:r>
        <w:rPr>
          <w:rFonts w:ascii="Verdana" w:eastAsia="Calibri" w:hAnsi="Verdana" w:cs="Arial"/>
          <w:bCs/>
        </w:rPr>
        <w:t xml:space="preserve"> </w:t>
      </w:r>
      <w:r>
        <w:rPr>
          <w:rFonts w:ascii="Verdana" w:eastAsia="Calibri" w:hAnsi="Verdana" w:cs="Arial"/>
        </w:rPr>
        <w:t>l</w:t>
      </w:r>
      <w:r w:rsidRPr="004F1EBE">
        <w:rPr>
          <w:rFonts w:ascii="Verdana" w:eastAsia="Calibri" w:hAnsi="Verdana" w:cs="Arial"/>
        </w:rPr>
        <w:t xml:space="preserve">a inhabilidad se prorroga por </w:t>
      </w:r>
      <w:r w:rsidRPr="004F1EBE">
        <w:rPr>
          <w:rFonts w:ascii="Verdana" w:eastAsia="Calibri" w:hAnsi="Verdana" w:cs="Arial"/>
          <w:bCs/>
        </w:rPr>
        <w:t>dos (2) años</w:t>
      </w:r>
      <w:r>
        <w:rPr>
          <w:rFonts w:ascii="Verdana" w:eastAsia="Calibri" w:hAnsi="Verdana" w:cs="Arial"/>
        </w:rPr>
        <w:t xml:space="preserve">; </w:t>
      </w:r>
      <w:r w:rsidRPr="00A14A60">
        <w:rPr>
          <w:rFonts w:ascii="Verdana" w:eastAsia="Calibri" w:hAnsi="Verdana" w:cs="Arial"/>
        </w:rPr>
        <w:t xml:space="preserve">c) </w:t>
      </w:r>
      <w:r w:rsidRPr="00A14A60">
        <w:rPr>
          <w:rFonts w:ascii="Verdana" w:eastAsia="Calibri" w:hAnsi="Verdana" w:cs="Arial"/>
          <w:bCs/>
        </w:rPr>
        <w:t>Cuantía superior a 10 e inferior o igual a 50 SMLMV:</w:t>
      </w:r>
      <w:r>
        <w:rPr>
          <w:rFonts w:ascii="Verdana" w:eastAsia="Calibri" w:hAnsi="Verdana" w:cs="Arial"/>
          <w:bCs/>
        </w:rPr>
        <w:t xml:space="preserve"> </w:t>
      </w:r>
      <w:r>
        <w:rPr>
          <w:rFonts w:ascii="Verdana" w:eastAsia="Calibri" w:hAnsi="Verdana" w:cs="Arial"/>
        </w:rPr>
        <w:t>l</w:t>
      </w:r>
      <w:r w:rsidRPr="00A14A60">
        <w:rPr>
          <w:rFonts w:ascii="Verdana" w:eastAsia="Calibri" w:hAnsi="Verdana" w:cs="Arial"/>
        </w:rPr>
        <w:t xml:space="preserve">a inhabilidad se extiende por </w:t>
      </w:r>
      <w:r w:rsidRPr="00A14A60">
        <w:rPr>
          <w:rFonts w:ascii="Verdana" w:eastAsia="Calibri" w:hAnsi="Verdana" w:cs="Arial"/>
          <w:bCs/>
        </w:rPr>
        <w:t>un (1) año</w:t>
      </w:r>
      <w:r w:rsidRPr="00A14A60">
        <w:rPr>
          <w:rFonts w:ascii="Verdana" w:eastAsia="Calibri" w:hAnsi="Verdana" w:cs="Arial"/>
        </w:rPr>
        <w:t xml:space="preserve"> adicional; d) </w:t>
      </w:r>
      <w:r w:rsidRPr="00A14A60">
        <w:rPr>
          <w:rFonts w:ascii="Verdana" w:eastAsia="Calibri" w:hAnsi="Verdana" w:cs="Arial"/>
          <w:bCs/>
        </w:rPr>
        <w:t xml:space="preserve">Cuantía igual o inferior a 10 SMLMV: </w:t>
      </w:r>
      <w:r>
        <w:rPr>
          <w:rFonts w:ascii="Verdana" w:eastAsia="Calibri" w:hAnsi="Verdana" w:cs="Arial"/>
        </w:rPr>
        <w:t>l</w:t>
      </w:r>
      <w:r w:rsidRPr="00A14A60">
        <w:rPr>
          <w:rFonts w:ascii="Verdana" w:eastAsia="Calibri" w:hAnsi="Verdana" w:cs="Arial"/>
        </w:rPr>
        <w:t xml:space="preserve">a inhabilidad se prorroga por </w:t>
      </w:r>
      <w:r w:rsidRPr="00A14A60">
        <w:rPr>
          <w:rFonts w:ascii="Verdana" w:eastAsia="Calibri" w:hAnsi="Verdana" w:cs="Arial"/>
          <w:bCs/>
        </w:rPr>
        <w:t>tres (3) meses</w:t>
      </w:r>
      <w:r w:rsidRPr="00A14A60">
        <w:rPr>
          <w:rFonts w:ascii="Verdana" w:eastAsia="Calibri" w:hAnsi="Verdana" w:cs="Arial"/>
        </w:rPr>
        <w:t>, siendo esta la extensión mínima prevista por la norma.</w:t>
      </w:r>
    </w:p>
    <w:p w14:paraId="2C7F775A" w14:textId="77777777" w:rsidR="0076699A" w:rsidRDefault="0076699A" w:rsidP="0076699A">
      <w:pPr>
        <w:spacing w:after="120" w:line="276" w:lineRule="auto"/>
        <w:ind w:firstLine="708"/>
        <w:jc w:val="both"/>
        <w:rPr>
          <w:rFonts w:ascii="Verdana" w:eastAsia="Verdana" w:hAnsi="Verdana" w:cs="Verdana"/>
        </w:rPr>
      </w:pPr>
      <w:r w:rsidRPr="006C6FA1">
        <w:rPr>
          <w:rFonts w:ascii="Verdana" w:eastAsia="Verdana" w:hAnsi="Verdana" w:cs="Verdana"/>
        </w:rPr>
        <w:t xml:space="preserve">En ese contexto, la inclusión de una persona natural o jurídica en el Boletín de </w:t>
      </w:r>
      <w:proofErr w:type="gramStart"/>
      <w:r w:rsidRPr="006C6FA1">
        <w:rPr>
          <w:rFonts w:ascii="Verdana" w:eastAsia="Verdana" w:hAnsi="Verdana" w:cs="Verdana"/>
        </w:rPr>
        <w:t>Responsables</w:t>
      </w:r>
      <w:proofErr w:type="gramEnd"/>
      <w:r w:rsidRPr="006C6FA1">
        <w:rPr>
          <w:rFonts w:ascii="Verdana" w:eastAsia="Verdana" w:hAnsi="Verdana" w:cs="Verdana"/>
        </w:rPr>
        <w:t xml:space="preserve"> Fiscales, como consecuencia de un fallo con responsabilidad fiscal en firme y debidamente ejecutoriado, implica la configuración de una inhabilidad legal para contratar con el Estado. Dicha inhabilidad comprende tanto la imposibilidad de participar en procesos de selección como la celebración de contratos con entidades estatales.</w:t>
      </w:r>
      <w:r>
        <w:rPr>
          <w:rFonts w:ascii="Verdana" w:eastAsia="Verdana" w:hAnsi="Verdana" w:cs="Verdana"/>
        </w:rPr>
        <w:t xml:space="preserve"> </w:t>
      </w:r>
      <w:r w:rsidRPr="006C6FA1">
        <w:rPr>
          <w:rFonts w:ascii="Verdana" w:eastAsia="Verdana" w:hAnsi="Verdana" w:cs="Verdana"/>
        </w:rPr>
        <w:t xml:space="preserve">Esta situación debe interpretarse en concordancia con lo dispuesto en la causal a) del numeral 1 del artículo 8 de la Ley 80 de 1993, según la cual no podrán contratar con el Estado “las personas que se hallen inhabilitadas para contratar por la Constitución y las leyes”, lo que </w:t>
      </w:r>
      <w:r>
        <w:rPr>
          <w:rFonts w:ascii="Verdana" w:eastAsia="Verdana" w:hAnsi="Verdana" w:cs="Verdana"/>
        </w:rPr>
        <w:t xml:space="preserve">permite inferir que también se </w:t>
      </w:r>
      <w:r w:rsidRPr="006C6FA1">
        <w:rPr>
          <w:rFonts w:ascii="Verdana" w:eastAsia="Verdana" w:hAnsi="Verdana" w:cs="Verdana"/>
        </w:rPr>
        <w:t>incluye expresamente a quienes se encuentren reportados en el mencionado boletín.</w:t>
      </w:r>
      <w:r>
        <w:rPr>
          <w:rFonts w:ascii="Verdana" w:eastAsia="Verdana" w:hAnsi="Verdana" w:cs="Verdana"/>
        </w:rPr>
        <w:t xml:space="preserve"> </w:t>
      </w:r>
    </w:p>
    <w:p w14:paraId="311271EA" w14:textId="77777777" w:rsidR="0076699A" w:rsidRPr="00FC5392" w:rsidRDefault="0076699A" w:rsidP="0076699A">
      <w:pPr>
        <w:spacing w:after="120" w:line="276" w:lineRule="auto"/>
        <w:ind w:firstLine="709"/>
        <w:jc w:val="both"/>
        <w:rPr>
          <w:rFonts w:ascii="Verdana" w:eastAsia="Verdana" w:hAnsi="Verdana" w:cs="Verdana"/>
          <w:sz w:val="20"/>
          <w:szCs w:val="20"/>
          <w:lang w:val="es-ES_tradnl"/>
        </w:rPr>
      </w:pPr>
      <w:r>
        <w:rPr>
          <w:rFonts w:ascii="Verdana" w:eastAsia="Verdana" w:hAnsi="Verdana" w:cs="Verdana"/>
        </w:rPr>
        <w:t xml:space="preserve">No obstante, debe </w:t>
      </w:r>
      <w:r>
        <w:rPr>
          <w:rFonts w:ascii="Verdana" w:eastAsia="Calibri" w:hAnsi="Verdana" w:cs="Arial"/>
          <w:lang w:val="es-ES_tradnl"/>
        </w:rPr>
        <w:t xml:space="preserve">tenerse en cuenta </w:t>
      </w:r>
      <w:r w:rsidRPr="00A97AB0">
        <w:rPr>
          <w:rFonts w:ascii="Verdana" w:eastAsia="Calibri" w:hAnsi="Verdana" w:cs="Arial"/>
          <w:lang w:val="es-ES_tradnl"/>
        </w:rPr>
        <w:t xml:space="preserve">que la periodicidad de la expedición del boletín de responsables fiscales es trimestral, </w:t>
      </w:r>
      <w:r>
        <w:rPr>
          <w:rFonts w:ascii="Verdana" w:eastAsia="Calibri" w:hAnsi="Verdana" w:cs="Arial"/>
          <w:lang w:val="es-ES_tradnl"/>
        </w:rPr>
        <w:t xml:space="preserve">por lo que no debe afectar </w:t>
      </w:r>
      <w:r w:rsidRPr="00A97AB0">
        <w:rPr>
          <w:rFonts w:ascii="Verdana" w:eastAsia="Calibri" w:hAnsi="Verdana" w:cs="Arial"/>
          <w:lang w:val="es-ES_tradnl"/>
        </w:rPr>
        <w:t xml:space="preserve">la cesación de la inhabilidad, puesto que como se estableció los servidores públicos encargados de posesionar o contratar personas deben consultar a la Contraloría General de la República sobre las futuras inclusiones de “funcionarios o contratistas en el boletín”, en caso de que aún no se haya expedido este. Por tanto, de acuerdo con el parágrafo 1 del artículo 42 de la Ley 1952 de 2019, la inhabilidad de una persona que haya sido declarado responsable fiscalmente cesa cuando la Contraloría correspondiente </w:t>
      </w:r>
      <w:r>
        <w:rPr>
          <w:rFonts w:ascii="Verdana" w:eastAsia="Calibri" w:hAnsi="Verdana" w:cs="Arial"/>
          <w:lang w:val="es-ES_tradnl"/>
        </w:rPr>
        <w:t>declare haber recibido el pago y</w:t>
      </w:r>
      <w:r w:rsidRPr="00A97AB0">
        <w:rPr>
          <w:rFonts w:ascii="Verdana" w:eastAsia="Calibri" w:hAnsi="Verdana" w:cs="Arial"/>
          <w:lang w:val="es-ES_tradnl"/>
        </w:rPr>
        <w:t xml:space="preserve"> lo mismo ocurre cuando no es procedente la realización de un pago, ya que la Contraloría General de la República debe excluir a la persona cuando se cumplen </w:t>
      </w:r>
      <w:r w:rsidRPr="00A97AB0">
        <w:rPr>
          <w:rFonts w:ascii="Verdana" w:eastAsia="Calibri" w:hAnsi="Verdana" w:cs="Arial"/>
          <w:lang w:val="es-ES_tradnl"/>
        </w:rPr>
        <w:lastRenderedPageBreak/>
        <w:t xml:space="preserve">cinco (5) años a partir de la ejecutoria del fallo y cesa la inhabilidad, a pesar de no </w:t>
      </w:r>
      <w:r>
        <w:rPr>
          <w:rFonts w:ascii="Verdana" w:eastAsia="Calibri" w:hAnsi="Verdana" w:cs="Arial"/>
          <w:lang w:val="es-ES_tradnl"/>
        </w:rPr>
        <w:t>haber sido expedido el boletín</w:t>
      </w:r>
      <w:r>
        <w:rPr>
          <w:rStyle w:val="Refdenotaalpie"/>
          <w:rFonts w:ascii="Verdana" w:eastAsia="Calibri" w:hAnsi="Verdana" w:cs="Arial"/>
          <w:lang w:val="es-ES_tradnl"/>
        </w:rPr>
        <w:footnoteReference w:id="17"/>
      </w:r>
      <w:r>
        <w:rPr>
          <w:rFonts w:ascii="Verdana" w:eastAsia="Calibri" w:hAnsi="Verdana" w:cs="Arial"/>
          <w:lang w:val="es-ES_tradnl"/>
        </w:rPr>
        <w:t xml:space="preserve">. </w:t>
      </w:r>
    </w:p>
    <w:p w14:paraId="2BA8FD05" w14:textId="77777777" w:rsidR="0076699A" w:rsidRDefault="0076699A" w:rsidP="0076699A">
      <w:pPr>
        <w:spacing w:after="120" w:line="276" w:lineRule="auto"/>
        <w:jc w:val="both"/>
        <w:rPr>
          <w:rFonts w:ascii="Verdana" w:eastAsia="Calibri" w:hAnsi="Verdana" w:cs="Arial"/>
          <w:lang w:val="es-ES_tradnl"/>
        </w:rPr>
      </w:pPr>
      <w:r w:rsidRPr="00A97AB0">
        <w:rPr>
          <w:rFonts w:ascii="Verdana" w:eastAsia="Calibri" w:hAnsi="Verdana" w:cs="Arial"/>
          <w:lang w:val="es-ES_tradnl"/>
        </w:rPr>
        <w:tab/>
        <w:t xml:space="preserve">Dicha conclusión </w:t>
      </w:r>
      <w:r>
        <w:rPr>
          <w:rFonts w:ascii="Verdana" w:eastAsia="Calibri" w:hAnsi="Verdana" w:cs="Arial"/>
          <w:lang w:val="es-ES_tradnl"/>
        </w:rPr>
        <w:t xml:space="preserve">fue compartida </w:t>
      </w:r>
      <w:r w:rsidRPr="00A97AB0">
        <w:rPr>
          <w:rFonts w:ascii="Verdana" w:eastAsia="Calibri" w:hAnsi="Verdana" w:cs="Arial"/>
          <w:lang w:val="es-ES_tradnl"/>
        </w:rPr>
        <w:t>por el Consejo de Estado en su Sala de Consulta y Servicio Civil</w:t>
      </w:r>
      <w:r>
        <w:rPr>
          <w:rFonts w:ascii="Verdana" w:eastAsia="Calibri" w:hAnsi="Verdana" w:cs="Arial"/>
          <w:lang w:val="es-ES_tradnl"/>
        </w:rPr>
        <w:t xml:space="preserve"> cuando interpretó el alcance del artículo 38 de la Ley 734 de 2002, en el que se </w:t>
      </w:r>
      <w:r w:rsidRPr="00A97AB0">
        <w:rPr>
          <w:rFonts w:ascii="Verdana" w:eastAsia="Calibri" w:hAnsi="Verdana" w:cs="Arial"/>
          <w:lang w:val="es-ES_tradnl"/>
        </w:rPr>
        <w:t>indicó:  “Como los efectos de la cesación son hacia futuro, debe entenderse que cuando la Contraloría competente declara haber recibido el pago o la Contraloría de la República excluye al responsable del boletín de responsables fiscales, la inhabilidad dejará de producir efectos hacia el futuro, y por tanto el sujeto afectado podrá aspirar al ejercicio de posteriores actividade</w:t>
      </w:r>
      <w:r>
        <w:rPr>
          <w:rFonts w:ascii="Verdana" w:eastAsia="Calibri" w:hAnsi="Verdana" w:cs="Arial"/>
          <w:lang w:val="es-ES_tradnl"/>
        </w:rPr>
        <w:t>s referidas al sector público”</w:t>
      </w:r>
      <w:r w:rsidRPr="00A97AB0">
        <w:rPr>
          <w:rStyle w:val="Refdenotaalpie"/>
          <w:rFonts w:ascii="Verdana" w:eastAsia="Calibri" w:hAnsi="Verdana" w:cs="Arial"/>
          <w:lang w:val="es-ES_tradnl"/>
        </w:rPr>
        <w:footnoteReference w:id="18"/>
      </w:r>
      <w:r>
        <w:rPr>
          <w:rFonts w:ascii="Verdana" w:eastAsia="Calibri" w:hAnsi="Verdana" w:cs="Arial"/>
          <w:lang w:val="es-ES_tradnl"/>
        </w:rPr>
        <w:t>.</w:t>
      </w:r>
    </w:p>
    <w:p w14:paraId="0CFF6895" w14:textId="77777777" w:rsidR="0076699A" w:rsidRPr="0022032F" w:rsidRDefault="0076699A" w:rsidP="0076699A">
      <w:pPr>
        <w:spacing w:after="120" w:line="276" w:lineRule="auto"/>
        <w:jc w:val="both"/>
        <w:rPr>
          <w:rFonts w:ascii="Verdana" w:eastAsia="Calibri" w:hAnsi="Verdana" w:cs="Arial"/>
        </w:rPr>
      </w:pPr>
      <w:r>
        <w:rPr>
          <w:rFonts w:ascii="Verdana" w:eastAsia="Calibri" w:hAnsi="Verdana" w:cs="Arial"/>
          <w:lang w:val="es-ES_tradnl"/>
        </w:rPr>
        <w:tab/>
      </w:r>
      <w:r w:rsidRPr="0022032F">
        <w:rPr>
          <w:rFonts w:ascii="Verdana" w:eastAsia="Calibri" w:hAnsi="Verdana" w:cs="Arial"/>
        </w:rPr>
        <w:t xml:space="preserve">En referencia </w:t>
      </w:r>
      <w:r>
        <w:rPr>
          <w:rFonts w:ascii="Verdana" w:eastAsia="Calibri" w:hAnsi="Verdana" w:cs="Arial"/>
        </w:rPr>
        <w:t xml:space="preserve">a </w:t>
      </w:r>
      <w:r w:rsidRPr="0022032F">
        <w:rPr>
          <w:rFonts w:ascii="Verdana" w:eastAsia="Calibri" w:hAnsi="Verdana" w:cs="Arial"/>
        </w:rPr>
        <w:t xml:space="preserve">la inhabilidad prevista en el literal b) del numeral 1 del artículo 8 de la Ley 80 de 1993 —“b) Quienes participaron en las licitaciones o concursos o celebraron los contratos de que trata el literal anterior estando inhabilitados”— requiere una interpretación sistemática con las reglas que determinan sus efectos y duración. En particular, dichos efectos se encuentran desarrollados en un aparte del inciso segundo del literal i) del mismo numeral y artículo. En efecto, esta disposición establece que: “[…] las previstas en los literales b) y e), se extenderán por un término de cinco (5) años contado a partir de la fecha de ocurrencia del hecho de la participación en la licitación o concurso, o de la de celebración del contrato, o de la de expiración del plazo para su firma”. En este sentido, el punto de partida para el cómputo del término no es la declaratoria posterior de la inhabilidad, sino la fecha misma de la conducta irregular. Esto incluye, según el caso, la participación en el proceso de selección —entendida como la presentación de la oferta o la celebración del contrato si de </w:t>
      </w:r>
      <w:r w:rsidRPr="0022032F">
        <w:rPr>
          <w:rFonts w:ascii="Verdana" w:eastAsia="Calibri" w:hAnsi="Verdana" w:cs="Arial"/>
        </w:rPr>
        <w:lastRenderedPageBreak/>
        <w:t xml:space="preserve">adelantó mediante un proceso no competitivo o de la expiración del plazo para su firma—. </w:t>
      </w:r>
    </w:p>
    <w:p w14:paraId="3D5BE5B5" w14:textId="77777777" w:rsidR="0076699A" w:rsidRDefault="0076699A" w:rsidP="0076699A">
      <w:pPr>
        <w:spacing w:after="0" w:line="276" w:lineRule="auto"/>
        <w:ind w:firstLine="709"/>
        <w:jc w:val="both"/>
        <w:rPr>
          <w:rFonts w:ascii="Verdana" w:eastAsia="Times New Roman" w:hAnsi="Verdana" w:cs="Arial"/>
          <w:color w:val="000000"/>
          <w:lang w:eastAsia="es-ES"/>
        </w:rPr>
      </w:pPr>
      <w:r w:rsidRPr="00CB75F7">
        <w:rPr>
          <w:rFonts w:ascii="Verdana" w:eastAsia="Times New Roman" w:hAnsi="Verdana" w:cs="Arial"/>
          <w:color w:val="000000"/>
          <w:lang w:eastAsia="es-ES"/>
        </w:rPr>
        <w:t>De esta manera, se trata de una inhabilidad autónoma e independiente de aquella que inicialmente afectaba al sujeto, lo que implica que su término de duración no se acumula ni se superpone con el de la inhabilidad originaria, sino que se cuenta de forma separada.</w:t>
      </w:r>
      <w:r>
        <w:rPr>
          <w:rFonts w:ascii="Verdana" w:eastAsia="Times New Roman" w:hAnsi="Verdana" w:cs="Arial"/>
          <w:color w:val="000000"/>
          <w:lang w:eastAsia="es-ES"/>
        </w:rPr>
        <w:t xml:space="preserve"> Por tanto</w:t>
      </w:r>
      <w:r w:rsidRPr="00CB75F7">
        <w:rPr>
          <w:rFonts w:ascii="Verdana" w:eastAsia="Times New Roman" w:hAnsi="Verdana" w:cs="Arial"/>
          <w:color w:val="000000"/>
          <w:lang w:eastAsia="es-ES"/>
        </w:rPr>
        <w:t xml:space="preserve">, desde la ocurrencia del hecho de participación estando inhabilitado, se configura un nuevo periodo de inhabilidad de cinco (5) años, aplicable de manera directa y con efectos propios en </w:t>
      </w:r>
      <w:r>
        <w:rPr>
          <w:rFonts w:ascii="Verdana" w:eastAsia="Times New Roman" w:hAnsi="Verdana" w:cs="Arial"/>
          <w:color w:val="000000"/>
          <w:lang w:eastAsia="es-ES"/>
        </w:rPr>
        <w:t xml:space="preserve">el sistema de compras públicas. Al respecto, la doctrina expresa: </w:t>
      </w:r>
    </w:p>
    <w:p w14:paraId="098838D5" w14:textId="77777777" w:rsidR="0076699A" w:rsidRPr="007710C9" w:rsidRDefault="0076699A" w:rsidP="0076699A">
      <w:pPr>
        <w:spacing w:after="0" w:line="276" w:lineRule="auto"/>
        <w:ind w:firstLine="709"/>
        <w:jc w:val="both"/>
        <w:rPr>
          <w:rFonts w:ascii="Verdana" w:hAnsi="Verdana" w:cs="Arial"/>
          <w:color w:val="000000"/>
          <w:lang w:eastAsia="es-ES"/>
        </w:rPr>
      </w:pPr>
    </w:p>
    <w:p w14:paraId="49F90252" w14:textId="77777777" w:rsidR="0076699A" w:rsidRDefault="0076699A" w:rsidP="0076699A">
      <w:pPr>
        <w:spacing w:after="0" w:line="240" w:lineRule="auto"/>
        <w:ind w:left="709" w:right="709"/>
        <w:jc w:val="both"/>
        <w:rPr>
          <w:rFonts w:ascii="Verdana" w:eastAsia="Calibri" w:hAnsi="Verdana" w:cs="Arial"/>
          <w:sz w:val="20"/>
        </w:rPr>
      </w:pPr>
      <w:r w:rsidRPr="007710C9">
        <w:rPr>
          <w:rFonts w:ascii="Verdana" w:eastAsia="Calibri" w:hAnsi="Verdana" w:cs="Arial"/>
          <w:sz w:val="20"/>
        </w:rPr>
        <w:t xml:space="preserve">Se trata de una circunstancia imputable al licitante, concursante o contratista </w:t>
      </w:r>
      <w:proofErr w:type="gramStart"/>
      <w:r w:rsidRPr="007710C9">
        <w:rPr>
          <w:rFonts w:ascii="Verdana" w:eastAsia="Calibri" w:hAnsi="Verdana" w:cs="Arial"/>
          <w:sz w:val="20"/>
        </w:rPr>
        <w:t>quien</w:t>
      </w:r>
      <w:proofErr w:type="gramEnd"/>
      <w:r w:rsidRPr="007710C9">
        <w:rPr>
          <w:rFonts w:ascii="Verdana" w:eastAsia="Calibri" w:hAnsi="Verdana" w:cs="Arial"/>
          <w:sz w:val="20"/>
        </w:rPr>
        <w:t xml:space="preserve"> estando incurso en inhabilidades o incompatibilidades, participó en un proceso de selección o celebró un contrato estatal. La nueva inhabilidad que se genera se extiende por el termino de cinco (5) años, contado a partir de la fecha de ocurrencia del hecho de la participación en el proceso de selección, o de la celebración (perfeccionamiento) del contrato, sin perjuicio de la responsabilidad penal que se deriva</w:t>
      </w:r>
      <w:r>
        <w:rPr>
          <w:rFonts w:ascii="Verdana" w:eastAsia="Calibri" w:hAnsi="Verdana" w:cs="Arial"/>
          <w:sz w:val="20"/>
        </w:rPr>
        <w:t xml:space="preserve"> </w:t>
      </w:r>
      <w:r w:rsidRPr="007710C9">
        <w:rPr>
          <w:rFonts w:ascii="Verdana" w:eastAsia="Calibri" w:hAnsi="Verdana" w:cs="Arial"/>
          <w:sz w:val="20"/>
        </w:rPr>
        <w:t>por declarar falsamente bajo juramento</w:t>
      </w:r>
      <w:r>
        <w:rPr>
          <w:rStyle w:val="Refdenotaalpie"/>
          <w:rFonts w:ascii="Verdana" w:eastAsia="Calibri" w:hAnsi="Verdana" w:cs="Arial"/>
          <w:sz w:val="20"/>
        </w:rPr>
        <w:footnoteReference w:id="19"/>
      </w:r>
      <w:r w:rsidRPr="007710C9">
        <w:rPr>
          <w:rFonts w:ascii="Verdana" w:eastAsia="Calibri" w:hAnsi="Verdana" w:cs="Arial"/>
          <w:sz w:val="20"/>
        </w:rPr>
        <w:t>.</w:t>
      </w:r>
    </w:p>
    <w:p w14:paraId="70DACD71" w14:textId="77777777" w:rsidR="0076699A" w:rsidRPr="007710C9" w:rsidRDefault="0076699A" w:rsidP="0076699A">
      <w:pPr>
        <w:spacing w:after="0" w:line="240" w:lineRule="auto"/>
        <w:ind w:left="709" w:right="709"/>
        <w:jc w:val="both"/>
        <w:rPr>
          <w:rFonts w:ascii="Verdana" w:eastAsia="Calibri" w:hAnsi="Verdana" w:cs="Arial"/>
          <w:sz w:val="20"/>
        </w:rPr>
      </w:pPr>
    </w:p>
    <w:p w14:paraId="15085719" w14:textId="77777777" w:rsidR="0076699A" w:rsidRDefault="0076699A" w:rsidP="0076699A">
      <w:pPr>
        <w:spacing w:line="276" w:lineRule="auto"/>
        <w:jc w:val="both"/>
        <w:rPr>
          <w:rFonts w:ascii="Verdana" w:eastAsia="Calibri" w:hAnsi="Verdana" w:cs="Arial"/>
        </w:rPr>
      </w:pPr>
      <w:r>
        <w:rPr>
          <w:rFonts w:ascii="Verdana" w:eastAsia="Calibri" w:hAnsi="Verdana" w:cs="Arial"/>
          <w:lang w:val="es-ES_tradnl"/>
        </w:rPr>
        <w:tab/>
        <w:t xml:space="preserve">Ante este tipo de eventos, </w:t>
      </w:r>
      <w:r>
        <w:rPr>
          <w:rFonts w:ascii="Verdana" w:eastAsia="Calibri" w:hAnsi="Verdana" w:cs="Arial"/>
        </w:rPr>
        <w:t>e</w:t>
      </w:r>
      <w:r w:rsidRPr="0063634F">
        <w:rPr>
          <w:rFonts w:ascii="Verdana" w:eastAsia="Calibri" w:hAnsi="Verdana" w:cs="Arial"/>
        </w:rPr>
        <w:t>l numeral 7 del artículo 26 de la Ley 80 de 1993 consagra el principio de responsabilidad de los contratistas, estableciendo que estos deben responder cuando, al momento de contratar con el Estado, oculten la existencia de inhabilidades, incompatibilidades o prohibiciones, o suministren información falsa</w:t>
      </w:r>
      <w:r>
        <w:rPr>
          <w:rStyle w:val="Refdenotaalpie"/>
          <w:rFonts w:ascii="Verdana" w:eastAsia="Calibri" w:hAnsi="Verdana" w:cs="Arial"/>
        </w:rPr>
        <w:footnoteReference w:id="20"/>
      </w:r>
      <w:r w:rsidRPr="0063634F">
        <w:rPr>
          <w:rFonts w:ascii="Verdana" w:eastAsia="Calibri" w:hAnsi="Verdana" w:cs="Arial"/>
        </w:rPr>
        <w:t>. En es</w:t>
      </w:r>
      <w:r>
        <w:rPr>
          <w:rFonts w:ascii="Verdana" w:eastAsia="Calibri" w:hAnsi="Verdana" w:cs="Arial"/>
        </w:rPr>
        <w:t>t</w:t>
      </w:r>
      <w:r w:rsidRPr="0063634F">
        <w:rPr>
          <w:rFonts w:ascii="Verdana" w:eastAsia="Calibri" w:hAnsi="Verdana" w:cs="Arial"/>
        </w:rPr>
        <w:t xml:space="preserve">a norma impone un deber de transparencia y veracidad en la etapa precontractual, de modo que el contratista está obligado a revelar cualquier circunstancia que pueda afectar su capacidad jurídica para contratar. </w:t>
      </w:r>
    </w:p>
    <w:p w14:paraId="7C02150C" w14:textId="77777777" w:rsidR="0076699A" w:rsidRPr="0063634F" w:rsidRDefault="0076699A" w:rsidP="0076699A">
      <w:pPr>
        <w:spacing w:after="0" w:line="276" w:lineRule="auto"/>
        <w:ind w:firstLine="709"/>
        <w:jc w:val="both"/>
        <w:rPr>
          <w:rFonts w:ascii="Verdana" w:eastAsia="Calibri" w:hAnsi="Verdana" w:cs="Arial"/>
        </w:rPr>
      </w:pPr>
      <w:r w:rsidRPr="0060163E">
        <w:rPr>
          <w:rFonts w:ascii="Verdana" w:eastAsia="Calibri" w:hAnsi="Verdana" w:cs="Arial"/>
          <w:lang w:val="es-ES_tradnl"/>
        </w:rPr>
        <w:t>Ahor</w:t>
      </w:r>
      <w:r>
        <w:rPr>
          <w:rFonts w:ascii="Verdana" w:eastAsia="Calibri" w:hAnsi="Verdana" w:cs="Arial"/>
          <w:lang w:val="es-ES_tradnl"/>
        </w:rPr>
        <w:t>a bien, frente a estas inhabilidades no será posible participar</w:t>
      </w:r>
      <w:r>
        <w:rPr>
          <w:rStyle w:val="Refdenotaalpie"/>
          <w:rFonts w:ascii="Verdana" w:eastAsia="Calibri" w:hAnsi="Verdana" w:cs="Arial"/>
          <w:lang w:val="es-ES_tradnl"/>
        </w:rPr>
        <w:footnoteReference w:id="21"/>
      </w:r>
      <w:r>
        <w:rPr>
          <w:rFonts w:ascii="Verdana" w:eastAsia="Calibri" w:hAnsi="Verdana" w:cs="Arial"/>
          <w:lang w:val="es-ES_tradnl"/>
        </w:rPr>
        <w:t xml:space="preserve"> ni mucho menos ejecutar el contrato,</w:t>
      </w:r>
      <w:r w:rsidRPr="0060163E">
        <w:rPr>
          <w:rFonts w:ascii="Verdana" w:eastAsia="Calibri" w:hAnsi="Verdana" w:cs="Arial"/>
          <w:lang w:val="es-ES_tradnl"/>
        </w:rPr>
        <w:t xml:space="preserve"> porque se trata de una etapa posterior a su</w:t>
      </w:r>
      <w:r>
        <w:rPr>
          <w:rFonts w:ascii="Verdana" w:eastAsia="Calibri" w:hAnsi="Verdana" w:cs="Arial"/>
          <w:lang w:val="es-ES_tradnl"/>
        </w:rPr>
        <w:t xml:space="preserve"> “celebración” o “suscripción”. En consecuencia, </w:t>
      </w:r>
      <w:r w:rsidRPr="0060163E">
        <w:rPr>
          <w:rFonts w:ascii="Verdana" w:eastAsia="Calibri" w:hAnsi="Verdana" w:cs="Arial"/>
          <w:lang w:val="es-ES_tradnl"/>
        </w:rPr>
        <w:t xml:space="preserve">es aplicable lo dispuesto en el </w:t>
      </w:r>
      <w:r>
        <w:rPr>
          <w:rFonts w:ascii="Verdana" w:eastAsia="Calibri" w:hAnsi="Verdana" w:cs="Arial"/>
          <w:lang w:val="es-ES_tradnl"/>
        </w:rPr>
        <w:lastRenderedPageBreak/>
        <w:t xml:space="preserve">inciso primero del </w:t>
      </w:r>
      <w:r w:rsidRPr="0060163E">
        <w:rPr>
          <w:rFonts w:ascii="Verdana" w:eastAsia="Calibri" w:hAnsi="Verdana" w:cs="Arial"/>
          <w:lang w:val="es-ES_tradnl"/>
        </w:rPr>
        <w:t>artículo 9 de la Ley 80 de 1993, cuyo tenor literal dispone:</w:t>
      </w:r>
      <w:r w:rsidRPr="00304578">
        <w:rPr>
          <w:rFonts w:ascii="Verdana" w:hAnsi="Verdana" w:cs="Arial"/>
          <w:color w:val="000000" w:themeColor="text1"/>
        </w:rPr>
        <w:t xml:space="preserve"> </w:t>
      </w:r>
      <w:r w:rsidRPr="00304578">
        <w:rPr>
          <w:rFonts w:ascii="Verdana" w:eastAsia="Calibri" w:hAnsi="Verdana" w:cs="Arial"/>
        </w:rPr>
        <w:t xml:space="preserve">“Si llegare a sobrevenir inhabilidad o incompatibilidad en el contratista, este cederá el contrato previa autorización escrita de la entidad contratante o, si ello no fuere posible, renunciará a su ejecución”. El inciso tercero </w:t>
      </w:r>
      <w:r w:rsidRPr="00304578">
        <w:rPr>
          <w:rFonts w:ascii="Verdana" w:eastAsia="Calibri" w:hAnsi="Verdana" w:cs="Arial"/>
          <w:i/>
          <w:iCs/>
        </w:rPr>
        <w:t>ibidem</w:t>
      </w:r>
      <w:r w:rsidRPr="00304578">
        <w:rPr>
          <w:rFonts w:ascii="Verdana" w:eastAsia="Calibri" w:hAnsi="Verdana" w:cs="Arial"/>
        </w:rPr>
        <w:t xml:space="preserve"> agrega lo siguiente: “Si la inhabilidad o incompatibilidad sobreviene en uno de los miembros de un consorcio o unión temporal, este cederá su participación a un tercero previa autorización escrita de la entidad contratante. En ningún caso podrá haber cesión del contrato entre quienes integran el consorcio o unión temporal”.</w:t>
      </w:r>
    </w:p>
    <w:bookmarkEnd w:id="1"/>
    <w:p w14:paraId="76EE6BAF" w14:textId="77777777" w:rsidR="0076699A" w:rsidRPr="0023251A" w:rsidRDefault="0076699A" w:rsidP="0076699A">
      <w:pPr>
        <w:spacing w:after="0" w:line="276" w:lineRule="auto"/>
        <w:jc w:val="both"/>
        <w:rPr>
          <w:rFonts w:ascii="Verdana" w:eastAsia="Times New Roman" w:hAnsi="Verdana" w:cs="Arial"/>
          <w:color w:val="000000"/>
          <w:lang w:val="es-ES" w:eastAsia="es-ES"/>
        </w:rPr>
      </w:pPr>
    </w:p>
    <w:p w14:paraId="33A6225E" w14:textId="77777777" w:rsidR="0076699A" w:rsidRPr="00DB2A80" w:rsidRDefault="0076699A" w:rsidP="0076699A">
      <w:pPr>
        <w:spacing w:after="120" w:line="276" w:lineRule="auto"/>
        <w:jc w:val="both"/>
        <w:rPr>
          <w:rFonts w:ascii="Verdana" w:hAnsi="Verdana"/>
        </w:rPr>
      </w:pPr>
      <w:r>
        <w:rPr>
          <w:rFonts w:ascii="Verdana" w:eastAsia="Arial" w:hAnsi="Verdana" w:cs="Arial"/>
          <w:lang w:val="es-ES_tradnl"/>
        </w:rPr>
        <w:t xml:space="preserve">iii. </w:t>
      </w:r>
      <w:r w:rsidRPr="00DB2A80">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7814B7D" w14:textId="77777777" w:rsidR="0076699A" w:rsidRPr="00DB2A80" w:rsidRDefault="0076699A" w:rsidP="0076699A">
      <w:pPr>
        <w:spacing w:after="0" w:line="276" w:lineRule="auto"/>
        <w:ind w:firstLine="708"/>
        <w:jc w:val="both"/>
        <w:rPr>
          <w:rFonts w:ascii="Verdana" w:eastAsia="Calibri" w:hAnsi="Verdana" w:cs="Arial"/>
          <w:bCs/>
          <w:color w:val="000000" w:themeColor="text1"/>
        </w:rPr>
      </w:pPr>
      <w:r w:rsidRPr="00DB2A80">
        <w:rPr>
          <w:rFonts w:ascii="Verdana" w:eastAsia="Calibri" w:hAnsi="Verdana" w:cs="Arial"/>
          <w:bCs/>
          <w:color w:val="000000" w:themeColor="text1"/>
        </w:rPr>
        <w:t xml:space="preserve">Dentro de este marco, </w:t>
      </w:r>
      <w:r>
        <w:rPr>
          <w:rFonts w:ascii="Verdana" w:eastAsia="Calibri" w:hAnsi="Verdana" w:cs="Arial"/>
          <w:bCs/>
          <w:color w:val="000000" w:themeColor="text1"/>
        </w:rPr>
        <w:t xml:space="preserve">el consultante </w:t>
      </w:r>
      <w:r w:rsidRPr="00DB2A80">
        <w:rPr>
          <w:rFonts w:ascii="Verdana" w:eastAsia="Calibri" w:hAnsi="Verdana" w:cs="Arial"/>
          <w:bCs/>
          <w:color w:val="000000" w:themeColor="text1"/>
        </w:rPr>
        <w:t xml:space="preserve">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0639BE00" w14:textId="77777777" w:rsidR="0076699A" w:rsidRPr="00DB2A80" w:rsidRDefault="0076699A" w:rsidP="0076699A">
      <w:pPr>
        <w:spacing w:after="0" w:line="276" w:lineRule="auto"/>
        <w:jc w:val="both"/>
        <w:rPr>
          <w:rFonts w:ascii="Verdana" w:eastAsia="Arial" w:hAnsi="Verdana" w:cs="Arial"/>
        </w:rPr>
      </w:pPr>
    </w:p>
    <w:p w14:paraId="703AB354" w14:textId="77777777" w:rsidR="0076699A" w:rsidRPr="0060163E" w:rsidRDefault="0076699A" w:rsidP="0076699A">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IV. </w:t>
      </w:r>
      <w:r w:rsidRPr="0060163E">
        <w:rPr>
          <w:rFonts w:ascii="Verdana" w:eastAsia="Calibri" w:hAnsi="Verdana" w:cs="Times New Roman"/>
          <w:b/>
          <w:bCs/>
          <w:lang w:val="es-ES"/>
        </w:rPr>
        <w:t>Referencias normativas, jurisprudenciales y otras fuentes:</w:t>
      </w:r>
    </w:p>
    <w:p w14:paraId="16FE999A" w14:textId="77777777" w:rsidR="0076699A" w:rsidRPr="0060163E" w:rsidRDefault="0076699A" w:rsidP="0076699A">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6699A" w:rsidRPr="0060163E" w14:paraId="3E19D4B2" w14:textId="77777777" w:rsidTr="00EA72AC">
        <w:trPr>
          <w:trHeight w:val="487"/>
          <w:jc w:val="center"/>
        </w:trPr>
        <w:tc>
          <w:tcPr>
            <w:tcW w:w="8647" w:type="dxa"/>
          </w:tcPr>
          <w:p w14:paraId="405754A1" w14:textId="77777777" w:rsidR="0076699A" w:rsidRDefault="0076699A" w:rsidP="0076699A">
            <w:pPr>
              <w:numPr>
                <w:ilvl w:val="0"/>
                <w:numId w:val="19"/>
              </w:numPr>
              <w:spacing w:before="120" w:after="120" w:line="276" w:lineRule="auto"/>
              <w:ind w:left="567" w:hanging="357"/>
              <w:jc w:val="both"/>
              <w:rPr>
                <w:rFonts w:ascii="Verdana" w:hAnsi="Verdana" w:cs="Arial"/>
                <w:lang w:val="es-ES"/>
              </w:rPr>
            </w:pPr>
            <w:r>
              <w:rPr>
                <w:rFonts w:ascii="Verdana" w:hAnsi="Verdana" w:cs="Arial"/>
                <w:lang w:val="es-ES"/>
              </w:rPr>
              <w:t xml:space="preserve">Ley 80 de 1993, artículos 8, 9 y 26. </w:t>
            </w:r>
          </w:p>
          <w:p w14:paraId="71567A5A" w14:textId="77777777" w:rsidR="0076699A" w:rsidRDefault="0076699A" w:rsidP="0076699A">
            <w:pPr>
              <w:numPr>
                <w:ilvl w:val="0"/>
                <w:numId w:val="19"/>
              </w:numPr>
              <w:spacing w:before="120" w:after="120" w:line="276" w:lineRule="auto"/>
              <w:ind w:left="567" w:hanging="357"/>
              <w:jc w:val="both"/>
              <w:rPr>
                <w:rFonts w:ascii="Verdana" w:hAnsi="Verdana" w:cs="Arial"/>
                <w:lang w:val="es-ES"/>
              </w:rPr>
            </w:pPr>
            <w:r>
              <w:rPr>
                <w:rFonts w:ascii="Verdana" w:hAnsi="Verdana" w:cs="Arial"/>
                <w:lang w:val="es-ES"/>
              </w:rPr>
              <w:t>Ley 610 de 2000, artículo 60.</w:t>
            </w:r>
          </w:p>
          <w:p w14:paraId="1DA0D50B" w14:textId="77777777" w:rsidR="0076699A" w:rsidRPr="0086382A" w:rsidRDefault="0076699A" w:rsidP="0076699A">
            <w:pPr>
              <w:numPr>
                <w:ilvl w:val="0"/>
                <w:numId w:val="19"/>
              </w:numPr>
              <w:spacing w:before="120" w:after="120" w:line="276" w:lineRule="auto"/>
              <w:ind w:left="567"/>
              <w:jc w:val="both"/>
              <w:rPr>
                <w:rFonts w:ascii="Verdana" w:hAnsi="Verdana" w:cs="Arial"/>
                <w:lang w:val="es-ES"/>
              </w:rPr>
            </w:pPr>
            <w:r>
              <w:rPr>
                <w:rFonts w:ascii="Verdana" w:hAnsi="Verdana" w:cs="Arial"/>
                <w:lang w:val="es-ES"/>
              </w:rPr>
              <w:lastRenderedPageBreak/>
              <w:t xml:space="preserve">Ley 1952 de 2019, artículo 42. </w:t>
            </w:r>
          </w:p>
        </w:tc>
      </w:tr>
    </w:tbl>
    <w:p w14:paraId="0001985E" w14:textId="77777777" w:rsidR="0076699A" w:rsidRPr="0060163E" w:rsidRDefault="0076699A" w:rsidP="0076699A">
      <w:pPr>
        <w:spacing w:after="0" w:line="276" w:lineRule="auto"/>
        <w:contextualSpacing/>
        <w:rPr>
          <w:rFonts w:ascii="Verdana" w:eastAsia="Calibri" w:hAnsi="Verdana" w:cs="Times New Roman"/>
          <w:b/>
          <w:bCs/>
          <w:lang w:val="es-ES"/>
        </w:rPr>
      </w:pPr>
    </w:p>
    <w:p w14:paraId="583F109C" w14:textId="77777777" w:rsidR="0076699A" w:rsidRPr="0060163E" w:rsidRDefault="0076699A" w:rsidP="0076699A">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V. </w:t>
      </w:r>
      <w:r w:rsidRPr="0060163E">
        <w:rPr>
          <w:rFonts w:ascii="Verdana" w:eastAsia="Calibri" w:hAnsi="Verdana" w:cs="Times New Roman"/>
          <w:b/>
          <w:bCs/>
          <w:lang w:val="es-ES"/>
        </w:rPr>
        <w:t>Doctrina de la Agencia Nacional de Contratación Pública:</w:t>
      </w:r>
    </w:p>
    <w:p w14:paraId="066D0EF0" w14:textId="77777777" w:rsidR="0076699A" w:rsidRPr="0060163E" w:rsidRDefault="0076699A" w:rsidP="0076699A">
      <w:pPr>
        <w:spacing w:after="0" w:line="276" w:lineRule="auto"/>
        <w:rPr>
          <w:rFonts w:ascii="Verdana" w:eastAsia="Calibri" w:hAnsi="Verdana" w:cs="Times New Roman"/>
          <w:lang w:val="es-ES"/>
        </w:rPr>
      </w:pPr>
    </w:p>
    <w:p w14:paraId="20E2BB7F" w14:textId="77777777" w:rsidR="0076699A" w:rsidRPr="00913D97" w:rsidRDefault="0076699A" w:rsidP="0076699A">
      <w:pPr>
        <w:widowControl w:val="0"/>
        <w:autoSpaceDE w:val="0"/>
        <w:autoSpaceDN w:val="0"/>
        <w:spacing w:after="0" w:line="276" w:lineRule="auto"/>
        <w:jc w:val="both"/>
        <w:rPr>
          <w:rFonts w:ascii="Verdana" w:hAnsi="Verdana" w:cs="Arial"/>
          <w:shd w:val="clear" w:color="auto" w:fill="FFFFFF"/>
          <w:lang w:val="es-ES"/>
        </w:rPr>
      </w:pPr>
      <w:r w:rsidRPr="0060163E">
        <w:rPr>
          <w:rFonts w:ascii="Verdana" w:hAnsi="Verdana" w:cs="Arial"/>
          <w:shd w:val="clear" w:color="auto" w:fill="FFFFFF"/>
          <w:lang w:val="es-ES"/>
        </w:rPr>
        <w:t xml:space="preserve">Esta Subdirección se ha pronunciado sobre </w:t>
      </w:r>
      <w:r>
        <w:rPr>
          <w:rFonts w:ascii="Verdana" w:hAnsi="Verdana" w:cs="Arial"/>
          <w:shd w:val="clear" w:color="auto" w:fill="FFFFFF"/>
          <w:lang w:val="es-ES"/>
        </w:rPr>
        <w:t xml:space="preserve">las inhabilidades e incompatibilidades </w:t>
      </w:r>
      <w:r w:rsidRPr="0060163E">
        <w:rPr>
          <w:rFonts w:ascii="Verdana" w:hAnsi="Verdana" w:cs="Arial"/>
          <w:shd w:val="clear" w:color="auto" w:fill="FFFFFF"/>
          <w:lang w:val="es-ES"/>
        </w:rPr>
        <w:t>en algunos conceptos, tales como:</w:t>
      </w:r>
      <w:r w:rsidRPr="0060163E">
        <w:rPr>
          <w:rFonts w:ascii="Arial" w:eastAsia="Calibri" w:hAnsi="Arial" w:cs="Arial"/>
          <w:lang w:val="es-MX"/>
        </w:rPr>
        <w:t xml:space="preserve"> </w:t>
      </w:r>
      <w:r w:rsidRPr="0060163E">
        <w:rPr>
          <w:rFonts w:ascii="Verdana" w:hAnsi="Verdana" w:cs="Arial"/>
          <w:shd w:val="clear" w:color="auto" w:fill="FFFFFF"/>
          <w:lang w:val="es-MX"/>
        </w:rPr>
        <w:t xml:space="preserve">radicados No. 4201912000004765 de 29 de agosto de 2019, 4201913000005694 del 3 de octubre de 2019, 4201912000006288 del 7 de septiembre de 2019, 4201912000006259 del 13 de noviembre de 2019, 4201913000006917 del 21 de noviembre de 2019, 4201912000006978 del 25 de noviembre de 2019, 4201912000007291 del 3 de diciembre de 2019, 4201912000007281 del 5 de diciembre de 2019, 4201912000007060 del 11 de diciembre de 2019, 4201912000007512 del 16  diciembre de 2019, 4201912000008460 del 14 de febrero de 2020, C−032 del 19 de febrero de 2020,  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 C-293 del 28 de agosto de 2021, </w:t>
      </w:r>
      <w:r w:rsidRPr="0060163E">
        <w:rPr>
          <w:rFonts w:ascii="Verdana" w:hAnsi="Verdana" w:cs="Arial"/>
          <w:shd w:val="clear" w:color="auto" w:fill="FFFFFF"/>
          <w:lang w:val="es-ES"/>
        </w:rPr>
        <w:t>C-449 del 31 de agosto de 2021, C-028 del 28 de febrero de 2022, C-318 del 18 de mayo de 2022, C-252 del 30 de mayo de 2022, C-619 del 27 de septiembre de 2022, C-731 de 10 de noviembre de 2022, C-059 de 13 de junio de 2023, C-352 del 22 de diciembre de 2023, C-010 del 31 de enero de 2024, C-023 del 26 de febrero de 2024, C-035 del 24 de abril de 2024, C-039 del 23 de abril de 2024, C-041 del 29 de mayo de 2024, C-067 del 16 de mayo de 2024, C-078 del 4 de junio de 2024, C-289 del 15 de agosto de 2023, C-172 de 25 de julio de 2024, C-271 del 22 de julio de 2024, C-904 del 9 de diciembre de 2024,</w:t>
      </w:r>
      <w:r>
        <w:rPr>
          <w:rFonts w:ascii="Verdana" w:hAnsi="Verdana" w:cs="Arial"/>
          <w:shd w:val="clear" w:color="auto" w:fill="FFFFFF"/>
          <w:lang w:val="es-ES"/>
        </w:rPr>
        <w:t xml:space="preserve"> C-170 del 19 de marzo de 2025, C-392 del 8 de mayo de 2025, C-632 del 2 de julio de 2025, C-710 del 15 de julio de 2025, </w:t>
      </w:r>
      <w:r w:rsidRPr="00913D97">
        <w:rPr>
          <w:rFonts w:ascii="Verdana" w:hAnsi="Verdana" w:cs="Arial"/>
          <w:shd w:val="clear" w:color="auto" w:fill="FFFFFF"/>
          <w:lang w:val="es-ES"/>
        </w:rPr>
        <w:t xml:space="preserve">C-731 del 21 de agosto de 2025, </w:t>
      </w:r>
      <w:r>
        <w:rPr>
          <w:rFonts w:ascii="Verdana" w:hAnsi="Verdana" w:cs="Arial"/>
          <w:shd w:val="clear" w:color="auto" w:fill="FFFFFF"/>
          <w:lang w:val="es-ES"/>
        </w:rPr>
        <w:t xml:space="preserve">C-1058 del 5 de septiembre de 2025, C-1233 del 10 de octubre de 2025, C-1388 del 30 de octubre de 2025, C-1390 del 4 de noviembre de 2025, </w:t>
      </w:r>
      <w:r w:rsidRPr="00640340">
        <w:rPr>
          <w:rFonts w:ascii="Verdana" w:hAnsi="Verdana" w:cs="Arial"/>
          <w:shd w:val="clear" w:color="auto" w:fill="FFFFFF"/>
          <w:lang w:val="es-ES"/>
        </w:rPr>
        <w:t>entre otros.</w:t>
      </w:r>
      <w:r>
        <w:rPr>
          <w:rFonts w:ascii="Verdana" w:hAnsi="Verdana" w:cs="Arial"/>
          <w:shd w:val="clear" w:color="auto" w:fill="FFFFFF"/>
          <w:lang w:val="es-ES"/>
        </w:rPr>
        <w:t xml:space="preserve"> En torno a las causales de los literales a) y f) del numeral 2 del artículo 8 de la Ley 80 de 1993 se exponen los siguientes conceptos C-624 del 30 de octubre de 2024, </w:t>
      </w:r>
      <w:r w:rsidRPr="00B53BF2">
        <w:rPr>
          <w:rFonts w:ascii="Verdana" w:hAnsi="Verdana" w:cs="Arial"/>
          <w:shd w:val="clear" w:color="auto" w:fill="FFFFFF"/>
          <w:lang w:val="es-ES"/>
        </w:rPr>
        <w:t xml:space="preserve">C-1233 del 10 de octubre de 2025, C-1390 del 4 de </w:t>
      </w:r>
      <w:r w:rsidRPr="00B53BF2">
        <w:rPr>
          <w:rFonts w:ascii="Verdana" w:hAnsi="Verdana" w:cs="Arial"/>
          <w:shd w:val="clear" w:color="auto" w:fill="FFFFFF"/>
          <w:lang w:val="es-ES"/>
        </w:rPr>
        <w:lastRenderedPageBreak/>
        <w:t>noviembre de 2025,</w:t>
      </w:r>
      <w:r>
        <w:rPr>
          <w:rFonts w:ascii="Verdana" w:hAnsi="Verdana" w:cs="Arial"/>
          <w:shd w:val="clear" w:color="auto" w:fill="FFFFFF"/>
          <w:lang w:val="es-ES"/>
        </w:rPr>
        <w:t xml:space="preserve"> C-1716 del 23 de diciembre de 2025,</w:t>
      </w:r>
      <w:r w:rsidRPr="00B53BF2">
        <w:rPr>
          <w:rFonts w:ascii="Verdana" w:hAnsi="Verdana" w:cs="Arial"/>
          <w:shd w:val="clear" w:color="auto" w:fill="FFFFFF"/>
          <w:lang w:val="es-ES"/>
        </w:rPr>
        <w:t xml:space="preserve"> entre otros.</w:t>
      </w:r>
      <w:r>
        <w:rPr>
          <w:rFonts w:ascii="Verdana" w:hAnsi="Verdana" w:cs="Arial"/>
          <w:shd w:val="clear" w:color="auto" w:fill="FFFFFF"/>
          <w:lang w:val="es-ES"/>
        </w:rPr>
        <w:t xml:space="preserve"> </w:t>
      </w:r>
      <w:r w:rsidRPr="0060163E">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r>
        <w:rPr>
          <w:rFonts w:ascii="Verdana" w:eastAsia="Calibri" w:hAnsi="Verdana" w:cs="Times New Roman"/>
        </w:rPr>
        <w:t xml:space="preserve"> </w:t>
      </w:r>
      <w:hyperlink r:id="rId13" w:history="1">
        <w:r w:rsidRPr="0060163E">
          <w:rPr>
            <w:rFonts w:ascii="Verdana" w:eastAsia="Calibri" w:hAnsi="Verdana" w:cs="Times New Roman"/>
            <w:color w:val="0000FF"/>
            <w:u w:val="single"/>
            <w:lang w:val="es-ES"/>
          </w:rPr>
          <w:t>https://relatoria.colombiacompra.gov.co/busqueda/conceptos</w:t>
        </w:r>
      </w:hyperlink>
      <w:r w:rsidRPr="0060163E">
        <w:rPr>
          <w:rFonts w:ascii="Verdana" w:eastAsia="Calibri" w:hAnsi="Verdana" w:cs="Times New Roman"/>
        </w:rPr>
        <w:t xml:space="preserve">. </w:t>
      </w:r>
    </w:p>
    <w:p w14:paraId="353FB45B" w14:textId="77777777" w:rsidR="0076699A" w:rsidRPr="00380CA4" w:rsidRDefault="0076699A" w:rsidP="0076699A">
      <w:pPr>
        <w:widowControl w:val="0"/>
        <w:autoSpaceDE w:val="0"/>
        <w:autoSpaceDN w:val="0"/>
        <w:spacing w:after="0" w:line="276" w:lineRule="auto"/>
        <w:jc w:val="both"/>
        <w:rPr>
          <w:rFonts w:ascii="Verdana" w:hAnsi="Verdana" w:cs="Arial"/>
          <w:color w:val="000000" w:themeColor="text1"/>
          <w:shd w:val="clear" w:color="auto" w:fill="FFFFFF"/>
        </w:rPr>
      </w:pPr>
    </w:p>
    <w:p w14:paraId="67F6C9E4" w14:textId="77777777" w:rsidR="0076699A" w:rsidRPr="00231A97" w:rsidRDefault="0076699A" w:rsidP="0076699A">
      <w:pPr>
        <w:spacing w:after="0" w:line="256" w:lineRule="auto"/>
        <w:jc w:val="both"/>
        <w:rPr>
          <w:rFonts w:ascii="Verdana" w:eastAsia="Calibri" w:hAnsi="Verdana" w:cs="Times New Roman"/>
        </w:rPr>
      </w:pPr>
      <w:r w:rsidRPr="00231A97">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231A97">
        <w:rPr>
          <w:rFonts w:ascii="Verdana" w:eastAsia="Calibri" w:hAnsi="Verdana" w:cs="Times New Roman"/>
          <w:b/>
          <w:bCs/>
        </w:rPr>
        <w:t>Curso de Contratación Pública Sostenible y Socialmente Responsable</w:t>
      </w:r>
      <w:r w:rsidRPr="00231A97">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31A97">
        <w:rPr>
          <w:rFonts w:ascii="Verdana" w:eastAsia="Calibri" w:hAnsi="Verdana" w:cs="Times New Roman"/>
        </w:rPr>
        <w:br/>
      </w:r>
      <w:hyperlink r:id="rId14" w:tgtFrame="_new" w:history="1">
        <w:r w:rsidRPr="00231A97">
          <w:rPr>
            <w:rStyle w:val="Hipervnculo"/>
            <w:rFonts w:ascii="Verdana" w:eastAsia="Calibri" w:hAnsi="Verdana" w:cs="Times New Roman"/>
          </w:rPr>
          <w:t>https://formacionvirtual.colombiacompra.gov.co/mod/page/view.php?id=3718</w:t>
        </w:r>
      </w:hyperlink>
    </w:p>
    <w:p w14:paraId="01AC30EF" w14:textId="77777777" w:rsidR="0076699A" w:rsidRDefault="0076699A" w:rsidP="0076699A">
      <w:pPr>
        <w:spacing w:after="0" w:line="256" w:lineRule="auto"/>
        <w:jc w:val="both"/>
        <w:rPr>
          <w:rFonts w:ascii="Verdana" w:eastAsia="Calibri" w:hAnsi="Verdana" w:cs="Times New Roman"/>
        </w:rPr>
      </w:pPr>
    </w:p>
    <w:p w14:paraId="45DDF307" w14:textId="77777777" w:rsidR="0076699A" w:rsidRPr="00231A97" w:rsidRDefault="0076699A" w:rsidP="0076699A">
      <w:pPr>
        <w:spacing w:after="0" w:line="256" w:lineRule="auto"/>
        <w:jc w:val="both"/>
        <w:rPr>
          <w:rFonts w:ascii="Verdana" w:eastAsia="Calibri" w:hAnsi="Verdana" w:cs="Times New Roman"/>
        </w:rPr>
      </w:pPr>
      <w:r w:rsidRPr="00231A97">
        <w:rPr>
          <w:rFonts w:ascii="Verdana" w:eastAsia="Calibri" w:hAnsi="Verdana" w:cs="Times New Roman"/>
        </w:rPr>
        <w:t xml:space="preserve">De otro lado, te contamos que esta Agencia ha da un paso decisivo en la estandarización y modernización del </w:t>
      </w:r>
      <w:r w:rsidRPr="00231A97">
        <w:rPr>
          <w:rFonts w:ascii="Verdana" w:eastAsia="Calibri" w:hAnsi="Verdana" w:cs="Times New Roman"/>
          <w:b/>
          <w:bCs/>
        </w:rPr>
        <w:t>sector  social</w:t>
      </w:r>
      <w:r w:rsidRPr="00231A97">
        <w:rPr>
          <w:rFonts w:ascii="Verdana" w:eastAsia="Calibri" w:hAnsi="Verdana" w:cs="Times New Roman"/>
        </w:rPr>
        <w:t xml:space="preserve"> con la expedición de las </w:t>
      </w:r>
      <w:r w:rsidRPr="00231A97">
        <w:rPr>
          <w:rFonts w:ascii="Verdana" w:eastAsia="Calibri" w:hAnsi="Verdana" w:cs="Times New Roman"/>
          <w:b/>
          <w:bCs/>
        </w:rPr>
        <w:t>Resoluciones 539, 540, 541, 952 y 953 de 2025</w:t>
      </w:r>
      <w:r w:rsidRPr="00231A97">
        <w:rPr>
          <w:rFonts w:ascii="Verdana" w:eastAsia="Calibri" w:hAnsi="Verdana" w:cs="Times New Roman"/>
        </w:rPr>
        <w:t xml:space="preserve">, </w:t>
      </w:r>
      <w:r w:rsidRPr="00231A97">
        <w:rPr>
          <w:rFonts w:ascii="Verdana" w:eastAsia="Calibri" w:hAnsi="Verdana" w:cs="Times New Roman"/>
          <w:b/>
          <w:bCs/>
        </w:rPr>
        <w:t>mediante las cuales adoptó Documentos Tipo</w:t>
      </w:r>
      <w:r w:rsidRPr="00231A97">
        <w:rPr>
          <w:rFonts w:ascii="Verdana" w:eastAsia="Calibri" w:hAnsi="Verdana" w:cs="Times New Roman"/>
        </w:rPr>
        <w:t xml:space="preserve"> para las modalidades de selección de</w:t>
      </w:r>
      <w:r w:rsidRPr="00231A97">
        <w:rPr>
          <w:rFonts w:ascii="Verdana" w:eastAsia="Calibri" w:hAnsi="Verdana" w:cs="Times New Roman"/>
          <w:b/>
          <w:bCs/>
        </w:rPr>
        <w:t xml:space="preserve"> licitación pública (versión 2), selección abreviada de menor cuantía, mínima cuantía, consultoría e interventoría</w:t>
      </w:r>
      <w:r w:rsidRPr="00231A97">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231A97">
          <w:rPr>
            <w:rStyle w:val="Hipervnculo"/>
            <w:rFonts w:ascii="Verdana" w:eastAsia="Calibri" w:hAnsi="Verdana" w:cs="Times New Roman"/>
          </w:rPr>
          <w:t>https://www.colombiacompra.gov.co/normativa-y-relatoria/documentos-tipo</w:t>
        </w:r>
      </w:hyperlink>
    </w:p>
    <w:p w14:paraId="6EC121D8" w14:textId="77777777" w:rsidR="0076699A" w:rsidRDefault="0076699A" w:rsidP="0076699A">
      <w:pPr>
        <w:spacing w:after="0" w:line="256" w:lineRule="auto"/>
        <w:jc w:val="both"/>
        <w:rPr>
          <w:rFonts w:ascii="Verdana" w:eastAsia="Calibri" w:hAnsi="Verdana" w:cs="Times New Roman"/>
        </w:rPr>
      </w:pPr>
    </w:p>
    <w:p w14:paraId="023C4532" w14:textId="77777777" w:rsidR="0076699A" w:rsidRPr="00231A97" w:rsidRDefault="0076699A" w:rsidP="0076699A">
      <w:pPr>
        <w:spacing w:after="0" w:line="256" w:lineRule="auto"/>
        <w:jc w:val="both"/>
        <w:rPr>
          <w:rFonts w:ascii="Verdana" w:eastAsia="Calibri" w:hAnsi="Verdana" w:cs="Times New Roman"/>
        </w:rPr>
      </w:pPr>
      <w:r w:rsidRPr="00231A97">
        <w:rPr>
          <w:rFonts w:ascii="Verdana" w:eastAsia="Calibri" w:hAnsi="Verdana" w:cs="Times New Roman"/>
        </w:rPr>
        <w:t xml:space="preserve">Si quieres conocer más sobre la aplicación de Documentos Tipo puedes consultar la última versión de la </w:t>
      </w:r>
      <w:r w:rsidRPr="00231A97">
        <w:rPr>
          <w:rFonts w:ascii="Verdana" w:eastAsia="Calibri" w:hAnsi="Verdana" w:cs="Times New Roman"/>
          <w:b/>
          <w:bCs/>
        </w:rPr>
        <w:t>Guía para la comprensión e implementación de los Documentos Tipo de obra pública de infraestructura de transporte</w:t>
      </w:r>
      <w:r w:rsidRPr="00231A97">
        <w:rPr>
          <w:rFonts w:ascii="Verdana" w:eastAsia="Calibri"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231A97">
        <w:rPr>
          <w:rFonts w:ascii="Verdana" w:eastAsia="Calibri" w:hAnsi="Verdana" w:cs="Times New Roman"/>
        </w:rPr>
        <w:br/>
      </w:r>
      <w:hyperlink r:id="rId16" w:tgtFrame="_new" w:history="1">
        <w:r w:rsidRPr="00231A97">
          <w:rPr>
            <w:rStyle w:val="Hipervnculo"/>
            <w:rFonts w:ascii="Verdana" w:eastAsia="Calibri" w:hAnsi="Verdana" w:cs="Times New Roman"/>
          </w:rPr>
          <w:t>https://www.colombiacompra.gov.co/archivos/manual/guia-para-la-</w:t>
        </w:r>
        <w:r w:rsidRPr="00231A97">
          <w:rPr>
            <w:rStyle w:val="Hipervnculo"/>
            <w:rFonts w:ascii="Verdana" w:eastAsia="Calibri" w:hAnsi="Verdana" w:cs="Times New Roman"/>
          </w:rPr>
          <w:lastRenderedPageBreak/>
          <w:t>comprension-e-implementacion-de-los-documentos-tipo-de-obra-publica-de-infraestructura-de-transporte-bajo-las-diferentes-modalidades-de-contratacion-vigentes</w:t>
        </w:r>
      </w:hyperlink>
    </w:p>
    <w:p w14:paraId="5D374E07" w14:textId="77777777" w:rsidR="0076699A" w:rsidRPr="00380CA4" w:rsidRDefault="0076699A" w:rsidP="0076699A">
      <w:pPr>
        <w:shd w:val="clear" w:color="auto" w:fill="FFFFFF"/>
        <w:spacing w:after="0" w:line="276" w:lineRule="auto"/>
        <w:jc w:val="both"/>
        <w:rPr>
          <w:rFonts w:ascii="Verdana" w:hAnsi="Verdana"/>
          <w:color w:val="000000"/>
          <w:u w:val="single"/>
        </w:rPr>
      </w:pPr>
    </w:p>
    <w:p w14:paraId="2DB94B99" w14:textId="77777777" w:rsidR="0076699A" w:rsidRPr="00380CA4" w:rsidRDefault="0076699A" w:rsidP="0076699A">
      <w:pPr>
        <w:spacing w:after="0"/>
        <w:jc w:val="both"/>
        <w:rPr>
          <w:rFonts w:ascii="Verdana" w:hAnsi="Verdana"/>
        </w:rPr>
      </w:pPr>
      <w:r w:rsidRPr="00380CA4">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3895EA06" w14:textId="77777777" w:rsidR="0076699A" w:rsidRPr="00380CA4" w:rsidRDefault="0076699A" w:rsidP="0076699A">
      <w:pPr>
        <w:spacing w:after="0"/>
        <w:jc w:val="both"/>
        <w:rPr>
          <w:rFonts w:ascii="Verdana" w:hAnsi="Verdana"/>
        </w:rPr>
      </w:pPr>
    </w:p>
    <w:p w14:paraId="6A3FBFEB" w14:textId="77777777" w:rsidR="0076699A" w:rsidRPr="00380CA4" w:rsidRDefault="0076699A" w:rsidP="0076699A">
      <w:pPr>
        <w:pStyle w:val="Prrafodelista"/>
        <w:numPr>
          <w:ilvl w:val="0"/>
          <w:numId w:val="15"/>
        </w:numPr>
        <w:spacing w:after="0" w:line="240" w:lineRule="auto"/>
        <w:jc w:val="both"/>
        <w:rPr>
          <w:rFonts w:ascii="Verdana" w:eastAsia="Verdana" w:hAnsi="Verdana" w:cs="Verdana"/>
          <w:color w:val="4472C4" w:themeColor="accent1"/>
          <w:u w:val="single"/>
          <w:lang w:val="es-CO"/>
        </w:rPr>
      </w:pPr>
      <w:r w:rsidRPr="00380CA4">
        <w:rPr>
          <w:rFonts w:ascii="Verdana" w:eastAsia="Verdana" w:hAnsi="Verdana" w:cs="Verdana"/>
          <w:lang w:val="es-CO"/>
        </w:rPr>
        <w:t xml:space="preserve">Línea nacional gratuita o servicio a la ciudadanía (Mesa de servicio): </w:t>
      </w:r>
      <w:r w:rsidRPr="00380CA4">
        <w:rPr>
          <w:rStyle w:val="Hipervnculo"/>
          <w:rFonts w:ascii="Verdana" w:hAnsi="Verdana"/>
          <w:lang w:val="es-CO"/>
        </w:rPr>
        <w:t>01800 0520808</w:t>
      </w:r>
    </w:p>
    <w:p w14:paraId="2AB28F1C" w14:textId="77777777" w:rsidR="0076699A" w:rsidRPr="00380CA4" w:rsidRDefault="0076699A" w:rsidP="0076699A">
      <w:pPr>
        <w:pStyle w:val="Prrafodelista"/>
        <w:numPr>
          <w:ilvl w:val="0"/>
          <w:numId w:val="15"/>
        </w:numPr>
        <w:spacing w:after="0"/>
        <w:rPr>
          <w:rFonts w:ascii="Verdana" w:eastAsia="Verdana" w:hAnsi="Verdana" w:cs="Verdana"/>
          <w:color w:val="4472C4" w:themeColor="accent1"/>
          <w:u w:val="single"/>
          <w:lang w:val="es-CO"/>
        </w:rPr>
      </w:pPr>
      <w:r w:rsidRPr="00380CA4">
        <w:rPr>
          <w:rFonts w:ascii="Verdana" w:eastAsia="Verdana" w:hAnsi="Verdana" w:cs="Verdana"/>
          <w:lang w:val="es-CO"/>
        </w:rPr>
        <w:t>Línea en Bogotá (Mesa de servicio</w:t>
      </w:r>
      <w:proofErr w:type="gramStart"/>
      <w:r w:rsidRPr="00380CA4">
        <w:rPr>
          <w:rFonts w:ascii="Verdana" w:eastAsia="Verdana" w:hAnsi="Verdana" w:cs="Verdana"/>
          <w:lang w:val="es-CO"/>
        </w:rPr>
        <w:t>):</w:t>
      </w:r>
      <w:r w:rsidRPr="00380CA4">
        <w:rPr>
          <w:rStyle w:val="Hipervnculo"/>
          <w:rFonts w:ascii="Verdana" w:hAnsi="Verdana"/>
          <w:lang w:val="es-CO"/>
        </w:rPr>
        <w:t>+</w:t>
      </w:r>
      <w:proofErr w:type="gramEnd"/>
      <w:r w:rsidRPr="00380CA4">
        <w:rPr>
          <w:rStyle w:val="Hipervnculo"/>
          <w:rFonts w:ascii="Verdana" w:hAnsi="Verdana"/>
          <w:lang w:val="es-CO"/>
        </w:rPr>
        <w:t>57 601 7456788</w:t>
      </w:r>
    </w:p>
    <w:p w14:paraId="1F28FEDD" w14:textId="77777777" w:rsidR="0076699A" w:rsidRPr="00380CA4" w:rsidRDefault="0076699A" w:rsidP="0076699A">
      <w:pPr>
        <w:pStyle w:val="Prrafodelista"/>
        <w:numPr>
          <w:ilvl w:val="0"/>
          <w:numId w:val="15"/>
        </w:numPr>
        <w:spacing w:after="0"/>
        <w:rPr>
          <w:rFonts w:ascii="Verdana" w:eastAsia="Verdana" w:hAnsi="Verdana" w:cs="Verdana"/>
          <w:color w:val="0000FF"/>
          <w:u w:val="single"/>
          <w:lang w:val="es-CO"/>
        </w:rPr>
      </w:pPr>
      <w:r w:rsidRPr="00380CA4">
        <w:rPr>
          <w:rFonts w:ascii="Verdana" w:eastAsia="Verdana" w:hAnsi="Verdana" w:cs="Verdana"/>
          <w:lang w:val="es-CO"/>
        </w:rPr>
        <w:t xml:space="preserve">Correo de radicación de correspondencia: </w:t>
      </w:r>
      <w:hyperlink r:id="rId17">
        <w:r w:rsidRPr="00380CA4">
          <w:rPr>
            <w:rStyle w:val="Hipervnculo"/>
            <w:rFonts w:ascii="Verdana" w:eastAsia="Verdana" w:hAnsi="Verdana" w:cs="Verdana"/>
            <w:lang w:val="es-CO"/>
          </w:rPr>
          <w:t>ventanilladeradicacion@colombiacompra.gov.co</w:t>
        </w:r>
      </w:hyperlink>
    </w:p>
    <w:p w14:paraId="02C62806" w14:textId="77777777" w:rsidR="0076699A" w:rsidRPr="00380CA4" w:rsidRDefault="0076699A" w:rsidP="0076699A">
      <w:pPr>
        <w:pStyle w:val="Prrafodelista"/>
        <w:numPr>
          <w:ilvl w:val="0"/>
          <w:numId w:val="15"/>
        </w:numPr>
        <w:spacing w:after="0"/>
        <w:rPr>
          <w:rFonts w:ascii="Verdana" w:eastAsia="Verdana" w:hAnsi="Verdana" w:cs="Verdana"/>
          <w:color w:val="0000FF"/>
          <w:u w:val="single"/>
          <w:lang w:val="es-CO"/>
        </w:rPr>
      </w:pPr>
      <w:r w:rsidRPr="00380CA4">
        <w:rPr>
          <w:rFonts w:ascii="Verdana" w:eastAsia="Verdana" w:hAnsi="Verdana" w:cs="Verdana"/>
          <w:lang w:val="es-CO"/>
        </w:rPr>
        <w:t xml:space="preserve">Formulario web para PQRSD: </w:t>
      </w:r>
      <w:hyperlink r:id="rId18">
        <w:r w:rsidRPr="00380CA4">
          <w:rPr>
            <w:rStyle w:val="Hipervnculo"/>
            <w:rFonts w:ascii="Verdana" w:eastAsia="Verdana" w:hAnsi="Verdana" w:cs="Verdana"/>
            <w:lang w:val="es-CO"/>
          </w:rPr>
          <w:t>https://www.colombiacompra.gov.co/pqrsd/informacion-importante-antes-de-formular-una-pqrsd</w:t>
        </w:r>
      </w:hyperlink>
    </w:p>
    <w:p w14:paraId="06FA2974" w14:textId="77777777" w:rsidR="0076699A" w:rsidRPr="00380CA4" w:rsidRDefault="0076699A" w:rsidP="0076699A">
      <w:pPr>
        <w:spacing w:after="0" w:line="240" w:lineRule="auto"/>
        <w:ind w:left="720"/>
        <w:jc w:val="both"/>
        <w:rPr>
          <w:rFonts w:ascii="Verdana" w:hAnsi="Verdana"/>
        </w:rPr>
      </w:pPr>
    </w:p>
    <w:p w14:paraId="4614EE41" w14:textId="77777777" w:rsidR="0076699A" w:rsidRPr="00380CA4" w:rsidRDefault="0076699A" w:rsidP="0076699A">
      <w:pPr>
        <w:spacing w:after="0" w:line="240" w:lineRule="auto"/>
        <w:rPr>
          <w:rFonts w:ascii="Verdana" w:hAnsi="Verdana"/>
        </w:rPr>
      </w:pPr>
      <w:r w:rsidRPr="00380CA4">
        <w:rPr>
          <w:rFonts w:ascii="Verdana" w:hAnsi="Verdana"/>
        </w:rPr>
        <w:t xml:space="preserve">Evalúa el servicio que ofrece la Agencia por el canal de atención de PQRSD en el siguiente </w:t>
      </w:r>
      <w:proofErr w:type="gramStart"/>
      <w:r w:rsidRPr="00380CA4">
        <w:rPr>
          <w:rFonts w:ascii="Verdana" w:hAnsi="Verdana"/>
        </w:rPr>
        <w:t>enlace :</w:t>
      </w:r>
      <w:proofErr w:type="gramEnd"/>
      <w:hyperlink r:id="rId19" w:tgtFrame="_blank" w:tooltip="https://forms.office.com/r/pphywvs2sz" w:history="1">
        <w:r w:rsidRPr="00380CA4">
          <w:rPr>
            <w:rStyle w:val="Hipervnculo"/>
            <w:rFonts w:ascii="Verdana" w:hAnsi="Verdana"/>
          </w:rPr>
          <w:t>https://forms.office.com/r/pPHyWVs2SZ</w:t>
        </w:r>
      </w:hyperlink>
      <w:r w:rsidRPr="00380CA4">
        <w:rPr>
          <w:rFonts w:ascii="Verdana" w:hAnsi="Verdana"/>
        </w:rPr>
        <w:t xml:space="preserve"> .¡Ayúdanos a mejorar porque el compromiso es de todos!</w:t>
      </w:r>
    </w:p>
    <w:p w14:paraId="2C051D67" w14:textId="77777777" w:rsidR="0076699A" w:rsidRPr="00380CA4" w:rsidRDefault="0076699A" w:rsidP="0076699A">
      <w:pPr>
        <w:spacing w:after="0" w:line="240" w:lineRule="auto"/>
        <w:rPr>
          <w:rFonts w:ascii="Verdana" w:hAnsi="Verdana"/>
        </w:rPr>
      </w:pPr>
    </w:p>
    <w:p w14:paraId="5B45D541" w14:textId="77777777" w:rsidR="0076699A" w:rsidRPr="00380CA4" w:rsidRDefault="0076699A" w:rsidP="0076699A">
      <w:pPr>
        <w:spacing w:after="0" w:line="240" w:lineRule="auto"/>
        <w:jc w:val="both"/>
        <w:rPr>
          <w:rFonts w:ascii="Verdana" w:hAnsi="Verdana"/>
        </w:rPr>
      </w:pPr>
      <w:r w:rsidRPr="00380CA4">
        <w:rPr>
          <w:rFonts w:ascii="Verdana" w:hAnsi="Verdana"/>
        </w:rPr>
        <w:t xml:space="preserve">Por último, lo invitamos a seguirnos en las redes sociales en las cuales se difunde información institucional: </w:t>
      </w:r>
    </w:p>
    <w:p w14:paraId="2112FA7A" w14:textId="77777777" w:rsidR="0076699A" w:rsidRPr="00380CA4" w:rsidRDefault="0076699A" w:rsidP="0076699A">
      <w:pPr>
        <w:spacing w:after="0" w:line="240" w:lineRule="auto"/>
        <w:jc w:val="both"/>
        <w:rPr>
          <w:rFonts w:ascii="Verdana" w:hAnsi="Verdana"/>
        </w:rPr>
      </w:pPr>
    </w:p>
    <w:p w14:paraId="701FE851" w14:textId="77777777" w:rsidR="0076699A" w:rsidRPr="00380CA4" w:rsidRDefault="0076699A" w:rsidP="0076699A">
      <w:pPr>
        <w:spacing w:after="0" w:line="240" w:lineRule="auto"/>
        <w:jc w:val="both"/>
        <w:rPr>
          <w:rFonts w:ascii="Verdana" w:hAnsi="Verdana"/>
        </w:rPr>
      </w:pPr>
      <w:r w:rsidRPr="00380CA4">
        <w:rPr>
          <w:rFonts w:ascii="Verdana" w:hAnsi="Verdana"/>
        </w:rPr>
        <w:t xml:space="preserve">Twitter: </w:t>
      </w:r>
      <w:r w:rsidRPr="00380CA4">
        <w:rPr>
          <w:rStyle w:val="Hipervnculo"/>
          <w:rFonts w:ascii="Verdana" w:hAnsi="Verdana"/>
        </w:rPr>
        <w:t>@colombiacompra</w:t>
      </w:r>
      <w:r w:rsidRPr="00380CA4">
        <w:rPr>
          <w:rFonts w:ascii="Verdana" w:hAnsi="Verdana"/>
        </w:rPr>
        <w:t xml:space="preserve"> </w:t>
      </w:r>
    </w:p>
    <w:p w14:paraId="13206F01" w14:textId="77777777" w:rsidR="0076699A" w:rsidRPr="00380CA4" w:rsidRDefault="0076699A" w:rsidP="0076699A">
      <w:pPr>
        <w:spacing w:after="0" w:line="240" w:lineRule="auto"/>
        <w:jc w:val="both"/>
        <w:rPr>
          <w:rFonts w:ascii="Verdana" w:hAnsi="Verdana"/>
        </w:rPr>
      </w:pPr>
      <w:r w:rsidRPr="00380CA4">
        <w:rPr>
          <w:rFonts w:ascii="Verdana" w:hAnsi="Verdana"/>
        </w:rPr>
        <w:t xml:space="preserve">Facebook: </w:t>
      </w:r>
      <w:r w:rsidRPr="00380CA4">
        <w:rPr>
          <w:rStyle w:val="Hipervnculo"/>
          <w:rFonts w:ascii="Verdana" w:hAnsi="Verdana"/>
        </w:rPr>
        <w:t>ColombiaCompraEficiente</w:t>
      </w:r>
    </w:p>
    <w:p w14:paraId="5E4F2B57" w14:textId="77777777" w:rsidR="0076699A" w:rsidRPr="00380CA4" w:rsidRDefault="0076699A" w:rsidP="0076699A">
      <w:pPr>
        <w:spacing w:after="0" w:line="240" w:lineRule="auto"/>
        <w:jc w:val="both"/>
        <w:rPr>
          <w:rFonts w:ascii="Verdana" w:hAnsi="Verdana"/>
        </w:rPr>
      </w:pPr>
      <w:r w:rsidRPr="00380CA4">
        <w:rPr>
          <w:rFonts w:ascii="Verdana" w:hAnsi="Verdana"/>
        </w:rPr>
        <w:t xml:space="preserve">LinkedIn: </w:t>
      </w:r>
      <w:r w:rsidRPr="00380CA4">
        <w:rPr>
          <w:rStyle w:val="Hipervnculo"/>
          <w:rFonts w:ascii="Verdana" w:hAnsi="Verdana"/>
        </w:rPr>
        <w:t>Agencia Nacional de Contratación Pública - Colombia Compra Eficiente</w:t>
      </w:r>
      <w:r w:rsidRPr="00380CA4">
        <w:rPr>
          <w:rFonts w:ascii="Verdana" w:hAnsi="Verdana"/>
        </w:rPr>
        <w:t xml:space="preserve"> Instagram: </w:t>
      </w:r>
      <w:r w:rsidRPr="00380CA4">
        <w:rPr>
          <w:rStyle w:val="Hipervnculo"/>
          <w:rFonts w:ascii="Verdana" w:hAnsi="Verdana"/>
        </w:rPr>
        <w:t>@colombiacompraeficiente_cce</w:t>
      </w:r>
    </w:p>
    <w:p w14:paraId="1E3E885E" w14:textId="77777777" w:rsidR="0076699A" w:rsidRPr="00380CA4" w:rsidRDefault="0076699A" w:rsidP="0076699A">
      <w:pPr>
        <w:spacing w:after="0" w:line="240" w:lineRule="auto"/>
        <w:jc w:val="both"/>
        <w:rPr>
          <w:rFonts w:ascii="Verdana" w:hAnsi="Verdana"/>
        </w:rPr>
      </w:pPr>
    </w:p>
    <w:p w14:paraId="600236DE" w14:textId="77777777" w:rsidR="0076699A" w:rsidRPr="00380CA4" w:rsidRDefault="0076699A" w:rsidP="0076699A">
      <w:pPr>
        <w:spacing w:after="0" w:line="256" w:lineRule="auto"/>
        <w:jc w:val="both"/>
        <w:rPr>
          <w:rFonts w:ascii="Verdana" w:eastAsia="Calibri" w:hAnsi="Verdana" w:cs="Times New Roman"/>
          <w:bCs/>
        </w:rPr>
      </w:pPr>
      <w:r w:rsidRPr="00380CA4">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FFFCFBE" w14:textId="77777777" w:rsidR="0076699A" w:rsidRPr="00DB2A80" w:rsidRDefault="0076699A" w:rsidP="0076699A">
      <w:pPr>
        <w:spacing w:after="0" w:line="256" w:lineRule="auto"/>
        <w:jc w:val="both"/>
        <w:rPr>
          <w:rFonts w:ascii="Verdana" w:eastAsia="Calibri" w:hAnsi="Verdana" w:cs="Times New Roman"/>
        </w:rPr>
      </w:pPr>
    </w:p>
    <w:p w14:paraId="23D197D9" w14:textId="77777777" w:rsidR="0076699A" w:rsidRPr="00DB2A80" w:rsidRDefault="0076699A" w:rsidP="0076699A">
      <w:pPr>
        <w:spacing w:after="0" w:line="256" w:lineRule="auto"/>
        <w:jc w:val="both"/>
        <w:rPr>
          <w:rFonts w:ascii="Verdana" w:eastAsia="Calibri" w:hAnsi="Verdana" w:cs="Times New Roman"/>
        </w:rPr>
      </w:pPr>
      <w:r w:rsidRPr="00DB2A80">
        <w:rPr>
          <w:rFonts w:ascii="Verdana" w:eastAsia="Calibri" w:hAnsi="Verdana" w:cs="Times New Roman"/>
        </w:rPr>
        <w:t>Atentamente,</w:t>
      </w:r>
    </w:p>
    <w:p w14:paraId="3ABB21EB" w14:textId="77777777" w:rsidR="0076699A" w:rsidRPr="001C3028" w:rsidRDefault="0076699A" w:rsidP="0076699A">
      <w:pPr>
        <w:spacing w:after="0" w:line="276" w:lineRule="auto"/>
        <w:jc w:val="both"/>
        <w:rPr>
          <w:rFonts w:ascii="Verdana" w:eastAsia="Calibri" w:hAnsi="Verdana" w:cs="Times New Roman"/>
        </w:rPr>
      </w:pPr>
    </w:p>
    <w:p w14:paraId="38111627" w14:textId="32853E8E" w:rsidR="0076699A" w:rsidRPr="00B67807" w:rsidRDefault="00444AAA" w:rsidP="0076699A">
      <w:pPr>
        <w:spacing w:after="0" w:line="256" w:lineRule="auto"/>
        <w:jc w:val="center"/>
        <w:rPr>
          <w:rFonts w:ascii="Century Gothic" w:hAnsi="Century Gothic"/>
          <w:noProof/>
          <w:lang w:val="en-US"/>
        </w:rPr>
      </w:pPr>
      <w:r w:rsidRPr="002C3AD6">
        <w:rPr>
          <w:rFonts w:ascii="Century Gothic" w:hAnsi="Century Gothic"/>
          <w:noProof/>
          <w:lang w:val="en-US"/>
        </w:rPr>
        <w:lastRenderedPageBreak/>
        <w:drawing>
          <wp:inline distT="0" distB="0" distL="0" distR="0" wp14:anchorId="3CBD9E5C" wp14:editId="517101EB">
            <wp:extent cx="3279697" cy="1217463"/>
            <wp:effectExtent l="0" t="0" r="0" b="190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312722" cy="1229722"/>
                    </a:xfrm>
                    <a:prstGeom prst="rect">
                      <a:avLst/>
                    </a:prstGeom>
                  </pic:spPr>
                </pic:pic>
              </a:graphicData>
            </a:graphic>
          </wp:inline>
        </w:drawing>
      </w:r>
    </w:p>
    <w:p w14:paraId="028BB196" w14:textId="77777777" w:rsidR="0076699A" w:rsidRPr="00B67807" w:rsidRDefault="0076699A" w:rsidP="0076699A">
      <w:pPr>
        <w:spacing w:after="0" w:line="256" w:lineRule="auto"/>
        <w:rPr>
          <w:rFonts w:ascii="Century Gothic" w:hAnsi="Century Gothic"/>
          <w:noProof/>
          <w:sz w:val="16"/>
          <w:szCs w:val="16"/>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76699A" w:rsidRPr="00B67807" w14:paraId="2813F161" w14:textId="77777777" w:rsidTr="00EA72AC">
        <w:trPr>
          <w:trHeight w:val="409"/>
        </w:trPr>
        <w:tc>
          <w:tcPr>
            <w:tcW w:w="817" w:type="dxa"/>
            <w:tcBorders>
              <w:top w:val="nil"/>
              <w:left w:val="nil"/>
              <w:bottom w:val="nil"/>
              <w:right w:val="nil"/>
            </w:tcBorders>
            <w:vAlign w:val="center"/>
            <w:hideMark/>
          </w:tcPr>
          <w:p w14:paraId="44286BAF" w14:textId="77777777" w:rsidR="0076699A" w:rsidRPr="00B67807" w:rsidRDefault="0076699A" w:rsidP="00EA72AC">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5DB7E826" w14:textId="77777777" w:rsidR="0076699A" w:rsidRPr="00B67807" w:rsidRDefault="0076699A" w:rsidP="00EA72AC">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José Luis Sánchez Cardona</w:t>
            </w:r>
          </w:p>
          <w:p w14:paraId="7351E6E6" w14:textId="77777777" w:rsidR="0076699A" w:rsidRPr="00B67807" w:rsidRDefault="0076699A" w:rsidP="00EA72AC">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Contratista de la Subdirección de Gestión Contractual</w:t>
            </w:r>
          </w:p>
        </w:tc>
      </w:tr>
      <w:tr w:rsidR="0076699A" w:rsidRPr="00B67807" w14:paraId="28A58BEB" w14:textId="77777777" w:rsidTr="00EA72AC">
        <w:trPr>
          <w:trHeight w:val="409"/>
        </w:trPr>
        <w:tc>
          <w:tcPr>
            <w:tcW w:w="817" w:type="dxa"/>
            <w:tcBorders>
              <w:top w:val="nil"/>
              <w:left w:val="nil"/>
              <w:bottom w:val="nil"/>
              <w:right w:val="nil"/>
            </w:tcBorders>
            <w:vAlign w:val="center"/>
            <w:hideMark/>
          </w:tcPr>
          <w:p w14:paraId="201FD867" w14:textId="77777777" w:rsidR="0076699A" w:rsidRPr="00B67807" w:rsidRDefault="0076699A" w:rsidP="00EA72AC">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0BDA9CF" w14:textId="77777777" w:rsidR="0076699A" w:rsidRPr="00B67807" w:rsidRDefault="0076699A" w:rsidP="00EA72AC">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Diana Lucía Saavedra Castañeda</w:t>
            </w:r>
          </w:p>
          <w:p w14:paraId="07281B22" w14:textId="77777777" w:rsidR="0076699A" w:rsidRPr="00B67807" w:rsidRDefault="0076699A" w:rsidP="00EA72AC">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Contratista de la Subdirección de Gestión Contractual </w:t>
            </w:r>
          </w:p>
        </w:tc>
      </w:tr>
      <w:tr w:rsidR="0076699A" w:rsidRPr="00B67807" w14:paraId="288F1E7C" w14:textId="77777777" w:rsidTr="00EA72AC">
        <w:trPr>
          <w:trHeight w:val="389"/>
        </w:trPr>
        <w:tc>
          <w:tcPr>
            <w:tcW w:w="817" w:type="dxa"/>
            <w:tcBorders>
              <w:top w:val="nil"/>
              <w:left w:val="nil"/>
              <w:bottom w:val="nil"/>
              <w:right w:val="nil"/>
            </w:tcBorders>
            <w:vAlign w:val="center"/>
            <w:hideMark/>
          </w:tcPr>
          <w:p w14:paraId="71F58DEC" w14:textId="77777777" w:rsidR="0076699A" w:rsidRPr="00B67807" w:rsidRDefault="0076699A" w:rsidP="00EA72AC">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4528D3B" w14:textId="77777777" w:rsidR="0076699A" w:rsidRPr="00B67807" w:rsidRDefault="0076699A" w:rsidP="00EA72AC">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Carolina Quintero Gacharná</w:t>
            </w:r>
          </w:p>
          <w:p w14:paraId="1E0107A6" w14:textId="77777777" w:rsidR="0076699A" w:rsidRPr="00B67807" w:rsidRDefault="0076699A" w:rsidP="00EA72AC">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Subdirectora de Gestión Contractual ANCP – CCE</w:t>
            </w:r>
          </w:p>
        </w:tc>
      </w:tr>
    </w:tbl>
    <w:p w14:paraId="159130D9" w14:textId="29DDEC12" w:rsidR="0076699A" w:rsidRPr="000E2B93" w:rsidRDefault="0076699A" w:rsidP="0076699A">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5D64733D" w14:textId="3F0946B3" w:rsidR="007A1830" w:rsidRPr="0076699A" w:rsidRDefault="007A1830" w:rsidP="0076699A"/>
    <w:sectPr w:rsidR="007A1830" w:rsidRPr="0076699A"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89CBEE" w14:textId="77777777" w:rsidR="00AB0763" w:rsidRDefault="00AB0763" w:rsidP="004A1847">
      <w:pPr>
        <w:spacing w:after="0" w:line="240" w:lineRule="auto"/>
      </w:pPr>
      <w:r>
        <w:separator/>
      </w:r>
    </w:p>
  </w:endnote>
  <w:endnote w:type="continuationSeparator" w:id="0">
    <w:p w14:paraId="52793A76" w14:textId="77777777" w:rsidR="00AB0763" w:rsidRDefault="00AB076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MS Mincho">
    <w:panose1 w:val="02020609040205080304"/>
    <w:charset w:val="80"/>
    <w:family w:val="modern"/>
    <w:pitch w:val="fixed"/>
    <w:sig w:usb0="E00002FF" w:usb1="6AC7FDFB" w:usb2="08000012" w:usb3="00000000" w:csb0="0002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63634F" w:rsidRDefault="0063634F">
    <w:pPr>
      <w:pStyle w:val="Piedepgina"/>
    </w:pPr>
  </w:p>
  <w:p w14:paraId="594D6D9F" w14:textId="09A63BF9" w:rsidR="0063634F" w:rsidRPr="00174B77" w:rsidRDefault="0063634F"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D725F7" w:rsidRPr="00D725F7">
      <w:rPr>
        <w:rFonts w:ascii="Verdana" w:eastAsiaTheme="minorEastAsia" w:hAnsi="Verdana"/>
        <w:b/>
        <w:bCs/>
        <w:noProof/>
        <w:sz w:val="16"/>
        <w:szCs w:val="16"/>
      </w:rPr>
      <w:t>20</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63634F" w:rsidRDefault="0063634F"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63634F" w:rsidRPr="00E41027" w:rsidRDefault="0063634F"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63634F" w:rsidRDefault="0063634F">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5BEB67" w14:textId="77777777" w:rsidR="00AB0763" w:rsidRDefault="00AB0763" w:rsidP="004A1847">
      <w:pPr>
        <w:spacing w:after="0" w:line="240" w:lineRule="auto"/>
      </w:pPr>
      <w:r>
        <w:separator/>
      </w:r>
    </w:p>
  </w:footnote>
  <w:footnote w:type="continuationSeparator" w:id="0">
    <w:p w14:paraId="760CC0A3" w14:textId="77777777" w:rsidR="00AB0763" w:rsidRDefault="00AB0763" w:rsidP="004A1847">
      <w:pPr>
        <w:spacing w:after="0" w:line="240" w:lineRule="auto"/>
      </w:pPr>
      <w:r>
        <w:continuationSeparator/>
      </w:r>
    </w:p>
  </w:footnote>
  <w:footnote w:id="1">
    <w:p w14:paraId="5C648928" w14:textId="77777777" w:rsidR="0076699A" w:rsidRPr="001871E2" w:rsidRDefault="0076699A" w:rsidP="0076699A">
      <w:pPr>
        <w:pStyle w:val="Textonotapie"/>
        <w:ind w:firstLine="708"/>
        <w:jc w:val="both"/>
        <w:rPr>
          <w:rFonts w:ascii="Verdana" w:hAnsi="Verdana"/>
          <w:sz w:val="16"/>
          <w:szCs w:val="16"/>
          <w:lang w:val="es-ES"/>
        </w:rPr>
      </w:pPr>
      <w:r w:rsidRPr="001871E2">
        <w:rPr>
          <w:rStyle w:val="Refdenotaalpie"/>
          <w:rFonts w:ascii="Verdana" w:hAnsi="Verdana"/>
          <w:sz w:val="16"/>
          <w:szCs w:val="16"/>
        </w:rPr>
        <w:footnoteRef/>
      </w:r>
      <w:r w:rsidRPr="001871E2">
        <w:rPr>
          <w:rFonts w:ascii="Verdana" w:hAnsi="Verdana"/>
          <w:sz w:val="16"/>
          <w:szCs w:val="16"/>
        </w:rPr>
        <w:t xml:space="preserve"> </w:t>
      </w:r>
      <w:r w:rsidRPr="001871E2">
        <w:rPr>
          <w:rFonts w:ascii="Verdana" w:hAnsi="Verdana"/>
          <w:sz w:val="16"/>
          <w:szCs w:val="16"/>
          <w:lang w:val="es-ES"/>
        </w:rPr>
        <w:t xml:space="preserve">El inciso segundo del artículo 9 de la Ley 80 de 1993, dispone: </w:t>
      </w:r>
      <w:r>
        <w:rPr>
          <w:rFonts w:ascii="Verdana" w:hAnsi="Verdana"/>
          <w:sz w:val="16"/>
          <w:szCs w:val="16"/>
          <w:lang w:val="es-ES"/>
        </w:rPr>
        <w:t>“</w:t>
      </w:r>
      <w:r w:rsidRPr="001871E2">
        <w:rPr>
          <w:rFonts w:ascii="Verdana" w:hAnsi="Verdana"/>
          <w:sz w:val="16"/>
          <w:szCs w:val="16"/>
          <w:lang w:val="es-CO"/>
        </w:rPr>
        <w:t>Cuando la inhabilidad o incompat</w:t>
      </w:r>
      <w:r>
        <w:rPr>
          <w:rFonts w:ascii="Verdana" w:hAnsi="Verdana"/>
          <w:sz w:val="16"/>
          <w:szCs w:val="16"/>
          <w:lang w:val="es-CO"/>
        </w:rPr>
        <w:t>ibilidad sobrevenga en un propo</w:t>
      </w:r>
      <w:r w:rsidRPr="001871E2">
        <w:rPr>
          <w:rFonts w:ascii="Verdana" w:hAnsi="Verdana"/>
          <w:sz w:val="16"/>
          <w:szCs w:val="16"/>
          <w:lang w:val="es-CO"/>
        </w:rPr>
        <w:t>nente dentro de un proceso de selección, se entenderá que renuncia a la participación en el proceso de selección y a los derechos surgidos del mismo</w:t>
      </w:r>
      <w:r>
        <w:rPr>
          <w:rFonts w:ascii="Verdana" w:hAnsi="Verdana"/>
          <w:sz w:val="16"/>
          <w:szCs w:val="16"/>
          <w:lang w:val="es-CO"/>
        </w:rPr>
        <w:t>”</w:t>
      </w:r>
      <w:r w:rsidRPr="001871E2">
        <w:rPr>
          <w:rFonts w:ascii="Verdana" w:hAnsi="Verdana"/>
          <w:sz w:val="16"/>
          <w:szCs w:val="16"/>
          <w:lang w:val="es-CO"/>
        </w:rPr>
        <w:t>.</w:t>
      </w:r>
    </w:p>
  </w:footnote>
  <w:footnote w:id="2">
    <w:p w14:paraId="17EEB81F" w14:textId="77777777" w:rsidR="0076699A" w:rsidRPr="00DB7B3E" w:rsidRDefault="0076699A" w:rsidP="0076699A">
      <w:pPr>
        <w:pStyle w:val="Textonotapie"/>
        <w:ind w:firstLine="708"/>
        <w:jc w:val="both"/>
        <w:rPr>
          <w:rFonts w:ascii="Verdana" w:hAnsi="Verdana"/>
          <w:sz w:val="16"/>
          <w:szCs w:val="16"/>
        </w:rPr>
      </w:pPr>
      <w:r w:rsidRPr="00DB7B3E">
        <w:rPr>
          <w:rFonts w:ascii="Verdana" w:hAnsi="Verdana"/>
          <w:sz w:val="16"/>
          <w:szCs w:val="16"/>
          <w:vertAlign w:val="superscript"/>
        </w:rPr>
        <w:footnoteRef/>
      </w:r>
      <w:r w:rsidRPr="00DB7B3E">
        <w:rPr>
          <w:rFonts w:ascii="Verdana" w:hAnsi="Verdana"/>
          <w:sz w:val="16"/>
          <w:szCs w:val="16"/>
        </w:rPr>
        <w:t xml:space="preserve"> Corte Constitucional. Sentencia C-181 de 1997. M.P. Fabio Morón Díaz. Ver también las Sentencias C-540 de 2001, C-893 de 2003 y C-903 de 2008, entre otras.</w:t>
      </w:r>
    </w:p>
  </w:footnote>
  <w:footnote w:id="3">
    <w:p w14:paraId="3C1A4904" w14:textId="77777777" w:rsidR="0076699A" w:rsidRPr="00E34BBF" w:rsidRDefault="0076699A" w:rsidP="0076699A">
      <w:pPr>
        <w:pStyle w:val="Textonotapie"/>
        <w:ind w:firstLine="708"/>
        <w:jc w:val="both"/>
        <w:rPr>
          <w:rFonts w:ascii="Verdana" w:hAnsi="Verdana"/>
          <w:sz w:val="16"/>
          <w:szCs w:val="16"/>
          <w:lang w:val="pt-BR"/>
        </w:rPr>
      </w:pPr>
      <w:r w:rsidRPr="00E34BBF">
        <w:rPr>
          <w:rStyle w:val="Refdenotaalpie"/>
          <w:rFonts w:ascii="Verdana" w:hAnsi="Verdana"/>
          <w:sz w:val="16"/>
          <w:szCs w:val="16"/>
        </w:rPr>
        <w:footnoteRef/>
      </w:r>
      <w:r w:rsidRPr="00E34BBF">
        <w:rPr>
          <w:rFonts w:ascii="Verdana" w:hAnsi="Verdana"/>
          <w:sz w:val="16"/>
          <w:szCs w:val="16"/>
          <w:lang w:val="pt-BR"/>
        </w:rPr>
        <w:t xml:space="preserve"> Corte Constitucional. Sentencia C-1016 de 2012. M.P. Jorge Iván Palacio.</w:t>
      </w:r>
    </w:p>
  </w:footnote>
  <w:footnote w:id="4">
    <w:p w14:paraId="576FEA6E" w14:textId="77777777" w:rsidR="0076699A" w:rsidRPr="00E34BBF" w:rsidRDefault="0076699A" w:rsidP="0076699A">
      <w:pPr>
        <w:pStyle w:val="Textonotapie"/>
        <w:ind w:firstLine="708"/>
        <w:jc w:val="both"/>
        <w:rPr>
          <w:rFonts w:ascii="Verdana" w:hAnsi="Verdana"/>
          <w:sz w:val="16"/>
          <w:szCs w:val="16"/>
          <w:lang w:val="pt-BR"/>
        </w:rPr>
      </w:pPr>
      <w:r w:rsidRPr="00E34BBF">
        <w:rPr>
          <w:rStyle w:val="Refdenotaalpie"/>
          <w:rFonts w:ascii="Verdana" w:hAnsi="Verdana"/>
          <w:sz w:val="16"/>
          <w:szCs w:val="16"/>
        </w:rPr>
        <w:footnoteRef/>
      </w:r>
      <w:r w:rsidRPr="00E34BBF">
        <w:rPr>
          <w:rFonts w:ascii="Verdana" w:hAnsi="Verdana"/>
          <w:sz w:val="16"/>
          <w:szCs w:val="16"/>
        </w:rPr>
        <w:t xml:space="preserve"> </w:t>
      </w:r>
      <w:r>
        <w:rPr>
          <w:rFonts w:ascii="Verdana" w:hAnsi="Verdana"/>
          <w:sz w:val="16"/>
          <w:szCs w:val="16"/>
        </w:rPr>
        <w:t>Consejo d</w:t>
      </w:r>
      <w:r w:rsidRPr="00E34BBF">
        <w:rPr>
          <w:rFonts w:ascii="Verdana" w:hAnsi="Verdana"/>
          <w:sz w:val="16"/>
          <w:szCs w:val="16"/>
        </w:rPr>
        <w:t xml:space="preserve">e Estado. Sección Tercera. Subsección A. Sentencia del 13 de noviembre de 2013. </w:t>
      </w:r>
      <w:r w:rsidRPr="00E34BBF">
        <w:rPr>
          <w:rFonts w:ascii="Verdana" w:hAnsi="Verdana"/>
          <w:sz w:val="16"/>
          <w:szCs w:val="16"/>
          <w:lang w:val="pt-BR"/>
        </w:rPr>
        <w:t xml:space="preserve">Rad. 25.646. C.P. Mauricio Fajardo Gómez. </w:t>
      </w:r>
    </w:p>
  </w:footnote>
  <w:footnote w:id="5">
    <w:p w14:paraId="7B815ED7" w14:textId="77777777" w:rsidR="0076699A" w:rsidRPr="00E34BBF" w:rsidRDefault="0076699A" w:rsidP="0076699A">
      <w:pPr>
        <w:pStyle w:val="Textonotapie"/>
        <w:ind w:firstLine="708"/>
        <w:jc w:val="both"/>
        <w:rPr>
          <w:rFonts w:ascii="Verdana" w:hAnsi="Verdana"/>
          <w:sz w:val="16"/>
          <w:szCs w:val="16"/>
          <w:lang w:val="pt-BR"/>
        </w:rPr>
      </w:pPr>
      <w:r w:rsidRPr="00E34BBF">
        <w:rPr>
          <w:rStyle w:val="Refdenotaalpie"/>
          <w:rFonts w:ascii="Verdana" w:hAnsi="Verdana"/>
          <w:sz w:val="16"/>
          <w:szCs w:val="16"/>
        </w:rPr>
        <w:footnoteRef/>
      </w:r>
      <w:r w:rsidRPr="00E34BBF">
        <w:rPr>
          <w:rFonts w:ascii="Verdana" w:hAnsi="Verdana"/>
          <w:sz w:val="16"/>
          <w:szCs w:val="16"/>
          <w:lang w:val="pt-BR"/>
        </w:rPr>
        <w:t xml:space="preserve"> Corte Constitucional. Sentencia C-415 de 1994. M.P. Eduardo Cifuentes Muñoz.</w:t>
      </w:r>
    </w:p>
  </w:footnote>
  <w:footnote w:id="6">
    <w:p w14:paraId="2D2058FD" w14:textId="77777777" w:rsidR="0076699A" w:rsidRPr="00E34BBF" w:rsidRDefault="0076699A" w:rsidP="0076699A">
      <w:pPr>
        <w:pStyle w:val="Textonotapie"/>
        <w:ind w:firstLine="708"/>
        <w:jc w:val="both"/>
        <w:rPr>
          <w:rFonts w:ascii="Verdana" w:hAnsi="Verdana"/>
          <w:sz w:val="16"/>
          <w:szCs w:val="16"/>
          <w:lang w:val="pt-BR"/>
        </w:rPr>
      </w:pPr>
      <w:r w:rsidRPr="00E34BBF">
        <w:rPr>
          <w:rStyle w:val="Refdenotaalpie"/>
          <w:rFonts w:ascii="Verdana" w:hAnsi="Verdana"/>
          <w:sz w:val="16"/>
          <w:szCs w:val="16"/>
        </w:rPr>
        <w:footnoteRef/>
      </w:r>
      <w:r w:rsidRPr="00E34BBF">
        <w:rPr>
          <w:rFonts w:ascii="Verdana" w:hAnsi="Verdana"/>
          <w:sz w:val="16"/>
          <w:szCs w:val="16"/>
          <w:lang w:val="pt-BR"/>
        </w:rPr>
        <w:t xml:space="preserve"> Ibídem.</w:t>
      </w:r>
    </w:p>
  </w:footnote>
  <w:footnote w:id="7">
    <w:p w14:paraId="4D02B78D" w14:textId="77777777" w:rsidR="0076699A" w:rsidRPr="00E34BBF" w:rsidRDefault="0076699A" w:rsidP="0076699A">
      <w:pPr>
        <w:pStyle w:val="Textonotapie"/>
        <w:ind w:firstLine="708"/>
        <w:jc w:val="both"/>
        <w:rPr>
          <w:rFonts w:ascii="Verdana" w:hAnsi="Verdana"/>
          <w:sz w:val="16"/>
          <w:szCs w:val="16"/>
          <w:lang w:val="es-CO"/>
        </w:rPr>
      </w:pPr>
      <w:r w:rsidRPr="00E34BBF">
        <w:rPr>
          <w:rStyle w:val="Refdenotaalpie"/>
          <w:rFonts w:ascii="Verdana" w:hAnsi="Verdana"/>
          <w:sz w:val="16"/>
          <w:szCs w:val="16"/>
        </w:rPr>
        <w:footnoteRef/>
      </w:r>
      <w:r w:rsidRPr="00E34BBF">
        <w:rPr>
          <w:rFonts w:ascii="Verdana" w:hAnsi="Verdana"/>
          <w:sz w:val="16"/>
          <w:szCs w:val="16"/>
          <w:lang w:val="pt-BR"/>
        </w:rPr>
        <w:t xml:space="preserve"> Corte Constitucional. </w:t>
      </w:r>
      <w:r w:rsidRPr="00E34BBF">
        <w:rPr>
          <w:rFonts w:ascii="Verdana" w:hAnsi="Verdana"/>
          <w:sz w:val="16"/>
          <w:szCs w:val="16"/>
        </w:rPr>
        <w:t xml:space="preserve">Sentencia C-780 de 2001. </w:t>
      </w:r>
      <w:r>
        <w:rPr>
          <w:rFonts w:ascii="Verdana" w:hAnsi="Verdana"/>
          <w:sz w:val="16"/>
          <w:szCs w:val="16"/>
          <w:lang w:val="es-CO"/>
        </w:rPr>
        <w:t>M.P. Jaime Córdoba Triviño.</w:t>
      </w:r>
    </w:p>
  </w:footnote>
  <w:footnote w:id="8">
    <w:p w14:paraId="7C488DA9" w14:textId="77777777" w:rsidR="0076699A" w:rsidRPr="00E34BBF" w:rsidRDefault="0076699A" w:rsidP="0076699A">
      <w:pPr>
        <w:pStyle w:val="NormalWeb"/>
        <w:spacing w:before="0" w:beforeAutospacing="0" w:after="0" w:afterAutospacing="0"/>
        <w:ind w:firstLine="708"/>
        <w:jc w:val="both"/>
        <w:rPr>
          <w:rFonts w:ascii="Verdana" w:eastAsia="Calibri" w:hAnsi="Verdana" w:cs="Arial"/>
          <w:sz w:val="16"/>
          <w:szCs w:val="16"/>
          <w:lang w:val="es-ES" w:eastAsia="en-US"/>
        </w:rPr>
      </w:pPr>
      <w:r w:rsidRPr="00E34BBF">
        <w:rPr>
          <w:rStyle w:val="Refdenotaalpie"/>
          <w:rFonts w:ascii="Verdana" w:hAnsi="Verdana"/>
          <w:sz w:val="16"/>
          <w:szCs w:val="16"/>
        </w:rPr>
        <w:footnoteRef/>
      </w:r>
      <w:r w:rsidRPr="00E34BBF">
        <w:rPr>
          <w:rFonts w:ascii="Verdana" w:hAnsi="Verdana"/>
          <w:sz w:val="16"/>
          <w:szCs w:val="16"/>
        </w:rPr>
        <w:t xml:space="preserve"> </w:t>
      </w:r>
      <w:r>
        <w:rPr>
          <w:rFonts w:ascii="Verdana" w:eastAsia="Calibri" w:hAnsi="Verdana" w:cs="Arial"/>
          <w:sz w:val="16"/>
          <w:szCs w:val="16"/>
          <w:lang w:val="es-ES" w:eastAsia="en-US"/>
        </w:rPr>
        <w:t>Ley 80 de 1993: “</w:t>
      </w:r>
      <w:r w:rsidRPr="00E34BBF">
        <w:rPr>
          <w:rFonts w:ascii="Verdana" w:eastAsia="Calibri" w:hAnsi="Verdana" w:cs="Arial"/>
          <w:sz w:val="16"/>
          <w:szCs w:val="16"/>
          <w:lang w:val="es-ES" w:eastAsia="en-US"/>
        </w:rPr>
        <w:t>Artículo 8: 1o. Son inhábiles para participar en licitaciones o concursos y para celebrar contratos con las entidades estatales: </w:t>
      </w:r>
    </w:p>
    <w:p w14:paraId="066F8CC0" w14:textId="77777777" w:rsidR="0076699A" w:rsidRPr="00E34BBF" w:rsidRDefault="0076699A" w:rsidP="0076699A">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a) Las personas que se hallen inhabilitadas para contratar por la Constitución y las leyes. </w:t>
      </w:r>
    </w:p>
    <w:p w14:paraId="00775B13" w14:textId="77777777" w:rsidR="0076699A" w:rsidRPr="00E34BBF" w:rsidRDefault="0076699A" w:rsidP="0076699A">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b) Quienes participaron en las licitaciones o concursos o celebraron los contratos de que trata el literal anterior estando inhabilitados. </w:t>
      </w:r>
    </w:p>
    <w:p w14:paraId="7DED99A7" w14:textId="77777777" w:rsidR="0076699A" w:rsidRPr="00E34BBF" w:rsidRDefault="0076699A" w:rsidP="0076699A">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c) Quienes dieron lugar a la declaratoria de caducidad. </w:t>
      </w:r>
    </w:p>
    <w:p w14:paraId="1F2C8CE3" w14:textId="77777777" w:rsidR="0076699A" w:rsidRPr="00E34BBF" w:rsidRDefault="0076699A" w:rsidP="0076699A">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d) Quienes en sentencia judicial hayan sido condenados a la pena accesoria de interdicción de derechos y funciones públicas y quienes hayan sido sancionados disciplinariamente con destitución. </w:t>
      </w:r>
    </w:p>
    <w:p w14:paraId="0B25B12B" w14:textId="77777777" w:rsidR="0076699A" w:rsidRPr="00E34BBF" w:rsidRDefault="0076699A" w:rsidP="0076699A">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e) Quienes sin justa causa se abstengan de suscribir el contrato estatal adjudicado. </w:t>
      </w:r>
    </w:p>
    <w:p w14:paraId="400A63C9" w14:textId="77777777" w:rsidR="0076699A" w:rsidRPr="00E34BBF" w:rsidRDefault="0076699A" w:rsidP="0076699A">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f) Los servidores públicos. </w:t>
      </w:r>
    </w:p>
    <w:p w14:paraId="69A2F374" w14:textId="77777777" w:rsidR="0076699A" w:rsidRPr="00E34BBF" w:rsidRDefault="0076699A" w:rsidP="0076699A">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g) Quienes sean cónyuges o compañeros permanentes y quienes se encuentren dentro del segundo grado de consanguinidad o segundo de afinidad con cualquier otra persona que formalmente haya presentado propuesta para una misma licitación o concurso. </w:t>
      </w:r>
    </w:p>
    <w:p w14:paraId="2B629663" w14:textId="77777777" w:rsidR="0076699A" w:rsidRPr="00E34BBF" w:rsidRDefault="0076699A" w:rsidP="0076699A">
      <w:pPr>
        <w:pStyle w:val="NormalWeb"/>
        <w:spacing w:before="0" w:beforeAutospacing="0" w:after="0" w:afterAutospacing="0"/>
        <w:ind w:firstLine="708"/>
        <w:jc w:val="both"/>
        <w:rPr>
          <w:rFonts w:ascii="Verdana" w:eastAsia="Calibri" w:hAnsi="Verdana" w:cs="Arial"/>
          <w:sz w:val="16"/>
          <w:szCs w:val="16"/>
          <w:lang w:val="es-ES" w:eastAsia="en-US"/>
        </w:rPr>
      </w:pPr>
      <w:r w:rsidRPr="00E34BBF">
        <w:rPr>
          <w:rFonts w:ascii="Verdana" w:eastAsia="Calibri" w:hAnsi="Verdana" w:cs="Arial"/>
          <w:sz w:val="16"/>
          <w:szCs w:val="16"/>
          <w:lang w:val="es-ES" w:eastAsia="en-US"/>
        </w:rPr>
        <w:t>h)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o concurso. </w:t>
      </w:r>
    </w:p>
    <w:p w14:paraId="0030275D" w14:textId="77777777" w:rsidR="0076699A" w:rsidRPr="00E34BBF" w:rsidRDefault="0076699A" w:rsidP="0076699A">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i) Los socios de sociedades de personas a las cuales se haya declarado la caducidad, así como las sociedades de personas de las que aquellos formen parte con posterioridad a dicha declaratoria. </w:t>
      </w:r>
    </w:p>
    <w:p w14:paraId="5262D4A1" w14:textId="77777777" w:rsidR="0076699A" w:rsidRPr="00E34BBF" w:rsidRDefault="0076699A" w:rsidP="0076699A">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Las inhabilidades a que se refieren los literales c), d) e i) se extenderán por un término de cinco (5) años contado a partir de la fecha de ejecutoria del acto que declaró la caducidad, o de la sentencia que impuso la pena, o del acto que dispuso la destitución; las previstas en los literales b) y e), se extenderán por un término de cinco (5) años contado a partir de la fecha de ocurrencia del hecho de la participación en la licitación o concurso, o de la de celebración del contrato, o de la de expiración del plazo para su firma. </w:t>
      </w:r>
    </w:p>
    <w:p w14:paraId="34840705" w14:textId="77777777" w:rsidR="0076699A" w:rsidRPr="00E34BBF" w:rsidRDefault="0076699A" w:rsidP="0076699A">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j) Las personas naturales que hayan sido declaradas responsables judicialmente por la comisión de delitos contra la Administración pública, o de cualquiera de los delitos o faltas contempladas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w:t>
      </w:r>
    </w:p>
    <w:p w14:paraId="480E2D92" w14:textId="77777777" w:rsidR="0076699A" w:rsidRPr="00E34BBF" w:rsidRDefault="0076699A" w:rsidP="0076699A">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Esta inhabilidad procederá preventivamente aún en los casos en los que esté pendiente la decisión sobre la impugnación de la sentencia condenatoria. Asimismo, la inhabilidad se extenderá a las sociedades de las que hagan parte dichas personas en calidad de administradores, represen</w:t>
      </w:r>
      <w:r w:rsidRPr="00E34BBF">
        <w:rPr>
          <w:rFonts w:ascii="Verdana" w:eastAsia="Calibri" w:hAnsi="Verdana" w:cs="Arial"/>
          <w:sz w:val="16"/>
          <w:szCs w:val="16"/>
          <w:lang w:val="es-ES" w:eastAsia="en-US"/>
        </w:rPr>
        <w:softHyphen/>
        <w:t>tantes legales, miembros de junta directiva o de socios controlantes, a sus matrices y a sus subordinadas, a los grupos empresariales a los que estas pertenezcan cuando la conducta delictiva haya sido parte de una política del grupo y a las sucursales de sociedades extranjeras, con ex</w:t>
      </w:r>
      <w:r w:rsidRPr="00E34BBF">
        <w:rPr>
          <w:rFonts w:ascii="Verdana" w:eastAsia="Calibri" w:hAnsi="Verdana" w:cs="Arial"/>
          <w:sz w:val="16"/>
          <w:szCs w:val="16"/>
          <w:lang w:val="es-ES" w:eastAsia="en-US"/>
        </w:rPr>
        <w:softHyphen/>
        <w:t>cepción de las sociedades anónimas abiertas. También se considerarán inhabilitadas para contratar, las personas jurídicas sobre las cuales se haya ordenado la suspensión de la perso</w:t>
      </w:r>
      <w:r w:rsidRPr="00E34BBF">
        <w:rPr>
          <w:rFonts w:ascii="Verdana" w:eastAsia="Calibri" w:hAnsi="Verdana" w:cs="Arial"/>
          <w:sz w:val="16"/>
          <w:szCs w:val="16"/>
          <w:lang w:val="es-ES" w:eastAsia="en-US"/>
        </w:rPr>
        <w:softHyphen/>
        <w:t>nería jurídica en los términos de ley, o cuyos representantes legales, ad</w:t>
      </w:r>
      <w:r w:rsidRPr="00E34BBF">
        <w:rPr>
          <w:rFonts w:ascii="Verdana" w:eastAsia="Calibri" w:hAnsi="Verdana" w:cs="Arial"/>
          <w:sz w:val="16"/>
          <w:szCs w:val="16"/>
          <w:lang w:val="es-ES" w:eastAsia="en-US"/>
        </w:rPr>
        <w:softHyphen/>
        <w:t>ministradores de hecho o de derecho, miembros de junta directiva o sus socios controlantes, sus matrices, subordinadas y/o las sucursales de sociedades extranjeras, hayan sido beneficiados con la aplicación de un principio de oportunidad por cualquier delito contra la Administración pública o el patrimonio del Estado.  La inhabilidad prevista en este literal se extenderá de forma perma</w:t>
      </w:r>
      <w:r w:rsidRPr="00E34BBF">
        <w:rPr>
          <w:rFonts w:ascii="Verdana" w:eastAsia="Calibri" w:hAnsi="Verdana" w:cs="Arial"/>
          <w:sz w:val="16"/>
          <w:szCs w:val="16"/>
          <w:lang w:val="es-ES" w:eastAsia="en-US"/>
        </w:rPr>
        <w:softHyphen/>
        <w:t>nente a las sociedades de las que hagan parte dichas personas en las calidades presentadas en los incisos anteriores, y se aplicará de igual forma a las personas naturales que hayan sido declaradas responsables judicialmente por la comisión de delitos mencionados en este literal. </w:t>
      </w:r>
    </w:p>
    <w:p w14:paraId="62F72350" w14:textId="77777777" w:rsidR="0076699A" w:rsidRPr="00E34BBF" w:rsidRDefault="0076699A" w:rsidP="0076699A">
      <w:pPr>
        <w:pStyle w:val="NormalWeb"/>
        <w:spacing w:before="0" w:beforeAutospacing="0" w:after="0" w:afterAutospacing="0"/>
        <w:jc w:val="both"/>
        <w:rPr>
          <w:rFonts w:ascii="Verdana" w:eastAsia="Calibri" w:hAnsi="Verdana" w:cs="Arial"/>
          <w:sz w:val="16"/>
          <w:szCs w:val="16"/>
          <w:lang w:val="es-ES" w:eastAsia="en-US"/>
        </w:rPr>
      </w:pPr>
      <w:r w:rsidRPr="00E34BBF">
        <w:rPr>
          <w:rFonts w:ascii="Verdana" w:eastAsia="Calibri" w:hAnsi="Verdana" w:cs="Arial"/>
          <w:sz w:val="16"/>
          <w:szCs w:val="16"/>
          <w:lang w:val="es-ES" w:eastAsia="en-US"/>
        </w:rPr>
        <w:t>[…]</w:t>
      </w:r>
    </w:p>
    <w:p w14:paraId="3E1295C5" w14:textId="77777777" w:rsidR="0076699A" w:rsidRPr="00E34BBF" w:rsidRDefault="0076699A" w:rsidP="0076699A">
      <w:pPr>
        <w:pStyle w:val="NormalWeb"/>
        <w:spacing w:before="0" w:beforeAutospacing="0" w:after="0" w:afterAutospacing="0"/>
        <w:ind w:firstLine="708"/>
        <w:jc w:val="both"/>
        <w:rPr>
          <w:rFonts w:ascii="Verdana" w:eastAsia="Calibri" w:hAnsi="Verdana" w:cs="Arial"/>
          <w:sz w:val="16"/>
          <w:szCs w:val="16"/>
          <w:lang w:val="es-ES" w:eastAsia="en-US"/>
        </w:rPr>
      </w:pPr>
      <w:r w:rsidRPr="00E34BBF">
        <w:rPr>
          <w:rFonts w:ascii="Verdana" w:eastAsia="Calibri" w:hAnsi="Verdana" w:cs="Arial"/>
          <w:sz w:val="16"/>
          <w:szCs w:val="16"/>
          <w:lang w:val="es-ES" w:eastAsia="en-US"/>
        </w:rPr>
        <w:t>2o. Tampoco podrán participar en licitaciones o concursos ni celebrar contratos estatales con la entidad respectiva: </w:t>
      </w:r>
    </w:p>
    <w:p w14:paraId="6A087B02" w14:textId="77777777" w:rsidR="0076699A" w:rsidRPr="00E34BBF" w:rsidRDefault="0076699A" w:rsidP="0076699A">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a) Quienes fueron miembros de la junta o consejo directivo o servidores públicos de la entidad contratante. Esta incompatibilidad solo comprende a quienes desempeñaron funciones en los niveles directivo, asesor o ejecutivo y se extiende por el término de un (1) año, contado a partir de la fecha del retiro. </w:t>
      </w:r>
    </w:p>
    <w:p w14:paraId="6263F0C3" w14:textId="77777777" w:rsidR="0076699A" w:rsidRPr="00E34BBF" w:rsidRDefault="0076699A" w:rsidP="0076699A">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b)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w:t>
      </w:r>
    </w:p>
    <w:p w14:paraId="2F185E67" w14:textId="77777777" w:rsidR="0076699A" w:rsidRPr="00E34BBF" w:rsidRDefault="0076699A" w:rsidP="0076699A">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c) El cónyuge, compañero o compañera permanente del servidor público en los niveles directivo, asesor, ejecutivo, o de un miembro de la junta o consejo directivo, o de quien ejerza funciones de control interno o de control fiscal. </w:t>
      </w:r>
    </w:p>
    <w:p w14:paraId="54EA6F08" w14:textId="77777777" w:rsidR="0076699A" w:rsidRPr="00E34BBF" w:rsidRDefault="0076699A" w:rsidP="0076699A">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d)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w:t>
      </w:r>
    </w:p>
    <w:p w14:paraId="40B26909" w14:textId="77777777" w:rsidR="0076699A" w:rsidRPr="00E34BBF" w:rsidRDefault="0076699A" w:rsidP="0076699A">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e) Los miembros de las juntas o consejos directivos. Esta incompatibilidad sólo se predica respecto de la entidad a la cual prestan sus servicios y de las del sector administrativo al que la misma esté adscrita o vinculada. </w:t>
      </w:r>
    </w:p>
    <w:p w14:paraId="17746406" w14:textId="77777777" w:rsidR="0076699A" w:rsidRDefault="0076699A" w:rsidP="0076699A">
      <w:pPr>
        <w:pStyle w:val="NormalWeb"/>
        <w:spacing w:before="0" w:beforeAutospacing="0" w:after="0" w:afterAutospacing="0"/>
        <w:ind w:firstLine="708"/>
        <w:jc w:val="both"/>
        <w:rPr>
          <w:rFonts w:ascii="Verdana" w:eastAsia="Calibri" w:hAnsi="Verdana" w:cs="Arial"/>
          <w:sz w:val="16"/>
          <w:szCs w:val="16"/>
          <w:lang w:val="pt-BR" w:eastAsia="en-US"/>
        </w:rPr>
      </w:pPr>
      <w:r w:rsidRPr="00E34BBF">
        <w:rPr>
          <w:rFonts w:ascii="Verdana" w:eastAsia="Calibri" w:hAnsi="Verdana" w:cs="Arial"/>
          <w:sz w:val="16"/>
          <w:szCs w:val="16"/>
          <w:lang w:val="es-ES" w:eastAsia="en-US"/>
        </w:rPr>
        <w:t>f)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Esta incompatibilidad también operará para las personas que se encuentren dentro del primer grado de consanguinidad, primero de afinidad, o primer</w:t>
      </w:r>
      <w:r>
        <w:rPr>
          <w:rFonts w:ascii="Verdana" w:eastAsia="Calibri" w:hAnsi="Verdana" w:cs="Arial"/>
          <w:sz w:val="16"/>
          <w:szCs w:val="16"/>
          <w:lang w:val="es-ES" w:eastAsia="en-US"/>
        </w:rPr>
        <w:t xml:space="preserve">o civil del </w:t>
      </w:r>
      <w:proofErr w:type="gramStart"/>
      <w:r>
        <w:rPr>
          <w:rFonts w:ascii="Verdana" w:eastAsia="Calibri" w:hAnsi="Verdana" w:cs="Arial"/>
          <w:sz w:val="16"/>
          <w:szCs w:val="16"/>
          <w:lang w:val="es-ES" w:eastAsia="en-US"/>
        </w:rPr>
        <w:t>ex empleado</w:t>
      </w:r>
      <w:proofErr w:type="gramEnd"/>
      <w:r>
        <w:rPr>
          <w:rFonts w:ascii="Verdana" w:eastAsia="Calibri" w:hAnsi="Verdana" w:cs="Arial"/>
          <w:sz w:val="16"/>
          <w:szCs w:val="16"/>
          <w:lang w:val="es-ES" w:eastAsia="en-US"/>
        </w:rPr>
        <w:t xml:space="preserve"> público”</w:t>
      </w:r>
      <w:r w:rsidRPr="00E34BBF">
        <w:rPr>
          <w:rFonts w:ascii="Verdana" w:eastAsia="Calibri" w:hAnsi="Verdana" w:cs="Arial"/>
          <w:sz w:val="16"/>
          <w:szCs w:val="16"/>
          <w:lang w:val="es-ES" w:eastAsia="en-US"/>
        </w:rPr>
        <w:t xml:space="preserve">. </w:t>
      </w:r>
      <w:r w:rsidRPr="00E34BBF">
        <w:rPr>
          <w:rFonts w:ascii="Verdana" w:eastAsia="Calibri" w:hAnsi="Verdana" w:cs="Arial"/>
          <w:sz w:val="16"/>
          <w:szCs w:val="16"/>
          <w:lang w:val="pt-BR" w:eastAsia="en-US"/>
        </w:rPr>
        <w:t xml:space="preserve">(…). </w:t>
      </w:r>
    </w:p>
    <w:p w14:paraId="672E0747" w14:textId="77777777" w:rsidR="0076699A" w:rsidRPr="0045272C" w:rsidRDefault="0076699A" w:rsidP="0076699A">
      <w:pPr>
        <w:pStyle w:val="NormalWeb"/>
        <w:spacing w:before="0" w:beforeAutospacing="0" w:after="0" w:afterAutospacing="0"/>
        <w:ind w:firstLine="708"/>
        <w:jc w:val="both"/>
        <w:rPr>
          <w:rFonts w:ascii="Verdana" w:eastAsia="Calibri" w:hAnsi="Verdana" w:cs="Arial"/>
          <w:sz w:val="16"/>
          <w:szCs w:val="16"/>
          <w:lang w:val="pt-BR" w:eastAsia="en-US"/>
        </w:rPr>
      </w:pPr>
    </w:p>
  </w:footnote>
  <w:footnote w:id="9">
    <w:p w14:paraId="6BDA2B79" w14:textId="77777777" w:rsidR="0076699A" w:rsidRPr="00E34BBF" w:rsidRDefault="0076699A" w:rsidP="0076699A">
      <w:pPr>
        <w:pStyle w:val="Textonotapie"/>
        <w:ind w:firstLine="708"/>
        <w:jc w:val="both"/>
        <w:rPr>
          <w:rFonts w:ascii="Verdana" w:hAnsi="Verdana"/>
          <w:sz w:val="16"/>
          <w:szCs w:val="16"/>
          <w:lang w:val="pt-BR"/>
        </w:rPr>
      </w:pPr>
      <w:r w:rsidRPr="00E34BBF">
        <w:rPr>
          <w:rStyle w:val="Refdenotaalpie"/>
          <w:rFonts w:ascii="Verdana" w:hAnsi="Verdana"/>
          <w:sz w:val="16"/>
          <w:szCs w:val="16"/>
        </w:rPr>
        <w:footnoteRef/>
      </w:r>
      <w:r w:rsidRPr="00E34BBF">
        <w:rPr>
          <w:rFonts w:ascii="Verdana" w:hAnsi="Verdana"/>
          <w:sz w:val="16"/>
          <w:szCs w:val="16"/>
          <w:lang w:val="pt-BR"/>
        </w:rPr>
        <w:t xml:space="preserve"> </w:t>
      </w:r>
      <w:r w:rsidRPr="00E34BBF">
        <w:rPr>
          <w:rFonts w:ascii="Verdana" w:hAnsi="Verdana" w:cs="Arial"/>
          <w:sz w:val="16"/>
          <w:szCs w:val="16"/>
          <w:lang w:val="pt-BR"/>
        </w:rPr>
        <w:t>Ibídem. p. 69.</w:t>
      </w:r>
    </w:p>
  </w:footnote>
  <w:footnote w:id="10">
    <w:p w14:paraId="2BC2A463" w14:textId="77777777" w:rsidR="0076699A" w:rsidRDefault="0076699A" w:rsidP="0076699A">
      <w:pPr>
        <w:pStyle w:val="Textonotapie"/>
        <w:ind w:firstLine="708"/>
        <w:jc w:val="both"/>
        <w:rPr>
          <w:rFonts w:ascii="Verdana" w:hAnsi="Verdana" w:cs="Arial"/>
          <w:sz w:val="16"/>
          <w:szCs w:val="16"/>
          <w:lang w:val="es-ES"/>
        </w:rPr>
      </w:pPr>
      <w:r w:rsidRPr="00E34BBF">
        <w:rPr>
          <w:rStyle w:val="Refdenotaalpie"/>
          <w:rFonts w:ascii="Verdana" w:hAnsi="Verdana"/>
          <w:sz w:val="16"/>
          <w:szCs w:val="16"/>
        </w:rPr>
        <w:footnoteRef/>
      </w:r>
      <w:r w:rsidRPr="00E34BBF">
        <w:rPr>
          <w:rFonts w:ascii="Verdana" w:hAnsi="Verdana"/>
          <w:sz w:val="16"/>
          <w:szCs w:val="16"/>
          <w:lang w:val="pt-BR"/>
        </w:rPr>
        <w:t xml:space="preserve"> </w:t>
      </w:r>
      <w:r w:rsidRPr="00E34BBF">
        <w:rPr>
          <w:rFonts w:ascii="Verdana" w:hAnsi="Verdana" w:cs="Arial"/>
          <w:sz w:val="16"/>
          <w:szCs w:val="16"/>
          <w:lang w:val="pt-BR"/>
        </w:rPr>
        <w:t xml:space="preserve">Corte Constitucional. Sentencia T-1039 de 2006. M.P. Humberto Sierra Porto. </w:t>
      </w:r>
      <w:r w:rsidRPr="00E34BBF">
        <w:rPr>
          <w:rFonts w:ascii="Verdana" w:hAnsi="Verdana" w:cs="Arial"/>
          <w:sz w:val="16"/>
          <w:szCs w:val="16"/>
          <w:lang w:val="es-ES"/>
        </w:rPr>
        <w:t xml:space="preserve">La Corte Constitucional ha mantenido este criterio en las sentencias: C-903 de 2008. M.P. Jaime Araujo Rentería; C-101 de 2018. M.P. Gloria Stella Ortiz Delgado; entre otras. </w:t>
      </w:r>
    </w:p>
    <w:p w14:paraId="6529454D" w14:textId="77777777" w:rsidR="0076699A" w:rsidRPr="00E34BBF" w:rsidRDefault="0076699A" w:rsidP="0076699A">
      <w:pPr>
        <w:pStyle w:val="Textonotapie"/>
        <w:ind w:firstLine="708"/>
        <w:jc w:val="both"/>
        <w:rPr>
          <w:rFonts w:ascii="Verdana" w:hAnsi="Verdana" w:cs="Arial"/>
          <w:sz w:val="16"/>
          <w:szCs w:val="16"/>
          <w:lang w:val="es-ES"/>
        </w:rPr>
      </w:pPr>
    </w:p>
  </w:footnote>
  <w:footnote w:id="11">
    <w:p w14:paraId="7B5484EB" w14:textId="77777777" w:rsidR="0076699A" w:rsidRPr="0045272C" w:rsidRDefault="0076699A" w:rsidP="0076699A">
      <w:pPr>
        <w:pStyle w:val="Textonotapie"/>
        <w:ind w:firstLine="708"/>
        <w:jc w:val="both"/>
        <w:rPr>
          <w:rFonts w:ascii="Verdana" w:hAnsi="Verdana" w:cs="Arial"/>
          <w:sz w:val="16"/>
          <w:szCs w:val="16"/>
          <w:lang w:val="es-ES"/>
        </w:rPr>
      </w:pPr>
      <w:r w:rsidRPr="00E34BBF">
        <w:rPr>
          <w:rStyle w:val="Refdenotaalpie"/>
          <w:rFonts w:ascii="Verdana" w:hAnsi="Verdana"/>
          <w:sz w:val="16"/>
          <w:szCs w:val="16"/>
        </w:rPr>
        <w:footnoteRef/>
      </w:r>
      <w:r w:rsidRPr="00E34BBF">
        <w:rPr>
          <w:rFonts w:ascii="Verdana" w:hAnsi="Verdana"/>
          <w:sz w:val="16"/>
          <w:szCs w:val="16"/>
        </w:rPr>
        <w:t xml:space="preserve"> </w:t>
      </w:r>
      <w:r>
        <w:rPr>
          <w:rFonts w:ascii="Verdana" w:hAnsi="Verdana" w:cs="Arial"/>
          <w:sz w:val="16"/>
          <w:szCs w:val="16"/>
          <w:lang w:val="es-ES"/>
        </w:rPr>
        <w:t>Consejo d</w:t>
      </w:r>
      <w:r w:rsidRPr="00E34BBF">
        <w:rPr>
          <w:rFonts w:ascii="Verdana" w:hAnsi="Verdana" w:cs="Arial"/>
          <w:sz w:val="16"/>
          <w:szCs w:val="16"/>
          <w:lang w:val="es-ES"/>
        </w:rPr>
        <w:t>e Estado. Sala de Consulta y Servicio Civil. Concepto del 30 de abril de 2015. Exp. 2251. C.P. Álvaro Namén Vargas.</w:t>
      </w:r>
    </w:p>
  </w:footnote>
  <w:footnote w:id="12">
    <w:p w14:paraId="747C256D" w14:textId="77777777" w:rsidR="0076699A" w:rsidRPr="0045272C" w:rsidRDefault="0076699A" w:rsidP="0076699A">
      <w:pPr>
        <w:pStyle w:val="Textonotapie"/>
        <w:ind w:firstLine="708"/>
        <w:jc w:val="both"/>
        <w:rPr>
          <w:rFonts w:ascii="Verdana" w:hAnsi="Verdana" w:cs="Arial"/>
          <w:sz w:val="16"/>
          <w:szCs w:val="16"/>
        </w:rPr>
      </w:pPr>
      <w:r w:rsidRPr="00E34BBF">
        <w:rPr>
          <w:rStyle w:val="Refdenotaalpie"/>
          <w:rFonts w:ascii="Verdana" w:hAnsi="Verdana"/>
          <w:sz w:val="16"/>
          <w:szCs w:val="16"/>
        </w:rPr>
        <w:footnoteRef/>
      </w:r>
      <w:r w:rsidRPr="00E34BBF">
        <w:rPr>
          <w:rFonts w:ascii="Verdana" w:hAnsi="Verdana"/>
          <w:sz w:val="16"/>
          <w:szCs w:val="16"/>
        </w:rPr>
        <w:t xml:space="preserve"> </w:t>
      </w:r>
      <w:r>
        <w:rPr>
          <w:rFonts w:ascii="Verdana" w:hAnsi="Verdana" w:cs="Arial"/>
          <w:sz w:val="16"/>
          <w:szCs w:val="16"/>
        </w:rPr>
        <w:t>Consejo d</w:t>
      </w:r>
      <w:r w:rsidRPr="00E34BBF">
        <w:rPr>
          <w:rFonts w:ascii="Verdana" w:hAnsi="Verdana" w:cs="Arial"/>
          <w:sz w:val="16"/>
          <w:szCs w:val="16"/>
        </w:rPr>
        <w:t>e Estado. Sección Tercera. Subsección A. Sentencia del 24 de junio de 2015. Exp. 40.635. C.P. Hernán Andrade Rincón (E).</w:t>
      </w:r>
    </w:p>
  </w:footnote>
  <w:footnote w:id="13">
    <w:p w14:paraId="59B4C2C1" w14:textId="77777777" w:rsidR="0076699A" w:rsidRPr="00E34BBF" w:rsidRDefault="0076699A" w:rsidP="0076699A">
      <w:pPr>
        <w:pStyle w:val="Textonotapie"/>
        <w:ind w:firstLine="708"/>
        <w:jc w:val="both"/>
        <w:rPr>
          <w:rFonts w:ascii="Verdana" w:hAnsi="Verdana"/>
          <w:sz w:val="16"/>
          <w:szCs w:val="16"/>
          <w:lang w:val="es-ES_tradnl"/>
        </w:rPr>
      </w:pPr>
      <w:r w:rsidRPr="00E34BBF">
        <w:rPr>
          <w:rStyle w:val="Refdenotaalpie"/>
          <w:rFonts w:ascii="Verdana" w:hAnsi="Verdana"/>
          <w:sz w:val="16"/>
          <w:szCs w:val="16"/>
        </w:rPr>
        <w:footnoteRef/>
      </w:r>
      <w:r w:rsidRPr="00E34BBF">
        <w:rPr>
          <w:rFonts w:ascii="Verdana" w:hAnsi="Verdana"/>
          <w:sz w:val="16"/>
          <w:szCs w:val="16"/>
        </w:rPr>
        <w:t xml:space="preserve"> </w:t>
      </w:r>
      <w:r>
        <w:rPr>
          <w:rFonts w:ascii="Verdana" w:hAnsi="Verdana" w:cs="Arial"/>
          <w:sz w:val="16"/>
          <w:szCs w:val="16"/>
        </w:rPr>
        <w:t>Consejo d</w:t>
      </w:r>
      <w:r w:rsidRPr="00E34BBF">
        <w:rPr>
          <w:rFonts w:ascii="Verdana" w:hAnsi="Verdana" w:cs="Arial"/>
          <w:sz w:val="16"/>
          <w:szCs w:val="16"/>
        </w:rPr>
        <w:t>e Estado. Sección Tercera. Subsección C. Sentencia del 22 de mayo de 2013. Rad. 24.057. C.P. Olga Mélida Valle De De La Hoz.</w:t>
      </w:r>
    </w:p>
  </w:footnote>
  <w:footnote w:id="14">
    <w:p w14:paraId="06A03F35" w14:textId="77777777" w:rsidR="0076699A" w:rsidRPr="0045272C" w:rsidRDefault="0076699A" w:rsidP="0076699A">
      <w:pPr>
        <w:pStyle w:val="Textonotapie"/>
        <w:ind w:firstLine="708"/>
        <w:jc w:val="both"/>
        <w:rPr>
          <w:rFonts w:ascii="Verdana" w:hAnsi="Verdana" w:cs="Arial"/>
          <w:sz w:val="16"/>
          <w:szCs w:val="16"/>
          <w:lang w:val="pt-BR"/>
        </w:rPr>
      </w:pPr>
      <w:r w:rsidRPr="00E34BBF">
        <w:rPr>
          <w:rStyle w:val="Refdenotaalpie"/>
          <w:rFonts w:ascii="Verdana" w:hAnsi="Verdana"/>
          <w:sz w:val="16"/>
          <w:szCs w:val="16"/>
        </w:rPr>
        <w:footnoteRef/>
      </w:r>
      <w:r w:rsidRPr="00E34BBF">
        <w:rPr>
          <w:rFonts w:ascii="Verdana" w:hAnsi="Verdana"/>
          <w:sz w:val="16"/>
          <w:szCs w:val="16"/>
          <w:lang w:val="pt-BR"/>
        </w:rPr>
        <w:t xml:space="preserve"> </w:t>
      </w:r>
      <w:r w:rsidRPr="00E34BBF">
        <w:rPr>
          <w:rFonts w:ascii="Verdana" w:hAnsi="Verdana" w:cs="Arial"/>
          <w:sz w:val="16"/>
          <w:szCs w:val="16"/>
          <w:lang w:val="pt-BR"/>
        </w:rPr>
        <w:t>Corte Constitucional. Sentencia C-415 de 1994. M.P. Eduardo Cifuentes Muñoz.</w:t>
      </w:r>
    </w:p>
  </w:footnote>
  <w:footnote w:id="15">
    <w:p w14:paraId="4CA5869B" w14:textId="77777777" w:rsidR="0076699A" w:rsidRPr="0045272C" w:rsidRDefault="0076699A" w:rsidP="0076699A">
      <w:pPr>
        <w:pStyle w:val="Textonotapie"/>
        <w:ind w:firstLine="708"/>
        <w:jc w:val="both"/>
        <w:rPr>
          <w:rFonts w:ascii="Verdana" w:hAnsi="Verdana" w:cs="Arial"/>
          <w:color w:val="000000"/>
          <w:sz w:val="16"/>
          <w:szCs w:val="16"/>
        </w:rPr>
      </w:pPr>
      <w:r w:rsidRPr="00E34BBF">
        <w:rPr>
          <w:rStyle w:val="Refdenotaalpie"/>
          <w:rFonts w:ascii="Verdana" w:hAnsi="Verdana"/>
          <w:sz w:val="16"/>
          <w:szCs w:val="16"/>
        </w:rPr>
        <w:footnoteRef/>
      </w:r>
      <w:r w:rsidRPr="00E34BBF">
        <w:rPr>
          <w:rFonts w:ascii="Verdana" w:hAnsi="Verdana"/>
          <w:sz w:val="16"/>
          <w:szCs w:val="16"/>
          <w:lang w:val="pt-BR"/>
        </w:rPr>
        <w:t xml:space="preserve"> </w:t>
      </w:r>
      <w:r>
        <w:rPr>
          <w:rFonts w:ascii="Verdana" w:hAnsi="Verdana" w:cs="Arial"/>
          <w:color w:val="000000"/>
          <w:sz w:val="16"/>
          <w:szCs w:val="16"/>
          <w:lang w:val="pt-BR"/>
        </w:rPr>
        <w:t>Consejo de Estado. Sección Tercera. Subsección B</w:t>
      </w:r>
      <w:r w:rsidRPr="00E34BBF">
        <w:rPr>
          <w:rFonts w:ascii="Verdana" w:hAnsi="Verdana" w:cs="Arial"/>
          <w:color w:val="000000"/>
          <w:sz w:val="16"/>
          <w:szCs w:val="16"/>
          <w:lang w:val="pt-BR"/>
        </w:rPr>
        <w:t xml:space="preserve">. Sentencia del 12 de diciembre de 2014. Exp. 26496. C.P. Ramiro Pazos Guerrero. </w:t>
      </w:r>
      <w:r w:rsidRPr="00E34BBF">
        <w:rPr>
          <w:rFonts w:ascii="Verdana" w:hAnsi="Verdana" w:cs="Arial"/>
          <w:color w:val="000000"/>
          <w:sz w:val="16"/>
          <w:szCs w:val="16"/>
        </w:rPr>
        <w:t>En similar sentido, la doctrina expresa que: “[…] las causales de inhabilidad e incompatibilidad resultan ser las que la ley de manera expresa señala, no siendo factible para las entidades estatales, crearlas en los pliegos de condiciones que elaboran (DAVILA VINUEZA, Luis Guillermo Régimen jurídico de la contratación estatal: aproximación crítica a Ley 80 de 1993. 3ª ed. Bogotá: Legis, 2016. p. 149.</w:t>
      </w:r>
    </w:p>
  </w:footnote>
  <w:footnote w:id="16">
    <w:p w14:paraId="0529C48D" w14:textId="77777777" w:rsidR="0076699A" w:rsidRPr="00E34BBF" w:rsidRDefault="0076699A" w:rsidP="0076699A">
      <w:pPr>
        <w:pStyle w:val="Textonotapie"/>
        <w:ind w:firstLine="708"/>
        <w:jc w:val="both"/>
        <w:rPr>
          <w:rFonts w:ascii="Verdana" w:hAnsi="Verdana"/>
          <w:sz w:val="16"/>
          <w:szCs w:val="16"/>
          <w:lang w:val="es-ES_tradnl"/>
        </w:rPr>
      </w:pPr>
      <w:r w:rsidRPr="00E34BBF">
        <w:rPr>
          <w:rStyle w:val="Refdenotaalpie"/>
          <w:rFonts w:ascii="Verdana" w:hAnsi="Verdana"/>
          <w:sz w:val="16"/>
          <w:szCs w:val="16"/>
        </w:rPr>
        <w:footnoteRef/>
      </w:r>
      <w:r w:rsidRPr="00E34BBF">
        <w:rPr>
          <w:rFonts w:ascii="Verdana" w:hAnsi="Verdana"/>
          <w:sz w:val="16"/>
          <w:szCs w:val="16"/>
        </w:rPr>
        <w:t xml:space="preserve"> </w:t>
      </w:r>
      <w:r>
        <w:rPr>
          <w:rFonts w:ascii="Verdana" w:hAnsi="Verdana" w:cs="Arial"/>
          <w:color w:val="000000"/>
          <w:sz w:val="16"/>
          <w:szCs w:val="16"/>
        </w:rPr>
        <w:t>Consejo d</w:t>
      </w:r>
      <w:r w:rsidRPr="00E34BBF">
        <w:rPr>
          <w:rFonts w:ascii="Verdana" w:hAnsi="Verdana" w:cs="Arial"/>
          <w:color w:val="000000"/>
          <w:sz w:val="16"/>
          <w:szCs w:val="16"/>
        </w:rPr>
        <w:t>e Estado. Sala de Consulta y Servicio Civil. Concepto del 29 de abril de 1998. Rad. 1097. C.P. Augusto Trejos Jaramillo.</w:t>
      </w:r>
    </w:p>
  </w:footnote>
  <w:footnote w:id="17">
    <w:p w14:paraId="2E65F957" w14:textId="77777777" w:rsidR="0076699A" w:rsidRPr="00206286" w:rsidRDefault="0076699A" w:rsidP="0076699A">
      <w:pPr>
        <w:pStyle w:val="Textonotapie"/>
        <w:ind w:firstLine="708"/>
        <w:jc w:val="both"/>
        <w:rPr>
          <w:rFonts w:ascii="Verdana" w:hAnsi="Verdana"/>
          <w:bCs/>
          <w:iCs/>
          <w:sz w:val="16"/>
          <w:szCs w:val="16"/>
          <w:lang w:val="es-CO"/>
        </w:rPr>
      </w:pPr>
      <w:r w:rsidRPr="00206286">
        <w:rPr>
          <w:rStyle w:val="Refdenotaalpie"/>
          <w:rFonts w:ascii="Verdana" w:hAnsi="Verdana"/>
          <w:sz w:val="16"/>
          <w:szCs w:val="16"/>
        </w:rPr>
        <w:footnoteRef/>
      </w:r>
      <w:r w:rsidRPr="00206286">
        <w:rPr>
          <w:rFonts w:ascii="Verdana" w:hAnsi="Verdana"/>
          <w:sz w:val="16"/>
          <w:szCs w:val="16"/>
        </w:rPr>
        <w:t xml:space="preserve"> </w:t>
      </w:r>
      <w:r w:rsidRPr="00206286">
        <w:rPr>
          <w:rFonts w:ascii="Verdana" w:hAnsi="Verdana"/>
          <w:sz w:val="16"/>
          <w:szCs w:val="16"/>
          <w:lang w:val="es-ES_tradnl"/>
        </w:rPr>
        <w:t xml:space="preserve">En referencia al registro de exclusiones </w:t>
      </w:r>
      <w:r w:rsidRPr="00206286">
        <w:rPr>
          <w:rFonts w:ascii="Verdana" w:hAnsi="Verdana"/>
          <w:bCs/>
          <w:iCs/>
          <w:sz w:val="16"/>
          <w:szCs w:val="16"/>
          <w:lang w:val="es-CO"/>
        </w:rPr>
        <w:t xml:space="preserve">en el sistema de información del boletín de responsables fiscales (Sibor), el artículo 6 de la Resolución 074 del 2026 de la Contraloría General de la República, dispone: </w:t>
      </w:r>
    </w:p>
    <w:p w14:paraId="191B4737" w14:textId="77777777" w:rsidR="0076699A" w:rsidRPr="00206286" w:rsidRDefault="0076699A" w:rsidP="0076699A">
      <w:pPr>
        <w:pStyle w:val="Textonotapie"/>
        <w:ind w:firstLine="708"/>
        <w:jc w:val="both"/>
        <w:rPr>
          <w:rFonts w:ascii="Verdana" w:hAnsi="Verdana"/>
          <w:sz w:val="16"/>
          <w:szCs w:val="16"/>
          <w:lang w:val="es-CO"/>
        </w:rPr>
      </w:pPr>
      <w:r w:rsidRPr="00206286">
        <w:rPr>
          <w:rFonts w:ascii="Verdana" w:hAnsi="Verdana"/>
          <w:bCs/>
          <w:sz w:val="16"/>
          <w:szCs w:val="16"/>
          <w:lang w:val="es-CO"/>
        </w:rPr>
        <w:t>Artículo</w:t>
      </w:r>
      <w:r w:rsidRPr="00206286">
        <w:rPr>
          <w:rFonts w:ascii="Verdana" w:hAnsi="Verdana"/>
          <w:sz w:val="16"/>
          <w:szCs w:val="16"/>
          <w:lang w:val="es-CO"/>
        </w:rPr>
        <w:t> </w:t>
      </w:r>
      <w:r w:rsidRPr="00206286">
        <w:rPr>
          <w:rFonts w:ascii="Verdana" w:hAnsi="Verdana"/>
          <w:bCs/>
          <w:sz w:val="16"/>
          <w:szCs w:val="16"/>
          <w:lang w:val="es-CO"/>
        </w:rPr>
        <w:t>6°. </w:t>
      </w:r>
      <w:r w:rsidRPr="00206286">
        <w:rPr>
          <w:rFonts w:ascii="Verdana" w:hAnsi="Verdana"/>
          <w:bCs/>
          <w:i/>
          <w:iCs/>
          <w:sz w:val="16"/>
          <w:szCs w:val="16"/>
          <w:lang w:val="es-CO"/>
        </w:rPr>
        <w:t>Registro de exclusiones en el sistema de información del boletín de responsables fiscales (Sibor).</w:t>
      </w:r>
      <w:r w:rsidRPr="00206286">
        <w:rPr>
          <w:rFonts w:ascii="Verdana" w:hAnsi="Verdana"/>
          <w:sz w:val="16"/>
          <w:szCs w:val="16"/>
          <w:lang w:val="es-CO"/>
        </w:rPr>
        <w:t> Los funcionarios competentes solicitarán la exclusión de las personas naturales o jurídicas que se encuentran reportadas en el Sibor, cuando se encuentre debidamente acreditada alguna de las siguientes causales:</w:t>
      </w:r>
    </w:p>
    <w:p w14:paraId="4687BCD5" w14:textId="77777777" w:rsidR="0076699A" w:rsidRPr="00206286" w:rsidRDefault="0076699A" w:rsidP="0076699A">
      <w:pPr>
        <w:pStyle w:val="Textonotapie"/>
        <w:ind w:firstLine="708"/>
        <w:jc w:val="both"/>
        <w:rPr>
          <w:rFonts w:ascii="Verdana" w:hAnsi="Verdana"/>
          <w:sz w:val="16"/>
          <w:szCs w:val="16"/>
          <w:lang w:val="es-CO"/>
        </w:rPr>
      </w:pPr>
      <w:r w:rsidRPr="00206286">
        <w:rPr>
          <w:rFonts w:ascii="Verdana" w:hAnsi="Verdana"/>
          <w:sz w:val="16"/>
          <w:szCs w:val="16"/>
          <w:lang w:val="es-CO"/>
        </w:rPr>
        <w:t>1. Pago total de las obligaciones.</w:t>
      </w:r>
    </w:p>
    <w:p w14:paraId="60640587" w14:textId="77777777" w:rsidR="0076699A" w:rsidRPr="00206286" w:rsidRDefault="0076699A" w:rsidP="0076699A">
      <w:pPr>
        <w:pStyle w:val="Textonotapie"/>
        <w:ind w:firstLine="708"/>
        <w:jc w:val="both"/>
        <w:rPr>
          <w:rFonts w:ascii="Verdana" w:hAnsi="Verdana"/>
          <w:sz w:val="16"/>
          <w:szCs w:val="16"/>
          <w:lang w:val="es-CO"/>
        </w:rPr>
      </w:pPr>
      <w:r w:rsidRPr="00206286">
        <w:rPr>
          <w:rFonts w:ascii="Verdana" w:hAnsi="Verdana"/>
          <w:sz w:val="16"/>
          <w:szCs w:val="16"/>
          <w:lang w:val="es-CO"/>
        </w:rPr>
        <w:t>2. Por orden judicial debidamente ejecutoriada.</w:t>
      </w:r>
    </w:p>
    <w:p w14:paraId="7834F730" w14:textId="77777777" w:rsidR="0076699A" w:rsidRPr="00206286" w:rsidRDefault="0076699A" w:rsidP="0076699A">
      <w:pPr>
        <w:pStyle w:val="Textonotapie"/>
        <w:ind w:firstLine="708"/>
        <w:jc w:val="both"/>
        <w:rPr>
          <w:rFonts w:ascii="Verdana" w:hAnsi="Verdana"/>
          <w:sz w:val="16"/>
          <w:szCs w:val="16"/>
          <w:lang w:val="es-CO"/>
        </w:rPr>
      </w:pPr>
      <w:r w:rsidRPr="00206286">
        <w:rPr>
          <w:rFonts w:ascii="Verdana" w:hAnsi="Verdana"/>
          <w:sz w:val="16"/>
          <w:szCs w:val="16"/>
          <w:lang w:val="es-CO"/>
        </w:rPr>
        <w:t>3. Pérdida de fuerza ejecutoria del fallo con responsabilidad fiscal.</w:t>
      </w:r>
    </w:p>
    <w:p w14:paraId="22FBE2E7" w14:textId="77777777" w:rsidR="0076699A" w:rsidRPr="00206286" w:rsidRDefault="0076699A" w:rsidP="0076699A">
      <w:pPr>
        <w:pStyle w:val="Textonotapie"/>
        <w:ind w:firstLine="708"/>
        <w:jc w:val="both"/>
        <w:rPr>
          <w:rFonts w:ascii="Verdana" w:hAnsi="Verdana"/>
          <w:sz w:val="16"/>
          <w:szCs w:val="16"/>
          <w:lang w:val="es-CO"/>
        </w:rPr>
      </w:pPr>
      <w:r w:rsidRPr="00206286">
        <w:rPr>
          <w:rFonts w:ascii="Verdana" w:hAnsi="Verdana"/>
          <w:sz w:val="16"/>
          <w:szCs w:val="16"/>
          <w:lang w:val="es-CO"/>
        </w:rPr>
        <w:t>4. Prescripción de la acción de cobro.</w:t>
      </w:r>
    </w:p>
    <w:p w14:paraId="343C7223" w14:textId="77777777" w:rsidR="0076699A" w:rsidRPr="00206286" w:rsidRDefault="0076699A" w:rsidP="0076699A">
      <w:pPr>
        <w:pStyle w:val="Textonotapie"/>
        <w:ind w:firstLine="708"/>
        <w:jc w:val="both"/>
        <w:rPr>
          <w:rFonts w:ascii="Verdana" w:hAnsi="Verdana"/>
          <w:sz w:val="16"/>
          <w:szCs w:val="16"/>
          <w:lang w:val="es-CO"/>
        </w:rPr>
      </w:pPr>
      <w:r w:rsidRPr="00206286">
        <w:rPr>
          <w:rFonts w:ascii="Verdana" w:hAnsi="Verdana"/>
          <w:sz w:val="16"/>
          <w:szCs w:val="16"/>
          <w:lang w:val="es-CO"/>
        </w:rPr>
        <w:t>5. Revocatoria directa del fallo con responsabilidad fiscal.</w:t>
      </w:r>
    </w:p>
    <w:p w14:paraId="0DF387BA" w14:textId="77777777" w:rsidR="0076699A" w:rsidRPr="00206286" w:rsidRDefault="0076699A" w:rsidP="0076699A">
      <w:pPr>
        <w:pStyle w:val="Textonotapie"/>
        <w:ind w:firstLine="708"/>
        <w:jc w:val="both"/>
        <w:rPr>
          <w:rFonts w:ascii="Verdana" w:hAnsi="Verdana"/>
          <w:sz w:val="16"/>
          <w:szCs w:val="16"/>
          <w:lang w:val="es-CO"/>
        </w:rPr>
      </w:pPr>
      <w:r w:rsidRPr="00206286">
        <w:rPr>
          <w:rFonts w:ascii="Verdana" w:hAnsi="Verdana"/>
          <w:sz w:val="16"/>
          <w:szCs w:val="16"/>
          <w:lang w:val="es-CO"/>
        </w:rPr>
        <w:t>La aplicación de la causal señalada en el numeral 4, respecto de la Contraloría General de la República, estará sujeta a su posición jurídica institucional.</w:t>
      </w:r>
    </w:p>
  </w:footnote>
  <w:footnote w:id="18">
    <w:p w14:paraId="52AAAA55" w14:textId="77777777" w:rsidR="0076699A" w:rsidRPr="00206286" w:rsidRDefault="0076699A" w:rsidP="0076699A">
      <w:pPr>
        <w:pStyle w:val="Textonotapie"/>
        <w:ind w:firstLine="708"/>
        <w:jc w:val="both"/>
        <w:rPr>
          <w:rFonts w:ascii="Verdana" w:hAnsi="Verdana"/>
          <w:sz w:val="16"/>
          <w:szCs w:val="16"/>
          <w:lang w:val="es-CO"/>
        </w:rPr>
      </w:pPr>
      <w:r w:rsidRPr="00206286">
        <w:rPr>
          <w:rStyle w:val="Refdenotaalpie"/>
          <w:rFonts w:ascii="Verdana" w:hAnsi="Verdana"/>
          <w:sz w:val="16"/>
          <w:szCs w:val="16"/>
        </w:rPr>
        <w:footnoteRef/>
      </w:r>
      <w:r w:rsidRPr="00206286">
        <w:rPr>
          <w:rFonts w:ascii="Verdana" w:hAnsi="Verdana"/>
          <w:sz w:val="16"/>
          <w:szCs w:val="16"/>
        </w:rPr>
        <w:t xml:space="preserve"> </w:t>
      </w:r>
      <w:r w:rsidRPr="00206286">
        <w:rPr>
          <w:rFonts w:ascii="Verdana" w:hAnsi="Verdana"/>
          <w:sz w:val="16"/>
          <w:szCs w:val="16"/>
          <w:lang w:val="es-CO"/>
        </w:rPr>
        <w:t>Consejo de Estado, Sala de Consulta y Servicio Civil, concepto del 24 de abril de 2012, radicado interno 2099.</w:t>
      </w:r>
    </w:p>
  </w:footnote>
  <w:footnote w:id="19">
    <w:p w14:paraId="78556ED2" w14:textId="77777777" w:rsidR="0076699A" w:rsidRPr="0063634F" w:rsidRDefault="0076699A" w:rsidP="0076699A">
      <w:pPr>
        <w:pStyle w:val="Textonotapie"/>
        <w:ind w:firstLine="708"/>
        <w:jc w:val="both"/>
        <w:rPr>
          <w:rFonts w:ascii="Verdana" w:hAnsi="Verdana"/>
          <w:sz w:val="16"/>
          <w:szCs w:val="16"/>
        </w:rPr>
      </w:pPr>
      <w:r w:rsidRPr="0063634F">
        <w:rPr>
          <w:rStyle w:val="Refdenotaalpie"/>
          <w:rFonts w:ascii="Verdana" w:hAnsi="Verdana"/>
          <w:sz w:val="16"/>
          <w:szCs w:val="16"/>
        </w:rPr>
        <w:footnoteRef/>
      </w:r>
      <w:r w:rsidRPr="0063634F">
        <w:rPr>
          <w:rFonts w:ascii="Verdana" w:hAnsi="Verdana"/>
          <w:sz w:val="16"/>
          <w:szCs w:val="16"/>
        </w:rPr>
        <w:t xml:space="preserve"> </w:t>
      </w:r>
      <w:r w:rsidRPr="0063634F">
        <w:rPr>
          <w:rFonts w:ascii="Verdana" w:hAnsi="Verdana"/>
          <w:sz w:val="16"/>
          <w:szCs w:val="16"/>
          <w:lang w:val="es-ES"/>
        </w:rPr>
        <w:t>DAVILA VINUEZA, Luis Guillermo Régimen jurídico de la contratación estatal: aproximación crítica a Ley 80 de 1993. 3ª ed. Bogotá: Legis</w:t>
      </w:r>
      <w:r>
        <w:rPr>
          <w:rFonts w:ascii="Verdana" w:hAnsi="Verdana"/>
          <w:sz w:val="16"/>
          <w:szCs w:val="16"/>
          <w:lang w:val="es-ES"/>
        </w:rPr>
        <w:t xml:space="preserve">, 2016, pp. 162-163. </w:t>
      </w:r>
    </w:p>
  </w:footnote>
  <w:footnote w:id="20">
    <w:p w14:paraId="0089565E" w14:textId="77777777" w:rsidR="0076699A" w:rsidRDefault="0076699A" w:rsidP="0076699A">
      <w:pPr>
        <w:pStyle w:val="Textonotapie"/>
        <w:ind w:firstLine="708"/>
        <w:jc w:val="both"/>
        <w:rPr>
          <w:rFonts w:ascii="Verdana" w:hAnsi="Verdana"/>
          <w:sz w:val="16"/>
          <w:szCs w:val="16"/>
          <w:lang w:val="es-CO"/>
        </w:rPr>
      </w:pPr>
      <w:r w:rsidRPr="0063634F">
        <w:rPr>
          <w:rStyle w:val="Refdenotaalpie"/>
          <w:rFonts w:ascii="Verdana" w:hAnsi="Verdana"/>
          <w:sz w:val="16"/>
          <w:szCs w:val="16"/>
        </w:rPr>
        <w:footnoteRef/>
      </w:r>
      <w:r w:rsidRPr="0063634F">
        <w:rPr>
          <w:rFonts w:ascii="Verdana" w:hAnsi="Verdana"/>
          <w:sz w:val="16"/>
          <w:szCs w:val="16"/>
        </w:rPr>
        <w:t xml:space="preserve"> </w:t>
      </w:r>
      <w:r w:rsidRPr="0063634F">
        <w:rPr>
          <w:rFonts w:ascii="Verdana" w:hAnsi="Verdana"/>
          <w:bCs/>
          <w:sz w:val="16"/>
          <w:szCs w:val="16"/>
          <w:lang w:val="es-CO"/>
        </w:rPr>
        <w:t>ARTICULO 26. DEL PRINCIPIO DE RESPONSABILIDAD.</w:t>
      </w:r>
      <w:r w:rsidRPr="0063634F">
        <w:rPr>
          <w:rFonts w:ascii="Verdana" w:hAnsi="Verdana"/>
          <w:b/>
          <w:bCs/>
          <w:sz w:val="16"/>
          <w:szCs w:val="16"/>
          <w:lang w:val="es-CO"/>
        </w:rPr>
        <w:t> </w:t>
      </w:r>
      <w:r>
        <w:rPr>
          <w:rFonts w:ascii="Verdana" w:hAnsi="Verdana"/>
          <w:sz w:val="16"/>
          <w:szCs w:val="16"/>
          <w:lang w:val="es-CO"/>
        </w:rPr>
        <w:t>En virtud de este principio:</w:t>
      </w:r>
    </w:p>
    <w:p w14:paraId="2FC3132A" w14:textId="77777777" w:rsidR="0076699A" w:rsidRDefault="0076699A" w:rsidP="0076699A">
      <w:pPr>
        <w:pStyle w:val="Textonotapie"/>
        <w:ind w:firstLine="708"/>
        <w:jc w:val="both"/>
        <w:rPr>
          <w:rFonts w:ascii="Verdana" w:hAnsi="Verdana"/>
          <w:sz w:val="16"/>
          <w:szCs w:val="16"/>
          <w:lang w:val="es-CO"/>
        </w:rPr>
      </w:pPr>
      <w:r>
        <w:rPr>
          <w:rFonts w:ascii="Verdana" w:hAnsi="Verdana"/>
          <w:sz w:val="16"/>
          <w:szCs w:val="16"/>
          <w:lang w:val="es-CO"/>
        </w:rPr>
        <w:t xml:space="preserve">[…] </w:t>
      </w:r>
    </w:p>
    <w:p w14:paraId="69C302E1" w14:textId="77777777" w:rsidR="0076699A" w:rsidRPr="0063634F" w:rsidRDefault="0076699A" w:rsidP="0076699A">
      <w:pPr>
        <w:pStyle w:val="Textonotapie"/>
        <w:ind w:firstLine="708"/>
        <w:jc w:val="both"/>
      </w:pPr>
      <w:r w:rsidRPr="0063634F">
        <w:rPr>
          <w:rFonts w:ascii="Verdana" w:hAnsi="Verdana"/>
          <w:sz w:val="16"/>
          <w:szCs w:val="16"/>
          <w:lang w:val="es-ES_tradnl"/>
        </w:rPr>
        <w:t>“</w:t>
      </w:r>
      <w:r w:rsidRPr="0063634F">
        <w:rPr>
          <w:rFonts w:ascii="Verdana" w:hAnsi="Verdana"/>
          <w:sz w:val="16"/>
          <w:szCs w:val="16"/>
          <w:lang w:val="es-CO"/>
        </w:rPr>
        <w:t>7o. Los contratistas responderán por haber ocultado al contratar, inhabilidades, incompatibilidades o prohibiciones, o por haber suministrado información falsa”</w:t>
      </w:r>
    </w:p>
  </w:footnote>
  <w:footnote w:id="21">
    <w:p w14:paraId="79526829" w14:textId="77777777" w:rsidR="0076699A" w:rsidRPr="001871E2" w:rsidRDefault="0076699A" w:rsidP="0076699A">
      <w:pPr>
        <w:pStyle w:val="Textonotapie"/>
        <w:ind w:firstLine="708"/>
        <w:jc w:val="both"/>
        <w:rPr>
          <w:rFonts w:ascii="Verdana" w:hAnsi="Verdana"/>
          <w:sz w:val="16"/>
          <w:szCs w:val="16"/>
          <w:lang w:val="es-ES"/>
        </w:rPr>
      </w:pPr>
      <w:r w:rsidRPr="001871E2">
        <w:rPr>
          <w:rStyle w:val="Refdenotaalpie"/>
          <w:rFonts w:ascii="Verdana" w:hAnsi="Verdana"/>
          <w:sz w:val="16"/>
          <w:szCs w:val="16"/>
        </w:rPr>
        <w:footnoteRef/>
      </w:r>
      <w:r w:rsidRPr="001871E2">
        <w:rPr>
          <w:rFonts w:ascii="Verdana" w:hAnsi="Verdana"/>
          <w:sz w:val="16"/>
          <w:szCs w:val="16"/>
        </w:rPr>
        <w:t xml:space="preserve"> </w:t>
      </w:r>
      <w:r w:rsidRPr="001871E2">
        <w:rPr>
          <w:rFonts w:ascii="Verdana" w:hAnsi="Verdana"/>
          <w:sz w:val="16"/>
          <w:szCs w:val="16"/>
          <w:lang w:val="es-ES"/>
        </w:rPr>
        <w:t xml:space="preserve">El inciso segundo del artículo 9 de la Ley 80 de 1993, dispone: </w:t>
      </w:r>
      <w:r>
        <w:rPr>
          <w:rFonts w:ascii="Verdana" w:hAnsi="Verdana"/>
          <w:sz w:val="16"/>
          <w:szCs w:val="16"/>
          <w:lang w:val="es-ES"/>
        </w:rPr>
        <w:t>“</w:t>
      </w:r>
      <w:r w:rsidRPr="001871E2">
        <w:rPr>
          <w:rFonts w:ascii="Verdana" w:hAnsi="Verdana"/>
          <w:sz w:val="16"/>
          <w:szCs w:val="16"/>
          <w:lang w:val="es-CO"/>
        </w:rPr>
        <w:t>Cuando la inhabilidad o incompat</w:t>
      </w:r>
      <w:r>
        <w:rPr>
          <w:rFonts w:ascii="Verdana" w:hAnsi="Verdana"/>
          <w:sz w:val="16"/>
          <w:szCs w:val="16"/>
          <w:lang w:val="es-CO"/>
        </w:rPr>
        <w:t>ibilidad sobrevenga en un propo</w:t>
      </w:r>
      <w:r w:rsidRPr="001871E2">
        <w:rPr>
          <w:rFonts w:ascii="Verdana" w:hAnsi="Verdana"/>
          <w:sz w:val="16"/>
          <w:szCs w:val="16"/>
          <w:lang w:val="es-CO"/>
        </w:rPr>
        <w:t>nente dentro de un proceso de selección, se entenderá que renuncia a la participación en el proceso de selección y a los derechos surgidos del mismo</w:t>
      </w:r>
      <w:r>
        <w:rPr>
          <w:rFonts w:ascii="Verdana" w:hAnsi="Verdana"/>
          <w:sz w:val="16"/>
          <w:szCs w:val="16"/>
          <w:lang w:val="es-CO"/>
        </w:rPr>
        <w:t>”</w:t>
      </w:r>
      <w:r w:rsidRPr="001871E2">
        <w:rPr>
          <w:rFonts w:ascii="Verdana" w:hAnsi="Verdana"/>
          <w:sz w:val="16"/>
          <w:szCs w:val="16"/>
          <w:lang w:val="es-CO"/>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63634F" w:rsidRDefault="0063634F"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63634F" w:rsidRDefault="0063634F">
    <w:pPr>
      <w:pStyle w:val="Encabezado"/>
    </w:pPr>
  </w:p>
  <w:p w14:paraId="5E18350A" w14:textId="705F7B76" w:rsidR="0063634F" w:rsidRPr="004A305D" w:rsidRDefault="0063634F" w:rsidP="00B01B1A">
    <w:pPr>
      <w:spacing w:after="0" w:line="120" w:lineRule="auto"/>
      <w:rPr>
        <w:rFonts w:ascii="Century Gothic" w:eastAsia="Geo" w:hAnsi="Century Gothic" w:cs="Geo"/>
        <w:sz w:val="16"/>
        <w:szCs w:val="16"/>
        <w:lang w:eastAsia="es-CO"/>
      </w:rPr>
    </w:pPr>
  </w:p>
  <w:p w14:paraId="211B7F5D" w14:textId="77777777" w:rsidR="0063634F" w:rsidRDefault="0063634F" w:rsidP="00844AE9">
    <w:pPr>
      <w:spacing w:after="0" w:line="240" w:lineRule="auto"/>
      <w:rPr>
        <w:rFonts w:ascii="Verdana" w:hAnsi="Verdana"/>
        <w:sz w:val="24"/>
        <w:szCs w:val="24"/>
      </w:rPr>
    </w:pPr>
  </w:p>
  <w:p w14:paraId="5A0054B1" w14:textId="77777777" w:rsidR="0063634F" w:rsidRPr="00C925AC" w:rsidRDefault="0063634F" w:rsidP="00844AE9">
    <w:pPr>
      <w:spacing w:after="0" w:line="240" w:lineRule="auto"/>
      <w:rPr>
        <w:rFonts w:ascii="Verdana" w:hAnsi="Verdana"/>
        <w:sz w:val="24"/>
        <w:szCs w:val="24"/>
      </w:rPr>
    </w:pPr>
  </w:p>
  <w:p w14:paraId="1FD1C243" w14:textId="37C5500A" w:rsidR="0063634F" w:rsidRPr="00C925AC" w:rsidRDefault="0063634F"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C4D239F"/>
    <w:multiLevelType w:val="hybridMultilevel"/>
    <w:tmpl w:val="620CC4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2AC7E56"/>
    <w:multiLevelType w:val="multilevel"/>
    <w:tmpl w:val="F1C4A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6B37A8"/>
    <w:multiLevelType w:val="hybridMultilevel"/>
    <w:tmpl w:val="C980D864"/>
    <w:lvl w:ilvl="0" w:tplc="C17411E4">
      <w:start w:val="1"/>
      <w:numFmt w:val="decimal"/>
      <w:lvlText w:val="%1)"/>
      <w:lvlJc w:val="left"/>
      <w:pPr>
        <w:ind w:left="720" w:hanging="360"/>
      </w:pPr>
      <w:rPr>
        <w:rFonts w:ascii="Helvetica" w:hAnsi="Helvetica" w:cs="Helvetica" w:hint="default"/>
        <w:color w:val="414141"/>
        <w:sz w:val="21"/>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249509303">
    <w:abstractNumId w:val="9"/>
  </w:num>
  <w:num w:numId="2" w16cid:durableId="1059287532">
    <w:abstractNumId w:val="2"/>
  </w:num>
  <w:num w:numId="3" w16cid:durableId="823737739">
    <w:abstractNumId w:val="7"/>
  </w:num>
  <w:num w:numId="4" w16cid:durableId="103246098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85179981">
    <w:abstractNumId w:val="2"/>
  </w:num>
  <w:num w:numId="6" w16cid:durableId="29301567">
    <w:abstractNumId w:val="17"/>
  </w:num>
  <w:num w:numId="7" w16cid:durableId="1801459327">
    <w:abstractNumId w:val="8"/>
  </w:num>
  <w:num w:numId="8" w16cid:durableId="2118523697">
    <w:abstractNumId w:val="16"/>
  </w:num>
  <w:num w:numId="9" w16cid:durableId="118502075">
    <w:abstractNumId w:val="10"/>
  </w:num>
  <w:num w:numId="10" w16cid:durableId="891623195">
    <w:abstractNumId w:val="15"/>
  </w:num>
  <w:num w:numId="11" w16cid:durableId="1061321882">
    <w:abstractNumId w:val="12"/>
  </w:num>
  <w:num w:numId="12" w16cid:durableId="1939554348">
    <w:abstractNumId w:val="1"/>
  </w:num>
  <w:num w:numId="13" w16cid:durableId="913047614">
    <w:abstractNumId w:val="5"/>
  </w:num>
  <w:num w:numId="14" w16cid:durableId="132987982">
    <w:abstractNumId w:val="18"/>
  </w:num>
  <w:num w:numId="15" w16cid:durableId="371464358">
    <w:abstractNumId w:val="14"/>
  </w:num>
  <w:num w:numId="16" w16cid:durableId="1347050594">
    <w:abstractNumId w:val="6"/>
  </w:num>
  <w:num w:numId="17" w16cid:durableId="1460950776">
    <w:abstractNumId w:val="13"/>
  </w:num>
  <w:num w:numId="18" w16cid:durableId="959728786">
    <w:abstractNumId w:val="19"/>
  </w:num>
  <w:num w:numId="19" w16cid:durableId="629357919">
    <w:abstractNumId w:val="3"/>
  </w:num>
  <w:num w:numId="20" w16cid:durableId="275715410">
    <w:abstractNumId w:val="0"/>
  </w:num>
  <w:num w:numId="21" w16cid:durableId="1839466301">
    <w:abstractNumId w:val="11"/>
  </w:num>
  <w:num w:numId="22" w16cid:durableId="128203069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52F3"/>
    <w:rsid w:val="00016F78"/>
    <w:rsid w:val="00044C99"/>
    <w:rsid w:val="00046945"/>
    <w:rsid w:val="00061B2A"/>
    <w:rsid w:val="000711CF"/>
    <w:rsid w:val="00082362"/>
    <w:rsid w:val="00083922"/>
    <w:rsid w:val="000A683E"/>
    <w:rsid w:val="000B19B9"/>
    <w:rsid w:val="000D0334"/>
    <w:rsid w:val="000D5DA7"/>
    <w:rsid w:val="000F374F"/>
    <w:rsid w:val="000F6486"/>
    <w:rsid w:val="00104066"/>
    <w:rsid w:val="00105C57"/>
    <w:rsid w:val="00116940"/>
    <w:rsid w:val="00125105"/>
    <w:rsid w:val="00127233"/>
    <w:rsid w:val="001328F3"/>
    <w:rsid w:val="0015699B"/>
    <w:rsid w:val="001871E2"/>
    <w:rsid w:val="00194E97"/>
    <w:rsid w:val="001A33BF"/>
    <w:rsid w:val="001E2E05"/>
    <w:rsid w:val="001E4177"/>
    <w:rsid w:val="001F0B24"/>
    <w:rsid w:val="001F7DC6"/>
    <w:rsid w:val="00206286"/>
    <w:rsid w:val="0022032F"/>
    <w:rsid w:val="0022400B"/>
    <w:rsid w:val="0023251A"/>
    <w:rsid w:val="002421BB"/>
    <w:rsid w:val="00242434"/>
    <w:rsid w:val="0025796E"/>
    <w:rsid w:val="002707A2"/>
    <w:rsid w:val="00273BF5"/>
    <w:rsid w:val="0028778F"/>
    <w:rsid w:val="002951A0"/>
    <w:rsid w:val="00295603"/>
    <w:rsid w:val="002962BC"/>
    <w:rsid w:val="002A093D"/>
    <w:rsid w:val="002A0DD0"/>
    <w:rsid w:val="002A49AC"/>
    <w:rsid w:val="002A64FD"/>
    <w:rsid w:val="002B730F"/>
    <w:rsid w:val="002C7A84"/>
    <w:rsid w:val="002E2BF8"/>
    <w:rsid w:val="002E4FD9"/>
    <w:rsid w:val="002E51B0"/>
    <w:rsid w:val="002F3D4E"/>
    <w:rsid w:val="00304578"/>
    <w:rsid w:val="0030657A"/>
    <w:rsid w:val="00315E61"/>
    <w:rsid w:val="00316053"/>
    <w:rsid w:val="00322A85"/>
    <w:rsid w:val="00324168"/>
    <w:rsid w:val="00330834"/>
    <w:rsid w:val="00342856"/>
    <w:rsid w:val="003448F4"/>
    <w:rsid w:val="00363866"/>
    <w:rsid w:val="00364E93"/>
    <w:rsid w:val="00374F5E"/>
    <w:rsid w:val="00377E3E"/>
    <w:rsid w:val="00381BAB"/>
    <w:rsid w:val="003A779E"/>
    <w:rsid w:val="003D0F4D"/>
    <w:rsid w:val="003D5B0D"/>
    <w:rsid w:val="003E0499"/>
    <w:rsid w:val="003E4F80"/>
    <w:rsid w:val="003E6439"/>
    <w:rsid w:val="003F3941"/>
    <w:rsid w:val="00406575"/>
    <w:rsid w:val="0040775C"/>
    <w:rsid w:val="004140B3"/>
    <w:rsid w:val="00414C74"/>
    <w:rsid w:val="00421CBB"/>
    <w:rsid w:val="0042722E"/>
    <w:rsid w:val="00444AAA"/>
    <w:rsid w:val="0044528D"/>
    <w:rsid w:val="004555EA"/>
    <w:rsid w:val="00466E39"/>
    <w:rsid w:val="00494F04"/>
    <w:rsid w:val="004A1847"/>
    <w:rsid w:val="004A305D"/>
    <w:rsid w:val="004A713A"/>
    <w:rsid w:val="004B3DAC"/>
    <w:rsid w:val="004C634F"/>
    <w:rsid w:val="004F1EBE"/>
    <w:rsid w:val="004F21C4"/>
    <w:rsid w:val="004F685F"/>
    <w:rsid w:val="00531EC0"/>
    <w:rsid w:val="005566E8"/>
    <w:rsid w:val="00574867"/>
    <w:rsid w:val="00577558"/>
    <w:rsid w:val="00584F1D"/>
    <w:rsid w:val="00591460"/>
    <w:rsid w:val="00595D6A"/>
    <w:rsid w:val="005A65E0"/>
    <w:rsid w:val="005A67D4"/>
    <w:rsid w:val="005C0881"/>
    <w:rsid w:val="005C3777"/>
    <w:rsid w:val="005C5CDC"/>
    <w:rsid w:val="005D476C"/>
    <w:rsid w:val="005F20A4"/>
    <w:rsid w:val="00603C5B"/>
    <w:rsid w:val="006200BF"/>
    <w:rsid w:val="0062143E"/>
    <w:rsid w:val="006219F8"/>
    <w:rsid w:val="006302F7"/>
    <w:rsid w:val="0063634F"/>
    <w:rsid w:val="006419CB"/>
    <w:rsid w:val="00646B9F"/>
    <w:rsid w:val="00665D70"/>
    <w:rsid w:val="00684F67"/>
    <w:rsid w:val="006900D9"/>
    <w:rsid w:val="006A2BE4"/>
    <w:rsid w:val="006C3DBE"/>
    <w:rsid w:val="006C6FA1"/>
    <w:rsid w:val="0070090C"/>
    <w:rsid w:val="007025D7"/>
    <w:rsid w:val="00706C16"/>
    <w:rsid w:val="0070798B"/>
    <w:rsid w:val="0072126D"/>
    <w:rsid w:val="00731F30"/>
    <w:rsid w:val="007340C3"/>
    <w:rsid w:val="0075235A"/>
    <w:rsid w:val="00756841"/>
    <w:rsid w:val="007649AB"/>
    <w:rsid w:val="0076699A"/>
    <w:rsid w:val="007710C9"/>
    <w:rsid w:val="00771D0C"/>
    <w:rsid w:val="007833AC"/>
    <w:rsid w:val="00795086"/>
    <w:rsid w:val="007A1830"/>
    <w:rsid w:val="007B268C"/>
    <w:rsid w:val="007B7171"/>
    <w:rsid w:val="007C0871"/>
    <w:rsid w:val="007C0C0F"/>
    <w:rsid w:val="007C3DC2"/>
    <w:rsid w:val="007D3058"/>
    <w:rsid w:val="007E5497"/>
    <w:rsid w:val="00806F5F"/>
    <w:rsid w:val="00820278"/>
    <w:rsid w:val="008258C9"/>
    <w:rsid w:val="00844AE9"/>
    <w:rsid w:val="0086382A"/>
    <w:rsid w:val="00867F95"/>
    <w:rsid w:val="008843B6"/>
    <w:rsid w:val="008858DE"/>
    <w:rsid w:val="00891928"/>
    <w:rsid w:val="008A446D"/>
    <w:rsid w:val="008B25F1"/>
    <w:rsid w:val="008C439E"/>
    <w:rsid w:val="008D180B"/>
    <w:rsid w:val="008F0EA7"/>
    <w:rsid w:val="008F17DC"/>
    <w:rsid w:val="008F4334"/>
    <w:rsid w:val="008F6705"/>
    <w:rsid w:val="0090232F"/>
    <w:rsid w:val="00923EEF"/>
    <w:rsid w:val="009419F9"/>
    <w:rsid w:val="00950B6F"/>
    <w:rsid w:val="0095685E"/>
    <w:rsid w:val="00961B09"/>
    <w:rsid w:val="00965334"/>
    <w:rsid w:val="0097093E"/>
    <w:rsid w:val="009A0486"/>
    <w:rsid w:val="009A0DFA"/>
    <w:rsid w:val="009B2D26"/>
    <w:rsid w:val="009C71FA"/>
    <w:rsid w:val="009C72E7"/>
    <w:rsid w:val="009C7F7E"/>
    <w:rsid w:val="009D3058"/>
    <w:rsid w:val="009F3A13"/>
    <w:rsid w:val="00A0334B"/>
    <w:rsid w:val="00A122D3"/>
    <w:rsid w:val="00A14468"/>
    <w:rsid w:val="00A14A60"/>
    <w:rsid w:val="00A14FC6"/>
    <w:rsid w:val="00A17F13"/>
    <w:rsid w:val="00A20739"/>
    <w:rsid w:val="00A23AF9"/>
    <w:rsid w:val="00A31A76"/>
    <w:rsid w:val="00A33C78"/>
    <w:rsid w:val="00A73F45"/>
    <w:rsid w:val="00A87A5F"/>
    <w:rsid w:val="00A87F3B"/>
    <w:rsid w:val="00A97AB0"/>
    <w:rsid w:val="00AB0763"/>
    <w:rsid w:val="00AB0ADB"/>
    <w:rsid w:val="00AC7B72"/>
    <w:rsid w:val="00B00C0E"/>
    <w:rsid w:val="00B01B1A"/>
    <w:rsid w:val="00B44A47"/>
    <w:rsid w:val="00B53ADF"/>
    <w:rsid w:val="00B53BF2"/>
    <w:rsid w:val="00B54271"/>
    <w:rsid w:val="00B72CD3"/>
    <w:rsid w:val="00B72FFF"/>
    <w:rsid w:val="00B74092"/>
    <w:rsid w:val="00BB7A69"/>
    <w:rsid w:val="00BC3D36"/>
    <w:rsid w:val="00BC70CB"/>
    <w:rsid w:val="00BD54A6"/>
    <w:rsid w:val="00BD7F72"/>
    <w:rsid w:val="00BF3C9E"/>
    <w:rsid w:val="00BF5C08"/>
    <w:rsid w:val="00BF7425"/>
    <w:rsid w:val="00C04FB3"/>
    <w:rsid w:val="00C11D8B"/>
    <w:rsid w:val="00C1491E"/>
    <w:rsid w:val="00C219D3"/>
    <w:rsid w:val="00C330EB"/>
    <w:rsid w:val="00C50D69"/>
    <w:rsid w:val="00C5365C"/>
    <w:rsid w:val="00C754BE"/>
    <w:rsid w:val="00C76B1C"/>
    <w:rsid w:val="00C925AC"/>
    <w:rsid w:val="00CA6A8E"/>
    <w:rsid w:val="00CB6357"/>
    <w:rsid w:val="00CB75F7"/>
    <w:rsid w:val="00CC1B26"/>
    <w:rsid w:val="00CD4831"/>
    <w:rsid w:val="00CF1B9D"/>
    <w:rsid w:val="00D028AA"/>
    <w:rsid w:val="00D06146"/>
    <w:rsid w:val="00D0699E"/>
    <w:rsid w:val="00D334DD"/>
    <w:rsid w:val="00D361FD"/>
    <w:rsid w:val="00D377F0"/>
    <w:rsid w:val="00D423A2"/>
    <w:rsid w:val="00D44E26"/>
    <w:rsid w:val="00D520D8"/>
    <w:rsid w:val="00D62B9C"/>
    <w:rsid w:val="00D6367D"/>
    <w:rsid w:val="00D63AC2"/>
    <w:rsid w:val="00D725F7"/>
    <w:rsid w:val="00D7383B"/>
    <w:rsid w:val="00D7788A"/>
    <w:rsid w:val="00D86E98"/>
    <w:rsid w:val="00DA231B"/>
    <w:rsid w:val="00DC39FC"/>
    <w:rsid w:val="00DC7CCB"/>
    <w:rsid w:val="00DD3049"/>
    <w:rsid w:val="00DF5254"/>
    <w:rsid w:val="00E02524"/>
    <w:rsid w:val="00E16408"/>
    <w:rsid w:val="00E20894"/>
    <w:rsid w:val="00E22C5D"/>
    <w:rsid w:val="00E245AB"/>
    <w:rsid w:val="00E2764C"/>
    <w:rsid w:val="00E27F2E"/>
    <w:rsid w:val="00E41358"/>
    <w:rsid w:val="00E50536"/>
    <w:rsid w:val="00E50AFE"/>
    <w:rsid w:val="00E75C92"/>
    <w:rsid w:val="00E771DC"/>
    <w:rsid w:val="00E8772A"/>
    <w:rsid w:val="00E90F6B"/>
    <w:rsid w:val="00E92C27"/>
    <w:rsid w:val="00EA0211"/>
    <w:rsid w:val="00EA0E3D"/>
    <w:rsid w:val="00EC38A7"/>
    <w:rsid w:val="00ED33FB"/>
    <w:rsid w:val="00EE1AA8"/>
    <w:rsid w:val="00EF5E13"/>
    <w:rsid w:val="00EF647F"/>
    <w:rsid w:val="00F23FEA"/>
    <w:rsid w:val="00F27B7B"/>
    <w:rsid w:val="00F31EDC"/>
    <w:rsid w:val="00F462B3"/>
    <w:rsid w:val="00F5664F"/>
    <w:rsid w:val="00F666C4"/>
    <w:rsid w:val="00F76AFC"/>
    <w:rsid w:val="00F819D1"/>
    <w:rsid w:val="00F9344B"/>
    <w:rsid w:val="00F948E6"/>
    <w:rsid w:val="00F96097"/>
    <w:rsid w:val="00FA47C0"/>
    <w:rsid w:val="00FB5DD1"/>
    <w:rsid w:val="00FC2B5D"/>
    <w:rsid w:val="00FC5392"/>
    <w:rsid w:val="00FD520C"/>
    <w:rsid w:val="00FF1449"/>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DEA0834-1DCB-4EDE-9E34-6BD839811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699A"/>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character" w:customStyle="1" w:styleId="NormalWebCar">
    <w:name w:val="Normal (Web) Car"/>
    <w:link w:val="NormalWeb"/>
    <w:uiPriority w:val="99"/>
    <w:locked/>
    <w:rsid w:val="00273BF5"/>
    <w:rPr>
      <w:rFonts w:ascii="Times New Roman" w:eastAsia="Times New Roman" w:hAnsi="Times New Roman" w:cs="Times New Roman"/>
      <w:sz w:val="24"/>
      <w:szCs w:val="24"/>
      <w:lang w:eastAsia="es-CO"/>
    </w:rPr>
  </w:style>
  <w:style w:type="table" w:customStyle="1" w:styleId="Tablaconcuadrcula11">
    <w:name w:val="Tabla con cuadrícula11"/>
    <w:basedOn w:val="Tablanormal"/>
    <w:next w:val="Tablaconcuadrcula"/>
    <w:uiPriority w:val="39"/>
    <w:qFormat/>
    <w:rsid w:val="00273B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273BF5"/>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uerte">
    <w:name w:val="Strong"/>
    <w:basedOn w:val="Fuentedeprrafopredeter"/>
    <w:uiPriority w:val="22"/>
    <w:qFormat/>
    <w:rsid w:val="00273BF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165418">
      <w:bodyDiv w:val="1"/>
      <w:marLeft w:val="0"/>
      <w:marRight w:val="0"/>
      <w:marTop w:val="0"/>
      <w:marBottom w:val="0"/>
      <w:divBdr>
        <w:top w:val="none" w:sz="0" w:space="0" w:color="auto"/>
        <w:left w:val="none" w:sz="0" w:space="0" w:color="auto"/>
        <w:bottom w:val="none" w:sz="0" w:space="0" w:color="auto"/>
        <w:right w:val="none" w:sz="0" w:space="0" w:color="auto"/>
      </w:divBdr>
      <w:divsChild>
        <w:div w:id="1942640559">
          <w:marLeft w:val="0"/>
          <w:marRight w:val="0"/>
          <w:marTop w:val="0"/>
          <w:marBottom w:val="0"/>
          <w:divBdr>
            <w:top w:val="none" w:sz="0" w:space="0" w:color="auto"/>
            <w:left w:val="none" w:sz="0" w:space="0" w:color="auto"/>
            <w:bottom w:val="none" w:sz="0" w:space="0" w:color="auto"/>
            <w:right w:val="none" w:sz="0" w:space="0" w:color="auto"/>
          </w:divBdr>
        </w:div>
      </w:divsChild>
    </w:div>
    <w:div w:id="338117487">
      <w:bodyDiv w:val="1"/>
      <w:marLeft w:val="0"/>
      <w:marRight w:val="0"/>
      <w:marTop w:val="0"/>
      <w:marBottom w:val="0"/>
      <w:divBdr>
        <w:top w:val="none" w:sz="0" w:space="0" w:color="auto"/>
        <w:left w:val="none" w:sz="0" w:space="0" w:color="auto"/>
        <w:bottom w:val="none" w:sz="0" w:space="0" w:color="auto"/>
        <w:right w:val="none" w:sz="0" w:space="0" w:color="auto"/>
      </w:divBdr>
      <w:divsChild>
        <w:div w:id="1760441151">
          <w:marLeft w:val="0"/>
          <w:marRight w:val="0"/>
          <w:marTop w:val="0"/>
          <w:marBottom w:val="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37690543">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039814129">
      <w:bodyDiv w:val="1"/>
      <w:marLeft w:val="0"/>
      <w:marRight w:val="0"/>
      <w:marTop w:val="0"/>
      <w:marBottom w:val="0"/>
      <w:divBdr>
        <w:top w:val="none" w:sz="0" w:space="0" w:color="auto"/>
        <w:left w:val="none" w:sz="0" w:space="0" w:color="auto"/>
        <w:bottom w:val="none" w:sz="0" w:space="0" w:color="auto"/>
        <w:right w:val="none" w:sz="0" w:space="0" w:color="auto"/>
      </w:divBdr>
      <w:divsChild>
        <w:div w:id="134641030">
          <w:marLeft w:val="0"/>
          <w:marRight w:val="0"/>
          <w:marTop w:val="0"/>
          <w:marBottom w:val="0"/>
          <w:divBdr>
            <w:top w:val="none" w:sz="0" w:space="0" w:color="auto"/>
            <w:left w:val="none" w:sz="0" w:space="0" w:color="auto"/>
            <w:bottom w:val="none" w:sz="0" w:space="0" w:color="auto"/>
            <w:right w:val="none" w:sz="0" w:space="0" w:color="auto"/>
          </w:divBdr>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30189586">
      <w:bodyDiv w:val="1"/>
      <w:marLeft w:val="0"/>
      <w:marRight w:val="0"/>
      <w:marTop w:val="0"/>
      <w:marBottom w:val="0"/>
      <w:divBdr>
        <w:top w:val="none" w:sz="0" w:space="0" w:color="auto"/>
        <w:left w:val="none" w:sz="0" w:space="0" w:color="auto"/>
        <w:bottom w:val="none" w:sz="0" w:space="0" w:color="auto"/>
        <w:right w:val="none" w:sz="0" w:space="0" w:color="auto"/>
      </w:divBdr>
      <w:divsChild>
        <w:div w:id="857161394">
          <w:marLeft w:val="0"/>
          <w:marRight w:val="0"/>
          <w:marTop w:val="0"/>
          <w:marBottom w:val="0"/>
          <w:divBdr>
            <w:top w:val="none" w:sz="0" w:space="0" w:color="auto"/>
            <w:left w:val="none" w:sz="0" w:space="0" w:color="auto"/>
            <w:bottom w:val="none" w:sz="0" w:space="0" w:color="auto"/>
            <w:right w:val="none" w:sz="0" w:space="0" w:color="auto"/>
          </w:divBdr>
        </w:div>
      </w:divsChild>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398866873">
      <w:bodyDiv w:val="1"/>
      <w:marLeft w:val="0"/>
      <w:marRight w:val="0"/>
      <w:marTop w:val="0"/>
      <w:marBottom w:val="0"/>
      <w:divBdr>
        <w:top w:val="none" w:sz="0" w:space="0" w:color="auto"/>
        <w:left w:val="none" w:sz="0" w:space="0" w:color="auto"/>
        <w:bottom w:val="none" w:sz="0" w:space="0" w:color="auto"/>
        <w:right w:val="none" w:sz="0" w:space="0" w:color="auto"/>
      </w:divBdr>
      <w:divsChild>
        <w:div w:id="1964771597">
          <w:marLeft w:val="0"/>
          <w:marRight w:val="0"/>
          <w:marTop w:val="0"/>
          <w:marBottom w:val="0"/>
          <w:divBdr>
            <w:top w:val="none" w:sz="0" w:space="0" w:color="auto"/>
            <w:left w:val="none" w:sz="0" w:space="0" w:color="auto"/>
            <w:bottom w:val="none" w:sz="0" w:space="0" w:color="auto"/>
            <w:right w:val="none" w:sz="0" w:space="0" w:color="auto"/>
          </w:divBdr>
        </w:div>
      </w:divsChild>
    </w:div>
    <w:div w:id="1429040606">
      <w:bodyDiv w:val="1"/>
      <w:marLeft w:val="0"/>
      <w:marRight w:val="0"/>
      <w:marTop w:val="0"/>
      <w:marBottom w:val="0"/>
      <w:divBdr>
        <w:top w:val="none" w:sz="0" w:space="0" w:color="auto"/>
        <w:left w:val="none" w:sz="0" w:space="0" w:color="auto"/>
        <w:bottom w:val="none" w:sz="0" w:space="0" w:color="auto"/>
        <w:right w:val="none" w:sz="0" w:space="0" w:color="auto"/>
      </w:divBdr>
      <w:divsChild>
        <w:div w:id="1763990133">
          <w:marLeft w:val="0"/>
          <w:marRight w:val="0"/>
          <w:marTop w:val="0"/>
          <w:marBottom w:val="0"/>
          <w:divBdr>
            <w:top w:val="none" w:sz="0" w:space="0" w:color="auto"/>
            <w:left w:val="none" w:sz="0" w:space="0" w:color="auto"/>
            <w:bottom w:val="none" w:sz="0" w:space="0" w:color="auto"/>
            <w:right w:val="none" w:sz="0" w:space="0" w:color="auto"/>
          </w:divBdr>
        </w:div>
      </w:divsChild>
    </w:div>
    <w:div w:id="1655379867">
      <w:bodyDiv w:val="1"/>
      <w:marLeft w:val="0"/>
      <w:marRight w:val="0"/>
      <w:marTop w:val="0"/>
      <w:marBottom w:val="0"/>
      <w:divBdr>
        <w:top w:val="none" w:sz="0" w:space="0" w:color="auto"/>
        <w:left w:val="none" w:sz="0" w:space="0" w:color="auto"/>
        <w:bottom w:val="none" w:sz="0" w:space="0" w:color="auto"/>
        <w:right w:val="none" w:sz="0" w:space="0" w:color="auto"/>
      </w:divBdr>
      <w:divsChild>
        <w:div w:id="698317885">
          <w:marLeft w:val="0"/>
          <w:marRight w:val="0"/>
          <w:marTop w:val="0"/>
          <w:marBottom w:val="0"/>
          <w:divBdr>
            <w:top w:val="none" w:sz="0" w:space="0" w:color="auto"/>
            <w:left w:val="none" w:sz="0" w:space="0" w:color="auto"/>
            <w:bottom w:val="none" w:sz="0" w:space="0" w:color="auto"/>
            <w:right w:val="none" w:sz="0" w:space="0" w:color="auto"/>
          </w:divBdr>
        </w:div>
      </w:divsChild>
    </w:div>
    <w:div w:id="1779135800">
      <w:bodyDiv w:val="1"/>
      <w:marLeft w:val="0"/>
      <w:marRight w:val="0"/>
      <w:marTop w:val="0"/>
      <w:marBottom w:val="0"/>
      <w:divBdr>
        <w:top w:val="none" w:sz="0" w:space="0" w:color="auto"/>
        <w:left w:val="none" w:sz="0" w:space="0" w:color="auto"/>
        <w:bottom w:val="none" w:sz="0" w:space="0" w:color="auto"/>
        <w:right w:val="none" w:sz="0" w:space="0" w:color="auto"/>
      </w:divBdr>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1895962957">
      <w:bodyDiv w:val="1"/>
      <w:marLeft w:val="0"/>
      <w:marRight w:val="0"/>
      <w:marTop w:val="0"/>
      <w:marBottom w:val="0"/>
      <w:divBdr>
        <w:top w:val="none" w:sz="0" w:space="0" w:color="auto"/>
        <w:left w:val="none" w:sz="0" w:space="0" w:color="auto"/>
        <w:bottom w:val="none" w:sz="0" w:space="0" w:color="auto"/>
        <w:right w:val="none" w:sz="0" w:space="0" w:color="auto"/>
      </w:divBdr>
      <w:divsChild>
        <w:div w:id="132794209">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yulyneira@hotmail.com"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CC15FDC2-1C65-467C-9803-5CE7B6567459}">
  <ds:schemaRefs>
    <ds:schemaRef ds:uri="http://schemas.openxmlformats.org/officeDocument/2006/bibliography"/>
  </ds:schemaRefs>
</ds:datastoreItem>
</file>

<file path=customXml/itemProps2.xml><?xml version="1.0" encoding="utf-8"?>
<ds:datastoreItem xmlns:ds="http://schemas.openxmlformats.org/officeDocument/2006/customXml" ds:itemID="{4E712BBD-50F5-4D11-A148-A03F2DFF9B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27</Pages>
  <Words>8881</Words>
  <Characters>48850</Characters>
  <Application>Microsoft Office Word</Application>
  <DocSecurity>0</DocSecurity>
  <Lines>407</Lines>
  <Paragraphs>115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2026-05-20T01:36:00Z</dcterms:created>
  <dcterms:modified xsi:type="dcterms:W3CDTF">2026-05-20T16:54:00Z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