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3C719" w14:textId="77777777" w:rsidR="00CE52BE" w:rsidRDefault="00CE52BE" w:rsidP="00CE52BE">
      <w:pPr>
        <w:spacing w:line="276" w:lineRule="auto"/>
        <w:jc w:val="both"/>
        <w:rPr>
          <w:rFonts w:ascii="Verdana" w:eastAsia="Calibri" w:hAnsi="Verdana" w:cs="Arial"/>
          <w:b/>
          <w:bCs/>
          <w:lang w:val="es-ES" w:eastAsia="es-ES"/>
        </w:rPr>
      </w:pPr>
      <w:bookmarkStart w:id="0" w:name="_Hlk143780582"/>
      <w:r w:rsidRPr="00CE52BE">
        <w:rPr>
          <w:rFonts w:ascii="Verdana" w:eastAsia="Calibri" w:hAnsi="Verdana" w:cs="Arial"/>
          <w:b/>
          <w:bCs/>
          <w:lang w:val="es-ES" w:eastAsia="es-ES"/>
        </w:rPr>
        <w:t xml:space="preserve">LIMITACIÓN A MIPYMES – Fundamento normativo </w:t>
      </w:r>
    </w:p>
    <w:p w14:paraId="60B50894" w14:textId="77777777" w:rsidR="009744AA" w:rsidRPr="009744AA" w:rsidRDefault="009744AA" w:rsidP="009744AA">
      <w:pPr>
        <w:spacing w:after="120" w:line="240" w:lineRule="auto"/>
        <w:jc w:val="both"/>
        <w:rPr>
          <w:rFonts w:ascii="Verdana" w:hAnsi="Verdana"/>
          <w:sz w:val="20"/>
          <w:szCs w:val="20"/>
          <w:lang w:val="es-ES_tradnl"/>
        </w:rPr>
      </w:pPr>
      <w:r w:rsidRPr="009744AA">
        <w:rPr>
          <w:rFonts w:ascii="Verdana" w:hAnsi="Verdana"/>
          <w:sz w:val="20"/>
          <w:szCs w:val="20"/>
          <w:lang w:val="es-ES_tradnl"/>
        </w:rPr>
        <w:t xml:space="preserve">Respecto a las convocatorias de procesos contractuales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1C170722" w14:textId="77777777" w:rsidR="009744AA" w:rsidRPr="009744AA" w:rsidRDefault="009744AA" w:rsidP="009744AA">
      <w:pPr>
        <w:spacing w:after="120" w:line="240" w:lineRule="auto"/>
        <w:jc w:val="both"/>
        <w:rPr>
          <w:rFonts w:ascii="Verdana" w:hAnsi="Verdana"/>
          <w:sz w:val="20"/>
          <w:szCs w:val="20"/>
          <w:lang w:val="es-ES"/>
        </w:rPr>
      </w:pPr>
      <w:r w:rsidRPr="009744AA">
        <w:rPr>
          <w:rFonts w:ascii="Verdana" w:hAnsi="Verdana"/>
          <w:sz w:val="20"/>
          <w:szCs w:val="20"/>
          <w:lang w:val="es-ES_tradnl"/>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4FB7FEC1" w14:textId="3A79765F" w:rsidR="009744AA" w:rsidRPr="009744AA" w:rsidRDefault="009744AA" w:rsidP="009744AA">
      <w:pPr>
        <w:spacing w:line="240" w:lineRule="auto"/>
        <w:jc w:val="both"/>
        <w:rPr>
          <w:rFonts w:ascii="Verdana" w:eastAsia="Calibri" w:hAnsi="Verdana" w:cs="Arial"/>
          <w:b/>
          <w:bCs/>
          <w:sz w:val="20"/>
          <w:szCs w:val="20"/>
          <w:lang w:val="es-ES" w:eastAsia="es-ES"/>
        </w:rPr>
      </w:pPr>
      <w:r w:rsidRPr="009744AA">
        <w:rPr>
          <w:rFonts w:ascii="Verdana" w:hAnsi="Verdana"/>
          <w:sz w:val="20"/>
          <w:szCs w:val="20"/>
          <w:lang w:val="es-ES"/>
        </w:rPr>
        <w:t>Como se indicó, parte de la Ley 2069 de 2020 contiene normas que modifican algunos aspectos de la contratación estatal para promover el emprendimiento. Concretamente, aquellas se encuentran en el Capítulo III –artículos 30 al 36–.</w:t>
      </w:r>
    </w:p>
    <w:p w14:paraId="794E9F75" w14:textId="34DE3569" w:rsidR="00CE52BE" w:rsidRDefault="00CE52BE" w:rsidP="00CE52BE">
      <w:pPr>
        <w:spacing w:line="276" w:lineRule="auto"/>
        <w:jc w:val="both"/>
        <w:rPr>
          <w:rFonts w:ascii="Verdana" w:eastAsia="Calibri" w:hAnsi="Verdana" w:cs="Arial"/>
          <w:b/>
          <w:bCs/>
          <w:lang w:val="es-ES" w:eastAsia="es-ES"/>
        </w:rPr>
      </w:pPr>
      <w:r w:rsidRPr="00CE52BE">
        <w:rPr>
          <w:rFonts w:ascii="Verdana" w:eastAsia="Calibri" w:hAnsi="Verdana" w:cs="Arial"/>
          <w:b/>
          <w:bCs/>
          <w:lang w:val="es-ES" w:eastAsia="es-ES"/>
        </w:rPr>
        <w:t xml:space="preserve">LIMITACIÓN A MIPYMES – Requisitos – Decreto 1082 de 2015 – Art. 2.2.1.2.4.2.2 </w:t>
      </w:r>
    </w:p>
    <w:p w14:paraId="29C72E70" w14:textId="594D51EE" w:rsidR="008A20AF" w:rsidRPr="004839AE" w:rsidRDefault="008A20AF" w:rsidP="004839AE">
      <w:pPr>
        <w:spacing w:line="240" w:lineRule="auto"/>
        <w:jc w:val="both"/>
        <w:rPr>
          <w:rFonts w:ascii="Verdana" w:eastAsia="Calibri" w:hAnsi="Verdana" w:cs="Arial"/>
          <w:b/>
          <w:bCs/>
          <w:sz w:val="20"/>
          <w:szCs w:val="20"/>
          <w:lang w:val="es-ES" w:eastAsia="es-ES"/>
        </w:rPr>
      </w:pPr>
      <w:r w:rsidRPr="004839AE">
        <w:rPr>
          <w:rFonts w:ascii="Verdana" w:eastAsia="Calibri" w:hAnsi="Verdana" w:cs="Arial"/>
          <w:sz w:val="20"/>
          <w:szCs w:val="20"/>
          <w:lang w:val="es-ES"/>
        </w:rPr>
        <w:t xml:space="preserve">En </w:t>
      </w:r>
      <w:r w:rsidRPr="004839AE">
        <w:rPr>
          <w:rFonts w:ascii="Verdana" w:eastAsia="Arial" w:hAnsi="Verdana" w:cs="Arial"/>
          <w:color w:val="000000"/>
          <w:sz w:val="20"/>
          <w:szCs w:val="20"/>
        </w:rPr>
        <w:t xml:space="preserve">desarrollo del artículo 34 de la Ley de Emprendimiento, el artículo 2.2.1.2.4.2.2 del Decreto 1082 de 2015 –modificado por el Decreto 1860 de 2021– establece los requisitos que se deben acreditar en las “convocatorias limitadas a </w:t>
      </w:r>
      <w:proofErr w:type="spellStart"/>
      <w:r w:rsidRPr="004839AE">
        <w:rPr>
          <w:rFonts w:ascii="Verdana" w:eastAsia="Arial" w:hAnsi="Verdana" w:cs="Arial"/>
          <w:color w:val="000000"/>
          <w:sz w:val="20"/>
          <w:szCs w:val="20"/>
        </w:rPr>
        <w:t>Mipymes</w:t>
      </w:r>
      <w:proofErr w:type="spellEnd"/>
      <w:r w:rsidRPr="004839AE">
        <w:rPr>
          <w:rFonts w:ascii="Verdana" w:eastAsia="Arial" w:hAnsi="Verdana" w:cs="Arial"/>
          <w:color w:val="000000"/>
          <w:sz w:val="20"/>
          <w:szCs w:val="2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4839AE">
        <w:rPr>
          <w:rFonts w:ascii="Verdana" w:eastAsia="Arial" w:hAnsi="Verdana" w:cs="Arial"/>
          <w:color w:val="000000"/>
          <w:sz w:val="20"/>
          <w:szCs w:val="20"/>
        </w:rPr>
        <w:t>Mipyme</w:t>
      </w:r>
      <w:proofErr w:type="spellEnd"/>
      <w:r w:rsidRPr="004839AE">
        <w:rPr>
          <w:rFonts w:ascii="Verdana" w:eastAsia="Arial" w:hAnsi="Verdana" w:cs="Arial"/>
          <w:color w:val="000000"/>
          <w:sz w:val="20"/>
          <w:szCs w:val="20"/>
        </w:rPr>
        <w:t xml:space="preserve"> colombianas con mínimo un (1) año de existencia, siempre que se cumplan los requisitos señalados allí.</w:t>
      </w:r>
    </w:p>
    <w:p w14:paraId="14E02585" w14:textId="77777777" w:rsidR="009744AA" w:rsidRPr="00CE52BE" w:rsidRDefault="009744AA" w:rsidP="00CE52BE">
      <w:pPr>
        <w:spacing w:line="276" w:lineRule="auto"/>
        <w:jc w:val="both"/>
        <w:rPr>
          <w:rFonts w:ascii="Verdana" w:eastAsia="Calibri" w:hAnsi="Verdana" w:cs="Arial"/>
          <w:b/>
          <w:bCs/>
          <w:lang w:val="es-ES" w:eastAsia="es-ES"/>
        </w:rPr>
      </w:pPr>
    </w:p>
    <w:p w14:paraId="43F71788" w14:textId="77777777" w:rsidR="00CE52BE" w:rsidRDefault="00CE52BE">
      <w:pPr>
        <w:rPr>
          <w:rFonts w:ascii="Verdana" w:eastAsia="Verdana" w:hAnsi="Verdana" w:cs="Verdana"/>
        </w:rPr>
      </w:pPr>
      <w:r>
        <w:rPr>
          <w:rFonts w:ascii="Verdana" w:eastAsia="Verdana" w:hAnsi="Verdana" w:cs="Verdana"/>
        </w:rPr>
        <w:br w:type="page"/>
      </w:r>
    </w:p>
    <w:p w14:paraId="1468C46D" w14:textId="59022FF8" w:rsidR="00C15139" w:rsidRPr="0062491B" w:rsidRDefault="0038046B" w:rsidP="30821638">
      <w:pPr>
        <w:spacing w:after="0"/>
        <w:rPr>
          <w:rFonts w:ascii="Verdana" w:eastAsia="Verdana" w:hAnsi="Verdana" w:cs="Verdana"/>
        </w:rPr>
      </w:pPr>
      <w:r w:rsidRPr="0038046B">
        <w:rPr>
          <w:rFonts w:ascii="Verdana" w:eastAsia="Verdana" w:hAnsi="Verdana" w:cs="Verdana"/>
          <w:noProof/>
          <w:color w:val="4E4D4D"/>
          <w:lang w:val="es-ES" w:eastAsia="es-CO"/>
        </w:rPr>
        <w:lastRenderedPageBreak/>
        <w:drawing>
          <wp:anchor distT="0" distB="0" distL="114300" distR="114300" simplePos="0" relativeHeight="251658240" behindDoc="1" locked="0" layoutInCell="1" allowOverlap="1" wp14:anchorId="234707A6" wp14:editId="314C1127">
            <wp:simplePos x="0" y="0"/>
            <wp:positionH relativeFrom="column">
              <wp:posOffset>3336590</wp:posOffset>
            </wp:positionH>
            <wp:positionV relativeFrom="paragraph">
              <wp:posOffset>-17024</wp:posOffset>
            </wp:positionV>
            <wp:extent cx="2377224" cy="657112"/>
            <wp:effectExtent l="0" t="0" r="4445" b="0"/>
            <wp:wrapNone/>
            <wp:docPr id="8805940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11351" cy="666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0062491B">
        <w:rPr>
          <w:rFonts w:ascii="Verdana" w:eastAsia="Verdana" w:hAnsi="Verdana" w:cs="Verdana"/>
        </w:rPr>
        <w:t xml:space="preserve">Bogotá D.C., </w:t>
      </w:r>
      <w:r w:rsidR="00BC4964">
        <w:rPr>
          <w:rFonts w:ascii="Verdana" w:eastAsia="Verdana" w:hAnsi="Verdana" w:cs="Verdana"/>
        </w:rPr>
        <w:t>19 May 2026</w:t>
      </w:r>
      <w:r w:rsidR="00C15139" w:rsidRPr="0062491B">
        <w:rPr>
          <w:rFonts w:ascii="Verdana" w:hAnsi="Verdana"/>
        </w:rPr>
        <w:tab/>
      </w:r>
      <w:r w:rsidR="00C15139" w:rsidRPr="0062491B">
        <w:rPr>
          <w:rFonts w:ascii="Verdana" w:hAnsi="Verdana"/>
        </w:rPr>
        <w:br/>
      </w:r>
      <w:r w:rsidR="00C15139" w:rsidRPr="0062491B">
        <w:rPr>
          <w:rFonts w:ascii="Verdana" w:hAnsi="Verdana"/>
        </w:rPr>
        <w:tab/>
      </w:r>
    </w:p>
    <w:bookmarkEnd w:id="0"/>
    <w:p w14:paraId="0F293BF4" w14:textId="2BA66C70" w:rsidR="00127233" w:rsidRPr="0062491B" w:rsidRDefault="00127233" w:rsidP="00BE1B56">
      <w:pPr>
        <w:spacing w:after="0" w:line="240" w:lineRule="auto"/>
        <w:jc w:val="both"/>
        <w:textAlignment w:val="baseline"/>
        <w:rPr>
          <w:rFonts w:ascii="Verdana" w:eastAsia="Verdana" w:hAnsi="Verdana" w:cs="Verdana"/>
          <w:color w:val="4E4D4D"/>
          <w:lang w:val="es-ES" w:eastAsia="es-CO"/>
        </w:rPr>
      </w:pPr>
    </w:p>
    <w:p w14:paraId="4CD29578" w14:textId="62CCD5E5" w:rsidR="00BE1B56" w:rsidRPr="0062491B" w:rsidRDefault="00BE1B56" w:rsidP="00BE1B56">
      <w:pPr>
        <w:spacing w:after="0" w:line="276" w:lineRule="auto"/>
        <w:jc w:val="both"/>
        <w:rPr>
          <w:rFonts w:ascii="Verdana" w:eastAsia="Calibri" w:hAnsi="Verdana" w:cs="Arial"/>
          <w:lang w:eastAsia="es-ES"/>
        </w:rPr>
      </w:pPr>
      <w:r w:rsidRPr="0062491B">
        <w:rPr>
          <w:rFonts w:ascii="Verdana" w:eastAsia="Calibri" w:hAnsi="Verdana" w:cs="Arial"/>
          <w:lang w:eastAsia="es-ES"/>
        </w:rPr>
        <w:t>Señora</w:t>
      </w:r>
    </w:p>
    <w:p w14:paraId="5A7BD534" w14:textId="3486C6B1" w:rsidR="00BE1B56" w:rsidRPr="0062491B" w:rsidRDefault="00BE1B56" w:rsidP="00BE1B56">
      <w:pPr>
        <w:spacing w:after="0" w:line="276" w:lineRule="auto"/>
        <w:rPr>
          <w:rFonts w:ascii="Verdana" w:eastAsia="Calibri" w:hAnsi="Verdana" w:cs="Times New Roman"/>
          <w:b/>
          <w:bCs/>
        </w:rPr>
      </w:pPr>
      <w:r w:rsidRPr="0062491B">
        <w:rPr>
          <w:rFonts w:ascii="Verdana" w:eastAsia="Calibri" w:hAnsi="Verdana" w:cs="Times New Roman"/>
          <w:b/>
          <w:bCs/>
        </w:rPr>
        <w:t>Pilar Suárez</w:t>
      </w:r>
    </w:p>
    <w:p w14:paraId="016696A3" w14:textId="257BAD94" w:rsidR="00BE1B56" w:rsidRPr="0062491B" w:rsidRDefault="00BE1B56" w:rsidP="00BE1B56">
      <w:pPr>
        <w:spacing w:after="0" w:line="276" w:lineRule="auto"/>
        <w:rPr>
          <w:rFonts w:ascii="Verdana" w:hAnsi="Verdana"/>
        </w:rPr>
      </w:pPr>
      <w:hyperlink r:id="rId11" w:history="1">
        <w:r w:rsidRPr="0062491B">
          <w:rPr>
            <w:rStyle w:val="Hipervnculo"/>
            <w:rFonts w:ascii="Verdana" w:hAnsi="Verdana"/>
          </w:rPr>
          <w:t>licitaciones@marquezasociados.com.co</w:t>
        </w:r>
      </w:hyperlink>
    </w:p>
    <w:p w14:paraId="675CE109" w14:textId="6DD390CD" w:rsidR="00BE1B56" w:rsidRPr="0062491B" w:rsidRDefault="00BE1B56" w:rsidP="00BE1B56">
      <w:pPr>
        <w:spacing w:after="0" w:line="276" w:lineRule="auto"/>
        <w:rPr>
          <w:rFonts w:ascii="Verdana" w:hAnsi="Verdana"/>
        </w:rPr>
      </w:pPr>
      <w:r w:rsidRPr="0062491B">
        <w:rPr>
          <w:rFonts w:ascii="Verdana" w:hAnsi="Verdana"/>
        </w:rPr>
        <w:t>Ibagué - Tolima, Colombia</w:t>
      </w:r>
    </w:p>
    <w:p w14:paraId="7131F7AD" w14:textId="77777777" w:rsidR="00BE1B56" w:rsidRPr="0062491B" w:rsidRDefault="00BE1B56" w:rsidP="00BE1B56">
      <w:pPr>
        <w:spacing w:after="0" w:line="276" w:lineRule="auto"/>
        <w:rPr>
          <w:rFonts w:ascii="Verdana" w:hAnsi="Verdana"/>
        </w:rPr>
      </w:pPr>
    </w:p>
    <w:p w14:paraId="24F7952C" w14:textId="28307671" w:rsidR="00BE1B56" w:rsidRPr="0062491B" w:rsidRDefault="00BE1B56" w:rsidP="00BE1B56">
      <w:pPr>
        <w:spacing w:line="276" w:lineRule="auto"/>
        <w:ind w:left="2124"/>
        <w:rPr>
          <w:rFonts w:ascii="Verdana" w:eastAsia="Calibri" w:hAnsi="Verdana" w:cs="Arial"/>
          <w:b/>
          <w:bCs/>
          <w:lang w:eastAsia="es-ES"/>
        </w:rPr>
      </w:pPr>
      <w:r w:rsidRPr="0062491B">
        <w:rPr>
          <w:rFonts w:ascii="Verdana" w:eastAsia="Calibri" w:hAnsi="Verdana" w:cs="Arial"/>
          <w:b/>
          <w:bCs/>
          <w:lang w:eastAsia="es-ES"/>
        </w:rPr>
        <w:t xml:space="preserve">        Concepto C – 553 de 2026</w:t>
      </w: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E1B56" w:rsidRPr="0062491B" w14:paraId="303A0B87" w14:textId="77777777" w:rsidTr="009F7E40">
        <w:trPr>
          <w:trHeight w:val="884"/>
        </w:trPr>
        <w:tc>
          <w:tcPr>
            <w:tcW w:w="2689" w:type="dxa"/>
          </w:tcPr>
          <w:p w14:paraId="49226D0F" w14:textId="77777777" w:rsidR="00BE1B56" w:rsidRPr="0062491B" w:rsidRDefault="00BE1B56" w:rsidP="009F7E40">
            <w:pPr>
              <w:spacing w:line="276" w:lineRule="auto"/>
              <w:jc w:val="both"/>
              <w:rPr>
                <w:rFonts w:ascii="Verdana" w:eastAsia="Calibri" w:hAnsi="Verdana" w:cs="Arial"/>
                <w:color w:val="000000"/>
                <w:lang w:eastAsia="es-ES_tradnl"/>
              </w:rPr>
            </w:pPr>
            <w:r w:rsidRPr="0062491B">
              <w:rPr>
                <w:rFonts w:ascii="Verdana" w:eastAsia="Calibri" w:hAnsi="Verdana" w:cs="Arial"/>
                <w:b/>
                <w:color w:val="000000"/>
                <w:lang w:eastAsia="es-ES_tradnl"/>
              </w:rPr>
              <w:t>Temas:</w:t>
            </w:r>
            <w:r w:rsidRPr="0062491B">
              <w:rPr>
                <w:rFonts w:ascii="Verdana" w:eastAsia="Calibri" w:hAnsi="Verdana" w:cs="Arial"/>
                <w:color w:val="000000"/>
                <w:lang w:eastAsia="es-ES_tradnl"/>
              </w:rPr>
              <w:t xml:space="preserve">                   </w:t>
            </w:r>
          </w:p>
        </w:tc>
        <w:tc>
          <w:tcPr>
            <w:tcW w:w="6100" w:type="dxa"/>
          </w:tcPr>
          <w:p w14:paraId="4E565BB1" w14:textId="238C5D02" w:rsidR="00DA375E" w:rsidRDefault="00DA375E" w:rsidP="00DA375E">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LIMITACIÓN A MIPYMES – Fundamento normativo / LIMITACIÓN A MIPYMES – Requisitos – Decreto 1082 de 2015 – Art. 2.2.1.2.4.2.2 </w:t>
            </w:r>
          </w:p>
          <w:p w14:paraId="582C22A5" w14:textId="77777777" w:rsidR="00BE1B56" w:rsidRPr="0062491B" w:rsidRDefault="00BE1B56" w:rsidP="009F7E40">
            <w:pPr>
              <w:jc w:val="both"/>
              <w:rPr>
                <w:rFonts w:ascii="Verdana" w:eastAsia="Calibri" w:hAnsi="Verdana" w:cs="Arial"/>
                <w:lang w:eastAsia="es-ES"/>
              </w:rPr>
            </w:pPr>
          </w:p>
        </w:tc>
      </w:tr>
      <w:tr w:rsidR="00BE1B56" w:rsidRPr="0062491B" w14:paraId="02438102" w14:textId="77777777" w:rsidTr="009F7E40">
        <w:tc>
          <w:tcPr>
            <w:tcW w:w="2689" w:type="dxa"/>
          </w:tcPr>
          <w:p w14:paraId="3DD90FFC" w14:textId="77777777" w:rsidR="00BE1B56" w:rsidRPr="0062491B" w:rsidRDefault="00BE1B56" w:rsidP="009F7E40">
            <w:pPr>
              <w:spacing w:line="276" w:lineRule="auto"/>
              <w:jc w:val="both"/>
              <w:rPr>
                <w:rFonts w:ascii="Verdana" w:eastAsia="Calibri" w:hAnsi="Verdana" w:cs="Arial"/>
                <w:b/>
                <w:lang w:eastAsia="es-ES_tradnl"/>
              </w:rPr>
            </w:pPr>
            <w:r w:rsidRPr="0062491B">
              <w:rPr>
                <w:rFonts w:ascii="Verdana" w:eastAsia="Calibri" w:hAnsi="Verdana" w:cs="Arial"/>
                <w:b/>
                <w:lang w:eastAsia="es-ES_tradnl"/>
              </w:rPr>
              <w:t>Radicación:</w:t>
            </w:r>
            <w:r w:rsidRPr="0062491B">
              <w:rPr>
                <w:rFonts w:ascii="Verdana" w:eastAsia="Calibri" w:hAnsi="Verdana" w:cs="Arial"/>
                <w:lang w:eastAsia="es-ES_tradnl"/>
              </w:rPr>
              <w:t xml:space="preserve">               </w:t>
            </w:r>
          </w:p>
        </w:tc>
        <w:tc>
          <w:tcPr>
            <w:tcW w:w="6100" w:type="dxa"/>
          </w:tcPr>
          <w:p w14:paraId="4B471D7F" w14:textId="63F3EE6F" w:rsidR="00BE1B56" w:rsidRPr="0062491B" w:rsidRDefault="00BE1B56" w:rsidP="009F7E40">
            <w:pPr>
              <w:spacing w:line="276" w:lineRule="auto"/>
              <w:jc w:val="both"/>
              <w:rPr>
                <w:rFonts w:ascii="Verdana" w:eastAsia="Calibri" w:hAnsi="Verdana" w:cs="Arial"/>
                <w:lang w:eastAsia="es-ES_tradnl"/>
              </w:rPr>
            </w:pPr>
            <w:r w:rsidRPr="0062491B">
              <w:rPr>
                <w:rFonts w:ascii="Verdana" w:eastAsia="Calibri" w:hAnsi="Verdana" w:cs="Arial"/>
                <w:lang w:eastAsia="es-ES_tradnl"/>
              </w:rPr>
              <w:t>Respuesta a consultas con radicado No. 1_2026_04_06_004586</w:t>
            </w:r>
          </w:p>
        </w:tc>
      </w:tr>
    </w:tbl>
    <w:p w14:paraId="72B8E478" w14:textId="72B6BEFA" w:rsidR="00BE1B56" w:rsidRPr="0062491B" w:rsidRDefault="00BE1B56" w:rsidP="00BE1B56">
      <w:pPr>
        <w:spacing w:before="240" w:after="0" w:line="276" w:lineRule="auto"/>
        <w:jc w:val="both"/>
        <w:rPr>
          <w:rFonts w:ascii="Verdana" w:eastAsia="Calibri" w:hAnsi="Verdana" w:cs="Arial"/>
          <w:lang w:eastAsia="es-ES"/>
        </w:rPr>
      </w:pPr>
      <w:r w:rsidRPr="0062491B">
        <w:rPr>
          <w:rFonts w:ascii="Verdana" w:eastAsia="Calibri" w:hAnsi="Verdana" w:cs="Arial"/>
          <w:lang w:eastAsia="es-ES"/>
        </w:rPr>
        <w:t>Estimado señora Suárez,</w:t>
      </w:r>
    </w:p>
    <w:p w14:paraId="3A21B905" w14:textId="65BB3AC0" w:rsidR="00BE1B56" w:rsidRPr="0062491B" w:rsidRDefault="00BE1B56" w:rsidP="00BE1B56">
      <w:pPr>
        <w:spacing w:before="240" w:after="0" w:line="276" w:lineRule="auto"/>
        <w:jc w:val="both"/>
        <w:rPr>
          <w:rFonts w:ascii="Verdana" w:eastAsia="Calibri" w:hAnsi="Verdana" w:cs="Arial"/>
          <w:i/>
          <w:iCs/>
          <w:lang w:eastAsia="es-ES"/>
        </w:rPr>
      </w:pPr>
      <w:r w:rsidRPr="0062491B">
        <w:rPr>
          <w:rFonts w:ascii="Verdana" w:eastAsia="Calibri" w:hAnsi="Verdana" w:cs="Arial"/>
          <w:color w:val="000000"/>
          <w:lang w:eastAsia="es-ES"/>
        </w:rPr>
        <w:t>En ejercicio de la competencia otorgada por los artículos 3, numeral 5º, y 11, numeral 8º, del Decreto Ley 4170 de 2011,</w:t>
      </w:r>
      <w:r w:rsidRPr="0062491B">
        <w:rPr>
          <w:rFonts w:ascii="Verdana" w:eastAsia="Arial MT" w:hAnsi="Verdana" w:cs="Arial MT"/>
          <w:lang w:eastAsia="es-ES"/>
        </w:rPr>
        <w:t xml:space="preserve"> </w:t>
      </w:r>
      <w:r w:rsidRPr="0062491B">
        <w:rPr>
          <w:rFonts w:ascii="Verdana" w:eastAsia="Calibri" w:hAnsi="Verdana" w:cs="Arial"/>
        </w:rPr>
        <w:t xml:space="preserve">así como lo establecido en el artículo 4 de la Resolución 1707 de 2018 expedida por esta Entidad, </w:t>
      </w:r>
      <w:r w:rsidRPr="0062491B">
        <w:rPr>
          <w:rFonts w:ascii="Verdana" w:eastAsia="Calibri" w:hAnsi="Verdana" w:cs="Arial"/>
          <w:color w:val="000000"/>
          <w:lang w:eastAsia="es-ES"/>
        </w:rPr>
        <w:t>la Agencia Nacional de Contratación Pública – Colombia Compra Eficiente responde su solicitud de concepto del 04 de abril de 2026,</w:t>
      </w:r>
      <w:r w:rsidRPr="0062491B">
        <w:rPr>
          <w:rFonts w:ascii="Verdana" w:eastAsia="Calibri" w:hAnsi="Verdana" w:cs="Arial"/>
          <w:lang w:eastAsia="es-ES"/>
        </w:rPr>
        <w:t xml:space="preserve"> en las que manifiesta lo siguiente:</w:t>
      </w:r>
      <w:r w:rsidRPr="0062491B">
        <w:rPr>
          <w:rFonts w:ascii="Verdana" w:eastAsia="Calibri" w:hAnsi="Verdana" w:cs="Arial"/>
          <w:i/>
          <w:iCs/>
          <w:lang w:eastAsia="es-ES"/>
        </w:rPr>
        <w:t xml:space="preserve"> </w:t>
      </w:r>
      <w:bookmarkStart w:id="1" w:name="_Hlk95313578"/>
    </w:p>
    <w:p w14:paraId="3AC3D51A" w14:textId="77777777" w:rsidR="00BE1B56" w:rsidRPr="0062491B" w:rsidRDefault="00BE1B56" w:rsidP="00BE1B56">
      <w:pPr>
        <w:spacing w:after="0" w:line="276" w:lineRule="auto"/>
        <w:jc w:val="both"/>
        <w:rPr>
          <w:rFonts w:ascii="Verdana" w:eastAsia="Calibri" w:hAnsi="Verdana" w:cs="Arial"/>
          <w:i/>
          <w:iCs/>
          <w:lang w:eastAsia="es-ES"/>
        </w:rPr>
      </w:pPr>
    </w:p>
    <w:p w14:paraId="792ABA31" w14:textId="17A1751C" w:rsidR="00BE1B56" w:rsidRPr="00DA375E" w:rsidRDefault="00BE1B56" w:rsidP="00BE1B56">
      <w:pPr>
        <w:spacing w:after="0" w:line="276" w:lineRule="auto"/>
        <w:ind w:left="709" w:right="709"/>
        <w:jc w:val="both"/>
        <w:rPr>
          <w:rFonts w:ascii="Verdana" w:eastAsia="Calibri" w:hAnsi="Verdana" w:cs="Times New Roman"/>
          <w:i/>
          <w:iCs/>
          <w:sz w:val="20"/>
          <w:szCs w:val="20"/>
        </w:rPr>
      </w:pPr>
      <w:r w:rsidRPr="00DA375E">
        <w:rPr>
          <w:rFonts w:ascii="Verdana" w:eastAsia="Arial" w:hAnsi="Verdana" w:cs="Arial"/>
          <w:i/>
          <w:iCs/>
          <w:color w:val="000000" w:themeColor="text1"/>
          <w:sz w:val="20"/>
          <w:szCs w:val="20"/>
        </w:rPr>
        <w:t>“</w:t>
      </w:r>
      <w:bookmarkEnd w:id="1"/>
      <w:r w:rsidRPr="00DA375E">
        <w:rPr>
          <w:rFonts w:ascii="Verdana" w:eastAsia="Arial" w:hAnsi="Verdana" w:cs="Arial"/>
          <w:i/>
          <w:iCs/>
          <w:color w:val="000000" w:themeColor="text1"/>
          <w:sz w:val="20"/>
          <w:szCs w:val="20"/>
        </w:rPr>
        <w:t xml:space="preserve">(…) </w:t>
      </w:r>
      <w:r w:rsidRPr="00DA375E">
        <w:rPr>
          <w:rFonts w:ascii="Verdana" w:hAnsi="Verdana" w:cs="Verdana"/>
          <w:i/>
          <w:iCs/>
          <w:sz w:val="20"/>
          <w:szCs w:val="20"/>
        </w:rPr>
        <w:t xml:space="preserve">De conformidad con el Documento C-559 y la normativa aplicable al Sistema de Compra Pública, ¿las Entidades Estatales están obligadas a justificar técnica, jurídica y económicamente la decisión de limitar un proceso de selección a MIPYMES en que documento dentro de los estudios previos o en el estudio de Mercado del proceso?¿cuáles son los criterios mínimos o elementos de análisis que debe contener dicha justificación para que se entienda debidamente </w:t>
      </w:r>
      <w:proofErr w:type="spellStart"/>
      <w:r w:rsidRPr="00DA375E">
        <w:rPr>
          <w:rFonts w:ascii="Verdana" w:hAnsi="Verdana" w:cs="Verdana"/>
          <w:i/>
          <w:iCs/>
          <w:sz w:val="20"/>
          <w:szCs w:val="20"/>
        </w:rPr>
        <w:t>sustentada?En</w:t>
      </w:r>
      <w:proofErr w:type="spellEnd"/>
      <w:r w:rsidRPr="00DA375E">
        <w:rPr>
          <w:rFonts w:ascii="Verdana" w:hAnsi="Verdana" w:cs="Verdana"/>
          <w:i/>
          <w:iCs/>
          <w:sz w:val="20"/>
          <w:szCs w:val="20"/>
        </w:rPr>
        <w:t xml:space="preserve"> el evento en que una Entidad Estatal no incluya dicha justificación en el estudio de mercado o en los estudios previos o documentos del proceso, ¿es procedente que aun así realice la limitación a MIPYMES?, o por el contrario, ¿esto constituiría una vulneración a los principios de transparencia, selección objetiva y planeación?¿Qué consecuencias jurídicas o actuaciones proceden frente a procesos en los cuales se haya limitado la participación a MIPYMES sin que exista una debida sustentación publicada?</w:t>
      </w:r>
      <w:r w:rsidRPr="00DA375E">
        <w:rPr>
          <w:rFonts w:ascii="Verdana" w:hAnsi="Verdana" w:cs="Verdana"/>
          <w:sz w:val="20"/>
          <w:szCs w:val="20"/>
        </w:rPr>
        <w:t xml:space="preserve"> </w:t>
      </w:r>
      <w:r w:rsidRPr="00DA375E">
        <w:rPr>
          <w:rFonts w:ascii="Verdana" w:eastAsia="Aptos" w:hAnsi="Verdana" w:cs="Times New Roman"/>
          <w:i/>
          <w:iCs/>
          <w:kern w:val="2"/>
          <w:sz w:val="20"/>
          <w:szCs w:val="20"/>
          <w14:ligatures w14:val="standardContextual"/>
        </w:rPr>
        <w:t>(…)</w:t>
      </w:r>
      <w:r w:rsidRPr="00DA375E">
        <w:rPr>
          <w:rFonts w:ascii="Verdana" w:eastAsia="Calibri" w:hAnsi="Verdana" w:cs="Times New Roman"/>
          <w:i/>
          <w:iCs/>
          <w:sz w:val="20"/>
          <w:szCs w:val="20"/>
        </w:rPr>
        <w:t>”.</w:t>
      </w:r>
    </w:p>
    <w:p w14:paraId="7735E9BD" w14:textId="77777777" w:rsidR="00BE1B56" w:rsidRPr="0062491B" w:rsidRDefault="00BE1B56" w:rsidP="00BE1B56">
      <w:pPr>
        <w:spacing w:after="120" w:line="276" w:lineRule="auto"/>
        <w:ind w:firstLine="709"/>
        <w:jc w:val="both"/>
        <w:rPr>
          <w:rFonts w:ascii="Verdana" w:eastAsia="Calibri" w:hAnsi="Verdana" w:cs="Arial"/>
          <w:color w:val="000000"/>
          <w:lang w:eastAsia="es-ES"/>
        </w:rPr>
      </w:pPr>
      <w:r w:rsidRPr="0062491B">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2491B">
        <w:rPr>
          <w:rFonts w:ascii="Verdana" w:eastAsia="Calibri" w:hAnsi="Verdana" w:cs="Arial"/>
          <w:color w:val="000000"/>
          <w:lang w:eastAsia="es-ES_tradnl"/>
        </w:rPr>
        <w:tab/>
      </w:r>
    </w:p>
    <w:p w14:paraId="6A54EA86" w14:textId="77777777" w:rsidR="00BE1B56" w:rsidRPr="0062491B" w:rsidRDefault="00BE1B56" w:rsidP="00BE1B56">
      <w:pPr>
        <w:spacing w:line="276" w:lineRule="auto"/>
        <w:ind w:firstLine="709"/>
        <w:jc w:val="both"/>
        <w:rPr>
          <w:rFonts w:ascii="Verdana" w:eastAsia="Calibri" w:hAnsi="Verdana" w:cs="Arial"/>
          <w:color w:val="000000"/>
          <w:lang w:eastAsia="es-ES"/>
        </w:rPr>
      </w:pPr>
      <w:r w:rsidRPr="0062491B">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62491B">
        <w:rPr>
          <w:rFonts w:ascii="Verdana" w:eastAsia="Calibri" w:hAnsi="Verdana" w:cs="Arial"/>
          <w:color w:val="7030A0"/>
          <w:lang w:eastAsia="es-ES"/>
        </w:rPr>
        <w:t xml:space="preserve"> </w:t>
      </w:r>
      <w:r w:rsidRPr="0062491B">
        <w:rPr>
          <w:rFonts w:ascii="Verdana" w:eastAsia="Calibri" w:hAnsi="Verdana" w:cs="Arial"/>
          <w:color w:val="000000"/>
          <w:lang w:eastAsia="es-ES"/>
        </w:rPr>
        <w:t>problemas</w:t>
      </w:r>
      <w:r w:rsidRPr="0062491B">
        <w:rPr>
          <w:rFonts w:ascii="Verdana" w:eastAsia="Calibri" w:hAnsi="Verdana" w:cs="Arial"/>
          <w:color w:val="7030A0"/>
          <w:lang w:eastAsia="es-ES"/>
        </w:rPr>
        <w:t xml:space="preserve"> </w:t>
      </w:r>
      <w:r w:rsidRPr="0062491B">
        <w:rPr>
          <w:rFonts w:ascii="Verdana" w:eastAsia="Calibri" w:hAnsi="Verdana" w:cs="Arial"/>
          <w:color w:val="000000"/>
          <w:lang w:eastAsia="es-ES"/>
        </w:rPr>
        <w:t>jurídicos</w:t>
      </w:r>
      <w:r w:rsidRPr="0062491B">
        <w:rPr>
          <w:rFonts w:ascii="Verdana" w:eastAsia="Calibri" w:hAnsi="Verdana" w:cs="Arial"/>
          <w:color w:val="7030A0"/>
          <w:lang w:eastAsia="es-ES"/>
        </w:rPr>
        <w:t xml:space="preserve"> </w:t>
      </w:r>
      <w:r w:rsidRPr="0062491B">
        <w:rPr>
          <w:rFonts w:ascii="Verdana" w:eastAsia="Calibri" w:hAnsi="Verdana" w:cs="Arial"/>
          <w:color w:val="000000"/>
          <w:lang w:eastAsia="es-ES"/>
        </w:rPr>
        <w:t xml:space="preserve">de su consulta. </w:t>
      </w:r>
    </w:p>
    <w:p w14:paraId="56B6020D" w14:textId="77777777" w:rsidR="00BE1B56" w:rsidRPr="0062491B" w:rsidRDefault="00BE1B56" w:rsidP="00BE1B56">
      <w:pPr>
        <w:pStyle w:val="Prrafodelista"/>
        <w:numPr>
          <w:ilvl w:val="0"/>
          <w:numId w:val="16"/>
        </w:numPr>
        <w:rPr>
          <w:rFonts w:ascii="Verdana" w:hAnsi="Verdana"/>
          <w:b/>
          <w:bCs/>
        </w:rPr>
      </w:pPr>
      <w:r w:rsidRPr="0062491B">
        <w:rPr>
          <w:rFonts w:ascii="Verdana" w:hAnsi="Verdana"/>
          <w:b/>
          <w:bCs/>
        </w:rPr>
        <w:t>Problema planteado:</w:t>
      </w:r>
    </w:p>
    <w:p w14:paraId="63601375" w14:textId="2A028E58" w:rsidR="00FC40C7" w:rsidRPr="0062491B" w:rsidRDefault="00BE1B56" w:rsidP="00FC40C7">
      <w:pPr>
        <w:spacing w:after="0" w:line="276" w:lineRule="auto"/>
        <w:jc w:val="both"/>
        <w:rPr>
          <w:rFonts w:ascii="Verdana" w:eastAsia="Century Gothic" w:hAnsi="Verdana" w:cs="Century Gothic"/>
        </w:rPr>
      </w:pPr>
      <w:r w:rsidRPr="0062491B">
        <w:rPr>
          <w:rFonts w:ascii="Verdana" w:eastAsia="Century Gothic" w:hAnsi="Verdana" w:cs="Century Gothic"/>
        </w:rPr>
        <w:t xml:space="preserve">De acuerdo con el contenido de su solicitud, esta Agencia resolverá el siguiente problema jurídico: </w:t>
      </w:r>
      <w:r w:rsidR="00F079F6" w:rsidRPr="0062491B">
        <w:rPr>
          <w:rFonts w:ascii="Verdana" w:eastAsia="Century Gothic" w:hAnsi="Verdana" w:cs="Century Gothic"/>
        </w:rPr>
        <w:t>¿Cómo proceden las</w:t>
      </w:r>
      <w:r w:rsidR="00FC40C7" w:rsidRPr="0062491B">
        <w:rPr>
          <w:rFonts w:ascii="Verdana" w:eastAsia="Century Gothic" w:hAnsi="Verdana" w:cs="Century Gothic"/>
        </w:rPr>
        <w:t xml:space="preserve"> medidas de limitación de convocatorias a MiPymes en los procesos de selección contractual de</w:t>
      </w:r>
      <w:r w:rsidR="00DA375E">
        <w:rPr>
          <w:rFonts w:ascii="Verdana" w:eastAsia="Century Gothic" w:hAnsi="Verdana" w:cs="Century Gothic"/>
        </w:rPr>
        <w:t xml:space="preserve"> las Entidades Estatales</w:t>
      </w:r>
      <w:r w:rsidR="00FC40C7" w:rsidRPr="0062491B">
        <w:rPr>
          <w:rFonts w:ascii="Verdana" w:eastAsia="Century Gothic" w:hAnsi="Verdana" w:cs="Century Gothic"/>
        </w:rPr>
        <w:t>?</w:t>
      </w:r>
    </w:p>
    <w:p w14:paraId="77D7558E" w14:textId="77777777" w:rsidR="00FC40C7" w:rsidRPr="0062491B" w:rsidRDefault="00FC40C7" w:rsidP="00FC40C7">
      <w:pPr>
        <w:spacing w:after="0" w:line="276" w:lineRule="auto"/>
        <w:jc w:val="both"/>
        <w:rPr>
          <w:rFonts w:ascii="Verdana" w:eastAsia="Calibri" w:hAnsi="Verdana" w:cs="Arial"/>
          <w:color w:val="7030A0"/>
        </w:rPr>
      </w:pPr>
    </w:p>
    <w:p w14:paraId="15D860B8" w14:textId="77777777" w:rsidR="00BE1B56" w:rsidRPr="0062491B" w:rsidRDefault="00BE1B56" w:rsidP="00BE1B56">
      <w:pPr>
        <w:pStyle w:val="Prrafodelista"/>
        <w:numPr>
          <w:ilvl w:val="0"/>
          <w:numId w:val="16"/>
        </w:numPr>
        <w:tabs>
          <w:tab w:val="left" w:pos="142"/>
          <w:tab w:val="left" w:pos="284"/>
        </w:tabs>
        <w:spacing w:line="276" w:lineRule="auto"/>
        <w:jc w:val="both"/>
        <w:rPr>
          <w:rFonts w:ascii="Verdana" w:eastAsia="Century Gothic" w:hAnsi="Verdana" w:cs="Century Gothic"/>
          <w:b/>
          <w:bCs/>
        </w:rPr>
      </w:pPr>
      <w:r w:rsidRPr="0062491B">
        <w:rPr>
          <w:rFonts w:ascii="Verdana" w:eastAsia="Century Gothic" w:hAnsi="Verdana" w:cs="Century Gothic"/>
          <w:b/>
          <w:bCs/>
        </w:rPr>
        <w:t>Respuesta:</w:t>
      </w: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E1B56" w:rsidRPr="0062491B" w14:paraId="4698F9D0" w14:textId="77777777" w:rsidTr="009F7E40">
        <w:trPr>
          <w:jc w:val="center"/>
        </w:trPr>
        <w:tc>
          <w:tcPr>
            <w:tcW w:w="8828" w:type="dxa"/>
          </w:tcPr>
          <w:p w14:paraId="4F330B2D" w14:textId="77777777" w:rsidR="00BE1B56" w:rsidRPr="0062491B" w:rsidRDefault="00BE1B56" w:rsidP="00FC40C7">
            <w:pPr>
              <w:spacing w:before="120" w:after="120" w:line="276" w:lineRule="auto"/>
              <w:jc w:val="both"/>
              <w:rPr>
                <w:rFonts w:ascii="Verdana" w:eastAsia="Arial" w:hAnsi="Verdana" w:cs="Arial"/>
                <w:color w:val="000000"/>
                <w:lang w:val="es-ES_tradnl"/>
              </w:rPr>
            </w:pPr>
            <w:bookmarkStart w:id="2" w:name="_Hlk171694685"/>
            <w:r w:rsidRPr="0062491B">
              <w:rPr>
                <w:rFonts w:ascii="Verdana" w:eastAsia="Calibri" w:hAnsi="Verdana" w:cs="Arial"/>
                <w:color w:val="000000" w:themeColor="text1"/>
              </w:rPr>
              <w:t xml:space="preserve">Para contestar su consulta, en principio es menester precisar que </w:t>
            </w:r>
            <w:r w:rsidR="00FC40C7" w:rsidRPr="0062491B">
              <w:rPr>
                <w:rFonts w:ascii="Verdana" w:eastAsia="Times New Roman" w:hAnsi="Verdana" w:cs="Arial"/>
                <w:color w:val="000000"/>
                <w:lang w:val="es-ES_tradnl" w:eastAsia="es-ES_tradnl"/>
              </w:rPr>
              <w:t xml:space="preserve">de acuerdo con el artículo 34 de la Ley de Emprendimiento, </w:t>
            </w:r>
            <w:r w:rsidR="00FC40C7" w:rsidRPr="0062491B">
              <w:rPr>
                <w:rFonts w:ascii="Verdana" w:eastAsia="Arial" w:hAnsi="Verdana" w:cs="Arial"/>
                <w:color w:val="000000"/>
                <w:lang w:val="es-ES_tradnl"/>
              </w:rPr>
              <w:t>las entidades estatales están obligadas a aplicar el incentivo de convocatorias limitadas a MiPymes cuando se reúnan los requisitos establecidos en el artículo 2.2.1.2.4.2.2 del Decreto 1082 de 2015, sin importar el objeto del contrato.</w:t>
            </w:r>
          </w:p>
          <w:p w14:paraId="1FFE789A" w14:textId="77777777" w:rsidR="00B7671B" w:rsidRPr="0062491B" w:rsidRDefault="00B7671B" w:rsidP="00B7671B">
            <w:pPr>
              <w:spacing w:after="120" w:line="276" w:lineRule="auto"/>
              <w:jc w:val="both"/>
              <w:rPr>
                <w:rFonts w:ascii="Verdana" w:eastAsia="Arial" w:hAnsi="Verdana" w:cs="Arial"/>
                <w:color w:val="000000"/>
                <w:lang w:val="es-ES_tradnl"/>
              </w:rPr>
            </w:pPr>
            <w:r w:rsidRPr="0062491B">
              <w:rPr>
                <w:rFonts w:ascii="Verdana" w:eastAsia="Arial" w:hAnsi="Verdana" w:cs="Arial"/>
                <w:color w:val="000000"/>
                <w:lang w:val="es-ES_tradnl"/>
              </w:rPr>
              <w:t xml:space="preserve">Para atender su consulta, es preciso señalar, en primer lugar, que el artículo 34 de la Ley de Emprendimiento impone a las entidades estatales el deber de aplicar el incentivo de convocatorias limitadas a MiPymes, siempre que se </w:t>
            </w:r>
            <w:r w:rsidRPr="0062491B">
              <w:rPr>
                <w:rFonts w:ascii="Verdana" w:eastAsia="Arial" w:hAnsi="Verdana" w:cs="Arial"/>
                <w:color w:val="000000"/>
                <w:lang w:val="es-ES_tradnl"/>
              </w:rPr>
              <w:lastRenderedPageBreak/>
              <w:t>acrediten los requisitos previstos en el artículo 2.2.1.2.4.2.2 del Decreto 1082 de 2015, con independencia del objeto contractual.</w:t>
            </w:r>
          </w:p>
          <w:p w14:paraId="5109AA5B" w14:textId="77777777" w:rsidR="00B7671B" w:rsidRPr="0062491B" w:rsidRDefault="00B7671B" w:rsidP="00B7671B">
            <w:pPr>
              <w:spacing w:after="120" w:line="276" w:lineRule="auto"/>
              <w:jc w:val="both"/>
              <w:rPr>
                <w:rFonts w:ascii="Verdana" w:eastAsia="Arial" w:hAnsi="Verdana" w:cs="Arial"/>
                <w:color w:val="000000"/>
                <w:lang w:val="es-ES_tradnl"/>
              </w:rPr>
            </w:pPr>
            <w:r w:rsidRPr="0062491B">
              <w:rPr>
                <w:rFonts w:ascii="Verdana" w:eastAsia="Arial" w:hAnsi="Verdana" w:cs="Arial"/>
                <w:color w:val="000000"/>
                <w:lang w:val="es-ES_tradnl"/>
              </w:rPr>
              <w:t>En ese sentido, para que proceda la limitación de la convocatoria a MiPymes se requiere, entre otros aspectos, que el valor del Proceso de Contratación sea inferior a US$125.000. Esta condición también se entiende cumplida cuando el proceso no genera erogaciones presupuestales o cuando su cuantía corresponde a cero (0), conforme a la regla de interpretación prevista en el artículo 31 del Código Civil, según la cual “[l]o favorable u odioso de una disposición no se tomará en cuenta para ampliar o restringir su interpretación. La extensión que deba darse a toda ley se determinará por su genuino sentido […]”.</w:t>
            </w:r>
          </w:p>
          <w:p w14:paraId="7C5FF153" w14:textId="77777777" w:rsidR="00B7671B" w:rsidRPr="0062491B" w:rsidRDefault="00B7671B" w:rsidP="00B7671B">
            <w:pPr>
              <w:spacing w:after="120" w:line="276" w:lineRule="auto"/>
              <w:jc w:val="both"/>
              <w:rPr>
                <w:rFonts w:ascii="Verdana" w:eastAsia="Arial" w:hAnsi="Verdana" w:cs="Arial"/>
                <w:color w:val="000000"/>
                <w:lang w:val="es-ES_tradnl"/>
              </w:rPr>
            </w:pPr>
            <w:r w:rsidRPr="0062491B">
              <w:rPr>
                <w:rFonts w:ascii="Verdana" w:eastAsia="Arial" w:hAnsi="Verdana" w:cs="Arial"/>
                <w:color w:val="000000"/>
                <w:lang w:val="es-ES_tradnl"/>
              </w:rPr>
              <w:t>Ahora bien, debe distinguirse entre la limitación obligatoria a MiPymes colombianas y la denominada “limitación territorial” prevista en el artículo 2.2.1.2.4.2.3 del Decreto 1082 de 2015. La primera constituye un deber para la entidad estatal, siempre que se satisfagan las condiciones establecidas en el artículo 2.2.1.2.4.2.2 ibidem. En contraste, la limitación territorial tiene carácter facultativo, en la medida en que la norma dispone que las entidades “podrán” limitar la convocatoria a MiPymes domiciliadas en los departamentos o municipios donde se ejecutará el contrato.</w:t>
            </w:r>
          </w:p>
          <w:p w14:paraId="03453450" w14:textId="77777777" w:rsidR="00B7671B" w:rsidRPr="0062491B" w:rsidRDefault="00B7671B" w:rsidP="00B7671B">
            <w:pPr>
              <w:spacing w:after="120" w:line="276" w:lineRule="auto"/>
              <w:jc w:val="both"/>
              <w:rPr>
                <w:rFonts w:ascii="Verdana" w:eastAsia="Arial" w:hAnsi="Verdana" w:cs="Arial"/>
                <w:color w:val="000000"/>
                <w:lang w:val="es-ES_tradnl"/>
              </w:rPr>
            </w:pPr>
            <w:r w:rsidRPr="0062491B">
              <w:rPr>
                <w:rFonts w:ascii="Verdana" w:eastAsia="Arial" w:hAnsi="Verdana" w:cs="Arial"/>
                <w:color w:val="000000"/>
                <w:lang w:val="es-ES_tradnl"/>
              </w:rPr>
              <w:t>Sobre este punto, la Agencia Nacional de Contratación Pública – Colombia Compra Eficiente ha precisado que la decisión de limitar territorialmente una convocatoria corresponde al ámbito discrecional de la entidad estatal, siempre que dicha determinación se encuentre debidamente sustentada en los estudios del sector. Así se desarrolla en la “Guía para promover la participación de las MiPymes en los procesos de compra y contratación pública”.</w:t>
            </w:r>
          </w:p>
          <w:p w14:paraId="11272CFE" w14:textId="77777777" w:rsidR="00B7671B" w:rsidRPr="0062491B" w:rsidRDefault="00B7671B" w:rsidP="00B7671B">
            <w:pPr>
              <w:spacing w:after="120" w:line="276" w:lineRule="auto"/>
              <w:jc w:val="both"/>
              <w:rPr>
                <w:rFonts w:ascii="Verdana" w:eastAsia="Arial" w:hAnsi="Verdana" w:cs="Arial"/>
                <w:color w:val="000000"/>
                <w:lang w:val="es-ES_tradnl"/>
              </w:rPr>
            </w:pPr>
            <w:r w:rsidRPr="0062491B">
              <w:rPr>
                <w:rFonts w:ascii="Verdana" w:eastAsia="Arial" w:hAnsi="Verdana" w:cs="Arial"/>
                <w:color w:val="000000"/>
                <w:lang w:val="es-ES_tradnl"/>
              </w:rPr>
              <w:t>En consecuencia, la Entidad Estatal debe justificar la eventual limitación territorial con fundamento en criterios objetivos, tales como la localización del objeto contractual, la capacidad de las MiPymes potencialmente proveedoras y las condiciones de competencia existentes en el mercado. Estas razones deben quedar expresamente consignadas en los estudios del sector, de manera que la decisión se ajuste al marco jurídico vigente y contribuya al propósito de fortalecimiento económico y productivo regional que inspira la política pública de promoción de las MiPymes.</w:t>
            </w:r>
          </w:p>
          <w:p w14:paraId="18203977" w14:textId="77777777" w:rsidR="00B7671B" w:rsidRPr="0062491B" w:rsidRDefault="00B7671B" w:rsidP="00B7671B">
            <w:pPr>
              <w:spacing w:before="120" w:after="120" w:line="276" w:lineRule="auto"/>
              <w:jc w:val="both"/>
              <w:rPr>
                <w:rFonts w:ascii="Verdana" w:eastAsia="Arial" w:hAnsi="Verdana" w:cs="Arial"/>
                <w:color w:val="000000"/>
                <w:lang w:val="es-ES_tradnl"/>
              </w:rPr>
            </w:pPr>
            <w:r w:rsidRPr="0062491B">
              <w:rPr>
                <w:rFonts w:ascii="Verdana" w:eastAsia="Arial" w:hAnsi="Verdana" w:cs="Arial"/>
                <w:color w:val="000000"/>
                <w:lang w:val="es-ES_tradnl"/>
              </w:rPr>
              <w:lastRenderedPageBreak/>
              <w:t>En todo caso, la actuación de la Entidad Estatal debe enmarcarse en los principios de legalidad, transparencia, economía y selección objetiva, verificando de manera estricta y uniforme los requisitos taxativamente establecidos, garantizando igualdad de trato entre los interesados y evitando la imposición de cargas formales adicionales que puedan restringir injustificadamente la participación de las MiPymes en el sistema de compras públicas.</w:t>
            </w:r>
          </w:p>
          <w:p w14:paraId="57788BD3" w14:textId="0038A50B" w:rsidR="00FC40C7" w:rsidRPr="0062491B" w:rsidRDefault="00FC40C7" w:rsidP="00B7671B">
            <w:pPr>
              <w:spacing w:before="120" w:after="120" w:line="276" w:lineRule="auto"/>
              <w:jc w:val="both"/>
              <w:rPr>
                <w:rFonts w:ascii="Verdana" w:eastAsia="Times New Roman" w:hAnsi="Verdana" w:cs="Times New Roman"/>
              </w:rPr>
            </w:pPr>
            <w:r w:rsidRPr="0062491B">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5B48A6F" w14:textId="77777777" w:rsidR="00BE1B56" w:rsidRPr="0062491B" w:rsidRDefault="00BE1B56" w:rsidP="00BE1B56">
      <w:pPr>
        <w:tabs>
          <w:tab w:val="left" w:pos="142"/>
          <w:tab w:val="left" w:pos="284"/>
        </w:tabs>
        <w:spacing w:after="0" w:line="276" w:lineRule="auto"/>
        <w:jc w:val="both"/>
        <w:rPr>
          <w:rFonts w:ascii="Verdana" w:eastAsia="Century Gothic" w:hAnsi="Verdana" w:cs="Century Gothic"/>
          <w:b/>
          <w:bCs/>
          <w:lang w:val="es-ES"/>
        </w:rPr>
      </w:pPr>
    </w:p>
    <w:bookmarkEnd w:id="2"/>
    <w:p w14:paraId="2A2FB76A" w14:textId="77777777" w:rsidR="00BE1B56" w:rsidRPr="0062491B" w:rsidRDefault="00BE1B56" w:rsidP="00BE1B5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2491B">
        <w:rPr>
          <w:rFonts w:ascii="Verdana" w:eastAsia="Century Gothic" w:hAnsi="Verdana" w:cs="Century Gothic"/>
          <w:b/>
          <w:bCs/>
        </w:rPr>
        <w:t>Razones de la respuesta:</w:t>
      </w:r>
    </w:p>
    <w:p w14:paraId="039C375A" w14:textId="0C5D8C25" w:rsidR="00BE1B56" w:rsidRPr="0062491B" w:rsidRDefault="00BE1B56" w:rsidP="00BE1B56">
      <w:pPr>
        <w:tabs>
          <w:tab w:val="left" w:pos="426"/>
        </w:tabs>
        <w:spacing w:before="240" w:after="120" w:line="276" w:lineRule="auto"/>
        <w:ind w:firstLine="425"/>
        <w:jc w:val="both"/>
        <w:rPr>
          <w:rFonts w:ascii="Verdana" w:eastAsia="Calibri" w:hAnsi="Verdana" w:cs="Arial"/>
        </w:rPr>
      </w:pPr>
      <w:r w:rsidRPr="0062491B">
        <w:rPr>
          <w:rFonts w:ascii="Verdana" w:eastAsia="Calibri" w:hAnsi="Verdana" w:cs="Arial"/>
        </w:rPr>
        <w:t>Lo anterior se sustenta en las siguientes consideraciones:</w:t>
      </w:r>
    </w:p>
    <w:p w14:paraId="1DFEA820" w14:textId="77777777" w:rsidR="00A10AB5" w:rsidRPr="0062491B" w:rsidRDefault="00A10AB5" w:rsidP="00A10AB5">
      <w:pPr>
        <w:spacing w:after="120" w:line="276" w:lineRule="auto"/>
        <w:jc w:val="both"/>
        <w:rPr>
          <w:rFonts w:ascii="Verdana" w:hAnsi="Verdana"/>
          <w:lang w:val="es-ES_tradnl"/>
        </w:rPr>
      </w:pPr>
      <w:r w:rsidRPr="0062491B">
        <w:rPr>
          <w:rFonts w:ascii="Verdana" w:hAnsi="Verdana"/>
          <w:lang w:val="es-ES_tradnl"/>
        </w:rPr>
        <w:t xml:space="preserve">Respecto a las convocatorias de procesos contractuales limitadas a MiPymes,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4D849A35" w14:textId="77777777" w:rsidR="00A10AB5" w:rsidRPr="0062491B" w:rsidRDefault="00A10AB5" w:rsidP="00A10AB5">
      <w:pPr>
        <w:spacing w:after="120" w:line="276" w:lineRule="auto"/>
        <w:ind w:firstLine="708"/>
        <w:jc w:val="both"/>
        <w:rPr>
          <w:rFonts w:ascii="Verdana" w:hAnsi="Verdana"/>
          <w:lang w:val="es-ES"/>
        </w:rPr>
      </w:pPr>
      <w:r w:rsidRPr="0062491B">
        <w:rPr>
          <w:rFonts w:ascii="Verdana" w:hAnsi="Verdana"/>
          <w:lang w:val="es-ES_tradnl"/>
        </w:rPr>
        <w:t>En desarrollo de esta finalidad, se establecen medidas de apoyo para las micro, pequeñas y medianas empresas –MiPymes–,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731CC123" w14:textId="77777777" w:rsidR="00A10AB5" w:rsidRPr="0062491B" w:rsidRDefault="00A10AB5" w:rsidP="00A10AB5">
      <w:pPr>
        <w:spacing w:after="120" w:line="276" w:lineRule="auto"/>
        <w:ind w:firstLine="708"/>
        <w:jc w:val="both"/>
        <w:rPr>
          <w:rFonts w:ascii="Verdana" w:hAnsi="Verdana"/>
          <w:lang w:val="es-ES"/>
        </w:rPr>
      </w:pPr>
      <w:r w:rsidRPr="0062491B">
        <w:rPr>
          <w:rFonts w:ascii="Verdana" w:hAnsi="Verdana"/>
          <w:lang w:val="es-ES"/>
        </w:rPr>
        <w:lastRenderedPageBreak/>
        <w:t>Como se indicó, parte de la Ley 2069 de 2020 contiene normas que modifican algunos aspectos de la contratación estatal para promover el emprendimiento. Concretamente, aquellas se encuentran en el Capítulo III –artículos 30 al 36–.</w:t>
      </w:r>
    </w:p>
    <w:p w14:paraId="312A4C69" w14:textId="77777777" w:rsidR="00A10AB5" w:rsidRPr="0062491B" w:rsidRDefault="00A10AB5" w:rsidP="00A10AB5">
      <w:pPr>
        <w:spacing w:after="120" w:line="276" w:lineRule="auto"/>
        <w:ind w:firstLine="708"/>
        <w:jc w:val="both"/>
        <w:rPr>
          <w:rFonts w:ascii="Verdana" w:hAnsi="Verdana"/>
          <w:lang w:val="es-ES"/>
        </w:rPr>
      </w:pPr>
      <w:r w:rsidRPr="0062491B">
        <w:rPr>
          <w:rFonts w:ascii="Verdana" w:hAnsi="Verdana"/>
          <w:lang w:val="es-ES"/>
        </w:rPr>
        <w:t xml:space="preserve">El artículo 34 de la Ley 2069 de 2020 modificó el artículo 12 de la Ley 1150 de 2007, el cual regula la promoción del desarrollo en la contratación pública, cambiando los requisitos esenciales para que procedan las convocatorias limitadas a </w:t>
      </w:r>
      <w:proofErr w:type="spellStart"/>
      <w:r w:rsidRPr="0062491B">
        <w:rPr>
          <w:rFonts w:ascii="Verdana" w:hAnsi="Verdana"/>
          <w:lang w:val="es-ES"/>
        </w:rPr>
        <w:t>Mipymes</w:t>
      </w:r>
      <w:proofErr w:type="spellEnd"/>
      <w:r w:rsidRPr="0062491B">
        <w:rPr>
          <w:rFonts w:ascii="Verdana" w:hAnsi="Verdana"/>
          <w:lang w:val="es-ES"/>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62491B">
        <w:rPr>
          <w:rFonts w:ascii="Verdana" w:hAnsi="Verdana"/>
          <w:lang w:val="es-ES"/>
        </w:rPr>
        <w:t>ii</w:t>
      </w:r>
      <w:proofErr w:type="spellEnd"/>
      <w:r w:rsidRPr="0062491B">
        <w:rPr>
          <w:rFonts w:ascii="Verdana" w:hAnsi="Verdana"/>
          <w:lang w:val="es-ES"/>
        </w:rPr>
        <w:t xml:space="preserve">) señaló que los patrimonios autónomos constituidos por Entidades Estatales y los particulares que ejecuten recursos públicos también son destinatarios de esta exigencia; y,  </w:t>
      </w:r>
      <w:proofErr w:type="spellStart"/>
      <w:r w:rsidRPr="0062491B">
        <w:rPr>
          <w:rFonts w:ascii="Verdana" w:hAnsi="Verdana"/>
          <w:lang w:val="es-ES"/>
        </w:rPr>
        <w:t>iii</w:t>
      </w:r>
      <w:proofErr w:type="spellEnd"/>
      <w:r w:rsidRPr="0062491B">
        <w:rPr>
          <w:rFonts w:ascii="Verdana" w:hAnsi="Verdana"/>
          <w:lang w:val="es-ES"/>
        </w:rPr>
        <w:t xml:space="preserve">) indicó que para que pueda haber convocatorias limitadas a MiPymes, dos (2) de ellas deben manifestar su interés. </w:t>
      </w:r>
    </w:p>
    <w:p w14:paraId="3EC212D0" w14:textId="77777777" w:rsidR="00A10AB5" w:rsidRPr="0062491B" w:rsidRDefault="00A10AB5" w:rsidP="00A10AB5">
      <w:pPr>
        <w:spacing w:after="120" w:line="276" w:lineRule="auto"/>
        <w:jc w:val="both"/>
        <w:rPr>
          <w:rFonts w:ascii="Verdana" w:eastAsia="Arial" w:hAnsi="Verdana" w:cs="Arial"/>
          <w:color w:val="000000" w:themeColor="text1"/>
        </w:rPr>
      </w:pPr>
      <w:r w:rsidRPr="0062491B">
        <w:rPr>
          <w:rFonts w:ascii="Verdana" w:eastAsia="Arial" w:hAnsi="Verdana" w:cs="Arial"/>
          <w:color w:val="000000"/>
          <w:lang w:val="es-ES"/>
        </w:rPr>
        <w:t xml:space="preserve"> </w:t>
      </w:r>
      <w:r w:rsidRPr="0062491B">
        <w:rPr>
          <w:rFonts w:ascii="Verdana" w:eastAsia="Arial" w:hAnsi="Verdana" w:cs="Arial"/>
          <w:color w:val="000000"/>
          <w:lang w:val="es-ES"/>
        </w:rPr>
        <w:tab/>
        <w:t xml:space="preserve">Por su parte, </w:t>
      </w:r>
      <w:r w:rsidRPr="0062491B">
        <w:rPr>
          <w:rFonts w:ascii="Verdana" w:eastAsia="Arial" w:hAnsi="Verdana" w:cs="Arial"/>
          <w:color w:val="000000" w:themeColor="text1"/>
        </w:rPr>
        <w:t xml:space="preserve">el Decreto 1860 de 2021 modificó y adicionó </w:t>
      </w:r>
      <w:r w:rsidRPr="0062491B">
        <w:rPr>
          <w:rFonts w:ascii="Verdana" w:eastAsia="Arial" w:hAnsi="Verdana" w:cs="Arial"/>
          <w:color w:val="000000"/>
          <w:lang w:val="es-ES"/>
        </w:rPr>
        <w:t xml:space="preserve">el Decreto 1082 de 2015, con el objetivo de reglamentar los artículos 30 al 35 de la Ley 2069 de 2020. Así, el </w:t>
      </w:r>
      <w:r w:rsidRPr="0062491B">
        <w:rPr>
          <w:rFonts w:ascii="Verdana" w:eastAsia="Arial" w:hAnsi="Verdana" w:cs="Arial"/>
          <w:color w:val="000000" w:themeColor="text1"/>
        </w:rPr>
        <w:t>artículo 2.2.1.2.4.2.2 del Decreto 1082 de 2015 dispone:</w:t>
      </w:r>
    </w:p>
    <w:p w14:paraId="36589805" w14:textId="77777777" w:rsidR="00A10AB5" w:rsidRPr="0062491B" w:rsidRDefault="00A10AB5" w:rsidP="00A10AB5">
      <w:pPr>
        <w:spacing w:after="120" w:line="240" w:lineRule="auto"/>
        <w:ind w:left="709" w:right="616"/>
        <w:jc w:val="both"/>
        <w:rPr>
          <w:rFonts w:ascii="Verdana" w:hAnsi="Verdana" w:cs="Arial"/>
          <w:color w:val="000000"/>
          <w:sz w:val="20"/>
          <w:szCs w:val="20"/>
        </w:rPr>
      </w:pPr>
      <w:r w:rsidRPr="0062491B">
        <w:rPr>
          <w:rStyle w:val="Fuerte"/>
          <w:rFonts w:ascii="Verdana" w:hAnsi="Verdana" w:cs="Arial"/>
          <w:b w:val="0"/>
          <w:bCs w:val="0"/>
          <w:color w:val="000000"/>
          <w:sz w:val="20"/>
          <w:szCs w:val="20"/>
        </w:rPr>
        <w:t xml:space="preserve">Convocatorias Limitadas a </w:t>
      </w:r>
      <w:proofErr w:type="spellStart"/>
      <w:r w:rsidRPr="0062491B">
        <w:rPr>
          <w:rStyle w:val="Fuerte"/>
          <w:rFonts w:ascii="Verdana" w:hAnsi="Verdana" w:cs="Arial"/>
          <w:b w:val="0"/>
          <w:bCs w:val="0"/>
          <w:color w:val="000000"/>
          <w:sz w:val="20"/>
          <w:szCs w:val="20"/>
        </w:rPr>
        <w:t>Mipyme</w:t>
      </w:r>
      <w:proofErr w:type="spellEnd"/>
      <w:r w:rsidRPr="0062491B">
        <w:rPr>
          <w:rStyle w:val="Fuerte"/>
          <w:rFonts w:ascii="Verdana" w:hAnsi="Verdana" w:cs="Arial"/>
          <w:b w:val="0"/>
          <w:bCs w:val="0"/>
          <w:color w:val="000000"/>
          <w:sz w:val="20"/>
          <w:szCs w:val="20"/>
        </w:rPr>
        <w:t>.</w:t>
      </w:r>
      <w:r w:rsidRPr="0062491B">
        <w:rPr>
          <w:rFonts w:ascii="Verdana" w:hAnsi="Verdana" w:cs="Arial"/>
          <w:color w:val="000000"/>
          <w:sz w:val="20"/>
          <w:szCs w:val="20"/>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xml:space="preserve"> colombianas con mínimo un (1) año de existencia, cuando concurran los siguientes requisitos:</w:t>
      </w:r>
      <w:r w:rsidRPr="0062491B">
        <w:rPr>
          <w:rFonts w:ascii="Verdana" w:hAnsi="Verdana" w:cs="Arial"/>
          <w:color w:val="000000"/>
          <w:sz w:val="20"/>
          <w:szCs w:val="20"/>
        </w:rPr>
        <w:br/>
      </w:r>
      <w:r w:rsidRPr="0062491B">
        <w:rPr>
          <w:rFonts w:ascii="Verdana" w:hAnsi="Verdana" w:cs="Arial"/>
          <w:color w:val="000000"/>
          <w:sz w:val="20"/>
          <w:szCs w:val="20"/>
        </w:rPr>
        <w:br/>
        <w:t>1. El valor del Proceso de Contratación sea menor a ciento veinticinco mil dólares de los Estados Unidos de América (US$125.000), liquidados con la tasa de cambio que para el efecto determina cada dos años el Ministerio de Comercio, Industria y Turismo.</w:t>
      </w:r>
      <w:r w:rsidRPr="0062491B">
        <w:rPr>
          <w:rFonts w:ascii="Verdana" w:hAnsi="Verdana" w:cs="Arial"/>
          <w:color w:val="000000"/>
          <w:sz w:val="20"/>
          <w:szCs w:val="20"/>
        </w:rPr>
        <w:br/>
      </w:r>
      <w:r w:rsidRPr="0062491B">
        <w:rPr>
          <w:rFonts w:ascii="Verdana" w:hAnsi="Verdana" w:cs="Arial"/>
          <w:color w:val="000000"/>
          <w:sz w:val="20"/>
          <w:szCs w:val="20"/>
        </w:rPr>
        <w:br/>
        <w:t xml:space="preserve">2. Se hayan recibido solicitudes de por lo menos dos (2)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xml:space="preserve"> colombianas para limitar la convocatoria a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7FCCC537" w14:textId="695A6444" w:rsidR="00A10AB5" w:rsidRPr="0062491B" w:rsidRDefault="00A10AB5" w:rsidP="00A10AB5">
      <w:pPr>
        <w:spacing w:after="0" w:line="240" w:lineRule="auto"/>
        <w:ind w:left="709" w:right="616"/>
        <w:jc w:val="both"/>
        <w:rPr>
          <w:rFonts w:ascii="Verdana" w:hAnsi="Verdana" w:cs="Arial"/>
          <w:color w:val="000000"/>
          <w:sz w:val="20"/>
          <w:szCs w:val="20"/>
        </w:rPr>
      </w:pPr>
      <w:r w:rsidRPr="0062491B">
        <w:rPr>
          <w:rFonts w:ascii="Verdana" w:hAnsi="Verdana" w:cs="Arial"/>
          <w:color w:val="000000"/>
          <w:sz w:val="20"/>
          <w:szCs w:val="20"/>
        </w:rPr>
        <w:lastRenderedPageBreak/>
        <w:t xml:space="preserve">Tratándose de personas jurídicas, las solicitudes solo las podrán realizar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cuyo objeto social les permita ejecutar el contrato relacionado con el proceso contractual.</w:t>
      </w:r>
    </w:p>
    <w:p w14:paraId="6DB6C12B" w14:textId="77777777" w:rsidR="00A10AB5" w:rsidRPr="0062491B" w:rsidRDefault="00A10AB5" w:rsidP="00A10AB5">
      <w:pPr>
        <w:spacing w:after="120" w:line="240" w:lineRule="auto"/>
        <w:ind w:left="709" w:right="616"/>
        <w:jc w:val="both"/>
        <w:rPr>
          <w:rFonts w:ascii="Verdana" w:hAnsi="Verdana" w:cs="Arial"/>
          <w:color w:val="000000"/>
          <w:sz w:val="20"/>
          <w:szCs w:val="20"/>
        </w:rPr>
      </w:pPr>
      <w:r w:rsidRPr="0062491B">
        <w:rPr>
          <w:rFonts w:ascii="Verdana" w:hAnsi="Verdana" w:cs="Arial"/>
          <w:color w:val="000000"/>
          <w:sz w:val="20"/>
          <w:szCs w:val="20"/>
        </w:rPr>
        <w:br/>
      </w:r>
      <w:r w:rsidRPr="0062491B">
        <w:rPr>
          <w:rStyle w:val="Fuerte"/>
          <w:rFonts w:ascii="Verdana" w:hAnsi="Verdana" w:cs="Arial"/>
          <w:color w:val="000000"/>
          <w:sz w:val="20"/>
          <w:szCs w:val="20"/>
        </w:rPr>
        <w:t>Parágrafo.</w:t>
      </w:r>
      <w:r w:rsidRPr="0062491B">
        <w:rPr>
          <w:rFonts w:ascii="Verdana" w:hAnsi="Verdana" w:cs="Arial"/>
          <w:color w:val="000000"/>
          <w:sz w:val="20"/>
          <w:szCs w:val="20"/>
        </w:rPr>
        <w:t xml:space="preserve"> Las cooperativas y demás entidades de economía solidaria, siempre que tengan la calidad de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podrán solicitar y participar en las convocatorias limitadas en las mismas condiciones dispuestas en el presente artículo.</w:t>
      </w:r>
    </w:p>
    <w:p w14:paraId="171D87EF" w14:textId="77777777" w:rsidR="00A10AB5" w:rsidRPr="0062491B" w:rsidRDefault="00A10AB5" w:rsidP="00A10AB5">
      <w:pPr>
        <w:spacing w:after="120" w:line="276" w:lineRule="auto"/>
        <w:ind w:firstLine="709"/>
        <w:jc w:val="both"/>
        <w:rPr>
          <w:rFonts w:ascii="Verdana" w:eastAsia="Times New Roman" w:hAnsi="Verdana" w:cs="Arial"/>
          <w:lang w:val="es-MX" w:eastAsia="es-CO"/>
        </w:rPr>
      </w:pPr>
      <w:r w:rsidRPr="0062491B">
        <w:rPr>
          <w:rFonts w:ascii="Verdana" w:eastAsia="Arial" w:hAnsi="Verdana" w:cs="Arial"/>
          <w:color w:val="000000"/>
          <w:lang w:val="es-ES"/>
        </w:rPr>
        <w:t xml:space="preserve">Así, para que proceda la limitación de la convocatoria a </w:t>
      </w:r>
      <w:proofErr w:type="spellStart"/>
      <w:r w:rsidRPr="0062491B">
        <w:rPr>
          <w:rFonts w:ascii="Verdana" w:eastAsia="Arial" w:hAnsi="Verdana" w:cs="Arial"/>
          <w:color w:val="000000"/>
          <w:lang w:val="es-ES"/>
        </w:rPr>
        <w:t>Mipymes</w:t>
      </w:r>
      <w:proofErr w:type="spellEnd"/>
      <w:r w:rsidRPr="0062491B">
        <w:rPr>
          <w:rFonts w:ascii="Verdana" w:eastAsia="Arial" w:hAnsi="Verdana" w:cs="Arial"/>
          <w:color w:val="000000"/>
          <w:lang w:val="es-ES"/>
        </w:rPr>
        <w:t xml:space="preserve"> la entidad estatal debe recibir las solicitudes de limitación por lo menos dos (2) </w:t>
      </w:r>
      <w:proofErr w:type="spellStart"/>
      <w:r w:rsidRPr="0062491B">
        <w:rPr>
          <w:rFonts w:ascii="Verdana" w:hAnsi="Verdana" w:cs="Arial"/>
          <w:color w:val="000000"/>
        </w:rPr>
        <w:t>Mipyme</w:t>
      </w:r>
      <w:proofErr w:type="spellEnd"/>
      <w:r w:rsidRPr="0062491B">
        <w:rPr>
          <w:rFonts w:ascii="Verdana" w:hAnsi="Verdana" w:cs="Arial"/>
          <w:color w:val="000000"/>
        </w:rPr>
        <w:t xml:space="preserve"> colombianas con mínimo un (1) año de existencia, y por su parte, la entidad</w:t>
      </w:r>
      <w:r w:rsidRPr="0062491B">
        <w:rPr>
          <w:rFonts w:ascii="Verdana" w:eastAsia="Arial" w:hAnsi="Verdana" w:cs="Arial"/>
          <w:color w:val="000000"/>
          <w:lang w:val="es-ES"/>
        </w:rPr>
        <w:t xml:space="preserve"> contratante debe verificar los requisitos establecidos en los numerales 1 y 2 del mencionado artículo teniendo en cuenta el </w:t>
      </w:r>
      <w:r w:rsidRPr="0062491B">
        <w:rPr>
          <w:rFonts w:ascii="Verdana" w:eastAsia="Times New Roman" w:hAnsi="Verdana" w:cs="Arial"/>
          <w:lang w:val="es-MX" w:eastAsia="es-CO"/>
        </w:rPr>
        <w:t>artículo 2.2.1.2.4.2.4. del Decreto 1082 de 2015, modificado por el Decreto 1860 de 2021, en el que se dispone cómo acreditar los requisitos para participar en convocatorias limitadas, como sigue:</w:t>
      </w:r>
    </w:p>
    <w:p w14:paraId="62F4924C" w14:textId="5B44616C" w:rsidR="00A10AB5" w:rsidRPr="0062491B" w:rsidRDefault="00A10AB5" w:rsidP="00A10AB5">
      <w:pPr>
        <w:spacing w:after="0" w:line="240" w:lineRule="auto"/>
        <w:ind w:left="709" w:right="616" w:hanging="4"/>
        <w:jc w:val="both"/>
        <w:textAlignment w:val="baseline"/>
        <w:rPr>
          <w:rFonts w:ascii="Verdana" w:eastAsia="Times New Roman" w:hAnsi="Verdana" w:cs="Arial"/>
          <w:sz w:val="20"/>
          <w:szCs w:val="20"/>
          <w:lang w:val="es-MX" w:eastAsia="es-CO"/>
        </w:rPr>
      </w:pPr>
      <w:r w:rsidRPr="0062491B">
        <w:rPr>
          <w:rStyle w:val="Fuerte"/>
          <w:rFonts w:ascii="Verdana" w:hAnsi="Verdana" w:cs="Arial"/>
          <w:b w:val="0"/>
          <w:bCs w:val="0"/>
          <w:color w:val="000000"/>
          <w:sz w:val="20"/>
          <w:szCs w:val="20"/>
        </w:rPr>
        <w:t>Acreditación de requisitos para participar en convocatorias limitadas.</w:t>
      </w:r>
      <w:r w:rsidRPr="0062491B">
        <w:rPr>
          <w:rFonts w:ascii="Verdana" w:hAnsi="Verdana" w:cs="Arial"/>
          <w:color w:val="000000"/>
          <w:sz w:val="20"/>
          <w:szCs w:val="20"/>
        </w:rPr>
        <w:t xml:space="preserve"> La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xml:space="preserve"> colombianas deben acreditar que tiene el tamaño empresarial establecido por la ley de la siguiente manera:</w:t>
      </w:r>
      <w:r w:rsidRPr="0062491B">
        <w:rPr>
          <w:rFonts w:ascii="Verdana" w:hAnsi="Verdana" w:cs="Arial"/>
          <w:color w:val="000000"/>
          <w:sz w:val="20"/>
          <w:szCs w:val="20"/>
        </w:rPr>
        <w:br/>
      </w:r>
      <w:r w:rsidRPr="0062491B">
        <w:rPr>
          <w:rFonts w:ascii="Verdana" w:hAnsi="Verdana" w:cs="Arial"/>
          <w:color w:val="000000"/>
          <w:sz w:val="20"/>
          <w:szCs w:val="20"/>
        </w:rPr>
        <w:br/>
        <w:t>1. Las personas naturales mediante certificación expedida por ellos y un contador público, adjuntando copia del registro mercantil.</w:t>
      </w:r>
      <w:r w:rsidRPr="0062491B">
        <w:rPr>
          <w:rFonts w:ascii="Verdana" w:hAnsi="Verdana" w:cs="Arial"/>
          <w:color w:val="000000"/>
          <w:sz w:val="20"/>
          <w:szCs w:val="20"/>
        </w:rPr>
        <w:br/>
      </w:r>
      <w:r w:rsidRPr="0062491B">
        <w:rPr>
          <w:rFonts w:ascii="Verdana" w:hAnsi="Verdana" w:cs="Arial"/>
          <w:color w:val="000000"/>
          <w:sz w:val="20"/>
          <w:szCs w:val="20"/>
        </w:rPr>
        <w:b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r w:rsidRPr="0062491B">
        <w:rPr>
          <w:rFonts w:ascii="Verdana" w:hAnsi="Verdana" w:cs="Arial"/>
          <w:color w:val="000000"/>
          <w:sz w:val="20"/>
          <w:szCs w:val="20"/>
        </w:rPr>
        <w:br/>
      </w:r>
      <w:r w:rsidRPr="0062491B">
        <w:rPr>
          <w:rFonts w:ascii="Verdana" w:hAnsi="Verdana" w:cs="Arial"/>
          <w:color w:val="000000"/>
          <w:sz w:val="20"/>
          <w:szCs w:val="20"/>
        </w:rPr>
        <w:br/>
        <w:t>Para la acreditación deberán observarse los rangos de clasificación empresarial establecidos de conformidad con la Ley 590 de 2000 y el Decreto 1074 de 2015, o las normas que lo modifiquen, sustituyan o complementen.</w:t>
      </w:r>
      <w:r w:rsidRPr="0062491B">
        <w:rPr>
          <w:rFonts w:ascii="Verdana" w:hAnsi="Verdana" w:cs="Arial"/>
          <w:color w:val="000000"/>
          <w:sz w:val="20"/>
          <w:szCs w:val="20"/>
        </w:rPr>
        <w:br/>
      </w:r>
      <w:r w:rsidRPr="0062491B">
        <w:rPr>
          <w:rFonts w:ascii="Verdana" w:hAnsi="Verdana" w:cs="Arial"/>
          <w:b/>
          <w:bCs/>
          <w:color w:val="000000"/>
          <w:sz w:val="20"/>
          <w:szCs w:val="20"/>
        </w:rPr>
        <w:br/>
      </w:r>
      <w:r w:rsidRPr="0062491B">
        <w:rPr>
          <w:rStyle w:val="Fuerte"/>
          <w:rFonts w:ascii="Verdana" w:hAnsi="Verdana" w:cs="Arial"/>
          <w:b w:val="0"/>
          <w:bCs w:val="0"/>
          <w:color w:val="000000"/>
          <w:sz w:val="20"/>
          <w:szCs w:val="20"/>
        </w:rPr>
        <w:t>Parágrafo 1</w:t>
      </w:r>
      <w:r w:rsidRPr="0062491B">
        <w:rPr>
          <w:rFonts w:ascii="Verdana" w:hAnsi="Verdana" w:cs="Arial"/>
          <w:b/>
          <w:bCs/>
          <w:color w:val="000000"/>
          <w:sz w:val="20"/>
          <w:szCs w:val="20"/>
        </w:rPr>
        <w:t>.</w:t>
      </w:r>
      <w:r w:rsidRPr="0062491B">
        <w:rPr>
          <w:rFonts w:ascii="Verdana" w:hAnsi="Verdana" w:cs="Arial"/>
          <w:color w:val="000000"/>
          <w:sz w:val="20"/>
          <w:szCs w:val="20"/>
        </w:rPr>
        <w:t xml:space="preserve"> En todo caso, las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xml:space="preserve"> también podrán acreditar esta condición con la copia del certificado del Registro Único de Proponentes, el cual deberá encontrarse vigente y en firme al momento de su presentación.</w:t>
      </w:r>
      <w:r w:rsidRPr="0062491B">
        <w:rPr>
          <w:rFonts w:ascii="Verdana" w:hAnsi="Verdana" w:cs="Arial"/>
          <w:color w:val="000000"/>
          <w:sz w:val="20"/>
          <w:szCs w:val="20"/>
        </w:rPr>
        <w:br/>
      </w:r>
      <w:r w:rsidRPr="0062491B">
        <w:rPr>
          <w:rFonts w:ascii="Verdana" w:hAnsi="Verdana" w:cs="Arial"/>
          <w:color w:val="000000"/>
          <w:sz w:val="20"/>
          <w:szCs w:val="20"/>
        </w:rPr>
        <w:br/>
      </w:r>
      <w:r w:rsidRPr="0062491B">
        <w:rPr>
          <w:rStyle w:val="Fuerte"/>
          <w:rFonts w:ascii="Verdana" w:hAnsi="Verdana" w:cs="Arial"/>
          <w:b w:val="0"/>
          <w:bCs w:val="0"/>
          <w:color w:val="000000"/>
          <w:sz w:val="20"/>
          <w:szCs w:val="20"/>
        </w:rPr>
        <w:t>Parágrafo 2</w:t>
      </w:r>
      <w:r w:rsidRPr="0062491B">
        <w:rPr>
          <w:rStyle w:val="Fuerte"/>
          <w:rFonts w:ascii="Verdana" w:hAnsi="Verdana" w:cs="Arial"/>
          <w:color w:val="000000"/>
          <w:sz w:val="20"/>
          <w:szCs w:val="20"/>
        </w:rPr>
        <w:t>.</w:t>
      </w:r>
      <w:r w:rsidRPr="0062491B">
        <w:rPr>
          <w:rFonts w:ascii="Verdana" w:hAnsi="Verdana" w:cs="Arial"/>
          <w:color w:val="000000"/>
          <w:sz w:val="20"/>
          <w:szCs w:val="20"/>
        </w:rPr>
        <w:t xml:space="preserve"> Para efectos de la limitación a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xml:space="preserv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w:t>
      </w:r>
      <w:r w:rsidRPr="0062491B">
        <w:rPr>
          <w:rFonts w:ascii="Verdana" w:hAnsi="Verdana" w:cs="Arial"/>
          <w:color w:val="000000"/>
          <w:sz w:val="20"/>
          <w:szCs w:val="20"/>
        </w:rPr>
        <w:lastRenderedPageBreak/>
        <w:t>Proceso de Contratación para el inicio del plazo para solicitar la convocatoria limitada.</w:t>
      </w:r>
      <w:r w:rsidRPr="0062491B">
        <w:rPr>
          <w:rFonts w:ascii="Verdana" w:hAnsi="Verdana" w:cs="Arial"/>
          <w:color w:val="000000"/>
          <w:sz w:val="20"/>
          <w:szCs w:val="20"/>
        </w:rPr>
        <w:br/>
      </w:r>
      <w:r w:rsidRPr="0062491B">
        <w:rPr>
          <w:rFonts w:ascii="Verdana" w:hAnsi="Verdana" w:cs="Arial"/>
          <w:color w:val="000000"/>
          <w:sz w:val="20"/>
          <w:szCs w:val="20"/>
        </w:rPr>
        <w:br/>
      </w:r>
      <w:r w:rsidRPr="0062491B">
        <w:rPr>
          <w:rStyle w:val="Fuerte"/>
          <w:rFonts w:ascii="Verdana" w:hAnsi="Verdana" w:cs="Arial"/>
          <w:b w:val="0"/>
          <w:bCs w:val="0"/>
          <w:color w:val="000000"/>
          <w:sz w:val="20"/>
          <w:szCs w:val="20"/>
        </w:rPr>
        <w:t>Parágrafo 3.</w:t>
      </w:r>
      <w:r w:rsidRPr="0062491B">
        <w:rPr>
          <w:rStyle w:val="Fuerte"/>
          <w:rFonts w:ascii="Verdana" w:hAnsi="Verdana" w:cs="Arial"/>
          <w:color w:val="000000"/>
          <w:sz w:val="20"/>
          <w:szCs w:val="20"/>
        </w:rPr>
        <w:t> </w:t>
      </w:r>
      <w:r w:rsidRPr="0062491B">
        <w:rPr>
          <w:rFonts w:ascii="Verdana" w:hAnsi="Verdana" w:cs="Arial"/>
          <w:color w:val="000000"/>
          <w:sz w:val="20"/>
          <w:szCs w:val="20"/>
        </w:rPr>
        <w:t xml:space="preserve">En las convocatorias limitadas, las Entidades Estatales independientemente de su régimen de contratación, los patrimonios autónomos constituidos por Entidades Estatales y los particulares que ejecuten recursos públicos, solo deberán aceptar las ofertas de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xml:space="preserve"> o de proponentes plurales integrados únicamente por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w:t>
      </w:r>
      <w:r w:rsidRPr="0062491B">
        <w:rPr>
          <w:rFonts w:ascii="Verdana" w:hAnsi="Verdana" w:cs="Arial"/>
          <w:color w:val="000000"/>
          <w:sz w:val="20"/>
          <w:szCs w:val="20"/>
        </w:rPr>
        <w:br/>
      </w:r>
      <w:r w:rsidRPr="0062491B">
        <w:rPr>
          <w:rFonts w:ascii="Verdana" w:hAnsi="Verdana" w:cs="Arial"/>
          <w:color w:val="000000"/>
          <w:sz w:val="20"/>
          <w:szCs w:val="20"/>
        </w:rPr>
        <w:br/>
      </w:r>
      <w:r w:rsidRPr="0062491B">
        <w:rPr>
          <w:rStyle w:val="Fuerte"/>
          <w:rFonts w:ascii="Verdana" w:hAnsi="Verdana" w:cs="Arial"/>
          <w:b w:val="0"/>
          <w:bCs w:val="0"/>
          <w:color w:val="000000"/>
          <w:sz w:val="20"/>
          <w:szCs w:val="20"/>
        </w:rPr>
        <w:t>Parágrafo 4.</w:t>
      </w:r>
      <w:r w:rsidRPr="0062491B">
        <w:rPr>
          <w:rFonts w:ascii="Verdana" w:hAnsi="Verdana" w:cs="Arial"/>
          <w:color w:val="000000"/>
          <w:sz w:val="20"/>
          <w:szCs w:val="20"/>
        </w:rPr>
        <w:t> Los incentivos previstos en los artículos 2.2.1.2.4.2.2 y 2.2.1.2.4.2.3 de este Decreto no excluyen la aplicación de los criterios diferenciales para los emprendimientos y empresas de mujeres en el sistema de compras públicas</w:t>
      </w:r>
    </w:p>
    <w:p w14:paraId="114BB838" w14:textId="28869C54" w:rsidR="00A10AB5" w:rsidRPr="0062491B" w:rsidRDefault="00A10AB5" w:rsidP="00A10AB5">
      <w:pPr>
        <w:spacing w:before="240" w:line="276" w:lineRule="auto"/>
        <w:ind w:firstLine="708"/>
        <w:jc w:val="both"/>
        <w:rPr>
          <w:rFonts w:ascii="Verdana" w:eastAsia="Calibri" w:hAnsi="Verdana" w:cs="Arial"/>
        </w:rPr>
      </w:pPr>
      <w:r w:rsidRPr="0062491B">
        <w:rPr>
          <w:rFonts w:ascii="Verdana" w:eastAsia="Arial" w:hAnsi="Verdana" w:cs="Arial"/>
          <w:color w:val="000000"/>
          <w:lang w:val="es-ES"/>
        </w:rPr>
        <w:t xml:space="preserve">Adicionalmente, </w:t>
      </w:r>
      <w:r w:rsidRPr="0062491B">
        <w:rPr>
          <w:rFonts w:ascii="Verdana" w:eastAsia="Calibri" w:hAnsi="Verdana" w:cs="Arial"/>
          <w:lang w:val="es-ES"/>
        </w:rPr>
        <w:t xml:space="preserve">la limitación territorial de las convocatorias a MiPymes encuentra su fundamento legal en el </w:t>
      </w:r>
      <w:r w:rsidRPr="0062491B">
        <w:rPr>
          <w:rFonts w:ascii="Verdana" w:hAnsi="Verdana" w:cs="Arial"/>
        </w:rPr>
        <w:t xml:space="preserve">artículo </w:t>
      </w:r>
      <w:r w:rsidRPr="0062491B">
        <w:rPr>
          <w:rFonts w:ascii="Verdana" w:eastAsia="Calibri" w:hAnsi="Verdana" w:cs="Arial"/>
        </w:rPr>
        <w:t>2.2.1.2.4.2.3 del Decreto 1082 de 2015, modificado por el artículo 5 del Decreto 1860 de 2021, como sigue:</w:t>
      </w:r>
    </w:p>
    <w:p w14:paraId="20E6EE53" w14:textId="60082B8C" w:rsidR="00A10AB5" w:rsidRPr="0062491B" w:rsidRDefault="00A10AB5" w:rsidP="0062491B">
      <w:pPr>
        <w:spacing w:after="0" w:line="240" w:lineRule="auto"/>
        <w:ind w:left="708" w:right="616"/>
        <w:jc w:val="both"/>
        <w:rPr>
          <w:rFonts w:ascii="Verdana" w:hAnsi="Verdana" w:cs="Arial"/>
          <w:color w:val="000000"/>
          <w:sz w:val="20"/>
          <w:szCs w:val="20"/>
        </w:rPr>
      </w:pPr>
      <w:r w:rsidRPr="0062491B">
        <w:rPr>
          <w:rStyle w:val="Fuerte"/>
          <w:rFonts w:ascii="Verdana" w:hAnsi="Verdana" w:cs="Arial"/>
          <w:b w:val="0"/>
          <w:bCs w:val="0"/>
          <w:color w:val="000000"/>
          <w:sz w:val="20"/>
          <w:szCs w:val="20"/>
        </w:rPr>
        <w:t>Limitaciones territoriales.</w:t>
      </w:r>
      <w:r w:rsidRPr="0062491B">
        <w:rPr>
          <w:rStyle w:val="Fuerte"/>
          <w:rFonts w:ascii="Verdana" w:hAnsi="Verdana" w:cs="Arial"/>
          <w:color w:val="000000"/>
          <w:sz w:val="20"/>
          <w:szCs w:val="20"/>
        </w:rPr>
        <w:t> </w:t>
      </w:r>
      <w:r w:rsidRPr="0062491B">
        <w:rPr>
          <w:rFonts w:ascii="Verdana" w:hAnsi="Verdana" w:cs="Arial"/>
          <w:color w:val="000000"/>
          <w:sz w:val="20"/>
          <w:szCs w:val="20"/>
        </w:rPr>
        <w:t xml:space="preserve">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xml:space="preserve"> colombianas que tengan domicilio en los departamentos o municipios en donde se va a ejecutar el contrato. Cada </w:t>
      </w:r>
      <w:proofErr w:type="spellStart"/>
      <w:r w:rsidRPr="0062491B">
        <w:rPr>
          <w:rFonts w:ascii="Verdana" w:hAnsi="Verdana" w:cs="Arial"/>
          <w:color w:val="000000"/>
          <w:sz w:val="20"/>
          <w:szCs w:val="20"/>
        </w:rPr>
        <w:t>Mipyme</w:t>
      </w:r>
      <w:proofErr w:type="spellEnd"/>
      <w:r w:rsidRPr="0062491B">
        <w:rPr>
          <w:rFonts w:ascii="Verdana" w:hAnsi="Verdana" w:cs="Arial"/>
          <w:color w:val="000000"/>
          <w:sz w:val="20"/>
          <w:szCs w:val="20"/>
        </w:rPr>
        <w:t xml:space="preserve"> deberá acreditar su domicilio con los documentos a los que se refiere el siguiente artículo.</w:t>
      </w:r>
    </w:p>
    <w:p w14:paraId="347B926C" w14:textId="03ACF6AE" w:rsidR="000A3A00" w:rsidRPr="0062491B" w:rsidRDefault="000A3A00" w:rsidP="00A10AB5">
      <w:pPr>
        <w:spacing w:after="0" w:line="240" w:lineRule="auto"/>
        <w:ind w:left="708" w:right="616" w:firstLine="62"/>
        <w:jc w:val="both"/>
        <w:rPr>
          <w:rFonts w:ascii="Verdana" w:eastAsia="Calibri" w:hAnsi="Verdana" w:cs="Arial"/>
        </w:rPr>
      </w:pPr>
    </w:p>
    <w:p w14:paraId="57BBC93B" w14:textId="01150020" w:rsidR="000A3A00" w:rsidRPr="0062491B" w:rsidRDefault="000A3A00" w:rsidP="000A3A00">
      <w:pPr>
        <w:spacing w:after="120" w:line="276" w:lineRule="auto"/>
        <w:ind w:firstLine="708"/>
        <w:jc w:val="both"/>
        <w:rPr>
          <w:rFonts w:ascii="Verdana" w:eastAsia="Calibri" w:hAnsi="Verdana" w:cs="Arial"/>
        </w:rPr>
      </w:pPr>
      <w:r w:rsidRPr="0062491B">
        <w:rPr>
          <w:rFonts w:ascii="Verdana" w:eastAsia="Calibri" w:hAnsi="Verdana" w:cs="Arial"/>
        </w:rPr>
        <w:t>Desde una interpretación sistemática del régimen de compras públicas, la aplicación de mecanismos de participación exclusiva para MiPymes exige una observancia estricta de los principios que gobiernan la función administrativa y la actividad contractual del Estado. La actuación de la Entidad Estatal debe enmarcarse en los principios de legalidad, transparencia, economía y selección objetiva, verificando de manera estricta y uniforme los requisitos taxativamente establecidos, garantizando igualdad de trato entre los interesados y evitando cargas formales adicionales que puedan restringir injustificadamente la participación de las MiPymes en el sistema de compras públicas.</w:t>
      </w:r>
    </w:p>
    <w:p w14:paraId="5A23B61F" w14:textId="6B1D4F87" w:rsidR="000A3A00" w:rsidRPr="0062491B" w:rsidRDefault="000A3A00" w:rsidP="000A3A00">
      <w:pPr>
        <w:spacing w:after="120" w:line="276" w:lineRule="auto"/>
        <w:ind w:firstLine="708"/>
        <w:jc w:val="both"/>
        <w:rPr>
          <w:rFonts w:ascii="Verdana" w:hAnsi="Verdana" w:cs="Arial"/>
        </w:rPr>
      </w:pPr>
      <w:r w:rsidRPr="0062491B">
        <w:rPr>
          <w:rFonts w:ascii="Verdana" w:hAnsi="Verdana" w:cs="Arial"/>
        </w:rPr>
        <w:t xml:space="preserve">Ahora bien, es pertinente señalar que la Agencia Nacional de Contratación Pública – Colombia Compra Eficiente invita cordialmente a las Entidades Estatales, MiPymes y demás interesados a consultar los documentos de orientación que han sido expedidos relacionados con la participación de las MiPymes en los procesos de compra y contratación pública, destacando en este </w:t>
      </w:r>
      <w:r w:rsidRPr="0062491B">
        <w:rPr>
          <w:rFonts w:ascii="Verdana" w:hAnsi="Verdana" w:cs="Arial"/>
        </w:rPr>
        <w:lastRenderedPageBreak/>
        <w:t xml:space="preserve">caso la </w:t>
      </w:r>
      <w:r w:rsidR="00336CE6" w:rsidRPr="0062491B">
        <w:rPr>
          <w:rFonts w:ascii="Verdana" w:hAnsi="Verdana" w:cs="Arial"/>
        </w:rPr>
        <w:t xml:space="preserve">“Guía para Promover la Participación de las </w:t>
      </w:r>
      <w:proofErr w:type="spellStart"/>
      <w:r w:rsidR="00336CE6" w:rsidRPr="0062491B">
        <w:rPr>
          <w:rFonts w:ascii="Verdana" w:hAnsi="Verdana" w:cs="Arial"/>
        </w:rPr>
        <w:t>Mipymes</w:t>
      </w:r>
      <w:proofErr w:type="spellEnd"/>
      <w:r w:rsidR="00336CE6" w:rsidRPr="0062491B">
        <w:rPr>
          <w:rFonts w:ascii="Verdana" w:hAnsi="Verdana" w:cs="Arial"/>
        </w:rPr>
        <w:t xml:space="preserve"> en los Procesos de Compra y Contratación Pública</w:t>
      </w:r>
      <w:r w:rsidRPr="0062491B">
        <w:rPr>
          <w:rFonts w:ascii="Verdana" w:hAnsi="Verdana" w:cs="Arial"/>
          <w:b/>
          <w:bCs/>
        </w:rPr>
        <w:t>”</w:t>
      </w:r>
      <w:r w:rsidRPr="0062491B">
        <w:rPr>
          <w:rStyle w:val="Refdenotaalpie"/>
          <w:rFonts w:ascii="Verdana" w:hAnsi="Verdana" w:cs="Arial"/>
        </w:rPr>
        <w:footnoteReference w:id="1"/>
      </w:r>
      <w:r w:rsidRPr="0062491B">
        <w:rPr>
          <w:rFonts w:ascii="Verdana" w:hAnsi="Verdana" w:cs="Arial"/>
        </w:rPr>
        <w:t>.</w:t>
      </w:r>
    </w:p>
    <w:p w14:paraId="270EAD5D" w14:textId="77777777" w:rsidR="000A3A00" w:rsidRPr="0062491B" w:rsidRDefault="000A3A00" w:rsidP="000A3A00">
      <w:pPr>
        <w:spacing w:after="120" w:line="276" w:lineRule="auto"/>
        <w:ind w:firstLine="708"/>
        <w:jc w:val="both"/>
        <w:rPr>
          <w:rFonts w:ascii="Verdana" w:eastAsia="Times New Roman" w:hAnsi="Verdana" w:cs="Arial"/>
          <w:lang w:eastAsia="es-CO"/>
        </w:rPr>
      </w:pPr>
      <w:r w:rsidRPr="0062491B">
        <w:rPr>
          <w:rFonts w:ascii="Verdana" w:eastAsia="Times New Roman" w:hAnsi="Verdana" w:cs="Arial"/>
          <w:lang w:eastAsia="es-CO"/>
        </w:rPr>
        <w:t>En esta guía, se encontrará información detallada sobre las normas, criterios y buenas prácticas aplicables, incluyendo aspectos como la limitación territorial de las convocatorias y la forma en que debe justificarse su aplicación, con el fin de promover la participación efectiva de las MiPymes en el Sistema de Compras Públicas. Con esto invitamos a todos los interesados a revisar estos materiales y a utilizarlos como herramienta para fortalecer sus procesos de contratación y garantizar la inclusión de las MiPymes en los procesos de contratación.</w:t>
      </w:r>
    </w:p>
    <w:p w14:paraId="5A93DF96" w14:textId="011E7778" w:rsidR="00F079F6" w:rsidRPr="0062491B" w:rsidRDefault="00A10AB5" w:rsidP="00A10AB5">
      <w:pPr>
        <w:spacing w:after="0" w:line="276" w:lineRule="auto"/>
        <w:ind w:firstLine="709"/>
        <w:jc w:val="both"/>
        <w:rPr>
          <w:rFonts w:ascii="Verdana" w:eastAsia="Arial" w:hAnsi="Verdana" w:cs="Arial"/>
          <w:color w:val="000000"/>
        </w:rPr>
      </w:pPr>
      <w:r w:rsidRPr="0062491B">
        <w:rPr>
          <w:rFonts w:ascii="Verdana" w:eastAsia="Calibri" w:hAnsi="Verdana" w:cs="Arial"/>
          <w:lang w:val="es-ES"/>
        </w:rPr>
        <w:t xml:space="preserve">En </w:t>
      </w:r>
      <w:r w:rsidR="00F079F6" w:rsidRPr="0062491B">
        <w:rPr>
          <w:rFonts w:ascii="Verdana" w:eastAsia="Arial" w:hAnsi="Verdana" w:cs="Arial"/>
          <w:color w:val="000000"/>
        </w:rPr>
        <w:t xml:space="preserve">desarrollo del artículo 34 de la Ley de Emprendimiento, el artículo 2.2.1.2.4.2.2 del Decreto 1082 de 2015 –modificado por el Decreto 1860 de 2021– establece los requisitos que se deben acreditar en las “convocatorias limitadas a </w:t>
      </w:r>
      <w:proofErr w:type="spellStart"/>
      <w:r w:rsidR="00F079F6" w:rsidRPr="0062491B">
        <w:rPr>
          <w:rFonts w:ascii="Verdana" w:eastAsia="Arial" w:hAnsi="Verdana" w:cs="Arial"/>
          <w:color w:val="000000"/>
        </w:rPr>
        <w:t>Mipymes</w:t>
      </w:r>
      <w:proofErr w:type="spellEnd"/>
      <w:r w:rsidR="00F079F6" w:rsidRPr="0062491B">
        <w:rPr>
          <w:rFonts w:ascii="Verdana" w:eastAsia="Arial" w:hAnsi="Verdana" w:cs="Arial"/>
          <w:color w:val="00000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00F079F6" w:rsidRPr="0062491B">
        <w:rPr>
          <w:rFonts w:ascii="Verdana" w:eastAsia="Arial" w:hAnsi="Verdana" w:cs="Arial"/>
          <w:color w:val="000000"/>
        </w:rPr>
        <w:t>Mipyme</w:t>
      </w:r>
      <w:proofErr w:type="spellEnd"/>
      <w:r w:rsidR="00F079F6" w:rsidRPr="0062491B">
        <w:rPr>
          <w:rFonts w:ascii="Verdana" w:eastAsia="Arial" w:hAnsi="Verdana" w:cs="Arial"/>
          <w:color w:val="000000"/>
        </w:rPr>
        <w:t xml:space="preserve"> colombianas con mínimo un (1) año de existencia, siempre que se cumplan los requisitos señalados allí. Al respecto indica lo siguiente: </w:t>
      </w:r>
    </w:p>
    <w:p w14:paraId="75F56D95" w14:textId="77777777" w:rsidR="00F079F6" w:rsidRPr="0062491B" w:rsidRDefault="00F079F6" w:rsidP="00F079F6">
      <w:pPr>
        <w:spacing w:after="0" w:line="276" w:lineRule="auto"/>
        <w:ind w:firstLine="709"/>
        <w:jc w:val="both"/>
        <w:rPr>
          <w:rFonts w:ascii="Verdana" w:eastAsia="Arial" w:hAnsi="Verdana" w:cs="Arial"/>
          <w:color w:val="000000"/>
        </w:rPr>
      </w:pPr>
    </w:p>
    <w:p w14:paraId="6379E324" w14:textId="77777777" w:rsidR="00F079F6" w:rsidRPr="0062491B" w:rsidRDefault="00F079F6" w:rsidP="00F079F6">
      <w:pPr>
        <w:spacing w:after="0" w:line="240" w:lineRule="auto"/>
        <w:ind w:left="709" w:right="709"/>
        <w:jc w:val="both"/>
        <w:rPr>
          <w:rFonts w:ascii="Verdana" w:eastAsia="Calibri" w:hAnsi="Verdana" w:cs="Arial"/>
          <w:sz w:val="20"/>
          <w:szCs w:val="20"/>
          <w:lang w:val="es-ES"/>
        </w:rPr>
      </w:pPr>
      <w:r w:rsidRPr="0062491B">
        <w:rPr>
          <w:rFonts w:ascii="Verdana" w:eastAsia="Calibri" w:hAnsi="Verdana" w:cs="Arial"/>
          <w:sz w:val="20"/>
          <w:szCs w:val="20"/>
          <w:lang w:val="es-ES"/>
        </w:rPr>
        <w:t xml:space="preserve">“Artículo 2.2.1.2.4.2.2. Convocatorias Imitadas a </w:t>
      </w:r>
      <w:proofErr w:type="spellStart"/>
      <w:r w:rsidRPr="0062491B">
        <w:rPr>
          <w:rFonts w:ascii="Verdana" w:eastAsia="Calibri" w:hAnsi="Verdana" w:cs="Arial"/>
          <w:sz w:val="20"/>
          <w:szCs w:val="20"/>
          <w:lang w:val="es-ES"/>
        </w:rPr>
        <w:t>Mipyme</w:t>
      </w:r>
      <w:proofErr w:type="spellEnd"/>
      <w:r w:rsidRPr="0062491B">
        <w:rPr>
          <w:rFonts w:ascii="Verdana" w:eastAsia="Calibri" w:hAnsi="Verdana" w:cs="Arial"/>
          <w:sz w:val="20"/>
          <w:szCs w:val="20"/>
          <w:lang w:val="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62491B">
        <w:rPr>
          <w:rFonts w:ascii="Verdana" w:eastAsia="Calibri" w:hAnsi="Verdana" w:cs="Arial"/>
          <w:sz w:val="20"/>
          <w:szCs w:val="20"/>
          <w:lang w:val="es-ES"/>
        </w:rPr>
        <w:t>Mipyme</w:t>
      </w:r>
      <w:proofErr w:type="spellEnd"/>
      <w:r w:rsidRPr="0062491B">
        <w:rPr>
          <w:rFonts w:ascii="Verdana" w:eastAsia="Calibri" w:hAnsi="Verdana" w:cs="Arial"/>
          <w:sz w:val="20"/>
          <w:szCs w:val="20"/>
          <w:lang w:val="es-ES"/>
        </w:rPr>
        <w:t xml:space="preserve"> colombianas con mínimo un (1) año de existencia, cuando concurran los siguientes requisitos: </w:t>
      </w:r>
    </w:p>
    <w:p w14:paraId="560BB937" w14:textId="77777777" w:rsidR="00F079F6" w:rsidRPr="0062491B" w:rsidRDefault="00F079F6" w:rsidP="00F079F6">
      <w:pPr>
        <w:spacing w:after="0" w:line="240" w:lineRule="auto"/>
        <w:ind w:left="709" w:right="709"/>
        <w:jc w:val="both"/>
        <w:rPr>
          <w:rFonts w:ascii="Verdana" w:eastAsia="Calibri" w:hAnsi="Verdana" w:cs="Arial"/>
          <w:sz w:val="20"/>
          <w:szCs w:val="20"/>
          <w:lang w:val="es-ES_tradnl"/>
        </w:rPr>
      </w:pPr>
    </w:p>
    <w:p w14:paraId="1ACD445B" w14:textId="77777777" w:rsidR="00F079F6" w:rsidRPr="0062491B" w:rsidRDefault="00F079F6" w:rsidP="00F079F6">
      <w:pPr>
        <w:spacing w:after="120" w:line="240" w:lineRule="auto"/>
        <w:ind w:left="709" w:right="709"/>
        <w:jc w:val="both"/>
        <w:rPr>
          <w:rFonts w:ascii="Verdana" w:eastAsia="Calibri" w:hAnsi="Verdana" w:cs="Arial"/>
          <w:sz w:val="20"/>
          <w:szCs w:val="20"/>
          <w:lang w:val="es-ES_tradnl"/>
        </w:rPr>
      </w:pPr>
      <w:r w:rsidRPr="0062491B">
        <w:rPr>
          <w:rFonts w:ascii="Verdana" w:eastAsia="Calibri" w:hAnsi="Verdana" w:cs="Arial"/>
          <w:sz w:val="20"/>
          <w:szCs w:val="20"/>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4FC41493" w14:textId="77777777" w:rsidR="00F079F6" w:rsidRPr="0062491B" w:rsidRDefault="00F079F6" w:rsidP="00F079F6">
      <w:pPr>
        <w:spacing w:after="0" w:line="240" w:lineRule="auto"/>
        <w:ind w:left="709" w:right="709"/>
        <w:jc w:val="both"/>
        <w:rPr>
          <w:rFonts w:ascii="Verdana" w:eastAsia="Calibri" w:hAnsi="Verdana" w:cs="Arial"/>
          <w:sz w:val="20"/>
          <w:szCs w:val="20"/>
          <w:lang w:val="es-ES"/>
        </w:rPr>
      </w:pPr>
      <w:r w:rsidRPr="0062491B">
        <w:rPr>
          <w:rFonts w:ascii="Verdana" w:eastAsia="Calibri" w:hAnsi="Verdana" w:cs="Arial"/>
          <w:sz w:val="20"/>
          <w:szCs w:val="20"/>
          <w:lang w:val="es-ES"/>
        </w:rPr>
        <w:t xml:space="preserve">2. Se hayan recibido solicitudes de por lo menos dos (2) </w:t>
      </w:r>
      <w:proofErr w:type="spellStart"/>
      <w:r w:rsidRPr="0062491B">
        <w:rPr>
          <w:rFonts w:ascii="Verdana" w:eastAsia="Calibri" w:hAnsi="Verdana" w:cs="Arial"/>
          <w:sz w:val="20"/>
          <w:szCs w:val="20"/>
          <w:lang w:val="es-ES"/>
        </w:rPr>
        <w:t>Mipyme</w:t>
      </w:r>
      <w:proofErr w:type="spellEnd"/>
      <w:r w:rsidRPr="0062491B">
        <w:rPr>
          <w:rFonts w:ascii="Verdana" w:eastAsia="Calibri" w:hAnsi="Verdana" w:cs="Arial"/>
          <w:sz w:val="20"/>
          <w:szCs w:val="20"/>
          <w:lang w:val="es-ES"/>
        </w:rPr>
        <w:t xml:space="preserve"> colombianas para limitar la convocatoria a </w:t>
      </w:r>
      <w:proofErr w:type="spellStart"/>
      <w:r w:rsidRPr="0062491B">
        <w:rPr>
          <w:rFonts w:ascii="Verdana" w:eastAsia="Calibri" w:hAnsi="Verdana" w:cs="Arial"/>
          <w:sz w:val="20"/>
          <w:szCs w:val="20"/>
          <w:lang w:val="es-ES"/>
        </w:rPr>
        <w:t>Mipyme</w:t>
      </w:r>
      <w:proofErr w:type="spellEnd"/>
      <w:r w:rsidRPr="0062491B">
        <w:rPr>
          <w:rFonts w:ascii="Verdana" w:eastAsia="Calibri" w:hAnsi="Verdana" w:cs="Arial"/>
          <w:sz w:val="20"/>
          <w:szCs w:val="20"/>
          <w:lang w:val="es-ES"/>
        </w:rPr>
        <w:t xml:space="preserve"> colombianas. Las </w:t>
      </w:r>
      <w:r w:rsidRPr="0062491B">
        <w:rPr>
          <w:rFonts w:ascii="Verdana" w:eastAsia="Calibri" w:hAnsi="Verdana" w:cs="Arial"/>
          <w:sz w:val="20"/>
          <w:szCs w:val="20"/>
          <w:lang w:val="es-ES"/>
        </w:rPr>
        <w:lastRenderedPageBreak/>
        <w:t xml:space="preserve">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62491B">
        <w:rPr>
          <w:rFonts w:ascii="Verdana" w:eastAsia="Calibri" w:hAnsi="Verdana" w:cs="Arial"/>
          <w:sz w:val="20"/>
          <w:szCs w:val="20"/>
          <w:lang w:val="es-ES"/>
        </w:rPr>
        <w:t>Mipyme</w:t>
      </w:r>
      <w:proofErr w:type="spellEnd"/>
      <w:r w:rsidRPr="0062491B">
        <w:rPr>
          <w:rFonts w:ascii="Verdana" w:eastAsia="Calibri" w:hAnsi="Verdana" w:cs="Arial"/>
          <w:sz w:val="20"/>
          <w:szCs w:val="20"/>
          <w:lang w:val="es-ES"/>
        </w:rPr>
        <w:t>, cuyo objeto social les permita ejecutar el contrato relacionado con el proceso contractual.</w:t>
      </w:r>
    </w:p>
    <w:p w14:paraId="30562A1D" w14:textId="77777777" w:rsidR="00F079F6" w:rsidRPr="0062491B" w:rsidRDefault="00F079F6" w:rsidP="00F079F6">
      <w:pPr>
        <w:spacing w:after="0" w:line="240" w:lineRule="auto"/>
        <w:ind w:left="709" w:right="709"/>
        <w:jc w:val="both"/>
        <w:rPr>
          <w:rFonts w:ascii="Verdana" w:eastAsia="Calibri" w:hAnsi="Verdana" w:cs="Arial"/>
          <w:sz w:val="20"/>
          <w:szCs w:val="20"/>
          <w:lang w:val="es-ES_tradnl"/>
        </w:rPr>
      </w:pPr>
    </w:p>
    <w:p w14:paraId="749A64C9" w14:textId="77777777" w:rsidR="00F079F6" w:rsidRPr="0062491B" w:rsidRDefault="00F079F6" w:rsidP="00F079F6">
      <w:pPr>
        <w:spacing w:after="0" w:line="240" w:lineRule="auto"/>
        <w:ind w:left="709" w:right="709"/>
        <w:jc w:val="both"/>
        <w:rPr>
          <w:rFonts w:ascii="Verdana" w:eastAsia="Calibri" w:hAnsi="Verdana" w:cs="Arial"/>
          <w:sz w:val="20"/>
          <w:szCs w:val="20"/>
          <w:lang w:val="es-ES"/>
        </w:rPr>
      </w:pPr>
      <w:r w:rsidRPr="0062491B">
        <w:rPr>
          <w:rFonts w:ascii="Verdana" w:eastAsia="Calibri" w:hAnsi="Verdana" w:cs="Arial"/>
          <w:sz w:val="20"/>
          <w:szCs w:val="20"/>
          <w:lang w:val="es-ES"/>
        </w:rPr>
        <w:t xml:space="preserve">Parágrafo. Las cooperativas y demás entidades de economía solidaria, siempre que tengan la calidad de </w:t>
      </w:r>
      <w:proofErr w:type="spellStart"/>
      <w:r w:rsidRPr="0062491B">
        <w:rPr>
          <w:rFonts w:ascii="Verdana" w:eastAsia="Calibri" w:hAnsi="Verdana" w:cs="Arial"/>
          <w:sz w:val="20"/>
          <w:szCs w:val="20"/>
          <w:lang w:val="es-ES"/>
        </w:rPr>
        <w:t>Mipyme</w:t>
      </w:r>
      <w:proofErr w:type="spellEnd"/>
      <w:r w:rsidRPr="0062491B">
        <w:rPr>
          <w:rFonts w:ascii="Verdana" w:eastAsia="Calibri" w:hAnsi="Verdana" w:cs="Arial"/>
          <w:sz w:val="20"/>
          <w:szCs w:val="20"/>
          <w:lang w:val="es-ES"/>
        </w:rPr>
        <w:t>, podrán solicitar y participar en las convocatorias limitadas en las mismas condiciones dispuestas en el presente artículo”.</w:t>
      </w:r>
    </w:p>
    <w:p w14:paraId="62197372" w14:textId="77777777" w:rsidR="00F079F6" w:rsidRPr="0062491B" w:rsidRDefault="00F079F6" w:rsidP="00F079F6">
      <w:pPr>
        <w:spacing w:after="0" w:line="276" w:lineRule="auto"/>
        <w:ind w:firstLine="709"/>
        <w:jc w:val="both"/>
        <w:rPr>
          <w:rFonts w:ascii="Verdana" w:eastAsia="Arial" w:hAnsi="Verdana" w:cs="Arial"/>
          <w:color w:val="000000"/>
        </w:rPr>
      </w:pPr>
    </w:p>
    <w:p w14:paraId="056EC325" w14:textId="77777777" w:rsidR="00F079F6" w:rsidRPr="0062491B" w:rsidRDefault="00F079F6" w:rsidP="00F079F6">
      <w:pPr>
        <w:spacing w:after="120" w:line="276" w:lineRule="auto"/>
        <w:ind w:firstLine="709"/>
        <w:jc w:val="both"/>
        <w:rPr>
          <w:rFonts w:ascii="Verdana" w:eastAsia="Arial" w:hAnsi="Verdana" w:cs="Arial"/>
          <w:color w:val="000000"/>
          <w:lang w:val="es-ES_tradnl"/>
        </w:rPr>
      </w:pPr>
      <w:r w:rsidRPr="0062491B">
        <w:rPr>
          <w:rFonts w:ascii="Verdana" w:eastAsia="Arial" w:hAnsi="Verdana" w:cs="Arial"/>
          <w:color w:val="000000"/>
        </w:rPr>
        <w:t xml:space="preserve">Según se evidencia, el numeral primero limita cuantitativamente los procesos contractuales para las convocatorias limitadas a </w:t>
      </w:r>
      <w:proofErr w:type="spellStart"/>
      <w:r w:rsidRPr="0062491B">
        <w:rPr>
          <w:rFonts w:ascii="Verdana" w:eastAsia="Arial" w:hAnsi="Verdana" w:cs="Arial"/>
          <w:color w:val="000000"/>
        </w:rPr>
        <w:t>Mipyme</w:t>
      </w:r>
      <w:proofErr w:type="spellEnd"/>
      <w:r w:rsidRPr="0062491B">
        <w:rPr>
          <w:rFonts w:ascii="Verdana" w:eastAsia="Arial" w:hAnsi="Verdana" w:cs="Arial"/>
          <w:color w:val="000000"/>
        </w:rPr>
        <w:t xml:space="preserve">, puesto que el valor del proceso de contratación debe ser “menor a ciento veinticinco mil dólares de los Estados Unidos de América”. Esto acuerdo con la tasa que determine cada dos años el Ministerio de Comercio, Industria y Turismo. Por su parte, el numeral segundo establece que al menos dos (2) </w:t>
      </w:r>
      <w:proofErr w:type="spellStart"/>
      <w:r w:rsidRPr="0062491B">
        <w:rPr>
          <w:rFonts w:ascii="Verdana" w:eastAsia="Arial" w:hAnsi="Verdana" w:cs="Arial"/>
          <w:color w:val="000000"/>
        </w:rPr>
        <w:t>Mipymes</w:t>
      </w:r>
      <w:proofErr w:type="spellEnd"/>
      <w:r w:rsidRPr="0062491B">
        <w:rPr>
          <w:rFonts w:ascii="Verdana" w:eastAsia="Arial" w:hAnsi="Verdana" w:cs="Arial"/>
          <w:color w:val="000000"/>
        </w:rPr>
        <w:t xml:space="preserve"> colombianas presenten a la entidad la solicitud de limitar el proceso contractual y, por el otro, que hagan la solicitud por lo menos un día (1) hábil antes de la expedición del acto administrativo de apertura </w:t>
      </w:r>
      <w:r w:rsidRPr="0062491B">
        <w:rPr>
          <w:rFonts w:ascii="Verdana" w:eastAsia="Arial" w:hAnsi="Verdana" w:cs="Arial"/>
          <w:color w:val="000000"/>
          <w:lang w:val="es-ES_tradnl"/>
        </w:rPr>
        <w:t>o el que haga sus veces de acuerdo con la normativa aplicable a cada Proceso de Contratación</w:t>
      </w:r>
      <w:r w:rsidRPr="0062491B">
        <w:rPr>
          <w:rFonts w:ascii="Verdana" w:eastAsia="Arial" w:hAnsi="Verdana" w:cs="Arial"/>
          <w:color w:val="000000"/>
        </w:rPr>
        <w:t xml:space="preserve">. Asimismo, la norma señala que, </w:t>
      </w:r>
      <w:r w:rsidRPr="0062491B">
        <w:rPr>
          <w:rFonts w:ascii="Verdana" w:eastAsia="Arial" w:hAnsi="Verdana" w:cs="Arial"/>
          <w:color w:val="000000"/>
          <w:lang w:val="es-ES_tradnl"/>
        </w:rPr>
        <w:t xml:space="preserve">tratándose de personas jurídicas, las solicitudes solo las podrán realizar </w:t>
      </w:r>
      <w:proofErr w:type="spellStart"/>
      <w:r w:rsidRPr="0062491B">
        <w:rPr>
          <w:rFonts w:ascii="Verdana" w:eastAsia="Arial" w:hAnsi="Verdana" w:cs="Arial"/>
          <w:color w:val="000000"/>
          <w:lang w:val="es-ES_tradnl"/>
        </w:rPr>
        <w:t>Mipyme</w:t>
      </w:r>
      <w:proofErr w:type="spellEnd"/>
      <w:r w:rsidRPr="0062491B">
        <w:rPr>
          <w:rFonts w:ascii="Verdana" w:eastAsia="Arial" w:hAnsi="Verdana" w:cs="Arial"/>
          <w:color w:val="000000"/>
          <w:lang w:val="es-ES_tradnl"/>
        </w:rPr>
        <w:t xml:space="preserv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w:t>
      </w:r>
      <w:proofErr w:type="spellStart"/>
      <w:r w:rsidRPr="0062491B">
        <w:rPr>
          <w:rFonts w:ascii="Verdana" w:eastAsia="Arial" w:hAnsi="Verdana" w:cs="Arial"/>
          <w:color w:val="000000"/>
          <w:lang w:val="es-ES_tradnl"/>
        </w:rPr>
        <w:t>Mipyme</w:t>
      </w:r>
      <w:proofErr w:type="spellEnd"/>
      <w:r w:rsidRPr="0062491B">
        <w:rPr>
          <w:rFonts w:ascii="Verdana" w:eastAsia="Arial" w:hAnsi="Verdana" w:cs="Arial"/>
          <w:color w:val="000000"/>
          <w:lang w:val="es-ES_tradnl"/>
        </w:rPr>
        <w:t xml:space="preserve">, siempre que estas cumplan con las condiciones señaladas en el artículo. </w:t>
      </w:r>
    </w:p>
    <w:p w14:paraId="0541170C" w14:textId="77777777" w:rsidR="00F079F6" w:rsidRPr="0062491B" w:rsidRDefault="00F079F6" w:rsidP="00F079F6">
      <w:pPr>
        <w:spacing w:after="120" w:line="276" w:lineRule="auto"/>
        <w:ind w:firstLine="709"/>
        <w:jc w:val="both"/>
        <w:rPr>
          <w:rFonts w:ascii="Verdana" w:eastAsia="Arial" w:hAnsi="Verdana" w:cs="Arial"/>
          <w:color w:val="000000"/>
          <w:lang w:val="es-ES_tradnl"/>
        </w:rPr>
      </w:pPr>
      <w:r w:rsidRPr="0062491B">
        <w:rPr>
          <w:rFonts w:ascii="Verdana" w:eastAsia="Arial" w:hAnsi="Verdana" w:cs="Arial"/>
          <w:color w:val="000000"/>
          <w:lang w:val="es-ES_tradnl"/>
        </w:rPr>
        <w:t xml:space="preserve">En este contexto, las entidades estatales están obligadas a aplicar el incentivo de convocatorias limitadas a </w:t>
      </w:r>
      <w:proofErr w:type="spellStart"/>
      <w:r w:rsidRPr="0062491B">
        <w:rPr>
          <w:rFonts w:ascii="Verdana" w:eastAsia="Arial" w:hAnsi="Verdana" w:cs="Arial"/>
          <w:color w:val="000000"/>
          <w:lang w:val="es-ES_tradnl"/>
        </w:rPr>
        <w:t>Mipyme</w:t>
      </w:r>
      <w:proofErr w:type="spellEnd"/>
      <w:r w:rsidRPr="0062491B">
        <w:rPr>
          <w:rFonts w:ascii="Verdana" w:eastAsia="Arial" w:hAnsi="Verdana" w:cs="Arial"/>
          <w:color w:val="000000"/>
          <w:lang w:val="es-ES_tradnl"/>
        </w:rPr>
        <w:t xml:space="preserve"> cuando se reúnan los requisitos establecidos en el artículo 2.2.1.2.4.2.2 del Decreto 1082 de 2015, sin importar el objeto del contrato. Para que proceda la convocatoria limitada a </w:t>
      </w:r>
      <w:proofErr w:type="spellStart"/>
      <w:r w:rsidRPr="0062491B">
        <w:rPr>
          <w:rFonts w:ascii="Verdana" w:eastAsia="Arial" w:hAnsi="Verdana" w:cs="Arial"/>
          <w:color w:val="000000"/>
          <w:lang w:val="es-ES_tradnl"/>
        </w:rPr>
        <w:t>Mipyme</w:t>
      </w:r>
      <w:proofErr w:type="spellEnd"/>
      <w:r w:rsidRPr="0062491B">
        <w:rPr>
          <w:rFonts w:ascii="Verdana" w:eastAsia="Arial" w:hAnsi="Verdana" w:cs="Arial"/>
          <w:color w:val="000000"/>
          <w:lang w:val="es-ES_tradnl"/>
        </w:rPr>
        <w:t xml:space="preserve"> es necesario que el valor del proceso de contratación sea menor a US$125.000, esto se cumple cuando no se generen erogaciones presupuestales o cuando la cuantía del Proceso de Contratación sea cero (0). </w:t>
      </w:r>
      <w:r w:rsidRPr="0062491B">
        <w:rPr>
          <w:rFonts w:ascii="Verdana" w:hAnsi="Verdana" w:cs="Arial"/>
          <w:lang w:val="es-ES"/>
        </w:rPr>
        <w:t xml:space="preserve">Lo anterior conforme a la directriz interpretativa del artículo 31 del Código Civil, según la cual “Lo favorable u odioso de una disposición no se tomará en cuenta para ampliar o restringir su </w:t>
      </w:r>
      <w:r w:rsidRPr="0062491B">
        <w:rPr>
          <w:rFonts w:ascii="Verdana" w:hAnsi="Verdana" w:cs="Arial"/>
          <w:lang w:val="es-ES"/>
        </w:rPr>
        <w:lastRenderedPageBreak/>
        <w:t>interpretación. La extensión que deba darse a toda ley se determinará por su genuino sentido […]”</w:t>
      </w:r>
      <w:r w:rsidRPr="0062491B">
        <w:rPr>
          <w:rStyle w:val="Refdenotaalpie"/>
          <w:rFonts w:ascii="Verdana" w:hAnsi="Verdana" w:cs="Arial"/>
          <w:lang w:val="es-ES"/>
        </w:rPr>
        <w:footnoteReference w:id="2"/>
      </w:r>
      <w:r w:rsidRPr="0062491B">
        <w:rPr>
          <w:rFonts w:ascii="Verdana" w:hAnsi="Verdana" w:cs="Arial"/>
          <w:lang w:val="es-ES"/>
        </w:rPr>
        <w:t>.</w:t>
      </w:r>
    </w:p>
    <w:p w14:paraId="2D1DC81B" w14:textId="77777777" w:rsidR="00F079F6" w:rsidRPr="0062491B" w:rsidRDefault="00F079F6" w:rsidP="00F079F6">
      <w:pPr>
        <w:spacing w:after="0" w:line="276" w:lineRule="auto"/>
        <w:ind w:firstLine="709"/>
        <w:jc w:val="both"/>
        <w:rPr>
          <w:rFonts w:ascii="Verdana" w:eastAsia="Calibri" w:hAnsi="Verdana" w:cs="Arial"/>
          <w:lang w:val="es-ES"/>
        </w:rPr>
      </w:pPr>
      <w:r w:rsidRPr="0062491B">
        <w:rPr>
          <w:rFonts w:ascii="Verdana" w:eastAsia="Calibri" w:hAnsi="Verdana" w:cs="Arial"/>
          <w:lang w:val="es-ES"/>
        </w:rPr>
        <w:t>En relación con las limitaciones territorial</w:t>
      </w:r>
      <w:r w:rsidRPr="0062491B">
        <w:rPr>
          <w:rFonts w:ascii="Verdana" w:hAnsi="Verdana" w:cs="Arial"/>
          <w:lang w:val="es-ES"/>
        </w:rPr>
        <w:t xml:space="preserve">es de las convocatorias a </w:t>
      </w:r>
      <w:proofErr w:type="spellStart"/>
      <w:r w:rsidRPr="0062491B">
        <w:rPr>
          <w:rFonts w:ascii="Verdana" w:hAnsi="Verdana" w:cs="Arial"/>
          <w:lang w:val="es-ES"/>
        </w:rPr>
        <w:t>Mipyme</w:t>
      </w:r>
      <w:proofErr w:type="spellEnd"/>
      <w:r w:rsidRPr="0062491B">
        <w:rPr>
          <w:rFonts w:ascii="Verdana" w:hAnsi="Verdana" w:cs="Arial"/>
          <w:lang w:val="es-ES"/>
        </w:rPr>
        <w:t xml:space="preserve">, </w:t>
      </w:r>
      <w:r w:rsidRPr="0062491B">
        <w:rPr>
          <w:rFonts w:ascii="Verdana" w:eastAsia="Calibri" w:hAnsi="Verdana" w:cs="Arial"/>
          <w:lang w:val="es-ES"/>
        </w:rPr>
        <w:t xml:space="preserve"> a la luz del antiguo artículo 2.2.1.2.4.2.3 del Decreto 1082 de 2015, esta Agencia –</w:t>
      </w:r>
      <w:r w:rsidRPr="0062491B">
        <w:rPr>
          <w:rFonts w:ascii="Verdana" w:hAnsi="Verdana" w:cs="Arial"/>
          <w:lang w:val="es-ES"/>
        </w:rPr>
        <w:t>en los Conceptos 4201714000006924 del 29 de enero de 2018,</w:t>
      </w:r>
      <w:r w:rsidRPr="0062491B">
        <w:rPr>
          <w:rFonts w:ascii="Verdana" w:eastAsia="Calibri" w:hAnsi="Verdana" w:cs="Arial"/>
          <w:lang w:val="es-ES"/>
        </w:rPr>
        <w:t xml:space="preserve"> C-045 del 17 de marzo de 2020, C-162 del 16 de abril de 2020, C-214 del 21 de abril de 2020, C-258 del 17 de abril de 2020, C-364 del 4 de junio de 2020, C-413 del 30 de junio de 2020</w:t>
      </w:r>
      <w:r w:rsidRPr="0062491B">
        <w:rPr>
          <w:rFonts w:ascii="Verdana" w:hAnsi="Verdana" w:cs="Arial"/>
          <w:lang w:val="es-ES"/>
        </w:rPr>
        <w:t xml:space="preserve">, </w:t>
      </w:r>
      <w:r w:rsidRPr="0062491B">
        <w:rPr>
          <w:rFonts w:ascii="Verdana" w:eastAsia="Calibri" w:hAnsi="Verdana" w:cs="Arial"/>
          <w:lang w:val="es-ES"/>
        </w:rPr>
        <w:t xml:space="preserve">C-492 del 24 de julio de 2020, C-523 del 11 de agosto de 2020, C-610 del 14 de septiembre de 2020 y C-700 de 1 de diciembre de 2020– había sostenido que, para que se permitiera la participación de una </w:t>
      </w:r>
      <w:proofErr w:type="spellStart"/>
      <w:r w:rsidRPr="0062491B">
        <w:rPr>
          <w:rFonts w:ascii="Verdana" w:eastAsia="Calibri" w:hAnsi="Verdana" w:cs="Arial"/>
          <w:lang w:val="es-ES"/>
        </w:rPr>
        <w:t>Mipyme</w:t>
      </w:r>
      <w:proofErr w:type="spellEnd"/>
      <w:r w:rsidRPr="0062491B">
        <w:rPr>
          <w:rFonts w:ascii="Verdana" w:eastAsia="Calibri" w:hAnsi="Verdana" w:cs="Arial"/>
          <w:lang w:val="es-ES"/>
        </w:rPr>
        <w:t xml:space="preserve"> en uno de estos procesos, era necesario que esta demostrara estar domiciliada en el municipio o departamento en el que se ejecutaría el contrato. La tesis se expuso en los siguientes términos: </w:t>
      </w:r>
    </w:p>
    <w:p w14:paraId="6A9275BE" w14:textId="77777777" w:rsidR="00F079F6" w:rsidRPr="0062491B" w:rsidRDefault="00F079F6" w:rsidP="00F079F6">
      <w:pPr>
        <w:spacing w:after="0" w:line="276" w:lineRule="auto"/>
        <w:ind w:firstLine="709"/>
        <w:jc w:val="both"/>
        <w:rPr>
          <w:rFonts w:ascii="Verdana" w:eastAsia="Calibri" w:hAnsi="Verdana" w:cs="Arial"/>
          <w:lang w:val="es-ES_tradnl"/>
        </w:rPr>
      </w:pPr>
    </w:p>
    <w:p w14:paraId="0FBBF43C" w14:textId="77777777" w:rsidR="00F079F6" w:rsidRPr="0062491B" w:rsidRDefault="00F079F6" w:rsidP="00F079F6">
      <w:pPr>
        <w:spacing w:after="120" w:line="240" w:lineRule="auto"/>
        <w:ind w:left="709" w:right="709"/>
        <w:jc w:val="both"/>
        <w:rPr>
          <w:rFonts w:ascii="Verdana" w:hAnsi="Verdana" w:cs="Arial"/>
          <w:sz w:val="20"/>
          <w:szCs w:val="20"/>
          <w:lang w:val="es-ES"/>
        </w:rPr>
      </w:pPr>
      <w:r w:rsidRPr="0062491B">
        <w:rPr>
          <w:rFonts w:ascii="Verdana" w:hAnsi="Verdana" w:cs="Arial"/>
          <w:sz w:val="20"/>
          <w:szCs w:val="20"/>
          <w:lang w:val="es-ES"/>
        </w:rPr>
        <w:t xml:space="preserve">“Es de resaltar que </w:t>
      </w:r>
      <w:r w:rsidRPr="0062491B">
        <w:rPr>
          <w:rFonts w:ascii="Verdana" w:hAnsi="Verdana" w:cs="Arial"/>
          <w:i/>
          <w:sz w:val="20"/>
          <w:szCs w:val="20"/>
          <w:lang w:val="es-ES"/>
        </w:rPr>
        <w:t xml:space="preserve">estas normas se refieren a las </w:t>
      </w:r>
      <w:proofErr w:type="spellStart"/>
      <w:r w:rsidRPr="0062491B">
        <w:rPr>
          <w:rFonts w:ascii="Verdana" w:hAnsi="Verdana" w:cs="Arial"/>
          <w:i/>
          <w:sz w:val="20"/>
          <w:szCs w:val="20"/>
          <w:lang w:val="es-ES"/>
        </w:rPr>
        <w:t>Mipymes</w:t>
      </w:r>
      <w:proofErr w:type="spellEnd"/>
      <w:r w:rsidRPr="0062491B">
        <w:rPr>
          <w:rFonts w:ascii="Verdana" w:hAnsi="Verdana" w:cs="Arial"/>
          <w:i/>
          <w:sz w:val="20"/>
          <w:szCs w:val="20"/>
          <w:lang w:val="es-ES"/>
        </w:rPr>
        <w:t xml:space="preserve"> nacionales genéricamente y, particularmente, a las </w:t>
      </w:r>
      <w:proofErr w:type="spellStart"/>
      <w:r w:rsidRPr="0062491B">
        <w:rPr>
          <w:rFonts w:ascii="Verdana" w:hAnsi="Verdana" w:cs="Arial"/>
          <w:i/>
          <w:sz w:val="20"/>
          <w:szCs w:val="20"/>
          <w:lang w:val="es-ES"/>
        </w:rPr>
        <w:t>Mipymes</w:t>
      </w:r>
      <w:proofErr w:type="spellEnd"/>
      <w:r w:rsidRPr="0062491B">
        <w:rPr>
          <w:rFonts w:ascii="Verdana" w:hAnsi="Verdana" w:cs="Arial"/>
          <w:i/>
          <w:sz w:val="20"/>
          <w:szCs w:val="20"/>
          <w:lang w:val="es-ES"/>
        </w:rPr>
        <w:t xml:space="preserve"> nacionales ‘domiciliadas en los departamentos o municipios en donde se va a ejecutar el contrato’.</w:t>
      </w:r>
      <w:r w:rsidRPr="0062491B">
        <w:rPr>
          <w:rFonts w:ascii="Verdana" w:hAnsi="Verdana" w:cs="Arial"/>
          <w:sz w:val="20"/>
          <w:szCs w:val="20"/>
          <w:lang w:val="es-ES"/>
        </w:rPr>
        <w:t xml:space="preserve"> En ambos casos se refiere a </w:t>
      </w:r>
      <w:proofErr w:type="spellStart"/>
      <w:r w:rsidRPr="0062491B">
        <w:rPr>
          <w:rFonts w:ascii="Verdana" w:hAnsi="Verdana" w:cs="Arial"/>
          <w:sz w:val="20"/>
          <w:szCs w:val="20"/>
          <w:lang w:val="es-ES"/>
        </w:rPr>
        <w:t>Mipymes</w:t>
      </w:r>
      <w:proofErr w:type="spellEnd"/>
      <w:r w:rsidRPr="0062491B">
        <w:rPr>
          <w:rFonts w:ascii="Verdana" w:hAnsi="Verdana" w:cs="Arial"/>
          <w:sz w:val="20"/>
          <w:szCs w:val="20"/>
          <w:lang w:val="es-ES"/>
        </w:rPr>
        <w:t xml:space="preserve"> nacionales, distinguiéndolas de las empresas extranjeras. Del artículo 2.2.1.2.4.2.3 del Decreto 1082 de 2015 no se deriva que existan </w:t>
      </w:r>
      <w:proofErr w:type="spellStart"/>
      <w:r w:rsidRPr="0062491B">
        <w:rPr>
          <w:rFonts w:ascii="Verdana" w:hAnsi="Verdana" w:cs="Arial"/>
          <w:sz w:val="20"/>
          <w:szCs w:val="20"/>
          <w:lang w:val="es-ES"/>
        </w:rPr>
        <w:t>Mipymes</w:t>
      </w:r>
      <w:proofErr w:type="spellEnd"/>
      <w:r w:rsidRPr="0062491B">
        <w:rPr>
          <w:rFonts w:ascii="Verdana" w:hAnsi="Verdana" w:cs="Arial"/>
          <w:sz w:val="20"/>
          <w:szCs w:val="20"/>
          <w:lang w:val="es-ES"/>
        </w:rPr>
        <w:t xml:space="preserve">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62491B">
        <w:rPr>
          <w:rFonts w:ascii="Verdana" w:hAnsi="Verdana" w:cs="Arial"/>
          <w:sz w:val="20"/>
          <w:szCs w:val="20"/>
          <w:lang w:val="es-ES"/>
        </w:rPr>
        <w:t>Mipymes</w:t>
      </w:r>
      <w:proofErr w:type="spellEnd"/>
      <w:r w:rsidRPr="0062491B">
        <w:rPr>
          <w:rFonts w:ascii="Verdana" w:hAnsi="Verdana" w:cs="Arial"/>
          <w:sz w:val="20"/>
          <w:szCs w:val="20"/>
          <w:lang w:val="es-ES"/>
        </w:rPr>
        <w:t xml:space="preserve"> del orden nacional. Otra cosa es que las normas de contratación permitan que las </w:t>
      </w:r>
      <w:proofErr w:type="spellStart"/>
      <w:r w:rsidRPr="0062491B">
        <w:rPr>
          <w:rFonts w:ascii="Verdana" w:hAnsi="Verdana" w:cs="Arial"/>
          <w:sz w:val="20"/>
          <w:szCs w:val="20"/>
          <w:lang w:val="es-ES"/>
        </w:rPr>
        <w:t>Mipymes</w:t>
      </w:r>
      <w:proofErr w:type="spellEnd"/>
      <w:r w:rsidRPr="0062491B">
        <w:rPr>
          <w:rFonts w:ascii="Verdana" w:hAnsi="Verdana" w:cs="Arial"/>
          <w:sz w:val="20"/>
          <w:szCs w:val="20"/>
          <w:lang w:val="es-ES"/>
        </w:rPr>
        <w:t xml:space="preserve"> nacionales con ‘domicilio’ en un municipio o departamento puedan beneficiarse en la ejecución de un contrato dentro de la entidad territorial en la que tienen su ‘domicilio’. De todos modos, las </w:t>
      </w:r>
      <w:proofErr w:type="spellStart"/>
      <w:r w:rsidRPr="0062491B">
        <w:rPr>
          <w:rFonts w:ascii="Verdana" w:hAnsi="Verdana" w:cs="Arial"/>
          <w:sz w:val="20"/>
          <w:szCs w:val="20"/>
          <w:lang w:val="es-ES"/>
        </w:rPr>
        <w:t>Mipymes</w:t>
      </w:r>
      <w:proofErr w:type="spellEnd"/>
      <w:r w:rsidRPr="0062491B">
        <w:rPr>
          <w:rFonts w:ascii="Verdana" w:hAnsi="Verdana" w:cs="Arial"/>
          <w:sz w:val="20"/>
          <w:szCs w:val="20"/>
          <w:lang w:val="es-ES"/>
        </w:rPr>
        <w:t xml:space="preserve"> domiciliadas en un municipio o departamento son </w:t>
      </w:r>
      <w:proofErr w:type="spellStart"/>
      <w:r w:rsidRPr="0062491B">
        <w:rPr>
          <w:rFonts w:ascii="Verdana" w:hAnsi="Verdana" w:cs="Arial"/>
          <w:sz w:val="20"/>
          <w:szCs w:val="20"/>
          <w:lang w:val="es-ES"/>
        </w:rPr>
        <w:t>Mipymes</w:t>
      </w:r>
      <w:proofErr w:type="spellEnd"/>
      <w:r w:rsidRPr="0062491B">
        <w:rPr>
          <w:rFonts w:ascii="Verdana" w:hAnsi="Verdana" w:cs="Arial"/>
          <w:sz w:val="20"/>
          <w:szCs w:val="20"/>
          <w:lang w:val="es-ES"/>
        </w:rPr>
        <w:t xml:space="preserve"> nacionales. En </w:t>
      </w:r>
      <w:r w:rsidRPr="0062491B">
        <w:rPr>
          <w:rFonts w:ascii="Verdana" w:hAnsi="Verdana" w:cs="Arial"/>
          <w:sz w:val="20"/>
          <w:szCs w:val="20"/>
          <w:lang w:val="es-ES"/>
        </w:rPr>
        <w:lastRenderedPageBreak/>
        <w:t xml:space="preserve">consecuencia, no es procedente distinguir entre </w:t>
      </w:r>
      <w:proofErr w:type="spellStart"/>
      <w:r w:rsidRPr="0062491B">
        <w:rPr>
          <w:rFonts w:ascii="Verdana" w:hAnsi="Verdana" w:cs="Arial"/>
          <w:sz w:val="20"/>
          <w:szCs w:val="20"/>
          <w:lang w:val="es-ES"/>
        </w:rPr>
        <w:t>Mipymes</w:t>
      </w:r>
      <w:proofErr w:type="spellEnd"/>
      <w:r w:rsidRPr="0062491B">
        <w:rPr>
          <w:rFonts w:ascii="Verdana" w:hAnsi="Verdana" w:cs="Arial"/>
          <w:sz w:val="20"/>
          <w:szCs w:val="20"/>
          <w:lang w:val="es-ES"/>
        </w:rPr>
        <w:t xml:space="preserve"> nacionales y </w:t>
      </w:r>
      <w:proofErr w:type="spellStart"/>
      <w:r w:rsidRPr="0062491B">
        <w:rPr>
          <w:rFonts w:ascii="Verdana" w:hAnsi="Verdana" w:cs="Arial"/>
          <w:sz w:val="20"/>
          <w:szCs w:val="20"/>
          <w:lang w:val="es-ES"/>
        </w:rPr>
        <w:t>Mipymes</w:t>
      </w:r>
      <w:proofErr w:type="spellEnd"/>
      <w:r w:rsidRPr="0062491B">
        <w:rPr>
          <w:rFonts w:ascii="Verdana" w:hAnsi="Verdana" w:cs="Arial"/>
          <w:sz w:val="20"/>
          <w:szCs w:val="20"/>
          <w:lang w:val="es-ES"/>
        </w:rPr>
        <w:t xml:space="preserve"> municipales o departamentales, habida cuenta que estas últimas no existen como categoría dentro del ordenamiento normativo.</w:t>
      </w:r>
    </w:p>
    <w:p w14:paraId="38955F17" w14:textId="77777777" w:rsidR="00F079F6" w:rsidRPr="0062491B" w:rsidRDefault="00F079F6" w:rsidP="00F079F6">
      <w:pPr>
        <w:spacing w:after="0" w:line="240" w:lineRule="auto"/>
        <w:ind w:left="709" w:right="709"/>
        <w:jc w:val="both"/>
        <w:rPr>
          <w:rFonts w:ascii="Verdana" w:hAnsi="Verdana" w:cs="Arial"/>
          <w:sz w:val="20"/>
          <w:szCs w:val="20"/>
          <w:lang w:val="es-ES"/>
        </w:rPr>
      </w:pPr>
      <w:r w:rsidRPr="0062491B">
        <w:rPr>
          <w:rFonts w:ascii="Verdana" w:hAnsi="Verdana" w:cs="Arial"/>
          <w:sz w:val="20"/>
          <w:szCs w:val="20"/>
          <w:lang w:val="es-ES"/>
        </w:rPr>
        <w:t xml:space="preserve">Igualmente, se debe precisar que </w:t>
      </w:r>
      <w:r w:rsidRPr="0062491B">
        <w:rPr>
          <w:rFonts w:ascii="Verdana" w:hAnsi="Verdana" w:cs="Arial"/>
          <w:i/>
          <w:sz w:val="20"/>
          <w:szCs w:val="20"/>
          <w:lang w:val="es-ES"/>
        </w:rPr>
        <w:t>el artículo 2.2.1.2.4.2.3 del Decreto 1082 de 2015 se refiere a las ‘</w:t>
      </w:r>
      <w:proofErr w:type="spellStart"/>
      <w:r w:rsidRPr="0062491B">
        <w:rPr>
          <w:rFonts w:ascii="Verdana" w:hAnsi="Verdana" w:cs="Arial"/>
          <w:i/>
          <w:sz w:val="20"/>
          <w:szCs w:val="20"/>
          <w:lang w:val="es-ES"/>
        </w:rPr>
        <w:t>Mipyme</w:t>
      </w:r>
      <w:proofErr w:type="spellEnd"/>
      <w:r w:rsidRPr="0062491B">
        <w:rPr>
          <w:rFonts w:ascii="Verdana" w:hAnsi="Verdana" w:cs="Arial"/>
          <w:i/>
          <w:sz w:val="20"/>
          <w:szCs w:val="20"/>
          <w:lang w:val="es-ES"/>
        </w:rPr>
        <w:t xml:space="preserve"> nacionales domiciliadas en los departamentos o municipios en donde se va a ejecutar el contrato’ ‘cursivas propias’, esto es, al ‘domicilio’ y no a las ‘sucursales’. Esta distinción es importante porque el beneficio normativo únicamente aplica en el lugar en el que la </w:t>
      </w:r>
      <w:proofErr w:type="spellStart"/>
      <w:r w:rsidRPr="0062491B">
        <w:rPr>
          <w:rFonts w:ascii="Verdana" w:hAnsi="Verdana" w:cs="Arial"/>
          <w:i/>
          <w:sz w:val="20"/>
          <w:szCs w:val="20"/>
          <w:lang w:val="es-ES"/>
        </w:rPr>
        <w:t>Mipyme</w:t>
      </w:r>
      <w:proofErr w:type="spellEnd"/>
      <w:r w:rsidRPr="0062491B">
        <w:rPr>
          <w:rFonts w:ascii="Verdana" w:hAnsi="Verdana" w:cs="Arial"/>
          <w:i/>
          <w:sz w:val="20"/>
          <w:szCs w:val="20"/>
          <w:lang w:val="es-ES"/>
        </w:rPr>
        <w:t xml:space="preserve"> tiene su ‘domicilio’, y no en donde tiene sucursales</w:t>
      </w:r>
      <w:r w:rsidRPr="0062491B">
        <w:rPr>
          <w:rFonts w:ascii="Verdana" w:hAnsi="Verdana" w:cs="Arial"/>
          <w:sz w:val="20"/>
          <w:szCs w:val="20"/>
          <w:lang w:val="es-ES"/>
        </w:rPr>
        <w:t>”</w:t>
      </w:r>
      <w:r w:rsidRPr="0062491B">
        <w:rPr>
          <w:rStyle w:val="Refdenotaalpie"/>
          <w:rFonts w:ascii="Verdana" w:hAnsi="Verdana" w:cs="Arial"/>
          <w:sz w:val="20"/>
          <w:szCs w:val="20"/>
          <w:lang w:val="es-ES"/>
        </w:rPr>
        <w:footnoteReference w:id="3"/>
      </w:r>
      <w:r w:rsidRPr="0062491B">
        <w:rPr>
          <w:rFonts w:ascii="Verdana" w:hAnsi="Verdana" w:cs="Arial"/>
          <w:sz w:val="20"/>
          <w:szCs w:val="20"/>
          <w:lang w:val="es-ES"/>
        </w:rPr>
        <w:t>. (Énfasis fuera de texto)</w:t>
      </w:r>
    </w:p>
    <w:p w14:paraId="556DBF29" w14:textId="77777777" w:rsidR="00F079F6" w:rsidRPr="0062491B" w:rsidRDefault="00F079F6" w:rsidP="00F079F6">
      <w:pPr>
        <w:spacing w:after="0" w:line="276" w:lineRule="auto"/>
        <w:ind w:left="709" w:right="709"/>
        <w:jc w:val="both"/>
        <w:rPr>
          <w:rFonts w:ascii="Verdana" w:hAnsi="Verdana" w:cs="Arial"/>
          <w:lang w:val="es-ES_tradnl"/>
        </w:rPr>
      </w:pPr>
    </w:p>
    <w:p w14:paraId="6E4B5E82" w14:textId="77777777" w:rsidR="00F079F6" w:rsidRPr="0062491B" w:rsidRDefault="00F079F6" w:rsidP="00F079F6">
      <w:pPr>
        <w:spacing w:after="120" w:line="276" w:lineRule="auto"/>
        <w:ind w:firstLine="709"/>
        <w:jc w:val="both"/>
        <w:rPr>
          <w:rFonts w:ascii="Verdana" w:eastAsia="Calibri" w:hAnsi="Verdana" w:cs="Arial"/>
          <w:lang w:val="es-ES"/>
        </w:rPr>
      </w:pPr>
      <w:r w:rsidRPr="0062491B">
        <w:rPr>
          <w:rFonts w:ascii="Verdana" w:hAnsi="Verdana" w:cs="Arial"/>
          <w:lang w:val="es-ES"/>
        </w:rPr>
        <w:t xml:space="preserve">Como se aprecia, la postura sostenida por esta Agencia en vigencia del artículo </w:t>
      </w:r>
      <w:r w:rsidRPr="0062491B">
        <w:rPr>
          <w:rFonts w:ascii="Verdana" w:eastAsia="Calibri" w:hAnsi="Verdana" w:cs="Arial"/>
          <w:lang w:val="es-ES"/>
        </w:rPr>
        <w:t xml:space="preserve">2.2.1.2.4.2.3 del Decreto 1082 de 2015 no contemplaba la posibilidad de que una </w:t>
      </w:r>
      <w:proofErr w:type="spellStart"/>
      <w:r w:rsidRPr="0062491B">
        <w:rPr>
          <w:rFonts w:ascii="Verdana" w:eastAsia="Calibri" w:hAnsi="Verdana" w:cs="Arial"/>
          <w:lang w:val="es-ES"/>
        </w:rPr>
        <w:t>Mipyme</w:t>
      </w:r>
      <w:proofErr w:type="spellEnd"/>
      <w:r w:rsidRPr="0062491B">
        <w:rPr>
          <w:rFonts w:ascii="Verdana" w:eastAsia="Calibri" w:hAnsi="Verdana" w:cs="Arial"/>
          <w:lang w:val="es-ES"/>
        </w:rPr>
        <w:t xml:space="preserve"> domiciliada en un departamento o municipio diferentes al lugar de ejecución del contrato, en atención al cual se realiza la limitación territorial, participara en un proceso de selección por el hecho de tener una sucursal en este, puesto que lo relevante es el domicilio de la </w:t>
      </w:r>
      <w:proofErr w:type="spellStart"/>
      <w:r w:rsidRPr="0062491B">
        <w:rPr>
          <w:rFonts w:ascii="Verdana" w:eastAsia="Calibri" w:hAnsi="Verdana" w:cs="Arial"/>
          <w:lang w:val="es-ES"/>
        </w:rPr>
        <w:t>Mipyme</w:t>
      </w:r>
      <w:proofErr w:type="spellEnd"/>
      <w:r w:rsidRPr="0062491B">
        <w:rPr>
          <w:rFonts w:ascii="Verdana" w:eastAsia="Calibri" w:hAnsi="Verdana" w:cs="Arial"/>
          <w:lang w:val="es-ES"/>
        </w:rPr>
        <w:t xml:space="preserve">. </w:t>
      </w:r>
    </w:p>
    <w:p w14:paraId="5C75A087" w14:textId="77777777" w:rsidR="00F079F6" w:rsidRPr="0062491B" w:rsidRDefault="00F079F6" w:rsidP="00F079F6">
      <w:pPr>
        <w:spacing w:after="0" w:line="276" w:lineRule="auto"/>
        <w:ind w:firstLine="709"/>
        <w:jc w:val="both"/>
        <w:rPr>
          <w:rFonts w:ascii="Verdana" w:eastAsia="Calibri" w:hAnsi="Verdana" w:cs="Arial"/>
          <w:lang w:val="es-ES"/>
        </w:rPr>
      </w:pPr>
      <w:r w:rsidRPr="0062491B">
        <w:rPr>
          <w:rFonts w:ascii="Verdana" w:eastAsia="Calibri" w:hAnsi="Verdana" w:cs="Arial"/>
          <w:lang w:val="es-ES"/>
        </w:rPr>
        <w:t xml:space="preserve">Ahora bien, el texto del actual artículo 2.2.1.2.4.2.3, modificado por el artículo 5 del Decreto 1860 de 2021, no cambia la tesis adoptada en conceptos anteriores de Colombia Compra Eficiente. Lo anterior en la medida en que, respecto al domicilio de las </w:t>
      </w:r>
      <w:proofErr w:type="spellStart"/>
      <w:r w:rsidRPr="0062491B">
        <w:rPr>
          <w:rFonts w:ascii="Verdana" w:eastAsia="Calibri" w:hAnsi="Verdana" w:cs="Arial"/>
          <w:lang w:val="es-ES"/>
        </w:rPr>
        <w:t>Mipyme</w:t>
      </w:r>
      <w:proofErr w:type="spellEnd"/>
      <w:r w:rsidRPr="0062491B">
        <w:rPr>
          <w:rFonts w:ascii="Verdana" w:eastAsia="Calibri" w:hAnsi="Verdana" w:cs="Arial"/>
          <w:lang w:val="es-ES"/>
        </w:rPr>
        <w:t xml:space="preserve"> en el departamento o municipio donde se ejecuta el contrato, la reglamentación no tuvo cambios; razón por la cual, las sucursales –como establecimientos de comercio en los términos del artículo 263 del Código de Comercio, independientemente de que pertenezcan a sociedad nacional o extranjera– no tienen la naturaleza de </w:t>
      </w:r>
      <w:proofErr w:type="spellStart"/>
      <w:r w:rsidRPr="0062491B">
        <w:rPr>
          <w:rFonts w:ascii="Verdana" w:eastAsia="Calibri" w:hAnsi="Verdana" w:cs="Arial"/>
          <w:lang w:val="es-ES"/>
        </w:rPr>
        <w:t>Mipymes</w:t>
      </w:r>
      <w:proofErr w:type="spellEnd"/>
      <w:r w:rsidRPr="0062491B">
        <w:rPr>
          <w:rFonts w:ascii="Verdana" w:eastAsia="Calibri" w:hAnsi="Verdana" w:cs="Arial"/>
          <w:lang w:val="es-ES"/>
        </w:rPr>
        <w:t xml:space="preserve"> ni son beneficiarias de las convocatorias limitadas. Así se desprende del texto de la norma que es del siguiente tenor: </w:t>
      </w:r>
    </w:p>
    <w:p w14:paraId="279C4C43" w14:textId="77777777" w:rsidR="00F079F6" w:rsidRPr="0062491B" w:rsidRDefault="00F079F6" w:rsidP="00F079F6">
      <w:pPr>
        <w:spacing w:after="0"/>
        <w:ind w:right="709"/>
        <w:jc w:val="both"/>
        <w:rPr>
          <w:rFonts w:ascii="Verdana" w:hAnsi="Verdana" w:cs="Arial"/>
          <w:lang w:val="es-ES_tradnl"/>
        </w:rPr>
      </w:pPr>
    </w:p>
    <w:p w14:paraId="32266B6D" w14:textId="65EC5CC2" w:rsidR="00F079F6" w:rsidRPr="0062491B" w:rsidRDefault="0062491B" w:rsidP="00F079F6">
      <w:pPr>
        <w:spacing w:after="0" w:line="240" w:lineRule="auto"/>
        <w:ind w:left="709" w:right="709"/>
        <w:jc w:val="both"/>
        <w:rPr>
          <w:rFonts w:ascii="Verdana" w:hAnsi="Verdana" w:cs="Arial"/>
          <w:sz w:val="20"/>
          <w:szCs w:val="20"/>
          <w:lang w:val="es-ES_tradnl"/>
        </w:rPr>
      </w:pPr>
      <w:r w:rsidRPr="0062491B">
        <w:rPr>
          <w:rFonts w:ascii="Verdana" w:hAnsi="Verdana" w:cs="Arial"/>
          <w:sz w:val="20"/>
          <w:szCs w:val="20"/>
          <w:lang w:val="es-ES_tradnl"/>
        </w:rPr>
        <w:t>Artículo 5</w:t>
      </w:r>
      <w:r w:rsidR="00F079F6" w:rsidRPr="0062491B">
        <w:rPr>
          <w:rFonts w:ascii="Verdana" w:hAnsi="Verdana" w:cs="Arial"/>
          <w:sz w:val="20"/>
          <w:szCs w:val="20"/>
          <w:lang w:val="es-ES_tradnl"/>
        </w:rPr>
        <w:t>. Modificaci</w:t>
      </w:r>
      <w:r w:rsidR="00F079F6" w:rsidRPr="0062491B">
        <w:rPr>
          <w:rFonts w:ascii="Verdana" w:hAnsi="Verdana" w:cs="Century Gothic"/>
          <w:sz w:val="20"/>
          <w:szCs w:val="20"/>
          <w:lang w:val="es-ES_tradnl"/>
        </w:rPr>
        <w:t>ó</w:t>
      </w:r>
      <w:r w:rsidR="00F079F6" w:rsidRPr="0062491B">
        <w:rPr>
          <w:rFonts w:ascii="Verdana" w:hAnsi="Verdana" w:cs="Arial"/>
          <w:sz w:val="20"/>
          <w:szCs w:val="20"/>
          <w:lang w:val="es-ES_tradnl"/>
        </w:rPr>
        <w:t>n de la Subsecci</w:t>
      </w:r>
      <w:r w:rsidR="00F079F6" w:rsidRPr="0062491B">
        <w:rPr>
          <w:rFonts w:ascii="Verdana" w:hAnsi="Verdana" w:cs="Century Gothic"/>
          <w:sz w:val="20"/>
          <w:szCs w:val="20"/>
          <w:lang w:val="es-ES_tradnl"/>
        </w:rPr>
        <w:t>ó</w:t>
      </w:r>
      <w:r w:rsidR="00F079F6" w:rsidRPr="0062491B">
        <w:rPr>
          <w:rFonts w:ascii="Verdana" w:hAnsi="Verdana" w:cs="Arial"/>
          <w:sz w:val="20"/>
          <w:szCs w:val="20"/>
          <w:lang w:val="es-ES_tradnl"/>
        </w:rPr>
        <w:t>n 2 de la Secci</w:t>
      </w:r>
      <w:r w:rsidR="00F079F6" w:rsidRPr="0062491B">
        <w:rPr>
          <w:rFonts w:ascii="Verdana" w:hAnsi="Verdana" w:cs="Century Gothic"/>
          <w:sz w:val="20"/>
          <w:szCs w:val="20"/>
          <w:lang w:val="es-ES_tradnl"/>
        </w:rPr>
        <w:t>ó</w:t>
      </w:r>
      <w:r w:rsidR="00F079F6" w:rsidRPr="0062491B">
        <w:rPr>
          <w:rFonts w:ascii="Verdana" w:hAnsi="Verdana" w:cs="Arial"/>
          <w:sz w:val="20"/>
          <w:szCs w:val="20"/>
          <w:lang w:val="es-ES_tradnl"/>
        </w:rPr>
        <w:t>n 4 del Cap</w:t>
      </w:r>
      <w:r w:rsidR="00F079F6" w:rsidRPr="0062491B">
        <w:rPr>
          <w:rFonts w:ascii="Verdana" w:hAnsi="Verdana" w:cs="Century Gothic"/>
          <w:sz w:val="20"/>
          <w:szCs w:val="20"/>
          <w:lang w:val="es-ES_tradnl"/>
        </w:rPr>
        <w:t>í</w:t>
      </w:r>
      <w:r w:rsidR="00F079F6" w:rsidRPr="0062491B">
        <w:rPr>
          <w:rFonts w:ascii="Verdana" w:hAnsi="Verdana" w:cs="Arial"/>
          <w:sz w:val="20"/>
          <w:szCs w:val="20"/>
          <w:lang w:val="es-ES_tradnl"/>
        </w:rPr>
        <w:t>tulo 2 del T</w:t>
      </w:r>
      <w:r w:rsidR="00F079F6" w:rsidRPr="0062491B">
        <w:rPr>
          <w:rFonts w:ascii="Verdana" w:hAnsi="Verdana" w:cs="Century Gothic"/>
          <w:sz w:val="20"/>
          <w:szCs w:val="20"/>
          <w:lang w:val="es-ES_tradnl"/>
        </w:rPr>
        <w:t>í</w:t>
      </w:r>
      <w:r w:rsidR="00F079F6" w:rsidRPr="0062491B">
        <w:rPr>
          <w:rFonts w:ascii="Verdana" w:hAnsi="Verdana" w:cs="Arial"/>
          <w:sz w:val="20"/>
          <w:szCs w:val="20"/>
          <w:lang w:val="es-ES_tradnl"/>
        </w:rPr>
        <w:t>tulo 1 de la Parte 2 del Libro 2 del Decreto 1082 de 2015. Modif</w:t>
      </w:r>
      <w:r w:rsidR="00F079F6" w:rsidRPr="0062491B">
        <w:rPr>
          <w:rFonts w:ascii="Verdana" w:hAnsi="Verdana" w:cs="Century Gothic"/>
          <w:sz w:val="20"/>
          <w:szCs w:val="20"/>
          <w:lang w:val="es-ES_tradnl"/>
        </w:rPr>
        <w:t>í</w:t>
      </w:r>
      <w:r w:rsidR="00F079F6" w:rsidRPr="0062491B">
        <w:rPr>
          <w:rFonts w:ascii="Verdana" w:hAnsi="Verdana" w:cs="Arial"/>
          <w:sz w:val="20"/>
          <w:szCs w:val="20"/>
          <w:lang w:val="es-ES_tradnl"/>
        </w:rPr>
        <w:t>quense los art</w:t>
      </w:r>
      <w:r w:rsidR="00F079F6" w:rsidRPr="0062491B">
        <w:rPr>
          <w:rFonts w:ascii="Verdana" w:hAnsi="Verdana" w:cs="Century Gothic"/>
          <w:sz w:val="20"/>
          <w:szCs w:val="20"/>
          <w:lang w:val="es-ES_tradnl"/>
        </w:rPr>
        <w:t>í</w:t>
      </w:r>
      <w:r w:rsidR="00F079F6" w:rsidRPr="0062491B">
        <w:rPr>
          <w:rFonts w:ascii="Verdana" w:hAnsi="Verdana" w:cs="Arial"/>
          <w:sz w:val="20"/>
          <w:szCs w:val="20"/>
          <w:lang w:val="es-ES_tradnl"/>
        </w:rPr>
        <w:t>culos 2.2.1.2.4.2.2., 2.2.1.2.4.2.3. y 2.2.1.2.4.2.4. de la Subsecci</w:t>
      </w:r>
      <w:r w:rsidR="00F079F6" w:rsidRPr="0062491B">
        <w:rPr>
          <w:rFonts w:ascii="Verdana" w:hAnsi="Verdana" w:cs="Century Gothic"/>
          <w:sz w:val="20"/>
          <w:szCs w:val="20"/>
          <w:lang w:val="es-ES_tradnl"/>
        </w:rPr>
        <w:t>ó</w:t>
      </w:r>
      <w:r w:rsidR="00F079F6" w:rsidRPr="0062491B">
        <w:rPr>
          <w:rFonts w:ascii="Verdana" w:hAnsi="Verdana" w:cs="Arial"/>
          <w:sz w:val="20"/>
          <w:szCs w:val="20"/>
          <w:lang w:val="es-ES_tradnl"/>
        </w:rPr>
        <w:t>n 2 de la Secci</w:t>
      </w:r>
      <w:r w:rsidR="00F079F6" w:rsidRPr="0062491B">
        <w:rPr>
          <w:rFonts w:ascii="Verdana" w:hAnsi="Verdana" w:cs="Century Gothic"/>
          <w:sz w:val="20"/>
          <w:szCs w:val="20"/>
          <w:lang w:val="es-ES_tradnl"/>
        </w:rPr>
        <w:t>ó</w:t>
      </w:r>
      <w:r w:rsidR="00F079F6" w:rsidRPr="0062491B">
        <w:rPr>
          <w:rFonts w:ascii="Verdana" w:hAnsi="Verdana" w:cs="Arial"/>
          <w:sz w:val="20"/>
          <w:szCs w:val="20"/>
          <w:lang w:val="es-ES_tradnl"/>
        </w:rPr>
        <w:t>n 4 del Cap</w:t>
      </w:r>
      <w:r w:rsidR="00F079F6" w:rsidRPr="0062491B">
        <w:rPr>
          <w:rFonts w:ascii="Verdana" w:hAnsi="Verdana" w:cs="Century Gothic"/>
          <w:sz w:val="20"/>
          <w:szCs w:val="20"/>
          <w:lang w:val="es-ES_tradnl"/>
        </w:rPr>
        <w:t>í</w:t>
      </w:r>
      <w:r w:rsidR="00F079F6" w:rsidRPr="0062491B">
        <w:rPr>
          <w:rFonts w:ascii="Verdana" w:hAnsi="Verdana" w:cs="Arial"/>
          <w:sz w:val="20"/>
          <w:szCs w:val="20"/>
          <w:lang w:val="es-ES_tradnl"/>
        </w:rPr>
        <w:t>tulo 2 del T</w:t>
      </w:r>
      <w:r w:rsidR="00F079F6" w:rsidRPr="0062491B">
        <w:rPr>
          <w:rFonts w:ascii="Verdana" w:hAnsi="Verdana" w:cs="Century Gothic"/>
          <w:sz w:val="20"/>
          <w:szCs w:val="20"/>
          <w:lang w:val="es-ES_tradnl"/>
        </w:rPr>
        <w:t>í</w:t>
      </w:r>
      <w:r w:rsidR="00F079F6" w:rsidRPr="0062491B">
        <w:rPr>
          <w:rFonts w:ascii="Verdana" w:hAnsi="Verdana" w:cs="Arial"/>
          <w:sz w:val="20"/>
          <w:szCs w:val="20"/>
          <w:lang w:val="es-ES_tradnl"/>
        </w:rPr>
        <w:t>tulo 1 de la Parte 2 del Libro 2 del Decreto 1082 de 2015, los cuales quedar</w:t>
      </w:r>
      <w:r w:rsidR="00F079F6" w:rsidRPr="0062491B">
        <w:rPr>
          <w:rFonts w:ascii="Verdana" w:hAnsi="Verdana" w:cs="Century Gothic"/>
          <w:sz w:val="20"/>
          <w:szCs w:val="20"/>
          <w:lang w:val="es-ES_tradnl"/>
        </w:rPr>
        <w:t>á</w:t>
      </w:r>
      <w:r w:rsidR="00F079F6" w:rsidRPr="0062491B">
        <w:rPr>
          <w:rFonts w:ascii="Verdana" w:hAnsi="Verdana" w:cs="Arial"/>
          <w:sz w:val="20"/>
          <w:szCs w:val="20"/>
          <w:lang w:val="es-ES_tradnl"/>
        </w:rPr>
        <w:t>n as</w:t>
      </w:r>
      <w:r w:rsidR="00F079F6" w:rsidRPr="0062491B">
        <w:rPr>
          <w:rFonts w:ascii="Verdana" w:hAnsi="Verdana" w:cs="Century Gothic"/>
          <w:sz w:val="20"/>
          <w:szCs w:val="20"/>
          <w:lang w:val="es-ES_tradnl"/>
        </w:rPr>
        <w:t>í</w:t>
      </w:r>
      <w:r w:rsidR="00F079F6" w:rsidRPr="0062491B">
        <w:rPr>
          <w:rFonts w:ascii="Verdana" w:hAnsi="Verdana" w:cs="Arial"/>
          <w:sz w:val="20"/>
          <w:szCs w:val="20"/>
          <w:lang w:val="es-ES_tradnl"/>
        </w:rPr>
        <w:t>:</w:t>
      </w:r>
    </w:p>
    <w:p w14:paraId="06F3FA36" w14:textId="77777777" w:rsidR="00F079F6" w:rsidRPr="0062491B" w:rsidRDefault="00F079F6" w:rsidP="00F079F6">
      <w:pPr>
        <w:spacing w:after="120" w:line="240" w:lineRule="auto"/>
        <w:ind w:left="709" w:right="709"/>
        <w:jc w:val="both"/>
        <w:rPr>
          <w:rFonts w:ascii="Verdana" w:hAnsi="Verdana" w:cs="Arial"/>
          <w:sz w:val="20"/>
          <w:szCs w:val="20"/>
          <w:lang w:val="es-ES_tradnl"/>
        </w:rPr>
      </w:pPr>
      <w:r w:rsidRPr="0062491B">
        <w:rPr>
          <w:rFonts w:ascii="Verdana" w:hAnsi="Verdana" w:cs="Arial"/>
          <w:sz w:val="20"/>
          <w:szCs w:val="20"/>
          <w:lang w:val="es-ES_tradnl"/>
        </w:rPr>
        <w:t>[…]</w:t>
      </w:r>
    </w:p>
    <w:p w14:paraId="58D29347" w14:textId="2EBA5729" w:rsidR="00F079F6" w:rsidRPr="0062491B" w:rsidRDefault="00F079F6" w:rsidP="00F079F6">
      <w:pPr>
        <w:spacing w:after="0" w:line="240" w:lineRule="auto"/>
        <w:ind w:left="709" w:right="709"/>
        <w:jc w:val="both"/>
        <w:rPr>
          <w:rFonts w:ascii="Verdana" w:eastAsia="Calibri" w:hAnsi="Verdana" w:cs="Arial"/>
          <w:lang w:val="es-ES"/>
        </w:rPr>
      </w:pPr>
      <w:r w:rsidRPr="0062491B">
        <w:rPr>
          <w:rFonts w:ascii="Verdana" w:hAnsi="Verdana" w:cs="Arial"/>
          <w:sz w:val="20"/>
          <w:szCs w:val="20"/>
          <w:lang w:val="es-ES"/>
        </w:rPr>
        <w:t>A</w:t>
      </w:r>
      <w:r w:rsidR="0062491B" w:rsidRPr="0062491B">
        <w:rPr>
          <w:rFonts w:ascii="Verdana" w:hAnsi="Verdana" w:cs="Arial"/>
          <w:sz w:val="20"/>
          <w:szCs w:val="20"/>
          <w:lang w:val="es-ES"/>
        </w:rPr>
        <w:t>rtículo</w:t>
      </w:r>
      <w:r w:rsidRPr="0062491B">
        <w:rPr>
          <w:rFonts w:ascii="Verdana" w:hAnsi="Verdana" w:cs="Arial"/>
          <w:sz w:val="20"/>
          <w:szCs w:val="20"/>
          <w:lang w:val="es-ES"/>
        </w:rPr>
        <w:t xml:space="preserve"> 2.2.1.2.4.2.3. Limitaciones territoriales. De conformidad con el par</w:t>
      </w:r>
      <w:r w:rsidRPr="0062491B">
        <w:rPr>
          <w:rFonts w:ascii="Verdana" w:hAnsi="Verdana" w:cs="Century Gothic"/>
          <w:sz w:val="20"/>
          <w:szCs w:val="20"/>
          <w:lang w:val="es-ES"/>
        </w:rPr>
        <w:t>á</w:t>
      </w:r>
      <w:r w:rsidRPr="0062491B">
        <w:rPr>
          <w:rFonts w:ascii="Verdana" w:hAnsi="Verdana" w:cs="Arial"/>
          <w:sz w:val="20"/>
          <w:szCs w:val="20"/>
          <w:lang w:val="es-ES"/>
        </w:rPr>
        <w:t>grafo 1 del art</w:t>
      </w:r>
      <w:r w:rsidRPr="0062491B">
        <w:rPr>
          <w:rFonts w:ascii="Verdana" w:hAnsi="Verdana" w:cs="Century Gothic"/>
          <w:sz w:val="20"/>
          <w:szCs w:val="20"/>
          <w:lang w:val="es-ES"/>
        </w:rPr>
        <w:t>í</w:t>
      </w:r>
      <w:r w:rsidRPr="0062491B">
        <w:rPr>
          <w:rFonts w:ascii="Verdana" w:hAnsi="Verdana" w:cs="Arial"/>
          <w:sz w:val="20"/>
          <w:szCs w:val="20"/>
          <w:lang w:val="es-ES"/>
        </w:rPr>
        <w:t xml:space="preserve">culo 12 de la Ley 1150 de 2007, las Entidades Estatales, </w:t>
      </w:r>
      <w:r w:rsidRPr="0062491B">
        <w:rPr>
          <w:rFonts w:ascii="Verdana" w:hAnsi="Verdana" w:cs="Arial"/>
          <w:sz w:val="20"/>
          <w:szCs w:val="20"/>
          <w:lang w:val="es-ES"/>
        </w:rPr>
        <w:lastRenderedPageBreak/>
        <w:t>independientemente de su r</w:t>
      </w:r>
      <w:r w:rsidRPr="0062491B">
        <w:rPr>
          <w:rFonts w:ascii="Verdana" w:hAnsi="Verdana" w:cs="Century Gothic"/>
          <w:sz w:val="20"/>
          <w:szCs w:val="20"/>
          <w:lang w:val="es-ES"/>
        </w:rPr>
        <w:t>é</w:t>
      </w:r>
      <w:r w:rsidRPr="0062491B">
        <w:rPr>
          <w:rFonts w:ascii="Verdana" w:hAnsi="Verdana" w:cs="Arial"/>
          <w:sz w:val="20"/>
          <w:szCs w:val="20"/>
          <w:lang w:val="es-ES"/>
        </w:rPr>
        <w:t>gimen de contrataci</w:t>
      </w:r>
      <w:r w:rsidRPr="0062491B">
        <w:rPr>
          <w:rFonts w:ascii="Verdana" w:hAnsi="Verdana" w:cs="Century Gothic"/>
          <w:sz w:val="20"/>
          <w:szCs w:val="20"/>
          <w:lang w:val="es-ES"/>
        </w:rPr>
        <w:t>ó</w:t>
      </w:r>
      <w:r w:rsidRPr="0062491B">
        <w:rPr>
          <w:rFonts w:ascii="Verdana" w:hAnsi="Verdana" w:cs="Arial"/>
          <w:sz w:val="20"/>
          <w:szCs w:val="20"/>
          <w:lang w:val="es-ES"/>
        </w:rPr>
        <w:t>n, los patrimonios aut</w:t>
      </w:r>
      <w:r w:rsidRPr="0062491B">
        <w:rPr>
          <w:rFonts w:ascii="Verdana" w:hAnsi="Verdana" w:cs="Century Gothic"/>
          <w:sz w:val="20"/>
          <w:szCs w:val="20"/>
          <w:lang w:val="es-ES"/>
        </w:rPr>
        <w:t>ó</w:t>
      </w:r>
      <w:r w:rsidRPr="0062491B">
        <w:rPr>
          <w:rFonts w:ascii="Verdana" w:hAnsi="Verdana" w:cs="Arial"/>
          <w:sz w:val="20"/>
          <w:szCs w:val="20"/>
          <w:lang w:val="es-ES"/>
        </w:rPr>
        <w:t xml:space="preserve">nomos constituidos por Entidades Estatales y los particulares que ejecuten recursos públicos, pueden realizar convocatorias limitadas a </w:t>
      </w:r>
      <w:proofErr w:type="spellStart"/>
      <w:r w:rsidRPr="0062491B">
        <w:rPr>
          <w:rFonts w:ascii="Verdana" w:hAnsi="Verdana" w:cs="Arial"/>
          <w:sz w:val="20"/>
          <w:szCs w:val="20"/>
          <w:lang w:val="es-ES"/>
        </w:rPr>
        <w:t>Mipyme</w:t>
      </w:r>
      <w:proofErr w:type="spellEnd"/>
      <w:r w:rsidRPr="0062491B">
        <w:rPr>
          <w:rFonts w:ascii="Verdana" w:hAnsi="Verdana" w:cs="Arial"/>
          <w:sz w:val="20"/>
          <w:szCs w:val="20"/>
          <w:lang w:val="es-ES"/>
        </w:rPr>
        <w:t xml:space="preserve"> colombianas que tengan domicilio en los departamentos o municipios en donde se va a ejecutar el contrato. Cada </w:t>
      </w:r>
      <w:proofErr w:type="spellStart"/>
      <w:r w:rsidRPr="0062491B">
        <w:rPr>
          <w:rFonts w:ascii="Verdana" w:hAnsi="Verdana" w:cs="Arial"/>
          <w:sz w:val="20"/>
          <w:szCs w:val="20"/>
          <w:lang w:val="es-ES"/>
        </w:rPr>
        <w:t>Mipyme</w:t>
      </w:r>
      <w:proofErr w:type="spellEnd"/>
      <w:r w:rsidRPr="0062491B">
        <w:rPr>
          <w:rFonts w:ascii="Verdana" w:hAnsi="Verdana" w:cs="Arial"/>
          <w:sz w:val="20"/>
          <w:szCs w:val="20"/>
          <w:lang w:val="es-ES"/>
        </w:rPr>
        <w:t xml:space="preserve"> deberá acreditar su domicilio</w:t>
      </w:r>
      <w:r w:rsidRPr="0062491B">
        <w:rPr>
          <w:rFonts w:ascii="Verdana" w:hAnsi="Verdana" w:cs="Arial"/>
          <w:lang w:val="es-ES"/>
        </w:rPr>
        <w:t xml:space="preserve"> con los documentos a los que se refiere el siguiente artículo. </w:t>
      </w:r>
    </w:p>
    <w:p w14:paraId="2168E456" w14:textId="77777777" w:rsidR="00F079F6" w:rsidRPr="0062491B" w:rsidRDefault="00F079F6" w:rsidP="00F079F6">
      <w:pPr>
        <w:spacing w:after="0" w:line="276" w:lineRule="auto"/>
        <w:ind w:left="709" w:right="709"/>
        <w:jc w:val="both"/>
        <w:rPr>
          <w:rFonts w:ascii="Verdana" w:eastAsia="Calibri" w:hAnsi="Verdana" w:cs="Arial"/>
          <w:lang w:val="es-ES_tradnl"/>
        </w:rPr>
      </w:pPr>
    </w:p>
    <w:p w14:paraId="500C6D0A" w14:textId="77777777" w:rsidR="00F079F6" w:rsidRPr="0062491B" w:rsidRDefault="00F079F6" w:rsidP="00F079F6">
      <w:pPr>
        <w:spacing w:after="120" w:line="276" w:lineRule="auto"/>
        <w:ind w:firstLine="709"/>
        <w:jc w:val="both"/>
        <w:rPr>
          <w:rFonts w:ascii="Verdana" w:eastAsia="Calibri" w:hAnsi="Verdana" w:cs="Arial"/>
          <w:lang w:val="es-ES"/>
        </w:rPr>
      </w:pPr>
      <w:r w:rsidRPr="0062491B">
        <w:rPr>
          <w:rFonts w:ascii="Verdana" w:eastAsia="Calibri" w:hAnsi="Verdana" w:cs="Arial"/>
          <w:lang w:val="es-ES"/>
        </w:rPr>
        <w:t xml:space="preserve">La norma reglamentaria coincide con la redacción del parágrafo 1 del artículo 34 de la Ley 2069 de 2020, según el cual, “En los procesos de selección que se desarrollen con base en el primer inciso, las entidades podrán realizar las convocatorias limitadas que beneficien a las </w:t>
      </w:r>
      <w:proofErr w:type="spellStart"/>
      <w:r w:rsidRPr="0062491B">
        <w:rPr>
          <w:rFonts w:ascii="Verdana" w:eastAsia="Calibri" w:hAnsi="Verdana" w:cs="Arial"/>
          <w:lang w:val="es-ES"/>
        </w:rPr>
        <w:t>Mipymes</w:t>
      </w:r>
      <w:proofErr w:type="spellEnd"/>
      <w:r w:rsidRPr="0062491B">
        <w:rPr>
          <w:rFonts w:ascii="Verdana" w:eastAsia="Calibri" w:hAnsi="Verdana" w:cs="Arial"/>
          <w:lang w:val="es-ES"/>
        </w:rPr>
        <w:t xml:space="preserve"> del ámbito municipal o departamental correspondiente al de la ejecución del contrato”. En tales términos, la norma citada solo contempla la posibilidad de limitar convocatorias a </w:t>
      </w:r>
      <w:proofErr w:type="spellStart"/>
      <w:r w:rsidRPr="0062491B">
        <w:rPr>
          <w:rFonts w:ascii="Verdana" w:eastAsia="Calibri" w:hAnsi="Verdana" w:cs="Arial"/>
          <w:lang w:val="es-ES"/>
        </w:rPr>
        <w:t>Mipymes</w:t>
      </w:r>
      <w:proofErr w:type="spellEnd"/>
      <w:r w:rsidRPr="0062491B">
        <w:rPr>
          <w:rFonts w:ascii="Verdana" w:eastAsia="Calibri" w:hAnsi="Verdana" w:cs="Arial"/>
          <w:lang w:val="es-ES"/>
        </w:rPr>
        <w:t xml:space="preserve"> con domicilio en esos dos tipos de entidades territoriales. </w:t>
      </w:r>
    </w:p>
    <w:p w14:paraId="07C00283" w14:textId="77777777" w:rsidR="00F079F6" w:rsidRPr="0062491B" w:rsidRDefault="00F079F6" w:rsidP="00F079F6">
      <w:pPr>
        <w:spacing w:after="120" w:line="276" w:lineRule="auto"/>
        <w:ind w:firstLine="709"/>
        <w:jc w:val="both"/>
        <w:rPr>
          <w:rFonts w:ascii="Verdana" w:eastAsia="Arial" w:hAnsi="Verdana" w:cs="Arial"/>
          <w:color w:val="000000"/>
          <w:lang w:val="es-ES"/>
        </w:rPr>
      </w:pPr>
      <w:r w:rsidRPr="0062491B">
        <w:rPr>
          <w:rFonts w:ascii="Verdana" w:eastAsia="Arial" w:hAnsi="Verdana"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62491B">
        <w:rPr>
          <w:rFonts w:ascii="Verdana" w:eastAsia="Arial" w:hAnsi="Verdana" w:cs="Arial"/>
          <w:color w:val="000000" w:themeColor="text1"/>
          <w:lang w:val="es-ES"/>
        </w:rPr>
        <w:t>Mipyme</w:t>
      </w:r>
      <w:proofErr w:type="spellEnd"/>
      <w:r w:rsidRPr="0062491B">
        <w:rPr>
          <w:rFonts w:ascii="Verdana" w:eastAsia="Arial" w:hAnsi="Verdana" w:cs="Arial"/>
          <w:color w:val="000000" w:themeColor="text1"/>
          <w:lang w:val="es-ES"/>
        </w:rPr>
        <w:t xml:space="preserve"> nacional. Además, las normas de contratación permiten que las </w:t>
      </w:r>
      <w:proofErr w:type="spellStart"/>
      <w:r w:rsidRPr="0062491B">
        <w:rPr>
          <w:rFonts w:ascii="Verdana" w:eastAsia="Arial" w:hAnsi="Verdana" w:cs="Arial"/>
          <w:color w:val="000000" w:themeColor="text1"/>
          <w:lang w:val="es-ES"/>
        </w:rPr>
        <w:t>Mipyme</w:t>
      </w:r>
      <w:proofErr w:type="spellEnd"/>
      <w:r w:rsidRPr="0062491B">
        <w:rPr>
          <w:rFonts w:ascii="Verdana" w:eastAsia="Arial" w:hAnsi="Verdana" w:cs="Arial"/>
          <w:color w:val="000000" w:themeColor="text1"/>
          <w:lang w:val="es-ES"/>
        </w:rPr>
        <w:t xml:space="preserve"> nacionales puedan beneficiarse de la ejecución de un contrato dentro de la entidad territorial en la que tienen su “domicilio”. </w:t>
      </w:r>
    </w:p>
    <w:p w14:paraId="6C2D01F3" w14:textId="77777777" w:rsidR="00F079F6" w:rsidRPr="0062491B" w:rsidRDefault="00F079F6" w:rsidP="00F079F6">
      <w:pPr>
        <w:spacing w:after="120" w:line="276" w:lineRule="auto"/>
        <w:ind w:firstLine="709"/>
        <w:jc w:val="both"/>
        <w:rPr>
          <w:rFonts w:ascii="Verdana" w:eastAsia="Arial" w:hAnsi="Verdana" w:cs="Arial"/>
          <w:color w:val="000000"/>
          <w:lang w:val="es-ES"/>
        </w:rPr>
      </w:pPr>
      <w:r w:rsidRPr="0062491B">
        <w:rPr>
          <w:rFonts w:ascii="Verdana" w:eastAsia="Arial" w:hAnsi="Verdana" w:cs="Arial"/>
          <w:color w:val="000000" w:themeColor="text1"/>
          <w:lang w:val="es-ES"/>
        </w:rPr>
        <w:t xml:space="preserve">No puede perderse de vista que la decisión de limitar “a </w:t>
      </w:r>
      <w:proofErr w:type="spellStart"/>
      <w:r w:rsidRPr="0062491B">
        <w:rPr>
          <w:rFonts w:ascii="Verdana" w:eastAsia="Arial" w:hAnsi="Verdana" w:cs="Arial"/>
          <w:color w:val="000000" w:themeColor="text1"/>
          <w:lang w:val="es-ES"/>
        </w:rPr>
        <w:t>Mipyme</w:t>
      </w:r>
      <w:proofErr w:type="spellEnd"/>
      <w:r w:rsidRPr="0062491B">
        <w:rPr>
          <w:rFonts w:ascii="Verdana" w:eastAsia="Arial" w:hAnsi="Verdana" w:cs="Arial"/>
          <w:color w:val="000000" w:themeColor="text1"/>
          <w:lang w:val="es-ES"/>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w:t>
      </w:r>
      <w:proofErr w:type="spellStart"/>
      <w:r w:rsidRPr="0062491B">
        <w:rPr>
          <w:rFonts w:ascii="Verdana" w:eastAsia="Arial" w:hAnsi="Verdana" w:cs="Arial"/>
          <w:color w:val="000000" w:themeColor="text1"/>
          <w:lang w:val="es-ES"/>
        </w:rPr>
        <w:t>Mipyme</w:t>
      </w:r>
      <w:proofErr w:type="spellEnd"/>
      <w:r w:rsidRPr="0062491B">
        <w:rPr>
          <w:rFonts w:ascii="Verdana" w:eastAsia="Arial" w:hAnsi="Verdana" w:cs="Arial"/>
          <w:color w:val="000000" w:themeColor="text1"/>
          <w:lang w:val="es-ES"/>
        </w:rPr>
        <w:t xml:space="preserve">, no puede </w:t>
      </w:r>
      <w:r w:rsidRPr="0062491B">
        <w:rPr>
          <w:rFonts w:ascii="Verdana" w:eastAsia="Arial" w:hAnsi="Verdana" w:cs="Arial"/>
          <w:i/>
          <w:color w:val="000000" w:themeColor="text1"/>
          <w:lang w:val="es-ES"/>
        </w:rPr>
        <w:t xml:space="preserve">motu proprio </w:t>
      </w:r>
      <w:r w:rsidRPr="0062491B">
        <w:rPr>
          <w:rFonts w:ascii="Verdana" w:eastAsia="Arial" w:hAnsi="Verdana" w:cs="Arial"/>
          <w:color w:val="000000" w:themeColor="text1"/>
          <w:lang w:val="es-ES"/>
        </w:rPr>
        <w:t xml:space="preserve">proceder con la “limitación territorial” de que trata el artículo 2.2.1.2.4.2.3 del Decreto 1082 de 2015. Esto debido a que el ejercicio de esta facultad solo puede darse ante la “limitación a </w:t>
      </w:r>
      <w:proofErr w:type="spellStart"/>
      <w:r w:rsidRPr="0062491B">
        <w:rPr>
          <w:rFonts w:ascii="Verdana" w:eastAsia="Arial" w:hAnsi="Verdana" w:cs="Arial"/>
          <w:color w:val="000000" w:themeColor="text1"/>
          <w:lang w:val="es-ES"/>
        </w:rPr>
        <w:t>Mipymes</w:t>
      </w:r>
      <w:proofErr w:type="spellEnd"/>
      <w:r w:rsidRPr="0062491B">
        <w:rPr>
          <w:rFonts w:ascii="Verdana" w:eastAsia="Arial" w:hAnsi="Verdana" w:cs="Arial"/>
          <w:color w:val="000000" w:themeColor="text1"/>
          <w:lang w:val="es-ES"/>
        </w:rPr>
        <w:t xml:space="preserve"> colombianas”, lo cual supone verificar los supuestos legales establecidos en los mencionados numerales.</w:t>
      </w:r>
    </w:p>
    <w:p w14:paraId="15B0C77C" w14:textId="77777777" w:rsidR="00F079F6" w:rsidRPr="0062491B" w:rsidRDefault="00F079F6" w:rsidP="00F079F6">
      <w:pPr>
        <w:spacing w:after="120" w:line="276" w:lineRule="auto"/>
        <w:ind w:firstLine="708"/>
        <w:jc w:val="both"/>
        <w:rPr>
          <w:rFonts w:ascii="Verdana" w:hAnsi="Verdana" w:cs="Arial"/>
          <w:color w:val="000000" w:themeColor="text1"/>
        </w:rPr>
      </w:pPr>
      <w:r w:rsidRPr="0062491B">
        <w:rPr>
          <w:rFonts w:ascii="Verdana" w:hAnsi="Verdana" w:cs="Arial"/>
          <w:color w:val="000000" w:themeColor="text1"/>
        </w:rPr>
        <w:t xml:space="preserve">Cumplidos los dos requisitos del artículo 2.2.1.2.4.2.2 </w:t>
      </w:r>
      <w:proofErr w:type="spellStart"/>
      <w:r w:rsidRPr="0062491B">
        <w:rPr>
          <w:rFonts w:ascii="Verdana" w:hAnsi="Verdana" w:cs="Arial"/>
          <w:i/>
          <w:iCs/>
          <w:color w:val="000000" w:themeColor="text1"/>
        </w:rPr>
        <w:t>ibídem</w:t>
      </w:r>
      <w:proofErr w:type="spellEnd"/>
      <w:r w:rsidRPr="0062491B">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─sin estar obligadas─ decidir si limitan la convocatoria </w:t>
      </w:r>
      <w:r w:rsidRPr="0062491B">
        <w:rPr>
          <w:rFonts w:ascii="Verdana" w:hAnsi="Verdana" w:cs="Arial"/>
          <w:color w:val="000000" w:themeColor="text1"/>
        </w:rPr>
        <w:lastRenderedPageBreak/>
        <w:t xml:space="preserve">a las </w:t>
      </w:r>
      <w:proofErr w:type="spellStart"/>
      <w:r w:rsidRPr="0062491B">
        <w:rPr>
          <w:rFonts w:ascii="Verdana" w:hAnsi="Verdana" w:cs="Arial"/>
          <w:color w:val="000000" w:themeColor="text1"/>
        </w:rPr>
        <w:t>Mipyme</w:t>
      </w:r>
      <w:proofErr w:type="spellEnd"/>
      <w:r w:rsidRPr="0062491B">
        <w:rPr>
          <w:rFonts w:ascii="Verdana" w:hAnsi="Verdana" w:cs="Arial"/>
          <w:color w:val="000000" w:themeColor="text1"/>
        </w:rPr>
        <w:t xml:space="preserve"> colombianas domiciliadas en el municipio o departamento en el que se ejecutará el contrato. Esto de acuerdo con el artículo 2.2.1.2.4.2.3 del Decreto 1082 de 2015 </w:t>
      </w:r>
      <w:r w:rsidRPr="0062491B">
        <w:rPr>
          <w:rFonts w:ascii="Verdana" w:eastAsia="Arial" w:hAnsi="Verdana" w:cs="Arial"/>
          <w:color w:val="000000"/>
          <w:lang w:val="es-ES_tradnl"/>
        </w:rPr>
        <w:t>modificado por el Decreto 1860 de 2021</w:t>
      </w:r>
      <w:r w:rsidRPr="0062491B">
        <w:rPr>
          <w:rFonts w:ascii="Verdana" w:hAnsi="Verdana" w:cs="Arial"/>
          <w:color w:val="000000" w:themeColor="text1"/>
        </w:rPr>
        <w:t xml:space="preserve">, norma que se refiere a la facultad de la administración con el verbo infinitivo “poder”, no “deber”. </w:t>
      </w:r>
    </w:p>
    <w:p w14:paraId="39E18B6E" w14:textId="77777777" w:rsidR="00F079F6" w:rsidRPr="0062491B" w:rsidRDefault="00F079F6" w:rsidP="00F079F6">
      <w:pPr>
        <w:spacing w:after="120" w:line="276" w:lineRule="auto"/>
        <w:ind w:firstLine="709"/>
        <w:jc w:val="both"/>
        <w:rPr>
          <w:rFonts w:ascii="Verdana" w:eastAsia="Calibri" w:hAnsi="Verdana" w:cs="Arial"/>
          <w:color w:val="000000" w:themeColor="text1"/>
        </w:rPr>
      </w:pPr>
      <w:r w:rsidRPr="0062491B">
        <w:rPr>
          <w:rFonts w:ascii="Verdana" w:eastAsia="Calibri" w:hAnsi="Verdana" w:cs="Arial"/>
          <w:color w:val="000000" w:themeColor="text1"/>
        </w:rPr>
        <w:t>Colombia Compra Eficiente ha sostenido que la decisión de limitar territorialmente un</w:t>
      </w:r>
      <w:r w:rsidRPr="0062491B">
        <w:rPr>
          <w:rFonts w:ascii="Verdana" w:hAnsi="Verdana" w:cs="Arial"/>
          <w:color w:val="000000" w:themeColor="text1"/>
        </w:rPr>
        <w:t xml:space="preserve">a convocatoria a </w:t>
      </w:r>
      <w:proofErr w:type="spellStart"/>
      <w:r w:rsidRPr="0062491B">
        <w:rPr>
          <w:rFonts w:ascii="Verdana" w:hAnsi="Verdana" w:cs="Arial"/>
          <w:color w:val="000000" w:themeColor="text1"/>
        </w:rPr>
        <w:t>Mipyme</w:t>
      </w:r>
      <w:proofErr w:type="spellEnd"/>
      <w:r w:rsidRPr="0062491B">
        <w:rPr>
          <w:rFonts w:ascii="Verdana" w:hAnsi="Verdana" w:cs="Arial"/>
          <w:color w:val="000000" w:themeColor="text1"/>
        </w:rPr>
        <w:t xml:space="preserve"> </w:t>
      </w:r>
      <w:r w:rsidRPr="0062491B">
        <w:rPr>
          <w:rFonts w:ascii="Verdana" w:eastAsia="Calibri" w:hAnsi="Verdana" w:cs="Arial"/>
          <w:color w:val="000000" w:themeColor="text1"/>
        </w:rPr>
        <w:t xml:space="preserve">es discrecional, y ha precisado que, de todos modos, esta debe justificarse con fundamento en los correspondientes “estudios del sector”. Así lo consideró en la consulta No. 216130003241, resuelta el 30 de junio de 2016. Igualmente, en la consulta resuelta en el radicado No. 2201813000008184 del 7 de septiembre de 2019, se explicó que, de acuerdo con el </w:t>
      </w:r>
      <w:r w:rsidRPr="0062491B">
        <w:rPr>
          <w:rFonts w:ascii="Verdana" w:hAnsi="Verdana" w:cs="Arial"/>
          <w:color w:val="000000" w:themeColor="text1"/>
        </w:rPr>
        <w:t xml:space="preserve">artículo 2.2.1.2.4.2.3 del Decreto 1082 de 2015, las </w:t>
      </w:r>
      <w:proofErr w:type="spellStart"/>
      <w:r w:rsidRPr="0062491B">
        <w:rPr>
          <w:rFonts w:ascii="Verdana" w:hAnsi="Verdana" w:cs="Arial"/>
          <w:color w:val="000000" w:themeColor="text1"/>
        </w:rPr>
        <w:t>Mipyme</w:t>
      </w:r>
      <w:proofErr w:type="spellEnd"/>
      <w:r w:rsidRPr="0062491B">
        <w:rPr>
          <w:rFonts w:ascii="Verdana" w:eastAsia="Calibri" w:hAnsi="Verdana" w:cs="Arial"/>
          <w:color w:val="000000" w:themeColor="text1"/>
        </w:rPr>
        <w:t xml:space="preserve"> beneficiadas deben tener su domicilio principal en el municipio o departamento donde se ejecutará el contrato para participar en una convocatoria limitada territorialmente.</w:t>
      </w:r>
      <w:r w:rsidRPr="0062491B">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 lo cual es congruente como el verbo “podrán” del parágrafo primero del artículo 34 de la Ley de Emprendimiento.</w:t>
      </w:r>
    </w:p>
    <w:p w14:paraId="1CAEDB52" w14:textId="77777777" w:rsidR="00F079F6" w:rsidRPr="0062491B" w:rsidRDefault="00F079F6" w:rsidP="00F079F6">
      <w:pPr>
        <w:spacing w:after="120" w:line="276" w:lineRule="auto"/>
        <w:ind w:firstLine="709"/>
        <w:jc w:val="both"/>
        <w:rPr>
          <w:rFonts w:ascii="Verdana" w:eastAsia="Calibri" w:hAnsi="Verdana" w:cs="Arial"/>
          <w:color w:val="000000" w:themeColor="text1"/>
        </w:rPr>
      </w:pPr>
      <w:r w:rsidRPr="0062491B">
        <w:rPr>
          <w:rFonts w:ascii="Verdana" w:hAnsi="Verdana" w:cs="Arial"/>
          <w:color w:val="000000" w:themeColor="text1"/>
        </w:rPr>
        <w:t xml:space="preserve">En tal sentido, </w:t>
      </w:r>
      <w:r w:rsidRPr="0062491B">
        <w:rPr>
          <w:rFonts w:ascii="Verdana" w:eastAsia="Calibri" w:hAnsi="Verdana" w:cs="Arial"/>
          <w:color w:val="000000" w:themeColor="text1"/>
        </w:rPr>
        <w:t>lo que debe adoptarse obligatoriamente es la</w:t>
      </w:r>
      <w:r w:rsidRPr="0062491B">
        <w:rPr>
          <w:rFonts w:ascii="Verdana" w:hAnsi="Verdana" w:cs="Arial"/>
          <w:color w:val="000000" w:themeColor="text1"/>
        </w:rPr>
        <w:t xml:space="preserve"> limitación a </w:t>
      </w:r>
      <w:proofErr w:type="spellStart"/>
      <w:r w:rsidRPr="0062491B">
        <w:rPr>
          <w:rFonts w:ascii="Verdana" w:hAnsi="Verdana" w:cs="Arial"/>
          <w:color w:val="000000" w:themeColor="text1"/>
        </w:rPr>
        <w:t>Mipymes</w:t>
      </w:r>
      <w:proofErr w:type="spellEnd"/>
      <w:r w:rsidRPr="0062491B">
        <w:rPr>
          <w:rFonts w:ascii="Verdana" w:hAnsi="Verdana" w:cs="Arial"/>
          <w:color w:val="000000" w:themeColor="text1"/>
        </w:rPr>
        <w:t xml:space="preserve"> colombianas</w:t>
      </w:r>
      <w:r w:rsidRPr="0062491B">
        <w:rPr>
          <w:rFonts w:ascii="Verdana" w:eastAsia="Calibri" w:hAnsi="Verdana" w:cs="Arial"/>
          <w:color w:val="000000" w:themeColor="text1"/>
        </w:rPr>
        <w:t xml:space="preserve"> siempre que se cumplan las condiciones del artículo 2.2.1.2.4.2.2 del Decreto 1082 de 2015, pero no la “limitación territorial” referida en el artículo 2.2.1.2.4.2.3 </w:t>
      </w:r>
      <w:proofErr w:type="spellStart"/>
      <w:r w:rsidRPr="0062491B">
        <w:rPr>
          <w:rFonts w:ascii="Verdana" w:eastAsia="Calibri" w:hAnsi="Verdana" w:cs="Arial"/>
          <w:i/>
          <w:iCs/>
          <w:color w:val="000000" w:themeColor="text1"/>
        </w:rPr>
        <w:t>ibídem</w:t>
      </w:r>
      <w:proofErr w:type="spellEnd"/>
      <w:r w:rsidRPr="0062491B">
        <w:rPr>
          <w:rFonts w:ascii="Verdana" w:eastAsia="Calibri" w:hAnsi="Verdana" w:cs="Arial"/>
          <w:color w:val="000000" w:themeColor="text1"/>
        </w:rPr>
        <w:t>, pues esta es facultativa para la entidad. Las únicas exigencias son que la convocatoria esté l</w:t>
      </w:r>
      <w:r w:rsidRPr="0062491B">
        <w:rPr>
          <w:rFonts w:ascii="Verdana" w:hAnsi="Verdana" w:cs="Arial"/>
          <w:color w:val="000000" w:themeColor="text1"/>
        </w:rPr>
        <w:t xml:space="preserve">imitada a las </w:t>
      </w:r>
      <w:proofErr w:type="spellStart"/>
      <w:r w:rsidRPr="0062491B">
        <w:rPr>
          <w:rFonts w:ascii="Verdana" w:hAnsi="Verdana" w:cs="Arial"/>
          <w:color w:val="000000" w:themeColor="text1"/>
        </w:rPr>
        <w:t>Mipyme</w:t>
      </w:r>
      <w:proofErr w:type="spellEnd"/>
      <w:r w:rsidRPr="0062491B">
        <w:rPr>
          <w:rFonts w:ascii="Verdana" w:hAnsi="Verdana" w:cs="Arial"/>
          <w:color w:val="000000" w:themeColor="text1"/>
        </w:rPr>
        <w:t xml:space="preserve"> colombianas</w:t>
      </w:r>
      <w:r w:rsidRPr="0062491B">
        <w:rPr>
          <w:rFonts w:ascii="Verdana" w:eastAsia="Calibri" w:hAnsi="Verdana" w:cs="Arial"/>
          <w:color w:val="000000" w:themeColor="text1"/>
        </w:rPr>
        <w:t xml:space="preserve"> “domiciliadas en los departamentos o municipios en donde se va a ejecutar el contrato” y que la entidad justifique su decisión con base en los “estudios del sector”</w:t>
      </w:r>
      <w:r w:rsidRPr="0062491B">
        <w:rPr>
          <w:rStyle w:val="Refdenotaalpie"/>
          <w:rFonts w:ascii="Verdana" w:eastAsia="Calibri" w:hAnsi="Verdana" w:cs="Arial"/>
          <w:color w:val="000000" w:themeColor="text1"/>
        </w:rPr>
        <w:footnoteReference w:id="4"/>
      </w:r>
      <w:r w:rsidRPr="0062491B">
        <w:rPr>
          <w:rFonts w:ascii="Verdana" w:eastAsia="Calibri" w:hAnsi="Verdana" w:cs="Arial"/>
          <w:color w:val="000000" w:themeColor="text1"/>
        </w:rPr>
        <w:t xml:space="preserve">. No es procedente, entonces, que sean las </w:t>
      </w:r>
      <w:proofErr w:type="spellStart"/>
      <w:r w:rsidRPr="0062491B">
        <w:rPr>
          <w:rFonts w:ascii="Verdana" w:eastAsia="Calibri" w:hAnsi="Verdana" w:cs="Arial"/>
          <w:color w:val="000000" w:themeColor="text1"/>
        </w:rPr>
        <w:t>Mipymes</w:t>
      </w:r>
      <w:proofErr w:type="spellEnd"/>
      <w:r w:rsidRPr="0062491B">
        <w:rPr>
          <w:rFonts w:ascii="Verdana" w:eastAsia="Calibri" w:hAnsi="Verdana" w:cs="Arial"/>
          <w:color w:val="000000" w:themeColor="text1"/>
        </w:rPr>
        <w:t xml:space="preserve"> las </w:t>
      </w:r>
      <w:r w:rsidRPr="0062491B">
        <w:rPr>
          <w:rFonts w:ascii="Verdana" w:eastAsia="Calibri" w:hAnsi="Verdana" w:cs="Arial"/>
          <w:color w:val="000000" w:themeColor="text1"/>
        </w:rPr>
        <w:lastRenderedPageBreak/>
        <w:t xml:space="preserve">que soliciten la “limitación territorial” a la que se refiere el artículo 2.2.1.2.4.2.3 del Decreto 1082 de 2015. </w:t>
      </w:r>
    </w:p>
    <w:p w14:paraId="7B20A2E4" w14:textId="77777777" w:rsidR="00F079F6" w:rsidRPr="0062491B" w:rsidRDefault="00F079F6" w:rsidP="00F079F6">
      <w:pPr>
        <w:spacing w:after="120" w:line="276" w:lineRule="auto"/>
        <w:ind w:firstLine="709"/>
        <w:jc w:val="both"/>
        <w:rPr>
          <w:rFonts w:ascii="Verdana" w:eastAsia="Calibri" w:hAnsi="Verdana" w:cs="Arial"/>
          <w:color w:val="000000" w:themeColor="text1"/>
        </w:rPr>
      </w:pPr>
      <w:r w:rsidRPr="0062491B">
        <w:rPr>
          <w:rFonts w:ascii="Verdana" w:eastAsia="Calibri" w:hAnsi="Verdana" w:cs="Arial"/>
          <w:color w:val="000000" w:themeColor="text1"/>
        </w:rPr>
        <w:t>E</w:t>
      </w:r>
      <w:r w:rsidRPr="0062491B">
        <w:rPr>
          <w:rFonts w:ascii="Verdana" w:hAnsi="Verdana" w:cs="Arial"/>
          <w:color w:val="000000" w:themeColor="text1"/>
        </w:rPr>
        <w:t xml:space="preserve">l origen de las </w:t>
      </w:r>
      <w:proofErr w:type="spellStart"/>
      <w:r w:rsidRPr="0062491B">
        <w:rPr>
          <w:rFonts w:ascii="Verdana" w:hAnsi="Verdana" w:cs="Arial"/>
          <w:color w:val="000000" w:themeColor="text1"/>
        </w:rPr>
        <w:t>Mipyme</w:t>
      </w:r>
      <w:proofErr w:type="spellEnd"/>
      <w:r w:rsidRPr="0062491B">
        <w:rPr>
          <w:rFonts w:ascii="Verdana" w:eastAsia="Calibri" w:hAnsi="Verdana" w:cs="Arial"/>
          <w:color w:val="000000" w:themeColor="text1"/>
        </w:rPr>
        <w:t xml:space="preserve"> que solicitan la “limitación territorial” no es relevante frente a dicha decisión por dos razo</w:t>
      </w:r>
      <w:r w:rsidRPr="0062491B">
        <w:rPr>
          <w:rFonts w:ascii="Verdana" w:hAnsi="Verdana" w:cs="Arial"/>
          <w:color w:val="000000" w:themeColor="text1"/>
        </w:rPr>
        <w:t xml:space="preserve">nes: primero, porque las </w:t>
      </w:r>
      <w:proofErr w:type="spellStart"/>
      <w:r w:rsidRPr="0062491B">
        <w:rPr>
          <w:rFonts w:ascii="Verdana" w:hAnsi="Verdana" w:cs="Arial"/>
          <w:color w:val="000000" w:themeColor="text1"/>
        </w:rPr>
        <w:t>Mipyme</w:t>
      </w:r>
      <w:proofErr w:type="spellEnd"/>
      <w:r w:rsidRPr="0062491B">
        <w:rPr>
          <w:rFonts w:ascii="Verdana" w:eastAsia="Calibri" w:hAnsi="Verdana" w:cs="Arial"/>
          <w:color w:val="000000" w:themeColor="text1"/>
        </w:rPr>
        <w:t xml:space="preserve"> no están habilitadas para pedir la “limitación territorial”, lo están para pedir la “convocatoria limitada a </w:t>
      </w:r>
      <w:proofErr w:type="spellStart"/>
      <w:r w:rsidRPr="0062491B">
        <w:rPr>
          <w:rFonts w:ascii="Verdana" w:eastAsia="Calibri" w:hAnsi="Verdana" w:cs="Arial"/>
          <w:color w:val="000000" w:themeColor="text1"/>
        </w:rPr>
        <w:t>Mipymes</w:t>
      </w:r>
      <w:proofErr w:type="spellEnd"/>
      <w:r w:rsidRPr="0062491B">
        <w:rPr>
          <w:rFonts w:ascii="Verdana" w:eastAsia="Calibri" w:hAnsi="Verdana" w:cs="Arial"/>
          <w:color w:val="000000" w:themeColor="text1"/>
        </w:rPr>
        <w:t>”, y, segundo, porque el único criterio para tener en cuenta, una vez se ha decidido justificadamente limitar territorialmente la convocatori</w:t>
      </w:r>
      <w:r w:rsidRPr="0062491B">
        <w:rPr>
          <w:rFonts w:ascii="Verdana" w:hAnsi="Verdana" w:cs="Arial"/>
          <w:color w:val="000000" w:themeColor="text1"/>
        </w:rPr>
        <w:t xml:space="preserve">a previamente limitada a </w:t>
      </w:r>
      <w:proofErr w:type="spellStart"/>
      <w:r w:rsidRPr="0062491B">
        <w:rPr>
          <w:rFonts w:ascii="Verdana" w:hAnsi="Verdana" w:cs="Arial"/>
          <w:color w:val="000000" w:themeColor="text1"/>
        </w:rPr>
        <w:t>Mipyme</w:t>
      </w:r>
      <w:proofErr w:type="spellEnd"/>
      <w:r w:rsidRPr="0062491B">
        <w:rPr>
          <w:rFonts w:ascii="Verdana" w:eastAsia="Calibri" w:hAnsi="Verdana" w:cs="Arial"/>
          <w:color w:val="000000" w:themeColor="text1"/>
        </w:rPr>
        <w:t>, es el lugar donde se va a ejecutar el contrato.</w:t>
      </w:r>
    </w:p>
    <w:p w14:paraId="2E15F752" w14:textId="77777777" w:rsidR="00F079F6" w:rsidRPr="0062491B" w:rsidRDefault="00F079F6" w:rsidP="00F079F6">
      <w:pPr>
        <w:spacing w:after="120" w:line="276" w:lineRule="auto"/>
        <w:ind w:firstLine="709"/>
        <w:jc w:val="both"/>
        <w:rPr>
          <w:rFonts w:ascii="Verdana" w:eastAsia="Arial" w:hAnsi="Verdana" w:cs="Arial"/>
          <w:color w:val="000000"/>
        </w:rPr>
      </w:pPr>
      <w:r w:rsidRPr="0062491B">
        <w:rPr>
          <w:rFonts w:ascii="Verdana" w:eastAsia="Calibri" w:hAnsi="Verdana" w:cs="Arial"/>
          <w:color w:val="000000" w:themeColor="text1"/>
        </w:rPr>
        <w:t xml:space="preserve">En resumen, la decisión de limitar o no territorialmente una convocatoria limitada a </w:t>
      </w:r>
      <w:proofErr w:type="spellStart"/>
      <w:r w:rsidRPr="0062491B">
        <w:rPr>
          <w:rFonts w:ascii="Verdana" w:eastAsia="Calibri" w:hAnsi="Verdana" w:cs="Arial"/>
          <w:color w:val="000000" w:themeColor="text1"/>
        </w:rPr>
        <w:t>Mipymes</w:t>
      </w:r>
      <w:proofErr w:type="spellEnd"/>
      <w:r w:rsidRPr="0062491B">
        <w:rPr>
          <w:rFonts w:ascii="Verdana" w:eastAsia="Calibri" w:hAnsi="Verdana" w:cs="Arial"/>
          <w:color w:val="000000" w:themeColor="text1"/>
        </w:rPr>
        <w:t xml:space="preserve"> nacionales es una facultad discrecional, de manera que</w:t>
      </w:r>
      <w:r w:rsidRPr="0062491B">
        <w:rPr>
          <w:rFonts w:ascii="Verdana" w:eastAsia="Arial" w:hAnsi="Verdana" w:cs="Arial"/>
          <w:color w:val="000000"/>
        </w:rPr>
        <w:t xml:space="preserve"> la entidad contratante valorará si es oportuno y conveniente adoptarla</w:t>
      </w:r>
      <w:r w:rsidRPr="0062491B">
        <w:rPr>
          <w:rStyle w:val="Refdenotaalpie"/>
          <w:rFonts w:ascii="Verdana" w:eastAsia="Arial" w:hAnsi="Verdana" w:cs="Arial"/>
          <w:color w:val="000000"/>
        </w:rPr>
        <w:footnoteReference w:id="5"/>
      </w:r>
      <w:r w:rsidRPr="0062491B">
        <w:rPr>
          <w:rFonts w:ascii="Verdana" w:eastAsia="Arial" w:hAnsi="Verdana" w:cs="Arial"/>
          <w:color w:val="000000"/>
        </w:rPr>
        <w:t>. Sin embargo,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1BBDCD3F" w14:textId="77777777" w:rsidR="00F079F6" w:rsidRPr="0062491B" w:rsidRDefault="00F079F6" w:rsidP="0062491B">
      <w:pPr>
        <w:spacing w:after="0" w:line="276" w:lineRule="auto"/>
        <w:ind w:firstLine="709"/>
        <w:jc w:val="both"/>
        <w:rPr>
          <w:rFonts w:ascii="Verdana" w:eastAsia="Calibri" w:hAnsi="Verdana" w:cs="Times New Roman"/>
          <w:lang w:val="es-ES"/>
        </w:rPr>
      </w:pPr>
      <w:r w:rsidRPr="0062491B">
        <w:rPr>
          <w:rFonts w:ascii="Verdana" w:hAnsi="Verdana" w:cs="Arial"/>
          <w:lang w:eastAsia="es-ES"/>
        </w:rPr>
        <w:lastRenderedPageBreak/>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42D9E8F" w14:textId="77777777" w:rsidR="006637CF" w:rsidRPr="0062491B" w:rsidRDefault="006637CF" w:rsidP="0062491B">
      <w:pPr>
        <w:spacing w:before="240" w:after="120" w:line="276" w:lineRule="auto"/>
        <w:ind w:firstLine="709"/>
        <w:jc w:val="both"/>
        <w:rPr>
          <w:rFonts w:ascii="Verdana" w:eastAsia="Calibri" w:hAnsi="Verdana" w:cs="Times New Roman"/>
          <w:lang w:val="es-ES"/>
        </w:rPr>
      </w:pPr>
      <w:r w:rsidRPr="0062491B">
        <w:rPr>
          <w:rFonts w:ascii="Verdana" w:eastAsia="Arial" w:hAnsi="Verdana" w:cs="Arial"/>
          <w:color w:val="000000"/>
          <w:lang w:val="es-ES"/>
        </w:rPr>
        <w:t>F</w:t>
      </w:r>
      <w:r w:rsidRPr="0062491B">
        <w:rPr>
          <w:rFonts w:ascii="Verdana" w:eastAsia="Calibri" w:hAnsi="Verdana" w:cs="Times New Roman"/>
          <w:lang w:val="es-ES"/>
        </w:rPr>
        <w:t>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1528D08F" w14:textId="77777777" w:rsidR="006637CF" w:rsidRPr="0062491B" w:rsidRDefault="006637CF" w:rsidP="006637CF">
      <w:pPr>
        <w:spacing w:after="0" w:line="276" w:lineRule="auto"/>
        <w:ind w:firstLine="709"/>
        <w:jc w:val="both"/>
        <w:rPr>
          <w:rFonts w:ascii="Verdana" w:eastAsia="Calibri" w:hAnsi="Verdana" w:cs="Times New Roman"/>
          <w:lang w:val="es-ES"/>
        </w:rPr>
      </w:pPr>
      <w:r w:rsidRPr="0062491B">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7F402B0F" w14:textId="1C081DB9" w:rsidR="00BE1B56" w:rsidRPr="0062491B" w:rsidRDefault="00BE1B56" w:rsidP="00FC40C7">
      <w:pPr>
        <w:tabs>
          <w:tab w:val="left" w:pos="426"/>
        </w:tabs>
        <w:spacing w:before="240" w:after="120" w:line="276" w:lineRule="auto"/>
        <w:jc w:val="both"/>
        <w:rPr>
          <w:rFonts w:ascii="Verdana" w:eastAsia="Century Gothic" w:hAnsi="Verdana" w:cs="Century Gothic"/>
          <w:b/>
          <w:bCs/>
        </w:rPr>
      </w:pPr>
      <w:r w:rsidRPr="0062491B">
        <w:rPr>
          <w:rFonts w:ascii="Verdana" w:eastAsia="Calibri" w:hAnsi="Verdana" w:cs="Arial"/>
        </w:rPr>
        <w:tab/>
      </w:r>
      <w:r w:rsidRPr="0062491B">
        <w:rPr>
          <w:rFonts w:ascii="Verdana" w:eastAsia="Century Gothic" w:hAnsi="Verdana" w:cs="Century Gothic"/>
          <w:b/>
          <w:bCs/>
        </w:rPr>
        <w:t>Referencias normativas: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E1B56" w:rsidRPr="0062491B" w14:paraId="23E71300" w14:textId="77777777" w:rsidTr="009F7E40">
        <w:trPr>
          <w:trHeight w:val="870"/>
          <w:jc w:val="center"/>
        </w:trPr>
        <w:tc>
          <w:tcPr>
            <w:tcW w:w="8647" w:type="dxa"/>
          </w:tcPr>
          <w:p w14:paraId="11EEFBE8" w14:textId="77777777" w:rsidR="0062491B" w:rsidRPr="0062491B" w:rsidRDefault="0062491B" w:rsidP="0062491B">
            <w:pPr>
              <w:pStyle w:val="Sinespaciado"/>
              <w:numPr>
                <w:ilvl w:val="0"/>
                <w:numId w:val="19"/>
              </w:numPr>
              <w:rPr>
                <w:rFonts w:ascii="Verdana" w:hAnsi="Verdana"/>
              </w:rPr>
            </w:pPr>
            <w:r w:rsidRPr="0062491B">
              <w:rPr>
                <w:rFonts w:ascii="Verdana" w:hAnsi="Verdana"/>
              </w:rPr>
              <w:t>Ley 80 de 1993, artículo 77.</w:t>
            </w:r>
          </w:p>
          <w:p w14:paraId="512964F5" w14:textId="77777777" w:rsidR="0062491B" w:rsidRPr="0062491B" w:rsidRDefault="0062491B" w:rsidP="0062491B">
            <w:pPr>
              <w:pStyle w:val="Sinespaciado"/>
              <w:numPr>
                <w:ilvl w:val="0"/>
                <w:numId w:val="19"/>
              </w:numPr>
              <w:rPr>
                <w:rFonts w:ascii="Verdana" w:hAnsi="Verdana"/>
              </w:rPr>
            </w:pPr>
            <w:r w:rsidRPr="0062491B">
              <w:rPr>
                <w:rFonts w:ascii="Verdana" w:hAnsi="Verdana"/>
              </w:rPr>
              <w:t>Ley 1437 de 2011, artículo 44.</w:t>
            </w:r>
          </w:p>
          <w:p w14:paraId="4D2C50B8" w14:textId="49A21606" w:rsidR="0062491B" w:rsidRPr="0062491B" w:rsidRDefault="0062491B" w:rsidP="0062491B">
            <w:pPr>
              <w:pStyle w:val="Sinespaciado"/>
              <w:numPr>
                <w:ilvl w:val="0"/>
                <w:numId w:val="19"/>
              </w:numPr>
              <w:rPr>
                <w:rFonts w:ascii="Verdana" w:hAnsi="Verdana"/>
              </w:rPr>
            </w:pPr>
            <w:r w:rsidRPr="0062491B">
              <w:rPr>
                <w:rFonts w:ascii="Verdana" w:hAnsi="Verdana"/>
              </w:rPr>
              <w:t>Ley 2069 de 2020, artículo 34.</w:t>
            </w:r>
          </w:p>
          <w:p w14:paraId="38217710" w14:textId="77777777" w:rsidR="0062491B" w:rsidRPr="0062491B" w:rsidRDefault="0062491B" w:rsidP="0062491B">
            <w:pPr>
              <w:pStyle w:val="Sinespaciado"/>
              <w:numPr>
                <w:ilvl w:val="0"/>
                <w:numId w:val="19"/>
              </w:numPr>
              <w:rPr>
                <w:rFonts w:ascii="Verdana" w:hAnsi="Verdana"/>
              </w:rPr>
            </w:pPr>
            <w:r w:rsidRPr="0062491B">
              <w:rPr>
                <w:rFonts w:ascii="Verdana" w:hAnsi="Verdana"/>
              </w:rPr>
              <w:t>Decreto 1082 de 2015, artículos 2.2.1.2.4.2.2 y 2.2.1.2.4.2.3.</w:t>
            </w:r>
          </w:p>
          <w:p w14:paraId="0226C1D7" w14:textId="06A2B462" w:rsidR="00BE1B56" w:rsidRPr="0062491B" w:rsidRDefault="0062491B" w:rsidP="0062491B">
            <w:pPr>
              <w:pStyle w:val="Prrafodelista"/>
              <w:numPr>
                <w:ilvl w:val="0"/>
                <w:numId w:val="17"/>
              </w:numPr>
              <w:spacing w:line="276" w:lineRule="auto"/>
              <w:jc w:val="both"/>
              <w:rPr>
                <w:rFonts w:ascii="Verdana" w:hAnsi="Verdana"/>
              </w:rPr>
            </w:pPr>
            <w:r>
              <w:rPr>
                <w:rFonts w:ascii="Verdana" w:hAnsi="Verdana" w:cs="Arial"/>
              </w:rPr>
              <w:t xml:space="preserve">Guía para Promover la Participación de las </w:t>
            </w:r>
            <w:proofErr w:type="spellStart"/>
            <w:r>
              <w:rPr>
                <w:rFonts w:ascii="Verdana" w:hAnsi="Verdana" w:cs="Arial"/>
              </w:rPr>
              <w:t>Mipymes</w:t>
            </w:r>
            <w:proofErr w:type="spellEnd"/>
            <w:r>
              <w:rPr>
                <w:rFonts w:ascii="Verdana" w:hAnsi="Verdana" w:cs="Arial"/>
              </w:rPr>
              <w:t xml:space="preserve"> en los Procesos de Compra y Contratación Pública </w:t>
            </w:r>
            <w:hyperlink r:id="rId12" w:history="1">
              <w:r>
                <w:rPr>
                  <w:rStyle w:val="Hipervnculo"/>
                  <w:rFonts w:ascii="Verdana" w:hAnsi="Verdana" w:cs="Arial"/>
                </w:rPr>
                <w:t>https://www.colombiacompra.gov.co/sites/cce_public/files/cce_docu</w:t>
              </w:r>
              <w:r>
                <w:rPr>
                  <w:rStyle w:val="Hipervnculo"/>
                  <w:rFonts w:ascii="Verdana" w:hAnsi="Verdana" w:cs="Arial"/>
                </w:rPr>
                <w:lastRenderedPageBreak/>
                <w:t>ments/guia_para_promover_la_participacion_de_las_mipymes_en_los_procesos_de_compra_publica_cce-gad-gi-26_1.pdf</w:t>
              </w:r>
            </w:hyperlink>
          </w:p>
        </w:tc>
      </w:tr>
    </w:tbl>
    <w:p w14:paraId="7511D8E7" w14:textId="49245407" w:rsidR="00DA375E" w:rsidRPr="00DA375E" w:rsidRDefault="00BE1B56" w:rsidP="00DA375E">
      <w:pPr>
        <w:pStyle w:val="Prrafodelista"/>
        <w:numPr>
          <w:ilvl w:val="0"/>
          <w:numId w:val="16"/>
        </w:numPr>
        <w:tabs>
          <w:tab w:val="left" w:pos="142"/>
          <w:tab w:val="left" w:pos="284"/>
        </w:tabs>
        <w:spacing w:before="240" w:line="276" w:lineRule="auto"/>
        <w:ind w:left="0" w:firstLine="0"/>
        <w:contextualSpacing w:val="0"/>
        <w:jc w:val="both"/>
        <w:rPr>
          <w:rStyle w:val="normaltextrun"/>
          <w:rFonts w:ascii="Verdana" w:eastAsia="Century Gothic" w:hAnsi="Verdana" w:cs="Century Gothic"/>
          <w:b/>
          <w:bCs/>
        </w:rPr>
      </w:pPr>
      <w:r w:rsidRPr="0062491B">
        <w:rPr>
          <w:rFonts w:ascii="Verdana" w:eastAsia="Century Gothic" w:hAnsi="Verdana" w:cs="Century Gothic"/>
          <w:b/>
          <w:bCs/>
        </w:rPr>
        <w:lastRenderedPageBreak/>
        <w:t>Doctrina de la Agencia Nacional de Contratación Pública:</w:t>
      </w:r>
    </w:p>
    <w:p w14:paraId="746D018F" w14:textId="1B3E6BDF" w:rsidR="00DA375E" w:rsidRPr="00DA375E" w:rsidRDefault="00DA375E" w:rsidP="00DA375E">
      <w:pPr>
        <w:widowControl w:val="0"/>
        <w:autoSpaceDE w:val="0"/>
        <w:autoSpaceDN w:val="0"/>
        <w:spacing w:after="0" w:line="276" w:lineRule="auto"/>
        <w:jc w:val="both"/>
        <w:rPr>
          <w:rStyle w:val="normaltextrun"/>
          <w:rFonts w:ascii="Verdana" w:hAnsi="Verdana" w:cs="Arial"/>
          <w:shd w:val="clear" w:color="auto" w:fill="FFFFFF"/>
        </w:rPr>
      </w:pPr>
      <w:r w:rsidRPr="00DA375E">
        <w:rPr>
          <w:rStyle w:val="normaltextrun"/>
          <w:rFonts w:ascii="Verdana" w:hAnsi="Verdana" w:cs="Arial"/>
          <w:shd w:val="clear" w:color="auto" w:fill="FFFFFF"/>
        </w:rPr>
        <w:t xml:space="preserve">Esta Subdirección se ha pronunciado sobre las convocatorias limitadas a </w:t>
      </w:r>
      <w:proofErr w:type="spellStart"/>
      <w:r w:rsidRPr="00DA375E">
        <w:rPr>
          <w:rStyle w:val="normaltextrun"/>
          <w:rFonts w:ascii="Verdana" w:hAnsi="Verdana" w:cs="Arial"/>
          <w:shd w:val="clear" w:color="auto" w:fill="FFFFFF"/>
        </w:rPr>
        <w:t>Mipymes</w:t>
      </w:r>
      <w:proofErr w:type="spellEnd"/>
      <w:r w:rsidRPr="00DA375E">
        <w:rPr>
          <w:rStyle w:val="normaltextrun"/>
          <w:rFonts w:ascii="Verdana" w:hAnsi="Verdana" w:cs="Arial"/>
          <w:shd w:val="clear" w:color="auto" w:fill="FFFFFF"/>
        </w:rPr>
        <w:t xml:space="preserve"> en los Conceptos 216130003241 el 30 de junio de 2016, 4201714000006924 del 29 de enero de 2018, 2201813000008184 del 7 de septiembre de 2019, C-045 del 17 de marzo de 2020, C-162 del 16 de abril de 2020, C-214 del 21 de abril de 2020, C-258 del 17 de abril de 2020, C-364 del 4 de junio de 2020, C-413 del 30 de junio de 2020, C-492 del 24 de julio de 2020, C-523 del 11 de agosto de 2020, C-610 del 14 de septiembre de 2020, C-700 de 1 de diciembre de 2020, C-705 del 7 de diciembre de 2020, C-005 del 16 de febrero de 2021, C-037 del 26 de febrero de 2021, C-035 del 02 de marzo de 2021, C-126 del 06 de abril de 2021, C-127 del 06 de abril de 2021, C-144 del 07 de abril de 2021, C-141 del 08 de abril de 2021, C-163 y C-164 del 19 de abril de 2021, C-242 del 25 de mayo de 2021, C-438 del 27 de septiembre de 2021, C-496 del 14 de septiembre de 2021, C-573 de 13 de octubre de 2021, C-001 del 17 de febrero de 2022, C-041 del 2 de marzo de 2022, C-293 del 12 de mayo de 2022, C-340 del 26 de mayo de 2022, C-395 del 17 de junio de 2022, C-539 del 29 de agosto de 2022, C-089 del 28 de abril de 2023, C-159 del 22 de junio de 2023, C-206 del 20 de junio de 2023, C-207 del 20 de junio de 2023, C-269 del 12 de julio de 2023, C-279 del 31 de octubre de 2023, C-295 del 24 de julio de 2023, C-302 del 14 de septiembre de 2023, C-321 del 26 de septiembre de 2023, C-335 del 26 de septiembre de 2023, C-366 del 09 de septiembre de 2023, C-389 del 22 de septiembre de 2023, C-436 del 24 de octubre de 2023</w:t>
      </w:r>
      <w:r>
        <w:rPr>
          <w:rStyle w:val="normaltextrun"/>
          <w:rFonts w:ascii="Verdana" w:hAnsi="Verdana" w:cs="Arial"/>
          <w:shd w:val="clear" w:color="auto" w:fill="FFFFFF"/>
        </w:rPr>
        <w:t>,</w:t>
      </w:r>
      <w:r w:rsidRPr="00DA375E">
        <w:rPr>
          <w:rStyle w:val="normaltextrun"/>
          <w:rFonts w:ascii="Verdana" w:hAnsi="Verdana" w:cs="Arial"/>
          <w:shd w:val="clear" w:color="auto" w:fill="FFFFFF"/>
        </w:rPr>
        <w:t xml:space="preserve"> C-102 del 8 de julio de 2024</w:t>
      </w:r>
      <w:r>
        <w:rPr>
          <w:rStyle w:val="normaltextrun"/>
          <w:rFonts w:ascii="Verdana" w:hAnsi="Verdana" w:cs="Arial"/>
          <w:shd w:val="clear" w:color="auto" w:fill="FFFFFF"/>
        </w:rPr>
        <w:t xml:space="preserve">, </w:t>
      </w:r>
      <w:r>
        <w:rPr>
          <w:rStyle w:val="normaltextrun"/>
          <w:rFonts w:ascii="Verdana" w:hAnsi="Verdana" w:cs="Arial"/>
          <w:shd w:val="clear" w:color="auto" w:fill="FFFFFF"/>
          <w:lang w:val="es-ES"/>
        </w:rPr>
        <w:t>C-235 del 12 de agosto de 2024 C-253 del 15 de agosto del 2024, C-684 del 18 de noviembre de 2024 y C-100 del 25 de febrero de 2025,</w:t>
      </w:r>
      <w:r>
        <w:rPr>
          <w:rFonts w:ascii="Verdana" w:hAnsi="Verdana"/>
        </w:rPr>
        <w:t xml:space="preserve"> C-1562 del 04 de diciembre de 2025</w:t>
      </w:r>
      <w:r w:rsidRPr="00DA375E">
        <w:rPr>
          <w:rStyle w:val="normaltextrun"/>
          <w:rFonts w:ascii="Verdana" w:hAnsi="Verdana" w:cs="Arial"/>
          <w:shd w:val="clear" w:color="auto" w:fill="FFFFFF"/>
        </w:rPr>
        <w:t xml:space="preserve"> Estos y otros conceptos se encuentran disponibles para consulta en el Sistema de relatoría de la Agencia</w:t>
      </w:r>
      <w:r w:rsidRPr="00DA375E">
        <w:rPr>
          <w:rFonts w:ascii="Verdana" w:hAnsi="Verdana"/>
        </w:rPr>
        <w:t>, al cual puede accederse a través del siguiente enlace:</w:t>
      </w:r>
      <w:r w:rsidRPr="00DA375E">
        <w:rPr>
          <w:rStyle w:val="normaltextrun"/>
          <w:rFonts w:ascii="Verdana" w:hAnsi="Verdana" w:cs="Arial"/>
          <w:shd w:val="clear" w:color="auto" w:fill="FFFFFF"/>
          <w:lang w:val="es-ES"/>
        </w:rPr>
        <w:t xml:space="preserve"> </w:t>
      </w:r>
      <w:hyperlink r:id="rId13" w:history="1">
        <w:r w:rsidRPr="00DA375E">
          <w:rPr>
            <w:rStyle w:val="Hipervnculo"/>
            <w:rFonts w:ascii="Verdana" w:hAnsi="Verdana" w:cs="Arial"/>
            <w:shd w:val="clear" w:color="auto" w:fill="FFFFFF"/>
            <w:lang w:val="es-ES"/>
          </w:rPr>
          <w:t>https://relatoria.colombiacompra.gov.co/busqueda/conceptos</w:t>
        </w:r>
      </w:hyperlink>
      <w:r w:rsidRPr="00DA375E">
        <w:rPr>
          <w:rStyle w:val="normaltextrun"/>
          <w:rFonts w:ascii="Verdana" w:hAnsi="Verdana" w:cs="Arial"/>
          <w:shd w:val="clear" w:color="auto" w:fill="FFFFFF"/>
          <w:lang w:val="es-ES"/>
        </w:rPr>
        <w:t>.</w:t>
      </w:r>
      <w:r w:rsidRPr="00DA375E">
        <w:rPr>
          <w:rStyle w:val="normaltextrun"/>
          <w:rFonts w:ascii="Verdana" w:hAnsi="Verdana" w:cs="Arial"/>
          <w:color w:val="FF0000"/>
          <w:shd w:val="clear" w:color="auto" w:fill="FFFFFF"/>
          <w:lang w:val="es-ES"/>
        </w:rPr>
        <w:t xml:space="preserve"> </w:t>
      </w:r>
    </w:p>
    <w:p w14:paraId="47F6E0AB" w14:textId="5250C38B" w:rsidR="00BE1B56" w:rsidRPr="0062491B" w:rsidRDefault="00BE1B56" w:rsidP="00BE1B56">
      <w:pPr>
        <w:widowControl w:val="0"/>
        <w:autoSpaceDE w:val="0"/>
        <w:autoSpaceDN w:val="0"/>
        <w:spacing w:before="240" w:line="276" w:lineRule="auto"/>
        <w:jc w:val="both"/>
        <w:rPr>
          <w:rStyle w:val="normaltextrun"/>
          <w:rFonts w:ascii="Verdana" w:hAnsi="Verdana" w:cs="Arial"/>
          <w:color w:val="FF0000"/>
          <w:shd w:val="clear" w:color="auto" w:fill="FFFFFF"/>
          <w:lang w:val="es-ES"/>
        </w:rPr>
      </w:pPr>
    </w:p>
    <w:p w14:paraId="6515D311" w14:textId="77777777" w:rsidR="00BE1B56" w:rsidRPr="0062491B" w:rsidRDefault="00BE1B56" w:rsidP="00BE1B56">
      <w:pPr>
        <w:spacing w:after="120" w:line="276" w:lineRule="auto"/>
        <w:jc w:val="both"/>
        <w:rPr>
          <w:rFonts w:ascii="Verdana" w:eastAsia="Calibri" w:hAnsi="Verdana" w:cs="Arial"/>
          <w:lang w:val="es-ES"/>
        </w:rPr>
      </w:pPr>
      <w:r w:rsidRPr="0062491B">
        <w:rPr>
          <w:rFonts w:ascii="Verdana" w:hAnsi="Verdana"/>
        </w:rPr>
        <w:t xml:space="preserve">La sostenibilidad no es una opción, es una obligación. Por ello, la Agencia Nacional de Contratación Pública –Colombia Compra Eficiente– te invita a </w:t>
      </w:r>
      <w:r w:rsidRPr="0062491B">
        <w:rPr>
          <w:rFonts w:ascii="Verdana" w:hAnsi="Verdana"/>
        </w:rPr>
        <w:lastRenderedPageBreak/>
        <w:t xml:space="preserve">realizar el </w:t>
      </w:r>
      <w:r w:rsidRPr="0062491B">
        <w:rPr>
          <w:rFonts w:ascii="Verdana" w:hAnsi="Verdana"/>
          <w:b/>
          <w:bCs/>
        </w:rPr>
        <w:t>Curso de Contratación Pública Sostenible y Socialmente Responsable</w:t>
      </w:r>
      <w:r w:rsidRPr="0062491B">
        <w:rPr>
          <w:rFonts w:ascii="Verdana" w:hAnsi="Verdana"/>
        </w:rPr>
        <w:t xml:space="preserve">, una herramienta clave para fortalecer las capacidades de todos los compradores públicos, proveedores, servidores públicos v para </w:t>
      </w:r>
      <w:r w:rsidRPr="0062491B">
        <w:rPr>
          <w:rFonts w:ascii="Verdana" w:eastAsia="Calibri" w:hAnsi="Verdana" w:cs="Arial"/>
          <w:lang w:val="es-ES"/>
        </w:rPr>
        <w:t>generar mayor valor público. Accede al curso y aprende como implementar criterios sociales y ambientales en las diferentes etapas del proceso de contratación:</w:t>
      </w:r>
      <w:r w:rsidRPr="0062491B">
        <w:rPr>
          <w:rFonts w:ascii="Verdana" w:eastAsia="Calibri" w:hAnsi="Verdana" w:cs="Arial"/>
          <w:lang w:val="es-ES"/>
        </w:rPr>
        <w:br/>
      </w:r>
      <w:hyperlink r:id="rId14" w:tgtFrame="_new" w:history="1">
        <w:r w:rsidRPr="0062491B">
          <w:rPr>
            <w:rStyle w:val="Hipervnculo"/>
            <w:rFonts w:ascii="Verdana" w:hAnsi="Verdana"/>
          </w:rPr>
          <w:t>https://formacionvirtual.colombiacompra.gov.co/mod/page/view.php?id=3718</w:t>
        </w:r>
      </w:hyperlink>
    </w:p>
    <w:p w14:paraId="114F0FF1" w14:textId="77777777" w:rsidR="00BE1B56" w:rsidRPr="0062491B" w:rsidRDefault="00BE1B56" w:rsidP="00BE1B56">
      <w:pPr>
        <w:spacing w:after="120" w:line="276" w:lineRule="auto"/>
        <w:jc w:val="both"/>
        <w:rPr>
          <w:rFonts w:ascii="Verdana" w:hAnsi="Verdana"/>
        </w:rPr>
      </w:pPr>
      <w:r w:rsidRPr="0062491B">
        <w:rPr>
          <w:rFonts w:ascii="Verdana" w:eastAsia="Calibri" w:hAnsi="Verdana" w:cs="Arial"/>
          <w:lang w:val="es-ES"/>
        </w:rPr>
        <w:t>De otro lado, te contamos que esta Agencia ha da un paso decisivo en la estandarización</w:t>
      </w:r>
      <w:r w:rsidRPr="0062491B">
        <w:rPr>
          <w:rFonts w:ascii="Verdana" w:hAnsi="Verdana"/>
        </w:rPr>
        <w:t xml:space="preserve"> y modernización del </w:t>
      </w:r>
      <w:r w:rsidRPr="0062491B">
        <w:rPr>
          <w:rFonts w:ascii="Verdana" w:hAnsi="Verdana"/>
          <w:b/>
          <w:bCs/>
        </w:rPr>
        <w:t>sector  social</w:t>
      </w:r>
      <w:r w:rsidRPr="0062491B">
        <w:rPr>
          <w:rFonts w:ascii="Verdana" w:hAnsi="Verdana"/>
        </w:rPr>
        <w:t xml:space="preserve"> con la expedición de las </w:t>
      </w:r>
      <w:r w:rsidRPr="0062491B">
        <w:rPr>
          <w:rFonts w:ascii="Verdana" w:hAnsi="Verdana"/>
          <w:b/>
          <w:bCs/>
        </w:rPr>
        <w:t>Resoluciones 539, 540, 541, 952 y 953 de 2025</w:t>
      </w:r>
      <w:r w:rsidRPr="0062491B">
        <w:rPr>
          <w:rFonts w:ascii="Verdana" w:hAnsi="Verdana"/>
        </w:rPr>
        <w:t xml:space="preserve">, </w:t>
      </w:r>
      <w:r w:rsidRPr="0062491B">
        <w:rPr>
          <w:rFonts w:ascii="Verdana" w:hAnsi="Verdana"/>
          <w:b/>
          <w:bCs/>
        </w:rPr>
        <w:t>mediante las cuales adoptó Documentos Tipo</w:t>
      </w:r>
      <w:r w:rsidRPr="0062491B">
        <w:rPr>
          <w:rFonts w:ascii="Verdana" w:hAnsi="Verdana"/>
        </w:rPr>
        <w:t xml:space="preserve"> para las modalidades de selección de</w:t>
      </w:r>
      <w:r w:rsidRPr="0062491B">
        <w:rPr>
          <w:rFonts w:ascii="Verdana" w:hAnsi="Verdana"/>
          <w:b/>
          <w:bCs/>
        </w:rPr>
        <w:t xml:space="preserve"> licitación pública (versión 2), selección abreviada de menor cuantía, mínima cuantía, consultoría e interventoría</w:t>
      </w:r>
      <w:r w:rsidRPr="0062491B">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2491B">
          <w:rPr>
            <w:rStyle w:val="Hipervnculo"/>
            <w:rFonts w:ascii="Verdana" w:hAnsi="Verdana"/>
          </w:rPr>
          <w:t>https://www.colombiacompra.gov.co/normativa-y-relatoria/documentos-tipo</w:t>
        </w:r>
      </w:hyperlink>
    </w:p>
    <w:p w14:paraId="21233F15" w14:textId="77777777" w:rsidR="00BE1B56" w:rsidRPr="0062491B" w:rsidRDefault="00BE1B56" w:rsidP="00BE1B56">
      <w:pPr>
        <w:spacing w:after="120" w:line="276" w:lineRule="auto"/>
        <w:jc w:val="both"/>
        <w:rPr>
          <w:rFonts w:ascii="Verdana" w:hAnsi="Verdana"/>
        </w:rPr>
      </w:pPr>
      <w:r w:rsidRPr="0062491B">
        <w:rPr>
          <w:rFonts w:ascii="Verdana" w:hAnsi="Verdana"/>
        </w:rPr>
        <w:t xml:space="preserve">Si quieres conocer más sobre la aplicación de Documentos Tipo puedes consultar la última versión de la </w:t>
      </w:r>
      <w:r w:rsidRPr="0062491B">
        <w:rPr>
          <w:rFonts w:ascii="Verdana" w:hAnsi="Verdana"/>
          <w:b/>
          <w:bCs/>
        </w:rPr>
        <w:t>Guía para la comprensión e implementación de los Documentos Tipo de obra pública de infraestructura de transporte</w:t>
      </w:r>
      <w:r w:rsidRPr="0062491B">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2491B">
        <w:rPr>
          <w:rFonts w:ascii="Verdana" w:hAnsi="Verdana"/>
        </w:rPr>
        <w:br/>
      </w:r>
      <w:hyperlink r:id="rId16" w:tgtFrame="_new" w:history="1">
        <w:r w:rsidRPr="0062491B">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037DAC0" w14:textId="77777777" w:rsidR="00BE1B56" w:rsidRPr="0062491B" w:rsidRDefault="00BE1B56" w:rsidP="00BE1B56">
      <w:pPr>
        <w:spacing w:after="120" w:line="276" w:lineRule="auto"/>
        <w:jc w:val="both"/>
        <w:rPr>
          <w:rFonts w:ascii="Verdana" w:hAnsi="Verdana"/>
        </w:rPr>
      </w:pPr>
      <w:r w:rsidRPr="0062491B">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9CFD496" w14:textId="77777777" w:rsidR="00BE1B56" w:rsidRPr="0062491B" w:rsidRDefault="00BE1B56" w:rsidP="00BE1B56">
      <w:pPr>
        <w:pStyle w:val="Prrafodelista"/>
        <w:numPr>
          <w:ilvl w:val="0"/>
          <w:numId w:val="15"/>
        </w:numPr>
        <w:spacing w:after="0" w:line="276" w:lineRule="auto"/>
        <w:contextualSpacing w:val="0"/>
        <w:jc w:val="both"/>
        <w:rPr>
          <w:rFonts w:ascii="Verdana" w:hAnsi="Verdana"/>
          <w:lang w:val="es-CO"/>
        </w:rPr>
      </w:pPr>
      <w:r w:rsidRPr="0062491B">
        <w:rPr>
          <w:rFonts w:ascii="Verdana" w:hAnsi="Verdana"/>
          <w:lang w:val="es-CO"/>
        </w:rPr>
        <w:t>Línea nacional gratuita o servicio a la ciudadanía: 01800 0520808</w:t>
      </w:r>
    </w:p>
    <w:p w14:paraId="151B5A5B" w14:textId="77777777" w:rsidR="00BE1B56" w:rsidRPr="0062491B" w:rsidRDefault="00BE1B56" w:rsidP="00BE1B56">
      <w:pPr>
        <w:pStyle w:val="Prrafodelista"/>
        <w:numPr>
          <w:ilvl w:val="0"/>
          <w:numId w:val="15"/>
        </w:numPr>
        <w:spacing w:after="0" w:line="276" w:lineRule="auto"/>
        <w:contextualSpacing w:val="0"/>
        <w:jc w:val="both"/>
        <w:rPr>
          <w:rFonts w:ascii="Verdana" w:hAnsi="Verdana"/>
          <w:lang w:val="es-CO"/>
        </w:rPr>
      </w:pPr>
      <w:r w:rsidRPr="0062491B">
        <w:rPr>
          <w:rFonts w:ascii="Verdana" w:hAnsi="Verdana"/>
          <w:lang w:val="es-CO"/>
        </w:rPr>
        <w:lastRenderedPageBreak/>
        <w:t>Línea en Bogotá (Mesa de servicio): +57 601 7456788</w:t>
      </w:r>
    </w:p>
    <w:p w14:paraId="5566230F" w14:textId="77777777" w:rsidR="00BE1B56" w:rsidRPr="0062491B" w:rsidRDefault="00BE1B56" w:rsidP="00BE1B56">
      <w:pPr>
        <w:pStyle w:val="Prrafodelista"/>
        <w:numPr>
          <w:ilvl w:val="0"/>
          <w:numId w:val="15"/>
        </w:numPr>
        <w:spacing w:after="0" w:line="276" w:lineRule="auto"/>
        <w:contextualSpacing w:val="0"/>
        <w:jc w:val="both"/>
        <w:rPr>
          <w:rFonts w:ascii="Verdana" w:hAnsi="Verdana"/>
          <w:lang w:val="es-CO"/>
        </w:rPr>
      </w:pPr>
      <w:r w:rsidRPr="0062491B">
        <w:rPr>
          <w:rFonts w:ascii="Verdana" w:hAnsi="Verdana"/>
          <w:lang w:val="es-CO"/>
        </w:rPr>
        <w:t>Línea de servicio y atención al ciudadano: +57 601 7956600</w:t>
      </w:r>
    </w:p>
    <w:p w14:paraId="4A5BD3A9" w14:textId="77777777" w:rsidR="00BE1B56" w:rsidRPr="0062491B" w:rsidRDefault="00BE1B56" w:rsidP="00BE1B56">
      <w:pPr>
        <w:pStyle w:val="Prrafodelista"/>
        <w:numPr>
          <w:ilvl w:val="0"/>
          <w:numId w:val="15"/>
        </w:numPr>
        <w:spacing w:line="276" w:lineRule="auto"/>
        <w:contextualSpacing w:val="0"/>
        <w:jc w:val="both"/>
        <w:rPr>
          <w:rFonts w:ascii="Verdana" w:hAnsi="Verdana"/>
          <w:lang w:val="es-CO"/>
        </w:rPr>
      </w:pPr>
      <w:r w:rsidRPr="0062491B">
        <w:rPr>
          <w:rFonts w:ascii="Verdana" w:hAnsi="Verdana"/>
          <w:lang w:val="es-CO"/>
        </w:rPr>
        <w:t xml:space="preserve">Página web: </w:t>
      </w:r>
      <w:hyperlink r:id="rId17" w:history="1">
        <w:r w:rsidRPr="0062491B">
          <w:rPr>
            <w:rStyle w:val="Hipervnculo"/>
            <w:rFonts w:ascii="Verdana" w:hAnsi="Verdana"/>
            <w:lang w:val="es-CO"/>
          </w:rPr>
          <w:t>www.colombiacompra.gov.co</w:t>
        </w:r>
      </w:hyperlink>
    </w:p>
    <w:p w14:paraId="3FD3D2BC" w14:textId="4527EEF9" w:rsidR="00BE1B56" w:rsidRPr="0062491B" w:rsidRDefault="00BE1B56" w:rsidP="00DA375E">
      <w:pPr>
        <w:spacing w:after="0" w:line="276" w:lineRule="auto"/>
        <w:jc w:val="both"/>
        <w:rPr>
          <w:rFonts w:ascii="Verdana" w:hAnsi="Verdana"/>
        </w:rPr>
      </w:pPr>
      <w:r w:rsidRPr="0062491B">
        <w:rPr>
          <w:rFonts w:ascii="Verdana" w:hAnsi="Verdana"/>
        </w:rPr>
        <w:t>Por último, lo invitamos a seguirnos en las redes sociales en las cuales se difunde información institucional:</w:t>
      </w:r>
    </w:p>
    <w:p w14:paraId="3C48560E" w14:textId="77777777" w:rsidR="00BE1B56" w:rsidRPr="0062491B" w:rsidRDefault="00BE1B56" w:rsidP="00BE1B56">
      <w:pPr>
        <w:spacing w:before="240" w:after="0" w:line="276" w:lineRule="auto"/>
        <w:jc w:val="both"/>
        <w:rPr>
          <w:rFonts w:ascii="Verdana" w:hAnsi="Verdana"/>
        </w:rPr>
      </w:pPr>
      <w:r w:rsidRPr="0062491B">
        <w:rPr>
          <w:rFonts w:ascii="Verdana" w:hAnsi="Verdana"/>
        </w:rPr>
        <w:t xml:space="preserve">Twitter: </w:t>
      </w:r>
      <w:r w:rsidRPr="0062491B">
        <w:rPr>
          <w:rStyle w:val="Hipervnculo"/>
          <w:rFonts w:ascii="Verdana" w:hAnsi="Verdana"/>
        </w:rPr>
        <w:t>@colombiacompra</w:t>
      </w:r>
      <w:r w:rsidRPr="0062491B">
        <w:rPr>
          <w:rFonts w:ascii="Verdana" w:hAnsi="Verdana"/>
        </w:rPr>
        <w:t xml:space="preserve"> </w:t>
      </w:r>
    </w:p>
    <w:p w14:paraId="3E1A362C" w14:textId="77777777" w:rsidR="00BE1B56" w:rsidRPr="0062491B" w:rsidRDefault="00BE1B56" w:rsidP="00BE1B56">
      <w:pPr>
        <w:spacing w:after="0" w:line="276" w:lineRule="auto"/>
        <w:jc w:val="both"/>
        <w:rPr>
          <w:rFonts w:ascii="Verdana" w:hAnsi="Verdana"/>
        </w:rPr>
      </w:pPr>
      <w:r w:rsidRPr="0062491B">
        <w:rPr>
          <w:rFonts w:ascii="Verdana" w:hAnsi="Verdana"/>
        </w:rPr>
        <w:t xml:space="preserve">Facebook: </w:t>
      </w:r>
      <w:proofErr w:type="spellStart"/>
      <w:r w:rsidRPr="0062491B">
        <w:rPr>
          <w:rStyle w:val="Hipervnculo"/>
          <w:rFonts w:ascii="Verdana" w:hAnsi="Verdana"/>
        </w:rPr>
        <w:t>ColombiaCompraEficiente</w:t>
      </w:r>
      <w:proofErr w:type="spellEnd"/>
    </w:p>
    <w:p w14:paraId="0E9CFCB8" w14:textId="77777777" w:rsidR="00BE1B56" w:rsidRPr="0062491B" w:rsidRDefault="00BE1B56" w:rsidP="00BE1B56">
      <w:pPr>
        <w:spacing w:after="0" w:line="276" w:lineRule="auto"/>
        <w:jc w:val="both"/>
        <w:rPr>
          <w:rStyle w:val="Hipervnculo"/>
          <w:rFonts w:ascii="Verdana" w:hAnsi="Verdana"/>
        </w:rPr>
      </w:pPr>
      <w:r w:rsidRPr="0062491B">
        <w:rPr>
          <w:rFonts w:ascii="Verdana" w:hAnsi="Verdana"/>
        </w:rPr>
        <w:t xml:space="preserve">LinkedIn: </w:t>
      </w:r>
      <w:r w:rsidRPr="0062491B">
        <w:rPr>
          <w:rStyle w:val="Hipervnculo"/>
          <w:rFonts w:ascii="Verdana" w:hAnsi="Verdana"/>
        </w:rPr>
        <w:t>Agencia Nacional de Contratación Pública - Colombia Compra Eficiente</w:t>
      </w:r>
    </w:p>
    <w:p w14:paraId="3797E44E" w14:textId="77777777" w:rsidR="00BE1B56" w:rsidRPr="0062491B" w:rsidRDefault="00BE1B56" w:rsidP="00BE1B56">
      <w:pPr>
        <w:spacing w:line="276" w:lineRule="auto"/>
        <w:jc w:val="both"/>
        <w:rPr>
          <w:rFonts w:ascii="Verdana" w:hAnsi="Verdana"/>
          <w:color w:val="0000FF"/>
          <w:u w:val="single"/>
        </w:rPr>
      </w:pPr>
      <w:r w:rsidRPr="0062491B">
        <w:rPr>
          <w:rFonts w:ascii="Verdana" w:hAnsi="Verdana"/>
        </w:rPr>
        <w:t xml:space="preserve">Instagram: </w:t>
      </w:r>
      <w:r w:rsidRPr="0062491B">
        <w:rPr>
          <w:rStyle w:val="Hipervnculo"/>
          <w:rFonts w:ascii="Verdana" w:hAnsi="Verdana"/>
        </w:rPr>
        <w:t>@colombiacompraeficiente_cce</w:t>
      </w:r>
    </w:p>
    <w:p w14:paraId="591E466C" w14:textId="77777777" w:rsidR="00BE1B56" w:rsidRPr="0062491B" w:rsidRDefault="00BE1B56" w:rsidP="00BE1B56">
      <w:pPr>
        <w:spacing w:after="0" w:line="276" w:lineRule="auto"/>
        <w:jc w:val="both"/>
        <w:rPr>
          <w:rFonts w:ascii="Verdana" w:eastAsia="Calibri" w:hAnsi="Verdana" w:cs="Times New Roman"/>
          <w:bCs/>
        </w:rPr>
      </w:pPr>
      <w:r w:rsidRPr="0062491B">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9807F03" w14:textId="77777777" w:rsidR="00BE1B56" w:rsidRPr="0062491B" w:rsidRDefault="00BE1B56" w:rsidP="00BE1B56">
      <w:pPr>
        <w:spacing w:after="0" w:line="276" w:lineRule="auto"/>
        <w:jc w:val="both"/>
        <w:rPr>
          <w:rFonts w:ascii="Verdana" w:eastAsia="Calibri" w:hAnsi="Verdana" w:cs="Times New Roman"/>
        </w:rPr>
      </w:pPr>
    </w:p>
    <w:p w14:paraId="519597DD" w14:textId="77777777" w:rsidR="00BE1B56" w:rsidRPr="0062491B" w:rsidRDefault="00BE1B56" w:rsidP="00BE1B56">
      <w:pPr>
        <w:widowControl w:val="0"/>
        <w:autoSpaceDE w:val="0"/>
        <w:autoSpaceDN w:val="0"/>
        <w:spacing w:line="276" w:lineRule="auto"/>
        <w:jc w:val="both"/>
        <w:rPr>
          <w:rStyle w:val="normaltextrun"/>
          <w:rFonts w:ascii="Verdana" w:hAnsi="Verdana" w:cs="Arial"/>
          <w:color w:val="FF0000"/>
          <w:shd w:val="clear" w:color="auto" w:fill="FFFFFF"/>
          <w:lang w:val="es-ES"/>
        </w:rPr>
      </w:pPr>
      <w:r w:rsidRPr="0062491B">
        <w:rPr>
          <w:rFonts w:ascii="Verdana" w:eastAsia="Calibri" w:hAnsi="Verdana" w:cs="Times New Roman"/>
        </w:rPr>
        <w:t>Atentamente,</w:t>
      </w:r>
    </w:p>
    <w:p w14:paraId="679283A8" w14:textId="019BF63A" w:rsidR="00BC03FA" w:rsidRPr="00BC03FA" w:rsidRDefault="00BC03FA" w:rsidP="00BC03FA">
      <w:pPr>
        <w:spacing w:after="0" w:line="276" w:lineRule="auto"/>
        <w:jc w:val="center"/>
        <w:rPr>
          <w:rFonts w:ascii="Verdana" w:eastAsia="Times New Roman" w:hAnsi="Verdana" w:cs="Arial"/>
          <w:lang w:eastAsia="es-CO"/>
        </w:rPr>
      </w:pPr>
      <w:r w:rsidRPr="00BC03FA">
        <w:rPr>
          <w:rFonts w:ascii="Verdana" w:eastAsia="Times New Roman" w:hAnsi="Verdana" w:cs="Arial"/>
          <w:lang w:eastAsia="es-CO"/>
        </w:rPr>
        <w:drawing>
          <wp:inline distT="0" distB="0" distL="0" distR="0" wp14:anchorId="7F6883BA" wp14:editId="67E2C492">
            <wp:extent cx="3771900" cy="1400175"/>
            <wp:effectExtent l="0" t="0" r="0" b="9525"/>
            <wp:docPr id="192062187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72EFEA33" w14:textId="3C8488C9" w:rsidR="00BE1B56" w:rsidRPr="0062491B" w:rsidRDefault="00BE1B56" w:rsidP="00BE1B56">
      <w:pPr>
        <w:spacing w:after="0" w:line="276" w:lineRule="auto"/>
        <w:jc w:val="center"/>
        <w:rPr>
          <w:rFonts w:ascii="Verdana" w:eastAsia="Times New Roman" w:hAnsi="Verdana" w:cs="Arial"/>
          <w:lang w:eastAsia="es-CO"/>
        </w:rPr>
      </w:pPr>
    </w:p>
    <w:p w14:paraId="78F89C76" w14:textId="77777777" w:rsidR="00BE1B56" w:rsidRPr="0062491B" w:rsidRDefault="00BE1B56" w:rsidP="00BE1B56">
      <w:pPr>
        <w:spacing w:after="0" w:line="276" w:lineRule="auto"/>
        <w:jc w:val="center"/>
        <w:rPr>
          <w:rFonts w:ascii="Verdana" w:eastAsia="Times New Roman" w:hAnsi="Verdana" w:cs="Arial"/>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E1B56" w:rsidRPr="00DA375E" w14:paraId="519F829F" w14:textId="77777777" w:rsidTr="009F7E40">
        <w:trPr>
          <w:trHeight w:val="315"/>
        </w:trPr>
        <w:tc>
          <w:tcPr>
            <w:tcW w:w="893" w:type="dxa"/>
            <w:vAlign w:val="center"/>
            <w:hideMark/>
          </w:tcPr>
          <w:p w14:paraId="3E245D33" w14:textId="77777777" w:rsidR="00BE1B56" w:rsidRPr="00DA375E" w:rsidRDefault="00BE1B56" w:rsidP="009F7E40">
            <w:pPr>
              <w:spacing w:line="276" w:lineRule="auto"/>
              <w:rPr>
                <w:rFonts w:ascii="Verdana" w:eastAsia="Times New Roman" w:hAnsi="Verdana" w:cs="Arial"/>
                <w:color w:val="000000"/>
                <w:sz w:val="14"/>
                <w:szCs w:val="14"/>
                <w:lang w:eastAsia="es-ES"/>
              </w:rPr>
            </w:pPr>
            <w:r w:rsidRPr="00DA375E">
              <w:rPr>
                <w:rFonts w:ascii="Verdana" w:eastAsia="Times New Roman" w:hAnsi="Verdana" w:cs="Arial"/>
                <w:color w:val="000000"/>
                <w:sz w:val="14"/>
                <w:szCs w:val="14"/>
                <w:lang w:eastAsia="es-ES"/>
              </w:rPr>
              <w:t>Elaboró:</w:t>
            </w:r>
          </w:p>
        </w:tc>
        <w:tc>
          <w:tcPr>
            <w:tcW w:w="5628" w:type="dxa"/>
            <w:tcBorders>
              <w:top w:val="nil"/>
              <w:left w:val="nil"/>
              <w:bottom w:val="dotted" w:sz="4" w:space="0" w:color="7F7F7F"/>
              <w:right w:val="nil"/>
            </w:tcBorders>
            <w:vAlign w:val="center"/>
            <w:hideMark/>
          </w:tcPr>
          <w:p w14:paraId="1418530F" w14:textId="77777777" w:rsidR="00BE1B56" w:rsidRPr="00DA375E" w:rsidRDefault="00BE1B56" w:rsidP="009F7E40">
            <w:pPr>
              <w:spacing w:line="276" w:lineRule="auto"/>
              <w:rPr>
                <w:rFonts w:ascii="Verdana" w:eastAsia="Arial" w:hAnsi="Verdana" w:cs="Arial"/>
                <w:color w:val="000000"/>
                <w:sz w:val="14"/>
                <w:szCs w:val="14"/>
              </w:rPr>
            </w:pPr>
            <w:r w:rsidRPr="00DA375E">
              <w:rPr>
                <w:rFonts w:ascii="Verdana" w:eastAsia="Arial" w:hAnsi="Verdana" w:cs="Arial"/>
                <w:color w:val="000000"/>
                <w:sz w:val="14"/>
                <w:szCs w:val="14"/>
              </w:rPr>
              <w:t>Ángela María Olmos Andrade</w:t>
            </w:r>
          </w:p>
          <w:p w14:paraId="04371EA6" w14:textId="77777777" w:rsidR="00BE1B56" w:rsidRPr="00DA375E" w:rsidRDefault="00BE1B56" w:rsidP="009F7E40">
            <w:pPr>
              <w:spacing w:line="276" w:lineRule="auto"/>
              <w:rPr>
                <w:rFonts w:ascii="Verdana" w:eastAsia="Arial" w:hAnsi="Verdana" w:cs="Arial"/>
                <w:color w:val="000000"/>
                <w:sz w:val="14"/>
                <w:szCs w:val="14"/>
              </w:rPr>
            </w:pPr>
            <w:r w:rsidRPr="00DA375E">
              <w:rPr>
                <w:rFonts w:ascii="Verdana" w:eastAsia="Arial" w:hAnsi="Verdana" w:cs="Arial"/>
                <w:color w:val="000000"/>
                <w:sz w:val="14"/>
                <w:szCs w:val="14"/>
              </w:rPr>
              <w:t>Analista T2 - 02 de la Subdirección de Gestión Contractual</w:t>
            </w:r>
          </w:p>
        </w:tc>
      </w:tr>
      <w:tr w:rsidR="00BE1B56" w:rsidRPr="00DA375E" w14:paraId="58AC5864" w14:textId="77777777" w:rsidTr="009F7E40">
        <w:trPr>
          <w:trHeight w:val="330"/>
        </w:trPr>
        <w:tc>
          <w:tcPr>
            <w:tcW w:w="893" w:type="dxa"/>
            <w:vAlign w:val="center"/>
            <w:hideMark/>
          </w:tcPr>
          <w:p w14:paraId="6F62F011" w14:textId="77777777" w:rsidR="00BE1B56" w:rsidRPr="00DA375E" w:rsidRDefault="00BE1B56" w:rsidP="009F7E40">
            <w:pPr>
              <w:spacing w:line="276" w:lineRule="auto"/>
              <w:rPr>
                <w:rFonts w:ascii="Verdana" w:eastAsia="Times New Roman" w:hAnsi="Verdana" w:cs="Arial"/>
                <w:color w:val="000000"/>
                <w:sz w:val="14"/>
                <w:szCs w:val="14"/>
                <w:lang w:eastAsia="es-ES"/>
              </w:rPr>
            </w:pPr>
            <w:r w:rsidRPr="00DA375E">
              <w:rPr>
                <w:rFonts w:ascii="Verdana" w:eastAsia="Times New Roman" w:hAnsi="Verdana" w:cs="Arial"/>
                <w:color w:val="000000"/>
                <w:sz w:val="14"/>
                <w:szCs w:val="14"/>
                <w:lang w:eastAsia="es-ES"/>
              </w:rPr>
              <w:t>Revisó:</w:t>
            </w:r>
          </w:p>
        </w:tc>
        <w:tc>
          <w:tcPr>
            <w:tcW w:w="5628" w:type="dxa"/>
            <w:tcBorders>
              <w:top w:val="dotted" w:sz="4" w:space="0" w:color="7F7F7F"/>
              <w:left w:val="nil"/>
              <w:bottom w:val="dotted" w:sz="4" w:space="0" w:color="7F7F7F"/>
              <w:right w:val="nil"/>
            </w:tcBorders>
            <w:vAlign w:val="center"/>
            <w:hideMark/>
          </w:tcPr>
          <w:p w14:paraId="41A0A201" w14:textId="202071AE" w:rsidR="00BE1B56" w:rsidRPr="00DA375E" w:rsidRDefault="00BE1B56" w:rsidP="009F7E40">
            <w:pPr>
              <w:spacing w:line="276" w:lineRule="auto"/>
              <w:rPr>
                <w:rFonts w:ascii="Verdana" w:eastAsia="Times New Roman" w:hAnsi="Verdana" w:cs="Arial"/>
                <w:color w:val="000000"/>
                <w:sz w:val="14"/>
                <w:szCs w:val="14"/>
              </w:rPr>
            </w:pPr>
            <w:r w:rsidRPr="00DA375E">
              <w:rPr>
                <w:rFonts w:ascii="Verdana" w:eastAsia="Times New Roman" w:hAnsi="Verdana" w:cs="Arial"/>
                <w:color w:val="000000"/>
                <w:sz w:val="14"/>
                <w:szCs w:val="14"/>
              </w:rPr>
              <w:t xml:space="preserve">Juan David </w:t>
            </w:r>
            <w:r w:rsidR="00FC40C7" w:rsidRPr="00DA375E">
              <w:rPr>
                <w:rFonts w:ascii="Verdana" w:eastAsia="Times New Roman" w:hAnsi="Verdana" w:cs="Arial"/>
                <w:color w:val="000000"/>
                <w:sz w:val="14"/>
                <w:szCs w:val="14"/>
              </w:rPr>
              <w:t>Cárdenas Cabeza</w:t>
            </w:r>
            <w:r w:rsidRPr="00DA375E">
              <w:rPr>
                <w:rFonts w:ascii="Verdana" w:eastAsia="Times New Roman" w:hAnsi="Verdana" w:cs="Arial"/>
                <w:color w:val="000000"/>
                <w:sz w:val="14"/>
                <w:szCs w:val="14"/>
              </w:rPr>
              <w:t xml:space="preserve"> </w:t>
            </w:r>
          </w:p>
          <w:p w14:paraId="4A73D482" w14:textId="77777777" w:rsidR="00BE1B56" w:rsidRPr="00DA375E" w:rsidRDefault="00BE1B56" w:rsidP="009F7E40">
            <w:pPr>
              <w:spacing w:line="276" w:lineRule="auto"/>
              <w:textAlignment w:val="baseline"/>
              <w:rPr>
                <w:rFonts w:ascii="Verdana" w:eastAsia="Times New Roman" w:hAnsi="Verdana" w:cs="Arial"/>
                <w:color w:val="000000"/>
                <w:sz w:val="14"/>
                <w:szCs w:val="14"/>
              </w:rPr>
            </w:pPr>
            <w:r w:rsidRPr="00DA375E">
              <w:rPr>
                <w:rFonts w:ascii="Verdana" w:eastAsia="Times New Roman" w:hAnsi="Verdana" w:cs="Arial"/>
                <w:color w:val="000000"/>
                <w:sz w:val="14"/>
                <w:szCs w:val="14"/>
              </w:rPr>
              <w:t>Contratista de la Subdirección de Gestión Contractual</w:t>
            </w:r>
          </w:p>
        </w:tc>
      </w:tr>
      <w:tr w:rsidR="00BE1B56" w:rsidRPr="00DA375E" w14:paraId="63D74A41" w14:textId="77777777" w:rsidTr="009F7E40">
        <w:trPr>
          <w:trHeight w:val="300"/>
        </w:trPr>
        <w:tc>
          <w:tcPr>
            <w:tcW w:w="893" w:type="dxa"/>
            <w:vAlign w:val="center"/>
            <w:hideMark/>
          </w:tcPr>
          <w:p w14:paraId="66C7D402" w14:textId="77777777" w:rsidR="00BE1B56" w:rsidRPr="00DA375E" w:rsidRDefault="00BE1B56" w:rsidP="009F7E40">
            <w:pPr>
              <w:spacing w:line="276" w:lineRule="auto"/>
              <w:rPr>
                <w:rFonts w:ascii="Verdana" w:eastAsia="Times New Roman" w:hAnsi="Verdana" w:cs="Arial"/>
                <w:color w:val="000000"/>
                <w:sz w:val="14"/>
                <w:szCs w:val="14"/>
                <w:lang w:eastAsia="es-ES"/>
              </w:rPr>
            </w:pPr>
            <w:r w:rsidRPr="00DA375E">
              <w:rPr>
                <w:rFonts w:ascii="Verdana" w:eastAsia="Times New Roman" w:hAnsi="Verdana" w:cs="Arial"/>
                <w:color w:val="000000"/>
                <w:sz w:val="14"/>
                <w:szCs w:val="14"/>
                <w:lang w:eastAsia="es-ES"/>
              </w:rPr>
              <w:t>Aprobó:</w:t>
            </w:r>
          </w:p>
        </w:tc>
        <w:tc>
          <w:tcPr>
            <w:tcW w:w="5628" w:type="dxa"/>
            <w:tcBorders>
              <w:top w:val="dotted" w:sz="4" w:space="0" w:color="7F7F7F"/>
              <w:left w:val="nil"/>
              <w:bottom w:val="dotted" w:sz="4" w:space="0" w:color="7F7F7F"/>
              <w:right w:val="nil"/>
            </w:tcBorders>
            <w:vAlign w:val="center"/>
            <w:hideMark/>
          </w:tcPr>
          <w:p w14:paraId="1B1D4F35" w14:textId="77777777" w:rsidR="00BE1B56" w:rsidRPr="00DA375E" w:rsidRDefault="00BE1B56" w:rsidP="009F7E40">
            <w:pPr>
              <w:spacing w:line="276" w:lineRule="auto"/>
              <w:rPr>
                <w:rFonts w:ascii="Verdana" w:eastAsia="Times New Roman" w:hAnsi="Verdana" w:cs="Arial"/>
                <w:color w:val="000000"/>
                <w:sz w:val="14"/>
                <w:szCs w:val="14"/>
              </w:rPr>
            </w:pPr>
            <w:r w:rsidRPr="00DA375E">
              <w:rPr>
                <w:rFonts w:ascii="Verdana" w:eastAsia="Times New Roman" w:hAnsi="Verdana" w:cs="Arial"/>
                <w:color w:val="000000"/>
                <w:sz w:val="14"/>
                <w:szCs w:val="14"/>
              </w:rPr>
              <w:t>Carolina Quintero Gacharná</w:t>
            </w:r>
          </w:p>
          <w:p w14:paraId="4E746F1B" w14:textId="77777777" w:rsidR="00BE1B56" w:rsidRPr="00DA375E" w:rsidRDefault="00BE1B56" w:rsidP="009F7E40">
            <w:pPr>
              <w:spacing w:line="276" w:lineRule="auto"/>
              <w:rPr>
                <w:rFonts w:ascii="Verdana" w:eastAsia="Times New Roman" w:hAnsi="Verdana" w:cs="Arial"/>
                <w:color w:val="000000"/>
                <w:sz w:val="14"/>
                <w:szCs w:val="14"/>
              </w:rPr>
            </w:pPr>
            <w:r w:rsidRPr="00DA375E">
              <w:rPr>
                <w:rFonts w:ascii="Verdana" w:eastAsia="Times New Roman" w:hAnsi="Verdana" w:cs="Arial"/>
                <w:color w:val="000000"/>
                <w:sz w:val="14"/>
                <w:szCs w:val="14"/>
              </w:rPr>
              <w:t>Subdirectora de Gestión Contractual ANCP – CCE</w:t>
            </w:r>
          </w:p>
        </w:tc>
      </w:tr>
      <w:tr w:rsidR="00BE1B56" w:rsidRPr="00DA375E" w14:paraId="6D82A67D" w14:textId="77777777" w:rsidTr="009F7E40">
        <w:trPr>
          <w:trHeight w:val="300"/>
        </w:trPr>
        <w:tc>
          <w:tcPr>
            <w:tcW w:w="893" w:type="dxa"/>
            <w:vAlign w:val="center"/>
          </w:tcPr>
          <w:p w14:paraId="55488B95" w14:textId="77777777" w:rsidR="00BE1B56" w:rsidRPr="00DA375E" w:rsidRDefault="00BE1B56" w:rsidP="009F7E40">
            <w:pPr>
              <w:spacing w:line="276" w:lineRule="auto"/>
              <w:rPr>
                <w:rFonts w:ascii="Verdana" w:eastAsia="Times New Roman" w:hAnsi="Verdana" w:cs="Arial"/>
                <w:color w:val="000000"/>
                <w:sz w:val="14"/>
                <w:szCs w:val="14"/>
                <w:lang w:eastAsia="es-ES"/>
              </w:rPr>
            </w:pPr>
          </w:p>
        </w:tc>
        <w:tc>
          <w:tcPr>
            <w:tcW w:w="5628" w:type="dxa"/>
            <w:tcBorders>
              <w:top w:val="dotted" w:sz="4" w:space="0" w:color="7F7F7F"/>
              <w:left w:val="nil"/>
              <w:bottom w:val="dotted" w:sz="4" w:space="0" w:color="7F7F7F"/>
              <w:right w:val="nil"/>
            </w:tcBorders>
            <w:vAlign w:val="center"/>
          </w:tcPr>
          <w:p w14:paraId="5B1FC984" w14:textId="77777777" w:rsidR="00BE1B56" w:rsidRPr="00DA375E" w:rsidRDefault="00BE1B56" w:rsidP="009F7E40">
            <w:pPr>
              <w:spacing w:line="276" w:lineRule="auto"/>
              <w:rPr>
                <w:rFonts w:ascii="Verdana" w:eastAsia="Times New Roman" w:hAnsi="Verdana" w:cs="Arial"/>
                <w:color w:val="000000"/>
                <w:sz w:val="14"/>
                <w:szCs w:val="14"/>
              </w:rPr>
            </w:pPr>
          </w:p>
        </w:tc>
      </w:tr>
    </w:tbl>
    <w:p w14:paraId="483A0BEF" w14:textId="78A2695E" w:rsidR="00BE1B56" w:rsidRPr="0062491B" w:rsidRDefault="00BE1B56" w:rsidP="00BE1B56">
      <w:pPr>
        <w:spacing w:after="0"/>
        <w:rPr>
          <w:rFonts w:ascii="Verdana" w:eastAsia="Verdana" w:hAnsi="Verdana" w:cs="Verdana"/>
        </w:rPr>
      </w:pPr>
    </w:p>
    <w:p w14:paraId="75E8B9D8" w14:textId="77777777" w:rsidR="00BE1B56" w:rsidRPr="0062491B" w:rsidRDefault="00BE1B56" w:rsidP="00BE1B56">
      <w:pPr>
        <w:spacing w:after="0" w:line="240" w:lineRule="auto"/>
        <w:jc w:val="both"/>
        <w:rPr>
          <w:rFonts w:ascii="Verdana" w:eastAsia="Verdana" w:hAnsi="Verdana" w:cs="Verdana"/>
          <w:b/>
          <w:bCs/>
          <w:lang w:val="es-MX"/>
        </w:rPr>
      </w:pPr>
    </w:p>
    <w:p w14:paraId="33FA592E" w14:textId="77777777" w:rsidR="00BE1B56" w:rsidRPr="0062491B" w:rsidRDefault="00BE1B56" w:rsidP="00BE1B56">
      <w:pPr>
        <w:spacing w:after="0" w:line="240" w:lineRule="auto"/>
        <w:jc w:val="both"/>
        <w:textAlignment w:val="baseline"/>
        <w:rPr>
          <w:rFonts w:ascii="Verdana" w:eastAsia="Verdana" w:hAnsi="Verdana" w:cs="Verdana"/>
          <w:lang w:eastAsia="es-CO"/>
        </w:rPr>
      </w:pPr>
    </w:p>
    <w:sectPr w:rsidR="00BE1B56" w:rsidRPr="0062491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DD33B7" w14:textId="77777777" w:rsidR="00B32BB3" w:rsidRDefault="00B32BB3" w:rsidP="004A1847">
      <w:pPr>
        <w:spacing w:after="0" w:line="240" w:lineRule="auto"/>
      </w:pPr>
      <w:r>
        <w:separator/>
      </w:r>
    </w:p>
  </w:endnote>
  <w:endnote w:type="continuationSeparator" w:id="0">
    <w:p w14:paraId="0A593829" w14:textId="77777777" w:rsidR="00B32BB3" w:rsidRDefault="00B32BB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611AC" w14:textId="77777777" w:rsidR="00B32BB3" w:rsidRDefault="00B32BB3" w:rsidP="004A1847">
      <w:pPr>
        <w:spacing w:after="0" w:line="240" w:lineRule="auto"/>
      </w:pPr>
      <w:r>
        <w:separator/>
      </w:r>
    </w:p>
  </w:footnote>
  <w:footnote w:type="continuationSeparator" w:id="0">
    <w:p w14:paraId="59FDB6AF" w14:textId="77777777" w:rsidR="00B32BB3" w:rsidRDefault="00B32BB3" w:rsidP="004A1847">
      <w:pPr>
        <w:spacing w:after="0" w:line="240" w:lineRule="auto"/>
      </w:pPr>
      <w:r>
        <w:continuationSeparator/>
      </w:r>
    </w:p>
  </w:footnote>
  <w:footnote w:id="1">
    <w:p w14:paraId="791D840D" w14:textId="77777777" w:rsidR="000A3A00" w:rsidRDefault="000A3A00" w:rsidP="000A3A00">
      <w:pPr>
        <w:pStyle w:val="Textonotapie"/>
        <w:rPr>
          <w:lang w:val="es-CO"/>
        </w:rPr>
      </w:pPr>
      <w:r>
        <w:rPr>
          <w:rStyle w:val="Refdenotaalpie"/>
        </w:rPr>
        <w:footnoteRef/>
      </w:r>
      <w:r>
        <w:t xml:space="preserve"> </w:t>
      </w:r>
      <w:r>
        <w:rPr>
          <w:rFonts w:ascii="Verdana" w:hAnsi="Verdana"/>
          <w:sz w:val="16"/>
          <w:szCs w:val="16"/>
        </w:rPr>
        <w:t xml:space="preserve">Se puede acceder a la Guía mencionada en el siguiente link: </w:t>
      </w:r>
      <w:hyperlink r:id="rId1" w:history="1">
        <w:r>
          <w:rPr>
            <w:rStyle w:val="Hipervnculo"/>
            <w:rFonts w:ascii="Verdana" w:hAnsi="Verdana"/>
            <w:sz w:val="16"/>
            <w:szCs w:val="16"/>
          </w:rPr>
          <w:t>https://www.colombiacompra.gov.co/sites/cce_public/files/cce_documents/guia_para_promover_la_participacion_de_las_mipymes_en_los_procesos_de_compra_publica_cce-gad-gi-26_1.pdf</w:t>
        </w:r>
      </w:hyperlink>
    </w:p>
  </w:footnote>
  <w:footnote w:id="2">
    <w:p w14:paraId="1A943FA7" w14:textId="77777777" w:rsidR="00F079F6" w:rsidRDefault="00F079F6" w:rsidP="00F079F6">
      <w:pPr>
        <w:pStyle w:val="Textonotapie"/>
        <w:ind w:firstLine="708"/>
        <w:jc w:val="both"/>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w:t>
      </w:r>
      <w:r>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Pr>
          <w:rFonts w:ascii="Verdana" w:hAnsi="Verdana"/>
          <w:i/>
          <w:iCs/>
          <w:sz w:val="16"/>
          <w:szCs w:val="16"/>
          <w:lang w:val="es-ES"/>
        </w:rPr>
        <w:t>Ubi lex non distinguit nec nos distinguere debemus</w:t>
      </w:r>
      <w:r>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445AADB4" w14:textId="77777777" w:rsidR="00F079F6" w:rsidRDefault="00F079F6" w:rsidP="00F079F6">
      <w:pPr>
        <w:pStyle w:val="Textonotapie"/>
        <w:ind w:firstLine="708"/>
        <w:jc w:val="both"/>
        <w:rPr>
          <w:rFonts w:ascii="Verdana" w:hAnsi="Verdana"/>
          <w:sz w:val="16"/>
          <w:szCs w:val="16"/>
          <w:lang w:val="es-CO"/>
        </w:rPr>
      </w:pPr>
      <w:r>
        <w:rPr>
          <w:rFonts w:ascii="Verdana" w:hAnsi="Verdana"/>
          <w:sz w:val="16"/>
          <w:szCs w:val="16"/>
          <w:lang w:val="es-ES"/>
        </w:rPr>
        <w:t xml:space="preserve">En el derecho antiguo y en el derecho canónico se distinguían las leyes en favorables y odiosas, para ampliar o restringir su interpretación. </w:t>
      </w:r>
      <w:r>
        <w:rPr>
          <w:rFonts w:ascii="Verdana" w:hAnsi="Verdana"/>
          <w:i/>
          <w:iCs/>
          <w:sz w:val="16"/>
          <w:szCs w:val="16"/>
          <w:lang w:val="es-ES"/>
        </w:rPr>
        <w:t>Odia restringí et favores convenit ampliari</w:t>
      </w:r>
      <w:r>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Pr>
          <w:rFonts w:ascii="Verdana" w:hAnsi="Verdana"/>
          <w:sz w:val="16"/>
          <w:szCs w:val="16"/>
        </w:rPr>
        <w:t>CLARO SOLAR, Luis. Explicaciones de derecho civil chileno y comparado. Volumen I. Tomo I. Santiago: Editorial Jurídica de Chile, 2013. p. 119. Énfasis dentro del texto).</w:t>
      </w:r>
    </w:p>
  </w:footnote>
  <w:footnote w:id="3">
    <w:p w14:paraId="65C6A988" w14:textId="77777777" w:rsidR="00F079F6" w:rsidRDefault="00F079F6" w:rsidP="00F079F6">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Agencia Nacional de Contratación Pública – Colombia Compra Eficiente. Concepto C-045 del 17 de marzo de 2020. Radicado de salida No. 2202013000001974.</w:t>
      </w:r>
    </w:p>
  </w:footnote>
  <w:footnote w:id="4">
    <w:p w14:paraId="1162A9C4" w14:textId="77777777" w:rsidR="00F079F6" w:rsidRDefault="00F079F6" w:rsidP="00F079F6">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11177223" w14:textId="77777777" w:rsidR="00F079F6" w:rsidRDefault="00F079F6" w:rsidP="00F079F6">
      <w:pPr>
        <w:pStyle w:val="Textonotapie"/>
        <w:ind w:firstLine="708"/>
        <w:jc w:val="both"/>
        <w:rPr>
          <w:rFonts w:ascii="Verdana" w:hAnsi="Verdana"/>
          <w:sz w:val="16"/>
          <w:szCs w:val="16"/>
        </w:rPr>
      </w:pPr>
      <w:r>
        <w:rPr>
          <w:rFonts w:ascii="Verdana" w:hAnsi="Verdana"/>
          <w:sz w:val="16"/>
          <w:szCs w:val="16"/>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footnote>
  <w:footnote w:id="5">
    <w:p w14:paraId="4B826974" w14:textId="77777777" w:rsidR="00F079F6" w:rsidRDefault="00F079F6" w:rsidP="00F079F6">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Para estos efectos, la doctrina explica que “[…] la discrecionalidad hace referencia a una decisión o disposición administrativa adoptada dentro un margen de libre apreciación dejado por el ordenamiento jurídico (es decir, hay varias soluciones válidas en Derecho, entre las que la administración puede elegir libremente, aunque justificando su decisión). Cualquiera de las soluciones adoptadas dentro del ámbito de legítima discrecionalidad son igualmente admisibles en Derecho, y todas ellas tienen el mismo valor jurídico. Siempre que no desborde el ámbito de discrecionalidad, la Administración puede decidir utilizando criterios de conveniencia u oportunidad (por lo que la discrecionalidad es la puerta de entrada en la pirámide del ordenamiento de consideraciones de política administrativa o de carácter metajurídico)” (BLANQUER, David. Derecho administrativo: el fin, los medios y el control. Tomo I. Valencia: Tirant lo Blanch, 2010. p. 191).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BEE3789"/>
    <w:multiLevelType w:val="hybridMultilevel"/>
    <w:tmpl w:val="70469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EE271B"/>
    <w:multiLevelType w:val="hybridMultilevel"/>
    <w:tmpl w:val="C2C487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3C6C326F"/>
    <w:multiLevelType w:val="hybridMultilevel"/>
    <w:tmpl w:val="23A835FC"/>
    <w:lvl w:ilvl="0" w:tplc="12F8FFB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44831764">
    <w:abstractNumId w:val="7"/>
  </w:num>
  <w:num w:numId="2" w16cid:durableId="23407164">
    <w:abstractNumId w:val="1"/>
  </w:num>
  <w:num w:numId="3" w16cid:durableId="632639520">
    <w:abstractNumId w:val="5"/>
  </w:num>
  <w:num w:numId="4" w16cid:durableId="12293467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43505963">
    <w:abstractNumId w:val="1"/>
  </w:num>
  <w:num w:numId="6" w16cid:durableId="1953590990">
    <w:abstractNumId w:val="15"/>
  </w:num>
  <w:num w:numId="7" w16cid:durableId="708454258">
    <w:abstractNumId w:val="6"/>
  </w:num>
  <w:num w:numId="8" w16cid:durableId="405885001">
    <w:abstractNumId w:val="14"/>
  </w:num>
  <w:num w:numId="9" w16cid:durableId="2143617027">
    <w:abstractNumId w:val="8"/>
  </w:num>
  <w:num w:numId="10" w16cid:durableId="1366325677">
    <w:abstractNumId w:val="13"/>
  </w:num>
  <w:num w:numId="11" w16cid:durableId="1719671752">
    <w:abstractNumId w:val="9"/>
  </w:num>
  <w:num w:numId="12" w16cid:durableId="2108649056">
    <w:abstractNumId w:val="0"/>
  </w:num>
  <w:num w:numId="13" w16cid:durableId="2017924257">
    <w:abstractNumId w:val="3"/>
  </w:num>
  <w:num w:numId="14" w16cid:durableId="83495199">
    <w:abstractNumId w:val="16"/>
  </w:num>
  <w:num w:numId="15" w16cid:durableId="297415290">
    <w:abstractNumId w:val="12"/>
  </w:num>
  <w:num w:numId="16" w16cid:durableId="1819809630">
    <w:abstractNumId w:val="11"/>
  </w:num>
  <w:num w:numId="17" w16cid:durableId="1620602952">
    <w:abstractNumId w:val="2"/>
  </w:num>
  <w:num w:numId="18" w16cid:durableId="1732582337">
    <w:abstractNumId w:val="10"/>
  </w:num>
  <w:num w:numId="19" w16cid:durableId="4343262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3A00"/>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6CE6"/>
    <w:rsid w:val="003448F4"/>
    <w:rsid w:val="00374F5E"/>
    <w:rsid w:val="00377E3E"/>
    <w:rsid w:val="0038046B"/>
    <w:rsid w:val="003A779E"/>
    <w:rsid w:val="003D0F4D"/>
    <w:rsid w:val="003D5B0D"/>
    <w:rsid w:val="003E0499"/>
    <w:rsid w:val="003E4F80"/>
    <w:rsid w:val="003E6439"/>
    <w:rsid w:val="003F3941"/>
    <w:rsid w:val="00406575"/>
    <w:rsid w:val="00414C74"/>
    <w:rsid w:val="0042722E"/>
    <w:rsid w:val="0044528D"/>
    <w:rsid w:val="00466E39"/>
    <w:rsid w:val="004839AE"/>
    <w:rsid w:val="004A1847"/>
    <w:rsid w:val="004A305D"/>
    <w:rsid w:val="004D61A0"/>
    <w:rsid w:val="004F21C4"/>
    <w:rsid w:val="004F685F"/>
    <w:rsid w:val="005566E8"/>
    <w:rsid w:val="00574867"/>
    <w:rsid w:val="00591460"/>
    <w:rsid w:val="005A65E0"/>
    <w:rsid w:val="005C3777"/>
    <w:rsid w:val="005C5CDC"/>
    <w:rsid w:val="005D476C"/>
    <w:rsid w:val="006200BF"/>
    <w:rsid w:val="006219F8"/>
    <w:rsid w:val="0062491B"/>
    <w:rsid w:val="006302F7"/>
    <w:rsid w:val="00646B9F"/>
    <w:rsid w:val="006637CF"/>
    <w:rsid w:val="00665D70"/>
    <w:rsid w:val="006900D9"/>
    <w:rsid w:val="006E6A28"/>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20AF"/>
    <w:rsid w:val="008A446D"/>
    <w:rsid w:val="008B25F1"/>
    <w:rsid w:val="008D12A3"/>
    <w:rsid w:val="008D180B"/>
    <w:rsid w:val="008F0EA7"/>
    <w:rsid w:val="00923EEF"/>
    <w:rsid w:val="009419F9"/>
    <w:rsid w:val="0095685E"/>
    <w:rsid w:val="00961B09"/>
    <w:rsid w:val="00965334"/>
    <w:rsid w:val="0097093E"/>
    <w:rsid w:val="009744AA"/>
    <w:rsid w:val="009A0DFA"/>
    <w:rsid w:val="009A1C6F"/>
    <w:rsid w:val="009B2D26"/>
    <w:rsid w:val="009C71FA"/>
    <w:rsid w:val="009C72E7"/>
    <w:rsid w:val="009C7F7E"/>
    <w:rsid w:val="009D3058"/>
    <w:rsid w:val="009F3A13"/>
    <w:rsid w:val="00A10AB5"/>
    <w:rsid w:val="00A122D3"/>
    <w:rsid w:val="00A14468"/>
    <w:rsid w:val="00A17F13"/>
    <w:rsid w:val="00A20739"/>
    <w:rsid w:val="00A23AF9"/>
    <w:rsid w:val="00A33C78"/>
    <w:rsid w:val="00AB0ADB"/>
    <w:rsid w:val="00AC4BA8"/>
    <w:rsid w:val="00B00C0E"/>
    <w:rsid w:val="00B01B1A"/>
    <w:rsid w:val="00B0381D"/>
    <w:rsid w:val="00B32BB3"/>
    <w:rsid w:val="00B44A47"/>
    <w:rsid w:val="00B72CD3"/>
    <w:rsid w:val="00B72FFF"/>
    <w:rsid w:val="00B7671B"/>
    <w:rsid w:val="00BC03FA"/>
    <w:rsid w:val="00BC3D36"/>
    <w:rsid w:val="00BC4964"/>
    <w:rsid w:val="00BD54A6"/>
    <w:rsid w:val="00BD7F72"/>
    <w:rsid w:val="00BE1B56"/>
    <w:rsid w:val="00BF7425"/>
    <w:rsid w:val="00C04FB3"/>
    <w:rsid w:val="00C11D8B"/>
    <w:rsid w:val="00C15139"/>
    <w:rsid w:val="00C330EB"/>
    <w:rsid w:val="00C50D69"/>
    <w:rsid w:val="00C5365C"/>
    <w:rsid w:val="00C754BE"/>
    <w:rsid w:val="00C76B1C"/>
    <w:rsid w:val="00C925AC"/>
    <w:rsid w:val="00CB6357"/>
    <w:rsid w:val="00CC1B26"/>
    <w:rsid w:val="00CE52BE"/>
    <w:rsid w:val="00D361FD"/>
    <w:rsid w:val="00D423A2"/>
    <w:rsid w:val="00D44E26"/>
    <w:rsid w:val="00D520D8"/>
    <w:rsid w:val="00D63AC2"/>
    <w:rsid w:val="00D7383B"/>
    <w:rsid w:val="00D7788A"/>
    <w:rsid w:val="00DA231B"/>
    <w:rsid w:val="00DA375E"/>
    <w:rsid w:val="00DC39FC"/>
    <w:rsid w:val="00DF3F07"/>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79F6"/>
    <w:rsid w:val="00F23FEA"/>
    <w:rsid w:val="00F31EDC"/>
    <w:rsid w:val="00F462B3"/>
    <w:rsid w:val="00F5664F"/>
    <w:rsid w:val="00F666C4"/>
    <w:rsid w:val="00F76AFC"/>
    <w:rsid w:val="00FA47C0"/>
    <w:rsid w:val="00FB5DD1"/>
    <w:rsid w:val="00FC2B5D"/>
    <w:rsid w:val="00FC40C7"/>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E1B5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E1B56"/>
    <w:rPr>
      <w:rFonts w:ascii="Geomanist Light" w:hAnsi="Geomanist Light"/>
      <w:lang w:val="es-ES"/>
    </w:rPr>
  </w:style>
  <w:style w:type="character" w:customStyle="1" w:styleId="NormalWebCar">
    <w:name w:val="Normal (Web) Car"/>
    <w:link w:val="NormalWeb"/>
    <w:uiPriority w:val="99"/>
    <w:locked/>
    <w:rsid w:val="00BE1B56"/>
    <w:rPr>
      <w:rFonts w:ascii="Times New Roman" w:eastAsia="Times New Roman" w:hAnsi="Times New Roman" w:cs="Times New Roman"/>
      <w:sz w:val="24"/>
      <w:szCs w:val="24"/>
      <w:lang w:eastAsia="es-CO"/>
    </w:rPr>
  </w:style>
  <w:style w:type="character" w:customStyle="1" w:styleId="baj">
    <w:name w:val="b_aj"/>
    <w:basedOn w:val="Fuentedeprrafopredeter"/>
    <w:rsid w:val="00BE1B56"/>
  </w:style>
  <w:style w:type="character" w:styleId="Fuerte">
    <w:name w:val="Strong"/>
    <w:basedOn w:val="Fuentedeprrafopredeter"/>
    <w:uiPriority w:val="22"/>
    <w:qFormat/>
    <w:rsid w:val="006637CF"/>
    <w:rPr>
      <w:b/>
      <w:bCs/>
    </w:rPr>
  </w:style>
  <w:style w:type="paragraph" w:styleId="Sinespaciado">
    <w:name w:val="No Spacing"/>
    <w:uiPriority w:val="1"/>
    <w:qFormat/>
    <w:rsid w:val="0062491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789101">
      <w:bodyDiv w:val="1"/>
      <w:marLeft w:val="0"/>
      <w:marRight w:val="0"/>
      <w:marTop w:val="0"/>
      <w:marBottom w:val="0"/>
      <w:divBdr>
        <w:top w:val="none" w:sz="0" w:space="0" w:color="auto"/>
        <w:left w:val="none" w:sz="0" w:space="0" w:color="auto"/>
        <w:bottom w:val="none" w:sz="0" w:space="0" w:color="auto"/>
        <w:right w:val="none" w:sz="0" w:space="0" w:color="auto"/>
      </w:divBdr>
    </w:div>
    <w:div w:id="605625742">
      <w:bodyDiv w:val="1"/>
      <w:marLeft w:val="0"/>
      <w:marRight w:val="0"/>
      <w:marTop w:val="0"/>
      <w:marBottom w:val="0"/>
      <w:divBdr>
        <w:top w:val="none" w:sz="0" w:space="0" w:color="auto"/>
        <w:left w:val="none" w:sz="0" w:space="0" w:color="auto"/>
        <w:bottom w:val="none" w:sz="0" w:space="0" w:color="auto"/>
        <w:right w:val="none" w:sz="0" w:space="0" w:color="auto"/>
      </w:divBdr>
    </w:div>
    <w:div w:id="61166882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28767865">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8620439">
      <w:bodyDiv w:val="1"/>
      <w:marLeft w:val="0"/>
      <w:marRight w:val="0"/>
      <w:marTop w:val="0"/>
      <w:marBottom w:val="0"/>
      <w:divBdr>
        <w:top w:val="none" w:sz="0" w:space="0" w:color="auto"/>
        <w:left w:val="none" w:sz="0" w:space="0" w:color="auto"/>
        <w:bottom w:val="none" w:sz="0" w:space="0" w:color="auto"/>
        <w:right w:val="none" w:sz="0" w:space="0" w:color="auto"/>
      </w:divBdr>
    </w:div>
    <w:div w:id="949629303">
      <w:bodyDiv w:val="1"/>
      <w:marLeft w:val="0"/>
      <w:marRight w:val="0"/>
      <w:marTop w:val="0"/>
      <w:marBottom w:val="0"/>
      <w:divBdr>
        <w:top w:val="none" w:sz="0" w:space="0" w:color="auto"/>
        <w:left w:val="none" w:sz="0" w:space="0" w:color="auto"/>
        <w:bottom w:val="none" w:sz="0" w:space="0" w:color="auto"/>
        <w:right w:val="none" w:sz="0" w:space="0" w:color="auto"/>
      </w:divBdr>
    </w:div>
    <w:div w:id="98751746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07737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55259920">
      <w:bodyDiv w:val="1"/>
      <w:marLeft w:val="0"/>
      <w:marRight w:val="0"/>
      <w:marTop w:val="0"/>
      <w:marBottom w:val="0"/>
      <w:divBdr>
        <w:top w:val="none" w:sz="0" w:space="0" w:color="auto"/>
        <w:left w:val="none" w:sz="0" w:space="0" w:color="auto"/>
        <w:bottom w:val="none" w:sz="0" w:space="0" w:color="auto"/>
        <w:right w:val="none" w:sz="0" w:space="0" w:color="auto"/>
      </w:divBdr>
    </w:div>
    <w:div w:id="1868907328">
      <w:bodyDiv w:val="1"/>
      <w:marLeft w:val="0"/>
      <w:marRight w:val="0"/>
      <w:marTop w:val="0"/>
      <w:marBottom w:val="0"/>
      <w:divBdr>
        <w:top w:val="none" w:sz="0" w:space="0" w:color="auto"/>
        <w:left w:val="none" w:sz="0" w:space="0" w:color="auto"/>
        <w:bottom w:val="none" w:sz="0" w:space="0" w:color="auto"/>
        <w:right w:val="none" w:sz="0" w:space="0" w:color="auto"/>
      </w:divBdr>
    </w:div>
    <w:div w:id="1924677501">
      <w:bodyDiv w:val="1"/>
      <w:marLeft w:val="0"/>
      <w:marRight w:val="0"/>
      <w:marTop w:val="0"/>
      <w:marBottom w:val="0"/>
      <w:divBdr>
        <w:top w:val="none" w:sz="0" w:space="0" w:color="auto"/>
        <w:left w:val="none" w:sz="0" w:space="0" w:color="auto"/>
        <w:bottom w:val="none" w:sz="0" w:space="0" w:color="auto"/>
        <w:right w:val="none" w:sz="0" w:space="0" w:color="auto"/>
      </w:divBdr>
    </w:div>
    <w:div w:id="199341037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sites/cce_public/files/cce_documents/guia_para_promover_la_participacion_de_las_mipymes_en_los_procesos_de_compra_publica_cce-gad-gi-26_1.pdf"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citaciones@marquezasociados.com.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guia_para_promover_la_participacion_de_las_mipymes_en_los_procesos_de_compra_publica_cce-gad-gi-26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574C492-28C5-49AA-9B66-77933702C129}"/>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19</Pages>
  <Words>6485</Words>
  <Characters>35673</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2</cp:revision>
  <cp:lastPrinted>2023-01-10T21:18:00Z</cp:lastPrinted>
  <dcterms:created xsi:type="dcterms:W3CDTF">2026-05-20T14:14:00Z</dcterms:created>
  <dcterms:modified xsi:type="dcterms:W3CDTF">2026-05-20T14:14:00Z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