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09E38" w14:textId="77777777" w:rsidR="00D34138" w:rsidRPr="00C4224D" w:rsidRDefault="00D34138" w:rsidP="00D34138">
      <w:pPr>
        <w:spacing w:after="0" w:line="240" w:lineRule="auto"/>
        <w:contextualSpacing/>
        <w:jc w:val="both"/>
        <w:rPr>
          <w:rFonts w:ascii="Verdana" w:eastAsia="Calibri" w:hAnsi="Verdana" w:cs="Arial"/>
          <w:b/>
          <w:lang w:val="es-MX"/>
        </w:rPr>
      </w:pPr>
      <w:r w:rsidRPr="00C4224D">
        <w:rPr>
          <w:rFonts w:ascii="Verdana" w:eastAsia="Calibri" w:hAnsi="Verdana" w:cs="Arial"/>
          <w:b/>
          <w:lang w:val="es-MX"/>
        </w:rPr>
        <w:t>PLIEGOS DE CONDICIONES – Naturaleza</w:t>
      </w:r>
    </w:p>
    <w:p w14:paraId="0292B652" w14:textId="77777777" w:rsidR="00D34138" w:rsidRPr="00C4224D" w:rsidRDefault="00D34138" w:rsidP="00D34138">
      <w:pPr>
        <w:spacing w:after="0" w:line="240" w:lineRule="auto"/>
        <w:contextualSpacing/>
        <w:jc w:val="both"/>
        <w:rPr>
          <w:rFonts w:ascii="Verdana" w:eastAsia="Calibri" w:hAnsi="Verdana" w:cs="Arial"/>
          <w:bCs/>
          <w:sz w:val="20"/>
          <w:szCs w:val="20"/>
          <w:lang w:val="es-MX"/>
        </w:rPr>
      </w:pPr>
    </w:p>
    <w:p w14:paraId="51691186" w14:textId="77777777" w:rsidR="00D34138" w:rsidRPr="00C4224D" w:rsidRDefault="00D34138" w:rsidP="00D34138">
      <w:pPr>
        <w:spacing w:after="0" w:line="240" w:lineRule="auto"/>
        <w:contextualSpacing/>
        <w:jc w:val="both"/>
        <w:rPr>
          <w:rFonts w:ascii="Verdana" w:eastAsia="Calibri" w:hAnsi="Verdana" w:cs="Arial"/>
          <w:color w:val="000000" w:themeColor="text1"/>
          <w:sz w:val="20"/>
          <w:szCs w:val="20"/>
        </w:rPr>
      </w:pPr>
      <w:r w:rsidRPr="00C4224D">
        <w:rPr>
          <w:rFonts w:ascii="Verdana" w:eastAsia="Calibri" w:hAnsi="Verdana" w:cs="Arial"/>
          <w:bCs/>
          <w:sz w:val="20"/>
          <w:szCs w:val="20"/>
          <w:lang w:val="es-MX"/>
        </w:rPr>
        <w:t xml:space="preserve">[…] </w:t>
      </w:r>
      <w:r w:rsidRPr="00C4224D">
        <w:rPr>
          <w:rFonts w:ascii="Verdana" w:eastAsia="Calibri" w:hAnsi="Verdana" w:cs="Arial"/>
          <w:color w:val="000000" w:themeColor="text1"/>
          <w:sz w:val="20"/>
          <w:szCs w:val="20"/>
        </w:rPr>
        <w:t xml:space="preserve">el Consejo de Estado ha determinado que el pliego de condiciones es ley para las partes, y en él se debe establecer la regulación del procedimiento de contratación, conforme a la ley, garantizando la selección objetiva del contratista.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C4224D">
        <w:rPr>
          <w:rFonts w:ascii="Verdana" w:eastAsia="Calibri" w:hAnsi="Verdana" w:cs="Arial"/>
          <w:color w:val="000000" w:themeColor="text1"/>
          <w:sz w:val="20"/>
          <w:szCs w:val="20"/>
        </w:rPr>
        <w:t>ii</w:t>
      </w:r>
      <w:proofErr w:type="spellEnd"/>
      <w:r w:rsidRPr="00C4224D">
        <w:rPr>
          <w:rFonts w:ascii="Verdana" w:eastAsia="Calibri" w:hAnsi="Verdana" w:cs="Arial"/>
          <w:color w:val="000000" w:themeColor="text1"/>
          <w:sz w:val="20"/>
          <w:szCs w:val="20"/>
        </w:rPr>
        <w:t xml:space="preserve">) modalidad y criterios de selección, </w:t>
      </w:r>
      <w:proofErr w:type="spellStart"/>
      <w:r w:rsidRPr="00C4224D">
        <w:rPr>
          <w:rFonts w:ascii="Verdana" w:eastAsia="Calibri" w:hAnsi="Verdana" w:cs="Arial"/>
          <w:color w:val="000000" w:themeColor="text1"/>
          <w:sz w:val="20"/>
          <w:szCs w:val="20"/>
        </w:rPr>
        <w:t>iii</w:t>
      </w:r>
      <w:proofErr w:type="spellEnd"/>
      <w:r w:rsidRPr="00C4224D">
        <w:rPr>
          <w:rFonts w:ascii="Verdana" w:eastAsia="Calibri" w:hAnsi="Verdana" w:cs="Arial"/>
          <w:color w:val="000000" w:themeColor="text1"/>
          <w:sz w:val="20"/>
          <w:szCs w:val="20"/>
        </w:rPr>
        <w:t xml:space="preserve">) valoración económica del bien, obra o servicio, </w:t>
      </w:r>
      <w:proofErr w:type="spellStart"/>
      <w:r w:rsidRPr="00C4224D">
        <w:rPr>
          <w:rFonts w:ascii="Verdana" w:eastAsia="Calibri" w:hAnsi="Verdana" w:cs="Arial"/>
          <w:color w:val="000000" w:themeColor="text1"/>
          <w:sz w:val="20"/>
          <w:szCs w:val="20"/>
        </w:rPr>
        <w:t>iv</w:t>
      </w:r>
      <w:proofErr w:type="spellEnd"/>
      <w:r w:rsidRPr="00C4224D">
        <w:rPr>
          <w:rFonts w:ascii="Verdana" w:eastAsia="Calibri" w:hAnsi="Verdana" w:cs="Arial"/>
          <w:color w:val="000000" w:themeColor="text1"/>
          <w:sz w:val="20"/>
          <w:szCs w:val="20"/>
        </w:rPr>
        <w:t>) reglas de la presentación y manejo de las ofertas, v) riesgos y garantías, entre otros aspectos del contrato.</w:t>
      </w:r>
    </w:p>
    <w:p w14:paraId="46D22231" w14:textId="77777777" w:rsidR="00D34138" w:rsidRPr="00C4224D" w:rsidRDefault="00D34138" w:rsidP="00D34138">
      <w:pPr>
        <w:spacing w:after="0" w:line="240" w:lineRule="auto"/>
        <w:contextualSpacing/>
        <w:jc w:val="both"/>
        <w:rPr>
          <w:rFonts w:ascii="Verdana" w:eastAsia="Calibri" w:hAnsi="Verdana" w:cs="Arial"/>
          <w:bCs/>
          <w:sz w:val="20"/>
          <w:szCs w:val="20"/>
        </w:rPr>
      </w:pPr>
    </w:p>
    <w:p w14:paraId="06767A7C" w14:textId="77777777" w:rsidR="00D34138" w:rsidRPr="00C4224D" w:rsidRDefault="00D34138" w:rsidP="00D34138">
      <w:pPr>
        <w:spacing w:after="0" w:line="240" w:lineRule="auto"/>
        <w:contextualSpacing/>
        <w:jc w:val="both"/>
        <w:rPr>
          <w:rFonts w:ascii="Verdana" w:eastAsia="Calibri" w:hAnsi="Verdana" w:cs="Arial"/>
          <w:bCs/>
          <w:sz w:val="20"/>
          <w:szCs w:val="20"/>
          <w:lang w:val="es-MX"/>
        </w:rPr>
      </w:pPr>
      <w:r w:rsidRPr="00C4224D">
        <w:rPr>
          <w:rFonts w:ascii="Verdana" w:eastAsia="Calibri" w:hAnsi="Verdana" w:cs="Arial"/>
          <w:bCs/>
          <w:sz w:val="20"/>
          <w:szCs w:val="20"/>
          <w:lang w:val="es-MX"/>
        </w:rPr>
        <w:t>[…]</w:t>
      </w:r>
    </w:p>
    <w:p w14:paraId="0A45A1DF" w14:textId="77777777" w:rsidR="00D34138" w:rsidRPr="00C4224D" w:rsidRDefault="00D34138" w:rsidP="00D34138">
      <w:pPr>
        <w:spacing w:after="0" w:line="240" w:lineRule="auto"/>
        <w:contextualSpacing/>
        <w:jc w:val="both"/>
        <w:rPr>
          <w:rFonts w:ascii="Verdana" w:eastAsia="Calibri" w:hAnsi="Verdana" w:cs="Arial"/>
          <w:bCs/>
          <w:sz w:val="20"/>
          <w:szCs w:val="20"/>
          <w:lang w:val="es-MX"/>
        </w:rPr>
      </w:pPr>
    </w:p>
    <w:p w14:paraId="2C5F8BAE" w14:textId="77777777" w:rsidR="00D34138" w:rsidRPr="00C4224D" w:rsidRDefault="00D34138" w:rsidP="00D34138">
      <w:pPr>
        <w:spacing w:after="0" w:line="240" w:lineRule="auto"/>
        <w:contextualSpacing/>
        <w:jc w:val="both"/>
        <w:rPr>
          <w:rFonts w:ascii="Verdana" w:eastAsia="Calibri" w:hAnsi="Verdana" w:cs="Arial"/>
          <w:sz w:val="20"/>
          <w:szCs w:val="20"/>
          <w:lang w:val="es-ES"/>
        </w:rPr>
      </w:pPr>
      <w:r w:rsidRPr="00C4224D">
        <w:rPr>
          <w:rFonts w:ascii="Verdana" w:eastAsia="Calibri" w:hAnsi="Verdana" w:cs="Arial"/>
          <w:sz w:val="20"/>
          <w:szCs w:val="20"/>
          <w:lang w:val="es-ES"/>
        </w:rPr>
        <w:t>En ese orden de ideas, el Consejo de Estado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sz w:val="20"/>
          <w:szCs w:val="20"/>
          <w:lang w:val="es-ES"/>
        </w:rPr>
        <w:t>.</w:t>
      </w:r>
    </w:p>
    <w:p w14:paraId="687E575E" w14:textId="77777777" w:rsidR="00D34138" w:rsidRPr="00C4224D" w:rsidRDefault="00D34138" w:rsidP="00D34138">
      <w:pPr>
        <w:spacing w:after="0" w:line="240" w:lineRule="auto"/>
        <w:contextualSpacing/>
        <w:jc w:val="both"/>
        <w:rPr>
          <w:rFonts w:ascii="Verdana" w:eastAsia="Calibri" w:hAnsi="Verdana" w:cs="Arial"/>
          <w:bCs/>
          <w:sz w:val="20"/>
          <w:szCs w:val="20"/>
          <w:lang w:val="es-MX"/>
        </w:rPr>
      </w:pPr>
    </w:p>
    <w:p w14:paraId="51EAA416" w14:textId="77777777" w:rsidR="00D34138" w:rsidRPr="00C4224D" w:rsidRDefault="00D34138" w:rsidP="00D34138">
      <w:pPr>
        <w:spacing w:after="0" w:line="240" w:lineRule="auto"/>
        <w:contextualSpacing/>
        <w:jc w:val="both"/>
        <w:rPr>
          <w:rFonts w:ascii="Verdana" w:eastAsia="Calibri" w:hAnsi="Verdana" w:cs="Arial"/>
          <w:b/>
        </w:rPr>
      </w:pPr>
      <w:r w:rsidRPr="00C4224D">
        <w:rPr>
          <w:rFonts w:ascii="Verdana" w:eastAsia="Calibri" w:hAnsi="Verdana" w:cs="Arial"/>
          <w:b/>
          <w:lang w:val="es-MX"/>
        </w:rPr>
        <w:t>PLIEGOS DE CONDICIONES – Otros documentos – Contradicción información</w:t>
      </w:r>
    </w:p>
    <w:p w14:paraId="31A5D242" w14:textId="77777777" w:rsidR="00D34138" w:rsidRPr="00C4224D" w:rsidRDefault="00D34138" w:rsidP="00D34138">
      <w:pPr>
        <w:spacing w:after="0" w:line="240" w:lineRule="auto"/>
        <w:contextualSpacing/>
        <w:jc w:val="both"/>
        <w:rPr>
          <w:rFonts w:ascii="Verdana" w:eastAsia="Batang" w:hAnsi="Verdana" w:cs="Arial"/>
          <w:sz w:val="20"/>
          <w:szCs w:val="20"/>
          <w:lang w:val="es-MX"/>
        </w:rPr>
      </w:pPr>
    </w:p>
    <w:p w14:paraId="418007E4" w14:textId="77777777" w:rsidR="00D34138" w:rsidRDefault="00D34138" w:rsidP="00D34138">
      <w:pPr>
        <w:spacing w:after="0" w:line="240" w:lineRule="auto"/>
        <w:contextualSpacing/>
        <w:jc w:val="both"/>
        <w:rPr>
          <w:rFonts w:ascii="Verdana" w:eastAsia="Batang" w:hAnsi="Verdana" w:cs="Arial"/>
          <w:i/>
          <w:iCs/>
          <w:sz w:val="20"/>
          <w:szCs w:val="20"/>
          <w:lang w:val="es-MX"/>
        </w:rPr>
      </w:pPr>
      <w:r w:rsidRPr="00C4224D">
        <w:rPr>
          <w:rFonts w:ascii="Verdana" w:eastAsia="Batang" w:hAnsi="Verdana" w:cs="Arial"/>
          <w:sz w:val="20"/>
          <w:szCs w:val="20"/>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C4224D">
        <w:rPr>
          <w:rFonts w:ascii="Verdana" w:eastAsia="Batang" w:hAnsi="Verdana" w:cs="Arial"/>
          <w:i/>
          <w:iCs/>
          <w:sz w:val="20"/>
          <w:szCs w:val="20"/>
          <w:lang w:val="es-MX"/>
        </w:rPr>
        <w:t xml:space="preserve">“con sujeción a los principios generales </w:t>
      </w:r>
      <w:proofErr w:type="gramStart"/>
      <w:r w:rsidRPr="00C4224D">
        <w:rPr>
          <w:rFonts w:ascii="Verdana" w:eastAsia="Batang" w:hAnsi="Verdana" w:cs="Arial"/>
          <w:i/>
          <w:iCs/>
          <w:sz w:val="20"/>
          <w:szCs w:val="20"/>
          <w:lang w:val="es-MX"/>
        </w:rPr>
        <w:t>del derechos</w:t>
      </w:r>
      <w:proofErr w:type="gramEnd"/>
      <w:r w:rsidRPr="00C4224D">
        <w:rPr>
          <w:rFonts w:ascii="Verdana" w:eastAsia="Batang" w:hAnsi="Verdana" w:cs="Arial"/>
          <w:i/>
          <w:iCs/>
          <w:sz w:val="20"/>
          <w:szCs w:val="20"/>
          <w:lang w:val="es-MX"/>
        </w:rPr>
        <w:t>, a los de la función administrativa, a la finalidad del pliego y a la protección del interés general, de conformidad con lo previsto en el artículo 23 de la Ley 80 de 1993”.</w:t>
      </w:r>
    </w:p>
    <w:p w14:paraId="67BB8E77" w14:textId="77777777" w:rsidR="00D34138" w:rsidRPr="00C4224D" w:rsidRDefault="00D34138" w:rsidP="00D34138">
      <w:pPr>
        <w:spacing w:after="0" w:line="240" w:lineRule="auto"/>
        <w:contextualSpacing/>
        <w:jc w:val="both"/>
        <w:rPr>
          <w:rFonts w:ascii="Verdana" w:eastAsia="Batang" w:hAnsi="Verdana" w:cs="Arial"/>
          <w:sz w:val="20"/>
          <w:szCs w:val="20"/>
          <w:lang w:val="es-MX"/>
        </w:rPr>
      </w:pPr>
    </w:p>
    <w:p w14:paraId="215566DD" w14:textId="77777777" w:rsidR="00D34138" w:rsidRPr="00C4224D" w:rsidRDefault="00D34138" w:rsidP="00D34138">
      <w:pPr>
        <w:spacing w:after="0" w:line="240" w:lineRule="auto"/>
        <w:contextualSpacing/>
        <w:jc w:val="both"/>
        <w:rPr>
          <w:rFonts w:ascii="Verdana" w:eastAsia="Batang" w:hAnsi="Verdana" w:cs="Arial"/>
          <w:sz w:val="20"/>
          <w:szCs w:val="20"/>
        </w:rPr>
      </w:pPr>
      <w:r w:rsidRPr="00C4224D">
        <w:rPr>
          <w:rFonts w:ascii="Verdana" w:eastAsia="Batang" w:hAnsi="Verdana" w:cs="Arial"/>
          <w:sz w:val="20"/>
          <w:szCs w:val="20"/>
          <w:lang w:val="es-MX"/>
        </w:rPr>
        <w:t xml:space="preserve">De acuerdo con lo anterior, en atención al problema jurídico planteado, es posible establecer, por ejemplo, que </w:t>
      </w:r>
      <w:r w:rsidRPr="00C4224D">
        <w:rPr>
          <w:rFonts w:ascii="Verdana" w:eastAsia="Batang" w:hAnsi="Verdana" w:cs="Arial"/>
          <w:sz w:val="20"/>
          <w:szCs w:val="20"/>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6457FAE2" w14:textId="77777777" w:rsidR="00D34138" w:rsidRPr="00C4224D" w:rsidRDefault="00D34138" w:rsidP="00D34138">
      <w:pPr>
        <w:spacing w:after="0" w:line="240" w:lineRule="auto"/>
        <w:contextualSpacing/>
        <w:jc w:val="both"/>
        <w:rPr>
          <w:rFonts w:ascii="Verdana" w:eastAsia="Calibri" w:hAnsi="Verdana" w:cs="Arial"/>
          <w:sz w:val="20"/>
          <w:szCs w:val="20"/>
        </w:rPr>
      </w:pPr>
    </w:p>
    <w:p w14:paraId="1E409EB3" w14:textId="77777777" w:rsidR="00D34138" w:rsidRPr="00C4224D" w:rsidRDefault="00D34138" w:rsidP="00D34138">
      <w:pPr>
        <w:spacing w:after="0" w:line="240" w:lineRule="auto"/>
        <w:contextualSpacing/>
        <w:jc w:val="both"/>
        <w:rPr>
          <w:rFonts w:ascii="Verdana" w:eastAsia="Calibri" w:hAnsi="Verdana" w:cs="Arial"/>
          <w:b/>
          <w:bCs/>
          <w:lang w:val="es-ES" w:eastAsia="es-ES"/>
        </w:rPr>
      </w:pPr>
      <w:r w:rsidRPr="00C4224D">
        <w:rPr>
          <w:rFonts w:ascii="Verdana" w:eastAsia="Calibri" w:hAnsi="Verdana" w:cs="Arial"/>
          <w:b/>
          <w:bCs/>
        </w:rPr>
        <w:t>INTERPRETACIÓN – Reglas</w:t>
      </w:r>
      <w:r w:rsidRPr="00C4224D">
        <w:rPr>
          <w:rFonts w:ascii="Verdana" w:eastAsia="Calibri" w:hAnsi="Verdana" w:cs="Arial"/>
          <w:b/>
          <w:bCs/>
          <w:lang w:val="es-ES" w:eastAsia="es-ES"/>
        </w:rPr>
        <w:t xml:space="preserve"> de interpretación </w:t>
      </w:r>
    </w:p>
    <w:p w14:paraId="3014F067" w14:textId="77777777" w:rsidR="00D34138" w:rsidRPr="00C4224D" w:rsidRDefault="00D34138" w:rsidP="00D34138">
      <w:pPr>
        <w:spacing w:after="0" w:line="240" w:lineRule="auto"/>
        <w:contextualSpacing/>
        <w:rPr>
          <w:rFonts w:ascii="Verdana" w:hAnsi="Verdana"/>
          <w:sz w:val="20"/>
          <w:szCs w:val="20"/>
          <w:lang w:val="es-ES"/>
        </w:rPr>
      </w:pPr>
    </w:p>
    <w:p w14:paraId="2E575BD0" w14:textId="77777777" w:rsidR="00D34138" w:rsidRDefault="00D34138" w:rsidP="00D34138">
      <w:pPr>
        <w:spacing w:after="0" w:line="240" w:lineRule="auto"/>
        <w:contextualSpacing/>
        <w:jc w:val="both"/>
        <w:rPr>
          <w:rFonts w:ascii="Verdana" w:eastAsia="Batang" w:hAnsi="Verdana" w:cs="Arial"/>
          <w:sz w:val="20"/>
          <w:szCs w:val="20"/>
        </w:rPr>
      </w:pPr>
      <w:r w:rsidRPr="00C4224D">
        <w:rPr>
          <w:rFonts w:ascii="Verdana" w:eastAsia="Batang" w:hAnsi="Verdana" w:cs="Arial"/>
          <w:sz w:val="20"/>
          <w:szCs w:val="20"/>
        </w:rPr>
        <w:t xml:space="preserve">Sin perjuicio de lo anterior, la entidad, proponentes o contratista podrán acudir, en lo pertinente, a las reglas de interpretación </w:t>
      </w:r>
      <w:r w:rsidRPr="00C4224D">
        <w:rPr>
          <w:rFonts w:ascii="Verdana" w:eastAsia="Batang" w:hAnsi="Verdana" w:cs="Arial"/>
          <w:sz w:val="20"/>
          <w:szCs w:val="20"/>
          <w:lang w:val="es-MX"/>
        </w:rPr>
        <w:t xml:space="preserve">objetivas y subjetivas conforme a los artículos </w:t>
      </w:r>
      <w:r w:rsidRPr="00C4224D">
        <w:rPr>
          <w:rFonts w:ascii="Verdana" w:eastAsia="Batang" w:hAnsi="Verdana" w:cs="Arial"/>
          <w:sz w:val="20"/>
          <w:szCs w:val="20"/>
          <w:lang w:val="es-MX"/>
        </w:rPr>
        <w:lastRenderedPageBreak/>
        <w:t xml:space="preserve">1618 a 1624 del Código Civil. Por una parte, las </w:t>
      </w:r>
      <w:r w:rsidRPr="00C4224D">
        <w:rPr>
          <w:rFonts w:ascii="Verdana" w:eastAsia="Batang" w:hAnsi="Verdana" w:cs="Arial"/>
          <w:i/>
          <w:iCs/>
          <w:sz w:val="20"/>
          <w:szCs w:val="20"/>
          <w:lang w:val="es-MX"/>
        </w:rPr>
        <w:t>objetivas</w:t>
      </w:r>
      <w:r w:rsidRPr="00C4224D">
        <w:rPr>
          <w:rFonts w:ascii="Verdana" w:eastAsia="Batang" w:hAnsi="Verdana" w:cs="Arial"/>
          <w:sz w:val="20"/>
          <w:szCs w:val="20"/>
          <w:lang w:val="es-MX"/>
        </w:rPr>
        <w:t xml:space="preserve"> son las siguientes: i) una vez conocida la intención de los contratantes ha de estarse más a ella que a lo literal de las palabras (artículo 1618 del Código Civil); </w:t>
      </w:r>
      <w:proofErr w:type="spellStart"/>
      <w:r w:rsidRPr="00C4224D">
        <w:rPr>
          <w:rFonts w:ascii="Verdana" w:eastAsia="Batang" w:hAnsi="Verdana" w:cs="Arial"/>
          <w:sz w:val="20"/>
          <w:szCs w:val="20"/>
          <w:lang w:val="es-MX"/>
        </w:rPr>
        <w:t>ii</w:t>
      </w:r>
      <w:proofErr w:type="spellEnd"/>
      <w:r w:rsidRPr="00C4224D">
        <w:rPr>
          <w:rFonts w:ascii="Verdana" w:eastAsia="Batang" w:hAnsi="Verdana" w:cs="Arial"/>
          <w:sz w:val="20"/>
          <w:szCs w:val="20"/>
          <w:lang w:val="es-MX"/>
        </w:rPr>
        <w:t xml:space="preserve">) </w:t>
      </w:r>
      <w:r w:rsidRPr="00C4224D">
        <w:rPr>
          <w:rFonts w:ascii="Verdana" w:eastAsia="Batang" w:hAnsi="Verdana" w:cs="Arial"/>
          <w:sz w:val="20"/>
          <w:szCs w:val="20"/>
        </w:rPr>
        <w:t xml:space="preserve">las estipulaciones de un contrato pueden interpretarse por la de otro que las partes hayan celebrado sobre la misma materia o por la aplicación práctica que de ellas hayan hecho (artículo 1622, incisos 2 y 3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w:t>
      </w:r>
      <w:proofErr w:type="spellStart"/>
      <w:r w:rsidRPr="00C4224D">
        <w:rPr>
          <w:rFonts w:ascii="Verdana" w:eastAsia="Batang" w:hAnsi="Verdana" w:cs="Arial"/>
          <w:sz w:val="20"/>
          <w:szCs w:val="20"/>
        </w:rPr>
        <w:t>iii</w:t>
      </w:r>
      <w:proofErr w:type="spellEnd"/>
      <w:r w:rsidRPr="00C4224D">
        <w:rPr>
          <w:rFonts w:ascii="Verdana" w:eastAsia="Batang" w:hAnsi="Verdana" w:cs="Arial"/>
          <w:sz w:val="20"/>
          <w:szCs w:val="20"/>
        </w:rPr>
        <w:t xml:space="preserve">) las cláusulas deben interpretarse unas por otras, dándole a cada una el sentido que más convenga al contrato en su totalidad (artículo 1622, inciso 1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w:t>
      </w:r>
      <w:proofErr w:type="spellStart"/>
      <w:r w:rsidRPr="00C4224D">
        <w:rPr>
          <w:rFonts w:ascii="Verdana" w:eastAsia="Batang" w:hAnsi="Verdana" w:cs="Arial"/>
          <w:sz w:val="20"/>
          <w:szCs w:val="20"/>
        </w:rPr>
        <w:t>iv</w:t>
      </w:r>
      <w:proofErr w:type="spellEnd"/>
      <w:r w:rsidRPr="00C4224D">
        <w:rPr>
          <w:rFonts w:ascii="Verdana" w:eastAsia="Batang" w:hAnsi="Verdana" w:cs="Arial"/>
          <w:sz w:val="20"/>
          <w:szCs w:val="20"/>
        </w:rPr>
        <w:t xml:space="preserve">) si en un contrato se expresa un caso para explicar la obligación se entiende que esa mención no es restrictiva sino ejemplificativa (artículo 1623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y v) se entiende que las expresiones generales contenidas en el negocio únicamente se aplican a la materia sobre la que se ha contratado (artículo 1619, inciso 2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w:t>
      </w:r>
    </w:p>
    <w:p w14:paraId="6869FD79" w14:textId="77777777" w:rsidR="00D34138" w:rsidRDefault="00D34138" w:rsidP="00D34138">
      <w:pPr>
        <w:spacing w:after="0" w:line="240" w:lineRule="auto"/>
        <w:contextualSpacing/>
        <w:jc w:val="both"/>
        <w:rPr>
          <w:rFonts w:ascii="Verdana" w:eastAsia="Batang" w:hAnsi="Verdana" w:cs="Arial"/>
          <w:sz w:val="20"/>
          <w:szCs w:val="20"/>
        </w:rPr>
      </w:pPr>
    </w:p>
    <w:p w14:paraId="452DECAA" w14:textId="77777777" w:rsidR="00D34138" w:rsidRPr="00C4224D" w:rsidRDefault="00D34138" w:rsidP="00D34138">
      <w:pPr>
        <w:spacing w:after="0" w:line="240" w:lineRule="auto"/>
        <w:contextualSpacing/>
        <w:jc w:val="both"/>
        <w:rPr>
          <w:rFonts w:ascii="Verdana" w:eastAsia="Batang" w:hAnsi="Verdana" w:cs="Arial"/>
          <w:sz w:val="20"/>
          <w:szCs w:val="20"/>
        </w:rPr>
      </w:pPr>
      <w:r w:rsidRPr="00C4224D">
        <w:rPr>
          <w:rFonts w:ascii="Verdana" w:eastAsia="Batang" w:hAnsi="Verdana" w:cs="Arial"/>
          <w:sz w:val="20"/>
          <w:szCs w:val="20"/>
        </w:rPr>
        <w:t xml:space="preserve">Por su parte, las reglas </w:t>
      </w:r>
      <w:r w:rsidRPr="00C4224D">
        <w:rPr>
          <w:rFonts w:ascii="Verdana" w:eastAsia="Batang" w:hAnsi="Verdana" w:cs="Arial"/>
          <w:i/>
          <w:iCs/>
          <w:sz w:val="20"/>
          <w:szCs w:val="20"/>
        </w:rPr>
        <w:t>subjetivas</w:t>
      </w:r>
      <w:r w:rsidRPr="00C4224D">
        <w:rPr>
          <w:rFonts w:ascii="Verdana" w:eastAsia="Batang" w:hAnsi="Verdana" w:cs="Arial"/>
          <w:sz w:val="20"/>
          <w:szCs w:val="20"/>
        </w:rPr>
        <w:t xml:space="preserve"> de interpretación se refieren a las siguientes: vi) </w:t>
      </w:r>
      <w:r w:rsidRPr="00C4224D">
        <w:rPr>
          <w:rFonts w:ascii="Verdana" w:eastAsia="Batang" w:hAnsi="Verdana" w:cs="Arial"/>
          <w:sz w:val="20"/>
          <w:szCs w:val="20"/>
          <w:lang w:val="es-MX"/>
        </w:rPr>
        <w:t xml:space="preserve">el sentido en que una cláusula pueda producir algún efecto deberá preferirse a aquel en que no produzca efecto alguno </w:t>
      </w:r>
      <w:r w:rsidRPr="00C4224D">
        <w:rPr>
          <w:rFonts w:ascii="Verdana" w:eastAsia="Batang" w:hAnsi="Verdana" w:cs="Arial"/>
          <w:sz w:val="20"/>
          <w:szCs w:val="20"/>
        </w:rPr>
        <w:t xml:space="preserve">(artículo 1620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w:t>
      </w:r>
      <w:proofErr w:type="spellStart"/>
      <w:r w:rsidRPr="00C4224D">
        <w:rPr>
          <w:rFonts w:ascii="Verdana" w:eastAsia="Batang" w:hAnsi="Verdana" w:cs="Arial"/>
          <w:sz w:val="20"/>
          <w:szCs w:val="20"/>
        </w:rPr>
        <w:t>vii</w:t>
      </w:r>
      <w:proofErr w:type="spellEnd"/>
      <w:r w:rsidRPr="00C4224D">
        <w:rPr>
          <w:rFonts w:ascii="Verdana" w:eastAsia="Batang" w:hAnsi="Verdana" w:cs="Arial"/>
          <w:sz w:val="20"/>
          <w:szCs w:val="20"/>
        </w:rPr>
        <w:t>)</w:t>
      </w:r>
      <w:r w:rsidRPr="00C4224D">
        <w:rPr>
          <w:rFonts w:ascii="Verdana" w:eastAsia="Batang" w:hAnsi="Verdana" w:cs="Arial"/>
          <w:sz w:val="20"/>
          <w:szCs w:val="20"/>
          <w:lang w:val="es-MX"/>
        </w:rPr>
        <w:t xml:space="preserve"> deberá estarse a la interpretación que mejor cuadre con la naturaleza del contrato </w:t>
      </w:r>
      <w:r w:rsidRPr="00C4224D">
        <w:rPr>
          <w:rFonts w:ascii="Verdana" w:eastAsia="Batang" w:hAnsi="Verdana" w:cs="Arial"/>
          <w:sz w:val="20"/>
          <w:szCs w:val="20"/>
        </w:rPr>
        <w:t xml:space="preserve">(artículo 1621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w:t>
      </w:r>
      <w:r w:rsidRPr="00C4224D">
        <w:rPr>
          <w:rFonts w:ascii="Verdana" w:eastAsia="Batang" w:hAnsi="Verdana" w:cs="Arial"/>
          <w:sz w:val="20"/>
          <w:szCs w:val="20"/>
          <w:lang w:val="es-MX"/>
        </w:rPr>
        <w:t xml:space="preserve">; </w:t>
      </w:r>
      <w:proofErr w:type="spellStart"/>
      <w:r w:rsidRPr="00C4224D">
        <w:rPr>
          <w:rFonts w:ascii="Verdana" w:eastAsia="Batang" w:hAnsi="Verdana" w:cs="Arial"/>
          <w:sz w:val="20"/>
          <w:szCs w:val="20"/>
          <w:lang w:val="es-MX"/>
        </w:rPr>
        <w:t>viii</w:t>
      </w:r>
      <w:proofErr w:type="spellEnd"/>
      <w:r w:rsidRPr="00C4224D">
        <w:rPr>
          <w:rFonts w:ascii="Verdana" w:eastAsia="Batang" w:hAnsi="Verdana" w:cs="Arial"/>
          <w:sz w:val="20"/>
          <w:szCs w:val="20"/>
          <w:lang w:val="es-MX"/>
        </w:rPr>
        <w:t xml:space="preserve">) las cláusulas ambiguas se interpretan a favor del deudor </w:t>
      </w:r>
      <w:r w:rsidRPr="00C4224D">
        <w:rPr>
          <w:rFonts w:ascii="Verdana" w:eastAsia="Batang" w:hAnsi="Verdana" w:cs="Arial"/>
          <w:sz w:val="20"/>
          <w:szCs w:val="20"/>
        </w:rPr>
        <w:t xml:space="preserve">(artículo 1624, inciso 1 </w:t>
      </w:r>
      <w:proofErr w:type="spellStart"/>
      <w:r w:rsidRPr="00C4224D">
        <w:rPr>
          <w:rFonts w:ascii="Verdana" w:eastAsia="Batang" w:hAnsi="Verdana" w:cs="Arial"/>
          <w:sz w:val="20"/>
          <w:szCs w:val="20"/>
        </w:rPr>
        <w:t>ibídem</w:t>
      </w:r>
      <w:proofErr w:type="spellEnd"/>
      <w:r w:rsidRPr="00C4224D">
        <w:rPr>
          <w:rFonts w:ascii="Verdana" w:eastAsia="Batang" w:hAnsi="Verdana" w:cs="Arial"/>
          <w:sz w:val="20"/>
          <w:szCs w:val="20"/>
        </w:rPr>
        <w:t xml:space="preserve">); y </w:t>
      </w:r>
      <w:proofErr w:type="spellStart"/>
      <w:r w:rsidRPr="00C4224D">
        <w:rPr>
          <w:rFonts w:ascii="Verdana" w:eastAsia="Batang" w:hAnsi="Verdana" w:cs="Arial"/>
          <w:sz w:val="20"/>
          <w:szCs w:val="20"/>
        </w:rPr>
        <w:t>ix</w:t>
      </w:r>
      <w:proofErr w:type="spellEnd"/>
      <w:r w:rsidRPr="00C4224D">
        <w:rPr>
          <w:rFonts w:ascii="Verdana" w:eastAsia="Batang" w:hAnsi="Verdana" w:cs="Arial"/>
          <w:i/>
          <w:iCs/>
          <w:sz w:val="20"/>
          <w:szCs w:val="20"/>
        </w:rPr>
        <w:t>)</w:t>
      </w:r>
      <w:r w:rsidRPr="00C4224D">
        <w:rPr>
          <w:rFonts w:ascii="Verdana" w:eastAsia="Batang" w:hAnsi="Verdana" w:cs="Arial"/>
          <w:i/>
          <w:iCs/>
          <w:sz w:val="20"/>
          <w:szCs w:val="20"/>
          <w:lang w:val="es-MX"/>
        </w:rPr>
        <w:t xml:space="preserve"> las cláusulas oscuras que hayan sido extendidas o dictadas por una parte se interpretarán contra ella si la ambigüedad proviene de una explicación que ésta ha debido dar</w:t>
      </w:r>
      <w:r w:rsidRPr="00C4224D">
        <w:rPr>
          <w:rFonts w:ascii="Verdana" w:eastAsia="Batang" w:hAnsi="Verdana" w:cs="Arial"/>
          <w:sz w:val="20"/>
          <w:szCs w:val="20"/>
          <w:lang w:val="es-MX"/>
        </w:rPr>
        <w:t xml:space="preserve"> </w:t>
      </w:r>
      <w:r w:rsidRPr="00C4224D">
        <w:rPr>
          <w:rFonts w:ascii="Verdana" w:eastAsia="Batang" w:hAnsi="Verdana" w:cs="Arial"/>
          <w:sz w:val="20"/>
          <w:szCs w:val="20"/>
        </w:rPr>
        <w:t xml:space="preserve">(artículo 1624, inciso 2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w:t>
      </w:r>
      <w:r w:rsidRPr="00C4224D">
        <w:rPr>
          <w:rFonts w:ascii="Verdana" w:eastAsia="Batang" w:hAnsi="Verdana" w:cs="Arial"/>
          <w:sz w:val="20"/>
          <w:szCs w:val="20"/>
          <w:lang w:val="es-MX"/>
        </w:rPr>
        <w:t xml:space="preserve">. </w:t>
      </w:r>
    </w:p>
    <w:p w14:paraId="1699A1FF" w14:textId="77777777" w:rsidR="00D34138" w:rsidRDefault="00D34138" w:rsidP="00DA14F4">
      <w:pPr>
        <w:spacing w:after="0" w:line="240" w:lineRule="auto"/>
        <w:jc w:val="both"/>
        <w:rPr>
          <w:rFonts w:ascii="Verdana" w:hAnsi="Verdana"/>
        </w:rPr>
      </w:pPr>
    </w:p>
    <w:p w14:paraId="573E18E2" w14:textId="77777777" w:rsidR="00D34138" w:rsidRDefault="00D34138" w:rsidP="00DA14F4">
      <w:pPr>
        <w:spacing w:after="0" w:line="240" w:lineRule="auto"/>
        <w:jc w:val="both"/>
        <w:rPr>
          <w:rFonts w:ascii="Verdana" w:hAnsi="Verdana"/>
        </w:rPr>
      </w:pPr>
    </w:p>
    <w:p w14:paraId="2C758393" w14:textId="77777777" w:rsidR="00D34138" w:rsidRDefault="00D34138" w:rsidP="00DA14F4">
      <w:pPr>
        <w:spacing w:after="0" w:line="240" w:lineRule="auto"/>
        <w:jc w:val="both"/>
        <w:rPr>
          <w:rFonts w:ascii="Verdana" w:hAnsi="Verdana"/>
        </w:rPr>
      </w:pPr>
    </w:p>
    <w:p w14:paraId="086DF35E" w14:textId="77777777" w:rsidR="00D34138" w:rsidRDefault="00D34138" w:rsidP="00DA14F4">
      <w:pPr>
        <w:spacing w:after="0" w:line="240" w:lineRule="auto"/>
        <w:jc w:val="both"/>
        <w:rPr>
          <w:rFonts w:ascii="Verdana" w:hAnsi="Verdana"/>
        </w:rPr>
      </w:pPr>
    </w:p>
    <w:p w14:paraId="04BB83F3" w14:textId="77777777" w:rsidR="00D34138" w:rsidRDefault="00D34138" w:rsidP="00DA14F4">
      <w:pPr>
        <w:spacing w:after="0" w:line="240" w:lineRule="auto"/>
        <w:jc w:val="both"/>
        <w:rPr>
          <w:rFonts w:ascii="Verdana" w:hAnsi="Verdana"/>
        </w:rPr>
      </w:pPr>
    </w:p>
    <w:p w14:paraId="28DBB1D3" w14:textId="77777777" w:rsidR="00D34138" w:rsidRDefault="00D34138" w:rsidP="00DA14F4">
      <w:pPr>
        <w:spacing w:after="0" w:line="240" w:lineRule="auto"/>
        <w:jc w:val="both"/>
        <w:rPr>
          <w:rFonts w:ascii="Verdana" w:hAnsi="Verdana"/>
        </w:rPr>
      </w:pPr>
    </w:p>
    <w:p w14:paraId="6548B23A" w14:textId="77777777" w:rsidR="00D34138" w:rsidRDefault="00D34138" w:rsidP="00DA14F4">
      <w:pPr>
        <w:spacing w:after="0" w:line="240" w:lineRule="auto"/>
        <w:jc w:val="both"/>
        <w:rPr>
          <w:rFonts w:ascii="Verdana" w:hAnsi="Verdana"/>
        </w:rPr>
      </w:pPr>
    </w:p>
    <w:p w14:paraId="24139F49" w14:textId="77777777" w:rsidR="00D34138" w:rsidRDefault="00D34138" w:rsidP="00DA14F4">
      <w:pPr>
        <w:spacing w:after="0" w:line="240" w:lineRule="auto"/>
        <w:jc w:val="both"/>
        <w:rPr>
          <w:rFonts w:ascii="Verdana" w:hAnsi="Verdana"/>
        </w:rPr>
      </w:pPr>
    </w:p>
    <w:p w14:paraId="6683CDC5" w14:textId="77777777" w:rsidR="00D34138" w:rsidRDefault="00D34138" w:rsidP="00DA14F4">
      <w:pPr>
        <w:spacing w:after="0" w:line="240" w:lineRule="auto"/>
        <w:jc w:val="both"/>
        <w:rPr>
          <w:rFonts w:ascii="Verdana" w:hAnsi="Verdana"/>
        </w:rPr>
      </w:pPr>
    </w:p>
    <w:p w14:paraId="079A23F8" w14:textId="77777777" w:rsidR="00D34138" w:rsidRDefault="00D34138" w:rsidP="00DA14F4">
      <w:pPr>
        <w:spacing w:after="0" w:line="240" w:lineRule="auto"/>
        <w:jc w:val="both"/>
        <w:rPr>
          <w:rFonts w:ascii="Verdana" w:hAnsi="Verdana"/>
        </w:rPr>
      </w:pPr>
    </w:p>
    <w:p w14:paraId="4177D2E7" w14:textId="77777777" w:rsidR="00D34138" w:rsidRDefault="00D34138" w:rsidP="00DA14F4">
      <w:pPr>
        <w:spacing w:after="0" w:line="240" w:lineRule="auto"/>
        <w:jc w:val="both"/>
        <w:rPr>
          <w:rFonts w:ascii="Verdana" w:hAnsi="Verdana"/>
        </w:rPr>
      </w:pPr>
    </w:p>
    <w:p w14:paraId="1485E640" w14:textId="77777777" w:rsidR="00D34138" w:rsidRDefault="00D34138" w:rsidP="00DA14F4">
      <w:pPr>
        <w:spacing w:after="0" w:line="240" w:lineRule="auto"/>
        <w:jc w:val="both"/>
        <w:rPr>
          <w:rFonts w:ascii="Verdana" w:hAnsi="Verdana"/>
        </w:rPr>
      </w:pPr>
    </w:p>
    <w:p w14:paraId="56E1BE90" w14:textId="77777777" w:rsidR="00D34138" w:rsidRDefault="00D34138" w:rsidP="00DA14F4">
      <w:pPr>
        <w:spacing w:after="0" w:line="240" w:lineRule="auto"/>
        <w:jc w:val="both"/>
        <w:rPr>
          <w:rFonts w:ascii="Verdana" w:hAnsi="Verdana"/>
        </w:rPr>
      </w:pPr>
    </w:p>
    <w:p w14:paraId="38862A26" w14:textId="77777777" w:rsidR="00D34138" w:rsidRDefault="00D34138" w:rsidP="00DA14F4">
      <w:pPr>
        <w:spacing w:after="0" w:line="240" w:lineRule="auto"/>
        <w:jc w:val="both"/>
        <w:rPr>
          <w:rFonts w:ascii="Verdana" w:hAnsi="Verdana"/>
        </w:rPr>
      </w:pPr>
    </w:p>
    <w:p w14:paraId="72117053" w14:textId="77777777" w:rsidR="00D34138" w:rsidRDefault="00D34138" w:rsidP="00DA14F4">
      <w:pPr>
        <w:spacing w:after="0" w:line="240" w:lineRule="auto"/>
        <w:jc w:val="both"/>
        <w:rPr>
          <w:rFonts w:ascii="Verdana" w:hAnsi="Verdana"/>
        </w:rPr>
      </w:pPr>
    </w:p>
    <w:p w14:paraId="354E435D" w14:textId="77777777" w:rsidR="00D34138" w:rsidRDefault="00D34138" w:rsidP="00DA14F4">
      <w:pPr>
        <w:spacing w:after="0" w:line="240" w:lineRule="auto"/>
        <w:jc w:val="both"/>
        <w:rPr>
          <w:rFonts w:ascii="Verdana" w:hAnsi="Verdana"/>
        </w:rPr>
      </w:pPr>
    </w:p>
    <w:p w14:paraId="0BB69647" w14:textId="77777777" w:rsidR="00D34138" w:rsidRDefault="00D34138" w:rsidP="00DA14F4">
      <w:pPr>
        <w:spacing w:after="0" w:line="240" w:lineRule="auto"/>
        <w:jc w:val="both"/>
        <w:rPr>
          <w:rFonts w:ascii="Verdana" w:hAnsi="Verdana"/>
        </w:rPr>
      </w:pPr>
    </w:p>
    <w:p w14:paraId="50CC7E4D" w14:textId="77777777" w:rsidR="00D34138" w:rsidRDefault="00D34138" w:rsidP="00DA14F4">
      <w:pPr>
        <w:spacing w:after="0" w:line="240" w:lineRule="auto"/>
        <w:jc w:val="both"/>
        <w:rPr>
          <w:rFonts w:ascii="Verdana" w:hAnsi="Verdana"/>
        </w:rPr>
      </w:pPr>
    </w:p>
    <w:p w14:paraId="7DB65D93" w14:textId="77777777" w:rsidR="00D34138" w:rsidRDefault="00D34138" w:rsidP="00DA14F4">
      <w:pPr>
        <w:spacing w:after="0" w:line="240" w:lineRule="auto"/>
        <w:jc w:val="both"/>
        <w:rPr>
          <w:rFonts w:ascii="Verdana" w:hAnsi="Verdana"/>
        </w:rPr>
      </w:pPr>
    </w:p>
    <w:p w14:paraId="6471D409" w14:textId="77777777" w:rsidR="00D34138" w:rsidRDefault="00D34138" w:rsidP="00DA14F4">
      <w:pPr>
        <w:spacing w:after="0" w:line="240" w:lineRule="auto"/>
        <w:jc w:val="both"/>
        <w:rPr>
          <w:rFonts w:ascii="Verdana" w:hAnsi="Verdana"/>
        </w:rPr>
      </w:pPr>
    </w:p>
    <w:p w14:paraId="209D3D18" w14:textId="77777777" w:rsidR="00D34138" w:rsidRDefault="00D34138" w:rsidP="00DA14F4">
      <w:pPr>
        <w:spacing w:after="0" w:line="240" w:lineRule="auto"/>
        <w:jc w:val="both"/>
        <w:rPr>
          <w:rFonts w:ascii="Verdana" w:hAnsi="Verdana"/>
        </w:rPr>
      </w:pPr>
    </w:p>
    <w:p w14:paraId="0F80D3F1" w14:textId="77777777" w:rsidR="00D34138" w:rsidRDefault="00D34138" w:rsidP="00DA14F4">
      <w:pPr>
        <w:spacing w:after="0" w:line="240" w:lineRule="auto"/>
        <w:jc w:val="both"/>
        <w:rPr>
          <w:rFonts w:ascii="Verdana" w:hAnsi="Verdana"/>
        </w:rPr>
      </w:pPr>
    </w:p>
    <w:p w14:paraId="72FE10B5" w14:textId="77777777" w:rsidR="00D34138" w:rsidRDefault="00D34138" w:rsidP="00DA14F4">
      <w:pPr>
        <w:spacing w:after="0" w:line="240" w:lineRule="auto"/>
        <w:jc w:val="both"/>
        <w:rPr>
          <w:rFonts w:ascii="Verdana" w:hAnsi="Verdana"/>
        </w:rPr>
      </w:pPr>
    </w:p>
    <w:p w14:paraId="37B7E69D" w14:textId="77777777" w:rsidR="00D34138" w:rsidRDefault="00D34138" w:rsidP="00DA14F4">
      <w:pPr>
        <w:spacing w:after="0" w:line="240" w:lineRule="auto"/>
        <w:jc w:val="both"/>
        <w:rPr>
          <w:rFonts w:ascii="Verdana" w:hAnsi="Verdana"/>
        </w:rPr>
      </w:pPr>
    </w:p>
    <w:p w14:paraId="7CF36C3D" w14:textId="77777777" w:rsidR="00D34138" w:rsidRDefault="00D34138" w:rsidP="00DA14F4">
      <w:pPr>
        <w:spacing w:after="0" w:line="240" w:lineRule="auto"/>
        <w:jc w:val="both"/>
        <w:rPr>
          <w:rFonts w:ascii="Verdana" w:hAnsi="Verdana"/>
        </w:rPr>
      </w:pPr>
    </w:p>
    <w:p w14:paraId="2ED5A5AC" w14:textId="0EF68EFF" w:rsidR="00DA14F4" w:rsidRPr="008E4F36" w:rsidRDefault="00D0461B" w:rsidP="00DA14F4">
      <w:pPr>
        <w:spacing w:after="0" w:line="240" w:lineRule="auto"/>
        <w:jc w:val="both"/>
        <w:rPr>
          <w:rFonts w:ascii="Verdana" w:hAnsi="Verdana"/>
        </w:rPr>
      </w:pPr>
      <w:r w:rsidRPr="00D0461B">
        <w:rPr>
          <w:rFonts w:ascii="Verdana" w:hAnsi="Verdana"/>
        </w:rPr>
        <w:t xml:space="preserve">Bogotá D.C., 22 </w:t>
      </w:r>
      <w:r>
        <w:rPr>
          <w:rFonts w:ascii="Verdana" w:hAnsi="Verdana"/>
        </w:rPr>
        <w:t>m</w:t>
      </w:r>
      <w:r w:rsidRPr="00D0461B">
        <w:rPr>
          <w:rFonts w:ascii="Verdana" w:hAnsi="Verdana"/>
        </w:rPr>
        <w:t>ayo 2026</w:t>
      </w:r>
      <w:r>
        <w:rPr>
          <w:rFonts w:ascii="Verdana" w:hAnsi="Verdana"/>
        </w:rPr>
        <w:t xml:space="preserve"> </w:t>
      </w:r>
    </w:p>
    <w:p w14:paraId="5541912C" w14:textId="2A5B4E67" w:rsidR="00DA14F4" w:rsidRPr="008E4F36" w:rsidRDefault="00DA14F4" w:rsidP="00DA14F4">
      <w:pPr>
        <w:spacing w:after="0" w:line="240" w:lineRule="auto"/>
        <w:jc w:val="both"/>
        <w:rPr>
          <w:rFonts w:ascii="Verdana" w:eastAsia="Calibri" w:hAnsi="Verdana" w:cs="Arial"/>
          <w:lang w:eastAsia="es-ES"/>
        </w:rPr>
      </w:pPr>
      <w:bookmarkStart w:id="0" w:name="_Hlk197462763"/>
      <w:bookmarkStart w:id="1" w:name="_Hlk197529996"/>
    </w:p>
    <w:p w14:paraId="4F6B2F15" w14:textId="2F217D90" w:rsidR="00DA14F4" w:rsidRDefault="00D0461B" w:rsidP="00DA14F4">
      <w:pPr>
        <w:spacing w:after="0" w:line="240" w:lineRule="auto"/>
        <w:jc w:val="both"/>
        <w:rPr>
          <w:rFonts w:ascii="Verdana" w:eastAsia="Calibri" w:hAnsi="Verdana" w:cs="Arial"/>
          <w:lang w:eastAsia="es-ES"/>
        </w:rPr>
      </w:pPr>
      <w:r w:rsidRPr="00D0461B">
        <w:rPr>
          <w:rFonts w:ascii="Verdana" w:eastAsia="Calibri" w:hAnsi="Verdana" w:cs="Arial"/>
          <w:lang w:eastAsia="es-ES"/>
        </w:rPr>
        <w:drawing>
          <wp:anchor distT="0" distB="0" distL="114300" distR="114300" simplePos="0" relativeHeight="251660288" behindDoc="1" locked="0" layoutInCell="1" allowOverlap="1" wp14:anchorId="056B78BE" wp14:editId="0FD32C79">
            <wp:simplePos x="0" y="0"/>
            <wp:positionH relativeFrom="column">
              <wp:posOffset>3649980</wp:posOffset>
            </wp:positionH>
            <wp:positionV relativeFrom="paragraph">
              <wp:posOffset>140335</wp:posOffset>
            </wp:positionV>
            <wp:extent cx="2533650" cy="685800"/>
            <wp:effectExtent l="0" t="0" r="0" b="0"/>
            <wp:wrapTight wrapText="bothSides">
              <wp:wrapPolygon edited="0">
                <wp:start x="0" y="0"/>
                <wp:lineTo x="0" y="21000"/>
                <wp:lineTo x="21438" y="21000"/>
                <wp:lineTo x="21438" y="0"/>
                <wp:lineTo x="0" y="0"/>
              </wp:wrapPolygon>
            </wp:wrapTight>
            <wp:docPr id="7363904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390463" name=""/>
                    <pic:cNvPicPr/>
                  </pic:nvPicPr>
                  <pic:blipFill>
                    <a:blip r:embed="rId7">
                      <a:extLst>
                        <a:ext uri="{28A0092B-C50C-407E-A947-70E740481C1C}">
                          <a14:useLocalDpi xmlns:a14="http://schemas.microsoft.com/office/drawing/2010/main" val="0"/>
                        </a:ext>
                      </a:extLst>
                    </a:blip>
                    <a:stretch>
                      <a:fillRect/>
                    </a:stretch>
                  </pic:blipFill>
                  <pic:spPr>
                    <a:xfrm>
                      <a:off x="0" y="0"/>
                      <a:ext cx="2533650" cy="685800"/>
                    </a:xfrm>
                    <a:prstGeom prst="rect">
                      <a:avLst/>
                    </a:prstGeom>
                  </pic:spPr>
                </pic:pic>
              </a:graphicData>
            </a:graphic>
          </wp:anchor>
        </w:drawing>
      </w:r>
    </w:p>
    <w:p w14:paraId="5DFA1A42" w14:textId="47E173BA" w:rsidR="00DA14F4" w:rsidRPr="00D34138" w:rsidRDefault="00DA14F4" w:rsidP="00DA14F4">
      <w:pPr>
        <w:spacing w:after="0" w:line="240" w:lineRule="auto"/>
        <w:jc w:val="both"/>
        <w:rPr>
          <w:rFonts w:ascii="Verdana" w:eastAsia="Calibri" w:hAnsi="Verdana" w:cs="Arial"/>
          <w:lang w:val="en-US" w:eastAsia="es-ES"/>
        </w:rPr>
      </w:pPr>
      <w:r w:rsidRPr="00D34138">
        <w:rPr>
          <w:rFonts w:ascii="Verdana" w:eastAsia="Calibri" w:hAnsi="Verdana" w:cs="Arial"/>
          <w:lang w:val="en-US" w:eastAsia="es-ES"/>
        </w:rPr>
        <w:t>Señor</w:t>
      </w:r>
      <w:r w:rsidR="00C44061" w:rsidRPr="00D34138">
        <w:rPr>
          <w:rFonts w:ascii="Verdana" w:eastAsia="Calibri" w:hAnsi="Verdana" w:cs="Arial"/>
          <w:lang w:val="en-US" w:eastAsia="es-ES"/>
        </w:rPr>
        <w:t>a</w:t>
      </w:r>
    </w:p>
    <w:p w14:paraId="3340EC06" w14:textId="7B29C812" w:rsidR="00DA14F4" w:rsidRPr="00DA14F4" w:rsidRDefault="00C44061" w:rsidP="00DA14F4">
      <w:pPr>
        <w:spacing w:after="0" w:line="240" w:lineRule="auto"/>
        <w:jc w:val="both"/>
        <w:rPr>
          <w:rFonts w:ascii="Verdana" w:hAnsi="Verdana"/>
          <w:b/>
          <w:bCs/>
          <w:lang w:val="en-US"/>
        </w:rPr>
      </w:pPr>
      <w:r w:rsidRPr="00DA14F4">
        <w:rPr>
          <w:rFonts w:ascii="Verdana" w:hAnsi="Verdana"/>
          <w:b/>
          <w:bCs/>
          <w:lang w:val="en-US"/>
        </w:rPr>
        <w:t>Shalem Cure Baiz</w:t>
      </w:r>
    </w:p>
    <w:p w14:paraId="3A65ED08" w14:textId="7CAC4C3C" w:rsidR="00DA14F4" w:rsidRPr="00D34138" w:rsidRDefault="00DA14F4" w:rsidP="00DA14F4">
      <w:pPr>
        <w:spacing w:after="0" w:line="240" w:lineRule="auto"/>
        <w:jc w:val="both"/>
        <w:rPr>
          <w:rFonts w:ascii="Verdana" w:eastAsia="Calibri" w:hAnsi="Verdana" w:cs="Arial"/>
          <w:b/>
          <w:highlight w:val="yellow"/>
          <w:lang w:val="en-US" w:eastAsia="es-ES_tradnl"/>
        </w:rPr>
      </w:pPr>
      <w:hyperlink r:id="rId8" w:history="1">
        <w:r w:rsidRPr="00D34138">
          <w:rPr>
            <w:rStyle w:val="Hipervnculo"/>
            <w:rFonts w:ascii="Verdana" w:eastAsia="Calibri" w:hAnsi="Verdana" w:cs="Arial"/>
            <w:b/>
            <w:lang w:val="en-US" w:eastAsia="es-ES_tradnl"/>
          </w:rPr>
          <w:t>shalemcb@gmail.com</w:t>
        </w:r>
      </w:hyperlink>
      <w:r w:rsidRPr="00D34138">
        <w:rPr>
          <w:rFonts w:ascii="Verdana" w:eastAsia="Calibri" w:hAnsi="Verdana" w:cs="Arial"/>
          <w:b/>
          <w:lang w:val="en-US" w:eastAsia="es-ES_tradnl"/>
        </w:rPr>
        <w:t xml:space="preserve"> </w:t>
      </w:r>
    </w:p>
    <w:p w14:paraId="7343290A" w14:textId="0DA40DE9" w:rsidR="00DA14F4" w:rsidRPr="004E1BE4" w:rsidRDefault="00DA14F4" w:rsidP="00DA14F4">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Santiago de Tolú, Sucre </w:t>
      </w:r>
    </w:p>
    <w:p w14:paraId="728A5C5E" w14:textId="77777777" w:rsidR="00DA14F4" w:rsidRPr="005B4C57" w:rsidRDefault="00DA14F4" w:rsidP="00DA14F4">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A14F4" w:rsidRPr="002842E0" w14:paraId="6F82B502" w14:textId="77777777" w:rsidTr="00AB63CC">
        <w:trPr>
          <w:trHeight w:val="162"/>
        </w:trPr>
        <w:tc>
          <w:tcPr>
            <w:tcW w:w="3119" w:type="dxa"/>
          </w:tcPr>
          <w:p w14:paraId="4106662E" w14:textId="77777777" w:rsidR="00DA14F4" w:rsidRPr="005B4C57" w:rsidRDefault="00DA14F4" w:rsidP="00AB63CC">
            <w:pPr>
              <w:jc w:val="both"/>
              <w:rPr>
                <w:rFonts w:ascii="Verdana" w:eastAsia="Calibri" w:hAnsi="Verdana" w:cs="Arial"/>
                <w:b/>
                <w:bCs/>
                <w:color w:val="7030A0"/>
                <w:lang w:val="it-CH" w:eastAsia="es-ES_tradnl"/>
              </w:rPr>
            </w:pPr>
          </w:p>
        </w:tc>
        <w:tc>
          <w:tcPr>
            <w:tcW w:w="5670" w:type="dxa"/>
          </w:tcPr>
          <w:p w14:paraId="2D8AB912" w14:textId="7DD346F9" w:rsidR="00DA14F4" w:rsidRPr="00801462" w:rsidRDefault="00DA14F4" w:rsidP="00AB63CC">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554 de 2026</w:t>
            </w:r>
          </w:p>
          <w:p w14:paraId="3DEAB085" w14:textId="77777777" w:rsidR="00DA14F4" w:rsidRPr="00801462" w:rsidRDefault="00DA14F4" w:rsidP="00AB63CC">
            <w:pPr>
              <w:jc w:val="both"/>
              <w:rPr>
                <w:rFonts w:ascii="Verdana" w:eastAsia="Calibri" w:hAnsi="Verdana" w:cs="Arial"/>
                <w:b/>
                <w:bCs/>
                <w:color w:val="7030A0"/>
                <w:lang w:eastAsia="es-ES"/>
              </w:rPr>
            </w:pPr>
          </w:p>
        </w:tc>
      </w:tr>
      <w:tr w:rsidR="00DA14F4" w:rsidRPr="002842E0" w14:paraId="420CEBDE" w14:textId="77777777" w:rsidTr="00AB63CC">
        <w:trPr>
          <w:trHeight w:val="884"/>
        </w:trPr>
        <w:tc>
          <w:tcPr>
            <w:tcW w:w="3119" w:type="dxa"/>
          </w:tcPr>
          <w:p w14:paraId="0466EDA4" w14:textId="77777777" w:rsidR="00DA14F4" w:rsidRPr="00801462" w:rsidRDefault="00DA14F4" w:rsidP="00AB63CC">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C3FF669" w14:textId="77777777" w:rsidR="00DA14F4" w:rsidRPr="002379AA" w:rsidRDefault="00DA14F4" w:rsidP="00DA14F4">
            <w:pPr>
              <w:contextualSpacing/>
              <w:jc w:val="both"/>
              <w:rPr>
                <w:rFonts w:ascii="Verdana" w:eastAsia="Calibri" w:hAnsi="Verdana" w:cs="Arial"/>
                <w:lang w:val="es-ES" w:eastAsia="es-ES"/>
              </w:rPr>
            </w:pPr>
            <w:r>
              <w:rPr>
                <w:rFonts w:ascii="Verdana" w:eastAsia="Calibri" w:hAnsi="Verdana" w:cs="Arial"/>
                <w:bCs/>
                <w:lang w:val="es-MX"/>
              </w:rPr>
              <w:t xml:space="preserve">PLIEGOS DE CONDICIONES – Naturaleza / PLIEGOS DE CONDICIONES – Otros documentos – </w:t>
            </w:r>
            <w:r w:rsidRPr="002379AA">
              <w:rPr>
                <w:rFonts w:ascii="Verdana" w:eastAsia="Calibri" w:hAnsi="Verdana" w:cs="Arial"/>
                <w:bCs/>
                <w:lang w:val="es-MX"/>
              </w:rPr>
              <w:t>Contradicción información</w:t>
            </w:r>
            <w:r w:rsidRPr="002379AA">
              <w:rPr>
                <w:rFonts w:ascii="Verdana" w:eastAsia="Calibri" w:hAnsi="Verdana" w:cs="Arial"/>
              </w:rPr>
              <w:t xml:space="preserve"> / INTERPRETACIÓN – Reglas</w:t>
            </w:r>
            <w:r w:rsidRPr="002379AA">
              <w:rPr>
                <w:rFonts w:ascii="Verdana" w:eastAsia="Calibri" w:hAnsi="Verdana" w:cs="Arial"/>
                <w:lang w:val="es-ES" w:eastAsia="es-ES"/>
              </w:rPr>
              <w:t xml:space="preserve"> </w:t>
            </w:r>
            <w:r>
              <w:rPr>
                <w:rFonts w:ascii="Verdana" w:eastAsia="Calibri" w:hAnsi="Verdana" w:cs="Arial"/>
                <w:lang w:val="es-ES" w:eastAsia="es-ES"/>
              </w:rPr>
              <w:t xml:space="preserve">de interpretación </w:t>
            </w:r>
          </w:p>
          <w:p w14:paraId="7BB74CDE" w14:textId="77777777" w:rsidR="00DA14F4" w:rsidRPr="00DA14F4" w:rsidRDefault="00DA14F4" w:rsidP="00AB63CC">
            <w:pPr>
              <w:jc w:val="both"/>
              <w:rPr>
                <w:rFonts w:ascii="Verdana" w:eastAsia="Calibri" w:hAnsi="Verdana" w:cs="Arial"/>
                <w:lang w:val="es-ES" w:eastAsia="es-ES"/>
              </w:rPr>
            </w:pPr>
          </w:p>
        </w:tc>
      </w:tr>
      <w:tr w:rsidR="00DA14F4" w:rsidRPr="002842E0" w14:paraId="7D24D171" w14:textId="77777777" w:rsidTr="00AB63CC">
        <w:tc>
          <w:tcPr>
            <w:tcW w:w="3119" w:type="dxa"/>
          </w:tcPr>
          <w:p w14:paraId="04C16A03" w14:textId="77777777" w:rsidR="00DA14F4" w:rsidRPr="00801462" w:rsidRDefault="00DA14F4" w:rsidP="00AB63CC">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0B0C97B6" w14:textId="49F5DCF9" w:rsidR="00DA14F4" w:rsidRPr="00C84654" w:rsidRDefault="00DA14F4" w:rsidP="00AB63CC">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sidRPr="00DA14F4">
              <w:rPr>
                <w:rFonts w:ascii="Verdana" w:eastAsia="Calibri" w:hAnsi="Verdana" w:cs="Arial"/>
                <w:lang w:eastAsia="es-ES_tradnl"/>
              </w:rPr>
              <w:t>1_2026_04_09_004843</w:t>
            </w:r>
            <w:r>
              <w:rPr>
                <w:rFonts w:ascii="Verdana" w:eastAsia="Calibri" w:hAnsi="Verdana" w:cs="Arial"/>
                <w:lang w:eastAsia="es-ES_tradnl"/>
              </w:rPr>
              <w:t xml:space="preserve"> </w:t>
            </w:r>
          </w:p>
        </w:tc>
      </w:tr>
    </w:tbl>
    <w:p w14:paraId="0883E253" w14:textId="77777777" w:rsidR="00DA14F4" w:rsidRDefault="00DA14F4" w:rsidP="00DA14F4">
      <w:pPr>
        <w:spacing w:after="0" w:line="276" w:lineRule="auto"/>
        <w:jc w:val="both"/>
        <w:rPr>
          <w:rFonts w:ascii="Verdana" w:eastAsia="Calibri" w:hAnsi="Verdana" w:cs="Arial"/>
          <w:lang w:eastAsia="es-ES_tradnl"/>
        </w:rPr>
      </w:pPr>
    </w:p>
    <w:p w14:paraId="468E50CF" w14:textId="01558B66" w:rsidR="00DA14F4" w:rsidRPr="008E4F36" w:rsidRDefault="00DA14F4" w:rsidP="00DA14F4">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sidR="00C44061">
        <w:rPr>
          <w:rFonts w:ascii="Verdana" w:eastAsia="Calibri" w:hAnsi="Verdana" w:cs="Arial"/>
          <w:lang w:eastAsia="es-ES"/>
        </w:rPr>
        <w:t>a señora Cure</w:t>
      </w:r>
      <w:r w:rsidRPr="00083AB6">
        <w:rPr>
          <w:rFonts w:ascii="Verdana" w:eastAsia="Calibri" w:hAnsi="Verdana" w:cs="Arial"/>
          <w:lang w:eastAsia="es-ES"/>
        </w:rPr>
        <w:t>:</w:t>
      </w:r>
      <w:r w:rsidRPr="008E4F36">
        <w:rPr>
          <w:rFonts w:ascii="Verdana" w:eastAsia="Calibri" w:hAnsi="Verdana" w:cs="Arial"/>
          <w:lang w:eastAsia="es-ES"/>
        </w:rPr>
        <w:t xml:space="preserve"> </w:t>
      </w:r>
    </w:p>
    <w:p w14:paraId="5CBEFA0D" w14:textId="77777777" w:rsidR="00DA14F4" w:rsidRDefault="00DA14F4" w:rsidP="00DA14F4">
      <w:pPr>
        <w:tabs>
          <w:tab w:val="left" w:pos="3768"/>
        </w:tabs>
        <w:spacing w:after="0" w:line="240" w:lineRule="auto"/>
        <w:jc w:val="both"/>
        <w:rPr>
          <w:rFonts w:ascii="Verdana" w:eastAsia="Calibri" w:hAnsi="Verdana" w:cs="Arial"/>
          <w:lang w:eastAsia="es-ES"/>
        </w:rPr>
      </w:pPr>
    </w:p>
    <w:p w14:paraId="258BB14C" w14:textId="383807D9" w:rsidR="00DA14F4" w:rsidRPr="008E4F36" w:rsidRDefault="00DA14F4" w:rsidP="00DA14F4">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9</w:t>
      </w:r>
      <w:r w:rsidRPr="00AF6D58">
        <w:rPr>
          <w:rFonts w:ascii="Verdana" w:eastAsia="Calibri" w:hAnsi="Verdana" w:cs="Arial"/>
          <w:lang w:eastAsia="es-ES"/>
        </w:rPr>
        <w:t xml:space="preserve"> de </w:t>
      </w:r>
      <w:r>
        <w:rPr>
          <w:rFonts w:ascii="Verdana" w:eastAsia="Calibri" w:hAnsi="Verdana" w:cs="Arial"/>
          <w:lang w:eastAsia="es-ES"/>
        </w:rPr>
        <w:t>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7B1D6BA6" w14:textId="77777777" w:rsidR="00DA14F4" w:rsidRPr="008C54F3" w:rsidRDefault="00DA14F4" w:rsidP="00DA14F4">
      <w:pPr>
        <w:spacing w:line="240" w:lineRule="auto"/>
        <w:ind w:left="709" w:right="709"/>
        <w:jc w:val="both"/>
        <w:rPr>
          <w:rFonts w:ascii="Verdana" w:eastAsia="Calibri" w:hAnsi="Verdana" w:cs="Arial"/>
          <w:color w:val="000000" w:themeColor="text1"/>
          <w:sz w:val="20"/>
          <w:szCs w:val="20"/>
        </w:rPr>
      </w:pPr>
    </w:p>
    <w:p w14:paraId="2E710FE3" w14:textId="7A31EA0F" w:rsidR="00DA14F4" w:rsidRPr="00DA14F4" w:rsidRDefault="00DA14F4" w:rsidP="00DA14F4">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DA14F4">
        <w:rPr>
          <w:rFonts w:ascii="Verdana" w:eastAsia="Calibri" w:hAnsi="Verdana" w:cs="Arial"/>
          <w:i/>
          <w:iCs/>
          <w:color w:val="000000" w:themeColor="text1"/>
          <w:sz w:val="20"/>
          <w:szCs w:val="20"/>
        </w:rPr>
        <w:t>Solicito su colaboración con un concepto jurídico o respondiendo una duda, le puedo exigir a un contratista, que cumpla las obligaciones de los estudios previos, si la entidad no incluyó las obligaciones en el contrato??</w:t>
      </w:r>
    </w:p>
    <w:p w14:paraId="0F7AD40E" w14:textId="2E2FC8AA" w:rsidR="00DA14F4" w:rsidRPr="00DA14F4" w:rsidRDefault="00DA14F4" w:rsidP="00DA14F4">
      <w:pPr>
        <w:spacing w:line="240" w:lineRule="auto"/>
        <w:ind w:left="709" w:right="709"/>
        <w:jc w:val="both"/>
        <w:rPr>
          <w:rFonts w:ascii="Verdana" w:eastAsia="Calibri" w:hAnsi="Verdana" w:cs="Arial"/>
          <w:i/>
          <w:iCs/>
          <w:color w:val="000000" w:themeColor="text1"/>
          <w:sz w:val="20"/>
          <w:szCs w:val="20"/>
        </w:rPr>
      </w:pPr>
      <w:r w:rsidRPr="00DA14F4">
        <w:rPr>
          <w:rFonts w:ascii="Verdana" w:eastAsia="Calibri" w:hAnsi="Verdana" w:cs="Arial"/>
          <w:i/>
          <w:iCs/>
          <w:color w:val="000000" w:themeColor="text1"/>
          <w:sz w:val="20"/>
          <w:szCs w:val="20"/>
        </w:rPr>
        <w:t>Es decir, las obligaciones previstas en los estudios previos son exigibles al contratista ? si la entidad no los incluyó en las obligaciones contractuales.</w:t>
      </w:r>
    </w:p>
    <w:p w14:paraId="0731E462" w14:textId="69B66534" w:rsidR="00DA14F4" w:rsidRDefault="00DA14F4" w:rsidP="00DA14F4">
      <w:pPr>
        <w:spacing w:line="240" w:lineRule="auto"/>
        <w:ind w:left="709" w:right="709"/>
        <w:jc w:val="both"/>
        <w:rPr>
          <w:rFonts w:ascii="Verdana" w:eastAsia="Calibri" w:hAnsi="Verdana" w:cs="Arial"/>
          <w:i/>
          <w:iCs/>
          <w:color w:val="000000" w:themeColor="text1"/>
          <w:sz w:val="20"/>
          <w:szCs w:val="20"/>
        </w:rPr>
      </w:pPr>
      <w:r w:rsidRPr="00DA14F4">
        <w:rPr>
          <w:rFonts w:ascii="Verdana" w:eastAsia="Calibri" w:hAnsi="Verdana" w:cs="Arial"/>
          <w:i/>
          <w:iCs/>
          <w:color w:val="000000" w:themeColor="text1"/>
          <w:sz w:val="20"/>
          <w:szCs w:val="20"/>
        </w:rPr>
        <w:t>Se le puede exigir evidencias para el pago de las obligaciones previstas en los estudios previos y adicional la del contrato?? es decir, tocaría que el contratista presente evidencias de las obligaciones de los estudios previos, del contrato, del pliego de condiciones y de la oferta económica?</w:t>
      </w:r>
      <w:r>
        <w:rPr>
          <w:rFonts w:ascii="Verdana" w:eastAsia="Calibri" w:hAnsi="Verdana" w:cs="Arial"/>
          <w:i/>
          <w:iCs/>
          <w:color w:val="000000" w:themeColor="text1"/>
          <w:sz w:val="20"/>
          <w:szCs w:val="20"/>
        </w:rPr>
        <w:t>” (SIC)</w:t>
      </w:r>
    </w:p>
    <w:p w14:paraId="0B279AA9" w14:textId="77777777" w:rsidR="00DA14F4" w:rsidRPr="00453E03" w:rsidRDefault="00DA14F4" w:rsidP="00DA14F4">
      <w:pPr>
        <w:spacing w:line="240" w:lineRule="auto"/>
        <w:ind w:left="709" w:right="709"/>
        <w:jc w:val="both"/>
        <w:rPr>
          <w:rFonts w:ascii="Verdana" w:eastAsia="Calibri" w:hAnsi="Verdana" w:cs="Arial"/>
          <w:i/>
          <w:iCs/>
          <w:color w:val="000000" w:themeColor="text1"/>
          <w:sz w:val="20"/>
          <w:szCs w:val="20"/>
        </w:rPr>
      </w:pPr>
    </w:p>
    <w:p w14:paraId="201340D2" w14:textId="77777777" w:rsidR="00DA14F4" w:rsidRDefault="00DA14F4" w:rsidP="00DA14F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DAA7B21" w14:textId="77777777" w:rsidR="00DA14F4" w:rsidRPr="00054383" w:rsidRDefault="00DA14F4" w:rsidP="00DA14F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042555D" w14:textId="77777777" w:rsidR="00DA14F4" w:rsidRPr="008E4F36" w:rsidRDefault="00DA14F4" w:rsidP="00DA14F4">
      <w:pPr>
        <w:spacing w:after="0"/>
        <w:ind w:firstLine="709"/>
        <w:jc w:val="both"/>
        <w:rPr>
          <w:rFonts w:ascii="Verdana" w:eastAsia="Calibri" w:hAnsi="Verdana" w:cs="Arial"/>
          <w:color w:val="000000"/>
          <w:lang w:eastAsia="es-ES"/>
        </w:rPr>
      </w:pPr>
    </w:p>
    <w:p w14:paraId="7BD1A959" w14:textId="77777777" w:rsidR="00DA14F4" w:rsidRDefault="00DA14F4" w:rsidP="00DA14F4">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355AAFFF" w14:textId="77777777" w:rsidR="00DA14F4" w:rsidRDefault="00DA14F4" w:rsidP="00DA14F4">
      <w:pPr>
        <w:spacing w:after="0" w:line="276" w:lineRule="auto"/>
        <w:jc w:val="both"/>
        <w:rPr>
          <w:rFonts w:ascii="Verdana" w:eastAsia="Calibri" w:hAnsi="Verdana" w:cs="Arial"/>
          <w:color w:val="000000"/>
          <w:highlight w:val="yellow"/>
          <w:lang w:eastAsia="es-ES"/>
        </w:rPr>
      </w:pPr>
    </w:p>
    <w:p w14:paraId="731E9C6E" w14:textId="5C2CB44C" w:rsidR="00DA14F4" w:rsidRPr="005A3B40" w:rsidRDefault="00DA14F4" w:rsidP="00DA14F4">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00C44061" w:rsidRPr="00C44061">
        <w:t xml:space="preserve"> </w:t>
      </w:r>
      <w:r w:rsidR="00C44061" w:rsidRPr="00C44061">
        <w:rPr>
          <w:rFonts w:ascii="Verdana" w:eastAsia="Calibri" w:hAnsi="Verdana" w:cs="Arial"/>
          <w:color w:val="000000"/>
          <w:lang w:eastAsia="es-ES"/>
        </w:rPr>
        <w:t>¿Es jurídicamente procedente exigir al contratista el cumplimiento y acreditación de obligaciones previstas en los estudios previos, pliegos de condiciones o demás documentos del proceso, cuando dichas obligaciones no fueron incorporadas expresamente en el clausulado del contrato estatal suscrito entre las partes?</w:t>
      </w:r>
      <w:r w:rsidR="00C44061">
        <w:rPr>
          <w:rFonts w:ascii="Verdana" w:eastAsia="Calibri" w:hAnsi="Verdana" w:cs="Arial"/>
          <w:color w:val="000000"/>
          <w:lang w:eastAsia="es-ES"/>
        </w:rPr>
        <w:t xml:space="preserve"> </w:t>
      </w:r>
    </w:p>
    <w:p w14:paraId="78641D25" w14:textId="77777777" w:rsidR="00DA14F4" w:rsidRPr="00BF422F" w:rsidRDefault="00DA14F4" w:rsidP="00DA14F4">
      <w:pPr>
        <w:spacing w:after="0" w:line="276" w:lineRule="auto"/>
        <w:jc w:val="both"/>
        <w:rPr>
          <w:rFonts w:ascii="Verdana" w:eastAsia="Calibri" w:hAnsi="Verdana" w:cs="Times New Roman"/>
          <w:i/>
          <w:iCs/>
          <w:lang w:val="es-ES"/>
        </w:rPr>
      </w:pPr>
    </w:p>
    <w:p w14:paraId="33BF17F1" w14:textId="77777777" w:rsidR="00DA14F4" w:rsidRPr="008E4F36" w:rsidRDefault="00DA14F4" w:rsidP="00DA14F4">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50649FF" w14:textId="77777777" w:rsidR="00DA14F4" w:rsidRPr="008E4F36" w:rsidRDefault="00DA14F4" w:rsidP="00DA14F4">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DA14F4" w:rsidRPr="008E4F36" w14:paraId="46B3E0D8" w14:textId="77777777" w:rsidTr="00AB63CC">
        <w:tc>
          <w:tcPr>
            <w:tcW w:w="8828" w:type="dxa"/>
          </w:tcPr>
          <w:p w14:paraId="57F89E41" w14:textId="77777777" w:rsidR="00C44061" w:rsidRPr="00C44061" w:rsidRDefault="00C44061" w:rsidP="009177BF">
            <w:pPr>
              <w:spacing w:after="120" w:line="276" w:lineRule="auto"/>
              <w:jc w:val="both"/>
              <w:rPr>
                <w:rFonts w:ascii="Verdana" w:hAnsi="Verdana" w:cs="Arial"/>
                <w:color w:val="000000" w:themeColor="text1"/>
              </w:rPr>
            </w:pPr>
            <w:r w:rsidRPr="00C44061">
              <w:rPr>
                <w:rFonts w:ascii="Verdana" w:hAnsi="Verdana" w:cs="Arial"/>
                <w:color w:val="000000" w:themeColor="text1"/>
              </w:rPr>
              <w:t xml:space="preserve">En relación con el problema jurídico planteado, debe señalarse que, conforme a la normativa de contratación estatal y a la jurisprudencia de la Sección Tercera del Consejo de Estado, los pliegos de condiciones constituyen el principal instrumento rector del proceso de selección y, posteriormente, integran el marco jurídico del contrato estatal. En ese sentido, las reglas contenidas en el pliego de condiciones prevalecen sobre otros documentos </w:t>
            </w:r>
            <w:r w:rsidRPr="00C44061">
              <w:rPr>
                <w:rFonts w:ascii="Verdana" w:hAnsi="Verdana" w:cs="Arial"/>
                <w:color w:val="000000" w:themeColor="text1"/>
              </w:rPr>
              <w:lastRenderedPageBreak/>
              <w:t>contractuales e incluso sobre la minuta del contrato, en la medida en que esta última se limita a formalizar el acuerdo de voluntades alcanzado entre las partes.</w:t>
            </w:r>
          </w:p>
          <w:p w14:paraId="77DC10C8" w14:textId="77777777" w:rsidR="00C44061" w:rsidRPr="00C44061" w:rsidRDefault="00C44061" w:rsidP="00C44061">
            <w:pPr>
              <w:spacing w:after="120" w:line="276" w:lineRule="auto"/>
              <w:ind w:firstLine="709"/>
              <w:jc w:val="both"/>
              <w:rPr>
                <w:rFonts w:ascii="Verdana" w:hAnsi="Verdana" w:cs="Arial"/>
                <w:color w:val="000000" w:themeColor="text1"/>
              </w:rPr>
            </w:pPr>
            <w:r w:rsidRPr="00C44061">
              <w:rPr>
                <w:rFonts w:ascii="Verdana" w:hAnsi="Verdana" w:cs="Arial"/>
                <w:color w:val="000000" w:themeColor="text1"/>
              </w:rPr>
              <w:t>Por consiguiente, las obligaciones previstas en los estudios previos, pliegos de condiciones y demás documentos del proceso podrán resultar exigibles al contratista aun cuando no hayan sido reproducidas literalmente en el clausulado contractual, siempre que del análisis integral de los documentos que conforman el contrato se evidencie que dichas obligaciones hacían parte de las condiciones que rigieron el proceso de selección y del alcance obligacional asumido por el contratista al presentar su oferta y suscribir el contrato.</w:t>
            </w:r>
          </w:p>
          <w:p w14:paraId="507CBB72" w14:textId="77777777" w:rsidR="00C44061" w:rsidRPr="00C44061" w:rsidRDefault="00C44061" w:rsidP="00C44061">
            <w:pPr>
              <w:spacing w:after="120" w:line="276" w:lineRule="auto"/>
              <w:ind w:firstLine="709"/>
              <w:jc w:val="both"/>
              <w:rPr>
                <w:rFonts w:ascii="Verdana" w:hAnsi="Verdana" w:cs="Arial"/>
                <w:color w:val="000000" w:themeColor="text1"/>
              </w:rPr>
            </w:pPr>
            <w:r w:rsidRPr="00C44061">
              <w:rPr>
                <w:rFonts w:ascii="Verdana" w:hAnsi="Verdana" w:cs="Arial"/>
                <w:color w:val="000000" w:themeColor="text1"/>
              </w:rPr>
              <w:t>No obstante, la determinación sobre la exigibilidad de dichas obligaciones no puede realizarse de manera automática o aislada, sino que debe efectuarse a partir de una interpretación sistemática e integral de los documentos contractuales, teniendo en cuenta los principios que orientan la contratación estatal, particularmente los de transparencia, buena fe, responsabilidad y selección objetiva previstos en la Ley 80 de 1993.</w:t>
            </w:r>
          </w:p>
          <w:p w14:paraId="5C2FE8BE" w14:textId="77777777" w:rsidR="00C44061" w:rsidRPr="00C44061" w:rsidRDefault="00C44061" w:rsidP="00C44061">
            <w:pPr>
              <w:spacing w:after="120" w:line="276" w:lineRule="auto"/>
              <w:ind w:firstLine="709"/>
              <w:jc w:val="both"/>
              <w:rPr>
                <w:rFonts w:ascii="Verdana" w:hAnsi="Verdana" w:cs="Arial"/>
                <w:color w:val="000000" w:themeColor="text1"/>
              </w:rPr>
            </w:pPr>
            <w:r w:rsidRPr="00C44061">
              <w:rPr>
                <w:rFonts w:ascii="Verdana" w:hAnsi="Verdana" w:cs="Arial"/>
                <w:color w:val="000000" w:themeColor="text1"/>
              </w:rPr>
              <w:t>En esa medida, la jurisprudencia ha señalado que las reglas contenidas en los pliegos de condiciones que presenten vacíos, contradicciones o ambigüedades deben interpretarse con sujeción a los principios generales del derecho, a los principios de la función administrativa y a la finalidad del proceso contractual, de conformidad con el artículo 23 de la Ley 80 de 1993.</w:t>
            </w:r>
          </w:p>
          <w:p w14:paraId="3500A32E" w14:textId="77777777" w:rsidR="00C44061" w:rsidRPr="00C44061" w:rsidRDefault="00C44061" w:rsidP="00C44061">
            <w:pPr>
              <w:spacing w:after="120" w:line="276" w:lineRule="auto"/>
              <w:ind w:firstLine="709"/>
              <w:jc w:val="both"/>
              <w:rPr>
                <w:rFonts w:ascii="Verdana" w:hAnsi="Verdana" w:cs="Arial"/>
                <w:color w:val="000000" w:themeColor="text1"/>
              </w:rPr>
            </w:pPr>
            <w:r w:rsidRPr="00C44061">
              <w:rPr>
                <w:rFonts w:ascii="Verdana" w:hAnsi="Verdana" w:cs="Arial"/>
                <w:color w:val="000000" w:themeColor="text1"/>
              </w:rPr>
              <w:t xml:space="preserve">Adicionalmente, para determinar el alcance y contenido de las obligaciones contractuales, las partes podrán acudir a las reglas de interpretación previstas en los artículos 1618 a 1624 del Código Civil. Entre ellas se encuentran, entre otras: i) la prevalencia de la intención real de los contratantes sobre el sentido literal de las palabras; </w:t>
            </w:r>
            <w:proofErr w:type="spellStart"/>
            <w:r w:rsidRPr="00C44061">
              <w:rPr>
                <w:rFonts w:ascii="Verdana" w:hAnsi="Verdana" w:cs="Arial"/>
                <w:color w:val="000000" w:themeColor="text1"/>
              </w:rPr>
              <w:t>ii</w:t>
            </w:r>
            <w:proofErr w:type="spellEnd"/>
            <w:r w:rsidRPr="00C44061">
              <w:rPr>
                <w:rFonts w:ascii="Verdana" w:hAnsi="Verdana" w:cs="Arial"/>
                <w:color w:val="000000" w:themeColor="text1"/>
              </w:rPr>
              <w:t xml:space="preserve">) la interpretación armónica de las cláusulas y documentos del contrato; </w:t>
            </w:r>
            <w:proofErr w:type="spellStart"/>
            <w:r w:rsidRPr="00C44061">
              <w:rPr>
                <w:rFonts w:ascii="Verdana" w:hAnsi="Verdana" w:cs="Arial"/>
                <w:color w:val="000000" w:themeColor="text1"/>
              </w:rPr>
              <w:t>iii</w:t>
            </w:r>
            <w:proofErr w:type="spellEnd"/>
            <w:r w:rsidRPr="00C44061">
              <w:rPr>
                <w:rFonts w:ascii="Verdana" w:hAnsi="Verdana" w:cs="Arial"/>
                <w:color w:val="000000" w:themeColor="text1"/>
              </w:rPr>
              <w:t xml:space="preserve">) la preferencia por el sentido que produzca efectos jurídicos; </w:t>
            </w:r>
            <w:proofErr w:type="spellStart"/>
            <w:r w:rsidRPr="00C44061">
              <w:rPr>
                <w:rFonts w:ascii="Verdana" w:hAnsi="Verdana" w:cs="Arial"/>
                <w:color w:val="000000" w:themeColor="text1"/>
              </w:rPr>
              <w:t>iv</w:t>
            </w:r>
            <w:proofErr w:type="spellEnd"/>
            <w:r w:rsidRPr="00C44061">
              <w:rPr>
                <w:rFonts w:ascii="Verdana" w:hAnsi="Verdana" w:cs="Arial"/>
                <w:color w:val="000000" w:themeColor="text1"/>
              </w:rPr>
              <w:t>) la interpretación conforme con la naturaleza del contrato; y v) la interpretación contra quien redactó las cláusulas ambiguas cuando la oscuridad provenga de una explicación que debía suministrar.</w:t>
            </w:r>
          </w:p>
          <w:p w14:paraId="7480F399" w14:textId="77777777" w:rsidR="00C44061" w:rsidRPr="00C44061" w:rsidRDefault="00C44061" w:rsidP="00C44061">
            <w:pPr>
              <w:spacing w:after="120" w:line="276" w:lineRule="auto"/>
              <w:ind w:firstLine="709"/>
              <w:jc w:val="both"/>
              <w:rPr>
                <w:rFonts w:ascii="Verdana" w:hAnsi="Verdana" w:cs="Arial"/>
                <w:color w:val="000000" w:themeColor="text1"/>
              </w:rPr>
            </w:pPr>
            <w:r w:rsidRPr="00C44061">
              <w:rPr>
                <w:rFonts w:ascii="Verdana" w:hAnsi="Verdana" w:cs="Arial"/>
                <w:color w:val="000000" w:themeColor="text1"/>
              </w:rPr>
              <w:t xml:space="preserve">Así las cosas, en caso de contradicción entre el contenido del pliego de condiciones y otros documentos del proceso contractual, en principio </w:t>
            </w:r>
            <w:r w:rsidRPr="00C44061">
              <w:rPr>
                <w:rFonts w:ascii="Verdana" w:hAnsi="Verdana" w:cs="Arial"/>
                <w:color w:val="000000" w:themeColor="text1"/>
              </w:rPr>
              <w:lastRenderedPageBreak/>
              <w:t>prevalecerá lo dispuesto en el pliego de condiciones, sin perjuicio de que la entidad deba analizar las circunstancias concretas de cada caso y aplicar las reglas de interpretación contractual correspondientes.</w:t>
            </w:r>
          </w:p>
          <w:p w14:paraId="606CBDA2" w14:textId="0F797469" w:rsidR="00DA14F4" w:rsidRPr="00B70775" w:rsidRDefault="00C44061" w:rsidP="00C44061">
            <w:pPr>
              <w:spacing w:after="120" w:line="276" w:lineRule="auto"/>
              <w:ind w:firstLine="709"/>
              <w:jc w:val="both"/>
              <w:rPr>
                <w:rFonts w:ascii="Verdana" w:hAnsi="Verdana" w:cs="Arial"/>
                <w:color w:val="000000" w:themeColor="text1"/>
              </w:rPr>
            </w:pPr>
            <w:r w:rsidRPr="00C44061">
              <w:rPr>
                <w:rFonts w:ascii="Verdana" w:hAnsi="Verdana" w:cs="Arial"/>
                <w:color w:val="000000" w:themeColor="text1"/>
              </w:rPr>
              <w:t>En todo caso, la exigibilidad de obligaciones no incorporadas expresamente en la minuta contractual dependerá de la valoración integral de los documentos que conforman el contrato estatal y de la forma en que dichas obligaciones fueron definidas dentro del proceso de contratación, sin que resulte posible establecer de manera general y abstracta la prevalencia absoluta de un documento sobre otro. Finalmente, si persiste controversia respecto del alcance o interpretación de las obligaciones contractuales, corresponderá a la jurisdicción de lo contencioso administrativo determinar cuál es el documento o interpretación aplicable al caso concreto.</w:t>
            </w:r>
          </w:p>
        </w:tc>
      </w:tr>
    </w:tbl>
    <w:p w14:paraId="7DC59502" w14:textId="77777777" w:rsidR="00DA14F4" w:rsidRDefault="00DA14F4" w:rsidP="00DA14F4">
      <w:pPr>
        <w:tabs>
          <w:tab w:val="left" w:pos="142"/>
          <w:tab w:val="left" w:pos="284"/>
        </w:tabs>
        <w:spacing w:after="0" w:line="276" w:lineRule="auto"/>
        <w:jc w:val="both"/>
        <w:rPr>
          <w:rFonts w:ascii="Verdana" w:eastAsia="Century Gothic" w:hAnsi="Verdana" w:cs="Century Gothic"/>
          <w:b/>
          <w:bCs/>
        </w:rPr>
      </w:pPr>
    </w:p>
    <w:p w14:paraId="1FF26610" w14:textId="77777777" w:rsidR="00DA14F4" w:rsidRPr="008E4F36" w:rsidRDefault="00DA14F4" w:rsidP="00DA14F4">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14242DD" w14:textId="77777777" w:rsidR="00DA14F4" w:rsidRDefault="00DA14F4" w:rsidP="00DA14F4">
      <w:pPr>
        <w:pStyle w:val="Prrafodelista"/>
        <w:tabs>
          <w:tab w:val="left" w:pos="142"/>
          <w:tab w:val="left" w:pos="284"/>
        </w:tabs>
        <w:spacing w:after="0" w:line="276" w:lineRule="auto"/>
        <w:ind w:left="0"/>
        <w:contextualSpacing w:val="0"/>
        <w:jc w:val="both"/>
        <w:rPr>
          <w:rFonts w:ascii="Verdana" w:eastAsia="Calibri" w:hAnsi="Verdana" w:cs="Arial"/>
        </w:rPr>
      </w:pPr>
    </w:p>
    <w:p w14:paraId="560BE3F6" w14:textId="77777777" w:rsidR="00DA14F4" w:rsidRDefault="00DA14F4" w:rsidP="00DA14F4">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2DB1AAB" w14:textId="1A9EA409" w:rsidR="00DA14F4" w:rsidRDefault="00DA14F4" w:rsidP="00DA14F4">
      <w:pPr>
        <w:spacing w:after="0" w:line="276" w:lineRule="auto"/>
        <w:jc w:val="both"/>
        <w:rPr>
          <w:rFonts w:ascii="Verdana" w:eastAsia="Calibri" w:hAnsi="Verdana" w:cs="Arial"/>
          <w:color w:val="000000"/>
          <w:shd w:val="clear" w:color="auto" w:fill="FFFFFF"/>
          <w:lang w:val="es-ES"/>
        </w:rPr>
      </w:pPr>
      <w:bookmarkStart w:id="4" w:name="_Hlk204856061"/>
      <w:bookmarkStart w:id="5" w:name="_Hlk78820161"/>
      <w:bookmarkStart w:id="6" w:name="_Hlk204854194"/>
    </w:p>
    <w:p w14:paraId="06F08C49" w14:textId="77777777" w:rsidR="00DA14F4" w:rsidRPr="002379AA" w:rsidRDefault="00DA14F4" w:rsidP="00DA14F4">
      <w:pPr>
        <w:spacing w:after="0" w:line="276" w:lineRule="auto"/>
        <w:jc w:val="both"/>
        <w:rPr>
          <w:rFonts w:ascii="Verdana" w:eastAsia="Calibri" w:hAnsi="Verdana" w:cs="Arial"/>
          <w:lang w:val="es-ES"/>
        </w:rPr>
      </w:pPr>
      <w:r w:rsidRPr="002379AA">
        <w:rPr>
          <w:rFonts w:ascii="Verdana" w:eastAsia="Calibri" w:hAnsi="Verdana" w:cs="Arial"/>
          <w:lang w:val="es-ES"/>
        </w:rPr>
        <w:t>L</w:t>
      </w:r>
      <w:r w:rsidRPr="002379AA">
        <w:rPr>
          <w:rFonts w:ascii="Verdana" w:eastAsia="Calibri" w:hAnsi="Verdana" w:cs="Arial"/>
          <w:color w:val="000000" w:themeColor="text1"/>
        </w:rPr>
        <w:t>a contratación pública involucra, entre otras relaciones, la interacción entre la Administración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 la contratación pública, con el propósito de procurar un equilibrio y el cumplimiento de sus principios, entre otros objetivos.</w:t>
      </w:r>
    </w:p>
    <w:p w14:paraId="55429041" w14:textId="77777777" w:rsidR="00DA14F4" w:rsidRPr="002379AA" w:rsidRDefault="00DA14F4" w:rsidP="00DA14F4">
      <w:pPr>
        <w:spacing w:before="120" w:after="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Por consiguiente, la normativa contractual contiene disposiciones que le indican a la entidad las actividades y documentos que debe desarrollar en sus procedimientos contractuales y, con base en ello, los proveedores pueden conocer los aspectos del objeto de la contratación para presentar sus ofertas, teniendo en cuenta los parámetros que define la entidad en la etapa de planeación del procedimiento, de acuerdo con las normas relacionadas con la adquisición de que se trate, y que quedan definidos en el pliego de condiciones</w:t>
      </w:r>
      <w:r w:rsidRPr="002379AA">
        <w:rPr>
          <w:rFonts w:ascii="Verdana" w:eastAsia="Calibri" w:hAnsi="Verdana" w:cs="Arial"/>
          <w:color w:val="000000" w:themeColor="text1"/>
          <w:vertAlign w:val="superscript"/>
        </w:rPr>
        <w:footnoteReference w:id="1"/>
      </w:r>
      <w:r w:rsidRPr="002379AA">
        <w:rPr>
          <w:rFonts w:ascii="Verdana" w:eastAsia="Calibri" w:hAnsi="Verdana" w:cs="Arial"/>
          <w:color w:val="000000" w:themeColor="text1"/>
        </w:rPr>
        <w:t xml:space="preserve">. </w:t>
      </w:r>
      <w:r w:rsidRPr="002379AA">
        <w:rPr>
          <w:rFonts w:ascii="Verdana" w:eastAsia="Calibri" w:hAnsi="Verdana" w:cs="Arial"/>
          <w:color w:val="000000" w:themeColor="text1"/>
        </w:rPr>
        <w:lastRenderedPageBreak/>
        <w:t>La Ley 80 de 1993, en el artículo 24, regula el principio de transparencia, sobre el cual se indican reglas para el contenido del pliego de condiciones:</w:t>
      </w:r>
    </w:p>
    <w:p w14:paraId="75A4EF3E" w14:textId="77777777" w:rsidR="00DA14F4" w:rsidRPr="002379AA" w:rsidRDefault="00DA14F4" w:rsidP="00DA14F4">
      <w:pPr>
        <w:spacing w:after="0" w:line="276" w:lineRule="auto"/>
        <w:ind w:left="709" w:right="709"/>
        <w:jc w:val="both"/>
        <w:rPr>
          <w:rFonts w:ascii="Verdana" w:hAnsi="Verdana" w:cs="Arial"/>
          <w:color w:val="000000" w:themeColor="text1"/>
        </w:rPr>
      </w:pPr>
    </w:p>
    <w:p w14:paraId="537B115D"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3355EFBB"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5o. En los pliegos de condiciones:</w:t>
      </w:r>
    </w:p>
    <w:p w14:paraId="02DAB5B3"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p>
    <w:p w14:paraId="1B79428F"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a) Se indicarán los requisitos objetivos necesarios para participar en el correspondiente proceso de selección.</w:t>
      </w:r>
    </w:p>
    <w:p w14:paraId="15FB3A13"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p>
    <w:p w14:paraId="61EFB860"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b) Se definirán reglas objetivas, justas, claras y completas que permitan la confección de ofrecimientos de la misma índole, aseguren una escogencia objetiva y eviten la declaratoria de desierta de la licitación.</w:t>
      </w:r>
    </w:p>
    <w:p w14:paraId="44813409"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p>
    <w:p w14:paraId="2BB60C18"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01FAD1DC"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p>
    <w:p w14:paraId="0E518FEF"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d) No se incluirán condiciones y exigencias de imposible cumplimiento, ni exenciones de la responsabilidad derivada de los datos, informes y documentos que se suministren.</w:t>
      </w:r>
    </w:p>
    <w:p w14:paraId="6A0B8157"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p>
    <w:p w14:paraId="566DDC51" w14:textId="77777777" w:rsidR="00DA14F4" w:rsidRPr="002379AA" w:rsidRDefault="00DA14F4" w:rsidP="00DA14F4">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 xml:space="preserve">e) Se definirán reglas que no induzcan a error a los proponentes y contratistas y que impidan la formulación de ofrecimientos de extensión ilimitada o que dependan de la voluntad exclusiva de la entidad. [...]”. </w:t>
      </w:r>
    </w:p>
    <w:p w14:paraId="4FA9F6FA" w14:textId="77777777" w:rsidR="00DA14F4" w:rsidRPr="002379AA" w:rsidRDefault="00DA14F4" w:rsidP="00DA14F4">
      <w:pPr>
        <w:spacing w:after="0" w:line="276" w:lineRule="auto"/>
        <w:ind w:left="709" w:right="709"/>
        <w:jc w:val="both"/>
        <w:rPr>
          <w:rFonts w:ascii="Verdana" w:hAnsi="Verdana" w:cs="Arial"/>
          <w:color w:val="000000" w:themeColor="text1"/>
        </w:rPr>
      </w:pPr>
    </w:p>
    <w:p w14:paraId="4674AFB5" w14:textId="77777777" w:rsidR="00DA14F4" w:rsidRPr="002379AA" w:rsidRDefault="00DA14F4" w:rsidP="00DA14F4">
      <w:pPr>
        <w:spacing w:after="120" w:line="276" w:lineRule="auto"/>
        <w:ind w:firstLine="709"/>
        <w:jc w:val="both"/>
        <w:rPr>
          <w:rFonts w:ascii="Verdana" w:hAnsi="Verdana" w:cs="Arial"/>
          <w:color w:val="000000" w:themeColor="text1"/>
        </w:rPr>
      </w:pPr>
      <w:r w:rsidRPr="002379AA">
        <w:rPr>
          <w:rFonts w:ascii="Verdana" w:eastAsia="Calibri" w:hAnsi="Verdana" w:cs="Arial"/>
          <w:color w:val="000000" w:themeColor="text1"/>
        </w:rPr>
        <w:t>Sumado a lo anterior, la Corte Constitucional ha señalado, frente a la selección objetiva, que la entidad no puede establecer reglas subjetivas, sino que deben ser razonables, de acuerdo con las normas que rigen la actividad contractual</w:t>
      </w:r>
      <w:r w:rsidRPr="002379AA">
        <w:rPr>
          <w:rFonts w:ascii="Verdana" w:eastAsia="Calibri" w:hAnsi="Verdana" w:cs="Arial"/>
          <w:color w:val="000000" w:themeColor="text1"/>
          <w:vertAlign w:val="superscript"/>
        </w:rPr>
        <w:footnoteReference w:id="2"/>
      </w:r>
      <w:r w:rsidRPr="002379AA">
        <w:rPr>
          <w:rFonts w:ascii="Verdana" w:eastAsia="Calibri" w:hAnsi="Verdana" w:cs="Arial"/>
          <w:color w:val="000000" w:themeColor="text1"/>
        </w:rPr>
        <w:t xml:space="preserve">. En otro pronunciamiento, el Consejo de Estado consideró que la autonomía que tienen las entidades frente a la configuración de los pliegos de condiciones y los criterios de selección de los procedimientos de contratación no es absoluta, pues debe tener relación con los fines de la contratación estatal </w:t>
      </w:r>
      <w:r w:rsidRPr="002379AA">
        <w:rPr>
          <w:rFonts w:ascii="Verdana" w:hAnsi="Verdana" w:cs="Arial"/>
          <w:color w:val="000000" w:themeColor="text1"/>
        </w:rPr>
        <w:t xml:space="preserve">y, por consiguiente, los criterios de selección susceptibles de calificación deben ser </w:t>
      </w:r>
      <w:r w:rsidRPr="002379AA">
        <w:rPr>
          <w:rFonts w:ascii="Verdana" w:hAnsi="Verdana" w:cs="Arial"/>
          <w:color w:val="000000" w:themeColor="text1"/>
        </w:rPr>
        <w:lastRenderedPageBreak/>
        <w:t>congruentes con ellos y comprender los elementos necesarios para llevar a cabo el contrato en las condiciones de modo, tiempo y lugar requeridas por ella. La objetividad que impone y reclama la Ley 80 en la contratación estatal, en varias de sus disposiciones, sólo se cumple a condición de que existan en los pliegos de condiciones o términos de referencia reglas necesarias, claras, objetivas y precisas de cara a la finalidad del contrato</w:t>
      </w:r>
      <w:r w:rsidRPr="002379AA">
        <w:rPr>
          <w:rFonts w:ascii="Verdana" w:hAnsi="Verdana" w:cs="Arial"/>
          <w:color w:val="000000" w:themeColor="text1"/>
          <w:vertAlign w:val="superscript"/>
        </w:rPr>
        <w:footnoteReference w:id="3"/>
      </w:r>
      <w:r w:rsidRPr="002379AA">
        <w:rPr>
          <w:rFonts w:ascii="Verdana" w:hAnsi="Verdana" w:cs="Arial"/>
          <w:color w:val="000000" w:themeColor="text1"/>
        </w:rPr>
        <w:t>.</w:t>
      </w:r>
    </w:p>
    <w:p w14:paraId="05859942" w14:textId="77777777" w:rsidR="00DA14F4" w:rsidRPr="002379AA" w:rsidRDefault="00DA14F4" w:rsidP="00DA14F4">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También, el Consejo de Estado ha determinado que el pliego de condiciones es ley para las partes, y en él se debe establecer la regulación del procedimiento de contratación, conforme a la ley, garantizando la selección objetiva del contratista</w:t>
      </w:r>
      <w:r w:rsidRPr="002379AA">
        <w:rPr>
          <w:rFonts w:ascii="Verdana" w:eastAsia="Calibri" w:hAnsi="Verdana" w:cs="Arial"/>
          <w:color w:val="000000" w:themeColor="text1"/>
          <w:vertAlign w:val="superscript"/>
        </w:rPr>
        <w:footnoteReference w:id="4"/>
      </w:r>
      <w:r w:rsidRPr="002379AA">
        <w:rPr>
          <w:rFonts w:ascii="Verdana" w:eastAsia="Calibri" w:hAnsi="Verdana" w:cs="Arial"/>
          <w:color w:val="000000" w:themeColor="text1"/>
        </w:rPr>
        <w:t xml:space="preserve">.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2379AA">
        <w:rPr>
          <w:rFonts w:ascii="Verdana" w:eastAsia="Calibri" w:hAnsi="Verdana" w:cs="Arial"/>
          <w:color w:val="000000" w:themeColor="text1"/>
        </w:rPr>
        <w:t>ii</w:t>
      </w:r>
      <w:proofErr w:type="spellEnd"/>
      <w:r w:rsidRPr="002379AA">
        <w:rPr>
          <w:rFonts w:ascii="Verdana" w:eastAsia="Calibri" w:hAnsi="Verdana" w:cs="Arial"/>
          <w:color w:val="000000" w:themeColor="text1"/>
        </w:rPr>
        <w:t xml:space="preserve">) modalidad y criterios de selección, </w:t>
      </w:r>
      <w:proofErr w:type="spellStart"/>
      <w:r w:rsidRPr="002379AA">
        <w:rPr>
          <w:rFonts w:ascii="Verdana" w:eastAsia="Calibri" w:hAnsi="Verdana" w:cs="Arial"/>
          <w:color w:val="000000" w:themeColor="text1"/>
        </w:rPr>
        <w:t>iii</w:t>
      </w:r>
      <w:proofErr w:type="spellEnd"/>
      <w:r w:rsidRPr="002379AA">
        <w:rPr>
          <w:rFonts w:ascii="Verdana" w:eastAsia="Calibri" w:hAnsi="Verdana" w:cs="Arial"/>
          <w:color w:val="000000" w:themeColor="text1"/>
        </w:rPr>
        <w:t xml:space="preserve">) valoración económica del bien, obra o servicio, </w:t>
      </w:r>
      <w:proofErr w:type="spellStart"/>
      <w:r w:rsidRPr="002379AA">
        <w:rPr>
          <w:rFonts w:ascii="Verdana" w:eastAsia="Calibri" w:hAnsi="Verdana" w:cs="Arial"/>
          <w:color w:val="000000" w:themeColor="text1"/>
        </w:rPr>
        <w:t>iv</w:t>
      </w:r>
      <w:proofErr w:type="spellEnd"/>
      <w:r w:rsidRPr="002379AA">
        <w:rPr>
          <w:rFonts w:ascii="Verdana" w:eastAsia="Calibri" w:hAnsi="Verdana" w:cs="Arial"/>
          <w:color w:val="000000" w:themeColor="text1"/>
        </w:rPr>
        <w:t>) reglas de la presentación y manejo de las ofertas, v) riesgos y garantías, entre otros aspectos del contrato</w:t>
      </w:r>
      <w:r w:rsidRPr="002379AA">
        <w:rPr>
          <w:rFonts w:ascii="Verdana" w:eastAsia="Calibri" w:hAnsi="Verdana" w:cs="Arial"/>
          <w:color w:val="000000" w:themeColor="text1"/>
          <w:vertAlign w:val="superscript"/>
        </w:rPr>
        <w:footnoteReference w:id="5"/>
      </w:r>
      <w:r w:rsidRPr="002379AA">
        <w:rPr>
          <w:rFonts w:ascii="Verdana" w:eastAsia="Calibri" w:hAnsi="Verdana" w:cs="Arial"/>
          <w:color w:val="000000" w:themeColor="text1"/>
        </w:rPr>
        <w:t>.</w:t>
      </w:r>
    </w:p>
    <w:p w14:paraId="71553F08" w14:textId="77777777" w:rsidR="00DA14F4" w:rsidRPr="002379AA" w:rsidRDefault="00DA14F4" w:rsidP="00DA14F4">
      <w:pPr>
        <w:spacing w:after="120" w:line="276" w:lineRule="auto"/>
        <w:ind w:firstLine="709"/>
        <w:jc w:val="both"/>
        <w:rPr>
          <w:rFonts w:ascii="Verdana" w:hAnsi="Verdana" w:cs="Arial"/>
        </w:rPr>
      </w:pPr>
      <w:r w:rsidRPr="002379AA">
        <w:rPr>
          <w:rFonts w:ascii="Verdana" w:hAnsi="Verdana" w:cs="Arial"/>
        </w:rPr>
        <w:lastRenderedPageBreak/>
        <w:t>Conforme a lo anterior, el pliego de condiciones debe establecer las etapas del proceso de selección, así como las reglas, requisitos y condiciones aplicables en cada una de ellas. Entre estos aspectos se encuentran las causales de rechazo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sidRPr="002379AA">
        <w:rPr>
          <w:rFonts w:ascii="Verdana" w:hAnsi="Verdana" w:cs="Arial"/>
          <w:vertAlign w:val="superscript"/>
        </w:rPr>
        <w:footnoteReference w:id="6"/>
      </w:r>
      <w:r w:rsidRPr="002379AA">
        <w:rPr>
          <w:rFonts w:ascii="Verdana" w:hAnsi="Verdana" w:cs="Arial"/>
        </w:rPr>
        <w:t>.</w:t>
      </w:r>
    </w:p>
    <w:p w14:paraId="6E600FBD" w14:textId="77777777" w:rsidR="00DA14F4" w:rsidRPr="002379AA" w:rsidRDefault="00DA14F4" w:rsidP="00DA14F4">
      <w:pPr>
        <w:spacing w:after="120" w:line="276" w:lineRule="auto"/>
        <w:jc w:val="both"/>
        <w:rPr>
          <w:rFonts w:ascii="Verdana" w:eastAsia="Calibri" w:hAnsi="Verdana" w:cs="Arial"/>
          <w:lang w:val="es-ES"/>
        </w:rPr>
      </w:pPr>
      <w:r w:rsidRPr="002379AA">
        <w:rPr>
          <w:rFonts w:ascii="Verdana" w:eastAsia="Calibri" w:hAnsi="Verdana" w:cs="Arial"/>
          <w:b/>
          <w:bCs/>
          <w:lang w:val="es-ES"/>
        </w:rPr>
        <w:tab/>
      </w:r>
      <w:r w:rsidRPr="002379AA">
        <w:rPr>
          <w:rFonts w:ascii="Verdana" w:eastAsia="Calibri" w:hAnsi="Verdana" w:cs="Arial"/>
          <w:lang w:val="es-ES"/>
        </w:rPr>
        <w:t>En ese orden de ideas, el Consejo de Estado</w:t>
      </w:r>
      <w:r w:rsidRPr="002379AA">
        <w:rPr>
          <w:rFonts w:ascii="Verdana" w:eastAsia="Calibri" w:hAnsi="Verdana" w:cs="Arial"/>
          <w:vertAlign w:val="superscript"/>
          <w:lang w:val="es-ES"/>
        </w:rPr>
        <w:footnoteReference w:id="7"/>
      </w:r>
      <w:r w:rsidRPr="002379AA">
        <w:rPr>
          <w:rFonts w:ascii="Verdana" w:eastAsia="Calibri" w:hAnsi="Verdana" w:cs="Arial"/>
          <w:lang w:val="es-ES"/>
        </w:rPr>
        <w:t xml:space="preserve">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 </w:t>
      </w:r>
    </w:p>
    <w:p w14:paraId="7648ACFC" w14:textId="77777777" w:rsidR="00DA14F4" w:rsidRPr="002379AA" w:rsidRDefault="00DA14F4" w:rsidP="00DA14F4">
      <w:pPr>
        <w:spacing w:after="120" w:line="276" w:lineRule="auto"/>
        <w:ind w:firstLine="708"/>
        <w:jc w:val="both"/>
        <w:rPr>
          <w:rFonts w:ascii="Verdana" w:eastAsia="Batang" w:hAnsi="Verdana" w:cs="Arial"/>
          <w:lang w:val="es-MX"/>
        </w:rPr>
      </w:pPr>
      <w:r w:rsidRPr="002379AA">
        <w:rPr>
          <w:rFonts w:ascii="Verdana" w:eastAsia="Batang" w:hAnsi="Verdana" w:cs="Arial"/>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2379AA">
        <w:rPr>
          <w:rFonts w:ascii="Verdana" w:eastAsia="Batang" w:hAnsi="Verdana" w:cs="Arial"/>
          <w:i/>
          <w:iCs/>
          <w:lang w:val="es-MX"/>
        </w:rPr>
        <w:t xml:space="preserve">“con sujeción a los principios generales </w:t>
      </w:r>
      <w:proofErr w:type="gramStart"/>
      <w:r w:rsidRPr="002379AA">
        <w:rPr>
          <w:rFonts w:ascii="Verdana" w:eastAsia="Batang" w:hAnsi="Verdana" w:cs="Arial"/>
          <w:i/>
          <w:iCs/>
          <w:lang w:val="es-MX"/>
        </w:rPr>
        <w:t>del derechos</w:t>
      </w:r>
      <w:proofErr w:type="gramEnd"/>
      <w:r w:rsidRPr="002379AA">
        <w:rPr>
          <w:rFonts w:ascii="Verdana" w:eastAsia="Batang" w:hAnsi="Verdana" w:cs="Arial"/>
          <w:i/>
          <w:iCs/>
          <w:lang w:val="es-MX"/>
        </w:rPr>
        <w:t>, a los de la función administrativa, a la finalidad del pliego y a la protección del interés general, de conformidad con lo previsto en el artículo 23 de la Ley 80 de 1993”</w:t>
      </w:r>
      <w:r w:rsidRPr="002379AA">
        <w:rPr>
          <w:rFonts w:ascii="Verdana" w:eastAsia="Batang" w:hAnsi="Verdana" w:cs="Arial"/>
          <w:i/>
          <w:iCs/>
          <w:vertAlign w:val="superscript"/>
          <w:lang w:val="es-MX"/>
        </w:rPr>
        <w:footnoteReference w:id="8"/>
      </w:r>
      <w:r w:rsidRPr="002379AA">
        <w:rPr>
          <w:rFonts w:ascii="Verdana" w:eastAsia="Batang" w:hAnsi="Verdana" w:cs="Arial"/>
          <w:i/>
          <w:iCs/>
          <w:lang w:val="es-MX"/>
        </w:rPr>
        <w:t>.</w:t>
      </w:r>
    </w:p>
    <w:p w14:paraId="5D212BF7" w14:textId="77777777" w:rsidR="00DA14F4" w:rsidRPr="002379AA" w:rsidRDefault="00DA14F4" w:rsidP="00DA14F4">
      <w:pPr>
        <w:spacing w:after="120" w:line="276" w:lineRule="auto"/>
        <w:ind w:firstLine="708"/>
        <w:jc w:val="both"/>
        <w:rPr>
          <w:rFonts w:ascii="Verdana" w:eastAsia="Batang" w:hAnsi="Verdana" w:cs="Arial"/>
        </w:rPr>
      </w:pPr>
      <w:r w:rsidRPr="002379AA">
        <w:rPr>
          <w:rFonts w:ascii="Verdana" w:eastAsia="Batang" w:hAnsi="Verdana" w:cs="Arial"/>
          <w:lang w:val="es-MX"/>
        </w:rPr>
        <w:t xml:space="preserve">De acuerdo con lo anterior, en atención al problema jurídico planteado, es posible establecer, por ejemplo, que </w:t>
      </w:r>
      <w:r w:rsidRPr="002379AA">
        <w:rPr>
          <w:rFonts w:ascii="Verdana" w:eastAsia="Batang" w:hAnsi="Verdana" w:cs="Arial"/>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5CA09CA3" w14:textId="77777777" w:rsidR="00DA14F4" w:rsidRPr="002379AA" w:rsidRDefault="00DA14F4" w:rsidP="00DA14F4">
      <w:pPr>
        <w:spacing w:after="120" w:line="276" w:lineRule="auto"/>
        <w:ind w:firstLine="708"/>
        <w:jc w:val="both"/>
        <w:rPr>
          <w:rFonts w:ascii="Verdana" w:eastAsia="Batang" w:hAnsi="Verdana" w:cs="Arial"/>
        </w:rPr>
      </w:pPr>
      <w:r w:rsidRPr="002379AA">
        <w:rPr>
          <w:rFonts w:ascii="Verdana" w:eastAsia="Batang" w:hAnsi="Verdana" w:cs="Arial"/>
        </w:rPr>
        <w:lastRenderedPageBreak/>
        <w:t xml:space="preserve">Sin perjuicio de lo anterior, la entidad, proponentes o contratista podrán acudir, en lo pertinente, a las reglas de interpretación </w:t>
      </w:r>
      <w:r w:rsidRPr="002379AA">
        <w:rPr>
          <w:rFonts w:ascii="Verdana" w:eastAsia="Batang" w:hAnsi="Verdana" w:cs="Arial"/>
          <w:lang w:val="es-MX"/>
        </w:rPr>
        <w:t>objetivas y subjetivas</w:t>
      </w:r>
      <w:r w:rsidRPr="002379AA">
        <w:rPr>
          <w:rFonts w:ascii="Verdana" w:eastAsia="Batang" w:hAnsi="Verdana" w:cs="Arial"/>
          <w:vertAlign w:val="superscript"/>
          <w:lang w:val="es-MX"/>
        </w:rPr>
        <w:footnoteReference w:id="9"/>
      </w:r>
      <w:r w:rsidRPr="002379AA">
        <w:rPr>
          <w:rFonts w:ascii="Verdana" w:eastAsia="Batang" w:hAnsi="Verdana" w:cs="Arial"/>
          <w:lang w:val="es-MX"/>
        </w:rPr>
        <w:t xml:space="preserve"> conforme a los artículos 1618 a 1624 del Código Civil. Por una parte, las </w:t>
      </w:r>
      <w:r w:rsidRPr="002379AA">
        <w:rPr>
          <w:rFonts w:ascii="Verdana" w:eastAsia="Batang" w:hAnsi="Verdana" w:cs="Arial"/>
          <w:i/>
          <w:iCs/>
          <w:lang w:val="es-MX"/>
        </w:rPr>
        <w:t>objetivas</w:t>
      </w:r>
      <w:r w:rsidRPr="002379AA">
        <w:rPr>
          <w:rFonts w:ascii="Verdana" w:eastAsia="Batang" w:hAnsi="Verdana" w:cs="Arial"/>
          <w:lang w:val="es-MX"/>
        </w:rPr>
        <w:t xml:space="preserve"> son las siguientes: i) una vez conocida la intención de los contratantes ha de estarse más a ella que a lo literal de las palabras (artículo 1618 del Código Civil); </w:t>
      </w:r>
      <w:proofErr w:type="spellStart"/>
      <w:r w:rsidRPr="002379AA">
        <w:rPr>
          <w:rFonts w:ascii="Verdana" w:eastAsia="Batang" w:hAnsi="Verdana" w:cs="Arial"/>
          <w:lang w:val="es-MX"/>
        </w:rPr>
        <w:t>ii</w:t>
      </w:r>
      <w:proofErr w:type="spellEnd"/>
      <w:r w:rsidRPr="002379AA">
        <w:rPr>
          <w:rFonts w:ascii="Verdana" w:eastAsia="Batang" w:hAnsi="Verdana" w:cs="Arial"/>
          <w:lang w:val="es-MX"/>
        </w:rPr>
        <w:t xml:space="preserve">) </w:t>
      </w:r>
      <w:r w:rsidRPr="002379AA">
        <w:rPr>
          <w:rFonts w:ascii="Verdana" w:eastAsia="Batang" w:hAnsi="Verdana" w:cs="Arial"/>
        </w:rPr>
        <w:t xml:space="preserve">las estipulaciones de un contrato pueden interpretarse por la de otro que las partes hayan celebrado sobre la misma materia o por la aplicación práctica que de ellas hayan hecho (artículo 1622, incisos 2 y 3 </w:t>
      </w:r>
      <w:proofErr w:type="spellStart"/>
      <w:r w:rsidRPr="002379AA">
        <w:rPr>
          <w:rFonts w:ascii="Verdana" w:eastAsia="Batang" w:hAnsi="Verdana" w:cs="Arial"/>
          <w:i/>
          <w:iCs/>
        </w:rPr>
        <w:t>ibídem</w:t>
      </w:r>
      <w:bookmarkStart w:id="7" w:name="_Hlk96265254"/>
      <w:proofErr w:type="spellEnd"/>
      <w:r w:rsidRPr="002379AA">
        <w:rPr>
          <w:rFonts w:ascii="Verdana" w:eastAsia="Batang" w:hAnsi="Verdana" w:cs="Arial"/>
        </w:rPr>
        <w:t xml:space="preserve">); </w:t>
      </w:r>
      <w:proofErr w:type="spellStart"/>
      <w:r w:rsidRPr="002379AA">
        <w:rPr>
          <w:rFonts w:ascii="Verdana" w:eastAsia="Batang" w:hAnsi="Verdana" w:cs="Arial"/>
        </w:rPr>
        <w:t>iii</w:t>
      </w:r>
      <w:proofErr w:type="spellEnd"/>
      <w:r w:rsidRPr="002379AA">
        <w:rPr>
          <w:rFonts w:ascii="Verdana" w:eastAsia="Batang" w:hAnsi="Verdana" w:cs="Arial"/>
        </w:rPr>
        <w:t xml:space="preserve">) las cláusulas deben interpretarse unas por otras, dándole a cada una el sentido que más convenga al contrato en su totalidad (artículo 1622, inciso 1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iv</w:t>
      </w:r>
      <w:proofErr w:type="spellEnd"/>
      <w:r w:rsidRPr="002379AA">
        <w:rPr>
          <w:rFonts w:ascii="Verdana" w:eastAsia="Batang" w:hAnsi="Verdana" w:cs="Arial"/>
        </w:rPr>
        <w:t xml:space="preserve">) si en un contrato se expresa un caso para explicar la obligación se entiende que esa mención no es restrictiva sino ejemplificativa (artículo 1623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y v) se entiende que las expresiones generales contenidas en el negocio únicamente se aplican a la materia sobre la que se ha contratado (artículo 1619, inciso 2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
    <w:p w14:paraId="18A6075D" w14:textId="77777777" w:rsidR="00DA14F4" w:rsidRPr="002379AA" w:rsidRDefault="00DA14F4" w:rsidP="00DA14F4">
      <w:pPr>
        <w:spacing w:after="120" w:line="276" w:lineRule="auto"/>
        <w:ind w:firstLine="708"/>
        <w:jc w:val="both"/>
        <w:rPr>
          <w:rFonts w:ascii="Verdana" w:eastAsia="Batang" w:hAnsi="Verdana" w:cs="Arial"/>
          <w:lang w:val="es-MX"/>
        </w:rPr>
      </w:pPr>
      <w:r w:rsidRPr="002379AA">
        <w:rPr>
          <w:rFonts w:ascii="Verdana" w:eastAsia="Batang" w:hAnsi="Verdana" w:cs="Arial"/>
        </w:rPr>
        <w:t xml:space="preserve">Por su parte, las reglas </w:t>
      </w:r>
      <w:r w:rsidRPr="002379AA">
        <w:rPr>
          <w:rFonts w:ascii="Verdana" w:eastAsia="Batang" w:hAnsi="Verdana" w:cs="Arial"/>
          <w:i/>
          <w:iCs/>
        </w:rPr>
        <w:t>subjetivas</w:t>
      </w:r>
      <w:r w:rsidRPr="002379AA">
        <w:rPr>
          <w:rFonts w:ascii="Verdana" w:eastAsia="Batang" w:hAnsi="Verdana" w:cs="Arial"/>
        </w:rPr>
        <w:t xml:space="preserve"> de interpretación se refieren a las siguientes: vi) </w:t>
      </w:r>
      <w:r w:rsidRPr="002379AA">
        <w:rPr>
          <w:rFonts w:ascii="Verdana" w:eastAsia="Batang" w:hAnsi="Verdana" w:cs="Arial"/>
          <w:lang w:val="es-MX"/>
        </w:rPr>
        <w:t xml:space="preserve">el sentido en que una cláusula pueda producir algún efecto deberá preferirse a aquel en que no produzca efecto alguno </w:t>
      </w:r>
      <w:r w:rsidRPr="002379AA">
        <w:rPr>
          <w:rFonts w:ascii="Verdana" w:eastAsia="Batang" w:hAnsi="Verdana" w:cs="Arial"/>
        </w:rPr>
        <w:t xml:space="preserve">(artículo 1620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vii</w:t>
      </w:r>
      <w:proofErr w:type="spellEnd"/>
      <w:r w:rsidRPr="002379AA">
        <w:rPr>
          <w:rFonts w:ascii="Verdana" w:eastAsia="Batang" w:hAnsi="Verdana" w:cs="Arial"/>
        </w:rPr>
        <w:t>)</w:t>
      </w:r>
      <w:r w:rsidRPr="002379AA">
        <w:rPr>
          <w:rFonts w:ascii="Verdana" w:eastAsia="Batang" w:hAnsi="Verdana" w:cs="Arial"/>
          <w:lang w:val="es-MX"/>
        </w:rPr>
        <w:t xml:space="preserve"> deberá estarse a la interpretación que mejor cuadre con la naturaleza del contrato </w:t>
      </w:r>
      <w:r w:rsidRPr="002379AA">
        <w:rPr>
          <w:rFonts w:ascii="Verdana" w:eastAsia="Batang" w:hAnsi="Verdana" w:cs="Arial"/>
        </w:rPr>
        <w:t xml:space="preserve">(artículo 1621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proofErr w:type="spellStart"/>
      <w:r w:rsidRPr="002379AA">
        <w:rPr>
          <w:rFonts w:ascii="Verdana" w:eastAsia="Batang" w:hAnsi="Verdana" w:cs="Arial"/>
          <w:lang w:val="es-MX"/>
        </w:rPr>
        <w:t>viii</w:t>
      </w:r>
      <w:proofErr w:type="spellEnd"/>
      <w:r w:rsidRPr="002379AA">
        <w:rPr>
          <w:rFonts w:ascii="Verdana" w:eastAsia="Batang" w:hAnsi="Verdana" w:cs="Arial"/>
          <w:lang w:val="es-MX"/>
        </w:rPr>
        <w:t xml:space="preserve">) las cláusulas ambiguas se interpretan a favor del deudor </w:t>
      </w:r>
      <w:r w:rsidRPr="002379AA">
        <w:rPr>
          <w:rFonts w:ascii="Verdana" w:eastAsia="Batang" w:hAnsi="Verdana" w:cs="Arial"/>
        </w:rPr>
        <w:t xml:space="preserve">(artículo 1624, inciso 1 </w:t>
      </w:r>
      <w:proofErr w:type="spellStart"/>
      <w:r w:rsidRPr="002379AA">
        <w:rPr>
          <w:rFonts w:ascii="Verdana" w:eastAsia="Batang" w:hAnsi="Verdana" w:cs="Arial"/>
        </w:rPr>
        <w:t>ibídem</w:t>
      </w:r>
      <w:proofErr w:type="spellEnd"/>
      <w:r w:rsidRPr="002379AA">
        <w:rPr>
          <w:rFonts w:ascii="Verdana" w:eastAsia="Batang" w:hAnsi="Verdana" w:cs="Arial"/>
        </w:rPr>
        <w:t xml:space="preserve">); y </w:t>
      </w:r>
      <w:proofErr w:type="spellStart"/>
      <w:r w:rsidRPr="002379AA">
        <w:rPr>
          <w:rFonts w:ascii="Verdana" w:eastAsia="Batang" w:hAnsi="Verdana" w:cs="Arial"/>
        </w:rPr>
        <w:t>ix</w:t>
      </w:r>
      <w:proofErr w:type="spellEnd"/>
      <w:r w:rsidRPr="002379AA">
        <w:rPr>
          <w:rFonts w:ascii="Verdana" w:eastAsia="Batang" w:hAnsi="Verdana" w:cs="Arial"/>
          <w:i/>
          <w:iCs/>
        </w:rPr>
        <w:t>)</w:t>
      </w:r>
      <w:r w:rsidRPr="002379AA">
        <w:rPr>
          <w:rFonts w:ascii="Verdana" w:eastAsia="Batang" w:hAnsi="Verdana" w:cs="Arial"/>
          <w:i/>
          <w:iCs/>
          <w:lang w:val="es-MX"/>
        </w:rPr>
        <w:t xml:space="preserve"> las cláusulas oscuras que hayan sido extendidas o dictadas por una parte se interpretarán contra ella si la ambigüedad proviene de una explicación que ésta ha debido dar</w:t>
      </w:r>
      <w:r w:rsidRPr="002379AA">
        <w:rPr>
          <w:rFonts w:ascii="Verdana" w:eastAsia="Batang" w:hAnsi="Verdana" w:cs="Arial"/>
          <w:lang w:val="es-MX"/>
        </w:rPr>
        <w:t xml:space="preserve"> </w:t>
      </w:r>
      <w:r w:rsidRPr="002379AA">
        <w:rPr>
          <w:rFonts w:ascii="Verdana" w:eastAsia="Batang" w:hAnsi="Verdana" w:cs="Arial"/>
        </w:rPr>
        <w:t xml:space="preserve">(artículo 1624, inciso 2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bookmarkEnd w:id="7"/>
    </w:p>
    <w:p w14:paraId="34752EB6" w14:textId="77777777" w:rsidR="00DA14F4" w:rsidRDefault="00DA14F4" w:rsidP="00DA14F4">
      <w:pPr>
        <w:spacing w:after="120" w:line="276" w:lineRule="auto"/>
        <w:ind w:firstLine="708"/>
        <w:jc w:val="both"/>
        <w:rPr>
          <w:rFonts w:ascii="Verdana" w:eastAsia="Batang" w:hAnsi="Verdana" w:cs="Arial"/>
          <w:lang w:val="es-MX"/>
        </w:rPr>
      </w:pPr>
      <w:r w:rsidRPr="002379AA">
        <w:rPr>
          <w:rFonts w:ascii="Verdana" w:eastAsia="Batang" w:hAnsi="Verdana" w:cs="Arial"/>
        </w:rPr>
        <w:t xml:space="preserve">Sin embargo, </w:t>
      </w:r>
      <w:bookmarkStart w:id="8" w:name="_Hlk96265891"/>
      <w:r w:rsidRPr="002379AA">
        <w:rPr>
          <w:rFonts w:ascii="Verdana" w:eastAsia="Batang" w:hAnsi="Verdana" w:cs="Arial"/>
        </w:rPr>
        <w:t xml:space="preserve">la aplicación de estos criterios siempre deberá tener en cuenta las circunstancias concretas de cada caso en particular, de manera que la entidad pueda optar por la interpretación que más se adecúe a la finalidad que persigue con el documento y sus anexos. </w:t>
      </w:r>
      <w:r w:rsidRPr="002379AA">
        <w:rPr>
          <w:rFonts w:ascii="Verdana" w:eastAsia="Batang" w:hAnsi="Verdana" w:cs="Arial"/>
          <w:lang w:val="es-MX"/>
        </w:rPr>
        <w:t xml:space="preserve">De todos modos, en caso de que el desacuerdo sobre el sentido o alcance de los documentos del proceso de contratación persista una vez aplicada las pautas anteriores, corresponde a los jueces de lo contencioso administrativo interpretar cuál de los documentos prevalece. Por tanto, es necesario señalar en que no es posible establecer </w:t>
      </w:r>
      <w:r w:rsidRPr="002379AA">
        <w:rPr>
          <w:rFonts w:ascii="Verdana" w:eastAsia="Batang" w:hAnsi="Verdana" w:cs="Arial"/>
          <w:i/>
          <w:iCs/>
          <w:lang w:val="es-MX"/>
        </w:rPr>
        <w:t xml:space="preserve">ex ante </w:t>
      </w:r>
      <w:r w:rsidRPr="002379AA">
        <w:rPr>
          <w:rFonts w:ascii="Verdana" w:eastAsia="Batang" w:hAnsi="Verdana" w:cs="Arial"/>
          <w:lang w:val="es-MX"/>
        </w:rPr>
        <w:t xml:space="preserve">la validez o prevalencia jurídica de los documentos contractuales, pues </w:t>
      </w:r>
      <w:r w:rsidRPr="002379AA">
        <w:rPr>
          <w:rFonts w:ascii="Verdana" w:eastAsia="Batang" w:hAnsi="Verdana" w:cs="Arial"/>
          <w:lang w:val="es-MX"/>
        </w:rPr>
        <w:lastRenderedPageBreak/>
        <w:t>estos deben valorarse integralmente, de acuerdo con las reglas anteriormente expuestas</w:t>
      </w:r>
      <w:bookmarkEnd w:id="8"/>
      <w:r w:rsidRPr="002379AA">
        <w:rPr>
          <w:rFonts w:ascii="Verdana" w:eastAsia="Batang" w:hAnsi="Verdana" w:cs="Arial"/>
          <w:lang w:val="es-MX"/>
        </w:rPr>
        <w:t xml:space="preserve"> </w:t>
      </w:r>
      <w:r w:rsidRPr="002379AA">
        <w:rPr>
          <w:rFonts w:ascii="Verdana" w:eastAsia="Calibri" w:hAnsi="Verdana" w:cs="Arial"/>
          <w:lang w:val="es-MX"/>
        </w:rPr>
        <w:t>y atendiendo a las circunstancias adicionales de cada proceso</w:t>
      </w:r>
      <w:r w:rsidRPr="002379AA">
        <w:rPr>
          <w:rFonts w:ascii="Verdana" w:eastAsia="Batang" w:hAnsi="Verdana" w:cs="Arial"/>
          <w:vertAlign w:val="superscript"/>
          <w:lang w:val="es-MX"/>
        </w:rPr>
        <w:footnoteReference w:id="10"/>
      </w:r>
      <w:r w:rsidRPr="002379AA">
        <w:rPr>
          <w:rFonts w:ascii="Verdana" w:eastAsia="Batang" w:hAnsi="Verdana" w:cs="Arial"/>
          <w:lang w:val="es-MX"/>
        </w:rPr>
        <w:t>.</w:t>
      </w:r>
    </w:p>
    <w:p w14:paraId="3AF5BE2B" w14:textId="40B402FB" w:rsidR="009177BF" w:rsidRPr="002379AA" w:rsidRDefault="009177BF" w:rsidP="009177BF">
      <w:pPr>
        <w:spacing w:after="120" w:line="276" w:lineRule="auto"/>
        <w:ind w:firstLine="709"/>
        <w:jc w:val="both"/>
        <w:rPr>
          <w:rFonts w:ascii="Verdana" w:eastAsia="Batang" w:hAnsi="Verdana" w:cs="Arial"/>
          <w:lang w:val="es-MX"/>
        </w:rPr>
      </w:pPr>
      <w:r>
        <w:rPr>
          <w:rFonts w:ascii="Verdana" w:eastAsia="Batang" w:hAnsi="Verdana" w:cs="Arial"/>
          <w:lang w:val="es-MX"/>
        </w:rPr>
        <w:t>En relación con</w:t>
      </w:r>
      <w:r w:rsidR="00C44061">
        <w:rPr>
          <w:rFonts w:ascii="Verdana" w:eastAsia="Batang" w:hAnsi="Verdana" w:cs="Arial"/>
          <w:lang w:val="es-MX"/>
        </w:rPr>
        <w:t xml:space="preserve"> su interrogante, </w:t>
      </w:r>
      <w:r>
        <w:rPr>
          <w:rFonts w:ascii="Verdana" w:eastAsia="Calibri" w:hAnsi="Verdana" w:cs="Arial"/>
          <w:lang w:val="es-MX"/>
        </w:rPr>
        <w:t xml:space="preserve">debe señalarse que, </w:t>
      </w:r>
      <w:r w:rsidRPr="002379AA">
        <w:rPr>
          <w:rFonts w:ascii="Verdana" w:eastAsia="Batang" w:hAnsi="Verdana" w:cs="Arial"/>
          <w:lang w:val="es-MX"/>
        </w:rPr>
        <w:t xml:space="preserve">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2379AA">
        <w:rPr>
          <w:rFonts w:ascii="Verdana" w:eastAsia="Batang" w:hAnsi="Verdana" w:cs="Arial"/>
          <w:i/>
          <w:iCs/>
          <w:lang w:val="es-MX"/>
        </w:rPr>
        <w:t xml:space="preserve">“con sujeción a los principios generales </w:t>
      </w:r>
      <w:proofErr w:type="gramStart"/>
      <w:r w:rsidRPr="002379AA">
        <w:rPr>
          <w:rFonts w:ascii="Verdana" w:eastAsia="Batang" w:hAnsi="Verdana" w:cs="Arial"/>
          <w:i/>
          <w:iCs/>
          <w:lang w:val="es-MX"/>
        </w:rPr>
        <w:t>del derechos</w:t>
      </w:r>
      <w:proofErr w:type="gramEnd"/>
      <w:r w:rsidRPr="002379AA">
        <w:rPr>
          <w:rFonts w:ascii="Verdana" w:eastAsia="Batang" w:hAnsi="Verdana" w:cs="Arial"/>
          <w:i/>
          <w:iCs/>
          <w:lang w:val="es-MX"/>
        </w:rPr>
        <w:t>, a los de la función administrativa, a la finalidad del pliego y a la protección del interés general, de conformidad con lo previsto en el artículo 23 de la Ley 80 de 1993”</w:t>
      </w:r>
      <w:r w:rsidRPr="002379AA">
        <w:rPr>
          <w:rFonts w:ascii="Verdana" w:eastAsia="Batang" w:hAnsi="Verdana" w:cs="Arial"/>
          <w:i/>
          <w:iCs/>
          <w:vertAlign w:val="superscript"/>
          <w:lang w:val="es-MX"/>
        </w:rPr>
        <w:footnoteReference w:id="11"/>
      </w:r>
      <w:r w:rsidRPr="002379AA">
        <w:rPr>
          <w:rFonts w:ascii="Verdana" w:eastAsia="Batang" w:hAnsi="Verdana" w:cs="Arial"/>
          <w:i/>
          <w:iCs/>
          <w:lang w:val="es-MX"/>
        </w:rPr>
        <w:t>.</w:t>
      </w:r>
    </w:p>
    <w:p w14:paraId="008D4BB2" w14:textId="77777777" w:rsidR="009177BF" w:rsidRPr="002379AA" w:rsidRDefault="009177BF" w:rsidP="009177BF">
      <w:pPr>
        <w:spacing w:after="120" w:line="276" w:lineRule="auto"/>
        <w:ind w:firstLine="709"/>
        <w:jc w:val="both"/>
        <w:rPr>
          <w:rFonts w:ascii="Verdana" w:eastAsia="Batang" w:hAnsi="Verdana" w:cs="Arial"/>
        </w:rPr>
      </w:pPr>
      <w:r w:rsidRPr="002379AA">
        <w:rPr>
          <w:rFonts w:ascii="Verdana" w:eastAsia="Batang" w:hAnsi="Verdana" w:cs="Arial"/>
          <w:lang w:val="es-MX"/>
        </w:rPr>
        <w:t xml:space="preserve">De acuerdo con lo anterior, es posible establecer, por ejemplo, que </w:t>
      </w:r>
      <w:r w:rsidRPr="002379AA">
        <w:rPr>
          <w:rFonts w:ascii="Verdana" w:eastAsia="Batang" w:hAnsi="Verdana" w:cs="Arial"/>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479D977F" w14:textId="77777777" w:rsidR="009177BF" w:rsidRPr="002379AA" w:rsidRDefault="009177BF" w:rsidP="009177BF">
      <w:pPr>
        <w:spacing w:after="120" w:line="276" w:lineRule="auto"/>
        <w:ind w:firstLine="709"/>
        <w:jc w:val="both"/>
        <w:rPr>
          <w:rFonts w:ascii="Verdana" w:eastAsia="Batang" w:hAnsi="Verdana" w:cs="Arial"/>
        </w:rPr>
      </w:pPr>
      <w:r w:rsidRPr="002379AA">
        <w:rPr>
          <w:rFonts w:ascii="Verdana" w:eastAsia="Batang" w:hAnsi="Verdana" w:cs="Arial"/>
        </w:rPr>
        <w:t xml:space="preserve">Sin perjuicio de lo anterior, la entidad, proponentes o contratista podrán acudir, en lo pertinente, a las reglas de interpretación </w:t>
      </w:r>
      <w:r w:rsidRPr="002379AA">
        <w:rPr>
          <w:rFonts w:ascii="Verdana" w:eastAsia="Batang" w:hAnsi="Verdana" w:cs="Arial"/>
          <w:lang w:val="es-MX"/>
        </w:rPr>
        <w:t xml:space="preserve">objetivas y subjetivas conforme a los artículos 1618 a 1624 del Código Civil. Por una parte, las </w:t>
      </w:r>
      <w:r w:rsidRPr="002379AA">
        <w:rPr>
          <w:rFonts w:ascii="Verdana" w:eastAsia="Batang" w:hAnsi="Verdana" w:cs="Arial"/>
          <w:i/>
          <w:iCs/>
          <w:lang w:val="es-MX"/>
        </w:rPr>
        <w:t>objetivas</w:t>
      </w:r>
      <w:r w:rsidRPr="002379AA">
        <w:rPr>
          <w:rFonts w:ascii="Verdana" w:eastAsia="Batang" w:hAnsi="Verdana" w:cs="Arial"/>
          <w:lang w:val="es-MX"/>
        </w:rPr>
        <w:t xml:space="preserve"> son las siguientes: i) una vez conocida la intención de los contratantes ha de estarse más a ella que a lo literal de las palabras (artículo 1618 del Código Civil); </w:t>
      </w:r>
      <w:proofErr w:type="spellStart"/>
      <w:r w:rsidRPr="002379AA">
        <w:rPr>
          <w:rFonts w:ascii="Verdana" w:eastAsia="Batang" w:hAnsi="Verdana" w:cs="Arial"/>
          <w:lang w:val="es-MX"/>
        </w:rPr>
        <w:t>ii</w:t>
      </w:r>
      <w:proofErr w:type="spellEnd"/>
      <w:r w:rsidRPr="002379AA">
        <w:rPr>
          <w:rFonts w:ascii="Verdana" w:eastAsia="Batang" w:hAnsi="Verdana" w:cs="Arial"/>
          <w:lang w:val="es-MX"/>
        </w:rPr>
        <w:t xml:space="preserve">) </w:t>
      </w:r>
      <w:r w:rsidRPr="002379AA">
        <w:rPr>
          <w:rFonts w:ascii="Verdana" w:eastAsia="Batang" w:hAnsi="Verdana" w:cs="Arial"/>
        </w:rPr>
        <w:t xml:space="preserve">las estipulaciones de un contrato pueden interpretarse por la de otro que las partes hayan celebrado sobre la misma materia o por la aplicación práctica que de ellas hayan hecho (artículo 1622, incisos 2 y 3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iii</w:t>
      </w:r>
      <w:proofErr w:type="spellEnd"/>
      <w:r w:rsidRPr="002379AA">
        <w:rPr>
          <w:rFonts w:ascii="Verdana" w:eastAsia="Batang" w:hAnsi="Verdana" w:cs="Arial"/>
        </w:rPr>
        <w:t xml:space="preserve">) las cláusulas deben interpretarse unas por otras, dándole a cada una el sentido que más convenga al contrato en su totalidad (artículo 1622, inciso 1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iv</w:t>
      </w:r>
      <w:proofErr w:type="spellEnd"/>
      <w:r w:rsidRPr="002379AA">
        <w:rPr>
          <w:rFonts w:ascii="Verdana" w:eastAsia="Batang" w:hAnsi="Verdana" w:cs="Arial"/>
        </w:rPr>
        <w:t xml:space="preserve">) si en un contrato se expresa un caso para explicar la obligación se entiende que esa mención no es restrictiva sino ejemplificativa (artículo 1623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y v) se entiende que las expresiones generales contenidas en el negocio únicamente se aplican a la materia sobre la que se ha contratado (artículo 1619, inciso 2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
    <w:p w14:paraId="03C9C6F2" w14:textId="77777777" w:rsidR="009177BF" w:rsidRDefault="009177BF" w:rsidP="009177BF">
      <w:pPr>
        <w:spacing w:after="120" w:line="276" w:lineRule="auto"/>
        <w:ind w:firstLine="709"/>
        <w:jc w:val="both"/>
        <w:rPr>
          <w:rFonts w:ascii="Verdana" w:eastAsia="Batang" w:hAnsi="Verdana" w:cs="Arial"/>
          <w:lang w:val="es-MX"/>
        </w:rPr>
      </w:pPr>
      <w:r w:rsidRPr="002379AA">
        <w:rPr>
          <w:rFonts w:ascii="Verdana" w:eastAsia="Batang" w:hAnsi="Verdana" w:cs="Arial"/>
        </w:rPr>
        <w:lastRenderedPageBreak/>
        <w:t xml:space="preserve">Por su parte, las reglas </w:t>
      </w:r>
      <w:r w:rsidRPr="002379AA">
        <w:rPr>
          <w:rFonts w:ascii="Verdana" w:eastAsia="Batang" w:hAnsi="Verdana" w:cs="Arial"/>
          <w:i/>
          <w:iCs/>
        </w:rPr>
        <w:t>subjetivas</w:t>
      </w:r>
      <w:r w:rsidRPr="002379AA">
        <w:rPr>
          <w:rFonts w:ascii="Verdana" w:eastAsia="Batang" w:hAnsi="Verdana" w:cs="Arial"/>
        </w:rPr>
        <w:t xml:space="preserve"> de interpretación se refieren a las siguientes: vi) </w:t>
      </w:r>
      <w:r w:rsidRPr="002379AA">
        <w:rPr>
          <w:rFonts w:ascii="Verdana" w:eastAsia="Batang" w:hAnsi="Verdana" w:cs="Arial"/>
          <w:lang w:val="es-MX"/>
        </w:rPr>
        <w:t xml:space="preserve">el sentido en que una cláusula pueda producir algún efecto deberá preferirse a aquel en que no produzca efecto alguno </w:t>
      </w:r>
      <w:r w:rsidRPr="002379AA">
        <w:rPr>
          <w:rFonts w:ascii="Verdana" w:eastAsia="Batang" w:hAnsi="Verdana" w:cs="Arial"/>
        </w:rPr>
        <w:t xml:space="preserve">(artículo 1620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vii</w:t>
      </w:r>
      <w:proofErr w:type="spellEnd"/>
      <w:r w:rsidRPr="002379AA">
        <w:rPr>
          <w:rFonts w:ascii="Verdana" w:eastAsia="Batang" w:hAnsi="Verdana" w:cs="Arial"/>
        </w:rPr>
        <w:t>)</w:t>
      </w:r>
      <w:r w:rsidRPr="002379AA">
        <w:rPr>
          <w:rFonts w:ascii="Verdana" w:eastAsia="Batang" w:hAnsi="Verdana" w:cs="Arial"/>
          <w:lang w:val="es-MX"/>
        </w:rPr>
        <w:t xml:space="preserve"> deberá estarse a la interpretación que mejor cuadre con la naturaleza del contrato </w:t>
      </w:r>
      <w:r w:rsidRPr="002379AA">
        <w:rPr>
          <w:rFonts w:ascii="Verdana" w:eastAsia="Batang" w:hAnsi="Verdana" w:cs="Arial"/>
        </w:rPr>
        <w:t xml:space="preserve">(artículo 1621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proofErr w:type="spellStart"/>
      <w:r w:rsidRPr="002379AA">
        <w:rPr>
          <w:rFonts w:ascii="Verdana" w:eastAsia="Batang" w:hAnsi="Verdana" w:cs="Arial"/>
          <w:lang w:val="es-MX"/>
        </w:rPr>
        <w:t>viii</w:t>
      </w:r>
      <w:proofErr w:type="spellEnd"/>
      <w:r w:rsidRPr="002379AA">
        <w:rPr>
          <w:rFonts w:ascii="Verdana" w:eastAsia="Batang" w:hAnsi="Verdana" w:cs="Arial"/>
          <w:lang w:val="es-MX"/>
        </w:rPr>
        <w:t xml:space="preserve">) las cláusulas ambiguas se interpretan a favor del deudor </w:t>
      </w:r>
      <w:r w:rsidRPr="002379AA">
        <w:rPr>
          <w:rFonts w:ascii="Verdana" w:eastAsia="Batang" w:hAnsi="Verdana" w:cs="Arial"/>
        </w:rPr>
        <w:t xml:space="preserve">(artículo 1624, inciso 1 </w:t>
      </w:r>
      <w:proofErr w:type="spellStart"/>
      <w:r w:rsidRPr="002379AA">
        <w:rPr>
          <w:rFonts w:ascii="Verdana" w:eastAsia="Batang" w:hAnsi="Verdana" w:cs="Arial"/>
        </w:rPr>
        <w:t>ibídem</w:t>
      </w:r>
      <w:proofErr w:type="spellEnd"/>
      <w:r w:rsidRPr="002379AA">
        <w:rPr>
          <w:rFonts w:ascii="Verdana" w:eastAsia="Batang" w:hAnsi="Verdana" w:cs="Arial"/>
        </w:rPr>
        <w:t xml:space="preserve">); y </w:t>
      </w:r>
      <w:proofErr w:type="spellStart"/>
      <w:r w:rsidRPr="002379AA">
        <w:rPr>
          <w:rFonts w:ascii="Verdana" w:eastAsia="Batang" w:hAnsi="Verdana" w:cs="Arial"/>
        </w:rPr>
        <w:t>ix</w:t>
      </w:r>
      <w:proofErr w:type="spellEnd"/>
      <w:r w:rsidRPr="002379AA">
        <w:rPr>
          <w:rFonts w:ascii="Verdana" w:eastAsia="Batang" w:hAnsi="Verdana" w:cs="Arial"/>
          <w:i/>
          <w:iCs/>
        </w:rPr>
        <w:t>)</w:t>
      </w:r>
      <w:r w:rsidRPr="002379AA">
        <w:rPr>
          <w:rFonts w:ascii="Verdana" w:eastAsia="Batang" w:hAnsi="Verdana" w:cs="Arial"/>
          <w:i/>
          <w:iCs/>
          <w:lang w:val="es-MX"/>
        </w:rPr>
        <w:t xml:space="preserve"> las cláusulas oscuras que hayan sido extendidas o dictadas por una parte se interpretarán contra ella si la ambigüedad proviene de una explicación que ésta ha debido dar</w:t>
      </w:r>
      <w:r w:rsidRPr="002379AA">
        <w:rPr>
          <w:rFonts w:ascii="Verdana" w:eastAsia="Batang" w:hAnsi="Verdana" w:cs="Arial"/>
          <w:lang w:val="es-MX"/>
        </w:rPr>
        <w:t xml:space="preserve"> </w:t>
      </w:r>
      <w:r w:rsidRPr="002379AA">
        <w:rPr>
          <w:rFonts w:ascii="Verdana" w:eastAsia="Batang" w:hAnsi="Verdana" w:cs="Arial"/>
        </w:rPr>
        <w:t xml:space="preserve">(artículo 1624, inciso 2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p>
    <w:p w14:paraId="42F952F9" w14:textId="6EE1EEC1" w:rsidR="00C44061" w:rsidRPr="009177BF" w:rsidRDefault="009177BF" w:rsidP="009177BF">
      <w:pPr>
        <w:spacing w:after="120" w:line="276" w:lineRule="auto"/>
        <w:ind w:firstLine="709"/>
        <w:jc w:val="both"/>
        <w:rPr>
          <w:rFonts w:ascii="Verdana" w:eastAsia="Batang" w:hAnsi="Verdana" w:cs="Arial"/>
        </w:rPr>
      </w:pPr>
      <w:r w:rsidRPr="002379AA">
        <w:rPr>
          <w:rFonts w:ascii="Verdana" w:eastAsia="Batang" w:hAnsi="Verdana" w:cs="Arial"/>
        </w:rPr>
        <w:t xml:space="preserve">Sin embargo, la aplicación de estos criterios siempre deberá tener en cuenta las circunstancias concretas de cada caso en particular, de manera que la entidad pueda optar por la interpretación que más se adecúe a la finalidad que persigue con el documento y sus anexos. </w:t>
      </w:r>
      <w:r w:rsidRPr="002379AA">
        <w:rPr>
          <w:rFonts w:ascii="Verdana" w:eastAsia="Batang" w:hAnsi="Verdana" w:cs="Arial"/>
          <w:lang w:val="es-MX"/>
        </w:rPr>
        <w:t xml:space="preserve">De todos modos, en caso de que el desacuerdo sobre el sentido o alcance de los documentos del proceso de contratación persista una vez aplicada las pautas anteriores, corresponde a los jueces de lo contencioso administrativo interpretar cuál de los documentos prevalece. Por tanto, es necesario señalar en que no es posible establecer </w:t>
      </w:r>
      <w:r w:rsidRPr="002379AA">
        <w:rPr>
          <w:rFonts w:ascii="Verdana" w:eastAsia="Batang" w:hAnsi="Verdana" w:cs="Arial"/>
          <w:i/>
          <w:iCs/>
          <w:lang w:val="es-MX"/>
        </w:rPr>
        <w:t xml:space="preserve">ex ante </w:t>
      </w:r>
      <w:r w:rsidRPr="002379AA">
        <w:rPr>
          <w:rFonts w:ascii="Verdana" w:eastAsia="Batang" w:hAnsi="Verdana" w:cs="Arial"/>
          <w:lang w:val="es-MX"/>
        </w:rPr>
        <w:t xml:space="preserve">la validez o prevalencia jurídica de los documentos contractuales, pues estos deben valorarse integralmente, de acuerdo con las reglas anteriormente expuestas </w:t>
      </w:r>
      <w:r w:rsidRPr="002379AA">
        <w:rPr>
          <w:rFonts w:ascii="Verdana" w:eastAsia="Calibri" w:hAnsi="Verdana" w:cs="Arial"/>
          <w:lang w:val="es-MX"/>
        </w:rPr>
        <w:t>y atendiendo a las circunstancias adicionales de cada proceso</w:t>
      </w:r>
      <w:r>
        <w:rPr>
          <w:rFonts w:ascii="Verdana" w:eastAsia="Calibri" w:hAnsi="Verdana" w:cs="Arial"/>
          <w:lang w:val="es-MX"/>
        </w:rPr>
        <w:t>.</w:t>
      </w:r>
    </w:p>
    <w:p w14:paraId="5BEF9D53" w14:textId="10F97A63" w:rsidR="00DA14F4" w:rsidRPr="00DA14F4" w:rsidRDefault="00DA14F4" w:rsidP="00DA14F4">
      <w:pPr>
        <w:spacing w:after="120" w:line="276" w:lineRule="auto"/>
        <w:ind w:firstLine="708"/>
        <w:jc w:val="both"/>
        <w:rPr>
          <w:rFonts w:ascii="Verdana" w:eastAsia="Batang" w:hAnsi="Verdana" w:cs="Arial"/>
        </w:rPr>
      </w:pPr>
      <w:r w:rsidRPr="002379AA">
        <w:rPr>
          <w:rFonts w:ascii="Verdana" w:eastAsia="Calibri" w:hAnsi="Verdana" w:cs="Arial"/>
          <w:lang w:val="es-MX"/>
        </w:rPr>
        <w:t>Así las cosas, ante una contradicción entre la información contemplada en</w:t>
      </w:r>
      <w:r w:rsidRPr="002379AA">
        <w:rPr>
          <w:rFonts w:ascii="Verdana" w:eastAsia="Calibri" w:hAnsi="Verdana" w:cs="Arial"/>
          <w:color w:val="000000"/>
          <w:lang w:val="es-ES" w:bidi="es-ES"/>
        </w:rPr>
        <w:t xml:space="preserve"> </w:t>
      </w:r>
      <w:r w:rsidRPr="002379AA">
        <w:rPr>
          <w:rFonts w:ascii="Verdana" w:eastAsia="Calibri" w:hAnsi="Verdana" w:cs="Arial"/>
          <w:color w:val="000000"/>
          <w:lang w:val="es-MX"/>
        </w:rPr>
        <w:t xml:space="preserve">alguno de los formatos que integran los documentos del proceso </w:t>
      </w:r>
      <w:r w:rsidRPr="002379AA">
        <w:rPr>
          <w:rFonts w:ascii="Verdana" w:eastAsia="Calibri" w:hAnsi="Verdana" w:cs="Arial"/>
          <w:lang w:val="es-MX"/>
        </w:rPr>
        <w:t xml:space="preserve">y la información contenida en el respectivo pliego de condiciones, se analizará las circunstancias en concreto de cara a los principios de la contratación estatal, de manera que la entidad adoptará la decisión que más se ajuste a la finalidad del proceso de contratación teniendo en cuenta las pautas interpretativas expuestas previamente, resaltando que aquellas disposiciones o situaciones </w:t>
      </w:r>
      <w:r w:rsidRPr="002379AA">
        <w:rPr>
          <w:rFonts w:ascii="Verdana" w:eastAsia="Batang" w:hAnsi="Verdana" w:cs="Arial"/>
        </w:rPr>
        <w:t xml:space="preserve">oscuras que hayan sido extendidas o dictadas por una parte se interpretarán contra ella si la ambigüedad proviene de una explicación que ésta ha debido dar de conformidad con el artículo 1624 del Código Civil, en ese sentido, dichas contradicciones o ambigüedades no pueden afectar a los proponentes o contratistas en el ejercicio de sus derechos. </w:t>
      </w:r>
    </w:p>
    <w:bookmarkEnd w:id="4"/>
    <w:bookmarkEnd w:id="5"/>
    <w:p w14:paraId="1DC0DA16" w14:textId="77777777" w:rsidR="00DA14F4" w:rsidRPr="001F283D" w:rsidRDefault="00DA14F4" w:rsidP="00DA14F4">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0A7B3777" w14:textId="77777777" w:rsidR="00DA14F4" w:rsidRPr="00593A5F" w:rsidRDefault="00DA14F4" w:rsidP="00DA14F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A14F4" w:rsidRPr="002407CE" w14:paraId="3A9D1359" w14:textId="77777777" w:rsidTr="00AB63CC">
        <w:trPr>
          <w:trHeight w:val="870"/>
          <w:jc w:val="center"/>
        </w:trPr>
        <w:tc>
          <w:tcPr>
            <w:tcW w:w="8647" w:type="dxa"/>
          </w:tcPr>
          <w:p w14:paraId="779104E3" w14:textId="77777777" w:rsidR="00DA14F4" w:rsidRPr="002379AA" w:rsidRDefault="00DA14F4" w:rsidP="00DA14F4">
            <w:pPr>
              <w:pStyle w:val="Prrafodelista"/>
              <w:numPr>
                <w:ilvl w:val="0"/>
                <w:numId w:val="2"/>
              </w:numPr>
              <w:spacing w:after="120" w:line="276" w:lineRule="auto"/>
              <w:jc w:val="both"/>
              <w:rPr>
                <w:rFonts w:ascii="Verdana" w:hAnsi="Verdana" w:cs="Arial"/>
                <w:noProof/>
                <w:sz w:val="24"/>
              </w:rPr>
            </w:pPr>
            <w:r w:rsidRPr="002379AA">
              <w:rPr>
                <w:rFonts w:ascii="Verdana" w:hAnsi="Verdana" w:cs="Arial"/>
                <w:noProof/>
                <w:sz w:val="24"/>
              </w:rPr>
              <w:lastRenderedPageBreak/>
              <w:t xml:space="preserve">Ley 80 de 1993: Artícuo 24. </w:t>
            </w:r>
          </w:p>
          <w:p w14:paraId="11756617" w14:textId="77777777" w:rsidR="00DA14F4" w:rsidRPr="002379AA" w:rsidRDefault="00DA14F4" w:rsidP="00DA14F4">
            <w:pPr>
              <w:pStyle w:val="Prrafodelista"/>
              <w:numPr>
                <w:ilvl w:val="0"/>
                <w:numId w:val="2"/>
              </w:numPr>
              <w:spacing w:after="120" w:line="276" w:lineRule="auto"/>
              <w:jc w:val="both"/>
              <w:rPr>
                <w:rFonts w:ascii="Verdana" w:hAnsi="Verdana" w:cs="Arial"/>
                <w:noProof/>
                <w:sz w:val="24"/>
              </w:rPr>
            </w:pPr>
            <w:r w:rsidRPr="002379AA">
              <w:rPr>
                <w:rFonts w:ascii="Verdana" w:hAnsi="Verdana" w:cs="Arial"/>
                <w:noProof/>
                <w:sz w:val="24"/>
              </w:rPr>
              <w:t>Código Civil: Artículos 1618 a 1624.</w:t>
            </w:r>
          </w:p>
          <w:p w14:paraId="340B8FEC" w14:textId="5FDA29F0" w:rsidR="00DA14F4" w:rsidRPr="00A57FA0" w:rsidRDefault="00DA14F4" w:rsidP="00DA14F4">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2379AA">
              <w:rPr>
                <w:rFonts w:ascii="Verdana" w:hAnsi="Verdana" w:cs="Arial"/>
                <w:noProof/>
              </w:rPr>
              <w:t>Decreto 1082 de 2015: Artículo 2.2.1.1.2.1.3.</w:t>
            </w:r>
          </w:p>
        </w:tc>
      </w:tr>
    </w:tbl>
    <w:p w14:paraId="36FC032B" w14:textId="77777777" w:rsidR="00DA14F4" w:rsidRPr="00277E26" w:rsidRDefault="00DA14F4" w:rsidP="00DA14F4">
      <w:pPr>
        <w:widowControl w:val="0"/>
        <w:autoSpaceDE w:val="0"/>
        <w:autoSpaceDN w:val="0"/>
        <w:spacing w:after="0" w:line="276" w:lineRule="auto"/>
        <w:jc w:val="both"/>
        <w:rPr>
          <w:rFonts w:ascii="Verdana" w:hAnsi="Verdana" w:cs="Arial"/>
        </w:rPr>
      </w:pPr>
    </w:p>
    <w:p w14:paraId="7D12472F" w14:textId="77777777" w:rsidR="00DA14F4" w:rsidRPr="001F283D" w:rsidRDefault="00DA14F4" w:rsidP="00DA14F4">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4141C99D" w14:textId="77777777" w:rsidR="00DA14F4" w:rsidRDefault="00DA14F4" w:rsidP="00DA14F4">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3701492B" w14:textId="77777777" w:rsidR="00DA14F4" w:rsidRPr="002379AA" w:rsidRDefault="00DA14F4" w:rsidP="00DA14F4">
      <w:pPr>
        <w:widowControl w:val="0"/>
        <w:autoSpaceDE w:val="0"/>
        <w:autoSpaceDN w:val="0"/>
        <w:spacing w:after="0" w:line="276" w:lineRule="auto"/>
        <w:jc w:val="both"/>
        <w:rPr>
          <w:rStyle w:val="normaltextrun"/>
          <w:rFonts w:ascii="Verdana" w:hAnsi="Verdana" w:cs="Arial"/>
          <w:shd w:val="clear" w:color="auto" w:fill="FFFFFF"/>
          <w:lang w:val="es-ES"/>
        </w:rPr>
      </w:pPr>
      <w:r w:rsidRPr="002379AA">
        <w:rPr>
          <w:rFonts w:ascii="Verdana" w:eastAsia="Calibri" w:hAnsi="Verdana" w:cs="Arial"/>
        </w:rPr>
        <w:t xml:space="preserve">La Agencia Nacional de Contratación Pública – Colombia Compra Eficiente, en los conceptos C-295 de 30 de abril de 2020, C-306 del 4 de junio de 2020, C-303 del 15 de junio de 2021, C-030 de 25 de febrero de 2022, C-693 de 24 de octubre de 2022 y C-346 del 25 de agosto de 2023, se pronunció sobre el tratamiento que debe dársele cuando existen reglas contradictoras en los Pliegos de Condiciones y demás documentos del proceso. </w:t>
      </w:r>
      <w:r w:rsidRPr="002379AA">
        <w:rPr>
          <w:rStyle w:val="normaltextrun"/>
          <w:rFonts w:ascii="Verdana" w:hAnsi="Verdana" w:cs="Arial"/>
          <w:shd w:val="clear" w:color="auto" w:fill="FFFFFF"/>
          <w:lang w:val="es-ES"/>
        </w:rPr>
        <w:t>Es</w:t>
      </w:r>
      <w:r w:rsidRPr="002379AA">
        <w:rPr>
          <w:rFonts w:ascii="Verdana" w:hAnsi="Verdana"/>
        </w:rPr>
        <w:t>tos y otros conceptos se encuentran disponibles para consulta en el Sistema de relatoría de la Agencia, al cual se puede acceder a través del siguiente enlace:</w:t>
      </w:r>
      <w:r w:rsidRPr="002379AA">
        <w:rPr>
          <w:rStyle w:val="normaltextrun"/>
          <w:rFonts w:ascii="Verdana" w:hAnsi="Verdana" w:cs="Arial"/>
          <w:shd w:val="clear" w:color="auto" w:fill="FFFFFF"/>
          <w:lang w:val="es-ES"/>
        </w:rPr>
        <w:t xml:space="preserve"> </w:t>
      </w:r>
      <w:hyperlink r:id="rId9" w:history="1">
        <w:r w:rsidRPr="002379AA">
          <w:rPr>
            <w:rStyle w:val="Hipervnculo"/>
            <w:rFonts w:ascii="Verdana" w:hAnsi="Verdana" w:cs="Arial"/>
            <w:shd w:val="clear" w:color="auto" w:fill="FFFFFF"/>
            <w:lang w:val="es-ES"/>
          </w:rPr>
          <w:t>https://relatoria.colombiacompra.gov.co/busqueda/conceptos</w:t>
        </w:r>
      </w:hyperlink>
      <w:r w:rsidRPr="002379AA">
        <w:rPr>
          <w:rStyle w:val="normaltextrun"/>
          <w:rFonts w:ascii="Verdana" w:hAnsi="Verdana" w:cs="Arial"/>
          <w:shd w:val="clear" w:color="auto" w:fill="FFFFFF"/>
          <w:lang w:val="es-ES"/>
        </w:rPr>
        <w:t>.</w:t>
      </w:r>
    </w:p>
    <w:p w14:paraId="233B0DD7" w14:textId="77777777" w:rsidR="00DA14F4" w:rsidRPr="00900D7D" w:rsidRDefault="00DA14F4" w:rsidP="00DA14F4">
      <w:pPr>
        <w:widowControl w:val="0"/>
        <w:autoSpaceDE w:val="0"/>
        <w:autoSpaceDN w:val="0"/>
        <w:spacing w:after="120" w:line="276" w:lineRule="auto"/>
        <w:jc w:val="both"/>
        <w:rPr>
          <w:rFonts w:ascii="Verdana" w:eastAsia="Calibri" w:hAnsi="Verdana" w:cs="Arial"/>
          <w:color w:val="000000" w:themeColor="text1"/>
          <w:lang w:eastAsia="es-ES_tradnl"/>
        </w:rPr>
      </w:pPr>
    </w:p>
    <w:p w14:paraId="2B8EC481" w14:textId="77777777" w:rsidR="00DA14F4" w:rsidRPr="00237766" w:rsidRDefault="00DA14F4" w:rsidP="00DA14F4">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F1542B6" w14:textId="77777777" w:rsidR="00DA14F4" w:rsidRPr="008E4F36" w:rsidRDefault="00DA14F4" w:rsidP="00DA14F4">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0DACFC4A" w14:textId="77777777" w:rsidR="00DA14F4" w:rsidRPr="008E4F36" w:rsidRDefault="00DA14F4" w:rsidP="00DA14F4">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405750E4" w14:textId="77777777" w:rsidR="00DA14F4" w:rsidRPr="008E4F36" w:rsidRDefault="00DA14F4" w:rsidP="00DA14F4">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70C70288" w14:textId="77777777" w:rsidR="00DA14F4" w:rsidRPr="008E4F36" w:rsidRDefault="00DA14F4" w:rsidP="00DA14F4">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1DB91518" w14:textId="77777777" w:rsidR="00DA14F4" w:rsidRPr="008E4F36" w:rsidRDefault="00DA14F4" w:rsidP="00DA14F4">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06AEC98" w14:textId="77777777" w:rsidR="00DA14F4" w:rsidRPr="008E4F36" w:rsidRDefault="00DA14F4" w:rsidP="00DA14F4">
      <w:pPr>
        <w:spacing w:after="0" w:line="276" w:lineRule="auto"/>
        <w:jc w:val="both"/>
        <w:rPr>
          <w:rFonts w:ascii="Verdana" w:hAnsi="Verdana"/>
        </w:rPr>
      </w:pPr>
    </w:p>
    <w:p w14:paraId="010369E0" w14:textId="77777777" w:rsidR="00DA14F4" w:rsidRPr="008E4F36" w:rsidRDefault="00DA14F4" w:rsidP="00DA14F4">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7B016401" w14:textId="77777777" w:rsidR="00DA14F4" w:rsidRPr="008E4F36" w:rsidRDefault="00DA14F4" w:rsidP="00DA14F4">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7F666BF4" w14:textId="77777777" w:rsidR="00DA14F4" w:rsidRPr="008E4F36" w:rsidRDefault="00DA14F4" w:rsidP="00DA14F4">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1748631C" w14:textId="77777777" w:rsidR="00DA14F4" w:rsidRDefault="00DA14F4" w:rsidP="00DA14F4">
      <w:pPr>
        <w:spacing w:before="120" w:after="0" w:line="276" w:lineRule="auto"/>
        <w:jc w:val="both"/>
        <w:rPr>
          <w:rFonts w:ascii="Verdana" w:hAnsi="Verdana"/>
        </w:rPr>
      </w:pPr>
    </w:p>
    <w:p w14:paraId="4F0ED933" w14:textId="77777777" w:rsidR="00DA14F4" w:rsidRPr="00FB6C33" w:rsidRDefault="00DA14F4" w:rsidP="00DA14F4">
      <w:pPr>
        <w:spacing w:before="120" w:after="0" w:line="276" w:lineRule="auto"/>
        <w:jc w:val="both"/>
        <w:rPr>
          <w:rFonts w:ascii="Verdana" w:hAnsi="Verdana"/>
        </w:rPr>
      </w:pPr>
      <w:r w:rsidRPr="00FB6C33">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7AF63EE" w14:textId="77777777" w:rsidR="00DA14F4" w:rsidRPr="008E4F36" w:rsidRDefault="00DA14F4" w:rsidP="00DA14F4">
      <w:pPr>
        <w:spacing w:after="0" w:line="276" w:lineRule="auto"/>
        <w:jc w:val="both"/>
        <w:rPr>
          <w:rFonts w:ascii="Verdana" w:eastAsia="Calibri" w:hAnsi="Verdana" w:cs="Times New Roman"/>
        </w:rPr>
      </w:pPr>
    </w:p>
    <w:p w14:paraId="6E99523D" w14:textId="77777777" w:rsidR="00DA14F4" w:rsidRDefault="00DA14F4" w:rsidP="00DA14F4">
      <w:pPr>
        <w:spacing w:after="0" w:line="276" w:lineRule="auto"/>
        <w:jc w:val="both"/>
        <w:rPr>
          <w:rFonts w:ascii="Verdana" w:eastAsia="Calibri" w:hAnsi="Verdana" w:cs="Times New Roman"/>
        </w:rPr>
      </w:pPr>
      <w:r w:rsidRPr="008E4F36">
        <w:rPr>
          <w:rFonts w:ascii="Verdana" w:eastAsia="Calibri" w:hAnsi="Verdana" w:cs="Times New Roman"/>
        </w:rPr>
        <w:t>Atentamente,</w:t>
      </w:r>
    </w:p>
    <w:bookmarkEnd w:id="0"/>
    <w:bookmarkEnd w:id="1"/>
    <w:p w14:paraId="209DC149" w14:textId="77777777" w:rsidR="00DA14F4" w:rsidRDefault="00DA14F4" w:rsidP="00DA14F4">
      <w:pPr>
        <w:spacing w:after="0"/>
        <w:rPr>
          <w:rFonts w:ascii="Verdana" w:hAnsi="Verdana"/>
        </w:rPr>
      </w:pPr>
    </w:p>
    <w:p w14:paraId="1FBE6C69" w14:textId="5490C690" w:rsidR="00DA14F4" w:rsidRDefault="00B917F4" w:rsidP="00B917F4">
      <w:pPr>
        <w:spacing w:after="0"/>
        <w:jc w:val="center"/>
        <w:rPr>
          <w:rFonts w:ascii="Verdana" w:hAnsi="Verdana"/>
        </w:rPr>
      </w:pPr>
      <w:r>
        <w:rPr>
          <w:noProof/>
        </w:rPr>
        <w:drawing>
          <wp:inline distT="0" distB="0" distL="0" distR="0" wp14:anchorId="633299D2" wp14:editId="2743F657">
            <wp:extent cx="2823707" cy="1048082"/>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1"/>
                    <a:stretch>
                      <a:fillRect/>
                    </a:stretch>
                  </pic:blipFill>
                  <pic:spPr>
                    <a:xfrm>
                      <a:off x="0" y="0"/>
                      <a:ext cx="2833188" cy="1051601"/>
                    </a:xfrm>
                    <a:prstGeom prst="rect">
                      <a:avLst/>
                    </a:prstGeom>
                  </pic:spPr>
                </pic:pic>
              </a:graphicData>
            </a:graphic>
          </wp:inline>
        </w:drawing>
      </w:r>
    </w:p>
    <w:p w14:paraId="6751B8F5" w14:textId="77777777" w:rsidR="00DA14F4" w:rsidRDefault="00DA14F4" w:rsidP="00DA14F4">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A14F4" w:rsidRPr="002423D6" w14:paraId="1D442431" w14:textId="77777777" w:rsidTr="00AB63CC">
        <w:trPr>
          <w:trHeight w:val="315"/>
        </w:trPr>
        <w:tc>
          <w:tcPr>
            <w:tcW w:w="893" w:type="dxa"/>
            <w:vAlign w:val="center"/>
            <w:hideMark/>
          </w:tcPr>
          <w:p w14:paraId="45316D6A" w14:textId="77777777" w:rsidR="00DA14F4" w:rsidRPr="002423D6" w:rsidRDefault="00DA14F4" w:rsidP="00AB63C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3F5041" w14:textId="77777777" w:rsidR="00DA14F4" w:rsidRPr="002423D6" w:rsidRDefault="00DA14F4" w:rsidP="00AB63CC">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5BF691CC" w14:textId="77777777" w:rsidR="00DA14F4" w:rsidRPr="002423D6" w:rsidRDefault="00DA14F4" w:rsidP="00AB63CC">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DA14F4" w:rsidRPr="002423D6" w14:paraId="2D14A36F" w14:textId="77777777" w:rsidTr="00AB63CC">
        <w:trPr>
          <w:trHeight w:val="330"/>
        </w:trPr>
        <w:tc>
          <w:tcPr>
            <w:tcW w:w="893" w:type="dxa"/>
            <w:vAlign w:val="center"/>
            <w:hideMark/>
          </w:tcPr>
          <w:p w14:paraId="5A2D208D" w14:textId="77777777" w:rsidR="00DA14F4" w:rsidRPr="002423D6" w:rsidRDefault="00DA14F4" w:rsidP="00AB63C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469645" w14:textId="6B898DA0" w:rsidR="00DA14F4" w:rsidRPr="002423D6" w:rsidRDefault="00DA14F4" w:rsidP="00AB63CC">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Juan David Cárdenas Cabeza </w:t>
            </w:r>
          </w:p>
          <w:p w14:paraId="7EFF8EC2" w14:textId="77777777" w:rsidR="00DA14F4" w:rsidRPr="002423D6" w:rsidRDefault="00DA14F4" w:rsidP="00AB63CC">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DA14F4" w:rsidRPr="002423D6" w14:paraId="2E217321" w14:textId="77777777" w:rsidTr="00AB63CC">
        <w:trPr>
          <w:trHeight w:val="300"/>
        </w:trPr>
        <w:tc>
          <w:tcPr>
            <w:tcW w:w="893" w:type="dxa"/>
            <w:vAlign w:val="center"/>
          </w:tcPr>
          <w:p w14:paraId="0BCEB604" w14:textId="77777777" w:rsidR="00DA14F4" w:rsidRPr="002423D6" w:rsidRDefault="00DA14F4" w:rsidP="00AB63C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295F05" w14:textId="77777777" w:rsidR="00DA14F4" w:rsidRPr="002423D6" w:rsidRDefault="00DA14F4" w:rsidP="00AB63C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122EF2B3" w14:textId="77777777" w:rsidR="00DA14F4" w:rsidRPr="002423D6" w:rsidRDefault="00DA14F4" w:rsidP="00AB63C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544A7202" w14:textId="77777777" w:rsidR="00DA14F4" w:rsidRDefault="00DA14F4" w:rsidP="00DA14F4"/>
    <w:p w14:paraId="47049955" w14:textId="46FF0472" w:rsidR="00DA14F4" w:rsidRPr="00823C60" w:rsidRDefault="00DA14F4" w:rsidP="00DA14F4"/>
    <w:p w14:paraId="167B2D38" w14:textId="77777777" w:rsidR="00DA14F4" w:rsidRDefault="00DA14F4" w:rsidP="00DA14F4"/>
    <w:p w14:paraId="48F12A56" w14:textId="77777777" w:rsidR="000F5A42" w:rsidRDefault="000F5A42"/>
    <w:sectPr w:rsidR="000F5A42" w:rsidSect="00DA14F4">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E0724" w14:textId="77777777" w:rsidR="00151AA1" w:rsidRDefault="00151AA1" w:rsidP="00DA14F4">
      <w:pPr>
        <w:spacing w:after="0" w:line="240" w:lineRule="auto"/>
      </w:pPr>
      <w:r>
        <w:separator/>
      </w:r>
    </w:p>
  </w:endnote>
  <w:endnote w:type="continuationSeparator" w:id="0">
    <w:p w14:paraId="45A53B9F" w14:textId="77777777" w:rsidR="00151AA1" w:rsidRDefault="00151AA1" w:rsidP="00DA14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Batang">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6B766" w14:textId="77777777" w:rsidR="00DA14F4" w:rsidRDefault="00DA14F4" w:rsidP="000849D5">
    <w:pPr>
      <w:spacing w:after="0"/>
      <w:rPr>
        <w:rFonts w:ascii="Verdana" w:hAnsi="Verdana"/>
        <w:b/>
        <w:bCs/>
        <w:sz w:val="20"/>
        <w:szCs w:val="20"/>
      </w:rPr>
    </w:pPr>
  </w:p>
  <w:p w14:paraId="63169C65" w14:textId="77777777" w:rsidR="00DA14F4" w:rsidRPr="00174B77" w:rsidRDefault="00DA14F4"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7AAE72" w14:textId="77777777" w:rsidR="00DA14F4" w:rsidRDefault="00DA14F4"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7E8350DC" w14:textId="77777777" w:rsidR="00DA14F4" w:rsidRPr="00E41027" w:rsidRDefault="00DA14F4" w:rsidP="000849D5">
    <w:pPr>
      <w:spacing w:after="0"/>
      <w:jc w:val="both"/>
      <w:rPr>
        <w:rFonts w:ascii="Verdana" w:hAnsi="Verdana"/>
        <w:sz w:val="18"/>
        <w:szCs w:val="18"/>
      </w:rPr>
    </w:pPr>
    <w:r w:rsidRPr="00E41027">
      <w:rPr>
        <w:rFonts w:ascii="Verdana" w:hAnsi="Verdana"/>
        <w:sz w:val="18"/>
        <w:szCs w:val="18"/>
      </w:rPr>
      <w:t>Mesa de servicio: (+57) 601 7456788</w:t>
    </w:r>
  </w:p>
  <w:p w14:paraId="0EC1F519" w14:textId="77777777" w:rsidR="00DA14F4" w:rsidRDefault="00DA14F4"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41E46639" w14:textId="77777777" w:rsidR="00DA14F4" w:rsidRPr="007D04B2" w:rsidRDefault="00DA14F4" w:rsidP="000849D5">
    <w:pPr>
      <w:pStyle w:val="Piedepgina"/>
    </w:pPr>
  </w:p>
  <w:p w14:paraId="72325DA3" w14:textId="77777777" w:rsidR="00DA14F4" w:rsidRPr="000849D5" w:rsidRDefault="00DA14F4"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39350" w14:textId="77777777" w:rsidR="00151AA1" w:rsidRDefault="00151AA1" w:rsidP="00DA14F4">
      <w:pPr>
        <w:spacing w:after="0" w:line="240" w:lineRule="auto"/>
      </w:pPr>
      <w:r>
        <w:separator/>
      </w:r>
    </w:p>
  </w:footnote>
  <w:footnote w:type="continuationSeparator" w:id="0">
    <w:p w14:paraId="6BDB1B3B" w14:textId="77777777" w:rsidR="00151AA1" w:rsidRDefault="00151AA1" w:rsidP="00DA14F4">
      <w:pPr>
        <w:spacing w:after="0" w:line="240" w:lineRule="auto"/>
      </w:pPr>
      <w:r>
        <w:continuationSeparator/>
      </w:r>
    </w:p>
  </w:footnote>
  <w:footnote w:id="1">
    <w:p w14:paraId="71A0D1D2" w14:textId="77777777" w:rsidR="00DA14F4" w:rsidRPr="001E50B5" w:rsidRDefault="00DA14F4" w:rsidP="00DA14F4">
      <w:pPr>
        <w:pStyle w:val="Textonotapie"/>
        <w:ind w:firstLine="708"/>
        <w:contextualSpacing/>
        <w:jc w:val="both"/>
        <w:rPr>
          <w:rFonts w:ascii="Verdana" w:hAnsi="Verdana" w:cs="Arial"/>
          <w:color w:val="000000" w:themeColor="text1"/>
          <w:sz w:val="14"/>
          <w:szCs w:val="14"/>
        </w:rPr>
      </w:pPr>
      <w:r w:rsidRPr="001E50B5">
        <w:rPr>
          <w:rStyle w:val="Refdenotaalpie"/>
          <w:rFonts w:ascii="Verdana" w:hAnsi="Verdana" w:cs="Arial"/>
          <w:color w:val="000000" w:themeColor="text1"/>
          <w:sz w:val="14"/>
          <w:szCs w:val="14"/>
        </w:rPr>
        <w:footnoteRef/>
      </w:r>
      <w:r w:rsidRPr="001E50B5">
        <w:rPr>
          <w:rFonts w:ascii="Verdana" w:hAnsi="Verdana" w:cs="Arial"/>
          <w:color w:val="000000" w:themeColor="text1"/>
          <w:sz w:val="14"/>
          <w:szCs w:val="14"/>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419E5C20" w14:textId="77777777" w:rsidR="00DA14F4" w:rsidRPr="001E50B5" w:rsidRDefault="00DA14F4" w:rsidP="00DA14F4">
      <w:pPr>
        <w:pStyle w:val="Textonotapie"/>
        <w:ind w:firstLine="708"/>
        <w:contextualSpacing/>
        <w:jc w:val="both"/>
        <w:rPr>
          <w:rFonts w:ascii="Verdana" w:hAnsi="Verdana" w:cs="Arial"/>
          <w:color w:val="000000" w:themeColor="text1"/>
          <w:sz w:val="14"/>
          <w:szCs w:val="14"/>
        </w:rPr>
      </w:pPr>
      <w:r w:rsidRPr="001E50B5">
        <w:rPr>
          <w:rFonts w:ascii="Verdana" w:hAnsi="Verdana" w:cs="Arial"/>
          <w:color w:val="000000" w:themeColor="text1"/>
          <w:sz w:val="14"/>
          <w:szCs w:val="14"/>
        </w:rPr>
        <w:t>[...]</w:t>
      </w:r>
    </w:p>
    <w:p w14:paraId="734114C2" w14:textId="77777777" w:rsidR="00DA14F4" w:rsidRPr="001E50B5" w:rsidRDefault="00DA14F4" w:rsidP="00DA14F4">
      <w:pPr>
        <w:pStyle w:val="Textonotapie"/>
        <w:ind w:firstLine="708"/>
        <w:contextualSpacing/>
        <w:jc w:val="both"/>
        <w:rPr>
          <w:rFonts w:ascii="Verdana" w:hAnsi="Verdana" w:cs="Arial"/>
          <w:color w:val="000000" w:themeColor="text1"/>
          <w:sz w:val="14"/>
          <w:szCs w:val="14"/>
        </w:rPr>
      </w:pPr>
      <w:r w:rsidRPr="001E50B5">
        <w:rPr>
          <w:rFonts w:ascii="Verdana" w:hAnsi="Verdana" w:cs="Arial"/>
          <w:color w:val="000000" w:themeColor="text1"/>
          <w:sz w:val="14"/>
          <w:szCs w:val="14"/>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22C64E37" w14:textId="77777777" w:rsidR="00DA14F4" w:rsidRPr="00F12EAF" w:rsidRDefault="00DA14F4" w:rsidP="00DA14F4">
      <w:pPr>
        <w:pStyle w:val="Textonotapie"/>
        <w:ind w:firstLine="708"/>
        <w:contextualSpacing/>
        <w:jc w:val="both"/>
        <w:rPr>
          <w:rFonts w:ascii="Verdana" w:hAnsi="Verdana" w:cs="Arial"/>
          <w:color w:val="000000" w:themeColor="text1"/>
          <w:sz w:val="16"/>
          <w:szCs w:val="16"/>
          <w:lang w:val="es-ES"/>
        </w:rPr>
      </w:pPr>
      <w:r w:rsidRPr="001E50B5">
        <w:rPr>
          <w:rFonts w:ascii="Verdana" w:hAnsi="Verdana" w:cs="Arial"/>
          <w:color w:val="000000" w:themeColor="text1"/>
          <w:sz w:val="14"/>
          <w:szCs w:val="14"/>
        </w:rPr>
        <w:t>[...]”.</w:t>
      </w:r>
    </w:p>
  </w:footnote>
  <w:footnote w:id="2">
    <w:p w14:paraId="2CB351A6" w14:textId="77777777" w:rsidR="00DA14F4" w:rsidRPr="000E00E1" w:rsidRDefault="00DA14F4" w:rsidP="00DA14F4">
      <w:pPr>
        <w:pStyle w:val="Textonotapie"/>
        <w:ind w:firstLine="708"/>
        <w:contextualSpacing/>
        <w:jc w:val="both"/>
        <w:rPr>
          <w:rFonts w:ascii="Verdana" w:hAnsi="Verdana" w:cs="Arial"/>
          <w:color w:val="000000" w:themeColor="text1"/>
          <w:sz w:val="14"/>
          <w:szCs w:val="14"/>
          <w:lang w:val="es-ES"/>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CORTE CONSTITUCIONAL. Sentencia C-128 de 2003. 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3">
    <w:p w14:paraId="76501396" w14:textId="77777777" w:rsidR="00DA14F4" w:rsidRPr="000E00E1" w:rsidRDefault="00DA14F4" w:rsidP="00DA14F4">
      <w:pPr>
        <w:pStyle w:val="Textonotapie"/>
        <w:ind w:firstLine="708"/>
        <w:contextualSpacing/>
        <w:jc w:val="both"/>
        <w:rPr>
          <w:rFonts w:ascii="Verdana" w:hAnsi="Verdana" w:cs="Arial"/>
          <w:color w:val="000000" w:themeColor="text1"/>
          <w:sz w:val="14"/>
          <w:szCs w:val="14"/>
          <w:lang w:val="es-ES"/>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CONSEJO DE ESTADO. Sección Tercera. Sentencia del 11 de noviembre de 2009. </w:t>
      </w:r>
      <w:proofErr w:type="spellStart"/>
      <w:r w:rsidRPr="000E00E1">
        <w:rPr>
          <w:rFonts w:ascii="Verdana" w:hAnsi="Verdana" w:cs="Arial"/>
          <w:color w:val="000000" w:themeColor="text1"/>
          <w:sz w:val="14"/>
          <w:szCs w:val="14"/>
        </w:rPr>
        <w:t>Exp</w:t>
      </w:r>
      <w:proofErr w:type="spellEnd"/>
      <w:r w:rsidRPr="000E00E1">
        <w:rPr>
          <w:rFonts w:ascii="Verdana" w:hAnsi="Verdana" w:cs="Arial"/>
          <w:color w:val="000000" w:themeColor="text1"/>
          <w:sz w:val="14"/>
          <w:szCs w:val="14"/>
        </w:rPr>
        <w:t xml:space="preserve">. 17.366. C.P. Mauricio Fajardo </w:t>
      </w:r>
      <w:proofErr w:type="spellStart"/>
      <w:r w:rsidRPr="000E00E1">
        <w:rPr>
          <w:rFonts w:ascii="Verdana" w:hAnsi="Verdana" w:cs="Arial"/>
          <w:color w:val="000000" w:themeColor="text1"/>
          <w:sz w:val="14"/>
          <w:szCs w:val="14"/>
        </w:rPr>
        <w:t>Gomez</w:t>
      </w:r>
      <w:proofErr w:type="spellEnd"/>
      <w:r w:rsidRPr="000E00E1">
        <w:rPr>
          <w:rFonts w:ascii="Verdana" w:hAnsi="Verdana" w:cs="Arial"/>
          <w:color w:val="000000" w:themeColor="text1"/>
          <w:sz w:val="14"/>
          <w:szCs w:val="14"/>
        </w:rPr>
        <w:t>.</w:t>
      </w:r>
    </w:p>
  </w:footnote>
  <w:footnote w:id="4">
    <w:p w14:paraId="790C49DD" w14:textId="77777777" w:rsidR="00DA14F4" w:rsidRPr="00F12EAF" w:rsidRDefault="00DA14F4" w:rsidP="00DA14F4">
      <w:pPr>
        <w:pStyle w:val="Textonotapie"/>
        <w:ind w:firstLine="708"/>
        <w:contextualSpacing/>
        <w:jc w:val="both"/>
        <w:rPr>
          <w:rFonts w:ascii="Verdana" w:hAnsi="Verdana" w:cs="Arial"/>
          <w:color w:val="000000" w:themeColor="text1"/>
          <w:sz w:val="16"/>
          <w:szCs w:val="16"/>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CONSEJO DE ESTADO. Sección Tercera. Sentencia del 24 de julio de 2013. </w:t>
      </w:r>
      <w:proofErr w:type="spellStart"/>
      <w:r w:rsidRPr="000E00E1">
        <w:rPr>
          <w:rFonts w:ascii="Verdana" w:hAnsi="Verdana" w:cs="Arial"/>
          <w:color w:val="000000" w:themeColor="text1"/>
          <w:sz w:val="14"/>
          <w:szCs w:val="14"/>
        </w:rPr>
        <w:t>Exp</w:t>
      </w:r>
      <w:proofErr w:type="spellEnd"/>
      <w:r w:rsidRPr="000E00E1">
        <w:rPr>
          <w:rFonts w:ascii="Verdana" w:hAnsi="Verdana" w:cs="Arial"/>
          <w:color w:val="000000" w:themeColor="text1"/>
          <w:sz w:val="14"/>
          <w:szCs w:val="14"/>
        </w:rPr>
        <w:t>.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5">
    <w:p w14:paraId="677AA489"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DECRETO 1082 DE 2015: “Artículo 2.2.1.1.2.1.3. Pliegos de condiciones. Los pliegos de condiciones deben contener por lo menos la siguiente información:</w:t>
      </w:r>
    </w:p>
    <w:p w14:paraId="67070258"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 xml:space="preserve">1. La descripción técnica, detallada y completa del bien o servicio objeto del contrato, identificado con el cuarto nivel del Clasificador de Bienes y Servicios, de ser posible o de lo contrario con el tercer nivel </w:t>
      </w:r>
      <w:proofErr w:type="gramStart"/>
      <w:r w:rsidRPr="000E00E1">
        <w:rPr>
          <w:rFonts w:ascii="Verdana" w:hAnsi="Verdana" w:cs="Arial"/>
          <w:color w:val="000000" w:themeColor="text1"/>
          <w:sz w:val="14"/>
          <w:szCs w:val="14"/>
        </w:rPr>
        <w:t>del mismo</w:t>
      </w:r>
      <w:proofErr w:type="gramEnd"/>
      <w:r w:rsidRPr="000E00E1">
        <w:rPr>
          <w:rFonts w:ascii="Verdana" w:hAnsi="Verdana" w:cs="Arial"/>
          <w:color w:val="000000" w:themeColor="text1"/>
          <w:sz w:val="14"/>
          <w:szCs w:val="14"/>
        </w:rPr>
        <w:t>.</w:t>
      </w:r>
    </w:p>
    <w:p w14:paraId="12F1DD5D"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2. La modalidad del proceso de selección y su justificación.</w:t>
      </w:r>
    </w:p>
    <w:p w14:paraId="63C5E1C5"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3. Los criterios de selección, incluyendo los factores de desempate y los incentivos cuando a ello haya lugar.</w:t>
      </w:r>
    </w:p>
    <w:p w14:paraId="39732A1E"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4. Las condiciones de costo y/o calidad que la Entidad Estatal debe tener en cuenta para la selección objetiva, de acuerdo con la modalidad de selección del contratista.</w:t>
      </w:r>
    </w:p>
    <w:p w14:paraId="12239BCA"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5. Las reglas aplicables a la presentación de las ofertas, su evaluación y a la adjudicación del contrato.</w:t>
      </w:r>
    </w:p>
    <w:p w14:paraId="7B1C5485"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6. Las causas que dan lugar a rechazar una oferta.</w:t>
      </w:r>
    </w:p>
    <w:p w14:paraId="08E35EBE"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7. El valor del contrato, el plazo, el cronograma de pagos y la determinación de si debe haber lugar a la entrega de anticipo, y si hubiere, indicar su valor, el cual debe tener en cuenta los rendimientos que este pueda generar.</w:t>
      </w:r>
    </w:p>
    <w:p w14:paraId="15B64C35"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8. Los Riesgos asociados al contrato, la forma de mitigarlos y la asignación del Riesgo entre las partes contratantes.</w:t>
      </w:r>
    </w:p>
    <w:p w14:paraId="0D96550A"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9. Las garantías exigidas en el Proceso de Contratación y sus condiciones.</w:t>
      </w:r>
    </w:p>
    <w:p w14:paraId="5B49148F"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10. La mención de si la Entidad Estatal y el contrato objeto de los pliegos de condiciones están cubiertos por un Acuerdo Comercial.</w:t>
      </w:r>
    </w:p>
    <w:p w14:paraId="1DA68712"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11. Los términos, condiciones y minuta del contrato.</w:t>
      </w:r>
    </w:p>
    <w:p w14:paraId="18987E34"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12. Los términos de la supervisión y/o de la interventoría del contrato.</w:t>
      </w:r>
    </w:p>
    <w:p w14:paraId="2D2E615D"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13. El plazo dentro del cual la Entidad Estatal puede expedir Adendas.</w:t>
      </w:r>
    </w:p>
    <w:p w14:paraId="675A09C5" w14:textId="77777777" w:rsidR="00DA14F4" w:rsidRPr="000E00E1" w:rsidRDefault="00DA14F4" w:rsidP="00DA14F4">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14. El Cronograma”.</w:t>
      </w:r>
    </w:p>
  </w:footnote>
  <w:footnote w:id="6">
    <w:p w14:paraId="0435B45E" w14:textId="77777777" w:rsidR="00DA14F4" w:rsidRPr="000E00E1" w:rsidRDefault="00DA14F4" w:rsidP="00DA14F4">
      <w:pPr>
        <w:pStyle w:val="Textonotapie"/>
        <w:ind w:firstLine="708"/>
        <w:contextualSpacing/>
        <w:jc w:val="both"/>
        <w:rPr>
          <w:rFonts w:ascii="Verdana" w:hAnsi="Verdana" w:cs="Arial"/>
          <w:sz w:val="14"/>
          <w:szCs w:val="14"/>
        </w:rPr>
      </w:pPr>
      <w:r w:rsidRPr="000E00E1">
        <w:rPr>
          <w:rStyle w:val="Refdenotaalpie"/>
          <w:rFonts w:ascii="Verdana" w:hAnsi="Verdana" w:cs="Arial"/>
          <w:sz w:val="14"/>
          <w:szCs w:val="14"/>
        </w:rPr>
        <w:footnoteRef/>
      </w:r>
      <w:r w:rsidRPr="000E00E1">
        <w:rPr>
          <w:rFonts w:ascii="Verdana" w:hAnsi="Verdana" w:cs="Arial"/>
          <w:sz w:val="14"/>
          <w:szCs w:val="14"/>
        </w:rPr>
        <w:t xml:space="preserve"> GONZÁLEZ LÓPEZ, Edgar</w:t>
      </w:r>
      <w:r w:rsidRPr="000E00E1">
        <w:rPr>
          <w:rFonts w:ascii="Verdana" w:hAnsi="Verdana" w:cs="Arial"/>
          <w:i/>
          <w:iCs/>
          <w:sz w:val="14"/>
          <w:szCs w:val="14"/>
        </w:rPr>
        <w:t xml:space="preserve">. </w:t>
      </w:r>
      <w:r w:rsidRPr="000E00E1">
        <w:rPr>
          <w:rFonts w:ascii="Verdana" w:hAnsi="Verdana" w:cs="Arial"/>
          <w:sz w:val="14"/>
          <w:szCs w:val="14"/>
        </w:rPr>
        <w:t xml:space="preserve">El pliego de condiciones en la contratación. La reforma consagrada en la Ley 1150 de 2007 y sus decretos reglamentarios. Universidad Externado de Colombia. Primera edición, 2010, pp. 64.  </w:t>
      </w:r>
    </w:p>
  </w:footnote>
  <w:footnote w:id="7">
    <w:p w14:paraId="1B553FE9" w14:textId="77777777" w:rsidR="00DA14F4" w:rsidRPr="00F12EAF" w:rsidRDefault="00DA14F4" w:rsidP="00DA14F4">
      <w:pPr>
        <w:pStyle w:val="Textonotapie"/>
        <w:ind w:firstLine="708"/>
        <w:contextualSpacing/>
        <w:jc w:val="both"/>
        <w:rPr>
          <w:rFonts w:ascii="Verdana" w:hAnsi="Verdana"/>
          <w:sz w:val="16"/>
          <w:szCs w:val="16"/>
        </w:rPr>
      </w:pPr>
      <w:r w:rsidRPr="000E00E1">
        <w:rPr>
          <w:rStyle w:val="Refdenotaalpie"/>
          <w:rFonts w:ascii="Verdana" w:hAnsi="Verdana"/>
          <w:sz w:val="14"/>
          <w:szCs w:val="14"/>
        </w:rPr>
        <w:footnoteRef/>
      </w:r>
      <w:r w:rsidRPr="000E00E1">
        <w:rPr>
          <w:rFonts w:ascii="Verdana" w:hAnsi="Verdana"/>
          <w:sz w:val="14"/>
          <w:szCs w:val="14"/>
        </w:rPr>
        <w:t xml:space="preserve"> CONSEJO DE ESTADO, Sala de lo Contencioso Administrativo, Sección Tercera, sentencias del 1 de junio de 2022, radicado 60248; 29 de julio de 2015, radicado 40660; y, del 26 de abril de 2006, radicado 16041.</w:t>
      </w:r>
    </w:p>
  </w:footnote>
  <w:footnote w:id="8">
    <w:p w14:paraId="3081853E" w14:textId="77777777" w:rsidR="00DA14F4" w:rsidRPr="000E00E1" w:rsidRDefault="00DA14F4" w:rsidP="00DA14F4">
      <w:pPr>
        <w:pStyle w:val="Textonotapie"/>
        <w:ind w:firstLine="708"/>
        <w:contextualSpacing/>
        <w:jc w:val="both"/>
        <w:rPr>
          <w:rFonts w:ascii="Verdana" w:hAnsi="Verdana"/>
          <w:sz w:val="14"/>
          <w:szCs w:val="14"/>
        </w:rPr>
      </w:pPr>
      <w:r w:rsidRPr="000E00E1">
        <w:rPr>
          <w:rStyle w:val="Refdenotaalpie"/>
          <w:rFonts w:ascii="Verdana" w:hAnsi="Verdana"/>
          <w:sz w:val="14"/>
          <w:szCs w:val="14"/>
        </w:rPr>
        <w:footnoteRef/>
      </w:r>
      <w:r w:rsidRPr="000E00E1">
        <w:rPr>
          <w:rFonts w:ascii="Verdana" w:hAnsi="Verdana"/>
          <w:sz w:val="14"/>
          <w:szCs w:val="14"/>
        </w:rPr>
        <w:t xml:space="preserve"> CONSEJO DE ESTADO, Sala de lo Contencioso Administrativo, Sección Tercera, sentencias del 1 de junio de 2022, radicado 60248 y del 2 de julio de 2021, radicado 51910.</w:t>
      </w:r>
    </w:p>
  </w:footnote>
  <w:footnote w:id="9">
    <w:p w14:paraId="73E16CD1" w14:textId="77777777" w:rsidR="00DA14F4" w:rsidRPr="00F12EAF" w:rsidRDefault="00DA14F4" w:rsidP="00DA14F4">
      <w:pPr>
        <w:pStyle w:val="Textonotapie"/>
        <w:ind w:firstLine="708"/>
        <w:contextualSpacing/>
        <w:jc w:val="both"/>
        <w:rPr>
          <w:rFonts w:ascii="Verdana" w:hAnsi="Verdana" w:cs="Arial"/>
          <w:sz w:val="16"/>
          <w:szCs w:val="16"/>
        </w:rPr>
      </w:pPr>
      <w:r w:rsidRPr="000E00E1">
        <w:rPr>
          <w:rStyle w:val="Refdenotaalpie"/>
          <w:rFonts w:ascii="Verdana" w:hAnsi="Verdana" w:cs="Arial"/>
          <w:sz w:val="14"/>
          <w:szCs w:val="14"/>
        </w:rPr>
        <w:footnoteRef/>
      </w:r>
      <w:r w:rsidRPr="000E00E1">
        <w:rPr>
          <w:rFonts w:ascii="Verdana" w:hAnsi="Verdana" w:cs="Arial"/>
          <w:sz w:val="14"/>
          <w:szCs w:val="14"/>
        </w:rPr>
        <w:t xml:space="preserve"> SANTOFIMIO GAMBÓA, Jaime Orlando. Compendio de Derecho Administrativo. Editorial Universidad Externado de Colombia. Págs. 672-673. Bogotá, 2017.</w:t>
      </w:r>
    </w:p>
  </w:footnote>
  <w:footnote w:id="10">
    <w:p w14:paraId="2A189134" w14:textId="77777777" w:rsidR="00DA14F4" w:rsidRPr="001E50B5" w:rsidRDefault="00DA14F4" w:rsidP="00DA14F4">
      <w:pPr>
        <w:pStyle w:val="Textonotapie"/>
        <w:ind w:firstLine="708"/>
        <w:contextualSpacing/>
        <w:jc w:val="both"/>
        <w:rPr>
          <w:rFonts w:ascii="Verdana" w:hAnsi="Verdana" w:cs="Arial"/>
          <w:sz w:val="14"/>
          <w:szCs w:val="14"/>
        </w:rPr>
      </w:pPr>
      <w:r w:rsidRPr="001E50B5">
        <w:rPr>
          <w:rStyle w:val="Refdenotaalpie"/>
          <w:rFonts w:ascii="Verdana" w:hAnsi="Verdana" w:cs="Arial"/>
          <w:sz w:val="14"/>
          <w:szCs w:val="14"/>
        </w:rPr>
        <w:footnoteRef/>
      </w:r>
      <w:r w:rsidRPr="001E50B5">
        <w:rPr>
          <w:rFonts w:ascii="Verdana" w:hAnsi="Verdana" w:cs="Arial"/>
          <w:sz w:val="14"/>
          <w:szCs w:val="14"/>
        </w:rPr>
        <w:t xml:space="preserve"> Agencia Nacional de Contratación Pública – Colombia Compra Eficiente. Concepto </w:t>
      </w:r>
      <w:r w:rsidRPr="001E50B5">
        <w:rPr>
          <w:rFonts w:ascii="Verdana" w:hAnsi="Verdana" w:cs="Arial"/>
          <w:bCs/>
          <w:color w:val="000000"/>
          <w:sz w:val="14"/>
          <w:szCs w:val="14"/>
          <w:lang w:val="es-ES"/>
        </w:rPr>
        <w:t>C-030 de 2022</w:t>
      </w:r>
      <w:r w:rsidRPr="001E50B5">
        <w:rPr>
          <w:rFonts w:ascii="Verdana" w:hAnsi="Verdana" w:cs="Arial"/>
          <w:sz w:val="14"/>
          <w:szCs w:val="14"/>
        </w:rPr>
        <w:t>.</w:t>
      </w:r>
    </w:p>
  </w:footnote>
  <w:footnote w:id="11">
    <w:p w14:paraId="6C914ED5" w14:textId="77777777" w:rsidR="009177BF" w:rsidRPr="00F12EAF" w:rsidRDefault="009177BF" w:rsidP="009177BF">
      <w:pPr>
        <w:pStyle w:val="Textonotapie"/>
        <w:ind w:firstLine="708"/>
        <w:contextualSpacing/>
        <w:jc w:val="both"/>
        <w:rPr>
          <w:rFonts w:ascii="Verdana" w:hAnsi="Verdana"/>
          <w:sz w:val="16"/>
          <w:szCs w:val="16"/>
        </w:rPr>
      </w:pPr>
      <w:r w:rsidRPr="00F12EAF">
        <w:rPr>
          <w:rStyle w:val="Refdenotaalpie"/>
          <w:rFonts w:ascii="Verdana" w:hAnsi="Verdana"/>
          <w:sz w:val="16"/>
          <w:szCs w:val="16"/>
        </w:rPr>
        <w:footnoteRef/>
      </w:r>
      <w:r w:rsidRPr="00F12EAF">
        <w:rPr>
          <w:rFonts w:ascii="Verdana" w:hAnsi="Verdana"/>
          <w:sz w:val="16"/>
          <w:szCs w:val="16"/>
        </w:rPr>
        <w:t xml:space="preserve"> CONSEJO DE ESTADO, Sala de lo Contencioso Administrativo, Sección Tercera, sentencias del 1 de junio de 2022, radicado 60248 y del 2 de julio de 2021, radicado 51910.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AC74D" w14:textId="77777777" w:rsidR="00DA14F4" w:rsidRDefault="00DA14F4"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093B344" wp14:editId="3D50E81B">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3E53AAF" wp14:editId="6C093FE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0ECBE66" w14:textId="77777777" w:rsidR="00DA14F4" w:rsidRDefault="00DA14F4" w:rsidP="00515FB5">
    <w:pPr>
      <w:pStyle w:val="Encabezado"/>
    </w:pPr>
  </w:p>
  <w:p w14:paraId="55511855" w14:textId="77777777" w:rsidR="00DA14F4" w:rsidRDefault="00DA14F4" w:rsidP="00515FB5">
    <w:pPr>
      <w:pStyle w:val="Encabezado"/>
    </w:pPr>
  </w:p>
  <w:p w14:paraId="231F6772" w14:textId="77777777" w:rsidR="00DA14F4" w:rsidRPr="00515FB5" w:rsidRDefault="00DA14F4"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4F4"/>
    <w:rsid w:val="000F5A42"/>
    <w:rsid w:val="00151AA1"/>
    <w:rsid w:val="00587176"/>
    <w:rsid w:val="007201B1"/>
    <w:rsid w:val="009177BF"/>
    <w:rsid w:val="00A12218"/>
    <w:rsid w:val="00A90678"/>
    <w:rsid w:val="00B44E30"/>
    <w:rsid w:val="00B917F4"/>
    <w:rsid w:val="00C44061"/>
    <w:rsid w:val="00D02BEB"/>
    <w:rsid w:val="00D0461B"/>
    <w:rsid w:val="00D34138"/>
    <w:rsid w:val="00DA14F4"/>
    <w:rsid w:val="00EB7B7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D0FCE"/>
  <w15:chartTrackingRefBased/>
  <w15:docId w15:val="{C6591CC3-0648-4C34-8A97-76B1557B1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4F4"/>
    <w:rPr>
      <w:kern w:val="0"/>
      <w14:ligatures w14:val="none"/>
    </w:rPr>
  </w:style>
  <w:style w:type="paragraph" w:styleId="Ttulo1">
    <w:name w:val="heading 1"/>
    <w:basedOn w:val="Normal"/>
    <w:next w:val="Normal"/>
    <w:link w:val="Ttulo1Car"/>
    <w:uiPriority w:val="9"/>
    <w:qFormat/>
    <w:rsid w:val="00DA14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A14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A14F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A14F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A14F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A14F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A14F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A14F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A14F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14F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A14F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A14F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A14F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A14F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A14F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A14F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A14F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A14F4"/>
    <w:rPr>
      <w:rFonts w:eastAsiaTheme="majorEastAsia" w:cstheme="majorBidi"/>
      <w:color w:val="272727" w:themeColor="text1" w:themeTint="D8"/>
    </w:rPr>
  </w:style>
  <w:style w:type="paragraph" w:styleId="Ttulo">
    <w:name w:val="Title"/>
    <w:basedOn w:val="Normal"/>
    <w:next w:val="Normal"/>
    <w:link w:val="TtuloCar"/>
    <w:uiPriority w:val="10"/>
    <w:qFormat/>
    <w:rsid w:val="00DA14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A14F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A14F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A14F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A14F4"/>
    <w:pPr>
      <w:spacing w:before="160"/>
      <w:jc w:val="center"/>
    </w:pPr>
    <w:rPr>
      <w:i/>
      <w:iCs/>
      <w:color w:val="404040" w:themeColor="text1" w:themeTint="BF"/>
    </w:rPr>
  </w:style>
  <w:style w:type="character" w:customStyle="1" w:styleId="CitaCar">
    <w:name w:val="Cita Car"/>
    <w:basedOn w:val="Fuentedeprrafopredeter"/>
    <w:link w:val="Cita"/>
    <w:uiPriority w:val="29"/>
    <w:rsid w:val="00DA14F4"/>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DA14F4"/>
    <w:pPr>
      <w:ind w:left="720"/>
      <w:contextualSpacing/>
    </w:pPr>
  </w:style>
  <w:style w:type="character" w:styleId="nfasisintenso">
    <w:name w:val="Intense Emphasis"/>
    <w:basedOn w:val="Fuentedeprrafopredeter"/>
    <w:uiPriority w:val="21"/>
    <w:qFormat/>
    <w:rsid w:val="00DA14F4"/>
    <w:rPr>
      <w:i/>
      <w:iCs/>
      <w:color w:val="0F4761" w:themeColor="accent1" w:themeShade="BF"/>
    </w:rPr>
  </w:style>
  <w:style w:type="paragraph" w:styleId="Citadestacada">
    <w:name w:val="Intense Quote"/>
    <w:basedOn w:val="Normal"/>
    <w:next w:val="Normal"/>
    <w:link w:val="CitadestacadaCar"/>
    <w:uiPriority w:val="30"/>
    <w:qFormat/>
    <w:rsid w:val="00DA14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A14F4"/>
    <w:rPr>
      <w:i/>
      <w:iCs/>
      <w:color w:val="0F4761" w:themeColor="accent1" w:themeShade="BF"/>
    </w:rPr>
  </w:style>
  <w:style w:type="character" w:styleId="Referenciaintensa">
    <w:name w:val="Intense Reference"/>
    <w:basedOn w:val="Fuentedeprrafopredeter"/>
    <w:uiPriority w:val="32"/>
    <w:qFormat/>
    <w:rsid w:val="00DA14F4"/>
    <w:rPr>
      <w:b/>
      <w:bCs/>
      <w:smallCaps/>
      <w:color w:val="0F4761" w:themeColor="accent1" w:themeShade="BF"/>
      <w:spacing w:val="5"/>
    </w:rPr>
  </w:style>
  <w:style w:type="paragraph" w:styleId="Encabezado">
    <w:name w:val="header"/>
    <w:basedOn w:val="Normal"/>
    <w:link w:val="EncabezadoCar"/>
    <w:uiPriority w:val="99"/>
    <w:unhideWhenUsed/>
    <w:rsid w:val="00DA14F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A14F4"/>
    <w:rPr>
      <w:kern w:val="0"/>
      <w14:ligatures w14:val="none"/>
    </w:rPr>
  </w:style>
  <w:style w:type="paragraph" w:styleId="Piedepgina">
    <w:name w:val="footer"/>
    <w:basedOn w:val="Normal"/>
    <w:link w:val="PiedepginaCar"/>
    <w:uiPriority w:val="99"/>
    <w:unhideWhenUsed/>
    <w:rsid w:val="00DA14F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A14F4"/>
    <w:rPr>
      <w:kern w:val="0"/>
      <w14:ligatures w14:val="none"/>
    </w:rPr>
  </w:style>
  <w:style w:type="table" w:styleId="Tablaconcuadrcula">
    <w:name w:val="Table Grid"/>
    <w:basedOn w:val="Tablanormal"/>
    <w:uiPriority w:val="39"/>
    <w:qFormat/>
    <w:rsid w:val="00DA14F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A14F4"/>
    <w:rPr>
      <w:color w:val="467886" w:themeColor="hyperlink"/>
      <w:u w:val="single"/>
    </w:rPr>
  </w:style>
  <w:style w:type="character" w:customStyle="1" w:styleId="normaltextrun">
    <w:name w:val="normaltextrun"/>
    <w:basedOn w:val="Fuentedeprrafopredeter"/>
    <w:rsid w:val="00DA14F4"/>
  </w:style>
  <w:style w:type="character" w:customStyle="1" w:styleId="eop">
    <w:name w:val="eop"/>
    <w:basedOn w:val="Fuentedeprrafopredeter"/>
    <w:rsid w:val="00DA14F4"/>
  </w:style>
  <w:style w:type="paragraph" w:customStyle="1" w:styleId="paragraph">
    <w:name w:val="paragraph"/>
    <w:basedOn w:val="Normal"/>
    <w:rsid w:val="00DA14F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A14F4"/>
  </w:style>
  <w:style w:type="paragraph" w:styleId="NormalWeb">
    <w:name w:val="Normal (Web)"/>
    <w:basedOn w:val="Normal"/>
    <w:link w:val="NormalWebCar"/>
    <w:uiPriority w:val="99"/>
    <w:unhideWhenUsed/>
    <w:rsid w:val="00DA14F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DA14F4"/>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DA14F4"/>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A14F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A14F4"/>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A14F4"/>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A14F4"/>
    <w:rPr>
      <w:vertAlign w:val="superscript"/>
    </w:rPr>
  </w:style>
  <w:style w:type="paragraph" w:customStyle="1" w:styleId="Appelnotedebasde">
    <w:name w:val="Appel note de bas de..."/>
    <w:basedOn w:val="Normal"/>
    <w:link w:val="Refdenotaalpie"/>
    <w:uiPriority w:val="99"/>
    <w:rsid w:val="00DA14F4"/>
    <w:pPr>
      <w:spacing w:line="240" w:lineRule="exact"/>
    </w:pPr>
    <w:rPr>
      <w:kern w:val="2"/>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lemcb@g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8FAB188-54D4-4DEC-AE72-AACB66CAD4ED}"/>
</file>

<file path=customXml/itemProps2.xml><?xml version="1.0" encoding="utf-8"?>
<ds:datastoreItem xmlns:ds="http://schemas.openxmlformats.org/officeDocument/2006/customXml" ds:itemID="{EB58178D-CE37-44C3-8C80-61B57804B7AA}"/>
</file>

<file path=customXml/itemProps3.xml><?xml version="1.0" encoding="utf-8"?>
<ds:datastoreItem xmlns:ds="http://schemas.openxmlformats.org/officeDocument/2006/customXml" ds:itemID="{48F11A42-A8A1-4B8F-A4A4-8E533F6C283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30</TotalTime>
  <Pages>14</Pages>
  <Words>4144</Words>
  <Characters>22797</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6</cp:revision>
  <dcterms:created xsi:type="dcterms:W3CDTF">2026-05-12T16:08:00Z</dcterms:created>
  <dcterms:modified xsi:type="dcterms:W3CDTF">2026-05-22T21:11:00Z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