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E9E05" w14:textId="77777777" w:rsidR="00A52A9A" w:rsidRPr="0047640A" w:rsidRDefault="00A52A9A" w:rsidP="00A52A9A">
      <w:pPr>
        <w:spacing w:after="0" w:line="240" w:lineRule="auto"/>
        <w:jc w:val="both"/>
        <w:rPr>
          <w:rFonts w:ascii="Verdana" w:hAnsi="Verdana" w:cs="Arial"/>
          <w:b/>
          <w:lang w:val="es-ES_tradnl" w:eastAsia="es-ES"/>
        </w:rPr>
      </w:pPr>
      <w:r w:rsidRPr="0047640A">
        <w:rPr>
          <w:rFonts w:ascii="Verdana" w:hAnsi="Verdana" w:cs="Arial"/>
          <w:b/>
          <w:lang w:val="es-ES_tradnl" w:eastAsia="es-ES"/>
        </w:rPr>
        <w:t xml:space="preserve">LIQUIDACIÓN DEL CONTRATO – Definición – Objetivo </w:t>
      </w:r>
    </w:p>
    <w:p w14:paraId="7A30F935" w14:textId="77777777" w:rsidR="00A52A9A" w:rsidRPr="0047640A" w:rsidRDefault="00A52A9A" w:rsidP="00A52A9A">
      <w:pPr>
        <w:spacing w:after="0" w:line="240" w:lineRule="auto"/>
        <w:jc w:val="both"/>
        <w:rPr>
          <w:rFonts w:ascii="Verdana" w:hAnsi="Verdana" w:cs="Arial"/>
          <w:b/>
          <w:sz w:val="16"/>
          <w:szCs w:val="16"/>
          <w:lang w:val="es-ES_tradnl" w:eastAsia="es-ES"/>
        </w:rPr>
      </w:pPr>
    </w:p>
    <w:p w14:paraId="43D56CD3" w14:textId="77777777" w:rsidR="00A52A9A" w:rsidRPr="0047640A" w:rsidRDefault="00A52A9A" w:rsidP="00A52A9A">
      <w:pPr>
        <w:spacing w:after="0" w:line="240" w:lineRule="auto"/>
        <w:jc w:val="both"/>
        <w:rPr>
          <w:rFonts w:ascii="Verdana" w:hAnsi="Verdana" w:cs="Arial"/>
          <w:sz w:val="20"/>
          <w:szCs w:val="20"/>
          <w:lang w:val="es-ES"/>
        </w:rPr>
      </w:pPr>
      <w:r w:rsidRPr="0047640A">
        <w:rPr>
          <w:rFonts w:ascii="Verdana" w:hAnsi="Verdana" w:cs="Arial"/>
          <w:sz w:val="20"/>
          <w:szCs w:val="20"/>
          <w:lang w:val="es-ES"/>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47640A">
        <w:rPr>
          <w:rFonts w:ascii="Verdana" w:hAnsi="Verdana" w:cs="Arial"/>
          <w:i/>
          <w:iCs/>
          <w:sz w:val="20"/>
          <w:szCs w:val="20"/>
          <w:lang w:val="es-ES"/>
        </w:rPr>
        <w:t>liquidar</w:t>
      </w:r>
      <w:r w:rsidRPr="0047640A">
        <w:rPr>
          <w:rFonts w:ascii="Verdana" w:hAnsi="Verdana" w:cs="Arial"/>
          <w:sz w:val="20"/>
          <w:szCs w:val="20"/>
          <w:lang w:val="es-ES"/>
        </w:rPr>
        <w:t xml:space="preserve"> supone un ajuste en relación con las cuentas y el estado de cumplimiento del contrato estatal y, por otro, que la </w:t>
      </w:r>
      <w:r w:rsidRPr="0047640A">
        <w:rPr>
          <w:rFonts w:ascii="Verdana" w:hAnsi="Verdana" w:cs="Arial"/>
          <w:i/>
          <w:iCs/>
          <w:sz w:val="20"/>
          <w:szCs w:val="20"/>
          <w:lang w:val="es-ES"/>
        </w:rPr>
        <w:t>liquidación</w:t>
      </w:r>
      <w:r w:rsidRPr="0047640A">
        <w:rPr>
          <w:rFonts w:ascii="Verdana" w:hAnsi="Verdana" w:cs="Arial"/>
          <w:sz w:val="20"/>
          <w:szCs w:val="20"/>
          <w:lang w:val="es-ES"/>
        </w:rPr>
        <w:t xml:space="preserve"> debe incluir el análisis de las condiciones de calidad y oportunidad en la entrega de los bienes, obras o servicios, así como el balance económico y el comportamiento financiero del negocio.</w:t>
      </w:r>
    </w:p>
    <w:p w14:paraId="6DBCBD2E" w14:textId="77777777" w:rsidR="00A52A9A" w:rsidRPr="0047640A" w:rsidRDefault="00A52A9A" w:rsidP="00A52A9A">
      <w:pPr>
        <w:spacing w:after="0" w:line="240" w:lineRule="auto"/>
        <w:jc w:val="both"/>
        <w:rPr>
          <w:rFonts w:ascii="Verdana" w:hAnsi="Verdana" w:cs="Arial"/>
          <w:sz w:val="20"/>
          <w:szCs w:val="20"/>
          <w:lang w:val="es-ES_tradnl" w:eastAsia="es-ES"/>
        </w:rPr>
      </w:pPr>
    </w:p>
    <w:p w14:paraId="7CB28871" w14:textId="77777777" w:rsidR="00A52A9A" w:rsidRPr="0047640A" w:rsidRDefault="00A52A9A" w:rsidP="00A52A9A">
      <w:pPr>
        <w:spacing w:after="0" w:line="240" w:lineRule="auto"/>
        <w:jc w:val="both"/>
        <w:rPr>
          <w:rFonts w:ascii="Verdana" w:hAnsi="Verdana" w:cs="Arial"/>
          <w:b/>
          <w:lang w:val="es-ES_tradnl" w:eastAsia="es-ES"/>
        </w:rPr>
      </w:pPr>
      <w:r w:rsidRPr="0047640A">
        <w:rPr>
          <w:rFonts w:ascii="Verdana" w:hAnsi="Verdana" w:cs="Arial"/>
          <w:b/>
          <w:lang w:val="es-ES_tradnl" w:eastAsia="es-ES"/>
        </w:rPr>
        <w:t xml:space="preserve">LIQUIDACIÓN DEL CONTRATO – Normativa </w:t>
      </w:r>
    </w:p>
    <w:p w14:paraId="68294545" w14:textId="77777777" w:rsidR="00A52A9A" w:rsidRPr="0047640A" w:rsidRDefault="00A52A9A" w:rsidP="00A52A9A">
      <w:pPr>
        <w:spacing w:after="0" w:line="240" w:lineRule="auto"/>
        <w:jc w:val="both"/>
        <w:rPr>
          <w:rFonts w:ascii="Verdana" w:hAnsi="Verdana" w:cs="Arial"/>
          <w:sz w:val="20"/>
          <w:szCs w:val="20"/>
          <w:lang w:val="es-ES_tradnl" w:eastAsia="es-ES"/>
        </w:rPr>
      </w:pPr>
    </w:p>
    <w:p w14:paraId="12534967" w14:textId="77777777" w:rsidR="00A52A9A" w:rsidRPr="0047640A" w:rsidRDefault="00A52A9A" w:rsidP="00A52A9A">
      <w:pPr>
        <w:spacing w:after="0" w:line="240" w:lineRule="auto"/>
        <w:jc w:val="both"/>
        <w:rPr>
          <w:rFonts w:ascii="Verdana" w:hAnsi="Verdana" w:cs="Arial"/>
          <w:sz w:val="20"/>
          <w:szCs w:val="20"/>
          <w:lang w:val="es-ES" w:eastAsia="es-ES"/>
        </w:rPr>
      </w:pPr>
      <w:r w:rsidRPr="0047640A">
        <w:rPr>
          <w:rFonts w:ascii="Verdana" w:hAnsi="Verdana" w:cs="Arial"/>
          <w:sz w:val="20"/>
          <w:szCs w:val="20"/>
          <w:lang w:val="es-ES" w:eastAsia="es-ES"/>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2033A606" w14:textId="77777777" w:rsidR="00A52A9A" w:rsidRPr="0047640A" w:rsidRDefault="00A52A9A" w:rsidP="00A52A9A">
      <w:pPr>
        <w:spacing w:after="0" w:line="240" w:lineRule="auto"/>
        <w:jc w:val="both"/>
        <w:rPr>
          <w:rFonts w:ascii="Verdana" w:hAnsi="Verdana" w:cs="Arial"/>
          <w:b/>
          <w:lang w:val="es-ES_tradnl" w:eastAsia="es-ES"/>
        </w:rPr>
      </w:pPr>
    </w:p>
    <w:p w14:paraId="7874F118" w14:textId="77777777" w:rsidR="00A52A9A" w:rsidRPr="0047640A" w:rsidRDefault="00A52A9A" w:rsidP="00A52A9A">
      <w:pPr>
        <w:spacing w:after="0" w:line="240" w:lineRule="auto"/>
        <w:jc w:val="both"/>
        <w:rPr>
          <w:rFonts w:ascii="Verdana" w:hAnsi="Verdana" w:cs="Arial"/>
          <w:b/>
          <w:lang w:val="es-ES_tradnl" w:eastAsia="es-ES"/>
        </w:rPr>
      </w:pPr>
      <w:r w:rsidRPr="0047640A">
        <w:rPr>
          <w:rFonts w:ascii="Verdana" w:hAnsi="Verdana" w:cs="Arial"/>
          <w:b/>
          <w:lang w:val="es-ES_tradnl" w:eastAsia="es-ES"/>
        </w:rPr>
        <w:t>LIQUIDACIÓN DEL CONTRATO – Tipos – Bilateral – Unilateral – Judicial</w:t>
      </w:r>
    </w:p>
    <w:p w14:paraId="39521969" w14:textId="77777777" w:rsidR="00A52A9A" w:rsidRPr="0047640A" w:rsidRDefault="00A52A9A" w:rsidP="00A52A9A">
      <w:pPr>
        <w:spacing w:after="0" w:line="240" w:lineRule="auto"/>
        <w:jc w:val="both"/>
        <w:rPr>
          <w:rFonts w:ascii="Verdana" w:hAnsi="Verdana" w:cs="Arial"/>
          <w:b/>
          <w:lang w:val="es-ES_tradnl" w:eastAsia="es-ES"/>
        </w:rPr>
      </w:pPr>
    </w:p>
    <w:p w14:paraId="1DA59602" w14:textId="77777777" w:rsidR="00A52A9A" w:rsidRPr="005F05A0" w:rsidRDefault="00A52A9A" w:rsidP="00A52A9A">
      <w:pPr>
        <w:spacing w:after="0" w:line="240" w:lineRule="auto"/>
        <w:jc w:val="both"/>
        <w:rPr>
          <w:rFonts w:ascii="Verdana" w:hAnsi="Verdana" w:cs="Arial"/>
          <w:sz w:val="20"/>
          <w:szCs w:val="20"/>
          <w:lang w:val="es-ES" w:eastAsia="es-ES"/>
        </w:rPr>
      </w:pPr>
      <w:r w:rsidRPr="0047640A">
        <w:rPr>
          <w:rFonts w:ascii="Verdana" w:hAnsi="Verdana" w:cs="Arial"/>
          <w:sz w:val="20"/>
          <w:szCs w:val="20"/>
          <w:lang w:val="es-ES" w:eastAsia="es-ES"/>
        </w:rPr>
        <w:t xml:space="preserve">En suma, de acuerdo con el artículo 11 de la Ley 1150 de 2007, existen tres tipos de liquidación: i) bilateral, </w:t>
      </w:r>
      <w:proofErr w:type="spellStart"/>
      <w:r w:rsidRPr="0047640A">
        <w:rPr>
          <w:rFonts w:ascii="Verdana" w:hAnsi="Verdana" w:cs="Arial"/>
          <w:sz w:val="20"/>
          <w:szCs w:val="20"/>
          <w:lang w:val="es-ES" w:eastAsia="es-ES"/>
        </w:rPr>
        <w:t>ii</w:t>
      </w:r>
      <w:proofErr w:type="spellEnd"/>
      <w:r w:rsidRPr="0047640A">
        <w:rPr>
          <w:rFonts w:ascii="Verdana" w:hAnsi="Verdana" w:cs="Arial"/>
          <w:sz w:val="20"/>
          <w:szCs w:val="20"/>
          <w:lang w:val="es-ES" w:eastAsia="es-ES"/>
        </w:rPr>
        <w:t xml:space="preserve">) unilateral y </w:t>
      </w:r>
      <w:proofErr w:type="spellStart"/>
      <w:r w:rsidRPr="0047640A">
        <w:rPr>
          <w:rFonts w:ascii="Verdana" w:hAnsi="Verdana" w:cs="Arial"/>
          <w:sz w:val="20"/>
          <w:szCs w:val="20"/>
          <w:lang w:val="es-ES" w:eastAsia="es-ES"/>
        </w:rPr>
        <w:t>iii</w:t>
      </w:r>
      <w:proofErr w:type="spellEnd"/>
      <w:r w:rsidRPr="0047640A">
        <w:rPr>
          <w:rFonts w:ascii="Verdana" w:hAnsi="Verdana" w:cs="Arial"/>
          <w:sz w:val="20"/>
          <w:szCs w:val="20"/>
          <w:lang w:val="es-ES" w:eastAsia="es-ES"/>
        </w:rPr>
        <w:t>)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2 años contados a partir de los dos meses establecidos en la Ley para realizar la liquidación unilateral, de conformidad con el citado auto de unificación jurisprudencial del Consejo de Estado.</w:t>
      </w:r>
    </w:p>
    <w:p w14:paraId="74787B6D" w14:textId="77777777" w:rsidR="00A52A9A" w:rsidRDefault="00A52A9A" w:rsidP="00A52A9A">
      <w:pPr>
        <w:spacing w:after="0" w:line="240" w:lineRule="auto"/>
        <w:rPr>
          <w:rFonts w:ascii="Verdana" w:hAnsi="Verdana"/>
          <w:lang w:val="es-ES"/>
        </w:rPr>
      </w:pPr>
    </w:p>
    <w:p w14:paraId="4D240759" w14:textId="77777777" w:rsidR="00A52A9A" w:rsidRDefault="00A52A9A" w:rsidP="00A52A9A">
      <w:pPr>
        <w:spacing w:after="0" w:line="240" w:lineRule="auto"/>
        <w:jc w:val="both"/>
        <w:rPr>
          <w:rFonts w:ascii="Verdana" w:hAnsi="Verdana" w:cs="Arial"/>
          <w:b/>
          <w:lang w:val="es-ES_tradnl" w:eastAsia="es-ES"/>
        </w:rPr>
      </w:pPr>
      <w:r w:rsidRPr="002E6E2F">
        <w:rPr>
          <w:rFonts w:ascii="Verdana" w:hAnsi="Verdana" w:cs="Arial"/>
          <w:b/>
          <w:lang w:val="es-ES_tradnl" w:eastAsia="es-ES"/>
        </w:rPr>
        <w:t xml:space="preserve">CADUCIDAD DEL MEDIO DE CONTROL DE CONTROVERSIAS CONTRACTUALES </w:t>
      </w:r>
      <w:r w:rsidRPr="0047640A">
        <w:rPr>
          <w:rFonts w:ascii="Verdana" w:hAnsi="Verdana" w:cs="Arial"/>
          <w:b/>
          <w:lang w:val="es-ES_tradnl" w:eastAsia="es-ES"/>
        </w:rPr>
        <w:t>–</w:t>
      </w:r>
      <w:r>
        <w:rPr>
          <w:rFonts w:ascii="Verdana" w:hAnsi="Verdana" w:cs="Arial"/>
          <w:b/>
          <w:lang w:val="es-ES_tradnl" w:eastAsia="es-ES"/>
        </w:rPr>
        <w:t xml:space="preserve"> Pérdida de</w:t>
      </w:r>
      <w:r w:rsidRPr="002E6E2F">
        <w:rPr>
          <w:rFonts w:ascii="Verdana" w:hAnsi="Verdana" w:cs="Arial"/>
          <w:b/>
          <w:lang w:val="es-ES_tradnl" w:eastAsia="es-ES"/>
        </w:rPr>
        <w:t xml:space="preserve"> </w:t>
      </w:r>
      <w:r>
        <w:rPr>
          <w:rFonts w:ascii="Verdana" w:hAnsi="Verdana" w:cs="Arial"/>
          <w:b/>
          <w:lang w:val="es-ES_tradnl" w:eastAsia="es-ES"/>
        </w:rPr>
        <w:t>c</w:t>
      </w:r>
      <w:r w:rsidRPr="002E6E2F">
        <w:rPr>
          <w:rFonts w:ascii="Verdana" w:hAnsi="Verdana" w:cs="Arial"/>
          <w:b/>
          <w:lang w:val="es-ES_tradnl" w:eastAsia="es-ES"/>
        </w:rPr>
        <w:t>ompetencia para liquidar el contrato</w:t>
      </w:r>
    </w:p>
    <w:p w14:paraId="7A3AB9D2" w14:textId="77777777" w:rsidR="00A52A9A" w:rsidRDefault="00A52A9A" w:rsidP="00A52A9A">
      <w:pPr>
        <w:spacing w:after="0" w:line="240" w:lineRule="auto"/>
        <w:jc w:val="both"/>
        <w:rPr>
          <w:rFonts w:ascii="Verdana" w:hAnsi="Verdana" w:cs="Arial"/>
          <w:b/>
          <w:lang w:val="es-ES_tradnl" w:eastAsia="es-ES"/>
        </w:rPr>
      </w:pPr>
    </w:p>
    <w:p w14:paraId="39F79AFC" w14:textId="77777777" w:rsidR="00A52A9A" w:rsidRPr="00136BCB" w:rsidRDefault="00A52A9A" w:rsidP="00A52A9A">
      <w:pPr>
        <w:spacing w:after="0" w:line="240" w:lineRule="auto"/>
        <w:jc w:val="both"/>
        <w:rPr>
          <w:rFonts w:ascii="Verdana" w:hAnsi="Verdana" w:cs="Arial"/>
          <w:sz w:val="20"/>
          <w:szCs w:val="20"/>
          <w:lang w:val="es-ES" w:eastAsia="es-ES"/>
        </w:rPr>
      </w:pPr>
      <w:r w:rsidRPr="00136BCB">
        <w:rPr>
          <w:rFonts w:ascii="Verdana" w:hAnsi="Verdana" w:cs="Arial"/>
          <w:sz w:val="20"/>
          <w:szCs w:val="20"/>
          <w:lang w:val="es-ES" w:eastAsia="es-ES"/>
        </w:rPr>
        <w:t>[…]</w:t>
      </w:r>
      <w:r>
        <w:rPr>
          <w:rFonts w:ascii="Verdana" w:hAnsi="Verdana" w:cs="Arial"/>
          <w:sz w:val="20"/>
          <w:szCs w:val="20"/>
          <w:lang w:val="es-ES" w:eastAsia="es-ES"/>
        </w:rPr>
        <w:t xml:space="preserve"> </w:t>
      </w:r>
      <w:r w:rsidRPr="00136BCB">
        <w:rPr>
          <w:rFonts w:ascii="Verdana" w:hAnsi="Verdana" w:cs="Arial"/>
          <w:sz w:val="20"/>
          <w:szCs w:val="20"/>
          <w:lang w:val="es-ES" w:eastAsia="es-ES"/>
        </w:rPr>
        <w:t xml:space="preserve">conforme al marco jurídico expuesto, la entidad estatal solo pierde competencia para efectuar la liquidación del contrato una vez opera la caducidad del medio de control de controversias contractuales; es decir, existe un plazo máximo de dos (2) años, contados </w:t>
      </w:r>
      <w:r w:rsidRPr="00136BCB">
        <w:rPr>
          <w:rFonts w:ascii="Verdana" w:hAnsi="Verdana" w:cs="Arial"/>
          <w:sz w:val="20"/>
          <w:szCs w:val="20"/>
          <w:lang w:val="es-ES" w:eastAsia="es-ES"/>
        </w:rPr>
        <w:lastRenderedPageBreak/>
        <w:t xml:space="preserve">a partir de los dos (2) meses establecidos en la ley para realizar la liquidación unilateral, dentro del cual la entidad puede liquidar el contrato de manera bilateral o unilateral </w:t>
      </w:r>
    </w:p>
    <w:p w14:paraId="6B018C63" w14:textId="77777777" w:rsidR="00A52A9A" w:rsidRPr="00425CEB" w:rsidRDefault="00A52A9A" w:rsidP="00A52A9A">
      <w:pPr>
        <w:spacing w:after="0" w:line="240" w:lineRule="auto"/>
        <w:jc w:val="both"/>
        <w:rPr>
          <w:rFonts w:ascii="Verdana" w:hAnsi="Verdana" w:cs="Arial"/>
          <w:sz w:val="20"/>
          <w:szCs w:val="20"/>
          <w:lang w:val="es-ES" w:eastAsia="es-ES"/>
        </w:rPr>
      </w:pPr>
      <w:r w:rsidRPr="00136BCB">
        <w:rPr>
          <w:rFonts w:ascii="Verdana" w:hAnsi="Verdana" w:cs="Arial"/>
          <w:sz w:val="20"/>
          <w:szCs w:val="20"/>
          <w:lang w:val="es-ES" w:eastAsia="es-ES"/>
        </w:rPr>
        <w:t>Bajo ese contexto, la caducidad constituye un límite procesal que extingue la posibilidad de reclamar judicialmente obligaciones derivadas del contrato, y con ello, la competencia de la entidad para efectuar la liquidación. Una vez vencido este término, las obligaciones pendientes se convierten en obligaciones naturales, que no son exigibles ni pueden ser objeto de pago por parte de la administración pública.</w:t>
      </w:r>
    </w:p>
    <w:p w14:paraId="35739FD0" w14:textId="77777777" w:rsidR="00A52A9A" w:rsidRDefault="00A52A9A" w:rsidP="00A52A9A">
      <w:pPr>
        <w:spacing w:after="0" w:line="240" w:lineRule="auto"/>
        <w:rPr>
          <w:rFonts w:ascii="Verdana" w:hAnsi="Verdana"/>
          <w:lang w:val="es-ES"/>
        </w:rPr>
      </w:pPr>
    </w:p>
    <w:p w14:paraId="40EB7B0B" w14:textId="77777777" w:rsidR="0063662B" w:rsidRDefault="0063662B" w:rsidP="00F26D50">
      <w:pPr>
        <w:spacing w:after="0" w:line="240" w:lineRule="auto"/>
        <w:rPr>
          <w:rFonts w:ascii="Verdana" w:hAnsi="Verdana"/>
        </w:rPr>
      </w:pPr>
    </w:p>
    <w:p w14:paraId="189FD26B" w14:textId="77777777" w:rsidR="00A52A9A" w:rsidRDefault="00A52A9A" w:rsidP="00F26D50">
      <w:pPr>
        <w:spacing w:after="0" w:line="240" w:lineRule="auto"/>
        <w:rPr>
          <w:rFonts w:ascii="Verdana" w:hAnsi="Verdana"/>
        </w:rPr>
      </w:pPr>
    </w:p>
    <w:p w14:paraId="39BBF8B8" w14:textId="77777777" w:rsidR="00A52A9A" w:rsidRDefault="00A52A9A" w:rsidP="00F26D50">
      <w:pPr>
        <w:spacing w:after="0" w:line="240" w:lineRule="auto"/>
        <w:rPr>
          <w:rFonts w:ascii="Verdana" w:hAnsi="Verdana"/>
        </w:rPr>
      </w:pPr>
    </w:p>
    <w:p w14:paraId="1CF34F15" w14:textId="77777777" w:rsidR="00A52A9A" w:rsidRDefault="00A52A9A" w:rsidP="00F26D50">
      <w:pPr>
        <w:spacing w:after="0" w:line="240" w:lineRule="auto"/>
        <w:rPr>
          <w:rFonts w:ascii="Verdana" w:hAnsi="Verdana"/>
        </w:rPr>
      </w:pPr>
    </w:p>
    <w:p w14:paraId="1AA0943D" w14:textId="77777777" w:rsidR="00A52A9A" w:rsidRDefault="00A52A9A" w:rsidP="00F26D50">
      <w:pPr>
        <w:spacing w:after="0" w:line="240" w:lineRule="auto"/>
        <w:rPr>
          <w:rFonts w:ascii="Verdana" w:hAnsi="Verdana"/>
        </w:rPr>
      </w:pPr>
    </w:p>
    <w:p w14:paraId="11A14A87" w14:textId="77777777" w:rsidR="00A52A9A" w:rsidRDefault="00A52A9A" w:rsidP="00F26D50">
      <w:pPr>
        <w:spacing w:after="0" w:line="240" w:lineRule="auto"/>
        <w:rPr>
          <w:rFonts w:ascii="Verdana" w:hAnsi="Verdana"/>
        </w:rPr>
      </w:pPr>
    </w:p>
    <w:p w14:paraId="7BCFC30D" w14:textId="77777777" w:rsidR="00A52A9A" w:rsidRDefault="00A52A9A" w:rsidP="00F26D50">
      <w:pPr>
        <w:spacing w:after="0" w:line="240" w:lineRule="auto"/>
        <w:rPr>
          <w:rFonts w:ascii="Verdana" w:hAnsi="Verdana"/>
        </w:rPr>
      </w:pPr>
    </w:p>
    <w:p w14:paraId="3F114A4B" w14:textId="77777777" w:rsidR="00A52A9A" w:rsidRDefault="00A52A9A" w:rsidP="00F26D50">
      <w:pPr>
        <w:spacing w:after="0" w:line="240" w:lineRule="auto"/>
        <w:rPr>
          <w:rFonts w:ascii="Verdana" w:hAnsi="Verdana"/>
        </w:rPr>
      </w:pPr>
    </w:p>
    <w:p w14:paraId="011CB8F3" w14:textId="77777777" w:rsidR="00A52A9A" w:rsidRDefault="00A52A9A" w:rsidP="00F26D50">
      <w:pPr>
        <w:spacing w:after="0" w:line="240" w:lineRule="auto"/>
        <w:rPr>
          <w:rFonts w:ascii="Verdana" w:hAnsi="Verdana"/>
        </w:rPr>
      </w:pPr>
    </w:p>
    <w:p w14:paraId="20778D04" w14:textId="77777777" w:rsidR="00A52A9A" w:rsidRDefault="00A52A9A" w:rsidP="00F26D50">
      <w:pPr>
        <w:spacing w:after="0" w:line="240" w:lineRule="auto"/>
        <w:rPr>
          <w:rFonts w:ascii="Verdana" w:hAnsi="Verdana"/>
        </w:rPr>
      </w:pPr>
    </w:p>
    <w:p w14:paraId="5CDC2647" w14:textId="77777777" w:rsidR="00A52A9A" w:rsidRDefault="00A52A9A" w:rsidP="00F26D50">
      <w:pPr>
        <w:spacing w:after="0" w:line="240" w:lineRule="auto"/>
        <w:rPr>
          <w:rFonts w:ascii="Verdana" w:hAnsi="Verdana"/>
        </w:rPr>
      </w:pPr>
    </w:p>
    <w:p w14:paraId="3BD563FF" w14:textId="77777777" w:rsidR="00A52A9A" w:rsidRDefault="00A52A9A" w:rsidP="00F26D50">
      <w:pPr>
        <w:spacing w:after="0" w:line="240" w:lineRule="auto"/>
        <w:rPr>
          <w:rFonts w:ascii="Verdana" w:hAnsi="Verdana"/>
        </w:rPr>
      </w:pPr>
    </w:p>
    <w:p w14:paraId="71579461" w14:textId="77777777" w:rsidR="00A52A9A" w:rsidRDefault="00A52A9A" w:rsidP="00F26D50">
      <w:pPr>
        <w:spacing w:after="0" w:line="240" w:lineRule="auto"/>
        <w:rPr>
          <w:rFonts w:ascii="Verdana" w:hAnsi="Verdana"/>
        </w:rPr>
      </w:pPr>
    </w:p>
    <w:p w14:paraId="1B2B6902" w14:textId="77777777" w:rsidR="00A52A9A" w:rsidRDefault="00A52A9A" w:rsidP="00F26D50">
      <w:pPr>
        <w:spacing w:after="0" w:line="240" w:lineRule="auto"/>
        <w:rPr>
          <w:rFonts w:ascii="Verdana" w:hAnsi="Verdana"/>
        </w:rPr>
      </w:pPr>
    </w:p>
    <w:p w14:paraId="14F232DE" w14:textId="77777777" w:rsidR="00A52A9A" w:rsidRDefault="00A52A9A" w:rsidP="00F26D50">
      <w:pPr>
        <w:spacing w:after="0" w:line="240" w:lineRule="auto"/>
        <w:rPr>
          <w:rFonts w:ascii="Verdana" w:hAnsi="Verdana"/>
        </w:rPr>
      </w:pPr>
    </w:p>
    <w:p w14:paraId="5EEC9D2C" w14:textId="77777777" w:rsidR="00A52A9A" w:rsidRDefault="00A52A9A" w:rsidP="00F26D50">
      <w:pPr>
        <w:spacing w:after="0" w:line="240" w:lineRule="auto"/>
        <w:rPr>
          <w:rFonts w:ascii="Verdana" w:hAnsi="Verdana"/>
        </w:rPr>
      </w:pPr>
    </w:p>
    <w:p w14:paraId="305C2F2F" w14:textId="77777777" w:rsidR="00A52A9A" w:rsidRDefault="00A52A9A" w:rsidP="00F26D50">
      <w:pPr>
        <w:spacing w:after="0" w:line="240" w:lineRule="auto"/>
        <w:rPr>
          <w:rFonts w:ascii="Verdana" w:hAnsi="Verdana"/>
        </w:rPr>
      </w:pPr>
    </w:p>
    <w:p w14:paraId="7DD9D7BA" w14:textId="77777777" w:rsidR="00A52A9A" w:rsidRDefault="00A52A9A" w:rsidP="00F26D50">
      <w:pPr>
        <w:spacing w:after="0" w:line="240" w:lineRule="auto"/>
        <w:rPr>
          <w:rFonts w:ascii="Verdana" w:hAnsi="Verdana"/>
        </w:rPr>
      </w:pPr>
    </w:p>
    <w:p w14:paraId="17274C93" w14:textId="77777777" w:rsidR="00A52A9A" w:rsidRDefault="00A52A9A" w:rsidP="00F26D50">
      <w:pPr>
        <w:spacing w:after="0" w:line="240" w:lineRule="auto"/>
        <w:rPr>
          <w:rFonts w:ascii="Verdana" w:hAnsi="Verdana"/>
        </w:rPr>
      </w:pPr>
    </w:p>
    <w:p w14:paraId="06C5C03A" w14:textId="77777777" w:rsidR="00A52A9A" w:rsidRDefault="00A52A9A" w:rsidP="00F26D50">
      <w:pPr>
        <w:spacing w:after="0" w:line="240" w:lineRule="auto"/>
        <w:rPr>
          <w:rFonts w:ascii="Verdana" w:hAnsi="Verdana"/>
        </w:rPr>
      </w:pPr>
    </w:p>
    <w:p w14:paraId="3149A36F" w14:textId="77777777" w:rsidR="00A52A9A" w:rsidRDefault="00A52A9A" w:rsidP="00F26D50">
      <w:pPr>
        <w:spacing w:after="0" w:line="240" w:lineRule="auto"/>
        <w:rPr>
          <w:rFonts w:ascii="Verdana" w:hAnsi="Verdana"/>
        </w:rPr>
      </w:pPr>
    </w:p>
    <w:p w14:paraId="0150AFD5" w14:textId="77777777" w:rsidR="00A52A9A" w:rsidRDefault="00A52A9A" w:rsidP="00F26D50">
      <w:pPr>
        <w:spacing w:after="0" w:line="240" w:lineRule="auto"/>
        <w:rPr>
          <w:rFonts w:ascii="Verdana" w:hAnsi="Verdana"/>
        </w:rPr>
      </w:pPr>
    </w:p>
    <w:p w14:paraId="43AB7882" w14:textId="77777777" w:rsidR="00A52A9A" w:rsidRDefault="00A52A9A" w:rsidP="00F26D50">
      <w:pPr>
        <w:spacing w:after="0" w:line="240" w:lineRule="auto"/>
        <w:rPr>
          <w:rFonts w:ascii="Verdana" w:hAnsi="Verdana"/>
        </w:rPr>
      </w:pPr>
    </w:p>
    <w:p w14:paraId="04957C17" w14:textId="77777777" w:rsidR="00A52A9A" w:rsidRDefault="00A52A9A" w:rsidP="00F26D50">
      <w:pPr>
        <w:spacing w:after="0" w:line="240" w:lineRule="auto"/>
        <w:rPr>
          <w:rFonts w:ascii="Verdana" w:hAnsi="Verdana"/>
        </w:rPr>
      </w:pPr>
    </w:p>
    <w:p w14:paraId="501382CF" w14:textId="77777777" w:rsidR="00A52A9A" w:rsidRDefault="00A52A9A" w:rsidP="00F26D50">
      <w:pPr>
        <w:spacing w:after="0" w:line="240" w:lineRule="auto"/>
        <w:rPr>
          <w:rFonts w:ascii="Verdana" w:hAnsi="Verdana"/>
        </w:rPr>
      </w:pPr>
    </w:p>
    <w:p w14:paraId="4140E7DB" w14:textId="77777777" w:rsidR="00A52A9A" w:rsidRDefault="00A52A9A" w:rsidP="00F26D50">
      <w:pPr>
        <w:spacing w:after="0" w:line="240" w:lineRule="auto"/>
        <w:rPr>
          <w:rFonts w:ascii="Verdana" w:hAnsi="Verdana"/>
        </w:rPr>
      </w:pPr>
    </w:p>
    <w:p w14:paraId="432DC65D" w14:textId="77777777" w:rsidR="00A52A9A" w:rsidRDefault="00A52A9A" w:rsidP="00F26D50">
      <w:pPr>
        <w:spacing w:after="0" w:line="240" w:lineRule="auto"/>
        <w:rPr>
          <w:rFonts w:ascii="Verdana" w:hAnsi="Verdana"/>
        </w:rPr>
      </w:pPr>
    </w:p>
    <w:p w14:paraId="304D5863" w14:textId="77777777" w:rsidR="00A52A9A" w:rsidRDefault="00A52A9A" w:rsidP="00F26D50">
      <w:pPr>
        <w:spacing w:after="0" w:line="240" w:lineRule="auto"/>
        <w:rPr>
          <w:rFonts w:ascii="Verdana" w:hAnsi="Verdana"/>
        </w:rPr>
      </w:pPr>
    </w:p>
    <w:p w14:paraId="3C963626" w14:textId="77777777" w:rsidR="00A52A9A" w:rsidRDefault="00A52A9A" w:rsidP="00F26D50">
      <w:pPr>
        <w:spacing w:after="0" w:line="240" w:lineRule="auto"/>
        <w:rPr>
          <w:rFonts w:ascii="Verdana" w:hAnsi="Verdana"/>
        </w:rPr>
      </w:pPr>
    </w:p>
    <w:p w14:paraId="73FEE8DA" w14:textId="77777777" w:rsidR="00A52A9A" w:rsidRDefault="00A52A9A" w:rsidP="00F26D50">
      <w:pPr>
        <w:spacing w:after="0" w:line="240" w:lineRule="auto"/>
        <w:rPr>
          <w:rFonts w:ascii="Verdana" w:hAnsi="Verdana"/>
        </w:rPr>
      </w:pPr>
    </w:p>
    <w:p w14:paraId="1BE0C011" w14:textId="77777777" w:rsidR="00A52A9A" w:rsidRDefault="00A52A9A" w:rsidP="00F26D50">
      <w:pPr>
        <w:spacing w:after="0" w:line="240" w:lineRule="auto"/>
        <w:rPr>
          <w:rFonts w:ascii="Verdana" w:hAnsi="Verdana"/>
        </w:rPr>
      </w:pPr>
    </w:p>
    <w:p w14:paraId="4603C709" w14:textId="77777777" w:rsidR="00A52A9A" w:rsidRDefault="00A52A9A" w:rsidP="00F26D50">
      <w:pPr>
        <w:spacing w:after="0" w:line="240" w:lineRule="auto"/>
        <w:rPr>
          <w:rFonts w:ascii="Verdana" w:hAnsi="Verdana"/>
        </w:rPr>
      </w:pPr>
    </w:p>
    <w:p w14:paraId="4762E1B2" w14:textId="77777777" w:rsidR="00A52A9A" w:rsidRDefault="00A52A9A" w:rsidP="00F26D50">
      <w:pPr>
        <w:spacing w:after="0" w:line="240" w:lineRule="auto"/>
        <w:rPr>
          <w:rFonts w:ascii="Verdana" w:hAnsi="Verdana"/>
        </w:rPr>
      </w:pPr>
    </w:p>
    <w:p w14:paraId="2C234EC1" w14:textId="77777777" w:rsidR="0063662B" w:rsidRDefault="0063662B" w:rsidP="00F26D50">
      <w:pPr>
        <w:spacing w:after="0" w:line="240" w:lineRule="auto"/>
        <w:rPr>
          <w:rFonts w:ascii="Verdana" w:hAnsi="Verdana"/>
        </w:rPr>
      </w:pPr>
    </w:p>
    <w:p w14:paraId="17FC6C12" w14:textId="24DC2279" w:rsidR="00F26D50" w:rsidRPr="005C5519" w:rsidRDefault="00F26D50" w:rsidP="00F26D50">
      <w:pPr>
        <w:spacing w:after="0" w:line="240" w:lineRule="auto"/>
        <w:rPr>
          <w:rFonts w:ascii="Verdana" w:hAnsi="Verdana"/>
        </w:rPr>
      </w:pPr>
      <w:r w:rsidRPr="005C5519">
        <w:rPr>
          <w:rFonts w:ascii="Verdana" w:hAnsi="Verdana"/>
        </w:rPr>
        <w:lastRenderedPageBreak/>
        <w:t xml:space="preserve">Bogotá D.C., </w:t>
      </w:r>
      <w:r w:rsidR="00E76077">
        <w:rPr>
          <w:rFonts w:ascii="Verdana" w:hAnsi="Verdana"/>
        </w:rPr>
        <w:t>19 mayo 2026</w:t>
      </w:r>
      <w:r w:rsidRPr="005C5519">
        <w:rPr>
          <w:rFonts w:ascii="Verdana" w:hAnsi="Verdana"/>
        </w:rPr>
        <w:tab/>
      </w:r>
    </w:p>
    <w:p w14:paraId="49CAB0C7" w14:textId="3E05C51B" w:rsidR="00F26D50" w:rsidRPr="005C5519" w:rsidRDefault="00F26D50" w:rsidP="00F26D50">
      <w:pPr>
        <w:spacing w:after="0" w:line="240" w:lineRule="auto"/>
        <w:jc w:val="right"/>
        <w:rPr>
          <w:rFonts w:ascii="Verdana" w:eastAsia="Times New Roman" w:hAnsi="Verdana" w:cs="Arial"/>
          <w:lang w:eastAsia="es-ES_tradnl"/>
        </w:rPr>
      </w:pPr>
    </w:p>
    <w:p w14:paraId="7FEC8BA5" w14:textId="16966F54" w:rsidR="00F26D50" w:rsidRPr="005C5519" w:rsidRDefault="00E76077" w:rsidP="00F26D50">
      <w:pPr>
        <w:spacing w:after="0" w:line="240" w:lineRule="auto"/>
        <w:jc w:val="both"/>
        <w:rPr>
          <w:rFonts w:ascii="Verdana" w:eastAsia="Calibri" w:hAnsi="Verdana" w:cs="Arial"/>
          <w:lang w:eastAsia="es-ES_tradnl"/>
        </w:rPr>
      </w:pPr>
      <w:r w:rsidRPr="00E76077">
        <w:rPr>
          <w:noProof/>
        </w:rPr>
        <w:drawing>
          <wp:anchor distT="0" distB="0" distL="114300" distR="114300" simplePos="0" relativeHeight="251658240" behindDoc="1" locked="0" layoutInCell="1" allowOverlap="1" wp14:anchorId="6FD4031C" wp14:editId="33C1C11C">
            <wp:simplePos x="0" y="0"/>
            <wp:positionH relativeFrom="margin">
              <wp:posOffset>3111335</wp:posOffset>
            </wp:positionH>
            <wp:positionV relativeFrom="paragraph">
              <wp:posOffset>15587</wp:posOffset>
            </wp:positionV>
            <wp:extent cx="2113280" cy="585470"/>
            <wp:effectExtent l="0" t="0" r="1270" b="5080"/>
            <wp:wrapTight wrapText="bothSides">
              <wp:wrapPolygon edited="0">
                <wp:start x="0" y="0"/>
                <wp:lineTo x="0" y="21085"/>
                <wp:lineTo x="21418" y="21085"/>
                <wp:lineTo x="21418" y="0"/>
                <wp:lineTo x="0" y="0"/>
              </wp:wrapPolygon>
            </wp:wrapTight>
            <wp:docPr id="4863639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13280" cy="5854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6D50" w:rsidRPr="005C5519">
        <w:rPr>
          <w:rFonts w:ascii="Verdana" w:eastAsia="Calibri" w:hAnsi="Verdana" w:cs="Arial"/>
          <w:lang w:eastAsia="es-ES_tradnl"/>
        </w:rPr>
        <w:t>Señora</w:t>
      </w:r>
    </w:p>
    <w:p w14:paraId="30B6327A" w14:textId="7C126FF0" w:rsidR="00F26D50" w:rsidRPr="00620814" w:rsidRDefault="00F26D50" w:rsidP="00F26D50">
      <w:pPr>
        <w:spacing w:after="0" w:line="240" w:lineRule="auto"/>
        <w:rPr>
          <w:rFonts w:ascii="Verdana" w:eastAsia="Calibri" w:hAnsi="Verdana" w:cs="Arial"/>
          <w:b/>
          <w:bCs/>
          <w:lang w:eastAsia="es-ES_tradnl"/>
        </w:rPr>
      </w:pPr>
      <w:r>
        <w:rPr>
          <w:rFonts w:ascii="Verdana" w:eastAsia="Calibri" w:hAnsi="Verdana" w:cs="Arial"/>
          <w:b/>
          <w:bCs/>
          <w:lang w:eastAsia="es-ES_tradnl"/>
        </w:rPr>
        <w:t>Vale</w:t>
      </w:r>
      <w:r w:rsidRPr="00620814">
        <w:rPr>
          <w:rFonts w:ascii="Verdana" w:eastAsia="Calibri" w:hAnsi="Verdana" w:cs="Arial"/>
          <w:b/>
          <w:bCs/>
          <w:lang w:eastAsia="es-ES_tradnl"/>
        </w:rPr>
        <w:t>ntina Páez Borrero</w:t>
      </w:r>
    </w:p>
    <w:p w14:paraId="58BB3DC6" w14:textId="5F8F46A7" w:rsidR="00F26D50" w:rsidRPr="00620814" w:rsidRDefault="00F26D50" w:rsidP="00F26D50">
      <w:pPr>
        <w:spacing w:after="0" w:line="240" w:lineRule="auto"/>
        <w:rPr>
          <w:rFonts w:ascii="Verdana" w:hAnsi="Verdana"/>
        </w:rPr>
      </w:pPr>
      <w:hyperlink r:id="rId8" w:history="1">
        <w:r w:rsidRPr="00620814">
          <w:rPr>
            <w:rStyle w:val="Hipervnculo"/>
            <w:rFonts w:ascii="Verdana" w:hAnsi="Verdana"/>
          </w:rPr>
          <w:t>valentinapaezborrero@gmail.com</w:t>
        </w:r>
      </w:hyperlink>
    </w:p>
    <w:p w14:paraId="223DAB66" w14:textId="77777777" w:rsidR="00F26D50" w:rsidRPr="005C5519" w:rsidRDefault="00F26D50" w:rsidP="00F26D50">
      <w:pPr>
        <w:spacing w:after="0" w:line="240" w:lineRule="auto"/>
        <w:rPr>
          <w:rFonts w:ascii="Verdana" w:eastAsia="Calibri" w:hAnsi="Verdana" w:cs="Arial"/>
          <w:lang w:eastAsia="es-ES_tradnl"/>
        </w:rPr>
      </w:pPr>
      <w:r>
        <w:rPr>
          <w:rFonts w:ascii="Verdana" w:eastAsia="Calibri" w:hAnsi="Verdana" w:cs="Arial"/>
          <w:lang w:eastAsia="es-ES_tradnl"/>
        </w:rPr>
        <w:t>Villavicencio, Meta</w:t>
      </w:r>
    </w:p>
    <w:p w14:paraId="32E5330F" w14:textId="77777777" w:rsidR="00F26D50" w:rsidRPr="005C5519" w:rsidRDefault="00F26D50" w:rsidP="00F26D50">
      <w:pPr>
        <w:spacing w:after="0" w:line="240" w:lineRule="auto"/>
        <w:rPr>
          <w:rFonts w:ascii="Verdana" w:eastAsia="Calibri" w:hAnsi="Verdana" w:cs="Arial"/>
          <w:lang w:eastAsia="es-ES_tradnl"/>
        </w:rPr>
      </w:pPr>
    </w:p>
    <w:p w14:paraId="1DE49979" w14:textId="77777777" w:rsidR="00F26D50" w:rsidRDefault="00F26D50" w:rsidP="00F26D50">
      <w:pPr>
        <w:spacing w:after="0" w:line="240" w:lineRule="auto"/>
        <w:ind w:left="2694"/>
        <w:rPr>
          <w:rFonts w:ascii="Verdana" w:eastAsia="Calibri" w:hAnsi="Verdana" w:cs="Arial"/>
          <w:b/>
          <w:bCs/>
          <w:lang w:eastAsia="es-ES_tradnl"/>
        </w:rPr>
      </w:pPr>
    </w:p>
    <w:p w14:paraId="65E07452" w14:textId="77777777" w:rsidR="00F26D50" w:rsidRPr="005C5519" w:rsidRDefault="00F26D50" w:rsidP="00F26D50">
      <w:pPr>
        <w:spacing w:after="0" w:line="240" w:lineRule="auto"/>
        <w:ind w:left="2694"/>
        <w:rPr>
          <w:rFonts w:ascii="Verdana" w:eastAsia="Calibri" w:hAnsi="Verdana" w:cs="Arial"/>
          <w:b/>
          <w:bCs/>
          <w:lang w:eastAsia="es-ES_tradnl"/>
        </w:rPr>
      </w:pPr>
      <w:r w:rsidRPr="005C5519">
        <w:rPr>
          <w:rFonts w:ascii="Verdana" w:eastAsia="Calibri" w:hAnsi="Verdana" w:cs="Arial"/>
          <w:b/>
          <w:bCs/>
          <w:lang w:eastAsia="es-ES_tradnl"/>
        </w:rPr>
        <w:t>Concepto C-</w:t>
      </w:r>
      <w:r>
        <w:rPr>
          <w:rFonts w:ascii="Verdana" w:eastAsia="Calibri" w:hAnsi="Verdana" w:cs="Arial"/>
          <w:b/>
          <w:bCs/>
          <w:lang w:eastAsia="es-ES_tradnl"/>
        </w:rPr>
        <w:t>555</w:t>
      </w:r>
      <w:r w:rsidRPr="005C5519">
        <w:rPr>
          <w:rFonts w:ascii="Verdana" w:eastAsia="Calibri" w:hAnsi="Verdana" w:cs="Arial"/>
          <w:b/>
          <w:bCs/>
          <w:lang w:eastAsia="es-ES_tradnl"/>
        </w:rPr>
        <w:t xml:space="preserve"> de 202</w:t>
      </w:r>
      <w:r>
        <w:rPr>
          <w:rFonts w:ascii="Verdana" w:eastAsia="Calibri" w:hAnsi="Verdana" w:cs="Arial"/>
          <w:b/>
          <w:bCs/>
          <w:lang w:eastAsia="es-ES_tradnl"/>
        </w:rPr>
        <w:t>6</w:t>
      </w:r>
    </w:p>
    <w:p w14:paraId="6EDB64EC" w14:textId="77777777" w:rsidR="00F26D50" w:rsidRPr="005C5519" w:rsidRDefault="00F26D50" w:rsidP="00F26D50">
      <w:pPr>
        <w:spacing w:after="0" w:line="240" w:lineRule="auto"/>
        <w:jc w:val="both"/>
        <w:rPr>
          <w:rFonts w:ascii="Verdana" w:eastAsia="Calibri" w:hAnsi="Verdana" w:cs="Arial"/>
          <w:lang w:eastAsia="es-ES_tradnl"/>
        </w:rPr>
      </w:pPr>
    </w:p>
    <w:tbl>
      <w:tblPr>
        <w:tblStyle w:val="Tablaconcuadrcula"/>
        <w:tblW w:w="8926"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26D50" w:rsidRPr="005C5519" w14:paraId="45BDCB2E" w14:textId="77777777" w:rsidTr="006B0FCB">
        <w:trPr>
          <w:jc w:val="right"/>
        </w:trPr>
        <w:tc>
          <w:tcPr>
            <w:tcW w:w="2689" w:type="dxa"/>
          </w:tcPr>
          <w:p w14:paraId="71BBAA97" w14:textId="77777777" w:rsidR="00F26D50" w:rsidRPr="005C5519" w:rsidRDefault="00F26D50" w:rsidP="006B0FCB">
            <w:pPr>
              <w:rPr>
                <w:rFonts w:ascii="Verdana" w:eastAsia="Calibri" w:hAnsi="Verdana" w:cs="Arial"/>
                <w:lang w:eastAsia="es-ES_tradnl"/>
              </w:rPr>
            </w:pPr>
            <w:r w:rsidRPr="005C5519">
              <w:rPr>
                <w:rFonts w:ascii="Verdana" w:eastAsia="Calibri" w:hAnsi="Verdana" w:cs="Arial"/>
                <w:b/>
                <w:lang w:eastAsia="es-ES_tradnl"/>
              </w:rPr>
              <w:t>Temas:</w:t>
            </w:r>
          </w:p>
        </w:tc>
        <w:tc>
          <w:tcPr>
            <w:tcW w:w="6237" w:type="dxa"/>
          </w:tcPr>
          <w:p w14:paraId="478C629C" w14:textId="77777777" w:rsidR="00F26D50" w:rsidRPr="005C5519" w:rsidRDefault="00F26D50" w:rsidP="006B0FCB">
            <w:pPr>
              <w:jc w:val="both"/>
              <w:textAlignment w:val="baseline"/>
              <w:rPr>
                <w:rFonts w:ascii="Verdana" w:eastAsia="Times New Roman" w:hAnsi="Verdana" w:cs="Arial"/>
                <w:lang w:eastAsia="es-ES"/>
              </w:rPr>
            </w:pPr>
            <w:r w:rsidRPr="2993F789">
              <w:rPr>
                <w:rFonts w:ascii="Verdana" w:eastAsia="Times New Roman" w:hAnsi="Verdana" w:cs="Arial"/>
                <w:lang w:eastAsia="es-ES"/>
              </w:rPr>
              <w:t>LIQUIDACIÓN DEL CONTRATO – Definición – Objetivo /</w:t>
            </w:r>
            <w:r w:rsidRPr="2993F789">
              <w:rPr>
                <w:rFonts w:ascii="Verdana" w:hAnsi="Verdana"/>
              </w:rPr>
              <w:t xml:space="preserve"> </w:t>
            </w:r>
            <w:r w:rsidRPr="2993F789">
              <w:rPr>
                <w:rFonts w:ascii="Verdana" w:eastAsia="Times New Roman" w:hAnsi="Verdana" w:cs="Arial"/>
                <w:lang w:eastAsia="es-ES"/>
              </w:rPr>
              <w:t xml:space="preserve">LIQUIDACIÓN DEL CONTRATO – Normativa / LIQUIDACIÓN DEL CONTRATO – Tipos – Bilateral – Unilateral – Judicial / </w:t>
            </w:r>
            <w:r w:rsidRPr="00F65E35">
              <w:rPr>
                <w:rFonts w:ascii="Verdana" w:eastAsia="Times New Roman" w:hAnsi="Verdana" w:cs="Arial"/>
                <w:lang w:eastAsia="es-ES"/>
              </w:rPr>
              <w:t>CADUCIDAD DEL MEDIO DE CONTROL DE CONTROVERSIAS CONTRACTUALES – Pérdida de competencia para liquidar el contrato</w:t>
            </w:r>
          </w:p>
          <w:p w14:paraId="6FAFC8F8" w14:textId="77777777" w:rsidR="00F26D50" w:rsidRPr="005C5519" w:rsidRDefault="00F26D50" w:rsidP="006B0FCB">
            <w:pPr>
              <w:jc w:val="both"/>
              <w:textAlignment w:val="baseline"/>
              <w:rPr>
                <w:rFonts w:ascii="Verdana" w:eastAsia="Times New Roman" w:hAnsi="Verdana" w:cs="Arial"/>
                <w:lang w:eastAsia="es-ES_tradnl"/>
              </w:rPr>
            </w:pPr>
          </w:p>
        </w:tc>
      </w:tr>
      <w:tr w:rsidR="00F26D50" w:rsidRPr="005C5519" w14:paraId="2A7FF3D3" w14:textId="77777777" w:rsidTr="002C62EB">
        <w:trPr>
          <w:trHeight w:val="444"/>
          <w:jc w:val="right"/>
        </w:trPr>
        <w:tc>
          <w:tcPr>
            <w:tcW w:w="2689" w:type="dxa"/>
          </w:tcPr>
          <w:p w14:paraId="1D286B92" w14:textId="77777777" w:rsidR="00F26D50" w:rsidRPr="005C5519" w:rsidRDefault="00F26D50" w:rsidP="006B0FCB">
            <w:pPr>
              <w:rPr>
                <w:rFonts w:ascii="Verdana" w:eastAsia="Calibri" w:hAnsi="Verdana" w:cs="Arial"/>
                <w:b/>
                <w:lang w:eastAsia="es-ES_tradnl"/>
              </w:rPr>
            </w:pPr>
            <w:r w:rsidRPr="005C5519">
              <w:rPr>
                <w:rFonts w:ascii="Verdana" w:eastAsia="Calibri" w:hAnsi="Verdana" w:cs="Arial"/>
                <w:b/>
                <w:lang w:eastAsia="es-ES_tradnl"/>
              </w:rPr>
              <w:t>Radicación:</w:t>
            </w:r>
          </w:p>
        </w:tc>
        <w:tc>
          <w:tcPr>
            <w:tcW w:w="6237" w:type="dxa"/>
          </w:tcPr>
          <w:p w14:paraId="32B37AEF" w14:textId="77777777" w:rsidR="00F26D50" w:rsidRPr="005C5519" w:rsidRDefault="00F26D50" w:rsidP="006B0FCB">
            <w:pPr>
              <w:jc w:val="both"/>
              <w:rPr>
                <w:rFonts w:ascii="Verdana" w:eastAsia="Calibri" w:hAnsi="Verdana" w:cs="Arial"/>
                <w:lang w:eastAsia="es-ES_tradnl"/>
              </w:rPr>
            </w:pPr>
            <w:r w:rsidRPr="005C5519">
              <w:rPr>
                <w:rFonts w:ascii="Verdana" w:eastAsia="Calibri" w:hAnsi="Verdana" w:cs="Arial"/>
                <w:lang w:eastAsia="es-ES_tradnl"/>
              </w:rPr>
              <w:t xml:space="preserve">Respuesta a consulta radicado No. </w:t>
            </w:r>
            <w:r w:rsidRPr="008C1B41">
              <w:rPr>
                <w:rFonts w:ascii="Verdana" w:eastAsia="Times New Roman" w:hAnsi="Verdana" w:cs="Arial"/>
                <w:lang w:eastAsia="es-ES_tradnl"/>
              </w:rPr>
              <w:t>1_2026_04_06_004619</w:t>
            </w:r>
          </w:p>
        </w:tc>
      </w:tr>
    </w:tbl>
    <w:p w14:paraId="09B9A6B2" w14:textId="77777777" w:rsidR="00F26D50" w:rsidRPr="00BE151B" w:rsidRDefault="00F26D50" w:rsidP="00F26D50">
      <w:pPr>
        <w:spacing w:after="0" w:line="276" w:lineRule="auto"/>
        <w:jc w:val="both"/>
        <w:rPr>
          <w:rFonts w:ascii="Verdana" w:eastAsia="Calibri" w:hAnsi="Verdana" w:cs="Arial"/>
          <w:lang w:eastAsia="es-ES_tradnl"/>
        </w:rPr>
      </w:pPr>
    </w:p>
    <w:p w14:paraId="323CA141" w14:textId="77777777" w:rsidR="00F26D50" w:rsidRPr="00BE151B" w:rsidRDefault="00F26D50" w:rsidP="00F26D50">
      <w:pPr>
        <w:spacing w:after="0" w:line="276" w:lineRule="auto"/>
        <w:jc w:val="both"/>
        <w:rPr>
          <w:rFonts w:ascii="Verdana" w:eastAsia="Calibri" w:hAnsi="Verdana" w:cs="Arial"/>
          <w:lang w:eastAsia="es-ES_tradnl"/>
        </w:rPr>
      </w:pPr>
    </w:p>
    <w:p w14:paraId="5B0302FE" w14:textId="77777777" w:rsidR="00F26D50" w:rsidRPr="00BE151B" w:rsidRDefault="00F26D50" w:rsidP="00F26D50">
      <w:pPr>
        <w:spacing w:after="0" w:line="276" w:lineRule="auto"/>
        <w:jc w:val="both"/>
        <w:rPr>
          <w:rFonts w:ascii="Verdana" w:eastAsia="Calibri" w:hAnsi="Verdana" w:cs="Arial"/>
          <w:bCs/>
          <w:lang w:eastAsia="es-ES_tradnl"/>
        </w:rPr>
      </w:pPr>
      <w:r w:rsidRPr="00BE151B">
        <w:rPr>
          <w:rFonts w:ascii="Verdana" w:eastAsia="Calibri" w:hAnsi="Verdana" w:cs="Arial"/>
          <w:lang w:eastAsia="es-ES_tradnl"/>
        </w:rPr>
        <w:t>Estimad</w:t>
      </w:r>
      <w:r>
        <w:rPr>
          <w:rFonts w:ascii="Verdana" w:eastAsia="Calibri" w:hAnsi="Verdana" w:cs="Arial"/>
          <w:lang w:eastAsia="es-ES_tradnl"/>
        </w:rPr>
        <w:t>a señora Valentina</w:t>
      </w:r>
      <w:r>
        <w:rPr>
          <w:rFonts w:ascii="Verdana" w:eastAsia="Calibri" w:hAnsi="Verdana" w:cs="Arial"/>
          <w:bCs/>
          <w:lang w:eastAsia="es-ES_tradnl"/>
        </w:rPr>
        <w:t>,</w:t>
      </w:r>
    </w:p>
    <w:p w14:paraId="1D96B5F3" w14:textId="77777777" w:rsidR="00F26D50" w:rsidRPr="00BE151B" w:rsidRDefault="00F26D50" w:rsidP="00F26D50">
      <w:pPr>
        <w:spacing w:after="0" w:line="276" w:lineRule="auto"/>
        <w:jc w:val="both"/>
        <w:rPr>
          <w:rFonts w:ascii="Verdana" w:eastAsia="Calibri" w:hAnsi="Verdana" w:cs="Arial"/>
          <w:lang w:eastAsia="es-ES_tradnl"/>
        </w:rPr>
      </w:pPr>
    </w:p>
    <w:p w14:paraId="39CEDF6E" w14:textId="77777777" w:rsidR="00F26D50" w:rsidRDefault="00F26D50" w:rsidP="00F26D50">
      <w:pPr>
        <w:spacing w:after="0" w:line="276" w:lineRule="auto"/>
        <w:jc w:val="both"/>
        <w:rPr>
          <w:rFonts w:ascii="Verdana" w:eastAsia="Calibri" w:hAnsi="Verdana" w:cs="Arial"/>
          <w:lang w:eastAsia="es-ES_tradnl"/>
        </w:rPr>
      </w:pPr>
      <w:r w:rsidRPr="00BE151B">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w:t>
      </w:r>
      <w:r>
        <w:rPr>
          <w:rFonts w:ascii="Verdana" w:eastAsia="Calibri" w:hAnsi="Verdana" w:cs="Arial"/>
          <w:lang w:eastAsia="es-ES_tradnl"/>
        </w:rPr>
        <w:t>469</w:t>
      </w:r>
      <w:r w:rsidRPr="00BE151B">
        <w:rPr>
          <w:rFonts w:ascii="Verdana" w:eastAsia="Calibri" w:hAnsi="Verdana" w:cs="Arial"/>
          <w:lang w:eastAsia="es-ES_tradnl"/>
        </w:rPr>
        <w:t xml:space="preserve"> de 20</w:t>
      </w:r>
      <w:r>
        <w:rPr>
          <w:rFonts w:ascii="Verdana" w:eastAsia="Calibri" w:hAnsi="Verdana" w:cs="Arial"/>
          <w:lang w:eastAsia="es-ES_tradnl"/>
        </w:rPr>
        <w:t>25</w:t>
      </w:r>
      <w:r w:rsidRPr="00BE151B">
        <w:rPr>
          <w:rFonts w:ascii="Verdana" w:eastAsia="Calibri" w:hAnsi="Verdana" w:cs="Arial"/>
          <w:lang w:eastAsia="es-ES_tradnl"/>
        </w:rPr>
        <w:t xml:space="preserve"> expedida por esta Entidad, la Agencia Nacional de Contratación Pública – Colombia Compra Eficiente– responde su solicitud de consulta de fecha </w:t>
      </w:r>
      <w:r>
        <w:rPr>
          <w:rFonts w:ascii="Verdana" w:eastAsia="Calibri" w:hAnsi="Verdana" w:cs="Arial"/>
          <w:lang w:eastAsia="es-ES_tradnl"/>
        </w:rPr>
        <w:t>6 de abril de 2026</w:t>
      </w:r>
      <w:r w:rsidRPr="00BE151B">
        <w:rPr>
          <w:rFonts w:ascii="Verdana" w:eastAsia="Calibri" w:hAnsi="Verdana" w:cs="Arial"/>
          <w:lang w:eastAsia="es-ES_tradnl"/>
        </w:rPr>
        <w:t xml:space="preserve">, en la cual </w:t>
      </w:r>
      <w:r>
        <w:rPr>
          <w:rFonts w:ascii="Verdana" w:eastAsia="Calibri" w:hAnsi="Verdana" w:cs="Arial"/>
          <w:lang w:eastAsia="es-ES_tradnl"/>
        </w:rPr>
        <w:t>consulta</w:t>
      </w:r>
      <w:r w:rsidRPr="00BE151B">
        <w:rPr>
          <w:rFonts w:ascii="Verdana" w:eastAsia="Calibri" w:hAnsi="Verdana" w:cs="Arial"/>
          <w:lang w:eastAsia="es-ES_tradnl"/>
        </w:rPr>
        <w:t xml:space="preserve"> lo siguiente: </w:t>
      </w:r>
    </w:p>
    <w:p w14:paraId="505E429F" w14:textId="77777777" w:rsidR="00F26D50" w:rsidRPr="00BE151B" w:rsidRDefault="00F26D50" w:rsidP="00F26D50">
      <w:pPr>
        <w:spacing w:after="0" w:line="276" w:lineRule="auto"/>
        <w:jc w:val="both"/>
        <w:rPr>
          <w:rFonts w:ascii="Verdana" w:eastAsia="Calibri" w:hAnsi="Verdana" w:cs="Arial"/>
          <w:lang w:eastAsia="es-ES_tradnl"/>
        </w:rPr>
      </w:pPr>
    </w:p>
    <w:p w14:paraId="4B2EA86D" w14:textId="77777777" w:rsidR="00F26D50" w:rsidRPr="00E00E44" w:rsidRDefault="00F26D50" w:rsidP="00F26D50">
      <w:pPr>
        <w:spacing w:after="0" w:line="240" w:lineRule="auto"/>
        <w:ind w:left="709" w:right="709"/>
        <w:jc w:val="both"/>
        <w:rPr>
          <w:rFonts w:ascii="Verdana" w:eastAsia="Times New Roman" w:hAnsi="Verdana" w:cs="Arial"/>
          <w:sz w:val="20"/>
          <w:szCs w:val="20"/>
          <w:lang w:eastAsia="es-ES_tradnl"/>
        </w:rPr>
      </w:pPr>
      <w:r w:rsidRPr="00E00E44">
        <w:rPr>
          <w:rFonts w:ascii="Verdana" w:eastAsia="Times New Roman" w:hAnsi="Verdana" w:cs="Arial"/>
          <w:sz w:val="20"/>
          <w:szCs w:val="20"/>
          <w:lang w:eastAsia="es-ES_tradnl"/>
        </w:rPr>
        <w:t>“</w:t>
      </w:r>
      <w:r w:rsidRPr="00A558DD">
        <w:rPr>
          <w:rFonts w:ascii="Verdana" w:eastAsia="Times New Roman" w:hAnsi="Verdana" w:cs="Arial"/>
          <w:sz w:val="20"/>
          <w:szCs w:val="20"/>
          <w:lang w:eastAsia="es-ES_tradnl"/>
        </w:rPr>
        <w:t xml:space="preserve">Agradezco un concepto de </w:t>
      </w:r>
      <w:proofErr w:type="spellStart"/>
      <w:r w:rsidRPr="00A558DD">
        <w:rPr>
          <w:rFonts w:ascii="Verdana" w:eastAsia="Times New Roman" w:hAnsi="Verdana" w:cs="Arial"/>
          <w:sz w:val="20"/>
          <w:szCs w:val="20"/>
          <w:lang w:eastAsia="es-ES_tradnl"/>
        </w:rPr>
        <w:t>como</w:t>
      </w:r>
      <w:proofErr w:type="spellEnd"/>
      <w:r w:rsidRPr="00A558DD">
        <w:rPr>
          <w:rFonts w:ascii="Verdana" w:eastAsia="Times New Roman" w:hAnsi="Verdana" w:cs="Arial"/>
          <w:sz w:val="20"/>
          <w:szCs w:val="20"/>
          <w:lang w:eastAsia="es-ES_tradnl"/>
        </w:rPr>
        <w:t xml:space="preserve"> se contabiliza el termino de caducidad</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para demandar en el medio de control de controversias contractuales con</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el fin de obtener la liquidación judicial del contrato conforme el siguiente</w:t>
      </w:r>
      <w:r>
        <w:rPr>
          <w:rFonts w:ascii="Verdana" w:eastAsia="Times New Roman" w:hAnsi="Verdana" w:cs="Arial"/>
          <w:sz w:val="20"/>
          <w:szCs w:val="20"/>
          <w:lang w:eastAsia="es-ES_tradnl"/>
        </w:rPr>
        <w:t xml:space="preserve"> c</w:t>
      </w:r>
      <w:r w:rsidRPr="00A558DD">
        <w:rPr>
          <w:rFonts w:ascii="Verdana" w:eastAsia="Times New Roman" w:hAnsi="Verdana" w:cs="Arial"/>
          <w:sz w:val="20"/>
          <w:szCs w:val="20"/>
          <w:lang w:eastAsia="es-ES_tradnl"/>
        </w:rPr>
        <w:t>aso: en el año 2013 se suscribió contrato de obra, actualmente el</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contrato se encuentra suspendida indefinidamente conforme acta de</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suspensión 7 de fecha 23/11/2015. El demandante radico demanda el</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26/02/2018 y fue admitida el 26/09/2018. El 20/12/2017, la entidad</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contratante expidió resolución que declara el incumplimiento del</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contrato por insatisfacción de ítems constructivos conforme la visita</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técnica al sitio de obra y el 29/10/2018 liquida unilateralmente el</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contrato. Conforme lo ha indicado la jurisprudencia del Consejo de</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Estado, la entidad pierde competencia para liquidar unilateralmente el</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 xml:space="preserve">contrato cuando se ha </w:t>
      </w:r>
      <w:r w:rsidRPr="00A558DD">
        <w:rPr>
          <w:rFonts w:ascii="Verdana" w:eastAsia="Times New Roman" w:hAnsi="Verdana" w:cs="Arial"/>
          <w:sz w:val="20"/>
          <w:szCs w:val="20"/>
          <w:lang w:eastAsia="es-ES_tradnl"/>
        </w:rPr>
        <w:lastRenderedPageBreak/>
        <w:t>presentado y admitido la demanda, como ocurrió</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 xml:space="preserve">en el presente caso. Una de </w:t>
      </w:r>
      <w:proofErr w:type="spellStart"/>
      <w:r w:rsidRPr="00A558DD">
        <w:rPr>
          <w:rFonts w:ascii="Verdana" w:eastAsia="Times New Roman" w:hAnsi="Verdana" w:cs="Arial"/>
          <w:sz w:val="20"/>
          <w:szCs w:val="20"/>
          <w:lang w:eastAsia="es-ES_tradnl"/>
        </w:rPr>
        <w:t>laspretensiones</w:t>
      </w:r>
      <w:proofErr w:type="spellEnd"/>
      <w:r w:rsidRPr="00A558DD">
        <w:rPr>
          <w:rFonts w:ascii="Verdana" w:eastAsia="Times New Roman" w:hAnsi="Verdana" w:cs="Arial"/>
          <w:sz w:val="20"/>
          <w:szCs w:val="20"/>
          <w:lang w:eastAsia="es-ES_tradnl"/>
        </w:rPr>
        <w:t xml:space="preserve"> de la demanda es liquidar</w:t>
      </w:r>
      <w:r>
        <w:rPr>
          <w:rFonts w:ascii="Verdana" w:eastAsia="Times New Roman" w:hAnsi="Verdana" w:cs="Arial"/>
          <w:sz w:val="20"/>
          <w:szCs w:val="20"/>
          <w:lang w:eastAsia="es-ES_tradnl"/>
        </w:rPr>
        <w:t xml:space="preserve"> </w:t>
      </w:r>
      <w:r w:rsidRPr="00A558DD">
        <w:rPr>
          <w:rFonts w:ascii="Verdana" w:eastAsia="Times New Roman" w:hAnsi="Verdana" w:cs="Arial"/>
          <w:sz w:val="20"/>
          <w:szCs w:val="20"/>
          <w:lang w:eastAsia="es-ES_tradnl"/>
        </w:rPr>
        <w:t xml:space="preserve">judicial. </w:t>
      </w:r>
      <w:proofErr w:type="spellStart"/>
      <w:r w:rsidRPr="00A558DD">
        <w:rPr>
          <w:rFonts w:ascii="Verdana" w:eastAsia="Times New Roman" w:hAnsi="Verdana" w:cs="Arial"/>
          <w:sz w:val="20"/>
          <w:szCs w:val="20"/>
          <w:lang w:eastAsia="es-ES_tradnl"/>
        </w:rPr>
        <w:t>como</w:t>
      </w:r>
      <w:proofErr w:type="spellEnd"/>
      <w:r w:rsidRPr="00A558DD">
        <w:rPr>
          <w:rFonts w:ascii="Verdana" w:eastAsia="Times New Roman" w:hAnsi="Verdana" w:cs="Arial"/>
          <w:sz w:val="20"/>
          <w:szCs w:val="20"/>
          <w:lang w:eastAsia="es-ES_tradnl"/>
        </w:rPr>
        <w:t xml:space="preserve"> se cuenta </w:t>
      </w:r>
      <w:proofErr w:type="spellStart"/>
      <w:r w:rsidRPr="00A558DD">
        <w:rPr>
          <w:rFonts w:ascii="Verdana" w:eastAsia="Times New Roman" w:hAnsi="Verdana" w:cs="Arial"/>
          <w:sz w:val="20"/>
          <w:szCs w:val="20"/>
          <w:lang w:eastAsia="es-ES_tradnl"/>
        </w:rPr>
        <w:t>lacaducidad</w:t>
      </w:r>
      <w:proofErr w:type="spellEnd"/>
      <w:r w:rsidRPr="00A558DD">
        <w:rPr>
          <w:rFonts w:ascii="Verdana" w:eastAsia="Times New Roman" w:hAnsi="Verdana" w:cs="Arial"/>
          <w:sz w:val="20"/>
          <w:szCs w:val="20"/>
          <w:lang w:eastAsia="es-ES_tradnl"/>
        </w:rPr>
        <w:t>:</w:t>
      </w:r>
      <w:r w:rsidRPr="00E00E44">
        <w:rPr>
          <w:rFonts w:ascii="Verdana" w:eastAsia="Times New Roman" w:hAnsi="Verdana" w:cs="Arial"/>
          <w:iCs/>
          <w:sz w:val="20"/>
          <w:szCs w:val="20"/>
          <w:lang w:eastAsia="es-ES_tradnl"/>
        </w:rPr>
        <w:t>”.</w:t>
      </w:r>
    </w:p>
    <w:p w14:paraId="58002F32" w14:textId="77777777" w:rsidR="00F26D50" w:rsidRPr="00BE151B" w:rsidRDefault="00F26D50" w:rsidP="00F26D50">
      <w:pPr>
        <w:spacing w:after="0" w:line="276" w:lineRule="auto"/>
        <w:ind w:left="709" w:right="709"/>
        <w:jc w:val="both"/>
        <w:rPr>
          <w:rFonts w:ascii="Verdana" w:eastAsia="Times New Roman" w:hAnsi="Verdana" w:cs="Arial"/>
          <w:i/>
          <w:lang w:eastAsia="es-ES_tradnl"/>
        </w:rPr>
      </w:pPr>
    </w:p>
    <w:p w14:paraId="1A1F6396" w14:textId="77777777" w:rsidR="00F26D50" w:rsidRDefault="00F26D50" w:rsidP="00F26D50">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13C43D7" w14:textId="77777777" w:rsidR="00F26D50" w:rsidRPr="00BE151B" w:rsidRDefault="00F26D50" w:rsidP="00F26D50">
      <w:pPr>
        <w:spacing w:after="0" w:line="276" w:lineRule="auto"/>
        <w:ind w:firstLine="709"/>
        <w:jc w:val="both"/>
        <w:rPr>
          <w:rFonts w:ascii="Verdana" w:eastAsia="Calibri" w:hAnsi="Verdana" w:cs="Arial"/>
          <w:lang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w:t>
      </w:r>
      <w:r>
        <w:rPr>
          <w:rFonts w:ascii="Verdana" w:eastAsia="Calibri" w:hAnsi="Verdana" w:cs="Arial"/>
          <w:color w:val="000000"/>
          <w:lang w:val="es-ES" w:eastAsia="es-ES"/>
        </w:rPr>
        <w:t xml:space="preserve">pero </w:t>
      </w:r>
      <w:r w:rsidRPr="00BE151B">
        <w:rPr>
          <w:rFonts w:ascii="Verdana" w:eastAsia="Calibri" w:hAnsi="Verdana" w:cs="Arial"/>
          <w:lang w:eastAsia="es-ES"/>
        </w:rPr>
        <w:t xml:space="preserve">haciendo unas consideraciones sobre las normas generales relacionadas con los problemas jurídicos de su consulta. </w:t>
      </w:r>
    </w:p>
    <w:p w14:paraId="40035A7C" w14:textId="77777777" w:rsidR="00F26D50" w:rsidRPr="00BE151B" w:rsidRDefault="00F26D50" w:rsidP="00F26D50">
      <w:pPr>
        <w:spacing w:after="0" w:line="276" w:lineRule="auto"/>
        <w:jc w:val="both"/>
        <w:rPr>
          <w:rFonts w:ascii="Verdana" w:eastAsia="Times New Roman" w:hAnsi="Verdana" w:cs="Arial"/>
          <w:szCs w:val="24"/>
          <w:lang w:eastAsia="es-ES_tradnl"/>
        </w:rPr>
      </w:pPr>
    </w:p>
    <w:p w14:paraId="5BB3168B" w14:textId="77777777" w:rsidR="00F26D50" w:rsidRPr="00BE151B" w:rsidRDefault="00F26D50" w:rsidP="00F26D50">
      <w:pPr>
        <w:tabs>
          <w:tab w:val="left" w:pos="0"/>
          <w:tab w:val="left" w:pos="284"/>
        </w:tabs>
        <w:spacing w:after="0" w:line="276" w:lineRule="auto"/>
        <w:jc w:val="both"/>
        <w:rPr>
          <w:rFonts w:ascii="Verdana" w:eastAsia="Calibri" w:hAnsi="Verdana" w:cs="Arial"/>
          <w:b/>
        </w:rPr>
      </w:pPr>
      <w:r w:rsidRPr="00BE151B">
        <w:rPr>
          <w:rFonts w:ascii="Verdana" w:eastAsia="Calibri" w:hAnsi="Verdana" w:cs="Arial"/>
          <w:b/>
        </w:rPr>
        <w:t>1. Problema planteado:</w:t>
      </w:r>
    </w:p>
    <w:p w14:paraId="0074C7FD" w14:textId="77777777" w:rsidR="00F26D50" w:rsidRPr="00BE151B" w:rsidRDefault="00F26D50" w:rsidP="00F26D50">
      <w:pPr>
        <w:tabs>
          <w:tab w:val="left" w:pos="0"/>
          <w:tab w:val="left" w:pos="284"/>
        </w:tabs>
        <w:spacing w:after="0" w:line="276" w:lineRule="auto"/>
        <w:jc w:val="both"/>
        <w:rPr>
          <w:rFonts w:ascii="Verdana" w:eastAsia="Calibri" w:hAnsi="Verdana" w:cs="Arial"/>
          <w:b/>
        </w:rPr>
      </w:pPr>
    </w:p>
    <w:p w14:paraId="1B28E132" w14:textId="77777777" w:rsidR="00F26D50" w:rsidRPr="005C4A0F" w:rsidRDefault="00F26D50" w:rsidP="00F26D50">
      <w:pPr>
        <w:spacing w:after="0" w:line="276" w:lineRule="auto"/>
        <w:jc w:val="both"/>
        <w:rPr>
          <w:rFonts w:ascii="Verdana" w:eastAsia="Century Gothic" w:hAnsi="Verdana" w:cs="Century Gothic"/>
        </w:rPr>
      </w:pPr>
      <w:r w:rsidRPr="2993F789">
        <w:rPr>
          <w:rFonts w:ascii="Verdana" w:eastAsia="Century Gothic" w:hAnsi="Verdana" w:cs="Century Gothic"/>
        </w:rPr>
        <w:t>De acuerdo con el contenido de su solicitud, esta Agencia resolverá el siguiente problema jurídico: ¿Cuándo se pierde de competencia la entidad estatal para liquidar el contrato estatal?; O ¿la existencia de un proceso sancionatorio en contra del contratista hace perder competencia a la entidad estatal para realizar la liquidación del contrato?</w:t>
      </w:r>
    </w:p>
    <w:p w14:paraId="0A53FC0F" w14:textId="77777777" w:rsidR="00F26D50" w:rsidRPr="005C4A0F" w:rsidRDefault="00F26D50" w:rsidP="00F26D50">
      <w:pPr>
        <w:spacing w:after="0" w:line="276" w:lineRule="auto"/>
        <w:jc w:val="both"/>
        <w:rPr>
          <w:rFonts w:ascii="Verdana" w:eastAsia="Century Gothic" w:hAnsi="Verdana" w:cs="Century Gothic"/>
        </w:rPr>
      </w:pPr>
    </w:p>
    <w:p w14:paraId="52F96F9A" w14:textId="77777777" w:rsidR="00F26D50" w:rsidRDefault="00F26D50" w:rsidP="00F26D50">
      <w:pPr>
        <w:spacing w:after="0" w:line="276" w:lineRule="auto"/>
        <w:jc w:val="both"/>
        <w:rPr>
          <w:rFonts w:ascii="Verdana" w:hAnsi="Verdana"/>
        </w:rPr>
      </w:pPr>
    </w:p>
    <w:p w14:paraId="463B4637" w14:textId="77777777" w:rsidR="00F26D50" w:rsidRPr="00694106" w:rsidRDefault="00F26D50" w:rsidP="00F26D50">
      <w:pPr>
        <w:tabs>
          <w:tab w:val="left" w:pos="0"/>
          <w:tab w:val="left" w:pos="284"/>
        </w:tabs>
        <w:spacing w:after="0" w:line="276" w:lineRule="auto"/>
        <w:jc w:val="both"/>
        <w:rPr>
          <w:rFonts w:ascii="Verdana" w:eastAsia="Calibri" w:hAnsi="Verdana" w:cs="Arial"/>
          <w:b/>
        </w:rPr>
      </w:pPr>
      <w:r w:rsidRPr="00694106">
        <w:rPr>
          <w:rFonts w:ascii="Verdana" w:eastAsia="Calibri" w:hAnsi="Verdana" w:cs="Arial"/>
          <w:b/>
        </w:rPr>
        <w:t>2. Respuesta:</w:t>
      </w:r>
    </w:p>
    <w:p w14:paraId="6B019747" w14:textId="77777777" w:rsidR="00F26D50" w:rsidRPr="00BE151B" w:rsidRDefault="00F26D50" w:rsidP="00F26D5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26D50" w:rsidRPr="00BE151B" w14:paraId="4651751C" w14:textId="77777777" w:rsidTr="006B0FCB">
        <w:tc>
          <w:tcPr>
            <w:tcW w:w="8828" w:type="dxa"/>
          </w:tcPr>
          <w:p w14:paraId="37155CD4" w14:textId="77777777" w:rsidR="00F26D50" w:rsidRDefault="00F26D50" w:rsidP="006B0FCB">
            <w:pPr>
              <w:spacing w:after="120" w:line="276" w:lineRule="auto"/>
              <w:jc w:val="both"/>
              <w:rPr>
                <w:rFonts w:ascii="Verdana" w:hAnsi="Verdana" w:cs="Arial"/>
                <w:lang w:val="es-ES"/>
              </w:rPr>
            </w:pPr>
            <w:r w:rsidRPr="2993F789">
              <w:rPr>
                <w:rFonts w:ascii="Verdana" w:hAnsi="Verdana" w:cs="Arial"/>
                <w:lang w:val="es-ES"/>
              </w:rPr>
              <w:t xml:space="preserve">De acuerdo con </w:t>
            </w:r>
            <w:r>
              <w:rPr>
                <w:rFonts w:ascii="Verdana" w:hAnsi="Verdana" w:cs="Arial"/>
                <w:lang w:val="es-ES"/>
              </w:rPr>
              <w:t xml:space="preserve">lo establecido por </w:t>
            </w:r>
            <w:r w:rsidRPr="2993F789">
              <w:rPr>
                <w:rFonts w:ascii="Verdana" w:hAnsi="Verdana" w:cs="Arial"/>
                <w:lang w:val="es-ES"/>
              </w:rPr>
              <w:t>el artículo 11 de la Ley 1150 de 2007, existen tres (3) tipos de liquidación</w:t>
            </w:r>
            <w:r>
              <w:rPr>
                <w:rFonts w:ascii="Verdana" w:hAnsi="Verdana" w:cs="Arial"/>
                <w:lang w:val="es-ES"/>
              </w:rPr>
              <w:t xml:space="preserve"> del contrato</w:t>
            </w:r>
            <w:r w:rsidRPr="2993F789">
              <w:rPr>
                <w:rFonts w:ascii="Verdana" w:hAnsi="Verdana" w:cs="Arial"/>
                <w:lang w:val="es-ES"/>
              </w:rPr>
              <w:t xml:space="preserve">: i) bilateral, </w:t>
            </w:r>
            <w:proofErr w:type="spellStart"/>
            <w:r w:rsidRPr="2993F789">
              <w:rPr>
                <w:rFonts w:ascii="Verdana" w:hAnsi="Verdana" w:cs="Arial"/>
                <w:lang w:val="es-ES"/>
              </w:rPr>
              <w:t>ii</w:t>
            </w:r>
            <w:proofErr w:type="spellEnd"/>
            <w:r w:rsidRPr="2993F789">
              <w:rPr>
                <w:rFonts w:ascii="Verdana" w:hAnsi="Verdana" w:cs="Arial"/>
                <w:lang w:val="es-ES"/>
              </w:rPr>
              <w:t xml:space="preserve">) unilateral y </w:t>
            </w:r>
            <w:proofErr w:type="spellStart"/>
            <w:r w:rsidRPr="2993F789">
              <w:rPr>
                <w:rFonts w:ascii="Verdana" w:hAnsi="Verdana" w:cs="Arial"/>
                <w:lang w:val="es-ES"/>
              </w:rPr>
              <w:t>iii</w:t>
            </w:r>
            <w:proofErr w:type="spellEnd"/>
            <w:r w:rsidRPr="2993F789">
              <w:rPr>
                <w:rFonts w:ascii="Verdana" w:hAnsi="Verdana" w:cs="Arial"/>
                <w:lang w:val="es-ES"/>
              </w:rPr>
              <w:t xml:space="preserve">) </w:t>
            </w:r>
            <w:r w:rsidRPr="2993F789">
              <w:rPr>
                <w:rFonts w:ascii="Verdana" w:hAnsi="Verdana" w:cs="Arial"/>
                <w:lang w:val="es-ES"/>
              </w:rPr>
              <w:lastRenderedPageBreak/>
              <w:t>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w:t>
            </w:r>
            <w:r>
              <w:rPr>
                <w:rFonts w:ascii="Verdana" w:hAnsi="Verdana" w:cs="Arial"/>
                <w:lang w:val="es-ES"/>
              </w:rPr>
              <w:t>;</w:t>
            </w:r>
            <w:r w:rsidRPr="2993F789">
              <w:rPr>
                <w:rFonts w:ascii="Verdana" w:hAnsi="Verdana" w:cs="Arial"/>
                <w:lang w:val="es-ES"/>
              </w:rPr>
              <w:t xml:space="preserve">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 de conformidad con el citado auto de unificación jurisprudencial del Consejo de Estado.</w:t>
            </w:r>
          </w:p>
          <w:p w14:paraId="4997095B" w14:textId="77777777" w:rsidR="00F26D50" w:rsidRPr="00AF268A" w:rsidRDefault="00F26D50" w:rsidP="006B0FCB">
            <w:pPr>
              <w:spacing w:after="120" w:line="276" w:lineRule="auto"/>
              <w:ind w:firstLine="709"/>
              <w:jc w:val="both"/>
              <w:rPr>
                <w:rFonts w:ascii="Verdana" w:eastAsia="Arial MT" w:hAnsi="Verdana" w:cs="Arial"/>
                <w:lang w:eastAsia="es-ES" w:bidi="es-ES"/>
              </w:rPr>
            </w:pPr>
            <w:r w:rsidRPr="2993F789">
              <w:rPr>
                <w:rFonts w:ascii="Verdana" w:eastAsia="Times New Roman" w:hAnsi="Verdana" w:cs="Calibri"/>
                <w:lang w:val="es-ES"/>
              </w:rPr>
              <w:t>Así las cosas, c</w:t>
            </w:r>
            <w:proofErr w:type="spellStart"/>
            <w:r w:rsidRPr="2993F789">
              <w:rPr>
                <w:rFonts w:ascii="Verdana" w:eastAsia="Arial MT" w:hAnsi="Verdana" w:cs="Arial"/>
                <w:lang w:eastAsia="es-ES" w:bidi="es-ES"/>
              </w:rPr>
              <w:t>onforme</w:t>
            </w:r>
            <w:proofErr w:type="spellEnd"/>
            <w:r w:rsidRPr="2993F789">
              <w:rPr>
                <w:rFonts w:ascii="Verdana" w:eastAsia="Arial MT" w:hAnsi="Verdana" w:cs="Arial"/>
                <w:lang w:eastAsia="es-ES" w:bidi="es-ES"/>
              </w:rPr>
              <w:t xml:space="preserve"> al marco jurídico expuesto, la entidad estatal solo pierde competencia para efectuar la liquidación del contrato una vez opera la caducidad del medio de control de controversias contractuales</w:t>
            </w:r>
            <w:r>
              <w:rPr>
                <w:rFonts w:ascii="Verdana" w:eastAsia="Arial MT" w:hAnsi="Verdana" w:cs="Arial"/>
                <w:lang w:eastAsia="es-ES" w:bidi="es-ES"/>
              </w:rPr>
              <w:t>;</w:t>
            </w:r>
            <w:r w:rsidRPr="2993F789">
              <w:rPr>
                <w:rFonts w:ascii="Verdana" w:eastAsia="Arial MT" w:hAnsi="Verdana" w:cs="Arial"/>
                <w:lang w:eastAsia="es-ES" w:bidi="es-ES"/>
              </w:rPr>
              <w:t xml:space="preserve"> </w:t>
            </w:r>
            <w:r>
              <w:rPr>
                <w:rFonts w:ascii="Verdana" w:eastAsia="Arial MT" w:hAnsi="Verdana" w:cs="Arial"/>
                <w:lang w:eastAsia="es-ES" w:bidi="es-ES"/>
              </w:rPr>
              <w:t>e</w:t>
            </w:r>
            <w:r w:rsidRPr="2993F789">
              <w:rPr>
                <w:rFonts w:ascii="Verdana" w:eastAsia="Arial MT" w:hAnsi="Verdana" w:cs="Arial"/>
                <w:lang w:eastAsia="es-ES" w:bidi="es-ES"/>
              </w:rPr>
              <w:t>s decir, existe un plazo máximo de dos (2) años, contados a partir de los dos (2) meses establecidos en la ley para realizar la liquidación unilateral, dentro del cual la entidad puede liquidar el contrato de manera bilateral o unilateral </w:t>
            </w:r>
          </w:p>
          <w:p w14:paraId="424EC7D1" w14:textId="77777777" w:rsidR="00F26D50" w:rsidRDefault="00F26D50" w:rsidP="006B0FCB">
            <w:pPr>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Bajo ese contexto, l</w:t>
            </w:r>
            <w:r w:rsidRPr="2993F789">
              <w:rPr>
                <w:rFonts w:ascii="Verdana" w:eastAsia="Arial MT" w:hAnsi="Verdana" w:cs="Arial"/>
                <w:lang w:eastAsia="es-ES" w:bidi="es-ES"/>
              </w:rPr>
              <w:t xml:space="preserve">a caducidad constituye un límite procesal que extingue la posibilidad de reclamar judicialmente obligaciones derivadas del contrato, y con ello, la competencia de la entidad para efectuar la liquidación. Una vez vencido este término, las obligaciones pendientes se convierten en obligaciones naturales, que no son exigibles ni pueden ser objeto de pago por parte de la administración pública. </w:t>
            </w:r>
          </w:p>
          <w:p w14:paraId="63547C02" w14:textId="77777777" w:rsidR="00F26D50" w:rsidRDefault="00F26D50" w:rsidP="006B0FCB">
            <w:pPr>
              <w:spacing w:after="120" w:line="276" w:lineRule="auto"/>
              <w:ind w:firstLine="709"/>
              <w:jc w:val="both"/>
              <w:rPr>
                <w:rFonts w:ascii="Verdana" w:eastAsia="Arial MT" w:hAnsi="Verdana" w:cs="Arial"/>
                <w:lang w:eastAsia="es-ES" w:bidi="es-ES"/>
              </w:rPr>
            </w:pPr>
            <w:r w:rsidRPr="2993F789">
              <w:rPr>
                <w:rFonts w:ascii="Verdana" w:eastAsia="Arial MT" w:hAnsi="Verdana" w:cs="Arial"/>
                <w:lang w:eastAsia="es-ES" w:bidi="es-ES"/>
              </w:rPr>
              <w:t>Por otro lado, la normativa vigente no contempla la pérdida de competencia para efectuar la liquidación en el evento en que se encuentre pendiente de decisión un proceso sancionatorio contra el contratista. En tal caso, la entidad puede proceder con la liquidación del contrato, sin que el trámite sancionatorio constituya un impedimento legal para ello.</w:t>
            </w:r>
          </w:p>
          <w:p w14:paraId="3B2645D3" w14:textId="77777777" w:rsidR="00F26D50" w:rsidRPr="00D03768" w:rsidRDefault="00F26D50" w:rsidP="006B0FCB">
            <w:pPr>
              <w:spacing w:line="276" w:lineRule="auto"/>
              <w:ind w:firstLine="709"/>
              <w:jc w:val="both"/>
              <w:rPr>
                <w:rFonts w:ascii="Verdana" w:eastAsia="Arial MT" w:hAnsi="Verdana" w:cs="Arial"/>
                <w:lang w:eastAsia="es-ES" w:bidi="es-ES"/>
              </w:rPr>
            </w:pPr>
          </w:p>
        </w:tc>
      </w:tr>
    </w:tbl>
    <w:p w14:paraId="3E069B9F" w14:textId="77777777" w:rsidR="00F26D50" w:rsidRPr="00BE151B" w:rsidRDefault="00F26D50" w:rsidP="00F26D50">
      <w:pPr>
        <w:spacing w:after="0" w:line="276" w:lineRule="auto"/>
        <w:jc w:val="both"/>
        <w:rPr>
          <w:rFonts w:ascii="Verdana" w:eastAsia="Times New Roman" w:hAnsi="Verdana" w:cs="Arial"/>
          <w:lang w:eastAsia="es-ES_tradnl"/>
        </w:rPr>
      </w:pPr>
    </w:p>
    <w:p w14:paraId="1E8D048C" w14:textId="77777777" w:rsidR="00F26D50" w:rsidRPr="00BE151B" w:rsidRDefault="00F26D50" w:rsidP="00F26D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3. Razones de la respuesta:</w:t>
      </w:r>
    </w:p>
    <w:p w14:paraId="22F423E9" w14:textId="77777777" w:rsidR="00F26D50" w:rsidRPr="00BE151B" w:rsidRDefault="00F26D50" w:rsidP="00F26D50">
      <w:pPr>
        <w:spacing w:after="0" w:line="276" w:lineRule="auto"/>
        <w:jc w:val="both"/>
        <w:rPr>
          <w:rFonts w:ascii="Verdana" w:eastAsia="Calibri" w:hAnsi="Verdana" w:cs="Arial"/>
          <w:color w:val="7030A0"/>
        </w:rPr>
      </w:pPr>
    </w:p>
    <w:p w14:paraId="0B126C34" w14:textId="77777777" w:rsidR="00F26D50" w:rsidRPr="00BE151B" w:rsidRDefault="00F26D50" w:rsidP="00F26D50">
      <w:pPr>
        <w:spacing w:after="0" w:line="276" w:lineRule="auto"/>
        <w:jc w:val="both"/>
        <w:rPr>
          <w:rFonts w:ascii="Verdana" w:eastAsia="Calibri" w:hAnsi="Verdana" w:cs="Arial"/>
        </w:rPr>
      </w:pPr>
      <w:r w:rsidRPr="00BE151B">
        <w:rPr>
          <w:rFonts w:ascii="Verdana" w:eastAsia="Calibri" w:hAnsi="Verdana" w:cs="Arial"/>
        </w:rPr>
        <w:t xml:space="preserve">Lo anterior se sustenta en las siguientes consideraciones: </w:t>
      </w:r>
    </w:p>
    <w:p w14:paraId="5CCDB01A" w14:textId="77777777" w:rsidR="00F26D50" w:rsidRDefault="00F26D50" w:rsidP="00F26D50">
      <w:pPr>
        <w:spacing w:after="0" w:line="276" w:lineRule="auto"/>
        <w:ind w:firstLine="709"/>
        <w:jc w:val="both"/>
        <w:rPr>
          <w:rFonts w:ascii="Verdana" w:eastAsia="Calibri" w:hAnsi="Verdana" w:cs="Arial"/>
        </w:rPr>
      </w:pPr>
    </w:p>
    <w:p w14:paraId="59E9AB89" w14:textId="77777777" w:rsidR="00F26D50" w:rsidRPr="00FB5FC4" w:rsidRDefault="00F26D50" w:rsidP="00F26D50">
      <w:pPr>
        <w:spacing w:after="0" w:line="276" w:lineRule="auto"/>
        <w:jc w:val="both"/>
        <w:rPr>
          <w:rFonts w:ascii="Verdana" w:eastAsia="Calibri" w:hAnsi="Verdana" w:cs="Arial"/>
          <w:color w:val="000000"/>
          <w:lang w:val="es-ES"/>
        </w:rPr>
      </w:pPr>
      <w:r w:rsidRPr="2993F789">
        <w:rPr>
          <w:rFonts w:ascii="Verdana" w:eastAsia="Calibri" w:hAnsi="Verdana" w:cs="Arial"/>
          <w:color w:val="000000"/>
          <w:lang w:val="es-ES"/>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2993F789">
        <w:rPr>
          <w:rFonts w:ascii="Verdana" w:eastAsia="Calibri" w:hAnsi="Verdana" w:cs="Arial"/>
          <w:color w:val="000000"/>
          <w:vertAlign w:val="superscript"/>
          <w:lang w:val="es-ES"/>
        </w:rPr>
        <w:footnoteReference w:id="1"/>
      </w:r>
      <w:r w:rsidRPr="2993F789">
        <w:rPr>
          <w:rFonts w:ascii="Verdana" w:eastAsia="Calibri" w:hAnsi="Verdana" w:cs="Arial"/>
          <w:color w:val="000000"/>
          <w:lang w:val="es-ES"/>
        </w:rPr>
        <w:t>. La doctrina ha definido la liquidación de la siguiente manera:</w:t>
      </w:r>
    </w:p>
    <w:p w14:paraId="74669BA8" w14:textId="77777777" w:rsidR="00F26D50" w:rsidRPr="00FB5FC4" w:rsidRDefault="00F26D50" w:rsidP="00F26D50">
      <w:pPr>
        <w:spacing w:after="0" w:line="276" w:lineRule="auto"/>
        <w:jc w:val="both"/>
        <w:rPr>
          <w:rFonts w:ascii="Verdana" w:eastAsia="Calibri" w:hAnsi="Verdana" w:cs="Arial"/>
          <w:color w:val="000000"/>
          <w:lang w:val="es-ES_tradnl"/>
        </w:rPr>
      </w:pPr>
    </w:p>
    <w:p w14:paraId="1F6E63A9" w14:textId="77777777" w:rsidR="00F26D50" w:rsidRPr="00650923" w:rsidRDefault="00F26D50" w:rsidP="00F26D50">
      <w:pPr>
        <w:spacing w:after="0" w:line="240" w:lineRule="auto"/>
        <w:ind w:left="709" w:right="709"/>
        <w:jc w:val="both"/>
        <w:rPr>
          <w:rFonts w:ascii="Verdana" w:eastAsia="Calibri" w:hAnsi="Verdana" w:cs="Arial"/>
          <w:sz w:val="20"/>
          <w:szCs w:val="20"/>
          <w:lang w:val="es-MX"/>
        </w:rPr>
      </w:pPr>
      <w:r w:rsidRPr="2993F789">
        <w:rPr>
          <w:rFonts w:ascii="Verdana" w:eastAsia="Calibri" w:hAnsi="Verdana" w:cs="Arial"/>
          <w:i/>
          <w:iCs/>
          <w:color w:val="000000"/>
          <w:sz w:val="20"/>
          <w:szCs w:val="20"/>
          <w:lang w:val="es-ES"/>
        </w:rPr>
        <w:t>“</w:t>
      </w:r>
      <w:r w:rsidRPr="00650923">
        <w:rPr>
          <w:rFonts w:ascii="Verdana" w:eastAsia="Calibri"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650923">
        <w:rPr>
          <w:rFonts w:ascii="Verdana" w:eastAsia="Calibri" w:hAnsi="Verdana" w:cs="Arial"/>
          <w:sz w:val="20"/>
          <w:szCs w:val="20"/>
          <w:lang w:val="es-MX"/>
        </w:rPr>
        <w:t>ii</w:t>
      </w:r>
      <w:proofErr w:type="spellEnd"/>
      <w:r w:rsidRPr="00650923">
        <w:rPr>
          <w:rFonts w:ascii="Verdana" w:eastAsia="Calibri"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650923">
        <w:rPr>
          <w:rFonts w:ascii="Verdana" w:eastAsia="Calibri" w:hAnsi="Verdana" w:cs="Arial"/>
          <w:sz w:val="20"/>
          <w:szCs w:val="20"/>
          <w:vertAlign w:val="superscript"/>
          <w:lang w:val="es-MX"/>
        </w:rPr>
        <w:footnoteReference w:id="2"/>
      </w:r>
      <w:r w:rsidRPr="00650923">
        <w:rPr>
          <w:rFonts w:ascii="Verdana" w:eastAsia="Calibri" w:hAnsi="Verdana" w:cs="Arial"/>
          <w:sz w:val="20"/>
          <w:szCs w:val="20"/>
          <w:lang w:val="es-MX"/>
        </w:rPr>
        <w:t>.</w:t>
      </w:r>
    </w:p>
    <w:p w14:paraId="68F205F6" w14:textId="77777777" w:rsidR="00F26D50" w:rsidRPr="005C4A0F" w:rsidRDefault="00F26D50" w:rsidP="00F26D50">
      <w:pPr>
        <w:spacing w:after="0" w:line="276" w:lineRule="auto"/>
        <w:jc w:val="both"/>
        <w:rPr>
          <w:rFonts w:ascii="Verdana" w:eastAsia="Calibri" w:hAnsi="Verdana" w:cs="Arial"/>
          <w:lang w:val="es-ES_tradnl"/>
        </w:rPr>
      </w:pPr>
    </w:p>
    <w:p w14:paraId="27DB97B8" w14:textId="77777777" w:rsidR="00F26D50" w:rsidRDefault="00F26D50" w:rsidP="00F26D50">
      <w:pPr>
        <w:spacing w:after="120" w:line="276" w:lineRule="auto"/>
        <w:ind w:firstLine="709"/>
        <w:jc w:val="both"/>
        <w:rPr>
          <w:rFonts w:ascii="Verdana" w:eastAsia="Times New Roman" w:hAnsi="Verdana" w:cs="Arial"/>
          <w:color w:val="000000"/>
          <w:lang w:val="es-ES" w:eastAsia="es-ES"/>
        </w:rPr>
      </w:pPr>
      <w:r w:rsidRPr="2993F789">
        <w:rPr>
          <w:rFonts w:ascii="Verdana" w:eastAsia="Times New Roman" w:hAnsi="Verdana" w:cs="Arial"/>
          <w:color w:val="000000"/>
          <w:lang w:val="es-ES" w:eastAsia="es-ES"/>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2993F789">
        <w:rPr>
          <w:rFonts w:ascii="Verdana" w:eastAsia="Times New Roman" w:hAnsi="Verdana" w:cs="Arial"/>
          <w:i/>
          <w:iCs/>
          <w:color w:val="000000"/>
          <w:lang w:val="es-ES" w:eastAsia="es-ES"/>
        </w:rPr>
        <w:t>liquidar</w:t>
      </w:r>
      <w:r w:rsidRPr="2993F789">
        <w:rPr>
          <w:rFonts w:ascii="Verdana" w:eastAsia="Times New Roman" w:hAnsi="Verdana" w:cs="Arial"/>
          <w:color w:val="000000"/>
          <w:lang w:val="es-ES" w:eastAsia="es-ES"/>
        </w:rPr>
        <w:t xml:space="preserve"> supone un ajuste en relación con las cuentas y el estado de cumplimiento </w:t>
      </w:r>
      <w:r w:rsidRPr="2993F789">
        <w:rPr>
          <w:rFonts w:ascii="Verdana" w:eastAsia="Times New Roman" w:hAnsi="Verdana" w:cs="Arial"/>
          <w:color w:val="000000"/>
          <w:lang w:val="es-ES" w:eastAsia="es-ES"/>
        </w:rPr>
        <w:lastRenderedPageBreak/>
        <w:t xml:space="preserve">del contrato estatal y, por el otro, que la </w:t>
      </w:r>
      <w:r w:rsidRPr="2993F789">
        <w:rPr>
          <w:rFonts w:ascii="Verdana" w:eastAsia="Times New Roman" w:hAnsi="Verdana" w:cs="Arial"/>
          <w:i/>
          <w:iCs/>
          <w:color w:val="000000"/>
          <w:lang w:val="es-ES" w:eastAsia="es-ES"/>
        </w:rPr>
        <w:t>liquidación</w:t>
      </w:r>
      <w:r w:rsidRPr="2993F789">
        <w:rPr>
          <w:rFonts w:ascii="Verdana" w:eastAsia="Times New Roman" w:hAnsi="Verdana" w:cs="Arial"/>
          <w:color w:val="000000"/>
          <w:lang w:val="es-ES" w:eastAsia="es-ES"/>
        </w:rPr>
        <w:t xml:space="preserve"> debe incluir el análisis de las condiciones de calidad y oportunidad en la entrega de los bienes, obras o servicios, así como el balance económico y el comportamiento financiero del negocio</w:t>
      </w:r>
      <w:r w:rsidRPr="2993F789">
        <w:rPr>
          <w:rFonts w:ascii="Verdana" w:eastAsia="Times New Roman" w:hAnsi="Verdana" w:cs="Arial"/>
          <w:color w:val="000000"/>
          <w:vertAlign w:val="superscript"/>
          <w:lang w:val="es-ES" w:eastAsia="es-ES"/>
        </w:rPr>
        <w:footnoteReference w:id="3"/>
      </w:r>
      <w:r w:rsidRPr="2993F789">
        <w:rPr>
          <w:rFonts w:ascii="Verdana" w:eastAsia="Times New Roman" w:hAnsi="Verdana" w:cs="Arial"/>
          <w:color w:val="000000"/>
          <w:lang w:val="es-ES" w:eastAsia="es-ES"/>
        </w:rPr>
        <w:t xml:space="preserve">. </w:t>
      </w:r>
    </w:p>
    <w:p w14:paraId="2E583028" w14:textId="77777777" w:rsidR="00F26D50" w:rsidRPr="00463386" w:rsidRDefault="00F26D50" w:rsidP="00F26D50">
      <w:pPr>
        <w:pStyle w:val="Sinespaciado"/>
        <w:spacing w:after="120" w:line="276" w:lineRule="auto"/>
        <w:ind w:firstLine="709"/>
        <w:jc w:val="both"/>
        <w:rPr>
          <w:rFonts w:ascii="Verdana" w:hAnsi="Verdana" w:cs="Arial"/>
          <w:sz w:val="22"/>
          <w:lang w:val="es-ES"/>
        </w:rPr>
      </w:pPr>
      <w:r w:rsidRPr="2993F789">
        <w:rPr>
          <w:rFonts w:ascii="Verdana" w:hAnsi="Verdana" w:cs="Arial"/>
          <w:sz w:val="22"/>
          <w:lang w:val="es-ES"/>
        </w:rPr>
        <w:t>Las disposiciones normativas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w:t>
      </w:r>
      <w:r w:rsidRPr="2993F789">
        <w:rPr>
          <w:rStyle w:val="Refdenotaalpie"/>
          <w:rFonts w:ascii="Verdana" w:hAnsi="Verdana" w:cs="Arial"/>
          <w:sz w:val="22"/>
          <w:lang w:val="es-ES"/>
        </w:rPr>
        <w:footnoteReference w:id="4"/>
      </w:r>
      <w:r w:rsidRPr="2993F789">
        <w:rPr>
          <w:rFonts w:ascii="Verdana" w:hAnsi="Verdana" w:cs="Arial"/>
          <w:sz w:val="22"/>
          <w:lang w:val="es-ES"/>
        </w:rPr>
        <w:t xml:space="preserve"> contiene las reglas de tipo procedimental para liquidar los contratos estatales, las cuales se pasan a explicar. </w:t>
      </w:r>
    </w:p>
    <w:p w14:paraId="083C3EDC" w14:textId="77777777" w:rsidR="00F26D50" w:rsidRPr="00463386" w:rsidRDefault="00F26D50" w:rsidP="00F26D50">
      <w:pPr>
        <w:spacing w:after="120" w:line="276" w:lineRule="auto"/>
        <w:ind w:firstLine="709"/>
        <w:jc w:val="both"/>
        <w:rPr>
          <w:rFonts w:ascii="Verdana" w:hAnsi="Verdana" w:cs="Arial"/>
          <w:lang w:val="es-ES"/>
        </w:rPr>
      </w:pPr>
      <w:r w:rsidRPr="2993F789">
        <w:rPr>
          <w:rFonts w:ascii="Verdana" w:hAnsi="Verdana" w:cs="Arial"/>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de mutuo acuerdo se deberá realizar dentro del plazo previsto en “los pliegos de condiciones o sus equivalentes, o dentro del que acuerden las partes para el efecto”. De otro lado, cuando el </w:t>
      </w:r>
      <w:r w:rsidRPr="2993F789">
        <w:rPr>
          <w:rFonts w:ascii="Verdana" w:hAnsi="Verdana" w:cs="Arial"/>
          <w:lang w:val="es-ES"/>
        </w:rPr>
        <w:lastRenderedPageBreak/>
        <w:t xml:space="preserve">artículo 11 </w:t>
      </w:r>
      <w:r w:rsidRPr="2993F789">
        <w:rPr>
          <w:rFonts w:ascii="Verdana" w:hAnsi="Verdana" w:cs="Arial"/>
          <w:i/>
          <w:iCs/>
          <w:lang w:val="es-ES"/>
        </w:rPr>
        <w:t>ibidem</w:t>
      </w:r>
      <w:r w:rsidRPr="2993F789">
        <w:rPr>
          <w:rFonts w:ascii="Verdana" w:hAnsi="Verdana" w:cs="Arial"/>
          <w:lang w:val="es-ES"/>
        </w:rPr>
        <w:t xml:space="preserve"> hace referencia al término que “acuerden las partes” para la liquidación de mutuo acuerdo, claramente está habilitando a las partes para que, en ejercicio de la autonomía de la voluntad que les asiste, prevean de común acuerdo un plazo para la liquidación bilateral. Este plazo, en principio, debe estar consignado en el contrato, al ser este el acto jurídico bilateral en el que se consigna originalmente la voluntad de las partes. </w:t>
      </w:r>
    </w:p>
    <w:p w14:paraId="0A44269D" w14:textId="77777777" w:rsidR="00F26D50" w:rsidRDefault="00F26D50" w:rsidP="00F26D50">
      <w:pPr>
        <w:spacing w:after="120" w:line="276" w:lineRule="auto"/>
        <w:ind w:firstLine="709"/>
        <w:jc w:val="both"/>
        <w:rPr>
          <w:rFonts w:ascii="Verdana" w:hAnsi="Verdana" w:cs="Arial"/>
          <w:lang w:val="es-ES"/>
        </w:rPr>
      </w:pPr>
      <w:r w:rsidRPr="2993F789">
        <w:rPr>
          <w:rFonts w:ascii="Verdana" w:hAnsi="Verdana" w:cs="Arial"/>
          <w:lang w:val="es-ES"/>
        </w:rPr>
        <w:t xml:space="preserve">En segundo lugar, en ausencia de pacto, el artículo 11 de la Ley 1150 de 2007 dispone un término supletivo de cuatro (4) meses contados desde: i) el vencimiento del plazo previsto para la ejecución del contrato, </w:t>
      </w:r>
      <w:proofErr w:type="spellStart"/>
      <w:r w:rsidRPr="2993F789">
        <w:rPr>
          <w:rFonts w:ascii="Verdana" w:hAnsi="Verdana" w:cs="Arial"/>
          <w:lang w:val="es-ES"/>
        </w:rPr>
        <w:t>ii</w:t>
      </w:r>
      <w:proofErr w:type="spellEnd"/>
      <w:r w:rsidRPr="2993F789">
        <w:rPr>
          <w:rFonts w:ascii="Verdana" w:hAnsi="Verdana" w:cs="Arial"/>
          <w:lang w:val="es-ES"/>
        </w:rPr>
        <w:t xml:space="preserve">) la expedición del acto administrativo que ordene la terminación del contrato, o </w:t>
      </w:r>
      <w:proofErr w:type="spellStart"/>
      <w:r w:rsidRPr="2993F789">
        <w:rPr>
          <w:rFonts w:ascii="Verdana" w:hAnsi="Verdana" w:cs="Arial"/>
          <w:lang w:val="es-ES"/>
        </w:rPr>
        <w:t>iii</w:t>
      </w:r>
      <w:proofErr w:type="spellEnd"/>
      <w:r w:rsidRPr="2993F789">
        <w:rPr>
          <w:rFonts w:ascii="Verdana" w:hAnsi="Verdana" w:cs="Arial"/>
          <w:lang w:val="es-ES"/>
        </w:rPr>
        <w:t xml:space="preserve">) la fecha del acuerdo que disponga la terminación del contrato. Ahora bien, el término supletivo de cuatro (4) meses previstos en el artículo 11 de la Ley 1150 de 2007 solo resulta aplicable ante la ausencia de regulación </w:t>
      </w:r>
      <w:proofErr w:type="gramStart"/>
      <w:r w:rsidRPr="2993F789">
        <w:rPr>
          <w:rFonts w:ascii="Verdana" w:hAnsi="Verdana" w:cs="Arial"/>
          <w:lang w:val="es-ES"/>
        </w:rPr>
        <w:t>del mismo</w:t>
      </w:r>
      <w:proofErr w:type="gramEnd"/>
      <w:r w:rsidRPr="2993F789">
        <w:rPr>
          <w:rFonts w:ascii="Verdana" w:hAnsi="Verdana" w:cs="Arial"/>
          <w:lang w:val="es-ES"/>
        </w:rPr>
        <w:t xml:space="preserve"> en el pliego de condiciones –documento equivalente– y ante la falta de acuerdo entre las partes en torno al plazo de liquidación bilateral. </w:t>
      </w:r>
    </w:p>
    <w:p w14:paraId="7389FA59" w14:textId="77777777" w:rsidR="00F26D50" w:rsidRDefault="00F26D50" w:rsidP="00F26D50">
      <w:pPr>
        <w:spacing w:after="120" w:line="276" w:lineRule="auto"/>
        <w:ind w:firstLine="709"/>
        <w:jc w:val="both"/>
        <w:rPr>
          <w:rFonts w:ascii="Verdana" w:hAnsi="Verdana" w:cs="Arial"/>
          <w:lang w:val="es-ES"/>
        </w:rPr>
      </w:pPr>
      <w:r w:rsidRPr="00463386">
        <w:rPr>
          <w:rFonts w:ascii="Verdana" w:hAnsi="Verdana" w:cs="Arial"/>
          <w:lang w:val="es-ES"/>
        </w:rPr>
        <w:t>Durante este término</w:t>
      </w:r>
      <w:r>
        <w:rPr>
          <w:rFonts w:ascii="Verdana" w:hAnsi="Verdana" w:cs="Arial"/>
          <w:lang w:val="es-ES"/>
        </w:rPr>
        <w:t xml:space="preserve"> de cuatro (4) meses,</w:t>
      </w:r>
      <w:r w:rsidRPr="00463386">
        <w:rPr>
          <w:rFonts w:ascii="Verdana" w:hAnsi="Verdana" w:cs="Arial"/>
          <w:lang w:val="es-ES"/>
        </w:rPr>
        <w:t xml:space="preserve"> el contratista puede solicitar que se adelante el trámite de liquidación. Sin embargo, es responsabilidad de la entidad estatal convocarlo para adelantar la liquidación de común acuerdo o notificarlo para que se presente a la liquidación</w:t>
      </w:r>
      <w:r w:rsidRPr="00463386">
        <w:rPr>
          <w:rStyle w:val="Refdenotaalpie"/>
          <w:rFonts w:ascii="Verdana" w:hAnsi="Verdana" w:cs="Arial"/>
          <w:lang w:val="es-ES"/>
        </w:rPr>
        <w:footnoteReference w:id="5"/>
      </w:r>
      <w:r w:rsidRPr="00463386">
        <w:rPr>
          <w:rFonts w:ascii="Verdana" w:hAnsi="Verdana" w:cs="Arial"/>
          <w:lang w:val="es-ES"/>
        </w:rPr>
        <w:t>, de manera que el contrato pueda ser liquidado bilateralmente, bien sea en el plazo previsto en el pliego de condiciones, el acordado por las partes, o en los cuatro</w:t>
      </w:r>
      <w:r>
        <w:rPr>
          <w:rFonts w:ascii="Verdana" w:hAnsi="Verdana" w:cs="Arial"/>
          <w:lang w:val="es-ES"/>
        </w:rPr>
        <w:t xml:space="preserve"> (4)</w:t>
      </w:r>
      <w:r w:rsidRPr="00463386">
        <w:rPr>
          <w:rFonts w:ascii="Verdana" w:hAnsi="Verdana" w:cs="Arial"/>
          <w:lang w:val="es-ES"/>
        </w:rPr>
        <w:t xml:space="preserve"> meses señalados en la Ley, según corresponda. Esta liquidación bilateral puede ser total o parcial</w:t>
      </w:r>
      <w:r w:rsidRPr="00463386">
        <w:rPr>
          <w:rStyle w:val="Refdenotaalpie"/>
          <w:rFonts w:ascii="Verdana" w:hAnsi="Verdana" w:cs="Arial"/>
          <w:lang w:val="es-ES"/>
        </w:rPr>
        <w:footnoteReference w:id="6"/>
      </w:r>
      <w:r w:rsidRPr="00463386">
        <w:rPr>
          <w:rFonts w:ascii="Verdana" w:hAnsi="Verdana" w:cs="Arial"/>
          <w:lang w:val="es-ES"/>
        </w:rPr>
        <w:t xml:space="preserve">. </w:t>
      </w:r>
    </w:p>
    <w:p w14:paraId="0F5613B5" w14:textId="77777777" w:rsidR="00F26D50" w:rsidRPr="00463386" w:rsidRDefault="00F26D50" w:rsidP="00F26D50">
      <w:pPr>
        <w:spacing w:after="0" w:line="276" w:lineRule="auto"/>
        <w:ind w:firstLine="709"/>
        <w:jc w:val="both"/>
        <w:rPr>
          <w:rFonts w:ascii="Verdana" w:hAnsi="Verdana" w:cs="Arial"/>
          <w:lang w:val="es-ES"/>
        </w:rPr>
      </w:pPr>
      <w:r w:rsidRPr="2993F789">
        <w:rPr>
          <w:rFonts w:ascii="Verdana" w:hAnsi="Verdana" w:cs="Arial"/>
          <w:lang w:val="es-ES"/>
        </w:rPr>
        <w:t>Si no es posible efectuar la liquidación de manera bilateral en los términos anteriormente explicados, el ordenamiento jurídico prevé una habilitación competencial, de carácter subsidiario, para que la entidad estatal realice la liquidación unilateralmente. Sobre este punto, el Consejo de Estado ha señalado:</w:t>
      </w:r>
    </w:p>
    <w:p w14:paraId="743EC577" w14:textId="77777777" w:rsidR="00F26D50" w:rsidRPr="00D03768" w:rsidRDefault="00F26D50" w:rsidP="00F26D50">
      <w:pPr>
        <w:pStyle w:val="Sinespaciado"/>
        <w:spacing w:line="276" w:lineRule="auto"/>
        <w:ind w:left="709" w:right="760"/>
        <w:jc w:val="both"/>
        <w:rPr>
          <w:rFonts w:ascii="Verdana" w:hAnsi="Verdana" w:cs="Arial"/>
          <w:sz w:val="22"/>
          <w:lang w:val="es-ES"/>
        </w:rPr>
      </w:pPr>
    </w:p>
    <w:p w14:paraId="272A67B5" w14:textId="77777777" w:rsidR="00F26D50" w:rsidRDefault="00F26D50" w:rsidP="00F26D50">
      <w:pPr>
        <w:pStyle w:val="Sinespaciado"/>
        <w:ind w:left="709" w:right="709"/>
        <w:jc w:val="both"/>
        <w:rPr>
          <w:rFonts w:ascii="Verdana" w:hAnsi="Verdana" w:cs="Arial"/>
          <w:sz w:val="20"/>
          <w:szCs w:val="20"/>
          <w:lang w:val="es-ES"/>
        </w:rPr>
      </w:pPr>
      <w:r w:rsidRPr="2993F789">
        <w:rPr>
          <w:rFonts w:ascii="Verdana" w:hAnsi="Verdana" w:cs="Arial"/>
          <w:sz w:val="20"/>
          <w:szCs w:val="20"/>
          <w:lang w:val="es-ES"/>
        </w:rPr>
        <w:t xml:space="preserve">“Al respecto se debe tener en cuenta que la liquidación unilateral es subsidiaria o supletoria frente a la bilateral, dado que el contratista tiene derecho a acordar la liquidación, debidamente reconocido por el ordenamiento jurídico. Para tal efecto, el contratista debe ser convocado </w:t>
      </w:r>
      <w:r w:rsidRPr="2993F789">
        <w:rPr>
          <w:rFonts w:ascii="Verdana" w:hAnsi="Verdana" w:cs="Arial"/>
          <w:sz w:val="20"/>
          <w:szCs w:val="20"/>
          <w:lang w:val="es-ES"/>
        </w:rPr>
        <w:lastRenderedPageBreak/>
        <w:t>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2993F789">
        <w:rPr>
          <w:rStyle w:val="Refdenotaalpie"/>
          <w:rFonts w:ascii="Verdana" w:hAnsi="Verdana" w:cs="Arial"/>
          <w:sz w:val="20"/>
          <w:szCs w:val="20"/>
          <w:lang w:val="es-ES"/>
        </w:rPr>
        <w:footnoteReference w:id="7"/>
      </w:r>
      <w:r w:rsidRPr="2993F789">
        <w:rPr>
          <w:rFonts w:ascii="Verdana" w:hAnsi="Verdana" w:cs="Arial"/>
          <w:sz w:val="20"/>
          <w:szCs w:val="20"/>
          <w:lang w:val="es-ES"/>
        </w:rPr>
        <w:t xml:space="preserve">. </w:t>
      </w:r>
    </w:p>
    <w:p w14:paraId="20D95FCD" w14:textId="77777777" w:rsidR="00F26D50" w:rsidRPr="00D03768" w:rsidRDefault="00F26D50" w:rsidP="00F26D50">
      <w:pPr>
        <w:pStyle w:val="Sinespaciado"/>
        <w:spacing w:line="276" w:lineRule="auto"/>
        <w:ind w:left="709" w:right="709"/>
        <w:jc w:val="both"/>
        <w:rPr>
          <w:rFonts w:ascii="Verdana" w:hAnsi="Verdana" w:cs="Arial"/>
          <w:sz w:val="22"/>
          <w:lang w:val="es-ES"/>
        </w:rPr>
      </w:pPr>
    </w:p>
    <w:p w14:paraId="4E3CF52B" w14:textId="77777777" w:rsidR="00F26D50" w:rsidRDefault="00F26D50" w:rsidP="00F26D50">
      <w:pPr>
        <w:pStyle w:val="Sinespaciado"/>
        <w:spacing w:line="276" w:lineRule="auto"/>
        <w:ind w:firstLine="708"/>
        <w:jc w:val="both"/>
        <w:rPr>
          <w:rFonts w:ascii="Verdana" w:hAnsi="Verdana" w:cs="Arial"/>
          <w:sz w:val="22"/>
          <w:lang w:val="es-ES"/>
        </w:rPr>
      </w:pPr>
      <w:r w:rsidRPr="2993F789">
        <w:rPr>
          <w:rFonts w:ascii="Verdana" w:hAnsi="Verdana" w:cs="Arial"/>
          <w:sz w:val="22"/>
          <w:lang w:val="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w:t>
      </w:r>
      <w:r w:rsidRPr="2993F789">
        <w:rPr>
          <w:rStyle w:val="Refdenotaalpie"/>
          <w:rFonts w:ascii="Verdana" w:hAnsi="Verdana" w:cs="Arial"/>
          <w:sz w:val="22"/>
          <w:lang w:val="es-ES"/>
        </w:rPr>
        <w:footnoteReference w:id="8"/>
      </w:r>
      <w:r w:rsidRPr="2993F789">
        <w:rPr>
          <w:rFonts w:ascii="Verdana" w:hAnsi="Verdana" w:cs="Arial"/>
          <w:sz w:val="22"/>
          <w:lang w:val="es-ES"/>
        </w:rPr>
        <w:t xml:space="preserve">. Finalmente, transcurridos estos dos (2) meses, sin que se haya efectuado, la liquidación podrá realizarse en cualquier tiempo dentro de los dos (2) años siguientes al vencimiento del término legal para la liquidación unilateral. Durante estos dos (2) años la liquidación podrá hacerse de mutuo acuerdo, unilateralmente por la entidad, o podrá ser solicitada judicialmente. En este sentido, en decisión de unificación, el Consejo de Estado dijo: </w:t>
      </w:r>
    </w:p>
    <w:p w14:paraId="13964738" w14:textId="77777777" w:rsidR="00F26D50" w:rsidRPr="00463386" w:rsidRDefault="00F26D50" w:rsidP="00F26D50">
      <w:pPr>
        <w:pStyle w:val="Sinespaciado"/>
        <w:spacing w:line="276" w:lineRule="auto"/>
        <w:ind w:firstLine="708"/>
        <w:jc w:val="both"/>
        <w:rPr>
          <w:rFonts w:ascii="Verdana" w:hAnsi="Verdana" w:cs="Arial"/>
          <w:sz w:val="22"/>
          <w:lang w:val="es-ES"/>
        </w:rPr>
      </w:pPr>
    </w:p>
    <w:p w14:paraId="0736E598" w14:textId="77777777" w:rsidR="00F26D50" w:rsidRPr="00DF38E2" w:rsidRDefault="00F26D50" w:rsidP="00F26D50">
      <w:pPr>
        <w:pStyle w:val="Sinespaciado"/>
        <w:ind w:left="709" w:right="709"/>
        <w:jc w:val="both"/>
        <w:rPr>
          <w:rFonts w:ascii="Verdana" w:hAnsi="Verdana" w:cs="Arial"/>
          <w:sz w:val="20"/>
          <w:szCs w:val="20"/>
          <w:lang w:val="es-ES"/>
        </w:rPr>
      </w:pPr>
      <w:r w:rsidRPr="00DF38E2">
        <w:rPr>
          <w:rFonts w:ascii="Verdana" w:hAnsi="Verdana" w:cs="Arial"/>
          <w:sz w:val="20"/>
          <w:szCs w:val="20"/>
          <w:lang w:val="es-ES"/>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DF38E2">
        <w:rPr>
          <w:rFonts w:ascii="Verdana" w:hAnsi="Verdana" w:cs="Arial"/>
          <w:sz w:val="20"/>
          <w:szCs w:val="20"/>
          <w:lang w:val="es-ES"/>
        </w:rPr>
        <w:t>liquidatorio</w:t>
      </w:r>
      <w:proofErr w:type="spellEnd"/>
      <w:r w:rsidRPr="00DF38E2">
        <w:rPr>
          <w:rFonts w:ascii="Verdana" w:hAnsi="Verdana" w:cs="Arial"/>
          <w:sz w:val="20"/>
          <w:szCs w:val="20"/>
          <w:lang w:val="es-ES"/>
        </w:rPr>
        <w:t xml:space="preserve"> se logre dentro del lapso de dos años contados a partir del vencimiento del término legalmente conocido para la liquidación unilateral, pues ese es el lapso que el ordenamiento ha fijado para el ejercicio oportuno de la acción</w:t>
      </w:r>
      <w:r w:rsidRPr="00DF38E2">
        <w:rPr>
          <w:rStyle w:val="Refdenotaalpie"/>
          <w:rFonts w:ascii="Verdana" w:hAnsi="Verdana" w:cs="Arial"/>
          <w:sz w:val="20"/>
          <w:szCs w:val="20"/>
          <w:lang w:val="es-ES"/>
        </w:rPr>
        <w:footnoteReference w:id="9"/>
      </w:r>
      <w:r w:rsidRPr="00DF38E2">
        <w:rPr>
          <w:rFonts w:ascii="Verdana" w:hAnsi="Verdana" w:cs="Arial"/>
          <w:sz w:val="20"/>
          <w:szCs w:val="20"/>
          <w:lang w:val="es-ES"/>
        </w:rPr>
        <w:t>.</w:t>
      </w:r>
    </w:p>
    <w:p w14:paraId="6012BF2D" w14:textId="77777777" w:rsidR="00F26D50" w:rsidRPr="00D03768" w:rsidRDefault="00F26D50" w:rsidP="00F26D50">
      <w:pPr>
        <w:pStyle w:val="Sinespaciado"/>
        <w:ind w:right="709" w:firstLine="709"/>
        <w:jc w:val="both"/>
        <w:rPr>
          <w:rFonts w:ascii="Verdana" w:hAnsi="Verdana" w:cs="Arial"/>
          <w:sz w:val="22"/>
          <w:lang w:val="es-ES"/>
        </w:rPr>
      </w:pPr>
    </w:p>
    <w:p w14:paraId="4A3CFBB6" w14:textId="77777777" w:rsidR="00F26D50" w:rsidRPr="005C4A0F" w:rsidRDefault="00F26D50" w:rsidP="00F26D50">
      <w:pPr>
        <w:tabs>
          <w:tab w:val="left" w:pos="709"/>
        </w:tabs>
        <w:spacing w:after="120" w:line="276" w:lineRule="auto"/>
        <w:ind w:firstLine="709"/>
        <w:jc w:val="both"/>
        <w:rPr>
          <w:rFonts w:ascii="Verdana" w:eastAsia="Calibri" w:hAnsi="Verdana" w:cs="Arial"/>
        </w:rPr>
      </w:pPr>
      <w:r w:rsidRPr="4A3FD318">
        <w:rPr>
          <w:rFonts w:ascii="Verdana" w:eastAsia="Calibri" w:hAnsi="Verdana" w:cs="Arial"/>
        </w:rPr>
        <w:t xml:space="preserve">En armonía con lo anterior, se podrá interponer una demanda ante la jurisdicción de lo contencioso administrativo solicitando la liquidación judicial del contrato, mediante el medio de control de controversias contractuales, en los términos del artículo 141 del Código de Procedimiento Administrativo y de lo </w:t>
      </w:r>
      <w:r w:rsidRPr="4A3FD318">
        <w:rPr>
          <w:rFonts w:ascii="Verdana" w:eastAsia="Calibri" w:hAnsi="Verdana" w:cs="Arial"/>
        </w:rPr>
        <w:lastRenderedPageBreak/>
        <w:t>Contencioso Administrativo –CPACA–. La demanda debe ser presentada dentro del término que establece el artículo 164 del CPACA, pues de lo contrario operará el fenómeno de la caducidad, por lo cual no sería posible realizar la liquidación del contrato por ningún medio.</w:t>
      </w:r>
    </w:p>
    <w:p w14:paraId="20915135" w14:textId="77777777" w:rsidR="00F26D50" w:rsidRPr="006D2030" w:rsidRDefault="00F26D50" w:rsidP="00F26D50">
      <w:pPr>
        <w:spacing w:after="120" w:line="276" w:lineRule="auto"/>
        <w:ind w:firstLine="709"/>
        <w:jc w:val="both"/>
        <w:rPr>
          <w:rFonts w:ascii="Verdana" w:eastAsia="Calibri" w:hAnsi="Verdana" w:cs="Arial"/>
          <w:lang w:val="es-ES"/>
        </w:rPr>
      </w:pPr>
      <w:r w:rsidRPr="4A3FD318">
        <w:rPr>
          <w:rFonts w:ascii="Verdana" w:eastAsia="Calibri" w:hAnsi="Verdana" w:cs="Arial"/>
          <w:lang w:val="es-ES"/>
        </w:rPr>
        <w:t>En este punto, es pertinente aclarar que, en relación con el término de caducidad para demandar en aquellos contratos que requieran liquidación, la jurisprudencia unificada del Consejo de Estado ha determinado que, en virtud del artículo 164 de la Ley 1437 de 2011 -CPACA-, la regla general es que los dos (2) años comiencen a correr a partir de la fecha de expedición del acta de liquidación, bien sea unilateral o de mutuo acuerdo. Solo en caso de que no exista liquidación de ningún tipo, el término de dos (2) años comienza a contar a partir de la suma de los seis (6) meses de que trata el artículo 11 de la Ley 1150 de 2011.</w:t>
      </w:r>
    </w:p>
    <w:p w14:paraId="01E51ACD" w14:textId="77777777" w:rsidR="00F26D50" w:rsidRPr="006D2030" w:rsidRDefault="00F26D50" w:rsidP="00F26D50">
      <w:pPr>
        <w:spacing w:after="120" w:line="276" w:lineRule="auto"/>
        <w:ind w:firstLine="709"/>
        <w:jc w:val="both"/>
        <w:rPr>
          <w:rFonts w:ascii="Verdana" w:eastAsia="Calibri" w:hAnsi="Verdana" w:cs="Arial"/>
          <w:lang w:val="es-ES"/>
        </w:rPr>
      </w:pPr>
      <w:r w:rsidRPr="4A3FD318">
        <w:rPr>
          <w:rFonts w:ascii="Verdana" w:eastAsia="Calibri" w:hAnsi="Verdana" w:cs="Arial"/>
          <w:lang w:val="es-ES"/>
        </w:rPr>
        <w:t xml:space="preserve">Así las cosas, es claro que el ordenamiento jurídico vigente permite la liquidación unilateral, bilateral e incluso judicial una vez vencido el plazo establecido por el artículo 11 de la Ley 1150 de 2007. En otras palabras, la liquidación final de los contratos estatales tiene un ámbito temporal que empieza con la terminación del contrato y comprende: i) el periodo contractual pactado por las partes o supletivo legal –de cuatro (4) meses– para la liquidación bilateral; </w:t>
      </w:r>
      <w:proofErr w:type="spellStart"/>
      <w:r w:rsidRPr="4A3FD318">
        <w:rPr>
          <w:rFonts w:ascii="Verdana" w:eastAsia="Calibri" w:hAnsi="Verdana" w:cs="Arial"/>
          <w:lang w:val="es-ES"/>
        </w:rPr>
        <w:t>ii</w:t>
      </w:r>
      <w:proofErr w:type="spellEnd"/>
      <w:r w:rsidRPr="4A3FD318">
        <w:rPr>
          <w:rFonts w:ascii="Verdana" w:eastAsia="Calibri" w:hAnsi="Verdana" w:cs="Arial"/>
          <w:lang w:val="es-ES"/>
        </w:rPr>
        <w:t xml:space="preserve">) más el período legal para la liquidación unilateral –de dos (2) meses–; </w:t>
      </w:r>
      <w:proofErr w:type="spellStart"/>
      <w:r w:rsidRPr="4A3FD318">
        <w:rPr>
          <w:rFonts w:ascii="Verdana" w:eastAsia="Calibri" w:hAnsi="Verdana" w:cs="Arial"/>
          <w:lang w:val="es-ES"/>
        </w:rPr>
        <w:t>iii</w:t>
      </w:r>
      <w:proofErr w:type="spellEnd"/>
      <w:r w:rsidRPr="4A3FD318">
        <w:rPr>
          <w:rFonts w:ascii="Verdana" w:eastAsia="Calibri" w:hAnsi="Verdana" w:cs="Arial"/>
          <w:lang w:val="es-ES"/>
        </w:rPr>
        <w:t>) más el plazo de dos (2) años para hacerlo de mutuo acuerdo o unilateralmente, sin perjuicio de que se solicite la liquidación judicial.</w:t>
      </w:r>
    </w:p>
    <w:p w14:paraId="4D41D4F5" w14:textId="77777777" w:rsidR="00F26D50" w:rsidRDefault="00F26D50" w:rsidP="00F26D50">
      <w:pPr>
        <w:spacing w:after="120" w:line="276" w:lineRule="auto"/>
        <w:ind w:firstLine="709"/>
        <w:jc w:val="both"/>
        <w:rPr>
          <w:rFonts w:ascii="Verdana" w:hAnsi="Verdana" w:cs="Arial"/>
          <w:lang w:val="es-ES"/>
        </w:rPr>
      </w:pPr>
      <w:r w:rsidRPr="4A3FD318">
        <w:rPr>
          <w:rFonts w:ascii="Verdana" w:hAnsi="Verdana" w:cs="Arial"/>
          <w:color w:val="000000" w:themeColor="text1"/>
          <w:lang w:val="es-ES"/>
        </w:rPr>
        <w:t xml:space="preserve">En ese orden de ideas, si se trata de un contrato en el cual no existe pacto sobre el término para la liquidación bilateral, el término supletivo aplicaría, y se podría liquidar el contrato dentro de los cuatro (4) meses siguientes a su terminación de manera bilateral, dentro de los dos (2) meses siguientes a ellos de manera unilateral por la entidad, más un plazo de dos (2) años para la liquidación unilateral, bilateral o judicial. Esto, para un total de dos (2) años y seis (6) meses.  Estos términos pueden verse modificados si las partes acuerdan un plazo mayor o menor para realizar la liquidación de mutuo acuerdo, con lo cual dejaría de estar incluido el término supletivo de la Ley 1150 de 2007. </w:t>
      </w:r>
      <w:r w:rsidRPr="4A3FD318">
        <w:rPr>
          <w:rFonts w:ascii="Verdana" w:hAnsi="Verdana" w:cs="Arial"/>
          <w:lang w:val="es-ES"/>
        </w:rPr>
        <w:t xml:space="preserve"> </w:t>
      </w:r>
    </w:p>
    <w:p w14:paraId="71939478" w14:textId="77777777" w:rsidR="00F26D50" w:rsidRDefault="00F26D50" w:rsidP="00F26D50">
      <w:pPr>
        <w:spacing w:after="120" w:line="276" w:lineRule="auto"/>
        <w:ind w:firstLine="709"/>
        <w:jc w:val="both"/>
        <w:rPr>
          <w:rFonts w:ascii="Verdana" w:hAnsi="Verdana" w:cs="Arial"/>
          <w:lang w:val="es-ES"/>
        </w:rPr>
      </w:pPr>
      <w:r w:rsidRPr="2993F789">
        <w:rPr>
          <w:rFonts w:ascii="Verdana" w:hAnsi="Verdana" w:cs="Arial"/>
          <w:lang w:val="es-ES"/>
        </w:rPr>
        <w:t xml:space="preserve">En suma, de acuerdo con el artículo 11 de la Ley 1150 de 2007, existen tres (3) tipos de liquidación: </w:t>
      </w:r>
    </w:p>
    <w:p w14:paraId="45B3ABCA" w14:textId="77777777" w:rsidR="00F26D50" w:rsidRPr="00D260F1" w:rsidRDefault="00F26D50" w:rsidP="00F26D50">
      <w:pPr>
        <w:numPr>
          <w:ilvl w:val="0"/>
          <w:numId w:val="3"/>
        </w:numPr>
        <w:spacing w:after="120" w:line="276" w:lineRule="auto"/>
        <w:ind w:left="360"/>
        <w:jc w:val="both"/>
        <w:rPr>
          <w:rFonts w:ascii="Verdana" w:hAnsi="Verdana" w:cs="Arial"/>
        </w:rPr>
      </w:pPr>
      <w:r w:rsidRPr="2993F789">
        <w:rPr>
          <w:rFonts w:ascii="Verdana" w:hAnsi="Verdana" w:cs="Arial"/>
          <w:i/>
          <w:iCs/>
        </w:rPr>
        <w:lastRenderedPageBreak/>
        <w:t>Bilateral:</w:t>
      </w:r>
      <w:r w:rsidRPr="2993F789">
        <w:rPr>
          <w:rFonts w:ascii="Verdana" w:hAnsi="Verdana" w:cs="Arial"/>
        </w:rPr>
        <w:t xml:space="preserve"> Puede ser total o parcial, y debe realizarse dentro del término pactado por las partes o, en su defecto, dentro del término supletivo de cuatro (4) meses.</w:t>
      </w:r>
    </w:p>
    <w:p w14:paraId="18D24950" w14:textId="77777777" w:rsidR="00F26D50" w:rsidRPr="00D260F1" w:rsidRDefault="00F26D50" w:rsidP="00F26D50">
      <w:pPr>
        <w:numPr>
          <w:ilvl w:val="0"/>
          <w:numId w:val="3"/>
        </w:numPr>
        <w:spacing w:after="120" w:line="276" w:lineRule="auto"/>
        <w:ind w:left="360"/>
        <w:jc w:val="both"/>
        <w:rPr>
          <w:rFonts w:ascii="Verdana" w:hAnsi="Verdana" w:cs="Arial"/>
        </w:rPr>
      </w:pPr>
      <w:r w:rsidRPr="2993F789">
        <w:rPr>
          <w:rFonts w:ascii="Verdana" w:hAnsi="Verdana" w:cs="Arial"/>
          <w:i/>
          <w:iCs/>
        </w:rPr>
        <w:t>Unilateral:</w:t>
      </w:r>
      <w:r w:rsidRPr="2993F789">
        <w:rPr>
          <w:rFonts w:ascii="Verdana" w:hAnsi="Verdana" w:cs="Arial"/>
        </w:rPr>
        <w:t xml:space="preserve"> Procede dentro de los dos (2) meses siguientes al vencimiento del término pactado o del término supletivo, si no se logró la liquidación bilateral.</w:t>
      </w:r>
    </w:p>
    <w:p w14:paraId="56534F3D" w14:textId="77777777" w:rsidR="00F26D50" w:rsidRPr="00D260F1" w:rsidRDefault="00F26D50" w:rsidP="00F26D50">
      <w:pPr>
        <w:numPr>
          <w:ilvl w:val="0"/>
          <w:numId w:val="3"/>
        </w:numPr>
        <w:spacing w:after="0" w:line="276" w:lineRule="auto"/>
        <w:ind w:left="360"/>
        <w:jc w:val="both"/>
        <w:rPr>
          <w:rFonts w:ascii="Verdana" w:hAnsi="Verdana" w:cs="Arial"/>
        </w:rPr>
      </w:pPr>
      <w:r w:rsidRPr="2993F789">
        <w:rPr>
          <w:rFonts w:ascii="Verdana" w:hAnsi="Verdana" w:cs="Arial"/>
          <w:i/>
          <w:iCs/>
        </w:rPr>
        <w:t>Judicial:</w:t>
      </w:r>
      <w:r w:rsidRPr="2993F789">
        <w:rPr>
          <w:rFonts w:ascii="Verdana" w:hAnsi="Verdana" w:cs="Arial"/>
        </w:rPr>
        <w:t xml:space="preserve"> Puede ser solicitada ante la Jurisdicción de lo Contencioso Administrativo o un tribunal de arbitramento, mediante el medio de control de controversias contractuales. Esta debe interponerse dentro de los dos (2) años siguientes al vencimiento del término para la liquidación unilateral, conforme a la jurisprudencia unificada del Consejo de Estado</w:t>
      </w:r>
    </w:p>
    <w:p w14:paraId="5513B472" w14:textId="77777777" w:rsidR="00F26D50" w:rsidRPr="00D03768" w:rsidRDefault="00F26D50" w:rsidP="00F26D50">
      <w:pPr>
        <w:spacing w:after="0" w:line="276" w:lineRule="auto"/>
        <w:ind w:firstLine="709"/>
        <w:jc w:val="both"/>
        <w:rPr>
          <w:rFonts w:ascii="Verdana" w:hAnsi="Verdana" w:cs="Arial"/>
          <w:lang w:val="es-ES"/>
        </w:rPr>
      </w:pPr>
    </w:p>
    <w:p w14:paraId="6FFE58B8" w14:textId="77777777" w:rsidR="00F26D50" w:rsidRPr="00B64A74" w:rsidRDefault="00F26D50" w:rsidP="00F26D50">
      <w:pPr>
        <w:spacing w:after="120" w:line="276" w:lineRule="auto"/>
        <w:ind w:firstLine="708"/>
        <w:jc w:val="both"/>
        <w:rPr>
          <w:rFonts w:ascii="Verdana" w:eastAsia="Times New Roman" w:hAnsi="Verdana" w:cs="Arial"/>
          <w:color w:val="000000" w:themeColor="text1"/>
          <w:lang w:eastAsia="es-CO"/>
        </w:rPr>
      </w:pPr>
      <w:proofErr w:type="spellStart"/>
      <w:r>
        <w:rPr>
          <w:rFonts w:ascii="Verdana" w:eastAsia="Times New Roman" w:hAnsi="Verdana" w:cs="Calibri"/>
          <w:lang w:val="es-ES"/>
        </w:rPr>
        <w:t>ii</w:t>
      </w:r>
      <w:proofErr w:type="spellEnd"/>
      <w:r>
        <w:rPr>
          <w:rFonts w:ascii="Verdana" w:eastAsia="Times New Roman" w:hAnsi="Verdana" w:cs="Calibri"/>
          <w:lang w:val="es-ES"/>
        </w:rPr>
        <w:t xml:space="preserve">) </w:t>
      </w:r>
      <w:r w:rsidRPr="00B64A74">
        <w:rPr>
          <w:rFonts w:ascii="Verdana" w:eastAsia="Times New Roman" w:hAnsi="Verdana" w:cs="Arial"/>
          <w:color w:val="000000" w:themeColor="text1"/>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0B9E8CD9" w14:textId="77777777" w:rsidR="00F26D50" w:rsidRPr="00B64A74" w:rsidRDefault="00F26D50" w:rsidP="00F26D50">
      <w:pPr>
        <w:spacing w:after="0" w:line="240" w:lineRule="auto"/>
        <w:ind w:left="709" w:right="709"/>
        <w:jc w:val="both"/>
        <w:rPr>
          <w:rFonts w:ascii="Verdana" w:eastAsia="Times New Roman" w:hAnsi="Verdana" w:cs="Arial"/>
          <w:color w:val="000000" w:themeColor="text1"/>
          <w:sz w:val="20"/>
          <w:szCs w:val="20"/>
          <w:lang w:eastAsia="es-CO"/>
        </w:rPr>
      </w:pPr>
      <w:r w:rsidRPr="00B64A74">
        <w:rPr>
          <w:rFonts w:ascii="Verdana" w:eastAsia="Times New Roman" w:hAnsi="Verdana" w:cs="Arial"/>
          <w:color w:val="000000" w:themeColor="text1"/>
          <w:sz w:val="20"/>
          <w:szCs w:val="20"/>
          <w:lang w:eastAsia="es-CO"/>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B64A74">
        <w:rPr>
          <w:rStyle w:val="Refdenotaalpie"/>
          <w:rFonts w:ascii="Verdana" w:eastAsia="Times New Roman" w:hAnsi="Verdana" w:cs="Arial"/>
          <w:color w:val="000000" w:themeColor="text1"/>
          <w:sz w:val="20"/>
          <w:szCs w:val="20"/>
          <w:lang w:eastAsia="es-CO"/>
        </w:rPr>
        <w:footnoteReference w:id="10"/>
      </w:r>
      <w:r w:rsidRPr="00B64A74">
        <w:rPr>
          <w:rFonts w:ascii="Verdana" w:eastAsia="Times New Roman" w:hAnsi="Verdana" w:cs="Arial"/>
          <w:color w:val="000000" w:themeColor="text1"/>
          <w:sz w:val="20"/>
          <w:szCs w:val="20"/>
          <w:lang w:eastAsia="es-CO"/>
        </w:rPr>
        <w:t xml:space="preserve">.   </w:t>
      </w:r>
    </w:p>
    <w:p w14:paraId="5C8E1A00" w14:textId="77777777" w:rsidR="00F26D50" w:rsidRPr="00B64A74" w:rsidRDefault="00F26D50" w:rsidP="00F26D50">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5288628B" w14:textId="77777777" w:rsidR="00F26D50" w:rsidRDefault="00F26D50" w:rsidP="00F26D50">
      <w:pPr>
        <w:tabs>
          <w:tab w:val="left" w:pos="709"/>
        </w:tabs>
        <w:spacing w:after="120" w:line="276" w:lineRule="auto"/>
        <w:jc w:val="both"/>
        <w:rPr>
          <w:rFonts w:ascii="Verdana" w:eastAsia="Calibri" w:hAnsi="Verdana" w:cs="Arial"/>
          <w:color w:val="000000"/>
          <w:lang w:eastAsia="es-ES"/>
        </w:rPr>
      </w:pPr>
      <w:r w:rsidRPr="00B64A74">
        <w:rPr>
          <w:rFonts w:ascii="Verdana" w:eastAsia="Times New Roman" w:hAnsi="Verdana" w:cs="Arial"/>
          <w:color w:val="000000"/>
          <w:bdr w:val="none" w:sz="0" w:space="0" w:color="auto" w:frame="1"/>
          <w:shd w:val="clear" w:color="auto" w:fill="FFFFFF"/>
          <w:lang w:eastAsia="es-ES_tradnl"/>
        </w:rPr>
        <w:lastRenderedPageBreak/>
        <w:tab/>
      </w:r>
      <w:r w:rsidRPr="00B64A74">
        <w:rPr>
          <w:rFonts w:ascii="Verdana" w:eastAsia="Calibri" w:hAnsi="Verdana" w:cs="Arial"/>
          <w:color w:val="000000"/>
          <w:lang w:eastAsia="es-ES"/>
        </w:rPr>
        <w:t xml:space="preserve">En consecuencia, dentro de los límites previstos en el literal j) del artículo 164 numeral 2 de la Ley 1437 de 2011, es posible liquidar bilateral o unilateralmente siempre que no haya caducado el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55394197" w14:textId="77777777" w:rsidR="00F26D50" w:rsidRDefault="00F26D50" w:rsidP="00F26D50">
      <w:pPr>
        <w:spacing w:after="120" w:line="276" w:lineRule="auto"/>
        <w:jc w:val="both"/>
        <w:rPr>
          <w:rFonts w:ascii="Verdana" w:hAnsi="Verdana" w:cs="Arial"/>
          <w:lang w:eastAsia="es-MX"/>
        </w:rPr>
      </w:pPr>
      <w:r w:rsidRPr="2993F789">
        <w:rPr>
          <w:rFonts w:ascii="Verdana" w:hAnsi="Verdana" w:cs="Arial"/>
          <w:lang w:eastAsia="es-MX"/>
        </w:rPr>
        <w:t>Conforme al marco jurídico expuesto, se concluye que la entidad estatal solo pierde competencia para efectuar la liquidación del contrato una vez opera la caducidad del medio de control de controversias contractuales. Es decir, existe un plazo máximo de dos (2) años, contados a partir de los dos (2) meses establecidos en la ley para realizar la liquidación unilateral, dentro del cual la entidad puede liquidar el contrato de manera bilateral o unilateral. La normativa vigente no contempla la pérdida de competencia para efectuar la liquidación en el evento en que se encuentre pendiente de decisión un proceso sancionatorio contra el contratista. En tal caso, la entidad puede proceder con la liquidación del contrato, sin que el trámite sancionatorio constituya un impedimento legal para ello.</w:t>
      </w:r>
    </w:p>
    <w:p w14:paraId="1096288E" w14:textId="77777777" w:rsidR="00F26D50" w:rsidRDefault="00F26D50" w:rsidP="00F26D50">
      <w:pPr>
        <w:widowControl w:val="0"/>
        <w:autoSpaceDE w:val="0"/>
        <w:autoSpaceDN w:val="0"/>
        <w:spacing w:after="120" w:line="276" w:lineRule="auto"/>
        <w:ind w:firstLine="709"/>
        <w:jc w:val="both"/>
        <w:rPr>
          <w:rFonts w:ascii="Verdana" w:hAnsi="Verdana" w:cs="Arial"/>
        </w:rPr>
      </w:pPr>
      <w:r w:rsidRPr="4A3FD318">
        <w:rPr>
          <w:rFonts w:ascii="Verdana" w:hAnsi="Verdana" w:cs="Arial"/>
          <w:color w:val="000000" w:themeColor="text1"/>
        </w:rPr>
        <w:t xml:space="preserve">Finalmente, </w:t>
      </w:r>
      <w:r w:rsidRPr="4A3FD318">
        <w:rPr>
          <w:rFonts w:ascii="Verdana" w:hAnsi="Verdana" w:cs="Arial"/>
        </w:rPr>
        <w:t xml:space="preserve">debe advertirse que el análisis requerido para “[…] tomar decisiones de fondo […]”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6B9E9C3C" w14:textId="77777777" w:rsidR="00F26D50" w:rsidRPr="008A4AEC" w:rsidRDefault="00F26D50" w:rsidP="00F26D50">
      <w:pPr>
        <w:widowControl w:val="0"/>
        <w:autoSpaceDE w:val="0"/>
        <w:autoSpaceDN w:val="0"/>
        <w:spacing w:after="0" w:line="276" w:lineRule="auto"/>
        <w:ind w:firstLine="709"/>
        <w:jc w:val="both"/>
        <w:rPr>
          <w:rFonts w:ascii="Verdana" w:hAnsi="Verdana" w:cs="Arial"/>
        </w:rPr>
      </w:pPr>
      <w:r w:rsidRPr="2993F789">
        <w:rPr>
          <w:rFonts w:ascii="Verdana" w:hAnsi="Verdana" w:cs="Arial"/>
        </w:rPr>
        <w:t xml:space="preserve">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De esta manera, cada entidad definirá la </w:t>
      </w:r>
      <w:r w:rsidRPr="2993F789">
        <w:rPr>
          <w:rFonts w:ascii="Verdana" w:hAnsi="Verdana" w:cs="Arial"/>
        </w:rPr>
        <w:lastRenderedPageBreak/>
        <w:t>forma de adelantar su gestión contractual, sin que sea atribución de Colombia Compra Eficiente validar sus actuaciones.</w:t>
      </w:r>
    </w:p>
    <w:p w14:paraId="3EDCA308" w14:textId="77777777" w:rsidR="00F26D50" w:rsidRPr="00AF7840" w:rsidRDefault="00F26D50" w:rsidP="00F26D50">
      <w:pPr>
        <w:spacing w:after="0" w:line="276" w:lineRule="auto"/>
        <w:ind w:firstLine="709"/>
        <w:jc w:val="both"/>
        <w:rPr>
          <w:rFonts w:ascii="Verdana" w:eastAsia="Calibri" w:hAnsi="Verdana" w:cs="Arial"/>
          <w:sz w:val="21"/>
          <w:szCs w:val="21"/>
        </w:rPr>
      </w:pPr>
    </w:p>
    <w:p w14:paraId="31673FDA" w14:textId="77777777" w:rsidR="00F26D50" w:rsidRPr="00AF7840" w:rsidRDefault="00F26D50" w:rsidP="00F26D50">
      <w:pPr>
        <w:tabs>
          <w:tab w:val="left" w:pos="142"/>
          <w:tab w:val="left" w:pos="284"/>
        </w:tabs>
        <w:spacing w:after="0" w:line="276" w:lineRule="auto"/>
        <w:jc w:val="both"/>
        <w:rPr>
          <w:rFonts w:ascii="Verdana" w:eastAsia="Century Gothic" w:hAnsi="Verdana" w:cs="Century Gothic"/>
          <w:b/>
          <w:bCs/>
        </w:rPr>
      </w:pPr>
      <w:r w:rsidRPr="00AF7840">
        <w:rPr>
          <w:rFonts w:ascii="Verdana" w:eastAsia="Century Gothic" w:hAnsi="Verdana" w:cs="Century Gothic"/>
          <w:b/>
          <w:bCs/>
        </w:rPr>
        <w:t>4. Referencias normativas, jurisprudenciales y otras fuentes:</w:t>
      </w:r>
    </w:p>
    <w:p w14:paraId="61094EC8" w14:textId="77777777" w:rsidR="00F26D50" w:rsidRPr="00AF7840" w:rsidRDefault="00F26D50" w:rsidP="00F26D5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26D50" w:rsidRPr="00AF7840" w14:paraId="51F0FC02" w14:textId="77777777" w:rsidTr="006B0FCB">
        <w:trPr>
          <w:trHeight w:val="870"/>
        </w:trPr>
        <w:tc>
          <w:tcPr>
            <w:tcW w:w="8647" w:type="dxa"/>
          </w:tcPr>
          <w:p w14:paraId="3D203E86"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Ley 80 de 1993, artículo 60.</w:t>
            </w:r>
          </w:p>
          <w:p w14:paraId="190B7BCA"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 xml:space="preserve">Ley 1150 de 2007, </w:t>
            </w:r>
            <w:r w:rsidRPr="2993F789">
              <w:rPr>
                <w:rFonts w:ascii="Verdana" w:eastAsia="Calibri" w:hAnsi="Verdana" w:cs="Arial"/>
                <w:color w:val="000000" w:themeColor="text1"/>
              </w:rPr>
              <w:t>artículo 2, numeral 4, literal c), artículo 11.</w:t>
            </w:r>
          </w:p>
          <w:p w14:paraId="6898B771"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Times New Roman"/>
                <w:color w:val="000000"/>
              </w:rPr>
            </w:pPr>
            <w:r w:rsidRPr="2993F789">
              <w:rPr>
                <w:rFonts w:ascii="Verdana" w:hAnsi="Verdana" w:cs="Times New Roman"/>
                <w:color w:val="000000" w:themeColor="text1"/>
              </w:rPr>
              <w:t>Decreto 1082 de 2015, artículo 2.2.1.1.1.3.1.; artículo 2.2.1.1.2.4.3.</w:t>
            </w:r>
          </w:p>
          <w:p w14:paraId="45C259B2"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Consejo de Estado. Sección Tercera. Subsección “C”. Radicado No. 05001-23-31-000-1998-00038-01. Número Interno 27.777. M.P. Enrique Gil Botero.</w:t>
            </w:r>
          </w:p>
          <w:p w14:paraId="4BF7CDDE"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 xml:space="preserve">Consejo de Estado. Sala de Consulta y Servicio Civil. Concepto de 28 de </w:t>
            </w:r>
            <w:proofErr w:type="gramStart"/>
            <w:r w:rsidRPr="2993F789">
              <w:rPr>
                <w:rFonts w:ascii="Verdana" w:hAnsi="Verdana" w:cs="Arial"/>
              </w:rPr>
              <w:t>Junio</w:t>
            </w:r>
            <w:proofErr w:type="gramEnd"/>
            <w:r w:rsidRPr="2993F789">
              <w:rPr>
                <w:rFonts w:ascii="Verdana" w:hAnsi="Verdana" w:cs="Arial"/>
              </w:rPr>
              <w:t xml:space="preserve"> de 2016. Radicación: 2253. C.P. Álvaro Namén Vargas.</w:t>
            </w:r>
          </w:p>
          <w:p w14:paraId="7CA18D12"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Consejo de Estado. Sección Tercera. Subsección “C”. Radicado No. 11001-03-26-000-2015-00165-00. Número interno 55.813. M.P. Jaime Orlando Santofimio Gamboa. Sentencia del 10 de octubre de 2016.</w:t>
            </w:r>
          </w:p>
          <w:p w14:paraId="5CADDA0F"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 xml:space="preserve">Consejo de Estado, Sala de Consulta y Servicio Civil. Concepto del 8 de marzo de 2017, radicado No. 2298, y con ponencia del </w:t>
            </w:r>
            <w:proofErr w:type="gramStart"/>
            <w:r w:rsidRPr="2993F789">
              <w:rPr>
                <w:rFonts w:ascii="Verdana" w:hAnsi="Verdana" w:cs="Arial"/>
              </w:rPr>
              <w:t>Consejero</w:t>
            </w:r>
            <w:proofErr w:type="gramEnd"/>
            <w:r w:rsidRPr="2993F789">
              <w:rPr>
                <w:rFonts w:ascii="Verdana" w:hAnsi="Verdana" w:cs="Arial"/>
              </w:rPr>
              <w:t xml:space="preserve"> Édgar González.</w:t>
            </w:r>
          </w:p>
          <w:p w14:paraId="1493484B"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 xml:space="preserve">Consejo de Estado. Sección Tercera. </w:t>
            </w:r>
            <w:r w:rsidRPr="2993F789">
              <w:rPr>
                <w:rFonts w:ascii="Verdana" w:hAnsi="Verdana" w:cs="Arial"/>
                <w:lang w:val="pt-BR"/>
              </w:rPr>
              <w:t xml:space="preserve">Sala Plena. Auto de 1 de agosto de 2019. </w:t>
            </w:r>
            <w:proofErr w:type="spellStart"/>
            <w:r w:rsidRPr="2993F789">
              <w:rPr>
                <w:rFonts w:ascii="Verdana" w:hAnsi="Verdana" w:cs="Arial"/>
              </w:rPr>
              <w:t>Exp</w:t>
            </w:r>
            <w:proofErr w:type="spellEnd"/>
            <w:r w:rsidRPr="2993F789">
              <w:rPr>
                <w:rFonts w:ascii="Verdana" w:hAnsi="Verdana" w:cs="Arial"/>
              </w:rPr>
              <w:t>. 62009. C.P. Jaime Enrique Rodríguez Navas.</w:t>
            </w:r>
          </w:p>
          <w:p w14:paraId="71492CBA" w14:textId="77777777" w:rsidR="00F26D50" w:rsidRPr="00AF7840"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cs="Arial"/>
              </w:rPr>
            </w:pPr>
            <w:r w:rsidRPr="2993F789">
              <w:rPr>
                <w:rFonts w:ascii="Verdana" w:hAnsi="Verdana" w:cs="Arial"/>
              </w:rPr>
              <w:t>Consejo de Estado. Sección Tercera. Subsección A. Sentencia del 5 de febrero de 2021. Magistrada Ponente: María Adriana Marín. Expediente: 49.792.</w:t>
            </w:r>
          </w:p>
          <w:p w14:paraId="1F45C05A" w14:textId="77777777" w:rsidR="00F26D50" w:rsidRPr="009F2629" w:rsidRDefault="00F26D50" w:rsidP="00F26D50">
            <w:pPr>
              <w:pStyle w:val="Prrafodelista"/>
              <w:widowControl w:val="0"/>
              <w:numPr>
                <w:ilvl w:val="0"/>
                <w:numId w:val="2"/>
              </w:numPr>
              <w:tabs>
                <w:tab w:val="left" w:pos="8419"/>
              </w:tabs>
              <w:autoSpaceDE w:val="0"/>
              <w:autoSpaceDN w:val="0"/>
              <w:spacing w:line="276" w:lineRule="auto"/>
              <w:jc w:val="both"/>
              <w:rPr>
                <w:rFonts w:ascii="Verdana" w:hAnsi="Verdana"/>
              </w:rPr>
            </w:pPr>
            <w:r w:rsidRPr="2993F789">
              <w:rPr>
                <w:rFonts w:ascii="Verdana" w:hAnsi="Verdana" w:cs="Arial"/>
              </w:rPr>
              <w:t xml:space="preserve">Agencia Nacional de Contratación Pública - </w:t>
            </w:r>
            <w:r w:rsidRPr="2993F789">
              <w:rPr>
                <w:rFonts w:ascii="Verdana" w:hAnsi="Verdana"/>
              </w:rPr>
              <w:t xml:space="preserve">Colombia Compra Eficiente. Guía para la Liquidación de los Procesos de Contratación. Disponible en: </w:t>
            </w:r>
            <w:hyperlink r:id="rId9" w:history="1">
              <w:r w:rsidRPr="2993F789">
                <w:rPr>
                  <w:rStyle w:val="Hipervnculo"/>
                  <w:rFonts w:ascii="Verdana" w:hAnsi="Verdana" w:cs="Arial"/>
                </w:rPr>
                <w:t>https://operaciones.colombiacompra.gov.co/sites/cce_public/files/cce_documents/cce_guia_liquidacion_procesos.pdf</w:t>
              </w:r>
            </w:hyperlink>
          </w:p>
        </w:tc>
      </w:tr>
    </w:tbl>
    <w:p w14:paraId="2500C53A" w14:textId="77777777" w:rsidR="00F26D50" w:rsidRPr="00AF7840" w:rsidRDefault="00F26D50" w:rsidP="00F26D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99AF626" w14:textId="77777777" w:rsidR="00F26D50" w:rsidRPr="00AF7840" w:rsidRDefault="00F26D50" w:rsidP="00F26D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AF7840">
        <w:rPr>
          <w:rFonts w:ascii="Verdana" w:eastAsia="Century Gothic" w:hAnsi="Verdana" w:cs="Century Gothic"/>
          <w:b/>
          <w:bCs/>
        </w:rPr>
        <w:t>5. Doctrina de la Agencia Nacional de Contratación Pública:</w:t>
      </w:r>
    </w:p>
    <w:p w14:paraId="38E1CC7F" w14:textId="77777777" w:rsidR="00F26D50" w:rsidRPr="00AF7840" w:rsidRDefault="00F26D50" w:rsidP="00F26D50">
      <w:pPr>
        <w:spacing w:after="0" w:line="276" w:lineRule="auto"/>
        <w:ind w:firstLine="709"/>
        <w:jc w:val="both"/>
        <w:rPr>
          <w:rFonts w:ascii="Verdana" w:eastAsia="Times New Roman" w:hAnsi="Verdana" w:cs="Arial"/>
          <w:szCs w:val="24"/>
          <w:lang w:eastAsia="es-ES_tradnl"/>
        </w:rPr>
      </w:pPr>
    </w:p>
    <w:p w14:paraId="496F02EC" w14:textId="77777777" w:rsidR="00F26D50" w:rsidRPr="00AF7840" w:rsidRDefault="00F26D50" w:rsidP="00F26D50">
      <w:pPr>
        <w:widowControl w:val="0"/>
        <w:autoSpaceDE w:val="0"/>
        <w:autoSpaceDN w:val="0"/>
        <w:spacing w:after="0" w:line="276" w:lineRule="auto"/>
        <w:jc w:val="both"/>
        <w:rPr>
          <w:rFonts w:ascii="Verdana" w:eastAsia="Calibri" w:hAnsi="Verdana" w:cs="Arial"/>
          <w:lang w:eastAsia="es-ES_tradnl"/>
        </w:rPr>
      </w:pPr>
      <w:r w:rsidRPr="4A3FD318">
        <w:rPr>
          <w:rStyle w:val="normaltextrun"/>
          <w:rFonts w:ascii="Verdana" w:hAnsi="Verdana"/>
          <w:color w:val="000000" w:themeColor="text1"/>
        </w:rPr>
        <w:t xml:space="preserve">Además de los conceptos citados en el texto de la presente respuesta, 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w:t>
      </w:r>
      <w:r w:rsidRPr="4A3FD318">
        <w:rPr>
          <w:rStyle w:val="normaltextrun"/>
          <w:rFonts w:ascii="Verdana" w:hAnsi="Verdana"/>
          <w:color w:val="000000" w:themeColor="text1"/>
        </w:rPr>
        <w:lastRenderedPageBreak/>
        <w:t>de 2022, C-739 de del 29 de noviembre de 2022, C- 176 de 3 de mayo de 2023, C-158 del 6 de junio de 2023, C-326 del 15 de agosto de 2024, C-568 del 18 de octubre de 2024,  C-708 del 21 de noviembre de 2024</w:t>
      </w:r>
      <w:r>
        <w:rPr>
          <w:rStyle w:val="normaltextrun"/>
          <w:rFonts w:ascii="Verdana" w:hAnsi="Verdana"/>
          <w:color w:val="000000" w:themeColor="text1"/>
        </w:rPr>
        <w:t>,</w:t>
      </w:r>
      <w:r w:rsidRPr="4A3FD318">
        <w:rPr>
          <w:rStyle w:val="normaltextrun"/>
          <w:rFonts w:ascii="Verdana" w:hAnsi="Verdana"/>
          <w:color w:val="000000" w:themeColor="text1"/>
        </w:rPr>
        <w:t xml:space="preserve"> C-510 del 4 de junio de 2025</w:t>
      </w:r>
      <w:r>
        <w:rPr>
          <w:rStyle w:val="normaltextrun"/>
          <w:rFonts w:ascii="Verdana" w:hAnsi="Verdana"/>
          <w:color w:val="000000" w:themeColor="text1"/>
        </w:rPr>
        <w:t>, C-198 del 19 de marzo de 2026, entre otros.</w:t>
      </w:r>
      <w:r w:rsidRPr="4A3FD318">
        <w:rPr>
          <w:rStyle w:val="normaltextrun"/>
          <w:rFonts w:ascii="Verdana" w:hAnsi="Verdana"/>
          <w:color w:val="000000" w:themeColor="text1"/>
        </w:rPr>
        <w:t xml:space="preserve"> Estos y otros </w:t>
      </w:r>
      <w:r>
        <w:rPr>
          <w:rStyle w:val="normaltextrun"/>
          <w:rFonts w:ascii="Verdana" w:hAnsi="Verdana"/>
          <w:color w:val="000000" w:themeColor="text1"/>
        </w:rPr>
        <w:t xml:space="preserve">conceptos </w:t>
      </w:r>
      <w:r w:rsidRPr="4A3FD318">
        <w:rPr>
          <w:rStyle w:val="normaltextrun"/>
          <w:rFonts w:ascii="Verdana" w:hAnsi="Verdana"/>
          <w:color w:val="000000" w:themeColor="text1"/>
        </w:rPr>
        <w:t>se encuentran disponibles para consulta en el Sistema de relatoría de la Agencia, al cual puede accederse a través del siguiente enlac</w:t>
      </w:r>
      <w:r>
        <w:rPr>
          <w:rStyle w:val="normaltextrun"/>
          <w:rFonts w:ascii="Verdana" w:hAnsi="Verdana"/>
          <w:color w:val="000000" w:themeColor="text1"/>
        </w:rPr>
        <w:t xml:space="preserve">e </w:t>
      </w:r>
      <w:hyperlink r:id="rId10" w:tooltip="Dirección URL original: https://relatoria.colombiacompra.gov.co/. Haga clic o pulse si confía en este vínculo." w:history="1">
        <w:r w:rsidRPr="00AF7840">
          <w:rPr>
            <w:rStyle w:val="Hipervnculo"/>
            <w:rFonts w:ascii="Verdana" w:eastAsia="Calibri" w:hAnsi="Verdana" w:cs="Arial"/>
            <w:lang w:eastAsia="es-ES_tradnl"/>
          </w:rPr>
          <w:t>https://relatoria.colombiacompra.gov.co/</w:t>
        </w:r>
      </w:hyperlink>
      <w:r w:rsidRPr="00AF7840">
        <w:rPr>
          <w:rFonts w:ascii="Verdana" w:eastAsia="Calibri" w:hAnsi="Verdana" w:cs="Arial"/>
          <w:lang w:eastAsia="es-ES_tradnl"/>
        </w:rPr>
        <w:t> </w:t>
      </w:r>
    </w:p>
    <w:p w14:paraId="42CFE8F5" w14:textId="77777777" w:rsidR="00F26D50" w:rsidRPr="00AF7840" w:rsidRDefault="00F26D50" w:rsidP="00F26D50">
      <w:pPr>
        <w:widowControl w:val="0"/>
        <w:autoSpaceDE w:val="0"/>
        <w:autoSpaceDN w:val="0"/>
        <w:spacing w:after="0" w:line="276" w:lineRule="auto"/>
        <w:jc w:val="both"/>
        <w:rPr>
          <w:rFonts w:ascii="Verdana" w:eastAsia="Calibri" w:hAnsi="Verdana" w:cs="Arial"/>
          <w:lang w:eastAsia="es-ES_tradnl"/>
        </w:rPr>
      </w:pPr>
    </w:p>
    <w:p w14:paraId="3D28D4F2" w14:textId="77777777" w:rsidR="00F26D50" w:rsidRDefault="00F26D50" w:rsidP="00F26D50">
      <w:pPr>
        <w:spacing w:after="120" w:line="276" w:lineRule="auto"/>
        <w:jc w:val="both"/>
      </w:pPr>
      <w:r w:rsidRPr="00B64A74">
        <w:rPr>
          <w:rFonts w:ascii="Verdana" w:hAnsi="Verdana"/>
        </w:rPr>
        <w:t xml:space="preserve">La sostenibilidad no es una opción, es una obligación. Por ello, la Agencia Nacional de Contratación Pública –Colombia Compra Eficiente– te invita a realizar el </w:t>
      </w:r>
      <w:r w:rsidRPr="00B64A74">
        <w:rPr>
          <w:rFonts w:ascii="Verdana" w:hAnsi="Verdana"/>
          <w:b/>
          <w:bCs/>
        </w:rPr>
        <w:t>Curso de Contratación Pública Sostenible y Socialmente Responsable</w:t>
      </w:r>
      <w:r w:rsidRPr="00B6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64A74">
        <w:rPr>
          <w:rFonts w:ascii="Verdana" w:hAnsi="Verdana"/>
        </w:rPr>
        <w:br/>
      </w:r>
      <w:hyperlink r:id="rId11" w:tgtFrame="_new" w:history="1">
        <w:r w:rsidRPr="00B64A74">
          <w:rPr>
            <w:rStyle w:val="Hipervnculo"/>
            <w:rFonts w:ascii="Verdana" w:hAnsi="Verdana"/>
          </w:rPr>
          <w:t>https://formacionvirtual.colombiacompra.gov.co/mod/page/view.php?id=3718</w:t>
        </w:r>
      </w:hyperlink>
    </w:p>
    <w:p w14:paraId="627E2EDD" w14:textId="77777777" w:rsidR="00F26D50" w:rsidRPr="00B64A74" w:rsidRDefault="00F26D50" w:rsidP="00F26D50">
      <w:pPr>
        <w:spacing w:after="120" w:line="276" w:lineRule="auto"/>
        <w:jc w:val="both"/>
        <w:rPr>
          <w:rFonts w:ascii="Verdana" w:hAnsi="Verdana"/>
        </w:rPr>
      </w:pPr>
      <w:r w:rsidRPr="00B64A74">
        <w:rPr>
          <w:rFonts w:ascii="Verdana" w:hAnsi="Verdana"/>
        </w:rPr>
        <w:t xml:space="preserve">De otro lado, te contamos que esta Agencia ha dado un paso decisivo en la estandarización y modernización del </w:t>
      </w:r>
      <w:r w:rsidRPr="00B64A74">
        <w:rPr>
          <w:rFonts w:ascii="Verdana" w:hAnsi="Verdana"/>
          <w:b/>
          <w:bCs/>
        </w:rPr>
        <w:t>sector social</w:t>
      </w:r>
      <w:r w:rsidRPr="00B64A74">
        <w:rPr>
          <w:rFonts w:ascii="Verdana" w:hAnsi="Verdana"/>
        </w:rPr>
        <w:t xml:space="preserve"> con la expedición de las </w:t>
      </w:r>
      <w:r w:rsidRPr="00B64A74">
        <w:rPr>
          <w:rFonts w:ascii="Verdana" w:hAnsi="Verdana"/>
          <w:b/>
          <w:bCs/>
        </w:rPr>
        <w:t>Resoluciones 539, 540, 541, 952 y 953 de 2025</w:t>
      </w:r>
      <w:r w:rsidRPr="00B64A74">
        <w:rPr>
          <w:rFonts w:ascii="Verdana" w:hAnsi="Verdana"/>
        </w:rPr>
        <w:t xml:space="preserve">, </w:t>
      </w:r>
      <w:r w:rsidRPr="00B64A74">
        <w:rPr>
          <w:rFonts w:ascii="Verdana" w:hAnsi="Verdana"/>
          <w:b/>
          <w:bCs/>
        </w:rPr>
        <w:t>mediante las cuales adoptó Documentos Tipo</w:t>
      </w:r>
      <w:r w:rsidRPr="00B64A74">
        <w:rPr>
          <w:rFonts w:ascii="Verdana" w:hAnsi="Verdana"/>
        </w:rPr>
        <w:t xml:space="preserve"> para las modalidades de selección de</w:t>
      </w:r>
      <w:r w:rsidRPr="00B64A74">
        <w:rPr>
          <w:rFonts w:ascii="Verdana" w:hAnsi="Verdana"/>
          <w:b/>
          <w:bCs/>
        </w:rPr>
        <w:t xml:space="preserve"> licitación pública (versión 2), selección abreviada de menor cuantía, mínima cuantía, consultoría e interventoría</w:t>
      </w:r>
      <w:r w:rsidRPr="00B64A7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2" w:tgtFrame="_new" w:history="1">
        <w:r w:rsidRPr="00B64A74">
          <w:rPr>
            <w:rStyle w:val="Hipervnculo"/>
            <w:rFonts w:ascii="Verdana" w:hAnsi="Verdana"/>
          </w:rPr>
          <w:t>https://www.colombiacompra.gov.co/normativa-y-relatoria/documentos-tipo</w:t>
        </w:r>
      </w:hyperlink>
    </w:p>
    <w:p w14:paraId="1DD8C428" w14:textId="77777777" w:rsidR="00F26D50" w:rsidRPr="00B64A74" w:rsidRDefault="00F26D50" w:rsidP="00F26D50">
      <w:pPr>
        <w:spacing w:after="120" w:line="276" w:lineRule="auto"/>
        <w:jc w:val="both"/>
        <w:rPr>
          <w:rFonts w:ascii="Verdana" w:hAnsi="Verdana"/>
        </w:rPr>
      </w:pPr>
      <w:r w:rsidRPr="00B64A74">
        <w:rPr>
          <w:rFonts w:ascii="Verdana" w:hAnsi="Verdana"/>
        </w:rPr>
        <w:t xml:space="preserve">Si quieres conocer más sobre la aplicación de Documentos Tipo puedes consultar la última versión de la </w:t>
      </w:r>
      <w:r w:rsidRPr="00B64A74">
        <w:rPr>
          <w:rFonts w:ascii="Verdana" w:hAnsi="Verdana"/>
          <w:b/>
          <w:bCs/>
        </w:rPr>
        <w:t>Guía para la comprensión e implementación de los Documentos Tipo de obra pública de infraestructura de transporte</w:t>
      </w:r>
      <w:r w:rsidRPr="00B6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64A74">
        <w:rPr>
          <w:rFonts w:ascii="Verdana" w:hAnsi="Verdana"/>
        </w:rPr>
        <w:br/>
      </w:r>
      <w:hyperlink r:id="rId13" w:tgtFrame="_new" w:history="1">
        <w:r w:rsidRPr="00B64A74">
          <w:rPr>
            <w:rStyle w:val="Hipervnculo"/>
            <w:rFonts w:ascii="Verdana" w:hAnsi="Verdana"/>
          </w:rPr>
          <w:t>https://www.colombiacompra.gov.co/archivos/manual/guia-para-la-</w:t>
        </w:r>
        <w:r w:rsidRPr="00B64A74">
          <w:rPr>
            <w:rStyle w:val="Hipervnculo"/>
            <w:rFonts w:ascii="Verdana" w:hAnsi="Verdana"/>
          </w:rPr>
          <w:lastRenderedPageBreak/>
          <w:t>comprension-e-implementacion-de-los-documentos-tipo-de-obra-publica-de-infraestructura-de-transporte-bajo-las-diferentes-modalidades-de-contratacion-vigentes</w:t>
        </w:r>
      </w:hyperlink>
    </w:p>
    <w:p w14:paraId="1FE9ED47" w14:textId="77777777" w:rsidR="00F26D50" w:rsidRPr="00B64A74" w:rsidRDefault="00F26D50" w:rsidP="00F26D50">
      <w:pPr>
        <w:widowControl w:val="0"/>
        <w:autoSpaceDE w:val="0"/>
        <w:autoSpaceDN w:val="0"/>
        <w:spacing w:after="120" w:line="276" w:lineRule="auto"/>
        <w:jc w:val="both"/>
        <w:rPr>
          <w:rFonts w:ascii="Verdana" w:hAnsi="Verdana" w:cs="Arial"/>
          <w:highlight w:val="yellow"/>
          <w:shd w:val="clear" w:color="auto" w:fill="FFFFFF"/>
        </w:rPr>
      </w:pPr>
      <w:r w:rsidRPr="00B64A7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C407FDA" w14:textId="77777777" w:rsidR="00F26D50" w:rsidRPr="00B64A74" w:rsidRDefault="00F26D50" w:rsidP="00F26D50">
      <w:pPr>
        <w:pStyle w:val="Prrafodelista"/>
        <w:numPr>
          <w:ilvl w:val="0"/>
          <w:numId w:val="1"/>
        </w:numPr>
        <w:spacing w:after="0" w:line="276" w:lineRule="auto"/>
        <w:jc w:val="both"/>
        <w:rPr>
          <w:rFonts w:ascii="Verdana" w:eastAsia="Verdana" w:hAnsi="Verdana" w:cs="Verdana"/>
          <w:color w:val="156082" w:themeColor="accent1"/>
          <w:u w:val="single"/>
        </w:rPr>
      </w:pPr>
      <w:r w:rsidRPr="00B64A74">
        <w:rPr>
          <w:rFonts w:ascii="Verdana" w:eastAsia="Verdana" w:hAnsi="Verdana" w:cs="Verdana"/>
        </w:rPr>
        <w:t xml:space="preserve">Línea nacional gratuita o servicio a la ciudadanía (Mesa de servicio): </w:t>
      </w:r>
      <w:r w:rsidRPr="00B64A74">
        <w:rPr>
          <w:rStyle w:val="Hipervnculo"/>
          <w:rFonts w:ascii="Verdana" w:hAnsi="Verdana"/>
        </w:rPr>
        <w:t>01800 0520808</w:t>
      </w:r>
    </w:p>
    <w:p w14:paraId="0175BDD8" w14:textId="77777777" w:rsidR="00F26D50" w:rsidRPr="00B64A74" w:rsidRDefault="00F26D50" w:rsidP="00F26D50">
      <w:pPr>
        <w:pStyle w:val="Prrafodelista"/>
        <w:numPr>
          <w:ilvl w:val="0"/>
          <w:numId w:val="1"/>
        </w:numPr>
        <w:spacing w:after="0" w:line="276" w:lineRule="auto"/>
        <w:rPr>
          <w:rFonts w:ascii="Verdana" w:eastAsia="Verdana" w:hAnsi="Verdana" w:cs="Verdana"/>
          <w:color w:val="156082" w:themeColor="accent1"/>
          <w:u w:val="single"/>
        </w:rPr>
      </w:pPr>
      <w:r w:rsidRPr="00B64A74">
        <w:rPr>
          <w:rFonts w:ascii="Verdana" w:eastAsia="Verdana" w:hAnsi="Verdana" w:cs="Verdana"/>
        </w:rPr>
        <w:t>Línea en Bogotá (Mesa de servicio</w:t>
      </w:r>
      <w:proofErr w:type="gramStart"/>
      <w:r w:rsidRPr="00B64A74">
        <w:rPr>
          <w:rFonts w:ascii="Verdana" w:eastAsia="Verdana" w:hAnsi="Verdana" w:cs="Verdana"/>
        </w:rPr>
        <w:t>):</w:t>
      </w:r>
      <w:r w:rsidRPr="00B64A74">
        <w:rPr>
          <w:rStyle w:val="Hipervnculo"/>
          <w:rFonts w:ascii="Verdana" w:hAnsi="Verdana"/>
        </w:rPr>
        <w:t>+</w:t>
      </w:r>
      <w:proofErr w:type="gramEnd"/>
      <w:r w:rsidRPr="00B64A74">
        <w:rPr>
          <w:rStyle w:val="Hipervnculo"/>
          <w:rFonts w:ascii="Verdana" w:hAnsi="Verdana"/>
        </w:rPr>
        <w:t>57 601 7456788</w:t>
      </w:r>
    </w:p>
    <w:p w14:paraId="1D00AD76" w14:textId="77777777" w:rsidR="00F26D50" w:rsidRPr="00B64A74" w:rsidRDefault="00F26D50" w:rsidP="00F26D50">
      <w:pPr>
        <w:pStyle w:val="Prrafodelista"/>
        <w:numPr>
          <w:ilvl w:val="0"/>
          <w:numId w:val="1"/>
        </w:numPr>
        <w:spacing w:after="0" w:line="276" w:lineRule="auto"/>
        <w:rPr>
          <w:rFonts w:ascii="Verdana" w:eastAsia="Verdana" w:hAnsi="Verdana" w:cs="Verdana"/>
          <w:color w:val="0000FF"/>
          <w:u w:val="single"/>
        </w:rPr>
      </w:pPr>
      <w:r w:rsidRPr="00B64A74">
        <w:rPr>
          <w:rFonts w:ascii="Verdana" w:eastAsia="Verdana" w:hAnsi="Verdana" w:cs="Verdana"/>
        </w:rPr>
        <w:t xml:space="preserve">Correo de radicación de correspondencia: </w:t>
      </w:r>
      <w:hyperlink r:id="rId14">
        <w:r w:rsidRPr="00B64A74">
          <w:rPr>
            <w:rStyle w:val="Hipervnculo"/>
            <w:rFonts w:ascii="Verdana" w:eastAsia="Verdana" w:hAnsi="Verdana" w:cs="Verdana"/>
          </w:rPr>
          <w:t>ventanilladeradicacion@colombiacompra.gov.co</w:t>
        </w:r>
      </w:hyperlink>
    </w:p>
    <w:p w14:paraId="3E0B3EDE" w14:textId="77777777" w:rsidR="00F26D50" w:rsidRPr="00B64A74" w:rsidRDefault="00F26D50" w:rsidP="00F26D50">
      <w:pPr>
        <w:pStyle w:val="Prrafodelista"/>
        <w:numPr>
          <w:ilvl w:val="0"/>
          <w:numId w:val="1"/>
        </w:numPr>
        <w:spacing w:after="0" w:line="276" w:lineRule="auto"/>
        <w:rPr>
          <w:rFonts w:ascii="Verdana" w:eastAsia="Verdana" w:hAnsi="Verdana" w:cs="Verdana"/>
          <w:color w:val="0000FF"/>
          <w:u w:val="single"/>
        </w:rPr>
      </w:pPr>
      <w:r w:rsidRPr="00B64A74">
        <w:rPr>
          <w:rFonts w:ascii="Verdana" w:eastAsia="Verdana" w:hAnsi="Verdana" w:cs="Verdana"/>
        </w:rPr>
        <w:t xml:space="preserve">Formulario web para PQRSD: </w:t>
      </w:r>
      <w:hyperlink r:id="rId15">
        <w:r w:rsidRPr="00B64A74">
          <w:rPr>
            <w:rStyle w:val="Hipervnculo"/>
            <w:rFonts w:ascii="Verdana" w:eastAsia="Verdana" w:hAnsi="Verdana" w:cs="Verdana"/>
          </w:rPr>
          <w:t>https://www.colombiacompra.gov.co/pqrsd/informacion-importante-antes-de-formular-una-pqrsd</w:t>
        </w:r>
      </w:hyperlink>
    </w:p>
    <w:p w14:paraId="50779610" w14:textId="77777777" w:rsidR="00F26D50" w:rsidRPr="00B64A74" w:rsidRDefault="00F26D50" w:rsidP="00F26D50">
      <w:pPr>
        <w:spacing w:after="0" w:line="276" w:lineRule="auto"/>
        <w:ind w:left="720"/>
        <w:jc w:val="both"/>
        <w:rPr>
          <w:rFonts w:ascii="Verdana" w:hAnsi="Verdana"/>
        </w:rPr>
      </w:pPr>
    </w:p>
    <w:p w14:paraId="16C4CA04" w14:textId="77777777" w:rsidR="00F26D50" w:rsidRPr="00B64A74" w:rsidRDefault="00F26D50" w:rsidP="00F26D50">
      <w:pPr>
        <w:spacing w:after="120" w:line="276" w:lineRule="auto"/>
        <w:jc w:val="both"/>
        <w:rPr>
          <w:rFonts w:ascii="Verdana" w:hAnsi="Verdana"/>
        </w:rPr>
      </w:pPr>
      <w:r w:rsidRPr="00B64A74">
        <w:rPr>
          <w:rFonts w:ascii="Verdana" w:hAnsi="Verdana"/>
        </w:rPr>
        <w:t xml:space="preserve">Evalúa el servicio que ofrece la Agencia por el canal de atención de PQRSD en el siguiente enlace: </w:t>
      </w:r>
      <w:hyperlink r:id="rId16" w:history="1">
        <w:r w:rsidRPr="00B64A74">
          <w:rPr>
            <w:rStyle w:val="Hipervnculo"/>
            <w:rFonts w:ascii="Verdana" w:eastAsia="Verdana" w:hAnsi="Verdana" w:cs="Verdana"/>
          </w:rPr>
          <w:t>https://forms.office.com/r/pPHyWVs2SZ</w:t>
        </w:r>
      </w:hyperlink>
      <w:r w:rsidRPr="00B64A74">
        <w:rPr>
          <w:rStyle w:val="Hipervnculo"/>
          <w:rFonts w:ascii="Verdana" w:eastAsia="Verdana" w:hAnsi="Verdana" w:cs="Verdana"/>
        </w:rPr>
        <w:t>.</w:t>
      </w:r>
      <w:r w:rsidRPr="00B64A74">
        <w:rPr>
          <w:rFonts w:ascii="Verdana" w:hAnsi="Verdana"/>
        </w:rPr>
        <w:t xml:space="preserve"> ¡Ayúdanos a mejorar porque el compromiso es de todos!</w:t>
      </w:r>
    </w:p>
    <w:p w14:paraId="1686CC01" w14:textId="77777777" w:rsidR="00F26D50" w:rsidRPr="00B64A74" w:rsidRDefault="00F26D50" w:rsidP="00F26D50">
      <w:pPr>
        <w:spacing w:after="120" w:line="276" w:lineRule="auto"/>
        <w:jc w:val="both"/>
        <w:rPr>
          <w:rFonts w:ascii="Verdana" w:hAnsi="Verdana"/>
        </w:rPr>
      </w:pPr>
      <w:r w:rsidRPr="00B64A74">
        <w:rPr>
          <w:rFonts w:ascii="Verdana" w:hAnsi="Verdana"/>
        </w:rPr>
        <w:t xml:space="preserve">Por último, lo invitamos a seguirnos en las redes sociales en las cuales se difunde información institucional: </w:t>
      </w:r>
    </w:p>
    <w:p w14:paraId="4C4CFFF4" w14:textId="77777777" w:rsidR="00F26D50" w:rsidRPr="00B64A74" w:rsidRDefault="00F26D50" w:rsidP="00F26D50">
      <w:pPr>
        <w:spacing w:after="0" w:line="276" w:lineRule="auto"/>
        <w:jc w:val="both"/>
        <w:rPr>
          <w:rFonts w:ascii="Verdana" w:hAnsi="Verdana"/>
        </w:rPr>
      </w:pPr>
      <w:r w:rsidRPr="00B64A74">
        <w:rPr>
          <w:rFonts w:ascii="Verdana" w:hAnsi="Verdana"/>
        </w:rPr>
        <w:t xml:space="preserve">Twitter: </w:t>
      </w:r>
      <w:r w:rsidRPr="00B64A74">
        <w:rPr>
          <w:rStyle w:val="Hipervnculo"/>
          <w:rFonts w:ascii="Verdana" w:hAnsi="Verdana"/>
        </w:rPr>
        <w:t>@colombiacompra</w:t>
      </w:r>
      <w:r w:rsidRPr="00B64A74">
        <w:rPr>
          <w:rFonts w:ascii="Verdana" w:hAnsi="Verdana"/>
        </w:rPr>
        <w:t xml:space="preserve"> </w:t>
      </w:r>
    </w:p>
    <w:p w14:paraId="41041952" w14:textId="77777777" w:rsidR="00F26D50" w:rsidRPr="00B64A74" w:rsidRDefault="00F26D50" w:rsidP="00F26D50">
      <w:pPr>
        <w:spacing w:after="0" w:line="276" w:lineRule="auto"/>
        <w:jc w:val="both"/>
        <w:rPr>
          <w:rFonts w:ascii="Verdana" w:hAnsi="Verdana"/>
        </w:rPr>
      </w:pPr>
      <w:r w:rsidRPr="00B64A74">
        <w:rPr>
          <w:rFonts w:ascii="Verdana" w:hAnsi="Verdana"/>
        </w:rPr>
        <w:t xml:space="preserve">Facebook: </w:t>
      </w:r>
      <w:proofErr w:type="spellStart"/>
      <w:r w:rsidRPr="00B64A74">
        <w:rPr>
          <w:rStyle w:val="Hipervnculo"/>
          <w:rFonts w:ascii="Verdana" w:hAnsi="Verdana"/>
        </w:rPr>
        <w:t>ColombiaCompraEficiente</w:t>
      </w:r>
      <w:proofErr w:type="spellEnd"/>
    </w:p>
    <w:p w14:paraId="554C24EC" w14:textId="77777777" w:rsidR="00F26D50" w:rsidRPr="00B64A74" w:rsidRDefault="00F26D50" w:rsidP="00F26D50">
      <w:pPr>
        <w:spacing w:after="0" w:line="276" w:lineRule="auto"/>
        <w:jc w:val="both"/>
        <w:rPr>
          <w:rFonts w:ascii="Verdana" w:hAnsi="Verdana"/>
        </w:rPr>
      </w:pPr>
      <w:r w:rsidRPr="00B64A74">
        <w:rPr>
          <w:rFonts w:ascii="Verdana" w:hAnsi="Verdana"/>
        </w:rPr>
        <w:t xml:space="preserve">LinkedIn: </w:t>
      </w:r>
      <w:r w:rsidRPr="00B64A74">
        <w:rPr>
          <w:rStyle w:val="Hipervnculo"/>
          <w:rFonts w:ascii="Verdana" w:hAnsi="Verdana"/>
        </w:rPr>
        <w:t>Agencia Nacional de Contratación Pública - Colombia Compra Eficiente</w:t>
      </w:r>
      <w:r w:rsidRPr="00B64A74">
        <w:rPr>
          <w:rFonts w:ascii="Verdana" w:hAnsi="Verdana"/>
        </w:rPr>
        <w:t xml:space="preserve"> Instagram: </w:t>
      </w:r>
      <w:r w:rsidRPr="00B64A74">
        <w:rPr>
          <w:rStyle w:val="Hipervnculo"/>
          <w:rFonts w:ascii="Verdana" w:hAnsi="Verdana"/>
        </w:rPr>
        <w:t>@colombiacompraeficiente_cce</w:t>
      </w:r>
    </w:p>
    <w:p w14:paraId="65314C2C" w14:textId="77777777" w:rsidR="00F26D50" w:rsidRPr="00B64A74" w:rsidRDefault="00F26D50" w:rsidP="00F26D50">
      <w:pPr>
        <w:spacing w:after="0" w:line="276" w:lineRule="auto"/>
        <w:jc w:val="both"/>
        <w:rPr>
          <w:rFonts w:ascii="Verdana" w:hAnsi="Verdana"/>
        </w:rPr>
      </w:pPr>
    </w:p>
    <w:p w14:paraId="2F44170A" w14:textId="77777777" w:rsidR="00F26D50" w:rsidRPr="00B64A74" w:rsidRDefault="00F26D50" w:rsidP="00F26D50">
      <w:pPr>
        <w:spacing w:after="0" w:line="276" w:lineRule="auto"/>
        <w:jc w:val="both"/>
        <w:rPr>
          <w:rFonts w:ascii="Verdana" w:hAnsi="Verdana"/>
        </w:rPr>
      </w:pPr>
      <w:r w:rsidRPr="00B64A74">
        <w:rPr>
          <w:rFonts w:ascii="Verdana" w:hAnsi="Verdana"/>
        </w:rPr>
        <w:t>Cordialmente,</w:t>
      </w:r>
    </w:p>
    <w:p w14:paraId="6B4B25CF" w14:textId="13099452" w:rsidR="0063662B" w:rsidRPr="0063662B" w:rsidRDefault="0063662B" w:rsidP="0063662B">
      <w:pPr>
        <w:pStyle w:val="Sinespaciado"/>
        <w:jc w:val="center"/>
        <w:rPr>
          <w:rFonts w:ascii="Verdana" w:hAnsi="Verdana"/>
        </w:rPr>
      </w:pPr>
      <w:r w:rsidRPr="0063662B">
        <w:rPr>
          <w:rFonts w:ascii="Verdana" w:hAnsi="Verdana"/>
        </w:rPr>
        <w:drawing>
          <wp:inline distT="0" distB="0" distL="0" distR="0" wp14:anchorId="0FCDF560" wp14:editId="6AE0AFB4">
            <wp:extent cx="2952503" cy="1096005"/>
            <wp:effectExtent l="0" t="0" r="635" b="9525"/>
            <wp:docPr id="146813978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67584" cy="1101603"/>
                    </a:xfrm>
                    <a:prstGeom prst="rect">
                      <a:avLst/>
                    </a:prstGeom>
                    <a:noFill/>
                    <a:ln>
                      <a:noFill/>
                    </a:ln>
                  </pic:spPr>
                </pic:pic>
              </a:graphicData>
            </a:graphic>
          </wp:inline>
        </w:drawing>
      </w:r>
    </w:p>
    <w:p w14:paraId="6234B96A" w14:textId="595AB4C4" w:rsidR="00F26D50" w:rsidRPr="0072692B" w:rsidRDefault="00F26D50" w:rsidP="00F26D50">
      <w:pPr>
        <w:pStyle w:val="Sinespaciado"/>
        <w:jc w:val="center"/>
        <w:rPr>
          <w:rFonts w:ascii="Verdana" w:hAnsi="Verdana"/>
          <w:lang w:val="es-CO"/>
        </w:rPr>
      </w:pPr>
    </w:p>
    <w:p w14:paraId="1BBA0F19" w14:textId="77777777" w:rsidR="00F26D50" w:rsidRPr="00056D26" w:rsidRDefault="00F26D50" w:rsidP="00F26D50">
      <w:pPr>
        <w:pStyle w:val="Sinespaciado"/>
        <w:jc w:val="center"/>
        <w:rPr>
          <w:rFonts w:ascii="Verdana" w:hAnsi="Verdana"/>
          <w:sz w:val="22"/>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26D50" w:rsidRPr="007A0E81" w14:paraId="0A4B24DA" w14:textId="77777777" w:rsidTr="006B0FCB">
        <w:trPr>
          <w:trHeight w:val="315"/>
        </w:trPr>
        <w:tc>
          <w:tcPr>
            <w:tcW w:w="893" w:type="dxa"/>
            <w:vAlign w:val="center"/>
            <w:hideMark/>
          </w:tcPr>
          <w:p w14:paraId="4BE1E1A9" w14:textId="77777777" w:rsidR="00F26D50" w:rsidRPr="007A0E81" w:rsidRDefault="00F26D50" w:rsidP="006B0FCB">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339AF759" w14:textId="77777777" w:rsidR="00F26D50" w:rsidRPr="0072692B" w:rsidRDefault="00F26D50" w:rsidP="006B0FCB">
            <w:pPr>
              <w:spacing w:line="276" w:lineRule="auto"/>
              <w:rPr>
                <w:rFonts w:ascii="Verdana" w:eastAsia="Arial" w:hAnsi="Verdana" w:cs="Arial"/>
                <w:color w:val="000000"/>
                <w:sz w:val="16"/>
                <w:szCs w:val="16"/>
              </w:rPr>
            </w:pPr>
            <w:r w:rsidRPr="0072692B">
              <w:rPr>
                <w:rFonts w:ascii="Verdana" w:eastAsia="Times New Roman" w:hAnsi="Verdana" w:cs="Arial"/>
                <w:color w:val="000000"/>
                <w:sz w:val="16"/>
                <w:szCs w:val="16"/>
              </w:rPr>
              <w:t>Natalia Montoya Jiménez</w:t>
            </w:r>
          </w:p>
          <w:p w14:paraId="5B0FDAD6" w14:textId="77777777" w:rsidR="00F26D50" w:rsidRPr="007A0E81" w:rsidRDefault="00F26D50" w:rsidP="006B0FCB">
            <w:pPr>
              <w:spacing w:line="276" w:lineRule="auto"/>
              <w:rPr>
                <w:rFonts w:ascii="Verdana" w:eastAsia="Arial" w:hAnsi="Verdana" w:cs="Arial"/>
                <w:color w:val="000000"/>
                <w:sz w:val="16"/>
                <w:szCs w:val="16"/>
              </w:rPr>
            </w:pPr>
            <w:r>
              <w:rPr>
                <w:rFonts w:ascii="Verdana" w:eastAsia="Arial" w:hAnsi="Verdana" w:cs="Arial"/>
                <w:color w:val="000000"/>
                <w:sz w:val="16"/>
                <w:szCs w:val="16"/>
              </w:rPr>
              <w:t xml:space="preserve">Gestor T1 15 </w:t>
            </w:r>
            <w:r w:rsidRPr="007A0E81">
              <w:rPr>
                <w:rFonts w:ascii="Verdana" w:eastAsia="Arial" w:hAnsi="Verdana" w:cs="Arial"/>
                <w:color w:val="000000"/>
                <w:sz w:val="16"/>
                <w:szCs w:val="16"/>
              </w:rPr>
              <w:t>de la Subdirección de Gestión Contractual</w:t>
            </w:r>
          </w:p>
        </w:tc>
      </w:tr>
      <w:tr w:rsidR="00F26D50" w:rsidRPr="007A0E81" w14:paraId="38A5C2E1" w14:textId="77777777" w:rsidTr="006B0FCB">
        <w:trPr>
          <w:trHeight w:val="330"/>
        </w:trPr>
        <w:tc>
          <w:tcPr>
            <w:tcW w:w="893" w:type="dxa"/>
            <w:vAlign w:val="center"/>
            <w:hideMark/>
          </w:tcPr>
          <w:p w14:paraId="7FD18241" w14:textId="77777777" w:rsidR="00F26D50" w:rsidRPr="007A0E81" w:rsidRDefault="00F26D50" w:rsidP="006B0FCB">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237EE742" w14:textId="77777777" w:rsidR="00F26D50" w:rsidRPr="007A0E81" w:rsidRDefault="00F26D50" w:rsidP="006B0FCB">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Adriana Katherine López Rodriguez</w:t>
            </w:r>
          </w:p>
          <w:p w14:paraId="567A9B54" w14:textId="77777777" w:rsidR="00F26D50" w:rsidRPr="007A0E81" w:rsidRDefault="00F26D50" w:rsidP="006B0FCB">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F26D50" w:rsidRPr="007A0E81" w14:paraId="680AAF68" w14:textId="77777777" w:rsidTr="006B0FCB">
        <w:trPr>
          <w:trHeight w:val="300"/>
        </w:trPr>
        <w:tc>
          <w:tcPr>
            <w:tcW w:w="893" w:type="dxa"/>
            <w:vAlign w:val="center"/>
          </w:tcPr>
          <w:p w14:paraId="4A31F1A7" w14:textId="77777777" w:rsidR="00F26D50" w:rsidRPr="007A0E81" w:rsidRDefault="00F26D50" w:rsidP="006B0FCB">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9106B2E" w14:textId="77777777" w:rsidR="00F26D50" w:rsidRPr="0074571F" w:rsidRDefault="00F26D50" w:rsidP="006B0FCB">
            <w:pPr>
              <w:pStyle w:val="Sinespaciado"/>
              <w:rPr>
                <w:rFonts w:ascii="Verdana" w:eastAsia="Times New Roman" w:hAnsi="Verdana" w:cs="Arial"/>
                <w:color w:val="000000"/>
                <w:sz w:val="16"/>
                <w:szCs w:val="16"/>
                <w:lang w:val="es-CO"/>
              </w:rPr>
            </w:pPr>
            <w:r>
              <w:rPr>
                <w:rFonts w:ascii="Verdana" w:eastAsia="Times New Roman" w:hAnsi="Verdana" w:cs="Arial"/>
                <w:color w:val="000000"/>
                <w:sz w:val="16"/>
                <w:szCs w:val="16"/>
                <w:lang w:val="es-CO"/>
              </w:rPr>
              <w:t>Carolina Quintero Gacharná</w:t>
            </w:r>
          </w:p>
          <w:p w14:paraId="05ECC9E9" w14:textId="77777777" w:rsidR="00F26D50" w:rsidRPr="007A0E81" w:rsidRDefault="00F26D50" w:rsidP="006B0FCB">
            <w:pPr>
              <w:spacing w:line="276" w:lineRule="auto"/>
              <w:rPr>
                <w:rFonts w:ascii="Verdana" w:eastAsia="Times New Roman" w:hAnsi="Verdana" w:cs="Arial"/>
                <w:color w:val="000000"/>
                <w:sz w:val="16"/>
                <w:szCs w:val="16"/>
              </w:rPr>
            </w:pPr>
            <w:r w:rsidRPr="0074571F">
              <w:rPr>
                <w:rFonts w:ascii="Verdana" w:eastAsia="Times New Roman" w:hAnsi="Verdana" w:cs="Arial"/>
                <w:color w:val="000000"/>
                <w:sz w:val="16"/>
                <w:szCs w:val="16"/>
              </w:rPr>
              <w:t>Subdirectora de Gestión Contractual</w:t>
            </w:r>
            <w:r w:rsidRPr="00E60303">
              <w:rPr>
                <w:rFonts w:ascii="Verdana" w:hAnsi="Verdana"/>
                <w:sz w:val="14"/>
                <w:szCs w:val="14"/>
                <w:lang w:eastAsia="es-ES"/>
              </w:rPr>
              <w:t> </w:t>
            </w:r>
          </w:p>
        </w:tc>
      </w:tr>
    </w:tbl>
    <w:p w14:paraId="7CF818B9" w14:textId="77777777" w:rsidR="00F26D50" w:rsidRPr="0044528D" w:rsidRDefault="00F26D50" w:rsidP="00F26D50">
      <w:pPr>
        <w:spacing w:after="0" w:line="276" w:lineRule="auto"/>
        <w:rPr>
          <w:rFonts w:ascii="Verdana" w:eastAsia="Times New Roman" w:hAnsi="Verdana" w:cs="Segoe UI"/>
          <w:b/>
          <w:bCs/>
          <w:color w:val="46589C"/>
          <w:lang w:eastAsia="es-CO"/>
        </w:rPr>
      </w:pPr>
    </w:p>
    <w:p w14:paraId="54D95948" w14:textId="43EE8610" w:rsidR="00F26D50" w:rsidRPr="00334C87" w:rsidRDefault="00F26D50" w:rsidP="00F26D50"/>
    <w:p w14:paraId="5EDFA5F2" w14:textId="77777777" w:rsidR="002D6822" w:rsidRDefault="002D6822"/>
    <w:sectPr w:rsidR="002D6822" w:rsidSect="00F26D50">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D482F" w14:textId="77777777" w:rsidR="007F1D5F" w:rsidRDefault="007F1D5F" w:rsidP="00F26D50">
      <w:pPr>
        <w:spacing w:after="0" w:line="240" w:lineRule="auto"/>
      </w:pPr>
      <w:r>
        <w:separator/>
      </w:r>
    </w:p>
  </w:endnote>
  <w:endnote w:type="continuationSeparator" w:id="0">
    <w:p w14:paraId="50458313" w14:textId="77777777" w:rsidR="007F1D5F" w:rsidRDefault="007F1D5F" w:rsidP="00F26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22C3C" w14:textId="77777777" w:rsidR="00F26D50" w:rsidRDefault="00F26D50">
    <w:pPr>
      <w:pStyle w:val="Piedepgina"/>
    </w:pPr>
  </w:p>
  <w:p w14:paraId="2A47BD62" w14:textId="77777777" w:rsidR="00F26D50" w:rsidRPr="00174B77" w:rsidRDefault="00F26D50"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D392C4D" w14:textId="77777777" w:rsidR="00F26D50" w:rsidRDefault="00F26D50"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5653554" w14:textId="77777777" w:rsidR="00F26D50" w:rsidRPr="00E41027" w:rsidRDefault="00F26D50"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6BBA991" w14:textId="77777777" w:rsidR="00F26D50" w:rsidRDefault="00F26D50"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8772F" w14:textId="77777777" w:rsidR="007F1D5F" w:rsidRDefault="007F1D5F" w:rsidP="00F26D50">
      <w:pPr>
        <w:spacing w:after="0" w:line="240" w:lineRule="auto"/>
      </w:pPr>
      <w:r>
        <w:separator/>
      </w:r>
    </w:p>
  </w:footnote>
  <w:footnote w:type="continuationSeparator" w:id="0">
    <w:p w14:paraId="69613939" w14:textId="77777777" w:rsidR="007F1D5F" w:rsidRDefault="007F1D5F" w:rsidP="00F26D50">
      <w:pPr>
        <w:spacing w:after="0" w:line="240" w:lineRule="auto"/>
      </w:pPr>
      <w:r>
        <w:continuationSeparator/>
      </w:r>
    </w:p>
  </w:footnote>
  <w:footnote w:id="1">
    <w:p w14:paraId="4E549E94" w14:textId="77777777" w:rsidR="00F26D50" w:rsidRPr="00D03768" w:rsidRDefault="00F26D50" w:rsidP="00F26D50">
      <w:pPr>
        <w:pStyle w:val="Textonotapie"/>
        <w:ind w:firstLine="709"/>
        <w:jc w:val="both"/>
        <w:rPr>
          <w:rFonts w:ascii="Verdana" w:hAnsi="Verdana" w:cs="Arial"/>
          <w:color w:val="000000"/>
          <w:sz w:val="14"/>
          <w:szCs w:val="14"/>
        </w:rPr>
      </w:pPr>
      <w:r w:rsidRPr="009F2629">
        <w:rPr>
          <w:rStyle w:val="Refdenotaalpie"/>
          <w:rFonts w:ascii="Verdana" w:hAnsi="Verdana" w:cs="Arial"/>
          <w:color w:val="000000"/>
          <w:sz w:val="14"/>
          <w:szCs w:val="14"/>
        </w:rPr>
        <w:footnoteRef/>
      </w:r>
      <w:r w:rsidRPr="009F2629">
        <w:rPr>
          <w:rFonts w:ascii="Verdana" w:hAnsi="Verdana" w:cs="Arial"/>
          <w:color w:val="000000"/>
          <w:sz w:val="14"/>
          <w:szCs w:val="14"/>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9F2629">
        <w:rPr>
          <w:rFonts w:ascii="Verdana" w:hAnsi="Verdana" w:cs="Arial"/>
          <w:color w:val="000000"/>
          <w:sz w:val="14"/>
          <w:szCs w:val="14"/>
          <w:shd w:val="clear" w:color="auto" w:fill="FFFFFF"/>
        </w:rPr>
        <w:t>” (</w:t>
      </w:r>
      <w:r w:rsidRPr="009F2629">
        <w:rPr>
          <w:rFonts w:ascii="Verdana" w:hAnsi="Verdana" w:cs="Arial"/>
          <w:color w:val="000000"/>
          <w:sz w:val="14"/>
          <w:szCs w:val="14"/>
        </w:rPr>
        <w:t>EXPOSITO, Juan Carlos. Forma y contenido del contrato estatal. Bogotá: Universidad Externado de Colombia, p. 89 y 90).</w:t>
      </w:r>
    </w:p>
  </w:footnote>
  <w:footnote w:id="2">
    <w:p w14:paraId="1F546690" w14:textId="77777777" w:rsidR="00F26D50" w:rsidRPr="00D03768" w:rsidRDefault="00F26D50" w:rsidP="00F26D50">
      <w:pPr>
        <w:pStyle w:val="Textonotapie"/>
        <w:ind w:firstLine="709"/>
        <w:jc w:val="both"/>
        <w:rPr>
          <w:rFonts w:ascii="Verdana" w:hAnsi="Verdana" w:cs="Arial"/>
          <w:color w:val="000000"/>
          <w:sz w:val="14"/>
          <w:szCs w:val="14"/>
          <w:lang w:val="es-CO"/>
        </w:rPr>
      </w:pPr>
      <w:r w:rsidRPr="009F2629">
        <w:rPr>
          <w:rStyle w:val="Refdenotaalpie"/>
          <w:rFonts w:ascii="Verdana" w:hAnsi="Verdana" w:cs="Arial"/>
          <w:color w:val="000000"/>
          <w:sz w:val="14"/>
          <w:szCs w:val="14"/>
        </w:rPr>
        <w:footnoteRef/>
      </w:r>
      <w:r w:rsidRPr="009F2629">
        <w:rPr>
          <w:rFonts w:ascii="Verdana" w:hAnsi="Verdana" w:cs="Arial"/>
          <w:color w:val="000000"/>
          <w:sz w:val="14"/>
          <w:szCs w:val="14"/>
        </w:rPr>
        <w:t xml:space="preserve"> DÍAZ DÍEZ, Cristian Andrés. La liquidación. Serie: Las Cláusulas del Contrato Estatal. Medellín: Librería Jurídica Sánchez y Centro de Estudios de Derecho Administrativo –CEDA–, 2013, pp. 53-54.</w:t>
      </w:r>
    </w:p>
  </w:footnote>
  <w:footnote w:id="3">
    <w:p w14:paraId="03EF7124" w14:textId="77777777" w:rsidR="00F26D50" w:rsidRPr="00D03768" w:rsidRDefault="00F26D50" w:rsidP="00F26D50">
      <w:pPr>
        <w:spacing w:after="0" w:line="240" w:lineRule="auto"/>
        <w:ind w:firstLine="709"/>
        <w:jc w:val="both"/>
        <w:rPr>
          <w:rFonts w:ascii="Verdana" w:hAnsi="Verdana" w:cs="Arial"/>
          <w:color w:val="000000"/>
          <w:sz w:val="14"/>
          <w:szCs w:val="14"/>
          <w:lang w:val="es-ES"/>
        </w:rPr>
      </w:pPr>
      <w:r w:rsidRPr="009F2629">
        <w:rPr>
          <w:rStyle w:val="Refdenotaalpie"/>
          <w:rFonts w:ascii="Verdana" w:hAnsi="Verdana" w:cs="Arial"/>
          <w:color w:val="000000"/>
          <w:sz w:val="14"/>
          <w:szCs w:val="14"/>
        </w:rPr>
        <w:footnoteRef/>
      </w:r>
      <w:r w:rsidRPr="009F2629">
        <w:rPr>
          <w:rFonts w:ascii="Verdana" w:hAnsi="Verdana" w:cs="Arial"/>
          <w:color w:val="000000"/>
          <w:sz w:val="14"/>
          <w:szCs w:val="14"/>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13D428DB" w14:textId="77777777" w:rsidR="00F26D50" w:rsidRPr="009F2629" w:rsidRDefault="00F26D50" w:rsidP="00F26D50">
      <w:pPr>
        <w:pStyle w:val="Textonotapie"/>
        <w:ind w:firstLine="709"/>
        <w:jc w:val="both"/>
        <w:rPr>
          <w:rFonts w:ascii="Verdana" w:hAnsi="Verdana" w:cs="Arial"/>
          <w:color w:val="000000" w:themeColor="text1"/>
          <w:sz w:val="14"/>
          <w:szCs w:val="14"/>
          <w:lang w:val="es-ES"/>
        </w:rPr>
      </w:pPr>
      <w:r w:rsidRPr="009F2629">
        <w:rPr>
          <w:rStyle w:val="Refdenotaalpie"/>
          <w:rFonts w:ascii="Verdana" w:hAnsi="Verdana" w:cs="Arial"/>
          <w:color w:val="000000" w:themeColor="text1"/>
          <w:sz w:val="14"/>
          <w:szCs w:val="14"/>
        </w:rPr>
        <w:footnoteRef/>
      </w:r>
      <w:r w:rsidRPr="009F2629">
        <w:rPr>
          <w:rFonts w:ascii="Verdana" w:hAnsi="Verdana" w:cs="Arial"/>
          <w:color w:val="000000" w:themeColor="text1"/>
          <w:sz w:val="14"/>
          <w:szCs w:val="14"/>
        </w:rPr>
        <w:t xml:space="preserve"> </w:t>
      </w:r>
      <w:r w:rsidRPr="009F2629">
        <w:rPr>
          <w:rFonts w:ascii="Verdana" w:hAnsi="Verdana" w:cs="Arial"/>
          <w:color w:val="000000" w:themeColor="text1"/>
          <w:sz w:val="14"/>
          <w:szCs w:val="14"/>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D300491" w14:textId="77777777" w:rsidR="00F26D50" w:rsidRPr="009F2629" w:rsidRDefault="00F26D50" w:rsidP="00F26D50">
      <w:pPr>
        <w:pStyle w:val="Textonotapie"/>
        <w:ind w:firstLine="709"/>
        <w:jc w:val="both"/>
        <w:rPr>
          <w:rFonts w:ascii="Verdana" w:hAnsi="Verdana" w:cs="Arial"/>
          <w:color w:val="000000" w:themeColor="text1"/>
          <w:sz w:val="14"/>
          <w:szCs w:val="14"/>
          <w:lang w:val="es-ES"/>
        </w:rPr>
      </w:pPr>
      <w:r w:rsidRPr="009F2629">
        <w:rPr>
          <w:rFonts w:ascii="Verdana" w:hAnsi="Verdana" w:cs="Arial"/>
          <w:color w:val="000000" w:themeColor="text1"/>
          <w:sz w:val="14"/>
          <w:szCs w:val="14"/>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462C128E" w14:textId="77777777" w:rsidR="00F26D50" w:rsidRPr="009F2629" w:rsidRDefault="00F26D50" w:rsidP="00F26D50">
      <w:pPr>
        <w:pStyle w:val="Textonotapie"/>
        <w:ind w:firstLine="709"/>
        <w:jc w:val="both"/>
        <w:rPr>
          <w:rFonts w:ascii="Verdana" w:hAnsi="Verdana" w:cs="Arial"/>
          <w:color w:val="000000" w:themeColor="text1"/>
          <w:sz w:val="14"/>
          <w:szCs w:val="14"/>
          <w:lang w:val="es-ES"/>
        </w:rPr>
      </w:pPr>
      <w:r w:rsidRPr="009F2629">
        <w:rPr>
          <w:rFonts w:ascii="Verdana" w:hAnsi="Verdana" w:cs="Arial"/>
          <w:color w:val="000000" w:themeColor="text1"/>
          <w:sz w:val="14"/>
          <w:szCs w:val="14"/>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23D0B04C" w14:textId="77777777" w:rsidR="00F26D50" w:rsidRPr="009F2629" w:rsidRDefault="00F26D50" w:rsidP="00F26D50">
      <w:pPr>
        <w:pStyle w:val="Textonotapie"/>
        <w:ind w:firstLine="709"/>
        <w:jc w:val="both"/>
        <w:rPr>
          <w:rFonts w:ascii="Verdana" w:hAnsi="Verdana" w:cs="Arial"/>
          <w:color w:val="000000" w:themeColor="text1"/>
          <w:sz w:val="14"/>
          <w:szCs w:val="14"/>
          <w:lang w:val="es-ES"/>
        </w:rPr>
      </w:pPr>
      <w:r w:rsidRPr="2993F789">
        <w:rPr>
          <w:rFonts w:ascii="Verdana" w:hAnsi="Verdana" w:cs="Arial"/>
          <w:color w:val="000000" w:themeColor="text1"/>
          <w:sz w:val="14"/>
          <w:szCs w:val="14"/>
          <w:lang w:val="es-ES"/>
        </w:rPr>
        <w:t>Los contratistas tendrán derecho a efectuar salvedades a la liquidación por mutuo acuerdo, y en este evento la liquidación unilateral solo procederá en relación con los aspectos que no hayan sido objeto de acuerdo”</w:t>
      </w:r>
    </w:p>
  </w:footnote>
  <w:footnote w:id="5">
    <w:p w14:paraId="18081DDE" w14:textId="77777777" w:rsidR="00F26D50" w:rsidRPr="009F2629" w:rsidDel="009F2629" w:rsidRDefault="00F26D50" w:rsidP="00F26D50">
      <w:pPr>
        <w:pStyle w:val="Textonotapie"/>
        <w:ind w:firstLine="709"/>
        <w:jc w:val="both"/>
        <w:rPr>
          <w:rFonts w:ascii="Verdana" w:hAnsi="Verdana" w:cs="Arial"/>
          <w:color w:val="000000" w:themeColor="text1"/>
          <w:sz w:val="14"/>
          <w:szCs w:val="14"/>
        </w:rPr>
      </w:pPr>
      <w:r w:rsidRPr="009F2629">
        <w:rPr>
          <w:rStyle w:val="Refdenotaalpie"/>
          <w:rFonts w:ascii="Verdana" w:hAnsi="Verdana" w:cs="Arial"/>
          <w:color w:val="000000" w:themeColor="text1"/>
          <w:sz w:val="14"/>
          <w:szCs w:val="14"/>
        </w:rPr>
        <w:footnoteRef/>
      </w:r>
      <w:r w:rsidRPr="009F2629">
        <w:rPr>
          <w:rFonts w:ascii="Verdana" w:hAnsi="Verdana" w:cs="Arial"/>
          <w:color w:val="000000" w:themeColor="text1"/>
          <w:sz w:val="14"/>
          <w:szCs w:val="14"/>
        </w:rPr>
        <w:t xml:space="preserve"> </w:t>
      </w:r>
      <w:r>
        <w:rPr>
          <w:rFonts w:ascii="Verdana" w:hAnsi="Verdana" w:cs="Arial"/>
          <w:color w:val="000000" w:themeColor="text1"/>
          <w:sz w:val="14"/>
          <w:szCs w:val="14"/>
        </w:rPr>
        <w:t xml:space="preserve">Agencia Nacional de Contratación Pública - </w:t>
      </w:r>
      <w:r w:rsidRPr="009F2629">
        <w:rPr>
          <w:rFonts w:ascii="Verdana" w:hAnsi="Verdana" w:cs="Arial"/>
          <w:color w:val="000000" w:themeColor="text1"/>
          <w:sz w:val="14"/>
          <w:szCs w:val="14"/>
        </w:rPr>
        <w:t>Colombia Compra Eficiente. Guía para la Liquidación de los Procesos de Contratación. Página 5, disponible en:</w:t>
      </w:r>
      <w:r>
        <w:rPr>
          <w:rFonts w:ascii="Verdana" w:hAnsi="Verdana"/>
          <w:sz w:val="14"/>
          <w:szCs w:val="14"/>
        </w:rPr>
        <w:t xml:space="preserve"> </w:t>
      </w:r>
      <w:hyperlink r:id="rId1" w:history="1">
        <w:r w:rsidRPr="2993F789">
          <w:rPr>
            <w:rStyle w:val="Hipervnculo"/>
            <w:rFonts w:ascii="Verdana" w:hAnsi="Verdana" w:cs="Arial"/>
            <w:sz w:val="14"/>
            <w:szCs w:val="14"/>
          </w:rPr>
          <w:t>https://www.colombiacompra.gov.co/sites/cce_public/files/cce_documents/cce_guia_liquidacion_procesos.pdf</w:t>
        </w:r>
      </w:hyperlink>
      <w:r w:rsidRPr="2993F789">
        <w:rPr>
          <w:rFonts w:ascii="Verdana" w:hAnsi="Verdana" w:cs="Arial"/>
          <w:color w:val="000000" w:themeColor="text1"/>
          <w:sz w:val="14"/>
          <w:szCs w:val="14"/>
        </w:rPr>
        <w:t xml:space="preserve"> </w:t>
      </w:r>
    </w:p>
  </w:footnote>
  <w:footnote w:id="6">
    <w:p w14:paraId="0A6E815A" w14:textId="77777777" w:rsidR="00F26D50" w:rsidRPr="009F2629" w:rsidDel="009F2629" w:rsidRDefault="00F26D50" w:rsidP="00F26D50">
      <w:pPr>
        <w:pStyle w:val="Textonotapie"/>
        <w:ind w:firstLine="709"/>
        <w:jc w:val="both"/>
        <w:rPr>
          <w:rFonts w:ascii="Verdana" w:hAnsi="Verdana" w:cs="Arial"/>
          <w:color w:val="000000" w:themeColor="text1"/>
          <w:sz w:val="14"/>
          <w:szCs w:val="14"/>
          <w:lang w:val="es-ES"/>
        </w:rPr>
      </w:pPr>
      <w:r w:rsidRPr="009F2629">
        <w:rPr>
          <w:rStyle w:val="Refdenotaalpie"/>
          <w:rFonts w:ascii="Verdana" w:hAnsi="Verdana" w:cs="Arial"/>
          <w:color w:val="000000" w:themeColor="text1"/>
          <w:sz w:val="14"/>
          <w:szCs w:val="14"/>
        </w:rPr>
        <w:footnoteRef/>
      </w:r>
      <w:r w:rsidRPr="009F2629">
        <w:rPr>
          <w:rFonts w:ascii="Verdana" w:hAnsi="Verdana" w:cs="Arial"/>
          <w:color w:val="000000" w:themeColor="text1"/>
          <w:sz w:val="14"/>
          <w:szCs w:val="14"/>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7">
    <w:p w14:paraId="4C6519E9" w14:textId="77777777" w:rsidR="00F26D50" w:rsidRPr="009F2629" w:rsidDel="009F2629" w:rsidRDefault="00F26D50" w:rsidP="00F26D50">
      <w:pPr>
        <w:pStyle w:val="Textonotapie"/>
        <w:ind w:firstLine="709"/>
        <w:jc w:val="both"/>
        <w:rPr>
          <w:rFonts w:ascii="Verdana" w:hAnsi="Verdana" w:cs="Arial"/>
          <w:color w:val="000000" w:themeColor="text1"/>
          <w:sz w:val="14"/>
          <w:szCs w:val="14"/>
          <w:lang w:val="es-ES"/>
        </w:rPr>
      </w:pPr>
      <w:r w:rsidRPr="009F2629">
        <w:rPr>
          <w:rStyle w:val="Refdenotaalpie"/>
          <w:rFonts w:ascii="Verdana" w:hAnsi="Verdana" w:cs="Arial"/>
          <w:color w:val="000000" w:themeColor="text1"/>
          <w:sz w:val="14"/>
          <w:szCs w:val="14"/>
        </w:rPr>
        <w:footnoteRef/>
      </w:r>
      <w:r w:rsidRPr="009F2629">
        <w:rPr>
          <w:rFonts w:ascii="Verdana" w:hAnsi="Verdana" w:cs="Arial"/>
          <w:color w:val="000000" w:themeColor="text1"/>
          <w:sz w:val="14"/>
          <w:szCs w:val="14"/>
        </w:rPr>
        <w:t xml:space="preserve"> Consejo de Estado. Sala de Consulta y Servicio Civil. Concepto de 28 de Junio de 2016. Radicación: 2253. C.P. Álvaro Namén Vargas. </w:t>
      </w:r>
    </w:p>
  </w:footnote>
  <w:footnote w:id="8">
    <w:p w14:paraId="5D9FCCAB" w14:textId="77777777" w:rsidR="00F26D50" w:rsidRPr="009F2629" w:rsidDel="009F2629" w:rsidRDefault="00F26D50" w:rsidP="00F26D50">
      <w:pPr>
        <w:pStyle w:val="Textonotapie"/>
        <w:ind w:firstLine="709"/>
        <w:jc w:val="both"/>
        <w:rPr>
          <w:rFonts w:ascii="Verdana" w:hAnsi="Verdana" w:cs="Arial"/>
          <w:color w:val="000000" w:themeColor="text1"/>
          <w:sz w:val="14"/>
          <w:szCs w:val="14"/>
          <w:lang w:val="es-ES"/>
        </w:rPr>
      </w:pPr>
      <w:r w:rsidRPr="009F2629">
        <w:rPr>
          <w:rStyle w:val="Refdenotaalpie"/>
          <w:rFonts w:ascii="Verdana" w:hAnsi="Verdana" w:cs="Arial"/>
          <w:color w:val="000000" w:themeColor="text1"/>
          <w:sz w:val="14"/>
          <w:szCs w:val="14"/>
        </w:rPr>
        <w:footnoteRef/>
      </w:r>
      <w:r w:rsidRPr="009F2629">
        <w:rPr>
          <w:rFonts w:ascii="Verdana" w:hAnsi="Verdana" w:cs="Arial"/>
          <w:color w:val="000000" w:themeColor="text1"/>
          <w:sz w:val="14"/>
          <w:szCs w:val="14"/>
        </w:rPr>
        <w:t xml:space="preserve"> Es importante advertir que también durante estos dos meses se podrá realizar una liquidación bilateral, esto es, de mutuo acuerdo, lo cual significa que el plazo para hacer la liquidación bilateral no es un término perentorio, sino sencillamente indicativo.</w:t>
      </w:r>
    </w:p>
  </w:footnote>
  <w:footnote w:id="9">
    <w:p w14:paraId="567BB1D5" w14:textId="77777777" w:rsidR="00F26D50" w:rsidRPr="009F2629" w:rsidRDefault="00F26D50" w:rsidP="00F26D50">
      <w:pPr>
        <w:pStyle w:val="Textonotapie"/>
        <w:ind w:firstLine="709"/>
        <w:jc w:val="both"/>
        <w:rPr>
          <w:rFonts w:ascii="Verdana" w:hAnsi="Verdana" w:cs="Arial"/>
          <w:color w:val="000000" w:themeColor="text1"/>
          <w:sz w:val="14"/>
          <w:szCs w:val="14"/>
          <w:lang w:val="pt-BR"/>
        </w:rPr>
      </w:pPr>
      <w:r w:rsidRPr="009F2629">
        <w:rPr>
          <w:rStyle w:val="Refdenotaalpie"/>
          <w:rFonts w:ascii="Verdana" w:hAnsi="Verdana" w:cs="Arial"/>
          <w:color w:val="000000" w:themeColor="text1"/>
          <w:sz w:val="14"/>
          <w:szCs w:val="14"/>
        </w:rPr>
        <w:footnoteRef/>
      </w:r>
      <w:r w:rsidRPr="009F2629">
        <w:rPr>
          <w:rFonts w:ascii="Verdana" w:hAnsi="Verdana" w:cs="Arial"/>
          <w:color w:val="000000" w:themeColor="text1"/>
          <w:sz w:val="14"/>
          <w:szCs w:val="14"/>
        </w:rPr>
        <w:t xml:space="preserve"> Consejo de Estado. Sección Tercera. </w:t>
      </w:r>
      <w:r w:rsidRPr="009F2629">
        <w:rPr>
          <w:rFonts w:ascii="Verdana" w:hAnsi="Verdana" w:cs="Arial"/>
          <w:color w:val="000000" w:themeColor="text1"/>
          <w:sz w:val="14"/>
          <w:szCs w:val="14"/>
          <w:lang w:val="pt-BR"/>
        </w:rPr>
        <w:t xml:space="preserve">Sala Plena. Auto de 1 de agosto de 2019. Exp. 62009. C.P. Jaime Enrique Rodríguez Navas. </w:t>
      </w:r>
    </w:p>
  </w:footnote>
  <w:footnote w:id="10">
    <w:p w14:paraId="62621FEE" w14:textId="77777777" w:rsidR="00F26D50" w:rsidRPr="00B64A74" w:rsidRDefault="00F26D50" w:rsidP="00F26D50">
      <w:pPr>
        <w:pStyle w:val="Textonotapie"/>
        <w:ind w:firstLine="708"/>
        <w:jc w:val="both"/>
        <w:rPr>
          <w:rFonts w:ascii="Verdana" w:hAnsi="Verdana" w:cs="Arial"/>
          <w:sz w:val="14"/>
          <w:szCs w:val="14"/>
        </w:rPr>
      </w:pPr>
      <w:r w:rsidRPr="00B64A74">
        <w:rPr>
          <w:rStyle w:val="Refdenotaalpie"/>
          <w:rFonts w:ascii="Verdana" w:hAnsi="Verdana" w:cs="Arial"/>
          <w:sz w:val="14"/>
          <w:szCs w:val="14"/>
          <w:lang w:val="es-CO"/>
        </w:rPr>
        <w:footnoteRef/>
      </w:r>
      <w:r w:rsidRPr="00B64A74">
        <w:rPr>
          <w:rFonts w:ascii="Verdana" w:hAnsi="Verdana" w:cs="Arial"/>
          <w:sz w:val="14"/>
          <w:szCs w:val="14"/>
          <w:lang w:val="es-CO"/>
        </w:rPr>
        <w:t xml:space="preserve"> </w:t>
      </w:r>
      <w:r w:rsidRPr="00B64A74">
        <w:rPr>
          <w:rFonts w:ascii="Verdana" w:hAnsi="Verdana" w:cs="Arial"/>
          <w:color w:val="000000"/>
          <w:sz w:val="14"/>
          <w:szCs w:val="14"/>
          <w:lang w:val="es-CO"/>
        </w:rPr>
        <w:t>DÍAZ DÍEZ, Cristian Andrés. La liquidación. Serie: Las Cláusulas del Contrato Estatal. Medellín: Librería Jurídica Sánchez y Centro de Estudios de Derecho Administrativo –CEDA–, 2013.</w:t>
      </w:r>
      <w:r w:rsidRPr="00B64A74">
        <w:rPr>
          <w:rFonts w:ascii="Verdana" w:hAnsi="Verdana" w:cs="Arial"/>
          <w:sz w:val="14"/>
          <w:szCs w:val="14"/>
          <w:lang w:val="es-CO"/>
        </w:rPr>
        <w:t xml:space="preserve"> pp. 255-256.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FC859" w14:textId="77777777" w:rsidR="00F26D50" w:rsidRDefault="00F26D5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E33E595" wp14:editId="77FB2BD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9CEB9F6" wp14:editId="0AC11C2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065E4D7" w14:textId="77777777" w:rsidR="00F26D50" w:rsidRDefault="00F26D50">
    <w:pPr>
      <w:pStyle w:val="Encabezado"/>
    </w:pPr>
  </w:p>
  <w:p w14:paraId="6008ABCC" w14:textId="77777777" w:rsidR="00F26D50" w:rsidRPr="004A305D" w:rsidRDefault="00F26D50" w:rsidP="00B01B1A">
    <w:pPr>
      <w:spacing w:after="0" w:line="120" w:lineRule="auto"/>
      <w:rPr>
        <w:rFonts w:ascii="Century Gothic" w:eastAsia="Geo" w:hAnsi="Century Gothic" w:cs="Geo"/>
        <w:sz w:val="16"/>
        <w:szCs w:val="16"/>
        <w:lang w:eastAsia="es-CO"/>
      </w:rPr>
    </w:pPr>
  </w:p>
  <w:p w14:paraId="47B3AAF2" w14:textId="77777777" w:rsidR="00F26D50" w:rsidRDefault="00F26D50" w:rsidP="00844AE9">
    <w:pPr>
      <w:spacing w:after="0" w:line="240" w:lineRule="auto"/>
      <w:rPr>
        <w:rFonts w:ascii="Verdana" w:hAnsi="Verdana"/>
        <w:sz w:val="24"/>
        <w:szCs w:val="24"/>
      </w:rPr>
    </w:pPr>
  </w:p>
  <w:p w14:paraId="52B1D51D" w14:textId="77777777" w:rsidR="00F26D50" w:rsidRPr="00C925AC" w:rsidRDefault="00F26D50" w:rsidP="00844AE9">
    <w:pPr>
      <w:spacing w:after="0" w:line="240" w:lineRule="auto"/>
      <w:rPr>
        <w:rFonts w:ascii="Verdana" w:hAnsi="Verdana"/>
        <w:sz w:val="24"/>
        <w:szCs w:val="24"/>
      </w:rPr>
    </w:pPr>
  </w:p>
  <w:p w14:paraId="0B499327" w14:textId="77777777" w:rsidR="00F26D50" w:rsidRPr="00C925AC" w:rsidRDefault="00F26D5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11A02"/>
    <w:multiLevelType w:val="multilevel"/>
    <w:tmpl w:val="DD5CD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D726F5"/>
    <w:multiLevelType w:val="hybridMultilevel"/>
    <w:tmpl w:val="A77E244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773329156">
    <w:abstractNumId w:val="2"/>
  </w:num>
  <w:num w:numId="2" w16cid:durableId="1788624516">
    <w:abstractNumId w:val="1"/>
  </w:num>
  <w:num w:numId="3" w16cid:durableId="1091662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D50"/>
    <w:rsid w:val="000D3D9F"/>
    <w:rsid w:val="002C62EB"/>
    <w:rsid w:val="002D6822"/>
    <w:rsid w:val="005A5C97"/>
    <w:rsid w:val="0063662B"/>
    <w:rsid w:val="007A436C"/>
    <w:rsid w:val="007F1D5F"/>
    <w:rsid w:val="009B4EF6"/>
    <w:rsid w:val="00A52A9A"/>
    <w:rsid w:val="00E76077"/>
    <w:rsid w:val="00F26D50"/>
    <w:rsid w:val="00F5322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ADA76"/>
  <w15:chartTrackingRefBased/>
  <w15:docId w15:val="{5C826A92-F4DB-4BAF-BD7A-E0A075033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D50"/>
    <w:pPr>
      <w:spacing w:line="259" w:lineRule="auto"/>
    </w:pPr>
    <w:rPr>
      <w:kern w:val="0"/>
      <w:sz w:val="22"/>
      <w:szCs w:val="22"/>
      <w14:ligatures w14:val="none"/>
    </w:rPr>
  </w:style>
  <w:style w:type="paragraph" w:styleId="Ttulo1">
    <w:name w:val="heading 1"/>
    <w:basedOn w:val="Normal"/>
    <w:next w:val="Normal"/>
    <w:link w:val="Ttulo1Car"/>
    <w:uiPriority w:val="9"/>
    <w:qFormat/>
    <w:rsid w:val="00F26D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26D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26D5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26D5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26D5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26D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26D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26D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26D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6D5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26D5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26D5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26D5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26D5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26D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26D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26D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26D50"/>
    <w:rPr>
      <w:rFonts w:eastAsiaTheme="majorEastAsia" w:cstheme="majorBidi"/>
      <w:color w:val="272727" w:themeColor="text1" w:themeTint="D8"/>
    </w:rPr>
  </w:style>
  <w:style w:type="paragraph" w:styleId="Ttulo">
    <w:name w:val="Title"/>
    <w:basedOn w:val="Normal"/>
    <w:next w:val="Normal"/>
    <w:link w:val="TtuloCar"/>
    <w:uiPriority w:val="10"/>
    <w:qFormat/>
    <w:rsid w:val="00F26D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26D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26D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26D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26D50"/>
    <w:pPr>
      <w:spacing w:before="160"/>
      <w:jc w:val="center"/>
    </w:pPr>
    <w:rPr>
      <w:i/>
      <w:iCs/>
      <w:color w:val="404040" w:themeColor="text1" w:themeTint="BF"/>
    </w:rPr>
  </w:style>
  <w:style w:type="character" w:customStyle="1" w:styleId="CitaCar">
    <w:name w:val="Cita Car"/>
    <w:basedOn w:val="Fuentedeprrafopredeter"/>
    <w:link w:val="Cita"/>
    <w:uiPriority w:val="29"/>
    <w:rsid w:val="00F26D5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F26D50"/>
    <w:pPr>
      <w:ind w:left="720"/>
      <w:contextualSpacing/>
    </w:pPr>
  </w:style>
  <w:style w:type="character" w:styleId="nfasisintenso">
    <w:name w:val="Intense Emphasis"/>
    <w:basedOn w:val="Fuentedeprrafopredeter"/>
    <w:uiPriority w:val="21"/>
    <w:qFormat/>
    <w:rsid w:val="00F26D50"/>
    <w:rPr>
      <w:i/>
      <w:iCs/>
      <w:color w:val="0F4761" w:themeColor="accent1" w:themeShade="BF"/>
    </w:rPr>
  </w:style>
  <w:style w:type="paragraph" w:styleId="Citadestacada">
    <w:name w:val="Intense Quote"/>
    <w:basedOn w:val="Normal"/>
    <w:next w:val="Normal"/>
    <w:link w:val="CitadestacadaCar"/>
    <w:uiPriority w:val="30"/>
    <w:qFormat/>
    <w:rsid w:val="00F26D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26D50"/>
    <w:rPr>
      <w:i/>
      <w:iCs/>
      <w:color w:val="0F4761" w:themeColor="accent1" w:themeShade="BF"/>
    </w:rPr>
  </w:style>
  <w:style w:type="character" w:styleId="Referenciaintensa">
    <w:name w:val="Intense Reference"/>
    <w:basedOn w:val="Fuentedeprrafopredeter"/>
    <w:uiPriority w:val="32"/>
    <w:qFormat/>
    <w:rsid w:val="00F26D50"/>
    <w:rPr>
      <w:b/>
      <w:bCs/>
      <w:smallCaps/>
      <w:color w:val="0F4761" w:themeColor="accent1" w:themeShade="BF"/>
      <w:spacing w:val="5"/>
    </w:rPr>
  </w:style>
  <w:style w:type="paragraph" w:styleId="Encabezado">
    <w:name w:val="header"/>
    <w:basedOn w:val="Normal"/>
    <w:link w:val="EncabezadoCar"/>
    <w:uiPriority w:val="99"/>
    <w:unhideWhenUsed/>
    <w:rsid w:val="00F26D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26D50"/>
    <w:rPr>
      <w:kern w:val="0"/>
      <w:sz w:val="22"/>
      <w:szCs w:val="22"/>
      <w14:ligatures w14:val="none"/>
    </w:rPr>
  </w:style>
  <w:style w:type="paragraph" w:styleId="Piedepgina">
    <w:name w:val="footer"/>
    <w:basedOn w:val="Normal"/>
    <w:link w:val="PiedepginaCar"/>
    <w:uiPriority w:val="99"/>
    <w:unhideWhenUsed/>
    <w:rsid w:val="00F26D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26D50"/>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F26D5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F26D5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26D5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26D50"/>
    <w:rPr>
      <w:vertAlign w:val="superscript"/>
    </w:rPr>
  </w:style>
  <w:style w:type="character" w:customStyle="1" w:styleId="normaltextrun">
    <w:name w:val="normaltextrun"/>
    <w:basedOn w:val="Fuentedeprrafopredeter"/>
    <w:rsid w:val="00F26D50"/>
  </w:style>
  <w:style w:type="table" w:styleId="Tablaconcuadrcula">
    <w:name w:val="Table Grid"/>
    <w:basedOn w:val="Tablanormal"/>
    <w:uiPriority w:val="39"/>
    <w:qFormat/>
    <w:rsid w:val="00F26D5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26D50"/>
    <w:rPr>
      <w:color w:val="0000FF"/>
      <w:u w:val="single"/>
    </w:rPr>
  </w:style>
  <w:style w:type="paragraph" w:customStyle="1" w:styleId="Appelnotedebasde">
    <w:name w:val="Appel note de bas de..."/>
    <w:basedOn w:val="Normal"/>
    <w:link w:val="Refdenotaalpie"/>
    <w:uiPriority w:val="99"/>
    <w:rsid w:val="00F26D50"/>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F26D50"/>
  </w:style>
  <w:style w:type="paragraph" w:styleId="Sinespaciado">
    <w:name w:val="No Spacing"/>
    <w:aliases w:val="No Indent"/>
    <w:uiPriority w:val="3"/>
    <w:qFormat/>
    <w:rsid w:val="00F26D50"/>
    <w:pPr>
      <w:spacing w:after="0" w:line="240" w:lineRule="auto"/>
    </w:pPr>
    <w:rPr>
      <w:kern w:val="0"/>
      <w:szCs w:val="22"/>
      <w:lang w:val="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lentinapaezborrero@gmail.com" TargetMode="External"/><Relationship Id="rId13"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macionvirtual.colombiacompra.gov.co/mod/page/view.php?id=3718" TargetMode="External"/><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s://www.colombiacompra.gov.co/pqrsd/informacion-importante-antes-de-formular-una-pqrsd" TargetMode="External"/><Relationship Id="rId23" Type="http://schemas.openxmlformats.org/officeDocument/2006/relationships/customXml" Target="../customXml/item2.xml"/><Relationship Id="rId10"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operaciones.colombiacompra.gov.co/sites/cce_public/files/cce_documents/cce_guia_liquidacion_procesos.pdf" TargetMode="External"/><Relationship Id="rId14" Type="http://schemas.openxmlformats.org/officeDocument/2006/relationships/hyperlink" Target="mailto:ventanilladeradicacion@colombiacompra.gov.co" TargetMode="External"/><Relationship Id="rId22"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5B9D45-D8DC-40E4-B79A-EC132F76A31C}"/>
</file>

<file path=customXml/itemProps2.xml><?xml version="1.0" encoding="utf-8"?>
<ds:datastoreItem xmlns:ds="http://schemas.openxmlformats.org/officeDocument/2006/customXml" ds:itemID="{BF5E821D-13BC-4D22-8F76-4DF94A81ACD1}"/>
</file>

<file path=customXml/itemProps3.xml><?xml version="1.0" encoding="utf-8"?>
<ds:datastoreItem xmlns:ds="http://schemas.openxmlformats.org/officeDocument/2006/customXml" ds:itemID="{2EE9D2DE-F987-4048-BF1A-2239B5A35AD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16</Pages>
  <Words>5104</Words>
  <Characters>28078</Characters>
  <Application>Microsoft Office Word</Application>
  <DocSecurity>0</DocSecurity>
  <Lines>233</Lines>
  <Paragraphs>66</Paragraphs>
  <ScaleCrop>false</ScaleCrop>
  <Company/>
  <LinksUpToDate>false</LinksUpToDate>
  <CharactersWithSpaces>33116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5</cp:revision>
  <dcterms:created xsi:type="dcterms:W3CDTF">2026-05-19T15:57:00Z</dcterms:created>
  <dcterms:modified xsi:type="dcterms:W3CDTF">2026-05-20T16:43:00Z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