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3B587" w14:textId="77777777" w:rsidR="00FE5839" w:rsidRPr="001A7B08" w:rsidRDefault="00FE5839" w:rsidP="00FE5839">
      <w:pPr>
        <w:spacing w:after="0" w:line="240" w:lineRule="auto"/>
        <w:jc w:val="both"/>
        <w:rPr>
          <w:rFonts w:ascii="Verdana" w:eastAsia="Calibri" w:hAnsi="Verdana" w:cs="Arial"/>
          <w:b/>
          <w:bCs/>
          <w:lang w:val="es-ES_tradnl"/>
        </w:rPr>
      </w:pPr>
      <w:r w:rsidRPr="001A7B08">
        <w:rPr>
          <w:rFonts w:ascii="Verdana" w:eastAsia="Calibri" w:hAnsi="Verdana" w:cs="Arial"/>
          <w:b/>
          <w:bCs/>
          <w:lang w:val="es-ES_tradnl"/>
        </w:rPr>
        <w:t xml:space="preserve">DOCUMENTOS TIPO – Fundamento normativo – Obligatoriedad </w:t>
      </w:r>
    </w:p>
    <w:p w14:paraId="2177BBBC" w14:textId="77777777" w:rsidR="00FE5839" w:rsidRPr="001A7B08" w:rsidRDefault="00FE5839" w:rsidP="00FE5839">
      <w:pPr>
        <w:spacing w:after="0" w:line="240" w:lineRule="auto"/>
        <w:jc w:val="both"/>
        <w:rPr>
          <w:rFonts w:ascii="Verdana" w:eastAsia="Calibri" w:hAnsi="Verdana" w:cs="Arial"/>
          <w:b/>
          <w:bCs/>
          <w:sz w:val="20"/>
          <w:szCs w:val="20"/>
          <w:lang w:val="es-ES_tradnl"/>
        </w:rPr>
      </w:pPr>
    </w:p>
    <w:p w14:paraId="0969DDE9" w14:textId="77777777" w:rsidR="00FE5839" w:rsidRPr="001A7B08" w:rsidRDefault="00FE5839" w:rsidP="00FE5839">
      <w:pPr>
        <w:spacing w:after="0" w:line="240" w:lineRule="auto"/>
        <w:jc w:val="both"/>
        <w:rPr>
          <w:rFonts w:ascii="Verdana" w:eastAsia="Aptos" w:hAnsi="Verdana" w:cs="Times New Roman"/>
          <w:kern w:val="2"/>
          <w:sz w:val="20"/>
          <w:szCs w:val="20"/>
          <w:lang w:val="es-MX"/>
          <w14:ligatures w14:val="standardContextual"/>
        </w:rPr>
      </w:pPr>
      <w:r w:rsidRPr="001A7B08">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r>
        <w:rPr>
          <w:rFonts w:ascii="Verdana" w:eastAsia="Aptos" w:hAnsi="Verdana" w:cs="Times New Roman"/>
          <w:kern w:val="2"/>
          <w:sz w:val="20"/>
          <w:szCs w:val="20"/>
          <w:lang w:val="es-MX"/>
          <w14:ligatures w14:val="standardContextual"/>
        </w:rPr>
        <w:t xml:space="preserve"> </w:t>
      </w:r>
      <w:r w:rsidRPr="001A7B08">
        <w:rPr>
          <w:rFonts w:ascii="Verdana" w:eastAsia="Aptos" w:hAnsi="Verdana" w:cs="Times New Roman"/>
          <w:kern w:val="2"/>
          <w:sz w:val="20"/>
          <w:szCs w:val="20"/>
          <w:lang w:val="es-ES"/>
          <w14:ligatures w14:val="standardContextual"/>
        </w:rPr>
        <w:t xml:space="preserve">La norma </w:t>
      </w:r>
      <w:r w:rsidRPr="001A7B08">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D72F97A" w14:textId="77777777" w:rsidR="00FE5839" w:rsidRPr="001A7B08" w:rsidRDefault="00FE5839" w:rsidP="00FE5839">
      <w:pPr>
        <w:spacing w:after="0" w:line="240" w:lineRule="auto"/>
        <w:jc w:val="both"/>
        <w:rPr>
          <w:rFonts w:ascii="Verdana" w:eastAsia="Aptos" w:hAnsi="Verdana" w:cs="Times New Roman"/>
          <w:sz w:val="20"/>
          <w:szCs w:val="20"/>
          <w:lang w:val="es-MX"/>
        </w:rPr>
      </w:pPr>
    </w:p>
    <w:p w14:paraId="7ED9A23F" w14:textId="77777777" w:rsidR="00FE5839" w:rsidRPr="001A7B08" w:rsidRDefault="00FE5839" w:rsidP="00FE5839">
      <w:pPr>
        <w:spacing w:after="0" w:line="240" w:lineRule="auto"/>
        <w:jc w:val="both"/>
        <w:rPr>
          <w:rFonts w:ascii="Verdana" w:eastAsia="Calibri" w:hAnsi="Verdana" w:cs="Arial"/>
          <w:b/>
          <w:bCs/>
          <w:kern w:val="2"/>
          <w:lang w:val="es-ES_tradnl"/>
          <w14:ligatures w14:val="standardContextual"/>
        </w:rPr>
      </w:pPr>
      <w:r w:rsidRPr="001A7B08">
        <w:rPr>
          <w:rFonts w:ascii="Verdana" w:eastAsia="Calibri" w:hAnsi="Verdana" w:cs="Arial"/>
          <w:b/>
          <w:bCs/>
          <w:lang w:val="es-ES_tradnl"/>
        </w:rPr>
        <w:t>DOCUMENTOS TIPO – Adopción – Implementación</w:t>
      </w:r>
    </w:p>
    <w:p w14:paraId="7E323E6C" w14:textId="77777777" w:rsidR="00FE5839" w:rsidRPr="001A7B08" w:rsidRDefault="00FE5839" w:rsidP="00FE5839">
      <w:pPr>
        <w:spacing w:after="0" w:line="240" w:lineRule="auto"/>
        <w:jc w:val="both"/>
        <w:rPr>
          <w:rFonts w:ascii="Verdana" w:eastAsia="Calibri" w:hAnsi="Verdana" w:cs="Arial"/>
          <w:color w:val="000000"/>
          <w:kern w:val="2"/>
          <w:sz w:val="20"/>
          <w:szCs w:val="20"/>
          <w:lang w:val="es-MX"/>
          <w14:ligatures w14:val="standardContextual"/>
        </w:rPr>
      </w:pPr>
    </w:p>
    <w:p w14:paraId="6891B8E2" w14:textId="77777777" w:rsidR="00FE5839" w:rsidRPr="001A7B08" w:rsidRDefault="00FE5839" w:rsidP="00FE5839">
      <w:pPr>
        <w:spacing w:after="0" w:line="240" w:lineRule="auto"/>
        <w:jc w:val="both"/>
        <w:rPr>
          <w:rFonts w:ascii="Verdana" w:eastAsia="Calibri" w:hAnsi="Verdana" w:cs="Arial"/>
          <w:color w:val="000000"/>
          <w:kern w:val="2"/>
          <w:sz w:val="20"/>
          <w:szCs w:val="20"/>
          <w:lang w:val="es-MX"/>
          <w14:ligatures w14:val="standardContextual"/>
        </w:rPr>
      </w:pPr>
      <w:r w:rsidRPr="001A7B08">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396E957C" w14:textId="77777777" w:rsidR="00FE5839" w:rsidRPr="001A7B08" w:rsidRDefault="00FE5839" w:rsidP="00FE5839">
      <w:pPr>
        <w:spacing w:after="0" w:line="240" w:lineRule="auto"/>
        <w:jc w:val="both"/>
        <w:rPr>
          <w:rFonts w:ascii="Verdana" w:eastAsia="Calibri" w:hAnsi="Verdana" w:cs="Arial"/>
          <w:color w:val="000000"/>
          <w:sz w:val="20"/>
          <w:szCs w:val="20"/>
          <w:lang w:val="es-MX"/>
        </w:rPr>
      </w:pPr>
    </w:p>
    <w:p w14:paraId="626998A7" w14:textId="77777777" w:rsidR="00FE5839" w:rsidRPr="001A7B08" w:rsidRDefault="00FE5839" w:rsidP="00FE5839">
      <w:pPr>
        <w:spacing w:after="0" w:line="240" w:lineRule="auto"/>
        <w:jc w:val="both"/>
        <w:rPr>
          <w:rFonts w:ascii="Verdana" w:eastAsia="Calibri" w:hAnsi="Verdana" w:cs="Arial"/>
          <w:b/>
          <w:bCs/>
          <w:kern w:val="2"/>
          <w:lang w:val="es-ES_tradnl"/>
          <w14:ligatures w14:val="standardContextual"/>
        </w:rPr>
      </w:pPr>
      <w:r w:rsidRPr="001A7B08">
        <w:rPr>
          <w:rFonts w:ascii="Verdana" w:eastAsia="Calibri" w:hAnsi="Verdana" w:cs="Arial"/>
          <w:b/>
          <w:bCs/>
          <w:lang w:val="es-ES_tradnl"/>
        </w:rPr>
        <w:t>DOCUMENTOS TIPO – Sectores – Vigentes</w:t>
      </w:r>
    </w:p>
    <w:p w14:paraId="08121A02" w14:textId="77777777" w:rsidR="00FE5839" w:rsidRPr="001A7B08" w:rsidRDefault="00FE5839" w:rsidP="00FE5839">
      <w:pPr>
        <w:spacing w:after="0" w:line="240" w:lineRule="auto"/>
        <w:jc w:val="both"/>
        <w:rPr>
          <w:rFonts w:ascii="Verdana" w:eastAsia="Calibri" w:hAnsi="Verdana" w:cs="Arial"/>
          <w:b/>
          <w:bCs/>
          <w:color w:val="000000"/>
          <w:sz w:val="20"/>
          <w:szCs w:val="20"/>
          <w:lang w:eastAsia="es-ES_tradnl"/>
        </w:rPr>
      </w:pPr>
    </w:p>
    <w:p w14:paraId="397C8250" w14:textId="77777777" w:rsidR="00FE5839" w:rsidRPr="001A7B08" w:rsidRDefault="00FE5839" w:rsidP="00FE5839">
      <w:pPr>
        <w:tabs>
          <w:tab w:val="left" w:pos="709"/>
        </w:tabs>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w:t>
      </w:r>
      <w:r w:rsidRPr="001A7B08">
        <w:rPr>
          <w:rFonts w:ascii="Verdana" w:eastAsia="Calibri" w:hAnsi="Verdana" w:cs="Arial"/>
          <w:sz w:val="20"/>
          <w:szCs w:val="20"/>
          <w:lang w:val="es-ES"/>
        </w:rPr>
        <w:t xml:space="preserve">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8A00AC1" w14:textId="77777777" w:rsidR="00FE5839" w:rsidRPr="001A7B08" w:rsidRDefault="00FE5839" w:rsidP="00FE5839">
      <w:pPr>
        <w:spacing w:after="0" w:line="240" w:lineRule="auto"/>
        <w:jc w:val="both"/>
        <w:rPr>
          <w:rFonts w:ascii="Verdana" w:eastAsia="Calibri" w:hAnsi="Verdana" w:cs="Arial"/>
          <w:color w:val="000000"/>
          <w:kern w:val="2"/>
          <w:sz w:val="20"/>
          <w:szCs w:val="20"/>
          <w:lang w:val="es-MX"/>
          <w14:ligatures w14:val="standardContextual"/>
        </w:rPr>
      </w:pPr>
    </w:p>
    <w:p w14:paraId="2EC98A32" w14:textId="77777777" w:rsidR="00FE5839" w:rsidRPr="001A7B08" w:rsidRDefault="00FE5839" w:rsidP="00FE5839">
      <w:pPr>
        <w:spacing w:after="0" w:line="240" w:lineRule="auto"/>
        <w:jc w:val="both"/>
        <w:rPr>
          <w:rFonts w:ascii="Verdana" w:eastAsia="Calibri" w:hAnsi="Verdana" w:cs="Arial"/>
          <w:b/>
          <w:bCs/>
          <w:kern w:val="2"/>
          <w:lang w:val="es-ES_tradnl"/>
          <w14:ligatures w14:val="standardContextual"/>
        </w:rPr>
      </w:pPr>
      <w:r w:rsidRPr="001A7B08">
        <w:rPr>
          <w:rFonts w:ascii="Verdana" w:eastAsia="Calibri" w:hAnsi="Verdana" w:cs="Arial"/>
          <w:b/>
          <w:bCs/>
          <w:lang w:val="es-ES_tradnl"/>
        </w:rPr>
        <w:t xml:space="preserve">DOCUMENTOS TIPO – Colombia Compra Eficiente – Facultad de estandarización </w:t>
      </w:r>
    </w:p>
    <w:p w14:paraId="04C77237" w14:textId="77777777" w:rsidR="00FE5839" w:rsidRPr="001A7B08" w:rsidRDefault="00FE5839" w:rsidP="00FE5839">
      <w:pPr>
        <w:spacing w:after="0" w:line="240" w:lineRule="auto"/>
        <w:jc w:val="both"/>
        <w:rPr>
          <w:rFonts w:ascii="Verdana" w:eastAsia="Calibri" w:hAnsi="Verdana" w:cs="Arial"/>
          <w:b/>
          <w:bCs/>
          <w:kern w:val="2"/>
          <w:sz w:val="20"/>
          <w:szCs w:val="20"/>
          <w:lang w:val="es-ES_tradnl"/>
          <w14:ligatures w14:val="standardContextual"/>
        </w:rPr>
      </w:pPr>
    </w:p>
    <w:p w14:paraId="7275577B" w14:textId="77777777" w:rsidR="00FE5839" w:rsidRPr="001A7B08" w:rsidRDefault="00FE5839" w:rsidP="00FE583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A7B08">
        <w:rPr>
          <w:rFonts w:ascii="Verdana" w:eastAsia="Times New Roman" w:hAnsi="Verdana" w:cs="Arial"/>
          <w:kern w:val="2"/>
          <w:sz w:val="20"/>
          <w:szCs w:val="20"/>
          <w:lang w:eastAsia="es-ES"/>
          <w14:ligatures w14:val="standardContextual"/>
        </w:rPr>
        <w:t>Conforme con lo anterior, m</w:t>
      </w:r>
      <w:r w:rsidRPr="001A7B08">
        <w:rPr>
          <w:rFonts w:ascii="Verdana" w:eastAsia="Times New Roman" w:hAnsi="Verdana" w:cs="Arial"/>
          <w:sz w:val="20"/>
          <w:szCs w:val="20"/>
          <w:lang w:eastAsia="es-ES"/>
        </w:rPr>
        <w:t xml:space="preserve">ediante una interpretación sistemática de la normativa y jurisprudencia citada es posible concluir que </w:t>
      </w:r>
      <w:r w:rsidRPr="001A7B08">
        <w:rPr>
          <w:rFonts w:ascii="Verdana" w:eastAsia="Times New Roman" w:hAnsi="Verdana" w:cs="Arial"/>
          <w:kern w:val="2"/>
          <w:sz w:val="20"/>
          <w:szCs w:val="20"/>
          <w:lang w:eastAsia="es-ES"/>
          <w14:ligatures w14:val="standardContextual"/>
        </w:rPr>
        <w:t>la</w:t>
      </w:r>
      <w:r w:rsidRPr="001A7B08">
        <w:rPr>
          <w:rFonts w:ascii="Verdana" w:eastAsia="Times New Roman" w:hAnsi="Verdana" w:cs="Arial"/>
          <w:sz w:val="20"/>
          <w:szCs w:val="20"/>
          <w:lang w:eastAsia="es-ES"/>
        </w:rPr>
        <w:t xml:space="preserve"> Agencia</w:t>
      </w:r>
      <w:r w:rsidRPr="001A7B08">
        <w:rPr>
          <w:rFonts w:ascii="Verdana" w:eastAsia="Times New Roman" w:hAnsi="Verdana" w:cs="Arial"/>
          <w:kern w:val="2"/>
          <w:sz w:val="20"/>
          <w:szCs w:val="20"/>
          <w:lang w:eastAsia="es-ES"/>
          <w14:ligatures w14:val="standardContextual"/>
        </w:rPr>
        <w:t xml:space="preserve"> Nacional de Contratación Pública – Colombia Compra Eficiente</w:t>
      </w:r>
      <w:r w:rsidRPr="001A7B08">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w:t>
      </w:r>
      <w:r w:rsidRPr="001A7B08">
        <w:rPr>
          <w:rFonts w:ascii="Verdana" w:eastAsia="Times New Roman" w:hAnsi="Verdana" w:cs="Arial"/>
          <w:sz w:val="20"/>
          <w:szCs w:val="20"/>
          <w:lang w:eastAsia="es-ES"/>
        </w:rPr>
        <w:lastRenderedPageBreak/>
        <w:t xml:space="preserve">Compra Eficiente tiene la facultad de adoptar los documentos tipo, con fundamento en la potestad reglamentaria que le asignó el artículo 1º de la Ley 2022 de 2020. </w:t>
      </w:r>
    </w:p>
    <w:p w14:paraId="1AAA1008" w14:textId="77777777" w:rsidR="00FE5839" w:rsidRPr="001A7B08" w:rsidRDefault="00FE5839" w:rsidP="00FE5839">
      <w:pPr>
        <w:tabs>
          <w:tab w:val="center" w:pos="4419"/>
          <w:tab w:val="right" w:pos="8838"/>
        </w:tabs>
        <w:spacing w:after="0" w:line="240" w:lineRule="auto"/>
        <w:jc w:val="both"/>
        <w:rPr>
          <w:rFonts w:ascii="Verdana" w:eastAsia="MS Mincho" w:hAnsi="Verdana" w:cs="Arial"/>
          <w:sz w:val="20"/>
          <w:szCs w:val="20"/>
          <w:lang w:eastAsia="es-CO"/>
        </w:rPr>
      </w:pPr>
    </w:p>
    <w:p w14:paraId="0935D09C" w14:textId="77777777" w:rsidR="00FE5839" w:rsidRPr="001A7B08" w:rsidRDefault="00FE5839" w:rsidP="00FE583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A7B08">
        <w:rPr>
          <w:rFonts w:ascii="Verdana" w:eastAsia="MS Mincho" w:hAnsi="Verdana" w:cs="Arial"/>
          <w:sz w:val="20"/>
          <w:szCs w:val="20"/>
          <w:lang w:eastAsia="es-CO"/>
        </w:rPr>
        <w:t>I</w:t>
      </w:r>
      <w:r w:rsidRPr="001A7B08">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7090B202" w14:textId="77777777" w:rsidR="00FE5839" w:rsidRPr="001A7B08" w:rsidRDefault="00FE5839" w:rsidP="00FE5839">
      <w:pPr>
        <w:spacing w:after="0" w:line="240" w:lineRule="auto"/>
        <w:jc w:val="both"/>
        <w:rPr>
          <w:rFonts w:ascii="Verdana" w:eastAsia="Calibri" w:hAnsi="Verdana" w:cs="Arial"/>
          <w:b/>
          <w:bCs/>
          <w:sz w:val="20"/>
          <w:szCs w:val="20"/>
          <w:highlight w:val="yellow"/>
          <w:lang w:val="es-ES_tradnl"/>
        </w:rPr>
      </w:pPr>
    </w:p>
    <w:p w14:paraId="7A09DF8C" w14:textId="77777777" w:rsidR="00FE5839" w:rsidRPr="001A7B08" w:rsidRDefault="00FE5839" w:rsidP="00FE5839">
      <w:pPr>
        <w:spacing w:after="0" w:line="240" w:lineRule="auto"/>
        <w:rPr>
          <w:rFonts w:ascii="Verdana" w:eastAsia="Calibri" w:hAnsi="Verdana" w:cs="Times New Roman"/>
          <w:b/>
          <w:bCs/>
          <w:lang w:val="es-ES"/>
        </w:rPr>
      </w:pPr>
      <w:r w:rsidRPr="001A7B08">
        <w:rPr>
          <w:rFonts w:ascii="Verdana" w:eastAsia="Calibri" w:hAnsi="Verdana" w:cs="Times New Roman"/>
          <w:b/>
          <w:bCs/>
          <w:lang w:val="es-ES"/>
        </w:rPr>
        <w:t>DOCUMENTOS TIPO – Inalterabilidad – Alcance</w:t>
      </w:r>
    </w:p>
    <w:p w14:paraId="67D2028E" w14:textId="77777777" w:rsidR="00FE5839" w:rsidRPr="001A7B08" w:rsidRDefault="00FE5839" w:rsidP="00FE5839">
      <w:pPr>
        <w:spacing w:after="0" w:line="240" w:lineRule="auto"/>
        <w:rPr>
          <w:rFonts w:ascii="Verdana" w:eastAsia="Calibri" w:hAnsi="Verdana" w:cs="Times New Roman"/>
          <w:b/>
          <w:bCs/>
          <w:sz w:val="20"/>
          <w:szCs w:val="20"/>
          <w:lang w:val="es-ES"/>
        </w:rPr>
      </w:pPr>
    </w:p>
    <w:p w14:paraId="7EB8F5CC" w14:textId="77777777" w:rsidR="00FE5839" w:rsidRPr="001A7B08" w:rsidRDefault="00FE5839" w:rsidP="00FE5839">
      <w:pPr>
        <w:tabs>
          <w:tab w:val="center" w:pos="4419"/>
          <w:tab w:val="right" w:pos="8838"/>
        </w:tabs>
        <w:spacing w:after="0" w:line="240" w:lineRule="auto"/>
        <w:jc w:val="both"/>
        <w:rPr>
          <w:rFonts w:ascii="Verdana" w:eastAsia="Calibri" w:hAnsi="Verdana" w:cs="Arial"/>
          <w:color w:val="000000"/>
          <w:sz w:val="20"/>
          <w:szCs w:val="20"/>
          <w:lang w:val="es-ES"/>
        </w:rPr>
      </w:pPr>
      <w:r w:rsidRPr="001A7B08">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A7B08">
        <w:rPr>
          <w:rFonts w:ascii="Verdana" w:eastAsia="Calibri" w:hAnsi="Verdana" w:cs="Arial"/>
          <w:i/>
          <w:iCs/>
          <w:color w:val="000000"/>
          <w:sz w:val="20"/>
          <w:szCs w:val="20"/>
          <w:lang w:val="es-ES"/>
        </w:rPr>
        <w:t>Documentos del Proceso</w:t>
      </w:r>
      <w:r w:rsidRPr="001A7B08">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8BA88C0" w14:textId="77777777" w:rsidR="00FE5839" w:rsidRPr="001A7B08" w:rsidRDefault="00FE5839" w:rsidP="00FE5839">
      <w:pPr>
        <w:spacing w:after="0" w:line="240" w:lineRule="auto"/>
        <w:jc w:val="both"/>
        <w:rPr>
          <w:rFonts w:ascii="Verdana" w:eastAsia="Calibri" w:hAnsi="Verdana" w:cs="Arial"/>
          <w:sz w:val="20"/>
          <w:szCs w:val="20"/>
          <w:lang w:val="es-ES_tradnl"/>
        </w:rPr>
      </w:pPr>
    </w:p>
    <w:p w14:paraId="471CE7F8" w14:textId="77777777" w:rsidR="00FE5839" w:rsidRPr="001A7B08" w:rsidRDefault="00FE5839" w:rsidP="00FE5839">
      <w:pPr>
        <w:spacing w:after="0" w:line="240" w:lineRule="auto"/>
        <w:jc w:val="both"/>
        <w:rPr>
          <w:rFonts w:ascii="Verdana" w:eastAsia="Calibri" w:hAnsi="Verdana" w:cs="Arial"/>
          <w:color w:val="000000"/>
          <w:sz w:val="20"/>
          <w:szCs w:val="20"/>
          <w:lang w:val="es-ES"/>
        </w:rPr>
      </w:pPr>
      <w:r w:rsidRPr="001A7B08">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3AFBF41A" w14:textId="77777777" w:rsidR="00FE5839" w:rsidRPr="001A7B08" w:rsidRDefault="00FE5839" w:rsidP="00FE5839">
      <w:pPr>
        <w:spacing w:after="0" w:line="240" w:lineRule="auto"/>
        <w:jc w:val="both"/>
        <w:rPr>
          <w:rFonts w:ascii="Verdana" w:eastAsia="Calibri" w:hAnsi="Verdana" w:cs="Arial"/>
          <w:color w:val="000000"/>
          <w:sz w:val="20"/>
          <w:szCs w:val="20"/>
          <w:lang w:val="es-ES"/>
        </w:rPr>
      </w:pPr>
    </w:p>
    <w:p w14:paraId="6ED06F92" w14:textId="77777777" w:rsidR="00FE5839" w:rsidRPr="001A7B08" w:rsidRDefault="00FE5839" w:rsidP="00FE5839">
      <w:pPr>
        <w:spacing w:after="0" w:line="240" w:lineRule="auto"/>
        <w:jc w:val="both"/>
        <w:rPr>
          <w:rFonts w:ascii="Verdana" w:eastAsia="Calibri" w:hAnsi="Verdana" w:cs="Arial"/>
          <w:color w:val="000000"/>
          <w:sz w:val="20"/>
          <w:szCs w:val="20"/>
          <w:lang w:val="es-ES"/>
        </w:rPr>
      </w:pPr>
      <w:r w:rsidRPr="001A7B08">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D5523FB" w14:textId="77777777" w:rsidR="00FE5839" w:rsidRPr="001A7B08" w:rsidRDefault="00FE5839" w:rsidP="00FE5839">
      <w:pPr>
        <w:spacing w:after="0" w:line="240" w:lineRule="auto"/>
        <w:jc w:val="both"/>
        <w:rPr>
          <w:rFonts w:ascii="Verdana" w:eastAsia="Calibri" w:hAnsi="Verdana" w:cs="Arial"/>
          <w:color w:val="000000"/>
          <w:sz w:val="20"/>
          <w:szCs w:val="20"/>
          <w:lang w:val="es-ES"/>
        </w:rPr>
      </w:pPr>
    </w:p>
    <w:p w14:paraId="56523C42" w14:textId="77777777" w:rsidR="00FE5839" w:rsidRPr="001A7B08" w:rsidRDefault="00FE5839" w:rsidP="00FE5839">
      <w:pPr>
        <w:spacing w:after="0" w:line="240" w:lineRule="auto"/>
        <w:jc w:val="both"/>
        <w:rPr>
          <w:rFonts w:ascii="Verdana" w:eastAsia="Calibri" w:hAnsi="Verdana" w:cs="Arial"/>
          <w:color w:val="000000"/>
          <w:sz w:val="20"/>
          <w:szCs w:val="20"/>
          <w:lang w:val="es-ES"/>
        </w:rPr>
      </w:pPr>
      <w:r w:rsidRPr="001A7B08">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A7B08">
        <w:rPr>
          <w:rFonts w:ascii="Verdana" w:eastAsia="Aptos" w:hAnsi="Verdana" w:cs="Arial"/>
          <w:sz w:val="20"/>
          <w:szCs w:val="20"/>
        </w:rPr>
        <w:t>–[</w:t>
      </w:r>
      <w:r w:rsidRPr="001A7B08">
        <w:rPr>
          <w:rFonts w:ascii="Verdana" w:eastAsia="Aptos" w:hAnsi="Verdana" w:cs="Arial"/>
          <w:sz w:val="20"/>
          <w:szCs w:val="20"/>
          <w:highlight w:val="lightGray"/>
        </w:rPr>
        <w:t xml:space="preserve">texto de </w:t>
      </w:r>
      <w:r w:rsidRPr="001A7B08">
        <w:rPr>
          <w:rFonts w:ascii="Verdana" w:eastAsia="Aptos" w:hAnsi="Verdana" w:cs="Arial"/>
          <w:sz w:val="20"/>
          <w:szCs w:val="20"/>
          <w:highlight w:val="lightGray"/>
        </w:rPr>
        <w:lastRenderedPageBreak/>
        <w:t>ejemplo</w:t>
      </w:r>
      <w:r w:rsidRPr="001A7B08">
        <w:rPr>
          <w:rFonts w:ascii="Verdana" w:eastAsia="Aptos" w:hAnsi="Verdana" w:cs="Arial"/>
          <w:sz w:val="20"/>
          <w:szCs w:val="20"/>
        </w:rPr>
        <w:t xml:space="preserve">]– </w:t>
      </w:r>
      <w:r w:rsidRPr="001A7B08">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2BDE9548" w14:textId="77777777" w:rsidR="00FE5839" w:rsidRPr="001A7B08" w:rsidRDefault="00FE5839" w:rsidP="00FE5839">
      <w:pPr>
        <w:spacing w:after="0" w:line="240" w:lineRule="auto"/>
        <w:rPr>
          <w:rFonts w:ascii="Verdana" w:eastAsia="Calibri" w:hAnsi="Verdana" w:cs="Times New Roman"/>
          <w:b/>
          <w:bCs/>
          <w:sz w:val="20"/>
          <w:szCs w:val="20"/>
          <w:lang w:val="es-ES"/>
        </w:rPr>
      </w:pPr>
    </w:p>
    <w:p w14:paraId="1511B4D0" w14:textId="77777777" w:rsidR="00FE5839" w:rsidRDefault="00FE5839" w:rsidP="00FE5839">
      <w:pPr>
        <w:spacing w:after="0" w:line="240" w:lineRule="auto"/>
        <w:rPr>
          <w:rFonts w:ascii="Verdana" w:eastAsia="Calibri" w:hAnsi="Verdana" w:cs="Arial"/>
          <w:b/>
          <w:color w:val="000000" w:themeColor="text1"/>
          <w:lang w:val="es-ES"/>
        </w:rPr>
      </w:pPr>
    </w:p>
    <w:p w14:paraId="6352583E" w14:textId="77777777" w:rsidR="00FE5839" w:rsidRDefault="00FE5839" w:rsidP="00FE5839">
      <w:pPr>
        <w:spacing w:after="0" w:line="240" w:lineRule="auto"/>
        <w:rPr>
          <w:rFonts w:ascii="Verdana" w:eastAsia="Calibri" w:hAnsi="Verdana" w:cs="Arial"/>
          <w:b/>
          <w:color w:val="000000" w:themeColor="text1"/>
          <w:lang w:val="es-ES"/>
        </w:rPr>
      </w:pPr>
    </w:p>
    <w:p w14:paraId="691023B4" w14:textId="77777777" w:rsidR="00FE5839" w:rsidRDefault="00FE5839" w:rsidP="00FE5839">
      <w:pPr>
        <w:spacing w:after="0" w:line="240" w:lineRule="auto"/>
        <w:rPr>
          <w:rFonts w:ascii="Verdana" w:eastAsia="Calibri" w:hAnsi="Verdana" w:cs="Arial"/>
          <w:b/>
          <w:color w:val="000000" w:themeColor="text1"/>
          <w:lang w:val="es-ES"/>
        </w:rPr>
      </w:pPr>
    </w:p>
    <w:p w14:paraId="2B36A0C9" w14:textId="77777777" w:rsidR="00FE5839" w:rsidRDefault="00FE5839" w:rsidP="00FE5839">
      <w:pPr>
        <w:spacing w:after="0" w:line="240" w:lineRule="auto"/>
        <w:rPr>
          <w:rFonts w:ascii="Verdana" w:eastAsia="Calibri" w:hAnsi="Verdana" w:cs="Arial"/>
          <w:b/>
          <w:color w:val="000000" w:themeColor="text1"/>
          <w:lang w:val="es-ES"/>
        </w:rPr>
      </w:pPr>
    </w:p>
    <w:p w14:paraId="69C3042D" w14:textId="77777777" w:rsidR="00FE5839" w:rsidRDefault="00FE5839" w:rsidP="00FE5839">
      <w:pPr>
        <w:spacing w:after="0" w:line="240" w:lineRule="auto"/>
        <w:rPr>
          <w:rFonts w:ascii="Verdana" w:eastAsia="Calibri" w:hAnsi="Verdana" w:cs="Arial"/>
          <w:b/>
          <w:color w:val="000000" w:themeColor="text1"/>
          <w:lang w:val="es-ES"/>
        </w:rPr>
      </w:pPr>
    </w:p>
    <w:p w14:paraId="79842549" w14:textId="77777777" w:rsidR="00FE5839" w:rsidRDefault="00FE5839" w:rsidP="00FE5839">
      <w:pPr>
        <w:spacing w:after="0" w:line="240" w:lineRule="auto"/>
        <w:rPr>
          <w:rFonts w:ascii="Verdana" w:eastAsia="Calibri" w:hAnsi="Verdana" w:cs="Arial"/>
          <w:b/>
          <w:color w:val="000000" w:themeColor="text1"/>
          <w:lang w:val="es-ES"/>
        </w:rPr>
      </w:pPr>
    </w:p>
    <w:p w14:paraId="5D9753C9" w14:textId="77777777" w:rsidR="00FE5839" w:rsidRDefault="00FE5839" w:rsidP="00FE5839">
      <w:pPr>
        <w:spacing w:after="0" w:line="240" w:lineRule="auto"/>
        <w:rPr>
          <w:rFonts w:ascii="Verdana" w:eastAsia="Calibri" w:hAnsi="Verdana" w:cs="Arial"/>
          <w:b/>
          <w:color w:val="000000" w:themeColor="text1"/>
          <w:lang w:val="es-ES"/>
        </w:rPr>
      </w:pPr>
    </w:p>
    <w:p w14:paraId="11762003" w14:textId="77777777" w:rsidR="00FE5839" w:rsidRDefault="00FE5839" w:rsidP="00FE5839">
      <w:pPr>
        <w:spacing w:after="0" w:line="240" w:lineRule="auto"/>
        <w:rPr>
          <w:rFonts w:ascii="Verdana" w:eastAsia="Calibri" w:hAnsi="Verdana" w:cs="Arial"/>
          <w:b/>
          <w:color w:val="000000" w:themeColor="text1"/>
          <w:lang w:val="es-ES"/>
        </w:rPr>
      </w:pPr>
    </w:p>
    <w:p w14:paraId="7BB6CC55" w14:textId="77777777" w:rsidR="00FE5839" w:rsidRDefault="00FE5839" w:rsidP="00FE5839">
      <w:pPr>
        <w:spacing w:after="0" w:line="240" w:lineRule="auto"/>
        <w:rPr>
          <w:rFonts w:ascii="Verdana" w:eastAsia="Calibri" w:hAnsi="Verdana" w:cs="Arial"/>
          <w:b/>
          <w:color w:val="000000" w:themeColor="text1"/>
          <w:lang w:val="es-ES"/>
        </w:rPr>
      </w:pPr>
    </w:p>
    <w:p w14:paraId="2EC9D064" w14:textId="77777777" w:rsidR="00FE5839" w:rsidRDefault="00FE5839" w:rsidP="00FE5839">
      <w:pPr>
        <w:spacing w:after="0" w:line="240" w:lineRule="auto"/>
        <w:rPr>
          <w:rFonts w:ascii="Verdana" w:eastAsia="Calibri" w:hAnsi="Verdana" w:cs="Arial"/>
          <w:b/>
          <w:color w:val="000000" w:themeColor="text1"/>
          <w:lang w:val="es-ES"/>
        </w:rPr>
      </w:pPr>
    </w:p>
    <w:p w14:paraId="0F4C5B61" w14:textId="77777777" w:rsidR="00FE5839" w:rsidRDefault="00FE5839" w:rsidP="00FE5839">
      <w:pPr>
        <w:spacing w:after="0" w:line="240" w:lineRule="auto"/>
        <w:rPr>
          <w:rFonts w:ascii="Verdana" w:eastAsia="Calibri" w:hAnsi="Verdana" w:cs="Arial"/>
          <w:b/>
          <w:color w:val="000000" w:themeColor="text1"/>
          <w:lang w:val="es-ES"/>
        </w:rPr>
      </w:pPr>
    </w:p>
    <w:p w14:paraId="7F5A63EA" w14:textId="77777777" w:rsidR="00FE5839" w:rsidRDefault="00FE5839" w:rsidP="00FE5839">
      <w:pPr>
        <w:spacing w:after="0" w:line="240" w:lineRule="auto"/>
        <w:rPr>
          <w:rFonts w:ascii="Verdana" w:eastAsia="Calibri" w:hAnsi="Verdana" w:cs="Arial"/>
          <w:b/>
          <w:color w:val="000000" w:themeColor="text1"/>
          <w:lang w:val="es-ES"/>
        </w:rPr>
      </w:pPr>
    </w:p>
    <w:p w14:paraId="49B7F361" w14:textId="77777777" w:rsidR="00FE5839" w:rsidRDefault="00FE5839" w:rsidP="00FE5839">
      <w:pPr>
        <w:spacing w:after="0" w:line="240" w:lineRule="auto"/>
        <w:rPr>
          <w:rFonts w:ascii="Verdana" w:eastAsia="Calibri" w:hAnsi="Verdana" w:cs="Arial"/>
          <w:b/>
          <w:color w:val="000000" w:themeColor="text1"/>
          <w:lang w:val="es-ES"/>
        </w:rPr>
      </w:pPr>
    </w:p>
    <w:p w14:paraId="3100B551" w14:textId="77777777" w:rsidR="00FE5839" w:rsidRDefault="00FE5839" w:rsidP="00FE5839">
      <w:pPr>
        <w:spacing w:after="0" w:line="240" w:lineRule="auto"/>
        <w:rPr>
          <w:rFonts w:ascii="Verdana" w:eastAsia="Calibri" w:hAnsi="Verdana" w:cs="Arial"/>
          <w:b/>
          <w:color w:val="000000" w:themeColor="text1"/>
          <w:lang w:val="es-ES"/>
        </w:rPr>
      </w:pPr>
    </w:p>
    <w:p w14:paraId="0338BF8B" w14:textId="77777777" w:rsidR="00FE5839" w:rsidRDefault="00FE5839" w:rsidP="00FE5839">
      <w:pPr>
        <w:spacing w:after="0" w:line="240" w:lineRule="auto"/>
        <w:rPr>
          <w:rFonts w:ascii="Verdana" w:eastAsia="Calibri" w:hAnsi="Verdana" w:cs="Arial"/>
          <w:b/>
          <w:color w:val="000000" w:themeColor="text1"/>
          <w:lang w:val="es-ES"/>
        </w:rPr>
      </w:pPr>
    </w:p>
    <w:p w14:paraId="3318E62D" w14:textId="77777777" w:rsidR="00FE5839" w:rsidRDefault="00FE5839" w:rsidP="00FE5839">
      <w:pPr>
        <w:spacing w:after="0" w:line="240" w:lineRule="auto"/>
        <w:rPr>
          <w:rFonts w:ascii="Verdana" w:eastAsia="Calibri" w:hAnsi="Verdana" w:cs="Arial"/>
          <w:b/>
          <w:color w:val="000000" w:themeColor="text1"/>
          <w:lang w:val="es-ES"/>
        </w:rPr>
      </w:pPr>
    </w:p>
    <w:p w14:paraId="5D432C68" w14:textId="77777777" w:rsidR="00FE5839" w:rsidRDefault="00FE5839" w:rsidP="00FE5839">
      <w:pPr>
        <w:spacing w:after="0" w:line="240" w:lineRule="auto"/>
        <w:rPr>
          <w:rFonts w:ascii="Verdana" w:eastAsia="Calibri" w:hAnsi="Verdana" w:cs="Arial"/>
          <w:b/>
          <w:color w:val="000000" w:themeColor="text1"/>
          <w:lang w:val="es-ES"/>
        </w:rPr>
      </w:pPr>
    </w:p>
    <w:p w14:paraId="750B7D60" w14:textId="77777777" w:rsidR="00FE5839" w:rsidRDefault="00FE5839" w:rsidP="00FE5839">
      <w:pPr>
        <w:spacing w:after="0" w:line="240" w:lineRule="auto"/>
        <w:rPr>
          <w:rFonts w:ascii="Verdana" w:eastAsia="Calibri" w:hAnsi="Verdana" w:cs="Arial"/>
          <w:b/>
          <w:color w:val="000000" w:themeColor="text1"/>
          <w:lang w:val="es-ES"/>
        </w:rPr>
      </w:pPr>
    </w:p>
    <w:p w14:paraId="54D5C5C8" w14:textId="77777777" w:rsidR="00FE5839" w:rsidRDefault="00FE5839" w:rsidP="00FE5839">
      <w:pPr>
        <w:spacing w:after="0" w:line="240" w:lineRule="auto"/>
        <w:rPr>
          <w:rFonts w:ascii="Verdana" w:eastAsia="Calibri" w:hAnsi="Verdana" w:cs="Arial"/>
          <w:b/>
          <w:color w:val="000000" w:themeColor="text1"/>
          <w:lang w:val="es-ES"/>
        </w:rPr>
      </w:pPr>
    </w:p>
    <w:p w14:paraId="281177E1" w14:textId="77777777" w:rsidR="00FE5839" w:rsidRDefault="00FE5839" w:rsidP="00FE5839">
      <w:pPr>
        <w:spacing w:after="0" w:line="240" w:lineRule="auto"/>
        <w:rPr>
          <w:rFonts w:ascii="Verdana" w:eastAsia="Calibri" w:hAnsi="Verdana" w:cs="Arial"/>
          <w:b/>
          <w:color w:val="000000" w:themeColor="text1"/>
          <w:lang w:val="es-ES"/>
        </w:rPr>
      </w:pPr>
    </w:p>
    <w:p w14:paraId="4130ADA2" w14:textId="77777777" w:rsidR="00FE5839" w:rsidRDefault="00FE5839" w:rsidP="00FE5839">
      <w:pPr>
        <w:spacing w:after="0" w:line="240" w:lineRule="auto"/>
        <w:rPr>
          <w:rFonts w:ascii="Verdana" w:eastAsia="Calibri" w:hAnsi="Verdana" w:cs="Arial"/>
          <w:b/>
          <w:color w:val="000000" w:themeColor="text1"/>
          <w:lang w:val="es-ES"/>
        </w:rPr>
      </w:pPr>
    </w:p>
    <w:p w14:paraId="0381F0DA" w14:textId="77777777" w:rsidR="00FE5839" w:rsidRDefault="00FE5839" w:rsidP="00FE5839">
      <w:pPr>
        <w:spacing w:after="0" w:line="240" w:lineRule="auto"/>
        <w:rPr>
          <w:rFonts w:ascii="Verdana" w:eastAsia="Calibri" w:hAnsi="Verdana" w:cs="Arial"/>
          <w:b/>
          <w:color w:val="000000" w:themeColor="text1"/>
          <w:lang w:val="es-ES"/>
        </w:rPr>
      </w:pPr>
    </w:p>
    <w:p w14:paraId="2B019C3C" w14:textId="77777777" w:rsidR="00FE5839" w:rsidRDefault="00FE5839" w:rsidP="00FE5839">
      <w:pPr>
        <w:spacing w:after="0" w:line="240" w:lineRule="auto"/>
        <w:rPr>
          <w:rFonts w:ascii="Verdana" w:eastAsia="Calibri" w:hAnsi="Verdana" w:cs="Arial"/>
          <w:b/>
          <w:color w:val="000000" w:themeColor="text1"/>
          <w:lang w:val="es-ES"/>
        </w:rPr>
      </w:pPr>
    </w:p>
    <w:p w14:paraId="77D376BF" w14:textId="77777777" w:rsidR="00FE5839" w:rsidRDefault="00FE5839" w:rsidP="00FE5839">
      <w:pPr>
        <w:spacing w:after="0" w:line="240" w:lineRule="auto"/>
        <w:rPr>
          <w:rFonts w:ascii="Verdana" w:eastAsia="Calibri" w:hAnsi="Verdana" w:cs="Arial"/>
          <w:b/>
          <w:color w:val="000000" w:themeColor="text1"/>
          <w:lang w:val="es-ES"/>
        </w:rPr>
      </w:pPr>
    </w:p>
    <w:p w14:paraId="067F6C22" w14:textId="77777777" w:rsidR="00FE5839" w:rsidRDefault="00FE5839" w:rsidP="00FE5839">
      <w:pPr>
        <w:spacing w:after="0" w:line="240" w:lineRule="auto"/>
        <w:rPr>
          <w:rFonts w:ascii="Verdana" w:eastAsia="Calibri" w:hAnsi="Verdana" w:cs="Arial"/>
          <w:b/>
          <w:color w:val="000000" w:themeColor="text1"/>
          <w:lang w:val="es-ES"/>
        </w:rPr>
      </w:pPr>
    </w:p>
    <w:p w14:paraId="616419A9" w14:textId="77777777" w:rsidR="00FE5839" w:rsidRDefault="00FE5839" w:rsidP="00FE5839">
      <w:pPr>
        <w:spacing w:after="0" w:line="240" w:lineRule="auto"/>
        <w:rPr>
          <w:rFonts w:ascii="Verdana" w:eastAsia="Calibri" w:hAnsi="Verdana" w:cs="Arial"/>
          <w:b/>
          <w:color w:val="000000" w:themeColor="text1"/>
          <w:lang w:val="es-ES"/>
        </w:rPr>
      </w:pPr>
    </w:p>
    <w:p w14:paraId="583942E8" w14:textId="77777777" w:rsidR="00FE5839" w:rsidRDefault="00FE5839" w:rsidP="00FE5839">
      <w:pPr>
        <w:spacing w:after="0" w:line="240" w:lineRule="auto"/>
        <w:rPr>
          <w:rFonts w:ascii="Verdana" w:eastAsia="Calibri" w:hAnsi="Verdana" w:cs="Arial"/>
          <w:b/>
          <w:color w:val="000000" w:themeColor="text1"/>
          <w:lang w:val="es-ES"/>
        </w:rPr>
      </w:pPr>
    </w:p>
    <w:p w14:paraId="27C8A84E" w14:textId="77777777" w:rsidR="00FE5839" w:rsidRDefault="00FE5839" w:rsidP="00FE5839">
      <w:pPr>
        <w:spacing w:after="0" w:line="240" w:lineRule="auto"/>
        <w:rPr>
          <w:rFonts w:ascii="Verdana" w:eastAsia="Calibri" w:hAnsi="Verdana" w:cs="Arial"/>
          <w:b/>
          <w:color w:val="000000" w:themeColor="text1"/>
          <w:lang w:val="es-ES"/>
        </w:rPr>
      </w:pPr>
    </w:p>
    <w:p w14:paraId="57ED92FF" w14:textId="77777777" w:rsidR="00FE5839" w:rsidRDefault="00FE5839" w:rsidP="00FE5839">
      <w:pPr>
        <w:spacing w:after="0" w:line="240" w:lineRule="auto"/>
        <w:rPr>
          <w:rFonts w:ascii="Verdana" w:eastAsia="Geomanist Light" w:hAnsi="Verdana" w:cs="Arial"/>
          <w:color w:val="000000" w:themeColor="text1"/>
          <w:lang w:val="es-MX"/>
        </w:rPr>
      </w:pPr>
    </w:p>
    <w:p w14:paraId="502D3899" w14:textId="77777777" w:rsidR="00FE5839" w:rsidRDefault="00FE5839" w:rsidP="00FE5839">
      <w:pPr>
        <w:spacing w:after="0" w:line="240" w:lineRule="auto"/>
        <w:rPr>
          <w:rFonts w:ascii="Verdana" w:eastAsia="Geomanist Light" w:hAnsi="Verdana" w:cs="Arial"/>
          <w:color w:val="000000" w:themeColor="text1"/>
          <w:lang w:val="es-MX"/>
        </w:rPr>
      </w:pPr>
    </w:p>
    <w:p w14:paraId="50F8C8F1" w14:textId="77777777" w:rsidR="00FE5839" w:rsidRDefault="00FE5839" w:rsidP="00F946C2">
      <w:pPr>
        <w:spacing w:after="0" w:line="240" w:lineRule="auto"/>
        <w:rPr>
          <w:rFonts w:ascii="Verdana" w:eastAsia="Geomanist Light" w:hAnsi="Verdana" w:cs="Arial"/>
          <w:color w:val="000000" w:themeColor="text1"/>
          <w:lang w:val="es-MX"/>
        </w:rPr>
      </w:pPr>
    </w:p>
    <w:p w14:paraId="0589E86E" w14:textId="77777777" w:rsidR="00FE5839" w:rsidRDefault="00FE5839" w:rsidP="00F946C2">
      <w:pPr>
        <w:spacing w:after="0" w:line="240" w:lineRule="auto"/>
        <w:rPr>
          <w:rFonts w:ascii="Verdana" w:eastAsia="Geomanist Light" w:hAnsi="Verdana" w:cs="Arial"/>
          <w:color w:val="000000" w:themeColor="text1"/>
          <w:lang w:val="es-MX"/>
        </w:rPr>
      </w:pPr>
    </w:p>
    <w:p w14:paraId="0BB3D031" w14:textId="77777777" w:rsidR="00FE5839" w:rsidRDefault="00FE5839" w:rsidP="00F946C2">
      <w:pPr>
        <w:spacing w:after="0" w:line="240" w:lineRule="auto"/>
        <w:rPr>
          <w:rFonts w:ascii="Verdana" w:eastAsia="Geomanist Light" w:hAnsi="Verdana" w:cs="Arial"/>
          <w:color w:val="000000" w:themeColor="text1"/>
          <w:lang w:val="es-MX"/>
        </w:rPr>
      </w:pPr>
    </w:p>
    <w:p w14:paraId="363F2001" w14:textId="77777777" w:rsidR="00FE5839" w:rsidRDefault="00FE5839" w:rsidP="00F946C2">
      <w:pPr>
        <w:spacing w:after="0" w:line="240" w:lineRule="auto"/>
        <w:rPr>
          <w:rFonts w:ascii="Verdana" w:eastAsia="Geomanist Light" w:hAnsi="Verdana" w:cs="Arial"/>
          <w:color w:val="000000" w:themeColor="text1"/>
          <w:lang w:val="es-MX"/>
        </w:rPr>
      </w:pPr>
    </w:p>
    <w:p w14:paraId="6BD32108" w14:textId="77777777" w:rsidR="00FE5839" w:rsidRDefault="00FE5839" w:rsidP="00F946C2">
      <w:pPr>
        <w:spacing w:after="0" w:line="240" w:lineRule="auto"/>
        <w:rPr>
          <w:rFonts w:ascii="Verdana" w:eastAsia="Geomanist Light" w:hAnsi="Verdana" w:cs="Arial"/>
          <w:color w:val="000000" w:themeColor="text1"/>
          <w:lang w:val="es-MX"/>
        </w:rPr>
      </w:pPr>
    </w:p>
    <w:p w14:paraId="39F51E80" w14:textId="2EBB8B13" w:rsidR="00F946C2" w:rsidRPr="00593A5F" w:rsidRDefault="00F946C2" w:rsidP="00F946C2">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B33FFE" w:rsidRPr="00B33FFE">
        <w:rPr>
          <w:rFonts w:ascii="Verdana" w:eastAsia="Geomanist Light" w:hAnsi="Verdana" w:cs="Arial"/>
          <w:color w:val="000000" w:themeColor="text1"/>
          <w:lang w:val="es-MX"/>
        </w:rPr>
        <w:t>19 de Mayo de 2026</w:t>
      </w:r>
    </w:p>
    <w:p w14:paraId="0B9FECEB" w14:textId="77DD0C75" w:rsidR="00F946C2" w:rsidRDefault="00F946C2" w:rsidP="00F946C2">
      <w:pPr>
        <w:spacing w:after="0" w:line="240" w:lineRule="auto"/>
        <w:jc w:val="both"/>
        <w:rPr>
          <w:rFonts w:ascii="Verdana" w:eastAsia="Calibri" w:hAnsi="Verdana" w:cs="Arial"/>
          <w:color w:val="000000"/>
          <w:lang w:val="es-ES"/>
        </w:rPr>
      </w:pPr>
    </w:p>
    <w:p w14:paraId="1712791D" w14:textId="4DF76785" w:rsidR="00B33FFE" w:rsidRDefault="00B33FFE" w:rsidP="00B33FFE">
      <w:pPr>
        <w:spacing w:after="0" w:line="240" w:lineRule="auto"/>
        <w:jc w:val="right"/>
        <w:rPr>
          <w:rFonts w:ascii="Verdana" w:eastAsia="Calibri" w:hAnsi="Verdana" w:cs="Arial"/>
          <w:color w:val="000000"/>
          <w:lang w:val="es-ES"/>
        </w:rPr>
      </w:pPr>
    </w:p>
    <w:p w14:paraId="1150B3BD" w14:textId="7633E108" w:rsidR="00F946C2" w:rsidRPr="00593A5F" w:rsidRDefault="009C54CD" w:rsidP="00F946C2">
      <w:pPr>
        <w:spacing w:after="0" w:line="240" w:lineRule="auto"/>
        <w:jc w:val="both"/>
        <w:rPr>
          <w:rFonts w:ascii="Verdana" w:eastAsia="Calibri" w:hAnsi="Verdana" w:cs="Arial"/>
          <w:color w:val="000000"/>
          <w:lang w:val="es-ES"/>
        </w:rPr>
      </w:pPr>
      <w:r w:rsidRPr="00B33FFE">
        <w:rPr>
          <w:rFonts w:ascii="Verdana" w:eastAsia="Calibri" w:hAnsi="Verdana" w:cs="Arial"/>
          <w:noProof/>
          <w:color w:val="000000"/>
          <w:lang w:val="es-ES"/>
        </w:rPr>
        <w:drawing>
          <wp:anchor distT="0" distB="0" distL="114300" distR="114300" simplePos="0" relativeHeight="251658240" behindDoc="0" locked="0" layoutInCell="1" allowOverlap="1" wp14:anchorId="48C32E10" wp14:editId="4C9B46C9">
            <wp:simplePos x="0" y="0"/>
            <wp:positionH relativeFrom="margin">
              <wp:align>right</wp:align>
            </wp:positionH>
            <wp:positionV relativeFrom="paragraph">
              <wp:posOffset>8890</wp:posOffset>
            </wp:positionV>
            <wp:extent cx="2710180" cy="874395"/>
            <wp:effectExtent l="0" t="0" r="0" b="1905"/>
            <wp:wrapSquare wrapText="bothSides"/>
            <wp:docPr id="7006668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666812" name=""/>
                    <pic:cNvPicPr/>
                  </pic:nvPicPr>
                  <pic:blipFill>
                    <a:blip r:embed="rId10">
                      <a:extLst>
                        <a:ext uri="{28A0092B-C50C-407E-A947-70E740481C1C}">
                          <a14:useLocalDpi xmlns:a14="http://schemas.microsoft.com/office/drawing/2010/main" val="0"/>
                        </a:ext>
                      </a:extLst>
                    </a:blip>
                    <a:stretch>
                      <a:fillRect/>
                    </a:stretch>
                  </pic:blipFill>
                  <pic:spPr>
                    <a:xfrm>
                      <a:off x="0" y="0"/>
                      <a:ext cx="2710180" cy="874395"/>
                    </a:xfrm>
                    <a:prstGeom prst="rect">
                      <a:avLst/>
                    </a:prstGeom>
                  </pic:spPr>
                </pic:pic>
              </a:graphicData>
            </a:graphic>
            <wp14:sizeRelH relativeFrom="margin">
              <wp14:pctWidth>0</wp14:pctWidth>
            </wp14:sizeRelH>
            <wp14:sizeRelV relativeFrom="margin">
              <wp14:pctHeight>0</wp14:pctHeight>
            </wp14:sizeRelV>
          </wp:anchor>
        </w:drawing>
      </w:r>
    </w:p>
    <w:p w14:paraId="600C0E42" w14:textId="77777777" w:rsidR="00F946C2" w:rsidRPr="00B96799" w:rsidRDefault="00F946C2" w:rsidP="00F946C2">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98BE772" w14:textId="77777777" w:rsidR="00F946C2" w:rsidRDefault="00F946C2" w:rsidP="00F946C2">
      <w:pPr>
        <w:spacing w:after="0" w:line="240" w:lineRule="auto"/>
        <w:rPr>
          <w:rFonts w:ascii="Verdana" w:eastAsia="Calibri" w:hAnsi="Verdana" w:cs="Arial"/>
          <w:b/>
          <w:lang w:val="es-ES_tradnl" w:eastAsia="es-ES_tradnl"/>
        </w:rPr>
      </w:pPr>
      <w:r w:rsidRPr="00ED692E">
        <w:rPr>
          <w:rFonts w:ascii="Verdana" w:eastAsia="Calibri" w:hAnsi="Verdana" w:cs="Arial"/>
          <w:b/>
          <w:lang w:val="es-ES_tradnl" w:eastAsia="es-ES_tradnl"/>
        </w:rPr>
        <w:t>Fabi</w:t>
      </w:r>
      <w:r>
        <w:rPr>
          <w:rFonts w:ascii="Verdana" w:eastAsia="Calibri" w:hAnsi="Verdana" w:cs="Arial"/>
          <w:b/>
          <w:lang w:val="es-ES_tradnl" w:eastAsia="es-ES_tradnl"/>
        </w:rPr>
        <w:t>á</w:t>
      </w:r>
      <w:r w:rsidRPr="00ED692E">
        <w:rPr>
          <w:rFonts w:ascii="Verdana" w:eastAsia="Calibri" w:hAnsi="Verdana" w:cs="Arial"/>
          <w:b/>
          <w:lang w:val="es-ES_tradnl" w:eastAsia="es-ES_tradnl"/>
        </w:rPr>
        <w:t>n Andrés Murillo Hurtado</w:t>
      </w:r>
      <w:r w:rsidRPr="008777D5">
        <w:rPr>
          <w:rFonts w:ascii="Verdana" w:eastAsia="Calibri" w:hAnsi="Verdana" w:cs="Arial"/>
          <w:b/>
          <w:lang w:val="es-ES_tradnl" w:eastAsia="es-ES_tradnl"/>
        </w:rPr>
        <w:t xml:space="preserve"> </w:t>
      </w:r>
    </w:p>
    <w:p w14:paraId="173AE8B8" w14:textId="77777777" w:rsidR="00F946C2" w:rsidRPr="00ED692E" w:rsidRDefault="00F946C2" w:rsidP="00F946C2">
      <w:pPr>
        <w:spacing w:after="0" w:line="240" w:lineRule="auto"/>
        <w:rPr>
          <w:rFonts w:ascii="Verdana" w:eastAsia="Calibri" w:hAnsi="Verdana" w:cs="Arial"/>
          <w:lang w:val="es-ES" w:eastAsia="es-ES"/>
        </w:rPr>
      </w:pPr>
      <w:hyperlink r:id="rId11" w:history="1">
        <w:r w:rsidRPr="002F0846">
          <w:rPr>
            <w:rStyle w:val="Hipervnculo"/>
            <w:rFonts w:ascii="Verdana" w:hAnsi="Verdana"/>
          </w:rPr>
          <w:t>drfabianmurilloh@gmail.com</w:t>
        </w:r>
      </w:hyperlink>
      <w:r>
        <w:rPr>
          <w:rFonts w:ascii="Verdana" w:hAnsi="Verdana"/>
        </w:rPr>
        <w:t xml:space="preserve"> </w:t>
      </w:r>
      <w:r w:rsidRPr="00ED692E">
        <w:rPr>
          <w:rFonts w:ascii="Verdana" w:hAnsi="Verdana"/>
        </w:rPr>
        <w:t xml:space="preserve">                    </w:t>
      </w:r>
      <w:r w:rsidRPr="00ED692E">
        <w:rPr>
          <w:rFonts w:ascii="Verdana" w:eastAsia="Calibri" w:hAnsi="Verdana" w:cs="Arial"/>
          <w:lang w:val="es-ES" w:eastAsia="es-ES"/>
        </w:rPr>
        <w:t xml:space="preserve">    </w:t>
      </w:r>
    </w:p>
    <w:p w14:paraId="49FE8853" w14:textId="77777777" w:rsidR="00F946C2" w:rsidRDefault="00F946C2" w:rsidP="00F946C2">
      <w:pPr>
        <w:spacing w:after="0" w:line="240" w:lineRule="auto"/>
        <w:rPr>
          <w:rFonts w:ascii="Verdana" w:eastAsia="Calibri" w:hAnsi="Verdana" w:cs="Arial"/>
          <w:lang w:val="es-ES" w:eastAsia="es-ES"/>
        </w:rPr>
      </w:pPr>
      <w:r w:rsidRPr="00ED692E">
        <w:rPr>
          <w:rFonts w:ascii="Verdana" w:eastAsia="Calibri" w:hAnsi="Verdana" w:cs="Arial"/>
          <w:lang w:val="es-ES" w:eastAsia="es-ES"/>
        </w:rPr>
        <w:t>Buenaventura</w:t>
      </w:r>
      <w:r>
        <w:rPr>
          <w:rFonts w:ascii="Verdana" w:eastAsia="Calibri" w:hAnsi="Verdana" w:cs="Arial"/>
          <w:lang w:val="es-ES" w:eastAsia="es-ES"/>
        </w:rPr>
        <w:t xml:space="preserve">, </w:t>
      </w:r>
      <w:r w:rsidRPr="00ED692E">
        <w:rPr>
          <w:rFonts w:ascii="Verdana" w:eastAsia="Calibri" w:hAnsi="Verdana" w:cs="Arial"/>
          <w:lang w:val="es-ES" w:eastAsia="es-ES"/>
        </w:rPr>
        <w:t>Valle del Cauca</w:t>
      </w:r>
      <w:r>
        <w:rPr>
          <w:rFonts w:ascii="Verdana" w:eastAsia="Calibri" w:hAnsi="Verdana" w:cs="Arial"/>
          <w:lang w:val="es-ES" w:eastAsia="es-ES"/>
        </w:rPr>
        <w:t xml:space="preserve"> </w:t>
      </w:r>
    </w:p>
    <w:p w14:paraId="44C0BBCF" w14:textId="77777777" w:rsidR="00F946C2" w:rsidRPr="00593A5F" w:rsidRDefault="00F946C2" w:rsidP="00F946C2">
      <w:pPr>
        <w:spacing w:after="0" w:line="240" w:lineRule="auto"/>
        <w:rPr>
          <w:rFonts w:ascii="Verdana" w:eastAsia="Calibri" w:hAnsi="Verdana" w:cs="Arial"/>
          <w:b/>
          <w:bCs/>
          <w:color w:val="000000"/>
          <w:lang w:val="es-ES_tradnl" w:eastAsia="es-ES_tradnl"/>
        </w:rPr>
      </w:pPr>
    </w:p>
    <w:p w14:paraId="30F1BE01" w14:textId="77777777" w:rsidR="00F946C2" w:rsidRPr="00593A5F" w:rsidRDefault="00F946C2" w:rsidP="00F946C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946C2" w:rsidRPr="00593A5F" w14:paraId="3C510667" w14:textId="77777777" w:rsidTr="00A14410">
        <w:trPr>
          <w:trHeight w:val="884"/>
        </w:trPr>
        <w:tc>
          <w:tcPr>
            <w:tcW w:w="2689" w:type="dxa"/>
          </w:tcPr>
          <w:p w14:paraId="451302FB" w14:textId="77777777" w:rsidR="00F946C2" w:rsidRPr="00C00976" w:rsidRDefault="00F946C2" w:rsidP="00A14410">
            <w:pPr>
              <w:jc w:val="both"/>
              <w:rPr>
                <w:rFonts w:ascii="Verdana" w:eastAsia="Calibri" w:hAnsi="Verdana" w:cs="Arial"/>
                <w:b/>
                <w:bCs/>
                <w:color w:val="7030A0"/>
                <w:lang w:val="es-ES_tradnl" w:eastAsia="es-ES_tradnl"/>
              </w:rPr>
            </w:pPr>
          </w:p>
        </w:tc>
        <w:tc>
          <w:tcPr>
            <w:tcW w:w="6100" w:type="dxa"/>
          </w:tcPr>
          <w:p w14:paraId="05663021" w14:textId="6BA9D09E" w:rsidR="00F946C2" w:rsidRPr="00C00976" w:rsidRDefault="00F946C2" w:rsidP="00A1441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w:t>
            </w:r>
            <w:r w:rsidR="009C54CD">
              <w:rPr>
                <w:rFonts w:ascii="Verdana" w:eastAsia="Calibri" w:hAnsi="Verdana" w:cs="Arial"/>
                <w:b/>
                <w:bCs/>
                <w:lang w:val="es-ES" w:eastAsia="es-ES"/>
              </w:rPr>
              <w:t>C</w:t>
            </w:r>
            <w:r w:rsidRPr="008E6AD9">
              <w:rPr>
                <w:rFonts w:ascii="Verdana" w:eastAsia="Calibri" w:hAnsi="Verdana" w:cs="Arial"/>
                <w:b/>
                <w:bCs/>
                <w:lang w:val="es-ES" w:eastAsia="es-ES"/>
              </w:rPr>
              <w:t>–</w:t>
            </w:r>
            <w:r>
              <w:rPr>
                <w:rFonts w:ascii="Verdana" w:eastAsia="Calibri" w:hAnsi="Verdana" w:cs="Arial"/>
                <w:b/>
                <w:bCs/>
                <w:lang w:val="es-ES" w:eastAsia="es-ES"/>
              </w:rPr>
              <w:t xml:space="preserve">556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F946C2" w:rsidRPr="00593A5F" w14:paraId="5C409CAE" w14:textId="77777777" w:rsidTr="00A14410">
        <w:trPr>
          <w:trHeight w:val="884"/>
        </w:trPr>
        <w:tc>
          <w:tcPr>
            <w:tcW w:w="2689" w:type="dxa"/>
          </w:tcPr>
          <w:p w14:paraId="0B6F81E6" w14:textId="77777777" w:rsidR="00F946C2" w:rsidRPr="00593A5F" w:rsidRDefault="00F946C2" w:rsidP="00A1441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FD71E49" w14:textId="77777777" w:rsidR="00F946C2" w:rsidRPr="00A11406" w:rsidRDefault="00F946C2" w:rsidP="00A14410">
            <w:pPr>
              <w:spacing w:line="276" w:lineRule="auto"/>
              <w:jc w:val="both"/>
              <w:rPr>
                <w:rFonts w:ascii="Verdana" w:eastAsia="Calibri" w:hAnsi="Verdana" w:cs="Arial"/>
                <w:lang w:val="es-ES" w:eastAsia="es-ES"/>
              </w:rPr>
            </w:pPr>
            <w:r w:rsidRPr="00C95F86">
              <w:rPr>
                <w:rFonts w:ascii="Verdana" w:eastAsia="Calibri" w:hAnsi="Verdana" w:cs="Arial"/>
                <w:lang w:val="es-ES" w:eastAsia="es-ES"/>
              </w:rPr>
              <w:t>DOCUMENTOS TIPO – Fundamento normativo – Obligatoriedad / DOCUMENTOS TIPO – Adopción – Implementación / DOCUMENTOS TIPO – Sectores – Vigentes / DOCUMENTOS TIPO – Colombia Compra Eficiente – Facultad de estandarización / DOCUMENTOS TIPO – Inalterabilidad – Alcance</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AB1A62C" w14:textId="77777777" w:rsidR="00F946C2" w:rsidRPr="00593A5F" w:rsidRDefault="00F946C2" w:rsidP="00A1441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946C2" w:rsidRPr="008E6AD9" w14:paraId="2D67E3A0" w14:textId="77777777" w:rsidTr="00A14410">
        <w:tc>
          <w:tcPr>
            <w:tcW w:w="2689" w:type="dxa"/>
          </w:tcPr>
          <w:p w14:paraId="35C7AFFB" w14:textId="77777777" w:rsidR="00F946C2" w:rsidRPr="008E6AD9" w:rsidRDefault="00F946C2" w:rsidP="00A1441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8B6F1D2" w14:textId="77777777" w:rsidR="00F946C2" w:rsidRPr="00B92340" w:rsidRDefault="00F946C2" w:rsidP="00A1441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EA5151">
              <w:rPr>
                <w:rFonts w:ascii="Verdana" w:eastAsia="Calibri" w:hAnsi="Verdana" w:cs="Arial"/>
                <w:lang w:val="es-ES_tradnl" w:eastAsia="es-ES_tradnl"/>
              </w:rPr>
              <w:t>1_2026_04_06_004625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5943EE8" w14:textId="77777777" w:rsidR="00F946C2" w:rsidRPr="00593A5F" w:rsidRDefault="00F946C2" w:rsidP="00F946C2">
      <w:pPr>
        <w:spacing w:after="0" w:line="240" w:lineRule="auto"/>
        <w:jc w:val="both"/>
        <w:rPr>
          <w:rFonts w:ascii="Verdana" w:eastAsia="Calibri" w:hAnsi="Verdana" w:cs="Arial"/>
          <w:color w:val="000000"/>
          <w:lang w:val="es-ES_tradnl" w:eastAsia="es-ES_tradnl"/>
        </w:rPr>
      </w:pPr>
    </w:p>
    <w:p w14:paraId="233DEC3A" w14:textId="77777777" w:rsidR="00F946C2" w:rsidRPr="00593A5F" w:rsidRDefault="00F946C2" w:rsidP="00F946C2">
      <w:pPr>
        <w:spacing w:after="0" w:line="240" w:lineRule="auto"/>
        <w:jc w:val="both"/>
        <w:rPr>
          <w:rFonts w:ascii="Verdana" w:eastAsia="Calibri" w:hAnsi="Verdana" w:cs="Arial"/>
          <w:color w:val="000000"/>
          <w:lang w:val="es-ES_tradnl" w:eastAsia="es-ES_tradnl"/>
        </w:rPr>
      </w:pPr>
    </w:p>
    <w:p w14:paraId="199C2B6A" w14:textId="77777777" w:rsidR="00F946C2" w:rsidRPr="008E6AD9" w:rsidRDefault="00F946C2" w:rsidP="00F946C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ED692E">
        <w:rPr>
          <w:rFonts w:ascii="Verdana" w:eastAsia="Calibri" w:hAnsi="Verdana" w:cs="Arial"/>
          <w:lang w:val="es-ES" w:eastAsia="es-ES"/>
        </w:rPr>
        <w:t>Murillo Hurtado</w:t>
      </w:r>
      <w:r w:rsidRPr="008E6AD9">
        <w:rPr>
          <w:rFonts w:ascii="Verdana" w:eastAsia="Calibri" w:hAnsi="Verdana" w:cs="Arial"/>
          <w:lang w:val="es-ES" w:eastAsia="es-ES"/>
        </w:rPr>
        <w:t xml:space="preserve">: </w:t>
      </w:r>
    </w:p>
    <w:p w14:paraId="173A39C8" w14:textId="77777777" w:rsidR="00F946C2" w:rsidRDefault="00F946C2" w:rsidP="00F946C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C770F1" w14:textId="77777777" w:rsidR="00F946C2" w:rsidRPr="00593A5F" w:rsidRDefault="00F946C2" w:rsidP="00F946C2">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6 de abril de 2026, donde manifiesta que</w:t>
      </w:r>
      <w:r w:rsidRPr="008E6AD9">
        <w:rPr>
          <w:rFonts w:ascii="Verdana" w:eastAsia="Calibri" w:hAnsi="Verdana" w:cs="Arial"/>
          <w:lang w:val="es-ES" w:eastAsia="es-ES"/>
        </w:rPr>
        <w:t xml:space="preserve">: </w:t>
      </w:r>
    </w:p>
    <w:p w14:paraId="1144ABBD" w14:textId="77777777" w:rsidR="00F946C2" w:rsidRPr="00272A7B" w:rsidRDefault="00F946C2" w:rsidP="00F946C2">
      <w:pPr>
        <w:pStyle w:val="Prrafodelista"/>
        <w:tabs>
          <w:tab w:val="left" w:pos="142"/>
          <w:tab w:val="left" w:pos="284"/>
        </w:tabs>
        <w:spacing w:after="0" w:line="276" w:lineRule="auto"/>
        <w:ind w:left="0"/>
        <w:jc w:val="both"/>
        <w:rPr>
          <w:rFonts w:ascii="Verdana" w:eastAsia="Century Gothic" w:hAnsi="Verdana" w:cs="Century Gothic"/>
          <w:b/>
          <w:bCs/>
        </w:rPr>
      </w:pPr>
    </w:p>
    <w:p w14:paraId="127D3181" w14:textId="77777777" w:rsidR="00F946C2" w:rsidRPr="00820DA0" w:rsidRDefault="00F946C2" w:rsidP="00F946C2">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820DA0">
        <w:rPr>
          <w:rFonts w:ascii="Verdana" w:eastAsia="Century Gothic" w:hAnsi="Verdana" w:cs="Century Gothic"/>
          <w:sz w:val="20"/>
          <w:szCs w:val="20"/>
          <w:lang w:val="es-ES"/>
        </w:rPr>
        <w:t>Con el fin de armonizar la obligatoriedad de los pliegos tipo con las metas de desarrollo sostenible, presento la siguiente consulta:</w:t>
      </w:r>
    </w:p>
    <w:p w14:paraId="67E0CC0C" w14:textId="77777777" w:rsidR="00F946C2" w:rsidRPr="00820DA0" w:rsidRDefault="00F946C2" w:rsidP="00F946C2">
      <w:pPr>
        <w:spacing w:after="120" w:line="240" w:lineRule="auto"/>
        <w:ind w:left="709" w:right="709"/>
        <w:jc w:val="both"/>
        <w:rPr>
          <w:rFonts w:ascii="Verdana" w:eastAsia="Century Gothic" w:hAnsi="Verdana" w:cs="Century Gothic"/>
          <w:sz w:val="20"/>
          <w:szCs w:val="20"/>
          <w:lang w:val="es-ES"/>
        </w:rPr>
      </w:pPr>
      <w:r w:rsidRPr="00820DA0">
        <w:rPr>
          <w:rFonts w:ascii="Verdana" w:eastAsia="Century Gothic" w:hAnsi="Verdana" w:cs="Century Gothic"/>
          <w:sz w:val="20"/>
          <w:szCs w:val="20"/>
          <w:lang w:val="es-ES"/>
        </w:rPr>
        <w:t>1. ¿Es jurídicamente viable que una entidad territorial incluya factores de ponderación específicos (como el uso de materiales locales de baja huella de carbono) en procesos regidos por Pliegos Tipo, si dichos factores no están explícitamente parametrizados en el documento base?</w:t>
      </w:r>
    </w:p>
    <w:p w14:paraId="3600CC51" w14:textId="77777777" w:rsidR="00F946C2" w:rsidRPr="00820DA0" w:rsidRDefault="00F946C2" w:rsidP="00F946C2">
      <w:pPr>
        <w:spacing w:after="120" w:line="240" w:lineRule="auto"/>
        <w:ind w:left="709" w:right="709"/>
        <w:jc w:val="both"/>
        <w:rPr>
          <w:rFonts w:ascii="Verdana" w:eastAsia="Century Gothic" w:hAnsi="Verdana" w:cs="Century Gothic"/>
          <w:sz w:val="20"/>
          <w:szCs w:val="20"/>
          <w:lang w:val="es-ES"/>
        </w:rPr>
      </w:pPr>
      <w:r w:rsidRPr="00820DA0">
        <w:rPr>
          <w:rFonts w:ascii="Verdana" w:eastAsia="Century Gothic" w:hAnsi="Verdana" w:cs="Century Gothic"/>
          <w:sz w:val="20"/>
          <w:szCs w:val="20"/>
          <w:lang w:val="es-ES"/>
        </w:rPr>
        <w:lastRenderedPageBreak/>
        <w:t>2.</w:t>
      </w:r>
      <w:r>
        <w:rPr>
          <w:rFonts w:ascii="Verdana" w:eastAsia="Century Gothic" w:hAnsi="Verdana" w:cs="Century Gothic"/>
          <w:sz w:val="20"/>
          <w:szCs w:val="20"/>
          <w:lang w:val="es-ES"/>
        </w:rPr>
        <w:t xml:space="preserve"> </w:t>
      </w:r>
      <w:r w:rsidRPr="00820DA0">
        <w:rPr>
          <w:rFonts w:ascii="Verdana" w:eastAsia="Century Gothic" w:hAnsi="Verdana" w:cs="Century Gothic"/>
          <w:sz w:val="20"/>
          <w:szCs w:val="20"/>
          <w:lang w:val="es-ES"/>
        </w:rPr>
        <w:t xml:space="preserve">¿Cómo debe proceder una entidad cuando el análisis del sector arroja una necesidad de sostenibilidad territorial que choca con la rigidez de los requisitos habilitantes estandarizados por la Agencia? </w:t>
      </w:r>
    </w:p>
    <w:p w14:paraId="57AAFEBD" w14:textId="77777777" w:rsidR="00F946C2" w:rsidRPr="008E6AD9" w:rsidRDefault="00F946C2" w:rsidP="00F946C2">
      <w:pPr>
        <w:spacing w:after="0" w:line="240" w:lineRule="auto"/>
        <w:ind w:left="709" w:right="709"/>
        <w:jc w:val="both"/>
        <w:rPr>
          <w:rFonts w:ascii="Verdana" w:eastAsia="Century Gothic" w:hAnsi="Verdana" w:cs="Century Gothic"/>
          <w:b/>
          <w:bCs/>
        </w:rPr>
      </w:pPr>
      <w:r w:rsidRPr="00820DA0">
        <w:rPr>
          <w:rFonts w:ascii="Verdana" w:eastAsia="Century Gothic" w:hAnsi="Verdana" w:cs="Century Gothic"/>
          <w:sz w:val="20"/>
          <w:szCs w:val="20"/>
          <w:lang w:val="es-ES"/>
        </w:rPr>
        <w:t>3.</w:t>
      </w:r>
      <w:r>
        <w:rPr>
          <w:rFonts w:ascii="Verdana" w:eastAsia="Century Gothic" w:hAnsi="Verdana" w:cs="Century Gothic"/>
          <w:sz w:val="20"/>
          <w:szCs w:val="20"/>
          <w:lang w:val="es-ES"/>
        </w:rPr>
        <w:t xml:space="preserve"> </w:t>
      </w:r>
      <w:r w:rsidRPr="00820DA0">
        <w:rPr>
          <w:rFonts w:ascii="Verdana" w:eastAsia="Century Gothic" w:hAnsi="Verdana" w:cs="Century Gothic"/>
          <w:sz w:val="20"/>
          <w:szCs w:val="20"/>
          <w:lang w:val="es-ES"/>
        </w:rPr>
        <w:t xml:space="preserve">¿El principio de </w:t>
      </w:r>
      <w:r>
        <w:rPr>
          <w:rFonts w:ascii="Verdana" w:eastAsia="Century Gothic" w:hAnsi="Verdana" w:cs="Century Gothic"/>
          <w:sz w:val="20"/>
          <w:szCs w:val="20"/>
          <w:lang w:val="es-ES"/>
        </w:rPr>
        <w:t>‘</w:t>
      </w:r>
      <w:r w:rsidRPr="00820DA0">
        <w:rPr>
          <w:rFonts w:ascii="Verdana" w:eastAsia="Century Gothic" w:hAnsi="Verdana" w:cs="Century Gothic"/>
          <w:sz w:val="20"/>
          <w:szCs w:val="20"/>
          <w:lang w:val="es-ES"/>
        </w:rPr>
        <w:t>valor por dinero</w:t>
      </w:r>
      <w:r>
        <w:rPr>
          <w:rFonts w:ascii="Verdana" w:eastAsia="Century Gothic" w:hAnsi="Verdana" w:cs="Century Gothic"/>
          <w:sz w:val="20"/>
          <w:szCs w:val="20"/>
          <w:lang w:val="es-ES"/>
        </w:rPr>
        <w:t>’</w:t>
      </w:r>
      <w:r w:rsidRPr="00820DA0">
        <w:rPr>
          <w:rFonts w:ascii="Verdana" w:eastAsia="Century Gothic" w:hAnsi="Verdana" w:cs="Century Gothic"/>
          <w:sz w:val="20"/>
          <w:szCs w:val="20"/>
          <w:lang w:val="es-ES"/>
        </w:rPr>
        <w:t xml:space="preserve"> faculta a la entidad para priorizar el impacto ambiental sobre el menor precio, incluso en categorías de mínima cuantía o selección abreviada?</w:t>
      </w:r>
      <w:r>
        <w:rPr>
          <w:rFonts w:ascii="Verdana" w:eastAsia="Century Gothic" w:hAnsi="Verdana" w:cs="Century Gothic"/>
          <w:sz w:val="20"/>
          <w:szCs w:val="20"/>
          <w:lang w:val="es-ES"/>
        </w:rPr>
        <w:t>”.</w:t>
      </w:r>
    </w:p>
    <w:p w14:paraId="55FB8528" w14:textId="77777777" w:rsidR="00F946C2" w:rsidRDefault="00F946C2" w:rsidP="00F946C2">
      <w:pPr>
        <w:spacing w:after="0" w:line="276" w:lineRule="auto"/>
        <w:ind w:firstLine="709"/>
        <w:jc w:val="both"/>
        <w:rPr>
          <w:rFonts w:ascii="Verdana" w:eastAsia="Calibri" w:hAnsi="Verdana" w:cs="Arial"/>
          <w:color w:val="000000"/>
          <w:lang w:val="es-ES" w:eastAsia="es-ES"/>
        </w:rPr>
      </w:pPr>
    </w:p>
    <w:p w14:paraId="2D3029F9" w14:textId="77777777" w:rsidR="00F946C2" w:rsidRPr="00A652FF" w:rsidRDefault="00F946C2" w:rsidP="00F946C2">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BC6F227" w14:textId="77777777" w:rsidR="00F946C2" w:rsidRDefault="00F946C2" w:rsidP="00F946C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A447A98" w14:textId="77777777" w:rsidR="00F946C2" w:rsidRPr="00593A5F" w:rsidRDefault="00F946C2" w:rsidP="00F946C2">
      <w:pPr>
        <w:spacing w:after="0" w:line="276" w:lineRule="auto"/>
        <w:ind w:firstLine="709"/>
        <w:jc w:val="both"/>
        <w:rPr>
          <w:rFonts w:ascii="Verdana" w:eastAsia="Calibri" w:hAnsi="Verdana" w:cs="Arial"/>
          <w:color w:val="000000"/>
          <w:lang w:val="es-ES" w:eastAsia="es-ES"/>
        </w:rPr>
      </w:pPr>
    </w:p>
    <w:p w14:paraId="001FC415" w14:textId="77777777" w:rsidR="00F946C2" w:rsidRPr="00593A5F" w:rsidRDefault="00F946C2" w:rsidP="00F946C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DB20935" w14:textId="77777777" w:rsidR="00F946C2" w:rsidRPr="00593A5F" w:rsidRDefault="00F946C2" w:rsidP="00F946C2">
      <w:pPr>
        <w:tabs>
          <w:tab w:val="left" w:pos="426"/>
        </w:tabs>
        <w:spacing w:after="0" w:line="276" w:lineRule="auto"/>
        <w:jc w:val="both"/>
        <w:rPr>
          <w:rFonts w:ascii="Verdana" w:eastAsia="Century Gothic" w:hAnsi="Verdana" w:cs="Century Gothic"/>
          <w:lang w:val="es-ES"/>
        </w:rPr>
      </w:pPr>
    </w:p>
    <w:p w14:paraId="12181D36" w14:textId="77777777" w:rsidR="00F946C2" w:rsidRPr="00593A5F" w:rsidRDefault="00F946C2" w:rsidP="00F946C2">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F24BA9">
        <w:rPr>
          <w:rFonts w:ascii="Verdana" w:eastAsia="Century Gothic" w:hAnsi="Verdana" w:cs="Century Gothic"/>
        </w:rPr>
        <w:t>¿es posible la modificación de los requisitos habilitantes y ponderables establecidos en los documentos tipo para armonizarlos con las metas de desarrollo sostenible</w:t>
      </w:r>
      <w:r>
        <w:rPr>
          <w:rFonts w:ascii="Verdana" w:eastAsia="Century Gothic" w:hAnsi="Verdana" w:cs="Century Gothic"/>
        </w:rPr>
        <w:t xml:space="preserve"> y priorizar el impacto ambiental</w:t>
      </w:r>
      <w:r w:rsidRPr="00F24BA9">
        <w:rPr>
          <w:rFonts w:ascii="Verdana" w:eastAsia="Century Gothic" w:hAnsi="Verdana" w:cs="Century Gothic"/>
        </w:rPr>
        <w:t>?</w:t>
      </w:r>
      <w:r>
        <w:rPr>
          <w:rFonts w:ascii="Verdana" w:eastAsia="Century Gothic" w:hAnsi="Verdana" w:cs="Century Gothic"/>
        </w:rPr>
        <w:t xml:space="preserve"> </w:t>
      </w:r>
    </w:p>
    <w:p w14:paraId="42255225" w14:textId="77777777" w:rsidR="00F946C2" w:rsidRPr="004B140F" w:rsidRDefault="00F946C2" w:rsidP="00F946C2">
      <w:pPr>
        <w:spacing w:after="0" w:line="276" w:lineRule="auto"/>
        <w:jc w:val="both"/>
        <w:rPr>
          <w:rFonts w:ascii="Verdana" w:eastAsia="Calibri" w:hAnsi="Verdana" w:cs="Arial"/>
          <w:color w:val="7030A0"/>
        </w:rPr>
      </w:pPr>
    </w:p>
    <w:p w14:paraId="2CCD31C1" w14:textId="77777777" w:rsidR="00F946C2" w:rsidRPr="00593A5F" w:rsidRDefault="00F946C2" w:rsidP="00F946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6FA8A8F" w14:textId="77777777" w:rsidR="00F946C2" w:rsidRPr="00593A5F" w:rsidRDefault="00F946C2" w:rsidP="00F946C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946C2" w:rsidRPr="00593A5F" w14:paraId="105BEB61" w14:textId="77777777" w:rsidTr="00A14410">
        <w:trPr>
          <w:jc w:val="center"/>
        </w:trPr>
        <w:tc>
          <w:tcPr>
            <w:tcW w:w="8828" w:type="dxa"/>
          </w:tcPr>
          <w:p w14:paraId="64A27ACC" w14:textId="77777777" w:rsidR="00F946C2" w:rsidRDefault="00F946C2" w:rsidP="00A14410">
            <w:pPr>
              <w:spacing w:after="120" w:line="276" w:lineRule="auto"/>
              <w:jc w:val="both"/>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t</w:t>
            </w:r>
            <w:r w:rsidRPr="001B3C5D">
              <w:rPr>
                <w:rFonts w:ascii="Verdana" w:eastAsia="Calibri" w:hAnsi="Verdana" w:cs="Arial"/>
                <w:color w:val="000000"/>
                <w:lang w:val="es-ES"/>
              </w:rPr>
              <w:t xml:space="preserve">odas las resoluciones expedidas por la Agencia Nacional de Contratación Pública – Colombia Compra Eficiente, mediante las cuales se </w:t>
            </w:r>
            <w:r w:rsidRPr="001B3C5D">
              <w:rPr>
                <w:rFonts w:ascii="Verdana" w:eastAsia="Calibri" w:hAnsi="Verdana" w:cs="Arial"/>
                <w:color w:val="000000"/>
                <w:lang w:val="es-ES"/>
              </w:rPr>
              <w:lastRenderedPageBreak/>
              <w:t xml:space="preserve">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84DBEB3" w14:textId="77777777" w:rsidR="00F946C2" w:rsidRDefault="00F946C2" w:rsidP="00A14410">
            <w:pPr>
              <w:spacing w:after="120" w:line="276" w:lineRule="auto"/>
              <w:ind w:firstLine="736"/>
              <w:jc w:val="both"/>
            </w:pPr>
            <w:r w:rsidRPr="001B3C5D">
              <w:rPr>
                <w:rFonts w:ascii="Verdana" w:eastAsia="Calibri" w:hAnsi="Verdana" w:cs="Arial"/>
                <w:lang w:val="es-ES_tradnl"/>
              </w:rPr>
              <w:t>El fundamento legal vigente de la regla de la inalterabilidad está en el artículo 1 de la Ley 2022 de 2020, según el cual “</w:t>
            </w:r>
            <w:r>
              <w:rPr>
                <w:rFonts w:ascii="Verdana" w:eastAsia="Calibri" w:hAnsi="Verdana" w:cs="Arial"/>
                <w:lang w:val="es-ES_tradnl"/>
              </w:rPr>
              <w:t>[…]</w:t>
            </w:r>
            <w:r w:rsidRPr="001B3C5D">
              <w:rPr>
                <w:rFonts w:ascii="Verdana" w:eastAsia="Calibri" w:hAnsi="Verdana" w:cs="Arial"/>
                <w:lang w:val="es-ES_tradnl"/>
              </w:rPr>
              <w:t xml:space="preserve"> serán de obligatorio cumplimiento en la actividad contractual de todas las entidades sometidas al Estatuto General de Contratación de la Administración Pública”.</w:t>
            </w:r>
            <w:r>
              <w:rPr>
                <w:rFonts w:ascii="Verdana" w:eastAsia="Calibri" w:hAnsi="Verdana" w:cs="Arial"/>
                <w:lang w:val="es-ES_tradnl"/>
              </w:rPr>
              <w:t xml:space="preserve"> </w:t>
            </w: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w:t>
            </w:r>
          </w:p>
          <w:p w14:paraId="6999A3A7" w14:textId="77777777" w:rsidR="00F946C2" w:rsidRPr="001B3C5D" w:rsidRDefault="00F946C2" w:rsidP="00A14410">
            <w:pPr>
              <w:spacing w:line="276" w:lineRule="auto"/>
              <w:ind w:firstLine="708"/>
              <w:jc w:val="both"/>
              <w:rPr>
                <w:rFonts w:ascii="Aptos" w:eastAsia="Aptos" w:hAnsi="Aptos" w:cs="Times New Roman"/>
                <w:kern w:val="2"/>
                <w:sz w:val="24"/>
                <w:szCs w:val="24"/>
                <w:lang w:val="es-MX"/>
                <w14:ligatures w14:val="standardContextual"/>
              </w:rPr>
            </w:pPr>
            <w:r>
              <w:rPr>
                <w:rFonts w:ascii="Verdana" w:eastAsia="Calibri" w:hAnsi="Verdana" w:cs="Arial"/>
                <w:lang w:val="es-MX"/>
              </w:rPr>
              <w:t>L</w:t>
            </w:r>
            <w:r w:rsidRPr="001B3C5D">
              <w:rPr>
                <w:rFonts w:ascii="Verdana" w:eastAsia="Calibri" w:hAnsi="Verdana" w:cs="Arial"/>
                <w:lang w:val="es-MX"/>
              </w:rPr>
              <w:t xml:space="preserve">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46283A93" w14:textId="77777777" w:rsidR="00F946C2" w:rsidRPr="00777082" w:rsidRDefault="00F946C2" w:rsidP="00A14410">
            <w:pPr>
              <w:spacing w:before="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w:t>
            </w:r>
            <w:r w:rsidRPr="001B3C5D">
              <w:rPr>
                <w:rFonts w:ascii="Verdana" w:eastAsia="Calibri" w:hAnsi="Verdana" w:cs="Arial"/>
                <w:bCs/>
                <w:lang w:val="es-MX"/>
              </w:rPr>
              <w:lastRenderedPageBreak/>
              <w:t>escogencia y los sistemas de ponderación distintos a los señalados en los documentos tipo. En tal sentido, estos solo se podrán modificar respecto a aquellos contenidos que el mismo documento tipo lo permita.</w:t>
            </w:r>
          </w:p>
        </w:tc>
      </w:tr>
    </w:tbl>
    <w:p w14:paraId="316190C7" w14:textId="77777777" w:rsidR="00F946C2" w:rsidRPr="00593A5F" w:rsidRDefault="00F946C2" w:rsidP="00F946C2">
      <w:pPr>
        <w:tabs>
          <w:tab w:val="left" w:pos="142"/>
          <w:tab w:val="left" w:pos="284"/>
        </w:tabs>
        <w:spacing w:after="0" w:line="276" w:lineRule="auto"/>
        <w:jc w:val="both"/>
        <w:rPr>
          <w:rFonts w:ascii="Verdana" w:eastAsia="Century Gothic" w:hAnsi="Verdana" w:cs="Century Gothic"/>
          <w:b/>
          <w:bCs/>
          <w:lang w:val="es-ES"/>
        </w:rPr>
      </w:pPr>
    </w:p>
    <w:bookmarkEnd w:id="1"/>
    <w:p w14:paraId="06FBE00A" w14:textId="77777777" w:rsidR="00F946C2" w:rsidRPr="00593A5F" w:rsidRDefault="00F946C2" w:rsidP="00F946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7CE8686" w14:textId="77777777" w:rsidR="00F946C2" w:rsidRPr="00593A5F" w:rsidRDefault="00F946C2" w:rsidP="00F946C2">
      <w:pPr>
        <w:spacing w:after="0" w:line="276" w:lineRule="auto"/>
        <w:jc w:val="both"/>
        <w:rPr>
          <w:rFonts w:ascii="Verdana" w:eastAsia="Calibri" w:hAnsi="Verdana" w:cs="Arial"/>
          <w:color w:val="7030A0"/>
          <w:lang w:val="es-ES"/>
        </w:rPr>
      </w:pPr>
    </w:p>
    <w:p w14:paraId="190B8093" w14:textId="77777777" w:rsidR="00F946C2" w:rsidRDefault="00F946C2" w:rsidP="00F946C2">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9503C39" w14:textId="77777777" w:rsidR="00F946C2" w:rsidRPr="00415608" w:rsidRDefault="00F946C2" w:rsidP="00F946C2">
      <w:pPr>
        <w:spacing w:after="0" w:line="276" w:lineRule="auto"/>
        <w:jc w:val="both"/>
        <w:rPr>
          <w:rFonts w:ascii="Verdana" w:eastAsia="Calibri" w:hAnsi="Verdana" w:cs="Arial"/>
          <w:lang w:val="es-ES"/>
        </w:rPr>
      </w:pPr>
    </w:p>
    <w:p w14:paraId="46235915" w14:textId="77777777" w:rsidR="00F946C2" w:rsidRPr="00291DF9" w:rsidRDefault="00F946C2" w:rsidP="00F946C2">
      <w:pPr>
        <w:spacing w:after="0" w:line="276" w:lineRule="auto"/>
        <w:jc w:val="both"/>
        <w:rPr>
          <w:rFonts w:ascii="Verdana" w:eastAsia="Aptos" w:hAnsi="Verdana" w:cs="Times New Roman"/>
          <w:kern w:val="2"/>
          <w:sz w:val="24"/>
          <w:szCs w:val="24"/>
          <w:lang w:val="es-MX"/>
          <w14:ligatures w14:val="standardContextual"/>
        </w:rPr>
      </w:pPr>
      <w:r w:rsidRPr="00A47393">
        <w:rPr>
          <w:rFonts w:ascii="Verdana" w:hAnsi="Verdana" w:cs="Arial"/>
          <w:color w:val="000000" w:themeColor="text1"/>
          <w:lang w:val="es-ES"/>
        </w:rPr>
        <w:t>i.</w:t>
      </w:r>
      <w:r>
        <w:rPr>
          <w:rFonts w:ascii="Verdana" w:hAnsi="Verdana" w:cs="Arial"/>
          <w:color w:val="000000" w:themeColor="text1"/>
          <w:lang w:val="es-ES"/>
        </w:rPr>
        <w:t xml:space="preserve"> </w:t>
      </w:r>
      <w:r w:rsidRPr="00291DF9">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291DF9">
        <w:rPr>
          <w:rFonts w:ascii="Verdana" w:eastAsia="Aptos" w:hAnsi="Verdana" w:cs="Times New Roman"/>
          <w:kern w:val="2"/>
          <w:vertAlign w:val="superscript"/>
          <w:lang w:val="es-MX"/>
          <w14:ligatures w14:val="standardContextual"/>
        </w:rPr>
        <w:footnoteReference w:id="1"/>
      </w:r>
      <w:r w:rsidRPr="00291DF9">
        <w:rPr>
          <w:rFonts w:ascii="Verdana" w:eastAsia="Aptos" w:hAnsi="Verdana" w:cs="Times New Roman"/>
          <w:kern w:val="2"/>
          <w:lang w:val="es-MX"/>
          <w14:ligatures w14:val="standardContextual"/>
        </w:rPr>
        <w:t>.</w:t>
      </w:r>
      <w:r w:rsidRPr="00291DF9">
        <w:rPr>
          <w:rFonts w:ascii="Verdana" w:eastAsia="Aptos" w:hAnsi="Verdana" w:cs="Times New Roman"/>
          <w:kern w:val="2"/>
          <w:sz w:val="24"/>
          <w:szCs w:val="24"/>
          <w:lang w:val="es-MX"/>
          <w14:ligatures w14:val="standardContextual"/>
        </w:rPr>
        <w:t xml:space="preserve"> </w:t>
      </w:r>
    </w:p>
    <w:p w14:paraId="551D5691" w14:textId="77777777" w:rsidR="00F946C2" w:rsidRPr="00291DF9" w:rsidRDefault="00F946C2" w:rsidP="00F946C2">
      <w:pPr>
        <w:tabs>
          <w:tab w:val="left" w:pos="709"/>
        </w:tabs>
        <w:spacing w:before="120" w:after="120" w:line="276" w:lineRule="auto"/>
        <w:ind w:firstLine="642"/>
        <w:jc w:val="both"/>
        <w:rPr>
          <w:rFonts w:ascii="Verdana" w:eastAsia="Calibri" w:hAnsi="Verdana" w:cs="Arial"/>
          <w:color w:val="000000"/>
          <w:lang w:val="es-MX"/>
        </w:rPr>
      </w:pPr>
      <w:r w:rsidRPr="00291DF9">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291DF9">
        <w:rPr>
          <w:rFonts w:ascii="Verdana" w:eastAsia="Calibri" w:hAnsi="Verdana" w:cs="Arial"/>
          <w:color w:val="000000"/>
          <w:vertAlign w:val="superscript"/>
          <w:lang w:val="es-MX"/>
        </w:rPr>
        <w:footnoteReference w:id="2"/>
      </w:r>
      <w:r w:rsidRPr="00291DF9">
        <w:rPr>
          <w:rFonts w:ascii="Verdana" w:eastAsia="Calibri" w:hAnsi="Verdana" w:cs="Arial"/>
          <w:color w:val="000000"/>
          <w:lang w:val="es-MX"/>
        </w:rPr>
        <w:t xml:space="preserve">. Así mismo, señala que, dentro de estos documentos tipo se </w:t>
      </w:r>
      <w:r w:rsidRPr="00291DF9">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18ECDA5" w14:textId="77777777" w:rsidR="00F946C2" w:rsidRPr="00291DF9" w:rsidRDefault="00F946C2" w:rsidP="00F946C2">
      <w:pPr>
        <w:spacing w:before="120" w:after="120" w:line="276" w:lineRule="auto"/>
        <w:ind w:firstLine="642"/>
        <w:jc w:val="both"/>
        <w:rPr>
          <w:rFonts w:ascii="Verdana" w:eastAsia="Calibri" w:hAnsi="Verdana" w:cs="Arial"/>
          <w:color w:val="000000"/>
          <w:lang w:val="es-MX"/>
        </w:rPr>
      </w:pPr>
      <w:r w:rsidRPr="00291DF9">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3E740C08" w14:textId="77777777" w:rsidR="00F946C2" w:rsidRPr="00291DF9" w:rsidRDefault="00F946C2" w:rsidP="00F946C2">
      <w:pPr>
        <w:spacing w:before="120" w:after="120" w:line="276" w:lineRule="auto"/>
        <w:ind w:firstLine="360"/>
        <w:jc w:val="both"/>
        <w:rPr>
          <w:rFonts w:ascii="Verdana" w:eastAsia="Calibri" w:hAnsi="Verdana" w:cs="Arial"/>
          <w:color w:val="000000"/>
          <w:lang w:val="es-MX"/>
        </w:rPr>
      </w:pPr>
      <w:r w:rsidRPr="00291DF9">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04FE67A0" w14:textId="77777777" w:rsidR="00F946C2" w:rsidRPr="00291DF9" w:rsidRDefault="00F946C2" w:rsidP="00F946C2">
      <w:pPr>
        <w:spacing w:before="120" w:after="120" w:line="276" w:lineRule="auto"/>
        <w:ind w:firstLine="642"/>
        <w:jc w:val="both"/>
        <w:rPr>
          <w:rFonts w:ascii="Verdana" w:eastAsia="Calibri" w:hAnsi="Verdana" w:cs="Arial"/>
          <w:color w:val="000000"/>
          <w:lang w:val="es-MX"/>
        </w:rPr>
      </w:pPr>
      <w:r w:rsidRPr="00291DF9">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291DF9">
        <w:rPr>
          <w:rFonts w:ascii="Verdana" w:eastAsia="Calibri" w:hAnsi="Verdana" w:cs="Arial"/>
          <w:color w:val="000000"/>
          <w:vertAlign w:val="superscript"/>
          <w:lang w:val="es-MX"/>
        </w:rPr>
        <w:footnoteReference w:id="3"/>
      </w:r>
      <w:r w:rsidRPr="00291DF9">
        <w:rPr>
          <w:rFonts w:ascii="Verdana" w:eastAsia="Calibri" w:hAnsi="Verdana" w:cs="Arial"/>
          <w:color w:val="000000"/>
          <w:lang w:val="es-MX"/>
        </w:rPr>
        <w:t xml:space="preserve">. Esto significa, de </w:t>
      </w:r>
      <w:r w:rsidRPr="00291DF9">
        <w:rPr>
          <w:rFonts w:ascii="Verdana" w:eastAsia="Calibri" w:hAnsi="Verdana" w:cs="Arial"/>
          <w:color w:val="000000"/>
          <w:lang w:val="es-MX"/>
        </w:rPr>
        <w:lastRenderedPageBreak/>
        <w:t>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2EDA1B00" w14:textId="77777777" w:rsidR="00F946C2" w:rsidRPr="00291DF9" w:rsidRDefault="00F946C2" w:rsidP="00F946C2">
      <w:pPr>
        <w:spacing w:before="120" w:after="120" w:line="276" w:lineRule="auto"/>
        <w:ind w:firstLine="642"/>
        <w:jc w:val="both"/>
        <w:rPr>
          <w:rFonts w:ascii="Verdana" w:eastAsia="Aptos" w:hAnsi="Verdana" w:cs="Arial"/>
          <w:kern w:val="2"/>
          <w:lang w:val="es-ES"/>
          <w14:ligatures w14:val="standardContextual"/>
        </w:rPr>
      </w:pPr>
      <w:r w:rsidRPr="00291DF9">
        <w:rPr>
          <w:rFonts w:ascii="Verdana" w:eastAsia="Calibri" w:hAnsi="Verdana" w:cs="Arial"/>
          <w:color w:val="000000"/>
          <w:lang w:val="es-MX"/>
        </w:rPr>
        <w:t>Con la finalidad de realizar un desarrollo armónico y ajustado a la ley que otorga esta competencia, la Agencia Nacional de Contratación Pública expidió la Resolución 160 del 15 de septiembre de 2020</w:t>
      </w:r>
      <w:r>
        <w:rPr>
          <w:rFonts w:ascii="Verdana" w:eastAsia="Calibri" w:hAnsi="Verdana" w:cs="Arial"/>
          <w:color w:val="000000"/>
          <w:lang w:val="es-MX"/>
        </w:rPr>
        <w:t>,</w:t>
      </w:r>
      <w:r w:rsidRPr="00291DF9">
        <w:rPr>
          <w:rFonts w:ascii="Verdana" w:eastAsia="Calibri" w:hAnsi="Verdana" w:cs="Arial"/>
          <w:color w:val="000000"/>
          <w:lang w:val="es-MX"/>
        </w:rPr>
        <w:t xml:space="preserve"> “Por la cual se adopta el procedimiento para implementar los documentos tipo y se define el sistema para su revisión”. Asimismo, con fundamento en dicha Ley, se </w:t>
      </w:r>
      <w:r w:rsidRPr="00291DF9">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04A997C" w14:textId="77777777" w:rsidR="00F946C2" w:rsidRPr="00291DF9" w:rsidRDefault="00F946C2" w:rsidP="00F946C2">
      <w:pPr>
        <w:spacing w:after="120" w:line="276" w:lineRule="auto"/>
        <w:ind w:firstLine="708"/>
        <w:jc w:val="both"/>
        <w:rPr>
          <w:rFonts w:ascii="Verdana" w:eastAsia="Calibri" w:hAnsi="Verdana" w:cs="Arial"/>
          <w:kern w:val="2"/>
          <w14:ligatures w14:val="standardContextual"/>
        </w:rPr>
      </w:pPr>
      <w:r w:rsidRPr="00291DF9">
        <w:rPr>
          <w:rFonts w:ascii="Verdana" w:eastAsia="Aptos" w:hAnsi="Verdana" w:cs="Arial"/>
          <w:kern w:val="2"/>
          <w14:ligatures w14:val="standardContextual"/>
        </w:rPr>
        <w:t xml:space="preserve">Concretamente, con fundamento en el artículo 1 de la Ley 2022 de 2020, </w:t>
      </w:r>
      <w:r w:rsidRPr="00291DF9">
        <w:rPr>
          <w:rFonts w:ascii="Verdana" w:eastAsia="Calibri" w:hAnsi="Verdana" w:cs="Arial"/>
          <w:kern w:val="2"/>
          <w:lang w:val="es-MX"/>
          <w14:ligatures w14:val="standardContextual"/>
        </w:rPr>
        <w:t xml:space="preserve">la Agencia Nacional de Contratación Pública – Colombia Compra </w:t>
      </w:r>
      <w:r w:rsidRPr="00291DF9">
        <w:rPr>
          <w:rFonts w:ascii="Verdana" w:eastAsia="Calibri" w:hAnsi="Verdana" w:cs="Arial"/>
          <w:kern w:val="2"/>
          <w14:ligatures w14:val="standardContextual"/>
        </w:rPr>
        <w:t>Eficiente expidió los siguientes documentos tipo que se encuentran vigentes:</w:t>
      </w:r>
    </w:p>
    <w:p w14:paraId="48EECC4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i. Sector de Infraestructura de Transporte:</w:t>
      </w:r>
    </w:p>
    <w:p w14:paraId="0C200D1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44A3549E"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8F217C0"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lastRenderedPageBreak/>
        <w:t xml:space="preserve">Resolución 464 del 10 de septiembre de 2024: “Por la cual se actualizan los documentos tipo para los procesos de obra pública de infraestructura de transporte adelantados bajo la modalidad de mínima cuantía”. </w:t>
      </w:r>
    </w:p>
    <w:p w14:paraId="0A85FF3D"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519D7C82"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1BE6DA8"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proofErr w:type="spellStart"/>
      <w:r w:rsidRPr="00291DF9">
        <w:rPr>
          <w:rFonts w:ascii="Verdana" w:eastAsia="Aptos" w:hAnsi="Verdana" w:cs="Arial"/>
          <w:kern w:val="2"/>
          <w14:ligatures w14:val="standardContextual"/>
        </w:rPr>
        <w:t>ii</w:t>
      </w:r>
      <w:proofErr w:type="spellEnd"/>
      <w:r w:rsidRPr="00291DF9">
        <w:rPr>
          <w:rFonts w:ascii="Verdana" w:eastAsia="Aptos" w:hAnsi="Verdana" w:cs="Arial"/>
          <w:kern w:val="2"/>
          <w14:ligatures w14:val="standardContextual"/>
        </w:rPr>
        <w:t>. Sector de Infraestructura de Agua Potable y Saneamiento Básico:</w:t>
      </w:r>
    </w:p>
    <w:p w14:paraId="21818520"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00DCCDDB"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31D20B00"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61FCBA91"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proofErr w:type="spellStart"/>
      <w:r w:rsidRPr="00291DF9">
        <w:rPr>
          <w:rFonts w:ascii="Verdana" w:eastAsia="Aptos" w:hAnsi="Verdana" w:cs="Arial"/>
          <w:kern w:val="2"/>
          <w14:ligatures w14:val="standardContextual"/>
        </w:rPr>
        <w:t>iii</w:t>
      </w:r>
      <w:proofErr w:type="spellEnd"/>
      <w:r w:rsidRPr="00291DF9">
        <w:rPr>
          <w:rFonts w:ascii="Verdana" w:eastAsia="Aptos" w:hAnsi="Verdana" w:cs="Arial"/>
          <w:kern w:val="2"/>
          <w14:ligatures w14:val="standardContextual"/>
        </w:rPr>
        <w:t xml:space="preserve">. Sector de Infraestructura Social: </w:t>
      </w:r>
    </w:p>
    <w:p w14:paraId="378E4187"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774A90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lastRenderedPageBreak/>
        <w:t xml:space="preserve"> </w:t>
      </w:r>
      <w:proofErr w:type="spellStart"/>
      <w:r w:rsidRPr="00291DF9">
        <w:rPr>
          <w:rFonts w:ascii="Verdana" w:eastAsia="Aptos" w:hAnsi="Verdana" w:cs="Arial"/>
          <w:kern w:val="2"/>
          <w14:ligatures w14:val="standardContextual"/>
        </w:rPr>
        <w:t>ii</w:t>
      </w:r>
      <w:proofErr w:type="spellEnd"/>
      <w:r w:rsidRPr="00291DF9">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0185CC0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proofErr w:type="spellStart"/>
      <w:r w:rsidRPr="00291DF9">
        <w:rPr>
          <w:rFonts w:ascii="Verdana" w:eastAsia="Aptos" w:hAnsi="Verdana" w:cs="Arial"/>
          <w:kern w:val="2"/>
          <w14:ligatures w14:val="standardContextual"/>
        </w:rPr>
        <w:t>iii</w:t>
      </w:r>
      <w:proofErr w:type="spellEnd"/>
      <w:r w:rsidRPr="00291DF9">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4F1423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proofErr w:type="spellStart"/>
      <w:r w:rsidRPr="00291DF9">
        <w:rPr>
          <w:rFonts w:ascii="Verdana" w:eastAsia="Aptos" w:hAnsi="Verdana" w:cs="Arial"/>
          <w:kern w:val="2"/>
          <w14:ligatures w14:val="standardContextual"/>
        </w:rPr>
        <w:t>iv</w:t>
      </w:r>
      <w:proofErr w:type="spellEnd"/>
      <w:r w:rsidRPr="00291DF9">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6864D17"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59483C2A"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proofErr w:type="spellStart"/>
      <w:r w:rsidRPr="00291DF9">
        <w:rPr>
          <w:rFonts w:ascii="Verdana" w:eastAsia="Aptos" w:hAnsi="Verdana" w:cs="Arial"/>
          <w:kern w:val="2"/>
          <w14:ligatures w14:val="standardContextual"/>
        </w:rPr>
        <w:t>iv</w:t>
      </w:r>
      <w:proofErr w:type="spellEnd"/>
      <w:r w:rsidRPr="00291DF9">
        <w:rPr>
          <w:rFonts w:ascii="Verdana" w:eastAsia="Aptos" w:hAnsi="Verdana" w:cs="Arial"/>
          <w:kern w:val="2"/>
          <w14:ligatures w14:val="standardContextual"/>
        </w:rPr>
        <w:t>. Documentos tipo para la contratación directa de convenios solidarios:</w:t>
      </w:r>
    </w:p>
    <w:p w14:paraId="43390075" w14:textId="77777777" w:rsidR="00F946C2" w:rsidRPr="00291DF9" w:rsidRDefault="00F946C2" w:rsidP="00F946C2">
      <w:pPr>
        <w:spacing w:after="120" w:line="276" w:lineRule="auto"/>
        <w:ind w:firstLine="708"/>
        <w:jc w:val="both"/>
        <w:rPr>
          <w:rFonts w:ascii="Verdana" w:eastAsia="Aptos" w:hAnsi="Verdana" w:cs="Times New Roman"/>
          <w:kern w:val="2"/>
          <w14:ligatures w14:val="standardContextual"/>
        </w:rPr>
      </w:pPr>
      <w:r w:rsidRPr="00291DF9">
        <w:rPr>
          <w:rFonts w:ascii="Verdana" w:eastAsia="Aptos" w:hAnsi="Verdana" w:cs="Arial"/>
          <w:kern w:val="2"/>
          <w14:ligatures w14:val="standardContextual"/>
        </w:rPr>
        <w:t>Resolución 358 del 30 de junio de 2023 “</w:t>
      </w:r>
      <w:r w:rsidRPr="00291DF9">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7CD3633D" w14:textId="77777777" w:rsidR="00F946C2" w:rsidRPr="00291DF9" w:rsidRDefault="00F946C2" w:rsidP="00F946C2">
      <w:pPr>
        <w:spacing w:after="120" w:line="276" w:lineRule="auto"/>
        <w:ind w:firstLine="708"/>
        <w:jc w:val="both"/>
        <w:rPr>
          <w:rFonts w:ascii="Verdana" w:eastAsia="Aptos" w:hAnsi="Verdana" w:cs="Times New Roman"/>
          <w:kern w:val="2"/>
          <w14:ligatures w14:val="standardContextual"/>
        </w:rPr>
      </w:pPr>
      <w:r w:rsidRPr="00291DF9">
        <w:rPr>
          <w:rFonts w:ascii="Verdana" w:eastAsia="Aptos" w:hAnsi="Verdana" w:cs="Times New Roman"/>
          <w:kern w:val="2"/>
          <w14:ligatures w14:val="standardContextual"/>
        </w:rPr>
        <w:t xml:space="preserve">v. Documentos tipo de gestión catastral: </w:t>
      </w:r>
    </w:p>
    <w:p w14:paraId="54931A16" w14:textId="77777777" w:rsidR="00F946C2" w:rsidRPr="00291DF9" w:rsidRDefault="00F946C2" w:rsidP="00F946C2">
      <w:pPr>
        <w:spacing w:after="12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2A5CB2A8" w14:textId="77777777" w:rsidR="00F946C2" w:rsidRDefault="00F946C2" w:rsidP="00F946C2">
      <w:pPr>
        <w:spacing w:after="0" w:line="276" w:lineRule="auto"/>
        <w:ind w:firstLine="708"/>
        <w:jc w:val="both"/>
        <w:rPr>
          <w:rFonts w:ascii="Verdana" w:eastAsia="Aptos" w:hAnsi="Verdana" w:cs="Arial"/>
          <w:kern w:val="2"/>
          <w14:ligatures w14:val="standardContextual"/>
        </w:rPr>
      </w:pPr>
      <w:r w:rsidRPr="00291DF9">
        <w:rPr>
          <w:rFonts w:ascii="Verdana" w:eastAsia="Aptos" w:hAnsi="Verdana" w:cs="Arial"/>
          <w:kern w:val="2"/>
          <w14:ligatures w14:val="standardContextual"/>
        </w:rPr>
        <w:lastRenderedPageBreak/>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413EA9C1" w14:textId="77777777" w:rsidR="00F946C2" w:rsidRDefault="00F946C2" w:rsidP="00F946C2">
      <w:pPr>
        <w:tabs>
          <w:tab w:val="left" w:pos="0"/>
        </w:tabs>
        <w:spacing w:after="0" w:line="276" w:lineRule="auto"/>
        <w:jc w:val="both"/>
        <w:rPr>
          <w:rFonts w:ascii="Verdana" w:eastAsia="Calibri" w:hAnsi="Verdana" w:cs="Arial"/>
          <w:bCs/>
          <w:color w:val="000000" w:themeColor="text1"/>
        </w:rPr>
      </w:pPr>
    </w:p>
    <w:p w14:paraId="1C0318F9" w14:textId="77777777" w:rsidR="00F946C2" w:rsidRPr="001B3C5D" w:rsidRDefault="00F946C2" w:rsidP="00F946C2">
      <w:pPr>
        <w:tabs>
          <w:tab w:val="center" w:pos="4419"/>
          <w:tab w:val="right" w:pos="8838"/>
        </w:tabs>
        <w:spacing w:after="0" w:line="276" w:lineRule="auto"/>
        <w:jc w:val="both"/>
        <w:rPr>
          <w:rFonts w:ascii="Verdana" w:eastAsia="Calibri" w:hAnsi="Verdana" w:cs="Arial"/>
          <w:color w:val="000000"/>
          <w:lang w:val="es-ES"/>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sidRPr="001B3C5D">
        <w:rPr>
          <w:rFonts w:ascii="Verdana" w:eastAsia="Calibri" w:hAnsi="Verdana" w:cs="Arial"/>
          <w:color w:val="000000"/>
          <w:lang w:val="es-ES"/>
        </w:rPr>
        <w:t>Todas las resoluciones expedidas por la Agencia Nacional de Contratación Pública – Colombia Compra Eficiente, mediante las cuales se adoptaron los documentos tipo, consagran la regla de la inalterabilidad</w:t>
      </w:r>
      <w:r w:rsidRPr="001B3C5D">
        <w:rPr>
          <w:rFonts w:ascii="Verdana" w:eastAsia="Calibri" w:hAnsi="Verdana" w:cs="Arial"/>
          <w:color w:val="000000"/>
          <w:vertAlign w:val="superscript"/>
          <w:lang w:val="es-ES"/>
        </w:rPr>
        <w:footnoteReference w:id="4"/>
      </w:r>
      <w:r w:rsidRPr="001B3C5D">
        <w:rPr>
          <w:rFonts w:ascii="Verdana" w:eastAsia="Calibri" w:hAnsi="Verdana" w:cs="Arial"/>
          <w:color w:val="000000"/>
          <w:lang w:val="es-ES"/>
        </w:rPr>
        <w:t xml:space="preserve">.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DE1C35A" w14:textId="77777777" w:rsidR="00F946C2" w:rsidRPr="001B3C5D" w:rsidRDefault="00F946C2" w:rsidP="00F946C2">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El fundamento legal vigente de la regla de la inalterabilidad está en el artículo 1 de la Ley 2022 de 2020, según el cual “</w:t>
      </w:r>
      <w:r>
        <w:rPr>
          <w:rFonts w:ascii="Verdana" w:eastAsia="Calibri" w:hAnsi="Verdana" w:cs="Arial"/>
          <w:lang w:val="es-ES_tradnl"/>
        </w:rPr>
        <w:t>[…]</w:t>
      </w:r>
      <w:r w:rsidRPr="001B3C5D">
        <w:rPr>
          <w:rFonts w:ascii="Verdana" w:eastAsia="Calibri" w:hAnsi="Verdana" w:cs="Arial"/>
          <w:lang w:val="es-ES_tradnl"/>
        </w:rPr>
        <w:t xml:space="preserve">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w:t>
      </w:r>
      <w:r w:rsidRPr="001B3C5D">
        <w:rPr>
          <w:rFonts w:ascii="Verdana" w:eastAsia="Calibri" w:hAnsi="Verdana" w:cs="Arial"/>
          <w:lang w:val="es-ES_tradnl"/>
        </w:rPr>
        <w:lastRenderedPageBreak/>
        <w:t xml:space="preserve">en las diferentes resoluciones expedidas por la Agencia, por lo que no pueden hacer excepciones bajo una supuesta discrecionalidad a estas reglas que son obligatorias. </w:t>
      </w:r>
    </w:p>
    <w:p w14:paraId="191024B2" w14:textId="77777777" w:rsidR="00F946C2" w:rsidRPr="001B3C5D" w:rsidRDefault="00F946C2" w:rsidP="00F946C2">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5"/>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1B5C81B4" w14:textId="77777777" w:rsidR="00F946C2" w:rsidRPr="001B3C5D" w:rsidRDefault="00F946C2" w:rsidP="00F946C2">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6"/>
      </w:r>
      <w:r w:rsidRPr="001B3C5D">
        <w:rPr>
          <w:rFonts w:ascii="Verdana" w:eastAsia="Calibri" w:hAnsi="Verdana" w:cs="Arial"/>
          <w:lang w:val="es-ES"/>
        </w:rPr>
        <w:t xml:space="preserve">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vertAlign w:val="superscript"/>
          <w:lang w:val="es-ES"/>
        </w:rPr>
        <w:footnoteReference w:id="7"/>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46E8A358" w14:textId="77777777" w:rsidR="00F946C2" w:rsidRPr="001B3C5D" w:rsidRDefault="00F946C2" w:rsidP="00F946C2">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Otro aspecto sobre el principio que inalterabilidad que debe destacarse es que, sin mínimos inalterables, los documentos tipo, estándar o normalizados, sencillamente, perderían sus características. Bajo riesgo de señalar una </w:t>
      </w:r>
      <w:r w:rsidRPr="001B3C5D">
        <w:rPr>
          <w:rFonts w:ascii="Verdana" w:eastAsia="Calibri" w:hAnsi="Verdana" w:cs="Arial"/>
          <w:color w:val="000000"/>
          <w:lang w:val="es-ES"/>
        </w:rPr>
        <w:lastRenderedPageBreak/>
        <w:t>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8"/>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5CF2F59" w14:textId="77777777" w:rsidR="00F946C2" w:rsidRPr="001B3C5D" w:rsidRDefault="00F946C2" w:rsidP="00F946C2">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8585501" w14:textId="77777777" w:rsidR="00F946C2" w:rsidRPr="001B3C5D" w:rsidRDefault="00F946C2" w:rsidP="00F946C2">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FC1E1E0" w14:textId="77777777" w:rsidR="00F946C2" w:rsidRPr="001B3C5D" w:rsidRDefault="00F946C2" w:rsidP="00F946C2">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C033866" w14:textId="77777777" w:rsidR="00F946C2" w:rsidRPr="001B3C5D" w:rsidRDefault="00F946C2" w:rsidP="00F946C2">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w:t>
      </w:r>
      <w:r w:rsidRPr="001B3C5D">
        <w:rPr>
          <w:rFonts w:ascii="Verdana" w:eastAsia="Calibri" w:hAnsi="Verdana" w:cs="Arial"/>
          <w:lang w:val="es-MX"/>
        </w:rPr>
        <w:lastRenderedPageBreak/>
        <w:t xml:space="preserve">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02977BB9" w14:textId="77777777" w:rsidR="00F946C2" w:rsidRPr="001B3C5D" w:rsidRDefault="00F946C2" w:rsidP="00F946C2">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08721372" w14:textId="77777777" w:rsidR="00F946C2" w:rsidRPr="001B3C5D" w:rsidRDefault="00F946C2" w:rsidP="00F946C2">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1B60A87A" w14:textId="77777777" w:rsidR="00F946C2" w:rsidRPr="001B3C5D" w:rsidRDefault="00F946C2" w:rsidP="00F946C2">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62C134B" w14:textId="77777777" w:rsidR="00F946C2" w:rsidRPr="001B3C5D" w:rsidRDefault="00F946C2" w:rsidP="00F946C2">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w:t>
      </w:r>
      <w:r>
        <w:rPr>
          <w:rFonts w:ascii="Verdana" w:eastAsia="Aptos" w:hAnsi="Verdana" w:cs="Arial"/>
        </w:rPr>
        <w:t>[…]</w:t>
      </w:r>
      <w:r w:rsidRPr="001B3C5D">
        <w:rPr>
          <w:rFonts w:ascii="Verdana" w:eastAsia="Aptos" w:hAnsi="Verdana" w:cs="Arial"/>
        </w:rPr>
        <w:t xml:space="preserve"> por disposición del artículo 228 Superior, las formas no deben convertirse en un obstáculo para la efectividad del derecho sustancial, sino que deben propender por su realización. Es decir, que las normas </w:t>
      </w:r>
      <w:r w:rsidRPr="001B3C5D">
        <w:rPr>
          <w:rFonts w:ascii="Verdana" w:eastAsia="Aptos" w:hAnsi="Verdana" w:cs="Arial"/>
        </w:rPr>
        <w:lastRenderedPageBreak/>
        <w:t>procesales son un medio para lograr la efectividad de los derechos subjetivos y no fines en sí mismas”</w:t>
      </w:r>
      <w:r w:rsidRPr="001B3C5D">
        <w:rPr>
          <w:rFonts w:ascii="Verdana" w:eastAsia="Aptos" w:hAnsi="Verdana" w:cs="Arial"/>
          <w:vertAlign w:val="superscript"/>
        </w:rPr>
        <w:footnoteReference w:id="9"/>
      </w:r>
      <w:r w:rsidRPr="001B3C5D">
        <w:rPr>
          <w:rFonts w:ascii="Verdana" w:eastAsia="Aptos" w:hAnsi="Verdana" w:cs="Arial"/>
        </w:rPr>
        <w:t xml:space="preserve">. </w:t>
      </w:r>
    </w:p>
    <w:p w14:paraId="43ED2409" w14:textId="77777777" w:rsidR="00F946C2" w:rsidRPr="00A47393" w:rsidRDefault="00F946C2" w:rsidP="00F946C2">
      <w:pPr>
        <w:tabs>
          <w:tab w:val="left" w:pos="0"/>
        </w:tabs>
        <w:spacing w:after="0" w:line="276" w:lineRule="auto"/>
        <w:jc w:val="both"/>
        <w:rPr>
          <w:rFonts w:ascii="Verdana" w:eastAsia="Calibri" w:hAnsi="Verdana" w:cs="Arial"/>
          <w:bCs/>
          <w:color w:val="000000" w:themeColor="text1"/>
        </w:rPr>
      </w:pPr>
      <w:r>
        <w:rPr>
          <w:rFonts w:ascii="Verdana" w:eastAsia="Calibri" w:hAnsi="Verdana" w:cs="Arial"/>
          <w:lang w:val="es-MX"/>
        </w:rPr>
        <w:tab/>
      </w: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7B8C5232" w14:textId="77777777" w:rsidR="00F946C2" w:rsidRPr="00F9642A" w:rsidRDefault="00F946C2" w:rsidP="00F946C2">
      <w:pPr>
        <w:tabs>
          <w:tab w:val="left" w:pos="709"/>
        </w:tabs>
        <w:spacing w:after="0" w:line="276" w:lineRule="auto"/>
        <w:jc w:val="both"/>
        <w:rPr>
          <w:rFonts w:ascii="Verdana" w:eastAsia="Calibri" w:hAnsi="Verdana" w:cs="Arial"/>
          <w:bCs/>
          <w:color w:val="000000" w:themeColor="text1"/>
        </w:rPr>
      </w:pPr>
      <w:r w:rsidRPr="00A47393">
        <w:rPr>
          <w:rFonts w:ascii="Verdana" w:eastAsia="Calibri" w:hAnsi="Verdana" w:cs="Arial"/>
          <w:bCs/>
          <w:color w:val="000000" w:themeColor="text1"/>
        </w:rPr>
        <w:t xml:space="preserve">  </w:t>
      </w:r>
      <w:r w:rsidRPr="00185EE9">
        <w:rPr>
          <w:rFonts w:ascii="Verdana" w:eastAsia="Calibri" w:hAnsi="Verdana" w:cs="Arial"/>
          <w:bCs/>
          <w:color w:val="000000" w:themeColor="text1"/>
        </w:rPr>
        <w:t xml:space="preserve"> </w:t>
      </w:r>
    </w:p>
    <w:p w14:paraId="513A3BB4" w14:textId="77777777" w:rsidR="00F946C2" w:rsidRPr="00593A5F" w:rsidRDefault="00F946C2" w:rsidP="00F946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21145AD" w14:textId="77777777" w:rsidR="00F946C2" w:rsidRPr="00593A5F" w:rsidRDefault="00F946C2" w:rsidP="00F946C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946C2" w:rsidRPr="002407CE" w14:paraId="35739F53" w14:textId="77777777" w:rsidTr="00A14410">
        <w:trPr>
          <w:trHeight w:val="56"/>
          <w:jc w:val="center"/>
        </w:trPr>
        <w:tc>
          <w:tcPr>
            <w:tcW w:w="8647" w:type="dxa"/>
          </w:tcPr>
          <w:p w14:paraId="2BAADD28" w14:textId="77777777" w:rsidR="00F946C2" w:rsidRDefault="00F946C2" w:rsidP="00F946C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w:t>
            </w:r>
            <w:r w:rsidRPr="00B87E7A">
              <w:rPr>
                <w:rFonts w:ascii="Verdana" w:hAnsi="Verdana" w:cs="Arial"/>
              </w:rPr>
              <w:t>Ley</w:t>
            </w:r>
            <w:r>
              <w:rPr>
                <w:rFonts w:ascii="Verdana" w:hAnsi="Verdana" w:cs="Arial"/>
              </w:rPr>
              <w:t xml:space="preserve"> 4170 de 2011, artículos 1 y 3.</w:t>
            </w:r>
            <w:r w:rsidRPr="00B87E7A">
              <w:rPr>
                <w:rFonts w:ascii="Verdana" w:hAnsi="Verdana" w:cs="Arial"/>
              </w:rPr>
              <w:t xml:space="preserve"> </w:t>
            </w:r>
          </w:p>
          <w:p w14:paraId="54F3232B" w14:textId="77777777" w:rsidR="00F946C2" w:rsidRDefault="00F946C2" w:rsidP="00F946C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210 de 2003, artículos 2 y 10.</w:t>
            </w:r>
          </w:p>
          <w:p w14:paraId="0E990815" w14:textId="77777777" w:rsidR="00F946C2" w:rsidRDefault="00F946C2" w:rsidP="00F946C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1082 de 2015</w:t>
            </w:r>
            <w:r w:rsidRPr="00754D53">
              <w:rPr>
                <w:rFonts w:ascii="Verdana" w:hAnsi="Verdana" w:cs="Arial"/>
              </w:rPr>
              <w:t xml:space="preserve">, artículo </w:t>
            </w:r>
            <w:r w:rsidRPr="00B548BF">
              <w:rPr>
                <w:rFonts w:ascii="Verdana" w:hAnsi="Verdana" w:cs="Arial"/>
              </w:rPr>
              <w:t>2.2.1.2.4.1.1</w:t>
            </w:r>
            <w:r w:rsidRPr="00754D53">
              <w:rPr>
                <w:rFonts w:ascii="Verdana" w:hAnsi="Verdana" w:cs="Arial"/>
              </w:rPr>
              <w:t>.</w:t>
            </w:r>
          </w:p>
          <w:p w14:paraId="1FD7D0D8" w14:textId="77777777" w:rsidR="00F946C2" w:rsidRPr="00B87E7A" w:rsidRDefault="00F946C2" w:rsidP="00F946C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A47393">
              <w:rPr>
                <w:rFonts w:ascii="Verdana" w:hAnsi="Verdana" w:cs="Arial"/>
              </w:rPr>
              <w:t xml:space="preserve">Manual para manejo de los Acuerdos Comerciales en Procesos de Contratación expedido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2" w:history="1">
              <w:r w:rsidRPr="00137495">
                <w:rPr>
                  <w:rStyle w:val="Hipervnculo"/>
                  <w:rFonts w:ascii="Verdana" w:hAnsi="Verdana" w:cs="Arial"/>
                </w:rPr>
                <w:t>https://www.colombiacompra.gov.co/archivos/manual/manual-para-el-manejo-de-los-acuerdos-comerciales-en-procesos-de-contratacion</w:t>
              </w:r>
            </w:hyperlink>
            <w:r>
              <w:rPr>
                <w:rFonts w:ascii="Verdana" w:hAnsi="Verdana" w:cs="Arial"/>
              </w:rPr>
              <w:t xml:space="preserve"> </w:t>
            </w:r>
          </w:p>
        </w:tc>
      </w:tr>
    </w:tbl>
    <w:p w14:paraId="2FB3F71D" w14:textId="77777777" w:rsidR="00F946C2" w:rsidRPr="002407CE" w:rsidRDefault="00F946C2" w:rsidP="00F946C2">
      <w:pPr>
        <w:widowControl w:val="0"/>
        <w:autoSpaceDE w:val="0"/>
        <w:autoSpaceDN w:val="0"/>
        <w:spacing w:after="0" w:line="276" w:lineRule="auto"/>
        <w:jc w:val="both"/>
        <w:rPr>
          <w:rFonts w:ascii="Verdana" w:hAnsi="Verdana" w:cs="Arial"/>
        </w:rPr>
      </w:pPr>
    </w:p>
    <w:p w14:paraId="261BE3B6" w14:textId="77777777" w:rsidR="00F946C2" w:rsidRPr="00593A5F" w:rsidRDefault="00F946C2" w:rsidP="00F946C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FB7E3C" w14:textId="77777777" w:rsidR="00F946C2" w:rsidRPr="00593A5F" w:rsidRDefault="00F946C2" w:rsidP="00F946C2">
      <w:pPr>
        <w:widowControl w:val="0"/>
        <w:autoSpaceDE w:val="0"/>
        <w:autoSpaceDN w:val="0"/>
        <w:spacing w:after="0" w:line="276" w:lineRule="auto"/>
        <w:jc w:val="both"/>
        <w:rPr>
          <w:rFonts w:ascii="Verdana" w:hAnsi="Verdana" w:cs="Arial"/>
        </w:rPr>
      </w:pPr>
    </w:p>
    <w:p w14:paraId="4926715A" w14:textId="77777777" w:rsidR="00F946C2" w:rsidRPr="00ED0098" w:rsidRDefault="00F946C2" w:rsidP="00F946C2">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267331">
        <w:rPr>
          <w:rStyle w:val="normaltextrun"/>
          <w:rFonts w:ascii="Verdana" w:hAnsi="Verdana" w:cs="Arial"/>
          <w:shd w:val="clear" w:color="auto" w:fill="FFFFFF"/>
        </w:rPr>
        <w:t xml:space="preserve">se ha pronunciado sobre la regla de la inalterabilidad de los documentos tipo en los </w:t>
      </w:r>
      <w:r>
        <w:rPr>
          <w:rStyle w:val="normaltextrun"/>
          <w:rFonts w:ascii="Verdana" w:hAnsi="Verdana" w:cs="Arial"/>
          <w:shd w:val="clear" w:color="auto" w:fill="FFFFFF"/>
        </w:rPr>
        <w:t>C</w:t>
      </w:r>
      <w:r w:rsidRPr="00267331">
        <w:rPr>
          <w:rStyle w:val="normaltextrun"/>
          <w:rFonts w:ascii="Verdana" w:hAnsi="Verdana" w:cs="Arial"/>
          <w:shd w:val="clear" w:color="auto" w:fill="FFFFFF"/>
        </w:rPr>
        <w:t>onceptos</w:t>
      </w:r>
      <w:r>
        <w:rPr>
          <w:rStyle w:val="normaltextrun"/>
          <w:rFonts w:ascii="Verdana" w:hAnsi="Verdana" w:cs="Arial"/>
          <w:shd w:val="clear" w:color="auto" w:fill="FFFFFF"/>
        </w:rPr>
        <w:t xml:space="preserve"> </w:t>
      </w:r>
      <w:r w:rsidRPr="00267331">
        <w:rPr>
          <w:rStyle w:val="normaltextrun"/>
          <w:rFonts w:ascii="Verdana" w:hAnsi="Verdana" w:cs="Arial"/>
          <w:shd w:val="clear" w:color="auto" w:fill="FFFFFF"/>
        </w:rPr>
        <w:t xml:space="preserve">C-058 del 8 de marzo de 2022, C-657 del 11 de octubre de 2022, C-051 del 28 de abril de 2023, 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w:t>
      </w:r>
      <w:r w:rsidRPr="00267331">
        <w:rPr>
          <w:rStyle w:val="normaltextrun"/>
          <w:rFonts w:ascii="Verdana" w:hAnsi="Verdana" w:cs="Arial"/>
          <w:shd w:val="clear" w:color="auto" w:fill="FFFFFF"/>
        </w:rPr>
        <w:lastRenderedPageBreak/>
        <w:t>de 2025, C-522 del 9 de junio de 2025, C-562 del 19 de junio de 2025, C-582 del 25 de junio de 2025, C-043 del 13 de febrero de 2026 y C-246 del 12 de marzo de 2026</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2D77451" w14:textId="77777777" w:rsidR="00F946C2" w:rsidRPr="00096788" w:rsidRDefault="00F946C2" w:rsidP="00F946C2">
      <w:pPr>
        <w:widowControl w:val="0"/>
        <w:autoSpaceDE w:val="0"/>
        <w:autoSpaceDN w:val="0"/>
        <w:spacing w:after="0" w:line="276" w:lineRule="auto"/>
        <w:jc w:val="both"/>
        <w:rPr>
          <w:rFonts w:ascii="Verdana" w:hAnsi="Verdana" w:cs="Arial"/>
          <w:color w:val="000000" w:themeColor="text1"/>
          <w:shd w:val="clear" w:color="auto" w:fill="FFFFFF"/>
        </w:rPr>
      </w:pPr>
    </w:p>
    <w:p w14:paraId="7E963378" w14:textId="77777777" w:rsidR="00F946C2" w:rsidRDefault="00F946C2" w:rsidP="00F946C2">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63417FF2" w14:textId="77777777" w:rsidR="00F946C2" w:rsidRPr="009A385A" w:rsidRDefault="00F946C2" w:rsidP="00F946C2">
      <w:pPr>
        <w:spacing w:after="0"/>
        <w:jc w:val="both"/>
        <w:rPr>
          <w:rFonts w:ascii="Verdana" w:hAnsi="Verdana"/>
        </w:rPr>
      </w:pPr>
    </w:p>
    <w:p w14:paraId="62D662C5" w14:textId="77777777" w:rsidR="00F946C2" w:rsidRDefault="00F946C2" w:rsidP="00F946C2">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55980312" w14:textId="77777777" w:rsidR="00F946C2" w:rsidRDefault="00F946C2" w:rsidP="00F946C2">
      <w:pPr>
        <w:spacing w:after="0"/>
        <w:jc w:val="both"/>
        <w:rPr>
          <w:rFonts w:ascii="Verdana" w:hAnsi="Verdana"/>
        </w:rPr>
      </w:pPr>
    </w:p>
    <w:p w14:paraId="43BAABC5" w14:textId="77777777" w:rsidR="00F946C2" w:rsidRPr="008E1CD7" w:rsidRDefault="00F946C2" w:rsidP="00F946C2">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w:t>
        </w:r>
        <w:r w:rsidRPr="009A385A">
          <w:rPr>
            <w:rStyle w:val="Hipervnculo"/>
            <w:rFonts w:ascii="Verdana" w:hAnsi="Verdana"/>
          </w:rPr>
          <w:lastRenderedPageBreak/>
          <w:t>infraestructura-de-transporte-bajo-las-diferentes-modalidades-de-contratacion-vigentes</w:t>
        </w:r>
      </w:hyperlink>
    </w:p>
    <w:p w14:paraId="6B5C836C" w14:textId="77777777" w:rsidR="00F946C2" w:rsidRDefault="00F946C2" w:rsidP="00F946C2">
      <w:pPr>
        <w:shd w:val="clear" w:color="auto" w:fill="FFFFFF"/>
        <w:spacing w:after="0" w:line="276" w:lineRule="auto"/>
        <w:jc w:val="both"/>
        <w:rPr>
          <w:rFonts w:ascii="Verdana" w:hAnsi="Verdana"/>
          <w:color w:val="000000"/>
          <w:u w:val="single"/>
        </w:rPr>
      </w:pPr>
    </w:p>
    <w:p w14:paraId="572AC4CA" w14:textId="77777777" w:rsidR="00F946C2" w:rsidRPr="00116940" w:rsidRDefault="00F946C2" w:rsidP="00F946C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ECC4B48" w14:textId="77777777" w:rsidR="00F946C2" w:rsidRPr="00116940" w:rsidRDefault="00F946C2" w:rsidP="00F946C2">
      <w:pPr>
        <w:spacing w:after="0"/>
        <w:jc w:val="both"/>
        <w:rPr>
          <w:rFonts w:ascii="Verdana" w:hAnsi="Verdana"/>
        </w:rPr>
      </w:pPr>
    </w:p>
    <w:p w14:paraId="1E70D117" w14:textId="77777777" w:rsidR="00F946C2" w:rsidRPr="00116940" w:rsidRDefault="00F946C2" w:rsidP="00F946C2">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9122137" w14:textId="77777777" w:rsidR="00F946C2" w:rsidRPr="00116940" w:rsidRDefault="00F946C2" w:rsidP="00F946C2">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7912E38" w14:textId="77777777" w:rsidR="00F946C2" w:rsidRPr="00116940" w:rsidRDefault="00F946C2" w:rsidP="00F946C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17A7021F" w14:textId="77777777" w:rsidR="00F946C2" w:rsidRPr="00116940" w:rsidRDefault="00F946C2" w:rsidP="00F946C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7D0928C3" w14:textId="77777777" w:rsidR="00F946C2" w:rsidRPr="00116940" w:rsidRDefault="00F946C2" w:rsidP="00F946C2">
      <w:pPr>
        <w:spacing w:after="0" w:line="240" w:lineRule="auto"/>
        <w:ind w:left="720"/>
        <w:jc w:val="both"/>
        <w:rPr>
          <w:rFonts w:ascii="Verdana" w:hAnsi="Verdana"/>
        </w:rPr>
      </w:pPr>
    </w:p>
    <w:p w14:paraId="636DC84F" w14:textId="77777777" w:rsidR="00F946C2" w:rsidRPr="00116940" w:rsidRDefault="00F946C2" w:rsidP="00F946C2">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5AA6821" w14:textId="77777777" w:rsidR="00F946C2" w:rsidRPr="00116940" w:rsidRDefault="00F946C2" w:rsidP="00F946C2">
      <w:pPr>
        <w:spacing w:after="0" w:line="240" w:lineRule="auto"/>
        <w:rPr>
          <w:rFonts w:ascii="Verdana" w:hAnsi="Verdana"/>
        </w:rPr>
      </w:pPr>
    </w:p>
    <w:p w14:paraId="75695CE7" w14:textId="77777777" w:rsidR="00F946C2" w:rsidRPr="00116940" w:rsidRDefault="00F946C2" w:rsidP="00F946C2">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61DFC7B" w14:textId="77777777" w:rsidR="00F946C2" w:rsidRPr="00116940" w:rsidRDefault="00F946C2" w:rsidP="00F946C2">
      <w:pPr>
        <w:spacing w:after="0" w:line="240" w:lineRule="auto"/>
        <w:jc w:val="both"/>
        <w:rPr>
          <w:rFonts w:ascii="Verdana" w:hAnsi="Verdana"/>
        </w:rPr>
      </w:pPr>
    </w:p>
    <w:p w14:paraId="276BF08C" w14:textId="77777777" w:rsidR="00F946C2" w:rsidRPr="00116940" w:rsidRDefault="00F946C2" w:rsidP="00F946C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2F7F9FB" w14:textId="77777777" w:rsidR="00F946C2" w:rsidRPr="00116940" w:rsidRDefault="00F946C2" w:rsidP="00F946C2">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E3E0B32" w14:textId="77777777" w:rsidR="00F946C2" w:rsidRPr="00116940" w:rsidRDefault="00F946C2" w:rsidP="00F946C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D403E21" w14:textId="77777777" w:rsidR="00F946C2" w:rsidRPr="009C4035" w:rsidRDefault="00F946C2" w:rsidP="00F946C2">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49C3DF9" w14:textId="77777777" w:rsidR="00F946C2" w:rsidRPr="00593A5F" w:rsidRDefault="00F946C2" w:rsidP="00F946C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90245F6" w14:textId="77777777" w:rsidR="00F946C2" w:rsidRPr="00593A5F" w:rsidRDefault="00F946C2" w:rsidP="00F946C2">
      <w:pPr>
        <w:widowControl w:val="0"/>
        <w:autoSpaceDE w:val="0"/>
        <w:autoSpaceDN w:val="0"/>
        <w:spacing w:after="0" w:line="276" w:lineRule="auto"/>
        <w:jc w:val="both"/>
        <w:rPr>
          <w:rFonts w:ascii="Verdana" w:hAnsi="Verdana" w:cs="Arial"/>
        </w:rPr>
      </w:pPr>
    </w:p>
    <w:p w14:paraId="2742B34E" w14:textId="77777777" w:rsidR="00F946C2" w:rsidRPr="00593A5F" w:rsidRDefault="00F946C2" w:rsidP="00F946C2">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4E56F02" w14:textId="7B156067" w:rsidR="00F946C2" w:rsidRPr="00593A5F" w:rsidRDefault="00260B9D" w:rsidP="00F946C2">
      <w:pPr>
        <w:spacing w:line="276" w:lineRule="auto"/>
        <w:jc w:val="center"/>
        <w:rPr>
          <w:rFonts w:ascii="Verdana" w:hAnsi="Verdana" w:cs="Arial"/>
          <w:color w:val="000000"/>
          <w:lang w:val="es-ES_tradnl" w:eastAsia="es-CO"/>
        </w:rPr>
      </w:pPr>
      <w:r>
        <w:rPr>
          <w:noProof/>
        </w:rPr>
        <w:lastRenderedPageBreak/>
        <w:drawing>
          <wp:inline distT="0" distB="0" distL="0" distR="0" wp14:anchorId="7E203F48" wp14:editId="3628B4B4">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946C2" w:rsidRPr="00593A5F" w14:paraId="62C94F2C" w14:textId="77777777" w:rsidTr="00A14410">
        <w:trPr>
          <w:trHeight w:val="315"/>
        </w:trPr>
        <w:tc>
          <w:tcPr>
            <w:tcW w:w="893" w:type="dxa"/>
            <w:vAlign w:val="center"/>
            <w:hideMark/>
          </w:tcPr>
          <w:p w14:paraId="30E077FE" w14:textId="77777777" w:rsidR="00F946C2" w:rsidRPr="003751C7" w:rsidRDefault="00F946C2" w:rsidP="00A1441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682411" w14:textId="77777777" w:rsidR="00F946C2" w:rsidRPr="00254A7A" w:rsidRDefault="00F946C2" w:rsidP="00A1441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C3C5D04" w14:textId="77777777" w:rsidR="00F946C2" w:rsidRPr="00254A7A" w:rsidRDefault="00F946C2" w:rsidP="00A1441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946C2" w:rsidRPr="00593A5F" w14:paraId="7E610630" w14:textId="77777777" w:rsidTr="00A14410">
        <w:trPr>
          <w:trHeight w:val="330"/>
        </w:trPr>
        <w:tc>
          <w:tcPr>
            <w:tcW w:w="893" w:type="dxa"/>
            <w:vAlign w:val="center"/>
            <w:hideMark/>
          </w:tcPr>
          <w:p w14:paraId="5FEF3A67" w14:textId="77777777" w:rsidR="00F946C2" w:rsidRPr="003751C7" w:rsidRDefault="00F946C2" w:rsidP="00A1441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A05F13" w14:textId="77777777" w:rsidR="00F946C2" w:rsidRPr="00A40FD0" w:rsidRDefault="00F946C2" w:rsidP="00A14410">
            <w:pPr>
              <w:pStyle w:val="paragraph"/>
              <w:spacing w:after="0"/>
              <w:contextualSpacing/>
              <w:textAlignment w:val="baseline"/>
              <w:rPr>
                <w:rStyle w:val="normaltextrun"/>
                <w:rFonts w:ascii="Verdana" w:hAnsi="Verdana" w:cs="Arial"/>
                <w:sz w:val="16"/>
                <w:szCs w:val="16"/>
                <w:lang w:val="es-ES_tradnl"/>
              </w:rPr>
            </w:pPr>
            <w:r w:rsidRPr="00820DA0">
              <w:rPr>
                <w:rStyle w:val="normaltextrun"/>
                <w:rFonts w:ascii="Verdana" w:hAnsi="Verdana" w:cs="Arial"/>
                <w:sz w:val="16"/>
                <w:szCs w:val="16"/>
                <w:lang w:val="es-ES_tradnl"/>
              </w:rPr>
              <w:t>Juan David Cárdenas Cabeza</w:t>
            </w:r>
          </w:p>
          <w:p w14:paraId="5E6C5E0D" w14:textId="77777777" w:rsidR="00F946C2" w:rsidRPr="00A40FD0" w:rsidRDefault="00F946C2" w:rsidP="00A14410">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F946C2" w:rsidRPr="00593A5F" w14:paraId="31B190CF" w14:textId="77777777" w:rsidTr="00A14410">
        <w:trPr>
          <w:trHeight w:val="300"/>
        </w:trPr>
        <w:tc>
          <w:tcPr>
            <w:tcW w:w="893" w:type="dxa"/>
            <w:vAlign w:val="center"/>
          </w:tcPr>
          <w:p w14:paraId="6B376E19" w14:textId="77777777" w:rsidR="00F946C2" w:rsidRPr="003751C7" w:rsidRDefault="00F946C2" w:rsidP="00A1441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87AF4A" w14:textId="77777777" w:rsidR="00F946C2" w:rsidRPr="00FE00BE" w:rsidRDefault="00F946C2" w:rsidP="00A1441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185C8D9D" w14:textId="77777777" w:rsidR="00F946C2" w:rsidRPr="00FE00BE" w:rsidRDefault="00F946C2" w:rsidP="00A1441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7B8B0FB" w14:textId="3D9F3F32" w:rsidR="00F946C2" w:rsidRPr="00543BFE" w:rsidRDefault="00F946C2" w:rsidP="00F946C2"/>
    <w:p w14:paraId="0F293BF4" w14:textId="39946519" w:rsidR="00127233" w:rsidRPr="00101D91" w:rsidRDefault="00127233" w:rsidP="00101D91"/>
    <w:sectPr w:rsidR="00127233" w:rsidRPr="00101D91"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55ADDB" w14:textId="77777777" w:rsidR="00145715" w:rsidRDefault="00145715" w:rsidP="004A1847">
      <w:pPr>
        <w:spacing w:after="0" w:line="240" w:lineRule="auto"/>
      </w:pPr>
      <w:r>
        <w:separator/>
      </w:r>
    </w:p>
  </w:endnote>
  <w:endnote w:type="continuationSeparator" w:id="0">
    <w:p w14:paraId="1738EF94" w14:textId="77777777" w:rsidR="00145715" w:rsidRDefault="001457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CD14B" w14:textId="77777777" w:rsidR="00145715" w:rsidRDefault="00145715" w:rsidP="004A1847">
      <w:pPr>
        <w:spacing w:after="0" w:line="240" w:lineRule="auto"/>
      </w:pPr>
      <w:r>
        <w:separator/>
      </w:r>
    </w:p>
  </w:footnote>
  <w:footnote w:type="continuationSeparator" w:id="0">
    <w:p w14:paraId="1A6E45EA" w14:textId="77777777" w:rsidR="00145715" w:rsidRDefault="00145715" w:rsidP="004A1847">
      <w:pPr>
        <w:spacing w:after="0" w:line="240" w:lineRule="auto"/>
      </w:pPr>
      <w:r>
        <w:continuationSeparator/>
      </w:r>
    </w:p>
  </w:footnote>
  <w:footnote w:id="1">
    <w:p w14:paraId="11953117" w14:textId="77777777" w:rsidR="00F946C2" w:rsidRPr="0005704F" w:rsidRDefault="00F946C2" w:rsidP="00F946C2">
      <w:pPr>
        <w:pStyle w:val="Textonotapie"/>
        <w:ind w:firstLine="708"/>
        <w:jc w:val="both"/>
        <w:rPr>
          <w:rFonts w:ascii="Verdana" w:hAnsi="Verdana"/>
          <w:sz w:val="16"/>
          <w:szCs w:val="16"/>
        </w:rPr>
      </w:pPr>
      <w:r w:rsidRPr="0005704F">
        <w:rPr>
          <w:rStyle w:val="Refdenotaalpie"/>
          <w:rFonts w:ascii="Verdana" w:hAnsi="Verdana"/>
          <w:sz w:val="16"/>
          <w:szCs w:val="16"/>
        </w:rPr>
        <w:footnoteRef/>
      </w:r>
      <w:r w:rsidRPr="0005704F">
        <w:rPr>
          <w:rFonts w:ascii="Verdana" w:hAnsi="Verdana"/>
          <w:sz w:val="16"/>
          <w:szCs w:val="16"/>
        </w:rPr>
        <w:t xml:space="preserve"> </w:t>
      </w:r>
      <w:r w:rsidRPr="0005704F">
        <w:rPr>
          <w:rFonts w:ascii="Verdana" w:hAnsi="Verdana" w:cs="Arial"/>
          <w:sz w:val="16"/>
          <w:szCs w:val="16"/>
        </w:rPr>
        <w:t>Gaceta del Congreso No. 733 del 2018. Pág. 19</w:t>
      </w:r>
    </w:p>
  </w:footnote>
  <w:footnote w:id="2">
    <w:p w14:paraId="2388ECC4" w14:textId="77777777" w:rsidR="00F946C2" w:rsidRPr="0005704F" w:rsidRDefault="00F946C2" w:rsidP="00F946C2">
      <w:pPr>
        <w:pStyle w:val="Textonotapie"/>
        <w:ind w:firstLine="708"/>
        <w:jc w:val="both"/>
        <w:rPr>
          <w:rFonts w:ascii="Verdana" w:hAnsi="Verdana" w:cs="Arial"/>
          <w:sz w:val="16"/>
          <w:szCs w:val="16"/>
        </w:rPr>
      </w:pPr>
      <w:r w:rsidRPr="0005704F">
        <w:rPr>
          <w:rStyle w:val="Refdenotaalpie"/>
          <w:rFonts w:ascii="Verdana" w:hAnsi="Verdana"/>
          <w:sz w:val="16"/>
          <w:szCs w:val="16"/>
        </w:rPr>
        <w:footnoteRef/>
      </w:r>
      <w:r w:rsidRPr="0005704F">
        <w:rPr>
          <w:rFonts w:ascii="Verdana" w:hAnsi="Verdana"/>
          <w:sz w:val="16"/>
          <w:szCs w:val="16"/>
        </w:rPr>
        <w:t xml:space="preserve"> </w:t>
      </w:r>
      <w:r w:rsidRPr="0005704F">
        <w:rPr>
          <w:rFonts w:ascii="Verdana" w:hAnsi="Verdana" w:cs="Arial"/>
          <w:sz w:val="16"/>
          <w:szCs w:val="16"/>
        </w:rPr>
        <w:t xml:space="preserve">Ley 2022 de 2020: “Artículo 1. Modifíquese el artículo </w:t>
      </w:r>
      <w:hyperlink r:id="rId1" w:anchor="4" w:history="1">
        <w:r w:rsidRPr="0005704F">
          <w:rPr>
            <w:rFonts w:ascii="Verdana" w:hAnsi="Verdana" w:cs="Arial"/>
            <w:sz w:val="16"/>
            <w:szCs w:val="16"/>
          </w:rPr>
          <w:t>4</w:t>
        </w:r>
      </w:hyperlink>
      <w:r w:rsidRPr="0005704F">
        <w:rPr>
          <w:rFonts w:ascii="Verdana" w:hAnsi="Verdana" w:cs="Arial"/>
          <w:sz w:val="16"/>
          <w:szCs w:val="16"/>
        </w:rPr>
        <w:t xml:space="preserve">º de la Ley 1882 de 2018, el cual quedará así: </w:t>
      </w:r>
    </w:p>
    <w:p w14:paraId="56EFD186"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 xml:space="preserve">“Artículo 4º. Adiciónese el siguiente </w:t>
      </w:r>
      <w:r w:rsidRPr="0005704F">
        <w:rPr>
          <w:rFonts w:ascii="Verdana" w:hAnsi="Verdana"/>
          <w:sz w:val="16"/>
          <w:szCs w:val="16"/>
        </w:rPr>
        <w:t xml:space="preserve"> </w:t>
      </w:r>
      <w:r w:rsidRPr="0005704F">
        <w:rPr>
          <w:rFonts w:ascii="Verdana" w:hAnsi="Verdana" w:cs="Arial"/>
          <w:sz w:val="16"/>
          <w:szCs w:val="16"/>
        </w:rPr>
        <w:t>al artículo 2º de la Ley 1150 de 2007.</w:t>
      </w:r>
    </w:p>
    <w:p w14:paraId="4945F5F8"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BFA0157"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1121CB4"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EE404C7"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C980289"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4EA61D1B" w14:textId="77777777" w:rsidR="00F946C2" w:rsidRPr="0005704F" w:rsidRDefault="00F946C2" w:rsidP="00F946C2">
      <w:pPr>
        <w:pStyle w:val="Textonotapie"/>
        <w:ind w:firstLine="708"/>
        <w:jc w:val="both"/>
        <w:rPr>
          <w:rFonts w:ascii="Verdana" w:hAnsi="Verdana" w:cs="Arial"/>
          <w:sz w:val="16"/>
          <w:szCs w:val="16"/>
        </w:rPr>
      </w:pPr>
      <w:r w:rsidRPr="0005704F">
        <w:rPr>
          <w:rStyle w:val="Refdenotaalpie"/>
          <w:rFonts w:ascii="Verdana" w:hAnsi="Verdana" w:cs="Arial"/>
          <w:sz w:val="16"/>
          <w:szCs w:val="16"/>
        </w:rPr>
        <w:footnoteRef/>
      </w:r>
      <w:r w:rsidRPr="0005704F">
        <w:rPr>
          <w:rFonts w:ascii="Verdana" w:hAnsi="Verdana" w:cs="Arial"/>
          <w:sz w:val="16"/>
          <w:szCs w:val="16"/>
        </w:rPr>
        <w:t xml:space="preserve"> Ley 80 de 1993. “Artículo 2. De la definición de entidades, servidores y servicios públicos. Para los solos efectos de esta ley:</w:t>
      </w:r>
    </w:p>
    <w:p w14:paraId="55B77EC2"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1o. Se denominan entidades estatales:</w:t>
      </w:r>
    </w:p>
    <w:p w14:paraId="7B86AC2B" w14:textId="77777777" w:rsidR="00F946C2" w:rsidRPr="0005704F" w:rsidRDefault="00F946C2" w:rsidP="00F946C2">
      <w:pPr>
        <w:pStyle w:val="Textonotapie"/>
        <w:ind w:firstLine="708"/>
        <w:jc w:val="both"/>
        <w:rPr>
          <w:rFonts w:ascii="Verdana" w:hAnsi="Verdana" w:cs="Arial"/>
          <w:sz w:val="16"/>
          <w:szCs w:val="16"/>
        </w:rPr>
      </w:pPr>
      <w:r w:rsidRPr="0005704F">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887E9B3" w14:textId="77777777" w:rsidR="00F946C2" w:rsidRPr="0005704F" w:rsidRDefault="00F946C2" w:rsidP="00F946C2">
      <w:pPr>
        <w:pStyle w:val="Textonotapie"/>
        <w:ind w:firstLine="708"/>
        <w:jc w:val="both"/>
        <w:rPr>
          <w:rFonts w:ascii="Verdana" w:hAnsi="Verdana" w:cs="Arial"/>
          <w:i/>
          <w:sz w:val="16"/>
          <w:szCs w:val="16"/>
        </w:rPr>
      </w:pPr>
      <w:r w:rsidRPr="0005704F">
        <w:rPr>
          <w:rFonts w:ascii="Verdana" w:hAnsi="Verdana" w:cs="Arial"/>
          <w:sz w:val="16"/>
          <w:szCs w:val="16"/>
        </w:rPr>
        <w:t xml:space="preserve">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r>
        <w:rPr>
          <w:rFonts w:ascii="Verdana" w:hAnsi="Verdana" w:cs="Arial"/>
          <w:sz w:val="16"/>
          <w:szCs w:val="16"/>
        </w:rPr>
        <w:t>[…]</w:t>
      </w:r>
      <w:r w:rsidRPr="0005704F">
        <w:rPr>
          <w:rFonts w:ascii="Verdana" w:hAnsi="Verdana" w:cs="Arial"/>
          <w:sz w:val="16"/>
          <w:szCs w:val="16"/>
        </w:rPr>
        <w:t>”.</w:t>
      </w:r>
    </w:p>
  </w:footnote>
  <w:footnote w:id="4">
    <w:p w14:paraId="111D7071" w14:textId="77777777" w:rsidR="00F946C2" w:rsidRPr="0005704F" w:rsidRDefault="00F946C2" w:rsidP="00F946C2">
      <w:pPr>
        <w:pStyle w:val="Textonotapie"/>
        <w:ind w:firstLine="708"/>
        <w:jc w:val="both"/>
        <w:rPr>
          <w:rFonts w:ascii="Verdana" w:hAnsi="Verdana" w:cs="Arial"/>
          <w:color w:val="000000"/>
          <w:sz w:val="16"/>
          <w:szCs w:val="16"/>
          <w:lang w:val="es-ES"/>
        </w:rPr>
      </w:pPr>
      <w:r w:rsidRPr="0005704F">
        <w:rPr>
          <w:rStyle w:val="Refdenotaalpie"/>
          <w:rFonts w:ascii="Verdana" w:hAnsi="Verdana" w:cs="Arial"/>
          <w:color w:val="000000"/>
          <w:sz w:val="16"/>
          <w:szCs w:val="16"/>
        </w:rPr>
        <w:footnoteRef/>
      </w:r>
      <w:r w:rsidRPr="0005704F">
        <w:rPr>
          <w:rFonts w:ascii="Verdana" w:hAnsi="Verdana" w:cs="Arial"/>
          <w:color w:val="000000"/>
          <w:sz w:val="16"/>
          <w:szCs w:val="16"/>
        </w:rPr>
        <w:t xml:space="preserve"> </w:t>
      </w:r>
      <w:r w:rsidRPr="0005704F">
        <w:rPr>
          <w:rFonts w:ascii="Verdana" w:hAnsi="Verdana" w:cs="Arial"/>
          <w:color w:val="000000"/>
          <w:sz w:val="16"/>
          <w:szCs w:val="16"/>
          <w:lang w:val="es-ES"/>
        </w:rPr>
        <w:t>En cuanto a las resoluciones vigentes, dicha regla se observa en el artículo 3 de las Resoluciones</w:t>
      </w:r>
      <w:bookmarkStart w:id="2" w:name="_Hlk82363077"/>
      <w:r w:rsidRPr="0005704F">
        <w:rPr>
          <w:rFonts w:ascii="Verdana" w:hAnsi="Verdana" w:cs="Arial"/>
          <w:color w:val="000000"/>
          <w:sz w:val="16"/>
          <w:szCs w:val="16"/>
          <w:lang w:val="es-ES"/>
        </w:rPr>
        <w:t xml:space="preserve"> 248 de 2020, 249 de 2020, 269 de 2020, 219 de 2021, 220 de 2021, 392 de 2021, 454 de 2021, 333 de 2022, 358 de 2023, 798 de 2023, 456 de 2024, 463 de 2024, 464 de 2024, 725 de 2024, 726 de 2024, entre otras</w:t>
      </w:r>
      <w:bookmarkEnd w:id="2"/>
      <w:r w:rsidRPr="0005704F">
        <w:rPr>
          <w:rFonts w:ascii="Verdana" w:hAnsi="Verdana" w:cs="Arial"/>
          <w:color w:val="000000"/>
          <w:sz w:val="16"/>
          <w:szCs w:val="16"/>
          <w:lang w:val="es-ES"/>
        </w:rPr>
        <w:t xml:space="preserve">. </w:t>
      </w:r>
    </w:p>
  </w:footnote>
  <w:footnote w:id="5">
    <w:p w14:paraId="316F4EA2" w14:textId="77777777" w:rsidR="00F946C2" w:rsidRPr="0005704F" w:rsidRDefault="00F946C2" w:rsidP="00F946C2">
      <w:pPr>
        <w:pStyle w:val="Textonotapie"/>
        <w:ind w:firstLine="708"/>
        <w:jc w:val="both"/>
        <w:rPr>
          <w:rFonts w:ascii="Verdana" w:hAnsi="Verdana" w:cs="Arial"/>
          <w:color w:val="000000"/>
          <w:sz w:val="16"/>
          <w:szCs w:val="16"/>
        </w:rPr>
      </w:pPr>
      <w:r w:rsidRPr="0005704F">
        <w:rPr>
          <w:rStyle w:val="Refdenotaalpie"/>
          <w:rFonts w:ascii="Verdana" w:hAnsi="Verdana" w:cs="Arial"/>
          <w:color w:val="000000"/>
          <w:sz w:val="16"/>
          <w:szCs w:val="16"/>
        </w:rPr>
        <w:footnoteRef/>
      </w:r>
      <w:r w:rsidRPr="0005704F">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w:t>
      </w:r>
      <w:r>
        <w:rPr>
          <w:rFonts w:ascii="Verdana" w:hAnsi="Verdana" w:cs="Arial"/>
          <w:color w:val="000000"/>
          <w:sz w:val="16"/>
          <w:szCs w:val="16"/>
        </w:rPr>
        <w:t>[…]</w:t>
      </w:r>
      <w:r w:rsidRPr="0005704F">
        <w:rPr>
          <w:rFonts w:ascii="Verdana" w:hAnsi="Verdana" w:cs="Arial"/>
          <w:color w:val="000000"/>
          <w:sz w:val="16"/>
          <w:szCs w:val="16"/>
        </w:rPr>
        <w:t xml:space="preserve">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footnote>
  <w:footnote w:id="6">
    <w:p w14:paraId="16285D71" w14:textId="77777777" w:rsidR="00F946C2" w:rsidRPr="0005704F" w:rsidRDefault="00F946C2" w:rsidP="00F946C2">
      <w:pPr>
        <w:pStyle w:val="Textonotapie"/>
        <w:ind w:firstLine="709"/>
        <w:jc w:val="both"/>
        <w:rPr>
          <w:rFonts w:ascii="Verdana" w:hAnsi="Verdana" w:cs="Arial"/>
          <w:color w:val="000000"/>
          <w:sz w:val="16"/>
          <w:szCs w:val="16"/>
        </w:rPr>
      </w:pPr>
      <w:r w:rsidRPr="0005704F">
        <w:rPr>
          <w:rStyle w:val="Refdenotaalpie"/>
          <w:rFonts w:ascii="Verdana" w:hAnsi="Verdana" w:cs="Arial"/>
          <w:color w:val="000000"/>
          <w:sz w:val="16"/>
          <w:szCs w:val="16"/>
        </w:rPr>
        <w:footnoteRef/>
      </w:r>
      <w:r w:rsidRPr="0005704F">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footnote>
  <w:footnote w:id="7">
    <w:p w14:paraId="2595818F" w14:textId="77777777" w:rsidR="00F946C2" w:rsidRPr="0005704F" w:rsidRDefault="00F946C2" w:rsidP="00F946C2">
      <w:pPr>
        <w:spacing w:after="0" w:line="240" w:lineRule="auto"/>
        <w:ind w:firstLine="709"/>
        <w:jc w:val="both"/>
        <w:rPr>
          <w:rFonts w:ascii="Verdana" w:hAnsi="Verdana" w:cs="Arial"/>
          <w:color w:val="000000"/>
          <w:sz w:val="16"/>
          <w:szCs w:val="16"/>
          <w:lang w:val="es-ES"/>
        </w:rPr>
      </w:pPr>
      <w:r w:rsidRPr="0005704F">
        <w:rPr>
          <w:rStyle w:val="Refdenotaalpie"/>
          <w:rFonts w:ascii="Verdana" w:hAnsi="Verdana" w:cs="Arial"/>
          <w:color w:val="000000"/>
          <w:sz w:val="16"/>
          <w:szCs w:val="16"/>
        </w:rPr>
        <w:footnoteRef/>
      </w:r>
      <w:r w:rsidRPr="0005704F">
        <w:rPr>
          <w:rFonts w:ascii="Verdana" w:hAnsi="Verdana" w:cs="Arial"/>
          <w:color w:val="000000"/>
          <w:sz w:val="16"/>
          <w:szCs w:val="16"/>
        </w:rPr>
        <w:t xml:space="preserve"> </w:t>
      </w:r>
      <w:r w:rsidRPr="0005704F">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8">
    <w:p w14:paraId="739805B1" w14:textId="77777777" w:rsidR="00F946C2" w:rsidRPr="0005704F" w:rsidRDefault="00F946C2" w:rsidP="00F946C2">
      <w:pPr>
        <w:pStyle w:val="Textonotapie"/>
        <w:ind w:firstLine="708"/>
        <w:jc w:val="both"/>
        <w:rPr>
          <w:rFonts w:ascii="Verdana" w:hAnsi="Verdana" w:cs="Arial"/>
          <w:sz w:val="16"/>
          <w:szCs w:val="16"/>
          <w:lang w:val="es-ES"/>
        </w:rPr>
      </w:pPr>
      <w:r w:rsidRPr="0005704F">
        <w:rPr>
          <w:rStyle w:val="Refdenotaalpie"/>
          <w:rFonts w:ascii="Verdana" w:hAnsi="Verdana" w:cs="Arial"/>
          <w:sz w:val="16"/>
          <w:szCs w:val="16"/>
        </w:rPr>
        <w:footnoteRef/>
      </w:r>
      <w:r w:rsidRPr="0005704F">
        <w:rPr>
          <w:rFonts w:ascii="Verdana" w:hAnsi="Verdana" w:cs="Arial"/>
          <w:sz w:val="16"/>
          <w:szCs w:val="16"/>
        </w:rPr>
        <w:t xml:space="preserve"> Diccionario de la Real Academia Española, versión online disponible en: </w:t>
      </w:r>
      <w:hyperlink r:id="rId2" w:history="1">
        <w:r w:rsidRPr="0005704F">
          <w:rPr>
            <w:rStyle w:val="Hipervnculo"/>
            <w:rFonts w:ascii="Verdana" w:hAnsi="Verdana" w:cs="Arial"/>
            <w:sz w:val="16"/>
            <w:szCs w:val="16"/>
          </w:rPr>
          <w:t>https://dle.rae.es/est%C3%A1ndar</w:t>
        </w:r>
      </w:hyperlink>
      <w:r w:rsidRPr="0005704F">
        <w:rPr>
          <w:rFonts w:ascii="Verdana" w:hAnsi="Verdana" w:cs="Arial"/>
          <w:sz w:val="16"/>
          <w:szCs w:val="16"/>
        </w:rPr>
        <w:t xml:space="preserve">, consultado el 2 de junio de 2020. </w:t>
      </w:r>
    </w:p>
  </w:footnote>
  <w:footnote w:id="9">
    <w:p w14:paraId="2A1F40BA" w14:textId="77777777" w:rsidR="00F946C2" w:rsidRPr="0005704F" w:rsidRDefault="00F946C2" w:rsidP="00F946C2">
      <w:pPr>
        <w:spacing w:after="0" w:line="240" w:lineRule="auto"/>
        <w:ind w:firstLine="708"/>
        <w:jc w:val="both"/>
        <w:rPr>
          <w:rFonts w:ascii="Verdana" w:hAnsi="Verdana" w:cs="Arial"/>
          <w:color w:val="000000"/>
          <w:sz w:val="16"/>
          <w:szCs w:val="16"/>
        </w:rPr>
      </w:pPr>
      <w:r w:rsidRPr="0005704F">
        <w:rPr>
          <w:rStyle w:val="Refdenotaalpie"/>
          <w:rFonts w:ascii="Verdana" w:hAnsi="Verdana" w:cs="Arial"/>
          <w:color w:val="000000"/>
          <w:sz w:val="16"/>
          <w:szCs w:val="16"/>
        </w:rPr>
        <w:footnoteRef/>
      </w:r>
      <w:r w:rsidRPr="0005704F">
        <w:rPr>
          <w:rFonts w:ascii="Verdana" w:hAnsi="Verdana" w:cs="Arial"/>
          <w:color w:val="000000"/>
          <w:sz w:val="16"/>
          <w:szCs w:val="16"/>
        </w:rPr>
        <w:t xml:space="preserve"> Cita tomada de la providencia del 20 de febrero de 2020, dictada por el Consejo de Estado. Sección Tercera. Subsección A, dentro del expediente 47001-23-33-000-2018-00035-01 (63.854), cuya ponente fue Marta Nubia Velásquez Rico.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17D"/>
    <w:rsid w:val="000A683E"/>
    <w:rsid w:val="000B19B9"/>
    <w:rsid w:val="000D0334"/>
    <w:rsid w:val="000D5DA7"/>
    <w:rsid w:val="000F6486"/>
    <w:rsid w:val="00101D91"/>
    <w:rsid w:val="00116940"/>
    <w:rsid w:val="00125105"/>
    <w:rsid w:val="00127233"/>
    <w:rsid w:val="00145715"/>
    <w:rsid w:val="0015699B"/>
    <w:rsid w:val="001A33BF"/>
    <w:rsid w:val="001E4177"/>
    <w:rsid w:val="001F0B24"/>
    <w:rsid w:val="001F7DC6"/>
    <w:rsid w:val="0022400B"/>
    <w:rsid w:val="002421BB"/>
    <w:rsid w:val="0025796E"/>
    <w:rsid w:val="00260B9D"/>
    <w:rsid w:val="002707A2"/>
    <w:rsid w:val="002951A0"/>
    <w:rsid w:val="002962BC"/>
    <w:rsid w:val="002A093D"/>
    <w:rsid w:val="002A0DD0"/>
    <w:rsid w:val="002A49AC"/>
    <w:rsid w:val="002A64FD"/>
    <w:rsid w:val="002C7A84"/>
    <w:rsid w:val="002C7DF2"/>
    <w:rsid w:val="002E2BF8"/>
    <w:rsid w:val="002E4FD9"/>
    <w:rsid w:val="0030657A"/>
    <w:rsid w:val="00322A85"/>
    <w:rsid w:val="00324168"/>
    <w:rsid w:val="00330834"/>
    <w:rsid w:val="003448F4"/>
    <w:rsid w:val="00374F5E"/>
    <w:rsid w:val="00377E3E"/>
    <w:rsid w:val="00397513"/>
    <w:rsid w:val="003A779E"/>
    <w:rsid w:val="003D0F4D"/>
    <w:rsid w:val="003D5B0D"/>
    <w:rsid w:val="003E0499"/>
    <w:rsid w:val="003E4F80"/>
    <w:rsid w:val="003E6439"/>
    <w:rsid w:val="003F3941"/>
    <w:rsid w:val="00406575"/>
    <w:rsid w:val="00414C74"/>
    <w:rsid w:val="0042722E"/>
    <w:rsid w:val="0044528D"/>
    <w:rsid w:val="00456915"/>
    <w:rsid w:val="00466E39"/>
    <w:rsid w:val="004A1847"/>
    <w:rsid w:val="004A305D"/>
    <w:rsid w:val="004F21C4"/>
    <w:rsid w:val="004F685F"/>
    <w:rsid w:val="005566E8"/>
    <w:rsid w:val="00574867"/>
    <w:rsid w:val="00591460"/>
    <w:rsid w:val="005A65E0"/>
    <w:rsid w:val="005A6D5A"/>
    <w:rsid w:val="005C3777"/>
    <w:rsid w:val="005C5CDC"/>
    <w:rsid w:val="005D476C"/>
    <w:rsid w:val="00606D9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473"/>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54CD"/>
    <w:rsid w:val="009C71FA"/>
    <w:rsid w:val="009C72E7"/>
    <w:rsid w:val="009C7F7E"/>
    <w:rsid w:val="009D3058"/>
    <w:rsid w:val="009F3A13"/>
    <w:rsid w:val="00A04596"/>
    <w:rsid w:val="00A122D3"/>
    <w:rsid w:val="00A14468"/>
    <w:rsid w:val="00A17F13"/>
    <w:rsid w:val="00A20739"/>
    <w:rsid w:val="00A23AF9"/>
    <w:rsid w:val="00A33C78"/>
    <w:rsid w:val="00AB0ADB"/>
    <w:rsid w:val="00B00C0E"/>
    <w:rsid w:val="00B01B1A"/>
    <w:rsid w:val="00B0381D"/>
    <w:rsid w:val="00B33FFE"/>
    <w:rsid w:val="00B44A47"/>
    <w:rsid w:val="00B72CD3"/>
    <w:rsid w:val="00B72FFF"/>
    <w:rsid w:val="00BC09DE"/>
    <w:rsid w:val="00BC3D36"/>
    <w:rsid w:val="00BD54A6"/>
    <w:rsid w:val="00BD7F72"/>
    <w:rsid w:val="00BF7425"/>
    <w:rsid w:val="00C04FB3"/>
    <w:rsid w:val="00C114CB"/>
    <w:rsid w:val="00C11D8B"/>
    <w:rsid w:val="00C15139"/>
    <w:rsid w:val="00C330EB"/>
    <w:rsid w:val="00C50D69"/>
    <w:rsid w:val="00C5365C"/>
    <w:rsid w:val="00C754BE"/>
    <w:rsid w:val="00C76B1C"/>
    <w:rsid w:val="00C925AC"/>
    <w:rsid w:val="00CB6357"/>
    <w:rsid w:val="00CC1B26"/>
    <w:rsid w:val="00D27EAE"/>
    <w:rsid w:val="00D361FD"/>
    <w:rsid w:val="00D423A2"/>
    <w:rsid w:val="00D44E26"/>
    <w:rsid w:val="00D520D8"/>
    <w:rsid w:val="00D63AC2"/>
    <w:rsid w:val="00D7383B"/>
    <w:rsid w:val="00D7788A"/>
    <w:rsid w:val="00DA231B"/>
    <w:rsid w:val="00DC39FC"/>
    <w:rsid w:val="00DE698C"/>
    <w:rsid w:val="00DF5254"/>
    <w:rsid w:val="00E02524"/>
    <w:rsid w:val="00E16408"/>
    <w:rsid w:val="00E20894"/>
    <w:rsid w:val="00E245AB"/>
    <w:rsid w:val="00E271DC"/>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484B"/>
    <w:rsid w:val="00F666C4"/>
    <w:rsid w:val="00F76AFC"/>
    <w:rsid w:val="00F946C2"/>
    <w:rsid w:val="00FA47C0"/>
    <w:rsid w:val="00FB5DD1"/>
    <w:rsid w:val="00FC2B5D"/>
    <w:rsid w:val="00FE5839"/>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946C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46C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archivos/manual/manual-para-el-manejo-de-los-acuerdos-comerciales-en-procesos-de-contratacion"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rfabianmurilloh@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BE8A15-F49D-4C97-AD88-A74DE94643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19</Pages>
  <Words>5830</Words>
  <Characters>32068</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2026-05-15T18:58:00Z</dcterms:created>
  <dcterms:modified xsi:type="dcterms:W3CDTF">2026-05-19T20:45:00Z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